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119" w:name="_GoBack"/>
      <w:bookmarkEnd w:id="119"/>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78441"/>
      <w:bookmarkStart w:id="4" w:name="_Toc15396475"/>
      <w:bookmarkStart w:id="5" w:name="_Toc15377425"/>
      <w:bookmarkStart w:id="6" w:name="_Toc9667"/>
      <w:bookmarkStart w:id="7" w:name="_Toc2908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77194"/>
      <w:bookmarkStart w:id="10" w:name="_Toc30531"/>
      <w:bookmarkStart w:id="11" w:name="_Toc15377426"/>
      <w:bookmarkStart w:id="12" w:name="_Toc15396598"/>
      <w:bookmarkStart w:id="13" w:name="_Toc15378442"/>
      <w:bookmarkStart w:id="14" w:name="_Toc19709"/>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val="en-US" w:eastAsia="zh-CN"/>
        </w:rPr>
        <w:t>政协委员会办公室</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2"/>
        <w:rPr>
          <w:rFonts w:hint="eastAsia"/>
        </w:rPr>
      </w:pPr>
    </w:p>
    <w:p>
      <w:pPr>
        <w:pStyle w:val="2"/>
      </w:pPr>
    </w:p>
    <w:sdt>
      <w:sdtPr>
        <w:rPr>
          <w:rFonts w:ascii="宋体" w:hAnsi="宋体" w:eastAsia="宋体" w:cs="Times New Roman"/>
          <w:kern w:val="2"/>
          <w:sz w:val="21"/>
          <w:szCs w:val="24"/>
          <w:lang w:val="en-US" w:eastAsia="zh-CN" w:bidi="ar-SA"/>
        </w:rPr>
        <w:id w:val="147469223"/>
        <w15:color w:val="DBDBDB"/>
        <w:docPartObj>
          <w:docPartGallery w:val="Table of Contents"/>
          <w:docPartUnique/>
        </w:docPartObj>
      </w:sdtPr>
      <w:sdtEndPr>
        <w:rPr>
          <w:rFonts w:ascii="仿宋" w:hAnsi="仿宋" w:eastAsia="仿宋" w:cs="Times New Roman"/>
          <w:b/>
          <w:bCs/>
          <w:kern w:val="44"/>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16" w:name="_Toc15377196"/>
          <w:bookmarkStart w:id="17" w:name="_Toc15396599"/>
        </w:p>
        <w:p>
          <w:pPr>
            <w:pStyle w:val="32"/>
            <w:tabs>
              <w:tab w:val="right" w:leader="dot" w:pos="8306"/>
            </w:tabs>
            <w:rPr>
              <w:b/>
            </w:rPr>
          </w:pPr>
          <w:r>
            <w:rPr>
              <w:rFonts w:ascii="仿宋" w:hAnsi="仿宋" w:eastAsia="仿宋"/>
              <w:bCs/>
              <w:kern w:val="44"/>
              <w:sz w:val="24"/>
            </w:rPr>
            <w:fldChar w:fldCharType="begin"/>
          </w:r>
          <w:r>
            <w:rPr>
              <w:rFonts w:ascii="仿宋" w:hAnsi="仿宋" w:eastAsia="仿宋"/>
              <w:bCs/>
              <w:kern w:val="44"/>
              <w:sz w:val="24"/>
            </w:rPr>
            <w:instrText xml:space="preserve">TOC \o "1-2" \h \u </w:instrText>
          </w:r>
          <w:r>
            <w:rPr>
              <w:rFonts w:ascii="仿宋" w:hAnsi="仿宋" w:eastAsia="仿宋"/>
              <w:bCs/>
              <w:kern w:val="44"/>
              <w:sz w:val="24"/>
            </w:rPr>
            <w:fldChar w:fldCharType="separate"/>
          </w:r>
          <w:r>
            <w:rPr>
              <w:rFonts w:ascii="仿宋" w:hAnsi="仿宋" w:eastAsia="仿宋"/>
              <w:b/>
              <w:bCs/>
              <w:kern w:val="44"/>
            </w:rPr>
            <w:fldChar w:fldCharType="begin"/>
          </w:r>
          <w:r>
            <w:rPr>
              <w:rFonts w:ascii="仿宋" w:hAnsi="仿宋" w:eastAsia="仿宋"/>
              <w:b/>
              <w:bCs/>
              <w:kern w:val="44"/>
            </w:rPr>
            <w:instrText xml:space="preserve"> HYPERLINK \l _Toc10060 </w:instrText>
          </w:r>
          <w:r>
            <w:rPr>
              <w:rFonts w:ascii="仿宋" w:hAnsi="仿宋" w:eastAsia="仿宋"/>
              <w:b/>
              <w:bCs/>
              <w:kern w:val="44"/>
            </w:rPr>
            <w:fldChar w:fldCharType="separate"/>
          </w:r>
          <w:r>
            <w:rPr>
              <w:rFonts w:hint="eastAsia" w:ascii="黑体" w:hAnsi="黑体" w:eastAsia="黑体"/>
              <w:b/>
              <w:bCs w:val="0"/>
            </w:rPr>
            <w:t>第一部分 部门概况</w:t>
          </w:r>
          <w:r>
            <w:rPr>
              <w:b/>
            </w:rPr>
            <w:tab/>
          </w:r>
          <w:r>
            <w:rPr>
              <w:b/>
            </w:rPr>
            <w:fldChar w:fldCharType="begin"/>
          </w:r>
          <w:r>
            <w:rPr>
              <w:b/>
            </w:rPr>
            <w:instrText xml:space="preserve"> PAGEREF _Toc10060 </w:instrText>
          </w:r>
          <w:r>
            <w:rPr>
              <w:b/>
            </w:rPr>
            <w:fldChar w:fldCharType="separate"/>
          </w:r>
          <w:r>
            <w:rPr>
              <w:b/>
            </w:rPr>
            <w:t>5</w:t>
          </w:r>
          <w:r>
            <w:rPr>
              <w:b/>
            </w:rPr>
            <w:fldChar w:fldCharType="end"/>
          </w:r>
          <w:r>
            <w:rPr>
              <w:rFonts w:ascii="仿宋" w:hAnsi="仿宋" w:eastAsia="仿宋"/>
              <w:b/>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_Toc8819 </w:instrText>
          </w:r>
          <w:r>
            <w:rPr>
              <w:rFonts w:ascii="仿宋" w:hAnsi="仿宋" w:eastAsia="仿宋"/>
              <w:bCs/>
              <w:kern w:val="44"/>
            </w:rPr>
            <w:fldChar w:fldCharType="separate"/>
          </w:r>
          <w:r>
            <w:rPr>
              <w:rFonts w:hint="eastAsia" w:ascii="黑体" w:hAnsi="黑体" w:eastAsia="黑体"/>
              <w:bCs w:val="0"/>
            </w:rPr>
            <w:t xml:space="preserve">一、 </w:t>
          </w:r>
          <w:r>
            <w:rPr>
              <w:rFonts w:hint="eastAsia" w:ascii="黑体" w:hAnsi="黑体" w:eastAsia="黑体"/>
            </w:rPr>
            <w:t>基</w:t>
          </w:r>
          <w:r>
            <w:rPr>
              <w:rFonts w:hint="eastAsia" w:ascii="黑体" w:hAnsi="黑体" w:eastAsia="黑体"/>
              <w:bCs w:val="0"/>
            </w:rPr>
            <w:t>本职能及主要工作</w:t>
          </w:r>
          <w:r>
            <w:tab/>
          </w:r>
          <w:r>
            <w:fldChar w:fldCharType="begin"/>
          </w:r>
          <w:r>
            <w:instrText xml:space="preserve"> PAGEREF _Toc8819 </w:instrText>
          </w:r>
          <w:r>
            <w:fldChar w:fldCharType="separate"/>
          </w:r>
          <w:r>
            <w:t>5</w:t>
          </w:r>
          <w:r>
            <w:fldChar w:fldCharType="end"/>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_Toc32042 </w:instrText>
          </w:r>
          <w:r>
            <w:rPr>
              <w:rFonts w:ascii="仿宋" w:hAnsi="仿宋" w:eastAsia="仿宋"/>
              <w:bCs/>
              <w:kern w:val="44"/>
            </w:rPr>
            <w:fldChar w:fldCharType="separate"/>
          </w:r>
          <w:r>
            <w:rPr>
              <w:rFonts w:hint="eastAsia" w:ascii="仿宋" w:hAnsi="仿宋" w:eastAsia="仿宋"/>
              <w:bCs/>
              <w:szCs w:val="32"/>
            </w:rPr>
            <w:t>（一）主要职能。</w:t>
          </w:r>
          <w:r>
            <w:tab/>
          </w:r>
          <w:r>
            <w:fldChar w:fldCharType="begin"/>
          </w:r>
          <w:r>
            <w:instrText xml:space="preserve"> PAGEREF _Toc32042 </w:instrText>
          </w:r>
          <w:r>
            <w:fldChar w:fldCharType="separate"/>
          </w:r>
          <w:r>
            <w:t>5</w:t>
          </w:r>
          <w:r>
            <w:fldChar w:fldCharType="end"/>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_Toc14506 </w:instrText>
          </w:r>
          <w:r>
            <w:rPr>
              <w:rFonts w:ascii="仿宋" w:hAnsi="仿宋" w:eastAsia="仿宋"/>
              <w:bCs/>
              <w:kern w:val="44"/>
            </w:rPr>
            <w:fldChar w:fldCharType="separate"/>
          </w:r>
          <w:r>
            <w:rPr>
              <w:rFonts w:hint="eastAsia" w:ascii="黑体" w:hAnsi="黑体" w:eastAsia="黑体"/>
              <w:bCs w:val="0"/>
            </w:rPr>
            <w:t xml:space="preserve">二、 </w:t>
          </w:r>
          <w:r>
            <w:rPr>
              <w:rFonts w:hint="eastAsia" w:ascii="黑体" w:hAnsi="黑体" w:eastAsia="黑体"/>
            </w:rPr>
            <w:t>机</w:t>
          </w:r>
          <w:r>
            <w:rPr>
              <w:rFonts w:hint="eastAsia" w:ascii="黑体" w:hAnsi="黑体" w:eastAsia="黑体"/>
              <w:bCs w:val="0"/>
            </w:rPr>
            <w:t>构设置</w:t>
          </w:r>
          <w:r>
            <w:tab/>
          </w:r>
          <w:r>
            <w:rPr>
              <w:rFonts w:hint="eastAsia"/>
              <w:lang w:val="en-US" w:eastAsia="zh-CN"/>
            </w:rPr>
            <w:t>6</w:t>
          </w:r>
          <w:r>
            <w:rPr>
              <w:rFonts w:ascii="仿宋" w:hAnsi="仿宋" w:eastAsia="仿宋"/>
              <w:bCs/>
              <w:kern w:val="44"/>
            </w:rPr>
            <w:fldChar w:fldCharType="end"/>
          </w:r>
        </w:p>
        <w:p>
          <w:pPr>
            <w:pStyle w:val="32"/>
            <w:tabs>
              <w:tab w:val="right" w:leader="dot" w:pos="8306"/>
            </w:tabs>
            <w:rPr>
              <w:b/>
            </w:rPr>
          </w:pPr>
          <w:r>
            <w:rPr>
              <w:rFonts w:ascii="仿宋" w:hAnsi="仿宋" w:eastAsia="仿宋"/>
              <w:b/>
              <w:bCs/>
              <w:kern w:val="44"/>
            </w:rPr>
            <w:fldChar w:fldCharType="begin"/>
          </w:r>
          <w:r>
            <w:rPr>
              <w:rFonts w:ascii="仿宋" w:hAnsi="仿宋" w:eastAsia="仿宋"/>
              <w:b/>
              <w:bCs/>
              <w:kern w:val="44"/>
            </w:rPr>
            <w:instrText xml:space="preserve"> HYPERLINK \l _Toc21163 </w:instrText>
          </w:r>
          <w:r>
            <w:rPr>
              <w:rFonts w:ascii="仿宋" w:hAnsi="仿宋" w:eastAsia="仿宋"/>
              <w:b/>
              <w:bCs/>
              <w:kern w:val="44"/>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rFonts w:hint="eastAsia"/>
              <w:b/>
              <w:lang w:val="en-US" w:eastAsia="zh-CN"/>
            </w:rPr>
            <w:t>6</w:t>
          </w:r>
          <w:r>
            <w:rPr>
              <w:rFonts w:ascii="仿宋" w:hAnsi="仿宋" w:eastAsia="仿宋"/>
              <w:b/>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_Toc20695 </w:instrText>
          </w:r>
          <w:r>
            <w:rPr>
              <w:rFonts w:ascii="仿宋" w:hAnsi="仿宋" w:eastAsia="仿宋"/>
              <w:bCs/>
              <w:kern w:val="44"/>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rPr>
              <w:rFonts w:hint="eastAsia"/>
              <w:lang w:val="en-US" w:eastAsia="zh-CN"/>
            </w:rPr>
            <w:t>6</w:t>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_Toc7354 </w:instrText>
          </w:r>
          <w:r>
            <w:rPr>
              <w:rFonts w:ascii="仿宋" w:hAnsi="仿宋" w:eastAsia="仿宋"/>
              <w:bCs/>
              <w:kern w:val="44"/>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rPr>
              <w:rFonts w:hint="eastAsia"/>
              <w:lang w:val="en-US" w:eastAsia="zh-CN"/>
            </w:rPr>
            <w:t>7</w:t>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_Toc19084 </w:instrText>
          </w:r>
          <w:r>
            <w:rPr>
              <w:rFonts w:ascii="仿宋" w:hAnsi="仿宋" w:eastAsia="仿宋"/>
              <w:bCs/>
              <w:kern w:val="44"/>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rPr>
              <w:rFonts w:hint="eastAsia"/>
              <w:lang w:val="en-US" w:eastAsia="zh-CN"/>
            </w:rPr>
            <w:t>7</w:t>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_Toc20215 </w:instrText>
          </w:r>
          <w:r>
            <w:rPr>
              <w:rFonts w:ascii="仿宋" w:hAnsi="仿宋" w:eastAsia="仿宋"/>
              <w:bCs/>
              <w:kern w:val="44"/>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_Toc20215 </w:instrText>
          </w:r>
          <w:r>
            <w:fldChar w:fldCharType="separate"/>
          </w:r>
          <w:r>
            <w:t>8</w:t>
          </w:r>
          <w:r>
            <w:fldChar w:fldCharType="end"/>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_Toc3127 </w:instrText>
          </w:r>
          <w:r>
            <w:rPr>
              <w:rFonts w:ascii="仿宋" w:hAnsi="仿宋" w:eastAsia="仿宋"/>
              <w:bCs/>
              <w:kern w:val="44"/>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rPr>
              <w:rFonts w:hint="eastAsia"/>
              <w:lang w:val="en-US" w:eastAsia="zh-CN"/>
            </w:rPr>
            <w:t>8</w:t>
          </w:r>
          <w:r>
            <w:rPr>
              <w:rFonts w:ascii="仿宋" w:hAnsi="仿宋" w:eastAsia="仿宋"/>
              <w:bCs/>
              <w:kern w:val="44"/>
            </w:rPr>
            <w:fldChar w:fldCharType="end"/>
          </w:r>
        </w:p>
        <w:p>
          <w:pPr>
            <w:pStyle w:val="33"/>
            <w:tabs>
              <w:tab w:val="right" w:leader="dot" w:pos="8306"/>
            </w:tabs>
            <w:rPr>
              <w:rFonts w:hint="eastAsia" w:eastAsia="仿宋"/>
              <w:lang w:val="en-US" w:eastAsia="zh-CN"/>
            </w:rPr>
          </w:pPr>
          <w:r>
            <w:rPr>
              <w:rFonts w:ascii="仿宋" w:hAnsi="仿宋" w:eastAsia="仿宋"/>
              <w:bCs/>
              <w:kern w:val="44"/>
            </w:rPr>
            <w:fldChar w:fldCharType="begin"/>
          </w:r>
          <w:r>
            <w:rPr>
              <w:rFonts w:ascii="仿宋" w:hAnsi="仿宋" w:eastAsia="仿宋"/>
              <w:bCs/>
              <w:kern w:val="44"/>
            </w:rPr>
            <w:instrText xml:space="preserve"> HYPERLINK \l _Toc11693 </w:instrText>
          </w:r>
          <w:r>
            <w:rPr>
              <w:rFonts w:ascii="仿宋" w:hAnsi="仿宋" w:eastAsia="仿宋"/>
              <w:bCs/>
              <w:kern w:val="44"/>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rPr>
              <w:rFonts w:hint="eastAsia"/>
              <w:lang w:val="en-US" w:eastAsia="zh-CN"/>
            </w:rPr>
            <w:t>1</w:t>
          </w:r>
          <w:r>
            <w:rPr>
              <w:rFonts w:ascii="仿宋" w:hAnsi="仿宋" w:eastAsia="仿宋"/>
              <w:bCs/>
              <w:kern w:val="44"/>
            </w:rPr>
            <w:fldChar w:fldCharType="end"/>
          </w:r>
          <w:r>
            <w:rPr>
              <w:rFonts w:hint="eastAsia" w:ascii="仿宋" w:hAnsi="仿宋" w:eastAsia="仿宋"/>
              <w:bCs/>
              <w:kern w:val="44"/>
              <w:lang w:val="en-US" w:eastAsia="zh-CN"/>
            </w:rPr>
            <w:t>1</w:t>
          </w:r>
        </w:p>
        <w:p>
          <w:pPr>
            <w:pStyle w:val="33"/>
            <w:tabs>
              <w:tab w:val="right" w:leader="dot" w:pos="8306"/>
            </w:tabs>
            <w:rPr>
              <w:rFonts w:hint="eastAsia" w:eastAsia="仿宋"/>
              <w:lang w:val="en-US" w:eastAsia="zh-CN"/>
            </w:rPr>
          </w:pPr>
          <w:r>
            <w:rPr>
              <w:rFonts w:ascii="仿宋" w:hAnsi="仿宋" w:eastAsia="仿宋"/>
              <w:bCs/>
              <w:kern w:val="44"/>
            </w:rPr>
            <w:fldChar w:fldCharType="begin"/>
          </w:r>
          <w:r>
            <w:rPr>
              <w:rFonts w:ascii="仿宋" w:hAnsi="仿宋" w:eastAsia="仿宋"/>
              <w:bCs/>
              <w:kern w:val="44"/>
            </w:rPr>
            <w:instrText xml:space="preserve"> HYPERLINK \l _Toc11603 </w:instrText>
          </w:r>
          <w:r>
            <w:rPr>
              <w:rFonts w:ascii="仿宋" w:hAnsi="仿宋" w:eastAsia="仿宋"/>
              <w:bCs/>
              <w:kern w:val="44"/>
            </w:rPr>
            <w:fldChar w:fldCharType="separate"/>
          </w:r>
          <w:r>
            <w:rPr>
              <w:rFonts w:hint="eastAsia" w:ascii="黑体" w:eastAsia="黑体"/>
              <w:szCs w:val="32"/>
            </w:rPr>
            <w:t>七、</w:t>
          </w:r>
          <w:r>
            <w:rPr>
              <w:rFonts w:hint="eastAsia" w:ascii="黑体" w:hAnsi="黑体" w:eastAsia="黑体"/>
            </w:rPr>
            <w:t>“三公”经费财政拨款支出决算情况说明</w:t>
          </w:r>
          <w:r>
            <w:tab/>
          </w:r>
          <w:r>
            <w:rPr>
              <w:rFonts w:hint="eastAsia"/>
              <w:lang w:val="en-US" w:eastAsia="zh-CN"/>
            </w:rPr>
            <w:t>1</w:t>
          </w:r>
          <w:r>
            <w:rPr>
              <w:rFonts w:ascii="仿宋" w:hAnsi="仿宋" w:eastAsia="仿宋"/>
              <w:bCs/>
              <w:kern w:val="44"/>
            </w:rPr>
            <w:fldChar w:fldCharType="end"/>
          </w:r>
          <w:r>
            <w:rPr>
              <w:rFonts w:hint="eastAsia" w:ascii="仿宋" w:hAnsi="仿宋" w:eastAsia="仿宋"/>
              <w:bCs/>
              <w:kern w:val="44"/>
              <w:lang w:val="en-US" w:eastAsia="zh-CN"/>
            </w:rPr>
            <w:t>1</w:t>
          </w:r>
        </w:p>
        <w:p>
          <w:pPr>
            <w:pStyle w:val="33"/>
            <w:tabs>
              <w:tab w:val="right" w:leader="dot" w:pos="8306"/>
            </w:tabs>
            <w:rPr>
              <w:rFonts w:hint="eastAsia" w:eastAsia="仿宋"/>
              <w:lang w:val="en-US" w:eastAsia="zh-CN"/>
            </w:rPr>
          </w:pPr>
          <w:r>
            <w:rPr>
              <w:rFonts w:ascii="仿宋" w:hAnsi="仿宋" w:eastAsia="仿宋"/>
              <w:bCs/>
              <w:kern w:val="44"/>
            </w:rPr>
            <w:fldChar w:fldCharType="begin"/>
          </w:r>
          <w:r>
            <w:rPr>
              <w:rFonts w:ascii="仿宋" w:hAnsi="仿宋" w:eastAsia="仿宋"/>
              <w:bCs/>
              <w:kern w:val="44"/>
            </w:rPr>
            <w:instrText xml:space="preserve"> HYPERLINK \l _Toc29500 </w:instrText>
          </w:r>
          <w:r>
            <w:rPr>
              <w:rFonts w:ascii="仿宋" w:hAnsi="仿宋" w:eastAsia="仿宋"/>
              <w:bCs/>
              <w:kern w:val="44"/>
            </w:rPr>
            <w:fldChar w:fldCharType="separate"/>
          </w:r>
          <w:r>
            <w:rPr>
              <w:rFonts w:hint="eastAsia" w:ascii="黑体" w:eastAsia="黑体"/>
              <w:szCs w:val="32"/>
            </w:rPr>
            <w:t>八、</w:t>
          </w:r>
          <w:r>
            <w:rPr>
              <w:rFonts w:hint="eastAsia" w:ascii="黑体" w:hAnsi="黑体" w:eastAsia="黑体"/>
            </w:rPr>
            <w:t>政府性基金预算支出决算情况说明</w:t>
          </w:r>
          <w:r>
            <w:tab/>
          </w:r>
          <w:r>
            <w:rPr>
              <w:rFonts w:hint="eastAsia"/>
              <w:lang w:val="en-US" w:eastAsia="zh-CN"/>
            </w:rPr>
            <w:t>1</w:t>
          </w:r>
          <w:r>
            <w:rPr>
              <w:rFonts w:ascii="仿宋" w:hAnsi="仿宋" w:eastAsia="仿宋"/>
              <w:bCs/>
              <w:kern w:val="44"/>
            </w:rPr>
            <w:fldChar w:fldCharType="end"/>
          </w:r>
          <w:r>
            <w:rPr>
              <w:rFonts w:hint="eastAsia" w:ascii="仿宋" w:hAnsi="仿宋" w:eastAsia="仿宋"/>
              <w:bCs/>
              <w:kern w:val="44"/>
              <w:lang w:val="en-US" w:eastAsia="zh-CN"/>
            </w:rPr>
            <w:t>3</w:t>
          </w:r>
        </w:p>
        <w:p>
          <w:pPr>
            <w:pStyle w:val="33"/>
            <w:tabs>
              <w:tab w:val="right" w:leader="dot" w:pos="8306"/>
            </w:tabs>
            <w:rPr>
              <w:rFonts w:hint="eastAsia" w:eastAsia="仿宋"/>
              <w:lang w:val="en-US" w:eastAsia="zh-CN"/>
            </w:rPr>
          </w:pPr>
          <w:r>
            <w:rPr>
              <w:rFonts w:ascii="仿宋" w:hAnsi="仿宋" w:eastAsia="仿宋"/>
              <w:bCs/>
              <w:kern w:val="44"/>
            </w:rPr>
            <w:fldChar w:fldCharType="begin"/>
          </w:r>
          <w:r>
            <w:rPr>
              <w:rFonts w:ascii="仿宋" w:hAnsi="仿宋" w:eastAsia="仿宋"/>
              <w:bCs/>
              <w:kern w:val="44"/>
            </w:rPr>
            <w:instrText xml:space="preserve"> HYPERLINK \l _Toc16420 </w:instrText>
          </w:r>
          <w:r>
            <w:rPr>
              <w:rFonts w:ascii="仿宋" w:hAnsi="仿宋" w:eastAsia="仿宋"/>
              <w:bCs/>
              <w:kern w:val="44"/>
            </w:rPr>
            <w:fldChar w:fldCharType="separate"/>
          </w:r>
          <w:r>
            <w:rPr>
              <w:rFonts w:hint="eastAsia" w:ascii="黑体" w:hAnsi="黑体" w:eastAsia="黑体"/>
            </w:rPr>
            <w:t>九、 国有资本经营预算支出决算情况说明</w:t>
          </w:r>
          <w:r>
            <w:tab/>
          </w:r>
          <w:r>
            <w:rPr>
              <w:rFonts w:hint="eastAsia"/>
              <w:lang w:val="en-US" w:eastAsia="zh-CN"/>
            </w:rPr>
            <w:t>1</w:t>
          </w:r>
          <w:r>
            <w:rPr>
              <w:rFonts w:ascii="仿宋" w:hAnsi="仿宋" w:eastAsia="仿宋"/>
              <w:bCs/>
              <w:kern w:val="44"/>
            </w:rPr>
            <w:fldChar w:fldCharType="end"/>
          </w:r>
          <w:r>
            <w:rPr>
              <w:rFonts w:hint="eastAsia" w:ascii="仿宋" w:hAnsi="仿宋" w:eastAsia="仿宋"/>
              <w:bCs/>
              <w:kern w:val="44"/>
              <w:lang w:val="en-US" w:eastAsia="zh-CN"/>
            </w:rPr>
            <w:t>3</w:t>
          </w:r>
        </w:p>
        <w:p>
          <w:pPr>
            <w:pStyle w:val="33"/>
            <w:tabs>
              <w:tab w:val="right" w:leader="dot" w:pos="8306"/>
            </w:tabs>
            <w:rPr>
              <w:rFonts w:hint="eastAsia" w:eastAsia="仿宋"/>
              <w:lang w:val="en-US" w:eastAsia="zh-CN"/>
            </w:rPr>
          </w:pPr>
          <w:r>
            <w:rPr>
              <w:rFonts w:ascii="仿宋" w:hAnsi="仿宋" w:eastAsia="仿宋"/>
              <w:bCs/>
              <w:kern w:val="44"/>
            </w:rPr>
            <w:fldChar w:fldCharType="begin"/>
          </w:r>
          <w:r>
            <w:rPr>
              <w:rFonts w:ascii="仿宋" w:hAnsi="仿宋" w:eastAsia="仿宋"/>
              <w:bCs/>
              <w:kern w:val="44"/>
            </w:rPr>
            <w:instrText xml:space="preserve"> HYPERLINK \l _Toc30195 </w:instrText>
          </w:r>
          <w:r>
            <w:rPr>
              <w:rFonts w:ascii="仿宋" w:hAnsi="仿宋" w:eastAsia="仿宋"/>
              <w:bCs/>
              <w:kern w:val="44"/>
            </w:rPr>
            <w:fldChar w:fldCharType="separate"/>
          </w:r>
          <w:r>
            <w:rPr>
              <w:rFonts w:hint="eastAsia" w:ascii="黑体" w:hAnsi="黑体" w:eastAsia="黑体"/>
              <w:szCs w:val="32"/>
            </w:rPr>
            <w:t>十</w:t>
          </w:r>
          <w:r>
            <w:rPr>
              <w:rFonts w:hint="eastAsia" w:ascii="黑体" w:hAnsi="黑体" w:eastAsia="黑体"/>
            </w:rPr>
            <w:t>、其他重要事项的情况说明</w:t>
          </w:r>
          <w:r>
            <w:tab/>
          </w:r>
          <w:r>
            <w:rPr>
              <w:rFonts w:hint="eastAsia"/>
              <w:lang w:val="en-US" w:eastAsia="zh-CN"/>
            </w:rPr>
            <w:t>1</w:t>
          </w:r>
          <w:r>
            <w:rPr>
              <w:rFonts w:ascii="仿宋" w:hAnsi="仿宋" w:eastAsia="仿宋"/>
              <w:bCs/>
              <w:kern w:val="44"/>
            </w:rPr>
            <w:fldChar w:fldCharType="end"/>
          </w:r>
          <w:r>
            <w:rPr>
              <w:rFonts w:hint="eastAsia" w:ascii="仿宋" w:hAnsi="仿宋" w:eastAsia="仿宋"/>
              <w:bCs/>
              <w:kern w:val="44"/>
              <w:lang w:val="en-US" w:eastAsia="zh-CN"/>
            </w:rPr>
            <w:t>3</w:t>
          </w:r>
        </w:p>
        <w:p>
          <w:pPr>
            <w:pStyle w:val="32"/>
            <w:tabs>
              <w:tab w:val="right" w:leader="dot" w:pos="8306"/>
            </w:tabs>
            <w:rPr>
              <w:rFonts w:hint="eastAsia" w:eastAsia="仿宋"/>
              <w:b/>
              <w:lang w:val="en-US" w:eastAsia="zh-CN"/>
            </w:rPr>
          </w:pPr>
          <w:r>
            <w:rPr>
              <w:rFonts w:ascii="仿宋" w:hAnsi="仿宋" w:eastAsia="仿宋"/>
              <w:b/>
              <w:bCs/>
              <w:kern w:val="44"/>
            </w:rPr>
            <w:fldChar w:fldCharType="begin"/>
          </w:r>
          <w:r>
            <w:rPr>
              <w:rFonts w:ascii="仿宋" w:hAnsi="仿宋" w:eastAsia="仿宋"/>
              <w:b/>
              <w:bCs/>
              <w:kern w:val="44"/>
            </w:rPr>
            <w:instrText xml:space="preserve"> HYPERLINK \l _Toc21924 </w:instrText>
          </w:r>
          <w:r>
            <w:rPr>
              <w:rFonts w:ascii="仿宋" w:hAnsi="仿宋" w:eastAsia="仿宋"/>
              <w:b/>
              <w:bCs/>
              <w:kern w:val="44"/>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rFonts w:hint="eastAsia"/>
              <w:b/>
              <w:lang w:val="en-US" w:eastAsia="zh-CN"/>
            </w:rPr>
            <w:t>1</w:t>
          </w:r>
          <w:r>
            <w:rPr>
              <w:rFonts w:ascii="仿宋" w:hAnsi="仿宋" w:eastAsia="仿宋"/>
              <w:b/>
              <w:bCs/>
              <w:kern w:val="44"/>
            </w:rPr>
            <w:fldChar w:fldCharType="end"/>
          </w:r>
          <w:r>
            <w:rPr>
              <w:rFonts w:hint="eastAsia" w:ascii="仿宋" w:hAnsi="仿宋" w:eastAsia="仿宋"/>
              <w:b/>
              <w:bCs/>
              <w:kern w:val="44"/>
              <w:lang w:val="en-US" w:eastAsia="zh-CN"/>
            </w:rPr>
            <w:t>4</w:t>
          </w:r>
        </w:p>
        <w:p>
          <w:pPr>
            <w:pStyle w:val="32"/>
            <w:tabs>
              <w:tab w:val="right" w:leader="dot" w:pos="8306"/>
            </w:tabs>
            <w:rPr>
              <w:rFonts w:hint="default" w:ascii="黑体" w:hAnsi="黑体" w:eastAsia="黑体" w:cs="黑体"/>
              <w:b/>
              <w:szCs w:val="32"/>
              <w:lang w:val="en-US"/>
            </w:rPr>
          </w:pPr>
          <w:r>
            <w:rPr>
              <w:rFonts w:hint="eastAsia" w:ascii="黑体" w:hAnsi="黑体" w:eastAsia="黑体"/>
              <w:b/>
            </w:rPr>
            <w:t>第</w:t>
          </w:r>
          <w:r>
            <w:rPr>
              <w:rFonts w:hint="eastAsia" w:ascii="黑体" w:hAnsi="黑体" w:eastAsia="黑体"/>
              <w:b/>
              <w:lang w:val="en-US" w:eastAsia="zh-CN"/>
            </w:rPr>
            <w:t>四</w:t>
          </w:r>
          <w:r>
            <w:rPr>
              <w:rFonts w:hint="eastAsia" w:ascii="黑体" w:hAnsi="黑体" w:eastAsia="黑体"/>
              <w:b/>
            </w:rPr>
            <w:t>部分</w:t>
          </w:r>
          <w:r>
            <w:rPr>
              <w:rFonts w:ascii="仿宋" w:hAnsi="仿宋" w:eastAsia="仿宋"/>
              <w:b/>
              <w:bCs/>
              <w:kern w:val="44"/>
            </w:rPr>
            <w:fldChar w:fldCharType="begin"/>
          </w:r>
          <w:r>
            <w:rPr>
              <w:rFonts w:ascii="仿宋" w:hAnsi="仿宋" w:eastAsia="仿宋"/>
              <w:b/>
              <w:bCs/>
              <w:kern w:val="44"/>
            </w:rPr>
            <w:instrText xml:space="preserve"> HYPERLINK \l _Toc28453 </w:instrText>
          </w:r>
          <w:r>
            <w:rPr>
              <w:rFonts w:ascii="仿宋" w:hAnsi="仿宋" w:eastAsia="仿宋"/>
              <w:b/>
              <w:bCs/>
              <w:kern w:val="44"/>
            </w:rPr>
            <w:fldChar w:fldCharType="separate"/>
          </w:r>
          <w:r>
            <w:rPr>
              <w:rFonts w:hint="eastAsia" w:ascii="黑体" w:hAnsi="黑体" w:eastAsia="黑体" w:cs="黑体"/>
              <w:b/>
              <w:szCs w:val="32"/>
            </w:rPr>
            <w:t>附件</w:t>
          </w:r>
          <w:r>
            <w:rPr>
              <w:b/>
            </w:rPr>
            <w:tab/>
          </w:r>
          <w:r>
            <w:rPr>
              <w:rFonts w:hint="eastAsia"/>
              <w:b/>
              <w:lang w:val="en-US" w:eastAsia="zh-CN"/>
            </w:rPr>
            <w:t>18</w:t>
          </w:r>
        </w:p>
        <w:p>
          <w:pPr>
            <w:pStyle w:val="32"/>
            <w:tabs>
              <w:tab w:val="right" w:leader="dot" w:pos="8306"/>
            </w:tabs>
            <w:rPr>
              <w:rFonts w:hint="eastAsia" w:eastAsia="仿宋"/>
              <w:b/>
              <w:lang w:eastAsia="zh-CN"/>
            </w:rPr>
          </w:pPr>
          <w:r>
            <w:rPr>
              <w:rFonts w:hint="eastAsia" w:ascii="黑体" w:hAnsi="黑体" w:eastAsia="黑体" w:cs="黑体"/>
              <w:b/>
              <w:szCs w:val="32"/>
              <w:lang w:val="en-US" w:eastAsia="zh-CN"/>
            </w:rPr>
            <w:t>附件1.2</w:t>
          </w:r>
          <w:r>
            <w:rPr>
              <w:rFonts w:ascii="方正小标宋简体" w:hAnsi="宋体" w:eastAsia="方正小标宋简体"/>
              <w:b/>
              <w:kern w:val="0"/>
              <w:szCs w:val="44"/>
            </w:rPr>
            <w:t>019年部门</w:t>
          </w:r>
          <w:r>
            <w:rPr>
              <w:rFonts w:hint="eastAsia" w:ascii="方正小标宋简体" w:hAnsi="宋体" w:eastAsia="方正小标宋简体"/>
              <w:b/>
              <w:kern w:val="0"/>
              <w:szCs w:val="44"/>
              <w:lang w:val="zh-CN"/>
            </w:rPr>
            <w:t>整体支出绩效评价报告</w:t>
          </w:r>
          <w:r>
            <w:rPr>
              <w:b/>
            </w:rPr>
            <w:tab/>
          </w:r>
          <w:r>
            <w:rPr>
              <w:rFonts w:hint="eastAsia"/>
              <w:b/>
              <w:lang w:val="en-US" w:eastAsia="zh-CN"/>
            </w:rPr>
            <w:t>1</w:t>
          </w:r>
          <w:r>
            <w:rPr>
              <w:rFonts w:ascii="仿宋" w:hAnsi="仿宋" w:eastAsia="仿宋"/>
              <w:b/>
              <w:bCs/>
              <w:kern w:val="44"/>
            </w:rPr>
            <w:fldChar w:fldCharType="end"/>
          </w:r>
          <w:r>
            <w:rPr>
              <w:rFonts w:hint="eastAsia" w:ascii="仿宋" w:hAnsi="仿宋" w:eastAsia="仿宋"/>
              <w:b/>
              <w:bCs/>
              <w:kern w:val="44"/>
              <w:lang w:val="en-US" w:eastAsia="zh-CN"/>
            </w:rPr>
            <w:t>78</w:t>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_Toc12737 </w:instrText>
          </w:r>
          <w:r>
            <w:rPr>
              <w:rFonts w:ascii="仿宋" w:hAnsi="仿宋" w:eastAsia="仿宋"/>
              <w:bCs/>
              <w:kern w:val="44"/>
            </w:rPr>
            <w:fldChar w:fldCharType="separate"/>
          </w:r>
          <w:r>
            <w:rPr>
              <w:rFonts w:hint="eastAsia" w:ascii="黑体" w:hAnsi="宋体" w:eastAsia="黑体" w:cs="宋体"/>
              <w:kern w:val="0"/>
              <w:szCs w:val="32"/>
              <w:shd w:val="clear" w:color="auto" w:fill="FFFFFF"/>
            </w:rPr>
            <w:t>一、</w:t>
          </w:r>
          <w:r>
            <w:rPr>
              <w:rFonts w:hint="eastAsia" w:ascii="黑体" w:hAnsi="宋体" w:eastAsia="黑体" w:cs="宋体"/>
              <w:kern w:val="0"/>
              <w:szCs w:val="32"/>
              <w:shd w:val="clear" w:color="auto" w:fill="FFFFFF"/>
              <w:lang w:val="zh-CN"/>
            </w:rPr>
            <w:t>部门（单位）概况</w:t>
          </w:r>
          <w:r>
            <w:tab/>
          </w:r>
          <w:r>
            <w:fldChar w:fldCharType="begin"/>
          </w:r>
          <w:r>
            <w:instrText xml:space="preserve"> PAGEREF _Toc12737 </w:instrText>
          </w:r>
          <w:r>
            <w:fldChar w:fldCharType="separate"/>
          </w:r>
          <w:r>
            <w:t>18</w:t>
          </w:r>
          <w:r>
            <w:fldChar w:fldCharType="end"/>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_Toc1451 </w:instrText>
          </w:r>
          <w:r>
            <w:rPr>
              <w:rFonts w:ascii="仿宋" w:hAnsi="仿宋" w:eastAsia="仿宋"/>
              <w:bCs/>
              <w:kern w:val="44"/>
            </w:rPr>
            <w:fldChar w:fldCharType="separate"/>
          </w:r>
          <w:r>
            <w:rPr>
              <w:rFonts w:hint="eastAsia" w:ascii="黑体" w:hAnsi="宋体" w:eastAsia="黑体" w:cs="宋体"/>
              <w:kern w:val="0"/>
              <w:szCs w:val="32"/>
              <w:shd w:val="clear" w:color="auto" w:fill="FFFFFF"/>
            </w:rPr>
            <w:t>二、部门财政资金收支情况</w:t>
          </w:r>
          <w:r>
            <w:tab/>
          </w:r>
          <w:r>
            <w:fldChar w:fldCharType="begin"/>
          </w:r>
          <w:r>
            <w:instrText xml:space="preserve"> PAGEREF _Toc1451 </w:instrText>
          </w:r>
          <w:r>
            <w:fldChar w:fldCharType="separate"/>
          </w:r>
          <w:r>
            <w:t>19</w:t>
          </w:r>
          <w:r>
            <w:fldChar w:fldCharType="end"/>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_Toc7206 </w:instrText>
          </w:r>
          <w:r>
            <w:rPr>
              <w:rFonts w:ascii="仿宋" w:hAnsi="仿宋" w:eastAsia="仿宋"/>
              <w:bCs/>
              <w:kern w:val="44"/>
            </w:rPr>
            <w:fldChar w:fldCharType="separate"/>
          </w:r>
          <w:r>
            <w:rPr>
              <w:rFonts w:hint="eastAsia" w:ascii="黑体" w:hAnsi="宋体" w:eastAsia="黑体" w:cs="宋体"/>
              <w:kern w:val="0"/>
              <w:szCs w:val="32"/>
              <w:shd w:val="clear" w:color="auto" w:fill="FFFFFF"/>
              <w:lang w:val="en-US" w:eastAsia="zh-CN"/>
            </w:rPr>
            <w:t>三、</w:t>
          </w:r>
          <w:r>
            <w:rPr>
              <w:rFonts w:hint="eastAsia" w:ascii="黑体" w:hAnsi="宋体" w:eastAsia="黑体" w:cs="宋体"/>
              <w:kern w:val="0"/>
              <w:szCs w:val="32"/>
              <w:shd w:val="clear" w:color="auto" w:fill="FFFFFF"/>
            </w:rPr>
            <w:t>部门整体预算绩效管理情况</w:t>
          </w:r>
          <w:r>
            <w:tab/>
          </w:r>
          <w:r>
            <w:fldChar w:fldCharType="begin"/>
          </w:r>
          <w:r>
            <w:instrText xml:space="preserve"> PAGEREF _Toc7206 </w:instrText>
          </w:r>
          <w:r>
            <w:fldChar w:fldCharType="separate"/>
          </w:r>
          <w:r>
            <w:t>19</w:t>
          </w:r>
          <w:r>
            <w:fldChar w:fldCharType="end"/>
          </w:r>
          <w:r>
            <w:rPr>
              <w:rFonts w:ascii="仿宋" w:hAnsi="仿宋" w:eastAsia="仿宋"/>
              <w:bCs/>
              <w:kern w:val="44"/>
            </w:rPr>
            <w:fldChar w:fldCharType="end"/>
          </w:r>
        </w:p>
        <w:p>
          <w:pPr>
            <w:pStyle w:val="32"/>
            <w:tabs>
              <w:tab w:val="right" w:leader="dot" w:pos="8306"/>
            </w:tabs>
            <w:rPr>
              <w:b/>
            </w:rPr>
          </w:pPr>
          <w:r>
            <w:rPr>
              <w:rFonts w:ascii="仿宋" w:hAnsi="仿宋" w:eastAsia="仿宋"/>
              <w:b/>
              <w:bCs/>
              <w:kern w:val="44"/>
            </w:rPr>
            <w:fldChar w:fldCharType="begin"/>
          </w:r>
          <w:r>
            <w:rPr>
              <w:rFonts w:ascii="仿宋" w:hAnsi="仿宋" w:eastAsia="仿宋"/>
              <w:b/>
              <w:bCs/>
              <w:kern w:val="44"/>
            </w:rPr>
            <w:instrText xml:space="preserve"> HYPERLINK \l _Toc20604 </w:instrText>
          </w:r>
          <w:r>
            <w:rPr>
              <w:rFonts w:ascii="仿宋" w:hAnsi="仿宋" w:eastAsia="仿宋"/>
              <w:b/>
              <w:bCs/>
              <w:kern w:val="44"/>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_Toc20604 </w:instrText>
          </w:r>
          <w:r>
            <w:rPr>
              <w:b/>
            </w:rPr>
            <w:fldChar w:fldCharType="separate"/>
          </w:r>
          <w:r>
            <w:rPr>
              <w:b/>
            </w:rPr>
            <w:t>23</w:t>
          </w:r>
          <w:r>
            <w:rPr>
              <w:b/>
            </w:rPr>
            <w:fldChar w:fldCharType="end"/>
          </w:r>
          <w:r>
            <w:rPr>
              <w:rFonts w:ascii="仿宋" w:hAnsi="仿宋" w:eastAsia="仿宋"/>
              <w:b/>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_Toc218 </w:instrText>
          </w:r>
          <w:r>
            <w:rPr>
              <w:rFonts w:ascii="仿宋" w:hAnsi="仿宋" w:eastAsia="仿宋"/>
              <w:bCs/>
              <w:kern w:val="44"/>
            </w:rPr>
            <w:fldChar w:fldCharType="separate"/>
          </w:r>
          <w:r>
            <w:rPr>
              <w:rFonts w:hint="eastAsia" w:ascii="仿宋" w:hAnsi="仿宋" w:eastAsia="仿宋"/>
            </w:rPr>
            <w:t>一、收</w:t>
          </w:r>
          <w:r>
            <w:rPr>
              <w:rFonts w:hint="eastAsia" w:ascii="仿宋" w:hAnsi="仿宋" w:eastAsia="仿宋"/>
              <w:bCs w:val="0"/>
            </w:rPr>
            <w:t>入支出决算总表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_Toc10641 </w:instrText>
          </w:r>
          <w:r>
            <w:rPr>
              <w:rFonts w:ascii="仿宋" w:hAnsi="仿宋" w:eastAsia="仿宋"/>
              <w:bCs/>
              <w:kern w:val="44"/>
            </w:rPr>
            <w:fldChar w:fldCharType="separate"/>
          </w:r>
          <w:r>
            <w:rPr>
              <w:rFonts w:hint="eastAsia" w:ascii="仿宋" w:hAnsi="仿宋" w:eastAsia="仿宋"/>
            </w:rPr>
            <w:t>二、收</w:t>
          </w:r>
          <w:r>
            <w:rPr>
              <w:rFonts w:hint="eastAsia" w:ascii="仿宋" w:hAnsi="仿宋" w:eastAsia="仿宋"/>
              <w:bCs w:val="0"/>
            </w:rPr>
            <w:t>入决算表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_Toc23592 </w:instrText>
          </w:r>
          <w:r>
            <w:rPr>
              <w:rFonts w:ascii="仿宋" w:hAnsi="仿宋" w:eastAsia="仿宋"/>
              <w:bCs/>
              <w:kern w:val="44"/>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_Toc28570 </w:instrText>
          </w:r>
          <w:r>
            <w:rPr>
              <w:rFonts w:ascii="仿宋" w:hAnsi="仿宋" w:eastAsia="仿宋"/>
              <w:bCs/>
              <w:kern w:val="44"/>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_Toc24400 </w:instrText>
          </w:r>
          <w:r>
            <w:rPr>
              <w:rFonts w:ascii="仿宋" w:hAnsi="仿宋" w:eastAsia="仿宋"/>
              <w:bCs/>
              <w:kern w:val="44"/>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_Toc20224 </w:instrText>
          </w:r>
          <w:r>
            <w:rPr>
              <w:rFonts w:ascii="仿宋" w:hAnsi="仿宋" w:eastAsia="仿宋"/>
              <w:bCs/>
              <w:kern w:val="44"/>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_Toc19630 </w:instrText>
          </w:r>
          <w:r>
            <w:rPr>
              <w:rFonts w:ascii="仿宋" w:hAnsi="仿宋" w:eastAsia="仿宋"/>
              <w:bCs/>
              <w:kern w:val="44"/>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_Toc4568 </w:instrText>
          </w:r>
          <w:r>
            <w:rPr>
              <w:rFonts w:ascii="仿宋" w:hAnsi="仿宋" w:eastAsia="仿宋"/>
              <w:bCs/>
              <w:kern w:val="44"/>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_Toc23147 </w:instrText>
          </w:r>
          <w:r>
            <w:rPr>
              <w:rFonts w:ascii="仿宋" w:hAnsi="仿宋" w:eastAsia="仿宋"/>
              <w:bCs/>
              <w:kern w:val="44"/>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_Toc110 </w:instrText>
          </w:r>
          <w:r>
            <w:rPr>
              <w:rFonts w:ascii="仿宋" w:hAnsi="仿宋" w:eastAsia="仿宋"/>
              <w:bCs/>
              <w:kern w:val="44"/>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_Toc30561 </w:instrText>
          </w:r>
          <w:r>
            <w:rPr>
              <w:rFonts w:ascii="仿宋" w:hAnsi="仿宋" w:eastAsia="仿宋"/>
              <w:bCs/>
              <w:kern w:val="44"/>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_Toc24325 </w:instrText>
          </w:r>
          <w:r>
            <w:rPr>
              <w:rFonts w:ascii="仿宋" w:hAnsi="仿宋" w:eastAsia="仿宋"/>
              <w:bCs/>
              <w:kern w:val="44"/>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rPr>
              <w:rFonts w:ascii="仿宋" w:hAnsi="仿宋" w:eastAsia="仿宋"/>
              <w:bCs/>
              <w:kern w:val="44"/>
            </w:rPr>
            <w:fldChar w:fldCharType="end"/>
          </w:r>
        </w:p>
        <w:p>
          <w:pPr>
            <w:pStyle w:val="33"/>
            <w:tabs>
              <w:tab w:val="right" w:leader="dot" w:pos="8306"/>
            </w:tabs>
          </w:pPr>
          <w:r>
            <w:rPr>
              <w:rFonts w:ascii="仿宋" w:hAnsi="仿宋" w:eastAsia="仿宋"/>
              <w:bCs/>
              <w:kern w:val="44"/>
            </w:rPr>
            <w:fldChar w:fldCharType="begin"/>
          </w:r>
          <w:r>
            <w:rPr>
              <w:rFonts w:ascii="仿宋" w:hAnsi="仿宋" w:eastAsia="仿宋"/>
              <w:bCs/>
              <w:kern w:val="44"/>
            </w:rPr>
            <w:instrText xml:space="preserve"> HYPERLINK \l _Toc27727 </w:instrText>
          </w:r>
          <w:r>
            <w:rPr>
              <w:rFonts w:ascii="仿宋" w:hAnsi="仿宋" w:eastAsia="仿宋"/>
              <w:bCs/>
              <w:kern w:val="44"/>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rPr>
              <w:rFonts w:ascii="仿宋" w:hAnsi="仿宋" w:eastAsia="仿宋"/>
              <w:bCs/>
              <w:kern w:val="44"/>
            </w:rPr>
            <w:fldChar w:fldCharType="end"/>
          </w:r>
        </w:p>
        <w:p>
          <w:pPr>
            <w:widowControl/>
            <w:adjustRightInd w:val="0"/>
            <w:snapToGrid w:val="0"/>
            <w:spacing w:line="440" w:lineRule="exact"/>
            <w:ind w:firstLine="1160" w:firstLineChars="550"/>
            <w:jc w:val="left"/>
            <w:rPr>
              <w:rFonts w:ascii="仿宋" w:hAnsi="仿宋" w:eastAsia="仿宋"/>
              <w:bCs/>
              <w:kern w:val="44"/>
              <w:sz w:val="24"/>
            </w:rPr>
          </w:pPr>
          <w:r>
            <w:rPr>
              <w:rFonts w:ascii="仿宋" w:hAnsi="仿宋" w:eastAsia="仿宋"/>
              <w:b/>
              <w:bCs/>
              <w:kern w:val="44"/>
            </w:rPr>
            <w:fldChar w:fldCharType="end"/>
          </w:r>
        </w:p>
      </w:sdtContent>
    </w:sdt>
    <w:p>
      <w:pPr>
        <w:pStyle w:val="2"/>
        <w:rPr>
          <w:rFonts w:ascii="仿宋" w:hAnsi="仿宋" w:eastAsia="仿宋"/>
          <w:bCs/>
          <w:kern w:val="44"/>
          <w:sz w:val="24"/>
        </w:rPr>
      </w:pPr>
    </w:p>
    <w:p/>
    <w:p>
      <w:pPr>
        <w:pStyle w:val="3"/>
        <w:numPr>
          <w:ilvl w:val="0"/>
          <w:numId w:val="1"/>
        </w:numPr>
        <w:jc w:val="center"/>
        <w:rPr>
          <w:rStyle w:val="25"/>
          <w:rFonts w:hint="eastAsia" w:ascii="黑体" w:hAnsi="黑体" w:eastAsia="黑体"/>
          <w:b w:val="0"/>
          <w:bCs w:val="0"/>
        </w:rPr>
      </w:pPr>
      <w:bookmarkStart w:id="18" w:name="_Toc10060"/>
      <w:r>
        <w:rPr>
          <w:rStyle w:val="25"/>
          <w:rFonts w:hint="eastAsia" w:ascii="黑体" w:hAnsi="黑体" w:eastAsia="黑体"/>
          <w:b w:val="0"/>
          <w:bCs w:val="0"/>
        </w:rPr>
        <w:t>部门概况</w:t>
      </w:r>
      <w:bookmarkEnd w:id="16"/>
      <w:bookmarkEnd w:id="17"/>
      <w:bookmarkEnd w:id="18"/>
    </w:p>
    <w:p>
      <w:pPr>
        <w:numPr>
          <w:ilvl w:val="0"/>
          <w:numId w:val="0"/>
        </w:numPr>
      </w:pPr>
    </w:p>
    <w:p>
      <w:pPr>
        <w:pStyle w:val="4"/>
        <w:keepNext/>
        <w:keepLines/>
        <w:pageBreakBefore w:val="0"/>
        <w:widowControl w:val="0"/>
        <w:numPr>
          <w:ilvl w:val="0"/>
          <w:numId w:val="2"/>
        </w:numPr>
        <w:kinsoku/>
        <w:wordWrap/>
        <w:overflowPunct/>
        <w:topLinePunct w:val="0"/>
        <w:autoSpaceDE/>
        <w:autoSpaceDN/>
        <w:bidi w:val="0"/>
        <w:adjustRightInd/>
        <w:snapToGrid/>
        <w:spacing w:line="360" w:lineRule="auto"/>
        <w:textAlignment w:val="auto"/>
        <w:rPr>
          <w:rStyle w:val="26"/>
          <w:rFonts w:hint="eastAsia" w:ascii="黑体" w:hAnsi="黑体" w:eastAsia="黑体"/>
          <w:b w:val="0"/>
          <w:bCs w:val="0"/>
        </w:rPr>
      </w:pPr>
      <w:bookmarkStart w:id="19" w:name="_Toc8819"/>
      <w:bookmarkStart w:id="20" w:name="_Toc15396600"/>
      <w:bookmarkStart w:id="21" w:name="_Toc15377197"/>
      <w:r>
        <w:rPr>
          <w:rFonts w:hint="eastAsia" w:ascii="黑体" w:hAnsi="黑体" w:eastAsia="黑体"/>
          <w:b w:val="0"/>
          <w:color w:val="000000"/>
        </w:rPr>
        <w:t>基</w:t>
      </w:r>
      <w:r>
        <w:rPr>
          <w:rStyle w:val="26"/>
          <w:rFonts w:hint="eastAsia" w:ascii="黑体" w:hAnsi="黑体" w:eastAsia="黑体"/>
          <w:b w:val="0"/>
          <w:bCs w:val="0"/>
        </w:rPr>
        <w:t>本职能及主要工作</w:t>
      </w:r>
      <w:bookmarkEnd w:id="19"/>
      <w:bookmarkEnd w:id="20"/>
      <w:bookmarkEnd w:id="21"/>
      <w:bookmarkStart w:id="22" w:name="_Toc15377198"/>
      <w:bookmarkStart w:id="23" w:name="_Toc15378445"/>
    </w:p>
    <w:p>
      <w:pPr>
        <w:pStyle w:val="4"/>
        <w:keepNext/>
        <w:keepLines/>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b w:val="0"/>
          <w:bCs/>
          <w:color w:val="000000"/>
          <w:sz w:val="32"/>
          <w:szCs w:val="32"/>
        </w:rPr>
      </w:pPr>
      <w:bookmarkStart w:id="24" w:name="_Toc32042"/>
      <w:r>
        <w:rPr>
          <w:rFonts w:hint="eastAsia" w:ascii="仿宋" w:hAnsi="仿宋" w:eastAsia="仿宋"/>
          <w:b w:val="0"/>
          <w:bCs/>
          <w:color w:val="000000"/>
          <w:sz w:val="32"/>
          <w:szCs w:val="32"/>
        </w:rPr>
        <w:t>（一）主要职能。</w:t>
      </w:r>
      <w:bookmarkEnd w:id="22"/>
      <w:bookmarkEnd w:id="23"/>
      <w:bookmarkEnd w:id="24"/>
    </w:p>
    <w:p>
      <w:pPr>
        <w:pStyle w:val="6"/>
        <w:pageBreakBefore w:val="0"/>
        <w:widowControl w:val="0"/>
        <w:kinsoku/>
        <w:wordWrap/>
        <w:overflowPunct/>
        <w:topLinePunct w:val="0"/>
        <w:autoSpaceDE/>
        <w:autoSpaceDN/>
        <w:bidi w:val="0"/>
        <w:adjustRightInd w:val="0"/>
        <w:snapToGrid w:val="0"/>
        <w:spacing w:before="93" w:line="360" w:lineRule="auto"/>
        <w:ind w:firstLine="988" w:firstLineChars="309"/>
        <w:textAlignment w:val="auto"/>
        <w:rPr>
          <w:rFonts w:hint="eastAsia"/>
          <w:sz w:val="32"/>
          <w:szCs w:val="32"/>
          <w:lang w:val="en-US" w:eastAsia="zh-CN"/>
        </w:rPr>
      </w:pPr>
      <w:r>
        <w:rPr>
          <w:rFonts w:hint="eastAsia" w:ascii="楷体_GB2312" w:hAnsi="楷体_GB2312" w:eastAsia="楷体_GB2312" w:cs="楷体_GB2312"/>
          <w:b w:val="0"/>
          <w:bCs/>
          <w:sz w:val="32"/>
          <w:szCs w:val="32"/>
          <w:lang w:val="en-US" w:eastAsia="zh-CN"/>
        </w:rPr>
        <w:t>1.</w:t>
      </w:r>
      <w:r>
        <w:rPr>
          <w:rFonts w:hint="eastAsia"/>
          <w:sz w:val="32"/>
          <w:szCs w:val="32"/>
          <w:lang w:val="en-US" w:eastAsia="zh-CN"/>
        </w:rPr>
        <w:t>负责政协红原县委员会全体会议、常委会议、主席会议和其他主要会议的组织和会务工作，并组织实施“三个例会”的决议、决定。</w:t>
      </w:r>
    </w:p>
    <w:p>
      <w:pPr>
        <w:pStyle w:val="6"/>
        <w:pageBreakBefore w:val="0"/>
        <w:widowControl w:val="0"/>
        <w:kinsoku/>
        <w:wordWrap/>
        <w:overflowPunct/>
        <w:topLinePunct w:val="0"/>
        <w:autoSpaceDE/>
        <w:autoSpaceDN/>
        <w:bidi w:val="0"/>
        <w:adjustRightInd w:val="0"/>
        <w:snapToGrid w:val="0"/>
        <w:spacing w:before="93" w:line="360" w:lineRule="auto"/>
        <w:ind w:firstLine="988" w:firstLineChars="309"/>
        <w:textAlignment w:val="auto"/>
        <w:rPr>
          <w:rFonts w:hint="eastAsia"/>
          <w:sz w:val="32"/>
          <w:szCs w:val="32"/>
          <w:lang w:val="en-US" w:eastAsia="zh-CN"/>
        </w:rPr>
      </w:pPr>
      <w:r>
        <w:rPr>
          <w:rFonts w:hint="eastAsia"/>
          <w:sz w:val="32"/>
          <w:szCs w:val="32"/>
          <w:lang w:val="en-US" w:eastAsia="zh-CN"/>
        </w:rPr>
        <w:t>2.组织委员视察参观、调查、座谈等日常活动以及各专门委员会的其他工作的组织和服务工作，负责县政协举办各种重大活动的组织、宣传工作。</w:t>
      </w:r>
    </w:p>
    <w:p>
      <w:pPr>
        <w:pStyle w:val="6"/>
        <w:pageBreakBefore w:val="0"/>
        <w:kinsoku/>
        <w:wordWrap/>
        <w:overflowPunct/>
        <w:topLinePunct w:val="0"/>
        <w:bidi w:val="0"/>
        <w:adjustRightInd w:val="0"/>
        <w:snapToGrid w:val="0"/>
        <w:spacing w:before="93" w:line="360" w:lineRule="auto"/>
        <w:ind w:firstLine="988" w:firstLineChars="309"/>
        <w:textAlignment w:val="auto"/>
        <w:rPr>
          <w:rFonts w:hint="eastAsia"/>
          <w:sz w:val="32"/>
          <w:szCs w:val="32"/>
          <w:lang w:val="en-US" w:eastAsia="zh-CN"/>
        </w:rPr>
      </w:pPr>
      <w:r>
        <w:rPr>
          <w:rFonts w:hint="eastAsia"/>
          <w:sz w:val="32"/>
          <w:szCs w:val="32"/>
          <w:lang w:val="en-US" w:eastAsia="zh-CN"/>
        </w:rPr>
        <w:t>3.研究统一战线和人民政协的理论、政策，调查研究和了解有关我县各项事业及群众生活的重要问题提出解决办法，供党政机关参考。</w:t>
      </w:r>
    </w:p>
    <w:p>
      <w:pPr>
        <w:pStyle w:val="6"/>
        <w:pageBreakBefore w:val="0"/>
        <w:kinsoku/>
        <w:wordWrap/>
        <w:overflowPunct/>
        <w:topLinePunct w:val="0"/>
        <w:bidi w:val="0"/>
        <w:adjustRightInd w:val="0"/>
        <w:snapToGrid w:val="0"/>
        <w:spacing w:before="93" w:line="360" w:lineRule="auto"/>
        <w:ind w:firstLine="988" w:firstLineChars="309"/>
        <w:textAlignment w:val="auto"/>
        <w:rPr>
          <w:rFonts w:hint="eastAsia"/>
          <w:sz w:val="32"/>
          <w:szCs w:val="32"/>
          <w:lang w:val="en-US" w:eastAsia="zh-CN"/>
        </w:rPr>
      </w:pPr>
      <w:r>
        <w:rPr>
          <w:rFonts w:hint="eastAsia"/>
          <w:sz w:val="32"/>
          <w:szCs w:val="32"/>
          <w:lang w:val="en-US" w:eastAsia="zh-CN"/>
        </w:rPr>
        <w:t>4.密切与县委、县人大、县政府有关部门的联系，搞好协调工作，做好上情下达、下情上报工作。</w:t>
      </w:r>
    </w:p>
    <w:p>
      <w:pPr>
        <w:pStyle w:val="6"/>
        <w:pageBreakBefore w:val="0"/>
        <w:kinsoku/>
        <w:wordWrap/>
        <w:overflowPunct/>
        <w:topLinePunct w:val="0"/>
        <w:bidi w:val="0"/>
        <w:adjustRightInd w:val="0"/>
        <w:snapToGrid w:val="0"/>
        <w:spacing w:before="93" w:line="360" w:lineRule="auto"/>
        <w:ind w:firstLine="988" w:firstLineChars="309"/>
        <w:textAlignment w:val="auto"/>
        <w:rPr>
          <w:rFonts w:hint="eastAsia"/>
          <w:sz w:val="32"/>
          <w:szCs w:val="32"/>
          <w:lang w:val="en-US" w:eastAsia="zh-CN"/>
        </w:rPr>
      </w:pPr>
      <w:r>
        <w:rPr>
          <w:rFonts w:hint="eastAsia"/>
          <w:sz w:val="32"/>
          <w:szCs w:val="32"/>
          <w:lang w:val="en-US" w:eastAsia="zh-CN"/>
        </w:rPr>
        <w:t>5.负责政协工作的内外宣传、收集、反映各族各界人士的意见、建议。</w:t>
      </w:r>
    </w:p>
    <w:p>
      <w:pPr>
        <w:pStyle w:val="6"/>
        <w:pageBreakBefore w:val="0"/>
        <w:kinsoku/>
        <w:wordWrap/>
        <w:overflowPunct/>
        <w:topLinePunct w:val="0"/>
        <w:bidi w:val="0"/>
        <w:adjustRightInd w:val="0"/>
        <w:snapToGrid w:val="0"/>
        <w:spacing w:before="93" w:line="360" w:lineRule="auto"/>
        <w:ind w:firstLine="988" w:firstLineChars="309"/>
        <w:textAlignment w:val="auto"/>
        <w:rPr>
          <w:rFonts w:hint="eastAsia"/>
          <w:sz w:val="32"/>
          <w:szCs w:val="32"/>
          <w:lang w:val="en-US" w:eastAsia="zh-CN"/>
        </w:rPr>
      </w:pPr>
      <w:r>
        <w:rPr>
          <w:rFonts w:hint="eastAsia"/>
          <w:sz w:val="32"/>
          <w:szCs w:val="32"/>
          <w:lang w:val="en-US" w:eastAsia="zh-CN"/>
        </w:rPr>
        <w:t>6.负责管理政协委员会机关行政、文秘、档案、信访、保密等工作。</w:t>
      </w:r>
    </w:p>
    <w:p>
      <w:pPr>
        <w:pStyle w:val="6"/>
        <w:pageBreakBefore w:val="0"/>
        <w:kinsoku/>
        <w:wordWrap/>
        <w:overflowPunct/>
        <w:topLinePunct w:val="0"/>
        <w:bidi w:val="0"/>
        <w:adjustRightInd w:val="0"/>
        <w:snapToGrid w:val="0"/>
        <w:spacing w:before="93" w:line="360" w:lineRule="auto"/>
        <w:ind w:firstLine="988" w:firstLineChars="309"/>
        <w:textAlignment w:val="auto"/>
        <w:rPr>
          <w:rFonts w:hint="default"/>
          <w:sz w:val="32"/>
          <w:szCs w:val="32"/>
          <w:lang w:val="en-US" w:eastAsia="zh-CN"/>
        </w:rPr>
      </w:pPr>
      <w:r>
        <w:rPr>
          <w:rFonts w:hint="eastAsia"/>
          <w:sz w:val="32"/>
          <w:szCs w:val="32"/>
          <w:lang w:val="en-US" w:eastAsia="zh-CN"/>
        </w:rPr>
        <w:t>7.承担县政协主席、副主席和州政协交办的其他工作。</w:t>
      </w:r>
    </w:p>
    <w:p>
      <w:pPr>
        <w:pStyle w:val="6"/>
        <w:pageBreakBefore w:val="0"/>
        <w:kinsoku/>
        <w:wordWrap/>
        <w:overflowPunct/>
        <w:topLinePunct w:val="0"/>
        <w:bidi w:val="0"/>
        <w:adjustRightInd w:val="0"/>
        <w:snapToGrid w:val="0"/>
        <w:spacing w:before="93" w:line="360" w:lineRule="auto"/>
        <w:ind w:firstLine="672" w:firstLineChars="210"/>
        <w:textAlignment w:val="auto"/>
        <w:outlineLvl w:val="2"/>
        <w:rPr>
          <w:rFonts w:hint="eastAsia" w:ascii="仿宋" w:hAnsi="仿宋" w:eastAsia="仿宋"/>
          <w:bCs/>
          <w:color w:val="000000"/>
          <w:sz w:val="32"/>
          <w:szCs w:val="32"/>
        </w:rPr>
      </w:pPr>
      <w:bookmarkStart w:id="25" w:name="_Toc15378446"/>
      <w:bookmarkStart w:id="26"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5"/>
      <w:bookmarkEnd w:id="26"/>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1.在县委领导下，县委、县政府、县政协共同制定</w:t>
      </w:r>
      <w:r>
        <w:rPr>
          <w:rFonts w:ascii="仿宋_GB2312" w:hAnsi="仿宋" w:eastAsia="仿宋_GB2312"/>
          <w:sz w:val="32"/>
          <w:szCs w:val="32"/>
        </w:rPr>
        <w:t>年度协商计划</w:t>
      </w:r>
      <w:r>
        <w:rPr>
          <w:rFonts w:hint="eastAsia" w:ascii="仿宋_GB2312" w:hAnsi="仿宋" w:eastAsia="仿宋_GB2312"/>
          <w:sz w:val="32"/>
          <w:szCs w:val="32"/>
          <w:lang w:eastAsia="zh-CN"/>
        </w:rPr>
        <w:t>，政协按计划开展履职活动。</w:t>
      </w:r>
      <w:r>
        <w:rPr>
          <w:rFonts w:hint="eastAsia" w:ascii="仿宋_GB2312" w:hAnsi="仿宋_GB2312" w:eastAsia="仿宋_GB2312" w:cs="仿宋_GB2312"/>
          <w:color w:val="000000"/>
          <w:sz w:val="32"/>
          <w:szCs w:val="32"/>
          <w:lang w:val="en-US" w:eastAsia="zh-CN"/>
        </w:rPr>
        <w:t>组织</w:t>
      </w:r>
      <w:r>
        <w:rPr>
          <w:rFonts w:hint="eastAsia" w:ascii="仿宋_GB2312" w:hAnsi="仿宋_GB2312" w:eastAsia="仿宋_GB2312" w:cs="仿宋_GB2312"/>
          <w:color w:val="000000"/>
          <w:spacing w:val="0"/>
          <w:sz w:val="32"/>
          <w:szCs w:val="32"/>
          <w:lang w:eastAsia="zh-CN"/>
        </w:rPr>
        <w:t>开展了</w:t>
      </w:r>
      <w:r>
        <w:rPr>
          <w:rFonts w:hint="eastAsia" w:eastAsia="仿宋" w:cs="Times New Roman"/>
          <w:color w:val="000000"/>
          <w:spacing w:val="0"/>
          <w:sz w:val="32"/>
          <w:szCs w:val="32"/>
          <w:lang w:val="en-US" w:eastAsia="zh-CN"/>
        </w:rPr>
        <w:t>11</w:t>
      </w:r>
      <w:r>
        <w:rPr>
          <w:rFonts w:hint="eastAsia" w:ascii="仿宋_GB2312" w:hAnsi="仿宋_GB2312" w:eastAsia="仿宋_GB2312" w:cs="仿宋_GB2312"/>
          <w:color w:val="000000"/>
          <w:spacing w:val="0"/>
          <w:sz w:val="32"/>
          <w:szCs w:val="32"/>
          <w:lang w:eastAsia="zh-CN"/>
        </w:rPr>
        <w:t>项重大协商议题，</w:t>
      </w:r>
      <w:r>
        <w:rPr>
          <w:rFonts w:hint="eastAsia" w:ascii="仿宋_GB2312" w:hAnsi="仿宋_GB2312" w:eastAsia="仿宋_GB2312" w:cs="仿宋_GB2312"/>
          <w:b w:val="0"/>
          <w:bCs w:val="0"/>
          <w:color w:val="000000"/>
          <w:sz w:val="32"/>
          <w:szCs w:val="32"/>
          <w:lang w:val="en-US" w:eastAsia="zh-CN"/>
        </w:rPr>
        <w:t>召开了两次全会、6次常委协商议政会、5次对口协商会、4次界别协商会，</w:t>
      </w:r>
      <w:r>
        <w:rPr>
          <w:rFonts w:hint="eastAsia" w:ascii="仿宋_GB2312" w:hAnsi="仿宋_GB2312" w:eastAsia="仿宋_GB2312" w:cs="仿宋_GB2312"/>
          <w:color w:val="000000"/>
          <w:kern w:val="0"/>
          <w:sz w:val="32"/>
          <w:szCs w:val="32"/>
          <w:shd w:val="clear" w:color="auto" w:fill="FFFFFF"/>
          <w:lang w:val="en-US" w:eastAsia="zh-CN" w:bidi="ar"/>
        </w:rPr>
        <w:t>对县委重要会议精神和各项决策部署第一时间传达贯彻，通过党组会议、主席会议、常委会议等研究落实意见，转化为县政协常委会履职的实际行动。</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default" w:ascii="仿宋_GB2312" w:hAnsi="仿宋_GB2312" w:eastAsia="仿宋_GB2312" w:cs="仿宋_GB2312"/>
          <w:color w:val="FF0000"/>
          <w:spacing w:val="0"/>
          <w:sz w:val="32"/>
          <w:szCs w:val="32"/>
          <w:lang w:val="en-US" w:eastAsia="zh-CN"/>
        </w:rPr>
      </w:pPr>
      <w:r>
        <w:rPr>
          <w:rFonts w:hint="eastAsia" w:ascii="仿宋_GB2312" w:hAnsi="仿宋_GB2312" w:eastAsia="仿宋_GB2312" w:cs="仿宋_GB2312"/>
          <w:color w:val="000000"/>
          <w:spacing w:val="0"/>
          <w:sz w:val="32"/>
          <w:szCs w:val="32"/>
          <w:lang w:val="en-US" w:eastAsia="zh-CN"/>
        </w:rPr>
        <w:t>2.紧扣全县经济社会发展的重点难点，特别是事关民生事业发展的热点、焦点、痛点问题选定调研课题，党组、主席会成员带头，各专委会结合职能，组织深入开展调查研究，开展了农村道路建设状况调研，形成《关于乡村道路提升改造和维修养护的调研报告》，围绕乡村振兴、食品安全、牧区教育、人畜安全饮水等课题开展调研，共形成了9篇有参考价值的调研报告。</w:t>
      </w:r>
    </w:p>
    <w:p>
      <w:pPr>
        <w:pStyle w:val="2"/>
        <w:keepNext w:val="0"/>
        <w:keepLines w:val="0"/>
        <w:pageBreakBefore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3.</w:t>
      </w:r>
      <w:r>
        <w:rPr>
          <w:rFonts w:hint="eastAsia" w:ascii="Times New Roman" w:hAnsi="Times New Roman" w:eastAsia="仿宋_GB2312" w:cs="Times New Roman"/>
          <w:color w:val="000000"/>
          <w:kern w:val="2"/>
          <w:sz w:val="32"/>
          <w:szCs w:val="32"/>
          <w:lang w:val="en-US" w:eastAsia="zh-CN" w:bidi="ar-SA"/>
        </w:rPr>
        <w:t>坚持把提案工作作为一项全局性工作来部署和推进，主席会成员领衔督办</w:t>
      </w:r>
      <w:r>
        <w:rPr>
          <w:rFonts w:hint="eastAsia" w:eastAsia="仿宋_GB2312" w:cs="Times New Roman"/>
          <w:color w:val="000000"/>
          <w:kern w:val="2"/>
          <w:sz w:val="32"/>
          <w:szCs w:val="32"/>
          <w:lang w:val="en-US" w:eastAsia="zh-CN" w:bidi="ar-SA"/>
        </w:rPr>
        <w:t>“</w:t>
      </w:r>
      <w:r>
        <w:rPr>
          <w:rFonts w:hint="eastAsia" w:ascii="Times New Roman" w:hAnsi="Times New Roman" w:eastAsia="仿宋_GB2312" w:cs="Times New Roman"/>
          <w:color w:val="000000"/>
          <w:kern w:val="2"/>
          <w:sz w:val="32"/>
          <w:szCs w:val="32"/>
          <w:lang w:val="en-US" w:eastAsia="zh-CN" w:bidi="ar-SA"/>
        </w:rPr>
        <w:t>加大本地双语专业技术人才的培养力度、解决就业难的建议</w:t>
      </w:r>
      <w:r>
        <w:rPr>
          <w:rFonts w:hint="eastAsia" w:eastAsia="仿宋_GB2312" w:cs="Times New Roman"/>
          <w:color w:val="000000"/>
          <w:kern w:val="2"/>
          <w:sz w:val="32"/>
          <w:szCs w:val="32"/>
          <w:lang w:val="en-US" w:eastAsia="zh-CN" w:bidi="ar-SA"/>
        </w:rPr>
        <w:t>”</w:t>
      </w:r>
      <w:r>
        <w:rPr>
          <w:rFonts w:hint="eastAsia" w:ascii="Times New Roman" w:hAnsi="Times New Roman" w:eastAsia="仿宋_GB2312" w:cs="Times New Roman"/>
          <w:color w:val="000000"/>
          <w:kern w:val="2"/>
          <w:sz w:val="32"/>
          <w:szCs w:val="32"/>
          <w:lang w:val="en-US" w:eastAsia="zh-CN" w:bidi="ar-SA"/>
        </w:rPr>
        <w:t>等重点提案，参加现场视察和协商座谈会，在提案办理工作中起到了示范引领作用。编印</w:t>
      </w:r>
      <w:r>
        <w:rPr>
          <w:rFonts w:hint="eastAsia" w:eastAsia="仿宋_GB2312" w:cs="Times New Roman"/>
          <w:color w:val="000000"/>
          <w:kern w:val="2"/>
          <w:sz w:val="32"/>
          <w:szCs w:val="32"/>
          <w:lang w:val="en-US" w:eastAsia="zh-CN" w:bidi="ar-SA"/>
        </w:rPr>
        <w:t>了</w:t>
      </w:r>
      <w:r>
        <w:rPr>
          <w:rFonts w:hint="eastAsia" w:ascii="Times New Roman" w:hAnsi="Times New Roman" w:eastAsia="仿宋_GB2312" w:cs="Times New Roman"/>
          <w:color w:val="000000"/>
          <w:kern w:val="2"/>
          <w:sz w:val="32"/>
          <w:szCs w:val="32"/>
          <w:lang w:val="en-US" w:eastAsia="zh-CN" w:bidi="ar-SA"/>
        </w:rPr>
        <w:t>红原政协十二届三次会议</w:t>
      </w:r>
      <w:r>
        <w:rPr>
          <w:rFonts w:hint="eastAsia" w:eastAsia="仿宋_GB2312" w:cs="Times New Roman"/>
          <w:color w:val="000000"/>
          <w:kern w:val="2"/>
          <w:sz w:val="32"/>
          <w:szCs w:val="32"/>
          <w:lang w:val="en-US" w:eastAsia="zh-CN" w:bidi="ar-SA"/>
        </w:rPr>
        <w:t>以来</w:t>
      </w:r>
      <w:r>
        <w:rPr>
          <w:rFonts w:hint="eastAsia" w:ascii="Times New Roman" w:hAnsi="Times New Roman" w:eastAsia="仿宋_GB2312" w:cs="Times New Roman"/>
          <w:color w:val="000000"/>
          <w:kern w:val="2"/>
          <w:sz w:val="32"/>
          <w:szCs w:val="32"/>
          <w:lang w:val="en-US" w:eastAsia="zh-CN" w:bidi="ar-SA"/>
        </w:rPr>
        <w:t>《提案及办理答复情况汇编》藏汉双文版</w:t>
      </w:r>
      <w:r>
        <w:rPr>
          <w:rFonts w:hint="eastAsia" w:eastAsia="仿宋_GB2312" w:cs="Times New Roman"/>
          <w:color w:val="000000"/>
          <w:kern w:val="2"/>
          <w:sz w:val="32"/>
          <w:szCs w:val="32"/>
          <w:lang w:val="en-US" w:eastAsia="zh-CN" w:bidi="ar-SA"/>
        </w:rPr>
        <w:t>。</w:t>
      </w:r>
    </w:p>
    <w:p>
      <w:pPr>
        <w:pStyle w:val="2"/>
        <w:keepNext w:val="0"/>
        <w:keepLines w:val="0"/>
        <w:pageBreakBefore w:val="0"/>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bCs/>
          <w:color w:val="000000"/>
          <w:sz w:val="32"/>
          <w:szCs w:val="32"/>
        </w:rPr>
      </w:pPr>
      <w:r>
        <w:rPr>
          <w:rFonts w:hint="eastAsia" w:eastAsia="仿宋_GB2312" w:cs="Times New Roman"/>
          <w:color w:val="000000"/>
          <w:kern w:val="2"/>
          <w:sz w:val="32"/>
          <w:szCs w:val="32"/>
          <w:lang w:val="en-US" w:eastAsia="zh-CN" w:bidi="ar-SA"/>
        </w:rPr>
        <w:t>4.</w:t>
      </w:r>
      <w:r>
        <w:rPr>
          <w:rFonts w:hint="eastAsia" w:ascii="Times New Roman" w:hAnsi="Times New Roman" w:eastAsia="仿宋_GB2312" w:cs="Times New Roman"/>
          <w:color w:val="000000"/>
          <w:kern w:val="2"/>
          <w:sz w:val="32"/>
          <w:szCs w:val="32"/>
          <w:lang w:val="en-US" w:eastAsia="zh-CN" w:bidi="ar-SA"/>
        </w:rPr>
        <w:t>进一步加大文史资料的征集力度，编纂出版《红原史话》藏汉双文版，大力弘扬</w:t>
      </w:r>
      <w:r>
        <w:rPr>
          <w:rFonts w:hint="eastAsia" w:eastAsia="仿宋_GB2312" w:cs="Times New Roman"/>
          <w:color w:val="000000"/>
          <w:kern w:val="2"/>
          <w:sz w:val="32"/>
          <w:szCs w:val="32"/>
          <w:lang w:val="en-US" w:eastAsia="zh-CN" w:bidi="ar-SA"/>
        </w:rPr>
        <w:t>红原</w:t>
      </w:r>
      <w:r>
        <w:rPr>
          <w:rFonts w:hint="eastAsia" w:ascii="Times New Roman" w:hAnsi="Times New Roman" w:eastAsia="仿宋_GB2312" w:cs="Times New Roman"/>
          <w:color w:val="000000"/>
          <w:kern w:val="2"/>
          <w:sz w:val="32"/>
          <w:szCs w:val="32"/>
          <w:lang w:val="en-US" w:eastAsia="zh-CN" w:bidi="ar-SA"/>
        </w:rPr>
        <w:t>文化，提升红原文化影响力，切实做好教育人、引导人、团结人的工作。</w:t>
      </w:r>
    </w:p>
    <w:p>
      <w:pPr>
        <w:pStyle w:val="4"/>
        <w:pageBreakBefore w:val="0"/>
        <w:numPr>
          <w:ilvl w:val="0"/>
          <w:numId w:val="3"/>
        </w:numPr>
        <w:kinsoku/>
        <w:wordWrap/>
        <w:overflowPunct/>
        <w:topLinePunct w:val="0"/>
        <w:bidi w:val="0"/>
        <w:spacing w:line="360" w:lineRule="auto"/>
        <w:textAlignment w:val="auto"/>
        <w:rPr>
          <w:rStyle w:val="26"/>
          <w:rFonts w:hint="eastAsia" w:ascii="黑体" w:hAnsi="黑体" w:eastAsia="黑体"/>
          <w:b w:val="0"/>
          <w:bCs w:val="0"/>
        </w:rPr>
      </w:pPr>
      <w:bookmarkStart w:id="27" w:name="_Toc15377200"/>
      <w:bookmarkStart w:id="28" w:name="_Toc15396601"/>
      <w:bookmarkStart w:id="29" w:name="_Toc14506"/>
      <w:r>
        <w:rPr>
          <w:rFonts w:hint="eastAsia" w:ascii="黑体" w:hAnsi="黑体" w:eastAsia="黑体"/>
          <w:b w:val="0"/>
          <w:color w:val="000000"/>
        </w:rPr>
        <w:t>机</w:t>
      </w:r>
      <w:r>
        <w:rPr>
          <w:rStyle w:val="26"/>
          <w:rFonts w:hint="eastAsia" w:ascii="黑体" w:hAnsi="黑体" w:eastAsia="黑体"/>
          <w:b w:val="0"/>
          <w:bCs w:val="0"/>
        </w:rPr>
        <w:t>构设置</w:t>
      </w:r>
      <w:bookmarkEnd w:id="27"/>
      <w:bookmarkEnd w:id="28"/>
      <w:bookmarkEnd w:id="29"/>
    </w:p>
    <w:p>
      <w:pPr>
        <w:pageBreakBefore w:val="0"/>
        <w:widowControl/>
        <w:kinsoku/>
        <w:wordWrap/>
        <w:overflowPunct/>
        <w:topLinePunct w:val="0"/>
        <w:bidi w:val="0"/>
        <w:spacing w:line="360" w:lineRule="auto"/>
        <w:ind w:firstLine="640" w:firstLineChars="200"/>
        <w:jc w:val="left"/>
        <w:textAlignment w:val="auto"/>
        <w:rPr>
          <w:rFonts w:hint="default" w:ascii="仿宋" w:hAnsi="仿宋" w:eastAsia="仿宋"/>
          <w:color w:val="000000"/>
          <w:kern w:val="0"/>
          <w:sz w:val="32"/>
          <w:szCs w:val="32"/>
          <w:lang w:val="en-US" w:eastAsia="zh-CN"/>
        </w:rPr>
      </w:pPr>
      <w:r>
        <w:rPr>
          <w:rFonts w:hint="eastAsia" w:ascii="仿宋" w:hAnsi="仿宋" w:eastAsia="仿宋"/>
          <w:color w:val="000000"/>
          <w:kern w:val="0"/>
          <w:sz w:val="32"/>
          <w:szCs w:val="32"/>
          <w:lang w:val="en-US" w:eastAsia="zh-CN"/>
        </w:rPr>
        <w:t>是独立核算的机构，是独立编报预算的一级预算单位，无二级局。</w:t>
      </w:r>
    </w:p>
    <w:p>
      <w:pPr>
        <w:pStyle w:val="3"/>
        <w:pageBreakBefore w:val="0"/>
        <w:kinsoku/>
        <w:wordWrap/>
        <w:overflowPunct/>
        <w:topLinePunct w:val="0"/>
        <w:bidi w:val="0"/>
        <w:spacing w:line="360" w:lineRule="auto"/>
        <w:ind w:right="440" w:firstLine="440" w:firstLineChars="100"/>
        <w:jc w:val="both"/>
        <w:textAlignment w:val="auto"/>
      </w:pPr>
      <w:bookmarkStart w:id="30" w:name="_Toc15377204"/>
      <w:bookmarkStart w:id="31" w:name="_Toc15396602"/>
      <w:bookmarkStart w:id="32" w:name="_Toc21163"/>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30"/>
      <w:bookmarkEnd w:id="31"/>
      <w:bookmarkEnd w:id="32"/>
    </w:p>
    <w:p>
      <w:pPr>
        <w:pStyle w:val="24"/>
        <w:pageBreakBefore w:val="0"/>
        <w:numPr>
          <w:ilvl w:val="0"/>
          <w:numId w:val="4"/>
        </w:numPr>
        <w:kinsoku/>
        <w:wordWrap/>
        <w:overflowPunct/>
        <w:topLinePunct w:val="0"/>
        <w:bidi w:val="0"/>
        <w:spacing w:line="360" w:lineRule="auto"/>
        <w:ind w:firstLineChars="0"/>
        <w:textAlignment w:val="auto"/>
        <w:outlineLvl w:val="1"/>
        <w:rPr>
          <w:rStyle w:val="26"/>
          <w:rFonts w:ascii="黑体" w:hAnsi="黑体" w:eastAsia="黑体"/>
          <w:b w:val="0"/>
        </w:rPr>
      </w:pPr>
      <w:bookmarkStart w:id="33" w:name="_Toc15396603"/>
      <w:bookmarkStart w:id="34" w:name="_Toc20695"/>
      <w:bookmarkStart w:id="3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3"/>
      <w:bookmarkEnd w:id="34"/>
      <w:bookmarkEnd w:id="35"/>
    </w:p>
    <w:p>
      <w:pPr>
        <w:pageBreakBefore w:val="0"/>
        <w:kinsoku/>
        <w:wordWrap/>
        <w:overflowPunct/>
        <w:topLinePunct w:val="0"/>
        <w:bidi w:val="0"/>
        <w:spacing w:line="360" w:lineRule="auto"/>
        <w:ind w:firstLine="640" w:firstLineChars="200"/>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入总计563.95万元，与2018年相比，减少2.39万元，下降0.42%，主要变动原因是人员减少。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630.26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与2018年相比，</w:t>
      </w:r>
      <w:r>
        <w:rPr>
          <w:rFonts w:hint="eastAsia" w:ascii="仿宋" w:hAnsi="仿宋" w:eastAsia="仿宋"/>
          <w:color w:val="000000"/>
          <w:sz w:val="32"/>
          <w:szCs w:val="32"/>
          <w:lang w:val="en-US" w:eastAsia="zh-CN"/>
        </w:rPr>
        <w:t>增加12.64万元，增长2.05%，主要原因是增开了一次政协全会。</w:t>
      </w:r>
    </w:p>
    <w:p>
      <w:pPr>
        <w:pageBreakBefore w:val="0"/>
        <w:kinsoku/>
        <w:wordWrap/>
        <w:overflowPunct/>
        <w:topLinePunct w:val="0"/>
        <w:bidi w:val="0"/>
        <w:spacing w:line="360" w:lineRule="auto"/>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ageBreakBefore w:val="0"/>
        <w:kinsoku/>
        <w:wordWrap/>
        <w:overflowPunct/>
        <w:topLinePunct w:val="0"/>
        <w:bidi w:val="0"/>
        <w:spacing w:line="360" w:lineRule="auto"/>
        <w:textAlignment w:val="auto"/>
        <w:rPr>
          <w:rFonts w:hint="eastAsia"/>
        </w:rPr>
      </w:pPr>
    </w:p>
    <w:p>
      <w:pPr>
        <w:pStyle w:val="2"/>
        <w:pageBreakBefore w:val="0"/>
        <w:kinsoku/>
        <w:wordWrap/>
        <w:overflowPunct/>
        <w:topLinePunct w:val="0"/>
        <w:bidi w:val="0"/>
        <w:spacing w:line="360" w:lineRule="auto"/>
        <w:jc w:val="center"/>
        <w:textAlignment w:val="auto"/>
        <w:rPr>
          <w:rFonts w:ascii="仿宋_GB2312" w:eastAsia="仿宋_GB2312"/>
          <w:color w:val="000000"/>
          <w:sz w:val="32"/>
          <w:szCs w:val="32"/>
        </w:rPr>
      </w:pPr>
      <w:r>
        <w:rPr>
          <w:rFonts w:hint="eastAsia" w:eastAsia="仿宋"/>
          <w:lang w:eastAsia="zh-CN"/>
        </w:rPr>
        <w:drawing>
          <wp:inline distT="0" distB="0" distL="114300" distR="114300">
            <wp:extent cx="3213735" cy="2305685"/>
            <wp:effectExtent l="4445" t="4445" r="20320"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pageBreakBefore w:val="0"/>
        <w:numPr>
          <w:ilvl w:val="0"/>
          <w:numId w:val="4"/>
        </w:numPr>
        <w:kinsoku/>
        <w:wordWrap/>
        <w:overflowPunct/>
        <w:topLinePunct w:val="0"/>
        <w:bidi w:val="0"/>
        <w:spacing w:line="360" w:lineRule="auto"/>
        <w:ind w:firstLineChars="0"/>
        <w:textAlignment w:val="auto"/>
        <w:outlineLvl w:val="1"/>
        <w:rPr>
          <w:rStyle w:val="26"/>
          <w:rFonts w:ascii="黑体" w:hAnsi="黑体" w:eastAsia="黑体"/>
          <w:b w:val="0"/>
        </w:rPr>
      </w:pPr>
      <w:bookmarkStart w:id="36" w:name="_Toc7354"/>
      <w:bookmarkStart w:id="37" w:name="_Toc15377206"/>
      <w:bookmarkStart w:id="38"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36"/>
      <w:bookmarkEnd w:id="37"/>
      <w:bookmarkEnd w:id="38"/>
    </w:p>
    <w:p>
      <w:pPr>
        <w:pageBreakBefore w:val="0"/>
        <w:kinsoku/>
        <w:wordWrap/>
        <w:overflowPunct/>
        <w:topLinePunct w:val="0"/>
        <w:bidi w:val="0"/>
        <w:spacing w:line="360" w:lineRule="auto"/>
        <w:ind w:firstLine="640" w:firstLineChars="200"/>
        <w:textAlignment w:val="auto"/>
        <w:outlineLvl w:val="1"/>
        <w:rPr>
          <w:rFonts w:ascii="仿宋" w:hAnsi="仿宋" w:eastAsia="仿宋"/>
          <w:color w:val="000000"/>
          <w:sz w:val="32"/>
          <w:szCs w:val="32"/>
        </w:rPr>
      </w:pPr>
      <w:bookmarkStart w:id="39" w:name="_Toc27181"/>
      <w:bookmarkStart w:id="40" w:name="_Toc9485"/>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563.95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563.95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bookmarkEnd w:id="39"/>
      <w:bookmarkEnd w:id="40"/>
    </w:p>
    <w:p>
      <w:pPr>
        <w:pageBreakBefore w:val="0"/>
        <w:kinsoku/>
        <w:wordWrap/>
        <w:overflowPunct/>
        <w:topLinePunct w:val="0"/>
        <w:bidi w:val="0"/>
        <w:spacing w:line="360" w:lineRule="auto"/>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pStyle w:val="2"/>
        <w:pageBreakBefore w:val="0"/>
        <w:kinsoku/>
        <w:wordWrap/>
        <w:overflowPunct/>
        <w:topLinePunct w:val="0"/>
        <w:bidi w:val="0"/>
        <w:spacing w:line="360" w:lineRule="auto"/>
        <w:textAlignment w:val="auto"/>
        <w:rPr>
          <w:rFonts w:hint="eastAsia"/>
        </w:rPr>
      </w:pPr>
    </w:p>
    <w:p>
      <w:pPr>
        <w:pageBreakBefore w:val="0"/>
        <w:kinsoku/>
        <w:wordWrap/>
        <w:overflowPunct/>
        <w:topLinePunct w:val="0"/>
        <w:bidi w:val="0"/>
        <w:spacing w:line="360" w:lineRule="auto"/>
        <w:textAlignment w:val="auto"/>
        <w:rPr>
          <w:rFonts w:hint="eastAsia"/>
        </w:rPr>
      </w:pPr>
    </w:p>
    <w:p>
      <w:pPr>
        <w:pStyle w:val="2"/>
        <w:pageBreakBefore w:val="0"/>
        <w:kinsoku/>
        <w:wordWrap/>
        <w:overflowPunct/>
        <w:topLinePunct w:val="0"/>
        <w:bidi w:val="0"/>
        <w:spacing w:line="360" w:lineRule="auto"/>
        <w:jc w:val="center"/>
        <w:textAlignment w:val="auto"/>
        <w:rPr>
          <w:rFonts w:hint="eastAsia" w:eastAsia="仿宋"/>
          <w:lang w:eastAsia="zh-CN"/>
        </w:rPr>
      </w:pPr>
      <w:r>
        <w:rPr>
          <w:rFonts w:hint="eastAsia" w:eastAsia="仿宋"/>
          <w:lang w:eastAsia="zh-CN"/>
        </w:rPr>
        <w:drawing>
          <wp:inline distT="0" distB="0" distL="114300" distR="114300">
            <wp:extent cx="2891155" cy="1869440"/>
            <wp:effectExtent l="4445" t="4445" r="19050" b="1206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pacing w:line="360" w:lineRule="auto"/>
        <w:ind w:firstLine="640" w:firstLineChars="200"/>
        <w:textAlignment w:val="auto"/>
        <w:rPr>
          <w:rFonts w:ascii="仿宋_GB2312" w:eastAsia="仿宋_GB2312"/>
          <w:color w:val="FF0000"/>
          <w:sz w:val="32"/>
          <w:szCs w:val="32"/>
        </w:rPr>
      </w:pPr>
    </w:p>
    <w:p>
      <w:pPr>
        <w:pStyle w:val="24"/>
        <w:pageBreakBefore w:val="0"/>
        <w:numPr>
          <w:ilvl w:val="0"/>
          <w:numId w:val="4"/>
        </w:numPr>
        <w:kinsoku/>
        <w:wordWrap/>
        <w:overflowPunct/>
        <w:topLinePunct w:val="0"/>
        <w:bidi w:val="0"/>
        <w:spacing w:line="360" w:lineRule="auto"/>
        <w:ind w:firstLineChars="0"/>
        <w:textAlignment w:val="auto"/>
        <w:outlineLvl w:val="1"/>
        <w:rPr>
          <w:rStyle w:val="26"/>
          <w:rFonts w:ascii="黑体" w:hAnsi="黑体" w:eastAsia="黑体"/>
          <w:b w:val="0"/>
        </w:rPr>
      </w:pPr>
      <w:bookmarkStart w:id="41" w:name="_Toc15396605"/>
      <w:bookmarkStart w:id="42" w:name="_Toc15377207"/>
      <w:bookmarkStart w:id="43" w:name="_Toc19084"/>
      <w:r>
        <w:rPr>
          <w:rFonts w:hint="eastAsia" w:ascii="黑体" w:hAnsi="黑体" w:eastAsia="黑体"/>
          <w:color w:val="000000"/>
          <w:sz w:val="32"/>
          <w:szCs w:val="32"/>
        </w:rPr>
        <w:t>支</w:t>
      </w:r>
      <w:r>
        <w:rPr>
          <w:rStyle w:val="26"/>
          <w:rFonts w:hint="eastAsia" w:ascii="黑体" w:hAnsi="黑体" w:eastAsia="黑体"/>
          <w:b w:val="0"/>
        </w:rPr>
        <w:t>出决算情况说明</w:t>
      </w:r>
      <w:bookmarkEnd w:id="41"/>
      <w:bookmarkEnd w:id="42"/>
      <w:bookmarkEnd w:id="43"/>
    </w:p>
    <w:p>
      <w:pPr>
        <w:pageBreakBefore w:val="0"/>
        <w:kinsoku/>
        <w:wordWrap/>
        <w:overflowPunct/>
        <w:topLinePunct w:val="0"/>
        <w:bidi w:val="0"/>
        <w:spacing w:line="360" w:lineRule="auto"/>
        <w:ind w:firstLine="640" w:firstLineChars="200"/>
        <w:textAlignment w:val="auto"/>
        <w:outlineLvl w:val="1"/>
        <w:rPr>
          <w:rFonts w:hint="eastAsia" w:ascii="仿宋" w:hAnsi="仿宋" w:eastAsia="仿宋"/>
          <w:color w:val="000000"/>
          <w:sz w:val="32"/>
          <w:szCs w:val="32"/>
          <w:lang w:eastAsia="zh-CN"/>
        </w:rPr>
      </w:pPr>
      <w:bookmarkStart w:id="44" w:name="_Toc3398"/>
      <w:bookmarkStart w:id="45" w:name="_Toc22363"/>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630.26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547.16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86.81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83.10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13.19</w:t>
      </w:r>
      <w:r>
        <w:rPr>
          <w:rFonts w:ascii="仿宋" w:hAnsi="仿宋" w:eastAsia="仿宋"/>
          <w:color w:val="000000"/>
          <w:sz w:val="32"/>
          <w:szCs w:val="32"/>
        </w:rPr>
        <w:t>%</w:t>
      </w:r>
      <w:r>
        <w:rPr>
          <w:rFonts w:hint="eastAsia" w:ascii="仿宋" w:hAnsi="仿宋" w:eastAsia="仿宋"/>
          <w:color w:val="000000"/>
          <w:sz w:val="32"/>
          <w:szCs w:val="32"/>
          <w:lang w:eastAsia="zh-CN"/>
        </w:rPr>
        <w:t>。</w:t>
      </w:r>
      <w:bookmarkEnd w:id="44"/>
      <w:bookmarkEnd w:id="45"/>
    </w:p>
    <w:p>
      <w:pPr>
        <w:pageBreakBefore w:val="0"/>
        <w:kinsoku/>
        <w:wordWrap/>
        <w:overflowPunct/>
        <w:topLinePunct w:val="0"/>
        <w:bidi w:val="0"/>
        <w:spacing w:line="360" w:lineRule="auto"/>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pStyle w:val="2"/>
        <w:pageBreakBefore w:val="0"/>
        <w:kinsoku/>
        <w:wordWrap/>
        <w:overflowPunct/>
        <w:topLinePunct w:val="0"/>
        <w:bidi w:val="0"/>
        <w:spacing w:line="360" w:lineRule="auto"/>
        <w:textAlignment w:val="auto"/>
        <w:rPr>
          <w:rFonts w:hint="eastAsia" w:ascii="仿宋" w:hAnsi="仿宋" w:eastAsia="仿宋"/>
          <w:color w:val="000000" w:themeColor="text1"/>
          <w:sz w:val="32"/>
          <w:szCs w:val="32"/>
        </w:rPr>
      </w:pPr>
    </w:p>
    <w:p>
      <w:pPr>
        <w:pageBreakBefore w:val="0"/>
        <w:kinsoku/>
        <w:wordWrap/>
        <w:overflowPunct/>
        <w:topLinePunct w:val="0"/>
        <w:bidi w:val="0"/>
        <w:spacing w:line="360" w:lineRule="auto"/>
        <w:jc w:val="center"/>
        <w:textAlignment w:val="auto"/>
        <w:rPr>
          <w:rFonts w:hint="eastAsia" w:eastAsia="仿宋"/>
          <w:lang w:eastAsia="zh-CN"/>
        </w:rPr>
      </w:pPr>
      <w:r>
        <w:rPr>
          <w:rFonts w:hint="eastAsia" w:eastAsia="仿宋"/>
          <w:lang w:eastAsia="zh-CN"/>
        </w:rPr>
        <w:drawing>
          <wp:inline distT="0" distB="0" distL="114300" distR="114300">
            <wp:extent cx="2955925" cy="1866265"/>
            <wp:effectExtent l="4445" t="4445" r="11430" b="1524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360" w:lineRule="auto"/>
        <w:ind w:firstLine="640" w:firstLineChars="200"/>
        <w:textAlignment w:val="auto"/>
        <w:rPr>
          <w:rFonts w:ascii="仿宋_GB2312" w:eastAsia="仿宋_GB2312"/>
          <w:color w:val="FF0000"/>
          <w:sz w:val="32"/>
          <w:szCs w:val="32"/>
        </w:rPr>
      </w:pPr>
    </w:p>
    <w:p>
      <w:pPr>
        <w:pageBreakBefore w:val="0"/>
        <w:kinsoku/>
        <w:wordWrap/>
        <w:overflowPunct/>
        <w:topLinePunct w:val="0"/>
        <w:bidi w:val="0"/>
        <w:spacing w:line="360" w:lineRule="auto"/>
        <w:ind w:firstLine="640" w:firstLineChars="200"/>
        <w:textAlignment w:val="auto"/>
        <w:outlineLvl w:val="1"/>
        <w:rPr>
          <w:rStyle w:val="26"/>
          <w:rFonts w:ascii="黑体" w:hAnsi="黑体" w:eastAsia="黑体"/>
          <w:b w:val="0"/>
        </w:rPr>
      </w:pPr>
      <w:bookmarkStart w:id="46" w:name="_Toc20215"/>
      <w:bookmarkStart w:id="47" w:name="_Toc15377208"/>
      <w:bookmarkStart w:id="48"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6"/>
      <w:bookmarkEnd w:id="47"/>
      <w:bookmarkEnd w:id="48"/>
    </w:p>
    <w:p>
      <w:pPr>
        <w:pageBreakBefore w:val="0"/>
        <w:kinsoku/>
        <w:wordWrap/>
        <w:overflowPunct/>
        <w:topLinePunct w:val="0"/>
        <w:bidi w:val="0"/>
        <w:spacing w:line="360" w:lineRule="auto"/>
        <w:ind w:firstLine="640" w:firstLineChars="200"/>
        <w:textAlignment w:val="auto"/>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w:t>
      </w:r>
      <w:r>
        <w:rPr>
          <w:rFonts w:hint="eastAsia" w:ascii="仿宋" w:hAnsi="仿宋" w:eastAsia="仿宋"/>
          <w:color w:val="000000"/>
          <w:sz w:val="32"/>
          <w:szCs w:val="32"/>
          <w:lang w:val="en-US" w:eastAsia="zh-CN"/>
        </w:rPr>
        <w:t>收入563.95万元，与2018年相比，减少2.39万元，下降0.42%，主要变动原因是人员减少。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630.26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与2018年相比，</w:t>
      </w:r>
      <w:r>
        <w:rPr>
          <w:rFonts w:hint="eastAsia" w:ascii="仿宋" w:hAnsi="仿宋" w:eastAsia="仿宋"/>
          <w:color w:val="000000"/>
          <w:sz w:val="32"/>
          <w:szCs w:val="32"/>
          <w:lang w:val="en-US" w:eastAsia="zh-CN"/>
        </w:rPr>
        <w:t>增加12.64万元，增长2.05%，主要变动原因是增开了一次政协全会。</w:t>
      </w:r>
    </w:p>
    <w:p>
      <w:pPr>
        <w:pageBreakBefore w:val="0"/>
        <w:kinsoku/>
        <w:wordWrap/>
        <w:overflowPunct/>
        <w:topLinePunct w:val="0"/>
        <w:bidi w:val="0"/>
        <w:spacing w:line="360" w:lineRule="auto"/>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pageBreakBefore w:val="0"/>
        <w:kinsoku/>
        <w:wordWrap/>
        <w:overflowPunct/>
        <w:topLinePunct w:val="0"/>
        <w:bidi w:val="0"/>
        <w:spacing w:line="360" w:lineRule="auto"/>
        <w:textAlignment w:val="auto"/>
        <w:rPr>
          <w:rFonts w:hint="eastAsia"/>
        </w:rPr>
      </w:pPr>
    </w:p>
    <w:p>
      <w:pPr>
        <w:pStyle w:val="2"/>
        <w:pageBreakBefore w:val="0"/>
        <w:kinsoku/>
        <w:wordWrap/>
        <w:overflowPunct/>
        <w:topLinePunct w:val="0"/>
        <w:bidi w:val="0"/>
        <w:spacing w:line="360" w:lineRule="auto"/>
        <w:jc w:val="center"/>
        <w:textAlignment w:val="auto"/>
        <w:rPr>
          <w:rFonts w:hint="eastAsia" w:eastAsia="仿宋"/>
          <w:lang w:eastAsia="zh-CN"/>
        </w:rPr>
      </w:pPr>
      <w:r>
        <w:rPr>
          <w:rFonts w:hint="eastAsia" w:eastAsia="仿宋"/>
          <w:lang w:eastAsia="zh-CN"/>
        </w:rPr>
        <w:drawing>
          <wp:inline distT="0" distB="0" distL="114300" distR="114300">
            <wp:extent cx="3213735" cy="2305685"/>
            <wp:effectExtent l="4445" t="4445" r="20320" b="1397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360" w:lineRule="auto"/>
        <w:textAlignment w:val="auto"/>
      </w:pPr>
    </w:p>
    <w:p>
      <w:pPr>
        <w:pageBreakBefore w:val="0"/>
        <w:kinsoku/>
        <w:wordWrap/>
        <w:overflowPunct/>
        <w:topLinePunct w:val="0"/>
        <w:bidi w:val="0"/>
        <w:spacing w:line="360" w:lineRule="auto"/>
        <w:ind w:firstLine="640" w:firstLineChars="200"/>
        <w:textAlignment w:val="auto"/>
        <w:outlineLvl w:val="1"/>
        <w:rPr>
          <w:rStyle w:val="26"/>
          <w:rFonts w:ascii="黑体" w:hAnsi="黑体" w:eastAsia="黑体"/>
          <w:b w:val="0"/>
        </w:rPr>
      </w:pPr>
      <w:bookmarkStart w:id="49" w:name="_Toc3127"/>
      <w:bookmarkStart w:id="50" w:name="_Toc15396607"/>
      <w:bookmarkStart w:id="5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9"/>
      <w:bookmarkEnd w:id="50"/>
      <w:bookmarkEnd w:id="51"/>
    </w:p>
    <w:p>
      <w:pPr>
        <w:pageBreakBefore w:val="0"/>
        <w:kinsoku/>
        <w:wordWrap/>
        <w:overflowPunct/>
        <w:topLinePunct w:val="0"/>
        <w:bidi w:val="0"/>
        <w:spacing w:line="360" w:lineRule="auto"/>
        <w:ind w:firstLine="643" w:firstLineChars="200"/>
        <w:textAlignment w:val="auto"/>
        <w:outlineLvl w:val="2"/>
        <w:rPr>
          <w:rFonts w:ascii="仿宋" w:hAnsi="仿宋" w:eastAsia="仿宋"/>
          <w:b/>
          <w:color w:val="000000"/>
          <w:sz w:val="32"/>
          <w:szCs w:val="32"/>
        </w:rPr>
      </w:pPr>
      <w:bookmarkStart w:id="52" w:name="_Toc15377210"/>
      <w:r>
        <w:rPr>
          <w:rFonts w:hint="eastAsia" w:ascii="仿宋" w:hAnsi="仿宋" w:eastAsia="仿宋"/>
          <w:b/>
          <w:color w:val="000000"/>
          <w:sz w:val="32"/>
          <w:szCs w:val="32"/>
        </w:rPr>
        <w:t>（一）一般公共预算财政拨款支出决算总体情况</w:t>
      </w:r>
      <w:bookmarkEnd w:id="52"/>
    </w:p>
    <w:p>
      <w:pPr>
        <w:pageBreakBefore w:val="0"/>
        <w:kinsoku/>
        <w:wordWrap/>
        <w:overflowPunct/>
        <w:topLinePunct w:val="0"/>
        <w:bidi w:val="0"/>
        <w:spacing w:line="360" w:lineRule="auto"/>
        <w:ind w:firstLine="640" w:firstLineChars="200"/>
        <w:textAlignment w:val="auto"/>
        <w:rPr>
          <w:rFonts w:hint="default"/>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630.26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sz w:val="32"/>
          <w:szCs w:val="32"/>
          <w:lang w:val="en-US" w:eastAsia="zh-CN"/>
        </w:rPr>
        <w:t>支出增加12.64万元，增长2.05%，</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增开了一次政协全会。</w:t>
      </w:r>
    </w:p>
    <w:p>
      <w:pPr>
        <w:pageBreakBefore w:val="0"/>
        <w:kinsoku/>
        <w:wordWrap/>
        <w:overflowPunct/>
        <w:topLinePunct w:val="0"/>
        <w:bidi w:val="0"/>
        <w:spacing w:line="360" w:lineRule="auto"/>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pStyle w:val="2"/>
        <w:pageBreakBefore w:val="0"/>
        <w:kinsoku/>
        <w:wordWrap/>
        <w:overflowPunct/>
        <w:topLinePunct w:val="0"/>
        <w:bidi w:val="0"/>
        <w:spacing w:line="360" w:lineRule="auto"/>
        <w:jc w:val="center"/>
        <w:textAlignment w:val="auto"/>
        <w:rPr>
          <w:rFonts w:hint="eastAsia" w:ascii="仿宋" w:hAnsi="仿宋" w:eastAsia="仿宋"/>
          <w:color w:val="000000" w:themeColor="text1"/>
          <w:sz w:val="32"/>
          <w:szCs w:val="32"/>
        </w:rPr>
      </w:pPr>
      <w:r>
        <w:rPr>
          <w:rFonts w:hint="eastAsia" w:eastAsia="仿宋"/>
          <w:lang w:eastAsia="zh-CN"/>
        </w:rPr>
        <w:drawing>
          <wp:inline distT="0" distB="0" distL="114300" distR="114300">
            <wp:extent cx="2901315" cy="1572895"/>
            <wp:effectExtent l="4445" t="4445" r="8890" b="228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360" w:lineRule="auto"/>
        <w:textAlignment w:val="auto"/>
        <w:rPr>
          <w:rFonts w:ascii="仿宋" w:hAnsi="仿宋" w:eastAsia="仿宋"/>
          <w:color w:val="000000" w:themeColor="text1"/>
          <w:sz w:val="32"/>
          <w:szCs w:val="32"/>
        </w:rPr>
      </w:pPr>
      <w:r>
        <w:rPr>
          <w:rFonts w:hint="eastAsia"/>
          <w:lang w:val="en-US" w:eastAsia="zh-CN"/>
        </w:rPr>
        <w:t xml:space="preserve">               </w:t>
      </w:r>
      <w:r>
        <w:rPr>
          <w:rFonts w:hint="eastAsia"/>
          <w:shd w:val="clear" w:color="auto" w:fill="auto"/>
          <w:lang w:val="en-US" w:eastAsia="zh-CN"/>
        </w:rPr>
        <w:t xml:space="preserve">   </w:t>
      </w:r>
      <w:r>
        <w:rPr>
          <w:rFonts w:hint="eastAsia"/>
          <w:color w:val="585858" w:themeColor="text1" w:themeTint="A6"/>
          <w:sz w:val="15"/>
          <w:szCs w:val="15"/>
          <w:shd w:val="clear" w:color="auto" w:fill="auto"/>
          <w:lang w:val="en-US" w:eastAsia="zh-CN"/>
        </w:rPr>
        <w:t>一般公共预算财政拨款支出</w:t>
      </w:r>
    </w:p>
    <w:p>
      <w:pPr>
        <w:pageBreakBefore w:val="0"/>
        <w:kinsoku/>
        <w:wordWrap/>
        <w:overflowPunct/>
        <w:topLinePunct w:val="0"/>
        <w:bidi w:val="0"/>
        <w:spacing w:line="360" w:lineRule="auto"/>
        <w:ind w:firstLine="643" w:firstLineChars="200"/>
        <w:textAlignment w:val="auto"/>
        <w:outlineLvl w:val="2"/>
        <w:rPr>
          <w:rFonts w:ascii="仿宋" w:hAnsi="仿宋" w:eastAsia="仿宋"/>
          <w:b/>
          <w:color w:val="000000"/>
          <w:sz w:val="32"/>
          <w:szCs w:val="32"/>
        </w:rPr>
      </w:pPr>
      <w:bookmarkStart w:id="53" w:name="_Toc15377211"/>
      <w:r>
        <w:rPr>
          <w:rFonts w:hint="eastAsia" w:ascii="仿宋" w:hAnsi="仿宋" w:eastAsia="仿宋"/>
          <w:b/>
          <w:color w:val="000000"/>
          <w:sz w:val="32"/>
          <w:szCs w:val="32"/>
        </w:rPr>
        <w:t>（二）一般公共预算财政拨款支出决算结构情况</w:t>
      </w:r>
      <w:bookmarkEnd w:id="53"/>
    </w:p>
    <w:p>
      <w:pPr>
        <w:pageBreakBefore w:val="0"/>
        <w:kinsoku/>
        <w:wordWrap/>
        <w:overflowPunct/>
        <w:topLinePunct w:val="0"/>
        <w:bidi w:val="0"/>
        <w:spacing w:line="360" w:lineRule="auto"/>
        <w:ind w:firstLine="640"/>
        <w:textAlignment w:val="auto"/>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630.26</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511.74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81.20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58.83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25.52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4.05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34.17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5.42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pageBreakBefore w:val="0"/>
        <w:kinsoku/>
        <w:wordWrap/>
        <w:overflowPunct/>
        <w:topLinePunct w:val="0"/>
        <w:bidi w:val="0"/>
        <w:spacing w:line="360" w:lineRule="auto"/>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pageBreakBefore w:val="0"/>
        <w:kinsoku/>
        <w:wordWrap/>
        <w:overflowPunct/>
        <w:topLinePunct w:val="0"/>
        <w:bidi w:val="0"/>
        <w:spacing w:line="360" w:lineRule="auto"/>
        <w:textAlignment w:val="auto"/>
        <w:rPr>
          <w:rFonts w:hint="eastAsia" w:ascii="仿宋" w:hAnsi="仿宋" w:eastAsia="仿宋"/>
          <w:color w:val="000000"/>
          <w:sz w:val="32"/>
          <w:szCs w:val="32"/>
        </w:rPr>
      </w:pPr>
    </w:p>
    <w:p>
      <w:pPr>
        <w:pageBreakBefore w:val="0"/>
        <w:kinsoku/>
        <w:wordWrap/>
        <w:overflowPunct/>
        <w:topLinePunct w:val="0"/>
        <w:bidi w:val="0"/>
        <w:spacing w:line="360" w:lineRule="auto"/>
        <w:jc w:val="center"/>
        <w:textAlignment w:val="auto"/>
        <w:rPr>
          <w:rFonts w:hint="eastAsia" w:eastAsia="仿宋"/>
          <w:lang w:eastAsia="zh-CN"/>
        </w:rPr>
      </w:pPr>
      <w:r>
        <w:rPr>
          <w:rFonts w:hint="eastAsia" w:eastAsia="仿宋"/>
          <w:lang w:eastAsia="zh-CN"/>
        </w:rPr>
        <w:drawing>
          <wp:inline distT="0" distB="0" distL="114300" distR="114300">
            <wp:extent cx="3622040" cy="2219960"/>
            <wp:effectExtent l="4445" t="4445" r="12065" b="2349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360" w:lineRule="auto"/>
        <w:ind w:firstLine="640" w:firstLineChars="200"/>
        <w:textAlignment w:val="auto"/>
        <w:rPr>
          <w:rFonts w:ascii="仿宋" w:hAnsi="仿宋" w:eastAsia="仿宋"/>
          <w:color w:val="000000"/>
          <w:sz w:val="32"/>
          <w:szCs w:val="32"/>
        </w:rPr>
      </w:pPr>
    </w:p>
    <w:p>
      <w:pPr>
        <w:pageBreakBefore w:val="0"/>
        <w:kinsoku/>
        <w:wordWrap/>
        <w:overflowPunct/>
        <w:topLinePunct w:val="0"/>
        <w:bidi w:val="0"/>
        <w:spacing w:line="360" w:lineRule="auto"/>
        <w:ind w:firstLine="643" w:firstLineChars="200"/>
        <w:textAlignment w:val="auto"/>
        <w:outlineLvl w:val="2"/>
        <w:rPr>
          <w:rFonts w:ascii="仿宋" w:hAnsi="仿宋" w:eastAsia="仿宋"/>
          <w:b/>
          <w:color w:val="000000"/>
          <w:sz w:val="32"/>
          <w:szCs w:val="32"/>
        </w:rPr>
      </w:pPr>
      <w:bookmarkStart w:id="54" w:name="_Toc15377212"/>
      <w:r>
        <w:rPr>
          <w:rFonts w:hint="eastAsia" w:ascii="仿宋" w:hAnsi="仿宋" w:eastAsia="仿宋"/>
          <w:b/>
          <w:color w:val="000000"/>
          <w:sz w:val="32"/>
          <w:szCs w:val="32"/>
        </w:rPr>
        <w:t>（三）一般公共预算财政拨款支出决算具体情况</w:t>
      </w:r>
      <w:bookmarkEnd w:id="54"/>
    </w:p>
    <w:p>
      <w:pPr>
        <w:pageBreakBefore w:val="0"/>
        <w:kinsoku/>
        <w:wordWrap/>
        <w:overflowPunct/>
        <w:topLinePunct w:val="0"/>
        <w:bidi w:val="0"/>
        <w:spacing w:line="360" w:lineRule="auto"/>
        <w:ind w:firstLine="643" w:firstLineChars="200"/>
        <w:textAlignment w:val="auto"/>
        <w:outlineLvl w:val="2"/>
        <w:rPr>
          <w:rFonts w:ascii="仿宋" w:hAnsi="仿宋" w:eastAsia="仿宋"/>
          <w:color w:val="FF0000"/>
          <w:sz w:val="32"/>
          <w:szCs w:val="32"/>
        </w:rPr>
      </w:pPr>
      <w:bookmarkStart w:id="55" w:name="_Toc15377444"/>
      <w:bookmarkStart w:id="56" w:name="_Toc15377213"/>
      <w:bookmarkStart w:id="57"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630.26万元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55"/>
      <w:bookmarkEnd w:id="56"/>
      <w:bookmarkEnd w:id="57"/>
    </w:p>
    <w:p>
      <w:pPr>
        <w:pageBreakBefore w:val="0"/>
        <w:numPr>
          <w:ilvl w:val="0"/>
          <w:numId w:val="5"/>
        </w:numPr>
        <w:kinsoku/>
        <w:wordWrap/>
        <w:overflowPunct/>
        <w:topLinePunct w:val="0"/>
        <w:bidi w:val="0"/>
        <w:spacing w:line="360" w:lineRule="auto"/>
        <w:ind w:firstLine="643" w:firstLineChars="200"/>
        <w:textAlignment w:val="auto"/>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一般公共服务（类）</w:t>
      </w:r>
    </w:p>
    <w:p>
      <w:pPr>
        <w:pageBreakBefore w:val="0"/>
        <w:numPr>
          <w:ilvl w:val="0"/>
          <w:numId w:val="0"/>
        </w:numPr>
        <w:kinsoku/>
        <w:wordWrap/>
        <w:overflowPunct/>
        <w:topLinePunct w:val="0"/>
        <w:bidi w:val="0"/>
        <w:spacing w:line="360" w:lineRule="auto"/>
        <w:ind w:firstLine="643" w:firstLineChars="200"/>
        <w:textAlignment w:val="auto"/>
        <w:rPr>
          <w:rStyle w:val="15"/>
          <w:rFonts w:hint="eastAsia" w:ascii="仿宋" w:hAnsi="仿宋" w:eastAsia="仿宋"/>
          <w:b w:val="0"/>
          <w:bCs/>
          <w:color w:val="000000"/>
          <w:sz w:val="32"/>
          <w:szCs w:val="32"/>
        </w:rPr>
      </w:pPr>
      <w:r>
        <w:rPr>
          <w:rStyle w:val="15"/>
          <w:rFonts w:hint="default" w:ascii="Calibri" w:hAnsi="Calibri" w:eastAsia="仿宋" w:cs="Calibri"/>
          <w:bCs/>
          <w:color w:val="000000"/>
          <w:sz w:val="32"/>
          <w:szCs w:val="32"/>
          <w:lang w:val="en-US" w:eastAsia="zh-CN"/>
        </w:rPr>
        <w:t>①</w:t>
      </w:r>
      <w:r>
        <w:rPr>
          <w:rStyle w:val="15"/>
          <w:rFonts w:hint="eastAsia" w:ascii="仿宋" w:hAnsi="仿宋" w:eastAsia="仿宋"/>
          <w:bCs/>
          <w:color w:val="000000"/>
          <w:sz w:val="32"/>
          <w:szCs w:val="32"/>
          <w:lang w:val="en-US" w:eastAsia="zh-CN"/>
        </w:rPr>
        <w:t>20102-政协事务</w:t>
      </w:r>
      <w:r>
        <w:rPr>
          <w:rStyle w:val="15"/>
          <w:rFonts w:hint="eastAsia" w:ascii="仿宋" w:hAnsi="仿宋" w:eastAsia="仿宋"/>
          <w:bCs/>
          <w:color w:val="000000"/>
          <w:sz w:val="32"/>
          <w:szCs w:val="32"/>
        </w:rPr>
        <w:t>（款）</w:t>
      </w:r>
    </w:p>
    <w:p>
      <w:pPr>
        <w:pageBreakBefore w:val="0"/>
        <w:numPr>
          <w:ilvl w:val="0"/>
          <w:numId w:val="6"/>
        </w:numPr>
        <w:kinsoku/>
        <w:wordWrap/>
        <w:overflowPunct/>
        <w:topLinePunct w:val="0"/>
        <w:bidi w:val="0"/>
        <w:spacing w:line="360" w:lineRule="auto"/>
        <w:ind w:firstLine="640" w:firstLineChars="200"/>
        <w:textAlignment w:val="auto"/>
        <w:rPr>
          <w:rStyle w:val="15"/>
          <w:rFonts w:hint="eastAsia" w:ascii="仿宋" w:hAnsi="仿宋" w:eastAsia="仿宋"/>
          <w:b w:val="0"/>
          <w:bCs/>
          <w:color w:val="000000"/>
          <w:sz w:val="32"/>
          <w:szCs w:val="32"/>
        </w:rPr>
      </w:pPr>
      <w:r>
        <w:rPr>
          <w:rFonts w:hint="eastAsia"/>
          <w:sz w:val="32"/>
          <w:szCs w:val="32"/>
          <w:lang w:val="en-US" w:eastAsia="zh-CN"/>
        </w:rPr>
        <w:t>2010201-</w:t>
      </w:r>
      <w:r>
        <w:rPr>
          <w:rStyle w:val="15"/>
          <w:rFonts w:hint="eastAsia" w:ascii="仿宋" w:hAnsi="仿宋" w:eastAsia="仿宋"/>
          <w:b/>
          <w:bCs w:val="0"/>
          <w:color w:val="000000"/>
          <w:sz w:val="32"/>
          <w:szCs w:val="32"/>
          <w:lang w:val="en-US" w:eastAsia="zh-CN"/>
        </w:rPr>
        <w:t>行政运行</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428.64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ageBreakBefore w:val="0"/>
        <w:numPr>
          <w:ilvl w:val="0"/>
          <w:numId w:val="6"/>
        </w:numPr>
        <w:kinsoku/>
        <w:wordWrap/>
        <w:overflowPunct/>
        <w:topLinePunct w:val="0"/>
        <w:bidi w:val="0"/>
        <w:spacing w:line="360" w:lineRule="auto"/>
        <w:ind w:left="0" w:leftChars="0" w:firstLine="640" w:firstLineChars="200"/>
        <w:textAlignment w:val="auto"/>
        <w:rPr>
          <w:rStyle w:val="15"/>
          <w:rFonts w:hint="eastAsia" w:ascii="仿宋" w:hAnsi="仿宋" w:eastAsia="仿宋"/>
          <w:b w:val="0"/>
          <w:bCs/>
          <w:color w:val="000000"/>
          <w:sz w:val="32"/>
          <w:szCs w:val="32"/>
        </w:rPr>
      </w:pPr>
      <w:r>
        <w:rPr>
          <w:rFonts w:hint="eastAsia"/>
          <w:sz w:val="32"/>
          <w:szCs w:val="32"/>
          <w:lang w:val="en-US" w:eastAsia="zh-CN"/>
        </w:rPr>
        <w:t xml:space="preserve"> 2010202-</w:t>
      </w:r>
      <w:r>
        <w:rPr>
          <w:rStyle w:val="15"/>
          <w:rFonts w:hint="eastAsia" w:ascii="仿宋" w:hAnsi="仿宋" w:eastAsia="仿宋"/>
          <w:b/>
          <w:bCs w:val="0"/>
          <w:color w:val="000000"/>
          <w:sz w:val="32"/>
          <w:szCs w:val="32"/>
          <w:lang w:val="en-US" w:eastAsia="zh-CN"/>
        </w:rPr>
        <w:t>一般行政管理事务</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ageBreakBefore w:val="0"/>
        <w:numPr>
          <w:ilvl w:val="0"/>
          <w:numId w:val="0"/>
        </w:numPr>
        <w:kinsoku/>
        <w:wordWrap/>
        <w:overflowPunct/>
        <w:topLinePunct w:val="0"/>
        <w:bidi w:val="0"/>
        <w:spacing w:line="360" w:lineRule="auto"/>
        <w:ind w:firstLine="640" w:firstLineChars="200"/>
        <w:textAlignment w:val="auto"/>
        <w:rPr>
          <w:rStyle w:val="15"/>
          <w:rFonts w:hint="eastAsia" w:ascii="仿宋" w:hAnsi="仿宋" w:eastAsia="仿宋"/>
          <w:b w:val="0"/>
          <w:bCs/>
          <w:color w:val="000000"/>
          <w:sz w:val="32"/>
          <w:szCs w:val="32"/>
        </w:rPr>
      </w:pPr>
      <w:r>
        <w:rPr>
          <w:rFonts w:hint="eastAsia"/>
          <w:sz w:val="32"/>
          <w:szCs w:val="32"/>
          <w:lang w:val="en-US" w:eastAsia="zh-CN"/>
        </w:rPr>
        <w:t>c.  2010204-</w:t>
      </w:r>
      <w:r>
        <w:rPr>
          <w:rStyle w:val="15"/>
          <w:rFonts w:hint="eastAsia" w:ascii="仿宋" w:hAnsi="仿宋" w:eastAsia="仿宋"/>
          <w:b/>
          <w:bCs w:val="0"/>
          <w:color w:val="000000"/>
          <w:sz w:val="32"/>
          <w:szCs w:val="32"/>
          <w:lang w:val="en-US" w:eastAsia="zh-CN"/>
        </w:rPr>
        <w:t>政协会议（</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14.80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ageBreakBefore w:val="0"/>
        <w:numPr>
          <w:ilvl w:val="0"/>
          <w:numId w:val="0"/>
        </w:numPr>
        <w:kinsoku/>
        <w:wordWrap/>
        <w:overflowPunct/>
        <w:topLinePunct w:val="0"/>
        <w:bidi w:val="0"/>
        <w:spacing w:line="360" w:lineRule="auto"/>
        <w:ind w:firstLine="640" w:firstLineChars="200"/>
        <w:textAlignment w:val="auto"/>
        <w:rPr>
          <w:rStyle w:val="15"/>
          <w:rFonts w:hint="eastAsia" w:ascii="仿宋" w:hAnsi="仿宋" w:eastAsia="仿宋"/>
          <w:b w:val="0"/>
          <w:bCs/>
          <w:color w:val="000000"/>
          <w:sz w:val="32"/>
          <w:szCs w:val="32"/>
        </w:rPr>
      </w:pPr>
      <w:r>
        <w:rPr>
          <w:rFonts w:hint="eastAsia"/>
          <w:sz w:val="32"/>
          <w:szCs w:val="32"/>
          <w:lang w:val="en-US" w:eastAsia="zh-CN"/>
        </w:rPr>
        <w:t>d.  2010205-</w:t>
      </w:r>
      <w:r>
        <w:rPr>
          <w:rStyle w:val="15"/>
          <w:rFonts w:hint="eastAsia" w:ascii="仿宋" w:hAnsi="仿宋" w:eastAsia="仿宋"/>
          <w:b/>
          <w:bCs w:val="0"/>
          <w:color w:val="000000"/>
          <w:sz w:val="32"/>
          <w:szCs w:val="32"/>
          <w:lang w:val="en-US" w:eastAsia="zh-CN"/>
        </w:rPr>
        <w:t>委员视察</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ageBreakBefore w:val="0"/>
        <w:numPr>
          <w:ilvl w:val="0"/>
          <w:numId w:val="0"/>
        </w:numPr>
        <w:kinsoku/>
        <w:wordWrap/>
        <w:overflowPunct/>
        <w:topLinePunct w:val="0"/>
        <w:bidi w:val="0"/>
        <w:spacing w:line="360" w:lineRule="auto"/>
        <w:ind w:firstLine="640" w:firstLineChars="200"/>
        <w:textAlignment w:val="auto"/>
        <w:rPr>
          <w:rStyle w:val="15"/>
          <w:rFonts w:hint="eastAsia" w:ascii="仿宋" w:hAnsi="仿宋" w:eastAsia="仿宋"/>
          <w:b w:val="0"/>
          <w:bCs/>
          <w:color w:val="000000"/>
          <w:sz w:val="32"/>
          <w:szCs w:val="32"/>
        </w:rPr>
      </w:pPr>
      <w:r>
        <w:rPr>
          <w:rFonts w:hint="eastAsia"/>
          <w:sz w:val="32"/>
          <w:szCs w:val="32"/>
          <w:lang w:val="en-US" w:eastAsia="zh-CN"/>
        </w:rPr>
        <w:t>e.  2010206-</w:t>
      </w:r>
      <w:r>
        <w:rPr>
          <w:rStyle w:val="15"/>
          <w:rFonts w:hint="eastAsia" w:ascii="仿宋" w:hAnsi="仿宋" w:eastAsia="仿宋"/>
          <w:b/>
          <w:bCs w:val="0"/>
          <w:color w:val="000000"/>
          <w:sz w:val="32"/>
          <w:szCs w:val="32"/>
          <w:lang w:val="en-US" w:eastAsia="zh-CN"/>
        </w:rPr>
        <w:t>参政议政</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ageBreakBefore w:val="0"/>
        <w:numPr>
          <w:ilvl w:val="0"/>
          <w:numId w:val="0"/>
        </w:numPr>
        <w:kinsoku/>
        <w:wordWrap/>
        <w:overflowPunct/>
        <w:topLinePunct w:val="0"/>
        <w:bidi w:val="0"/>
        <w:spacing w:line="360" w:lineRule="auto"/>
        <w:ind w:firstLine="964" w:firstLineChars="300"/>
        <w:textAlignment w:val="auto"/>
        <w:rPr>
          <w:rStyle w:val="15"/>
          <w:rFonts w:hint="eastAsia" w:ascii="仿宋" w:hAnsi="仿宋" w:eastAsia="仿宋"/>
          <w:b w:val="0"/>
          <w:bCs/>
          <w:color w:val="000000"/>
          <w:sz w:val="32"/>
          <w:szCs w:val="32"/>
        </w:rPr>
      </w:pPr>
      <w:r>
        <w:rPr>
          <w:rStyle w:val="15"/>
          <w:rFonts w:hint="default" w:ascii="Calibri" w:hAnsi="Calibri" w:eastAsia="仿宋" w:cs="Calibri"/>
          <w:bCs/>
          <w:color w:val="000000"/>
          <w:sz w:val="32"/>
          <w:szCs w:val="32"/>
        </w:rPr>
        <w:t>②</w:t>
      </w:r>
      <w:r>
        <w:rPr>
          <w:rStyle w:val="15"/>
          <w:rFonts w:hint="eastAsia" w:ascii="仿宋" w:hAnsi="仿宋" w:eastAsia="仿宋"/>
          <w:bCs/>
          <w:color w:val="000000"/>
          <w:sz w:val="32"/>
          <w:szCs w:val="32"/>
          <w:lang w:val="en-US" w:eastAsia="zh-CN"/>
        </w:rPr>
        <w:t>20199-其他一般公共服务支出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2019999-其他一般公共服务支出</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ageBreakBefore w:val="0"/>
        <w:numPr>
          <w:ilvl w:val="0"/>
          <w:numId w:val="5"/>
        </w:numPr>
        <w:kinsoku/>
        <w:wordWrap/>
        <w:overflowPunct/>
        <w:topLinePunct w:val="0"/>
        <w:bidi w:val="0"/>
        <w:spacing w:line="360" w:lineRule="auto"/>
        <w:ind w:left="0" w:leftChars="0" w:firstLine="643" w:firstLineChars="200"/>
        <w:textAlignment w:val="auto"/>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社会保障和就业（类）</w:t>
      </w:r>
    </w:p>
    <w:p>
      <w:pPr>
        <w:pageBreakBefore w:val="0"/>
        <w:numPr>
          <w:ilvl w:val="0"/>
          <w:numId w:val="0"/>
        </w:numPr>
        <w:kinsoku/>
        <w:wordWrap/>
        <w:overflowPunct/>
        <w:topLinePunct w:val="0"/>
        <w:bidi w:val="0"/>
        <w:spacing w:line="360" w:lineRule="auto"/>
        <w:ind w:leftChars="200"/>
        <w:textAlignment w:val="auto"/>
        <w:rPr>
          <w:rStyle w:val="15"/>
          <w:rFonts w:hint="eastAsia" w:ascii="仿宋" w:hAnsi="仿宋" w:eastAsia="仿宋"/>
          <w:bCs/>
          <w:color w:val="000000"/>
          <w:sz w:val="32"/>
          <w:szCs w:val="32"/>
        </w:rPr>
      </w:pPr>
      <w:r>
        <w:rPr>
          <w:rStyle w:val="15"/>
          <w:rFonts w:hint="default" w:ascii="Calibri" w:hAnsi="Calibri" w:eastAsia="仿宋" w:cs="Calibri"/>
          <w:bCs/>
          <w:color w:val="000000"/>
          <w:sz w:val="32"/>
          <w:szCs w:val="32"/>
        </w:rPr>
        <w:t>①</w:t>
      </w:r>
      <w:r>
        <w:rPr>
          <w:rStyle w:val="15"/>
          <w:rFonts w:hint="eastAsia" w:ascii="仿宋" w:hAnsi="仿宋" w:eastAsia="仿宋"/>
          <w:bCs/>
          <w:color w:val="000000"/>
          <w:sz w:val="32"/>
          <w:szCs w:val="32"/>
          <w:lang w:val="en-US" w:eastAsia="zh-CN"/>
        </w:rPr>
        <w:t>20805-行政事业单位离退休</w:t>
      </w:r>
      <w:r>
        <w:rPr>
          <w:rStyle w:val="15"/>
          <w:rFonts w:hint="eastAsia" w:ascii="仿宋" w:hAnsi="仿宋" w:eastAsia="仿宋"/>
          <w:bCs/>
          <w:color w:val="000000"/>
          <w:sz w:val="32"/>
          <w:szCs w:val="32"/>
        </w:rPr>
        <w:t>（款）</w:t>
      </w:r>
    </w:p>
    <w:p>
      <w:pPr>
        <w:pageBreakBefore w:val="0"/>
        <w:numPr>
          <w:ilvl w:val="0"/>
          <w:numId w:val="7"/>
        </w:numPr>
        <w:kinsoku/>
        <w:wordWrap/>
        <w:overflowPunct/>
        <w:topLinePunct w:val="0"/>
        <w:bidi w:val="0"/>
        <w:spacing w:line="360" w:lineRule="auto"/>
        <w:ind w:leftChars="200"/>
        <w:textAlignment w:val="auto"/>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2080505-机关事业单位基本养老保险缴费支出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40.26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Style w:val="2"/>
        <w:pageBreakBefore w:val="0"/>
        <w:numPr>
          <w:ilvl w:val="0"/>
          <w:numId w:val="0"/>
        </w:numPr>
        <w:kinsoku/>
        <w:wordWrap/>
        <w:overflowPunct/>
        <w:topLinePunct w:val="0"/>
        <w:bidi w:val="0"/>
        <w:spacing w:line="360" w:lineRule="auto"/>
        <w:ind w:left="580" w:leftChars="0"/>
        <w:textAlignment w:val="auto"/>
        <w:rPr>
          <w:rFonts w:hint="eastAsia"/>
          <w:lang w:eastAsia="zh-CN"/>
        </w:rPr>
      </w:pPr>
      <w:r>
        <w:rPr>
          <w:rFonts w:hint="eastAsia"/>
          <w:sz w:val="32"/>
          <w:szCs w:val="32"/>
          <w:lang w:val="en-US" w:eastAsia="zh-CN"/>
        </w:rPr>
        <w:t>b. 2080506-</w:t>
      </w:r>
      <w:r>
        <w:rPr>
          <w:rStyle w:val="15"/>
          <w:rFonts w:hint="eastAsia" w:ascii="仿宋" w:hAnsi="仿宋" w:eastAsia="仿宋"/>
          <w:bCs/>
          <w:color w:val="000000"/>
          <w:sz w:val="32"/>
          <w:szCs w:val="32"/>
          <w:lang w:val="en-US" w:eastAsia="zh-CN"/>
        </w:rPr>
        <w:t>机关事业单位职业年金缴费支出（项）：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18.57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ageBreakBefore w:val="0"/>
        <w:numPr>
          <w:ilvl w:val="0"/>
          <w:numId w:val="5"/>
        </w:numPr>
        <w:kinsoku/>
        <w:wordWrap/>
        <w:overflowPunct/>
        <w:topLinePunct w:val="0"/>
        <w:bidi w:val="0"/>
        <w:spacing w:line="360" w:lineRule="auto"/>
        <w:ind w:left="0" w:leftChars="0" w:firstLine="643" w:firstLineChars="200"/>
        <w:textAlignment w:val="auto"/>
        <w:rPr>
          <w:rStyle w:val="15"/>
          <w:rFonts w:hint="eastAsia" w:ascii="仿宋" w:hAnsi="仿宋" w:eastAsia="仿宋"/>
          <w:bCs/>
          <w:color w:val="000000"/>
          <w:sz w:val="32"/>
          <w:szCs w:val="32"/>
        </w:rPr>
      </w:pPr>
      <w:r>
        <w:rPr>
          <w:rFonts w:hint="eastAsia" w:ascii="仿宋" w:hAnsi="仿宋" w:eastAsia="仿宋"/>
          <w:b/>
          <w:bCs/>
          <w:color w:val="000000" w:themeColor="text1"/>
          <w:sz w:val="32"/>
          <w:szCs w:val="32"/>
        </w:rPr>
        <w:t>卫生健康</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21011-行政事业单位医疗</w:t>
      </w:r>
      <w:r>
        <w:rPr>
          <w:rStyle w:val="15"/>
          <w:rFonts w:hint="eastAsia" w:ascii="仿宋" w:hAnsi="仿宋" w:eastAsia="仿宋"/>
          <w:bCs/>
          <w:color w:val="000000"/>
          <w:sz w:val="32"/>
          <w:szCs w:val="32"/>
        </w:rPr>
        <w:t>（款）</w:t>
      </w:r>
    </w:p>
    <w:p>
      <w:pPr>
        <w:pageBreakBefore w:val="0"/>
        <w:numPr>
          <w:ilvl w:val="0"/>
          <w:numId w:val="8"/>
        </w:numPr>
        <w:kinsoku/>
        <w:wordWrap/>
        <w:overflowPunct/>
        <w:topLinePunct w:val="0"/>
        <w:bidi w:val="0"/>
        <w:spacing w:line="360" w:lineRule="auto"/>
        <w:ind w:leftChars="200"/>
        <w:textAlignment w:val="auto"/>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2101101-行政单位医疗</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19.77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pStyle w:val="2"/>
        <w:pageBreakBefore w:val="0"/>
        <w:numPr>
          <w:ilvl w:val="0"/>
          <w:numId w:val="8"/>
        </w:numPr>
        <w:kinsoku/>
        <w:wordWrap/>
        <w:overflowPunct/>
        <w:topLinePunct w:val="0"/>
        <w:bidi w:val="0"/>
        <w:spacing w:line="360" w:lineRule="auto"/>
        <w:ind w:left="420" w:leftChars="200" w:firstLine="0" w:firstLineChars="0"/>
        <w:textAlignment w:val="auto"/>
        <w:rPr>
          <w:rFonts w:hint="default" w:eastAsia="仿宋"/>
          <w:b/>
          <w:bCs/>
          <w:sz w:val="32"/>
          <w:szCs w:val="32"/>
          <w:lang w:val="en-US" w:eastAsia="zh-CN"/>
        </w:rPr>
      </w:pPr>
      <w:r>
        <w:rPr>
          <w:rFonts w:hint="eastAsia" w:eastAsia="仿宋"/>
          <w:sz w:val="32"/>
          <w:szCs w:val="32"/>
          <w:lang w:val="en-US" w:eastAsia="zh-CN"/>
        </w:rPr>
        <w:t xml:space="preserve"> 2101103-</w:t>
      </w:r>
      <w:r>
        <w:rPr>
          <w:rFonts w:hint="eastAsia" w:eastAsia="仿宋"/>
          <w:b/>
          <w:bCs/>
          <w:sz w:val="32"/>
          <w:szCs w:val="32"/>
          <w:lang w:val="en-US" w:eastAsia="zh-CN"/>
        </w:rPr>
        <w:t>公务员医疗补助（项）：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5.75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Style w:val="2"/>
        <w:pageBreakBefore w:val="0"/>
        <w:kinsoku/>
        <w:wordWrap/>
        <w:overflowPunct/>
        <w:topLinePunct w:val="0"/>
        <w:bidi w:val="0"/>
        <w:spacing w:line="360" w:lineRule="auto"/>
        <w:ind w:firstLine="643" w:firstLineChars="200"/>
        <w:textAlignment w:val="auto"/>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4</w:t>
      </w:r>
      <w:r>
        <w:rPr>
          <w:rStyle w:val="15"/>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rPr>
        <w:t>住房保障</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22102-住房改革支出（款）2210201-住房公积金（项）：</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34.17</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pageBreakBefore w:val="0"/>
        <w:tabs>
          <w:tab w:val="right" w:pos="8306"/>
        </w:tabs>
        <w:kinsoku/>
        <w:wordWrap/>
        <w:overflowPunct/>
        <w:topLinePunct w:val="0"/>
        <w:bidi w:val="0"/>
        <w:spacing w:line="360" w:lineRule="auto"/>
        <w:ind w:firstLine="640"/>
        <w:textAlignment w:val="auto"/>
        <w:outlineLvl w:val="1"/>
        <w:rPr>
          <w:rStyle w:val="26"/>
        </w:rPr>
      </w:pPr>
      <w:bookmarkStart w:id="58" w:name="_Toc15396608"/>
      <w:bookmarkStart w:id="59" w:name="_Toc11693"/>
      <w:bookmarkStart w:id="6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58"/>
      <w:bookmarkEnd w:id="59"/>
      <w:bookmarkEnd w:id="60"/>
      <w:r>
        <w:rPr>
          <w:rStyle w:val="26"/>
          <w:rFonts w:ascii="黑体" w:hAnsi="黑体" w:eastAsia="黑体"/>
          <w:b w:val="0"/>
        </w:rPr>
        <w:tab/>
      </w:r>
    </w:p>
    <w:p>
      <w:pPr>
        <w:pageBreakBefore w:val="0"/>
        <w:kinsoku/>
        <w:wordWrap/>
        <w:overflowPunct/>
        <w:topLinePunct w:val="0"/>
        <w:bidi w:val="0"/>
        <w:spacing w:line="360" w:lineRule="auto"/>
        <w:ind w:firstLine="645"/>
        <w:textAlignment w:val="auto"/>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547.16</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482.29</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94.64万元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136.62万元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70.39万元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40.26万元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18.57万元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职工基本医疗保险缴费19.77万元、公务员医疗补助缴费5.75万元、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4.45万元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住房公积金34.17万元、医疗费1.79万元、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52.31万元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3.56万元。</w:t>
      </w:r>
      <w:r>
        <w:rPr>
          <w:rFonts w:hint="eastAsia" w:ascii="仿宋" w:hAnsi="仿宋" w:eastAsia="仿宋"/>
          <w:color w:val="000000"/>
          <w:sz w:val="32"/>
          <w:szCs w:val="32"/>
        </w:rPr>
        <w:t>　　</w:t>
      </w:r>
    </w:p>
    <w:p>
      <w:pPr>
        <w:pageBreakBefore w:val="0"/>
        <w:kinsoku/>
        <w:wordWrap/>
        <w:overflowPunct/>
        <w:topLinePunct w:val="0"/>
        <w:bidi w:val="0"/>
        <w:spacing w:line="360" w:lineRule="auto"/>
        <w:ind w:firstLine="645"/>
        <w:textAlignment w:val="auto"/>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64.87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11.28万元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3.46万元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6.87万元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11.05万元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0.93万元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5.46万元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1.59万元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0.50万元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0.52万元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23.20万元</w:t>
      </w:r>
      <w:r>
        <w:rPr>
          <w:rFonts w:hint="eastAsia" w:ascii="仿宋" w:hAnsi="仿宋" w:eastAsia="仿宋"/>
          <w:color w:val="000000"/>
          <w:sz w:val="32"/>
          <w:szCs w:val="32"/>
        </w:rPr>
        <w:t>。</w:t>
      </w:r>
    </w:p>
    <w:p>
      <w:pPr>
        <w:pageBreakBefore w:val="0"/>
        <w:kinsoku/>
        <w:wordWrap/>
        <w:overflowPunct/>
        <w:topLinePunct w:val="0"/>
        <w:bidi w:val="0"/>
        <w:spacing w:line="360" w:lineRule="auto"/>
        <w:ind w:firstLine="640"/>
        <w:textAlignment w:val="auto"/>
        <w:outlineLvl w:val="1"/>
        <w:rPr>
          <w:rStyle w:val="26"/>
          <w:rFonts w:ascii="黑体" w:hAnsi="黑体" w:eastAsia="黑体"/>
          <w:b w:val="0"/>
        </w:rPr>
      </w:pPr>
      <w:bookmarkStart w:id="61" w:name="_Toc15377215"/>
      <w:bookmarkStart w:id="62" w:name="_Toc15396609"/>
      <w:bookmarkStart w:id="63" w:name="_Toc1160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1"/>
      <w:bookmarkEnd w:id="62"/>
      <w:bookmarkEnd w:id="63"/>
    </w:p>
    <w:p>
      <w:pPr>
        <w:pageBreakBefore w:val="0"/>
        <w:kinsoku/>
        <w:wordWrap/>
        <w:overflowPunct/>
        <w:topLinePunct w:val="0"/>
        <w:bidi w:val="0"/>
        <w:spacing w:line="360" w:lineRule="auto"/>
        <w:ind w:firstLine="640"/>
        <w:textAlignment w:val="auto"/>
        <w:outlineLvl w:val="2"/>
        <w:rPr>
          <w:rFonts w:ascii="仿宋" w:hAnsi="仿宋" w:eastAsia="仿宋"/>
          <w:b/>
          <w:color w:val="000000"/>
          <w:sz w:val="32"/>
          <w:szCs w:val="32"/>
        </w:rPr>
      </w:pPr>
      <w:bookmarkStart w:id="64" w:name="_Toc15377216"/>
      <w:r>
        <w:rPr>
          <w:rFonts w:hint="eastAsia" w:ascii="仿宋" w:hAnsi="仿宋" w:eastAsia="仿宋"/>
          <w:b/>
          <w:color w:val="000000"/>
          <w:sz w:val="32"/>
          <w:szCs w:val="32"/>
        </w:rPr>
        <w:t>（一）“三公”经费财政拨款支出决算总体情况说明</w:t>
      </w:r>
      <w:bookmarkEnd w:id="64"/>
    </w:p>
    <w:p>
      <w:pPr>
        <w:pageBreakBefore w:val="0"/>
        <w:kinsoku/>
        <w:wordWrap/>
        <w:overflowPunct/>
        <w:topLinePunct w:val="0"/>
        <w:bidi w:val="0"/>
        <w:spacing w:line="360" w:lineRule="auto"/>
        <w:ind w:firstLine="640"/>
        <w:textAlignment w:val="auto"/>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23.70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pageBreakBefore w:val="0"/>
        <w:kinsoku/>
        <w:wordWrap/>
        <w:overflowPunct/>
        <w:topLinePunct w:val="0"/>
        <w:bidi w:val="0"/>
        <w:spacing w:line="360" w:lineRule="auto"/>
        <w:ind w:firstLine="640"/>
        <w:textAlignment w:val="auto"/>
        <w:outlineLvl w:val="2"/>
        <w:rPr>
          <w:rFonts w:ascii="仿宋" w:hAnsi="仿宋" w:eastAsia="仿宋"/>
          <w:b/>
          <w:color w:val="000000"/>
          <w:sz w:val="32"/>
          <w:szCs w:val="32"/>
        </w:rPr>
      </w:pPr>
      <w:bookmarkStart w:id="65" w:name="_Toc15377217"/>
      <w:r>
        <w:rPr>
          <w:rFonts w:hint="eastAsia" w:ascii="仿宋" w:hAnsi="仿宋" w:eastAsia="仿宋"/>
          <w:b/>
          <w:color w:val="000000"/>
          <w:sz w:val="32"/>
          <w:szCs w:val="32"/>
        </w:rPr>
        <w:t>（二）“三公”经费财政拨款支出决算具体情况说明</w:t>
      </w:r>
      <w:bookmarkEnd w:id="65"/>
    </w:p>
    <w:p>
      <w:pPr>
        <w:pageBreakBefore w:val="0"/>
        <w:kinsoku/>
        <w:wordWrap/>
        <w:overflowPunct/>
        <w:topLinePunct w:val="0"/>
        <w:bidi w:val="0"/>
        <w:spacing w:line="360" w:lineRule="auto"/>
        <w:ind w:firstLine="640"/>
        <w:textAlignment w:val="auto"/>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23.20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97.90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2.1</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kinsoku/>
        <w:wordWrap/>
        <w:overflowPunct/>
        <w:topLinePunct w:val="0"/>
        <w:bidi w:val="0"/>
        <w:spacing w:line="360" w:lineRule="auto"/>
        <w:ind w:firstLine="640"/>
        <w:textAlignment w:val="auto"/>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kinsoku/>
        <w:wordWrap/>
        <w:overflowPunct/>
        <w:topLinePunct w:val="0"/>
        <w:bidi w:val="0"/>
        <w:spacing w:line="360" w:lineRule="auto"/>
        <w:jc w:val="center"/>
        <w:textAlignment w:val="auto"/>
        <w:rPr>
          <w:rFonts w:hint="eastAsia" w:eastAsia="仿宋"/>
          <w:lang w:eastAsia="zh-CN"/>
        </w:rPr>
      </w:pPr>
      <w:r>
        <w:rPr>
          <w:rFonts w:hint="eastAsia" w:eastAsia="仿宋"/>
          <w:lang w:eastAsia="zh-CN"/>
        </w:rPr>
        <w:drawing>
          <wp:inline distT="0" distB="0" distL="114300" distR="114300">
            <wp:extent cx="3204210" cy="1620520"/>
            <wp:effectExtent l="4445" t="4445" r="10795" b="1333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360" w:lineRule="auto"/>
        <w:ind w:firstLine="640"/>
        <w:textAlignment w:val="auto"/>
        <w:rPr>
          <w:rFonts w:hint="default" w:ascii="仿宋_GB2312" w:eastAsia="仿宋_GB2312"/>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因公出国（境）支出决算与2018年持平。</w:t>
      </w:r>
    </w:p>
    <w:p>
      <w:pPr>
        <w:pageBreakBefore w:val="0"/>
        <w:kinsoku/>
        <w:wordWrap/>
        <w:overflowPunct/>
        <w:topLinePunct w:val="0"/>
        <w:bidi w:val="0"/>
        <w:spacing w:line="360" w:lineRule="auto"/>
        <w:ind w:firstLine="640"/>
        <w:textAlignment w:val="auto"/>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23.20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2.94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11.25</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是严格执行公务用车管理和使用相关规定。</w:t>
      </w:r>
    </w:p>
    <w:p>
      <w:pPr>
        <w:pageBreakBefore w:val="0"/>
        <w:kinsoku/>
        <w:wordWrap/>
        <w:overflowPunct/>
        <w:topLinePunct w:val="0"/>
        <w:bidi w:val="0"/>
        <w:spacing w:line="360" w:lineRule="auto"/>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pageBreakBefore w:val="0"/>
        <w:kinsoku/>
        <w:wordWrap/>
        <w:overflowPunct/>
        <w:topLinePunct w:val="0"/>
        <w:bidi w:val="0"/>
        <w:spacing w:line="360" w:lineRule="auto"/>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23.20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w:t>
      </w:r>
      <w:r>
        <w:rPr>
          <w:rFonts w:hint="eastAsia" w:ascii="仿宋_GB2312" w:eastAsia="仿宋_GB2312"/>
          <w:color w:val="000000"/>
          <w:sz w:val="32"/>
          <w:szCs w:val="32"/>
        </w:rPr>
        <w:t>所需的公务用车燃料费、维修费、过路过桥费、保险费等支出。</w:t>
      </w:r>
    </w:p>
    <w:p>
      <w:pPr>
        <w:pageBreakBefore w:val="0"/>
        <w:numPr>
          <w:ilvl w:val="0"/>
          <w:numId w:val="5"/>
        </w:numPr>
        <w:kinsoku/>
        <w:wordWrap/>
        <w:overflowPunct/>
        <w:topLinePunct w:val="0"/>
        <w:bidi w:val="0"/>
        <w:spacing w:line="360" w:lineRule="auto"/>
        <w:ind w:left="0" w:leftChars="0" w:firstLine="643" w:firstLineChars="200"/>
        <w:textAlignment w:val="auto"/>
        <w:rPr>
          <w:rFonts w:hint="eastAsia" w:ascii="仿宋_GB2312" w:eastAsia="仿宋_GB2312"/>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0.03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5.66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厉行节约。</w:t>
      </w:r>
    </w:p>
    <w:p>
      <w:pPr>
        <w:pageBreakBefore w:val="0"/>
        <w:numPr>
          <w:ilvl w:val="0"/>
          <w:numId w:val="0"/>
        </w:numPr>
        <w:kinsoku/>
        <w:wordWrap/>
        <w:overflowPunct/>
        <w:topLinePunct w:val="0"/>
        <w:bidi w:val="0"/>
        <w:spacing w:line="360" w:lineRule="auto"/>
        <w:ind w:leftChars="200" w:firstLine="320" w:firstLineChars="100"/>
        <w:textAlignment w:val="auto"/>
        <w:rPr>
          <w:rFonts w:ascii="黑体" w:eastAsia="黑体"/>
          <w:color w:val="000000"/>
          <w:sz w:val="32"/>
          <w:szCs w:val="32"/>
        </w:rPr>
      </w:pPr>
      <w:r>
        <w:rPr>
          <w:rFonts w:hint="eastAsia" w:ascii="仿宋_GB2312" w:eastAsia="仿宋_GB2312"/>
          <w:color w:val="auto"/>
          <w:sz w:val="32"/>
          <w:szCs w:val="32"/>
        </w:rPr>
        <w:t>其中：</w:t>
      </w: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0.5</w:t>
      </w:r>
      <w:r>
        <w:rPr>
          <w:rFonts w:hint="eastAsia" w:ascii="仿宋_GB2312" w:eastAsia="仿宋_GB2312"/>
          <w:color w:val="auto"/>
          <w:sz w:val="32"/>
          <w:szCs w:val="32"/>
        </w:rPr>
        <w:t>万元，主要用于执行公务、开展业务活动开支的交通费、住宿费、用餐费等。国内公务接待</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bookmarkStart w:id="66" w:name="_Toc15396610"/>
      <w:bookmarkStart w:id="67" w:name="_Toc15377218"/>
    </w:p>
    <w:p>
      <w:pPr>
        <w:pageBreakBefore w:val="0"/>
        <w:kinsoku/>
        <w:wordWrap/>
        <w:overflowPunct/>
        <w:topLinePunct w:val="0"/>
        <w:bidi w:val="0"/>
        <w:spacing w:line="360" w:lineRule="auto"/>
        <w:ind w:firstLine="640"/>
        <w:textAlignment w:val="auto"/>
        <w:outlineLvl w:val="1"/>
        <w:rPr>
          <w:rStyle w:val="26"/>
          <w:rFonts w:ascii="黑体" w:hAnsi="黑体" w:eastAsia="黑体"/>
        </w:rPr>
      </w:pPr>
      <w:bookmarkStart w:id="68" w:name="_Toc2950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6"/>
      <w:bookmarkEnd w:id="67"/>
      <w:bookmarkEnd w:id="68"/>
    </w:p>
    <w:p>
      <w:pPr>
        <w:pageBreakBefore w:val="0"/>
        <w:kinsoku/>
        <w:wordWrap/>
        <w:overflowPunct/>
        <w:topLinePunct w:val="0"/>
        <w:bidi w:val="0"/>
        <w:spacing w:line="360" w:lineRule="auto"/>
        <w:ind w:firstLine="64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9"/>
        </w:numPr>
        <w:kinsoku/>
        <w:wordWrap/>
        <w:overflowPunct/>
        <w:topLinePunct w:val="0"/>
        <w:bidi w:val="0"/>
        <w:spacing w:line="360" w:lineRule="auto"/>
        <w:ind w:firstLine="640"/>
        <w:textAlignment w:val="auto"/>
        <w:outlineLvl w:val="1"/>
        <w:rPr>
          <w:rStyle w:val="26"/>
          <w:rFonts w:ascii="黑体" w:hAnsi="黑体" w:eastAsia="黑体"/>
          <w:b w:val="0"/>
        </w:rPr>
      </w:pPr>
      <w:bookmarkStart w:id="69" w:name="_Toc15377219"/>
      <w:bookmarkStart w:id="70" w:name="_Toc16420"/>
      <w:bookmarkStart w:id="71" w:name="_Toc15396611"/>
      <w:r>
        <w:rPr>
          <w:rStyle w:val="26"/>
          <w:rFonts w:hint="eastAsia" w:ascii="黑体" w:hAnsi="黑体" w:eastAsia="黑体"/>
          <w:b w:val="0"/>
        </w:rPr>
        <w:t>国有资本经营预算支出决算情况说明</w:t>
      </w:r>
      <w:bookmarkEnd w:id="69"/>
      <w:bookmarkEnd w:id="70"/>
      <w:bookmarkEnd w:id="71"/>
    </w:p>
    <w:p>
      <w:pPr>
        <w:pageBreakBefore w:val="0"/>
        <w:kinsoku/>
        <w:wordWrap/>
        <w:overflowPunct/>
        <w:topLinePunct w:val="0"/>
        <w:bidi w:val="0"/>
        <w:spacing w:line="360" w:lineRule="auto"/>
        <w:ind w:firstLine="64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360" w:lineRule="auto"/>
        <w:ind w:firstLine="800" w:firstLineChars="250"/>
        <w:textAlignment w:val="auto"/>
        <w:outlineLvl w:val="1"/>
        <w:rPr>
          <w:rStyle w:val="26"/>
          <w:rFonts w:ascii="黑体" w:hAnsi="黑体" w:eastAsia="黑体"/>
        </w:rPr>
      </w:pPr>
      <w:bookmarkStart w:id="72" w:name="_Toc15396612"/>
      <w:bookmarkStart w:id="73" w:name="_Toc30195"/>
      <w:bookmarkStart w:id="74"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2"/>
      <w:bookmarkEnd w:id="73"/>
      <w:bookmarkEnd w:id="74"/>
    </w:p>
    <w:p>
      <w:pPr>
        <w:pageBreakBefore w:val="0"/>
        <w:kinsoku/>
        <w:wordWrap/>
        <w:overflowPunct/>
        <w:topLinePunct w:val="0"/>
        <w:bidi w:val="0"/>
        <w:spacing w:line="360" w:lineRule="auto"/>
        <w:ind w:firstLine="643" w:firstLineChars="200"/>
        <w:textAlignment w:val="auto"/>
        <w:outlineLvl w:val="2"/>
        <w:rPr>
          <w:rFonts w:ascii="仿宋" w:hAnsi="仿宋" w:eastAsia="仿宋"/>
          <w:color w:val="000000"/>
          <w:sz w:val="32"/>
          <w:szCs w:val="32"/>
        </w:rPr>
      </w:pPr>
      <w:bookmarkStart w:id="75" w:name="_Toc15377222"/>
      <w:r>
        <w:rPr>
          <w:rFonts w:hint="eastAsia" w:ascii="仿宋" w:hAnsi="仿宋" w:eastAsia="仿宋"/>
          <w:b/>
          <w:color w:val="000000"/>
          <w:sz w:val="32"/>
          <w:szCs w:val="32"/>
        </w:rPr>
        <w:t>（一）机关运行经费支出情况</w:t>
      </w:r>
      <w:bookmarkEnd w:id="75"/>
    </w:p>
    <w:p>
      <w:pPr>
        <w:pageBreakBefore w:val="0"/>
        <w:kinsoku/>
        <w:wordWrap/>
        <w:overflowPunct/>
        <w:topLinePunct w:val="0"/>
        <w:bidi w:val="0"/>
        <w:spacing w:line="360" w:lineRule="auto"/>
        <w:ind w:firstLine="640" w:firstLineChars="200"/>
        <w:textAlignment w:val="auto"/>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行政</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428.64</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69.61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19.39</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增开一次全委会、退休人员去世增加了相应的会议费、抚恤金。</w:t>
      </w:r>
    </w:p>
    <w:p>
      <w:pPr>
        <w:pageBreakBefore w:val="0"/>
        <w:kinsoku/>
        <w:wordWrap/>
        <w:overflowPunct/>
        <w:topLinePunct w:val="0"/>
        <w:autoSpaceDE w:val="0"/>
        <w:autoSpaceDN w:val="0"/>
        <w:bidi w:val="0"/>
        <w:adjustRightInd w:val="0"/>
        <w:spacing w:line="360" w:lineRule="auto"/>
        <w:ind w:firstLine="643" w:firstLineChars="200"/>
        <w:jc w:val="left"/>
        <w:textAlignment w:val="auto"/>
        <w:outlineLvl w:val="2"/>
        <w:rPr>
          <w:rFonts w:ascii="仿宋" w:hAnsi="仿宋" w:eastAsia="仿宋"/>
          <w:b/>
          <w:color w:val="000000"/>
          <w:sz w:val="32"/>
          <w:szCs w:val="32"/>
        </w:rPr>
      </w:pPr>
      <w:bookmarkStart w:id="76" w:name="_Toc15377223"/>
      <w:r>
        <w:rPr>
          <w:rFonts w:hint="eastAsia" w:ascii="仿宋" w:hAnsi="仿宋" w:eastAsia="仿宋"/>
          <w:b/>
          <w:color w:val="000000"/>
          <w:sz w:val="32"/>
          <w:szCs w:val="32"/>
        </w:rPr>
        <w:t>（二）政府采购支出情况</w:t>
      </w:r>
      <w:bookmarkEnd w:id="76"/>
    </w:p>
    <w:p>
      <w:pPr>
        <w:pageBreakBefore w:val="0"/>
        <w:kinsoku/>
        <w:wordWrap/>
        <w:overflowPunct/>
        <w:topLinePunct w:val="0"/>
        <w:bidi w:val="0"/>
        <w:spacing w:line="360" w:lineRule="auto"/>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县政协</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autoSpaceDE w:val="0"/>
        <w:autoSpaceDN w:val="0"/>
        <w:bidi w:val="0"/>
        <w:adjustRightInd w:val="0"/>
        <w:spacing w:line="360" w:lineRule="auto"/>
        <w:ind w:firstLine="643" w:firstLineChars="200"/>
        <w:jc w:val="left"/>
        <w:textAlignment w:val="auto"/>
        <w:outlineLvl w:val="2"/>
        <w:rPr>
          <w:rFonts w:ascii="仿宋" w:hAnsi="仿宋" w:eastAsia="仿宋"/>
          <w:b/>
          <w:color w:val="000000"/>
          <w:sz w:val="32"/>
          <w:szCs w:val="32"/>
        </w:rPr>
      </w:pPr>
      <w:bookmarkStart w:id="77" w:name="_Toc15377224"/>
      <w:r>
        <w:rPr>
          <w:rFonts w:hint="eastAsia" w:ascii="仿宋" w:hAnsi="仿宋" w:eastAsia="仿宋"/>
          <w:b/>
          <w:color w:val="000000"/>
          <w:sz w:val="32"/>
          <w:szCs w:val="32"/>
        </w:rPr>
        <w:t>（三）国有资产占有使用情况</w:t>
      </w:r>
      <w:bookmarkEnd w:id="77"/>
    </w:p>
    <w:p>
      <w:pPr>
        <w:pageBreakBefore w:val="0"/>
        <w:kinsoku/>
        <w:wordWrap/>
        <w:overflowPunct/>
        <w:topLinePunct w:val="0"/>
        <w:autoSpaceDE w:val="0"/>
        <w:autoSpaceDN w:val="0"/>
        <w:bidi w:val="0"/>
        <w:adjustRightInd w:val="0"/>
        <w:spacing w:line="360" w:lineRule="auto"/>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县政协</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kinsoku/>
        <w:wordWrap/>
        <w:overflowPunct/>
        <w:topLinePunct w:val="0"/>
        <w:autoSpaceDE w:val="0"/>
        <w:autoSpaceDN w:val="0"/>
        <w:bidi w:val="0"/>
        <w:adjustRightInd w:val="0"/>
        <w:spacing w:line="360" w:lineRule="auto"/>
        <w:ind w:firstLine="643" w:firstLineChars="200"/>
        <w:jc w:val="left"/>
        <w:textAlignment w:val="auto"/>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ageBreakBefore w:val="0"/>
        <w:kinsoku/>
        <w:wordWrap/>
        <w:overflowPunct/>
        <w:topLinePunct w:val="0"/>
        <w:bidi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rPr>
        <w:t>本单位严格按照《预算法》及相关财经法规和政策编制本年度预算，严格按照预算管理进行支付并做到节能降耗，“三公”经费严格按照年初预算执行。</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无专项预算项目，因此未组织开展项目支出绩效评价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红原县政协办公室</w:t>
      </w:r>
      <w:r>
        <w:rPr>
          <w:rFonts w:hint="eastAsia" w:ascii="仿宋_GB2312" w:hAnsi="仿宋_GB2312" w:eastAsia="仿宋_GB2312" w:cs="仿宋_GB2312"/>
          <w:sz w:val="32"/>
          <w:szCs w:val="32"/>
        </w:rPr>
        <w:t>2019年部门整体支出绩效评价报告》见附件（附件1）。</w:t>
      </w:r>
    </w:p>
    <w:p>
      <w:pPr>
        <w:pStyle w:val="2"/>
        <w:pageBreakBefore w:val="0"/>
        <w:kinsoku/>
        <w:wordWrap/>
        <w:overflowPunct/>
        <w:topLinePunct w:val="0"/>
        <w:bidi w:val="0"/>
        <w:spacing w:line="360" w:lineRule="auto"/>
        <w:textAlignment w:val="auto"/>
      </w:pPr>
    </w:p>
    <w:p>
      <w:pPr>
        <w:pageBreakBefore w:val="0"/>
        <w:numPr>
          <w:ilvl w:val="0"/>
          <w:numId w:val="10"/>
        </w:numPr>
        <w:kinsoku/>
        <w:wordWrap/>
        <w:overflowPunct/>
        <w:topLinePunct w:val="0"/>
        <w:bidi w:val="0"/>
        <w:spacing w:line="360" w:lineRule="auto"/>
        <w:ind w:firstLine="660" w:firstLineChars="150"/>
        <w:jc w:val="center"/>
        <w:textAlignment w:val="auto"/>
        <w:outlineLvl w:val="0"/>
        <w:rPr>
          <w:rStyle w:val="25"/>
          <w:rFonts w:ascii="黑体" w:hAnsi="黑体" w:eastAsia="黑体"/>
          <w:b w:val="0"/>
        </w:rPr>
      </w:pPr>
      <w:bookmarkStart w:id="78" w:name="_Toc21924"/>
      <w:bookmarkStart w:id="79" w:name="_Toc15396613"/>
      <w:bookmarkStart w:id="80"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78"/>
      <w:bookmarkEnd w:id="79"/>
      <w:bookmarkEnd w:id="80"/>
    </w:p>
    <w:p>
      <w:pPr>
        <w:pageBreakBefore w:val="0"/>
        <w:kinsoku/>
        <w:wordWrap/>
        <w:overflowPunct/>
        <w:topLinePunct w:val="0"/>
        <w:bidi w:val="0"/>
        <w:spacing w:line="360" w:lineRule="auto"/>
        <w:jc w:val="left"/>
        <w:textAlignment w:val="auto"/>
        <w:rPr>
          <w:rFonts w:ascii="宋体"/>
          <w:b/>
          <w:color w:val="000000"/>
          <w:sz w:val="44"/>
          <w:szCs w:val="44"/>
        </w:rPr>
      </w:pPr>
    </w:p>
    <w:p>
      <w:pPr>
        <w:pStyle w:val="23"/>
        <w:pageBreakBefore w:val="0"/>
        <w:kinsoku/>
        <w:wordWrap/>
        <w:overflowPunct/>
        <w:topLinePunct w:val="0"/>
        <w:bidi w:val="0"/>
        <w:spacing w:line="360" w:lineRule="auto"/>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pageBreakBefore w:val="0"/>
        <w:kinsoku/>
        <w:wordWrap/>
        <w:overflowPunct/>
        <w:topLinePunct w:val="0"/>
        <w:bidi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3"/>
        <w:pageBreakBefore w:val="0"/>
        <w:kinsoku/>
        <w:wordWrap/>
        <w:overflowPunct/>
        <w:topLinePunct w:val="0"/>
        <w:bidi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pageBreakBefore w:val="0"/>
        <w:kinsoku/>
        <w:wordWrap/>
        <w:overflowPunct/>
        <w:topLinePunct w:val="0"/>
        <w:bidi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360" w:lineRule="auto"/>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20102-政协事务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指各级政治协商会议的支出。</w:t>
      </w:r>
    </w:p>
    <w:p>
      <w:pPr>
        <w:pageBreakBefore w:val="0"/>
        <w:kinsoku/>
        <w:wordWrap/>
        <w:overflowPunct/>
        <w:topLinePunct w:val="0"/>
        <w:bidi w:val="0"/>
        <w:spacing w:line="360" w:lineRule="auto"/>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a.2010201-行政运行</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行政单位的基本支出</w:t>
      </w:r>
      <w:r>
        <w:rPr>
          <w:rFonts w:hint="eastAsia" w:ascii="仿宋_GB2312" w:eastAsia="仿宋_GB2312"/>
          <w:color w:val="000000"/>
          <w:sz w:val="32"/>
          <w:szCs w:val="32"/>
        </w:rPr>
        <w:t>。</w:t>
      </w:r>
    </w:p>
    <w:p>
      <w:pPr>
        <w:pStyle w:val="2"/>
        <w:pageBreakBefore w:val="0"/>
        <w:kinsoku/>
        <w:wordWrap/>
        <w:overflowPunct/>
        <w:topLinePunct w:val="0"/>
        <w:bidi w:val="0"/>
        <w:spacing w:line="360" w:lineRule="auto"/>
        <w:ind w:firstLine="64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b.2010202-一般行政管理事务（项）：指行政单位未单独设置顶级科目的其他项目支出。</w:t>
      </w:r>
    </w:p>
    <w:p>
      <w:pPr>
        <w:pageBreakBefore w:val="0"/>
        <w:kinsoku/>
        <w:wordWrap/>
        <w:overflowPunct/>
        <w:topLinePunct w:val="0"/>
        <w:bidi w:val="0"/>
        <w:spacing w:line="360" w:lineRule="auto"/>
        <w:ind w:firstLine="640"/>
        <w:textAlignment w:val="auto"/>
        <w:rPr>
          <w:rFonts w:hint="default"/>
          <w:sz w:val="32"/>
          <w:szCs w:val="32"/>
          <w:lang w:val="en-US" w:eastAsia="zh-CN"/>
        </w:rPr>
      </w:pPr>
      <w:r>
        <w:rPr>
          <w:rFonts w:hint="eastAsia"/>
          <w:sz w:val="32"/>
          <w:szCs w:val="32"/>
          <w:lang w:val="en-US" w:eastAsia="zh-CN"/>
        </w:rPr>
        <w:t>c</w:t>
      </w:r>
      <w:r>
        <w:rPr>
          <w:rFonts w:hint="eastAsia" w:ascii="仿宋_GB2312" w:eastAsia="仿宋_GB2312"/>
          <w:color w:val="000000"/>
          <w:sz w:val="32"/>
          <w:szCs w:val="32"/>
          <w:lang w:val="en-US" w:eastAsia="zh-CN"/>
        </w:rPr>
        <w:t>.2010204-政协会议（项）：指各级政协召开“政协会”等专门会议的支出。</w:t>
      </w:r>
    </w:p>
    <w:p>
      <w:pPr>
        <w:pStyle w:val="2"/>
        <w:pageBreakBefore w:val="0"/>
        <w:kinsoku/>
        <w:wordWrap/>
        <w:overflowPunct/>
        <w:topLinePunct w:val="0"/>
        <w:bidi w:val="0"/>
        <w:spacing w:line="360" w:lineRule="auto"/>
        <w:ind w:firstLine="640" w:firstLineChars="200"/>
        <w:textAlignment w:val="auto"/>
        <w:rPr>
          <w:rFonts w:hint="default"/>
          <w:sz w:val="32"/>
          <w:szCs w:val="32"/>
          <w:lang w:val="en-US" w:eastAsia="zh-CN"/>
        </w:rPr>
      </w:pPr>
      <w:r>
        <w:rPr>
          <w:rFonts w:hint="eastAsia"/>
          <w:sz w:val="32"/>
          <w:szCs w:val="32"/>
          <w:lang w:val="en-US" w:eastAsia="zh-CN"/>
        </w:rPr>
        <w:t>d.</w:t>
      </w:r>
      <w:r>
        <w:rPr>
          <w:rFonts w:hint="eastAsia" w:ascii="仿宋_GB2312" w:eastAsia="仿宋_GB2312"/>
          <w:color w:val="000000"/>
          <w:sz w:val="32"/>
          <w:szCs w:val="32"/>
          <w:lang w:val="en-US" w:eastAsia="zh-CN"/>
        </w:rPr>
        <w:t>2010205-委员视察（项）：指政协委员开展各类视察的支出。</w:t>
      </w:r>
    </w:p>
    <w:p>
      <w:pPr>
        <w:pageBreakBefore w:val="0"/>
        <w:kinsoku/>
        <w:wordWrap/>
        <w:overflowPunct/>
        <w:topLinePunct w:val="0"/>
        <w:bidi w:val="0"/>
        <w:spacing w:line="360" w:lineRule="auto"/>
        <w:textAlignment w:val="auto"/>
        <w:rPr>
          <w:rFonts w:hint="default" w:ascii="仿宋_GB2312" w:eastAsia="仿宋_GB2312"/>
          <w:color w:val="000000"/>
          <w:sz w:val="32"/>
          <w:szCs w:val="32"/>
          <w:lang w:val="en-US" w:eastAsia="zh-CN"/>
        </w:rPr>
      </w:pPr>
      <w:r>
        <w:rPr>
          <w:rFonts w:hint="eastAsia"/>
          <w:lang w:val="en-US" w:eastAsia="zh-CN"/>
        </w:rPr>
        <w:t xml:space="preserve">      </w:t>
      </w:r>
      <w:r>
        <w:rPr>
          <w:rFonts w:hint="eastAsia"/>
          <w:sz w:val="32"/>
          <w:szCs w:val="32"/>
          <w:lang w:val="en-US" w:eastAsia="zh-CN"/>
        </w:rPr>
        <w:t>e</w:t>
      </w:r>
      <w:r>
        <w:rPr>
          <w:rFonts w:hint="eastAsia" w:ascii="仿宋_GB2312" w:eastAsia="仿宋_GB2312"/>
          <w:color w:val="000000"/>
          <w:sz w:val="32"/>
          <w:szCs w:val="32"/>
          <w:lang w:val="en-US" w:eastAsia="zh-CN"/>
        </w:rPr>
        <w:t>.2010206-参政议政（项）：指政协为参政议政进行调研、检查等方面的支出。</w:t>
      </w:r>
    </w:p>
    <w:p>
      <w:pPr>
        <w:pStyle w:val="2"/>
        <w:pageBreakBefore w:val="0"/>
        <w:kinsoku/>
        <w:wordWrap/>
        <w:overflowPunct/>
        <w:topLinePunct w:val="0"/>
        <w:bidi w:val="0"/>
        <w:spacing w:line="360" w:lineRule="auto"/>
        <w:textAlignment w:val="auto"/>
        <w:rPr>
          <w:rFonts w:hint="default" w:eastAsia="仿宋_GB2312"/>
          <w:lang w:val="en-US" w:eastAsia="zh-CN"/>
        </w:rPr>
      </w:pPr>
      <w:r>
        <w:rPr>
          <w:rFonts w:hint="eastAsia" w:ascii="仿宋_GB2312" w:eastAsia="仿宋_GB2312"/>
          <w:color w:val="000000"/>
          <w:sz w:val="32"/>
          <w:szCs w:val="32"/>
          <w:lang w:val="en-US" w:eastAsia="zh-CN"/>
        </w:rPr>
        <w:t xml:space="preserve">     </w:t>
      </w:r>
      <w:r>
        <w:rPr>
          <w:rFonts w:hint="default" w:ascii="Calibri" w:hAnsi="Calibri" w:eastAsia="仿宋_GB2312" w:cs="Calibri"/>
          <w:color w:val="000000"/>
          <w:sz w:val="32"/>
          <w:szCs w:val="32"/>
        </w:rPr>
        <w:t>②</w:t>
      </w:r>
      <w:r>
        <w:rPr>
          <w:rFonts w:hint="eastAsia" w:ascii="仿宋_GB2312" w:eastAsia="仿宋_GB2312"/>
          <w:color w:val="000000"/>
          <w:sz w:val="32"/>
          <w:szCs w:val="32"/>
          <w:lang w:val="en-US" w:eastAsia="zh-CN"/>
        </w:rPr>
        <w:t>20199-其他一般公共服务支出</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2019999-其他一般公共服务支出（项）：指除上述项目以外的其他一般公共服务支出。</w:t>
      </w:r>
    </w:p>
    <w:p>
      <w:pPr>
        <w:pageBreakBefore w:val="0"/>
        <w:numPr>
          <w:ilvl w:val="0"/>
          <w:numId w:val="5"/>
        </w:numPr>
        <w:kinsoku/>
        <w:wordWrap/>
        <w:overflowPunct/>
        <w:topLinePunct w:val="0"/>
        <w:bidi w:val="0"/>
        <w:spacing w:line="360" w:lineRule="auto"/>
        <w:ind w:left="0"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20805-行政事业单位离退休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指行政事业单位离退休方面的支出</w:t>
      </w:r>
      <w:r>
        <w:rPr>
          <w:rFonts w:hint="eastAsia" w:ascii="仿宋_GB2312" w:eastAsia="仿宋_GB2312"/>
          <w:color w:val="000000"/>
          <w:sz w:val="32"/>
          <w:szCs w:val="32"/>
        </w:rPr>
        <w:t>。</w:t>
      </w:r>
    </w:p>
    <w:p>
      <w:pPr>
        <w:pageBreakBefore w:val="0"/>
        <w:kinsoku/>
        <w:wordWrap/>
        <w:overflowPunct/>
        <w:topLinePunct w:val="0"/>
        <w:bidi w:val="0"/>
        <w:spacing w:line="360" w:lineRule="auto"/>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a.2080505-机关事业单位基本养老保险缴费支出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养老保险</w:t>
      </w:r>
      <w:r>
        <w:rPr>
          <w:rFonts w:hint="eastAsia" w:ascii="仿宋_GB2312" w:eastAsia="仿宋_GB2312"/>
          <w:color w:val="000000"/>
          <w:sz w:val="32"/>
          <w:szCs w:val="32"/>
        </w:rPr>
        <w:t>。</w:t>
      </w:r>
    </w:p>
    <w:p>
      <w:pPr>
        <w:pStyle w:val="2"/>
        <w:pageBreakBefore w:val="0"/>
        <w:kinsoku/>
        <w:wordWrap/>
        <w:overflowPunct/>
        <w:topLinePunct w:val="0"/>
        <w:bidi w:val="0"/>
        <w:spacing w:line="360" w:lineRule="auto"/>
        <w:ind w:firstLine="640"/>
        <w:textAlignment w:val="auto"/>
      </w:pPr>
      <w:r>
        <w:rPr>
          <w:rFonts w:hint="eastAsia" w:ascii="仿宋_GB2312" w:eastAsia="仿宋_GB2312"/>
          <w:color w:val="000000"/>
          <w:sz w:val="32"/>
          <w:szCs w:val="32"/>
          <w:lang w:val="en-US" w:eastAsia="zh-CN"/>
        </w:rPr>
        <w:t>b.2080506-机关事业单位职业年金缴费支出（项）：指职业年金。</w:t>
      </w:r>
    </w:p>
    <w:p>
      <w:pPr>
        <w:pageBreakBefore w:val="0"/>
        <w:numPr>
          <w:ilvl w:val="0"/>
          <w:numId w:val="5"/>
        </w:numPr>
        <w:kinsoku/>
        <w:wordWrap/>
        <w:overflowPunct/>
        <w:topLinePunct w:val="0"/>
        <w:bidi w:val="0"/>
        <w:spacing w:line="360" w:lineRule="auto"/>
        <w:ind w:left="0"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21011-行政事业单位医疗</w:t>
      </w:r>
      <w:r>
        <w:rPr>
          <w:rFonts w:hint="eastAsia" w:ascii="仿宋_GB2312" w:eastAsia="仿宋_GB2312"/>
          <w:color w:val="000000"/>
          <w:sz w:val="32"/>
          <w:szCs w:val="32"/>
        </w:rPr>
        <w:t>（款）</w:t>
      </w:r>
    </w:p>
    <w:p>
      <w:pPr>
        <w:pageBreakBefore w:val="0"/>
        <w:kinsoku/>
        <w:wordWrap/>
        <w:overflowPunct/>
        <w:topLinePunct w:val="0"/>
        <w:bidi w:val="0"/>
        <w:spacing w:line="360" w:lineRule="auto"/>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a.2101101-行政单位医疗</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指财政部门集中安排的行政单位基本医疗保险缴费经费</w:t>
      </w:r>
      <w:r>
        <w:rPr>
          <w:rFonts w:hint="eastAsia" w:ascii="仿宋_GB2312" w:eastAsia="仿宋_GB2312"/>
          <w:color w:val="000000"/>
          <w:sz w:val="32"/>
          <w:szCs w:val="32"/>
        </w:rPr>
        <w:t>。</w:t>
      </w:r>
    </w:p>
    <w:p>
      <w:pPr>
        <w:pStyle w:val="2"/>
        <w:pageBreakBefore w:val="0"/>
        <w:kinsoku/>
        <w:wordWrap/>
        <w:overflowPunct/>
        <w:topLinePunct w:val="0"/>
        <w:bidi w:val="0"/>
        <w:spacing w:line="360" w:lineRule="auto"/>
        <w:ind w:firstLine="64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b.2101103-公务员医疗补助（项）：指财政部门集中安排的公务员医疗补助经费。</w:t>
      </w:r>
    </w:p>
    <w:p>
      <w:pPr>
        <w:pageBreakBefore w:val="0"/>
        <w:numPr>
          <w:ilvl w:val="0"/>
          <w:numId w:val="5"/>
        </w:numPr>
        <w:kinsoku/>
        <w:wordWrap/>
        <w:overflowPunct/>
        <w:topLinePunct w:val="0"/>
        <w:bidi w:val="0"/>
        <w:spacing w:line="360" w:lineRule="auto"/>
        <w:ind w:left="0" w:leftChars="0" w:firstLine="640" w:firstLineChars="200"/>
        <w:textAlignment w:val="auto"/>
        <w:rPr>
          <w:rFonts w:ascii="仿宋" w:hAnsi="仿宋" w:eastAsia="仿宋"/>
          <w:b/>
          <w:color w:val="000000"/>
          <w:sz w:val="32"/>
          <w:szCs w:val="32"/>
        </w:rPr>
      </w:pP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22102-住房改革支出</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2210201-住房公积金</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行政事业单位按人力资源和社会保障部、财政部规定的基本工资和津补贴一级规定比例为职工缴纳的住房公积金</w:t>
      </w:r>
      <w:r>
        <w:rPr>
          <w:rFonts w:hint="eastAsia" w:ascii="仿宋_GB2312" w:eastAsia="仿宋_GB2312"/>
          <w:color w:val="000000"/>
          <w:sz w:val="32"/>
          <w:szCs w:val="32"/>
        </w:rPr>
        <w:t>。</w:t>
      </w:r>
    </w:p>
    <w:p>
      <w:pPr>
        <w:pageBreakBefore w:val="0"/>
        <w:kinsoku/>
        <w:wordWrap/>
        <w:overflowPunct/>
        <w:topLinePunct w:val="0"/>
        <w:bidi w:val="0"/>
        <w:spacing w:line="360" w:lineRule="auto"/>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23"/>
        <w:pageBreakBefore w:val="0"/>
        <w:kinsoku/>
        <w:wordWrap/>
        <w:overflowPunct/>
        <w:topLinePunct w:val="0"/>
        <w:bidi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kinsoku/>
        <w:wordWrap/>
        <w:overflowPunct/>
        <w:topLinePunct w:val="0"/>
        <w:bidi w:val="0"/>
        <w:spacing w:line="360" w:lineRule="auto"/>
        <w:ind w:firstLine="640" w:firstLineChars="200"/>
        <w:textAlignment w:val="auto"/>
        <w:rPr>
          <w:rStyle w:val="25"/>
          <w:rFonts w:hint="eastAsia" w:ascii="黑体" w:hAnsi="黑体" w:eastAsia="黑体"/>
          <w:b w:val="0"/>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81" w:name="_Toc15377226"/>
      <w:r>
        <w:rPr>
          <w:rFonts w:hint="eastAsia" w:ascii="仿宋_GB2312" w:eastAsia="仿宋_GB2312"/>
          <w:sz w:val="32"/>
          <w:szCs w:val="32"/>
          <w:lang w:eastAsia="zh-CN"/>
        </w:rPr>
        <w:t>。</w:t>
      </w:r>
      <w:r>
        <w:rPr>
          <w:rFonts w:ascii="宋体"/>
          <w:b/>
          <w:color w:val="000000"/>
          <w:sz w:val="44"/>
          <w:szCs w:val="44"/>
        </w:rPr>
        <w:br w:type="page"/>
      </w:r>
      <w:bookmarkStart w:id="82" w:name="_Toc15396614"/>
      <w:r>
        <w:rPr>
          <w:rFonts w:hint="eastAsia" w:ascii="宋体"/>
          <w:b/>
          <w:color w:val="000000"/>
          <w:sz w:val="44"/>
          <w:szCs w:val="44"/>
          <w:lang w:val="en-US" w:eastAsia="zh-CN"/>
        </w:rPr>
        <w:t xml:space="preserve">           </w:t>
      </w:r>
      <w:r>
        <w:rPr>
          <w:rFonts w:hint="eastAsia" w:ascii="黑体" w:hAnsi="黑体" w:eastAsia="黑体"/>
          <w:color w:val="000000"/>
          <w:sz w:val="44"/>
          <w:szCs w:val="44"/>
        </w:rPr>
        <w:t>第</w:t>
      </w:r>
      <w:r>
        <w:rPr>
          <w:rStyle w:val="25"/>
          <w:rFonts w:hint="eastAsia" w:ascii="黑体" w:hAnsi="黑体" w:eastAsia="黑体"/>
          <w:b w:val="0"/>
        </w:rPr>
        <w:t>四部分 附件</w:t>
      </w:r>
      <w:bookmarkEnd w:id="82"/>
    </w:p>
    <w:p>
      <w:pPr>
        <w:pStyle w:val="23"/>
        <w:pageBreakBefore w:val="0"/>
        <w:kinsoku/>
        <w:wordWrap/>
        <w:overflowPunct/>
        <w:topLinePunct w:val="0"/>
        <w:bidi w:val="0"/>
        <w:spacing w:line="360" w:lineRule="auto"/>
        <w:ind w:firstLine="880" w:firstLineChars="200"/>
        <w:textAlignment w:val="auto"/>
        <w:rPr>
          <w:rStyle w:val="25"/>
          <w:rFonts w:hint="eastAsia" w:ascii="黑体" w:hAnsi="黑体" w:eastAsia="黑体"/>
          <w:b w:val="0"/>
        </w:rPr>
      </w:pPr>
    </w:p>
    <w:p>
      <w:pPr>
        <w:pageBreakBefore w:val="0"/>
        <w:kinsoku/>
        <w:wordWrap/>
        <w:overflowPunct/>
        <w:topLinePunct w:val="0"/>
        <w:bidi w:val="0"/>
        <w:spacing w:line="360" w:lineRule="auto"/>
        <w:jc w:val="left"/>
        <w:textAlignment w:val="auto"/>
        <w:outlineLvl w:val="0"/>
        <w:rPr>
          <w:rFonts w:ascii="方正小标宋简体" w:hAnsi="方正小标宋简体" w:eastAsia="方正小标宋简体" w:cs="方正小标宋简体"/>
          <w:sz w:val="32"/>
          <w:szCs w:val="32"/>
        </w:rPr>
      </w:pPr>
      <w:bookmarkStart w:id="83" w:name="_Toc28453"/>
      <w:r>
        <w:rPr>
          <w:rFonts w:hint="eastAsia" w:ascii="黑体" w:hAnsi="黑体" w:eastAsia="黑体" w:cs="黑体"/>
          <w:sz w:val="32"/>
          <w:szCs w:val="32"/>
        </w:rPr>
        <w:t>附件1</w:t>
      </w:r>
      <w:bookmarkEnd w:id="83"/>
    </w:p>
    <w:p>
      <w:pPr>
        <w:pageBreakBefore w:val="0"/>
        <w:kinsoku/>
        <w:wordWrap/>
        <w:overflowPunct/>
        <w:topLinePunct w:val="0"/>
        <w:bidi w:val="0"/>
        <w:spacing w:line="360" w:lineRule="auto"/>
        <w:jc w:val="center"/>
        <w:textAlignment w:val="auto"/>
        <w:rPr>
          <w:rFonts w:ascii="方正小标宋简体" w:hAnsi="方正小标宋简体" w:eastAsia="方正小标宋简体" w:cs="方正小标宋简体"/>
          <w:sz w:val="44"/>
          <w:szCs w:val="44"/>
        </w:rPr>
      </w:pPr>
    </w:p>
    <w:p>
      <w:pPr>
        <w:pageBreakBefore w:val="0"/>
        <w:kinsoku/>
        <w:wordWrap/>
        <w:overflowPunct/>
        <w:topLinePunct w:val="0"/>
        <w:bidi w:val="0"/>
        <w:spacing w:line="360" w:lineRule="auto"/>
        <w:jc w:val="center"/>
        <w:textAlignment w:val="auto"/>
        <w:outlineLvl w:val="0"/>
        <w:rPr>
          <w:rFonts w:hint="eastAsia" w:ascii="方正小标宋简体" w:hAnsi="宋体" w:eastAsia="方正小标宋简体"/>
          <w:color w:val="000000"/>
          <w:kern w:val="0"/>
          <w:sz w:val="40"/>
          <w:szCs w:val="44"/>
          <w:lang w:val="en-US" w:eastAsia="zh-CN"/>
        </w:rPr>
      </w:pPr>
      <w:bookmarkStart w:id="84" w:name="_Toc9787"/>
      <w:bookmarkStart w:id="85" w:name="_Toc1300"/>
      <w:r>
        <w:rPr>
          <w:rFonts w:hint="eastAsia" w:ascii="方正小标宋简体" w:hAnsi="宋体" w:eastAsia="方正小标宋简体"/>
          <w:color w:val="000000"/>
          <w:kern w:val="0"/>
          <w:sz w:val="40"/>
          <w:szCs w:val="44"/>
          <w:lang w:val="en-US" w:eastAsia="zh-CN"/>
        </w:rPr>
        <w:t>政协红原县委员会办公室</w:t>
      </w:r>
      <w:bookmarkEnd w:id="84"/>
      <w:bookmarkEnd w:id="85"/>
    </w:p>
    <w:p>
      <w:pPr>
        <w:pageBreakBefore w:val="0"/>
        <w:kinsoku/>
        <w:wordWrap/>
        <w:overflowPunct/>
        <w:topLinePunct w:val="0"/>
        <w:bidi w:val="0"/>
        <w:spacing w:line="360" w:lineRule="auto"/>
        <w:jc w:val="center"/>
        <w:textAlignment w:val="auto"/>
        <w:outlineLvl w:val="0"/>
        <w:rPr>
          <w:rFonts w:ascii="方正小标宋简体" w:hAnsi="宋体" w:eastAsia="方正小标宋简体"/>
          <w:color w:val="000000"/>
          <w:kern w:val="0"/>
          <w:sz w:val="40"/>
          <w:szCs w:val="44"/>
          <w:lang w:val="zh-CN"/>
        </w:rPr>
      </w:pPr>
      <w:bookmarkStart w:id="86" w:name="_Toc14182"/>
      <w:bookmarkStart w:id="87" w:name="_Toc15820"/>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bookmarkEnd w:id="86"/>
      <w:bookmarkEnd w:id="87"/>
    </w:p>
    <w:p>
      <w:pPr>
        <w:pageBreakBefore w:val="0"/>
        <w:widowControl/>
        <w:kinsoku/>
        <w:wordWrap/>
        <w:overflowPunct/>
        <w:topLinePunct w:val="0"/>
        <w:bidi w:val="0"/>
        <w:adjustRightInd w:val="0"/>
        <w:snapToGrid w:val="0"/>
        <w:spacing w:line="360" w:lineRule="auto"/>
        <w:ind w:firstLine="480" w:firstLineChars="200"/>
        <w:contextualSpacing/>
        <w:jc w:val="left"/>
        <w:textAlignment w:val="auto"/>
        <w:rPr>
          <w:rFonts w:ascii="黑体" w:hAnsi="宋体" w:eastAsia="黑体" w:cs="宋体"/>
          <w:color w:val="000000"/>
          <w:kern w:val="0"/>
          <w:sz w:val="24"/>
          <w:szCs w:val="32"/>
          <w:shd w:val="clear" w:color="auto" w:fill="FFFFFF"/>
        </w:rPr>
      </w:pPr>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outlineLvl w:val="1"/>
        <w:rPr>
          <w:rFonts w:ascii="黑体" w:hAnsi="宋体" w:eastAsia="黑体" w:cs="宋体"/>
          <w:color w:val="000000"/>
          <w:kern w:val="0"/>
          <w:sz w:val="32"/>
          <w:szCs w:val="32"/>
          <w:shd w:val="clear" w:color="auto" w:fill="FFFFFF"/>
          <w:lang w:val="zh-CN"/>
        </w:rPr>
      </w:pPr>
      <w:bookmarkStart w:id="88" w:name="_Toc12737"/>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88"/>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ageBreakBefore w:val="0"/>
        <w:kinsoku/>
        <w:wordWrap/>
        <w:overflowPunct/>
        <w:topLinePunct w:val="0"/>
        <w:bidi w:val="0"/>
        <w:spacing w:line="360" w:lineRule="auto"/>
        <w:ind w:firstLine="640" w:firstLineChars="200"/>
        <w:textAlignment w:val="auto"/>
        <w:rPr>
          <w:lang w:val="zh-CN"/>
        </w:rPr>
      </w:pPr>
      <w:r>
        <w:rPr>
          <w:rFonts w:hint="eastAsia" w:ascii="仿宋_GB2312" w:hAnsi="宋体" w:eastAsia="仿宋_GB2312" w:cs="宋体"/>
          <w:color w:val="000000"/>
          <w:kern w:val="0"/>
          <w:sz w:val="32"/>
          <w:szCs w:val="32"/>
          <w:shd w:val="clear" w:color="auto" w:fill="FFFFFF"/>
          <w:lang w:val="zh-CN"/>
        </w:rPr>
        <w:tab/>
      </w:r>
      <w:r>
        <w:rPr>
          <w:rFonts w:hint="eastAsia" w:ascii="仿宋_GB2312" w:hAnsi="宋体" w:eastAsia="仿宋_GB2312" w:cs="宋体"/>
          <w:color w:val="auto"/>
          <w:kern w:val="0"/>
          <w:sz w:val="32"/>
          <w:szCs w:val="32"/>
          <w:lang w:val="zh-CN"/>
        </w:rPr>
        <w:t>县政协属于一级预算单位，行政单位，下设</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lang w:val="zh-CN"/>
        </w:rPr>
        <w:t>个股室：</w:t>
      </w:r>
      <w:r>
        <w:rPr>
          <w:rFonts w:hint="eastAsia" w:ascii="仿宋_GB2312" w:hAnsi="仿宋" w:eastAsia="仿宋_GB2312"/>
          <w:color w:val="auto"/>
          <w:sz w:val="32"/>
          <w:szCs w:val="32"/>
        </w:rPr>
        <w:t>经济科技文卫委、民族宗教委、文史提案委和办公室，其中办公室</w:t>
      </w:r>
      <w:r>
        <w:rPr>
          <w:rFonts w:hint="eastAsia" w:ascii="仿宋_GB2312" w:hAnsi="仿宋" w:eastAsia="仿宋_GB2312" w:cs="仿宋"/>
          <w:color w:val="auto"/>
          <w:sz w:val="32"/>
          <w:szCs w:val="32"/>
        </w:rPr>
        <w:t>下设机构有秘书股、行政后勤股、综合股</w:t>
      </w:r>
      <w:r>
        <w:rPr>
          <w:rFonts w:hint="eastAsia" w:ascii="仿宋_GB2312" w:hAnsi="宋体" w:eastAsia="仿宋_GB2312" w:cs="宋体"/>
          <w:color w:val="auto"/>
          <w:kern w:val="0"/>
          <w:sz w:val="32"/>
          <w:szCs w:val="32"/>
          <w:lang w:val="zh-CN"/>
        </w:rPr>
        <w:t>。</w:t>
      </w:r>
    </w:p>
    <w:p>
      <w:pPr>
        <w:pageBreakBefore w:val="0"/>
        <w:widowControl/>
        <w:numPr>
          <w:ilvl w:val="0"/>
          <w:numId w:val="11"/>
        </w:numPr>
        <w:kinsoku/>
        <w:wordWrap/>
        <w:overflowPunct/>
        <w:topLinePunct w:val="0"/>
        <w:bidi w:val="0"/>
        <w:adjustRightInd w:val="0"/>
        <w:snapToGrid w:val="0"/>
        <w:spacing w:line="360" w:lineRule="auto"/>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ageBreakBefore w:val="0"/>
        <w:kinsoku/>
        <w:wordWrap/>
        <w:overflowPunct/>
        <w:topLinePunct w:val="0"/>
        <w:bidi w:val="0"/>
        <w:spacing w:line="360" w:lineRule="auto"/>
        <w:ind w:firstLine="420" w:firstLineChars="200"/>
        <w:textAlignment w:val="auto"/>
        <w:rPr>
          <w:rFonts w:ascii="仿宋_GB2312" w:hAnsi="楷体" w:eastAsia="仿宋_GB2312" w:cs="楷体"/>
          <w:b/>
          <w:bCs/>
          <w:color w:val="auto"/>
          <w:sz w:val="32"/>
          <w:szCs w:val="32"/>
        </w:rPr>
      </w:pPr>
      <w:r>
        <w:rPr>
          <w:rFonts w:hint="eastAsia"/>
          <w:lang w:val="zh-CN"/>
        </w:rPr>
        <w:tab/>
      </w:r>
      <w:r>
        <w:rPr>
          <w:rFonts w:hint="eastAsia" w:ascii="仿宋_GB2312" w:hAnsi="仿宋" w:eastAsia="仿宋_GB2312" w:cs="仿宋"/>
          <w:color w:val="auto"/>
          <w:sz w:val="32"/>
          <w:szCs w:val="32"/>
        </w:rPr>
        <w:t>主要职能是：政治协商、</w:t>
      </w:r>
      <w:r>
        <w:rPr>
          <w:color w:val="auto"/>
          <w:u w:val="none"/>
        </w:rPr>
        <w:fldChar w:fldCharType="begin"/>
      </w:r>
      <w:r>
        <w:rPr>
          <w:color w:val="auto"/>
          <w:u w:val="none"/>
        </w:rPr>
        <w:instrText xml:space="preserve"> HYPERLINK "http://www.baidu.com/s?wd=%E6%B0%91%E4%B8%BB%E7%9B%91%E7%9D%A3&amp;hl_tag=textlink&amp;tn=SE_hldp01350_v6v6zkg6" \t "http://zhidao.baidu.com/question/_blank" </w:instrText>
      </w:r>
      <w:r>
        <w:rPr>
          <w:color w:val="auto"/>
          <w:u w:val="none"/>
        </w:rPr>
        <w:fldChar w:fldCharType="separate"/>
      </w:r>
      <w:r>
        <w:rPr>
          <w:rStyle w:val="16"/>
          <w:rFonts w:hint="eastAsia" w:ascii="仿宋_GB2312" w:hAnsi="仿宋" w:eastAsia="仿宋_GB2312" w:cs="仿宋"/>
          <w:color w:val="auto"/>
          <w:sz w:val="32"/>
          <w:szCs w:val="32"/>
          <w:u w:val="none"/>
        </w:rPr>
        <w:t>民主监督</w:t>
      </w:r>
      <w:r>
        <w:rPr>
          <w:rStyle w:val="16"/>
          <w:rFonts w:hint="eastAsia" w:ascii="仿宋_GB2312" w:hAnsi="仿宋" w:eastAsia="仿宋_GB2312" w:cs="仿宋"/>
          <w:color w:val="auto"/>
          <w:sz w:val="32"/>
          <w:szCs w:val="32"/>
          <w:u w:val="none"/>
        </w:rPr>
        <w:fldChar w:fldCharType="end"/>
      </w:r>
      <w:r>
        <w:rPr>
          <w:rFonts w:hint="eastAsia" w:ascii="仿宋_GB2312" w:hAnsi="仿宋" w:eastAsia="仿宋_GB2312" w:cs="仿宋"/>
          <w:color w:val="auto"/>
          <w:sz w:val="32"/>
          <w:szCs w:val="32"/>
        </w:rPr>
        <w:t>、参政议政，这也是政协工作的立足点。通过履行三大职能，多层次、多形式地对党委政府的大政方针和重要事务以及关系群众生活的重要问题进行政治协商，并通过建议和批评，发挥</w:t>
      </w:r>
      <w:r>
        <w:rPr>
          <w:color w:val="auto"/>
          <w:u w:val="none"/>
        </w:rPr>
        <w:fldChar w:fldCharType="begin"/>
      </w:r>
      <w:r>
        <w:rPr>
          <w:color w:val="auto"/>
          <w:u w:val="none"/>
        </w:rPr>
        <w:instrText xml:space="preserve"> HYPERLINK "http://www.baidu.com/s?wd=%E6%B0%91%E4%B8%BB%E7%9B%91%E7%9D%A3&amp;hl_tag=textlink&amp;tn=SE_hldp01350_v6v6zkg6" \t "http://zhidao.baidu.com/question/_blank" </w:instrText>
      </w:r>
      <w:r>
        <w:rPr>
          <w:color w:val="auto"/>
          <w:u w:val="none"/>
        </w:rPr>
        <w:fldChar w:fldCharType="separate"/>
      </w:r>
      <w:r>
        <w:rPr>
          <w:rStyle w:val="16"/>
          <w:rFonts w:hint="eastAsia" w:ascii="仿宋_GB2312" w:hAnsi="仿宋" w:eastAsia="仿宋_GB2312" w:cs="仿宋"/>
          <w:color w:val="auto"/>
          <w:sz w:val="32"/>
          <w:szCs w:val="32"/>
          <w:u w:val="none"/>
        </w:rPr>
        <w:t>民主监督</w:t>
      </w:r>
      <w:r>
        <w:rPr>
          <w:rStyle w:val="16"/>
          <w:rFonts w:hint="eastAsia" w:ascii="仿宋_GB2312" w:hAnsi="仿宋" w:eastAsia="仿宋_GB2312" w:cs="仿宋"/>
          <w:color w:val="auto"/>
          <w:sz w:val="32"/>
          <w:szCs w:val="32"/>
          <w:u w:val="none"/>
        </w:rPr>
        <w:fldChar w:fldCharType="end"/>
      </w:r>
      <w:r>
        <w:rPr>
          <w:rFonts w:hint="eastAsia" w:ascii="仿宋_GB2312" w:hAnsi="仿宋" w:eastAsia="仿宋_GB2312" w:cs="仿宋"/>
          <w:color w:val="auto"/>
          <w:sz w:val="32"/>
          <w:szCs w:val="32"/>
        </w:rPr>
        <w:t>的作用，把政治协商、</w:t>
      </w:r>
      <w:r>
        <w:rPr>
          <w:color w:val="auto"/>
          <w:u w:val="none"/>
        </w:rPr>
        <w:fldChar w:fldCharType="begin"/>
      </w:r>
      <w:r>
        <w:rPr>
          <w:color w:val="auto"/>
          <w:u w:val="none"/>
        </w:rPr>
        <w:instrText xml:space="preserve"> HYPERLINK "http://www.baidu.com/s?wd=%E6%B0%91%E4%B8%BB%E7%9B%91%E7%9D%A3&amp;hl_tag=textlink&amp;tn=SE_hldp01350_v6v6zkg6" \t "http://zhidao.baidu.com/question/_blank" </w:instrText>
      </w:r>
      <w:r>
        <w:rPr>
          <w:color w:val="auto"/>
          <w:u w:val="none"/>
        </w:rPr>
        <w:fldChar w:fldCharType="separate"/>
      </w:r>
      <w:r>
        <w:rPr>
          <w:rStyle w:val="16"/>
          <w:rFonts w:hint="eastAsia" w:ascii="仿宋_GB2312" w:hAnsi="仿宋" w:eastAsia="仿宋_GB2312" w:cs="仿宋"/>
          <w:color w:val="auto"/>
          <w:sz w:val="32"/>
          <w:szCs w:val="32"/>
          <w:u w:val="none"/>
        </w:rPr>
        <w:t>民主监督</w:t>
      </w:r>
      <w:r>
        <w:rPr>
          <w:rStyle w:val="16"/>
          <w:rFonts w:hint="eastAsia" w:ascii="仿宋_GB2312" w:hAnsi="仿宋" w:eastAsia="仿宋_GB2312" w:cs="仿宋"/>
          <w:color w:val="auto"/>
          <w:sz w:val="32"/>
          <w:szCs w:val="32"/>
          <w:u w:val="none"/>
        </w:rPr>
        <w:fldChar w:fldCharType="end"/>
      </w:r>
      <w:r>
        <w:rPr>
          <w:rFonts w:hint="eastAsia" w:ascii="仿宋_GB2312" w:hAnsi="仿宋" w:eastAsia="仿宋_GB2312" w:cs="仿宋"/>
          <w:color w:val="auto"/>
          <w:sz w:val="32"/>
          <w:szCs w:val="32"/>
        </w:rPr>
        <w:t>和改革开放、经济建设有机统一起来。</w:t>
      </w:r>
      <w:r>
        <w:rPr>
          <w:rFonts w:hint="eastAsia" w:ascii="仿宋_GB2312" w:hAnsi="Helvetica" w:eastAsia="仿宋_GB2312" w:cs="Helvetica"/>
          <w:color w:val="auto"/>
          <w:sz w:val="32"/>
          <w:szCs w:val="32"/>
        </w:rPr>
        <w:t>政协机关主要职责是负责政协各类会议的组织和会务工作，组织委员视察参观、调查、座谈等日常活动以及各专委会的其他工作的组织和服务工作，负责县政协举办各种重大活动的组织和宣传工作。</w:t>
      </w:r>
    </w:p>
    <w:p>
      <w:pPr>
        <w:pageBreakBefore w:val="0"/>
        <w:widowControl/>
        <w:numPr>
          <w:ilvl w:val="0"/>
          <w:numId w:val="11"/>
        </w:numPr>
        <w:kinsoku/>
        <w:wordWrap/>
        <w:overflowPunct/>
        <w:topLinePunct w:val="0"/>
        <w:bidi w:val="0"/>
        <w:adjustRightInd w:val="0"/>
        <w:snapToGrid w:val="0"/>
        <w:spacing w:line="360" w:lineRule="auto"/>
        <w:ind w:left="0" w:leftChars="0"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pageBreakBefore w:val="0"/>
        <w:widowControl/>
        <w:kinsoku/>
        <w:wordWrap/>
        <w:overflowPunct/>
        <w:topLinePunct w:val="0"/>
        <w:bidi w:val="0"/>
        <w:spacing w:line="360" w:lineRule="auto"/>
        <w:ind w:firstLine="640" w:firstLineChars="200"/>
        <w:jc w:val="left"/>
        <w:textAlignment w:val="auto"/>
        <w:rPr>
          <w:lang w:val="zh-CN"/>
        </w:rPr>
      </w:pPr>
      <w:r>
        <w:rPr>
          <w:rFonts w:hint="eastAsia" w:ascii="仿宋_GB2312" w:hAnsi="仿宋" w:eastAsia="仿宋_GB2312" w:cs="仿宋"/>
          <w:color w:val="auto"/>
          <w:sz w:val="32"/>
          <w:szCs w:val="32"/>
        </w:rPr>
        <w:t>本单位为独立核算全额拨款的行政单位，截止201</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rPr>
        <w:t>年底总编制</w:t>
      </w:r>
      <w:r>
        <w:rPr>
          <w:rFonts w:hint="eastAsia" w:ascii="仿宋_GB2312" w:hAnsi="仿宋" w:eastAsia="仿宋_GB2312" w:cs="仿宋"/>
          <w:color w:val="auto"/>
          <w:sz w:val="32"/>
          <w:szCs w:val="32"/>
          <w:lang w:val="en-US" w:eastAsia="zh-CN"/>
        </w:rPr>
        <w:t>18</w:t>
      </w:r>
      <w:r>
        <w:rPr>
          <w:rFonts w:hint="eastAsia" w:ascii="仿宋_GB2312" w:hAnsi="仿宋" w:eastAsia="仿宋_GB2312" w:cs="仿宋"/>
          <w:color w:val="auto"/>
          <w:sz w:val="32"/>
          <w:szCs w:val="32"/>
        </w:rPr>
        <w:t>名,其中:行政编制</w:t>
      </w:r>
      <w:r>
        <w:rPr>
          <w:rFonts w:hint="eastAsia" w:ascii="仿宋_GB2312" w:hAnsi="仿宋" w:eastAsia="仿宋_GB2312" w:cs="仿宋"/>
          <w:color w:val="auto"/>
          <w:sz w:val="32"/>
          <w:szCs w:val="32"/>
          <w:lang w:val="en-US" w:eastAsia="zh-CN"/>
        </w:rPr>
        <w:t>14</w:t>
      </w:r>
      <w:r>
        <w:rPr>
          <w:rFonts w:hint="eastAsia" w:ascii="仿宋_GB2312" w:hAnsi="仿宋" w:eastAsia="仿宋_GB2312" w:cs="仿宋"/>
          <w:color w:val="auto"/>
          <w:sz w:val="32"/>
          <w:szCs w:val="32"/>
        </w:rPr>
        <w:t>名，行政工勤</w:t>
      </w:r>
      <w:r>
        <w:rPr>
          <w:rFonts w:hint="eastAsia" w:ascii="仿宋_GB2312" w:hAnsi="仿宋" w:eastAsia="仿宋_GB2312" w:cs="仿宋"/>
          <w:color w:val="auto"/>
          <w:sz w:val="32"/>
          <w:szCs w:val="32"/>
          <w:lang w:val="en-US" w:eastAsia="zh-CN"/>
        </w:rPr>
        <w:t>4</w:t>
      </w:r>
      <w:r>
        <w:rPr>
          <w:rFonts w:hint="eastAsia" w:ascii="仿宋_GB2312" w:hAnsi="仿宋" w:eastAsia="仿宋_GB2312" w:cs="仿宋"/>
          <w:color w:val="auto"/>
          <w:sz w:val="32"/>
          <w:szCs w:val="32"/>
        </w:rPr>
        <w:t>名。在职人员总数2</w:t>
      </w:r>
      <w:r>
        <w:rPr>
          <w:rFonts w:hint="eastAsia" w:ascii="仿宋_GB2312" w:hAnsi="仿宋" w:eastAsia="仿宋_GB2312" w:cs="仿宋"/>
          <w:color w:val="auto"/>
          <w:sz w:val="32"/>
          <w:szCs w:val="32"/>
          <w:lang w:val="en-US" w:eastAsia="zh-CN"/>
        </w:rPr>
        <w:t>3</w:t>
      </w:r>
      <w:r>
        <w:rPr>
          <w:rFonts w:hint="eastAsia" w:ascii="仿宋_GB2312" w:hAnsi="仿宋" w:eastAsia="仿宋_GB2312" w:cs="仿宋"/>
          <w:color w:val="auto"/>
          <w:sz w:val="32"/>
          <w:szCs w:val="32"/>
        </w:rPr>
        <w:t>名，其中：行政在职人数</w:t>
      </w:r>
      <w:r>
        <w:rPr>
          <w:rFonts w:hint="eastAsia" w:ascii="仿宋_GB2312" w:hAnsi="仿宋" w:eastAsia="仿宋_GB2312" w:cs="仿宋"/>
          <w:color w:val="auto"/>
          <w:sz w:val="32"/>
          <w:szCs w:val="32"/>
          <w:lang w:val="en-US" w:eastAsia="zh-CN"/>
        </w:rPr>
        <w:t>18</w:t>
      </w:r>
      <w:r>
        <w:rPr>
          <w:rFonts w:hint="eastAsia" w:ascii="仿宋_GB2312" w:hAnsi="仿宋" w:eastAsia="仿宋_GB2312" w:cs="仿宋"/>
          <w:color w:val="auto"/>
          <w:sz w:val="32"/>
          <w:szCs w:val="32"/>
        </w:rPr>
        <w:t>人，行政工勤</w:t>
      </w:r>
      <w:r>
        <w:rPr>
          <w:rFonts w:hint="eastAsia" w:ascii="仿宋_GB2312" w:hAnsi="仿宋" w:eastAsia="仿宋_GB2312" w:cs="仿宋"/>
          <w:color w:val="auto"/>
          <w:sz w:val="32"/>
          <w:szCs w:val="32"/>
          <w:lang w:val="en-US" w:eastAsia="zh-CN"/>
        </w:rPr>
        <w:t>5</w:t>
      </w:r>
      <w:r>
        <w:rPr>
          <w:rFonts w:hint="eastAsia" w:ascii="仿宋_GB2312" w:hAnsi="仿宋" w:eastAsia="仿宋_GB2312" w:cs="仿宋"/>
          <w:color w:val="auto"/>
          <w:sz w:val="32"/>
          <w:szCs w:val="32"/>
        </w:rPr>
        <w:t>人。</w:t>
      </w:r>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outlineLvl w:val="1"/>
        <w:rPr>
          <w:rFonts w:ascii="黑体" w:hAnsi="宋体" w:eastAsia="黑体" w:cs="宋体"/>
          <w:color w:val="000000"/>
          <w:kern w:val="0"/>
          <w:sz w:val="32"/>
          <w:szCs w:val="32"/>
          <w:shd w:val="clear" w:color="auto" w:fill="FFFFFF"/>
        </w:rPr>
      </w:pPr>
      <w:bookmarkStart w:id="89" w:name="_Toc1451"/>
      <w:r>
        <w:rPr>
          <w:rFonts w:hint="eastAsia" w:ascii="黑体" w:hAnsi="宋体" w:eastAsia="黑体" w:cs="宋体"/>
          <w:color w:val="000000"/>
          <w:kern w:val="0"/>
          <w:sz w:val="32"/>
          <w:szCs w:val="32"/>
          <w:shd w:val="clear" w:color="auto" w:fill="FFFFFF"/>
        </w:rPr>
        <w:t>二、部门财政资金收支情况</w:t>
      </w:r>
      <w:bookmarkEnd w:id="89"/>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ageBreakBefore w:val="0"/>
        <w:kinsoku/>
        <w:wordWrap/>
        <w:overflowPunct/>
        <w:topLinePunct w:val="0"/>
        <w:bidi w:val="0"/>
        <w:spacing w:line="360" w:lineRule="auto"/>
        <w:ind w:firstLine="420" w:firstLineChars="200"/>
        <w:textAlignment w:val="auto"/>
        <w:rPr>
          <w:lang w:val="zh-CN"/>
        </w:rPr>
      </w:pPr>
      <w:r>
        <w:rPr>
          <w:rFonts w:hint="eastAsia"/>
          <w:lang w:val="zh-CN"/>
        </w:rPr>
        <w:tab/>
      </w:r>
      <w:r>
        <w:rPr>
          <w:rFonts w:hint="eastAsia" w:ascii="仿宋_GB2312" w:hAnsi="仿宋" w:eastAsia="仿宋_GB2312" w:cs="仿宋"/>
          <w:color w:val="auto"/>
          <w:sz w:val="32"/>
          <w:szCs w:val="32"/>
        </w:rPr>
        <w:t>201</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rPr>
        <w:t>年总收入</w:t>
      </w:r>
      <w:r>
        <w:rPr>
          <w:rFonts w:hint="eastAsia" w:ascii="仿宋_GB2312" w:hAnsi="仿宋" w:eastAsia="仿宋_GB2312" w:cs="仿宋"/>
          <w:color w:val="auto"/>
          <w:sz w:val="32"/>
          <w:szCs w:val="32"/>
          <w:lang w:val="en-US" w:eastAsia="zh-CN"/>
        </w:rPr>
        <w:t>630.26万</w:t>
      </w:r>
      <w:r>
        <w:rPr>
          <w:rFonts w:hint="eastAsia" w:ascii="仿宋_GB2312" w:hAnsi="仿宋" w:eastAsia="仿宋_GB2312" w:cs="仿宋"/>
          <w:color w:val="auto"/>
          <w:sz w:val="32"/>
          <w:szCs w:val="32"/>
        </w:rPr>
        <w:t>元，本年收入</w:t>
      </w:r>
      <w:r>
        <w:rPr>
          <w:rFonts w:hint="eastAsia" w:ascii="仿宋_GB2312" w:hAnsi="仿宋" w:eastAsia="仿宋_GB2312" w:cs="仿宋"/>
          <w:color w:val="auto"/>
          <w:sz w:val="32"/>
          <w:szCs w:val="32"/>
          <w:lang w:val="en-US" w:eastAsia="zh-CN"/>
        </w:rPr>
        <w:t>563.95万</w:t>
      </w:r>
      <w:r>
        <w:rPr>
          <w:rFonts w:hint="eastAsia" w:ascii="仿宋_GB2312" w:hAnsi="仿宋" w:eastAsia="仿宋_GB2312" w:cs="仿宋"/>
          <w:color w:val="auto"/>
          <w:sz w:val="32"/>
          <w:szCs w:val="32"/>
        </w:rPr>
        <w:t>元，占总收入89.</w:t>
      </w:r>
      <w:r>
        <w:rPr>
          <w:rFonts w:hint="eastAsia" w:ascii="仿宋_GB2312" w:hAnsi="仿宋" w:eastAsia="仿宋_GB2312" w:cs="仿宋"/>
          <w:color w:val="auto"/>
          <w:sz w:val="32"/>
          <w:szCs w:val="32"/>
          <w:lang w:val="en-US" w:eastAsia="zh-CN"/>
        </w:rPr>
        <w:t>48</w:t>
      </w:r>
      <w:r>
        <w:rPr>
          <w:rFonts w:hint="eastAsia" w:ascii="仿宋_GB2312" w:hAnsi="仿宋" w:eastAsia="仿宋_GB2312" w:cs="仿宋"/>
          <w:color w:val="auto"/>
          <w:sz w:val="32"/>
          <w:szCs w:val="32"/>
        </w:rPr>
        <w:t>%，其中：其中财政拨款收入</w:t>
      </w:r>
      <w:r>
        <w:rPr>
          <w:rFonts w:hint="eastAsia" w:ascii="仿宋_GB2312" w:hAnsi="仿宋" w:eastAsia="仿宋_GB2312" w:cs="仿宋"/>
          <w:color w:val="auto"/>
          <w:sz w:val="32"/>
          <w:szCs w:val="32"/>
          <w:lang w:val="en-US" w:eastAsia="zh-CN"/>
        </w:rPr>
        <w:t>563.95万</w:t>
      </w:r>
      <w:r>
        <w:rPr>
          <w:rFonts w:hint="eastAsia" w:ascii="仿宋_GB2312" w:hAnsi="仿宋" w:eastAsia="仿宋_GB2312" w:cs="仿宋"/>
          <w:color w:val="auto"/>
          <w:sz w:val="32"/>
          <w:szCs w:val="32"/>
        </w:rPr>
        <w:t>元，占本年收入</w:t>
      </w:r>
      <w:r>
        <w:rPr>
          <w:rFonts w:hint="eastAsia" w:ascii="仿宋_GB2312" w:hAnsi="仿宋" w:eastAsia="仿宋_GB2312" w:cs="仿宋"/>
          <w:color w:val="auto"/>
          <w:sz w:val="32"/>
          <w:szCs w:val="32"/>
          <w:lang w:val="en-US" w:eastAsia="zh-CN"/>
        </w:rPr>
        <w:t>100</w:t>
      </w:r>
      <w:r>
        <w:rPr>
          <w:rFonts w:hint="eastAsia" w:ascii="仿宋_GB2312" w:hAnsi="仿宋" w:eastAsia="仿宋_GB2312" w:cs="仿宋"/>
          <w:color w:val="auto"/>
          <w:sz w:val="32"/>
          <w:szCs w:val="32"/>
        </w:rPr>
        <w:t>%；年初结转结余</w:t>
      </w:r>
      <w:r>
        <w:rPr>
          <w:rFonts w:hint="eastAsia" w:ascii="仿宋_GB2312" w:hAnsi="仿宋" w:eastAsia="仿宋_GB2312" w:cs="仿宋"/>
          <w:color w:val="auto"/>
          <w:sz w:val="32"/>
          <w:szCs w:val="32"/>
          <w:lang w:val="en-US" w:eastAsia="zh-CN"/>
        </w:rPr>
        <w:t>66.31万</w:t>
      </w:r>
      <w:r>
        <w:rPr>
          <w:rFonts w:hint="eastAsia" w:ascii="仿宋_GB2312" w:hAnsi="仿宋" w:eastAsia="仿宋_GB2312" w:cs="仿宋"/>
          <w:color w:val="auto"/>
          <w:sz w:val="32"/>
          <w:szCs w:val="32"/>
        </w:rPr>
        <w:t>元，占总收入</w:t>
      </w:r>
      <w:r>
        <w:rPr>
          <w:rFonts w:hint="eastAsia" w:ascii="仿宋_GB2312" w:hAnsi="仿宋" w:eastAsia="仿宋_GB2312" w:cs="仿宋"/>
          <w:color w:val="auto"/>
          <w:sz w:val="32"/>
          <w:szCs w:val="32"/>
          <w:lang w:val="en-US" w:eastAsia="zh-CN"/>
        </w:rPr>
        <w:t>10.52</w:t>
      </w:r>
      <w:r>
        <w:rPr>
          <w:rFonts w:hint="eastAsia" w:ascii="仿宋_GB2312" w:hAnsi="仿宋" w:eastAsia="仿宋_GB2312" w:cs="仿宋"/>
          <w:color w:val="auto"/>
          <w:sz w:val="32"/>
          <w:szCs w:val="32"/>
        </w:rPr>
        <w:t>%。</w:t>
      </w:r>
    </w:p>
    <w:p>
      <w:pPr>
        <w:pageBreakBefore w:val="0"/>
        <w:widowControl/>
        <w:numPr>
          <w:ilvl w:val="0"/>
          <w:numId w:val="12"/>
        </w:numPr>
        <w:kinsoku/>
        <w:wordWrap/>
        <w:overflowPunct/>
        <w:topLinePunct w:val="0"/>
        <w:bidi w:val="0"/>
        <w:adjustRightInd w:val="0"/>
        <w:snapToGrid w:val="0"/>
        <w:spacing w:line="360" w:lineRule="auto"/>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pageBreakBefore w:val="0"/>
        <w:kinsoku/>
        <w:wordWrap/>
        <w:overflowPunct/>
        <w:topLinePunct w:val="0"/>
        <w:bidi w:val="0"/>
        <w:spacing w:line="360" w:lineRule="auto"/>
        <w:ind w:firstLine="640" w:firstLineChars="200"/>
        <w:textAlignment w:val="auto"/>
        <w:rPr>
          <w:lang w:val="zh-CN"/>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一般公共预算财政拨款支出</w:t>
      </w:r>
      <w:r>
        <w:rPr>
          <w:rFonts w:hint="eastAsia" w:ascii="仿宋_GB2312" w:hAnsi="仿宋_GB2312" w:eastAsia="仿宋_GB2312" w:cs="仿宋_GB2312"/>
          <w:color w:val="auto"/>
          <w:sz w:val="32"/>
          <w:szCs w:val="32"/>
          <w:lang w:val="en-US" w:eastAsia="zh-CN"/>
        </w:rPr>
        <w:t>563.95万</w:t>
      </w:r>
      <w:r>
        <w:rPr>
          <w:rFonts w:hint="eastAsia" w:ascii="仿宋_GB2312" w:hAnsi="仿宋_GB2312" w:eastAsia="仿宋_GB2312" w:cs="仿宋_GB2312"/>
          <w:color w:val="auto"/>
          <w:sz w:val="32"/>
          <w:szCs w:val="32"/>
        </w:rPr>
        <w:t>元，主要用于以下方面:社会保障和就业支出</w:t>
      </w:r>
      <w:r>
        <w:rPr>
          <w:rFonts w:hint="eastAsia" w:ascii="仿宋_GB2312" w:hAnsi="仿宋_GB2312" w:eastAsia="仿宋_GB2312" w:cs="仿宋_GB2312"/>
          <w:color w:val="auto"/>
          <w:sz w:val="32"/>
          <w:szCs w:val="32"/>
          <w:lang w:val="en-US" w:eastAsia="zh-CN"/>
        </w:rPr>
        <w:t>58.83万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10.43</w:t>
      </w:r>
      <w:r>
        <w:rPr>
          <w:rFonts w:hint="eastAsia" w:ascii="仿宋_GB2312" w:hAnsi="仿宋_GB2312" w:eastAsia="仿宋_GB2312" w:cs="仿宋_GB2312"/>
          <w:color w:val="auto"/>
          <w:sz w:val="32"/>
          <w:szCs w:val="32"/>
        </w:rPr>
        <w:t>%；完成预算100%。医疗卫生与计划生育</w:t>
      </w:r>
      <w:r>
        <w:rPr>
          <w:rFonts w:hint="eastAsia" w:ascii="仿宋_GB2312" w:hAnsi="仿宋_GB2312" w:eastAsia="仿宋_GB2312" w:cs="仿宋_GB2312"/>
          <w:color w:val="auto"/>
          <w:sz w:val="32"/>
          <w:szCs w:val="32"/>
          <w:lang w:val="en-US" w:eastAsia="zh-CN"/>
        </w:rPr>
        <w:t>25.52万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4.53</w:t>
      </w:r>
      <w:r>
        <w:rPr>
          <w:rFonts w:hint="eastAsia" w:ascii="仿宋_GB2312" w:hAnsi="仿宋_GB2312" w:eastAsia="仿宋_GB2312" w:cs="仿宋_GB2312"/>
          <w:color w:val="auto"/>
          <w:sz w:val="32"/>
          <w:szCs w:val="32"/>
        </w:rPr>
        <w:t>%；完成预算100%。一般公共服务支出</w:t>
      </w:r>
      <w:r>
        <w:rPr>
          <w:rFonts w:hint="eastAsia" w:ascii="仿宋_GB2312" w:hAnsi="仿宋_GB2312" w:eastAsia="仿宋_GB2312" w:cs="仿宋_GB2312"/>
          <w:color w:val="auto"/>
          <w:sz w:val="32"/>
          <w:szCs w:val="32"/>
          <w:lang w:val="en-US" w:eastAsia="zh-CN"/>
        </w:rPr>
        <w:t>445.44万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78.99</w:t>
      </w:r>
      <w:r>
        <w:rPr>
          <w:rFonts w:hint="eastAsia" w:ascii="仿宋_GB2312" w:hAnsi="仿宋_GB2312" w:eastAsia="仿宋_GB2312" w:cs="仿宋_GB2312"/>
          <w:color w:val="auto"/>
          <w:sz w:val="32"/>
          <w:szCs w:val="32"/>
        </w:rPr>
        <w:t>%；完成预算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34.17万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6.06</w:t>
      </w:r>
      <w:r>
        <w:rPr>
          <w:rFonts w:hint="eastAsia" w:ascii="仿宋_GB2312" w:hAnsi="仿宋_GB2312" w:eastAsia="仿宋_GB2312" w:cs="仿宋_GB2312"/>
          <w:color w:val="auto"/>
          <w:sz w:val="32"/>
          <w:szCs w:val="32"/>
        </w:rPr>
        <w:t>%；完成预算100%。</w:t>
      </w:r>
    </w:p>
    <w:p>
      <w:pPr>
        <w:pageBreakBefore w:val="0"/>
        <w:widowControl/>
        <w:numPr>
          <w:ilvl w:val="0"/>
          <w:numId w:val="0"/>
        </w:numPr>
        <w:kinsoku/>
        <w:wordWrap/>
        <w:overflowPunct/>
        <w:topLinePunct w:val="0"/>
        <w:bidi w:val="0"/>
        <w:adjustRightInd w:val="0"/>
        <w:snapToGrid w:val="0"/>
        <w:spacing w:line="360" w:lineRule="auto"/>
        <w:ind w:left="640" w:leftChars="0"/>
        <w:contextualSpacing/>
        <w:jc w:val="left"/>
        <w:textAlignment w:val="auto"/>
        <w:outlineLvl w:val="1"/>
        <w:rPr>
          <w:rFonts w:hint="eastAsia" w:ascii="黑体" w:hAnsi="宋体" w:eastAsia="黑体" w:cs="宋体"/>
          <w:color w:val="000000"/>
          <w:kern w:val="0"/>
          <w:sz w:val="32"/>
          <w:szCs w:val="32"/>
          <w:shd w:val="clear" w:color="auto" w:fill="FFFFFF"/>
        </w:rPr>
      </w:pPr>
      <w:bookmarkStart w:id="90" w:name="_Toc7206"/>
      <w:r>
        <w:rPr>
          <w:rFonts w:hint="eastAsia" w:ascii="黑体" w:hAnsi="宋体" w:eastAsia="黑体" w:cs="宋体"/>
          <w:color w:val="000000"/>
          <w:kern w:val="0"/>
          <w:sz w:val="32"/>
          <w:szCs w:val="32"/>
          <w:shd w:val="clear" w:color="auto" w:fill="FFFFFF"/>
          <w:lang w:val="en-US" w:eastAsia="zh-CN"/>
        </w:rPr>
        <w:t>三、</w:t>
      </w:r>
      <w:r>
        <w:rPr>
          <w:rFonts w:hint="eastAsia" w:ascii="黑体" w:hAnsi="宋体" w:eastAsia="黑体" w:cs="宋体"/>
          <w:color w:val="000000"/>
          <w:kern w:val="0"/>
          <w:sz w:val="32"/>
          <w:szCs w:val="32"/>
          <w:shd w:val="clear" w:color="auto" w:fill="FFFFFF"/>
        </w:rPr>
        <w:t>部门整体预算绩效管理情况</w:t>
      </w:r>
      <w:bookmarkEnd w:id="90"/>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楷体" w:eastAsia="仿宋_GB2312" w:cs="宋体"/>
          <w:color w:val="auto"/>
          <w:kern w:val="0"/>
          <w:sz w:val="32"/>
          <w:szCs w:val="32"/>
          <w:lang w:val="zh-CN"/>
        </w:rPr>
        <w:t>（一）</w:t>
      </w:r>
      <w:r>
        <w:rPr>
          <w:rFonts w:hint="eastAsia" w:ascii="仿宋_GB2312" w:hAnsi="宋体" w:eastAsia="仿宋_GB2312" w:cs="宋体"/>
          <w:color w:val="000000"/>
          <w:kern w:val="0"/>
          <w:sz w:val="32"/>
          <w:szCs w:val="32"/>
          <w:shd w:val="clear" w:color="auto" w:fill="FFFFFF"/>
          <w:lang w:val="zh-CN"/>
        </w:rPr>
        <w:t>部门预算管理。</w:t>
      </w:r>
    </w:p>
    <w:p>
      <w:pPr>
        <w:pageBreakBefore w:val="0"/>
        <w:widowControl/>
        <w:kinsoku/>
        <w:wordWrap/>
        <w:overflowPunct/>
        <w:topLinePunct w:val="0"/>
        <w:bidi w:val="0"/>
        <w:adjustRightInd w:val="0"/>
        <w:snapToGrid w:val="0"/>
        <w:spacing w:line="360" w:lineRule="auto"/>
        <w:ind w:firstLine="960" w:firstLineChars="300"/>
        <w:jc w:val="left"/>
        <w:textAlignment w:val="auto"/>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en-US" w:eastAsia="zh-CN"/>
        </w:rPr>
        <w:t>1.</w:t>
      </w:r>
      <w:r>
        <w:rPr>
          <w:rFonts w:hint="eastAsia" w:ascii="仿宋_GB2312" w:hAnsi="楷体" w:eastAsia="仿宋_GB2312" w:cs="宋体"/>
          <w:color w:val="auto"/>
          <w:kern w:val="0"/>
          <w:sz w:val="32"/>
          <w:szCs w:val="32"/>
          <w:lang w:val="zh-CN"/>
        </w:rPr>
        <w:t>预算编制情况。</w:t>
      </w:r>
    </w:p>
    <w:p>
      <w:pPr>
        <w:pageBreakBefore w:val="0"/>
        <w:kinsoku/>
        <w:wordWrap/>
        <w:overflowPunct/>
        <w:topLinePunct w:val="0"/>
        <w:bidi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严格按照《预算法》及相关财经法规和政策编制本年度预算，严格控制编报质量，保证所有资金合法合规，严格按照相关规定进行预算编制，中央转移支付资金按照文件要求执行，专项转移支付严格根据分地区分项目进行编制。</w:t>
      </w:r>
    </w:p>
    <w:p>
      <w:pPr>
        <w:pageBreakBefore w:val="0"/>
        <w:widowControl/>
        <w:kinsoku/>
        <w:wordWrap/>
        <w:overflowPunct/>
        <w:topLinePunct w:val="0"/>
        <w:bidi w:val="0"/>
        <w:adjustRightInd w:val="0"/>
        <w:snapToGrid w:val="0"/>
        <w:spacing w:line="360" w:lineRule="auto"/>
        <w:ind w:firstLine="720"/>
        <w:jc w:val="left"/>
        <w:textAlignment w:val="auto"/>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en-US" w:eastAsia="zh-CN"/>
        </w:rPr>
        <w:t>2.</w:t>
      </w:r>
      <w:r>
        <w:rPr>
          <w:rFonts w:hint="eastAsia" w:ascii="仿宋_GB2312" w:hAnsi="楷体" w:eastAsia="仿宋_GB2312" w:cs="宋体"/>
          <w:color w:val="auto"/>
          <w:kern w:val="0"/>
          <w:sz w:val="32"/>
          <w:szCs w:val="32"/>
          <w:lang w:val="zh-CN"/>
        </w:rPr>
        <w:t>执行管理情况。</w:t>
      </w:r>
      <w:r>
        <w:rPr>
          <w:rFonts w:hint="eastAsia" w:ascii="仿宋_GB2312" w:hAnsi="楷体" w:eastAsia="仿宋_GB2312" w:cs="宋体"/>
          <w:color w:val="auto"/>
          <w:kern w:val="0"/>
          <w:sz w:val="32"/>
          <w:szCs w:val="32"/>
          <w:lang w:val="zh-CN"/>
        </w:rPr>
        <w:tab/>
      </w:r>
    </w:p>
    <w:p>
      <w:pPr>
        <w:pageBreakBefore w:val="0"/>
        <w:kinsoku/>
        <w:wordWrap/>
        <w:overflowPunct/>
        <w:topLinePunct w:val="0"/>
        <w:bidi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部门预算执行到位，严格按照预算管理进行支付并做到节能降耗，“三公”经费严格按照年初预算执行。201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年度“三公”经费财政拨款支出决算中，因公出国（境）费支出决算0元，占0%；公务用车购置及运行维护费支出决算</w:t>
      </w:r>
      <w:r>
        <w:rPr>
          <w:rFonts w:hint="eastAsia" w:ascii="仿宋_GB2312" w:hAnsi="仿宋_GB2312" w:eastAsia="仿宋_GB2312" w:cs="仿宋_GB2312"/>
          <w:color w:val="auto"/>
          <w:sz w:val="32"/>
          <w:szCs w:val="32"/>
          <w:lang w:val="en-US" w:eastAsia="zh-CN"/>
        </w:rPr>
        <w:t>23.20万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97.90</w:t>
      </w:r>
      <w:r>
        <w:rPr>
          <w:rFonts w:hint="eastAsia" w:ascii="仿宋_GB2312" w:hAnsi="仿宋_GB2312" w:eastAsia="仿宋_GB2312" w:cs="仿宋_GB2312"/>
          <w:color w:val="auto"/>
          <w:sz w:val="32"/>
          <w:szCs w:val="32"/>
        </w:rPr>
        <w:t>%；公务接待费支出决算</w:t>
      </w:r>
      <w:r>
        <w:rPr>
          <w:rFonts w:hint="eastAsia" w:ascii="仿宋_GB2312" w:hAnsi="仿宋_GB2312" w:eastAsia="仿宋_GB2312" w:cs="仿宋_GB2312"/>
          <w:color w:val="auto"/>
          <w:sz w:val="32"/>
          <w:szCs w:val="32"/>
          <w:lang w:val="en-US" w:eastAsia="zh-CN"/>
        </w:rPr>
        <w:t>0.5万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w:t>
      </w:r>
    </w:p>
    <w:p>
      <w:pPr>
        <w:pageBreakBefore w:val="0"/>
        <w:widowControl/>
        <w:kinsoku/>
        <w:wordWrap/>
        <w:overflowPunct/>
        <w:topLinePunct w:val="0"/>
        <w:bidi w:val="0"/>
        <w:adjustRightInd w:val="0"/>
        <w:snapToGrid w:val="0"/>
        <w:spacing w:line="360" w:lineRule="auto"/>
        <w:ind w:firstLine="720"/>
        <w:jc w:val="left"/>
        <w:textAlignment w:val="auto"/>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en-US" w:eastAsia="zh-CN"/>
        </w:rPr>
        <w:t>3.</w:t>
      </w:r>
      <w:r>
        <w:rPr>
          <w:rFonts w:hint="eastAsia" w:ascii="仿宋_GB2312" w:hAnsi="楷体" w:eastAsia="仿宋_GB2312" w:cs="宋体"/>
          <w:color w:val="auto"/>
          <w:kern w:val="0"/>
          <w:sz w:val="32"/>
          <w:szCs w:val="32"/>
          <w:lang w:val="zh-CN"/>
        </w:rPr>
        <w:t>综合管理情况。</w:t>
      </w:r>
    </w:p>
    <w:p>
      <w:pPr>
        <w:pageBreakBefore w:val="0"/>
        <w:kinsoku/>
        <w:wordWrap/>
        <w:overflowPunct/>
        <w:topLinePunct w:val="0"/>
        <w:bidi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财务管理过程中建立健全财务核算制度、严格执行国家相关财经法规，加强了会计基础工作、逐渐规范了财务管理行为。严格按照《新政府会计制度》的规定设置的会计科目，建立了科学有效的会计核算方式，均真实、合法、准确的反映各项收支活动；建立健全了内控制度，加强和完善了经费收支和财务管理，积极配合各级财政部门开展相关经费的考评工作；本单位在资金使用过程中，合理使用各项资金，严格执行各项经费开支范围和标准。对项目资金，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w:t>
      </w:r>
      <w:r>
        <w:rPr>
          <w:rFonts w:hint="eastAsia" w:ascii="仿宋_GB2312" w:hAnsi="仿宋_GB2312" w:eastAsia="仿宋_GB2312" w:cs="仿宋_GB2312"/>
          <w:color w:val="auto"/>
          <w:sz w:val="32"/>
          <w:szCs w:val="32"/>
          <w:lang w:eastAsia="zh-CN"/>
        </w:rPr>
        <w:t>“三公”经费</w:t>
      </w:r>
      <w:r>
        <w:rPr>
          <w:rFonts w:hint="eastAsia" w:ascii="仿宋_GB2312" w:hAnsi="仿宋_GB2312" w:eastAsia="仿宋_GB2312" w:cs="仿宋_GB2312"/>
          <w:color w:val="auto"/>
          <w:sz w:val="32"/>
          <w:szCs w:val="32"/>
        </w:rPr>
        <w:t>的管理并严格控制了</w:t>
      </w:r>
      <w:r>
        <w:rPr>
          <w:rFonts w:hint="eastAsia" w:ascii="仿宋_GB2312" w:hAnsi="仿宋_GB2312" w:eastAsia="仿宋_GB2312" w:cs="仿宋_GB2312"/>
          <w:color w:val="auto"/>
          <w:sz w:val="32"/>
          <w:szCs w:val="32"/>
          <w:lang w:eastAsia="zh-CN"/>
        </w:rPr>
        <w:t>“三公”经费</w:t>
      </w:r>
      <w:r>
        <w:rPr>
          <w:rFonts w:hint="eastAsia" w:ascii="仿宋_GB2312" w:hAnsi="仿宋_GB2312" w:eastAsia="仿宋_GB2312" w:cs="仿宋_GB2312"/>
          <w:color w:val="auto"/>
          <w:sz w:val="32"/>
          <w:szCs w:val="32"/>
        </w:rPr>
        <w:t>的支出。</w:t>
      </w:r>
    </w:p>
    <w:p>
      <w:pPr>
        <w:keepNext w:val="0"/>
        <w:keepLines w:val="0"/>
        <w:pageBreakBefore w:val="0"/>
        <w:widowControl/>
        <w:kinsoku/>
        <w:wordWrap/>
        <w:overflowPunct/>
        <w:topLinePunct w:val="0"/>
        <w:autoSpaceDE/>
        <w:autoSpaceDN/>
        <w:bidi w:val="0"/>
        <w:adjustRightInd w:val="0"/>
        <w:snapToGrid w:val="0"/>
        <w:spacing w:line="240" w:lineRule="auto"/>
        <w:ind w:firstLine="720"/>
        <w:jc w:val="left"/>
        <w:textAlignment w:val="auto"/>
        <w:rPr>
          <w:rFonts w:ascii="仿宋_GB2312" w:hAnsi="楷体" w:eastAsia="仿宋_GB2312" w:cs="宋体"/>
          <w:color w:val="auto"/>
          <w:kern w:val="0"/>
          <w:sz w:val="32"/>
          <w:szCs w:val="32"/>
          <w:lang w:val="zh-CN"/>
        </w:rPr>
      </w:pPr>
      <w:r>
        <w:rPr>
          <w:rFonts w:hint="eastAsia" w:ascii="仿宋_GB2312" w:hAnsi="楷体" w:eastAsia="仿宋_GB2312" w:cs="宋体"/>
          <w:color w:val="auto"/>
          <w:kern w:val="0"/>
          <w:sz w:val="32"/>
          <w:szCs w:val="32"/>
          <w:lang w:val="en-US" w:eastAsia="zh-CN"/>
        </w:rPr>
        <w:t>4.</w:t>
      </w:r>
      <w:r>
        <w:rPr>
          <w:rFonts w:hint="eastAsia" w:ascii="仿宋_GB2312" w:hAnsi="楷体" w:eastAsia="仿宋_GB2312" w:cs="宋体"/>
          <w:color w:val="auto"/>
          <w:kern w:val="0"/>
          <w:sz w:val="32"/>
          <w:szCs w:val="32"/>
          <w:lang w:val="zh-CN"/>
        </w:rPr>
        <w:t>整体绩效。</w:t>
      </w:r>
    </w:p>
    <w:p>
      <w:pPr>
        <w:pStyle w:val="31"/>
        <w:keepNext w:val="0"/>
        <w:keepLines w:val="0"/>
        <w:pageBreakBefore w:val="0"/>
        <w:widowControl/>
        <w:kinsoku/>
        <w:wordWrap/>
        <w:overflowPunct/>
        <w:topLinePunct w:val="0"/>
        <w:autoSpaceDE/>
        <w:autoSpaceDN/>
        <w:bidi w:val="0"/>
        <w:spacing w:beforeAutospacing="0" w:afterAutospacing="0" w:line="240" w:lineRule="auto"/>
        <w:ind w:firstLine="640" w:firstLineChars="200"/>
        <w:textAlignment w:val="auto"/>
        <w:rPr>
          <w:rFonts w:hint="default"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一</w:t>
      </w:r>
      <w:r>
        <w:rPr>
          <w:rFonts w:hint="eastAsia" w:ascii="仿宋_GB2312" w:hAnsi="仿宋_GB2312" w:eastAsia="仿宋_GB2312"/>
          <w:color w:val="auto"/>
          <w:sz w:val="32"/>
          <w:szCs w:val="32"/>
        </w:rPr>
        <w:t>年以来，县政协坚持围绕中心，服务大局，在县委的领下，积极履行“政治协商，民主监督，参政议政”三大职能</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lang w:val="en-US" w:eastAsia="zh-CN"/>
        </w:rPr>
        <w:t>较好地完成了年度工作目标。通过加强预算收支管理，不断建立健全内部管理制度，梳理内部管理流程，机关整体支出管理水平得到提升。</w:t>
      </w:r>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为建立健全“预算编制有目标，预算执行有监督，预算完成有评价，评价结果有反馈，反馈结果有应用”的全过程预算绩效管理机制，县政协加大绩效信息公开力度，做到了“三公开”，即公开预算绩效目标、公开绩效自评情况、公开重点评价结果。通过公开自评报告，暴露出单位在整体支出过程中存在的不足，本单位认真落实绩效评价结果整改事项，针对评价反映的问题，制定了整改计划，加强绩效评价结果在预算管理中的结合应用，有效促进绩效管理与预算管理融合，确保整改措施落到实处。</w:t>
      </w:r>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ageBreakBefore w:val="0"/>
        <w:kinsoku/>
        <w:wordWrap/>
        <w:overflowPunct/>
        <w:topLinePunct w:val="0"/>
        <w:bidi w:val="0"/>
        <w:spacing w:line="360" w:lineRule="auto"/>
        <w:ind w:firstLine="640" w:firstLineChars="200"/>
        <w:textAlignment w:val="auto"/>
        <w:rPr>
          <w:lang w:val="zh-CN"/>
        </w:rPr>
      </w:pPr>
      <w:r>
        <w:rPr>
          <w:rFonts w:hint="eastAsia" w:ascii="仿宋_GB2312" w:hAnsi="仿宋_GB2312" w:eastAsia="仿宋_GB2312" w:cs="仿宋_GB2312"/>
          <w:color w:val="auto"/>
          <w:sz w:val="32"/>
          <w:szCs w:val="32"/>
        </w:rPr>
        <w:t>按照预算绩效管理要求，本单位对201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年整体支出开展绩效自评，自评得分98分，部门整体支出绩效为“好”。</w:t>
      </w:r>
    </w:p>
    <w:p>
      <w:pPr>
        <w:pageBreakBefore w:val="0"/>
        <w:widowControl/>
        <w:numPr>
          <w:ilvl w:val="0"/>
          <w:numId w:val="0"/>
        </w:numPr>
        <w:kinsoku/>
        <w:wordWrap/>
        <w:overflowPunct/>
        <w:topLinePunct w:val="0"/>
        <w:bidi w:val="0"/>
        <w:adjustRightInd w:val="0"/>
        <w:snapToGrid w:val="0"/>
        <w:spacing w:line="360" w:lineRule="auto"/>
        <w:ind w:leftChars="200" w:firstLine="320" w:firstLineChars="1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）存在问题。</w:t>
      </w:r>
    </w:p>
    <w:p>
      <w:pPr>
        <w:pageBreakBefore w:val="0"/>
        <w:widowControl/>
        <w:kinsoku/>
        <w:wordWrap/>
        <w:overflowPunct/>
        <w:topLinePunct w:val="0"/>
        <w:bidi w:val="0"/>
        <w:adjustRightInd w:val="0"/>
        <w:snapToGrid w:val="0"/>
        <w:spacing w:line="360" w:lineRule="auto"/>
        <w:ind w:firstLine="960" w:firstLineChars="3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预算编制工作有待细化。预算编制不够明确和细化，预算编制的合理性需要提高。</w:t>
      </w:r>
    </w:p>
    <w:p>
      <w:pPr>
        <w:pageBreakBefore w:val="0"/>
        <w:widowControl/>
        <w:kinsoku/>
        <w:wordWrap/>
        <w:overflowPunct/>
        <w:topLinePunct w:val="0"/>
        <w:bidi w:val="0"/>
        <w:adjustRightInd w:val="0"/>
        <w:snapToGrid w:val="0"/>
        <w:spacing w:line="360" w:lineRule="auto"/>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pageBreakBefore w:val="0"/>
        <w:kinsoku/>
        <w:wordWrap/>
        <w:overflowPunct/>
        <w:topLinePunct w:val="0"/>
        <w:bidi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color w:val="auto"/>
          <w:sz w:val="32"/>
          <w:szCs w:val="32"/>
          <w:lang w:val="en-US" w:eastAsia="zh-CN"/>
        </w:rPr>
        <w:t>进一步加强预算管理意识，严格按照预算编制的相关制度和要求进行预算编制；全面编制预算项目，有限保障固定性的、有控制空间的费用项目，尽量压缩变动性的、有控制空间的费用项目，进一步提高预算编制的科学性、严谨性和可控性。</w:t>
      </w:r>
    </w:p>
    <w:p>
      <w:pPr>
        <w:pStyle w:val="2"/>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Style w:val="2"/>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Style w:val="2"/>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Style w:val="2"/>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Style w:val="2"/>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Style w:val="2"/>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360" w:lineRule="auto"/>
        <w:textAlignment w:val="auto"/>
        <w:rPr>
          <w:rFonts w:hint="eastAsia" w:ascii="仿宋_GB2312" w:hAnsi="仿宋_GB2312" w:eastAsia="仿宋_GB2312" w:cs="仿宋_GB2312"/>
          <w:color w:val="auto"/>
          <w:sz w:val="32"/>
          <w:szCs w:val="32"/>
          <w:lang w:val="en-US" w:eastAsia="zh-CN"/>
        </w:rPr>
      </w:pPr>
    </w:p>
    <w:p/>
    <w:p>
      <w:pPr>
        <w:pageBreakBefore w:val="0"/>
        <w:kinsoku/>
        <w:wordWrap/>
        <w:overflowPunct/>
        <w:topLinePunct w:val="0"/>
        <w:bidi w:val="0"/>
        <w:spacing w:line="360" w:lineRule="auto"/>
        <w:jc w:val="center"/>
        <w:textAlignment w:val="auto"/>
        <w:outlineLvl w:val="0"/>
        <w:rPr>
          <w:rStyle w:val="25"/>
          <w:rFonts w:ascii="黑体" w:hAnsi="黑体" w:eastAsia="黑体"/>
          <w:b w:val="0"/>
        </w:rPr>
      </w:pPr>
      <w:bookmarkStart w:id="91" w:name="_Toc15396618"/>
      <w:bookmarkStart w:id="92" w:name="_Toc20604"/>
      <w:r>
        <w:rPr>
          <w:rFonts w:hint="eastAsia" w:ascii="黑体" w:hAnsi="黑体" w:eastAsia="黑体"/>
          <w:color w:val="000000"/>
          <w:sz w:val="44"/>
          <w:szCs w:val="44"/>
        </w:rPr>
        <w:t>第</w:t>
      </w:r>
      <w:r>
        <w:rPr>
          <w:rStyle w:val="25"/>
          <w:rFonts w:hint="eastAsia" w:ascii="黑体" w:hAnsi="黑体" w:eastAsia="黑体"/>
          <w:b w:val="0"/>
        </w:rPr>
        <w:t>五部分 附表</w:t>
      </w:r>
      <w:bookmarkEnd w:id="81"/>
      <w:bookmarkEnd w:id="91"/>
      <w:bookmarkEnd w:id="92"/>
    </w:p>
    <w:p>
      <w:pPr>
        <w:pageBreakBefore w:val="0"/>
        <w:kinsoku/>
        <w:wordWrap/>
        <w:overflowPunct/>
        <w:topLinePunct w:val="0"/>
        <w:bidi w:val="0"/>
        <w:spacing w:line="360" w:lineRule="auto"/>
        <w:jc w:val="center"/>
        <w:textAlignment w:val="auto"/>
        <w:outlineLvl w:val="9"/>
        <w:rPr>
          <w:rFonts w:ascii="仿宋" w:hAnsi="仿宋" w:eastAsia="仿宋"/>
          <w:b/>
          <w:color w:val="000000"/>
          <w:sz w:val="44"/>
          <w:szCs w:val="44"/>
        </w:rPr>
      </w:pPr>
    </w:p>
    <w:p>
      <w:pPr>
        <w:pStyle w:val="4"/>
        <w:pageBreakBefore w:val="0"/>
        <w:kinsoku/>
        <w:wordWrap/>
        <w:overflowPunct/>
        <w:topLinePunct w:val="0"/>
        <w:bidi w:val="0"/>
        <w:spacing w:line="360" w:lineRule="auto"/>
        <w:textAlignment w:val="auto"/>
        <w:rPr>
          <w:rFonts w:ascii="仿宋" w:hAnsi="仿宋" w:eastAsia="仿宋"/>
          <w:color w:val="000000"/>
        </w:rPr>
      </w:pPr>
      <w:bookmarkStart w:id="93" w:name="_Toc218"/>
      <w:bookmarkStart w:id="94"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93"/>
      <w:bookmarkEnd w:id="94"/>
    </w:p>
    <w:p>
      <w:pPr>
        <w:pStyle w:val="4"/>
        <w:pageBreakBefore w:val="0"/>
        <w:kinsoku/>
        <w:wordWrap/>
        <w:overflowPunct/>
        <w:topLinePunct w:val="0"/>
        <w:bidi w:val="0"/>
        <w:spacing w:line="360" w:lineRule="auto"/>
        <w:textAlignment w:val="auto"/>
        <w:rPr>
          <w:rFonts w:ascii="仿宋" w:hAnsi="仿宋" w:eastAsia="仿宋"/>
          <w:color w:val="000000"/>
        </w:rPr>
      </w:pPr>
      <w:bookmarkStart w:id="95" w:name="_Toc10641"/>
      <w:bookmarkStart w:id="96"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95"/>
      <w:bookmarkEnd w:id="96"/>
    </w:p>
    <w:p>
      <w:pPr>
        <w:pStyle w:val="4"/>
        <w:pageBreakBefore w:val="0"/>
        <w:kinsoku/>
        <w:wordWrap/>
        <w:overflowPunct/>
        <w:topLinePunct w:val="0"/>
        <w:bidi w:val="0"/>
        <w:spacing w:line="360" w:lineRule="auto"/>
        <w:textAlignment w:val="auto"/>
        <w:rPr>
          <w:rFonts w:ascii="仿宋" w:hAnsi="仿宋" w:eastAsia="仿宋"/>
          <w:color w:val="000000"/>
        </w:rPr>
      </w:pPr>
      <w:bookmarkStart w:id="97" w:name="_Toc15396621"/>
      <w:bookmarkStart w:id="98" w:name="_Toc23592"/>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97"/>
      <w:bookmarkEnd w:id="98"/>
    </w:p>
    <w:p>
      <w:pPr>
        <w:pStyle w:val="4"/>
        <w:pageBreakBefore w:val="0"/>
        <w:kinsoku/>
        <w:wordWrap/>
        <w:overflowPunct/>
        <w:topLinePunct w:val="0"/>
        <w:bidi w:val="0"/>
        <w:spacing w:line="360" w:lineRule="auto"/>
        <w:textAlignment w:val="auto"/>
        <w:rPr>
          <w:rFonts w:ascii="仿宋" w:hAnsi="仿宋" w:eastAsia="仿宋"/>
          <w:b w:val="0"/>
          <w:color w:val="000000"/>
        </w:rPr>
      </w:pPr>
      <w:bookmarkStart w:id="99" w:name="_Toc15396622"/>
      <w:bookmarkStart w:id="100" w:name="_Toc28570"/>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99"/>
      <w:bookmarkEnd w:id="100"/>
    </w:p>
    <w:p>
      <w:pPr>
        <w:pStyle w:val="4"/>
        <w:pageBreakBefore w:val="0"/>
        <w:kinsoku/>
        <w:wordWrap/>
        <w:overflowPunct/>
        <w:topLinePunct w:val="0"/>
        <w:bidi w:val="0"/>
        <w:spacing w:line="360" w:lineRule="auto"/>
        <w:textAlignment w:val="auto"/>
        <w:rPr>
          <w:rStyle w:val="26"/>
          <w:rFonts w:ascii="仿宋" w:hAnsi="仿宋" w:eastAsia="仿宋"/>
          <w:b w:val="0"/>
          <w:bCs w:val="0"/>
        </w:rPr>
      </w:pPr>
      <w:bookmarkStart w:id="101" w:name="_Toc24400"/>
      <w:bookmarkStart w:id="102"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01"/>
      <w:bookmarkEnd w:id="102"/>
      <w:bookmarkStart w:id="103" w:name="_Toc15396624"/>
    </w:p>
    <w:p>
      <w:pPr>
        <w:pStyle w:val="4"/>
        <w:pageBreakBefore w:val="0"/>
        <w:kinsoku/>
        <w:wordWrap/>
        <w:overflowPunct/>
        <w:topLinePunct w:val="0"/>
        <w:bidi w:val="0"/>
        <w:spacing w:line="360" w:lineRule="auto"/>
        <w:textAlignment w:val="auto"/>
        <w:rPr>
          <w:rFonts w:ascii="仿宋" w:hAnsi="仿宋" w:eastAsia="仿宋"/>
          <w:color w:val="000000"/>
        </w:rPr>
      </w:pPr>
      <w:bookmarkStart w:id="104" w:name="_Toc202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03"/>
      <w:bookmarkEnd w:id="104"/>
    </w:p>
    <w:p>
      <w:pPr>
        <w:pStyle w:val="4"/>
        <w:pageBreakBefore w:val="0"/>
        <w:kinsoku/>
        <w:wordWrap/>
        <w:overflowPunct/>
        <w:topLinePunct w:val="0"/>
        <w:bidi w:val="0"/>
        <w:spacing w:line="360" w:lineRule="auto"/>
        <w:textAlignment w:val="auto"/>
        <w:rPr>
          <w:rFonts w:ascii="仿宋" w:hAnsi="仿宋" w:eastAsia="仿宋"/>
          <w:color w:val="000000"/>
        </w:rPr>
      </w:pPr>
      <w:bookmarkStart w:id="105" w:name="_Toc19630"/>
      <w:bookmarkStart w:id="10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05"/>
      <w:bookmarkEnd w:id="106"/>
    </w:p>
    <w:p>
      <w:pPr>
        <w:pStyle w:val="4"/>
        <w:pageBreakBefore w:val="0"/>
        <w:kinsoku/>
        <w:wordWrap/>
        <w:overflowPunct/>
        <w:topLinePunct w:val="0"/>
        <w:bidi w:val="0"/>
        <w:spacing w:line="360" w:lineRule="auto"/>
        <w:textAlignment w:val="auto"/>
        <w:rPr>
          <w:rFonts w:ascii="仿宋" w:hAnsi="仿宋" w:eastAsia="仿宋"/>
          <w:color w:val="000000"/>
        </w:rPr>
      </w:pPr>
      <w:bookmarkStart w:id="107" w:name="_Toc4568"/>
      <w:bookmarkStart w:id="108"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07"/>
      <w:bookmarkEnd w:id="108"/>
    </w:p>
    <w:p>
      <w:pPr>
        <w:pStyle w:val="4"/>
        <w:pageBreakBefore w:val="0"/>
        <w:kinsoku/>
        <w:wordWrap/>
        <w:overflowPunct/>
        <w:topLinePunct w:val="0"/>
        <w:bidi w:val="0"/>
        <w:spacing w:line="360" w:lineRule="auto"/>
        <w:textAlignment w:val="auto"/>
        <w:rPr>
          <w:rFonts w:ascii="仿宋" w:hAnsi="仿宋" w:eastAsia="仿宋"/>
          <w:color w:val="000000"/>
        </w:rPr>
      </w:pPr>
      <w:bookmarkStart w:id="109" w:name="_Toc15396627"/>
      <w:bookmarkStart w:id="110" w:name="_Toc2314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09"/>
      <w:bookmarkEnd w:id="110"/>
    </w:p>
    <w:p>
      <w:pPr>
        <w:pStyle w:val="4"/>
        <w:pageBreakBefore w:val="0"/>
        <w:kinsoku/>
        <w:wordWrap/>
        <w:overflowPunct/>
        <w:topLinePunct w:val="0"/>
        <w:bidi w:val="0"/>
        <w:spacing w:line="360" w:lineRule="auto"/>
        <w:textAlignment w:val="auto"/>
        <w:rPr>
          <w:rFonts w:ascii="仿宋" w:hAnsi="仿宋" w:eastAsia="仿宋"/>
          <w:color w:val="000000"/>
        </w:rPr>
      </w:pPr>
      <w:bookmarkStart w:id="111" w:name="_Toc110"/>
      <w:bookmarkStart w:id="112"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11"/>
      <w:bookmarkEnd w:id="112"/>
    </w:p>
    <w:p>
      <w:pPr>
        <w:pStyle w:val="4"/>
        <w:pageBreakBefore w:val="0"/>
        <w:kinsoku/>
        <w:wordWrap/>
        <w:overflowPunct/>
        <w:topLinePunct w:val="0"/>
        <w:bidi w:val="0"/>
        <w:spacing w:line="360" w:lineRule="auto"/>
        <w:textAlignment w:val="auto"/>
        <w:rPr>
          <w:rFonts w:ascii="仿宋" w:hAnsi="仿宋" w:eastAsia="仿宋"/>
          <w:color w:val="000000"/>
        </w:rPr>
      </w:pPr>
      <w:bookmarkStart w:id="113" w:name="_Toc30561"/>
      <w:bookmarkStart w:id="114"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13"/>
      <w:bookmarkEnd w:id="114"/>
    </w:p>
    <w:p>
      <w:pPr>
        <w:pStyle w:val="4"/>
        <w:pageBreakBefore w:val="0"/>
        <w:kinsoku/>
        <w:wordWrap/>
        <w:overflowPunct/>
        <w:topLinePunct w:val="0"/>
        <w:bidi w:val="0"/>
        <w:spacing w:line="360" w:lineRule="auto"/>
        <w:textAlignment w:val="auto"/>
        <w:rPr>
          <w:rFonts w:ascii="仿宋" w:hAnsi="仿宋" w:eastAsia="仿宋"/>
          <w:color w:val="000000"/>
        </w:rPr>
      </w:pPr>
      <w:bookmarkStart w:id="115" w:name="_Toc24325"/>
      <w:bookmarkStart w:id="116"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15"/>
      <w:bookmarkEnd w:id="116"/>
    </w:p>
    <w:p>
      <w:pPr>
        <w:pStyle w:val="4"/>
        <w:pageBreakBefore w:val="0"/>
        <w:kinsoku/>
        <w:wordWrap/>
        <w:overflowPunct/>
        <w:topLinePunct w:val="0"/>
        <w:bidi w:val="0"/>
        <w:spacing w:line="360" w:lineRule="auto"/>
        <w:textAlignment w:val="auto"/>
        <w:rPr>
          <w:rFonts w:ascii="仿宋" w:hAnsi="仿宋" w:eastAsia="仿宋"/>
          <w:color w:val="000000" w:themeColor="text1"/>
        </w:rPr>
      </w:pPr>
      <w:bookmarkStart w:id="117" w:name="_Toc15396631"/>
      <w:bookmarkStart w:id="118" w:name="_Toc27727"/>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17"/>
      <w:bookmarkEnd w:id="11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Helvetica">
    <w:altName w:val="DejaVu Sans"/>
    <w:panose1 w:val="020B0604020202020204"/>
    <w:charset w:val="00"/>
    <w:family w:val="swiss"/>
    <w:pitch w:val="default"/>
    <w:sig w:usb0="00000000" w:usb1="00000000" w:usb2="00000000" w:usb3="00000000" w:csb0="0000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39D83"/>
    <w:multiLevelType w:val="singleLevel"/>
    <w:tmpl w:val="88E39D83"/>
    <w:lvl w:ilvl="0" w:tentative="0">
      <w:start w:val="1"/>
      <w:numFmt w:val="lowerLetter"/>
      <w:suff w:val="space"/>
      <w:lvlText w:val="%1."/>
      <w:lvlJc w:val="left"/>
    </w:lvl>
  </w:abstractNum>
  <w:abstractNum w:abstractNumId="1">
    <w:nsid w:val="9109AFF4"/>
    <w:multiLevelType w:val="singleLevel"/>
    <w:tmpl w:val="9109AFF4"/>
    <w:lvl w:ilvl="0" w:tentative="0">
      <w:start w:val="2"/>
      <w:numFmt w:val="chineseCounting"/>
      <w:suff w:val="nothing"/>
      <w:lvlText w:val="（%1）"/>
      <w:lvlJc w:val="left"/>
      <w:rPr>
        <w:rFonts w:hint="eastAsia"/>
      </w:rPr>
    </w:lvl>
  </w:abstractNum>
  <w:abstractNum w:abstractNumId="2">
    <w:nsid w:val="95FD0D87"/>
    <w:multiLevelType w:val="singleLevel"/>
    <w:tmpl w:val="95FD0D87"/>
    <w:lvl w:ilvl="0" w:tentative="0">
      <w:start w:val="2"/>
      <w:numFmt w:val="chineseCounting"/>
      <w:suff w:val="nothing"/>
      <w:lvlText w:val="（%1）"/>
      <w:lvlJc w:val="left"/>
      <w:rPr>
        <w:rFonts w:hint="eastAsia"/>
      </w:rPr>
    </w:lvl>
  </w:abstractNum>
  <w:abstractNum w:abstractNumId="3">
    <w:nsid w:val="CA164A4D"/>
    <w:multiLevelType w:val="singleLevel"/>
    <w:tmpl w:val="CA164A4D"/>
    <w:lvl w:ilvl="0" w:tentative="0">
      <w:start w:val="2"/>
      <w:numFmt w:val="chineseCounting"/>
      <w:suff w:val="nothing"/>
      <w:lvlText w:val="%1、"/>
      <w:lvlJc w:val="left"/>
      <w:rPr>
        <w:rFonts w:hint="eastAsia"/>
      </w:rPr>
    </w:lvl>
  </w:abstractNum>
  <w:abstractNum w:abstractNumId="4">
    <w:nsid w:val="CF652CEC"/>
    <w:multiLevelType w:val="singleLevel"/>
    <w:tmpl w:val="CF652CEC"/>
    <w:lvl w:ilvl="0" w:tentative="0">
      <w:start w:val="9"/>
      <w:numFmt w:val="chineseCounting"/>
      <w:suff w:val="nothing"/>
      <w:lvlText w:val="%1、"/>
      <w:lvlJc w:val="left"/>
      <w:rPr>
        <w:rFonts w:hint="eastAsia"/>
      </w:rPr>
    </w:lvl>
  </w:abstractNum>
  <w:abstractNum w:abstractNumId="5">
    <w:nsid w:val="E2FA047D"/>
    <w:multiLevelType w:val="singleLevel"/>
    <w:tmpl w:val="E2FA047D"/>
    <w:lvl w:ilvl="0" w:tentative="0">
      <w:start w:val="3"/>
      <w:numFmt w:val="chineseCounting"/>
      <w:suff w:val="space"/>
      <w:lvlText w:val="第%1部分"/>
      <w:lvlJc w:val="left"/>
      <w:rPr>
        <w:rFonts w:hint="eastAsia"/>
      </w:rPr>
    </w:lvl>
  </w:abstractNum>
  <w:abstractNum w:abstractNumId="6">
    <w:nsid w:val="E8D00F5D"/>
    <w:multiLevelType w:val="singleLevel"/>
    <w:tmpl w:val="E8D00F5D"/>
    <w:lvl w:ilvl="0" w:tentative="0">
      <w:start w:val="1"/>
      <w:numFmt w:val="chineseCounting"/>
      <w:suff w:val="space"/>
      <w:lvlText w:val="第%1部分"/>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3563A870"/>
    <w:multiLevelType w:val="singleLevel"/>
    <w:tmpl w:val="3563A870"/>
    <w:lvl w:ilvl="0" w:tentative="0">
      <w:start w:val="1"/>
      <w:numFmt w:val="decimal"/>
      <w:lvlText w:val="%1."/>
      <w:lvlJc w:val="left"/>
      <w:pPr>
        <w:tabs>
          <w:tab w:val="left" w:pos="312"/>
        </w:tabs>
      </w:pPr>
    </w:lvl>
  </w:abstractNum>
  <w:abstractNum w:abstractNumId="9">
    <w:nsid w:val="3EB6E6F9"/>
    <w:multiLevelType w:val="singleLevel"/>
    <w:tmpl w:val="3EB6E6F9"/>
    <w:lvl w:ilvl="0" w:tentative="0">
      <w:start w:val="1"/>
      <w:numFmt w:val="chineseCounting"/>
      <w:suff w:val="nothing"/>
      <w:lvlText w:val="%1、"/>
      <w:lvlJc w:val="left"/>
      <w:rPr>
        <w:rFonts w:hint="eastAsia"/>
      </w:rPr>
    </w:lvl>
  </w:abstractNum>
  <w:abstractNum w:abstractNumId="10">
    <w:nsid w:val="4715D55C"/>
    <w:multiLevelType w:val="singleLevel"/>
    <w:tmpl w:val="4715D55C"/>
    <w:lvl w:ilvl="0" w:tentative="0">
      <w:start w:val="1"/>
      <w:numFmt w:val="lowerLetter"/>
      <w:suff w:val="space"/>
      <w:lvlText w:val="%1."/>
      <w:lvlJc w:val="left"/>
    </w:lvl>
  </w:abstractNum>
  <w:abstractNum w:abstractNumId="11">
    <w:nsid w:val="57DCC244"/>
    <w:multiLevelType w:val="singleLevel"/>
    <w:tmpl w:val="57DCC244"/>
    <w:lvl w:ilvl="0" w:tentative="0">
      <w:start w:val="1"/>
      <w:numFmt w:val="lowerLetter"/>
      <w:suff w:val="space"/>
      <w:lvlText w:val="%1."/>
      <w:lvlJc w:val="left"/>
    </w:lvl>
  </w:abstractNum>
  <w:num w:numId="1">
    <w:abstractNumId w:val="6"/>
  </w:num>
  <w:num w:numId="2">
    <w:abstractNumId w:val="9"/>
  </w:num>
  <w:num w:numId="3">
    <w:abstractNumId w:val="3"/>
  </w:num>
  <w:num w:numId="4">
    <w:abstractNumId w:val="7"/>
  </w:num>
  <w:num w:numId="5">
    <w:abstractNumId w:val="8"/>
  </w:num>
  <w:num w:numId="6">
    <w:abstractNumId w:val="0"/>
  </w:num>
  <w:num w:numId="7">
    <w:abstractNumId w:val="10"/>
  </w:num>
  <w:num w:numId="8">
    <w:abstractNumId w:val="11"/>
  </w:num>
  <w:num w:numId="9">
    <w:abstractNumId w:val="4"/>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20F03"/>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47B"/>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6F1A"/>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32A"/>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49B3"/>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C1DE9"/>
    <w:rsid w:val="01A05F03"/>
    <w:rsid w:val="01E915CA"/>
    <w:rsid w:val="02020ED1"/>
    <w:rsid w:val="02347653"/>
    <w:rsid w:val="03F05F02"/>
    <w:rsid w:val="056327A4"/>
    <w:rsid w:val="06CA17E4"/>
    <w:rsid w:val="06E9686E"/>
    <w:rsid w:val="06F34A97"/>
    <w:rsid w:val="07084EA6"/>
    <w:rsid w:val="078C15D9"/>
    <w:rsid w:val="08080BB7"/>
    <w:rsid w:val="08B8753D"/>
    <w:rsid w:val="09CC436A"/>
    <w:rsid w:val="09E30774"/>
    <w:rsid w:val="0ABD714C"/>
    <w:rsid w:val="0C241742"/>
    <w:rsid w:val="0C5A4201"/>
    <w:rsid w:val="0CA71773"/>
    <w:rsid w:val="0CB617E0"/>
    <w:rsid w:val="0CF41B80"/>
    <w:rsid w:val="0CFC608D"/>
    <w:rsid w:val="0EFD428A"/>
    <w:rsid w:val="0F19293A"/>
    <w:rsid w:val="0F325A76"/>
    <w:rsid w:val="0F34285D"/>
    <w:rsid w:val="0F587532"/>
    <w:rsid w:val="0FEF77E0"/>
    <w:rsid w:val="10250D24"/>
    <w:rsid w:val="10C055FF"/>
    <w:rsid w:val="11513A6C"/>
    <w:rsid w:val="11A01133"/>
    <w:rsid w:val="130A4514"/>
    <w:rsid w:val="13376699"/>
    <w:rsid w:val="139A08A4"/>
    <w:rsid w:val="13D84345"/>
    <w:rsid w:val="144F1B60"/>
    <w:rsid w:val="15D13065"/>
    <w:rsid w:val="16156B93"/>
    <w:rsid w:val="166F0061"/>
    <w:rsid w:val="16BB723D"/>
    <w:rsid w:val="16F009A5"/>
    <w:rsid w:val="16FA1EA3"/>
    <w:rsid w:val="177F4B18"/>
    <w:rsid w:val="18464BD2"/>
    <w:rsid w:val="1A502BBD"/>
    <w:rsid w:val="1B2E370D"/>
    <w:rsid w:val="1BA65FDD"/>
    <w:rsid w:val="1D98757A"/>
    <w:rsid w:val="1E6B0CEB"/>
    <w:rsid w:val="1F2F2BFA"/>
    <w:rsid w:val="1F5F1E68"/>
    <w:rsid w:val="1FEB2C57"/>
    <w:rsid w:val="20056FCD"/>
    <w:rsid w:val="20D74EC2"/>
    <w:rsid w:val="20DF48B7"/>
    <w:rsid w:val="21125B77"/>
    <w:rsid w:val="217F0B9E"/>
    <w:rsid w:val="22B25915"/>
    <w:rsid w:val="23BD5504"/>
    <w:rsid w:val="240371BF"/>
    <w:rsid w:val="24626892"/>
    <w:rsid w:val="257E06F1"/>
    <w:rsid w:val="259C6A2C"/>
    <w:rsid w:val="279743B0"/>
    <w:rsid w:val="283F2C84"/>
    <w:rsid w:val="28715B8D"/>
    <w:rsid w:val="28992EE9"/>
    <w:rsid w:val="289C7C8C"/>
    <w:rsid w:val="28DA340F"/>
    <w:rsid w:val="296F185D"/>
    <w:rsid w:val="29FD04D3"/>
    <w:rsid w:val="2A22724E"/>
    <w:rsid w:val="2A601F5F"/>
    <w:rsid w:val="2AE50BC8"/>
    <w:rsid w:val="2B1B3C74"/>
    <w:rsid w:val="2B9C73D6"/>
    <w:rsid w:val="2C272C0E"/>
    <w:rsid w:val="2C821C39"/>
    <w:rsid w:val="2CE0346E"/>
    <w:rsid w:val="2CF60E1E"/>
    <w:rsid w:val="2DC46ED5"/>
    <w:rsid w:val="2EDF0501"/>
    <w:rsid w:val="2F5D59AB"/>
    <w:rsid w:val="30450C91"/>
    <w:rsid w:val="30A24FB4"/>
    <w:rsid w:val="30D5607C"/>
    <w:rsid w:val="31494F65"/>
    <w:rsid w:val="319B5DAB"/>
    <w:rsid w:val="319F7F4E"/>
    <w:rsid w:val="3260336A"/>
    <w:rsid w:val="332F0E46"/>
    <w:rsid w:val="3408147A"/>
    <w:rsid w:val="3478383D"/>
    <w:rsid w:val="357030A1"/>
    <w:rsid w:val="35F32923"/>
    <w:rsid w:val="36C6415D"/>
    <w:rsid w:val="36EF693D"/>
    <w:rsid w:val="39DC2ABA"/>
    <w:rsid w:val="3AFD75E0"/>
    <w:rsid w:val="3B7F6E18"/>
    <w:rsid w:val="3B970151"/>
    <w:rsid w:val="3BCA731B"/>
    <w:rsid w:val="3ECF6CC5"/>
    <w:rsid w:val="415F406B"/>
    <w:rsid w:val="4179109D"/>
    <w:rsid w:val="44BC4E15"/>
    <w:rsid w:val="45C510F2"/>
    <w:rsid w:val="464C4428"/>
    <w:rsid w:val="47E85B33"/>
    <w:rsid w:val="491438C5"/>
    <w:rsid w:val="4927120D"/>
    <w:rsid w:val="492E1A75"/>
    <w:rsid w:val="49DD59D0"/>
    <w:rsid w:val="49E602A5"/>
    <w:rsid w:val="4A253805"/>
    <w:rsid w:val="4A6C26F9"/>
    <w:rsid w:val="4B1931D8"/>
    <w:rsid w:val="4B507D30"/>
    <w:rsid w:val="4C9B66F1"/>
    <w:rsid w:val="4E1031D5"/>
    <w:rsid w:val="4E4F4E6C"/>
    <w:rsid w:val="4ECE2238"/>
    <w:rsid w:val="4ED70B3A"/>
    <w:rsid w:val="504F73DD"/>
    <w:rsid w:val="52166D69"/>
    <w:rsid w:val="53F439B5"/>
    <w:rsid w:val="540B3294"/>
    <w:rsid w:val="54A9552E"/>
    <w:rsid w:val="55832749"/>
    <w:rsid w:val="567D05CF"/>
    <w:rsid w:val="579112EB"/>
    <w:rsid w:val="57A70DE1"/>
    <w:rsid w:val="58555F7A"/>
    <w:rsid w:val="5917026F"/>
    <w:rsid w:val="59BE623A"/>
    <w:rsid w:val="5ADA7015"/>
    <w:rsid w:val="5D217FAC"/>
    <w:rsid w:val="5DE41B7E"/>
    <w:rsid w:val="60127F7D"/>
    <w:rsid w:val="605549BA"/>
    <w:rsid w:val="609E4DBF"/>
    <w:rsid w:val="60BA73A9"/>
    <w:rsid w:val="60CD7657"/>
    <w:rsid w:val="61885107"/>
    <w:rsid w:val="61D10B62"/>
    <w:rsid w:val="631D3987"/>
    <w:rsid w:val="63717E10"/>
    <w:rsid w:val="637F0900"/>
    <w:rsid w:val="63F734A9"/>
    <w:rsid w:val="6435299F"/>
    <w:rsid w:val="6445289F"/>
    <w:rsid w:val="64632E85"/>
    <w:rsid w:val="64CF7D46"/>
    <w:rsid w:val="65E46C78"/>
    <w:rsid w:val="663B0BEB"/>
    <w:rsid w:val="66656773"/>
    <w:rsid w:val="669456BB"/>
    <w:rsid w:val="67212FF2"/>
    <w:rsid w:val="674D72EB"/>
    <w:rsid w:val="67D0593F"/>
    <w:rsid w:val="6A09215B"/>
    <w:rsid w:val="6A936741"/>
    <w:rsid w:val="6B2D61B6"/>
    <w:rsid w:val="6E513316"/>
    <w:rsid w:val="6F313DC1"/>
    <w:rsid w:val="70C072F2"/>
    <w:rsid w:val="70E41590"/>
    <w:rsid w:val="72363AF8"/>
    <w:rsid w:val="72734D90"/>
    <w:rsid w:val="734E21A0"/>
    <w:rsid w:val="74697D45"/>
    <w:rsid w:val="74AD37BE"/>
    <w:rsid w:val="761270BE"/>
    <w:rsid w:val="77C014C9"/>
    <w:rsid w:val="77EEE3F2"/>
    <w:rsid w:val="78F40B8E"/>
    <w:rsid w:val="7C641C97"/>
    <w:rsid w:val="7CD12BAB"/>
    <w:rsid w:val="7E517ABB"/>
    <w:rsid w:val="7F721A64"/>
    <w:rsid w:val="7F907524"/>
    <w:rsid w:val="7F9D1F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825"/>
          <c:y val="0.128166666666667"/>
          <c:w val="0.910925"/>
          <c:h val="0.71723333333333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Sheet1!$A$2:$A$5</c:f>
              <c:strCache>
                <c:ptCount val="4"/>
                <c:pt idx="0">
                  <c:v>收入</c:v>
                </c:pt>
                <c:pt idx="1">
                  <c:v>支出</c:v>
                </c:pt>
              </c:strCache>
            </c:strRef>
          </c:cat>
          <c:val>
            <c:numRef>
              <c:f>Sheet1!$B$2:$B$5</c:f>
              <c:numCache>
                <c:formatCode>General</c:formatCode>
                <c:ptCount val="4"/>
                <c:pt idx="0">
                  <c:v>566.34</c:v>
                </c:pt>
                <c:pt idx="1">
                  <c:v>617.62</c:v>
                </c:pt>
              </c:numCache>
            </c:numRef>
          </c:val>
        </c:ser>
        <c:ser>
          <c:idx val="1"/>
          <c:order val="1"/>
          <c:tx>
            <c:strRef>
              <c:f>Sheet1!$C$1</c:f>
              <c:strCache>
                <c:ptCount val="1"/>
                <c:pt idx="0">
                  <c:v>2019年</c:v>
                </c:pt>
              </c:strCache>
            </c:strRef>
          </c:tx>
          <c:spPr>
            <a:solidFill>
              <a:schemeClr val="accent3"/>
            </a:solidFill>
            <a:ln>
              <a:noFill/>
            </a:ln>
            <a:effectLst/>
          </c:spPr>
          <c:invertIfNegative val="0"/>
          <c:dLbls>
            <c:delete val="1"/>
          </c:dLbls>
          <c:cat>
            <c:strRef>
              <c:f>Sheet1!$A$2:$A$5</c:f>
              <c:strCache>
                <c:ptCount val="4"/>
                <c:pt idx="0">
                  <c:v>收入</c:v>
                </c:pt>
                <c:pt idx="1">
                  <c:v>支出</c:v>
                </c:pt>
              </c:strCache>
            </c:strRef>
          </c:cat>
          <c:val>
            <c:numRef>
              <c:f>Sheet1!$C$2:$C$5</c:f>
              <c:numCache>
                <c:formatCode>General</c:formatCode>
                <c:ptCount val="4"/>
                <c:pt idx="0">
                  <c:v>563.95</c:v>
                </c:pt>
                <c:pt idx="1">
                  <c:v>630.26</c:v>
                </c:pt>
              </c:numCache>
            </c:numRef>
          </c:val>
        </c:ser>
        <c:dLbls>
          <c:showLegendKey val="0"/>
          <c:showVal val="0"/>
          <c:showCatName val="0"/>
          <c:showSerName val="0"/>
          <c:showPercent val="0"/>
          <c:showBubbleSize val="0"/>
        </c:dLbls>
        <c:gapWidth val="143"/>
        <c:overlap val="2"/>
        <c:axId val="832590700"/>
        <c:axId val="537069229"/>
      </c:barChart>
      <c:catAx>
        <c:axId val="8325907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069229"/>
        <c:crosses val="autoZero"/>
        <c:auto val="1"/>
        <c:lblAlgn val="ctr"/>
        <c:lblOffset val="100"/>
        <c:noMultiLvlLbl val="0"/>
      </c:catAx>
      <c:valAx>
        <c:axId val="5370692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2590700"/>
        <c:crosses val="autoZero"/>
        <c:crossBetween val="between"/>
      </c:valAx>
      <c:spPr>
        <a:noFill/>
        <a:ln>
          <a:noFill/>
        </a:ln>
        <a:effectLst/>
      </c:spPr>
    </c:plotArea>
    <c:legend>
      <c:legendPos val="b"/>
      <c:layout>
        <c:manualLayout>
          <c:xMode val="edge"/>
          <c:yMode val="edge"/>
          <c:x val="0.569255087927287"/>
          <c:y val="0.9000275406224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extLst>
                <c:ext xmlns:c15="http://schemas.microsoft.com/office/drawing/2012/chart" uri="{02D57815-91ED-43cb-92C2-25804820EDAC}">
                  <c15:fullRef>
                    <c15:sqref>Sheet1!$A$2:$A$5</c15:sqref>
                  </c15:fullRef>
                </c:ext>
              </c:extLst>
              <c:f>Sheet1!$A$4</c:f>
              <c:strCache>
                <c:ptCount val="1"/>
                <c:pt idx="0">
                  <c:v>一般公共预算财政拨款收入</c:v>
                </c:pt>
              </c:strCache>
            </c:strRef>
          </c:cat>
          <c:val>
            <c:numRef>
              <c:extLst>
                <c:ext xmlns:c15="http://schemas.microsoft.com/office/drawing/2012/chart" uri="{02D57815-91ED-43cb-92C2-25804820EDAC}">
                  <c15:fullRef>
                    <c15:sqref>Sheet1!$B$2:$B$5</c15:sqref>
                  </c15:fullRef>
                </c:ext>
              </c:extLst>
              <c:f>Sheet1!$B$4</c:f>
              <c:numCache>
                <c:formatCode>General</c:formatCode>
                <c:ptCount val="1"/>
                <c:pt idx="0">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3"/>
              </a:solidFill>
              <a:ln w="19050">
                <a:solidFill>
                  <a:schemeClr val="lt1"/>
                </a:solidFill>
              </a:ln>
              <a:effectLst/>
            </c:spPr>
          </c:dPt>
          <c:dPt>
            <c:idx val="2"/>
            <c:bubble3D val="0"/>
            <c:spPr>
              <a:solidFill>
                <a:schemeClr val="accent5"/>
              </a:solidFill>
              <a:ln w="19050">
                <a:solidFill>
                  <a:schemeClr val="lt1"/>
                </a:solidFill>
              </a:ln>
              <a:effectLst/>
            </c:spPr>
          </c:dPt>
          <c:dPt>
            <c:idx val="3"/>
            <c:bubble3D val="0"/>
            <c:spPr>
              <a:solidFill>
                <a:schemeClr val="accent1">
                  <a:lumMod val="60000"/>
                </a:schemeClr>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86.81</c:v>
                </c:pt>
                <c:pt idx="1">
                  <c:v>13.19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825"/>
          <c:y val="0.128166666666667"/>
          <c:w val="0.910925"/>
          <c:h val="0.71723333333333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Sheet1!$A$2:$A$5</c:f>
              <c:strCache>
                <c:ptCount val="4"/>
                <c:pt idx="1">
                  <c:v>财政拨款收入</c:v>
                </c:pt>
              </c:strCache>
            </c:strRef>
          </c:cat>
          <c:val>
            <c:numRef>
              <c:f>Sheet1!$B$2:$B$5</c:f>
              <c:numCache>
                <c:formatCode>General</c:formatCode>
                <c:ptCount val="4"/>
                <c:pt idx="0">
                  <c:v>566.34</c:v>
                </c:pt>
                <c:pt idx="1">
                  <c:v>617.62</c:v>
                </c:pt>
              </c:numCache>
            </c:numRef>
          </c:val>
        </c:ser>
        <c:ser>
          <c:idx val="1"/>
          <c:order val="1"/>
          <c:tx>
            <c:strRef>
              <c:f>Sheet1!$C$1</c:f>
              <c:strCache>
                <c:ptCount val="1"/>
                <c:pt idx="0">
                  <c:v>2019年</c:v>
                </c:pt>
              </c:strCache>
            </c:strRef>
          </c:tx>
          <c:spPr>
            <a:solidFill>
              <a:schemeClr val="accent3"/>
            </a:solidFill>
            <a:ln>
              <a:noFill/>
            </a:ln>
            <a:effectLst/>
          </c:spPr>
          <c:invertIfNegative val="0"/>
          <c:dLbls>
            <c:delete val="1"/>
          </c:dLbls>
          <c:cat>
            <c:strRef>
              <c:f>Sheet1!$A$2:$A$5</c:f>
              <c:strCache>
                <c:ptCount val="4"/>
                <c:pt idx="1">
                  <c:v>财政拨款收入</c:v>
                </c:pt>
              </c:strCache>
            </c:strRef>
          </c:cat>
          <c:val>
            <c:numRef>
              <c:f>Sheet1!$C$2:$C$5</c:f>
              <c:numCache>
                <c:formatCode>General</c:formatCode>
                <c:ptCount val="4"/>
                <c:pt idx="0">
                  <c:v>563.95</c:v>
                </c:pt>
                <c:pt idx="1">
                  <c:v>630.26</c:v>
                </c:pt>
              </c:numCache>
            </c:numRef>
          </c:val>
        </c:ser>
        <c:dLbls>
          <c:showLegendKey val="0"/>
          <c:showVal val="0"/>
          <c:showCatName val="0"/>
          <c:showSerName val="0"/>
          <c:showPercent val="0"/>
          <c:showBubbleSize val="0"/>
        </c:dLbls>
        <c:gapWidth val="143"/>
        <c:overlap val="2"/>
        <c:axId val="832590700"/>
        <c:axId val="537069229"/>
      </c:barChart>
      <c:catAx>
        <c:axId val="8325907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069229"/>
        <c:crosses val="autoZero"/>
        <c:auto val="1"/>
        <c:lblAlgn val="ctr"/>
        <c:lblOffset val="100"/>
        <c:noMultiLvlLbl val="0"/>
      </c:catAx>
      <c:valAx>
        <c:axId val="5370692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2590700"/>
        <c:crosses val="autoZero"/>
        <c:crossBetween val="between"/>
      </c:valAx>
      <c:spPr>
        <a:noFill/>
        <a:ln>
          <a:noFill/>
        </a:ln>
        <a:effectLst/>
      </c:spPr>
    </c:plotArea>
    <c:legend>
      <c:legendPos val="b"/>
      <c:layout>
        <c:manualLayout>
          <c:xMode val="edge"/>
          <c:yMode val="edge"/>
          <c:x val="0.569255087927287"/>
          <c:y val="0.9000275406224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8092382855874"/>
          <c:y val="0.0264761904761905"/>
          <c:w val="0.943859649122807"/>
          <c:h val="0.870361904761905"/>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numRef>
              <c:f>Sheet1!$A$2:$A$5</c:f>
              <c:numCache>
                <c:formatCode>General</c:formatCode>
                <c:ptCount val="4"/>
              </c:numCache>
            </c:numRef>
          </c:cat>
          <c:val>
            <c:numRef>
              <c:f>Sheet1!$B$2:$B$5</c:f>
              <c:numCache>
                <c:formatCode>General</c:formatCode>
                <c:ptCount val="4"/>
                <c:pt idx="0">
                  <c:v>609.6</c:v>
                </c:pt>
              </c:numCache>
            </c:numRef>
          </c:val>
        </c:ser>
        <c:ser>
          <c:idx val="1"/>
          <c:order val="1"/>
          <c:tx>
            <c:strRef>
              <c:f>Sheet1!$C$1</c:f>
              <c:strCache>
                <c:ptCount val="1"/>
                <c:pt idx="0">
                  <c:v>2019年</c:v>
                </c:pt>
              </c:strCache>
            </c:strRef>
          </c:tx>
          <c:spPr>
            <a:solidFill>
              <a:schemeClr val="accent3"/>
            </a:solidFill>
            <a:ln>
              <a:noFill/>
            </a:ln>
            <a:effectLst/>
          </c:spPr>
          <c:invertIfNegative val="0"/>
          <c:dLbls>
            <c:delete val="1"/>
          </c:dLbls>
          <c:cat>
            <c:numRef>
              <c:f>Sheet1!$A$2:$A$5</c:f>
              <c:numCache>
                <c:formatCode>General</c:formatCode>
                <c:ptCount val="4"/>
              </c:numCache>
            </c:numRef>
          </c:cat>
          <c:val>
            <c:numRef>
              <c:f>Sheet1!$C$2:$C$5</c:f>
              <c:numCache>
                <c:formatCode>General</c:formatCode>
                <c:ptCount val="4"/>
                <c:pt idx="0">
                  <c:v>630.26</c:v>
                </c:pt>
              </c:numCache>
            </c:numRef>
          </c:val>
        </c:ser>
        <c:dLbls>
          <c:showLegendKey val="0"/>
          <c:showVal val="0"/>
          <c:showCatName val="0"/>
          <c:showSerName val="0"/>
          <c:showPercent val="0"/>
          <c:showBubbleSize val="0"/>
        </c:dLbls>
        <c:gapWidth val="143"/>
        <c:overlap val="2"/>
        <c:axId val="832590700"/>
        <c:axId val="537069229"/>
      </c:barChart>
      <c:catAx>
        <c:axId val="8325907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069229"/>
        <c:crosses val="autoZero"/>
        <c:auto val="1"/>
        <c:lblAlgn val="ctr"/>
        <c:lblOffset val="100"/>
        <c:noMultiLvlLbl val="0"/>
      </c:catAx>
      <c:valAx>
        <c:axId val="5370692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2590700"/>
        <c:crosses val="autoZero"/>
        <c:crossBetween val="between"/>
      </c:valAx>
      <c:spPr>
        <a:noFill/>
        <a:ln>
          <a:noFill/>
        </a:ln>
        <a:effectLst/>
      </c:spPr>
    </c:plotArea>
    <c:legend>
      <c:legendPos val="b"/>
      <c:layout>
        <c:manualLayout>
          <c:xMode val="edge"/>
          <c:yMode val="edge"/>
          <c:x val="0.569255087927287"/>
          <c:y val="0.9000275406224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81.2</c:v>
                </c:pt>
                <c:pt idx="1">
                  <c:v>9.33</c:v>
                </c:pt>
                <c:pt idx="2">
                  <c:v>4.05</c:v>
                </c:pt>
                <c:pt idx="3">
                  <c:v>5.42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因公出国（境）费</c:v>
                </c:pt>
                <c:pt idx="1">
                  <c:v>公务用车购置及运行费</c:v>
                </c:pt>
                <c:pt idx="2">
                  <c:v>公务接待费</c:v>
                </c:pt>
              </c:strCache>
            </c:strRef>
          </c:cat>
          <c:val>
            <c:numRef>
              <c:f>Sheet1!$B$2:$B$5</c:f>
              <c:numCache>
                <c:formatCode>General</c:formatCode>
                <c:ptCount val="4"/>
                <c:pt idx="0">
                  <c:v>0</c:v>
                </c:pt>
                <c:pt idx="1">
                  <c:v>97.9</c:v>
                </c:pt>
                <c:pt idx="2">
                  <c:v>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TotalTime>
  <ScaleCrop>false</ScaleCrop>
  <LinksUpToDate>false</LinksUpToDate>
  <CharactersWithSpaces>8587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2020-10-13T16:30:00Z</cp:lastPrinted>
  <dcterms:modified xsi:type="dcterms:W3CDTF">2025-04-11T11:11:19Z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FEC6D500A2C2DB9D5788F867828446B7</vt:lpwstr>
  </property>
</Properties>
</file>