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ascii="方正小标宋简体" w:hAnsi="方正小标宋简体" w:eastAsia="方正小标宋简体" w:cs="方正小标宋简体"/>
          <w:color w:val="auto"/>
          <w:sz w:val="72"/>
        </w:rPr>
      </w:pPr>
    </w:p>
    <w:p>
      <w:pPr>
        <w:spacing w:line="600" w:lineRule="auto"/>
        <w:jc w:val="center"/>
        <w:rPr>
          <w:rFonts w:ascii="方正小标宋简体" w:hAnsi="方正小标宋简体" w:eastAsia="方正小标宋简体" w:cs="方正小标宋简体"/>
          <w:color w:val="auto"/>
          <w:sz w:val="72"/>
        </w:rPr>
      </w:pPr>
    </w:p>
    <w:p>
      <w:pPr>
        <w:spacing w:line="600" w:lineRule="auto"/>
        <w:jc w:val="center"/>
        <w:rPr>
          <w:rFonts w:ascii="方正小标宋简体" w:hAnsi="方正小标宋简体" w:eastAsia="方正小标宋简体" w:cs="方正小标宋简体"/>
          <w:color w:val="auto"/>
          <w:sz w:val="72"/>
        </w:rPr>
      </w:pPr>
    </w:p>
    <w:p>
      <w:pPr>
        <w:spacing w:line="600" w:lineRule="auto"/>
        <w:jc w:val="center"/>
        <w:rPr>
          <w:rFonts w:ascii="方正小标宋简体" w:hAnsi="方正小标宋简体" w:eastAsia="方正小标宋简体" w:cs="方正小标宋简体"/>
          <w:color w:val="auto"/>
          <w:sz w:val="72"/>
        </w:rPr>
      </w:pPr>
    </w:p>
    <w:p>
      <w:pPr>
        <w:spacing w:line="360" w:lineRule="auto"/>
        <w:jc w:val="center"/>
        <w:rPr>
          <w:rFonts w:ascii="方正小标宋简体" w:hAnsi="方正小标宋简体" w:eastAsia="方正小标宋简体" w:cs="方正小标宋简体"/>
          <w:color w:val="auto"/>
          <w:sz w:val="72"/>
        </w:rPr>
      </w:pPr>
      <w:r>
        <w:rPr>
          <w:rFonts w:ascii="黑体" w:hAnsi="黑体" w:eastAsia="黑体" w:cs="黑体"/>
          <w:color w:val="auto"/>
          <w:sz w:val="72"/>
        </w:rPr>
        <w:t>2018</w:t>
      </w:r>
      <w:r>
        <w:rPr>
          <w:rFonts w:ascii="方正小标宋简体" w:hAnsi="方正小标宋简体" w:eastAsia="方正小标宋简体" w:cs="方正小标宋简体"/>
          <w:color w:val="auto"/>
          <w:sz w:val="72"/>
        </w:rPr>
        <w:t>年度</w:t>
      </w:r>
    </w:p>
    <w:p>
      <w:pPr>
        <w:spacing w:line="360" w:lineRule="auto"/>
        <w:jc w:val="center"/>
        <w:rPr>
          <w:rFonts w:ascii="方正小标宋简体" w:hAnsi="方正小标宋简体" w:eastAsia="方正小标宋简体" w:cs="方正小标宋简体"/>
          <w:color w:val="auto"/>
          <w:sz w:val="72"/>
        </w:rPr>
      </w:pPr>
      <w:r>
        <w:rPr>
          <w:rFonts w:ascii="方正小标宋简体" w:hAnsi="方正小标宋简体" w:eastAsia="方正小标宋简体" w:cs="方正小标宋简体"/>
          <w:color w:val="auto"/>
          <w:sz w:val="72"/>
        </w:rPr>
        <w:t>四川省</w:t>
      </w:r>
      <w:r>
        <w:rPr>
          <w:rFonts w:hint="eastAsia" w:ascii="方正小标宋简体" w:hAnsi="方正小标宋简体" w:eastAsia="方正小标宋简体" w:cs="方正小标宋简体"/>
          <w:color w:val="auto"/>
          <w:sz w:val="72"/>
        </w:rPr>
        <w:t>红原县政协委员会办公室</w:t>
      </w:r>
      <w:r>
        <w:rPr>
          <w:rFonts w:ascii="方正小标宋简体" w:hAnsi="方正小标宋简体" w:eastAsia="方正小标宋简体" w:cs="方正小标宋简体"/>
          <w:color w:val="auto"/>
          <w:sz w:val="72"/>
        </w:rPr>
        <w:t>部门决算</w:t>
      </w:r>
    </w:p>
    <w:p>
      <w:pPr>
        <w:spacing w:line="360" w:lineRule="auto"/>
        <w:jc w:val="center"/>
        <w:rPr>
          <w:rFonts w:ascii="方正小标宋简体" w:hAnsi="方正小标宋简体" w:eastAsia="方正小标宋简体" w:cs="方正小标宋简体"/>
          <w:color w:val="auto"/>
          <w:sz w:val="36"/>
        </w:rPr>
      </w:pPr>
      <w:r>
        <w:rPr>
          <w:rFonts w:ascii="方正小标宋简体" w:hAnsi="方正小标宋简体" w:eastAsia="方正小标宋简体" w:cs="方正小标宋简体"/>
          <w:color w:val="auto"/>
          <w:sz w:val="36"/>
        </w:rPr>
        <w:t xml:space="preserve"> </w:t>
      </w:r>
    </w:p>
    <w:p>
      <w:pPr>
        <w:jc w:val="center"/>
        <w:rPr>
          <w:rFonts w:ascii="黑体" w:hAnsi="黑体" w:eastAsia="黑体" w:cs="黑体"/>
          <w:color w:val="auto"/>
          <w:sz w:val="48"/>
        </w:rPr>
      </w:pPr>
    </w:p>
    <w:p>
      <w:pPr>
        <w:jc w:val="center"/>
        <w:rPr>
          <w:rFonts w:ascii="黑体" w:hAnsi="黑体" w:eastAsia="黑体" w:cs="黑体"/>
          <w:color w:val="auto"/>
          <w:sz w:val="48"/>
        </w:rPr>
      </w:pPr>
    </w:p>
    <w:p>
      <w:pPr>
        <w:jc w:val="center"/>
        <w:rPr>
          <w:rFonts w:ascii="黑体" w:hAnsi="黑体" w:eastAsia="黑体" w:cs="黑体"/>
          <w:color w:val="auto"/>
          <w:sz w:val="48"/>
        </w:rPr>
      </w:pPr>
    </w:p>
    <w:p>
      <w:pPr>
        <w:jc w:val="center"/>
        <w:rPr>
          <w:rFonts w:ascii="黑体" w:hAnsi="黑体" w:eastAsia="黑体" w:cs="黑体"/>
          <w:color w:val="auto"/>
          <w:sz w:val="48"/>
        </w:rPr>
      </w:pPr>
    </w:p>
    <w:p>
      <w:pPr>
        <w:jc w:val="center"/>
        <w:rPr>
          <w:rFonts w:ascii="黑体" w:hAnsi="黑体" w:eastAsia="黑体" w:cs="黑体"/>
          <w:color w:val="auto"/>
          <w:sz w:val="48"/>
        </w:rPr>
      </w:pPr>
    </w:p>
    <w:p>
      <w:pPr>
        <w:jc w:val="center"/>
        <w:rPr>
          <w:rFonts w:ascii="黑体" w:hAnsi="黑体" w:eastAsia="黑体" w:cs="黑体"/>
          <w:color w:val="auto"/>
          <w:sz w:val="48"/>
        </w:rPr>
      </w:pPr>
    </w:p>
    <w:p>
      <w:pPr>
        <w:jc w:val="center"/>
        <w:rPr>
          <w:rFonts w:ascii="黑体" w:hAnsi="黑体" w:eastAsia="黑体" w:cs="黑体"/>
          <w:color w:val="auto"/>
          <w:sz w:val="48"/>
        </w:rPr>
      </w:pPr>
    </w:p>
    <w:p>
      <w:pPr>
        <w:jc w:val="center"/>
        <w:rPr>
          <w:rFonts w:ascii="仿宋" w:hAnsi="仿宋" w:eastAsia="仿宋" w:cs="仿宋"/>
          <w:color w:val="auto"/>
          <w:sz w:val="28"/>
          <w:u w:val="single"/>
        </w:rPr>
      </w:pPr>
      <w:r>
        <w:rPr>
          <w:rFonts w:ascii="黑体" w:hAnsi="黑体" w:eastAsia="黑体" w:cs="黑体"/>
          <w:color w:val="auto"/>
          <w:sz w:val="48"/>
        </w:rPr>
        <w:t>目录</w:t>
      </w:r>
    </w:p>
    <w:p>
      <w:pPr>
        <w:tabs>
          <w:tab w:val="right" w:leader="dot" w:pos="8296"/>
        </w:tabs>
        <w:spacing w:before="93"/>
        <w:jc w:val="center"/>
        <w:rPr>
          <w:rFonts w:ascii="仿宋" w:hAnsi="仿宋" w:eastAsia="仿宋" w:cs="仿宋"/>
          <w:color w:val="auto"/>
          <w:sz w:val="28"/>
          <w:u w:val="single"/>
        </w:rPr>
      </w:pPr>
    </w:p>
    <w:p>
      <w:pPr>
        <w:tabs>
          <w:tab w:val="right" w:leader="dot" w:pos="8296"/>
        </w:tabs>
        <w:spacing w:before="93"/>
        <w:jc w:val="center"/>
        <w:rPr>
          <w:rFonts w:ascii="仿宋" w:hAnsi="仿宋" w:eastAsia="仿宋" w:cs="仿宋"/>
          <w:color w:val="auto"/>
          <w:sz w:val="28"/>
        </w:rPr>
      </w:pPr>
      <w:r>
        <w:rPr>
          <w:rFonts w:ascii="仿宋" w:hAnsi="仿宋" w:eastAsia="仿宋" w:cs="仿宋"/>
          <w:color w:val="auto"/>
          <w:sz w:val="28"/>
          <w:u w:val="single"/>
        </w:rPr>
        <w:t>第一部分 部门概况</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一、基本职能及主要工作</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二、机构设置</w:t>
      </w:r>
    </w:p>
    <w:p>
      <w:pPr>
        <w:tabs>
          <w:tab w:val="right" w:leader="dot" w:pos="8296"/>
        </w:tabs>
        <w:spacing w:before="93"/>
        <w:jc w:val="center"/>
        <w:rPr>
          <w:rFonts w:ascii="仿宋" w:hAnsi="仿宋" w:eastAsia="仿宋" w:cs="仿宋"/>
          <w:color w:val="auto"/>
          <w:sz w:val="28"/>
        </w:rPr>
      </w:pPr>
      <w:r>
        <w:rPr>
          <w:rFonts w:ascii="仿宋" w:hAnsi="仿宋" w:eastAsia="仿宋" w:cs="仿宋"/>
          <w:color w:val="auto"/>
          <w:sz w:val="28"/>
          <w:u w:val="single"/>
        </w:rPr>
        <w:t>第二部分 2018年度部门决算情况说明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一、收入支出决算总体情况说明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二、收入决算情况说明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三、支出决算情况说明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四、财政拨款收入支出决算总体情况说明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五、一般公共预算财政拨款支出决算情况说明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六、一般公共预算财政拨款基本支出决算情况说明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七、“三公”经费财政拨款支出决算情况说明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八、政府性基金预算支出决算情况说明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九、 国有资本经营预算支出决算情况说明</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十一、其他重要事项的情况说明</w:t>
      </w:r>
    </w:p>
    <w:p>
      <w:pPr>
        <w:tabs>
          <w:tab w:val="right" w:leader="dot" w:pos="8296"/>
        </w:tabs>
        <w:spacing w:before="93"/>
        <w:jc w:val="center"/>
        <w:rPr>
          <w:rFonts w:ascii="仿宋" w:hAnsi="仿宋" w:eastAsia="仿宋" w:cs="仿宋"/>
          <w:color w:val="auto"/>
          <w:sz w:val="28"/>
        </w:rPr>
      </w:pPr>
      <w:r>
        <w:rPr>
          <w:rFonts w:ascii="仿宋" w:hAnsi="仿宋" w:eastAsia="仿宋" w:cs="仿宋"/>
          <w:color w:val="auto"/>
          <w:sz w:val="28"/>
          <w:u w:val="single"/>
        </w:rPr>
        <w:t>第三部分 名词解释</w:t>
      </w:r>
    </w:p>
    <w:p>
      <w:pPr>
        <w:tabs>
          <w:tab w:val="right" w:leader="dot" w:pos="8296"/>
        </w:tabs>
        <w:spacing w:before="93"/>
        <w:jc w:val="center"/>
        <w:rPr>
          <w:rFonts w:ascii="仿宋" w:hAnsi="仿宋" w:eastAsia="仿宋" w:cs="仿宋"/>
          <w:color w:val="auto"/>
          <w:sz w:val="28"/>
        </w:rPr>
      </w:pPr>
      <w:r>
        <w:rPr>
          <w:rFonts w:ascii="仿宋" w:hAnsi="仿宋" w:eastAsia="仿宋" w:cs="仿宋"/>
          <w:color w:val="auto"/>
          <w:sz w:val="28"/>
          <w:u w:val="single"/>
        </w:rPr>
        <w:t>第四部分 附件</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附件1</w:t>
      </w:r>
    </w:p>
    <w:p>
      <w:pPr>
        <w:tabs>
          <w:tab w:val="right" w:leader="dot" w:pos="8296"/>
        </w:tabs>
        <w:ind w:left="420"/>
        <w:rPr>
          <w:rFonts w:ascii="仿宋" w:hAnsi="仿宋" w:eastAsia="仿宋" w:cs="仿宋"/>
          <w:color w:val="auto"/>
          <w:sz w:val="28"/>
        </w:rPr>
      </w:pPr>
      <w:r>
        <w:rPr>
          <w:rFonts w:ascii="仿宋" w:hAnsi="仿宋" w:eastAsia="仿宋" w:cs="仿宋"/>
          <w:color w:val="auto"/>
          <w:sz w:val="28"/>
          <w:u w:val="single"/>
        </w:rPr>
        <w:t>附件2</w:t>
      </w:r>
    </w:p>
    <w:p>
      <w:pPr>
        <w:tabs>
          <w:tab w:val="right" w:leader="dot" w:pos="8296"/>
        </w:tabs>
        <w:spacing w:before="93"/>
        <w:jc w:val="center"/>
        <w:rPr>
          <w:rFonts w:ascii="仿宋" w:hAnsi="仿宋" w:eastAsia="仿宋" w:cs="仿宋"/>
          <w:color w:val="auto"/>
          <w:sz w:val="28"/>
        </w:rPr>
      </w:pPr>
      <w:r>
        <w:rPr>
          <w:rFonts w:ascii="仿宋" w:hAnsi="仿宋" w:eastAsia="仿宋" w:cs="仿宋"/>
          <w:color w:val="auto"/>
          <w:sz w:val="28"/>
          <w:u w:val="single"/>
        </w:rPr>
        <w:t>第五部分 附表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一、</w:t>
      </w:r>
      <w:r>
        <w:rPr>
          <w:rFonts w:ascii="仿宋" w:hAnsi="仿宋" w:eastAsia="仿宋" w:cs="仿宋"/>
          <w:color w:val="auto"/>
          <w:sz w:val="28"/>
          <w:u w:val="single"/>
        </w:rPr>
        <w:t>收入支出决算总表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二、</w:t>
      </w:r>
      <w:r>
        <w:rPr>
          <w:rFonts w:ascii="仿宋" w:hAnsi="仿宋" w:eastAsia="仿宋" w:cs="仿宋"/>
          <w:color w:val="auto"/>
          <w:sz w:val="28"/>
          <w:u w:val="single"/>
        </w:rPr>
        <w:t>收入总表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三、</w:t>
      </w:r>
      <w:r>
        <w:rPr>
          <w:rFonts w:ascii="仿宋" w:hAnsi="仿宋" w:eastAsia="仿宋" w:cs="仿宋"/>
          <w:color w:val="auto"/>
          <w:sz w:val="28"/>
          <w:u w:val="single"/>
        </w:rPr>
        <w:t>支出总表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四、</w:t>
      </w:r>
      <w:r>
        <w:rPr>
          <w:rFonts w:ascii="仿宋" w:hAnsi="仿宋" w:eastAsia="仿宋" w:cs="仿宋"/>
          <w:color w:val="auto"/>
          <w:sz w:val="28"/>
          <w:u w:val="single"/>
        </w:rPr>
        <w:t>财政拨款收入支出决算总表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五、财政拨款支出决算明细表（政府经济分类科目）</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六、</w:t>
      </w:r>
      <w:r>
        <w:rPr>
          <w:rFonts w:ascii="仿宋" w:hAnsi="仿宋" w:eastAsia="仿宋" w:cs="仿宋"/>
          <w:color w:val="auto"/>
          <w:sz w:val="28"/>
          <w:u w:val="single"/>
        </w:rPr>
        <w:t>一般公共预算财政拨款支出决算表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七、</w:t>
      </w:r>
      <w:r>
        <w:rPr>
          <w:rFonts w:ascii="仿宋" w:hAnsi="仿宋" w:eastAsia="仿宋" w:cs="仿宋"/>
          <w:color w:val="auto"/>
          <w:sz w:val="28"/>
          <w:u w:val="single"/>
        </w:rPr>
        <w:t>一般公共预算财政拨款支出决算明细表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八、</w:t>
      </w:r>
      <w:r>
        <w:rPr>
          <w:rFonts w:ascii="仿宋" w:hAnsi="仿宋" w:eastAsia="仿宋" w:cs="仿宋"/>
          <w:color w:val="auto"/>
          <w:sz w:val="28"/>
          <w:u w:val="single"/>
        </w:rPr>
        <w:t>一般公共预算财政拨款基本支出决算表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九、</w:t>
      </w:r>
      <w:r>
        <w:rPr>
          <w:rFonts w:ascii="仿宋" w:hAnsi="仿宋" w:eastAsia="仿宋" w:cs="仿宋"/>
          <w:color w:val="auto"/>
          <w:sz w:val="28"/>
          <w:u w:val="single"/>
        </w:rPr>
        <w:t>一般公共预算财政拨款项目支出决算表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十、</w:t>
      </w:r>
      <w:r>
        <w:rPr>
          <w:rFonts w:ascii="仿宋" w:hAnsi="仿宋" w:eastAsia="仿宋" w:cs="仿宋"/>
          <w:color w:val="auto"/>
          <w:sz w:val="28"/>
          <w:u w:val="single"/>
        </w:rPr>
        <w:t>一般公共预算财政拨款“三公”经费支出决算表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十一、</w:t>
      </w:r>
      <w:r>
        <w:rPr>
          <w:rFonts w:ascii="仿宋" w:hAnsi="仿宋" w:eastAsia="仿宋" w:cs="仿宋"/>
          <w:color w:val="auto"/>
          <w:sz w:val="28"/>
          <w:u w:val="single"/>
        </w:rPr>
        <w:t>政府性基金预算财政拨款收入支出决算表</w:t>
      </w:r>
    </w:p>
    <w:p>
      <w:pPr>
        <w:tabs>
          <w:tab w:val="right" w:leader="dot" w:pos="8296"/>
        </w:tabs>
        <w:ind w:left="420"/>
        <w:rPr>
          <w:rFonts w:ascii="仿宋" w:hAnsi="仿宋" w:eastAsia="仿宋" w:cs="仿宋"/>
          <w:color w:val="auto"/>
          <w:sz w:val="28"/>
        </w:rPr>
      </w:pPr>
      <w:r>
        <w:rPr>
          <w:rFonts w:ascii="仿宋" w:hAnsi="仿宋" w:eastAsia="仿宋" w:cs="仿宋"/>
          <w:color w:val="auto"/>
          <w:sz w:val="28"/>
        </w:rPr>
        <w:t>十二、</w:t>
      </w:r>
      <w:r>
        <w:rPr>
          <w:rFonts w:ascii="仿宋" w:hAnsi="仿宋" w:eastAsia="仿宋" w:cs="仿宋"/>
          <w:color w:val="auto"/>
          <w:sz w:val="28"/>
          <w:u w:val="single"/>
        </w:rPr>
        <w:t>政府性基金预算财政拨款“三公”经费支出决算表</w:t>
      </w:r>
    </w:p>
    <w:p>
      <w:pPr>
        <w:tabs>
          <w:tab w:val="right" w:leader="dot" w:pos="8296"/>
        </w:tabs>
        <w:ind w:left="420"/>
        <w:rPr>
          <w:rFonts w:ascii="仿宋" w:hAnsi="仿宋" w:eastAsia="仿宋" w:cs="仿宋"/>
          <w:color w:val="auto"/>
          <w:sz w:val="28"/>
          <w:u w:val="single"/>
        </w:rPr>
      </w:pPr>
      <w:r>
        <w:rPr>
          <w:rFonts w:ascii="仿宋" w:hAnsi="仿宋" w:eastAsia="仿宋" w:cs="仿宋"/>
          <w:color w:val="auto"/>
          <w:sz w:val="28"/>
        </w:rPr>
        <w:t>十三、</w:t>
      </w:r>
      <w:r>
        <w:rPr>
          <w:rFonts w:ascii="仿宋" w:hAnsi="仿宋" w:eastAsia="仿宋" w:cs="仿宋"/>
          <w:color w:val="auto"/>
          <w:sz w:val="28"/>
          <w:u w:val="single"/>
        </w:rPr>
        <w:t>国有资本经营预算支出决算表</w:t>
      </w:r>
    </w:p>
    <w:p>
      <w:pPr>
        <w:ind w:firstLine="640"/>
        <w:rPr>
          <w:rStyle w:val="16"/>
          <w:rFonts w:hint="eastAsia" w:ascii="仿宋" w:hAnsi="仿宋" w:eastAsia="仿宋"/>
          <w:b w:val="0"/>
          <w:bCs w:val="0"/>
          <w:lang w:val="en-US" w:eastAsia="zh-CN"/>
        </w:rPr>
      </w:pPr>
      <w:r>
        <w:rPr>
          <w:rStyle w:val="16"/>
          <w:rFonts w:hint="eastAsia" w:ascii="仿宋" w:hAnsi="仿宋" w:eastAsia="仿宋"/>
          <w:b w:val="0"/>
          <w:bCs w:val="0"/>
          <w:lang w:val="en-US" w:eastAsia="zh-CN"/>
        </w:rPr>
        <w:t>十四、整体支出绩效评价打分表</w:t>
      </w:r>
    </w:p>
    <w:p>
      <w:pPr>
        <w:tabs>
          <w:tab w:val="right" w:leader="dot" w:pos="8296"/>
        </w:tabs>
        <w:ind w:left="420"/>
        <w:rPr>
          <w:rFonts w:ascii="仿宋" w:hAnsi="仿宋" w:eastAsia="仿宋" w:cs="仿宋"/>
          <w:color w:val="auto"/>
          <w:sz w:val="28"/>
          <w:u w:val="single"/>
        </w:rPr>
      </w:pPr>
    </w:p>
    <w:p>
      <w:pPr>
        <w:jc w:val="left"/>
        <w:rPr>
          <w:rFonts w:ascii="仿宋" w:hAnsi="仿宋" w:eastAsia="仿宋" w:cs="仿宋"/>
          <w:color w:val="auto"/>
          <w:sz w:val="24"/>
        </w:rPr>
      </w:pPr>
    </w:p>
    <w:p>
      <w:pPr>
        <w:jc w:val="left"/>
        <w:rPr>
          <w:rFonts w:ascii="黑体" w:hAnsi="黑体" w:eastAsia="黑体" w:cs="黑体"/>
          <w:b/>
          <w:color w:val="auto"/>
        </w:rPr>
      </w:pPr>
      <w:r>
        <w:rPr>
          <w:rFonts w:ascii="黑体" w:hAnsi="黑体" w:eastAsia="黑体" w:cs="黑体"/>
          <w:b/>
          <w:color w:val="auto"/>
        </w:rPr>
        <w:t xml:space="preserve"> </w:t>
      </w:r>
    </w:p>
    <w:p>
      <w:pPr>
        <w:jc w:val="left"/>
        <w:rPr>
          <w:rFonts w:ascii="黑体" w:hAnsi="黑体" w:eastAsia="黑体" w:cs="黑体"/>
          <w:color w:val="auto"/>
          <w:sz w:val="44"/>
        </w:rPr>
      </w:pPr>
    </w:p>
    <w:p>
      <w:pPr>
        <w:jc w:val="left"/>
        <w:rPr>
          <w:rFonts w:ascii="黑体" w:hAnsi="黑体" w:eastAsia="黑体" w:cs="黑体"/>
          <w:color w:val="auto"/>
          <w:sz w:val="44"/>
        </w:rPr>
      </w:pPr>
    </w:p>
    <w:p>
      <w:pPr>
        <w:jc w:val="left"/>
        <w:rPr>
          <w:rFonts w:ascii="黑体" w:hAnsi="黑体" w:eastAsia="黑体" w:cs="黑体"/>
          <w:color w:val="auto"/>
          <w:sz w:val="44"/>
        </w:rPr>
      </w:pPr>
    </w:p>
    <w:p>
      <w:pPr>
        <w:keepNext/>
        <w:keepLines/>
        <w:spacing w:before="340" w:after="330" w:line="578" w:lineRule="auto"/>
        <w:jc w:val="center"/>
        <w:rPr>
          <w:rFonts w:ascii="黑体" w:hAnsi="黑体" w:eastAsia="黑体" w:cs="黑体"/>
          <w:color w:val="auto"/>
          <w:sz w:val="44"/>
        </w:rPr>
      </w:pPr>
    </w:p>
    <w:p>
      <w:pPr>
        <w:keepNext/>
        <w:keepLines/>
        <w:spacing w:before="340" w:after="330" w:line="578" w:lineRule="auto"/>
        <w:jc w:val="center"/>
        <w:rPr>
          <w:rFonts w:ascii="黑体" w:hAnsi="黑体" w:eastAsia="黑体" w:cs="黑体"/>
          <w:color w:val="auto"/>
          <w:sz w:val="44"/>
        </w:rPr>
      </w:pPr>
    </w:p>
    <w:p>
      <w:pPr>
        <w:keepNext/>
        <w:keepLines/>
        <w:spacing w:before="340" w:after="330" w:line="578" w:lineRule="auto"/>
        <w:jc w:val="center"/>
        <w:rPr>
          <w:rFonts w:ascii="黑体" w:hAnsi="黑体" w:eastAsia="黑体" w:cs="黑体"/>
          <w:b/>
          <w:color w:val="auto"/>
          <w:sz w:val="44"/>
        </w:rPr>
      </w:pPr>
      <w:r>
        <w:rPr>
          <w:rFonts w:ascii="黑体" w:hAnsi="黑体" w:eastAsia="黑体" w:cs="黑体"/>
          <w:color w:val="auto"/>
          <w:sz w:val="44"/>
        </w:rPr>
        <w:t>第一部分 部门概况</w:t>
      </w:r>
    </w:p>
    <w:p>
      <w:pPr>
        <w:jc w:val="left"/>
        <w:rPr>
          <w:rFonts w:ascii="黑体" w:hAnsi="黑体" w:eastAsia="黑体" w:cs="黑体"/>
          <w:color w:val="auto"/>
          <w:sz w:val="32"/>
        </w:rPr>
      </w:pPr>
    </w:p>
    <w:p>
      <w:pPr>
        <w:keepNext/>
        <w:keepLines/>
        <w:spacing w:before="260" w:after="260" w:line="416" w:lineRule="auto"/>
        <w:rPr>
          <w:rFonts w:ascii="仿宋" w:hAnsi="仿宋" w:eastAsia="仿宋" w:cs="仿宋"/>
          <w:color w:val="auto"/>
          <w:sz w:val="32"/>
        </w:rPr>
      </w:pPr>
      <w:r>
        <w:rPr>
          <w:rFonts w:ascii="黑体" w:hAnsi="黑体" w:eastAsia="黑体" w:cs="黑体"/>
          <w:color w:val="auto"/>
          <w:sz w:val="32"/>
        </w:rPr>
        <w:t>一、基本职能及主要工作</w:t>
      </w:r>
    </w:p>
    <w:p>
      <w:pPr>
        <w:spacing w:before="93" w:line="600" w:lineRule="auto"/>
        <w:ind w:firstLine="672"/>
        <w:rPr>
          <w:rFonts w:ascii="仿宋" w:hAnsi="仿宋" w:eastAsia="仿宋" w:cs="仿宋"/>
          <w:color w:val="auto"/>
          <w:sz w:val="32"/>
        </w:rPr>
      </w:pPr>
      <w:r>
        <w:rPr>
          <w:rFonts w:ascii="仿宋" w:hAnsi="仿宋" w:eastAsia="仿宋" w:cs="仿宋"/>
          <w:color w:val="auto"/>
          <w:sz w:val="32"/>
        </w:rPr>
        <w:t>（一）主要职能。</w:t>
      </w:r>
    </w:p>
    <w:p>
      <w:pPr>
        <w:pStyle w:val="6"/>
        <w:spacing w:line="560" w:lineRule="exact"/>
        <w:ind w:firstLine="640" w:firstLineChars="200"/>
        <w:rPr>
          <w:rFonts w:ascii="仿宋_GB2312" w:hAnsi="仿宋" w:eastAsia="仿宋_GB2312"/>
          <w:color w:val="auto"/>
          <w:sz w:val="32"/>
          <w:szCs w:val="32"/>
        </w:rPr>
      </w:pPr>
      <w:r>
        <w:rPr>
          <w:rFonts w:hint="eastAsia" w:ascii="仿宋_GB2312" w:eastAsia="仿宋_GB2312"/>
          <w:color w:val="auto"/>
          <w:sz w:val="32"/>
          <w:szCs w:val="32"/>
        </w:rPr>
        <w:t>政治协商、</w:t>
      </w:r>
      <w:r>
        <w:rPr>
          <w:color w:val="auto"/>
        </w:rPr>
        <w:fldChar w:fldCharType="begin"/>
      </w:r>
      <w:r>
        <w:rPr>
          <w:color w:val="auto"/>
        </w:rPr>
        <w:instrText xml:space="preserve"> HYPERLINK "http://www.baidu.com/s?wd=%E6%B0%91%E4%B8%BB%E7%9B%91%E7%9D%A3&amp;hl_tag=textlink&amp;tn=SE_hldp01350_v6v6zkg6" \t "http://zhidao.baidu.com/question/_blank" </w:instrText>
      </w:r>
      <w:r>
        <w:rPr>
          <w:color w:val="auto"/>
        </w:rPr>
        <w:fldChar w:fldCharType="separate"/>
      </w:r>
      <w:r>
        <w:rPr>
          <w:rStyle w:val="8"/>
          <w:rFonts w:hint="eastAsia" w:hAnsi="仿宋" w:cs="仿宋"/>
          <w:color w:val="auto"/>
          <w:sz w:val="32"/>
          <w:szCs w:val="32"/>
        </w:rPr>
        <w:t>民主监督</w:t>
      </w:r>
      <w:r>
        <w:rPr>
          <w:rStyle w:val="8"/>
          <w:rFonts w:hint="eastAsia" w:hAnsi="仿宋" w:cs="仿宋"/>
          <w:color w:val="auto"/>
          <w:sz w:val="32"/>
          <w:szCs w:val="32"/>
        </w:rPr>
        <w:fldChar w:fldCharType="end"/>
      </w:r>
      <w:r>
        <w:rPr>
          <w:rFonts w:hint="eastAsia" w:ascii="仿宋_GB2312" w:eastAsia="仿宋_GB2312"/>
          <w:color w:val="auto"/>
          <w:sz w:val="32"/>
          <w:szCs w:val="32"/>
        </w:rPr>
        <w:t>、参政议政，这也是政协工作的立足点。通过履行三大职能，多层次、多形式地对党委政府的大政方针和重要事务以及关系群众生活的重要问题进行政治协商，并通过建议和批评，发挥</w:t>
      </w:r>
      <w:r>
        <w:rPr>
          <w:color w:val="auto"/>
        </w:rPr>
        <w:fldChar w:fldCharType="begin"/>
      </w:r>
      <w:r>
        <w:rPr>
          <w:color w:val="auto"/>
        </w:rPr>
        <w:instrText xml:space="preserve"> HYPERLINK "http://www.baidu.com/s?wd=%E6%B0%91%E4%B8%BB%E7%9B%91%E7%9D%A3&amp;hl_tag=textlink&amp;tn=SE_hldp01350_v6v6zkg6" \t "http://zhidao.baidu.com/question/_blank" </w:instrText>
      </w:r>
      <w:r>
        <w:rPr>
          <w:color w:val="auto"/>
        </w:rPr>
        <w:fldChar w:fldCharType="separate"/>
      </w:r>
      <w:r>
        <w:rPr>
          <w:rStyle w:val="8"/>
          <w:rFonts w:hint="eastAsia" w:hAnsi="仿宋" w:cs="仿宋"/>
          <w:color w:val="auto"/>
          <w:sz w:val="32"/>
          <w:szCs w:val="32"/>
        </w:rPr>
        <w:t>民主监督</w:t>
      </w:r>
      <w:r>
        <w:rPr>
          <w:rStyle w:val="8"/>
          <w:rFonts w:hint="eastAsia" w:hAnsi="仿宋" w:cs="仿宋"/>
          <w:color w:val="auto"/>
          <w:sz w:val="32"/>
          <w:szCs w:val="32"/>
        </w:rPr>
        <w:fldChar w:fldCharType="end"/>
      </w:r>
      <w:r>
        <w:rPr>
          <w:rFonts w:hint="eastAsia" w:ascii="仿宋_GB2312" w:eastAsia="仿宋_GB2312"/>
          <w:color w:val="auto"/>
          <w:sz w:val="32"/>
          <w:szCs w:val="32"/>
        </w:rPr>
        <w:t>的作用，把政治协商、</w:t>
      </w:r>
      <w:r>
        <w:rPr>
          <w:color w:val="auto"/>
        </w:rPr>
        <w:fldChar w:fldCharType="begin"/>
      </w:r>
      <w:r>
        <w:rPr>
          <w:color w:val="auto"/>
        </w:rPr>
        <w:instrText xml:space="preserve"> HYPERLINK "http://www.baidu.com/s?wd=%E6%B0%91%E4%B8%BB%E7%9B%91%E7%9D%A3&amp;hl_tag=textlink&amp;tn=SE_hldp01350_v6v6zkg6" \t "http://zhidao.baidu.com/question/_blank" </w:instrText>
      </w:r>
      <w:r>
        <w:rPr>
          <w:color w:val="auto"/>
        </w:rPr>
        <w:fldChar w:fldCharType="separate"/>
      </w:r>
      <w:r>
        <w:rPr>
          <w:rStyle w:val="8"/>
          <w:rFonts w:hint="eastAsia" w:hAnsi="仿宋" w:cs="仿宋"/>
          <w:color w:val="auto"/>
          <w:sz w:val="32"/>
          <w:szCs w:val="32"/>
        </w:rPr>
        <w:t>民主监督</w:t>
      </w:r>
      <w:r>
        <w:rPr>
          <w:rStyle w:val="8"/>
          <w:rFonts w:hint="eastAsia" w:hAnsi="仿宋" w:cs="仿宋"/>
          <w:color w:val="auto"/>
          <w:sz w:val="32"/>
          <w:szCs w:val="32"/>
        </w:rPr>
        <w:fldChar w:fldCharType="end"/>
      </w:r>
      <w:r>
        <w:rPr>
          <w:rFonts w:hint="eastAsia" w:ascii="仿宋_GB2312" w:eastAsia="仿宋_GB2312"/>
          <w:color w:val="auto"/>
          <w:sz w:val="32"/>
          <w:szCs w:val="32"/>
        </w:rPr>
        <w:t>和改革开放、经济建设有机统一起来。</w:t>
      </w:r>
      <w:r>
        <w:rPr>
          <w:rFonts w:hint="eastAsia" w:ascii="仿宋_GB2312" w:hAnsi="Helvetica" w:eastAsia="仿宋_GB2312" w:cs="Helvetica"/>
          <w:color w:val="auto"/>
          <w:sz w:val="32"/>
          <w:szCs w:val="32"/>
        </w:rPr>
        <w:t>政协机关主要职责是负责政协各类会议的组织和会务工作，组织委员视察参观、调查、座谈等日常活动以及各专委会的其他工作的组织和服务工作，负责县政协举办各种重大活动的组织和宣传工作。行政运行除日常公用经费外，还包括政协例会经费、政协委员视察、调研经费和参政议政经费</w:t>
      </w:r>
      <w:r>
        <w:rPr>
          <w:rFonts w:hint="eastAsia" w:ascii="仿宋_GB2312" w:hAnsi="仿宋" w:eastAsia="仿宋_GB2312"/>
          <w:color w:val="auto"/>
          <w:sz w:val="32"/>
          <w:szCs w:val="32"/>
        </w:rPr>
        <w:t>。</w:t>
      </w:r>
    </w:p>
    <w:p>
      <w:pPr>
        <w:spacing w:before="93" w:line="600" w:lineRule="auto"/>
        <w:ind w:firstLine="672"/>
        <w:rPr>
          <w:rFonts w:ascii="仿宋" w:hAnsi="仿宋" w:eastAsia="仿宋" w:cs="仿宋"/>
          <w:color w:val="auto"/>
          <w:sz w:val="32"/>
        </w:rPr>
      </w:pPr>
      <w:r>
        <w:rPr>
          <w:rFonts w:ascii="仿宋" w:hAnsi="仿宋" w:eastAsia="仿宋" w:cs="仿宋"/>
          <w:color w:val="auto"/>
          <w:sz w:val="32"/>
        </w:rPr>
        <w:t>（二）2018年重点工作完成情况。</w:t>
      </w:r>
    </w:p>
    <w:p>
      <w:pPr>
        <w:pStyle w:val="13"/>
        <w:spacing w:beforeAutospacing="0" w:afterAutospacing="0" w:line="580" w:lineRule="exact"/>
        <w:ind w:firstLine="640" w:firstLineChars="200"/>
        <w:rPr>
          <w:rFonts w:ascii="仿宋_GB2312" w:hAnsi="仿宋_GB2312" w:eastAsia="仿宋_GB2312"/>
          <w:color w:val="auto"/>
          <w:sz w:val="32"/>
          <w:szCs w:val="32"/>
        </w:rPr>
      </w:pPr>
      <w:r>
        <w:rPr>
          <w:rFonts w:hint="eastAsia" w:ascii="仿宋_GB2312" w:hAnsi="仿宋" w:eastAsia="仿宋_GB2312"/>
          <w:color w:val="auto"/>
          <w:sz w:val="32"/>
          <w:szCs w:val="32"/>
        </w:rPr>
        <w:t>一年以来，县政协按照年初</w:t>
      </w:r>
      <w:r>
        <w:rPr>
          <w:rFonts w:hint="eastAsia" w:ascii="仿宋_GB2312" w:hAnsi="仿宋_GB2312" w:eastAsia="仿宋_GB2312"/>
          <w:color w:val="auto"/>
          <w:sz w:val="32"/>
          <w:szCs w:val="32"/>
        </w:rPr>
        <w:t>制定的工作计划，分步骤，有计划地完成了年度工作和目标任务。</w:t>
      </w:r>
    </w:p>
    <w:p>
      <w:pPr>
        <w:spacing w:line="580" w:lineRule="exact"/>
        <w:ind w:firstLine="643" w:firstLineChars="200"/>
        <w:rPr>
          <w:rFonts w:ascii="仿宋_GB2312" w:hAnsi="仿宋_GB2312" w:eastAsia="仿宋_GB2312"/>
          <w:color w:val="auto"/>
          <w:sz w:val="32"/>
          <w:szCs w:val="32"/>
        </w:rPr>
      </w:pPr>
      <w:r>
        <w:rPr>
          <w:rFonts w:hint="eastAsia" w:ascii="楷体_GB2312" w:eastAsia="楷体_GB2312"/>
          <w:b/>
          <w:color w:val="auto"/>
          <w:sz w:val="32"/>
          <w:szCs w:val="32"/>
        </w:rPr>
        <w:t>1.提案办理：</w:t>
      </w:r>
      <w:r>
        <w:rPr>
          <w:rFonts w:hint="eastAsia" w:ascii="仿宋_GB2312" w:hAnsi="仿宋_GB2312" w:eastAsia="仿宋_GB2312"/>
          <w:color w:val="auto"/>
          <w:sz w:val="32"/>
        </w:rPr>
        <w:t>红原县政协十二届二次全会期间及闭会后，共收到提案170件，经审查立案136件，委员建议6件。</w:t>
      </w:r>
      <w:r>
        <w:rPr>
          <w:rFonts w:hint="eastAsia" w:ascii="仿宋_GB2312" w:hAnsi="仿宋_GB2312" w:eastAsia="仿宋_GB2312" w:cs="仿宋_GB2312"/>
          <w:bCs/>
          <w:color w:val="auto"/>
          <w:sz w:val="32"/>
          <w:szCs w:val="32"/>
        </w:rPr>
        <w:t>截止目前，各项提案办理率100%，委员回访满意和基本满意率100%。</w:t>
      </w:r>
      <w:r>
        <w:rPr>
          <w:rFonts w:hint="eastAsia" w:ascii="仿宋_GB2312" w:hAnsi="仿宋_GB2312" w:eastAsia="仿宋_GB2312"/>
          <w:color w:val="auto"/>
          <w:sz w:val="32"/>
          <w:szCs w:val="32"/>
        </w:rPr>
        <w:t>根据选题的重要性、问题的代表性、内容的真实性的标准，从136件提案中选择了事关我县经济发展大局和群众关注的热点难点问题的《关于加强牲畜传染病防治的建议》等9件提案作为今年的重点提案，并分别由县政协主席、副主席领衔督办</w:t>
      </w:r>
      <w:r>
        <w:rPr>
          <w:rFonts w:hint="eastAsia" w:ascii="仿宋_GB2312" w:eastAsia="仿宋_GB2312"/>
          <w:color w:val="auto"/>
          <w:sz w:val="32"/>
          <w:szCs w:val="32"/>
        </w:rPr>
        <w:t>。及时召开提案办理协商座谈会，调动了委员参与民主监督的积极性。</w:t>
      </w:r>
    </w:p>
    <w:p>
      <w:pPr>
        <w:pStyle w:val="13"/>
        <w:spacing w:beforeAutospacing="0" w:afterAutospacing="0" w:line="580" w:lineRule="exact"/>
        <w:ind w:firstLine="643" w:firstLineChars="200"/>
        <w:rPr>
          <w:rFonts w:ascii="仿宋_GB2312" w:eastAsia="仿宋_GB2312"/>
          <w:color w:val="auto"/>
          <w:sz w:val="32"/>
          <w:szCs w:val="32"/>
        </w:rPr>
      </w:pPr>
      <w:r>
        <w:rPr>
          <w:rFonts w:hint="eastAsia" w:ascii="楷体_GB2312" w:hAnsi="仿宋" w:eastAsia="楷体_GB2312"/>
          <w:b/>
          <w:color w:val="auto"/>
          <w:sz w:val="32"/>
          <w:szCs w:val="32"/>
        </w:rPr>
        <w:t>2.</w:t>
      </w:r>
      <w:r>
        <w:rPr>
          <w:rFonts w:hint="eastAsia" w:ascii="楷体_GB2312" w:hAnsi="楷体_GB2312" w:eastAsia="楷体_GB2312" w:cs="楷体_GB2312"/>
          <w:b/>
          <w:color w:val="auto"/>
          <w:sz w:val="32"/>
          <w:szCs w:val="32"/>
        </w:rPr>
        <w:t>协商议政：</w:t>
      </w:r>
      <w:r>
        <w:rPr>
          <w:rFonts w:hint="eastAsia" w:ascii="仿宋_GB2312" w:hAnsi="仿宋" w:eastAsia="仿宋_GB2312"/>
          <w:color w:val="auto"/>
          <w:sz w:val="32"/>
          <w:szCs w:val="32"/>
        </w:rPr>
        <w:t>科学合理制定《</w:t>
      </w:r>
      <w:r>
        <w:rPr>
          <w:rFonts w:ascii="仿宋_GB2312" w:hAnsi="仿宋" w:eastAsia="仿宋_GB2312"/>
          <w:color w:val="auto"/>
          <w:sz w:val="32"/>
          <w:szCs w:val="32"/>
        </w:rPr>
        <w:t>2018</w:t>
      </w:r>
      <w:r>
        <w:rPr>
          <w:rFonts w:hint="eastAsia" w:ascii="仿宋_GB2312" w:hAnsi="仿宋" w:eastAsia="仿宋_GB2312"/>
          <w:color w:val="auto"/>
          <w:sz w:val="32"/>
          <w:szCs w:val="32"/>
        </w:rPr>
        <w:t>年度协商计划》，将协商计划纳入年度重点工作，把基层的声音、群众的心声带到协商会议上，实事求是地反映社会热点、难点问题。今年，先后专题协商了</w:t>
      </w:r>
      <w:r>
        <w:rPr>
          <w:rFonts w:ascii="仿宋_GB2312" w:hAnsi="仿宋" w:eastAsia="仿宋_GB2312"/>
          <w:color w:val="auto"/>
          <w:sz w:val="32"/>
          <w:szCs w:val="32"/>
        </w:rPr>
        <w:t>S217</w:t>
      </w:r>
      <w:r>
        <w:rPr>
          <w:rFonts w:hint="eastAsia" w:ascii="仿宋_GB2312" w:hAnsi="仿宋" w:eastAsia="仿宋_GB2312"/>
          <w:color w:val="auto"/>
          <w:sz w:val="32"/>
          <w:szCs w:val="32"/>
        </w:rPr>
        <w:t>安曲镇至马尔康界道路改（扩）建工作、龙日坝地区设立建制乡工作，推动相关工作顺利开展；</w:t>
      </w:r>
      <w:r>
        <w:rPr>
          <w:rFonts w:hint="eastAsia" w:ascii="仿宋_GB2312" w:eastAsia="仿宋_GB2312"/>
          <w:color w:val="auto"/>
          <w:sz w:val="32"/>
          <w:szCs w:val="32"/>
        </w:rPr>
        <w:t>协商开展了我县卫生事业发展情况调研工作，提出有针对性的意见建议。</w:t>
      </w:r>
    </w:p>
    <w:p>
      <w:pPr>
        <w:pStyle w:val="13"/>
        <w:spacing w:beforeAutospacing="0" w:afterAutospacing="0" w:line="580" w:lineRule="exact"/>
        <w:ind w:firstLine="643" w:firstLineChars="200"/>
        <w:rPr>
          <w:rFonts w:ascii="仿宋_GB2312" w:eastAsia="仿宋_GB2312"/>
          <w:color w:val="auto"/>
          <w:sz w:val="32"/>
          <w:szCs w:val="32"/>
        </w:rPr>
      </w:pPr>
      <w:r>
        <w:rPr>
          <w:rFonts w:hint="eastAsia" w:ascii="楷体_GB2312" w:hAnsi="楷体_GB2312" w:eastAsia="楷体_GB2312" w:cs="楷体_GB2312"/>
          <w:b/>
          <w:bCs/>
          <w:color w:val="auto"/>
          <w:sz w:val="32"/>
          <w:szCs w:val="32"/>
        </w:rPr>
        <w:t>3.民主监督：</w:t>
      </w:r>
      <w:r>
        <w:rPr>
          <w:rFonts w:hint="eastAsia" w:ascii="仿宋_GB2312" w:hAnsi="Times New Roman" w:eastAsia="仿宋_GB2312" w:cs="Times New Roman"/>
          <w:color w:val="auto"/>
          <w:kern w:val="2"/>
          <w:sz w:val="32"/>
          <w:szCs w:val="32"/>
        </w:rPr>
        <w:t>通过调研视察、民主监督、重点协商和联络走访委员等工作，详细听取了委员对全县改革发展民生稳定方面的意见建议和群众普遍关注的热点难点问题，征求收集了委员们对政协提案工作、机关服务委员工作等方面的意见建议。目前，共收集整理政协委员反映的意见建议55条。通过向相关部门反映有关问题，督促落实解决问题或作相关方面的解释，有效发挥了政协委员在政治协商、民主监督、参政议政方面的主体地位和主体作用。</w:t>
      </w:r>
    </w:p>
    <w:p>
      <w:pPr>
        <w:spacing w:line="580" w:lineRule="exact"/>
        <w:ind w:firstLine="643" w:firstLineChars="200"/>
        <w:rPr>
          <w:rFonts w:ascii="仿宋_GB2312" w:hAnsi="Times New Roman" w:eastAsia="仿宋_GB2312" w:cs="Times New Roman"/>
          <w:color w:val="auto"/>
          <w:sz w:val="32"/>
          <w:szCs w:val="32"/>
        </w:rPr>
      </w:pPr>
      <w:r>
        <w:rPr>
          <w:rFonts w:hint="eastAsia" w:ascii="楷体_GB2312" w:hAnsi="楷体_GB2312" w:eastAsia="楷体_GB2312" w:cs="楷体_GB2312"/>
          <w:b/>
          <w:bCs/>
          <w:color w:val="auto"/>
          <w:sz w:val="32"/>
          <w:szCs w:val="32"/>
        </w:rPr>
        <w:t>4.调研视察：</w:t>
      </w:r>
      <w:r>
        <w:rPr>
          <w:rFonts w:hint="eastAsia" w:ascii="仿宋_GB2312" w:hAnsi="Times New Roman" w:eastAsia="仿宋_GB2312" w:cs="Times New Roman"/>
          <w:color w:val="auto"/>
          <w:sz w:val="32"/>
          <w:szCs w:val="32"/>
        </w:rPr>
        <w:t>组织委员就“日干乔国家AAAA级景区创建工作情况”“关于加快实施乡村振兴战略持续巩固脱贫攻坚成果”“关于红原县牦牛产业园区建设情况”“红原县安全生产工作”等进行了专项调研视察，提出建议意见，推进全县重点工作顺利开展。</w:t>
      </w:r>
    </w:p>
    <w:p>
      <w:pPr>
        <w:spacing w:line="580" w:lineRule="exact"/>
        <w:ind w:firstLine="643" w:firstLineChars="200"/>
        <w:rPr>
          <w:rFonts w:ascii="仿宋_GB2312" w:hAnsi="黑体" w:eastAsia="仿宋_GB2312"/>
          <w:color w:val="auto"/>
          <w:sz w:val="32"/>
          <w:szCs w:val="32"/>
        </w:rPr>
      </w:pPr>
      <w:r>
        <w:rPr>
          <w:rFonts w:hint="eastAsia" w:ascii="楷体_GB2312" w:hAnsi="仿宋" w:eastAsia="楷体_GB2312"/>
          <w:b/>
          <w:color w:val="auto"/>
          <w:sz w:val="32"/>
          <w:szCs w:val="32"/>
        </w:rPr>
        <w:t>5.脱贫攻坚：</w:t>
      </w:r>
      <w:r>
        <w:rPr>
          <w:rFonts w:hint="eastAsia" w:ascii="仿宋_GB2312" w:hAnsi="黑体" w:eastAsia="仿宋_GB2312"/>
          <w:color w:val="auto"/>
          <w:sz w:val="32"/>
          <w:szCs w:val="32"/>
        </w:rPr>
        <w:t>围绕省、州政协和县委脱贫攻坚工作的总体要求，深入开展“我为扶贫攻坚做件事”活动，继续采取“四覆盖、三示范、四帮扶”工作方式，创新建立“主席会成员联系贫困乡镇、界别小组联系贫困村、委员联系贫困户”的“三联系”帮扶机制，委员以结对认亲的形式，帮扶建档立卡贫困户。</w:t>
      </w:r>
      <w:r>
        <w:rPr>
          <w:rFonts w:hint="eastAsia" w:ascii="仿宋_GB2312" w:hAnsi="仿宋_GB2312" w:eastAsia="仿宋_GB2312" w:cs="仿宋_GB2312"/>
          <w:color w:val="auto"/>
          <w:sz w:val="32"/>
          <w:szCs w:val="32"/>
        </w:rPr>
        <w:t>按照就近就地原则，采取一对一、一对多的方式，全县127名州、县两级政协委员结对帮扶169户建档立卡贫困户，结对率达133%。</w:t>
      </w:r>
      <w:r>
        <w:rPr>
          <w:rFonts w:hint="eastAsia" w:ascii="仿宋_GB2312" w:hAnsi="黑体" w:eastAsia="仿宋_GB2312"/>
          <w:color w:val="auto"/>
          <w:sz w:val="32"/>
          <w:szCs w:val="32"/>
        </w:rPr>
        <w:t>各界别帮扶小组根据自身实际，发挥界别优势，努力扩展活动的广度和深度，为联系贫困村办实事、办好事。</w:t>
      </w:r>
      <w:r>
        <w:rPr>
          <w:rFonts w:hint="eastAsia" w:ascii="楷体_GB2312" w:hAnsi="楷体_GB2312" w:eastAsia="楷体_GB2312" w:cs="楷体_GB2312"/>
          <w:color w:val="auto"/>
          <w:sz w:val="32"/>
          <w:szCs w:val="32"/>
        </w:rPr>
        <w:t>工商联界别委员</w:t>
      </w:r>
      <w:r>
        <w:rPr>
          <w:rFonts w:hint="eastAsia" w:ascii="仿宋_GB2312" w:hAnsi="黑体" w:eastAsia="仿宋_GB2312"/>
          <w:color w:val="auto"/>
          <w:sz w:val="32"/>
          <w:szCs w:val="32"/>
        </w:rPr>
        <w:t>深入联系村贫困村捐资救助，实行现场招聘，为建档立卡贫困户解决了就业问题；</w:t>
      </w:r>
      <w:r>
        <w:rPr>
          <w:rFonts w:hint="eastAsia" w:ascii="楷体_GB2312" w:hAnsi="楷体_GB2312" w:eastAsia="楷体_GB2312" w:cs="楷体_GB2312"/>
          <w:color w:val="auto"/>
          <w:sz w:val="32"/>
          <w:szCs w:val="32"/>
        </w:rPr>
        <w:t>医卫、教育界别委员</w:t>
      </w:r>
      <w:r>
        <w:rPr>
          <w:rFonts w:hint="eastAsia" w:ascii="仿宋_GB2312" w:hAnsi="黑体" w:eastAsia="仿宋_GB2312"/>
          <w:color w:val="auto"/>
          <w:sz w:val="32"/>
          <w:szCs w:val="32"/>
        </w:rPr>
        <w:t>深入到联系帮扶贫困村开展送医送药、义诊义检、健康知识宣传活动，为群众免费义、赠送药物；</w:t>
      </w:r>
      <w:r>
        <w:rPr>
          <w:rFonts w:hint="eastAsia" w:ascii="楷体_GB2312" w:hAnsi="楷体_GB2312" w:eastAsia="楷体_GB2312" w:cs="楷体_GB2312"/>
          <w:color w:val="auto"/>
          <w:sz w:val="32"/>
          <w:szCs w:val="32"/>
        </w:rPr>
        <w:t>宗教界别委员</w:t>
      </w:r>
      <w:r>
        <w:rPr>
          <w:rFonts w:hint="eastAsia" w:ascii="仿宋_GB2312" w:hAnsi="黑体" w:eastAsia="仿宋_GB2312"/>
          <w:color w:val="auto"/>
          <w:sz w:val="32"/>
          <w:szCs w:val="32"/>
        </w:rPr>
        <w:t>为贫困户赠送牦牛助力发展产业。</w:t>
      </w:r>
    </w:p>
    <w:p>
      <w:pPr>
        <w:topLinePunct/>
        <w:adjustRightInd w:val="0"/>
        <w:snapToGrid w:val="0"/>
        <w:spacing w:line="580" w:lineRule="exact"/>
        <w:ind w:firstLine="643" w:firstLineChars="200"/>
        <w:rPr>
          <w:rFonts w:ascii="仿宋_GB2312" w:eastAsia="仿宋_GB2312"/>
          <w:color w:val="auto"/>
          <w:sz w:val="32"/>
          <w:szCs w:val="32"/>
        </w:rPr>
      </w:pPr>
      <w:r>
        <w:rPr>
          <w:rFonts w:hint="eastAsia" w:ascii="楷体_GB2312" w:hAnsi="仿宋" w:eastAsia="楷体_GB2312" w:cs="仿宋"/>
          <w:b/>
          <w:bCs/>
          <w:color w:val="auto"/>
          <w:sz w:val="32"/>
          <w:szCs w:val="32"/>
        </w:rPr>
        <w:t>6.宣传信息：</w:t>
      </w:r>
      <w:r>
        <w:rPr>
          <w:rFonts w:hint="eastAsia" w:ascii="仿宋_GB2312" w:eastAsia="仿宋_GB2312"/>
          <w:color w:val="auto"/>
          <w:sz w:val="32"/>
          <w:szCs w:val="32"/>
        </w:rPr>
        <w:t>加强同县委宣传部和广电中心的协同配合，及时报道重要会议、重点工作和重大履职活动，宣传政协组织和委员的履职实效，为政协工作营造良好社会舆论氛围。积极向《四川政协报》、四川政协网、《阿坝政协》、阿坝州政协网等政协工作主流媒体发稿55篇，在州政协网站头条刊登4篇；邀请人民政协报社经济信息部围绕全县生态文明、红色历史文化、绿色产业发展、脱贫攻坚等内容进行深入采编，“四川红原唱响新时代的绿色赞歌”在《人民政协报》专版刊登。开通红原政协网站，搭建红原政协委员微信平台，对外展示了红原美丽繁荣和谐的新形象，对内汇聚了促进发展的新合力，形成强有力的政协“好声音”。</w:t>
      </w:r>
    </w:p>
    <w:p>
      <w:pPr>
        <w:keepNext/>
        <w:keepLines/>
        <w:spacing w:before="260" w:after="260" w:line="416" w:lineRule="auto"/>
        <w:rPr>
          <w:rFonts w:ascii="Cambria" w:hAnsi="Cambria" w:eastAsia="Cambria" w:cs="Cambria"/>
          <w:color w:val="auto"/>
          <w:sz w:val="32"/>
        </w:rPr>
      </w:pPr>
      <w:r>
        <w:rPr>
          <w:rFonts w:ascii="黑体" w:hAnsi="黑体" w:eastAsia="黑体" w:cs="黑体"/>
          <w:color w:val="auto"/>
          <w:sz w:val="32"/>
        </w:rPr>
        <w:t>二、机构设置</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_GB2312" w:eastAsia="仿宋_GB2312"/>
          <w:bCs/>
          <w:color w:val="auto"/>
          <w:sz w:val="32"/>
          <w:szCs w:val="32"/>
        </w:rPr>
        <w:t>是</w:t>
      </w:r>
      <w:r>
        <w:rPr>
          <w:rFonts w:hint="eastAsia" w:ascii="仿宋_GB2312" w:hAnsi="仿宋_GB2312" w:eastAsia="仿宋_GB2312"/>
          <w:color w:val="auto"/>
          <w:sz w:val="32"/>
          <w:szCs w:val="32"/>
        </w:rPr>
        <w:t>独立核算的机构，是独立编报预算的一级预算单位，无二级局</w:t>
      </w:r>
      <w:r>
        <w:rPr>
          <w:rFonts w:hint="eastAsia" w:ascii="仿宋_GB2312" w:hAnsi="仿宋" w:eastAsia="仿宋_GB2312"/>
          <w:color w:val="auto"/>
          <w:sz w:val="32"/>
          <w:szCs w:val="32"/>
        </w:rPr>
        <w:t>。</w:t>
      </w:r>
      <w:r>
        <w:rPr>
          <w:rFonts w:ascii="Calibri" w:hAnsi="Calibri" w:eastAsia="仿宋_GB2312"/>
          <w:color w:val="auto"/>
          <w:sz w:val="30"/>
          <w:szCs w:val="30"/>
        </w:rPr>
        <w:t xml:space="preserve"> </w:t>
      </w:r>
    </w:p>
    <w:p>
      <w:pPr>
        <w:keepNext/>
        <w:keepLines/>
        <w:spacing w:before="340" w:after="330" w:line="578" w:lineRule="auto"/>
        <w:ind w:right="440"/>
        <w:jc w:val="right"/>
        <w:rPr>
          <w:rFonts w:ascii="黑体" w:hAnsi="黑体" w:eastAsia="黑体" w:cs="黑体"/>
          <w:color w:val="auto"/>
          <w:sz w:val="44"/>
        </w:rPr>
      </w:pPr>
      <w:r>
        <w:rPr>
          <w:rFonts w:ascii="黑体" w:hAnsi="黑体" w:eastAsia="黑体" w:cs="黑体"/>
          <w:color w:val="auto"/>
          <w:sz w:val="44"/>
        </w:rPr>
        <w:t>第二部分</w:t>
      </w:r>
      <w:r>
        <w:rPr>
          <w:rFonts w:ascii="黑体" w:hAnsi="黑体" w:eastAsia="黑体" w:cs="黑体"/>
          <w:b/>
          <w:color w:val="auto"/>
          <w:sz w:val="44"/>
        </w:rPr>
        <w:t xml:space="preserve"> </w:t>
      </w:r>
      <w:r>
        <w:rPr>
          <w:rFonts w:ascii="黑体" w:hAnsi="黑体" w:eastAsia="黑体" w:cs="黑体"/>
          <w:color w:val="auto"/>
          <w:sz w:val="44"/>
        </w:rPr>
        <w:t>2018年度部门决算情况说明</w:t>
      </w:r>
    </w:p>
    <w:p>
      <w:pPr>
        <w:rPr>
          <w:rFonts w:ascii="Times New Roman" w:hAnsi="Times New Roman" w:eastAsia="Times New Roman" w:cs="Times New Roman"/>
          <w:color w:val="auto"/>
        </w:rPr>
      </w:pPr>
    </w:p>
    <w:p>
      <w:pPr>
        <w:numPr>
          <w:ilvl w:val="0"/>
          <w:numId w:val="1"/>
        </w:numPr>
        <w:spacing w:line="600" w:lineRule="auto"/>
        <w:ind w:left="1360" w:hanging="720"/>
        <w:rPr>
          <w:rFonts w:ascii="黑体" w:hAnsi="黑体" w:eastAsia="黑体" w:cs="黑体"/>
          <w:color w:val="auto"/>
          <w:sz w:val="32"/>
        </w:rPr>
      </w:pPr>
      <w:r>
        <w:rPr>
          <w:rFonts w:ascii="黑体" w:hAnsi="黑体" w:eastAsia="黑体" w:cs="黑体"/>
          <w:color w:val="auto"/>
          <w:sz w:val="32"/>
        </w:rPr>
        <w:t>收入支出决算总体情况说明</w:t>
      </w:r>
    </w:p>
    <w:p>
      <w:pPr>
        <w:spacing w:line="600" w:lineRule="auto"/>
        <w:ind w:firstLine="640"/>
        <w:rPr>
          <w:rFonts w:ascii="仿宋" w:hAnsi="仿宋" w:eastAsia="仿宋" w:cs="仿宋"/>
          <w:color w:val="auto"/>
          <w:sz w:val="32"/>
        </w:rPr>
      </w:pPr>
      <w:r>
        <w:rPr>
          <w:rFonts w:ascii="仿宋" w:hAnsi="仿宋" w:eastAsia="仿宋" w:cs="仿宋"/>
          <w:color w:val="auto"/>
          <w:sz w:val="32"/>
        </w:rPr>
        <w:t>2018年度收</w:t>
      </w:r>
      <w:r>
        <w:rPr>
          <w:rFonts w:hint="eastAsia" w:ascii="仿宋" w:hAnsi="仿宋" w:eastAsia="仿宋" w:cs="仿宋"/>
          <w:color w:val="auto"/>
          <w:sz w:val="32"/>
        </w:rPr>
        <w:t>入</w:t>
      </w:r>
      <w:r>
        <w:rPr>
          <w:rFonts w:ascii="仿宋" w:hAnsi="仿宋" w:eastAsia="仿宋" w:cs="仿宋"/>
          <w:color w:val="auto"/>
          <w:sz w:val="32"/>
        </w:rPr>
        <w:t>566.34</w:t>
      </w:r>
      <w:r>
        <w:rPr>
          <w:rFonts w:hint="eastAsia" w:ascii="仿宋" w:hAnsi="仿宋" w:eastAsia="仿宋" w:cs="仿宋"/>
          <w:color w:val="auto"/>
          <w:sz w:val="32"/>
        </w:rPr>
        <w:t>万元，</w:t>
      </w:r>
      <w:r>
        <w:rPr>
          <w:rFonts w:ascii="仿宋" w:hAnsi="仿宋" w:eastAsia="仿宋" w:cs="仿宋"/>
          <w:color w:val="auto"/>
          <w:sz w:val="32"/>
        </w:rPr>
        <w:t>与2017年相比，减少</w:t>
      </w:r>
      <w:r>
        <w:rPr>
          <w:rFonts w:hint="eastAsia" w:ascii="仿宋" w:hAnsi="仿宋" w:eastAsia="仿宋" w:cs="仿宋"/>
          <w:color w:val="auto"/>
          <w:sz w:val="32"/>
        </w:rPr>
        <w:t>39.52</w:t>
      </w:r>
      <w:r>
        <w:rPr>
          <w:rFonts w:ascii="仿宋" w:hAnsi="仿宋" w:eastAsia="仿宋" w:cs="仿宋"/>
          <w:color w:val="auto"/>
          <w:sz w:val="32"/>
        </w:rPr>
        <w:t>万元</w:t>
      </w:r>
      <w:r>
        <w:rPr>
          <w:rFonts w:hint="eastAsia" w:ascii="仿宋" w:hAnsi="仿宋" w:eastAsia="仿宋" w:cs="仿宋"/>
          <w:color w:val="auto"/>
          <w:sz w:val="32"/>
        </w:rPr>
        <w:t>，</w:t>
      </w:r>
      <w:r>
        <w:rPr>
          <w:rFonts w:ascii="仿宋" w:hAnsi="仿宋" w:eastAsia="仿宋" w:cs="仿宋"/>
          <w:color w:val="auto"/>
          <w:sz w:val="32"/>
        </w:rPr>
        <w:t>下降</w:t>
      </w:r>
      <w:r>
        <w:rPr>
          <w:rFonts w:hint="eastAsia" w:ascii="仿宋" w:hAnsi="仿宋" w:eastAsia="仿宋" w:cs="仿宋"/>
          <w:color w:val="auto"/>
          <w:sz w:val="32"/>
        </w:rPr>
        <w:t>5.67</w:t>
      </w:r>
      <w:r>
        <w:rPr>
          <w:rFonts w:ascii="仿宋" w:hAnsi="仿宋" w:eastAsia="仿宋" w:cs="仿宋"/>
          <w:color w:val="auto"/>
          <w:sz w:val="32"/>
        </w:rPr>
        <w:t>%</w:t>
      </w:r>
      <w:r>
        <w:rPr>
          <w:rFonts w:hint="eastAsia" w:ascii="仿宋" w:hAnsi="仿宋" w:eastAsia="仿宋" w:cs="仿宋"/>
          <w:color w:val="auto"/>
          <w:sz w:val="32"/>
        </w:rPr>
        <w:t>，</w:t>
      </w:r>
      <w:r>
        <w:rPr>
          <w:rFonts w:ascii="仿宋" w:hAnsi="仿宋" w:eastAsia="仿宋" w:cs="仿宋"/>
          <w:color w:val="auto"/>
          <w:sz w:val="32"/>
        </w:rPr>
        <w:t>主要变动原因是</w:t>
      </w:r>
      <w:r>
        <w:rPr>
          <w:rFonts w:hint="eastAsia" w:ascii="仿宋" w:hAnsi="仿宋" w:eastAsia="仿宋" w:cs="仿宋"/>
          <w:color w:val="auto"/>
          <w:sz w:val="32"/>
        </w:rPr>
        <w:t>没有预交的养老保险及职业年金。</w:t>
      </w:r>
      <w:r>
        <w:rPr>
          <w:rFonts w:ascii="仿宋" w:hAnsi="仿宋" w:eastAsia="仿宋" w:cs="仿宋"/>
          <w:color w:val="auto"/>
          <w:sz w:val="32"/>
        </w:rPr>
        <w:t>支</w:t>
      </w:r>
      <w:r>
        <w:rPr>
          <w:rFonts w:hint="eastAsia" w:ascii="仿宋" w:hAnsi="仿宋" w:eastAsia="仿宋" w:cs="仿宋"/>
          <w:color w:val="auto"/>
          <w:sz w:val="32"/>
        </w:rPr>
        <w:t>出</w:t>
      </w:r>
      <w:r>
        <w:rPr>
          <w:rFonts w:ascii="仿宋" w:hAnsi="仿宋" w:eastAsia="仿宋" w:cs="仿宋"/>
          <w:color w:val="auto"/>
          <w:sz w:val="32"/>
        </w:rPr>
        <w:t>617.62万元。与2017年相比，减少</w:t>
      </w:r>
      <w:r>
        <w:rPr>
          <w:rFonts w:hint="eastAsia" w:ascii="仿宋" w:hAnsi="仿宋" w:eastAsia="仿宋" w:cs="仿宋"/>
          <w:color w:val="auto"/>
          <w:sz w:val="32"/>
        </w:rPr>
        <w:t>27.19万元</w:t>
      </w:r>
      <w:r>
        <w:rPr>
          <w:rFonts w:ascii="仿宋" w:hAnsi="仿宋" w:eastAsia="仿宋" w:cs="仿宋"/>
          <w:color w:val="auto"/>
          <w:sz w:val="32"/>
        </w:rPr>
        <w:t>，下降</w:t>
      </w:r>
      <w:r>
        <w:rPr>
          <w:rFonts w:hint="eastAsia" w:ascii="仿宋" w:hAnsi="仿宋" w:eastAsia="仿宋" w:cs="仿宋"/>
          <w:color w:val="auto"/>
          <w:sz w:val="32"/>
        </w:rPr>
        <w:t>4.22%</w:t>
      </w:r>
      <w:r>
        <w:rPr>
          <w:rFonts w:ascii="仿宋" w:hAnsi="仿宋" w:eastAsia="仿宋" w:cs="仿宋"/>
          <w:color w:val="auto"/>
          <w:sz w:val="32"/>
        </w:rPr>
        <w:t>。主要变动原因是</w:t>
      </w:r>
      <w:r>
        <w:rPr>
          <w:rFonts w:hint="eastAsia" w:ascii="仿宋" w:hAnsi="仿宋" w:eastAsia="仿宋" w:cs="仿宋"/>
          <w:color w:val="auto"/>
          <w:sz w:val="32"/>
        </w:rPr>
        <w:t>没有预交的养老保险及职业年金。</w:t>
      </w:r>
    </w:p>
    <w:p>
      <w:pPr>
        <w:spacing w:line="600" w:lineRule="auto"/>
        <w:ind w:firstLine="640"/>
        <w:rPr>
          <w:rFonts w:ascii="仿宋" w:hAnsi="仿宋" w:eastAsia="仿宋" w:cs="仿宋"/>
          <w:color w:val="auto"/>
          <w:sz w:val="32"/>
        </w:rPr>
      </w:pPr>
      <w:r>
        <w:rPr>
          <w:rFonts w:ascii="仿宋" w:hAnsi="仿宋" w:eastAsia="仿宋" w:cs="仿宋"/>
          <w:color w:val="auto"/>
          <w:sz w:val="32"/>
        </w:rPr>
        <w:t>（图1：收、支决算总计变动情况图）（柱状图）</w:t>
      </w:r>
    </w:p>
    <w:p>
      <w:pPr>
        <w:spacing w:line="600" w:lineRule="auto"/>
        <w:ind w:firstLine="640"/>
        <w:jc w:val="left"/>
        <w:rPr>
          <w:rFonts w:ascii="仿宋_GB2312" w:hAnsi="仿宋_GB2312" w:eastAsia="仿宋_GB2312" w:cs="仿宋_GB2312"/>
          <w:color w:val="auto"/>
          <w:sz w:val="32"/>
        </w:rPr>
      </w:pPr>
      <w:r>
        <w:rPr>
          <w:rFonts w:ascii="Times New Roman" w:hAnsi="Times New Roman" w:eastAsia="宋体" w:cs="Times New Roman"/>
          <w:color w:val="auto"/>
          <w:szCs w:val="20"/>
        </w:rPr>
        <w:drawing>
          <wp:inline distT="0" distB="0" distL="0" distR="0">
            <wp:extent cx="2752725" cy="1828800"/>
            <wp:effectExtent l="0" t="0" r="0" b="0"/>
            <wp:docPr id="3"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numPr>
          <w:ilvl w:val="0"/>
          <w:numId w:val="2"/>
        </w:numPr>
        <w:spacing w:line="600" w:lineRule="auto"/>
        <w:ind w:left="1360" w:hanging="720"/>
        <w:rPr>
          <w:rFonts w:ascii="黑体" w:hAnsi="黑体" w:eastAsia="黑体" w:cs="黑体"/>
          <w:color w:val="auto"/>
          <w:sz w:val="32"/>
        </w:rPr>
      </w:pPr>
      <w:r>
        <w:rPr>
          <w:rFonts w:ascii="黑体" w:hAnsi="黑体" w:eastAsia="黑体" w:cs="黑体"/>
          <w:color w:val="auto"/>
          <w:sz w:val="32"/>
        </w:rPr>
        <w:t>收入决算情况说明</w:t>
      </w:r>
    </w:p>
    <w:p>
      <w:pPr>
        <w:spacing w:line="600" w:lineRule="auto"/>
        <w:ind w:firstLine="640"/>
        <w:rPr>
          <w:rFonts w:ascii="仿宋" w:hAnsi="仿宋" w:eastAsia="仿宋" w:cs="仿宋"/>
          <w:color w:val="auto"/>
          <w:sz w:val="32"/>
        </w:rPr>
      </w:pPr>
      <w:r>
        <w:rPr>
          <w:rFonts w:ascii="仿宋" w:hAnsi="仿宋" w:eastAsia="仿宋" w:cs="仿宋"/>
          <w:color w:val="auto"/>
          <w:sz w:val="32"/>
        </w:rPr>
        <w:t>2018年本年收入合计566.35万元，其中：一般公共预算财政拨款收入558.33万元，占</w:t>
      </w:r>
      <w:r>
        <w:rPr>
          <w:rFonts w:hint="eastAsia" w:ascii="仿宋" w:hAnsi="仿宋" w:eastAsia="仿宋" w:cs="仿宋"/>
          <w:color w:val="auto"/>
          <w:sz w:val="32"/>
        </w:rPr>
        <w:t>98.59</w:t>
      </w:r>
      <w:r>
        <w:rPr>
          <w:rFonts w:ascii="仿宋" w:hAnsi="仿宋" w:eastAsia="仿宋" w:cs="仿宋"/>
          <w:color w:val="auto"/>
          <w:sz w:val="32"/>
        </w:rPr>
        <w:t>%；其他收入8.01万元，占</w:t>
      </w:r>
      <w:r>
        <w:rPr>
          <w:rFonts w:hint="eastAsia" w:ascii="仿宋" w:hAnsi="仿宋" w:eastAsia="仿宋" w:cs="仿宋"/>
          <w:color w:val="auto"/>
          <w:sz w:val="32"/>
        </w:rPr>
        <w:t>1.61</w:t>
      </w:r>
      <w:r>
        <w:rPr>
          <w:rFonts w:ascii="仿宋" w:hAnsi="仿宋" w:eastAsia="仿宋" w:cs="仿宋"/>
          <w:color w:val="auto"/>
          <w:sz w:val="32"/>
        </w:rPr>
        <w:t>%。</w:t>
      </w:r>
    </w:p>
    <w:p>
      <w:pPr>
        <w:spacing w:line="600" w:lineRule="auto"/>
        <w:ind w:firstLine="640"/>
        <w:rPr>
          <w:rFonts w:ascii="仿宋" w:hAnsi="仿宋" w:eastAsia="仿宋" w:cs="仿宋"/>
          <w:color w:val="auto"/>
          <w:sz w:val="32"/>
        </w:rPr>
      </w:pPr>
      <w:r>
        <w:rPr>
          <w:rFonts w:ascii="仿宋" w:hAnsi="仿宋" w:eastAsia="仿宋" w:cs="仿宋"/>
          <w:color w:val="auto"/>
          <w:sz w:val="32"/>
        </w:rPr>
        <w:t>（图2：收入决算结构图）（饼状图）</w:t>
      </w:r>
    </w:p>
    <w:p>
      <w:pPr>
        <w:spacing w:line="600" w:lineRule="auto"/>
        <w:ind w:firstLine="640"/>
        <w:rPr>
          <w:rFonts w:ascii="仿宋_GB2312" w:hAnsi="仿宋_GB2312" w:eastAsia="仿宋_GB2312" w:cs="仿宋_GB2312"/>
          <w:color w:val="auto"/>
          <w:sz w:val="32"/>
        </w:rPr>
      </w:pPr>
      <w:r>
        <w:rPr>
          <w:color w:val="auto"/>
        </w:rPr>
        <w:drawing>
          <wp:inline distT="0" distB="0" distL="0" distR="0">
            <wp:extent cx="2752725" cy="1828800"/>
            <wp:effectExtent l="0" t="0" r="0" b="0"/>
            <wp:docPr id="1"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numPr>
          <w:ilvl w:val="0"/>
          <w:numId w:val="3"/>
        </w:numPr>
        <w:spacing w:line="600" w:lineRule="auto"/>
        <w:ind w:left="1360" w:hanging="720"/>
        <w:rPr>
          <w:rFonts w:ascii="黑体" w:hAnsi="黑体" w:eastAsia="黑体" w:cs="黑体"/>
          <w:color w:val="auto"/>
          <w:sz w:val="32"/>
        </w:rPr>
      </w:pPr>
      <w:r>
        <w:rPr>
          <w:rFonts w:ascii="黑体" w:hAnsi="黑体" w:eastAsia="黑体" w:cs="黑体"/>
          <w:color w:val="auto"/>
          <w:sz w:val="32"/>
        </w:rPr>
        <w:t>支出决算情况说明</w:t>
      </w:r>
    </w:p>
    <w:p>
      <w:pPr>
        <w:spacing w:line="600" w:lineRule="auto"/>
        <w:ind w:firstLine="640"/>
        <w:rPr>
          <w:rFonts w:ascii="仿宋" w:hAnsi="仿宋" w:eastAsia="仿宋" w:cs="仿宋"/>
          <w:color w:val="auto"/>
          <w:sz w:val="32"/>
        </w:rPr>
      </w:pPr>
      <w:r>
        <w:rPr>
          <w:rFonts w:ascii="仿宋" w:hAnsi="仿宋" w:eastAsia="仿宋" w:cs="仿宋"/>
          <w:color w:val="auto"/>
          <w:sz w:val="32"/>
        </w:rPr>
        <w:t>2018年本年支出合计617.62万元，其中：基本支出476.45万元，占</w:t>
      </w:r>
      <w:r>
        <w:rPr>
          <w:rFonts w:hint="eastAsia" w:ascii="仿宋" w:hAnsi="仿宋" w:eastAsia="仿宋" w:cs="仿宋"/>
          <w:color w:val="auto"/>
          <w:sz w:val="32"/>
        </w:rPr>
        <w:t>77.14</w:t>
      </w:r>
      <w:r>
        <w:rPr>
          <w:rFonts w:ascii="仿宋" w:hAnsi="仿宋" w:eastAsia="仿宋" w:cs="仿宋"/>
          <w:color w:val="auto"/>
          <w:sz w:val="32"/>
        </w:rPr>
        <w:t>%；项目支出141.17万元，占</w:t>
      </w:r>
      <w:r>
        <w:rPr>
          <w:rFonts w:hint="eastAsia" w:ascii="仿宋" w:hAnsi="仿宋" w:eastAsia="仿宋" w:cs="仿宋"/>
          <w:color w:val="auto"/>
          <w:sz w:val="32"/>
        </w:rPr>
        <w:t>22.86</w:t>
      </w:r>
      <w:r>
        <w:rPr>
          <w:rFonts w:ascii="仿宋" w:hAnsi="仿宋" w:eastAsia="仿宋" w:cs="仿宋"/>
          <w:color w:val="auto"/>
          <w:sz w:val="32"/>
        </w:rPr>
        <w:t>%</w:t>
      </w:r>
      <w:r>
        <w:rPr>
          <w:rFonts w:hint="eastAsia" w:ascii="仿宋" w:hAnsi="仿宋" w:eastAsia="仿宋" w:cs="仿宋"/>
          <w:color w:val="auto"/>
          <w:sz w:val="32"/>
        </w:rPr>
        <w:t>。</w:t>
      </w:r>
      <w:r>
        <w:rPr>
          <w:rFonts w:ascii="仿宋" w:hAnsi="仿宋" w:eastAsia="仿宋" w:cs="仿宋"/>
          <w:color w:val="auto"/>
          <w:sz w:val="32"/>
        </w:rPr>
        <w:t>（图3：支出决算结构图）（饼状图）</w:t>
      </w:r>
    </w:p>
    <w:p>
      <w:pPr>
        <w:spacing w:line="600" w:lineRule="auto"/>
        <w:ind w:firstLine="640"/>
        <w:rPr>
          <w:rFonts w:ascii="仿宋_GB2312" w:hAnsi="仿宋_GB2312" w:eastAsia="仿宋_GB2312" w:cs="仿宋_GB2312"/>
          <w:color w:val="auto"/>
          <w:sz w:val="32"/>
        </w:rPr>
      </w:pPr>
      <w:r>
        <w:rPr>
          <w:color w:val="auto"/>
        </w:rPr>
        <w:drawing>
          <wp:inline distT="0" distB="0" distL="0" distR="0">
            <wp:extent cx="2743200" cy="1828800"/>
            <wp:effectExtent l="0" t="0" r="0" b="0"/>
            <wp:docPr id="4"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auto"/>
        <w:ind w:firstLine="640"/>
        <w:rPr>
          <w:rFonts w:ascii="黑体" w:hAnsi="黑体" w:eastAsia="黑体" w:cs="黑体"/>
          <w:color w:val="auto"/>
          <w:sz w:val="32"/>
        </w:rPr>
      </w:pPr>
      <w:r>
        <w:rPr>
          <w:rFonts w:ascii="黑体" w:hAnsi="黑体" w:eastAsia="黑体" w:cs="黑体"/>
          <w:color w:val="auto"/>
          <w:sz w:val="32"/>
        </w:rPr>
        <w:t>四、财政拨款收入支出决算总体情况说明</w:t>
      </w:r>
    </w:p>
    <w:p>
      <w:pPr>
        <w:spacing w:line="600" w:lineRule="auto"/>
        <w:ind w:firstLine="640"/>
        <w:rPr>
          <w:rFonts w:ascii="仿宋" w:hAnsi="仿宋" w:eastAsia="仿宋" w:cs="仿宋"/>
          <w:color w:val="auto"/>
          <w:sz w:val="32"/>
        </w:rPr>
      </w:pPr>
      <w:r>
        <w:rPr>
          <w:rFonts w:ascii="仿宋" w:hAnsi="仿宋" w:eastAsia="仿宋" w:cs="仿宋"/>
          <w:color w:val="auto"/>
          <w:sz w:val="32"/>
        </w:rPr>
        <w:t>2018年财政拨款收</w:t>
      </w:r>
      <w:r>
        <w:rPr>
          <w:rFonts w:hint="eastAsia" w:ascii="仿宋" w:hAnsi="仿宋" w:eastAsia="仿宋" w:cs="仿宋"/>
          <w:color w:val="auto"/>
          <w:sz w:val="32"/>
        </w:rPr>
        <w:t>入</w:t>
      </w:r>
      <w:r>
        <w:rPr>
          <w:rFonts w:ascii="仿宋" w:hAnsi="仿宋" w:eastAsia="仿宋" w:cs="仿宋"/>
          <w:color w:val="auto"/>
          <w:sz w:val="32"/>
        </w:rPr>
        <w:t>558.33</w:t>
      </w:r>
      <w:r>
        <w:rPr>
          <w:rFonts w:hint="eastAsia" w:ascii="仿宋" w:hAnsi="仿宋" w:eastAsia="仿宋" w:cs="仿宋"/>
          <w:color w:val="auto"/>
          <w:sz w:val="32"/>
        </w:rPr>
        <w:t>万元，</w:t>
      </w:r>
      <w:r>
        <w:rPr>
          <w:rFonts w:ascii="仿宋" w:hAnsi="仿宋" w:eastAsia="仿宋" w:cs="仿宋"/>
          <w:color w:val="auto"/>
          <w:sz w:val="32"/>
        </w:rPr>
        <w:t>与2017年相比，财政拨款减少</w:t>
      </w:r>
      <w:r>
        <w:rPr>
          <w:rFonts w:hint="eastAsia" w:ascii="仿宋" w:hAnsi="仿宋" w:eastAsia="仿宋" w:cs="仿宋"/>
          <w:color w:val="auto"/>
          <w:sz w:val="32"/>
        </w:rPr>
        <w:t>39.52</w:t>
      </w:r>
      <w:r>
        <w:rPr>
          <w:rFonts w:ascii="仿宋" w:hAnsi="仿宋" w:eastAsia="仿宋" w:cs="仿宋"/>
          <w:color w:val="auto"/>
          <w:sz w:val="32"/>
        </w:rPr>
        <w:t>万元</w:t>
      </w:r>
      <w:r>
        <w:rPr>
          <w:rFonts w:hint="eastAsia" w:ascii="仿宋" w:hAnsi="仿宋" w:eastAsia="仿宋" w:cs="仿宋"/>
          <w:color w:val="auto"/>
          <w:sz w:val="32"/>
        </w:rPr>
        <w:t>，</w:t>
      </w:r>
      <w:r>
        <w:rPr>
          <w:rFonts w:ascii="仿宋" w:hAnsi="仿宋" w:eastAsia="仿宋" w:cs="仿宋"/>
          <w:color w:val="auto"/>
          <w:sz w:val="32"/>
        </w:rPr>
        <w:t>下降</w:t>
      </w:r>
      <w:r>
        <w:rPr>
          <w:rFonts w:hint="eastAsia" w:ascii="仿宋" w:hAnsi="仿宋" w:eastAsia="仿宋" w:cs="仿宋"/>
          <w:color w:val="auto"/>
          <w:sz w:val="32"/>
        </w:rPr>
        <w:t>6.61</w:t>
      </w:r>
      <w:r>
        <w:rPr>
          <w:rFonts w:ascii="仿宋" w:hAnsi="仿宋" w:eastAsia="仿宋" w:cs="仿宋"/>
          <w:color w:val="auto"/>
          <w:sz w:val="32"/>
        </w:rPr>
        <w:t>%</w:t>
      </w:r>
      <w:r>
        <w:rPr>
          <w:rFonts w:hint="eastAsia" w:ascii="仿宋" w:hAnsi="仿宋" w:eastAsia="仿宋" w:cs="仿宋"/>
          <w:color w:val="auto"/>
          <w:sz w:val="32"/>
        </w:rPr>
        <w:t>、，</w:t>
      </w:r>
      <w:r>
        <w:rPr>
          <w:rFonts w:ascii="仿宋" w:hAnsi="仿宋" w:eastAsia="仿宋" w:cs="仿宋"/>
          <w:color w:val="auto"/>
          <w:sz w:val="32"/>
        </w:rPr>
        <w:t>主要变动原因是</w:t>
      </w:r>
      <w:r>
        <w:rPr>
          <w:rFonts w:hint="eastAsia" w:ascii="仿宋" w:hAnsi="仿宋" w:eastAsia="仿宋" w:cs="仿宋"/>
          <w:color w:val="auto"/>
          <w:sz w:val="32"/>
        </w:rPr>
        <w:t>今年没有预交养老保险、职业年金。</w:t>
      </w:r>
      <w:r>
        <w:rPr>
          <w:rFonts w:ascii="仿宋" w:hAnsi="仿宋" w:eastAsia="仿宋" w:cs="仿宋"/>
          <w:color w:val="auto"/>
          <w:sz w:val="32"/>
        </w:rPr>
        <w:t>支</w:t>
      </w:r>
      <w:r>
        <w:rPr>
          <w:rFonts w:hint="eastAsia" w:ascii="仿宋" w:hAnsi="仿宋" w:eastAsia="仿宋" w:cs="仿宋"/>
          <w:color w:val="auto"/>
          <w:sz w:val="32"/>
        </w:rPr>
        <w:t>出</w:t>
      </w:r>
      <w:r>
        <w:rPr>
          <w:rFonts w:ascii="仿宋" w:hAnsi="仿宋" w:eastAsia="仿宋" w:cs="仿宋"/>
          <w:color w:val="auto"/>
          <w:sz w:val="32"/>
        </w:rPr>
        <w:t>623.87万元。与2017年相比，财政拨款减少</w:t>
      </w:r>
      <w:r>
        <w:rPr>
          <w:rFonts w:hint="eastAsia" w:ascii="仿宋" w:hAnsi="仿宋" w:eastAsia="仿宋" w:cs="仿宋"/>
          <w:color w:val="auto"/>
          <w:sz w:val="32"/>
        </w:rPr>
        <w:t>27.19</w:t>
      </w:r>
      <w:r>
        <w:rPr>
          <w:rFonts w:ascii="仿宋" w:hAnsi="仿宋" w:eastAsia="仿宋" w:cs="仿宋"/>
          <w:color w:val="auto"/>
          <w:sz w:val="32"/>
        </w:rPr>
        <w:t>万元，下降</w:t>
      </w:r>
      <w:r>
        <w:rPr>
          <w:rFonts w:hint="eastAsia" w:ascii="仿宋" w:hAnsi="仿宋" w:eastAsia="仿宋" w:cs="仿宋"/>
          <w:color w:val="auto"/>
          <w:sz w:val="32"/>
        </w:rPr>
        <w:t>4.22%</w:t>
      </w:r>
      <w:r>
        <w:rPr>
          <w:rFonts w:ascii="仿宋" w:hAnsi="仿宋" w:eastAsia="仿宋" w:cs="仿宋"/>
          <w:color w:val="auto"/>
          <w:sz w:val="32"/>
        </w:rPr>
        <w:t>。主要变动原因是</w:t>
      </w:r>
      <w:r>
        <w:rPr>
          <w:rFonts w:hint="eastAsia" w:ascii="仿宋" w:hAnsi="仿宋" w:eastAsia="仿宋" w:cs="仿宋"/>
          <w:color w:val="auto"/>
          <w:sz w:val="32"/>
        </w:rPr>
        <w:t>今年没有预交养老保险、职业年金。</w:t>
      </w:r>
    </w:p>
    <w:p>
      <w:pPr>
        <w:spacing w:line="600" w:lineRule="auto"/>
        <w:ind w:firstLine="640"/>
        <w:rPr>
          <w:rFonts w:ascii="仿宋" w:hAnsi="仿宋" w:eastAsia="仿宋" w:cs="仿宋"/>
          <w:color w:val="auto"/>
          <w:sz w:val="32"/>
        </w:rPr>
      </w:pPr>
      <w:r>
        <w:rPr>
          <w:rFonts w:ascii="仿宋" w:hAnsi="仿宋" w:eastAsia="仿宋" w:cs="仿宋"/>
          <w:color w:val="auto"/>
          <w:sz w:val="32"/>
        </w:rPr>
        <w:t>（图4：财政拨款收、支决算总计变动情况）（柱状图）</w:t>
      </w:r>
    </w:p>
    <w:p>
      <w:pPr>
        <w:spacing w:line="600" w:lineRule="auto"/>
        <w:ind w:firstLine="640"/>
        <w:rPr>
          <w:rFonts w:ascii="仿宋" w:hAnsi="仿宋" w:eastAsia="仿宋" w:cs="仿宋"/>
          <w:color w:val="auto"/>
          <w:sz w:val="32"/>
        </w:rPr>
      </w:pPr>
      <w:r>
        <w:rPr>
          <w:rFonts w:ascii="Times New Roman" w:hAnsi="Times New Roman" w:eastAsia="宋体" w:cs="Times New Roman"/>
          <w:color w:val="auto"/>
          <w:szCs w:val="20"/>
        </w:rPr>
        <w:drawing>
          <wp:inline distT="0" distB="0" distL="0" distR="0">
            <wp:extent cx="2752725" cy="1828800"/>
            <wp:effectExtent l="0" t="0" r="0" b="0"/>
            <wp:docPr id="5"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auto"/>
        <w:ind w:firstLine="640"/>
        <w:rPr>
          <w:rFonts w:ascii="黑体" w:hAnsi="黑体" w:eastAsia="黑体" w:cs="黑体"/>
          <w:color w:val="auto"/>
          <w:sz w:val="32"/>
        </w:rPr>
      </w:pPr>
      <w:r>
        <w:rPr>
          <w:rFonts w:ascii="黑体" w:hAnsi="黑体" w:eastAsia="黑体" w:cs="黑体"/>
          <w:color w:val="auto"/>
          <w:sz w:val="32"/>
        </w:rPr>
        <w:t>五、</w:t>
      </w:r>
      <w:r>
        <w:rPr>
          <w:rFonts w:ascii="黑体" w:hAnsi="黑体" w:eastAsia="黑体" w:cs="黑体"/>
          <w:b/>
          <w:color w:val="auto"/>
          <w:sz w:val="32"/>
        </w:rPr>
        <w:t>一</w:t>
      </w:r>
      <w:r>
        <w:rPr>
          <w:rFonts w:ascii="黑体" w:hAnsi="黑体" w:eastAsia="黑体" w:cs="黑体"/>
          <w:color w:val="auto"/>
          <w:sz w:val="32"/>
        </w:rPr>
        <w:t>般公共预算财政拨款支出决算情况说明</w:t>
      </w:r>
    </w:p>
    <w:p>
      <w:pPr>
        <w:spacing w:line="600" w:lineRule="auto"/>
        <w:ind w:firstLine="643"/>
        <w:rPr>
          <w:rFonts w:ascii="仿宋" w:hAnsi="仿宋" w:eastAsia="仿宋" w:cs="仿宋"/>
          <w:b/>
          <w:color w:val="auto"/>
          <w:sz w:val="32"/>
        </w:rPr>
      </w:pPr>
      <w:r>
        <w:rPr>
          <w:rFonts w:ascii="仿宋" w:hAnsi="仿宋" w:eastAsia="仿宋" w:cs="仿宋"/>
          <w:b/>
          <w:color w:val="auto"/>
          <w:sz w:val="32"/>
        </w:rPr>
        <w:t>（一）一般公共预算财政拨款支出决算总体情况</w:t>
      </w:r>
    </w:p>
    <w:p>
      <w:pPr>
        <w:spacing w:line="600" w:lineRule="auto"/>
        <w:ind w:firstLine="640"/>
        <w:rPr>
          <w:rFonts w:ascii="仿宋" w:hAnsi="仿宋" w:eastAsia="仿宋" w:cs="仿宋"/>
          <w:color w:val="auto"/>
          <w:sz w:val="32"/>
        </w:rPr>
      </w:pPr>
      <w:r>
        <w:rPr>
          <w:rFonts w:ascii="仿宋" w:hAnsi="仿宋" w:eastAsia="仿宋" w:cs="仿宋"/>
          <w:color w:val="auto"/>
          <w:sz w:val="32"/>
        </w:rPr>
        <w:t>2018年一般公共预算财政拨款支出609.6万元，占本年支出合计的</w:t>
      </w:r>
      <w:r>
        <w:rPr>
          <w:rFonts w:hint="eastAsia" w:ascii="仿宋" w:hAnsi="仿宋" w:eastAsia="仿宋" w:cs="仿宋"/>
          <w:color w:val="auto"/>
          <w:sz w:val="32"/>
        </w:rPr>
        <w:t>97.71</w:t>
      </w:r>
      <w:r>
        <w:rPr>
          <w:rFonts w:ascii="仿宋" w:hAnsi="仿宋" w:eastAsia="仿宋" w:cs="仿宋"/>
          <w:color w:val="auto"/>
          <w:sz w:val="32"/>
        </w:rPr>
        <w:t>%。与2017年相比，一般公共预算财政拨款减少</w:t>
      </w:r>
      <w:r>
        <w:rPr>
          <w:rFonts w:hint="eastAsia" w:ascii="仿宋" w:hAnsi="仿宋" w:eastAsia="仿宋" w:cs="仿宋"/>
          <w:color w:val="auto"/>
          <w:sz w:val="32"/>
        </w:rPr>
        <w:t>32.69</w:t>
      </w:r>
      <w:r>
        <w:rPr>
          <w:rFonts w:ascii="仿宋" w:hAnsi="仿宋" w:eastAsia="仿宋" w:cs="仿宋"/>
          <w:color w:val="auto"/>
          <w:sz w:val="32"/>
        </w:rPr>
        <w:t>万元，下降</w:t>
      </w:r>
      <w:r>
        <w:rPr>
          <w:rFonts w:hint="eastAsia" w:ascii="仿宋" w:hAnsi="仿宋" w:eastAsia="仿宋" w:cs="仿宋"/>
          <w:color w:val="auto"/>
          <w:sz w:val="32"/>
        </w:rPr>
        <w:t>5.36</w:t>
      </w:r>
      <w:r>
        <w:rPr>
          <w:rFonts w:ascii="仿宋" w:hAnsi="仿宋" w:eastAsia="仿宋" w:cs="仿宋"/>
          <w:color w:val="auto"/>
          <w:sz w:val="32"/>
        </w:rPr>
        <w:t>%。主要变动原因是</w:t>
      </w:r>
      <w:r>
        <w:rPr>
          <w:rFonts w:hint="eastAsia" w:ascii="仿宋" w:hAnsi="仿宋" w:eastAsia="仿宋" w:cs="仿宋"/>
          <w:color w:val="auto"/>
          <w:sz w:val="32"/>
        </w:rPr>
        <w:t>今年没有预交养老保险、职业年金。</w:t>
      </w:r>
    </w:p>
    <w:p>
      <w:pPr>
        <w:spacing w:line="600" w:lineRule="auto"/>
        <w:ind w:firstLine="640"/>
        <w:rPr>
          <w:rFonts w:ascii="仿宋" w:hAnsi="仿宋" w:eastAsia="仿宋" w:cs="仿宋"/>
          <w:color w:val="auto"/>
          <w:sz w:val="32"/>
        </w:rPr>
      </w:pPr>
      <w:r>
        <w:rPr>
          <w:rFonts w:ascii="仿宋" w:hAnsi="仿宋" w:eastAsia="仿宋" w:cs="仿宋"/>
          <w:color w:val="auto"/>
          <w:sz w:val="32"/>
        </w:rPr>
        <w:t>（图5：一般公共预算财政拨款支出决算变动情况）（柱状图）</w:t>
      </w:r>
    </w:p>
    <w:p>
      <w:pPr>
        <w:spacing w:line="600" w:lineRule="auto"/>
        <w:rPr>
          <w:rFonts w:ascii="仿宋" w:hAnsi="仿宋" w:eastAsia="仿宋" w:cs="仿宋"/>
          <w:color w:val="auto"/>
          <w:sz w:val="32"/>
        </w:rPr>
      </w:pPr>
    </w:p>
    <w:p>
      <w:pPr>
        <w:spacing w:line="600" w:lineRule="auto"/>
        <w:ind w:firstLine="640"/>
        <w:rPr>
          <w:rFonts w:ascii="仿宋" w:hAnsi="仿宋" w:eastAsia="仿宋" w:cs="仿宋"/>
          <w:color w:val="auto"/>
          <w:sz w:val="32"/>
        </w:rPr>
      </w:pPr>
      <w:r>
        <w:rPr>
          <w:rFonts w:ascii="Times New Roman" w:hAnsi="Times New Roman" w:eastAsia="宋体" w:cs="Times New Roman"/>
          <w:color w:val="auto"/>
          <w:szCs w:val="20"/>
        </w:rPr>
        <w:drawing>
          <wp:inline distT="0" distB="0" distL="0" distR="0">
            <wp:extent cx="2752725" cy="1828800"/>
            <wp:effectExtent l="0" t="0" r="0" b="0"/>
            <wp:docPr id="6"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auto"/>
        <w:ind w:firstLine="643"/>
        <w:rPr>
          <w:rFonts w:ascii="仿宋" w:hAnsi="仿宋" w:eastAsia="仿宋" w:cs="仿宋"/>
          <w:b/>
          <w:color w:val="auto"/>
          <w:sz w:val="32"/>
        </w:rPr>
      </w:pPr>
      <w:r>
        <w:rPr>
          <w:rFonts w:ascii="仿宋" w:hAnsi="仿宋" w:eastAsia="仿宋" w:cs="仿宋"/>
          <w:b/>
          <w:color w:val="auto"/>
          <w:sz w:val="32"/>
        </w:rPr>
        <w:t>（二）一般公共预算财政拨款支出决算结构情况</w:t>
      </w:r>
    </w:p>
    <w:p>
      <w:pPr>
        <w:spacing w:line="600" w:lineRule="auto"/>
        <w:ind w:firstLine="640"/>
        <w:rPr>
          <w:rFonts w:ascii="仿宋" w:hAnsi="仿宋" w:eastAsia="仿宋" w:cs="仿宋"/>
          <w:b/>
          <w:color w:val="auto"/>
          <w:sz w:val="32"/>
        </w:rPr>
      </w:pPr>
      <w:r>
        <w:rPr>
          <w:rFonts w:ascii="仿宋" w:hAnsi="仿宋" w:eastAsia="仿宋" w:cs="仿宋"/>
          <w:color w:val="auto"/>
          <w:sz w:val="32"/>
        </w:rPr>
        <w:t>2018年一般公共预算财政拨款支出609.6万元，主要用于以下方面:</w:t>
      </w:r>
      <w:r>
        <w:rPr>
          <w:rFonts w:ascii="仿宋" w:hAnsi="仿宋" w:eastAsia="仿宋" w:cs="仿宋"/>
          <w:b/>
          <w:color w:val="auto"/>
          <w:sz w:val="32"/>
        </w:rPr>
        <w:t>一般公共服务（类）</w:t>
      </w:r>
      <w:r>
        <w:rPr>
          <w:rFonts w:ascii="仿宋" w:hAnsi="仿宋" w:eastAsia="仿宋" w:cs="仿宋"/>
          <w:color w:val="auto"/>
          <w:sz w:val="32"/>
        </w:rPr>
        <w:t>支出453.56万元，占</w:t>
      </w:r>
      <w:r>
        <w:rPr>
          <w:rFonts w:hint="eastAsia" w:ascii="仿宋" w:hAnsi="仿宋" w:eastAsia="仿宋" w:cs="仿宋"/>
          <w:color w:val="auto"/>
          <w:sz w:val="32"/>
        </w:rPr>
        <w:t>74.4</w:t>
      </w:r>
      <w:r>
        <w:rPr>
          <w:rFonts w:ascii="仿宋" w:hAnsi="仿宋" w:eastAsia="仿宋" w:cs="仿宋"/>
          <w:color w:val="auto"/>
          <w:sz w:val="32"/>
        </w:rPr>
        <w:t>%；</w:t>
      </w:r>
      <w:r>
        <w:rPr>
          <w:rFonts w:ascii="仿宋" w:hAnsi="仿宋" w:eastAsia="仿宋" w:cs="仿宋"/>
          <w:b/>
          <w:color w:val="auto"/>
          <w:sz w:val="32"/>
        </w:rPr>
        <w:t>社会保障和就业（类）</w:t>
      </w:r>
      <w:r>
        <w:rPr>
          <w:rFonts w:ascii="仿宋" w:hAnsi="仿宋" w:eastAsia="仿宋" w:cs="仿宋"/>
          <w:color w:val="auto"/>
          <w:sz w:val="32"/>
        </w:rPr>
        <w:t>支出104.29万元，占</w:t>
      </w:r>
      <w:r>
        <w:rPr>
          <w:rFonts w:hint="eastAsia" w:ascii="仿宋" w:hAnsi="仿宋" w:eastAsia="仿宋" w:cs="仿宋"/>
          <w:color w:val="auto"/>
          <w:sz w:val="32"/>
        </w:rPr>
        <w:t>17.11</w:t>
      </w:r>
      <w:r>
        <w:rPr>
          <w:rFonts w:ascii="仿宋" w:hAnsi="仿宋" w:eastAsia="仿宋" w:cs="仿宋"/>
          <w:color w:val="auto"/>
          <w:sz w:val="32"/>
        </w:rPr>
        <w:t>%；</w:t>
      </w:r>
      <w:r>
        <w:rPr>
          <w:rFonts w:ascii="仿宋" w:hAnsi="仿宋" w:eastAsia="仿宋" w:cs="仿宋"/>
          <w:b/>
          <w:color w:val="auto"/>
          <w:sz w:val="32"/>
        </w:rPr>
        <w:t>医疗卫生支出</w:t>
      </w:r>
      <w:r>
        <w:rPr>
          <w:rFonts w:ascii="仿宋" w:hAnsi="仿宋" w:eastAsia="仿宋" w:cs="仿宋"/>
          <w:color w:val="auto"/>
          <w:sz w:val="32"/>
        </w:rPr>
        <w:t>20.99万元，占</w:t>
      </w:r>
      <w:r>
        <w:rPr>
          <w:rFonts w:hint="eastAsia" w:ascii="仿宋" w:hAnsi="仿宋" w:eastAsia="仿宋" w:cs="仿宋"/>
          <w:color w:val="auto"/>
          <w:sz w:val="32"/>
        </w:rPr>
        <w:t>3.44</w:t>
      </w:r>
      <w:r>
        <w:rPr>
          <w:rFonts w:ascii="仿宋" w:hAnsi="仿宋" w:eastAsia="仿宋" w:cs="仿宋"/>
          <w:color w:val="auto"/>
          <w:sz w:val="32"/>
        </w:rPr>
        <w:t>%；</w:t>
      </w:r>
      <w:r>
        <w:rPr>
          <w:rFonts w:ascii="仿宋" w:hAnsi="仿宋" w:eastAsia="仿宋" w:cs="仿宋"/>
          <w:b/>
          <w:color w:val="auto"/>
          <w:sz w:val="32"/>
        </w:rPr>
        <w:t>住房保障支出</w:t>
      </w:r>
      <w:r>
        <w:rPr>
          <w:rFonts w:ascii="仿宋" w:hAnsi="仿宋" w:eastAsia="仿宋" w:cs="仿宋"/>
          <w:color w:val="auto"/>
          <w:sz w:val="32"/>
        </w:rPr>
        <w:t>30.76万元，占</w:t>
      </w:r>
      <w:r>
        <w:rPr>
          <w:rFonts w:hint="eastAsia" w:ascii="仿宋" w:hAnsi="仿宋" w:eastAsia="仿宋" w:cs="仿宋"/>
          <w:color w:val="auto"/>
          <w:sz w:val="32"/>
        </w:rPr>
        <w:t>5.05</w:t>
      </w:r>
      <w:r>
        <w:rPr>
          <w:rFonts w:ascii="仿宋" w:hAnsi="仿宋" w:eastAsia="仿宋" w:cs="仿宋"/>
          <w:color w:val="auto"/>
          <w:sz w:val="32"/>
        </w:rPr>
        <w:t>%；。</w:t>
      </w:r>
    </w:p>
    <w:p>
      <w:pPr>
        <w:spacing w:line="600" w:lineRule="auto"/>
        <w:ind w:firstLine="640"/>
        <w:rPr>
          <w:rFonts w:ascii="仿宋" w:hAnsi="仿宋" w:eastAsia="仿宋" w:cs="仿宋"/>
          <w:color w:val="auto"/>
          <w:sz w:val="32"/>
        </w:rPr>
      </w:pPr>
      <w:r>
        <w:rPr>
          <w:rFonts w:ascii="仿宋" w:hAnsi="仿宋" w:eastAsia="仿宋" w:cs="仿宋"/>
          <w:color w:val="auto"/>
          <w:sz w:val="32"/>
        </w:rPr>
        <w:t>（图6：一般公共预算财政拨款支出决算结构）（饼状图）</w:t>
      </w:r>
    </w:p>
    <w:p>
      <w:pPr>
        <w:spacing w:line="600" w:lineRule="auto"/>
        <w:ind w:firstLine="640"/>
        <w:rPr>
          <w:rFonts w:ascii="仿宋" w:hAnsi="仿宋" w:eastAsia="仿宋" w:cs="仿宋"/>
          <w:color w:val="auto"/>
          <w:sz w:val="32"/>
        </w:rPr>
      </w:pPr>
      <w:r>
        <w:rPr>
          <w:color w:val="auto"/>
        </w:rPr>
        <w:drawing>
          <wp:inline distT="0" distB="0" distL="0" distR="0">
            <wp:extent cx="2752725" cy="1828800"/>
            <wp:effectExtent l="0" t="0" r="0" b="0"/>
            <wp:docPr id="7"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auto"/>
        <w:ind w:firstLine="643"/>
        <w:rPr>
          <w:rFonts w:ascii="仿宋" w:hAnsi="仿宋" w:eastAsia="仿宋" w:cs="仿宋"/>
          <w:b/>
          <w:color w:val="auto"/>
          <w:sz w:val="32"/>
        </w:rPr>
      </w:pPr>
      <w:r>
        <w:rPr>
          <w:rFonts w:ascii="仿宋" w:hAnsi="仿宋" w:eastAsia="仿宋" w:cs="仿宋"/>
          <w:b/>
          <w:color w:val="auto"/>
          <w:sz w:val="32"/>
        </w:rPr>
        <w:t>（三）一般公共预算财政拨款支出决算具体情况</w:t>
      </w:r>
    </w:p>
    <w:p>
      <w:pPr>
        <w:spacing w:line="600" w:lineRule="auto"/>
        <w:ind w:firstLine="643"/>
        <w:rPr>
          <w:rFonts w:ascii="仿宋" w:hAnsi="仿宋" w:eastAsia="仿宋" w:cs="仿宋"/>
          <w:color w:val="auto"/>
          <w:sz w:val="32"/>
        </w:rPr>
      </w:pPr>
      <w:r>
        <w:rPr>
          <w:rFonts w:ascii="仿宋" w:hAnsi="仿宋" w:eastAsia="仿宋" w:cs="仿宋"/>
          <w:b/>
          <w:color w:val="auto"/>
          <w:sz w:val="32"/>
        </w:rPr>
        <w:t>2018年般公共预算支出决算数为609.6</w:t>
      </w:r>
      <w:r>
        <w:rPr>
          <w:rFonts w:hint="eastAsia" w:ascii="仿宋" w:hAnsi="仿宋" w:eastAsia="仿宋" w:cs="仿宋"/>
          <w:b/>
          <w:color w:val="auto"/>
          <w:sz w:val="32"/>
        </w:rPr>
        <w:t>万元</w:t>
      </w:r>
      <w:r>
        <w:rPr>
          <w:rFonts w:ascii="仿宋" w:hAnsi="仿宋" w:eastAsia="仿宋" w:cs="仿宋"/>
          <w:color w:val="auto"/>
          <w:sz w:val="32"/>
        </w:rPr>
        <w:t>，</w:t>
      </w:r>
      <w:r>
        <w:rPr>
          <w:rFonts w:ascii="仿宋" w:hAnsi="仿宋" w:eastAsia="仿宋" w:cs="仿宋"/>
          <w:b/>
          <w:color w:val="auto"/>
          <w:sz w:val="32"/>
        </w:rPr>
        <w:t>完成预算</w:t>
      </w:r>
      <w:r>
        <w:rPr>
          <w:rFonts w:hint="eastAsia" w:ascii="仿宋" w:hAnsi="仿宋" w:eastAsia="仿宋" w:cs="仿宋"/>
          <w:b/>
          <w:color w:val="auto"/>
          <w:sz w:val="32"/>
        </w:rPr>
        <w:t>97</w:t>
      </w:r>
      <w:r>
        <w:rPr>
          <w:rFonts w:ascii="仿宋" w:hAnsi="仿宋" w:eastAsia="仿宋" w:cs="仿宋"/>
          <w:b/>
          <w:color w:val="auto"/>
          <w:sz w:val="32"/>
        </w:rPr>
        <w:t>%。其中：</w:t>
      </w:r>
    </w:p>
    <w:p>
      <w:pPr>
        <w:pStyle w:val="15"/>
        <w:numPr>
          <w:ilvl w:val="0"/>
          <w:numId w:val="4"/>
        </w:numPr>
        <w:spacing w:line="600" w:lineRule="auto"/>
        <w:ind w:firstLineChars="0"/>
        <w:rPr>
          <w:rFonts w:ascii="仿宋" w:hAnsi="仿宋" w:eastAsia="仿宋" w:cs="仿宋"/>
          <w:b/>
          <w:color w:val="auto"/>
          <w:sz w:val="32"/>
        </w:rPr>
      </w:pPr>
      <w:r>
        <w:rPr>
          <w:rFonts w:ascii="仿宋" w:hAnsi="仿宋" w:eastAsia="仿宋" w:cs="仿宋"/>
          <w:b/>
          <w:color w:val="auto"/>
          <w:sz w:val="32"/>
        </w:rPr>
        <w:t>一般公共服务（类）20102</w:t>
      </w:r>
      <w:r>
        <w:rPr>
          <w:rFonts w:hint="eastAsia" w:ascii="仿宋" w:hAnsi="仿宋" w:eastAsia="仿宋" w:cs="仿宋"/>
          <w:b/>
          <w:color w:val="auto"/>
          <w:sz w:val="32"/>
        </w:rPr>
        <w:t>-政协事务</w:t>
      </w:r>
      <w:r>
        <w:rPr>
          <w:rFonts w:ascii="仿宋" w:hAnsi="仿宋" w:eastAsia="仿宋" w:cs="仿宋"/>
          <w:b/>
          <w:color w:val="auto"/>
          <w:sz w:val="32"/>
        </w:rPr>
        <w:t>（款）</w:t>
      </w:r>
    </w:p>
    <w:p>
      <w:pPr>
        <w:spacing w:line="600" w:lineRule="auto"/>
        <w:ind w:firstLine="643" w:firstLineChars="200"/>
        <w:rPr>
          <w:rFonts w:ascii="仿宋" w:hAnsi="仿宋" w:eastAsia="仿宋" w:cs="仿宋"/>
          <w:color w:val="auto"/>
          <w:sz w:val="32"/>
        </w:rPr>
      </w:pPr>
      <w:r>
        <w:rPr>
          <w:rFonts w:hint="eastAsia" w:ascii="仿宋" w:hAnsi="仿宋" w:eastAsia="仿宋" w:cs="仿宋"/>
          <w:b/>
          <w:color w:val="auto"/>
          <w:sz w:val="32"/>
        </w:rPr>
        <w:t>a.</w:t>
      </w:r>
      <w:r>
        <w:rPr>
          <w:color w:val="auto"/>
        </w:rPr>
        <w:t xml:space="preserve"> </w:t>
      </w:r>
      <w:r>
        <w:rPr>
          <w:rFonts w:ascii="仿宋" w:hAnsi="仿宋" w:eastAsia="仿宋" w:cs="仿宋"/>
          <w:b/>
          <w:color w:val="auto"/>
          <w:sz w:val="32"/>
        </w:rPr>
        <w:t>2010201</w:t>
      </w:r>
      <w:r>
        <w:rPr>
          <w:rFonts w:hint="eastAsia" w:ascii="仿宋" w:hAnsi="仿宋" w:eastAsia="仿宋" w:cs="仿宋"/>
          <w:b/>
          <w:color w:val="auto"/>
          <w:sz w:val="32"/>
        </w:rPr>
        <w:t>-行政运行</w:t>
      </w:r>
      <w:r>
        <w:rPr>
          <w:rFonts w:ascii="仿宋" w:hAnsi="仿宋" w:eastAsia="仿宋" w:cs="仿宋"/>
          <w:b/>
          <w:color w:val="auto"/>
          <w:sz w:val="32"/>
        </w:rPr>
        <w:t>（项）:</w:t>
      </w:r>
      <w:r>
        <w:rPr>
          <w:rFonts w:ascii="仿宋" w:hAnsi="仿宋" w:eastAsia="仿宋" w:cs="仿宋"/>
          <w:color w:val="auto"/>
          <w:sz w:val="32"/>
        </w:rPr>
        <w:t xml:space="preserve"> 支出决算为351.01万元，完成预算</w:t>
      </w:r>
      <w:r>
        <w:rPr>
          <w:rFonts w:hint="eastAsia" w:ascii="仿宋" w:hAnsi="仿宋" w:eastAsia="仿宋" w:cs="仿宋"/>
          <w:color w:val="auto"/>
          <w:sz w:val="32"/>
        </w:rPr>
        <w:t>97</w:t>
      </w:r>
      <w:r>
        <w:rPr>
          <w:rFonts w:ascii="仿宋" w:hAnsi="仿宋" w:eastAsia="仿宋" w:cs="仿宋"/>
          <w:color w:val="auto"/>
          <w:sz w:val="32"/>
        </w:rPr>
        <w:t>%，决算数小于预算数的主要原因是</w:t>
      </w:r>
      <w:r>
        <w:rPr>
          <w:rFonts w:hint="eastAsia" w:ascii="仿宋" w:hAnsi="仿宋" w:eastAsia="仿宋" w:cs="仿宋"/>
          <w:color w:val="auto"/>
          <w:sz w:val="32"/>
        </w:rPr>
        <w:t>部分会议经费未拨付</w:t>
      </w:r>
      <w:r>
        <w:rPr>
          <w:rFonts w:ascii="仿宋" w:hAnsi="仿宋" w:eastAsia="仿宋" w:cs="仿宋"/>
          <w:color w:val="auto"/>
          <w:sz w:val="32"/>
        </w:rPr>
        <w:t>。</w:t>
      </w:r>
    </w:p>
    <w:p>
      <w:pPr>
        <w:spacing w:line="600" w:lineRule="auto"/>
        <w:ind w:firstLine="643" w:firstLineChars="200"/>
        <w:rPr>
          <w:rFonts w:ascii="仿宋" w:hAnsi="仿宋" w:eastAsia="仿宋" w:cs="仿宋"/>
          <w:b/>
          <w:color w:val="auto"/>
          <w:sz w:val="32"/>
        </w:rPr>
      </w:pPr>
      <w:r>
        <w:rPr>
          <w:rFonts w:hint="eastAsia" w:ascii="仿宋" w:hAnsi="仿宋" w:eastAsia="仿宋" w:cs="仿宋"/>
          <w:b/>
          <w:color w:val="auto"/>
          <w:sz w:val="32"/>
        </w:rPr>
        <w:t>b.</w:t>
      </w:r>
      <w:r>
        <w:rPr>
          <w:color w:val="auto"/>
        </w:rPr>
        <w:t xml:space="preserve"> </w:t>
      </w:r>
      <w:r>
        <w:rPr>
          <w:rFonts w:ascii="仿宋" w:hAnsi="仿宋" w:eastAsia="仿宋" w:cs="仿宋"/>
          <w:b/>
          <w:color w:val="auto"/>
          <w:sz w:val="32"/>
        </w:rPr>
        <w:t>2010204</w:t>
      </w:r>
      <w:r>
        <w:rPr>
          <w:rFonts w:hint="eastAsia" w:ascii="仿宋" w:hAnsi="仿宋" w:eastAsia="仿宋" w:cs="仿宋"/>
          <w:b/>
          <w:color w:val="auto"/>
          <w:sz w:val="32"/>
        </w:rPr>
        <w:t>-政协会议</w:t>
      </w:r>
      <w:r>
        <w:rPr>
          <w:rFonts w:ascii="仿宋" w:hAnsi="仿宋" w:eastAsia="仿宋" w:cs="仿宋"/>
          <w:b/>
          <w:color w:val="auto"/>
          <w:sz w:val="32"/>
        </w:rPr>
        <w:t>（项）:</w:t>
      </w:r>
      <w:r>
        <w:rPr>
          <w:rFonts w:ascii="仿宋" w:hAnsi="仿宋" w:eastAsia="仿宋" w:cs="仿宋"/>
          <w:color w:val="auto"/>
          <w:sz w:val="32"/>
        </w:rPr>
        <w:t xml:space="preserve"> 支出决算为33.95万元，完成预算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3" w:firstLineChars="200"/>
        <w:rPr>
          <w:rFonts w:ascii="仿宋" w:hAnsi="仿宋" w:eastAsia="仿宋" w:cs="仿宋"/>
          <w:b/>
          <w:color w:val="auto"/>
          <w:sz w:val="32"/>
        </w:rPr>
      </w:pPr>
      <w:r>
        <w:rPr>
          <w:rFonts w:hint="eastAsia" w:ascii="仿宋" w:hAnsi="仿宋" w:eastAsia="仿宋" w:cs="仿宋"/>
          <w:b/>
          <w:color w:val="auto"/>
          <w:sz w:val="32"/>
        </w:rPr>
        <w:t>c.</w:t>
      </w:r>
      <w:r>
        <w:rPr>
          <w:color w:val="auto"/>
        </w:rPr>
        <w:t xml:space="preserve"> </w:t>
      </w:r>
      <w:r>
        <w:rPr>
          <w:rFonts w:ascii="仿宋" w:hAnsi="仿宋" w:eastAsia="仿宋" w:cs="仿宋"/>
          <w:b/>
          <w:color w:val="auto"/>
          <w:sz w:val="32"/>
        </w:rPr>
        <w:t>2010205</w:t>
      </w:r>
      <w:r>
        <w:rPr>
          <w:rFonts w:hint="eastAsia" w:ascii="仿宋" w:hAnsi="仿宋" w:eastAsia="仿宋" w:cs="仿宋"/>
          <w:b/>
          <w:color w:val="auto"/>
          <w:sz w:val="32"/>
        </w:rPr>
        <w:t>-委员视察</w:t>
      </w:r>
      <w:r>
        <w:rPr>
          <w:rFonts w:ascii="仿宋" w:hAnsi="仿宋" w:eastAsia="仿宋" w:cs="仿宋"/>
          <w:b/>
          <w:color w:val="auto"/>
          <w:sz w:val="32"/>
        </w:rPr>
        <w:t>（项）:</w:t>
      </w:r>
      <w:r>
        <w:rPr>
          <w:rFonts w:ascii="仿宋" w:hAnsi="仿宋" w:eastAsia="仿宋" w:cs="仿宋"/>
          <w:color w:val="auto"/>
          <w:sz w:val="32"/>
        </w:rPr>
        <w:t xml:space="preserve"> 支出决算为18.6万元，完成预算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3" w:firstLineChars="200"/>
        <w:rPr>
          <w:rFonts w:ascii="仿宋" w:hAnsi="仿宋" w:eastAsia="仿宋" w:cs="仿宋"/>
          <w:b/>
          <w:color w:val="auto"/>
          <w:sz w:val="32"/>
        </w:rPr>
      </w:pPr>
      <w:r>
        <w:rPr>
          <w:rFonts w:hint="eastAsia" w:ascii="仿宋" w:hAnsi="仿宋" w:eastAsia="仿宋" w:cs="仿宋"/>
          <w:b/>
          <w:color w:val="auto"/>
          <w:sz w:val="32"/>
        </w:rPr>
        <w:t>d.</w:t>
      </w:r>
      <w:r>
        <w:rPr>
          <w:color w:val="auto"/>
        </w:rPr>
        <w:t xml:space="preserve"> </w:t>
      </w:r>
      <w:r>
        <w:rPr>
          <w:rFonts w:ascii="仿宋" w:hAnsi="仿宋" w:eastAsia="仿宋" w:cs="仿宋"/>
          <w:b/>
          <w:color w:val="auto"/>
          <w:sz w:val="32"/>
        </w:rPr>
        <w:t>2010206</w:t>
      </w:r>
      <w:r>
        <w:rPr>
          <w:rFonts w:hint="eastAsia" w:ascii="仿宋" w:hAnsi="仿宋" w:eastAsia="仿宋" w:cs="仿宋"/>
          <w:b/>
          <w:color w:val="auto"/>
          <w:sz w:val="32"/>
        </w:rPr>
        <w:t>-参政议政</w:t>
      </w:r>
      <w:r>
        <w:rPr>
          <w:rFonts w:ascii="仿宋" w:hAnsi="仿宋" w:eastAsia="仿宋" w:cs="仿宋"/>
          <w:b/>
          <w:color w:val="auto"/>
          <w:sz w:val="32"/>
        </w:rPr>
        <w:t>（项）:</w:t>
      </w:r>
      <w:r>
        <w:rPr>
          <w:rFonts w:ascii="仿宋" w:hAnsi="仿宋" w:eastAsia="仿宋" w:cs="仿宋"/>
          <w:color w:val="auto"/>
          <w:sz w:val="32"/>
        </w:rPr>
        <w:t xml:space="preserve"> 支出决算为50万元，完成预算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3"/>
        <w:rPr>
          <w:rFonts w:ascii="仿宋" w:hAnsi="仿宋" w:eastAsia="仿宋" w:cs="仿宋"/>
          <w:b/>
          <w:color w:val="auto"/>
          <w:sz w:val="32"/>
        </w:rPr>
      </w:pPr>
      <w:r>
        <w:rPr>
          <w:rFonts w:ascii="仿宋" w:hAnsi="仿宋" w:eastAsia="仿宋" w:cs="仿宋"/>
          <w:b/>
          <w:color w:val="auto"/>
          <w:sz w:val="32"/>
        </w:rPr>
        <w:t>2.</w:t>
      </w:r>
      <w:r>
        <w:rPr>
          <w:rFonts w:hint="eastAsia"/>
          <w:color w:val="auto"/>
        </w:rPr>
        <w:t xml:space="preserve"> </w:t>
      </w:r>
      <w:r>
        <w:rPr>
          <w:rFonts w:hint="eastAsia" w:ascii="仿宋" w:hAnsi="仿宋" w:eastAsia="仿宋" w:cs="仿宋"/>
          <w:b/>
          <w:color w:val="auto"/>
          <w:sz w:val="32"/>
        </w:rPr>
        <w:t>住房保障</w:t>
      </w:r>
      <w:r>
        <w:rPr>
          <w:rFonts w:ascii="仿宋" w:hAnsi="仿宋" w:eastAsia="仿宋" w:cs="仿宋"/>
          <w:b/>
          <w:color w:val="auto"/>
          <w:sz w:val="32"/>
        </w:rPr>
        <w:t>（类）22102</w:t>
      </w:r>
      <w:r>
        <w:rPr>
          <w:rFonts w:hint="eastAsia" w:ascii="仿宋" w:hAnsi="仿宋" w:eastAsia="仿宋" w:cs="仿宋"/>
          <w:b/>
          <w:color w:val="auto"/>
          <w:sz w:val="32"/>
        </w:rPr>
        <w:t>-住房改革支出</w:t>
      </w:r>
      <w:r>
        <w:rPr>
          <w:rFonts w:ascii="仿宋" w:hAnsi="仿宋" w:eastAsia="仿宋" w:cs="仿宋"/>
          <w:b/>
          <w:color w:val="auto"/>
          <w:sz w:val="32"/>
        </w:rPr>
        <w:t>（款）2210201</w:t>
      </w:r>
      <w:r>
        <w:rPr>
          <w:rFonts w:hint="eastAsia" w:ascii="仿宋" w:hAnsi="仿宋" w:eastAsia="仿宋" w:cs="仿宋"/>
          <w:b/>
          <w:color w:val="auto"/>
          <w:sz w:val="32"/>
        </w:rPr>
        <w:t>-住房公积金</w:t>
      </w:r>
      <w:r>
        <w:rPr>
          <w:rFonts w:ascii="仿宋" w:hAnsi="仿宋" w:eastAsia="仿宋" w:cs="仿宋"/>
          <w:b/>
          <w:color w:val="auto"/>
          <w:sz w:val="32"/>
        </w:rPr>
        <w:t>（项）:</w:t>
      </w:r>
      <w:r>
        <w:rPr>
          <w:rFonts w:ascii="仿宋" w:hAnsi="仿宋" w:eastAsia="仿宋" w:cs="仿宋"/>
          <w:color w:val="auto"/>
          <w:sz w:val="32"/>
        </w:rPr>
        <w:t xml:space="preserve"> 支出决算为30.76万元，完成预算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3"/>
        <w:rPr>
          <w:rFonts w:ascii="仿宋" w:hAnsi="仿宋" w:eastAsia="仿宋" w:cs="仿宋"/>
          <w:b/>
          <w:color w:val="auto"/>
          <w:sz w:val="32"/>
        </w:rPr>
      </w:pPr>
      <w:r>
        <w:rPr>
          <w:rFonts w:hint="eastAsia" w:ascii="仿宋" w:hAnsi="仿宋" w:eastAsia="仿宋" w:cs="仿宋"/>
          <w:b/>
          <w:color w:val="auto"/>
          <w:sz w:val="32"/>
        </w:rPr>
        <w:t>3</w:t>
      </w:r>
      <w:r>
        <w:rPr>
          <w:rFonts w:ascii="仿宋" w:hAnsi="仿宋" w:eastAsia="仿宋" w:cs="仿宋"/>
          <w:b/>
          <w:color w:val="auto"/>
          <w:sz w:val="32"/>
        </w:rPr>
        <w:t>.社会保障和就业（类）</w:t>
      </w:r>
    </w:p>
    <w:p>
      <w:pPr>
        <w:spacing w:line="600" w:lineRule="auto"/>
        <w:ind w:firstLine="643"/>
        <w:rPr>
          <w:rFonts w:ascii="仿宋" w:hAnsi="仿宋" w:eastAsia="仿宋" w:cs="仿宋"/>
          <w:b/>
          <w:color w:val="auto"/>
          <w:sz w:val="32"/>
        </w:rPr>
      </w:pPr>
      <w:r>
        <w:rPr>
          <w:rFonts w:hint="eastAsia" w:ascii="仿宋" w:hAnsi="仿宋" w:eastAsia="仿宋" w:cs="仿宋"/>
          <w:b/>
          <w:color w:val="auto"/>
          <w:sz w:val="32"/>
        </w:rPr>
        <w:t>①</w:t>
      </w:r>
      <w:r>
        <w:rPr>
          <w:rFonts w:ascii="仿宋" w:hAnsi="仿宋" w:eastAsia="仿宋" w:cs="仿宋"/>
          <w:b/>
          <w:color w:val="auto"/>
          <w:sz w:val="32"/>
        </w:rPr>
        <w:t>20805</w:t>
      </w:r>
      <w:r>
        <w:rPr>
          <w:rFonts w:hint="eastAsia" w:ascii="仿宋" w:hAnsi="仿宋" w:eastAsia="仿宋" w:cs="仿宋"/>
          <w:b/>
          <w:color w:val="auto"/>
          <w:sz w:val="32"/>
        </w:rPr>
        <w:t>-行政事业单位离退休</w:t>
      </w:r>
      <w:r>
        <w:rPr>
          <w:rFonts w:ascii="仿宋" w:hAnsi="仿宋" w:eastAsia="仿宋" w:cs="仿宋"/>
          <w:b/>
          <w:color w:val="auto"/>
          <w:sz w:val="32"/>
        </w:rPr>
        <w:t>（款）</w:t>
      </w:r>
    </w:p>
    <w:p>
      <w:pPr>
        <w:spacing w:line="600" w:lineRule="auto"/>
        <w:ind w:firstLine="643"/>
        <w:rPr>
          <w:rFonts w:ascii="仿宋" w:hAnsi="仿宋" w:eastAsia="仿宋" w:cs="仿宋"/>
          <w:color w:val="auto"/>
          <w:sz w:val="32"/>
        </w:rPr>
      </w:pPr>
      <w:r>
        <w:rPr>
          <w:rFonts w:hint="eastAsia" w:ascii="仿宋" w:hAnsi="仿宋" w:eastAsia="仿宋" w:cs="仿宋"/>
          <w:b/>
          <w:color w:val="auto"/>
          <w:sz w:val="32"/>
        </w:rPr>
        <w:t>a.</w:t>
      </w:r>
      <w:r>
        <w:rPr>
          <w:rFonts w:ascii="仿宋" w:hAnsi="仿宋" w:eastAsia="仿宋" w:cs="仿宋"/>
          <w:b/>
          <w:color w:val="auto"/>
          <w:sz w:val="32"/>
        </w:rPr>
        <w:t>2080505</w:t>
      </w:r>
      <w:r>
        <w:rPr>
          <w:rFonts w:hint="eastAsia" w:ascii="仿宋" w:hAnsi="仿宋" w:eastAsia="仿宋" w:cs="仿宋"/>
          <w:b/>
          <w:color w:val="auto"/>
          <w:sz w:val="32"/>
        </w:rPr>
        <w:t>-机关事业单位基本养老保险缴费支出★</w:t>
      </w:r>
      <w:r>
        <w:rPr>
          <w:rFonts w:ascii="仿宋" w:hAnsi="仿宋" w:eastAsia="仿宋" w:cs="仿宋"/>
          <w:b/>
          <w:color w:val="auto"/>
          <w:sz w:val="32"/>
        </w:rPr>
        <w:t>（项）:</w:t>
      </w:r>
      <w:r>
        <w:rPr>
          <w:rFonts w:ascii="仿宋" w:hAnsi="仿宋" w:eastAsia="仿宋" w:cs="仿宋"/>
          <w:color w:val="auto"/>
          <w:sz w:val="32"/>
        </w:rPr>
        <w:t xml:space="preserve"> 支出决算为46.91万元，完成预算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3"/>
        <w:rPr>
          <w:rFonts w:ascii="仿宋" w:hAnsi="仿宋" w:eastAsia="仿宋" w:cs="仿宋"/>
          <w:color w:val="auto"/>
          <w:sz w:val="32"/>
        </w:rPr>
      </w:pPr>
      <w:r>
        <w:rPr>
          <w:rFonts w:hint="eastAsia" w:ascii="仿宋" w:hAnsi="仿宋" w:eastAsia="仿宋" w:cs="仿宋"/>
          <w:b/>
          <w:color w:val="auto"/>
          <w:sz w:val="32"/>
        </w:rPr>
        <w:t>b.</w:t>
      </w:r>
      <w:r>
        <w:rPr>
          <w:rFonts w:ascii="仿宋" w:hAnsi="仿宋" w:eastAsia="仿宋" w:cs="仿宋"/>
          <w:b/>
          <w:color w:val="auto"/>
          <w:sz w:val="32"/>
        </w:rPr>
        <w:t>208050</w:t>
      </w:r>
      <w:r>
        <w:rPr>
          <w:rFonts w:hint="eastAsia" w:ascii="仿宋" w:hAnsi="仿宋" w:eastAsia="仿宋" w:cs="仿宋"/>
          <w:b/>
          <w:color w:val="auto"/>
          <w:sz w:val="32"/>
        </w:rPr>
        <w:t>6-机关事业单位职业年金缴费支出★</w:t>
      </w:r>
      <w:r>
        <w:rPr>
          <w:rFonts w:ascii="仿宋" w:hAnsi="仿宋" w:eastAsia="仿宋" w:cs="仿宋"/>
          <w:b/>
          <w:color w:val="auto"/>
          <w:sz w:val="32"/>
        </w:rPr>
        <w:t>（项）:</w:t>
      </w:r>
      <w:r>
        <w:rPr>
          <w:rFonts w:ascii="仿宋" w:hAnsi="仿宋" w:eastAsia="仿宋" w:cs="仿宋"/>
          <w:color w:val="auto"/>
          <w:sz w:val="32"/>
        </w:rPr>
        <w:t xml:space="preserve"> 支出决算为18.76万元，完成预算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3"/>
        <w:rPr>
          <w:rFonts w:ascii="仿宋" w:hAnsi="仿宋" w:eastAsia="仿宋" w:cs="仿宋"/>
          <w:b/>
          <w:color w:val="auto"/>
          <w:sz w:val="32"/>
        </w:rPr>
      </w:pPr>
      <w:r>
        <w:rPr>
          <w:rFonts w:hint="eastAsia" w:ascii="仿宋" w:hAnsi="仿宋" w:eastAsia="仿宋" w:cs="仿宋"/>
          <w:b/>
          <w:color w:val="auto"/>
          <w:sz w:val="32"/>
        </w:rPr>
        <w:t>②</w:t>
      </w:r>
      <w:r>
        <w:rPr>
          <w:rFonts w:ascii="仿宋" w:hAnsi="仿宋" w:eastAsia="仿宋" w:cs="仿宋"/>
          <w:b/>
          <w:color w:val="auto"/>
          <w:sz w:val="32"/>
        </w:rPr>
        <w:t>20808</w:t>
      </w:r>
      <w:r>
        <w:rPr>
          <w:rFonts w:hint="eastAsia" w:ascii="仿宋" w:hAnsi="仿宋" w:eastAsia="仿宋" w:cs="仿宋"/>
          <w:b/>
          <w:color w:val="auto"/>
          <w:sz w:val="32"/>
        </w:rPr>
        <w:t>-抚恤</w:t>
      </w:r>
      <w:r>
        <w:rPr>
          <w:rFonts w:ascii="仿宋" w:hAnsi="仿宋" w:eastAsia="仿宋" w:cs="仿宋"/>
          <w:b/>
          <w:color w:val="auto"/>
          <w:sz w:val="32"/>
        </w:rPr>
        <w:t>（款）2080801</w:t>
      </w:r>
      <w:r>
        <w:rPr>
          <w:rFonts w:hint="eastAsia" w:ascii="仿宋" w:hAnsi="仿宋" w:eastAsia="仿宋" w:cs="仿宋"/>
          <w:b/>
          <w:color w:val="auto"/>
          <w:sz w:val="32"/>
        </w:rPr>
        <w:t>-死亡抚恤</w:t>
      </w:r>
      <w:r>
        <w:rPr>
          <w:rFonts w:ascii="仿宋" w:hAnsi="仿宋" w:eastAsia="仿宋" w:cs="仿宋"/>
          <w:b/>
          <w:color w:val="auto"/>
          <w:sz w:val="32"/>
        </w:rPr>
        <w:t>（项）:</w:t>
      </w:r>
      <w:r>
        <w:rPr>
          <w:rFonts w:ascii="仿宋" w:hAnsi="仿宋" w:eastAsia="仿宋" w:cs="仿宋"/>
          <w:color w:val="auto"/>
          <w:sz w:val="32"/>
        </w:rPr>
        <w:t xml:space="preserve"> 支出决算为38.62万元，完成预算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3"/>
        <w:rPr>
          <w:rFonts w:ascii="仿宋" w:hAnsi="仿宋" w:eastAsia="仿宋" w:cs="仿宋"/>
          <w:b/>
          <w:color w:val="auto"/>
          <w:sz w:val="32"/>
        </w:rPr>
      </w:pPr>
      <w:r>
        <w:rPr>
          <w:rFonts w:hint="eastAsia" w:ascii="仿宋" w:hAnsi="仿宋" w:eastAsia="仿宋" w:cs="仿宋"/>
          <w:b/>
          <w:color w:val="auto"/>
          <w:sz w:val="32"/>
        </w:rPr>
        <w:t>4</w:t>
      </w:r>
      <w:r>
        <w:rPr>
          <w:rFonts w:ascii="仿宋" w:hAnsi="仿宋" w:eastAsia="仿宋" w:cs="仿宋"/>
          <w:b/>
          <w:color w:val="auto"/>
          <w:sz w:val="32"/>
        </w:rPr>
        <w:t>.医疗卫生与计划生育（类）21011</w:t>
      </w:r>
      <w:r>
        <w:rPr>
          <w:rFonts w:hint="eastAsia" w:ascii="仿宋" w:hAnsi="仿宋" w:eastAsia="仿宋" w:cs="仿宋"/>
          <w:b/>
          <w:color w:val="auto"/>
          <w:sz w:val="32"/>
        </w:rPr>
        <w:t>-行政事业单位医疗★</w:t>
      </w:r>
      <w:r>
        <w:rPr>
          <w:rFonts w:ascii="仿宋" w:hAnsi="仿宋" w:eastAsia="仿宋" w:cs="仿宋"/>
          <w:b/>
          <w:color w:val="auto"/>
          <w:sz w:val="32"/>
        </w:rPr>
        <w:t>（款）</w:t>
      </w:r>
    </w:p>
    <w:p>
      <w:pPr>
        <w:spacing w:line="600" w:lineRule="auto"/>
        <w:ind w:firstLine="643"/>
        <w:rPr>
          <w:rFonts w:ascii="仿宋" w:hAnsi="仿宋" w:eastAsia="仿宋" w:cs="仿宋"/>
          <w:color w:val="auto"/>
          <w:sz w:val="32"/>
        </w:rPr>
      </w:pPr>
      <w:r>
        <w:rPr>
          <w:rFonts w:hint="eastAsia" w:ascii="仿宋" w:hAnsi="仿宋" w:eastAsia="仿宋" w:cs="仿宋"/>
          <w:b/>
          <w:color w:val="auto"/>
          <w:sz w:val="32"/>
        </w:rPr>
        <w:t>a.</w:t>
      </w:r>
      <w:r>
        <w:rPr>
          <w:color w:val="auto"/>
        </w:rPr>
        <w:t xml:space="preserve"> </w:t>
      </w:r>
      <w:r>
        <w:rPr>
          <w:rFonts w:ascii="仿宋" w:hAnsi="仿宋" w:eastAsia="仿宋" w:cs="仿宋"/>
          <w:b/>
          <w:color w:val="auto"/>
          <w:sz w:val="32"/>
        </w:rPr>
        <w:t>2101101</w:t>
      </w:r>
      <w:r>
        <w:rPr>
          <w:rFonts w:hint="eastAsia" w:ascii="仿宋" w:hAnsi="仿宋" w:eastAsia="仿宋" w:cs="仿宋"/>
          <w:b/>
          <w:color w:val="auto"/>
          <w:sz w:val="32"/>
        </w:rPr>
        <w:t>-行政单位医疗★</w:t>
      </w:r>
      <w:r>
        <w:rPr>
          <w:rFonts w:ascii="仿宋" w:hAnsi="仿宋" w:eastAsia="仿宋" w:cs="仿宋"/>
          <w:b/>
          <w:color w:val="auto"/>
          <w:sz w:val="32"/>
        </w:rPr>
        <w:t>（项）:</w:t>
      </w:r>
      <w:r>
        <w:rPr>
          <w:rFonts w:ascii="仿宋" w:hAnsi="仿宋" w:eastAsia="仿宋" w:cs="仿宋"/>
          <w:color w:val="auto"/>
          <w:sz w:val="32"/>
        </w:rPr>
        <w:t>支出决算为15.52万元，完成预算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3"/>
        <w:rPr>
          <w:rFonts w:ascii="仿宋" w:hAnsi="仿宋" w:eastAsia="仿宋" w:cs="仿宋"/>
          <w:b/>
          <w:color w:val="auto"/>
          <w:sz w:val="32"/>
        </w:rPr>
      </w:pPr>
      <w:r>
        <w:rPr>
          <w:rFonts w:ascii="仿宋" w:hAnsi="仿宋" w:eastAsia="仿宋" w:cs="仿宋"/>
          <w:b/>
          <w:color w:val="auto"/>
          <w:sz w:val="32"/>
        </w:rPr>
        <w:t>2101103</w:t>
      </w:r>
      <w:r>
        <w:rPr>
          <w:rFonts w:hint="eastAsia" w:ascii="仿宋" w:hAnsi="仿宋" w:eastAsia="仿宋" w:cs="仿宋"/>
          <w:b/>
          <w:color w:val="auto"/>
          <w:sz w:val="32"/>
        </w:rPr>
        <w:t>-公务员医疗补助★</w:t>
      </w:r>
      <w:r>
        <w:rPr>
          <w:rFonts w:ascii="仿宋" w:hAnsi="仿宋" w:eastAsia="仿宋" w:cs="仿宋"/>
          <w:b/>
          <w:color w:val="auto"/>
          <w:sz w:val="32"/>
        </w:rPr>
        <w:t>（项）:</w:t>
      </w:r>
      <w:r>
        <w:rPr>
          <w:rFonts w:ascii="仿宋" w:hAnsi="仿宋" w:eastAsia="仿宋" w:cs="仿宋"/>
          <w:color w:val="auto"/>
          <w:sz w:val="32"/>
        </w:rPr>
        <w:t>支出决算为5.47万元，完成预算</w:t>
      </w:r>
      <w:r>
        <w:rPr>
          <w:rFonts w:hint="eastAsia" w:ascii="仿宋" w:hAnsi="仿宋" w:eastAsia="仿宋" w:cs="仿宋"/>
          <w:color w:val="auto"/>
          <w:sz w:val="32"/>
        </w:rPr>
        <w:t>100</w:t>
      </w:r>
      <w:r>
        <w:rPr>
          <w:rFonts w:ascii="仿宋" w:hAnsi="仿宋" w:eastAsia="仿宋" w:cs="仿宋"/>
          <w:color w:val="auto"/>
          <w:sz w:val="32"/>
        </w:rPr>
        <w:t>%。</w:t>
      </w:r>
    </w:p>
    <w:p>
      <w:pPr>
        <w:tabs>
          <w:tab w:val="right" w:pos="8306"/>
        </w:tabs>
        <w:spacing w:line="600" w:lineRule="auto"/>
        <w:ind w:firstLine="640"/>
        <w:rPr>
          <w:rFonts w:ascii="Cambria" w:hAnsi="Cambria" w:eastAsia="Cambria" w:cs="Cambria"/>
          <w:b/>
          <w:color w:val="auto"/>
          <w:sz w:val="32"/>
        </w:rPr>
      </w:pPr>
      <w:r>
        <w:rPr>
          <w:rFonts w:ascii="黑体" w:hAnsi="黑体" w:eastAsia="黑体" w:cs="黑体"/>
          <w:color w:val="auto"/>
          <w:sz w:val="32"/>
        </w:rPr>
        <w:t>六</w:t>
      </w:r>
      <w:r>
        <w:rPr>
          <w:rFonts w:ascii="黑体" w:hAnsi="黑体" w:eastAsia="黑体" w:cs="黑体"/>
          <w:b/>
          <w:color w:val="auto"/>
          <w:sz w:val="32"/>
        </w:rPr>
        <w:t>、一</w:t>
      </w:r>
      <w:r>
        <w:rPr>
          <w:rFonts w:ascii="黑体" w:hAnsi="黑体" w:eastAsia="黑体" w:cs="黑体"/>
          <w:color w:val="auto"/>
          <w:sz w:val="32"/>
        </w:rPr>
        <w:t>般公共预算财政拨款基本支出决算情况说明</w:t>
      </w:r>
      <w:r>
        <w:rPr>
          <w:rFonts w:ascii="黑体" w:hAnsi="黑体" w:eastAsia="黑体" w:cs="黑体"/>
          <w:color w:val="auto"/>
          <w:sz w:val="32"/>
        </w:rPr>
        <w:tab/>
      </w:r>
    </w:p>
    <w:p>
      <w:pPr>
        <w:widowControl/>
        <w:spacing w:line="560" w:lineRule="exact"/>
        <w:ind w:firstLine="640" w:firstLineChars="200"/>
        <w:contextualSpacing/>
        <w:rPr>
          <w:rFonts w:ascii="仿宋" w:hAnsi="仿宋" w:eastAsia="仿宋" w:cs="仿宋"/>
          <w:color w:val="auto"/>
          <w:sz w:val="32"/>
        </w:rPr>
      </w:pPr>
      <w:r>
        <w:rPr>
          <w:rFonts w:ascii="仿宋" w:hAnsi="仿宋" w:eastAsia="仿宋" w:cs="仿宋"/>
          <w:color w:val="auto"/>
          <w:sz w:val="32"/>
        </w:rPr>
        <w:t>2018年一般公共预算财政拨款基本支出468.43万元，其中：人员经费452.77万元，主要包括：基本工资94.18</w:t>
      </w:r>
      <w:r>
        <w:rPr>
          <w:rFonts w:hint="eastAsia" w:ascii="仿宋" w:hAnsi="仿宋" w:eastAsia="仿宋" w:cs="仿宋"/>
          <w:color w:val="auto"/>
          <w:sz w:val="32"/>
        </w:rPr>
        <w:t>万元</w:t>
      </w:r>
      <w:r>
        <w:rPr>
          <w:rFonts w:ascii="仿宋" w:hAnsi="仿宋" w:eastAsia="仿宋" w:cs="仿宋"/>
          <w:color w:val="auto"/>
          <w:sz w:val="32"/>
        </w:rPr>
        <w:t>、津贴补贴157.84</w:t>
      </w:r>
      <w:r>
        <w:rPr>
          <w:rFonts w:hint="eastAsia" w:ascii="仿宋" w:hAnsi="仿宋" w:eastAsia="仿宋" w:cs="仿宋"/>
          <w:color w:val="auto"/>
          <w:sz w:val="32"/>
        </w:rPr>
        <w:t>万元</w:t>
      </w:r>
      <w:r>
        <w:rPr>
          <w:rFonts w:ascii="仿宋" w:hAnsi="仿宋" w:eastAsia="仿宋" w:cs="仿宋"/>
          <w:color w:val="auto"/>
          <w:sz w:val="32"/>
        </w:rPr>
        <w:t>、奖金72.94</w:t>
      </w:r>
      <w:r>
        <w:rPr>
          <w:rFonts w:hint="eastAsia" w:ascii="仿宋" w:hAnsi="仿宋" w:eastAsia="仿宋" w:cs="仿宋"/>
          <w:color w:val="auto"/>
          <w:sz w:val="32"/>
        </w:rPr>
        <w:t>万元</w:t>
      </w:r>
      <w:r>
        <w:rPr>
          <w:rFonts w:ascii="仿宋" w:hAnsi="仿宋" w:eastAsia="仿宋" w:cs="仿宋"/>
          <w:color w:val="auto"/>
          <w:sz w:val="32"/>
        </w:rPr>
        <w:t>、机关事业单位基本养老保险缴费46.91</w:t>
      </w:r>
      <w:r>
        <w:rPr>
          <w:rFonts w:hint="eastAsia" w:ascii="仿宋" w:hAnsi="仿宋" w:eastAsia="仿宋" w:cs="仿宋"/>
          <w:color w:val="auto"/>
          <w:sz w:val="32"/>
        </w:rPr>
        <w:t>万元</w:t>
      </w:r>
      <w:r>
        <w:rPr>
          <w:rFonts w:ascii="仿宋" w:hAnsi="仿宋" w:eastAsia="仿宋" w:cs="仿宋"/>
          <w:color w:val="auto"/>
          <w:sz w:val="32"/>
        </w:rPr>
        <w:t>、职业年金缴费18.76</w:t>
      </w:r>
      <w:r>
        <w:rPr>
          <w:rFonts w:hint="eastAsia" w:ascii="仿宋" w:hAnsi="仿宋" w:eastAsia="仿宋" w:cs="仿宋"/>
          <w:color w:val="auto"/>
          <w:sz w:val="32"/>
        </w:rPr>
        <w:t>万元</w:t>
      </w:r>
      <w:r>
        <w:rPr>
          <w:rFonts w:ascii="仿宋" w:hAnsi="仿宋" w:eastAsia="仿宋" w:cs="仿宋"/>
          <w:color w:val="auto"/>
          <w:sz w:val="32"/>
        </w:rPr>
        <w:t>、</w:t>
      </w:r>
      <w:r>
        <w:rPr>
          <w:rFonts w:hint="eastAsia" w:ascii="仿宋" w:hAnsi="仿宋" w:eastAsia="仿宋" w:cs="仿宋"/>
          <w:color w:val="auto"/>
          <w:sz w:val="32"/>
        </w:rPr>
        <w:t>职工基本医疗保险</w:t>
      </w:r>
      <w:r>
        <w:rPr>
          <w:rFonts w:ascii="仿宋" w:hAnsi="仿宋" w:eastAsia="仿宋" w:cs="仿宋"/>
          <w:color w:val="auto"/>
          <w:sz w:val="32"/>
        </w:rPr>
        <w:t>15.52</w:t>
      </w:r>
      <w:r>
        <w:rPr>
          <w:rFonts w:hint="eastAsia" w:ascii="仿宋" w:hAnsi="仿宋" w:eastAsia="仿宋" w:cs="仿宋"/>
          <w:color w:val="auto"/>
          <w:sz w:val="32"/>
        </w:rPr>
        <w:t>万元、公务员医疗补助缴费</w:t>
      </w:r>
      <w:r>
        <w:rPr>
          <w:rFonts w:ascii="仿宋" w:hAnsi="仿宋" w:eastAsia="仿宋" w:cs="仿宋"/>
          <w:color w:val="auto"/>
          <w:sz w:val="32"/>
        </w:rPr>
        <w:t>5.47</w:t>
      </w:r>
      <w:r>
        <w:rPr>
          <w:rFonts w:hint="eastAsia" w:ascii="仿宋" w:hAnsi="仿宋" w:eastAsia="仿宋" w:cs="仿宋"/>
          <w:color w:val="auto"/>
          <w:sz w:val="32"/>
        </w:rPr>
        <w:t>万元、</w:t>
      </w:r>
      <w:r>
        <w:rPr>
          <w:rFonts w:ascii="仿宋" w:hAnsi="仿宋" w:eastAsia="仿宋" w:cs="仿宋"/>
          <w:color w:val="auto"/>
          <w:sz w:val="32"/>
        </w:rPr>
        <w:t>其他社会保障缴费4.91</w:t>
      </w:r>
      <w:r>
        <w:rPr>
          <w:rFonts w:hint="eastAsia" w:ascii="仿宋" w:hAnsi="仿宋" w:eastAsia="仿宋" w:cs="仿宋"/>
          <w:color w:val="auto"/>
          <w:sz w:val="32"/>
        </w:rPr>
        <w:t>万元</w:t>
      </w:r>
      <w:r>
        <w:rPr>
          <w:rFonts w:ascii="仿宋" w:hAnsi="仿宋" w:eastAsia="仿宋" w:cs="仿宋"/>
          <w:color w:val="auto"/>
          <w:sz w:val="32"/>
        </w:rPr>
        <w:t>、生活补助3.56</w:t>
      </w:r>
      <w:r>
        <w:rPr>
          <w:rFonts w:hint="eastAsia" w:ascii="仿宋" w:hAnsi="仿宋" w:eastAsia="仿宋" w:cs="仿宋"/>
          <w:color w:val="auto"/>
          <w:sz w:val="32"/>
        </w:rPr>
        <w:t>万元</w:t>
      </w:r>
      <w:r>
        <w:rPr>
          <w:rFonts w:ascii="仿宋" w:hAnsi="仿宋" w:eastAsia="仿宋" w:cs="仿宋"/>
          <w:color w:val="auto"/>
          <w:sz w:val="32"/>
        </w:rPr>
        <w:t>、医疗费1.9</w:t>
      </w:r>
      <w:r>
        <w:rPr>
          <w:rFonts w:hint="eastAsia" w:ascii="仿宋" w:hAnsi="仿宋" w:eastAsia="仿宋" w:cs="仿宋"/>
          <w:color w:val="auto"/>
          <w:sz w:val="32"/>
        </w:rPr>
        <w:t>万元</w:t>
      </w:r>
      <w:r>
        <w:rPr>
          <w:rFonts w:ascii="仿宋" w:hAnsi="仿宋" w:eastAsia="仿宋" w:cs="仿宋"/>
          <w:color w:val="auto"/>
          <w:sz w:val="32"/>
        </w:rPr>
        <w:t>、</w:t>
      </w:r>
      <w:r>
        <w:rPr>
          <w:rFonts w:hint="eastAsia" w:ascii="仿宋" w:hAnsi="仿宋" w:eastAsia="仿宋" w:cs="仿宋"/>
          <w:color w:val="auto"/>
          <w:sz w:val="32"/>
        </w:rPr>
        <w:t>奖励金</w:t>
      </w:r>
      <w:r>
        <w:rPr>
          <w:rFonts w:ascii="仿宋" w:hAnsi="仿宋" w:eastAsia="仿宋" w:cs="仿宋"/>
          <w:color w:val="auto"/>
          <w:sz w:val="32"/>
        </w:rPr>
        <w:t>0.02</w:t>
      </w:r>
      <w:r>
        <w:rPr>
          <w:rFonts w:hint="eastAsia" w:ascii="仿宋" w:hAnsi="仿宋" w:eastAsia="仿宋" w:cs="仿宋"/>
          <w:color w:val="auto"/>
          <w:sz w:val="32"/>
        </w:rPr>
        <w:t>万元、</w:t>
      </w:r>
      <w:r>
        <w:rPr>
          <w:rFonts w:ascii="仿宋" w:hAnsi="仿宋" w:eastAsia="仿宋" w:cs="仿宋"/>
          <w:color w:val="auto"/>
          <w:sz w:val="32"/>
        </w:rPr>
        <w:t>住房公积金30.76</w:t>
      </w:r>
      <w:r>
        <w:rPr>
          <w:rFonts w:hint="eastAsia" w:ascii="仿宋" w:hAnsi="仿宋" w:eastAsia="仿宋" w:cs="仿宋"/>
          <w:color w:val="auto"/>
          <w:sz w:val="32"/>
        </w:rPr>
        <w:t>万元</w:t>
      </w:r>
      <w:r>
        <w:rPr>
          <w:rFonts w:ascii="仿宋" w:hAnsi="仿宋" w:eastAsia="仿宋" w:cs="仿宋"/>
          <w:color w:val="auto"/>
          <w:sz w:val="32"/>
        </w:rPr>
        <w:t>。</w:t>
      </w:r>
    </w:p>
    <w:p>
      <w:pPr>
        <w:widowControl/>
        <w:spacing w:line="560" w:lineRule="exact"/>
        <w:ind w:firstLine="640" w:firstLineChars="200"/>
        <w:contextualSpacing/>
        <w:rPr>
          <w:rFonts w:ascii="仿宋" w:hAnsi="仿宋" w:eastAsia="仿宋" w:cs="仿宋"/>
          <w:color w:val="auto"/>
          <w:sz w:val="32"/>
        </w:rPr>
      </w:pPr>
      <w:r>
        <w:rPr>
          <w:rFonts w:ascii="仿宋" w:hAnsi="仿宋" w:eastAsia="仿宋" w:cs="仿宋"/>
          <w:color w:val="auto"/>
          <w:sz w:val="32"/>
        </w:rPr>
        <w:t>公用经费15.68万元，主要包括：办公费6.94</w:t>
      </w:r>
      <w:r>
        <w:rPr>
          <w:rFonts w:hint="eastAsia" w:ascii="仿宋" w:hAnsi="仿宋" w:eastAsia="仿宋" w:cs="仿宋"/>
          <w:color w:val="auto"/>
          <w:sz w:val="32"/>
        </w:rPr>
        <w:t>万元</w:t>
      </w:r>
      <w:r>
        <w:rPr>
          <w:rFonts w:ascii="仿宋" w:hAnsi="仿宋" w:eastAsia="仿宋" w:cs="仿宋"/>
          <w:color w:val="auto"/>
          <w:sz w:val="32"/>
        </w:rPr>
        <w:t>、手续费0.07</w:t>
      </w:r>
      <w:r>
        <w:rPr>
          <w:rFonts w:hint="eastAsia" w:ascii="仿宋" w:hAnsi="仿宋" w:eastAsia="仿宋" w:cs="仿宋"/>
          <w:color w:val="auto"/>
          <w:sz w:val="32"/>
        </w:rPr>
        <w:t>万元</w:t>
      </w:r>
      <w:r>
        <w:rPr>
          <w:rFonts w:ascii="仿宋" w:hAnsi="仿宋" w:eastAsia="仿宋" w:cs="仿宋"/>
          <w:color w:val="auto"/>
          <w:sz w:val="32"/>
        </w:rPr>
        <w:t>、邮电费6.24</w:t>
      </w:r>
      <w:r>
        <w:rPr>
          <w:rFonts w:hint="eastAsia" w:ascii="仿宋" w:hAnsi="仿宋" w:eastAsia="仿宋" w:cs="仿宋"/>
          <w:color w:val="auto"/>
          <w:sz w:val="32"/>
        </w:rPr>
        <w:t>万元</w:t>
      </w:r>
      <w:r>
        <w:rPr>
          <w:rFonts w:ascii="仿宋" w:hAnsi="仿宋" w:eastAsia="仿宋" w:cs="仿宋"/>
          <w:color w:val="auto"/>
          <w:sz w:val="32"/>
        </w:rPr>
        <w:t>、取暖费1.9</w:t>
      </w:r>
      <w:r>
        <w:rPr>
          <w:rFonts w:hint="eastAsia" w:ascii="仿宋" w:hAnsi="仿宋" w:eastAsia="仿宋" w:cs="仿宋"/>
          <w:color w:val="auto"/>
          <w:sz w:val="32"/>
        </w:rPr>
        <w:t>万元</w:t>
      </w:r>
      <w:r>
        <w:rPr>
          <w:rFonts w:ascii="仿宋" w:hAnsi="仿宋" w:eastAsia="仿宋" w:cs="仿宋"/>
          <w:color w:val="auto"/>
          <w:sz w:val="32"/>
        </w:rPr>
        <w:t>、公务接待费0.53</w:t>
      </w:r>
      <w:r>
        <w:rPr>
          <w:rFonts w:hint="eastAsia" w:ascii="仿宋" w:hAnsi="仿宋" w:eastAsia="仿宋" w:cs="仿宋"/>
          <w:color w:val="auto"/>
          <w:sz w:val="32"/>
        </w:rPr>
        <w:t>万元</w:t>
      </w:r>
      <w:r>
        <w:rPr>
          <w:rFonts w:ascii="仿宋" w:hAnsi="仿宋" w:eastAsia="仿宋" w:cs="仿宋"/>
          <w:color w:val="auto"/>
          <w:sz w:val="32"/>
        </w:rPr>
        <w:t>。</w:t>
      </w:r>
    </w:p>
    <w:p>
      <w:pPr>
        <w:spacing w:line="600" w:lineRule="auto"/>
        <w:ind w:firstLine="640"/>
        <w:rPr>
          <w:rFonts w:ascii="黑体" w:hAnsi="黑体" w:eastAsia="黑体" w:cs="黑体"/>
          <w:color w:val="auto"/>
          <w:sz w:val="32"/>
        </w:rPr>
      </w:pPr>
      <w:r>
        <w:rPr>
          <w:rFonts w:ascii="黑体" w:hAnsi="黑体" w:eastAsia="黑体" w:cs="黑体"/>
          <w:color w:val="auto"/>
          <w:sz w:val="32"/>
        </w:rPr>
        <w:t>七、</w:t>
      </w:r>
      <w:r>
        <w:rPr>
          <w:rFonts w:ascii="黑体" w:hAnsi="黑体" w:eastAsia="黑体" w:cs="黑体"/>
          <w:b/>
          <w:color w:val="auto"/>
          <w:sz w:val="32"/>
        </w:rPr>
        <w:t>“</w:t>
      </w:r>
      <w:r>
        <w:rPr>
          <w:rFonts w:ascii="黑体" w:hAnsi="黑体" w:eastAsia="黑体" w:cs="黑体"/>
          <w:color w:val="auto"/>
          <w:sz w:val="32"/>
        </w:rPr>
        <w:t>三公”经费财政拨款支出决算情况说明</w:t>
      </w:r>
    </w:p>
    <w:p>
      <w:pPr>
        <w:spacing w:line="600" w:lineRule="auto"/>
        <w:ind w:firstLine="640"/>
        <w:rPr>
          <w:rFonts w:ascii="仿宋" w:hAnsi="仿宋" w:eastAsia="仿宋" w:cs="仿宋"/>
          <w:b/>
          <w:color w:val="auto"/>
          <w:sz w:val="32"/>
        </w:rPr>
      </w:pPr>
      <w:r>
        <w:rPr>
          <w:rFonts w:ascii="仿宋" w:hAnsi="仿宋" w:eastAsia="仿宋" w:cs="仿宋"/>
          <w:b/>
          <w:color w:val="auto"/>
          <w:sz w:val="32"/>
        </w:rPr>
        <w:t>（一）“三公”经费财政拨款支出决算总体情况说明</w:t>
      </w:r>
    </w:p>
    <w:p>
      <w:pPr>
        <w:spacing w:line="600" w:lineRule="auto"/>
        <w:ind w:firstLine="640"/>
        <w:rPr>
          <w:rFonts w:ascii="仿宋" w:hAnsi="仿宋" w:eastAsia="仿宋" w:cs="仿宋"/>
          <w:color w:val="auto"/>
          <w:sz w:val="32"/>
        </w:rPr>
      </w:pPr>
      <w:r>
        <w:rPr>
          <w:rFonts w:ascii="仿宋" w:hAnsi="仿宋" w:eastAsia="仿宋" w:cs="仿宋"/>
          <w:color w:val="auto"/>
          <w:sz w:val="32"/>
        </w:rPr>
        <w:t>2018年“三公”经费财政拨款支出决算为26.67万元，完成预算</w:t>
      </w:r>
      <w:r>
        <w:rPr>
          <w:rFonts w:hint="eastAsia" w:ascii="仿宋" w:hAnsi="仿宋" w:eastAsia="仿宋" w:cs="仿宋"/>
          <w:color w:val="auto"/>
          <w:sz w:val="32"/>
        </w:rPr>
        <w:t>100</w:t>
      </w:r>
      <w:r>
        <w:rPr>
          <w:rFonts w:ascii="仿宋" w:hAnsi="仿宋" w:eastAsia="仿宋" w:cs="仿宋"/>
          <w:color w:val="auto"/>
          <w:sz w:val="32"/>
        </w:rPr>
        <w:t>%。</w:t>
      </w:r>
    </w:p>
    <w:p>
      <w:pPr>
        <w:spacing w:line="600" w:lineRule="auto"/>
        <w:ind w:firstLine="640"/>
        <w:rPr>
          <w:rFonts w:ascii="仿宋" w:hAnsi="仿宋" w:eastAsia="仿宋" w:cs="仿宋"/>
          <w:b/>
          <w:color w:val="auto"/>
          <w:sz w:val="32"/>
        </w:rPr>
      </w:pPr>
      <w:r>
        <w:rPr>
          <w:rFonts w:ascii="仿宋" w:hAnsi="仿宋" w:eastAsia="仿宋" w:cs="仿宋"/>
          <w:b/>
          <w:color w:val="auto"/>
          <w:sz w:val="32"/>
        </w:rPr>
        <w:t>（二）“三公”经费财政拨款支出决算具体情况说明</w:t>
      </w:r>
    </w:p>
    <w:p>
      <w:pPr>
        <w:spacing w:line="600" w:lineRule="auto"/>
        <w:ind w:firstLine="640"/>
        <w:rPr>
          <w:rFonts w:ascii="仿宋" w:hAnsi="仿宋" w:eastAsia="仿宋" w:cs="仿宋"/>
          <w:color w:val="auto"/>
          <w:sz w:val="32"/>
        </w:rPr>
      </w:pPr>
      <w:r>
        <w:rPr>
          <w:rFonts w:ascii="仿宋" w:hAnsi="仿宋" w:eastAsia="仿宋" w:cs="仿宋"/>
          <w:color w:val="auto"/>
          <w:sz w:val="32"/>
        </w:rPr>
        <w:t>2018年“三公”经费财政拨款支出决算中，因公出国（境）费支出决算</w:t>
      </w:r>
      <w:r>
        <w:rPr>
          <w:rFonts w:hint="eastAsia" w:ascii="仿宋" w:hAnsi="仿宋" w:eastAsia="仿宋" w:cs="仿宋"/>
          <w:color w:val="auto"/>
          <w:sz w:val="32"/>
        </w:rPr>
        <w:t>0</w:t>
      </w:r>
      <w:r>
        <w:rPr>
          <w:rFonts w:ascii="仿宋" w:hAnsi="仿宋" w:eastAsia="仿宋" w:cs="仿宋"/>
          <w:color w:val="auto"/>
          <w:sz w:val="32"/>
        </w:rPr>
        <w:t>万元；公务用车购置及运行维护费支出决算26.14万元，占</w:t>
      </w:r>
      <w:r>
        <w:rPr>
          <w:rFonts w:hint="eastAsia" w:ascii="仿宋" w:hAnsi="仿宋" w:eastAsia="仿宋" w:cs="仿宋"/>
          <w:color w:val="auto"/>
          <w:sz w:val="32"/>
        </w:rPr>
        <w:t>98.01</w:t>
      </w:r>
      <w:r>
        <w:rPr>
          <w:rFonts w:ascii="仿宋" w:hAnsi="仿宋" w:eastAsia="仿宋" w:cs="仿宋"/>
          <w:color w:val="auto"/>
          <w:sz w:val="32"/>
        </w:rPr>
        <w:t>%；公务接待费支出决算0.53万元，占</w:t>
      </w:r>
      <w:r>
        <w:rPr>
          <w:rFonts w:hint="eastAsia" w:ascii="仿宋" w:hAnsi="仿宋" w:eastAsia="仿宋" w:cs="仿宋"/>
          <w:color w:val="auto"/>
          <w:sz w:val="32"/>
        </w:rPr>
        <w:t>1.99</w:t>
      </w:r>
      <w:r>
        <w:rPr>
          <w:rFonts w:ascii="仿宋" w:hAnsi="仿宋" w:eastAsia="仿宋" w:cs="仿宋"/>
          <w:color w:val="auto"/>
          <w:sz w:val="32"/>
        </w:rPr>
        <w:t>%。具体情况如下：</w:t>
      </w:r>
    </w:p>
    <w:p>
      <w:pPr>
        <w:spacing w:line="600" w:lineRule="auto"/>
        <w:ind w:firstLine="640"/>
        <w:rPr>
          <w:rFonts w:ascii="仿宋" w:hAnsi="仿宋" w:eastAsia="仿宋" w:cs="仿宋"/>
          <w:color w:val="auto"/>
          <w:sz w:val="32"/>
        </w:rPr>
      </w:pPr>
      <w:r>
        <w:rPr>
          <w:rFonts w:ascii="仿宋" w:hAnsi="仿宋" w:eastAsia="仿宋" w:cs="仿宋"/>
          <w:color w:val="auto"/>
          <w:sz w:val="32"/>
        </w:rPr>
        <w:t>（图8：“三公”经费财政拨款支出结构）（饼状图）</w:t>
      </w:r>
    </w:p>
    <w:p>
      <w:pPr>
        <w:spacing w:line="600" w:lineRule="auto"/>
        <w:ind w:firstLine="640"/>
        <w:rPr>
          <w:rFonts w:ascii="仿宋" w:hAnsi="仿宋" w:eastAsia="仿宋" w:cs="仿宋"/>
          <w:color w:val="auto"/>
          <w:sz w:val="32"/>
        </w:rPr>
      </w:pPr>
      <w:r>
        <w:rPr>
          <w:color w:val="auto"/>
        </w:rPr>
        <w:drawing>
          <wp:inline distT="0" distB="0" distL="0" distR="0">
            <wp:extent cx="2752725" cy="1828800"/>
            <wp:effectExtent l="0" t="0" r="0" b="0"/>
            <wp:docPr id="2"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auto"/>
        <w:ind w:firstLine="640"/>
        <w:rPr>
          <w:rFonts w:ascii="仿宋_GB2312" w:hAnsi="仿宋_GB2312" w:eastAsia="仿宋_GB2312" w:cs="仿宋_GB2312"/>
          <w:b/>
          <w:color w:val="auto"/>
          <w:sz w:val="32"/>
        </w:rPr>
      </w:pPr>
      <w:r>
        <w:rPr>
          <w:rFonts w:ascii="仿宋_GB2312" w:hAnsi="仿宋_GB2312" w:eastAsia="仿宋_GB2312" w:cs="仿宋_GB2312"/>
          <w:b/>
          <w:color w:val="auto"/>
          <w:sz w:val="32"/>
        </w:rPr>
        <w:t>1.因公出国（境）经费支出</w:t>
      </w:r>
      <w:r>
        <w:rPr>
          <w:rFonts w:hint="eastAsia" w:ascii="仿宋_GB2312" w:hAnsi="仿宋_GB2312" w:eastAsia="仿宋_GB2312" w:cs="仿宋_GB2312"/>
          <w:color w:val="auto"/>
          <w:sz w:val="32"/>
        </w:rPr>
        <w:t>0</w:t>
      </w:r>
      <w:r>
        <w:rPr>
          <w:rFonts w:ascii="仿宋_GB2312" w:hAnsi="仿宋_GB2312" w:eastAsia="仿宋_GB2312" w:cs="仿宋_GB2312"/>
          <w:color w:val="auto"/>
          <w:sz w:val="32"/>
        </w:rPr>
        <w:t>万元，因公出国（境）支出决算</w:t>
      </w:r>
      <w:r>
        <w:rPr>
          <w:rFonts w:hint="eastAsia" w:ascii="仿宋_GB2312" w:hAnsi="仿宋_GB2312" w:eastAsia="仿宋_GB2312" w:cs="仿宋_GB2312"/>
          <w:color w:val="auto"/>
          <w:sz w:val="32"/>
        </w:rPr>
        <w:t>与</w:t>
      </w:r>
      <w:r>
        <w:rPr>
          <w:rFonts w:ascii="仿宋_GB2312" w:hAnsi="仿宋_GB2312" w:eastAsia="仿宋_GB2312" w:cs="仿宋_GB2312"/>
          <w:color w:val="auto"/>
          <w:sz w:val="32"/>
        </w:rPr>
        <w:t>2017年</w:t>
      </w:r>
      <w:r>
        <w:rPr>
          <w:rFonts w:hint="eastAsia" w:ascii="仿宋_GB2312" w:hAnsi="仿宋_GB2312" w:eastAsia="仿宋_GB2312" w:cs="仿宋_GB2312"/>
          <w:color w:val="auto"/>
          <w:sz w:val="32"/>
        </w:rPr>
        <w:t>持平</w:t>
      </w:r>
      <w:r>
        <w:rPr>
          <w:rFonts w:ascii="仿宋_GB2312" w:hAnsi="仿宋_GB2312" w:eastAsia="仿宋_GB2312" w:cs="仿宋_GB2312"/>
          <w:color w:val="auto"/>
          <w:sz w:val="32"/>
        </w:rPr>
        <w:t>。</w:t>
      </w:r>
    </w:p>
    <w:p>
      <w:pPr>
        <w:spacing w:line="600" w:lineRule="auto"/>
        <w:ind w:firstLine="640"/>
        <w:rPr>
          <w:rFonts w:ascii="仿宋_GB2312" w:hAnsi="仿宋_GB2312" w:eastAsia="仿宋_GB2312" w:cs="仿宋_GB2312"/>
          <w:b/>
          <w:color w:val="auto"/>
          <w:sz w:val="32"/>
        </w:rPr>
      </w:pPr>
      <w:r>
        <w:rPr>
          <w:rFonts w:ascii="仿宋_GB2312" w:hAnsi="仿宋_GB2312" w:eastAsia="仿宋_GB2312" w:cs="仿宋_GB2312"/>
          <w:b/>
          <w:color w:val="auto"/>
          <w:sz w:val="32"/>
        </w:rPr>
        <w:t>2.公务用车购置及运行维护费支出</w:t>
      </w:r>
      <w:r>
        <w:rPr>
          <w:rFonts w:ascii="仿宋_GB2312" w:hAnsi="仿宋_GB2312" w:eastAsia="仿宋_GB2312" w:cs="仿宋_GB2312"/>
          <w:color w:val="auto"/>
          <w:sz w:val="32"/>
        </w:rPr>
        <w:t>26.14万元,</w:t>
      </w:r>
      <w:r>
        <w:rPr>
          <w:rFonts w:ascii="仿宋" w:hAnsi="仿宋" w:eastAsia="仿宋" w:cs="仿宋"/>
          <w:color w:val="auto"/>
          <w:sz w:val="32"/>
        </w:rPr>
        <w:t>完成预算</w:t>
      </w:r>
      <w:r>
        <w:rPr>
          <w:rFonts w:hint="eastAsia" w:ascii="仿宋" w:hAnsi="仿宋" w:eastAsia="仿宋" w:cs="仿宋"/>
          <w:color w:val="auto"/>
          <w:sz w:val="32"/>
        </w:rPr>
        <w:t>100</w:t>
      </w:r>
      <w:r>
        <w:rPr>
          <w:rFonts w:ascii="仿宋" w:hAnsi="仿宋" w:eastAsia="仿宋" w:cs="仿宋"/>
          <w:color w:val="auto"/>
          <w:sz w:val="32"/>
        </w:rPr>
        <w:t>%。</w:t>
      </w:r>
      <w:r>
        <w:rPr>
          <w:rFonts w:ascii="仿宋_GB2312" w:hAnsi="仿宋_GB2312" w:eastAsia="仿宋_GB2312" w:cs="仿宋_GB2312"/>
          <w:color w:val="auto"/>
          <w:sz w:val="32"/>
        </w:rPr>
        <w:t>公务用车购置及运行维护费支出决算比2017年减少</w:t>
      </w:r>
      <w:r>
        <w:rPr>
          <w:rFonts w:hint="eastAsia" w:ascii="仿宋_GB2312" w:hAnsi="仿宋_GB2312" w:eastAsia="仿宋_GB2312" w:cs="仿宋_GB2312"/>
          <w:color w:val="auto"/>
          <w:sz w:val="32"/>
        </w:rPr>
        <w:t>65.12</w:t>
      </w:r>
      <w:r>
        <w:rPr>
          <w:rFonts w:ascii="仿宋_GB2312" w:hAnsi="仿宋_GB2312" w:eastAsia="仿宋_GB2312" w:cs="仿宋_GB2312"/>
          <w:color w:val="auto"/>
          <w:sz w:val="32"/>
        </w:rPr>
        <w:t>万元，下降</w:t>
      </w:r>
      <w:r>
        <w:rPr>
          <w:rFonts w:hint="eastAsia" w:ascii="仿宋_GB2312" w:hAnsi="仿宋_GB2312" w:eastAsia="仿宋_GB2312" w:cs="仿宋_GB2312"/>
          <w:color w:val="auto"/>
          <w:sz w:val="32"/>
        </w:rPr>
        <w:t>71.36</w:t>
      </w:r>
      <w:r>
        <w:rPr>
          <w:rFonts w:ascii="仿宋_GB2312" w:hAnsi="仿宋_GB2312" w:eastAsia="仿宋_GB2312" w:cs="仿宋_GB2312"/>
          <w:color w:val="auto"/>
          <w:sz w:val="32"/>
        </w:rPr>
        <w:t>%。主要原因是</w:t>
      </w:r>
      <w:r>
        <w:rPr>
          <w:rFonts w:hint="eastAsia" w:ascii="仿宋_GB2312" w:hAnsi="仿宋_GB2312" w:eastAsia="仿宋_GB2312" w:cs="仿宋_GB2312"/>
          <w:color w:val="auto"/>
          <w:sz w:val="32"/>
        </w:rPr>
        <w:t>2017年有车辆购置，2018年无新购置车辆</w:t>
      </w:r>
      <w:r>
        <w:rPr>
          <w:rFonts w:ascii="仿宋_GB2312" w:hAnsi="仿宋_GB2312" w:eastAsia="仿宋_GB2312" w:cs="仿宋_GB2312"/>
          <w:color w:val="auto"/>
          <w:sz w:val="32"/>
        </w:rPr>
        <w:t>。</w:t>
      </w:r>
    </w:p>
    <w:p>
      <w:pPr>
        <w:spacing w:line="600" w:lineRule="auto"/>
        <w:ind w:firstLine="640"/>
        <w:rPr>
          <w:rFonts w:ascii="仿宋_GB2312" w:hAnsi="仿宋_GB2312" w:eastAsia="仿宋_GB2312" w:cs="仿宋_GB2312"/>
          <w:b/>
          <w:color w:val="auto"/>
          <w:sz w:val="32"/>
        </w:rPr>
      </w:pPr>
      <w:r>
        <w:rPr>
          <w:rFonts w:ascii="仿宋_GB2312" w:hAnsi="仿宋_GB2312" w:eastAsia="仿宋_GB2312" w:cs="仿宋_GB2312"/>
          <w:color w:val="auto"/>
          <w:sz w:val="32"/>
        </w:rPr>
        <w:t>其中：</w:t>
      </w:r>
      <w:r>
        <w:rPr>
          <w:rFonts w:ascii="仿宋_GB2312" w:hAnsi="仿宋_GB2312" w:eastAsia="仿宋_GB2312" w:cs="仿宋_GB2312"/>
          <w:b/>
          <w:color w:val="auto"/>
          <w:sz w:val="32"/>
        </w:rPr>
        <w:t>公务用车购置支出</w:t>
      </w:r>
      <w:r>
        <w:rPr>
          <w:rFonts w:hint="eastAsia" w:ascii="仿宋_GB2312" w:hAnsi="仿宋_GB2312" w:eastAsia="仿宋_GB2312" w:cs="仿宋_GB2312"/>
          <w:color w:val="auto"/>
          <w:sz w:val="32"/>
        </w:rPr>
        <w:t>0</w:t>
      </w:r>
      <w:r>
        <w:rPr>
          <w:rFonts w:ascii="仿宋_GB2312" w:hAnsi="仿宋_GB2312" w:eastAsia="仿宋_GB2312" w:cs="仿宋_GB2312"/>
          <w:color w:val="auto"/>
          <w:sz w:val="32"/>
        </w:rPr>
        <w:t>万元</w:t>
      </w:r>
      <w:r>
        <w:rPr>
          <w:rFonts w:hint="eastAsia" w:ascii="仿宋_GB2312" w:hAnsi="仿宋_GB2312" w:eastAsia="仿宋_GB2312" w:cs="仿宋_GB2312"/>
          <w:color w:val="auto"/>
          <w:sz w:val="32"/>
        </w:rPr>
        <w:t>，</w:t>
      </w:r>
      <w:r>
        <w:rPr>
          <w:rFonts w:ascii="仿宋_GB2312" w:hAnsi="仿宋_GB2312" w:eastAsia="仿宋_GB2312" w:cs="仿宋_GB2312"/>
          <w:color w:val="auto"/>
          <w:sz w:val="32"/>
        </w:rPr>
        <w:t>截至2018年12月底，单位共有公务用车</w:t>
      </w:r>
      <w:r>
        <w:rPr>
          <w:rFonts w:hint="eastAsia" w:ascii="仿宋_GB2312" w:hAnsi="仿宋_GB2312" w:eastAsia="仿宋_GB2312" w:cs="仿宋_GB2312"/>
          <w:color w:val="auto"/>
          <w:sz w:val="32"/>
        </w:rPr>
        <w:t>4</w:t>
      </w:r>
      <w:r>
        <w:rPr>
          <w:rFonts w:ascii="仿宋_GB2312" w:hAnsi="仿宋_GB2312" w:eastAsia="仿宋_GB2312" w:cs="仿宋_GB2312"/>
          <w:color w:val="auto"/>
          <w:sz w:val="32"/>
        </w:rPr>
        <w:t>辆，其中：越野车</w:t>
      </w:r>
      <w:r>
        <w:rPr>
          <w:rFonts w:hint="eastAsia" w:ascii="仿宋_GB2312" w:hAnsi="仿宋_GB2312" w:eastAsia="仿宋_GB2312" w:cs="仿宋_GB2312"/>
          <w:color w:val="auto"/>
          <w:sz w:val="32"/>
        </w:rPr>
        <w:t>4</w:t>
      </w:r>
      <w:r>
        <w:rPr>
          <w:rFonts w:ascii="仿宋_GB2312" w:hAnsi="仿宋_GB2312" w:eastAsia="仿宋_GB2312" w:cs="仿宋_GB2312"/>
          <w:color w:val="auto"/>
          <w:sz w:val="32"/>
        </w:rPr>
        <w:t>辆。</w:t>
      </w:r>
    </w:p>
    <w:p>
      <w:pPr>
        <w:spacing w:line="600" w:lineRule="auto"/>
        <w:ind w:firstLine="640"/>
        <w:rPr>
          <w:rFonts w:ascii="仿宋_GB2312" w:hAnsi="仿宋_GB2312" w:eastAsia="仿宋_GB2312" w:cs="仿宋_GB2312"/>
          <w:color w:val="auto"/>
          <w:sz w:val="32"/>
        </w:rPr>
      </w:pPr>
      <w:r>
        <w:rPr>
          <w:rFonts w:ascii="仿宋_GB2312" w:hAnsi="仿宋_GB2312" w:eastAsia="仿宋_GB2312" w:cs="仿宋_GB2312"/>
          <w:b/>
          <w:color w:val="auto"/>
          <w:sz w:val="32"/>
        </w:rPr>
        <w:t>公务用车运行维护费支出</w:t>
      </w:r>
      <w:r>
        <w:rPr>
          <w:rFonts w:ascii="仿宋_GB2312" w:hAnsi="仿宋_GB2312" w:eastAsia="仿宋_GB2312" w:cs="仿宋_GB2312"/>
          <w:color w:val="auto"/>
          <w:sz w:val="32"/>
        </w:rPr>
        <w:t>26.14万元。主要用于</w:t>
      </w:r>
      <w:r>
        <w:rPr>
          <w:rFonts w:hint="eastAsia" w:ascii="仿宋_GB2312" w:hAnsi="仿宋_GB2312" w:eastAsia="仿宋_GB2312" w:cs="仿宋_GB2312"/>
          <w:color w:val="auto"/>
          <w:sz w:val="32"/>
        </w:rPr>
        <w:t>出差、下乡</w:t>
      </w:r>
      <w:r>
        <w:rPr>
          <w:rFonts w:ascii="仿宋_GB2312" w:hAnsi="仿宋_GB2312" w:eastAsia="仿宋_GB2312" w:cs="仿宋_GB2312"/>
          <w:color w:val="auto"/>
          <w:sz w:val="32"/>
        </w:rPr>
        <w:t>等所需的公务用车燃料费、维修费、过路过桥费、保险费等支出。</w:t>
      </w:r>
    </w:p>
    <w:p>
      <w:pPr>
        <w:spacing w:line="600" w:lineRule="auto"/>
        <w:ind w:firstLine="640"/>
        <w:rPr>
          <w:rFonts w:ascii="仿宋_GB2312" w:hAnsi="仿宋_GB2312" w:eastAsia="仿宋_GB2312" w:cs="仿宋_GB2312"/>
          <w:color w:val="auto"/>
          <w:sz w:val="32"/>
        </w:rPr>
      </w:pPr>
      <w:r>
        <w:rPr>
          <w:rFonts w:ascii="仿宋_GB2312" w:hAnsi="仿宋_GB2312" w:eastAsia="仿宋_GB2312" w:cs="仿宋_GB2312"/>
          <w:b/>
          <w:color w:val="auto"/>
          <w:sz w:val="32"/>
        </w:rPr>
        <w:t>3.公务接待费支出</w:t>
      </w:r>
      <w:r>
        <w:rPr>
          <w:rFonts w:ascii="仿宋" w:hAnsi="仿宋" w:eastAsia="仿宋" w:cs="仿宋"/>
          <w:color w:val="auto"/>
          <w:sz w:val="32"/>
        </w:rPr>
        <w:t>0.53</w:t>
      </w:r>
      <w:r>
        <w:rPr>
          <w:rFonts w:ascii="仿宋_GB2312" w:hAnsi="仿宋_GB2312" w:eastAsia="仿宋_GB2312" w:cs="仿宋_GB2312"/>
          <w:color w:val="auto"/>
          <w:sz w:val="32"/>
        </w:rPr>
        <w:t>万元，</w:t>
      </w:r>
      <w:r>
        <w:rPr>
          <w:rFonts w:ascii="仿宋" w:hAnsi="仿宋" w:eastAsia="仿宋" w:cs="仿宋"/>
          <w:color w:val="auto"/>
          <w:sz w:val="32"/>
        </w:rPr>
        <w:t>完成预算</w:t>
      </w:r>
      <w:r>
        <w:rPr>
          <w:rFonts w:hint="eastAsia" w:ascii="仿宋" w:hAnsi="仿宋" w:eastAsia="仿宋" w:cs="仿宋"/>
          <w:color w:val="auto"/>
          <w:sz w:val="32"/>
        </w:rPr>
        <w:t>100</w:t>
      </w:r>
      <w:r>
        <w:rPr>
          <w:rFonts w:ascii="仿宋" w:hAnsi="仿宋" w:eastAsia="仿宋" w:cs="仿宋"/>
          <w:color w:val="auto"/>
          <w:sz w:val="32"/>
        </w:rPr>
        <w:t>%。</w:t>
      </w:r>
      <w:r>
        <w:rPr>
          <w:rFonts w:ascii="仿宋_GB2312" w:hAnsi="仿宋_GB2312" w:eastAsia="仿宋_GB2312" w:cs="仿宋_GB2312"/>
          <w:color w:val="auto"/>
          <w:sz w:val="32"/>
        </w:rPr>
        <w:t>公务接待费支出决算比2017年减少</w:t>
      </w:r>
      <w:r>
        <w:rPr>
          <w:rFonts w:hint="eastAsia" w:ascii="仿宋_GB2312" w:hAnsi="仿宋_GB2312" w:eastAsia="仿宋_GB2312" w:cs="仿宋_GB2312"/>
          <w:color w:val="auto"/>
          <w:sz w:val="32"/>
        </w:rPr>
        <w:t>2.04</w:t>
      </w:r>
      <w:r>
        <w:rPr>
          <w:rFonts w:ascii="仿宋_GB2312" w:hAnsi="仿宋_GB2312" w:eastAsia="仿宋_GB2312" w:cs="仿宋_GB2312"/>
          <w:color w:val="auto"/>
          <w:sz w:val="32"/>
        </w:rPr>
        <w:t>万元，下降</w:t>
      </w:r>
      <w:r>
        <w:rPr>
          <w:rFonts w:hint="eastAsia" w:ascii="仿宋_GB2312" w:hAnsi="仿宋_GB2312" w:eastAsia="仿宋_GB2312" w:cs="仿宋_GB2312"/>
          <w:color w:val="auto"/>
          <w:sz w:val="32"/>
        </w:rPr>
        <w:t>79.53</w:t>
      </w:r>
      <w:r>
        <w:rPr>
          <w:rFonts w:ascii="仿宋_GB2312" w:hAnsi="仿宋_GB2312" w:eastAsia="仿宋_GB2312" w:cs="仿宋_GB2312"/>
          <w:color w:val="auto"/>
          <w:sz w:val="32"/>
        </w:rPr>
        <w:t>%。</w:t>
      </w:r>
      <w:r>
        <w:rPr>
          <w:rFonts w:hint="eastAsia" w:ascii="仿宋_GB2312" w:hAnsi="仿宋_GB2312" w:eastAsia="仿宋_GB2312" w:cs="仿宋_GB2312"/>
          <w:color w:val="auto"/>
          <w:sz w:val="32"/>
        </w:rPr>
        <w:t>厉行节约</w:t>
      </w:r>
      <w:r>
        <w:rPr>
          <w:rFonts w:ascii="仿宋_GB2312" w:hAnsi="仿宋_GB2312" w:eastAsia="仿宋_GB2312" w:cs="仿宋_GB2312"/>
          <w:color w:val="auto"/>
          <w:sz w:val="32"/>
        </w:rPr>
        <w:t>。</w:t>
      </w:r>
    </w:p>
    <w:p>
      <w:pPr>
        <w:spacing w:line="600" w:lineRule="auto"/>
        <w:ind w:firstLine="640"/>
        <w:rPr>
          <w:rFonts w:ascii="仿宋_GB2312" w:hAnsi="仿宋_GB2312" w:eastAsia="仿宋_GB2312" w:cs="仿宋_GB2312"/>
          <w:color w:val="auto"/>
          <w:sz w:val="32"/>
        </w:rPr>
      </w:pPr>
      <w:r>
        <w:rPr>
          <w:rFonts w:ascii="仿宋_GB2312" w:hAnsi="仿宋_GB2312" w:eastAsia="仿宋_GB2312" w:cs="仿宋_GB2312"/>
          <w:color w:val="auto"/>
          <w:sz w:val="32"/>
        </w:rPr>
        <w:t>主要用于执行公务、开展业务活动开支的交通费、住宿费、用餐费等。国内公务接待</w:t>
      </w:r>
      <w:r>
        <w:rPr>
          <w:rFonts w:hint="eastAsia" w:ascii="仿宋_GB2312" w:hAnsi="仿宋_GB2312" w:eastAsia="仿宋_GB2312" w:cs="仿宋_GB2312"/>
          <w:color w:val="auto"/>
          <w:sz w:val="32"/>
        </w:rPr>
        <w:t>3</w:t>
      </w:r>
      <w:r>
        <w:rPr>
          <w:rFonts w:ascii="仿宋_GB2312" w:hAnsi="仿宋_GB2312" w:eastAsia="仿宋_GB2312" w:cs="仿宋_GB2312"/>
          <w:color w:val="auto"/>
          <w:sz w:val="32"/>
        </w:rPr>
        <w:t>批次，</w:t>
      </w:r>
      <w:r>
        <w:rPr>
          <w:rFonts w:hint="eastAsia" w:ascii="仿宋_GB2312" w:hAnsi="仿宋_GB2312" w:eastAsia="仿宋_GB2312" w:cs="仿宋_GB2312"/>
          <w:color w:val="auto"/>
          <w:sz w:val="32"/>
        </w:rPr>
        <w:t>16</w:t>
      </w:r>
      <w:r>
        <w:rPr>
          <w:rFonts w:ascii="仿宋_GB2312" w:hAnsi="仿宋_GB2312" w:eastAsia="仿宋_GB2312" w:cs="仿宋_GB2312"/>
          <w:color w:val="auto"/>
          <w:sz w:val="32"/>
        </w:rPr>
        <w:t>人次（不包括陪同人员），共计支出</w:t>
      </w:r>
      <w:r>
        <w:rPr>
          <w:rFonts w:hint="eastAsia" w:ascii="仿宋_GB2312" w:hAnsi="仿宋_GB2312" w:eastAsia="仿宋_GB2312" w:cs="仿宋_GB2312"/>
          <w:color w:val="auto"/>
          <w:sz w:val="32"/>
        </w:rPr>
        <w:t>0.53</w:t>
      </w:r>
      <w:r>
        <w:rPr>
          <w:rFonts w:ascii="仿宋_GB2312" w:hAnsi="仿宋_GB2312" w:eastAsia="仿宋_GB2312" w:cs="仿宋_GB2312"/>
          <w:color w:val="auto"/>
          <w:sz w:val="32"/>
        </w:rPr>
        <w:t>万元。其中：</w:t>
      </w:r>
    </w:p>
    <w:p>
      <w:pPr>
        <w:spacing w:line="600" w:lineRule="auto"/>
        <w:ind w:firstLine="640"/>
        <w:rPr>
          <w:rFonts w:ascii="仿宋_GB2312" w:hAnsi="仿宋_GB2312" w:eastAsia="仿宋_GB2312" w:cs="仿宋_GB2312"/>
          <w:color w:val="auto"/>
          <w:sz w:val="32"/>
        </w:rPr>
      </w:pPr>
      <w:r>
        <w:rPr>
          <w:rFonts w:ascii="仿宋" w:hAnsi="仿宋" w:eastAsia="仿宋" w:cs="仿宋"/>
          <w:b/>
          <w:color w:val="auto"/>
          <w:sz w:val="32"/>
        </w:rPr>
        <w:t>其他国内公务接待支出</w:t>
      </w:r>
      <w:r>
        <w:rPr>
          <w:rFonts w:hint="eastAsia" w:ascii="仿宋" w:hAnsi="仿宋" w:eastAsia="仿宋" w:cs="仿宋"/>
          <w:color w:val="auto"/>
          <w:sz w:val="32"/>
        </w:rPr>
        <w:t>0.53</w:t>
      </w:r>
      <w:r>
        <w:rPr>
          <w:rFonts w:ascii="仿宋_GB2312" w:hAnsi="仿宋_GB2312" w:eastAsia="仿宋_GB2312" w:cs="仿宋_GB2312"/>
          <w:color w:val="auto"/>
          <w:sz w:val="32"/>
        </w:rPr>
        <w:t>万元</w:t>
      </w:r>
      <w:r>
        <w:rPr>
          <w:rFonts w:hint="eastAsia" w:ascii="仿宋_GB2312" w:hAnsi="仿宋_GB2312" w:eastAsia="仿宋_GB2312" w:cs="仿宋_GB2312"/>
          <w:color w:val="auto"/>
          <w:sz w:val="32"/>
        </w:rPr>
        <w:t>。</w:t>
      </w:r>
    </w:p>
    <w:p>
      <w:pPr>
        <w:spacing w:line="600" w:lineRule="auto"/>
        <w:ind w:firstLine="640"/>
        <w:rPr>
          <w:rFonts w:ascii="黑体" w:hAnsi="黑体" w:eastAsia="黑体" w:cs="黑体"/>
          <w:b/>
          <w:color w:val="auto"/>
          <w:sz w:val="32"/>
        </w:rPr>
      </w:pPr>
      <w:r>
        <w:rPr>
          <w:rFonts w:ascii="黑体" w:hAnsi="黑体" w:eastAsia="黑体" w:cs="黑体"/>
          <w:color w:val="auto"/>
          <w:sz w:val="32"/>
        </w:rPr>
        <w:t>八、政府性基金预算支出决算情况说明</w:t>
      </w:r>
    </w:p>
    <w:p>
      <w:pPr>
        <w:spacing w:line="600" w:lineRule="auto"/>
        <w:ind w:firstLine="640"/>
        <w:rPr>
          <w:rFonts w:ascii="仿宋_GB2312" w:hAnsi="仿宋_GB2312" w:eastAsia="仿宋_GB2312" w:cs="仿宋_GB2312"/>
          <w:color w:val="auto"/>
          <w:sz w:val="32"/>
        </w:rPr>
      </w:pPr>
      <w:r>
        <w:rPr>
          <w:rFonts w:ascii="仿宋_GB2312" w:hAnsi="仿宋_GB2312" w:eastAsia="仿宋_GB2312" w:cs="仿宋_GB2312"/>
          <w:color w:val="auto"/>
          <w:sz w:val="32"/>
        </w:rPr>
        <w:t>2018年政府性基金预算拨款支出</w:t>
      </w:r>
      <w:r>
        <w:rPr>
          <w:rFonts w:hint="eastAsia" w:ascii="仿宋_GB2312" w:hAnsi="仿宋_GB2312" w:eastAsia="仿宋_GB2312" w:cs="仿宋_GB2312"/>
          <w:color w:val="auto"/>
          <w:sz w:val="32"/>
        </w:rPr>
        <w:t>0</w:t>
      </w:r>
      <w:r>
        <w:rPr>
          <w:rFonts w:ascii="仿宋_GB2312" w:hAnsi="仿宋_GB2312" w:eastAsia="仿宋_GB2312" w:cs="仿宋_GB2312"/>
          <w:color w:val="auto"/>
          <w:sz w:val="32"/>
        </w:rPr>
        <w:t>万元。</w:t>
      </w:r>
    </w:p>
    <w:p>
      <w:pPr>
        <w:pStyle w:val="15"/>
        <w:numPr>
          <w:ilvl w:val="0"/>
          <w:numId w:val="5"/>
        </w:numPr>
        <w:spacing w:line="600" w:lineRule="auto"/>
        <w:ind w:firstLineChars="0"/>
        <w:rPr>
          <w:rFonts w:ascii="黑体" w:hAnsi="黑体" w:eastAsia="黑体" w:cs="黑体"/>
          <w:color w:val="auto"/>
          <w:sz w:val="32"/>
        </w:rPr>
      </w:pPr>
      <w:r>
        <w:rPr>
          <w:rFonts w:ascii="黑体" w:hAnsi="黑体" w:eastAsia="黑体" w:cs="黑体"/>
          <w:color w:val="auto"/>
          <w:sz w:val="32"/>
        </w:rPr>
        <w:t>国有资本经营预算支出决算情况说明</w:t>
      </w:r>
    </w:p>
    <w:p>
      <w:pPr>
        <w:spacing w:line="600" w:lineRule="auto"/>
        <w:ind w:firstLine="640"/>
        <w:rPr>
          <w:rFonts w:ascii="仿宋_GB2312" w:hAnsi="仿宋_GB2312" w:eastAsia="仿宋_GB2312" w:cs="仿宋_GB2312"/>
          <w:color w:val="auto"/>
          <w:sz w:val="32"/>
        </w:rPr>
      </w:pPr>
      <w:r>
        <w:rPr>
          <w:rFonts w:ascii="仿宋_GB2312" w:hAnsi="仿宋_GB2312" w:eastAsia="仿宋_GB2312" w:cs="仿宋_GB2312"/>
          <w:color w:val="auto"/>
          <w:sz w:val="32"/>
        </w:rPr>
        <w:t>2018年国有资本经营预算拨款支出</w:t>
      </w:r>
      <w:r>
        <w:rPr>
          <w:rFonts w:hint="eastAsia" w:ascii="仿宋_GB2312" w:hAnsi="仿宋_GB2312" w:eastAsia="仿宋_GB2312" w:cs="仿宋_GB2312"/>
          <w:color w:val="auto"/>
          <w:sz w:val="32"/>
        </w:rPr>
        <w:t>0</w:t>
      </w:r>
      <w:r>
        <w:rPr>
          <w:rFonts w:ascii="仿宋_GB2312" w:hAnsi="仿宋_GB2312" w:eastAsia="仿宋_GB2312" w:cs="仿宋_GB2312"/>
          <w:color w:val="auto"/>
          <w:sz w:val="32"/>
        </w:rPr>
        <w:t>万元。</w:t>
      </w:r>
    </w:p>
    <w:p>
      <w:pPr>
        <w:numPr>
          <w:ilvl w:val="0"/>
          <w:numId w:val="6"/>
        </w:numPr>
        <w:spacing w:line="580" w:lineRule="auto"/>
        <w:ind w:firstLine="643"/>
        <w:rPr>
          <w:rFonts w:ascii="仿宋" w:hAnsi="仿宋" w:eastAsia="仿宋" w:cs="仿宋"/>
          <w:color w:val="auto"/>
          <w:sz w:val="32"/>
        </w:rPr>
      </w:pPr>
      <w:r>
        <w:rPr>
          <w:rFonts w:ascii="仿宋" w:hAnsi="仿宋" w:eastAsia="仿宋" w:cs="仿宋"/>
          <w:b/>
          <w:color w:val="auto"/>
          <w:sz w:val="32"/>
        </w:rPr>
        <w:t>部门开展绩效评价结果。</w:t>
      </w:r>
    </w:p>
    <w:p>
      <w:pPr>
        <w:spacing w:line="580" w:lineRule="auto"/>
        <w:ind w:firstLine="640"/>
        <w:rPr>
          <w:rFonts w:ascii="仿宋_GB2312" w:hAnsi="仿宋_GB2312" w:eastAsia="仿宋_GB2312" w:cs="仿宋_GB2312"/>
          <w:color w:val="auto"/>
          <w:sz w:val="32"/>
        </w:rPr>
      </w:pPr>
      <w:r>
        <w:rPr>
          <w:rFonts w:ascii="仿宋_GB2312" w:hAnsi="仿宋_GB2312" w:eastAsia="仿宋_GB2312" w:cs="仿宋_GB2312"/>
          <w:color w:val="auto"/>
          <w:sz w:val="32"/>
        </w:rPr>
        <w:t>本部门按要求对2018年部门整体支出绩效评价情况开展自评，《</w:t>
      </w:r>
      <w:r>
        <w:rPr>
          <w:rFonts w:hint="eastAsia" w:ascii="仿宋_GB2312" w:hAnsi="仿宋_GB2312" w:eastAsia="仿宋_GB2312" w:cs="仿宋_GB2312"/>
          <w:color w:val="auto"/>
          <w:sz w:val="32"/>
        </w:rPr>
        <w:t>红原县政协委员会办公室</w:t>
      </w:r>
      <w:r>
        <w:rPr>
          <w:rFonts w:ascii="仿宋_GB2312" w:hAnsi="仿宋_GB2312" w:eastAsia="仿宋_GB2312" w:cs="仿宋_GB2312"/>
          <w:color w:val="auto"/>
          <w:sz w:val="32"/>
        </w:rPr>
        <w:t>2018年部门整体支出绩效评价报告》见附件。</w:t>
      </w:r>
    </w:p>
    <w:p>
      <w:pPr>
        <w:spacing w:line="600" w:lineRule="auto"/>
        <w:ind w:firstLine="800"/>
        <w:rPr>
          <w:rFonts w:ascii="黑体" w:hAnsi="黑体" w:eastAsia="黑体" w:cs="黑体"/>
          <w:b/>
          <w:color w:val="auto"/>
          <w:sz w:val="32"/>
        </w:rPr>
      </w:pPr>
      <w:r>
        <w:rPr>
          <w:rFonts w:ascii="黑体" w:hAnsi="黑体" w:eastAsia="黑体" w:cs="黑体"/>
          <w:color w:val="auto"/>
          <w:sz w:val="32"/>
        </w:rPr>
        <w:t>十</w:t>
      </w:r>
      <w:r>
        <w:rPr>
          <w:rFonts w:ascii="黑体" w:hAnsi="黑体" w:eastAsia="黑体" w:cs="黑体"/>
          <w:b/>
          <w:color w:val="auto"/>
          <w:sz w:val="32"/>
        </w:rPr>
        <w:t>一、</w:t>
      </w:r>
      <w:r>
        <w:rPr>
          <w:rFonts w:ascii="黑体" w:hAnsi="黑体" w:eastAsia="黑体" w:cs="黑体"/>
          <w:color w:val="auto"/>
          <w:sz w:val="32"/>
        </w:rPr>
        <w:t>其他重要事项的情况说明</w:t>
      </w:r>
    </w:p>
    <w:p>
      <w:pPr>
        <w:spacing w:line="600" w:lineRule="auto"/>
        <w:ind w:firstLine="643"/>
        <w:rPr>
          <w:rFonts w:ascii="仿宋" w:hAnsi="仿宋" w:eastAsia="仿宋" w:cs="仿宋"/>
          <w:color w:val="auto"/>
          <w:sz w:val="32"/>
        </w:rPr>
      </w:pPr>
      <w:r>
        <w:rPr>
          <w:rFonts w:ascii="仿宋" w:hAnsi="仿宋" w:eastAsia="仿宋" w:cs="仿宋"/>
          <w:b/>
          <w:color w:val="auto"/>
          <w:sz w:val="32"/>
        </w:rPr>
        <w:t>（一）机关运行经费支出情况</w:t>
      </w:r>
    </w:p>
    <w:p>
      <w:pPr>
        <w:spacing w:line="600" w:lineRule="auto"/>
        <w:ind w:firstLine="640"/>
        <w:rPr>
          <w:rFonts w:ascii="仿宋_GB2312" w:hAnsi="仿宋_GB2312" w:eastAsia="仿宋_GB2312" w:cs="仿宋_GB2312"/>
          <w:color w:val="auto"/>
          <w:sz w:val="32"/>
        </w:rPr>
      </w:pPr>
      <w:r>
        <w:rPr>
          <w:rFonts w:ascii="仿宋_GB2312" w:hAnsi="仿宋_GB2312" w:eastAsia="仿宋_GB2312" w:cs="仿宋_GB2312"/>
          <w:color w:val="auto"/>
          <w:sz w:val="32"/>
        </w:rPr>
        <w:t>2018年，</w:t>
      </w:r>
      <w:r>
        <w:rPr>
          <w:rFonts w:hint="eastAsia" w:ascii="仿宋_GB2312" w:hAnsi="仿宋_GB2312" w:eastAsia="仿宋_GB2312" w:cs="仿宋_GB2312"/>
          <w:color w:val="auto"/>
          <w:sz w:val="32"/>
        </w:rPr>
        <w:t>行政</w:t>
      </w:r>
      <w:r>
        <w:rPr>
          <w:rFonts w:ascii="仿宋_GB2312" w:hAnsi="仿宋_GB2312" w:eastAsia="仿宋_GB2312" w:cs="仿宋_GB2312"/>
          <w:color w:val="auto"/>
          <w:sz w:val="32"/>
        </w:rPr>
        <w:t>机关运行经费支出359.03万元，比2017年减少</w:t>
      </w:r>
      <w:r>
        <w:rPr>
          <w:rFonts w:hint="eastAsia" w:ascii="仿宋_GB2312" w:hAnsi="仿宋_GB2312" w:eastAsia="仿宋_GB2312" w:cs="仿宋_GB2312"/>
          <w:color w:val="auto"/>
          <w:sz w:val="32"/>
        </w:rPr>
        <w:t>122.51</w:t>
      </w:r>
      <w:r>
        <w:rPr>
          <w:rFonts w:ascii="仿宋_GB2312" w:hAnsi="仿宋_GB2312" w:eastAsia="仿宋_GB2312" w:cs="仿宋_GB2312"/>
          <w:color w:val="auto"/>
          <w:sz w:val="32"/>
        </w:rPr>
        <w:t>万元，下降</w:t>
      </w:r>
      <w:r>
        <w:rPr>
          <w:rFonts w:hint="eastAsia" w:ascii="仿宋_GB2312" w:hAnsi="仿宋_GB2312" w:eastAsia="仿宋_GB2312" w:cs="仿宋_GB2312"/>
          <w:color w:val="auto"/>
          <w:sz w:val="32"/>
        </w:rPr>
        <w:t>88.66</w:t>
      </w:r>
      <w:r>
        <w:rPr>
          <w:rFonts w:ascii="仿宋_GB2312" w:hAnsi="仿宋_GB2312" w:eastAsia="仿宋_GB2312" w:cs="仿宋_GB2312"/>
          <w:color w:val="auto"/>
          <w:sz w:val="32"/>
        </w:rPr>
        <w:t>%。主要原因是</w:t>
      </w:r>
      <w:r>
        <w:rPr>
          <w:rFonts w:hint="eastAsia" w:ascii="仿宋_GB2312" w:hAnsi="仿宋_GB2312" w:eastAsia="仿宋_GB2312" w:cs="仿宋_GB2312"/>
          <w:color w:val="auto"/>
          <w:sz w:val="32"/>
        </w:rPr>
        <w:t>开源节流。</w:t>
      </w:r>
    </w:p>
    <w:p>
      <w:pPr>
        <w:spacing w:line="600" w:lineRule="auto"/>
        <w:ind w:firstLine="643"/>
        <w:jc w:val="left"/>
        <w:rPr>
          <w:rFonts w:ascii="仿宋" w:hAnsi="仿宋" w:eastAsia="仿宋" w:cs="仿宋"/>
          <w:b/>
          <w:color w:val="auto"/>
          <w:sz w:val="32"/>
        </w:rPr>
      </w:pPr>
      <w:r>
        <w:rPr>
          <w:rFonts w:ascii="仿宋" w:hAnsi="仿宋" w:eastAsia="仿宋" w:cs="仿宋"/>
          <w:b/>
          <w:color w:val="auto"/>
          <w:sz w:val="32"/>
        </w:rPr>
        <w:t>（二）政府采购支出情况</w:t>
      </w:r>
    </w:p>
    <w:p>
      <w:pPr>
        <w:spacing w:line="600" w:lineRule="auto"/>
        <w:ind w:firstLine="640"/>
        <w:rPr>
          <w:rFonts w:ascii="仿宋_GB2312" w:hAnsi="仿宋_GB2312" w:eastAsia="仿宋_GB2312" w:cs="仿宋_GB2312"/>
          <w:color w:val="auto"/>
          <w:sz w:val="32"/>
        </w:rPr>
      </w:pPr>
      <w:r>
        <w:rPr>
          <w:rFonts w:ascii="仿宋_GB2312" w:hAnsi="仿宋_GB2312" w:eastAsia="仿宋_GB2312" w:cs="仿宋_GB2312"/>
          <w:color w:val="auto"/>
          <w:sz w:val="32"/>
        </w:rPr>
        <w:t>2018年，政府采购支出总额</w:t>
      </w:r>
      <w:r>
        <w:rPr>
          <w:rFonts w:hint="eastAsia" w:ascii="仿宋_GB2312" w:hAnsi="仿宋_GB2312" w:eastAsia="仿宋_GB2312" w:cs="仿宋_GB2312"/>
          <w:color w:val="auto"/>
          <w:sz w:val="32"/>
        </w:rPr>
        <w:t>0</w:t>
      </w:r>
      <w:r>
        <w:rPr>
          <w:rFonts w:ascii="仿宋_GB2312" w:hAnsi="仿宋_GB2312" w:eastAsia="仿宋_GB2312" w:cs="仿宋_GB2312"/>
          <w:color w:val="auto"/>
          <w:sz w:val="32"/>
        </w:rPr>
        <w:t>万元</w:t>
      </w:r>
      <w:r>
        <w:rPr>
          <w:rFonts w:hint="eastAsia" w:ascii="仿宋_GB2312" w:hAnsi="仿宋_GB2312" w:eastAsia="仿宋_GB2312" w:cs="仿宋_GB2312"/>
          <w:color w:val="auto"/>
          <w:sz w:val="32"/>
        </w:rPr>
        <w:t>。</w:t>
      </w:r>
      <w:r>
        <w:rPr>
          <w:rFonts w:ascii="仿宋_GB2312" w:hAnsi="仿宋_GB2312" w:eastAsia="仿宋_GB2312" w:cs="仿宋_GB2312"/>
          <w:color w:val="auto"/>
          <w:sz w:val="32"/>
        </w:rPr>
        <w:t xml:space="preserve"> </w:t>
      </w:r>
    </w:p>
    <w:p>
      <w:pPr>
        <w:spacing w:line="600" w:lineRule="auto"/>
        <w:ind w:firstLine="643"/>
        <w:jc w:val="left"/>
        <w:rPr>
          <w:rFonts w:ascii="仿宋" w:hAnsi="仿宋" w:eastAsia="仿宋" w:cs="仿宋"/>
          <w:b/>
          <w:color w:val="auto"/>
          <w:sz w:val="32"/>
        </w:rPr>
      </w:pPr>
      <w:r>
        <w:rPr>
          <w:rFonts w:ascii="仿宋" w:hAnsi="仿宋" w:eastAsia="仿宋" w:cs="仿宋"/>
          <w:b/>
          <w:color w:val="auto"/>
          <w:sz w:val="32"/>
        </w:rPr>
        <w:t>（三）国有资产占有使用情况</w:t>
      </w:r>
    </w:p>
    <w:p>
      <w:pPr>
        <w:spacing w:line="600" w:lineRule="auto"/>
        <w:ind w:firstLine="640"/>
        <w:jc w:val="left"/>
        <w:rPr>
          <w:rFonts w:ascii="仿宋_GB2312" w:hAnsi="仿宋_GB2312" w:eastAsia="仿宋_GB2312" w:cs="仿宋_GB2312"/>
          <w:color w:val="auto"/>
          <w:sz w:val="32"/>
        </w:rPr>
      </w:pPr>
      <w:r>
        <w:rPr>
          <w:rFonts w:ascii="仿宋_GB2312" w:hAnsi="仿宋_GB2312" w:eastAsia="仿宋_GB2312" w:cs="仿宋_GB2312"/>
          <w:color w:val="auto"/>
          <w:sz w:val="32"/>
        </w:rPr>
        <w:t>截至2018年12月31日，</w:t>
      </w:r>
      <w:r>
        <w:rPr>
          <w:rFonts w:hint="eastAsia" w:ascii="仿宋_GB2312" w:hAnsi="仿宋_GB2312" w:eastAsia="仿宋_GB2312" w:cs="仿宋_GB2312"/>
          <w:color w:val="auto"/>
          <w:sz w:val="32"/>
        </w:rPr>
        <w:t>县政协</w:t>
      </w:r>
      <w:r>
        <w:rPr>
          <w:rFonts w:ascii="仿宋_GB2312" w:hAnsi="仿宋_GB2312" w:eastAsia="仿宋_GB2312" w:cs="仿宋_GB2312"/>
          <w:color w:val="auto"/>
          <w:sz w:val="32"/>
        </w:rPr>
        <w:t>共有车辆</w:t>
      </w:r>
      <w:r>
        <w:rPr>
          <w:rFonts w:hint="eastAsia" w:ascii="仿宋_GB2312" w:hAnsi="仿宋_GB2312" w:eastAsia="仿宋_GB2312" w:cs="仿宋_GB2312"/>
          <w:color w:val="auto"/>
          <w:sz w:val="32"/>
        </w:rPr>
        <w:t>4</w:t>
      </w:r>
      <w:r>
        <w:rPr>
          <w:rFonts w:ascii="仿宋_GB2312" w:hAnsi="仿宋_GB2312" w:eastAsia="仿宋_GB2312" w:cs="仿宋_GB2312"/>
          <w:color w:val="auto"/>
          <w:sz w:val="32"/>
        </w:rPr>
        <w:t>辆，其中：</w:t>
      </w:r>
      <w:r>
        <w:rPr>
          <w:rFonts w:hint="eastAsia" w:ascii="仿宋_GB2312" w:hAnsi="仿宋_GB2312" w:eastAsia="仿宋_GB2312" w:cs="仿宋_GB2312"/>
          <w:color w:val="auto"/>
          <w:sz w:val="32"/>
        </w:rPr>
        <w:t>机要通信用车4辆，</w:t>
      </w:r>
      <w:r>
        <w:rPr>
          <w:rFonts w:ascii="仿宋_GB2312" w:hAnsi="仿宋_GB2312" w:eastAsia="仿宋_GB2312" w:cs="仿宋_GB2312"/>
          <w:color w:val="auto"/>
          <w:sz w:val="32"/>
        </w:rPr>
        <w:t>单价50万元以上通用设备</w:t>
      </w:r>
      <w:r>
        <w:rPr>
          <w:rFonts w:hint="eastAsia" w:ascii="仿宋_GB2312" w:hAnsi="仿宋_GB2312" w:eastAsia="仿宋_GB2312" w:cs="仿宋_GB2312"/>
          <w:color w:val="auto"/>
          <w:sz w:val="32"/>
        </w:rPr>
        <w:t>0</w:t>
      </w:r>
      <w:r>
        <w:rPr>
          <w:rFonts w:ascii="仿宋_GB2312" w:hAnsi="仿宋_GB2312" w:eastAsia="仿宋_GB2312" w:cs="仿宋_GB2312"/>
          <w:color w:val="auto"/>
          <w:sz w:val="32"/>
        </w:rPr>
        <w:t>台（套），单价100万元以上专用设备</w:t>
      </w:r>
      <w:r>
        <w:rPr>
          <w:rFonts w:hint="eastAsia" w:ascii="仿宋_GB2312" w:hAnsi="仿宋_GB2312" w:eastAsia="仿宋_GB2312" w:cs="仿宋_GB2312"/>
          <w:color w:val="auto"/>
          <w:sz w:val="32"/>
        </w:rPr>
        <w:t>0</w:t>
      </w:r>
      <w:r>
        <w:rPr>
          <w:rFonts w:ascii="仿宋_GB2312" w:hAnsi="仿宋_GB2312" w:eastAsia="仿宋_GB2312" w:cs="仿宋_GB2312"/>
          <w:color w:val="auto"/>
          <w:sz w:val="32"/>
        </w:rPr>
        <w:t>台（套）。</w:t>
      </w:r>
    </w:p>
    <w:p>
      <w:pPr>
        <w:jc w:val="left"/>
        <w:rPr>
          <w:rFonts w:ascii="仿宋_GB2312" w:hAnsi="仿宋_GB2312" w:eastAsia="仿宋_GB2312" w:cs="仿宋_GB2312"/>
          <w:b/>
          <w:color w:val="auto"/>
          <w:sz w:val="32"/>
        </w:rPr>
      </w:pPr>
    </w:p>
    <w:p>
      <w:pPr>
        <w:numPr>
          <w:ilvl w:val="0"/>
          <w:numId w:val="7"/>
        </w:numPr>
        <w:spacing w:line="600" w:lineRule="auto"/>
        <w:ind w:firstLine="663"/>
        <w:jc w:val="center"/>
        <w:rPr>
          <w:rFonts w:ascii="黑体" w:hAnsi="黑体" w:eastAsia="黑体" w:cs="黑体"/>
          <w:color w:val="auto"/>
          <w:sz w:val="44"/>
        </w:rPr>
      </w:pPr>
      <w:r>
        <w:rPr>
          <w:rFonts w:ascii="黑体" w:hAnsi="黑体" w:eastAsia="黑体" w:cs="黑体"/>
          <w:b/>
          <w:color w:val="auto"/>
          <w:sz w:val="44"/>
        </w:rPr>
        <w:t>名</w:t>
      </w:r>
      <w:r>
        <w:rPr>
          <w:rFonts w:ascii="黑体" w:hAnsi="黑体" w:eastAsia="黑体" w:cs="黑体"/>
          <w:color w:val="auto"/>
          <w:sz w:val="44"/>
        </w:rPr>
        <w:t>词解释</w:t>
      </w:r>
    </w:p>
    <w:p>
      <w:pPr>
        <w:spacing w:line="600" w:lineRule="auto"/>
        <w:jc w:val="left"/>
        <w:rPr>
          <w:rFonts w:ascii="宋体" w:hAnsi="宋体" w:eastAsia="宋体" w:cs="宋体"/>
          <w:b/>
          <w:color w:val="auto"/>
          <w:sz w:val="44"/>
        </w:rPr>
      </w:pPr>
    </w:p>
    <w:p>
      <w:pPr>
        <w:spacing w:line="560" w:lineRule="auto"/>
        <w:ind w:firstLine="640"/>
        <w:jc w:val="left"/>
        <w:rPr>
          <w:rFonts w:ascii="仿宋_GB2312" w:hAnsi="仿宋_GB2312" w:eastAsia="仿宋_GB2312" w:cs="仿宋_GB2312"/>
          <w:color w:val="auto"/>
          <w:sz w:val="32"/>
        </w:rPr>
      </w:pPr>
      <w:r>
        <w:rPr>
          <w:rFonts w:ascii="仿宋_GB2312" w:hAnsi="仿宋_GB2312" w:eastAsia="仿宋_GB2312" w:cs="仿宋_GB2312"/>
          <w:color w:val="auto"/>
          <w:sz w:val="32"/>
        </w:rPr>
        <w:t>1.财政拨款收入：指单位从同级财政部门取得的财政预算资金。</w:t>
      </w:r>
    </w:p>
    <w:p>
      <w:pPr>
        <w:spacing w:line="560" w:lineRule="auto"/>
        <w:ind w:firstLine="640"/>
        <w:jc w:val="left"/>
        <w:rPr>
          <w:rFonts w:ascii="仿宋_GB2312" w:hAnsi="仿宋_GB2312" w:eastAsia="仿宋_GB2312" w:cs="仿宋_GB2312"/>
          <w:color w:val="auto"/>
          <w:sz w:val="32"/>
        </w:rPr>
      </w:pPr>
      <w:r>
        <w:rPr>
          <w:rFonts w:hint="eastAsia" w:ascii="仿宋_GB2312" w:hAnsi="仿宋_GB2312" w:eastAsia="仿宋_GB2312" w:cs="仿宋_GB2312"/>
          <w:color w:val="auto"/>
          <w:sz w:val="32"/>
        </w:rPr>
        <w:t>2</w:t>
      </w:r>
      <w:r>
        <w:rPr>
          <w:rFonts w:ascii="仿宋_GB2312" w:hAnsi="仿宋_GB2312" w:eastAsia="仿宋_GB2312" w:cs="仿宋_GB2312"/>
          <w:color w:val="auto"/>
          <w:sz w:val="32"/>
        </w:rPr>
        <w:t>.其他收入：指单位取得的除上述收入以外的各项收入。主要是</w:t>
      </w:r>
      <w:r>
        <w:rPr>
          <w:rFonts w:hint="eastAsia" w:ascii="仿宋_GB2312" w:hAnsi="仿宋_GB2312" w:eastAsia="仿宋_GB2312" w:cs="仿宋_GB2312"/>
          <w:color w:val="auto"/>
          <w:sz w:val="32"/>
        </w:rPr>
        <w:t>利息收入</w:t>
      </w:r>
      <w:r>
        <w:rPr>
          <w:rFonts w:ascii="仿宋_GB2312" w:hAnsi="仿宋_GB2312" w:eastAsia="仿宋_GB2312" w:cs="仿宋_GB2312"/>
          <w:color w:val="auto"/>
          <w:sz w:val="32"/>
        </w:rPr>
        <w:t xml:space="preserve">等。 </w:t>
      </w:r>
    </w:p>
    <w:p>
      <w:pPr>
        <w:spacing w:line="560" w:lineRule="auto"/>
        <w:ind w:firstLine="640"/>
        <w:jc w:val="left"/>
        <w:rPr>
          <w:rFonts w:ascii="仿宋_GB2312" w:hAnsi="仿宋_GB2312" w:eastAsia="仿宋_GB2312" w:cs="仿宋_GB2312"/>
          <w:color w:val="auto"/>
          <w:sz w:val="32"/>
        </w:rPr>
      </w:pPr>
      <w:r>
        <w:rPr>
          <w:rFonts w:hint="eastAsia" w:ascii="仿宋_GB2312" w:hAnsi="仿宋_GB2312" w:eastAsia="仿宋_GB2312" w:cs="仿宋_GB2312"/>
          <w:color w:val="auto"/>
          <w:sz w:val="32"/>
        </w:rPr>
        <w:t>3</w:t>
      </w:r>
      <w:r>
        <w:rPr>
          <w:rFonts w:ascii="仿宋_GB2312" w:hAnsi="仿宋_GB2312" w:eastAsia="仿宋_GB2312" w:cs="仿宋_GB2312"/>
          <w:color w:val="auto"/>
          <w:sz w:val="32"/>
        </w:rPr>
        <w:t xml:space="preserve">.年初结转和结余：指以前年度尚未完成、结转到本年按有关规定继续使用的资金。 </w:t>
      </w:r>
    </w:p>
    <w:p>
      <w:pPr>
        <w:spacing w:line="560" w:lineRule="auto"/>
        <w:ind w:firstLine="640"/>
        <w:jc w:val="left"/>
        <w:rPr>
          <w:rFonts w:ascii="仿宋_GB2312" w:hAnsi="仿宋_GB2312" w:eastAsia="仿宋_GB2312" w:cs="仿宋_GB2312"/>
          <w:color w:val="auto"/>
          <w:sz w:val="32"/>
        </w:rPr>
      </w:pPr>
      <w:r>
        <w:rPr>
          <w:rFonts w:hint="eastAsia" w:ascii="仿宋_GB2312" w:hAnsi="仿宋_GB2312" w:eastAsia="仿宋_GB2312" w:cs="仿宋_GB2312"/>
          <w:color w:val="auto"/>
          <w:sz w:val="32"/>
        </w:rPr>
        <w:t>4</w:t>
      </w:r>
      <w:r>
        <w:rPr>
          <w:rFonts w:ascii="仿宋_GB2312" w:hAnsi="仿宋_GB2312" w:eastAsia="仿宋_GB2312" w:cs="仿宋_GB2312"/>
          <w:color w:val="auto"/>
          <w:sz w:val="32"/>
        </w:rPr>
        <w:t>、年末结转和结余：指单位按有关规定结转到下年或以后年度继续使用的资金。</w:t>
      </w:r>
    </w:p>
    <w:p>
      <w:pPr>
        <w:spacing w:line="600" w:lineRule="auto"/>
        <w:ind w:firstLine="640" w:firstLineChars="200"/>
        <w:rPr>
          <w:rFonts w:ascii="仿宋" w:hAnsi="仿宋" w:eastAsia="仿宋" w:cs="仿宋"/>
          <w:color w:val="auto"/>
          <w:sz w:val="32"/>
        </w:rPr>
      </w:pPr>
      <w:r>
        <w:rPr>
          <w:rFonts w:hint="eastAsia" w:ascii="仿宋_GB2312" w:hAnsi="仿宋_GB2312" w:eastAsia="仿宋_GB2312" w:cs="仿宋_GB2312"/>
          <w:color w:val="auto"/>
          <w:sz w:val="32"/>
        </w:rPr>
        <w:t>6</w:t>
      </w:r>
      <w:r>
        <w:rPr>
          <w:rFonts w:ascii="仿宋_GB2312" w:hAnsi="仿宋_GB2312" w:eastAsia="仿宋_GB2312" w:cs="仿宋_GB2312"/>
          <w:color w:val="auto"/>
          <w:sz w:val="32"/>
        </w:rPr>
        <w:t>社会保障和就业（类）</w:t>
      </w:r>
      <w:r>
        <w:rPr>
          <w:rFonts w:ascii="仿宋" w:hAnsi="仿宋" w:eastAsia="仿宋" w:cs="仿宋"/>
          <w:color w:val="auto"/>
          <w:sz w:val="32"/>
        </w:rPr>
        <w:t>20805</w:t>
      </w:r>
      <w:r>
        <w:rPr>
          <w:rFonts w:hint="eastAsia" w:ascii="仿宋" w:hAnsi="仿宋" w:eastAsia="仿宋" w:cs="仿宋"/>
          <w:color w:val="auto"/>
          <w:sz w:val="32"/>
        </w:rPr>
        <w:t>-行政事业单位离退休</w:t>
      </w:r>
      <w:r>
        <w:rPr>
          <w:rFonts w:ascii="仿宋" w:hAnsi="仿宋" w:eastAsia="仿宋" w:cs="仿宋"/>
          <w:color w:val="auto"/>
          <w:sz w:val="32"/>
        </w:rPr>
        <w:t>（款）</w:t>
      </w:r>
      <w:r>
        <w:rPr>
          <w:color w:val="auto"/>
        </w:rPr>
        <w:t xml:space="preserve"> </w:t>
      </w:r>
      <w:r>
        <w:rPr>
          <w:rFonts w:ascii="仿宋" w:hAnsi="仿宋" w:eastAsia="仿宋" w:cs="仿宋"/>
          <w:color w:val="auto"/>
          <w:sz w:val="32"/>
        </w:rPr>
        <w:t>2080506</w:t>
      </w:r>
      <w:r>
        <w:rPr>
          <w:rFonts w:hint="eastAsia" w:ascii="仿宋" w:hAnsi="仿宋" w:eastAsia="仿宋" w:cs="仿宋"/>
          <w:color w:val="auto"/>
          <w:sz w:val="32"/>
        </w:rPr>
        <w:t>-机关事业单位职业年金缴费支出★</w:t>
      </w:r>
      <w:r>
        <w:rPr>
          <w:rFonts w:ascii="仿宋" w:hAnsi="仿宋" w:eastAsia="仿宋" w:cs="仿宋"/>
          <w:color w:val="auto"/>
          <w:sz w:val="32"/>
        </w:rPr>
        <w:t>（项）:</w:t>
      </w:r>
      <w:r>
        <w:rPr>
          <w:rFonts w:hint="eastAsia" w:ascii="仿宋" w:hAnsi="仿宋" w:eastAsia="仿宋" w:cs="仿宋"/>
          <w:color w:val="auto"/>
          <w:sz w:val="32"/>
        </w:rPr>
        <w:t>是职业年金。</w:t>
      </w:r>
    </w:p>
    <w:p>
      <w:pPr>
        <w:spacing w:line="600" w:lineRule="auto"/>
        <w:ind w:firstLine="643"/>
        <w:rPr>
          <w:rFonts w:ascii="仿宋" w:hAnsi="仿宋" w:eastAsia="仿宋" w:cs="仿宋"/>
          <w:b/>
          <w:color w:val="auto"/>
          <w:sz w:val="32"/>
        </w:rPr>
      </w:pPr>
      <w:r>
        <w:rPr>
          <w:rFonts w:hint="eastAsia" w:ascii="仿宋_GB2312" w:hAnsi="仿宋_GB2312" w:eastAsia="仿宋_GB2312" w:cs="仿宋_GB2312"/>
          <w:color w:val="auto"/>
          <w:sz w:val="32"/>
        </w:rPr>
        <w:t>7</w:t>
      </w:r>
      <w:r>
        <w:rPr>
          <w:rFonts w:ascii="仿宋_GB2312" w:hAnsi="仿宋_GB2312" w:eastAsia="仿宋_GB2312" w:cs="仿宋_GB2312"/>
          <w:color w:val="auto"/>
          <w:sz w:val="32"/>
        </w:rPr>
        <w:t>.医疗卫生与计划生育（类）</w:t>
      </w:r>
      <w:r>
        <w:rPr>
          <w:rFonts w:ascii="仿宋" w:hAnsi="仿宋" w:eastAsia="仿宋" w:cs="仿宋"/>
          <w:color w:val="auto"/>
          <w:sz w:val="32"/>
        </w:rPr>
        <w:t>21011</w:t>
      </w:r>
      <w:r>
        <w:rPr>
          <w:rFonts w:hint="eastAsia" w:ascii="仿宋" w:hAnsi="仿宋" w:eastAsia="仿宋" w:cs="仿宋"/>
          <w:color w:val="auto"/>
          <w:sz w:val="32"/>
        </w:rPr>
        <w:t>-行政事业单位医疗★</w:t>
      </w:r>
      <w:r>
        <w:rPr>
          <w:rFonts w:ascii="仿宋" w:hAnsi="仿宋" w:eastAsia="仿宋" w:cs="仿宋"/>
          <w:color w:val="auto"/>
          <w:sz w:val="32"/>
        </w:rPr>
        <w:t>（款）</w:t>
      </w:r>
      <w:r>
        <w:rPr>
          <w:color w:val="auto"/>
        </w:rPr>
        <w:t xml:space="preserve"> </w:t>
      </w:r>
      <w:r>
        <w:rPr>
          <w:rFonts w:ascii="仿宋" w:hAnsi="仿宋" w:eastAsia="仿宋" w:cs="仿宋"/>
          <w:color w:val="auto"/>
          <w:sz w:val="32"/>
        </w:rPr>
        <w:t>2101101</w:t>
      </w:r>
      <w:r>
        <w:rPr>
          <w:rFonts w:hint="eastAsia" w:ascii="仿宋" w:hAnsi="仿宋" w:eastAsia="仿宋" w:cs="仿宋"/>
          <w:color w:val="auto"/>
          <w:sz w:val="32"/>
        </w:rPr>
        <w:t>-行政单位医疗★</w:t>
      </w:r>
      <w:r>
        <w:rPr>
          <w:rFonts w:ascii="仿宋" w:hAnsi="仿宋" w:eastAsia="仿宋" w:cs="仿宋"/>
          <w:color w:val="auto"/>
          <w:sz w:val="32"/>
        </w:rPr>
        <w:t>（项）</w:t>
      </w:r>
      <w:r>
        <w:rPr>
          <w:rFonts w:ascii="仿宋_GB2312" w:hAnsi="仿宋_GB2312" w:eastAsia="仿宋_GB2312" w:cs="仿宋_GB2312"/>
          <w:color w:val="auto"/>
          <w:sz w:val="32"/>
        </w:rPr>
        <w:t>：</w:t>
      </w:r>
      <w:r>
        <w:rPr>
          <w:rFonts w:hint="eastAsia" w:ascii="仿宋_GB2312" w:hAnsi="仿宋_GB2312" w:eastAsia="仿宋_GB2312" w:cs="仿宋_GB2312"/>
          <w:color w:val="auto"/>
          <w:sz w:val="32"/>
        </w:rPr>
        <w:t>指行政单位医疗保险</w:t>
      </w:r>
      <w:r>
        <w:rPr>
          <w:rFonts w:ascii="仿宋_GB2312" w:hAnsi="仿宋_GB2312" w:eastAsia="仿宋_GB2312" w:cs="仿宋_GB2312"/>
          <w:color w:val="auto"/>
          <w:sz w:val="32"/>
        </w:rPr>
        <w:t xml:space="preserve"> </w:t>
      </w:r>
    </w:p>
    <w:p>
      <w:pPr>
        <w:ind w:firstLine="640" w:firstLineChars="200"/>
        <w:rPr>
          <w:rFonts w:ascii="仿宋_GB2312" w:hAnsi="仿宋_GB2312" w:eastAsia="仿宋_GB2312" w:cs="仿宋_GB2312"/>
          <w:color w:val="auto"/>
          <w:sz w:val="32"/>
        </w:rPr>
      </w:pPr>
      <w:r>
        <w:rPr>
          <w:rFonts w:hint="eastAsia" w:ascii="仿宋_GB2312" w:hAnsi="仿宋_GB2312" w:eastAsia="仿宋_GB2312" w:cs="仿宋_GB2312"/>
          <w:color w:val="auto"/>
          <w:sz w:val="32"/>
        </w:rPr>
        <w:t>8</w:t>
      </w:r>
      <w:r>
        <w:rPr>
          <w:rFonts w:ascii="仿宋_GB2312" w:hAnsi="仿宋_GB2312" w:eastAsia="仿宋_GB2312" w:cs="仿宋_GB2312"/>
          <w:color w:val="auto"/>
          <w:sz w:val="32"/>
        </w:rPr>
        <w:t>.</w:t>
      </w:r>
      <w:r>
        <w:rPr>
          <w:rFonts w:hint="eastAsia" w:ascii="仿宋" w:hAnsi="仿宋" w:eastAsia="仿宋" w:cs="仿宋"/>
          <w:color w:val="auto"/>
          <w:sz w:val="32"/>
        </w:rPr>
        <w:t xml:space="preserve"> 住房保障</w:t>
      </w:r>
      <w:r>
        <w:rPr>
          <w:rFonts w:ascii="仿宋" w:hAnsi="仿宋" w:eastAsia="仿宋" w:cs="仿宋"/>
          <w:color w:val="auto"/>
          <w:sz w:val="32"/>
        </w:rPr>
        <w:t>（类）22102</w:t>
      </w:r>
      <w:r>
        <w:rPr>
          <w:rFonts w:hint="eastAsia" w:ascii="仿宋" w:hAnsi="仿宋" w:eastAsia="仿宋" w:cs="仿宋"/>
          <w:color w:val="auto"/>
          <w:sz w:val="32"/>
        </w:rPr>
        <w:t>-住房改革支出</w:t>
      </w:r>
      <w:r>
        <w:rPr>
          <w:rFonts w:ascii="仿宋" w:hAnsi="仿宋" w:eastAsia="仿宋" w:cs="仿宋"/>
          <w:color w:val="auto"/>
          <w:sz w:val="32"/>
        </w:rPr>
        <w:t>（款）2210201</w:t>
      </w:r>
      <w:r>
        <w:rPr>
          <w:rFonts w:hint="eastAsia" w:ascii="仿宋" w:hAnsi="仿宋" w:eastAsia="仿宋" w:cs="仿宋"/>
          <w:color w:val="auto"/>
          <w:sz w:val="32"/>
        </w:rPr>
        <w:t>-住房公积金</w:t>
      </w:r>
      <w:r>
        <w:rPr>
          <w:rFonts w:ascii="仿宋" w:hAnsi="仿宋" w:eastAsia="仿宋" w:cs="仿宋"/>
          <w:color w:val="auto"/>
          <w:sz w:val="32"/>
        </w:rPr>
        <w:t>（项）</w:t>
      </w:r>
      <w:r>
        <w:rPr>
          <w:rFonts w:ascii="仿宋_GB2312" w:hAnsi="仿宋_GB2312" w:eastAsia="仿宋_GB2312" w:cs="仿宋_GB2312"/>
          <w:color w:val="auto"/>
          <w:sz w:val="32"/>
        </w:rPr>
        <w:t>：指</w:t>
      </w:r>
      <w:r>
        <w:rPr>
          <w:rFonts w:hint="eastAsia" w:ascii="仿宋_GB2312" w:hAnsi="仿宋_GB2312" w:eastAsia="仿宋_GB2312" w:cs="仿宋_GB2312"/>
          <w:color w:val="auto"/>
          <w:sz w:val="32"/>
        </w:rPr>
        <w:t>住房公积金</w:t>
      </w:r>
      <w:r>
        <w:rPr>
          <w:rFonts w:ascii="仿宋_GB2312" w:hAnsi="仿宋_GB2312" w:eastAsia="仿宋_GB2312" w:cs="仿宋_GB2312"/>
          <w:color w:val="auto"/>
          <w:sz w:val="32"/>
        </w:rPr>
        <w:t>。</w:t>
      </w:r>
    </w:p>
    <w:p>
      <w:pPr>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9</w:t>
      </w:r>
      <w:r>
        <w:rPr>
          <w:rFonts w:ascii="仿宋_GB2312" w:hAnsi="仿宋_GB2312" w:eastAsia="仿宋_GB2312" w:cs="仿宋_GB2312"/>
          <w:color w:val="auto"/>
          <w:sz w:val="32"/>
        </w:rPr>
        <w:t>.基本支出：指为保障机构正常运转、完成日常工作任务而发生的人员支出和公用支出。</w:t>
      </w:r>
    </w:p>
    <w:p>
      <w:pPr>
        <w:ind w:firstLine="640"/>
        <w:rPr>
          <w:rFonts w:ascii="仿宋_GB2312" w:hAnsi="仿宋_GB2312" w:eastAsia="仿宋_GB2312" w:cs="仿宋_GB2312"/>
          <w:color w:val="auto"/>
          <w:sz w:val="32"/>
        </w:rPr>
      </w:pPr>
      <w:r>
        <w:rPr>
          <w:rFonts w:hint="eastAsia" w:ascii="仿宋_GB2312" w:hAnsi="仿宋_GB2312" w:eastAsia="仿宋_GB2312" w:cs="仿宋_GB2312"/>
          <w:color w:val="auto"/>
          <w:sz w:val="32"/>
        </w:rPr>
        <w:t>10</w:t>
      </w:r>
      <w:r>
        <w:rPr>
          <w:rFonts w:ascii="仿宋_GB2312" w:hAnsi="仿宋_GB2312" w:eastAsia="仿宋_GB2312" w:cs="仿宋_GB2312"/>
          <w:color w:val="auto"/>
          <w:sz w:val="32"/>
        </w:rPr>
        <w:t xml:space="preserve">.项目支出：指在基本支出之外为完成特定行政任务和事业发展目标所发生的支出。 </w:t>
      </w:r>
    </w:p>
    <w:p>
      <w:pPr>
        <w:spacing w:line="560" w:lineRule="auto"/>
        <w:ind w:firstLine="640"/>
        <w:jc w:val="left"/>
        <w:rPr>
          <w:rFonts w:ascii="仿宋_GB2312" w:hAnsi="仿宋_GB2312" w:eastAsia="仿宋_GB2312" w:cs="仿宋_GB2312"/>
          <w:color w:val="auto"/>
          <w:sz w:val="32"/>
        </w:rPr>
      </w:pPr>
      <w:r>
        <w:rPr>
          <w:rFonts w:hint="eastAsia" w:ascii="仿宋_GB2312" w:hAnsi="仿宋_GB2312" w:eastAsia="仿宋_GB2312" w:cs="仿宋_GB2312"/>
          <w:color w:val="auto"/>
          <w:sz w:val="32"/>
        </w:rPr>
        <w:t>11</w:t>
      </w:r>
      <w:r>
        <w:rPr>
          <w:rFonts w:ascii="仿宋_GB2312" w:hAnsi="仿宋_GB2312" w:eastAsia="仿宋_GB2312" w:cs="仿宋_GB2312"/>
          <w:color w:val="auto"/>
          <w:sz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auto"/>
        <w:ind w:firstLine="640"/>
        <w:jc w:val="left"/>
        <w:rPr>
          <w:rFonts w:ascii="仿宋_GB2312" w:hAnsi="仿宋_GB2312" w:eastAsia="仿宋_GB2312" w:cs="仿宋_GB2312"/>
          <w:color w:val="auto"/>
          <w:sz w:val="32"/>
        </w:rPr>
      </w:pPr>
      <w:r>
        <w:rPr>
          <w:rFonts w:hint="eastAsia" w:ascii="仿宋_GB2312" w:hAnsi="仿宋_GB2312" w:eastAsia="仿宋_GB2312" w:cs="仿宋_GB2312"/>
          <w:color w:val="auto"/>
          <w:sz w:val="32"/>
        </w:rPr>
        <w:t>12</w:t>
      </w:r>
      <w:r>
        <w:rPr>
          <w:rFonts w:ascii="仿宋_GB2312" w:hAnsi="仿宋_GB2312" w:eastAsia="仿宋_GB2312" w:cs="仿宋_GB2312"/>
          <w:color w:val="auto"/>
          <w:sz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auto"/>
        <w:jc w:val="center"/>
        <w:rPr>
          <w:rFonts w:ascii="黑体" w:hAnsi="黑体" w:eastAsia="黑体" w:cs="黑体"/>
          <w:color w:val="auto"/>
          <w:sz w:val="44"/>
        </w:rPr>
      </w:pPr>
      <w:r>
        <w:rPr>
          <w:rFonts w:ascii="黑体" w:hAnsi="黑体" w:eastAsia="黑体" w:cs="黑体"/>
          <w:color w:val="auto"/>
          <w:sz w:val="44"/>
        </w:rPr>
        <w:t>第四部分 附件</w:t>
      </w:r>
    </w:p>
    <w:p>
      <w:pPr>
        <w:spacing w:line="600" w:lineRule="auto"/>
        <w:jc w:val="center"/>
        <w:rPr>
          <w:rFonts w:ascii="Times New Roman" w:hAnsi="Times New Roman" w:eastAsia="Times New Roman" w:cs="Times New Roman"/>
          <w:b/>
          <w:color w:val="auto"/>
          <w:sz w:val="44"/>
        </w:rPr>
      </w:pPr>
    </w:p>
    <w:p>
      <w:pPr>
        <w:keepNext/>
        <w:keepLines/>
        <w:spacing w:before="260" w:after="260" w:line="416" w:lineRule="auto"/>
        <w:rPr>
          <w:rFonts w:ascii="仿宋" w:hAnsi="仿宋" w:eastAsia="仿宋" w:cs="仿宋"/>
          <w:color w:val="auto"/>
          <w:sz w:val="32"/>
        </w:rPr>
      </w:pPr>
      <w:r>
        <w:rPr>
          <w:rFonts w:ascii="仿宋" w:hAnsi="仿宋" w:eastAsia="仿宋" w:cs="仿宋"/>
          <w:color w:val="auto"/>
          <w:sz w:val="32"/>
        </w:rPr>
        <w:t>附件1</w:t>
      </w:r>
    </w:p>
    <w:p>
      <w:pPr>
        <w:spacing w:line="480" w:lineRule="auto"/>
        <w:jc w:val="center"/>
        <w:rPr>
          <w:rFonts w:ascii="方正小标宋简体" w:hAnsi="方正小标宋简体" w:eastAsia="方正小标宋简体" w:cs="方正小标宋简体"/>
          <w:color w:val="auto"/>
          <w:sz w:val="44"/>
        </w:rPr>
      </w:pPr>
      <w:r>
        <w:rPr>
          <w:rFonts w:hint="eastAsia" w:ascii="方正小标宋简体" w:hAnsi="方正小标宋简体" w:eastAsia="方正小标宋简体" w:cs="方正小标宋简体"/>
          <w:color w:val="auto"/>
          <w:sz w:val="44"/>
        </w:rPr>
        <w:t>红原县政协委员会办公室</w:t>
      </w:r>
    </w:p>
    <w:p>
      <w:pPr>
        <w:spacing w:line="480" w:lineRule="auto"/>
        <w:jc w:val="center"/>
        <w:rPr>
          <w:rFonts w:ascii="方正小标宋简体" w:hAnsi="方正小标宋简体" w:eastAsia="方正小标宋简体" w:cs="方正小标宋简体"/>
          <w:color w:val="auto"/>
          <w:sz w:val="44"/>
        </w:rPr>
      </w:pPr>
      <w:r>
        <w:rPr>
          <w:rFonts w:hint="eastAsia" w:ascii="方正小标宋简体" w:hAnsi="方正小标宋简体" w:eastAsia="方正小标宋简体" w:cs="方正小标宋简体"/>
          <w:color w:val="auto"/>
          <w:sz w:val="44"/>
        </w:rPr>
        <w:t>2018年</w:t>
      </w:r>
      <w:r>
        <w:rPr>
          <w:rFonts w:ascii="方正小标宋简体" w:hAnsi="方正小标宋简体" w:eastAsia="方正小标宋简体" w:cs="方正小标宋简体"/>
          <w:color w:val="auto"/>
          <w:sz w:val="44"/>
        </w:rPr>
        <w:t>整体支出绩效报告</w:t>
      </w:r>
    </w:p>
    <w:p>
      <w:pPr>
        <w:widowControl/>
        <w:adjustRightInd w:val="0"/>
        <w:snapToGrid w:val="0"/>
        <w:spacing w:line="600" w:lineRule="exact"/>
        <w:ind w:firstLine="720"/>
        <w:jc w:val="left"/>
        <w:rPr>
          <w:rFonts w:ascii="黑体" w:hAnsi="黑体" w:eastAsia="黑体" w:cs="宋体"/>
          <w:color w:val="auto"/>
          <w:kern w:val="0"/>
          <w:sz w:val="32"/>
          <w:szCs w:val="32"/>
          <w:lang w:val="zh-CN"/>
        </w:rPr>
      </w:pPr>
      <w:r>
        <w:rPr>
          <w:rFonts w:hint="eastAsia" w:ascii="黑体" w:hAnsi="黑体" w:eastAsia="黑体" w:cs="宋体"/>
          <w:color w:val="auto"/>
          <w:kern w:val="0"/>
          <w:sz w:val="32"/>
          <w:szCs w:val="32"/>
        </w:rPr>
        <w:t>一、</w:t>
      </w:r>
      <w:r>
        <w:rPr>
          <w:rFonts w:hint="eastAsia" w:ascii="黑体" w:hAnsi="黑体" w:eastAsia="黑体" w:cs="宋体"/>
          <w:color w:val="auto"/>
          <w:kern w:val="0"/>
          <w:sz w:val="32"/>
          <w:szCs w:val="32"/>
          <w:lang w:val="zh-CN"/>
        </w:rPr>
        <w:t>单位概况</w:t>
      </w:r>
    </w:p>
    <w:p>
      <w:pPr>
        <w:widowControl/>
        <w:adjustRightInd w:val="0"/>
        <w:snapToGrid w:val="0"/>
        <w:spacing w:line="600" w:lineRule="exact"/>
        <w:ind w:firstLine="640" w:firstLineChars="200"/>
        <w:jc w:val="left"/>
        <w:rPr>
          <w:rFonts w:ascii="仿宋_GB2312" w:hAnsi="宋体" w:eastAsia="仿宋_GB2312" w:cs="宋体"/>
          <w:color w:val="auto"/>
          <w:kern w:val="0"/>
          <w:sz w:val="32"/>
          <w:szCs w:val="32"/>
          <w:lang w:val="zh-CN"/>
        </w:rPr>
      </w:pPr>
      <w:r>
        <w:rPr>
          <w:rFonts w:hint="eastAsia" w:ascii="仿宋_GB2312" w:hAnsi="宋体" w:eastAsia="仿宋_GB2312" w:cs="宋体"/>
          <w:color w:val="auto"/>
          <w:kern w:val="0"/>
          <w:sz w:val="32"/>
          <w:szCs w:val="32"/>
          <w:lang w:val="zh-CN"/>
        </w:rPr>
        <w:t>（一）机构组成。</w:t>
      </w:r>
    </w:p>
    <w:p>
      <w:pPr>
        <w:spacing w:line="560" w:lineRule="exact"/>
        <w:ind w:firstLine="640" w:firstLineChars="200"/>
        <w:rPr>
          <w:rFonts w:ascii="仿宋_GB2312" w:hAnsi="仿宋" w:eastAsia="仿宋_GB2312" w:cs="仿宋"/>
          <w:color w:val="auto"/>
          <w:sz w:val="32"/>
          <w:szCs w:val="32"/>
        </w:rPr>
      </w:pPr>
      <w:r>
        <w:rPr>
          <w:rFonts w:hint="eastAsia" w:ascii="仿宋_GB2312" w:hAnsi="宋体" w:eastAsia="仿宋_GB2312" w:cs="宋体"/>
          <w:color w:val="auto"/>
          <w:kern w:val="0"/>
          <w:sz w:val="32"/>
          <w:szCs w:val="32"/>
          <w:lang w:val="zh-CN"/>
        </w:rPr>
        <w:t>县政协属于一级预算单位，行政单位，下设6个股室：</w:t>
      </w:r>
      <w:r>
        <w:rPr>
          <w:rFonts w:hint="eastAsia" w:ascii="仿宋_GB2312" w:hAnsi="仿宋" w:eastAsia="仿宋_GB2312"/>
          <w:color w:val="auto"/>
          <w:sz w:val="32"/>
          <w:szCs w:val="32"/>
        </w:rPr>
        <w:t>经济科技文卫委、民族宗教委、文史提案委和办公室，其中办公室</w:t>
      </w:r>
      <w:r>
        <w:rPr>
          <w:rFonts w:hint="eastAsia" w:ascii="仿宋_GB2312" w:hAnsi="仿宋" w:eastAsia="仿宋_GB2312" w:cs="仿宋"/>
          <w:color w:val="auto"/>
          <w:sz w:val="32"/>
          <w:szCs w:val="32"/>
        </w:rPr>
        <w:t>下设机构有秘书股、行政后勤股、综合股</w:t>
      </w:r>
      <w:r>
        <w:rPr>
          <w:rFonts w:hint="eastAsia" w:ascii="仿宋_GB2312" w:hAnsi="宋体" w:eastAsia="仿宋_GB2312" w:cs="宋体"/>
          <w:color w:val="auto"/>
          <w:kern w:val="0"/>
          <w:sz w:val="32"/>
          <w:szCs w:val="32"/>
          <w:lang w:val="zh-CN"/>
        </w:rPr>
        <w:t>。</w:t>
      </w:r>
    </w:p>
    <w:p>
      <w:pPr>
        <w:widowControl/>
        <w:adjustRightInd w:val="0"/>
        <w:snapToGrid w:val="0"/>
        <w:spacing w:line="600" w:lineRule="exact"/>
        <w:ind w:firstLine="640" w:firstLineChars="200"/>
        <w:jc w:val="left"/>
        <w:rPr>
          <w:rFonts w:ascii="仿宋_GB2312" w:hAnsi="宋体" w:eastAsia="仿宋_GB2312" w:cs="宋体"/>
          <w:color w:val="auto"/>
          <w:kern w:val="0"/>
          <w:sz w:val="32"/>
          <w:szCs w:val="32"/>
          <w:lang w:val="zh-CN"/>
        </w:rPr>
      </w:pPr>
      <w:r>
        <w:rPr>
          <w:rFonts w:hint="eastAsia" w:ascii="仿宋_GB2312" w:hAnsi="宋体" w:eastAsia="仿宋_GB2312" w:cs="宋体"/>
          <w:color w:val="auto"/>
          <w:kern w:val="0"/>
          <w:sz w:val="32"/>
          <w:szCs w:val="32"/>
          <w:lang w:val="zh-CN"/>
        </w:rPr>
        <w:t>（二）机构职能。</w:t>
      </w:r>
    </w:p>
    <w:p>
      <w:pPr>
        <w:spacing w:line="560" w:lineRule="exact"/>
        <w:ind w:firstLine="640" w:firstLineChars="200"/>
        <w:rPr>
          <w:rFonts w:ascii="仿宋_GB2312" w:hAnsi="楷体" w:eastAsia="仿宋_GB2312" w:cs="楷体"/>
          <w:b/>
          <w:bCs/>
          <w:color w:val="auto"/>
          <w:sz w:val="32"/>
          <w:szCs w:val="32"/>
        </w:rPr>
      </w:pPr>
      <w:r>
        <w:rPr>
          <w:rFonts w:hint="eastAsia" w:ascii="仿宋_GB2312" w:hAnsi="仿宋" w:eastAsia="仿宋_GB2312" w:cs="仿宋"/>
          <w:color w:val="auto"/>
          <w:sz w:val="32"/>
          <w:szCs w:val="32"/>
        </w:rPr>
        <w:t>主要职能是：政治协商、</w:t>
      </w:r>
      <w:r>
        <w:rPr>
          <w:color w:val="auto"/>
        </w:rPr>
        <w:fldChar w:fldCharType="begin"/>
      </w:r>
      <w:r>
        <w:rPr>
          <w:color w:val="auto"/>
        </w:rPr>
        <w:instrText xml:space="preserve"> HYPERLINK "http://www.baidu.com/s?wd=%E6%B0%91%E4%B8%BB%E7%9B%91%E7%9D%A3&amp;hl_tag=textlink&amp;tn=SE_hldp01350_v6v6zkg6" \t "http://zhidao.baidu.com/question/_blank" </w:instrText>
      </w:r>
      <w:r>
        <w:rPr>
          <w:color w:val="auto"/>
        </w:rPr>
        <w:fldChar w:fldCharType="separate"/>
      </w:r>
      <w:r>
        <w:rPr>
          <w:rStyle w:val="8"/>
          <w:rFonts w:hint="eastAsia" w:ascii="仿宋_GB2312" w:hAnsi="仿宋" w:eastAsia="仿宋_GB2312" w:cs="仿宋"/>
          <w:color w:val="auto"/>
          <w:sz w:val="32"/>
          <w:szCs w:val="32"/>
        </w:rPr>
        <w:t>民主监督</w:t>
      </w:r>
      <w:r>
        <w:rPr>
          <w:rStyle w:val="8"/>
          <w:rFonts w:hint="eastAsia" w:ascii="仿宋_GB2312" w:hAnsi="仿宋" w:eastAsia="仿宋_GB2312" w:cs="仿宋"/>
          <w:color w:val="auto"/>
          <w:sz w:val="32"/>
          <w:szCs w:val="32"/>
        </w:rPr>
        <w:fldChar w:fldCharType="end"/>
      </w:r>
      <w:r>
        <w:rPr>
          <w:rFonts w:hint="eastAsia" w:ascii="仿宋_GB2312" w:hAnsi="仿宋" w:eastAsia="仿宋_GB2312" w:cs="仿宋"/>
          <w:color w:val="auto"/>
          <w:sz w:val="32"/>
          <w:szCs w:val="32"/>
        </w:rPr>
        <w:t>、参政议政，这也是政协工作的立足点。通过履行三大职能，多层次、多形式地对党委政府的大政方针和重要事务以及关系群众生活的重要问题进行政治协商，并通过建议和批评，发挥</w:t>
      </w:r>
      <w:r>
        <w:rPr>
          <w:color w:val="auto"/>
        </w:rPr>
        <w:fldChar w:fldCharType="begin"/>
      </w:r>
      <w:r>
        <w:rPr>
          <w:color w:val="auto"/>
        </w:rPr>
        <w:instrText xml:space="preserve"> HYPERLINK "http://www.baidu.com/s?wd=%E6%B0%91%E4%B8%BB%E7%9B%91%E7%9D%A3&amp;hl_tag=textlink&amp;tn=SE_hldp01350_v6v6zkg6" \t "http://zhidao.baidu.com/question/_blank" </w:instrText>
      </w:r>
      <w:r>
        <w:rPr>
          <w:color w:val="auto"/>
        </w:rPr>
        <w:fldChar w:fldCharType="separate"/>
      </w:r>
      <w:r>
        <w:rPr>
          <w:rStyle w:val="8"/>
          <w:rFonts w:hint="eastAsia" w:ascii="仿宋_GB2312" w:hAnsi="仿宋" w:eastAsia="仿宋_GB2312" w:cs="仿宋"/>
          <w:color w:val="auto"/>
          <w:sz w:val="32"/>
          <w:szCs w:val="32"/>
        </w:rPr>
        <w:t>民主监督</w:t>
      </w:r>
      <w:r>
        <w:rPr>
          <w:rStyle w:val="8"/>
          <w:rFonts w:hint="eastAsia" w:ascii="仿宋_GB2312" w:hAnsi="仿宋" w:eastAsia="仿宋_GB2312" w:cs="仿宋"/>
          <w:color w:val="auto"/>
          <w:sz w:val="32"/>
          <w:szCs w:val="32"/>
        </w:rPr>
        <w:fldChar w:fldCharType="end"/>
      </w:r>
      <w:r>
        <w:rPr>
          <w:rFonts w:hint="eastAsia" w:ascii="仿宋_GB2312" w:hAnsi="仿宋" w:eastAsia="仿宋_GB2312" w:cs="仿宋"/>
          <w:color w:val="auto"/>
          <w:sz w:val="32"/>
          <w:szCs w:val="32"/>
        </w:rPr>
        <w:t>的作用，把政治协商、</w:t>
      </w:r>
      <w:r>
        <w:rPr>
          <w:color w:val="auto"/>
        </w:rPr>
        <w:fldChar w:fldCharType="begin"/>
      </w:r>
      <w:r>
        <w:rPr>
          <w:color w:val="auto"/>
        </w:rPr>
        <w:instrText xml:space="preserve"> HYPERLINK "http://www.baidu.com/s?wd=%E6%B0%91%E4%B8%BB%E7%9B%91%E7%9D%A3&amp;hl_tag=textlink&amp;tn=SE_hldp01350_v6v6zkg6" \t "http://zhidao.baidu.com/question/_blank" </w:instrText>
      </w:r>
      <w:r>
        <w:rPr>
          <w:color w:val="auto"/>
        </w:rPr>
        <w:fldChar w:fldCharType="separate"/>
      </w:r>
      <w:r>
        <w:rPr>
          <w:rStyle w:val="8"/>
          <w:rFonts w:hint="eastAsia" w:ascii="仿宋_GB2312" w:hAnsi="仿宋" w:eastAsia="仿宋_GB2312" w:cs="仿宋"/>
          <w:color w:val="auto"/>
          <w:sz w:val="32"/>
          <w:szCs w:val="32"/>
        </w:rPr>
        <w:t>民主监督</w:t>
      </w:r>
      <w:r>
        <w:rPr>
          <w:rStyle w:val="8"/>
          <w:rFonts w:hint="eastAsia" w:ascii="仿宋_GB2312" w:hAnsi="仿宋" w:eastAsia="仿宋_GB2312" w:cs="仿宋"/>
          <w:color w:val="auto"/>
          <w:sz w:val="32"/>
          <w:szCs w:val="32"/>
        </w:rPr>
        <w:fldChar w:fldCharType="end"/>
      </w:r>
      <w:r>
        <w:rPr>
          <w:rFonts w:hint="eastAsia" w:ascii="仿宋_GB2312" w:hAnsi="仿宋" w:eastAsia="仿宋_GB2312" w:cs="仿宋"/>
          <w:color w:val="auto"/>
          <w:sz w:val="32"/>
          <w:szCs w:val="32"/>
        </w:rPr>
        <w:t>和改革开放、经济建设有机统一起来。</w:t>
      </w:r>
      <w:r>
        <w:rPr>
          <w:rFonts w:hint="eastAsia" w:ascii="仿宋_GB2312" w:hAnsi="Helvetica" w:eastAsia="仿宋_GB2312" w:cs="Helvetica"/>
          <w:color w:val="auto"/>
          <w:sz w:val="32"/>
          <w:szCs w:val="32"/>
        </w:rPr>
        <w:t>政协机关主要职责是负责政协各类会议的组织和会务工作，组织委员视察参观、调查、座谈等日常活动以及各专委会的其他工作的组织和服务工作，负责县政协举办各种重大活动的组织和宣传工作。</w:t>
      </w:r>
    </w:p>
    <w:p>
      <w:pPr>
        <w:widowControl/>
        <w:adjustRightInd w:val="0"/>
        <w:snapToGrid w:val="0"/>
        <w:spacing w:line="600" w:lineRule="exact"/>
        <w:ind w:firstLine="640" w:firstLineChars="200"/>
        <w:jc w:val="left"/>
        <w:rPr>
          <w:rFonts w:ascii="仿宋_GB2312" w:hAnsi="宋体" w:eastAsia="仿宋_GB2312" w:cs="宋体"/>
          <w:color w:val="auto"/>
          <w:kern w:val="0"/>
          <w:sz w:val="32"/>
          <w:szCs w:val="32"/>
          <w:lang w:val="zh-CN"/>
        </w:rPr>
      </w:pPr>
      <w:r>
        <w:rPr>
          <w:rFonts w:hint="eastAsia" w:ascii="仿宋_GB2312" w:hAnsi="宋体" w:eastAsia="仿宋_GB2312" w:cs="宋体"/>
          <w:color w:val="auto"/>
          <w:kern w:val="0"/>
          <w:sz w:val="32"/>
          <w:szCs w:val="32"/>
          <w:lang w:val="zh-CN"/>
        </w:rPr>
        <w:t>（三）人员概况。</w:t>
      </w:r>
    </w:p>
    <w:p>
      <w:pPr>
        <w:widowControl/>
        <w:spacing w:line="560" w:lineRule="exact"/>
        <w:ind w:firstLine="640" w:firstLineChars="200"/>
        <w:jc w:val="left"/>
        <w:rPr>
          <w:rFonts w:ascii="仿宋_GB2312" w:hAnsi="仿宋" w:eastAsia="仿宋_GB2312" w:cs="仿宋"/>
          <w:color w:val="auto"/>
          <w:sz w:val="32"/>
          <w:szCs w:val="32"/>
        </w:rPr>
      </w:pPr>
      <w:r>
        <w:rPr>
          <w:rFonts w:hint="eastAsia" w:ascii="仿宋_GB2312" w:hAnsi="仿宋" w:eastAsia="仿宋_GB2312" w:cs="仿宋"/>
          <w:color w:val="auto"/>
          <w:sz w:val="32"/>
          <w:szCs w:val="32"/>
        </w:rPr>
        <w:t>本单位为独立核算全额拨款的行政单位，截止2018年底总编制25名,其中:行政编制15名，行政工勤9名。在职人员总数25名，其中：行政在职人数15人，行政工勤9人。</w:t>
      </w:r>
    </w:p>
    <w:p>
      <w:pPr>
        <w:widowControl/>
        <w:adjustRightInd w:val="0"/>
        <w:snapToGrid w:val="0"/>
        <w:spacing w:line="600" w:lineRule="exact"/>
        <w:ind w:firstLine="720"/>
        <w:jc w:val="left"/>
        <w:rPr>
          <w:rFonts w:ascii="黑体" w:hAnsi="黑体" w:eastAsia="黑体" w:cs="宋体"/>
          <w:color w:val="auto"/>
          <w:kern w:val="0"/>
          <w:sz w:val="32"/>
          <w:szCs w:val="32"/>
        </w:rPr>
      </w:pPr>
      <w:r>
        <w:rPr>
          <w:rFonts w:hint="eastAsia" w:ascii="黑体" w:hAnsi="黑体" w:eastAsia="黑体" w:cs="宋体"/>
          <w:color w:val="auto"/>
          <w:kern w:val="0"/>
          <w:sz w:val="32"/>
          <w:szCs w:val="32"/>
        </w:rPr>
        <w:t>二、部门财政资金收支情况</w:t>
      </w:r>
    </w:p>
    <w:p>
      <w:pPr>
        <w:spacing w:line="600" w:lineRule="exact"/>
        <w:ind w:firstLine="640" w:firstLineChars="200"/>
        <w:rPr>
          <w:rFonts w:ascii="仿宋_GB2312" w:hAnsi="宋体" w:eastAsia="仿宋_GB2312" w:cs="宋体"/>
          <w:color w:val="auto"/>
          <w:kern w:val="0"/>
          <w:sz w:val="32"/>
          <w:szCs w:val="32"/>
          <w:lang w:val="zh-CN"/>
        </w:rPr>
      </w:pPr>
      <w:r>
        <w:rPr>
          <w:rFonts w:hint="eastAsia" w:ascii="仿宋_GB2312" w:hAnsi="宋体" w:eastAsia="仿宋_GB2312" w:cs="宋体"/>
          <w:color w:val="auto"/>
          <w:kern w:val="0"/>
          <w:sz w:val="32"/>
          <w:szCs w:val="32"/>
          <w:lang w:val="zh-CN"/>
        </w:rPr>
        <w:t>（一）部门财政资金收入情况。</w:t>
      </w:r>
    </w:p>
    <w:p>
      <w:pPr>
        <w:spacing w:line="600" w:lineRule="exact"/>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2018年总收入6318762.74元，本年收入5663481.78元，占总收入89.63%，其中：其中财政拨款收入5583335.34元，占本年收入98.58%；其他收入80146.44元，占本年收入1.42%，年初结转结余655280.96元，占总收入10.37%。2018年底结转结余合计142612.30元，其中基本支出结转结余142612.3元，占100%。</w:t>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s="仿宋"/>
          <w:color w:val="auto"/>
          <w:sz w:val="32"/>
          <w:szCs w:val="32"/>
        </w:rPr>
        <w:t>2019我单位收入为5919762.72元</w:t>
      </w:r>
      <w:r>
        <w:rPr>
          <w:rFonts w:hint="eastAsia" w:ascii="仿宋_GB2312" w:hAnsi="仿宋_GB2312" w:eastAsia="仿宋_GB2312" w:cs="仿宋_GB2312"/>
          <w:color w:val="auto"/>
          <w:sz w:val="32"/>
          <w:szCs w:val="32"/>
        </w:rPr>
        <w:t>，其中一般公共预算财政收入</w:t>
      </w:r>
      <w:r>
        <w:rPr>
          <w:rFonts w:hint="eastAsia" w:ascii="仿宋_GB2312" w:hAnsi="仿宋" w:eastAsia="仿宋_GB2312" w:cs="仿宋"/>
          <w:color w:val="auto"/>
          <w:sz w:val="32"/>
          <w:szCs w:val="32"/>
        </w:rPr>
        <w:t>5919762.72</w:t>
      </w:r>
      <w:r>
        <w:rPr>
          <w:rFonts w:hint="eastAsia" w:ascii="仿宋_GB2312" w:hAnsi="仿宋_GB2312" w:eastAsia="仿宋_GB2312" w:cs="仿宋_GB2312"/>
          <w:color w:val="auto"/>
          <w:sz w:val="32"/>
          <w:szCs w:val="32"/>
        </w:rPr>
        <w:t>元。</w:t>
      </w:r>
    </w:p>
    <w:p>
      <w:pPr>
        <w:widowControl/>
        <w:adjustRightInd w:val="0"/>
        <w:snapToGrid w:val="0"/>
        <w:spacing w:line="600" w:lineRule="exact"/>
        <w:ind w:firstLine="720"/>
        <w:jc w:val="left"/>
        <w:rPr>
          <w:rFonts w:ascii="仿宋_GB2312" w:hAnsi="宋体" w:eastAsia="仿宋_GB2312" w:cs="宋体"/>
          <w:color w:val="auto"/>
          <w:kern w:val="0"/>
          <w:sz w:val="32"/>
          <w:szCs w:val="32"/>
          <w:lang w:val="zh-CN"/>
        </w:rPr>
      </w:pPr>
      <w:r>
        <w:rPr>
          <w:rFonts w:hint="eastAsia" w:ascii="仿宋_GB2312" w:hAnsi="宋体" w:eastAsia="仿宋_GB2312" w:cs="宋体"/>
          <w:color w:val="auto"/>
          <w:kern w:val="0"/>
          <w:sz w:val="32"/>
          <w:szCs w:val="32"/>
          <w:lang w:val="zh-CN"/>
        </w:rPr>
        <w:t>（二）部门财政资金支出情况。</w:t>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2018一般公共预算财政拨款支出6176150.44元，主要用于以下方面:社会保障和就业支出1042860.44元，占16.89%；完成预算100%。医疗卫生与计划生育209892.66元，占3.4%；完成预算100%。一般公共服务支出4615799.34元，占74.73%；完成预算97%。住房保障支出307598元，占4.98%；完成预算100%。</w:t>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2019年1至6月支出为3254767.78元，其中：基本支出2987617.08元，会议费、参政议政、委员视察费267150.70。</w:t>
      </w:r>
    </w:p>
    <w:p>
      <w:pPr>
        <w:widowControl/>
        <w:adjustRightInd w:val="0"/>
        <w:snapToGrid w:val="0"/>
        <w:spacing w:line="600" w:lineRule="exact"/>
        <w:ind w:firstLine="720"/>
        <w:jc w:val="left"/>
        <w:rPr>
          <w:rFonts w:ascii="黑体" w:hAnsi="黑体" w:eastAsia="黑体" w:cs="宋体"/>
          <w:color w:val="auto"/>
          <w:kern w:val="0"/>
          <w:sz w:val="32"/>
          <w:szCs w:val="32"/>
        </w:rPr>
      </w:pPr>
      <w:r>
        <w:rPr>
          <w:rFonts w:hint="eastAsia" w:ascii="黑体" w:hAnsi="黑体" w:eastAsia="黑体" w:cs="宋体"/>
          <w:color w:val="auto"/>
          <w:kern w:val="0"/>
          <w:sz w:val="32"/>
          <w:szCs w:val="32"/>
        </w:rPr>
        <w:t>三、部门财政支出管理情况</w:t>
      </w:r>
    </w:p>
    <w:p>
      <w:pPr>
        <w:widowControl/>
        <w:adjustRightInd w:val="0"/>
        <w:snapToGrid w:val="0"/>
        <w:spacing w:line="600" w:lineRule="exact"/>
        <w:ind w:firstLine="720"/>
        <w:jc w:val="left"/>
        <w:rPr>
          <w:rFonts w:ascii="仿宋_GB2312" w:hAnsi="楷体" w:eastAsia="仿宋_GB2312" w:cs="宋体"/>
          <w:color w:val="auto"/>
          <w:kern w:val="0"/>
          <w:sz w:val="32"/>
          <w:szCs w:val="32"/>
          <w:lang w:val="zh-CN"/>
        </w:rPr>
      </w:pPr>
      <w:r>
        <w:rPr>
          <w:rFonts w:hint="eastAsia" w:ascii="仿宋_GB2312" w:hAnsi="楷体" w:eastAsia="仿宋_GB2312" w:cs="宋体"/>
          <w:color w:val="auto"/>
          <w:kern w:val="0"/>
          <w:sz w:val="32"/>
          <w:szCs w:val="32"/>
          <w:lang w:val="zh-CN"/>
        </w:rPr>
        <w:t>（一）预算编制情况。</w:t>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严格按照《预算法》及相关财经法规和政策编制本年度预算，严格控制编报质量，保证所有资金合法合规，严格按照相关规定进行预算编制，中央转移支付资金按照文件要求执行，专项转移支付严格根据分地区分项目进行编制。</w:t>
      </w:r>
    </w:p>
    <w:p>
      <w:pPr>
        <w:widowControl/>
        <w:adjustRightInd w:val="0"/>
        <w:snapToGrid w:val="0"/>
        <w:spacing w:line="600" w:lineRule="exact"/>
        <w:ind w:firstLine="720"/>
        <w:jc w:val="left"/>
        <w:rPr>
          <w:rFonts w:ascii="仿宋_GB2312" w:hAnsi="楷体" w:eastAsia="仿宋_GB2312" w:cs="宋体"/>
          <w:color w:val="auto"/>
          <w:kern w:val="0"/>
          <w:sz w:val="32"/>
          <w:szCs w:val="32"/>
          <w:lang w:val="zh-CN"/>
        </w:rPr>
      </w:pPr>
      <w:r>
        <w:rPr>
          <w:rFonts w:hint="eastAsia" w:ascii="仿宋_GB2312" w:hAnsi="楷体" w:eastAsia="仿宋_GB2312" w:cs="宋体"/>
          <w:color w:val="auto"/>
          <w:kern w:val="0"/>
          <w:sz w:val="32"/>
          <w:szCs w:val="32"/>
          <w:lang w:val="zh-CN"/>
        </w:rPr>
        <w:t>（二）执行管理情况。</w:t>
      </w:r>
      <w:r>
        <w:rPr>
          <w:rFonts w:hint="eastAsia" w:ascii="仿宋_GB2312" w:hAnsi="楷体" w:eastAsia="仿宋_GB2312" w:cs="宋体"/>
          <w:color w:val="auto"/>
          <w:kern w:val="0"/>
          <w:sz w:val="32"/>
          <w:szCs w:val="32"/>
          <w:lang w:val="zh-CN"/>
        </w:rPr>
        <w:tab/>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门预算执行到位，严格按照预算管理进行支付并做到节能降耗，“三公”经费严格按照年初预算执行。2018年度“三公”经费财政拨款支出决算中，因公出国（境）费支出决算0元，占0%；公务用车购置及运行维护费支出决算261364.76元，占98.03%；公务接待费支出决算5250元，占1.97%。</w:t>
      </w:r>
    </w:p>
    <w:p>
      <w:pPr>
        <w:widowControl/>
        <w:adjustRightInd w:val="0"/>
        <w:snapToGrid w:val="0"/>
        <w:spacing w:line="600" w:lineRule="exact"/>
        <w:ind w:firstLine="720"/>
        <w:jc w:val="left"/>
        <w:rPr>
          <w:rFonts w:ascii="仿宋_GB2312" w:hAnsi="楷体" w:eastAsia="仿宋_GB2312" w:cs="宋体"/>
          <w:color w:val="auto"/>
          <w:kern w:val="0"/>
          <w:sz w:val="32"/>
          <w:szCs w:val="32"/>
          <w:lang w:val="zh-CN"/>
        </w:rPr>
      </w:pPr>
      <w:r>
        <w:rPr>
          <w:rFonts w:hint="eastAsia" w:ascii="仿宋_GB2312" w:hAnsi="楷体" w:eastAsia="仿宋_GB2312" w:cs="宋体"/>
          <w:color w:val="auto"/>
          <w:kern w:val="0"/>
          <w:sz w:val="32"/>
          <w:szCs w:val="32"/>
          <w:lang w:val="zh-CN"/>
        </w:rPr>
        <w:t>（三）综合管理情况。</w:t>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财务管理过程中建立健全财务核算制度、严格执行国家相关财经法规，加强了会计基础工作、逐渐规范了财务管理行为。严格按照《新政府会计制度》的规定设置的会计科目，建立了科学有效的会计核算方式，均真实、合法、准确的反映各项收支活动；建立健全了内控制度，加强和完善了经费收支和财务管理，积极配合各级财政部门开展相关经费的考评工作；本单位在资金使用过程中，合理使用各项资金，严格执行各项经费开支范围和标准。对项目资金，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严格落实《党政机关厉行节约反对浪费条例》的相关规定，进一步规范了“三公经费”的管理并严格控制了“三公经费”的支出。</w:t>
      </w:r>
    </w:p>
    <w:p>
      <w:pPr>
        <w:widowControl/>
        <w:adjustRightInd w:val="0"/>
        <w:snapToGrid w:val="0"/>
        <w:spacing w:line="600" w:lineRule="exact"/>
        <w:ind w:firstLine="720"/>
        <w:jc w:val="left"/>
        <w:rPr>
          <w:rFonts w:ascii="仿宋_GB2312" w:hAnsi="楷体" w:eastAsia="仿宋_GB2312" w:cs="宋体"/>
          <w:color w:val="auto"/>
          <w:kern w:val="0"/>
          <w:sz w:val="32"/>
          <w:szCs w:val="32"/>
          <w:lang w:val="zh-CN"/>
        </w:rPr>
      </w:pPr>
      <w:r>
        <w:rPr>
          <w:rFonts w:hint="eastAsia" w:ascii="仿宋_GB2312" w:hAnsi="楷体" w:eastAsia="仿宋_GB2312" w:cs="宋体"/>
          <w:color w:val="auto"/>
          <w:kern w:val="0"/>
          <w:sz w:val="32"/>
          <w:szCs w:val="32"/>
          <w:lang w:val="zh-CN"/>
        </w:rPr>
        <w:t>（四）整体绩效。</w:t>
      </w:r>
    </w:p>
    <w:p>
      <w:pPr>
        <w:pStyle w:val="13"/>
        <w:spacing w:beforeAutospacing="0" w:afterAutospacing="0" w:line="580" w:lineRule="exact"/>
        <w:ind w:firstLine="640" w:firstLineChars="200"/>
        <w:rPr>
          <w:rFonts w:ascii="仿宋_GB2312" w:hAnsi="仿宋_GB2312" w:eastAsia="仿宋_GB2312"/>
          <w:color w:val="auto"/>
          <w:sz w:val="32"/>
          <w:szCs w:val="32"/>
        </w:rPr>
      </w:pPr>
      <w:r>
        <w:rPr>
          <w:rFonts w:hint="eastAsia" w:ascii="仿宋_GB2312" w:hAnsi="仿宋_GB2312" w:eastAsia="仿宋_GB2312"/>
          <w:color w:val="auto"/>
          <w:sz w:val="32"/>
          <w:szCs w:val="32"/>
        </w:rPr>
        <w:t>年以来，县政协坚持围绕中心，服务大局，在县委的领下，积极履行“政治协商，民主监督，参政议政”三大职能。我单位在主席会、常委会的坚强领导下，圆满完成了全年各项工作任务。根据《政协红原县委员会2018年工作要点》安排，</w:t>
      </w:r>
      <w:r>
        <w:rPr>
          <w:rFonts w:hint="eastAsia" w:ascii="仿宋_GB2312" w:eastAsia="仿宋_GB2312"/>
          <w:color w:val="auto"/>
          <w:sz w:val="32"/>
          <w:szCs w:val="32"/>
        </w:rPr>
        <w:t>截至11月，</w:t>
      </w:r>
      <w:r>
        <w:rPr>
          <w:rFonts w:hint="eastAsia" w:ascii="仿宋_GB2312" w:hAnsi="仿宋_GB2312" w:eastAsia="仿宋_GB2312"/>
          <w:color w:val="auto"/>
          <w:sz w:val="32"/>
          <w:szCs w:val="32"/>
        </w:rPr>
        <w:t>县政协先后组织召开1次全委会、4次常委会、8次主席会、9次党组会</w:t>
      </w:r>
      <w:r>
        <w:rPr>
          <w:rFonts w:hint="eastAsia" w:ascii="仿宋_GB2312" w:eastAsia="仿宋_GB2312"/>
          <w:color w:val="auto"/>
          <w:sz w:val="32"/>
          <w:szCs w:val="32"/>
        </w:rPr>
        <w:t>，</w:t>
      </w:r>
      <w:r>
        <w:rPr>
          <w:rFonts w:hint="eastAsia" w:ascii="仿宋_GB2312" w:hAnsi="仿宋_GB2312" w:eastAsia="仿宋_GB2312"/>
          <w:color w:val="auto"/>
          <w:sz w:val="32"/>
          <w:szCs w:val="32"/>
        </w:rPr>
        <w:t>以及多次干部职工会等各工作例会和专题会议；并组织州、政协委员开展调研视察活动7次；并协助州政协完成多项专题调研工作;扎实开展提案工作和社情民意工作，注重成果转化；认真开展退休干部职工和困难群众慰问活动；积极开展脱贫攻坚、联系村帮扶、党建、法治教育、民生项目建设、联系群众等帮扶工作；扎实开展党风廉政建设工作。</w:t>
      </w:r>
    </w:p>
    <w:p>
      <w:pPr>
        <w:widowControl/>
        <w:adjustRightInd w:val="0"/>
        <w:snapToGrid w:val="0"/>
        <w:spacing w:line="600" w:lineRule="exact"/>
        <w:ind w:firstLine="720"/>
        <w:jc w:val="left"/>
        <w:rPr>
          <w:rFonts w:ascii="黑体" w:hAnsi="黑体" w:eastAsia="黑体" w:cs="宋体"/>
          <w:color w:val="auto"/>
          <w:kern w:val="0"/>
          <w:sz w:val="32"/>
          <w:szCs w:val="32"/>
        </w:rPr>
      </w:pPr>
      <w:r>
        <w:rPr>
          <w:rFonts w:hint="eastAsia" w:ascii="黑体" w:hAnsi="黑体" w:eastAsia="黑体" w:cs="宋体"/>
          <w:color w:val="auto"/>
          <w:kern w:val="0"/>
          <w:sz w:val="32"/>
          <w:szCs w:val="32"/>
        </w:rPr>
        <w:t>四、评价结论及建议</w:t>
      </w:r>
    </w:p>
    <w:p>
      <w:pPr>
        <w:widowControl/>
        <w:adjustRightInd w:val="0"/>
        <w:snapToGrid w:val="0"/>
        <w:spacing w:line="600" w:lineRule="exact"/>
        <w:ind w:firstLine="720"/>
        <w:jc w:val="left"/>
        <w:rPr>
          <w:rFonts w:ascii="仿宋_GB2312" w:hAnsi="宋体" w:eastAsia="仿宋_GB2312" w:cs="宋体"/>
          <w:color w:val="auto"/>
          <w:kern w:val="0"/>
          <w:sz w:val="32"/>
          <w:szCs w:val="32"/>
          <w:lang w:val="zh-CN"/>
        </w:rPr>
      </w:pPr>
      <w:r>
        <w:rPr>
          <w:rFonts w:hint="eastAsia" w:ascii="仿宋_GB2312" w:hAnsi="宋体" w:eastAsia="仿宋_GB2312" w:cs="宋体"/>
          <w:color w:val="auto"/>
          <w:kern w:val="0"/>
          <w:sz w:val="32"/>
          <w:szCs w:val="32"/>
          <w:lang w:val="zh-CN"/>
        </w:rPr>
        <w:t>（一）评价结论。</w:t>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按照预算绩效管理要求，本单位对2018年整体支出开展绩效自评，自评得分98分，部门整体支出绩效为“好”。</w:t>
      </w:r>
    </w:p>
    <w:p>
      <w:pPr>
        <w:widowControl/>
        <w:adjustRightInd w:val="0"/>
        <w:snapToGrid w:val="0"/>
        <w:spacing w:line="600" w:lineRule="exact"/>
        <w:ind w:firstLine="720"/>
        <w:jc w:val="left"/>
        <w:rPr>
          <w:rFonts w:ascii="仿宋_GB2312" w:hAnsi="宋体" w:eastAsia="仿宋_GB2312" w:cs="宋体"/>
          <w:color w:val="auto"/>
          <w:kern w:val="0"/>
          <w:sz w:val="32"/>
          <w:szCs w:val="32"/>
          <w:lang w:val="zh-CN"/>
        </w:rPr>
      </w:pPr>
      <w:r>
        <w:rPr>
          <w:rFonts w:hint="eastAsia" w:ascii="仿宋_GB2312" w:hAnsi="宋体" w:eastAsia="仿宋_GB2312" w:cs="宋体"/>
          <w:color w:val="auto"/>
          <w:kern w:val="0"/>
          <w:sz w:val="32"/>
          <w:szCs w:val="32"/>
          <w:lang w:val="zh-CN"/>
        </w:rPr>
        <w:t>（二）存在问题。</w:t>
      </w:r>
    </w:p>
    <w:p>
      <w:pPr>
        <w:widowControl/>
        <w:adjustRightInd w:val="0"/>
        <w:snapToGrid w:val="0"/>
        <w:spacing w:line="600" w:lineRule="exact"/>
        <w:ind w:firstLine="720"/>
        <w:jc w:val="left"/>
        <w:rPr>
          <w:rFonts w:ascii="仿宋_GB2312" w:hAnsi="宋体" w:eastAsia="仿宋_GB2312" w:cs="宋体"/>
          <w:color w:val="auto"/>
          <w:kern w:val="0"/>
          <w:sz w:val="32"/>
          <w:szCs w:val="32"/>
          <w:lang w:val="zh-CN"/>
        </w:rPr>
      </w:pPr>
      <w:r>
        <w:rPr>
          <w:rFonts w:hint="eastAsia" w:ascii="仿宋_GB2312" w:hAnsi="仿宋_GB2312" w:eastAsia="仿宋_GB2312" w:cs="仿宋_GB2312"/>
          <w:color w:val="auto"/>
          <w:sz w:val="32"/>
          <w:szCs w:val="32"/>
        </w:rPr>
        <w:t>对资金管理缺乏时效性和长久监督性。</w:t>
      </w:r>
    </w:p>
    <w:p>
      <w:pPr>
        <w:widowControl/>
        <w:adjustRightInd w:val="0"/>
        <w:snapToGrid w:val="0"/>
        <w:spacing w:line="600" w:lineRule="exact"/>
        <w:ind w:firstLine="720"/>
        <w:jc w:val="left"/>
        <w:rPr>
          <w:rFonts w:ascii="仿宋_GB2312" w:eastAsia="仿宋_GB2312" w:cs="仿宋_GB2312"/>
          <w:color w:val="auto"/>
          <w:sz w:val="32"/>
          <w:szCs w:val="32"/>
        </w:rPr>
      </w:pPr>
      <w:r>
        <w:rPr>
          <w:rFonts w:hint="eastAsia" w:ascii="仿宋_GB2312" w:hAnsi="宋体" w:eastAsia="仿宋_GB2312" w:cs="宋体"/>
          <w:color w:val="auto"/>
          <w:kern w:val="0"/>
          <w:sz w:val="32"/>
          <w:szCs w:val="32"/>
          <w:lang w:val="zh-CN"/>
        </w:rPr>
        <w:t>（三）改进建议。</w:t>
      </w:r>
    </w:p>
    <w:p>
      <w:pPr>
        <w:spacing w:line="600" w:lineRule="exact"/>
        <w:ind w:firstLine="640" w:firstLineChars="200"/>
        <w:rPr>
          <w:rFonts w:ascii="仿宋_GB2312" w:hAnsi="宋体" w:eastAsia="仿宋_GB2312" w:cs="黑体"/>
          <w:color w:val="auto"/>
          <w:sz w:val="32"/>
          <w:szCs w:val="32"/>
        </w:rPr>
      </w:pPr>
      <w:r>
        <w:rPr>
          <w:rFonts w:hint="eastAsia" w:ascii="仿宋_GB2312" w:hAnsi="仿宋_GB2312" w:eastAsia="仿宋_GB2312" w:cs="仿宋_GB2312"/>
          <w:color w:val="auto"/>
          <w:sz w:val="32"/>
          <w:szCs w:val="32"/>
        </w:rPr>
        <w:t>下一步改进措施：针对存在的问题进行经常性的监督和自查。</w:t>
      </w:r>
    </w:p>
    <w:p>
      <w:pPr>
        <w:spacing w:line="600" w:lineRule="auto"/>
        <w:jc w:val="center"/>
        <w:rPr>
          <w:rFonts w:ascii="黑体" w:hAnsi="黑体" w:eastAsia="黑体" w:cs="黑体"/>
          <w:color w:val="auto"/>
          <w:sz w:val="44"/>
        </w:rPr>
      </w:pPr>
    </w:p>
    <w:p>
      <w:pPr>
        <w:spacing w:line="600" w:lineRule="auto"/>
        <w:jc w:val="center"/>
        <w:rPr>
          <w:rFonts w:ascii="黑体" w:hAnsi="黑体" w:eastAsia="黑体" w:cs="黑体"/>
          <w:color w:val="auto"/>
          <w:sz w:val="44"/>
        </w:rPr>
      </w:pPr>
    </w:p>
    <w:p>
      <w:pPr>
        <w:spacing w:line="600" w:lineRule="auto"/>
        <w:jc w:val="center"/>
        <w:rPr>
          <w:rFonts w:ascii="黑体" w:hAnsi="黑体" w:eastAsia="黑体" w:cs="黑体"/>
          <w:color w:val="auto"/>
          <w:sz w:val="44"/>
        </w:rPr>
      </w:pPr>
    </w:p>
    <w:p>
      <w:pPr>
        <w:spacing w:line="600" w:lineRule="auto"/>
        <w:jc w:val="center"/>
        <w:rPr>
          <w:rFonts w:ascii="黑体" w:hAnsi="黑体" w:eastAsia="黑体" w:cs="黑体"/>
          <w:color w:val="auto"/>
          <w:sz w:val="44"/>
        </w:rPr>
      </w:pPr>
    </w:p>
    <w:p>
      <w:pPr>
        <w:spacing w:line="600" w:lineRule="auto"/>
        <w:jc w:val="center"/>
        <w:rPr>
          <w:rFonts w:ascii="黑体" w:hAnsi="黑体" w:eastAsia="黑体" w:cs="黑体"/>
          <w:color w:val="auto"/>
          <w:sz w:val="44"/>
        </w:rPr>
      </w:pPr>
    </w:p>
    <w:p>
      <w:pPr>
        <w:spacing w:line="600" w:lineRule="auto"/>
        <w:rPr>
          <w:rFonts w:ascii="黑体" w:hAnsi="黑体" w:eastAsia="黑体" w:cs="黑体"/>
          <w:color w:val="auto"/>
          <w:sz w:val="44"/>
        </w:rPr>
      </w:pPr>
    </w:p>
    <w:p>
      <w:pPr>
        <w:spacing w:line="600" w:lineRule="auto"/>
        <w:jc w:val="center"/>
        <w:rPr>
          <w:rFonts w:ascii="黑体" w:hAnsi="黑体" w:eastAsia="黑体" w:cs="黑体"/>
          <w:color w:val="auto"/>
          <w:sz w:val="44"/>
        </w:rPr>
      </w:pPr>
      <w:r>
        <w:rPr>
          <w:rFonts w:ascii="黑体" w:hAnsi="黑体" w:eastAsia="黑体" w:cs="黑体"/>
          <w:color w:val="auto"/>
          <w:sz w:val="44"/>
        </w:rPr>
        <w:t>第五部分 附表</w:t>
      </w:r>
    </w:p>
    <w:p>
      <w:pPr>
        <w:spacing w:line="600" w:lineRule="auto"/>
        <w:jc w:val="center"/>
        <w:rPr>
          <w:rFonts w:ascii="仿宋" w:hAnsi="仿宋" w:eastAsia="仿宋" w:cs="仿宋"/>
          <w:b/>
          <w:color w:val="auto"/>
          <w:sz w:val="44"/>
        </w:rPr>
      </w:pPr>
    </w:p>
    <w:p>
      <w:pPr>
        <w:keepNext/>
        <w:keepLines/>
        <w:spacing w:before="260" w:after="260" w:line="416" w:lineRule="auto"/>
        <w:rPr>
          <w:rFonts w:ascii="仿宋" w:hAnsi="仿宋" w:eastAsia="仿宋" w:cs="仿宋"/>
          <w:color w:val="auto"/>
          <w:sz w:val="32"/>
        </w:rPr>
      </w:pPr>
      <w:r>
        <w:rPr>
          <w:rFonts w:hint="eastAsia" w:ascii="仿宋" w:hAnsi="仿宋" w:eastAsia="仿宋" w:cs="仿宋"/>
          <w:color w:val="auto"/>
          <w:sz w:val="32"/>
        </w:rPr>
        <w:t>一、</w:t>
      </w:r>
      <w:r>
        <w:rPr>
          <w:rFonts w:ascii="仿宋" w:hAnsi="仿宋" w:eastAsia="仿宋" w:cs="仿宋"/>
          <w:color w:val="auto"/>
          <w:sz w:val="32"/>
        </w:rPr>
        <w:t>收入支出决算总表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二、收入总表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三、支出总表</w:t>
      </w:r>
    </w:p>
    <w:p>
      <w:pPr>
        <w:keepNext/>
        <w:keepLines/>
        <w:spacing w:before="260" w:after="260" w:line="416" w:lineRule="auto"/>
        <w:rPr>
          <w:rFonts w:ascii="仿宋" w:hAnsi="仿宋" w:eastAsia="仿宋" w:cs="仿宋"/>
          <w:color w:val="auto"/>
          <w:sz w:val="32"/>
        </w:rPr>
      </w:pPr>
      <w:r>
        <w:rPr>
          <w:rFonts w:ascii="仿宋" w:hAnsi="仿宋" w:eastAsia="仿宋" w:cs="仿宋"/>
          <w:color w:val="auto"/>
          <w:sz w:val="32"/>
        </w:rPr>
        <w:t>四、财政拨款收入支出决算总表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五、财政拨款支出决算明细表（政府经济分类科目）</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六、一般公共预算财政拨款支出决算表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七、一般公共预算财政拨款支出决算明细表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八、一般公共预算财政拨款基本支出决算表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九、一般公共预算财政拨款项目支出决算表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十、一般公共预算财政拨款“三公”经费支出决算表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十一、政府性基金预算财政拨款收入支出决算表</w:t>
      </w:r>
    </w:p>
    <w:p>
      <w:pPr>
        <w:keepNext/>
        <w:keepLines/>
        <w:spacing w:before="260" w:after="260" w:line="416" w:lineRule="auto"/>
        <w:rPr>
          <w:rFonts w:ascii="仿宋" w:hAnsi="仿宋" w:eastAsia="仿宋" w:cs="仿宋"/>
          <w:b/>
          <w:color w:val="auto"/>
          <w:sz w:val="32"/>
        </w:rPr>
      </w:pPr>
      <w:r>
        <w:rPr>
          <w:rFonts w:ascii="仿宋" w:hAnsi="仿宋" w:eastAsia="仿宋" w:cs="仿宋"/>
          <w:color w:val="auto"/>
          <w:sz w:val="32"/>
        </w:rPr>
        <w:t>十二、政府性基金预算财政拨款“三公”经费支出决算表</w:t>
      </w:r>
    </w:p>
    <w:p>
      <w:pPr>
        <w:keepNext/>
        <w:keepLines/>
        <w:spacing w:before="260" w:after="260" w:line="416" w:lineRule="auto"/>
        <w:rPr>
          <w:rFonts w:ascii="仿宋" w:hAnsi="仿宋" w:eastAsia="仿宋" w:cs="仿宋"/>
          <w:color w:val="auto"/>
          <w:sz w:val="32"/>
        </w:rPr>
      </w:pPr>
      <w:r>
        <w:rPr>
          <w:rFonts w:ascii="仿宋" w:hAnsi="仿宋" w:eastAsia="仿宋" w:cs="仿宋"/>
          <w:color w:val="auto"/>
          <w:sz w:val="32"/>
        </w:rPr>
        <w:t>十三、国有资本经营预算支出决算表</w:t>
      </w:r>
    </w:p>
    <w:p>
      <w:pPr>
        <w:rPr>
          <w:rStyle w:val="16"/>
          <w:rFonts w:hint="eastAsia" w:ascii="仿宋" w:hAnsi="仿宋" w:eastAsia="仿宋"/>
          <w:b w:val="0"/>
          <w:bCs w:val="0"/>
          <w:lang w:val="en-US" w:eastAsia="zh-CN"/>
        </w:rPr>
      </w:pPr>
      <w:bookmarkStart w:id="0" w:name="_GoBack"/>
      <w:bookmarkEnd w:id="0"/>
      <w:r>
        <w:rPr>
          <w:rStyle w:val="16"/>
          <w:rFonts w:hint="eastAsia" w:ascii="仿宋" w:hAnsi="仿宋" w:eastAsia="仿宋"/>
          <w:b w:val="0"/>
          <w:bCs w:val="0"/>
          <w:lang w:val="en-US" w:eastAsia="zh-CN"/>
        </w:rPr>
        <w:t>十四、整体支出绩效评价打分表</w:t>
      </w:r>
    </w:p>
    <w:p>
      <w:pPr>
        <w:keepNext/>
        <w:keepLines/>
        <w:spacing w:before="260" w:after="260" w:line="416" w:lineRule="auto"/>
        <w:rPr>
          <w:rFonts w:ascii="仿宋" w:hAnsi="仿宋" w:eastAsia="仿宋" w:cs="仿宋"/>
          <w:color w:val="auto"/>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altName w:val="Segoe Print"/>
    <w:panose1 w:val="02040602050305030304"/>
    <w:charset w:val="00"/>
    <w:family w:val="auto"/>
    <w:pitch w:val="default"/>
    <w:sig w:usb0="00000000" w:usb1="00000000" w:usb2="00000000" w:usb3="00000000" w:csb0="2000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132E7"/>
    <w:multiLevelType w:val="multilevel"/>
    <w:tmpl w:val="086132E7"/>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F944583"/>
    <w:multiLevelType w:val="multilevel"/>
    <w:tmpl w:val="0F944583"/>
    <w:lvl w:ilvl="0" w:tentative="0">
      <w:start w:val="9"/>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82328CD"/>
    <w:multiLevelType w:val="multilevel"/>
    <w:tmpl w:val="482328CD"/>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4F6B06FB"/>
    <w:multiLevelType w:val="multilevel"/>
    <w:tmpl w:val="4F6B06FB"/>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540178E2"/>
    <w:multiLevelType w:val="multilevel"/>
    <w:tmpl w:val="540178E2"/>
    <w:lvl w:ilvl="0" w:tentative="0">
      <w:start w:val="1"/>
      <w:numFmt w:val="decimal"/>
      <w:lvlText w:val="%1."/>
      <w:lvlJc w:val="left"/>
      <w:pPr>
        <w:ind w:left="1003" w:hanging="36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5">
    <w:nsid w:val="6DF46F74"/>
    <w:multiLevelType w:val="multilevel"/>
    <w:tmpl w:val="6DF46F74"/>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759C2C90"/>
    <w:multiLevelType w:val="multilevel"/>
    <w:tmpl w:val="759C2C90"/>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5"/>
  </w:num>
  <w:num w:numId="3">
    <w:abstractNumId w:val="0"/>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414618"/>
    <w:rsid w:val="00071B62"/>
    <w:rsid w:val="0019462D"/>
    <w:rsid w:val="001C010B"/>
    <w:rsid w:val="001C7218"/>
    <w:rsid w:val="00241494"/>
    <w:rsid w:val="00276EA4"/>
    <w:rsid w:val="002829EE"/>
    <w:rsid w:val="00282A3F"/>
    <w:rsid w:val="002C28CB"/>
    <w:rsid w:val="00302F7D"/>
    <w:rsid w:val="003353BB"/>
    <w:rsid w:val="00393101"/>
    <w:rsid w:val="00396511"/>
    <w:rsid w:val="003A245B"/>
    <w:rsid w:val="003C63B9"/>
    <w:rsid w:val="00414618"/>
    <w:rsid w:val="00433ABB"/>
    <w:rsid w:val="005150A1"/>
    <w:rsid w:val="00527C7A"/>
    <w:rsid w:val="005876E1"/>
    <w:rsid w:val="005C3BDA"/>
    <w:rsid w:val="0067484A"/>
    <w:rsid w:val="0068260B"/>
    <w:rsid w:val="006A1936"/>
    <w:rsid w:val="006A6342"/>
    <w:rsid w:val="006B400C"/>
    <w:rsid w:val="006D55DF"/>
    <w:rsid w:val="007263B3"/>
    <w:rsid w:val="00747472"/>
    <w:rsid w:val="00755406"/>
    <w:rsid w:val="00792EC3"/>
    <w:rsid w:val="007A4633"/>
    <w:rsid w:val="007E4C9B"/>
    <w:rsid w:val="008C31A1"/>
    <w:rsid w:val="008E60DC"/>
    <w:rsid w:val="008F24E4"/>
    <w:rsid w:val="0092375F"/>
    <w:rsid w:val="00945089"/>
    <w:rsid w:val="009F0A69"/>
    <w:rsid w:val="00A6473C"/>
    <w:rsid w:val="00AD5616"/>
    <w:rsid w:val="00B01625"/>
    <w:rsid w:val="00BB5D62"/>
    <w:rsid w:val="00BD1E4F"/>
    <w:rsid w:val="00C344BA"/>
    <w:rsid w:val="00C47C4C"/>
    <w:rsid w:val="00C806A0"/>
    <w:rsid w:val="00C87A88"/>
    <w:rsid w:val="00D03F90"/>
    <w:rsid w:val="00D5266B"/>
    <w:rsid w:val="00D55211"/>
    <w:rsid w:val="00D73365"/>
    <w:rsid w:val="00DA387D"/>
    <w:rsid w:val="00EB7D66"/>
    <w:rsid w:val="00FC7F6D"/>
    <w:rsid w:val="167A6BDC"/>
    <w:rsid w:val="24FC0E4E"/>
    <w:rsid w:val="46F66564"/>
    <w:rsid w:val="4E3E1499"/>
    <w:rsid w:val="537344AB"/>
    <w:rsid w:val="63980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4"/>
    <w:unhideWhenUsed/>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2"/>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character" w:styleId="8">
    <w:name w:val="Hyperlink"/>
    <w:basedOn w:val="7"/>
    <w:qFormat/>
    <w:uiPriority w:val="0"/>
    <w:rPr>
      <w:color w:val="0000FF"/>
      <w:u w:val="single"/>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character" w:customStyle="1" w:styleId="12">
    <w:name w:val="HTML 预设格式 Char"/>
    <w:basedOn w:val="7"/>
    <w:link w:val="6"/>
    <w:semiHidden/>
    <w:uiPriority w:val="0"/>
    <w:rPr>
      <w:rFonts w:ascii="宋体" w:hAnsi="宋体" w:eastAsia="宋体" w:cs="Times New Roman"/>
      <w:kern w:val="0"/>
      <w:sz w:val="24"/>
      <w:szCs w:val="24"/>
    </w:rPr>
  </w:style>
  <w:style w:type="paragraph" w:customStyle="1" w:styleId="13">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批注框文本 Char"/>
    <w:basedOn w:val="7"/>
    <w:link w:val="3"/>
    <w:semiHidden/>
    <w:uiPriority w:val="99"/>
    <w:rPr>
      <w:sz w:val="18"/>
      <w:szCs w:val="18"/>
    </w:rPr>
  </w:style>
  <w:style w:type="paragraph" w:customStyle="1" w:styleId="15">
    <w:name w:val="列出段落1"/>
    <w:basedOn w:val="1"/>
    <w:qFormat/>
    <w:uiPriority w:val="34"/>
    <w:pPr>
      <w:ind w:firstLine="420" w:firstLineChars="200"/>
    </w:pPr>
  </w:style>
  <w:style w:type="character" w:customStyle="1" w:styleId="16">
    <w:name w:val="标题 2 Char"/>
    <w:basedOn w:val="7"/>
    <w:link w:val="2"/>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10791366906"/>
          <c:y val="0.0879120879120879"/>
          <c:w val="0.633093525179856"/>
          <c:h val="0.736263736263737"/>
        </c:manualLayout>
      </c:layout>
      <c:barChart>
        <c:barDir val="col"/>
        <c:grouping val="clustered"/>
        <c:varyColors val="0"/>
        <c:ser>
          <c:idx val="0"/>
          <c:order val="0"/>
          <c:tx>
            <c:strRef>
              <c:f>Sheet1!$A$2</c:f>
              <c:strCache>
                <c:ptCount val="1"/>
                <c:pt idx="0">
                  <c:v>2018年</c:v>
                </c:pt>
              </c:strCache>
            </c:strRef>
          </c:tx>
          <c:spPr>
            <a:solidFill>
              <a:srgbClr val="9999FF"/>
            </a:solidFill>
            <a:ln w="12700">
              <a:solidFill>
                <a:srgbClr val="000000"/>
              </a:solidFill>
              <a:prstDash val="solid"/>
            </a:ln>
          </c:spPr>
          <c:invertIfNegative val="0"/>
          <c:dLbls>
            <c:delete val="1"/>
          </c:dLbls>
          <c:cat>
            <c:strRef>
              <c:f>Sheet1!$B$1:$E$1</c:f>
              <c:strCache>
                <c:ptCount val="2"/>
                <c:pt idx="0">
                  <c:v>收入</c:v>
                </c:pt>
                <c:pt idx="1">
                  <c:v>支出</c:v>
                </c:pt>
              </c:strCache>
            </c:strRef>
          </c:cat>
          <c:val>
            <c:numRef>
              <c:f>Sheet1!$B$2:$E$2</c:f>
              <c:numCache>
                <c:formatCode>General</c:formatCode>
                <c:ptCount val="4"/>
                <c:pt idx="0">
                  <c:v>566.34</c:v>
                </c:pt>
                <c:pt idx="1">
                  <c:v>617.62</c:v>
                </c:pt>
              </c:numCache>
            </c:numRef>
          </c:val>
        </c:ser>
        <c:ser>
          <c:idx val="1"/>
          <c:order val="1"/>
          <c:tx>
            <c:strRef>
              <c:f>Sheet1!$A$3</c:f>
              <c:strCache>
                <c:ptCount val="1"/>
                <c:pt idx="0">
                  <c:v>2017年</c:v>
                </c:pt>
              </c:strCache>
            </c:strRef>
          </c:tx>
          <c:spPr>
            <a:solidFill>
              <a:srgbClr val="993366"/>
            </a:solidFill>
            <a:ln w="12700">
              <a:solidFill>
                <a:srgbClr val="000000"/>
              </a:solidFill>
              <a:prstDash val="solid"/>
            </a:ln>
          </c:spPr>
          <c:invertIfNegative val="0"/>
          <c:dLbls>
            <c:delete val="1"/>
          </c:dLbls>
          <c:cat>
            <c:strRef>
              <c:f>Sheet1!$B$1:$E$1</c:f>
              <c:strCache>
                <c:ptCount val="2"/>
                <c:pt idx="0">
                  <c:v>收入</c:v>
                </c:pt>
                <c:pt idx="1">
                  <c:v>支出</c:v>
                </c:pt>
              </c:strCache>
            </c:strRef>
          </c:cat>
          <c:val>
            <c:numRef>
              <c:f>Sheet1!$B$3:$E$3</c:f>
              <c:numCache>
                <c:formatCode>General</c:formatCode>
                <c:ptCount val="4"/>
                <c:pt idx="0">
                  <c:v>600.36</c:v>
                </c:pt>
                <c:pt idx="1">
                  <c:v>644.8</c:v>
                </c:pt>
              </c:numCache>
            </c:numRef>
          </c:val>
        </c:ser>
        <c:dLbls>
          <c:showLegendKey val="0"/>
          <c:showVal val="0"/>
          <c:showCatName val="0"/>
          <c:showSerName val="0"/>
          <c:showPercent val="0"/>
          <c:showBubbleSize val="0"/>
        </c:dLbls>
        <c:gapWidth val="150"/>
        <c:axId val="138161152"/>
        <c:axId val="152160512"/>
      </c:barChart>
      <c:catAx>
        <c:axId val="138161152"/>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2160512"/>
        <c:crosses val="autoZero"/>
        <c:auto val="1"/>
        <c:lblAlgn val="ctr"/>
        <c:lblOffset val="100"/>
        <c:tickLblSkip val="1"/>
        <c:noMultiLvlLbl val="0"/>
      </c:catAx>
      <c:valAx>
        <c:axId val="152160512"/>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38161152"/>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84172661870503"/>
          <c:y val="0.406593406593407"/>
          <c:w val="0.201438848920863"/>
          <c:h val="0.192307692307692"/>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8"/>
          <c:y val="0.115384615384615"/>
          <c:w val="0.507194244604317"/>
          <c:h val="0.774725274725276"/>
        </c:manualLayout>
      </c:layout>
      <c:pieChart>
        <c:varyColors val="1"/>
        <c:ser>
          <c:idx val="0"/>
          <c:order val="0"/>
          <c:tx>
            <c:strRef>
              <c:f>Sheet1!$A$2</c:f>
              <c:strCache>
                <c:ptCount val="1"/>
                <c:pt idx="0">
                  <c:v>2018年收入</c:v>
                </c:pt>
              </c:strCache>
            </c:strRef>
          </c:tx>
          <c:spPr>
            <a:solidFill>
              <a:srgbClr val="9999FF"/>
            </a:solidFill>
            <a:ln w="12700">
              <a:solidFill>
                <a:srgbClr val="000000"/>
              </a:solidFill>
              <a:prstDash val="solid"/>
            </a:ln>
          </c:spPr>
          <c:explosion val="0"/>
          <c:dPt>
            <c:idx val="0"/>
            <c:bubble3D val="0"/>
            <c:spPr>
              <a:solidFill>
                <a:srgbClr val="FF99CC"/>
              </a:solidFill>
              <a:ln w="12700">
                <a:solidFill>
                  <a:srgbClr val="000000"/>
                </a:solidFill>
                <a:prstDash val="solid"/>
              </a:ln>
            </c:spPr>
          </c:dPt>
          <c:dPt>
            <c:idx val="1"/>
            <c:bubble3D val="0"/>
            <c:spPr>
              <a:solidFill>
                <a:srgbClr val="0000FF"/>
              </a:solidFill>
              <a:ln w="12700">
                <a:solidFill>
                  <a:srgbClr val="000000"/>
                </a:solidFill>
                <a:prstDash val="solid"/>
              </a:ln>
            </c:spPr>
          </c:dPt>
          <c:dPt>
            <c:idx val="2"/>
            <c:bubble3D val="0"/>
            <c:spPr>
              <a:solidFill>
                <a:srgbClr val="FF000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CC"/>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2"/>
                <c:pt idx="0">
                  <c:v>一般公共预算财政拨款收入</c:v>
                </c:pt>
                <c:pt idx="1">
                  <c:v>其他收入</c:v>
                </c:pt>
              </c:strCache>
            </c:strRef>
          </c:cat>
          <c:val>
            <c:numRef>
              <c:f>Sheet1!$B$2:$H$2</c:f>
              <c:numCache>
                <c:formatCode>General</c:formatCode>
                <c:ptCount val="7"/>
                <c:pt idx="0">
                  <c:v>588.329999999999</c:v>
                </c:pt>
                <c:pt idx="1">
                  <c:v>8.01</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2"/>
                <c:pt idx="0">
                  <c:v>一般公共预算财政拨款收入</c:v>
                </c:pt>
                <c:pt idx="1">
                  <c:v>其他收入</c:v>
                </c:pt>
              </c:strCache>
            </c:strRef>
          </c:cat>
          <c:val>
            <c:numRef>
              <c:f>Sheet1!$B$3:$H$3</c:f>
              <c:numCache>
                <c:formatCode>General</c:formatCode>
                <c:ptCount val="7"/>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2"/>
                <c:pt idx="0">
                  <c:v>一般公共预算财政拨款收入</c:v>
                </c:pt>
                <c:pt idx="1">
                  <c:v>其他收入</c:v>
                </c:pt>
              </c:strCache>
            </c:strRef>
          </c:cat>
          <c:val>
            <c:numRef>
              <c:f>Sheet1!$B$4:$H$4</c:f>
              <c:numCache>
                <c:formatCode>General</c:formatCode>
                <c:ptCount val="7"/>
              </c:numCache>
            </c:numRef>
          </c:val>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107913669065"/>
          <c:y val="0.115384615384615"/>
          <c:w val="0.510791366906476"/>
          <c:h val="0.78021978021978"/>
        </c:manualLayout>
      </c:layout>
      <c:pieChart>
        <c:varyColors val="1"/>
        <c:ser>
          <c:idx val="0"/>
          <c:order val="0"/>
          <c:tx>
            <c:strRef>
              <c:f>Sheet1!$A$2</c:f>
              <c:strCache>
                <c:ptCount val="1"/>
                <c:pt idx="0">
                  <c:v>2018年支出</c:v>
                </c:pt>
              </c:strCache>
            </c:strRef>
          </c:tx>
          <c:spPr>
            <a:solidFill>
              <a:srgbClr val="9999FF"/>
            </a:solidFill>
            <a:ln w="12700">
              <a:solidFill>
                <a:srgbClr val="000000"/>
              </a:solidFill>
              <a:prstDash val="solid"/>
            </a:ln>
          </c:spPr>
          <c:explosion val="0"/>
          <c:dPt>
            <c:idx val="0"/>
            <c:bubble3D val="0"/>
            <c:spPr>
              <a:solidFill>
                <a:srgbClr val="FF99CC"/>
              </a:solidFill>
              <a:ln w="12700">
                <a:solidFill>
                  <a:srgbClr val="000000"/>
                </a:solidFill>
                <a:prstDash val="solid"/>
              </a:ln>
            </c:spPr>
          </c:dPt>
          <c:dPt>
            <c:idx val="1"/>
            <c:bubble3D val="0"/>
            <c:spPr>
              <a:solidFill>
                <a:srgbClr val="0000FF"/>
              </a:solidFill>
              <a:ln w="12700">
                <a:solidFill>
                  <a:srgbClr val="000000"/>
                </a:solidFill>
                <a:prstDash val="solid"/>
              </a:ln>
            </c:spPr>
          </c:dPt>
          <c:dPt>
            <c:idx val="2"/>
            <c:bubble3D val="0"/>
            <c:spPr>
              <a:solidFill>
                <a:srgbClr val="FF000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CC"/>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2"/>
                <c:pt idx="0">
                  <c:v>基本支出</c:v>
                </c:pt>
                <c:pt idx="1">
                  <c:v>项目支出</c:v>
                </c:pt>
              </c:strCache>
            </c:strRef>
          </c:cat>
          <c:val>
            <c:numRef>
              <c:f>Sheet1!$B$2:$H$2</c:f>
              <c:numCache>
                <c:formatCode>General</c:formatCode>
                <c:ptCount val="7"/>
                <c:pt idx="0">
                  <c:v>476.45</c:v>
                </c:pt>
                <c:pt idx="1">
                  <c:v>141.17</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2"/>
                <c:pt idx="0">
                  <c:v>基本支出</c:v>
                </c:pt>
                <c:pt idx="1">
                  <c:v>项目支出</c:v>
                </c:pt>
              </c:strCache>
            </c:strRef>
          </c:cat>
          <c:val>
            <c:numRef>
              <c:f>Sheet1!$B$3:$H$3</c:f>
              <c:numCache>
                <c:formatCode>General</c:formatCode>
                <c:ptCount val="7"/>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2"/>
                <c:pt idx="0">
                  <c:v>基本支出</c:v>
                </c:pt>
                <c:pt idx="1">
                  <c:v>项目支出</c:v>
                </c:pt>
              </c:strCache>
            </c:strRef>
          </c:cat>
          <c:val>
            <c:numRef>
              <c:f>Sheet1!$B$4:$H$4</c:f>
              <c:numCache>
                <c:formatCode>General</c:formatCode>
                <c:ptCount val="7"/>
              </c:numCache>
            </c:numRef>
          </c:val>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741007194244605"/>
          <c:y val="0.17032967032967"/>
          <c:w val="0.244604316546763"/>
          <c:h val="0.65934065934066"/>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10791366906"/>
          <c:y val="0.0879120879120879"/>
          <c:w val="0.633093525179856"/>
          <c:h val="0.736263736263737"/>
        </c:manualLayout>
      </c:layout>
      <c:barChart>
        <c:barDir val="col"/>
        <c:grouping val="clustered"/>
        <c:varyColors val="0"/>
        <c:ser>
          <c:idx val="0"/>
          <c:order val="0"/>
          <c:tx>
            <c:strRef>
              <c:f>Sheet1!$A$2</c:f>
              <c:strCache>
                <c:ptCount val="1"/>
                <c:pt idx="0">
                  <c:v>2018年</c:v>
                </c:pt>
              </c:strCache>
            </c:strRef>
          </c:tx>
          <c:spPr>
            <a:solidFill>
              <a:srgbClr val="9999FF"/>
            </a:solidFill>
            <a:ln w="12700">
              <a:solidFill>
                <a:srgbClr val="000000"/>
              </a:solidFill>
              <a:prstDash val="solid"/>
            </a:ln>
          </c:spPr>
          <c:invertIfNegative val="0"/>
          <c:dLbls>
            <c:delete val="1"/>
          </c:dLbls>
          <c:cat>
            <c:strRef>
              <c:f>Sheet1!$B$1:$E$1</c:f>
              <c:strCache>
                <c:ptCount val="2"/>
                <c:pt idx="0">
                  <c:v>财政拨款收入</c:v>
                </c:pt>
                <c:pt idx="1">
                  <c:v>财政拨款支出</c:v>
                </c:pt>
              </c:strCache>
            </c:strRef>
          </c:cat>
          <c:val>
            <c:numRef>
              <c:f>Sheet1!$B$2:$E$2</c:f>
              <c:numCache>
                <c:formatCode>General</c:formatCode>
                <c:ptCount val="4"/>
                <c:pt idx="0">
                  <c:v>558.33</c:v>
                </c:pt>
                <c:pt idx="1">
                  <c:v>623.87</c:v>
                </c:pt>
              </c:numCache>
            </c:numRef>
          </c:val>
        </c:ser>
        <c:ser>
          <c:idx val="1"/>
          <c:order val="1"/>
          <c:tx>
            <c:strRef>
              <c:f>Sheet1!$A$3</c:f>
              <c:strCache>
                <c:ptCount val="1"/>
                <c:pt idx="0">
                  <c:v>2017年</c:v>
                </c:pt>
              </c:strCache>
            </c:strRef>
          </c:tx>
          <c:spPr>
            <a:solidFill>
              <a:srgbClr val="993366"/>
            </a:solidFill>
            <a:ln w="12700">
              <a:solidFill>
                <a:srgbClr val="000000"/>
              </a:solidFill>
              <a:prstDash val="solid"/>
            </a:ln>
          </c:spPr>
          <c:invertIfNegative val="0"/>
          <c:dLbls>
            <c:delete val="1"/>
          </c:dLbls>
          <c:cat>
            <c:strRef>
              <c:f>Sheet1!$B$1:$E$1</c:f>
              <c:strCache>
                <c:ptCount val="2"/>
                <c:pt idx="0">
                  <c:v>财政拨款收入</c:v>
                </c:pt>
                <c:pt idx="1">
                  <c:v>财政拨款支出</c:v>
                </c:pt>
              </c:strCache>
            </c:strRef>
          </c:cat>
          <c:val>
            <c:numRef>
              <c:f>Sheet1!$B$3:$E$3</c:f>
              <c:numCache>
                <c:formatCode>General</c:formatCode>
                <c:ptCount val="4"/>
                <c:pt idx="0">
                  <c:v>597.85</c:v>
                </c:pt>
                <c:pt idx="1">
                  <c:v>644.8</c:v>
                </c:pt>
              </c:numCache>
            </c:numRef>
          </c:val>
        </c:ser>
        <c:dLbls>
          <c:showLegendKey val="0"/>
          <c:showVal val="0"/>
          <c:showCatName val="0"/>
          <c:showSerName val="0"/>
          <c:showPercent val="0"/>
          <c:showBubbleSize val="0"/>
        </c:dLbls>
        <c:gapWidth val="150"/>
        <c:axId val="106141952"/>
        <c:axId val="106156032"/>
      </c:barChart>
      <c:catAx>
        <c:axId val="106141952"/>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6156032"/>
        <c:crosses val="autoZero"/>
        <c:auto val="1"/>
        <c:lblAlgn val="ctr"/>
        <c:lblOffset val="100"/>
        <c:tickLblSkip val="2"/>
        <c:noMultiLvlLbl val="0"/>
      </c:catAx>
      <c:valAx>
        <c:axId val="106156032"/>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6141952"/>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84172661870503"/>
          <c:y val="0.406593406593407"/>
          <c:w val="0.201438848920863"/>
          <c:h val="0.192307692307692"/>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10791366906"/>
          <c:y val="0.0879120879120879"/>
          <c:w val="0.633093525179856"/>
          <c:h val="0.736263736263737"/>
        </c:manualLayout>
      </c:layout>
      <c:barChart>
        <c:barDir val="col"/>
        <c:grouping val="clustered"/>
        <c:varyColors val="0"/>
        <c:ser>
          <c:idx val="0"/>
          <c:order val="0"/>
          <c:tx>
            <c:strRef>
              <c:f>Sheet1!$A$2</c:f>
              <c:strCache>
                <c:ptCount val="1"/>
                <c:pt idx="0">
                  <c:v>2018年</c:v>
                </c:pt>
              </c:strCache>
            </c:strRef>
          </c:tx>
          <c:spPr>
            <a:solidFill>
              <a:srgbClr val="9999FF"/>
            </a:solidFill>
            <a:ln w="12700">
              <a:solidFill>
                <a:srgbClr val="000000"/>
              </a:solidFill>
              <a:prstDash val="solid"/>
            </a:ln>
          </c:spPr>
          <c:invertIfNegative val="0"/>
          <c:dLbls>
            <c:delete val="1"/>
          </c:dLbls>
          <c:cat>
            <c:strRef>
              <c:f>Sheet1!$B$1:$E$1</c:f>
              <c:strCache>
                <c:ptCount val="1"/>
                <c:pt idx="0">
                  <c:v>一般公共预算财政拨款支出</c:v>
                </c:pt>
              </c:strCache>
            </c:strRef>
          </c:cat>
          <c:val>
            <c:numRef>
              <c:f>Sheet1!$B$2:$E$2</c:f>
              <c:numCache>
                <c:formatCode>General</c:formatCode>
                <c:ptCount val="4"/>
                <c:pt idx="0">
                  <c:v>609.6</c:v>
                </c:pt>
              </c:numCache>
            </c:numRef>
          </c:val>
        </c:ser>
        <c:ser>
          <c:idx val="1"/>
          <c:order val="1"/>
          <c:tx>
            <c:strRef>
              <c:f>Sheet1!$A$3</c:f>
              <c:strCache>
                <c:ptCount val="1"/>
                <c:pt idx="0">
                  <c:v>2017年</c:v>
                </c:pt>
              </c:strCache>
            </c:strRef>
          </c:tx>
          <c:spPr>
            <a:solidFill>
              <a:srgbClr val="993366"/>
            </a:solidFill>
            <a:ln w="12700">
              <a:solidFill>
                <a:srgbClr val="000000"/>
              </a:solidFill>
              <a:prstDash val="solid"/>
            </a:ln>
          </c:spPr>
          <c:invertIfNegative val="0"/>
          <c:dLbls>
            <c:delete val="1"/>
          </c:dLbls>
          <c:cat>
            <c:strRef>
              <c:f>Sheet1!$B$1:$E$1</c:f>
              <c:strCache>
                <c:ptCount val="1"/>
                <c:pt idx="0">
                  <c:v>一般公共预算财政拨款支出</c:v>
                </c:pt>
              </c:strCache>
            </c:strRef>
          </c:cat>
          <c:val>
            <c:numRef>
              <c:f>Sheet1!$B$3:$E$3</c:f>
              <c:numCache>
                <c:formatCode>General</c:formatCode>
                <c:ptCount val="4"/>
                <c:pt idx="0">
                  <c:v>642.29</c:v>
                </c:pt>
              </c:numCache>
            </c:numRef>
          </c:val>
        </c:ser>
        <c:dLbls>
          <c:showLegendKey val="0"/>
          <c:showVal val="0"/>
          <c:showCatName val="0"/>
          <c:showSerName val="0"/>
          <c:showPercent val="0"/>
          <c:showBubbleSize val="0"/>
        </c:dLbls>
        <c:gapWidth val="150"/>
        <c:axId val="106659840"/>
        <c:axId val="106661376"/>
      </c:barChart>
      <c:catAx>
        <c:axId val="106659840"/>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6661376"/>
        <c:crosses val="autoZero"/>
        <c:auto val="1"/>
        <c:lblAlgn val="ctr"/>
        <c:lblOffset val="100"/>
        <c:tickLblSkip val="4"/>
        <c:noMultiLvlLbl val="0"/>
      </c:catAx>
      <c:valAx>
        <c:axId val="106661376"/>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6659840"/>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84172661870503"/>
          <c:y val="0.406593406593407"/>
          <c:w val="0.201438848920863"/>
          <c:h val="0.192307692307692"/>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8"/>
          <c:y val="0.115384615384615"/>
          <c:w val="0.507194244604317"/>
          <c:h val="0.774725274725276"/>
        </c:manualLayout>
      </c:layout>
      <c:pieChart>
        <c:varyColors val="1"/>
        <c:ser>
          <c:idx val="0"/>
          <c:order val="0"/>
          <c:tx>
            <c:strRef>
              <c:f>Sheet1!$A$2</c:f>
              <c:strCache>
                <c:ptCount val="1"/>
                <c:pt idx="0">
                  <c:v>一般公共预算财政拨款支出</c:v>
                </c:pt>
              </c:strCache>
            </c:strRef>
          </c:tx>
          <c:spPr>
            <a:solidFill>
              <a:srgbClr val="9999FF"/>
            </a:solidFill>
            <a:ln w="12700">
              <a:solidFill>
                <a:srgbClr val="000000"/>
              </a:solidFill>
              <a:prstDash val="solid"/>
            </a:ln>
          </c:spPr>
          <c:explosion val="0"/>
          <c:dPt>
            <c:idx val="0"/>
            <c:bubble3D val="0"/>
            <c:spPr>
              <a:solidFill>
                <a:srgbClr val="FF99CC"/>
              </a:solidFill>
              <a:ln w="12700">
                <a:solidFill>
                  <a:srgbClr val="000000"/>
                </a:solidFill>
                <a:prstDash val="solid"/>
              </a:ln>
            </c:spPr>
          </c:dPt>
          <c:dPt>
            <c:idx val="1"/>
            <c:bubble3D val="0"/>
            <c:spPr>
              <a:solidFill>
                <a:srgbClr val="0000FF"/>
              </a:solidFill>
              <a:ln w="12700">
                <a:solidFill>
                  <a:srgbClr val="000000"/>
                </a:solidFill>
                <a:prstDash val="solid"/>
              </a:ln>
            </c:spPr>
          </c:dPt>
          <c:dPt>
            <c:idx val="2"/>
            <c:bubble3D val="0"/>
            <c:spPr>
              <a:solidFill>
                <a:srgbClr val="FF000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CC"/>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4"/>
                <c:pt idx="0">
                  <c:v>一般公共服务类</c:v>
                </c:pt>
                <c:pt idx="1">
                  <c:v>社会保障和就业</c:v>
                </c:pt>
                <c:pt idx="2">
                  <c:v>医疗卫生</c:v>
                </c:pt>
                <c:pt idx="3">
                  <c:v>住房保障</c:v>
                </c:pt>
              </c:strCache>
            </c:strRef>
          </c:cat>
          <c:val>
            <c:numRef>
              <c:f>Sheet1!$B$2:$H$2</c:f>
              <c:numCache>
                <c:formatCode>General</c:formatCode>
                <c:ptCount val="7"/>
                <c:pt idx="0">
                  <c:v>453.56</c:v>
                </c:pt>
                <c:pt idx="1">
                  <c:v>104.29</c:v>
                </c:pt>
                <c:pt idx="2">
                  <c:v>20.99</c:v>
                </c:pt>
                <c:pt idx="3">
                  <c:v>30.76</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4"/>
                <c:pt idx="0">
                  <c:v>一般公共服务类</c:v>
                </c:pt>
                <c:pt idx="1">
                  <c:v>社会保障和就业</c:v>
                </c:pt>
                <c:pt idx="2">
                  <c:v>医疗卫生</c:v>
                </c:pt>
                <c:pt idx="3">
                  <c:v>住房保障</c:v>
                </c:pt>
              </c:strCache>
            </c:strRef>
          </c:cat>
          <c:val>
            <c:numRef>
              <c:f>Sheet1!$B$3:$H$3</c:f>
              <c:numCache>
                <c:formatCode>General</c:formatCode>
                <c:ptCount val="7"/>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4"/>
                <c:pt idx="0">
                  <c:v>一般公共服务类</c:v>
                </c:pt>
                <c:pt idx="1">
                  <c:v>社会保障和就业</c:v>
                </c:pt>
                <c:pt idx="2">
                  <c:v>医疗卫生</c:v>
                </c:pt>
                <c:pt idx="3">
                  <c:v>住房保障</c:v>
                </c:pt>
              </c:strCache>
            </c:strRef>
          </c:cat>
          <c:val>
            <c:numRef>
              <c:f>Sheet1!$B$4:$H$4</c:f>
              <c:numCache>
                <c:formatCode>General</c:formatCode>
                <c:ptCount val="7"/>
              </c:numCache>
            </c:numRef>
          </c:val>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8"/>
          <c:y val="0.115384615384615"/>
          <c:w val="0.507194244604317"/>
          <c:h val="0.774725274725276"/>
        </c:manualLayout>
      </c:layout>
      <c:pieChart>
        <c:varyColors val="1"/>
        <c:ser>
          <c:idx val="0"/>
          <c:order val="0"/>
          <c:tx>
            <c:strRef>
              <c:f>Sheet1!$A$2</c:f>
              <c:strCache>
                <c:ptCount val="1"/>
                <c:pt idx="0">
                  <c:v>三公经费</c:v>
                </c:pt>
              </c:strCache>
            </c:strRef>
          </c:tx>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3"/>
                <c:pt idx="0">
                  <c:v>因公出国（境）费</c:v>
                </c:pt>
                <c:pt idx="1">
                  <c:v>公务用车购置及运行维护费</c:v>
                </c:pt>
                <c:pt idx="2">
                  <c:v>公务接待费</c:v>
                </c:pt>
              </c:strCache>
            </c:strRef>
          </c:cat>
          <c:val>
            <c:numRef>
              <c:f>Sheet1!$B$2:$E$2</c:f>
              <c:numCache>
                <c:formatCode>General</c:formatCode>
                <c:ptCount val="4"/>
                <c:pt idx="0">
                  <c:v>0</c:v>
                </c:pt>
                <c:pt idx="1">
                  <c:v>26.14</c:v>
                </c:pt>
                <c:pt idx="2">
                  <c:v>0.53</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3"/>
                <c:pt idx="0">
                  <c:v>因公出国（境）费</c:v>
                </c:pt>
                <c:pt idx="1">
                  <c:v>公务用车购置及运行维护费</c:v>
                </c:pt>
                <c:pt idx="2">
                  <c:v>公务接待费</c:v>
                </c:pt>
              </c:strCache>
            </c:strRef>
          </c:cat>
          <c:val>
            <c:numRef>
              <c:f>Sheet1!$B$3:$E$3</c:f>
              <c:numCache>
                <c:formatCode>General</c:formatCode>
                <c:ptCount val="4"/>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elete val="1"/>
          </c:dLbls>
          <c:cat>
            <c:strRef>
              <c:f>Sheet1!$B$1:$E$1</c:f>
              <c:strCache>
                <c:ptCount val="3"/>
                <c:pt idx="0">
                  <c:v>因公出国（境）费</c:v>
                </c:pt>
                <c:pt idx="1">
                  <c:v>公务用车购置及运行维护费</c:v>
                </c:pt>
                <c:pt idx="2">
                  <c:v>公务接待费</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654676258992806"/>
          <c:y val="0.153846153846154"/>
          <c:w val="0.330935251798561"/>
          <c:h val="0.686813186813187"/>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1382</Words>
  <Characters>7883</Characters>
  <Lines>65</Lines>
  <Paragraphs>18</Paragraphs>
  <ScaleCrop>false</ScaleCrop>
  <LinksUpToDate>false</LinksUpToDate>
  <CharactersWithSpaces>9247</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2019-08-21T03:08:00Z</dcterms:created>
  <dc:creator>Administrator</dc:creator>
  <cp:lastModifiedBy>LENOVO</cp:lastModifiedBy>
  <dcterms:modified xsi:type="dcterms:W3CDTF">2019-09-06T10:04:12Z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