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color w:val="000000"/>
          <w:sz w:val="72"/>
          <w:szCs w:val="72"/>
        </w:rPr>
      </w:pPr>
      <w:bookmarkStart w:id="0" w:name="_Toc15306267"/>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adjustRightInd w:val="0"/>
        <w:snapToGrid w:val="0"/>
        <w:spacing w:line="360" w:lineRule="auto"/>
        <w:jc w:val="center"/>
        <w:outlineLvl w:val="0"/>
        <w:rPr>
          <w:rFonts w:ascii="方正小标宋简体" w:hAnsi="宋体" w:eastAsia="方正小标宋简体"/>
          <w:color w:val="000000"/>
          <w:sz w:val="72"/>
          <w:szCs w:val="72"/>
        </w:rPr>
      </w:pPr>
      <w:bookmarkStart w:id="1" w:name="_Toc15396475"/>
      <w:bookmarkStart w:id="2" w:name="_Toc15377193"/>
      <w:bookmarkStart w:id="3" w:name="_Toc15377425"/>
      <w:bookmarkStart w:id="4" w:name="_Toc15396597"/>
      <w:bookmarkStart w:id="5" w:name="_Toc15378441"/>
      <w:r>
        <w:rPr>
          <w:rFonts w:ascii="黑体" w:hAnsi="黑体" w:eastAsia="黑体"/>
          <w:color w:val="000000"/>
          <w:sz w:val="72"/>
          <w:szCs w:val="72"/>
        </w:rPr>
        <w:t>201</w:t>
      </w:r>
      <w:r>
        <w:rPr>
          <w:rFonts w:hint="eastAsia" w:ascii="黑体" w:hAnsi="黑体" w:eastAsia="黑体"/>
          <w:color w:val="000000"/>
          <w:sz w:val="72"/>
          <w:szCs w:val="72"/>
        </w:rPr>
        <w:t>8</w:t>
      </w:r>
      <w:r>
        <w:rPr>
          <w:rFonts w:hint="eastAsia" w:ascii="方正小标宋简体" w:hAnsi="宋体" w:eastAsia="方正小标宋简体"/>
          <w:color w:val="000000"/>
          <w:sz w:val="72"/>
          <w:szCs w:val="72"/>
        </w:rPr>
        <w:t>年度</w:t>
      </w:r>
      <w:bookmarkEnd w:id="1"/>
      <w:bookmarkEnd w:id="2"/>
      <w:bookmarkEnd w:id="3"/>
      <w:bookmarkEnd w:id="4"/>
      <w:bookmarkEnd w:id="5"/>
    </w:p>
    <w:p>
      <w:pPr>
        <w:adjustRightInd w:val="0"/>
        <w:snapToGrid w:val="0"/>
        <w:spacing w:line="360" w:lineRule="auto"/>
        <w:jc w:val="center"/>
        <w:outlineLvl w:val="0"/>
        <w:rPr>
          <w:rFonts w:ascii="方正小标宋简体" w:hAnsi="宋体" w:eastAsia="方正小标宋简体"/>
          <w:color w:val="000000"/>
          <w:sz w:val="72"/>
          <w:szCs w:val="72"/>
        </w:rPr>
      </w:pPr>
      <w:bookmarkStart w:id="6" w:name="_Toc15396598"/>
      <w:bookmarkStart w:id="7" w:name="_Toc15378442"/>
      <w:bookmarkStart w:id="8" w:name="_Toc15396476"/>
      <w:bookmarkStart w:id="9" w:name="_Toc15377194"/>
      <w:bookmarkStart w:id="10" w:name="_Toc15377426"/>
      <w:r>
        <w:rPr>
          <w:rFonts w:hint="eastAsia" w:ascii="方正小标宋简体" w:hAnsi="宋体" w:eastAsia="方正小标宋简体"/>
          <w:color w:val="000000"/>
          <w:sz w:val="72"/>
          <w:szCs w:val="72"/>
        </w:rPr>
        <w:t>四川省</w:t>
      </w:r>
      <w:bookmarkEnd w:id="0"/>
      <w:bookmarkStart w:id="11" w:name="_Toc15306268"/>
      <w:r>
        <w:rPr>
          <w:rFonts w:hint="eastAsia" w:ascii="方正小标宋简体" w:hAnsi="宋体" w:eastAsia="方正小标宋简体"/>
          <w:color w:val="000000"/>
          <w:sz w:val="72"/>
          <w:szCs w:val="72"/>
        </w:rPr>
        <w:t>红原县人民政府办公室部门决算</w:t>
      </w:r>
      <w:bookmarkEnd w:id="6"/>
      <w:bookmarkEnd w:id="7"/>
      <w:bookmarkEnd w:id="8"/>
      <w:bookmarkEnd w:id="9"/>
      <w:bookmarkEnd w:id="10"/>
      <w:bookmarkEnd w:id="11"/>
    </w:p>
    <w:p>
      <w:pPr>
        <w:widowControl/>
        <w:rPr>
          <w:rFonts w:ascii="方正小标宋简体" w:hAnsi="宋体" w:eastAsia="方正小标宋简体"/>
          <w:color w:val="000000"/>
          <w:sz w:val="36"/>
          <w:szCs w:val="36"/>
        </w:rPr>
      </w:pPr>
      <w:bookmarkStart w:id="12" w:name="_Toc15377196"/>
      <w:bookmarkStart w:id="13" w:name="_Toc15396599"/>
    </w:p>
    <w:p>
      <w:pPr>
        <w:widowControl/>
        <w:rPr>
          <w:rFonts w:ascii="方正小标宋简体" w:hAnsi="宋体" w:eastAsia="方正小标宋简体"/>
          <w:color w:val="000000"/>
          <w:sz w:val="36"/>
          <w:szCs w:val="36"/>
        </w:rPr>
      </w:pPr>
    </w:p>
    <w:p>
      <w:pPr>
        <w:widowControl/>
        <w:rPr>
          <w:rFonts w:ascii="方正小标宋简体" w:hAnsi="宋体" w:eastAsia="方正小标宋简体"/>
          <w:color w:val="000000"/>
          <w:sz w:val="36"/>
          <w:szCs w:val="36"/>
        </w:rPr>
      </w:pPr>
    </w:p>
    <w:p>
      <w:pPr>
        <w:widowControl/>
        <w:rPr>
          <w:rFonts w:ascii="方正小标宋简体" w:hAnsi="宋体" w:eastAsia="方正小标宋简体"/>
          <w:color w:val="000000"/>
          <w:sz w:val="36"/>
          <w:szCs w:val="36"/>
        </w:rPr>
      </w:pPr>
    </w:p>
    <w:p>
      <w:pPr>
        <w:widowControl/>
        <w:rPr>
          <w:rFonts w:ascii="方正小标宋简体" w:hAnsi="宋体" w:eastAsia="方正小标宋简体"/>
          <w:color w:val="000000"/>
          <w:sz w:val="36"/>
          <w:szCs w:val="36"/>
        </w:rPr>
      </w:pPr>
    </w:p>
    <w:p>
      <w:pPr>
        <w:widowControl/>
        <w:rPr>
          <w:rFonts w:ascii="方正小标宋简体" w:hAnsi="宋体" w:eastAsia="方正小标宋简体"/>
          <w:color w:val="000000"/>
          <w:sz w:val="36"/>
          <w:szCs w:val="36"/>
        </w:rPr>
      </w:pPr>
    </w:p>
    <w:p>
      <w:pPr>
        <w:widowControl/>
        <w:rPr>
          <w:rFonts w:ascii="方正小标宋简体" w:hAnsi="宋体" w:eastAsia="方正小标宋简体"/>
          <w:color w:val="000000"/>
          <w:sz w:val="36"/>
          <w:szCs w:val="36"/>
        </w:rPr>
      </w:pPr>
    </w:p>
    <w:p>
      <w:pPr>
        <w:widowControl/>
        <w:rPr>
          <w:rFonts w:ascii="方正小标宋简体" w:hAnsi="宋体" w:eastAsia="方正小标宋简体"/>
          <w:color w:val="000000"/>
          <w:sz w:val="36"/>
          <w:szCs w:val="36"/>
        </w:rPr>
      </w:pPr>
    </w:p>
    <w:p>
      <w:pPr>
        <w:widowControl/>
        <w:rPr>
          <w:rFonts w:ascii="方正小标宋简体" w:hAnsi="宋体" w:eastAsia="方正小标宋简体"/>
          <w:color w:val="000000"/>
          <w:sz w:val="36"/>
          <w:szCs w:val="36"/>
        </w:rPr>
      </w:pPr>
    </w:p>
    <w:p>
      <w:pPr>
        <w:widowControl/>
        <w:rPr>
          <w:rFonts w:ascii="黑体" w:hAnsi="黑体" w:eastAsia="黑体"/>
          <w:color w:val="000000"/>
          <w:sz w:val="48"/>
          <w:szCs w:val="48"/>
        </w:rPr>
      </w:pPr>
    </w:p>
    <w:p>
      <w:pPr>
        <w:widowControl/>
        <w:ind w:firstLine="2640" w:firstLineChars="550"/>
        <w:jc w:val="left"/>
        <w:rPr>
          <w:rFonts w:hint="eastAsia" w:ascii="黑体" w:hAnsi="黑体" w:eastAsia="黑体"/>
          <w:color w:val="000000"/>
          <w:sz w:val="48"/>
          <w:szCs w:val="48"/>
        </w:rPr>
      </w:pPr>
      <w:r>
        <w:rPr>
          <w:rFonts w:hint="eastAsia" w:ascii="黑体" w:hAnsi="黑体" w:eastAsia="黑体"/>
          <w:color w:val="000000"/>
          <w:sz w:val="48"/>
          <w:szCs w:val="48"/>
        </w:rPr>
        <w:t>目    录</w:t>
      </w:r>
    </w:p>
    <w:p>
      <w:pPr>
        <w:widowControl/>
        <w:ind w:firstLine="2640" w:firstLineChars="550"/>
        <w:jc w:val="left"/>
        <w:rPr>
          <w:rFonts w:ascii="仿宋" w:hAnsi="仿宋" w:eastAsia="仿宋"/>
          <w:color w:val="000000"/>
          <w:sz w:val="30"/>
          <w:szCs w:val="30"/>
        </w:rPr>
      </w:pPr>
      <w:r>
        <w:rPr>
          <w:rFonts w:ascii="黑体" w:hAnsi="黑体" w:eastAsia="黑体"/>
          <w:sz w:val="48"/>
          <w:szCs w:val="48"/>
        </w:rPr>
        <w:fldChar w:fldCharType="begin"/>
      </w:r>
      <w:r>
        <w:rPr>
          <w:rFonts w:ascii="黑体" w:hAnsi="黑体" w:eastAsia="黑体"/>
          <w:sz w:val="48"/>
          <w:szCs w:val="48"/>
        </w:rPr>
        <w:instrText xml:space="preserve"> TOC \o "1-2" \h \z \u </w:instrText>
      </w:r>
      <w:r>
        <w:rPr>
          <w:rFonts w:ascii="黑体" w:hAnsi="黑体" w:eastAsia="黑体"/>
          <w:sz w:val="48"/>
          <w:szCs w:val="48"/>
        </w:rPr>
        <w:fldChar w:fldCharType="separate"/>
      </w:r>
    </w:p>
    <w:p/>
    <w:p>
      <w:pPr>
        <w:pStyle w:val="11"/>
        <w:jc w:val="both"/>
        <w:rPr>
          <w:rFonts w:cstheme="minorBidi"/>
        </w:rPr>
      </w:pPr>
      <w:r>
        <w:fldChar w:fldCharType="begin"/>
      </w:r>
      <w:r>
        <w:instrText xml:space="preserve"> HYPERLINK \l "_Toc15396599" </w:instrText>
      </w:r>
      <w:r>
        <w:fldChar w:fldCharType="separate"/>
      </w:r>
      <w:r>
        <w:rPr>
          <w:rStyle w:val="17"/>
          <w:rFonts w:hint="eastAsia"/>
        </w:rPr>
        <w:t>第一部分</w:t>
      </w:r>
      <w:r>
        <w:rPr>
          <w:rStyle w:val="17"/>
        </w:rPr>
        <w:t xml:space="preserve"> </w:t>
      </w:r>
      <w:r>
        <w:rPr>
          <w:rStyle w:val="17"/>
          <w:rFonts w:hint="eastAsia"/>
        </w:rPr>
        <w:t>部门概况</w:t>
      </w:r>
      <w:r>
        <w:rPr>
          <w:rStyle w:val="17"/>
          <w:rFonts w:hint="eastAsia"/>
        </w:rPr>
        <w:fldChar w:fldCharType="end"/>
      </w:r>
    </w:p>
    <w:p>
      <w:pPr>
        <w:pStyle w:val="12"/>
        <w:rPr>
          <w:rFonts w:ascii="仿宋" w:hAnsi="仿宋" w:eastAsia="仿宋" w:cstheme="minorBidi"/>
          <w:sz w:val="28"/>
          <w:szCs w:val="28"/>
        </w:rPr>
      </w:pPr>
      <w:r>
        <w:fldChar w:fldCharType="begin"/>
      </w:r>
      <w:r>
        <w:instrText xml:space="preserve"> HYPERLINK \l "_Toc15396600" </w:instrText>
      </w:r>
      <w:r>
        <w:fldChar w:fldCharType="separate"/>
      </w:r>
      <w:r>
        <w:rPr>
          <w:rStyle w:val="17"/>
          <w:rFonts w:hint="eastAsia" w:ascii="仿宋" w:hAnsi="仿宋" w:eastAsia="仿宋"/>
          <w:sz w:val="28"/>
          <w:szCs w:val="28"/>
        </w:rPr>
        <w:t>一、基本职能及主要工作</w:t>
      </w:r>
      <w:r>
        <w:rPr>
          <w:rStyle w:val="17"/>
          <w:rFonts w:hint="eastAsia" w:ascii="仿宋" w:hAnsi="仿宋" w:eastAsia="仿宋"/>
          <w:sz w:val="28"/>
          <w:szCs w:val="28"/>
        </w:rPr>
        <w:fldChar w:fldCharType="end"/>
      </w:r>
    </w:p>
    <w:p>
      <w:pPr>
        <w:pStyle w:val="12"/>
        <w:rPr>
          <w:rFonts w:ascii="仿宋" w:hAnsi="仿宋" w:eastAsia="仿宋" w:cstheme="minorBidi"/>
          <w:sz w:val="28"/>
          <w:szCs w:val="28"/>
        </w:rPr>
      </w:pPr>
      <w:r>
        <w:fldChar w:fldCharType="begin"/>
      </w:r>
      <w:r>
        <w:instrText xml:space="preserve"> HYPERLINK \l "_Toc15396601" </w:instrText>
      </w:r>
      <w:r>
        <w:fldChar w:fldCharType="separate"/>
      </w:r>
      <w:r>
        <w:rPr>
          <w:rStyle w:val="17"/>
          <w:rFonts w:hint="eastAsia" w:ascii="仿宋" w:hAnsi="仿宋" w:eastAsia="仿宋"/>
          <w:sz w:val="28"/>
          <w:szCs w:val="28"/>
        </w:rPr>
        <w:t>二、机构设置</w:t>
      </w:r>
      <w:r>
        <w:rPr>
          <w:rStyle w:val="17"/>
          <w:rFonts w:hint="eastAsia" w:ascii="仿宋" w:hAnsi="仿宋" w:eastAsia="仿宋"/>
          <w:sz w:val="28"/>
          <w:szCs w:val="28"/>
        </w:rPr>
        <w:fldChar w:fldCharType="end"/>
      </w:r>
    </w:p>
    <w:p>
      <w:pPr>
        <w:pStyle w:val="11"/>
        <w:jc w:val="both"/>
      </w:pPr>
      <w:r>
        <w:fldChar w:fldCharType="begin"/>
      </w:r>
      <w:r>
        <w:instrText xml:space="preserve"> HYPERLINK \l "_Toc15396602" </w:instrText>
      </w:r>
      <w:r>
        <w:fldChar w:fldCharType="separate"/>
      </w:r>
      <w:r>
        <w:rPr>
          <w:rStyle w:val="17"/>
          <w:rFonts w:hint="eastAsia"/>
        </w:rPr>
        <w:t>第二部分</w:t>
      </w:r>
      <w:r>
        <w:rPr>
          <w:rStyle w:val="17"/>
        </w:rPr>
        <w:t xml:space="preserve"> 2018</w:t>
      </w:r>
      <w:r>
        <w:rPr>
          <w:rStyle w:val="17"/>
          <w:rFonts w:hint="eastAsia"/>
        </w:rPr>
        <w:t>年度部门决算情况说明</w:t>
      </w:r>
      <w:r>
        <w:rPr>
          <w:rStyle w:val="17"/>
          <w:rFonts w:hint="eastAsia"/>
        </w:rPr>
        <w:fldChar w:fldCharType="end"/>
      </w:r>
    </w:p>
    <w:p>
      <w:pPr>
        <w:pStyle w:val="12"/>
        <w:rPr>
          <w:rFonts w:ascii="仿宋" w:hAnsi="仿宋" w:eastAsia="仿宋" w:cstheme="minorBidi"/>
          <w:sz w:val="28"/>
          <w:szCs w:val="28"/>
        </w:rPr>
      </w:pPr>
      <w:r>
        <w:fldChar w:fldCharType="begin"/>
      </w:r>
      <w:r>
        <w:instrText xml:space="preserve"> HYPERLINK \l "_Toc15396603" </w:instrText>
      </w:r>
      <w:r>
        <w:fldChar w:fldCharType="separate"/>
      </w:r>
      <w:r>
        <w:rPr>
          <w:rStyle w:val="17"/>
          <w:rFonts w:hint="eastAsia" w:ascii="仿宋" w:hAnsi="仿宋" w:eastAsia="仿宋" w:cstheme="majorBidi"/>
          <w:bCs/>
          <w:sz w:val="28"/>
          <w:szCs w:val="28"/>
        </w:rPr>
        <w:t>一、</w:t>
      </w:r>
      <w:r>
        <w:rPr>
          <w:rStyle w:val="17"/>
          <w:rFonts w:hint="eastAsia" w:ascii="仿宋" w:hAnsi="仿宋" w:eastAsia="仿宋"/>
          <w:sz w:val="28"/>
          <w:szCs w:val="28"/>
        </w:rPr>
        <w:t>收</w:t>
      </w:r>
      <w:r>
        <w:rPr>
          <w:rStyle w:val="17"/>
          <w:rFonts w:hint="eastAsia" w:ascii="仿宋" w:hAnsi="仿宋" w:eastAsia="仿宋" w:cstheme="majorBidi"/>
          <w:bCs/>
          <w:sz w:val="28"/>
          <w:szCs w:val="28"/>
        </w:rPr>
        <w:t>入支出决算总体情况说明</w:t>
      </w:r>
      <w:r>
        <w:rPr>
          <w:rStyle w:val="17"/>
          <w:rFonts w:hint="eastAsia" w:ascii="仿宋" w:hAnsi="仿宋" w:eastAsia="仿宋" w:cstheme="majorBidi"/>
          <w:bCs/>
          <w:sz w:val="28"/>
          <w:szCs w:val="28"/>
        </w:rPr>
        <w:fldChar w:fldCharType="end"/>
      </w:r>
    </w:p>
    <w:p>
      <w:pPr>
        <w:pStyle w:val="12"/>
        <w:rPr>
          <w:rFonts w:ascii="仿宋" w:hAnsi="仿宋" w:eastAsia="仿宋" w:cstheme="minorBidi"/>
          <w:sz w:val="28"/>
          <w:szCs w:val="28"/>
        </w:rPr>
      </w:pPr>
      <w:r>
        <w:fldChar w:fldCharType="begin"/>
      </w:r>
      <w:r>
        <w:instrText xml:space="preserve"> HYPERLINK \l "_Toc15396604" </w:instrText>
      </w:r>
      <w:r>
        <w:fldChar w:fldCharType="separate"/>
      </w:r>
      <w:r>
        <w:rPr>
          <w:rStyle w:val="17"/>
          <w:rFonts w:hint="eastAsia" w:ascii="仿宋" w:hAnsi="仿宋" w:eastAsia="仿宋" w:cstheme="majorBidi"/>
          <w:bCs/>
          <w:sz w:val="28"/>
          <w:szCs w:val="28"/>
        </w:rPr>
        <w:t>二、</w:t>
      </w:r>
      <w:r>
        <w:rPr>
          <w:rStyle w:val="17"/>
          <w:rFonts w:hint="eastAsia" w:ascii="仿宋" w:hAnsi="仿宋" w:eastAsia="仿宋"/>
          <w:sz w:val="28"/>
          <w:szCs w:val="28"/>
        </w:rPr>
        <w:t>收</w:t>
      </w:r>
      <w:r>
        <w:rPr>
          <w:rStyle w:val="17"/>
          <w:rFonts w:hint="eastAsia" w:ascii="仿宋" w:hAnsi="仿宋" w:eastAsia="仿宋" w:cstheme="majorBidi"/>
          <w:bCs/>
          <w:sz w:val="28"/>
          <w:szCs w:val="28"/>
        </w:rPr>
        <w:t>入决算情况说明</w:t>
      </w:r>
      <w:r>
        <w:rPr>
          <w:rStyle w:val="17"/>
          <w:rFonts w:hint="eastAsia" w:ascii="仿宋" w:hAnsi="仿宋" w:eastAsia="仿宋" w:cstheme="majorBidi"/>
          <w:bCs/>
          <w:sz w:val="28"/>
          <w:szCs w:val="28"/>
        </w:rPr>
        <w:fldChar w:fldCharType="end"/>
      </w:r>
    </w:p>
    <w:p>
      <w:pPr>
        <w:pStyle w:val="12"/>
        <w:rPr>
          <w:rFonts w:ascii="仿宋" w:hAnsi="仿宋" w:eastAsia="仿宋" w:cstheme="minorBidi"/>
          <w:sz w:val="28"/>
          <w:szCs w:val="28"/>
        </w:rPr>
      </w:pPr>
      <w:r>
        <w:fldChar w:fldCharType="begin"/>
      </w:r>
      <w:r>
        <w:instrText xml:space="preserve"> HYPERLINK \l "_Toc15396605" </w:instrText>
      </w:r>
      <w:r>
        <w:fldChar w:fldCharType="separate"/>
      </w:r>
      <w:r>
        <w:rPr>
          <w:rStyle w:val="17"/>
          <w:rFonts w:hint="eastAsia" w:ascii="仿宋" w:hAnsi="仿宋" w:eastAsia="仿宋" w:cstheme="majorBidi"/>
          <w:bCs/>
          <w:sz w:val="28"/>
          <w:szCs w:val="28"/>
        </w:rPr>
        <w:t>三、</w:t>
      </w:r>
      <w:r>
        <w:rPr>
          <w:rStyle w:val="17"/>
          <w:rFonts w:hint="eastAsia" w:ascii="仿宋" w:hAnsi="仿宋" w:eastAsia="仿宋"/>
          <w:sz w:val="28"/>
          <w:szCs w:val="28"/>
        </w:rPr>
        <w:t>支</w:t>
      </w:r>
      <w:r>
        <w:rPr>
          <w:rStyle w:val="17"/>
          <w:rFonts w:hint="eastAsia" w:ascii="仿宋" w:hAnsi="仿宋" w:eastAsia="仿宋" w:cstheme="majorBidi"/>
          <w:bCs/>
          <w:sz w:val="28"/>
          <w:szCs w:val="28"/>
        </w:rPr>
        <w:t>出决算情况说明</w:t>
      </w:r>
      <w:r>
        <w:rPr>
          <w:rStyle w:val="17"/>
          <w:rFonts w:hint="eastAsia" w:ascii="仿宋" w:hAnsi="仿宋" w:eastAsia="仿宋" w:cstheme="majorBidi"/>
          <w:bCs/>
          <w:sz w:val="28"/>
          <w:szCs w:val="28"/>
        </w:rPr>
        <w:fldChar w:fldCharType="end"/>
      </w:r>
    </w:p>
    <w:p>
      <w:pPr>
        <w:pStyle w:val="12"/>
        <w:rPr>
          <w:rFonts w:ascii="仿宋" w:hAnsi="仿宋" w:eastAsia="仿宋" w:cstheme="minorBidi"/>
          <w:sz w:val="28"/>
          <w:szCs w:val="28"/>
        </w:rPr>
      </w:pPr>
      <w:r>
        <w:fldChar w:fldCharType="begin"/>
      </w:r>
      <w:r>
        <w:instrText xml:space="preserve"> HYPERLINK \l "_Toc15396606" </w:instrText>
      </w:r>
      <w:r>
        <w:fldChar w:fldCharType="separate"/>
      </w:r>
      <w:r>
        <w:rPr>
          <w:rStyle w:val="17"/>
          <w:rFonts w:hint="eastAsia" w:ascii="仿宋" w:hAnsi="仿宋" w:eastAsia="仿宋"/>
          <w:sz w:val="28"/>
          <w:szCs w:val="28"/>
        </w:rPr>
        <w:t>四、财</w:t>
      </w:r>
      <w:r>
        <w:rPr>
          <w:rStyle w:val="17"/>
          <w:rFonts w:hint="eastAsia" w:ascii="仿宋" w:hAnsi="仿宋" w:eastAsia="仿宋" w:cstheme="majorBidi"/>
          <w:bCs/>
          <w:sz w:val="28"/>
          <w:szCs w:val="28"/>
        </w:rPr>
        <w:t>政拨款收入支出决算总体情况说明</w:t>
      </w:r>
      <w:r>
        <w:rPr>
          <w:rStyle w:val="17"/>
          <w:rFonts w:hint="eastAsia" w:ascii="仿宋" w:hAnsi="仿宋" w:eastAsia="仿宋" w:cstheme="majorBidi"/>
          <w:bCs/>
          <w:sz w:val="28"/>
          <w:szCs w:val="28"/>
        </w:rPr>
        <w:fldChar w:fldCharType="end"/>
      </w:r>
    </w:p>
    <w:p>
      <w:pPr>
        <w:pStyle w:val="12"/>
        <w:rPr>
          <w:rFonts w:ascii="仿宋" w:hAnsi="仿宋" w:eastAsia="仿宋" w:cstheme="minorBidi"/>
          <w:sz w:val="28"/>
          <w:szCs w:val="28"/>
        </w:rPr>
      </w:pPr>
      <w:r>
        <w:fldChar w:fldCharType="begin"/>
      </w:r>
      <w:r>
        <w:instrText xml:space="preserve"> HYPERLINK \l "_Toc15396607" </w:instrText>
      </w:r>
      <w:r>
        <w:fldChar w:fldCharType="separate"/>
      </w:r>
      <w:r>
        <w:rPr>
          <w:rStyle w:val="17"/>
          <w:rFonts w:hint="eastAsia" w:ascii="仿宋" w:hAnsi="仿宋" w:eastAsia="仿宋"/>
          <w:sz w:val="28"/>
          <w:szCs w:val="28"/>
        </w:rPr>
        <w:t>五、一</w:t>
      </w:r>
      <w:r>
        <w:rPr>
          <w:rStyle w:val="17"/>
          <w:rFonts w:hint="eastAsia" w:ascii="仿宋" w:hAnsi="仿宋" w:eastAsia="仿宋" w:cstheme="majorBidi"/>
          <w:bCs/>
          <w:sz w:val="28"/>
          <w:szCs w:val="28"/>
        </w:rPr>
        <w:t>般公共预算财政拨款支出决算情况说明</w:t>
      </w:r>
      <w:r>
        <w:rPr>
          <w:rStyle w:val="17"/>
          <w:rFonts w:hint="eastAsia" w:ascii="仿宋" w:hAnsi="仿宋" w:eastAsia="仿宋" w:cstheme="majorBidi"/>
          <w:bCs/>
          <w:sz w:val="28"/>
          <w:szCs w:val="28"/>
        </w:rPr>
        <w:fldChar w:fldCharType="end"/>
      </w:r>
    </w:p>
    <w:p>
      <w:pPr>
        <w:pStyle w:val="12"/>
        <w:rPr>
          <w:rFonts w:ascii="仿宋" w:hAnsi="仿宋" w:eastAsia="仿宋" w:cstheme="minorBidi"/>
          <w:sz w:val="28"/>
          <w:szCs w:val="28"/>
        </w:rPr>
      </w:pPr>
      <w:r>
        <w:fldChar w:fldCharType="begin"/>
      </w:r>
      <w:r>
        <w:instrText xml:space="preserve"> HYPERLINK \l "_Toc15396608" </w:instrText>
      </w:r>
      <w:r>
        <w:fldChar w:fldCharType="separate"/>
      </w:r>
      <w:r>
        <w:rPr>
          <w:rStyle w:val="17"/>
          <w:rFonts w:hint="eastAsia" w:ascii="仿宋" w:hAnsi="仿宋" w:eastAsia="仿宋"/>
          <w:sz w:val="28"/>
          <w:szCs w:val="28"/>
        </w:rPr>
        <w:t>六、一</w:t>
      </w:r>
      <w:r>
        <w:rPr>
          <w:rStyle w:val="17"/>
          <w:rFonts w:hint="eastAsia" w:ascii="仿宋" w:hAnsi="仿宋" w:eastAsia="仿宋" w:cstheme="majorBidi"/>
          <w:bCs/>
          <w:sz w:val="28"/>
          <w:szCs w:val="28"/>
        </w:rPr>
        <w:t>般公共预算财政拨款基本支出决算情况说明</w:t>
      </w:r>
      <w:r>
        <w:rPr>
          <w:rStyle w:val="17"/>
          <w:rFonts w:hint="eastAsia" w:ascii="仿宋" w:hAnsi="仿宋" w:eastAsia="仿宋" w:cstheme="majorBidi"/>
          <w:bCs/>
          <w:sz w:val="28"/>
          <w:szCs w:val="28"/>
        </w:rPr>
        <w:fldChar w:fldCharType="end"/>
      </w:r>
    </w:p>
    <w:p>
      <w:pPr>
        <w:pStyle w:val="12"/>
        <w:rPr>
          <w:rFonts w:ascii="仿宋" w:hAnsi="仿宋" w:eastAsia="仿宋" w:cstheme="minorBidi"/>
          <w:sz w:val="28"/>
          <w:szCs w:val="28"/>
        </w:rPr>
      </w:pPr>
      <w:r>
        <w:fldChar w:fldCharType="begin"/>
      </w:r>
      <w:r>
        <w:instrText xml:space="preserve"> HYPERLINK \l "_Toc15396609" </w:instrText>
      </w:r>
      <w:r>
        <w:fldChar w:fldCharType="separate"/>
      </w:r>
      <w:r>
        <w:rPr>
          <w:rStyle w:val="17"/>
          <w:rFonts w:hint="eastAsia" w:ascii="仿宋" w:hAnsi="仿宋" w:eastAsia="仿宋"/>
          <w:sz w:val="28"/>
          <w:szCs w:val="28"/>
        </w:rPr>
        <w:t>七、</w:t>
      </w:r>
      <w:r>
        <w:rPr>
          <w:rStyle w:val="17"/>
          <w:rFonts w:ascii="仿宋" w:hAnsi="仿宋" w:eastAsia="仿宋"/>
          <w:sz w:val="28"/>
          <w:szCs w:val="28"/>
        </w:rPr>
        <w:t>“</w:t>
      </w:r>
      <w:r>
        <w:rPr>
          <w:rStyle w:val="17"/>
          <w:rFonts w:hint="eastAsia" w:ascii="仿宋" w:hAnsi="仿宋" w:eastAsia="仿宋" w:cstheme="majorBidi"/>
          <w:bCs/>
          <w:sz w:val="28"/>
          <w:szCs w:val="28"/>
        </w:rPr>
        <w:t>三公”经费财政拨款支出决算情况说明</w:t>
      </w:r>
      <w:r>
        <w:rPr>
          <w:rStyle w:val="17"/>
          <w:rFonts w:hint="eastAsia" w:ascii="仿宋" w:hAnsi="仿宋" w:eastAsia="仿宋" w:cstheme="majorBidi"/>
          <w:bCs/>
          <w:sz w:val="28"/>
          <w:szCs w:val="28"/>
        </w:rPr>
        <w:fldChar w:fldCharType="end"/>
      </w:r>
    </w:p>
    <w:p>
      <w:pPr>
        <w:pStyle w:val="12"/>
        <w:rPr>
          <w:rFonts w:ascii="仿宋" w:hAnsi="仿宋" w:eastAsia="仿宋" w:cstheme="minorBidi"/>
          <w:sz w:val="28"/>
          <w:szCs w:val="28"/>
        </w:rPr>
      </w:pPr>
      <w:r>
        <w:fldChar w:fldCharType="begin"/>
      </w:r>
      <w:r>
        <w:instrText xml:space="preserve"> HYPERLINK \l "_Toc15396610" </w:instrText>
      </w:r>
      <w:r>
        <w:fldChar w:fldCharType="separate"/>
      </w:r>
      <w:r>
        <w:rPr>
          <w:rStyle w:val="17"/>
          <w:rFonts w:hint="eastAsia" w:ascii="仿宋" w:hAnsi="仿宋" w:eastAsia="仿宋"/>
          <w:sz w:val="28"/>
          <w:szCs w:val="28"/>
        </w:rPr>
        <w:t>八、</w:t>
      </w:r>
      <w:r>
        <w:rPr>
          <w:rStyle w:val="17"/>
          <w:rFonts w:hint="eastAsia" w:ascii="仿宋" w:hAnsi="仿宋" w:eastAsia="仿宋" w:cstheme="majorBidi"/>
          <w:bCs/>
          <w:sz w:val="28"/>
          <w:szCs w:val="28"/>
        </w:rPr>
        <w:t>政府性基金预算支出决算情况说明</w:t>
      </w:r>
      <w:r>
        <w:rPr>
          <w:rStyle w:val="17"/>
          <w:rFonts w:hint="eastAsia" w:ascii="仿宋" w:hAnsi="仿宋" w:eastAsia="仿宋" w:cstheme="majorBidi"/>
          <w:bCs/>
          <w:sz w:val="28"/>
          <w:szCs w:val="28"/>
        </w:rPr>
        <w:fldChar w:fldCharType="end"/>
      </w:r>
    </w:p>
    <w:p>
      <w:pPr>
        <w:pStyle w:val="12"/>
        <w:rPr>
          <w:rFonts w:ascii="仿宋" w:hAnsi="仿宋" w:eastAsia="仿宋" w:cstheme="minorBidi"/>
          <w:sz w:val="28"/>
          <w:szCs w:val="28"/>
        </w:rPr>
      </w:pPr>
      <w:r>
        <w:fldChar w:fldCharType="begin"/>
      </w:r>
      <w:r>
        <w:instrText xml:space="preserve"> HYPERLINK \l "_Toc15396611" </w:instrText>
      </w:r>
      <w:r>
        <w:fldChar w:fldCharType="separate"/>
      </w:r>
      <w:r>
        <w:rPr>
          <w:rStyle w:val="17"/>
          <w:rFonts w:hint="eastAsia" w:ascii="仿宋" w:hAnsi="仿宋" w:eastAsia="仿宋" w:cstheme="majorBidi"/>
          <w:bCs/>
          <w:sz w:val="28"/>
          <w:szCs w:val="28"/>
        </w:rPr>
        <w:t>九、</w:t>
      </w:r>
      <w:r>
        <w:rPr>
          <w:rStyle w:val="17"/>
          <w:rFonts w:hint="eastAsia" w:ascii="仿宋" w:hAnsi="仿宋" w:eastAsia="仿宋"/>
          <w:sz w:val="28"/>
          <w:szCs w:val="28"/>
        </w:rPr>
        <w:t xml:space="preserve"> 国</w:t>
      </w:r>
      <w:r>
        <w:rPr>
          <w:rStyle w:val="17"/>
          <w:rFonts w:hint="eastAsia" w:ascii="仿宋" w:hAnsi="仿宋" w:eastAsia="仿宋" w:cstheme="majorBidi"/>
          <w:bCs/>
          <w:sz w:val="28"/>
          <w:szCs w:val="28"/>
        </w:rPr>
        <w:t>有资本经营预算支出决算情况说明</w:t>
      </w:r>
      <w:r>
        <w:rPr>
          <w:rStyle w:val="17"/>
          <w:rFonts w:hint="eastAsia" w:ascii="仿宋" w:hAnsi="仿宋" w:eastAsia="仿宋" w:cstheme="majorBidi"/>
          <w:bCs/>
          <w:sz w:val="28"/>
          <w:szCs w:val="28"/>
        </w:rPr>
        <w:fldChar w:fldCharType="end"/>
      </w:r>
    </w:p>
    <w:p>
      <w:pPr>
        <w:pStyle w:val="12"/>
        <w:rPr>
          <w:rFonts w:ascii="仿宋" w:hAnsi="仿宋" w:eastAsia="仿宋" w:cstheme="minorBidi"/>
          <w:sz w:val="28"/>
          <w:szCs w:val="28"/>
        </w:rPr>
      </w:pPr>
      <w:r>
        <w:fldChar w:fldCharType="begin"/>
      </w:r>
      <w:r>
        <w:instrText xml:space="preserve"> HYPERLINK \l "_Toc15396612" </w:instrText>
      </w:r>
      <w:r>
        <w:fldChar w:fldCharType="separate"/>
      </w:r>
      <w:r>
        <w:rPr>
          <w:rStyle w:val="17"/>
          <w:rFonts w:hint="eastAsia" w:ascii="仿宋" w:hAnsi="仿宋" w:eastAsia="仿宋"/>
          <w:sz w:val="28"/>
          <w:szCs w:val="28"/>
        </w:rPr>
        <w:t>十</w:t>
      </w:r>
      <w:r>
        <w:rPr>
          <w:rStyle w:val="17"/>
          <w:rFonts w:hint="eastAsia" w:ascii="仿宋" w:hAnsi="仿宋" w:eastAsia="仿宋" w:cstheme="majorBidi"/>
          <w:bCs/>
          <w:sz w:val="28"/>
          <w:szCs w:val="28"/>
        </w:rPr>
        <w:t>一、其他重要事项的情况说明</w:t>
      </w:r>
      <w:r>
        <w:rPr>
          <w:rStyle w:val="17"/>
          <w:rFonts w:hint="eastAsia" w:ascii="仿宋" w:hAnsi="仿宋" w:eastAsia="仿宋" w:cstheme="majorBidi"/>
          <w:bCs/>
          <w:sz w:val="28"/>
          <w:szCs w:val="28"/>
        </w:rPr>
        <w:fldChar w:fldCharType="end"/>
      </w:r>
    </w:p>
    <w:p>
      <w:pPr>
        <w:pStyle w:val="11"/>
        <w:jc w:val="both"/>
        <w:rPr>
          <w:rFonts w:cstheme="minorBidi"/>
        </w:rPr>
      </w:pPr>
      <w:r>
        <w:fldChar w:fldCharType="begin"/>
      </w:r>
      <w:r>
        <w:instrText xml:space="preserve"> HYPERLINK \l "_Toc15396613" </w:instrText>
      </w:r>
      <w:r>
        <w:fldChar w:fldCharType="separate"/>
      </w:r>
      <w:r>
        <w:rPr>
          <w:rStyle w:val="17"/>
          <w:rFonts w:hint="eastAsia"/>
          <w:bCs/>
          <w:kern w:val="44"/>
        </w:rPr>
        <w:t>第三部分</w:t>
      </w:r>
      <w:r>
        <w:rPr>
          <w:rStyle w:val="17"/>
          <w:rFonts w:hint="eastAsia"/>
        </w:rPr>
        <w:t xml:space="preserve"> 名</w:t>
      </w:r>
      <w:r>
        <w:rPr>
          <w:rStyle w:val="17"/>
          <w:rFonts w:hint="eastAsia"/>
          <w:bCs/>
          <w:kern w:val="44"/>
        </w:rPr>
        <w:t>词解释</w:t>
      </w:r>
      <w:r>
        <w:rPr>
          <w:rStyle w:val="17"/>
          <w:rFonts w:hint="eastAsia"/>
          <w:bCs/>
          <w:kern w:val="44"/>
        </w:rPr>
        <w:fldChar w:fldCharType="end"/>
      </w:r>
    </w:p>
    <w:p>
      <w:pPr>
        <w:pStyle w:val="11"/>
        <w:jc w:val="both"/>
        <w:rPr>
          <w:rFonts w:cstheme="minorBidi"/>
        </w:rPr>
      </w:pPr>
      <w:r>
        <w:fldChar w:fldCharType="begin"/>
      </w:r>
      <w:r>
        <w:instrText xml:space="preserve"> HYPERLINK \l "_Toc15396614" </w:instrText>
      </w:r>
      <w:r>
        <w:fldChar w:fldCharType="separate"/>
      </w:r>
      <w:r>
        <w:rPr>
          <w:rStyle w:val="17"/>
          <w:rFonts w:hint="eastAsia"/>
        </w:rPr>
        <w:t>第</w:t>
      </w:r>
      <w:r>
        <w:rPr>
          <w:rStyle w:val="17"/>
          <w:rFonts w:hint="eastAsia"/>
          <w:bCs/>
          <w:kern w:val="44"/>
        </w:rPr>
        <w:t>四部分</w:t>
      </w:r>
      <w:r>
        <w:rPr>
          <w:rStyle w:val="17"/>
          <w:bCs/>
          <w:kern w:val="44"/>
        </w:rPr>
        <w:t xml:space="preserve"> </w:t>
      </w:r>
      <w:r>
        <w:rPr>
          <w:rStyle w:val="17"/>
          <w:rFonts w:hint="eastAsia"/>
          <w:bCs/>
          <w:kern w:val="44"/>
        </w:rPr>
        <w:t>附件</w:t>
      </w:r>
      <w:r>
        <w:rPr>
          <w:rStyle w:val="17"/>
          <w:rFonts w:hint="eastAsia"/>
          <w:bCs/>
          <w:kern w:val="44"/>
        </w:rPr>
        <w:fldChar w:fldCharType="end"/>
      </w:r>
    </w:p>
    <w:p>
      <w:pPr>
        <w:pStyle w:val="12"/>
        <w:rPr>
          <w:rFonts w:ascii="仿宋" w:hAnsi="仿宋" w:eastAsia="仿宋" w:cstheme="minorBidi"/>
          <w:sz w:val="28"/>
          <w:szCs w:val="28"/>
        </w:rPr>
      </w:pPr>
      <w:r>
        <w:fldChar w:fldCharType="begin"/>
      </w:r>
      <w:r>
        <w:instrText xml:space="preserve"> HYPERLINK \l "_Toc15396615" </w:instrText>
      </w:r>
      <w:r>
        <w:fldChar w:fldCharType="separate"/>
      </w:r>
      <w:r>
        <w:rPr>
          <w:rStyle w:val="17"/>
          <w:rFonts w:hint="eastAsia" w:ascii="仿宋" w:hAnsi="仿宋" w:eastAsia="仿宋"/>
          <w:kern w:val="44"/>
          <w:sz w:val="28"/>
          <w:szCs w:val="28"/>
        </w:rPr>
        <w:t>附件</w:t>
      </w:r>
      <w:r>
        <w:rPr>
          <w:rStyle w:val="17"/>
          <w:rFonts w:ascii="仿宋" w:hAnsi="仿宋" w:eastAsia="仿宋"/>
          <w:kern w:val="44"/>
          <w:sz w:val="28"/>
          <w:szCs w:val="28"/>
        </w:rPr>
        <w:t>1</w:t>
      </w:r>
      <w:r>
        <w:rPr>
          <w:rStyle w:val="17"/>
          <w:rFonts w:ascii="仿宋" w:hAnsi="仿宋" w:eastAsia="仿宋"/>
          <w:kern w:val="44"/>
          <w:sz w:val="28"/>
          <w:szCs w:val="28"/>
        </w:rPr>
        <w:fldChar w:fldCharType="end"/>
      </w:r>
    </w:p>
    <w:p>
      <w:pPr>
        <w:pStyle w:val="12"/>
        <w:rPr>
          <w:rFonts w:ascii="仿宋" w:hAnsi="仿宋" w:eastAsia="仿宋" w:cstheme="minorBidi"/>
          <w:sz w:val="28"/>
          <w:szCs w:val="28"/>
        </w:rPr>
      </w:pPr>
      <w:r>
        <w:fldChar w:fldCharType="begin"/>
      </w:r>
      <w:r>
        <w:instrText xml:space="preserve"> HYPERLINK \l "_Toc15396617" </w:instrText>
      </w:r>
      <w:r>
        <w:fldChar w:fldCharType="separate"/>
      </w:r>
      <w:r>
        <w:rPr>
          <w:rStyle w:val="17"/>
          <w:rFonts w:hint="eastAsia" w:ascii="仿宋" w:hAnsi="仿宋" w:eastAsia="仿宋"/>
          <w:kern w:val="44"/>
          <w:sz w:val="28"/>
          <w:szCs w:val="28"/>
        </w:rPr>
        <w:t>附件</w:t>
      </w:r>
      <w:r>
        <w:rPr>
          <w:rStyle w:val="17"/>
          <w:rFonts w:ascii="仿宋" w:hAnsi="仿宋" w:eastAsia="仿宋"/>
          <w:kern w:val="44"/>
          <w:sz w:val="28"/>
          <w:szCs w:val="28"/>
        </w:rPr>
        <w:t>2</w:t>
      </w:r>
      <w:r>
        <w:rPr>
          <w:rStyle w:val="17"/>
          <w:rFonts w:ascii="仿宋" w:hAnsi="仿宋" w:eastAsia="仿宋"/>
          <w:kern w:val="44"/>
          <w:sz w:val="28"/>
          <w:szCs w:val="28"/>
        </w:rPr>
        <w:fldChar w:fldCharType="end"/>
      </w:r>
    </w:p>
    <w:p>
      <w:pPr>
        <w:pStyle w:val="11"/>
        <w:jc w:val="both"/>
        <w:rPr>
          <w:rFonts w:cstheme="minorBidi"/>
        </w:rPr>
      </w:pPr>
      <w:r>
        <w:fldChar w:fldCharType="begin"/>
      </w:r>
      <w:r>
        <w:instrText xml:space="preserve"> HYPERLINK \l "_Toc15396618" </w:instrText>
      </w:r>
      <w:r>
        <w:fldChar w:fldCharType="separate"/>
      </w:r>
      <w:r>
        <w:rPr>
          <w:rStyle w:val="17"/>
          <w:rFonts w:hint="eastAsia"/>
        </w:rPr>
        <w:t>第</w:t>
      </w:r>
      <w:r>
        <w:rPr>
          <w:rStyle w:val="17"/>
          <w:rFonts w:hint="eastAsia"/>
          <w:bCs/>
          <w:kern w:val="44"/>
        </w:rPr>
        <w:t>五部分</w:t>
      </w:r>
      <w:r>
        <w:rPr>
          <w:rStyle w:val="17"/>
          <w:bCs/>
          <w:kern w:val="44"/>
        </w:rPr>
        <w:t xml:space="preserve"> </w:t>
      </w:r>
      <w:r>
        <w:rPr>
          <w:rStyle w:val="17"/>
          <w:rFonts w:hint="eastAsia"/>
          <w:bCs/>
          <w:kern w:val="44"/>
        </w:rPr>
        <w:t>附表</w:t>
      </w:r>
      <w:r>
        <w:rPr>
          <w:rStyle w:val="17"/>
          <w:rFonts w:hint="eastAsia"/>
          <w:bCs/>
          <w:kern w:val="44"/>
        </w:rPr>
        <w:fldChar w:fldCharType="end"/>
      </w:r>
    </w:p>
    <w:p>
      <w:pPr>
        <w:pStyle w:val="12"/>
        <w:rPr>
          <w:rFonts w:ascii="仿宋" w:hAnsi="仿宋" w:eastAsia="仿宋" w:cstheme="minorBidi"/>
          <w:sz w:val="28"/>
          <w:szCs w:val="28"/>
        </w:rPr>
      </w:pPr>
      <w:r>
        <w:rPr>
          <w:rFonts w:hint="eastAsia" w:ascii="仿宋" w:hAnsi="仿宋" w:eastAsia="仿宋"/>
          <w:sz w:val="28"/>
          <w:szCs w:val="28"/>
        </w:rPr>
        <w:t>一、</w:t>
      </w:r>
      <w:r>
        <w:fldChar w:fldCharType="begin"/>
      </w:r>
      <w:r>
        <w:instrText xml:space="preserve"> HYPERLINK \l "_Toc15396619" </w:instrText>
      </w:r>
      <w:r>
        <w:fldChar w:fldCharType="separate"/>
      </w:r>
      <w:r>
        <w:rPr>
          <w:rStyle w:val="17"/>
          <w:rFonts w:hint="eastAsia" w:ascii="仿宋" w:hAnsi="仿宋" w:eastAsia="仿宋"/>
          <w:sz w:val="28"/>
          <w:szCs w:val="28"/>
        </w:rPr>
        <w:t>收入支出决算总表</w:t>
      </w:r>
      <w:r>
        <w:rPr>
          <w:rStyle w:val="17"/>
          <w:rFonts w:hint="eastAsia" w:ascii="仿宋" w:hAnsi="仿宋" w:eastAsia="仿宋"/>
          <w:sz w:val="28"/>
          <w:szCs w:val="28"/>
        </w:rPr>
        <w:fldChar w:fldCharType="end"/>
      </w:r>
    </w:p>
    <w:p>
      <w:pPr>
        <w:pStyle w:val="12"/>
        <w:rPr>
          <w:rFonts w:ascii="仿宋" w:hAnsi="仿宋" w:eastAsia="仿宋" w:cstheme="minorBidi"/>
          <w:sz w:val="28"/>
          <w:szCs w:val="28"/>
        </w:rPr>
      </w:pPr>
      <w:r>
        <w:rPr>
          <w:rFonts w:hint="eastAsia" w:ascii="仿宋" w:hAnsi="仿宋" w:eastAsia="仿宋"/>
          <w:sz w:val="28"/>
          <w:szCs w:val="28"/>
        </w:rPr>
        <w:t>二、</w:t>
      </w:r>
      <w:r>
        <w:fldChar w:fldCharType="begin"/>
      </w:r>
      <w:r>
        <w:instrText xml:space="preserve"> HYPERLINK \l "_Toc15396620" </w:instrText>
      </w:r>
      <w:r>
        <w:fldChar w:fldCharType="separate"/>
      </w:r>
      <w:r>
        <w:rPr>
          <w:rStyle w:val="17"/>
          <w:rFonts w:hint="eastAsia" w:ascii="仿宋" w:hAnsi="仿宋" w:eastAsia="仿宋"/>
          <w:sz w:val="28"/>
          <w:szCs w:val="28"/>
        </w:rPr>
        <w:t>收入总表</w:t>
      </w:r>
      <w:r>
        <w:rPr>
          <w:rStyle w:val="17"/>
          <w:rFonts w:hint="eastAsia" w:ascii="仿宋" w:hAnsi="仿宋" w:eastAsia="仿宋"/>
          <w:sz w:val="28"/>
          <w:szCs w:val="28"/>
        </w:rPr>
        <w:fldChar w:fldCharType="end"/>
      </w:r>
    </w:p>
    <w:p>
      <w:pPr>
        <w:pStyle w:val="12"/>
        <w:rPr>
          <w:rFonts w:ascii="仿宋" w:hAnsi="仿宋" w:eastAsia="仿宋" w:cstheme="minorBidi"/>
          <w:sz w:val="28"/>
          <w:szCs w:val="28"/>
        </w:rPr>
      </w:pPr>
      <w:r>
        <w:rPr>
          <w:rFonts w:hint="eastAsia" w:ascii="仿宋" w:hAnsi="仿宋" w:eastAsia="仿宋"/>
          <w:sz w:val="28"/>
          <w:szCs w:val="28"/>
        </w:rPr>
        <w:t>三、</w:t>
      </w:r>
      <w:r>
        <w:fldChar w:fldCharType="begin"/>
      </w:r>
      <w:r>
        <w:instrText xml:space="preserve"> HYPERLINK \l "_Toc15396621" </w:instrText>
      </w:r>
      <w:r>
        <w:fldChar w:fldCharType="separate"/>
      </w:r>
      <w:r>
        <w:rPr>
          <w:rStyle w:val="17"/>
          <w:rFonts w:hint="eastAsia" w:ascii="仿宋" w:hAnsi="仿宋" w:eastAsia="仿宋"/>
          <w:sz w:val="28"/>
          <w:szCs w:val="28"/>
        </w:rPr>
        <w:t>支出总表</w:t>
      </w:r>
      <w:r>
        <w:rPr>
          <w:rStyle w:val="17"/>
          <w:rFonts w:hint="eastAsia" w:ascii="仿宋" w:hAnsi="仿宋" w:eastAsia="仿宋"/>
          <w:sz w:val="28"/>
          <w:szCs w:val="28"/>
        </w:rPr>
        <w:fldChar w:fldCharType="end"/>
      </w:r>
    </w:p>
    <w:p>
      <w:pPr>
        <w:pStyle w:val="12"/>
        <w:rPr>
          <w:rFonts w:ascii="仿宋" w:hAnsi="仿宋" w:eastAsia="仿宋" w:cstheme="minorBidi"/>
          <w:sz w:val="28"/>
          <w:szCs w:val="28"/>
        </w:rPr>
      </w:pPr>
      <w:r>
        <w:rPr>
          <w:rFonts w:hint="eastAsia" w:ascii="仿宋" w:hAnsi="仿宋" w:eastAsia="仿宋"/>
          <w:sz w:val="28"/>
          <w:szCs w:val="28"/>
        </w:rPr>
        <w:t>四、</w:t>
      </w:r>
      <w:r>
        <w:fldChar w:fldCharType="begin"/>
      </w:r>
      <w:r>
        <w:instrText xml:space="preserve"> HYPERLINK \l "_Toc15396622" </w:instrText>
      </w:r>
      <w:r>
        <w:fldChar w:fldCharType="separate"/>
      </w:r>
      <w:r>
        <w:rPr>
          <w:rStyle w:val="17"/>
          <w:rFonts w:hint="eastAsia" w:ascii="仿宋" w:hAnsi="仿宋" w:eastAsia="仿宋"/>
          <w:sz w:val="28"/>
          <w:szCs w:val="28"/>
        </w:rPr>
        <w:t>财政拨款收入支出决算总表</w:t>
      </w:r>
      <w:r>
        <w:rPr>
          <w:rStyle w:val="17"/>
          <w:rFonts w:hint="eastAsia" w:ascii="仿宋" w:hAnsi="仿宋" w:eastAsia="仿宋"/>
          <w:sz w:val="28"/>
          <w:szCs w:val="28"/>
        </w:rPr>
        <w:fldChar w:fldCharType="end"/>
      </w:r>
    </w:p>
    <w:p>
      <w:pPr>
        <w:pStyle w:val="12"/>
        <w:rPr>
          <w:rFonts w:ascii="仿宋" w:hAnsi="仿宋" w:eastAsia="仿宋"/>
          <w:sz w:val="28"/>
          <w:szCs w:val="28"/>
        </w:rPr>
      </w:pPr>
      <w:r>
        <w:rPr>
          <w:rFonts w:hint="eastAsia" w:ascii="仿宋" w:hAnsi="仿宋" w:eastAsia="仿宋"/>
          <w:sz w:val="28"/>
          <w:szCs w:val="28"/>
        </w:rPr>
        <w:t>五、</w:t>
      </w:r>
      <w:r>
        <w:fldChar w:fldCharType="begin"/>
      </w:r>
      <w:r>
        <w:instrText xml:space="preserve"> HYPERLINK \l "_Toc15396623" </w:instrText>
      </w:r>
      <w:r>
        <w:fldChar w:fldCharType="separate"/>
      </w:r>
      <w:r>
        <w:rPr>
          <w:rFonts w:hint="eastAsia" w:ascii="仿宋" w:hAnsi="仿宋" w:eastAsia="仿宋"/>
          <w:sz w:val="28"/>
          <w:szCs w:val="28"/>
        </w:rPr>
        <w:t>财政拨款支出决算明细表（政府经济分类科目）</w:t>
      </w:r>
      <w:r>
        <w:rPr>
          <w:rFonts w:hint="eastAsia" w:ascii="仿宋" w:hAnsi="仿宋" w:eastAsia="仿宋"/>
          <w:sz w:val="28"/>
          <w:szCs w:val="28"/>
        </w:rPr>
        <w:fldChar w:fldCharType="end"/>
      </w:r>
    </w:p>
    <w:p>
      <w:pPr>
        <w:pStyle w:val="12"/>
        <w:rPr>
          <w:rFonts w:ascii="仿宋" w:hAnsi="仿宋" w:eastAsia="仿宋" w:cstheme="minorBidi"/>
          <w:sz w:val="28"/>
          <w:szCs w:val="28"/>
        </w:rPr>
      </w:pPr>
      <w:r>
        <w:rPr>
          <w:rFonts w:hint="eastAsia" w:ascii="仿宋" w:hAnsi="仿宋" w:eastAsia="仿宋"/>
          <w:sz w:val="28"/>
          <w:szCs w:val="28"/>
        </w:rPr>
        <w:t>六、</w:t>
      </w:r>
      <w:r>
        <w:fldChar w:fldCharType="begin"/>
      </w:r>
      <w:r>
        <w:instrText xml:space="preserve"> HYPERLINK \l "_Toc15396624" </w:instrText>
      </w:r>
      <w:r>
        <w:fldChar w:fldCharType="separate"/>
      </w:r>
      <w:r>
        <w:rPr>
          <w:rStyle w:val="17"/>
          <w:rFonts w:hint="eastAsia" w:ascii="仿宋" w:hAnsi="仿宋" w:eastAsia="仿宋"/>
          <w:sz w:val="28"/>
          <w:szCs w:val="28"/>
        </w:rPr>
        <w:t>一般公共预算财政拨款支出决算表</w:t>
      </w:r>
      <w:r>
        <w:rPr>
          <w:rStyle w:val="17"/>
          <w:rFonts w:hint="eastAsia" w:ascii="仿宋" w:hAnsi="仿宋" w:eastAsia="仿宋"/>
          <w:sz w:val="28"/>
          <w:szCs w:val="28"/>
        </w:rPr>
        <w:fldChar w:fldCharType="end"/>
      </w:r>
    </w:p>
    <w:p>
      <w:pPr>
        <w:pStyle w:val="12"/>
        <w:rPr>
          <w:rFonts w:ascii="仿宋" w:hAnsi="仿宋" w:eastAsia="仿宋" w:cstheme="minorBidi"/>
          <w:sz w:val="28"/>
          <w:szCs w:val="28"/>
        </w:rPr>
      </w:pPr>
      <w:r>
        <w:rPr>
          <w:rFonts w:hint="eastAsia" w:ascii="仿宋" w:hAnsi="仿宋" w:eastAsia="仿宋"/>
          <w:sz w:val="28"/>
          <w:szCs w:val="28"/>
        </w:rPr>
        <w:t>七、</w:t>
      </w:r>
      <w:r>
        <w:fldChar w:fldCharType="begin"/>
      </w:r>
      <w:r>
        <w:instrText xml:space="preserve"> HYPERLINK \l "_Toc15396625" </w:instrText>
      </w:r>
      <w:r>
        <w:fldChar w:fldCharType="separate"/>
      </w:r>
      <w:r>
        <w:rPr>
          <w:rStyle w:val="17"/>
          <w:rFonts w:hint="eastAsia" w:ascii="仿宋" w:hAnsi="仿宋" w:eastAsia="仿宋"/>
          <w:sz w:val="28"/>
          <w:szCs w:val="28"/>
        </w:rPr>
        <w:t>一般公共预算财政拨款支出决算明细表</w:t>
      </w:r>
      <w:r>
        <w:rPr>
          <w:rStyle w:val="17"/>
          <w:rFonts w:hint="eastAsia" w:ascii="仿宋" w:hAnsi="仿宋" w:eastAsia="仿宋"/>
          <w:sz w:val="28"/>
          <w:szCs w:val="28"/>
        </w:rPr>
        <w:fldChar w:fldCharType="end"/>
      </w:r>
    </w:p>
    <w:p>
      <w:pPr>
        <w:pStyle w:val="12"/>
        <w:rPr>
          <w:rFonts w:ascii="仿宋" w:hAnsi="仿宋" w:eastAsia="仿宋" w:cstheme="minorBidi"/>
          <w:sz w:val="36"/>
          <w:szCs w:val="36"/>
        </w:rPr>
      </w:pPr>
      <w:r>
        <w:rPr>
          <w:rFonts w:hint="eastAsia" w:ascii="仿宋" w:hAnsi="仿宋" w:eastAsia="仿宋"/>
          <w:sz w:val="28"/>
          <w:szCs w:val="28"/>
        </w:rPr>
        <w:t>八、</w:t>
      </w:r>
      <w:r>
        <w:fldChar w:fldCharType="begin"/>
      </w:r>
      <w:r>
        <w:instrText xml:space="preserve"> HYPERLINK \l "_Toc15396626" </w:instrText>
      </w:r>
      <w:r>
        <w:fldChar w:fldCharType="separate"/>
      </w:r>
      <w:r>
        <w:rPr>
          <w:rStyle w:val="17"/>
          <w:rFonts w:hint="eastAsia" w:ascii="仿宋" w:hAnsi="仿宋" w:eastAsia="仿宋"/>
          <w:sz w:val="28"/>
          <w:szCs w:val="28"/>
        </w:rPr>
        <w:t>一般公共预算财政拨款基本支出决算表</w:t>
      </w:r>
      <w:r>
        <w:rPr>
          <w:rStyle w:val="17"/>
          <w:rFonts w:hint="eastAsia" w:ascii="仿宋" w:hAnsi="仿宋" w:eastAsia="仿宋"/>
          <w:sz w:val="28"/>
          <w:szCs w:val="28"/>
        </w:rPr>
        <w:fldChar w:fldCharType="end"/>
      </w:r>
    </w:p>
    <w:p>
      <w:pPr>
        <w:pStyle w:val="12"/>
        <w:rPr>
          <w:rFonts w:ascii="仿宋" w:hAnsi="仿宋" w:eastAsia="仿宋" w:cstheme="minorBidi"/>
          <w:sz w:val="28"/>
          <w:szCs w:val="28"/>
        </w:rPr>
      </w:pPr>
      <w:r>
        <w:rPr>
          <w:rFonts w:hint="eastAsia" w:ascii="仿宋" w:hAnsi="仿宋" w:eastAsia="仿宋"/>
          <w:sz w:val="28"/>
          <w:szCs w:val="28"/>
        </w:rPr>
        <w:t>九、</w:t>
      </w:r>
      <w:r>
        <w:fldChar w:fldCharType="begin"/>
      </w:r>
      <w:r>
        <w:instrText xml:space="preserve"> HYPERLINK \l "_Toc15396627" </w:instrText>
      </w:r>
      <w:r>
        <w:fldChar w:fldCharType="separate"/>
      </w:r>
      <w:r>
        <w:rPr>
          <w:rStyle w:val="17"/>
          <w:rFonts w:hint="eastAsia" w:ascii="仿宋" w:hAnsi="仿宋" w:eastAsia="仿宋"/>
          <w:sz w:val="28"/>
          <w:szCs w:val="28"/>
        </w:rPr>
        <w:t>一般公共预算财政拨款项目支出决算表</w:t>
      </w:r>
      <w:r>
        <w:rPr>
          <w:rStyle w:val="17"/>
          <w:rFonts w:hint="eastAsia" w:ascii="仿宋" w:hAnsi="仿宋" w:eastAsia="仿宋"/>
          <w:sz w:val="28"/>
          <w:szCs w:val="28"/>
        </w:rPr>
        <w:fldChar w:fldCharType="end"/>
      </w:r>
    </w:p>
    <w:p>
      <w:pPr>
        <w:pStyle w:val="12"/>
        <w:rPr>
          <w:rFonts w:ascii="仿宋" w:hAnsi="仿宋" w:eastAsia="仿宋" w:cstheme="minorBidi"/>
          <w:sz w:val="28"/>
          <w:szCs w:val="28"/>
        </w:rPr>
      </w:pPr>
      <w:r>
        <w:rPr>
          <w:rFonts w:hint="eastAsia" w:ascii="仿宋" w:hAnsi="仿宋" w:eastAsia="仿宋"/>
          <w:sz w:val="28"/>
          <w:szCs w:val="28"/>
        </w:rPr>
        <w:t>十、</w:t>
      </w:r>
      <w:r>
        <w:fldChar w:fldCharType="begin"/>
      </w:r>
      <w:r>
        <w:instrText xml:space="preserve"> HYPERLINK \l "_Toc15396628" </w:instrText>
      </w:r>
      <w:r>
        <w:fldChar w:fldCharType="separate"/>
      </w:r>
      <w:r>
        <w:rPr>
          <w:rStyle w:val="17"/>
          <w:rFonts w:hint="eastAsia" w:ascii="仿宋" w:hAnsi="仿宋" w:eastAsia="仿宋"/>
          <w:sz w:val="28"/>
          <w:szCs w:val="28"/>
        </w:rPr>
        <w:t>一般公共预算财政拨款“三公”经费支出决算表</w:t>
      </w:r>
      <w:r>
        <w:rPr>
          <w:rStyle w:val="17"/>
          <w:rFonts w:hint="eastAsia" w:ascii="仿宋" w:hAnsi="仿宋" w:eastAsia="仿宋"/>
          <w:sz w:val="28"/>
          <w:szCs w:val="28"/>
        </w:rPr>
        <w:fldChar w:fldCharType="end"/>
      </w:r>
    </w:p>
    <w:p>
      <w:pPr>
        <w:pStyle w:val="12"/>
        <w:rPr>
          <w:rFonts w:ascii="仿宋" w:hAnsi="仿宋" w:eastAsia="仿宋" w:cstheme="minorBidi"/>
          <w:sz w:val="28"/>
          <w:szCs w:val="28"/>
        </w:rPr>
      </w:pPr>
      <w:r>
        <w:rPr>
          <w:rFonts w:hint="eastAsia" w:ascii="仿宋" w:hAnsi="仿宋" w:eastAsia="仿宋"/>
          <w:sz w:val="28"/>
          <w:szCs w:val="28"/>
        </w:rPr>
        <w:t>十一、</w:t>
      </w:r>
      <w:r>
        <w:fldChar w:fldCharType="begin"/>
      </w:r>
      <w:r>
        <w:instrText xml:space="preserve"> HYPERLINK \l "_Toc15396629" </w:instrText>
      </w:r>
      <w:r>
        <w:fldChar w:fldCharType="separate"/>
      </w:r>
      <w:r>
        <w:rPr>
          <w:rStyle w:val="17"/>
          <w:rFonts w:hint="eastAsia" w:ascii="仿宋" w:hAnsi="仿宋" w:eastAsia="仿宋"/>
          <w:sz w:val="28"/>
          <w:szCs w:val="28"/>
        </w:rPr>
        <w:t>政府性基金预算财政拨款收入支出决算表</w:t>
      </w:r>
      <w:r>
        <w:rPr>
          <w:rStyle w:val="17"/>
          <w:rFonts w:hint="eastAsia" w:ascii="仿宋" w:hAnsi="仿宋" w:eastAsia="仿宋"/>
          <w:sz w:val="28"/>
          <w:szCs w:val="28"/>
        </w:rPr>
        <w:fldChar w:fldCharType="end"/>
      </w:r>
    </w:p>
    <w:p>
      <w:pPr>
        <w:pStyle w:val="12"/>
        <w:rPr>
          <w:rFonts w:ascii="仿宋" w:hAnsi="仿宋" w:eastAsia="仿宋" w:cstheme="minorBidi"/>
          <w:sz w:val="28"/>
          <w:szCs w:val="28"/>
        </w:rPr>
      </w:pPr>
      <w:r>
        <w:rPr>
          <w:rFonts w:hint="eastAsia" w:ascii="仿宋" w:hAnsi="仿宋" w:eastAsia="仿宋"/>
          <w:sz w:val="28"/>
          <w:szCs w:val="28"/>
        </w:rPr>
        <w:t>十二、</w:t>
      </w:r>
      <w:r>
        <w:fldChar w:fldCharType="begin"/>
      </w:r>
      <w:r>
        <w:instrText xml:space="preserve"> HYPERLINK \l "_Toc15396630" </w:instrText>
      </w:r>
      <w:r>
        <w:fldChar w:fldCharType="separate"/>
      </w:r>
      <w:r>
        <w:rPr>
          <w:rStyle w:val="17"/>
          <w:rFonts w:hint="eastAsia" w:ascii="仿宋" w:hAnsi="仿宋" w:eastAsia="仿宋"/>
          <w:sz w:val="28"/>
          <w:szCs w:val="28"/>
        </w:rPr>
        <w:t>政府性基金预算财政拨款“三公”经费支出决算表</w:t>
      </w:r>
      <w:r>
        <w:rPr>
          <w:rStyle w:val="17"/>
          <w:rFonts w:hint="eastAsia" w:ascii="仿宋" w:hAnsi="仿宋" w:eastAsia="仿宋"/>
          <w:sz w:val="28"/>
          <w:szCs w:val="28"/>
        </w:rPr>
        <w:fldChar w:fldCharType="end"/>
      </w:r>
    </w:p>
    <w:p>
      <w:pPr>
        <w:pStyle w:val="12"/>
        <w:rPr>
          <w:rFonts w:ascii="仿宋" w:hAnsi="仿宋" w:eastAsia="仿宋"/>
          <w:sz w:val="28"/>
          <w:szCs w:val="28"/>
        </w:rPr>
      </w:pPr>
      <w:r>
        <w:rPr>
          <w:rFonts w:hint="eastAsia" w:ascii="仿宋" w:hAnsi="仿宋" w:eastAsia="仿宋"/>
          <w:sz w:val="28"/>
          <w:szCs w:val="28"/>
        </w:rPr>
        <w:t>十三、</w:t>
      </w:r>
      <w:r>
        <w:fldChar w:fldCharType="begin"/>
      </w:r>
      <w:r>
        <w:instrText xml:space="preserve"> HYPERLINK \l "_Toc15396631" </w:instrText>
      </w:r>
      <w:r>
        <w:fldChar w:fldCharType="separate"/>
      </w:r>
      <w:r>
        <w:rPr>
          <w:rStyle w:val="17"/>
          <w:rFonts w:hint="eastAsia" w:ascii="仿宋" w:hAnsi="仿宋" w:eastAsia="仿宋"/>
          <w:sz w:val="28"/>
          <w:szCs w:val="28"/>
        </w:rPr>
        <w:t>国有资本经营预算支出决算表</w:t>
      </w:r>
      <w:r>
        <w:rPr>
          <w:rStyle w:val="17"/>
          <w:rFonts w:hint="eastAsia" w:ascii="仿宋" w:hAnsi="仿宋" w:eastAsia="仿宋"/>
          <w:sz w:val="28"/>
          <w:szCs w:val="28"/>
        </w:rPr>
        <w:fldChar w:fldCharType="end"/>
      </w:r>
    </w:p>
    <w:p>
      <w:pPr>
        <w:ind w:firstLine="320" w:firstLineChars="100"/>
        <w:rPr>
          <w:rStyle w:val="27"/>
          <w:rFonts w:ascii="仿宋" w:hAnsi="仿宋" w:eastAsia="仿宋"/>
          <w:b w:val="0"/>
          <w:bCs w:val="0"/>
        </w:rPr>
      </w:pPr>
      <w:r>
        <w:rPr>
          <w:rStyle w:val="27"/>
          <w:rFonts w:hint="eastAsia" w:ascii="仿宋" w:hAnsi="仿宋" w:eastAsia="仿宋"/>
          <w:b w:val="0"/>
          <w:bCs w:val="0"/>
        </w:rPr>
        <w:t>十四、整体支出绩效评价打分表</w:t>
      </w:r>
    </w:p>
    <w:p>
      <w:pPr>
        <w:ind w:firstLine="320" w:firstLineChars="100"/>
        <w:rPr>
          <w:rStyle w:val="27"/>
          <w:rFonts w:ascii="仿宋" w:hAnsi="仿宋" w:eastAsia="仿宋"/>
          <w:b w:val="0"/>
          <w:bCs w:val="0"/>
        </w:rPr>
      </w:pPr>
      <w:r>
        <w:rPr>
          <w:rStyle w:val="27"/>
          <w:rFonts w:hint="eastAsia" w:ascii="仿宋" w:hAnsi="仿宋" w:eastAsia="仿宋"/>
          <w:b w:val="0"/>
          <w:bCs w:val="0"/>
        </w:rPr>
        <w:t>十五、项目支出绩效评价打分表</w:t>
      </w:r>
    </w:p>
    <w:p/>
    <w:p>
      <w:pPr>
        <w:widowControl/>
        <w:jc w:val="left"/>
        <w:rPr>
          <w:rFonts w:ascii="仿宋" w:hAnsi="仿宋" w:eastAsia="仿宋"/>
          <w:sz w:val="24"/>
        </w:rPr>
      </w:pPr>
      <w:r>
        <w:rPr>
          <w:rFonts w:ascii="仿宋" w:hAnsi="仿宋" w:eastAsia="仿宋"/>
          <w:sz w:val="24"/>
        </w:rPr>
        <w:fldChar w:fldCharType="end"/>
      </w:r>
    </w:p>
    <w:p>
      <w:pPr>
        <w:pStyle w:val="2"/>
        <w:rPr>
          <w:rFonts w:ascii="黑体" w:hAnsi="黑体" w:eastAsia="黑体"/>
          <w:b w:val="0"/>
        </w:rPr>
      </w:pPr>
    </w:p>
    <w:p/>
    <w:p/>
    <w:p/>
    <w:p/>
    <w:p>
      <w:pPr>
        <w:pStyle w:val="2"/>
        <w:jc w:val="center"/>
        <w:rPr>
          <w:rStyle w:val="26"/>
          <w:rFonts w:ascii="黑体" w:hAnsi="黑体" w:eastAsia="黑体"/>
          <w:b/>
          <w:bCs w:val="0"/>
        </w:rPr>
      </w:pPr>
      <w:r>
        <w:rPr>
          <w:rFonts w:hint="eastAsia" w:ascii="黑体" w:hAnsi="黑体" w:eastAsia="黑体"/>
          <w:b w:val="0"/>
        </w:rPr>
        <w:t xml:space="preserve">第一部分 </w:t>
      </w:r>
      <w:r>
        <w:rPr>
          <w:rStyle w:val="26"/>
          <w:rFonts w:hint="eastAsia" w:ascii="黑体" w:hAnsi="黑体" w:eastAsia="黑体"/>
          <w:b w:val="0"/>
          <w:bCs w:val="0"/>
        </w:rPr>
        <w:t>部门概况</w:t>
      </w:r>
      <w:bookmarkEnd w:id="12"/>
      <w:bookmarkEnd w:id="13"/>
    </w:p>
    <w:p>
      <w:pPr>
        <w:widowControl/>
        <w:jc w:val="left"/>
        <w:rPr>
          <w:rFonts w:ascii="黑体" w:eastAsia="黑体"/>
          <w:color w:val="000000"/>
          <w:sz w:val="32"/>
          <w:szCs w:val="32"/>
        </w:rPr>
      </w:pPr>
    </w:p>
    <w:p>
      <w:pPr>
        <w:pStyle w:val="3"/>
        <w:rPr>
          <w:rStyle w:val="27"/>
          <w:rFonts w:ascii="仿宋" w:hAnsi="仿宋" w:eastAsia="仿宋"/>
          <w:b w:val="0"/>
          <w:bCs w:val="0"/>
        </w:rPr>
      </w:pPr>
      <w:bookmarkStart w:id="14" w:name="_Toc15396600"/>
      <w:bookmarkStart w:id="15" w:name="_Toc15377197"/>
      <w:r>
        <w:rPr>
          <w:rFonts w:hint="eastAsia" w:ascii="黑体" w:hAnsi="黑体" w:eastAsia="黑体"/>
          <w:b w:val="0"/>
          <w:color w:val="000000"/>
        </w:rPr>
        <w:t>一、基</w:t>
      </w:r>
      <w:r>
        <w:rPr>
          <w:rStyle w:val="27"/>
          <w:rFonts w:hint="eastAsia" w:ascii="黑体" w:hAnsi="黑体" w:eastAsia="黑体"/>
          <w:b w:val="0"/>
          <w:bCs w:val="0"/>
        </w:rPr>
        <w:t>本职能及主要工作</w:t>
      </w:r>
      <w:bookmarkEnd w:id="14"/>
      <w:bookmarkEnd w:id="15"/>
    </w:p>
    <w:p>
      <w:pPr>
        <w:pStyle w:val="5"/>
        <w:adjustRightInd w:val="0"/>
        <w:snapToGrid w:val="0"/>
        <w:spacing w:before="93" w:line="600" w:lineRule="exact"/>
        <w:ind w:firstLine="672" w:firstLineChars="210"/>
        <w:outlineLvl w:val="2"/>
        <w:rPr>
          <w:rFonts w:ascii="仿宋" w:hAnsi="仿宋" w:eastAsia="仿宋"/>
          <w:bCs/>
          <w:color w:val="000000"/>
          <w:sz w:val="32"/>
          <w:szCs w:val="32"/>
        </w:rPr>
      </w:pPr>
      <w:bookmarkStart w:id="16" w:name="_Toc15377198"/>
      <w:bookmarkStart w:id="17" w:name="_Toc15378445"/>
      <w:r>
        <w:rPr>
          <w:rFonts w:hint="eastAsia" w:ascii="仿宋" w:hAnsi="仿宋" w:eastAsia="仿宋"/>
          <w:bCs/>
          <w:color w:val="000000"/>
          <w:sz w:val="32"/>
          <w:szCs w:val="32"/>
        </w:rPr>
        <w:t>（一）主要职能。</w:t>
      </w:r>
      <w:bookmarkEnd w:id="16"/>
      <w:bookmarkEnd w:id="17"/>
    </w:p>
    <w:p>
      <w:pPr>
        <w:snapToGrid w:val="0"/>
        <w:spacing w:line="520" w:lineRule="exact"/>
        <w:ind w:firstLine="640" w:firstLineChars="200"/>
        <w:rPr>
          <w:rFonts w:ascii="仿宋_GB2312" w:hAnsi="仿宋" w:eastAsia="仿宋_GB2312"/>
          <w:sz w:val="32"/>
          <w:szCs w:val="32"/>
        </w:rPr>
      </w:pPr>
      <w:r>
        <w:rPr>
          <w:rFonts w:hint="eastAsia" w:ascii="仿宋_GB2312" w:hAnsi="仿宋" w:eastAsia="仿宋_GB2312"/>
          <w:sz w:val="32"/>
          <w:szCs w:val="32"/>
        </w:rPr>
        <w:t>1．主要职能。</w:t>
      </w:r>
    </w:p>
    <w:p>
      <w:pPr>
        <w:widowControl/>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协助县政府领导组织起草或审核以县政府、县政府办公室名义发布的公文。办理州政府、州政府办公室及各州直部门发送县政府的文电。指导全县行政机关公文处理工作。</w:t>
      </w:r>
    </w:p>
    <w:p>
      <w:pPr>
        <w:widowControl/>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研究县政府各部门和各乡、镇人民政府请示县政府的事项，提出审核意见，报县政府领导审批。</w:t>
      </w:r>
    </w:p>
    <w:p>
      <w:pPr>
        <w:widowControl/>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负责县政府会议的准备工作，协助县政府领导组织实施会议决定事项。根据县政府领导的指示，对县政府各部门和各乡、镇人民政府间争议问题提出处理意见和建议，报县政府领导决定。</w:t>
      </w:r>
    </w:p>
    <w:p>
      <w:pPr>
        <w:widowControl/>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督促检查县政府各部门和各乡、镇人民政府对县政府决定事项及县政府领导指示的贯彻落实情况，及时向县政府领导报告。</w:t>
      </w:r>
    </w:p>
    <w:p>
      <w:pPr>
        <w:widowControl/>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负责县政府值班工作，指导各乡、镇人民政府和全县政府各部门值班工作，及时报告重要情况。</w:t>
      </w:r>
    </w:p>
    <w:p>
      <w:pPr>
        <w:widowControl/>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指导、监督全县政府信息公开工作和机关行政效能建设工作，指导、监督全县政府系统电子政务工作和政府网站建设。</w:t>
      </w:r>
    </w:p>
    <w:p>
      <w:pPr>
        <w:widowControl/>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组织办理涉及县政府工作的人大代表议案、批评、建议和政协委员提案、建议案工作。</w:t>
      </w:r>
    </w:p>
    <w:p>
      <w:pPr>
        <w:widowControl/>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指导全县应急管理工作，协助县政府领导做好需由县政府组织处理的突发事件的应急处置工作。</w:t>
      </w:r>
    </w:p>
    <w:p>
      <w:pPr>
        <w:widowControl/>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围绕县政府中心工作和县政府领导的指示，组织专题调查研究，及时反映情况，提出政策性建议。</w:t>
      </w:r>
    </w:p>
    <w:p>
      <w:pPr>
        <w:widowControl/>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指导全县政务服务中心建设，组织全县各部门集中开展行政审批和公共服务。</w:t>
      </w:r>
    </w:p>
    <w:p>
      <w:pPr>
        <w:widowControl/>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负责县政府人民防空和民防工作，指导全县人民防空和民防工作。</w:t>
      </w:r>
    </w:p>
    <w:p>
      <w:pPr>
        <w:widowControl/>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负责全县机关事业单位小汽车编制审核报批事项。</w:t>
      </w:r>
    </w:p>
    <w:p>
      <w:pPr>
        <w:widowControl/>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承办县政府和县政府领导交办的其他事项。</w:t>
      </w:r>
    </w:p>
    <w:p>
      <w:pPr>
        <w:pStyle w:val="5"/>
        <w:adjustRightInd w:val="0"/>
        <w:snapToGrid w:val="0"/>
        <w:spacing w:before="93" w:line="600" w:lineRule="exact"/>
        <w:ind w:firstLine="672" w:firstLineChars="210"/>
        <w:outlineLvl w:val="2"/>
        <w:rPr>
          <w:rFonts w:hAnsi="仿宋"/>
          <w:bCs/>
          <w:color w:val="000000"/>
          <w:sz w:val="32"/>
          <w:szCs w:val="32"/>
        </w:rPr>
      </w:pPr>
      <w:bookmarkStart w:id="18" w:name="_Toc15377199"/>
      <w:bookmarkStart w:id="19" w:name="_Toc15378446"/>
      <w:r>
        <w:rPr>
          <w:rFonts w:hint="eastAsia" w:hAnsi="仿宋"/>
          <w:bCs/>
          <w:color w:val="000000"/>
          <w:sz w:val="32"/>
          <w:szCs w:val="32"/>
        </w:rPr>
        <w:t>（二）2018年重点工作完成情况。</w:t>
      </w:r>
      <w:bookmarkEnd w:id="18"/>
      <w:bookmarkEnd w:id="19"/>
    </w:p>
    <w:p>
      <w:pPr>
        <w:spacing w:line="560" w:lineRule="exact"/>
        <w:ind w:firstLine="640" w:firstLineChars="200"/>
        <w:rPr>
          <w:rFonts w:ascii="仿宋_GB2312" w:eastAsia="仿宋_GB2312"/>
          <w:sz w:val="32"/>
          <w:szCs w:val="32"/>
        </w:rPr>
      </w:pPr>
      <w:r>
        <w:rPr>
          <w:rFonts w:hint="eastAsia" w:ascii="仿宋_GB2312" w:eastAsia="仿宋_GB2312"/>
          <w:sz w:val="32"/>
          <w:szCs w:val="32"/>
        </w:rPr>
        <w:t>红原县人民政府办公室在在县委县政府的正确领导下，紧紧围绕全省、全州、全县工作大局，认真履行“综合协调、督查督办、参谋助手”三大职能，认真做好“四个服务”，努力营造团结共事、细心谋事、潜心干事、高效成事的工作氛围，充分发扬不怕疲劳连续作战精神，不断提高服务水平，较好完成了省州各部门交办的各项工作任务，促进县政府各项工作协调、高效运转。</w:t>
      </w:r>
    </w:p>
    <w:p>
      <w:pPr>
        <w:spacing w:line="560" w:lineRule="exact"/>
        <w:ind w:firstLine="640" w:firstLineChars="200"/>
        <w:rPr>
          <w:rFonts w:ascii="黑体" w:hAnsi="黑体" w:eastAsia="黑体"/>
          <w:sz w:val="32"/>
          <w:szCs w:val="32"/>
        </w:rPr>
      </w:pPr>
      <w:r>
        <w:rPr>
          <w:rFonts w:hint="eastAsia" w:ascii="黑体" w:hAnsi="黑体" w:eastAsia="黑体"/>
          <w:sz w:val="32"/>
          <w:szCs w:val="32"/>
        </w:rPr>
        <w:t>一、服务全局，三大职能充分体现</w:t>
      </w:r>
    </w:p>
    <w:p>
      <w:pPr>
        <w:spacing w:line="560" w:lineRule="exact"/>
        <w:rPr>
          <w:rFonts w:ascii="仿宋_GB2312" w:eastAsia="仿宋_GB2312"/>
          <w:sz w:val="32"/>
          <w:szCs w:val="32"/>
        </w:rPr>
      </w:pPr>
      <w:r>
        <w:rPr>
          <w:rFonts w:hint="eastAsia" w:ascii="仿宋_GB2312" w:eastAsia="仿宋_GB2312"/>
          <w:sz w:val="32"/>
          <w:szCs w:val="32"/>
        </w:rPr>
        <w:t>　　</w:t>
      </w:r>
      <w:r>
        <w:rPr>
          <w:rFonts w:hint="eastAsia" w:ascii="楷体_GB2312" w:eastAsia="楷体_GB2312"/>
          <w:b/>
          <w:sz w:val="32"/>
          <w:szCs w:val="32"/>
        </w:rPr>
        <w:t>(一)参谋助手作用明显。</w:t>
      </w:r>
      <w:r>
        <w:rPr>
          <w:rFonts w:hint="eastAsia" w:ascii="仿宋_GB2312" w:eastAsia="仿宋_GB2312"/>
          <w:sz w:val="32"/>
          <w:szCs w:val="32"/>
        </w:rPr>
        <w:t>坚持在“参”字上下功夫，在“谋”字上花力气，突出主动性、预见性和实效性，认真研究全县经济社会生活中的新情况、新问题，积极探索加快发展的有效途径和方法，为政府决策参谋。围绕县委、县政府年度重点和难点工作，研读省、州政策，吃透上情，收集整理乡镇、部门情况，把握下情，广泛听取社会各界意见，及时梳理，提出建议。全年，为领导决策参考建议近200条。同时，积极协助处理日常事务，尽力将领导从繁锁的事务中解脱出来，有更多时间谋大略、干大事。</w:t>
      </w:r>
    </w:p>
    <w:p>
      <w:pPr>
        <w:spacing w:line="560" w:lineRule="exact"/>
        <w:ind w:firstLine="643" w:firstLineChars="200"/>
        <w:rPr>
          <w:rFonts w:ascii="仿宋_GB2312" w:eastAsia="仿宋_GB2312"/>
          <w:sz w:val="32"/>
          <w:szCs w:val="32"/>
        </w:rPr>
      </w:pPr>
      <w:r>
        <w:rPr>
          <w:rFonts w:hint="eastAsia" w:ascii="楷体_GB2312" w:eastAsia="楷体_GB2312"/>
          <w:b/>
          <w:sz w:val="32"/>
          <w:szCs w:val="32"/>
        </w:rPr>
        <w:t>(二)综合协调效果较好。</w:t>
      </w:r>
      <w:r>
        <w:rPr>
          <w:rFonts w:hint="eastAsia" w:ascii="仿宋_GB2312" w:eastAsia="仿宋_GB2312"/>
          <w:sz w:val="32"/>
          <w:szCs w:val="32"/>
        </w:rPr>
        <w:t>一是突出高效。在依法合规的前提下，尽量减少不必要的环节，急事急办，特事特办，上传下达准确、及时。二是突出严谨。牢固树立“办公室工作无小事”的思想，按照“百密而无一疏”的要求，周密安排，注重衔接，做到了周全细致，不出差错。三是突出规范。坚持依法办事，客观公正、实是求事抓协调。积极主动与县委、人大、政协办公室衔接工作、沟通情况，切实搞好了四大班子之间的决策协调和工作协调;在处理与部门和基层的关系上，办公室人员虚心向部门和基层学习，积极沟通信息，促进了全县工作整体推进。</w:t>
      </w:r>
    </w:p>
    <w:p>
      <w:pPr>
        <w:spacing w:line="560" w:lineRule="exact"/>
        <w:rPr>
          <w:rFonts w:ascii="仿宋_GB2312" w:eastAsia="仿宋_GB2312"/>
          <w:sz w:val="32"/>
          <w:szCs w:val="32"/>
        </w:rPr>
      </w:pPr>
      <w:r>
        <w:rPr>
          <w:rFonts w:hint="eastAsia" w:ascii="仿宋_GB2312" w:eastAsia="仿宋_GB2312"/>
          <w:sz w:val="32"/>
          <w:szCs w:val="32"/>
        </w:rPr>
        <w:t>　　</w:t>
      </w:r>
      <w:r>
        <w:rPr>
          <w:rFonts w:hint="eastAsia" w:ascii="楷体_GB2312" w:eastAsia="楷体_GB2312"/>
          <w:b/>
          <w:sz w:val="32"/>
          <w:szCs w:val="32"/>
        </w:rPr>
        <w:t>(三)督查督办有力有效。</w:t>
      </w:r>
      <w:r>
        <w:rPr>
          <w:rFonts w:hint="eastAsia" w:ascii="仿宋_GB2312" w:eastAsia="仿宋_GB2312"/>
          <w:sz w:val="32"/>
          <w:szCs w:val="32"/>
        </w:rPr>
        <w:t>为保证县委、县政府的各项决策得到及时落实，我办严格落实县政府重要决策跟踪督办制度，认真做好《政府工作报告》目标任务、县政府重要会议议定事项和重大工作部署的分解落实，围绕县政府重要文件、重要会议、重大决策和领导批示，加强跟踪检查与督促，坚持周调度、月通报，全方位、多角度地督查各责任单位的工作进度，确保督查事项件件有回音，事事有落实，不断提高督查工作实效。</w:t>
      </w:r>
    </w:p>
    <w:p>
      <w:pPr>
        <w:spacing w:line="560" w:lineRule="exact"/>
        <w:rPr>
          <w:rFonts w:ascii="黑体" w:hAnsi="黑体" w:eastAsia="黑体"/>
          <w:sz w:val="32"/>
          <w:szCs w:val="32"/>
        </w:rPr>
      </w:pPr>
      <w:r>
        <w:rPr>
          <w:rFonts w:hint="eastAsia" w:ascii="仿宋_GB2312" w:eastAsia="仿宋_GB2312"/>
          <w:sz w:val="32"/>
          <w:szCs w:val="32"/>
        </w:rPr>
        <w:t>　　</w:t>
      </w:r>
      <w:r>
        <w:rPr>
          <w:rFonts w:hint="eastAsia" w:ascii="黑体" w:hAnsi="黑体" w:eastAsia="黑体"/>
          <w:sz w:val="32"/>
          <w:szCs w:val="32"/>
        </w:rPr>
        <w:t>二、精细运作，各项工作整体进步</w:t>
      </w:r>
    </w:p>
    <w:p>
      <w:pPr>
        <w:spacing w:line="560" w:lineRule="exact"/>
        <w:ind w:firstLine="643" w:firstLineChars="200"/>
        <w:rPr>
          <w:rFonts w:ascii="仿宋_GB2312" w:eastAsia="仿宋_GB2312"/>
          <w:sz w:val="32"/>
          <w:szCs w:val="32"/>
        </w:rPr>
      </w:pPr>
      <w:r>
        <w:rPr>
          <w:rFonts w:hint="eastAsia" w:ascii="楷体_GB2312" w:eastAsia="楷体_GB2312"/>
          <w:b/>
          <w:sz w:val="32"/>
          <w:szCs w:val="32"/>
        </w:rPr>
        <w:t>(一)文稿办理高质高效。</w:t>
      </w:r>
      <w:r>
        <w:rPr>
          <w:rFonts w:hint="eastAsia" w:ascii="仿宋_GB2312" w:eastAsia="仿宋_GB2312"/>
          <w:sz w:val="32"/>
          <w:szCs w:val="32"/>
        </w:rPr>
        <w:t>公文流转上，建立了公文处理失误责任追究制度，专人监管、专簿登记、签字流转，急件及时办理，一般公文不超过3天，定期备份、装档，确保了公文处理不延误、不泄密。起草文稿上，把握当前工作重点、反映工作状况、体现领导意图;重大材料起草，文秘人员集体讨论提纲和修改初稿;审核文稿时，对内容、文字、格式、时限严格把关，确保了文稿质量。精简文件上，着力压缩发文数量，规范公文处理程序，公文出错率大幅减少，以文辅政的能力和水平不断提高。</w:t>
      </w:r>
    </w:p>
    <w:p>
      <w:pPr>
        <w:spacing w:line="560" w:lineRule="exact"/>
        <w:rPr>
          <w:rFonts w:ascii="仿宋_GB2312" w:eastAsia="仿宋_GB2312"/>
          <w:sz w:val="32"/>
          <w:szCs w:val="32"/>
        </w:rPr>
      </w:pPr>
      <w:r>
        <w:rPr>
          <w:rFonts w:hint="eastAsia" w:ascii="仿宋_GB2312" w:eastAsia="仿宋_GB2312"/>
          <w:sz w:val="32"/>
          <w:szCs w:val="32"/>
        </w:rPr>
        <w:t>　　</w:t>
      </w:r>
      <w:r>
        <w:rPr>
          <w:rFonts w:hint="eastAsia" w:ascii="楷体_GB2312" w:eastAsia="楷体_GB2312"/>
          <w:b/>
          <w:sz w:val="32"/>
          <w:szCs w:val="32"/>
        </w:rPr>
        <w:t>(二)信息调研成果丰富。</w:t>
      </w:r>
      <w:r>
        <w:rPr>
          <w:rFonts w:hint="eastAsia" w:ascii="仿宋_GB2312" w:eastAsia="仿宋_GB2312"/>
          <w:sz w:val="32"/>
          <w:szCs w:val="32"/>
        </w:rPr>
        <w:t>认真落实目标责任制、信息全员制、审核审签制、打捆上报制。围绕县委、县政府中心工作及领导关注的重大问题，挖掘有新动态、新举措、新成效的信息。一是调研活动更富针对性。近年来，我办紧紧围绕县政府中心工作和各个阶段重点工作，抓住牵动全县的“关键点”、重点工作“薄弱点”和基层工作“闪光点”，积极深入开展调研活动，为县政府把握全局、正确决策提供了及时、准确、可行的对策建议。二是政务信息质量大提升。时刻围绕中心工作，增强信息工作的敏锐性，多角度挖掘信息，有效拓展信息源。同时，着力健全信息报送绩效考核制度，信息工作成效显著。</w:t>
      </w:r>
    </w:p>
    <w:p>
      <w:pPr>
        <w:spacing w:line="560" w:lineRule="exact"/>
        <w:ind w:firstLine="643" w:firstLineChars="200"/>
        <w:rPr>
          <w:rFonts w:ascii="仿宋_GB2312" w:eastAsia="仿宋_GB2312"/>
          <w:sz w:val="32"/>
          <w:szCs w:val="32"/>
        </w:rPr>
      </w:pPr>
      <w:r>
        <w:rPr>
          <w:rFonts w:hint="eastAsia" w:ascii="楷体_GB2312" w:eastAsia="楷体_GB2312"/>
          <w:b/>
          <w:sz w:val="32"/>
          <w:szCs w:val="32"/>
        </w:rPr>
        <w:t>(三)会务承办节俭周全。</w:t>
      </w:r>
      <w:r>
        <w:rPr>
          <w:rFonts w:hint="eastAsia" w:ascii="仿宋_GB2312" w:eastAsia="仿宋_GB2312"/>
          <w:sz w:val="32"/>
          <w:szCs w:val="32"/>
        </w:rPr>
        <w:t>带头精文简会，严格落实中央八项规定，控制会议次数和规模，严格控制会议次数和规模，能电话通知的不开会，能小范围开的不扩大范围，尽量开短会、开套会。会前拟定议程及时送审，建议有针对性，会议通知准确无误，会中服务细致周到，会后及时形成《会议纪要》，制发《工作通报》，细化分解议定事项，交办任务，督促落实。对县政府全体会、常务会、县长办公会等一些高规格会议，坚持牵头做好会议前的准备工作，审核会议议题，并经县政府领导审定同意后才提交会议研究，从源头上确保了会议的权威性和高效性，保证了县政府决策事项及政务工作的贯彻落实和正常开展。</w:t>
      </w:r>
    </w:p>
    <w:p>
      <w:pPr>
        <w:spacing w:line="560" w:lineRule="exact"/>
        <w:rPr>
          <w:rFonts w:ascii="仿宋_GB2312" w:eastAsia="仿宋_GB2312"/>
          <w:sz w:val="32"/>
          <w:szCs w:val="32"/>
        </w:rPr>
      </w:pPr>
      <w:r>
        <w:rPr>
          <w:rFonts w:hint="eastAsia" w:ascii="仿宋_GB2312" w:eastAsia="仿宋_GB2312"/>
          <w:sz w:val="32"/>
          <w:szCs w:val="32"/>
        </w:rPr>
        <w:t>　　</w:t>
      </w:r>
      <w:r>
        <w:rPr>
          <w:rFonts w:hint="eastAsia" w:ascii="楷体_GB2312" w:eastAsia="楷体_GB2312"/>
          <w:b/>
          <w:sz w:val="32"/>
          <w:szCs w:val="32"/>
        </w:rPr>
        <w:t>(四)政务值班不断加强。</w:t>
      </w:r>
      <w:r>
        <w:rPr>
          <w:rFonts w:hint="eastAsia" w:ascii="仿宋_GB2312" w:eastAsia="仿宋_GB2312"/>
          <w:sz w:val="32"/>
          <w:szCs w:val="32"/>
        </w:rPr>
        <w:t>坚持24小时专人值班制度，进一步强化了值班纪律，规范了值班政务处理程序，抓好了上情下达和下情上报工作。热情接处群众来信来访，详细记录群众反映的情况，能够办理的当即电话责成相关单位办理，不能办理的耐心解释劝导。</w:t>
      </w:r>
    </w:p>
    <w:p>
      <w:pPr>
        <w:spacing w:line="560" w:lineRule="exact"/>
        <w:rPr>
          <w:rFonts w:ascii="仿宋_GB2312" w:eastAsia="仿宋_GB2312"/>
          <w:sz w:val="32"/>
          <w:szCs w:val="32"/>
        </w:rPr>
      </w:pPr>
      <w:r>
        <w:rPr>
          <w:rFonts w:hint="eastAsia" w:ascii="仿宋_GB2312" w:eastAsia="仿宋_GB2312"/>
          <w:sz w:val="32"/>
          <w:szCs w:val="32"/>
        </w:rPr>
        <w:t>　　</w:t>
      </w:r>
      <w:r>
        <w:rPr>
          <w:rFonts w:hint="eastAsia" w:ascii="楷体_GB2312" w:eastAsia="楷体_GB2312"/>
          <w:b/>
          <w:sz w:val="32"/>
          <w:szCs w:val="32"/>
        </w:rPr>
        <w:t>(五)公务接待热情周到。</w:t>
      </w:r>
      <w:r>
        <w:rPr>
          <w:rFonts w:hint="eastAsia" w:ascii="仿宋_GB2312" w:eastAsia="仿宋_GB2312"/>
          <w:sz w:val="32"/>
          <w:szCs w:val="32"/>
        </w:rPr>
        <w:t>认真贯彻“为基层服务、为机关服务、为领导服务”的宗旨，不断提高服务水平和服务质量。一是积极创新接待方式，充分调动了办公室工作人员的积极性，在红原大草原夏季雅克音乐季、全省寺庙开放式管理现场会等重大接待活动中，实行全员齐上阵，分工明确，各负其责，圆满完成了一个又一个重大接待任务。二是加强了与县机关事务管理局和相关部门的对接，确保县领导的会务接待和外出调研用车。三是进一步规范财务和办公用品管理，严格经费支出审批，有效控制了经费支出的增长。四是注重搞好领导同志之间的工作协调，主动向各位县长汇报工作、听取指示，在安排领导公务活动时注意统筹兼顾，既填补“盲区”，又避免“撞车”，使领导同志之间的工作联结成一个整体。六是着力精简会议、压缩文件，对各类会议、文件从严把关，按程序审批，使领导从不必要的会议、文件和应酬活动中解放出来，腾出更多的时间和精力搞调查研究、定工作思路、抓工作落实，解决群众实际困难。</w:t>
      </w:r>
    </w:p>
    <w:p>
      <w:pPr>
        <w:spacing w:line="560" w:lineRule="exact"/>
        <w:rPr>
          <w:rFonts w:ascii="仿宋_GB2312" w:eastAsia="仿宋_GB2312"/>
          <w:sz w:val="32"/>
          <w:szCs w:val="32"/>
        </w:rPr>
      </w:pPr>
      <w:r>
        <w:rPr>
          <w:rFonts w:hint="eastAsia" w:ascii="仿宋_GB2312" w:eastAsia="仿宋_GB2312"/>
          <w:sz w:val="32"/>
          <w:szCs w:val="32"/>
        </w:rPr>
        <w:t>　　</w:t>
      </w:r>
      <w:r>
        <w:rPr>
          <w:rFonts w:hint="eastAsia" w:ascii="楷体_GB2312" w:eastAsia="楷体_GB2312"/>
          <w:b/>
          <w:sz w:val="32"/>
          <w:szCs w:val="32"/>
        </w:rPr>
        <w:t>(六)应急处突成效明显。</w:t>
      </w:r>
      <w:r>
        <w:rPr>
          <w:rFonts w:hint="eastAsia" w:ascii="仿宋_GB2312" w:eastAsia="仿宋_GB2312"/>
          <w:sz w:val="32"/>
          <w:szCs w:val="32"/>
        </w:rPr>
        <w:t>健全了紧急信息报送制度，组织完善了各种《应急预案》，重大突发事件的快速反应能力进一步增强。第一时间向政府领导报告重大突发事件情况，密切跟踪事态发展，及时报送处置的措施和结果，为政府处置突发事件提供了及时有效服务。面对今年罕见的特大洪灾，第一时间参与抢险，协调相关单位救灾，帮助灾民生产自救，有效维护了社会稳定。</w:t>
      </w:r>
    </w:p>
    <w:p>
      <w:pPr>
        <w:spacing w:line="560" w:lineRule="exact"/>
        <w:rPr>
          <w:rFonts w:ascii="仿宋_GB2312" w:eastAsia="仿宋_GB2312"/>
          <w:sz w:val="32"/>
          <w:szCs w:val="32"/>
        </w:rPr>
      </w:pPr>
      <w:r>
        <w:rPr>
          <w:rFonts w:hint="eastAsia" w:ascii="仿宋_GB2312" w:eastAsia="仿宋_GB2312"/>
          <w:sz w:val="32"/>
          <w:szCs w:val="32"/>
        </w:rPr>
        <w:t>　  同时，保密、法制、人防、政务中心、外事、驻蓉等工作也较好地完成了各项任务，取得了较好成效。</w:t>
      </w:r>
    </w:p>
    <w:p>
      <w:pPr>
        <w:spacing w:line="560" w:lineRule="exact"/>
        <w:rPr>
          <w:rFonts w:ascii="黑体" w:hAnsi="黑体" w:eastAsia="黑体"/>
          <w:sz w:val="32"/>
          <w:szCs w:val="32"/>
        </w:rPr>
      </w:pPr>
      <w:r>
        <w:rPr>
          <w:rFonts w:hint="eastAsia" w:ascii="仿宋_GB2312" w:eastAsia="仿宋_GB2312"/>
          <w:sz w:val="32"/>
          <w:szCs w:val="32"/>
        </w:rPr>
        <w:t>　</w:t>
      </w:r>
      <w:r>
        <w:rPr>
          <w:rFonts w:hint="eastAsia" w:ascii="黑体" w:hAnsi="黑体" w:eastAsia="黑体"/>
          <w:sz w:val="32"/>
          <w:szCs w:val="32"/>
        </w:rPr>
        <w:t>　三、科学规范，机关建设成效显著</w:t>
      </w:r>
    </w:p>
    <w:p>
      <w:pPr>
        <w:spacing w:line="560" w:lineRule="exact"/>
        <w:rPr>
          <w:rFonts w:ascii="仿宋_GB2312" w:eastAsia="仿宋_GB2312"/>
          <w:sz w:val="32"/>
          <w:szCs w:val="32"/>
        </w:rPr>
      </w:pPr>
      <w:r>
        <w:rPr>
          <w:rFonts w:hint="eastAsia" w:ascii="仿宋_GB2312" w:eastAsia="仿宋_GB2312"/>
          <w:sz w:val="32"/>
          <w:szCs w:val="32"/>
        </w:rPr>
        <w:t>　　</w:t>
      </w:r>
      <w:r>
        <w:rPr>
          <w:rFonts w:hint="eastAsia" w:ascii="楷体_GB2312" w:eastAsia="楷体_GB2312"/>
          <w:b/>
          <w:sz w:val="32"/>
          <w:szCs w:val="32"/>
        </w:rPr>
        <w:t>（一）团结共事增合力。</w:t>
      </w:r>
      <w:r>
        <w:rPr>
          <w:rFonts w:hint="eastAsia" w:ascii="仿宋_GB2312" w:eastAsia="仿宋_GB2312"/>
          <w:sz w:val="32"/>
          <w:szCs w:val="32"/>
        </w:rPr>
        <w:t>我办班子成员秉着“分工不分家、分工不分力”的原则，讲政治、讲民主、讲团结，决定事项之前畅所欲言，确定事项之后不说 “不”。干部职工积极沟通，默契配合，心往一处想，劲往一处使，把办公室的事当科室的事，把科室的事当自己的事，同事同心，共向共为，切实增强理解力、执行力和操作力，形成了强大工作合力。</w:t>
      </w:r>
    </w:p>
    <w:p>
      <w:pPr>
        <w:spacing w:line="560" w:lineRule="exact"/>
        <w:ind w:firstLine="643" w:firstLineChars="200"/>
        <w:rPr>
          <w:rFonts w:ascii="仿宋_GB2312" w:eastAsia="仿宋_GB2312"/>
          <w:sz w:val="32"/>
          <w:szCs w:val="32"/>
        </w:rPr>
      </w:pPr>
      <w:r>
        <w:rPr>
          <w:rFonts w:hint="eastAsia" w:ascii="楷体_GB2312" w:eastAsia="楷体_GB2312"/>
          <w:b/>
          <w:sz w:val="32"/>
          <w:szCs w:val="32"/>
        </w:rPr>
        <w:t>（二）遵章守制优作风。</w:t>
      </w:r>
      <w:r>
        <w:rPr>
          <w:rFonts w:hint="eastAsia" w:ascii="仿宋_GB2312" w:eastAsia="仿宋_GB2312"/>
          <w:sz w:val="32"/>
          <w:szCs w:val="32"/>
        </w:rPr>
        <w:t>全办干部职工以办公室各项制度为行为准绳，人人争做遵章守制的典范，进一步优化工作作风和生活作风。严格遵守考勤和请假制度，杜绝懒懒散散、拖拖拉拉的习气；严格遵守值班值守制度，切实履行值班职责，认真填写值守记录，妥善处置各类突发事件；严格遵守领导身边工作人员管理的规定等各项管理制度，切实维护县政府及办公室形象。</w:t>
      </w:r>
    </w:p>
    <w:p>
      <w:pPr>
        <w:spacing w:line="560" w:lineRule="exact"/>
        <w:ind w:firstLine="643" w:firstLineChars="200"/>
        <w:rPr>
          <w:rFonts w:ascii="仿宋_GB2312" w:eastAsia="仿宋_GB2312"/>
          <w:sz w:val="32"/>
          <w:szCs w:val="32"/>
        </w:rPr>
      </w:pPr>
      <w:r>
        <w:rPr>
          <w:rFonts w:hint="eastAsia" w:ascii="楷体_GB2312" w:eastAsia="楷体_GB2312"/>
          <w:b/>
          <w:sz w:val="32"/>
          <w:szCs w:val="32"/>
        </w:rPr>
        <w:t>（三）细化分工抓落实。</w:t>
      </w:r>
      <w:r>
        <w:rPr>
          <w:rFonts w:hint="eastAsia" w:ascii="仿宋_GB2312" w:eastAsia="仿宋_GB2312"/>
          <w:sz w:val="32"/>
          <w:szCs w:val="32"/>
        </w:rPr>
        <w:t>一是明确工作职责。班子成员对自己分管的工作做到分工负责、放手工作，在督促管理好本办事务的同时，积极有效协助政府领导工作，为领导分忧；各科室明确工作目标，定岗定责，在出色完成本职工作的同时，积极谋划一批有影响的亮点工作，争做“领头雁”。二是强化责任落实。对每项工作任务有部署、有检查、有结果，克服形式主义和“走过场”；强化问责问效，对每项工作任务完成情况、每项工作职责履行情况要经常开展“回头看”，严格考核、真奖实罚。</w:t>
      </w:r>
    </w:p>
    <w:p>
      <w:pPr>
        <w:spacing w:line="560" w:lineRule="exact"/>
        <w:ind w:firstLine="643" w:firstLineChars="200"/>
        <w:rPr>
          <w:rFonts w:ascii="仿宋_GB2312" w:eastAsia="仿宋_GB2312"/>
          <w:sz w:val="32"/>
          <w:szCs w:val="32"/>
        </w:rPr>
      </w:pPr>
      <w:r>
        <w:rPr>
          <w:rFonts w:hint="eastAsia" w:ascii="楷体_GB2312" w:eastAsia="楷体_GB2312"/>
          <w:b/>
          <w:sz w:val="32"/>
          <w:szCs w:val="32"/>
        </w:rPr>
        <w:t>（四）强化学习提素质。</w:t>
      </w:r>
      <w:r>
        <w:rPr>
          <w:rFonts w:hint="eastAsia" w:ascii="仿宋_GB2312" w:eastAsia="仿宋_GB2312"/>
          <w:sz w:val="32"/>
          <w:szCs w:val="32"/>
        </w:rPr>
        <w:t>着力打造学习型机关，深入学习贯彻党的十九大精神、习近平新时代中国特色社会主义思想和省委十一届三次全会、州委十一届历次全会精神，筑牢干部职工的思想政治意识。加强各种业务知识的学习，使全办干部职工都成为本职工作的行家里手、专家能手。</w:t>
      </w:r>
    </w:p>
    <w:p>
      <w:pPr>
        <w:spacing w:line="560" w:lineRule="exact"/>
        <w:ind w:firstLine="643" w:firstLineChars="200"/>
        <w:rPr>
          <w:rFonts w:ascii="仿宋_GB2312" w:eastAsia="仿宋_GB2312"/>
          <w:sz w:val="32"/>
          <w:szCs w:val="32"/>
        </w:rPr>
      </w:pPr>
      <w:r>
        <w:rPr>
          <w:rFonts w:hint="eastAsia" w:ascii="楷体_GB2312" w:eastAsia="楷体_GB2312"/>
          <w:b/>
          <w:sz w:val="32"/>
          <w:szCs w:val="32"/>
        </w:rPr>
        <w:t>（五）诚实勤勉讲奉献。</w:t>
      </w:r>
      <w:r>
        <w:rPr>
          <w:rFonts w:hint="eastAsia" w:ascii="仿宋_GB2312" w:eastAsia="仿宋_GB2312"/>
          <w:sz w:val="32"/>
          <w:szCs w:val="32"/>
        </w:rPr>
        <w:t>班子成员以《廉政准则》为镜子，做甘于奉献、乐于奉献的表率，以自己的实际行动激发全办干部干事创业的积极性。全办干部守得住清贫，耐得住寂寞，始终保持昂扬向上的锐气。</w:t>
      </w:r>
    </w:p>
    <w:p>
      <w:pPr>
        <w:spacing w:line="560" w:lineRule="exact"/>
        <w:ind w:firstLine="643" w:firstLineChars="200"/>
        <w:rPr>
          <w:rFonts w:ascii="仿宋_GB2312" w:eastAsia="仿宋_GB2312"/>
          <w:sz w:val="32"/>
          <w:szCs w:val="32"/>
        </w:rPr>
      </w:pPr>
      <w:r>
        <w:rPr>
          <w:rFonts w:hint="eastAsia" w:ascii="楷体_GB2312" w:eastAsia="楷体_GB2312"/>
          <w:b/>
          <w:sz w:val="32"/>
          <w:szCs w:val="32"/>
        </w:rPr>
        <w:t>（六）率先示范讲廉洁。</w:t>
      </w:r>
      <w:r>
        <w:rPr>
          <w:rFonts w:hint="eastAsia" w:ascii="仿宋_GB2312" w:eastAsia="仿宋_GB2312"/>
          <w:sz w:val="32"/>
          <w:szCs w:val="32"/>
        </w:rPr>
        <w:t>组织干部职工深入学习《中国共产党领导干部廉洁从政若干准则》、《中国共产党纪律处分条例》及中央颁布的两个《实施纲要》等关于党风廉政建设的法律法规和文件；坚决贯彻执行县委、县政府做出的有关党风廉政建设的决定，带头执行相关规定，认真遵守领导干部廉洁从政“十不准”，切实规范自己的行政行为，令行禁止，以身作则；积极组织民主生活会，认真开展批评与自我批评，班子成员之间，做到揭露缺点不怕丑，触及思想不怕痛，虚心接受，有则改之，无则加勉，提高了党性修养，坚定了政治立场。</w:t>
      </w:r>
    </w:p>
    <w:p>
      <w:pPr>
        <w:spacing w:line="560" w:lineRule="exact"/>
        <w:ind w:firstLine="640" w:firstLineChars="200"/>
        <w:rPr>
          <w:rFonts w:ascii="黑体" w:hAnsi="黑体" w:eastAsia="黑体"/>
          <w:sz w:val="32"/>
          <w:szCs w:val="32"/>
        </w:rPr>
      </w:pPr>
      <w:r>
        <w:rPr>
          <w:rFonts w:hint="eastAsia" w:ascii="黑体" w:hAnsi="黑体" w:eastAsia="黑体"/>
          <w:sz w:val="32"/>
          <w:szCs w:val="32"/>
        </w:rPr>
        <w:t>四、存在的问题和今后努力的方向</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县政府办公室在政治上、思想上和行动上始终与党中央保持高度一致，认真贯彻执行了党的路线方针政策，按照县委、县政府的安排部署，积极地、创造性地开展了各项工作，圆满地完成了组织交给的各项任务，取得了一些成绩，但我们也清醒地认识到，工作中也还存在一些不足，集中表现在：工作思路有待进一步创新；工作方法有待进一步改进；理论水平有待进一步提高；服务质量和水平与新形势、新任务还存在一定的差距。对自身存在的问题和不足，我们在今后的工作中将继续按照“务实、创新、廉洁、高效”的目标，进一步狠抓素质提高，全方位提高办公室人员素质，力求把办公室打造成学习型机关的先锋，服务型机关的表率，创新型机关的楷模。不断适应新形势的需要，进一步积极探索做好办公室工作的新途径，全方位拓展工作领域，多层次强化政务服务，强化工作力度，加强统筹协调，继续围绕“参谋、助手、沟通、中枢”等方面，发挥“承上启下，沟通内外，协调左右，服务全局”的作用，确保政务工作更加高效有序运行，为建设“五个红原”做出新的更大贡献。</w:t>
      </w:r>
    </w:p>
    <w:p>
      <w:pPr>
        <w:pStyle w:val="3"/>
        <w:rPr>
          <w:rStyle w:val="27"/>
          <w:b w:val="0"/>
          <w:bCs w:val="0"/>
        </w:rPr>
      </w:pPr>
      <w:bookmarkStart w:id="20" w:name="_Toc15396601"/>
      <w:bookmarkStart w:id="21" w:name="_Toc15377200"/>
      <w:r>
        <w:rPr>
          <w:rFonts w:hint="eastAsia" w:ascii="黑体" w:eastAsia="黑体"/>
          <w:b w:val="0"/>
          <w:color w:val="000000"/>
        </w:rPr>
        <w:t>二、</w:t>
      </w:r>
      <w:r>
        <w:rPr>
          <w:rFonts w:hint="eastAsia" w:ascii="黑体" w:hAnsi="黑体" w:eastAsia="黑体"/>
          <w:b w:val="0"/>
          <w:color w:val="000000"/>
        </w:rPr>
        <w:t>机</w:t>
      </w:r>
      <w:r>
        <w:rPr>
          <w:rStyle w:val="27"/>
          <w:rFonts w:hint="eastAsia" w:ascii="黑体" w:hAnsi="黑体" w:eastAsia="黑体"/>
          <w:b w:val="0"/>
          <w:bCs w:val="0"/>
        </w:rPr>
        <w:t>构设置</w:t>
      </w:r>
      <w:bookmarkEnd w:id="20"/>
      <w:bookmarkEnd w:id="21"/>
    </w:p>
    <w:p>
      <w:pPr>
        <w:ind w:firstLine="800" w:firstLineChars="250"/>
        <w:rPr>
          <w:rFonts w:ascii="仿宋" w:hAnsi="仿宋" w:eastAsia="仿宋"/>
          <w:sz w:val="32"/>
          <w:szCs w:val="32"/>
        </w:rPr>
      </w:pPr>
      <w:r>
        <w:rPr>
          <w:rFonts w:hint="eastAsia" w:ascii="仿宋" w:hAnsi="仿宋" w:eastAsia="仿宋"/>
          <w:sz w:val="32"/>
          <w:szCs w:val="32"/>
        </w:rPr>
        <w:t>政府办挂靠2个正科级单位，1个副科级单位，两个股级事业单位，其中行政单位1个，参照公务员法管理的事业单位</w:t>
      </w:r>
      <w:r>
        <w:rPr>
          <w:rFonts w:hint="eastAsia" w:ascii="仿宋" w:hAnsi="仿宋" w:eastAsia="仿宋"/>
          <w:bCs/>
          <w:sz w:val="32"/>
          <w:szCs w:val="32"/>
        </w:rPr>
        <w:t>1</w:t>
      </w:r>
      <w:r>
        <w:rPr>
          <w:rFonts w:hint="eastAsia" w:ascii="仿宋" w:hAnsi="仿宋" w:eastAsia="仿宋"/>
          <w:sz w:val="32"/>
          <w:szCs w:val="32"/>
        </w:rPr>
        <w:t>个，其他事业单位4个。</w:t>
      </w:r>
    </w:p>
    <w:p>
      <w:pPr>
        <w:pStyle w:val="13"/>
        <w:spacing w:after="0" w:line="540" w:lineRule="exact"/>
        <w:ind w:left="0" w:leftChars="0"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截止2018年底我单位共有编制63个，其中公务员编制24个，行政工勤编制11个，参公编制6个,事业编制22个，在职50人，其中参公3人，公务员24人，行政工勤人员11人，事业12人。</w:t>
      </w:r>
    </w:p>
    <w:p>
      <w:pPr>
        <w:ind w:firstLine="800" w:firstLineChars="250"/>
        <w:rPr>
          <w:rFonts w:ascii="仿宋" w:hAnsi="仿宋" w:eastAsia="仿宋"/>
          <w:sz w:val="32"/>
          <w:szCs w:val="32"/>
        </w:rPr>
      </w:pPr>
      <w:r>
        <w:rPr>
          <w:rFonts w:hint="eastAsia" w:ascii="仿宋" w:hAnsi="仿宋" w:eastAsia="仿宋"/>
          <w:sz w:val="32"/>
          <w:szCs w:val="32"/>
        </w:rPr>
        <w:t xml:space="preserve"> </w:t>
      </w:r>
      <w:r>
        <w:rPr>
          <w:rFonts w:ascii="仿宋" w:hAnsi="仿宋" w:eastAsia="仿宋"/>
          <w:color w:val="000000"/>
          <w:sz w:val="32"/>
          <w:szCs w:val="32"/>
        </w:rPr>
        <w:br w:type="page"/>
      </w:r>
    </w:p>
    <w:p>
      <w:pPr>
        <w:pStyle w:val="2"/>
        <w:ind w:right="440"/>
        <w:jc w:val="right"/>
        <w:rPr>
          <w:rStyle w:val="26"/>
          <w:rFonts w:ascii="黑体" w:hAnsi="黑体" w:eastAsia="黑体"/>
          <w:b w:val="0"/>
          <w:bCs w:val="0"/>
        </w:rPr>
      </w:pPr>
      <w:bookmarkStart w:id="22" w:name="_Toc15377204"/>
      <w:bookmarkStart w:id="23" w:name="_Toc15396602"/>
      <w:r>
        <w:rPr>
          <w:rFonts w:hint="eastAsia" w:ascii="黑体" w:hAnsi="黑体" w:eastAsia="黑体"/>
          <w:b w:val="0"/>
          <w:color w:val="000000"/>
        </w:rPr>
        <w:t>第二部分</w:t>
      </w:r>
      <w:r>
        <w:rPr>
          <w:rFonts w:hint="eastAsia" w:ascii="黑体" w:hAnsi="黑体" w:eastAsia="黑体"/>
          <w:color w:val="000000"/>
        </w:rPr>
        <w:t xml:space="preserve"> </w:t>
      </w:r>
      <w:r>
        <w:rPr>
          <w:rStyle w:val="26"/>
          <w:rFonts w:hint="eastAsia" w:ascii="黑体" w:hAnsi="黑体" w:eastAsia="黑体"/>
          <w:b w:val="0"/>
          <w:bCs w:val="0"/>
        </w:rPr>
        <w:t>2018年度部门决算情况说明</w:t>
      </w:r>
      <w:bookmarkEnd w:id="22"/>
      <w:bookmarkEnd w:id="23"/>
    </w:p>
    <w:p/>
    <w:p>
      <w:pPr>
        <w:pStyle w:val="25"/>
        <w:numPr>
          <w:ilvl w:val="0"/>
          <w:numId w:val="1"/>
        </w:numPr>
        <w:spacing w:line="600" w:lineRule="exact"/>
        <w:ind w:firstLineChars="0"/>
        <w:outlineLvl w:val="1"/>
        <w:rPr>
          <w:rStyle w:val="27"/>
          <w:rFonts w:ascii="黑体" w:hAnsi="黑体" w:eastAsia="黑体"/>
          <w:b w:val="0"/>
        </w:rPr>
      </w:pPr>
      <w:bookmarkStart w:id="24" w:name="_Toc15377205"/>
      <w:bookmarkStart w:id="25" w:name="_Toc15396603"/>
      <w:r>
        <w:rPr>
          <w:rFonts w:hint="eastAsia" w:ascii="黑体" w:hAnsi="黑体" w:eastAsia="黑体"/>
          <w:color w:val="000000"/>
          <w:sz w:val="32"/>
          <w:szCs w:val="32"/>
        </w:rPr>
        <w:t>收</w:t>
      </w:r>
      <w:r>
        <w:rPr>
          <w:rStyle w:val="27"/>
          <w:rFonts w:hint="eastAsia" w:ascii="黑体" w:hAnsi="黑体" w:eastAsia="黑体"/>
          <w:b w:val="0"/>
        </w:rPr>
        <w:t>入支出决算总体情况说明</w:t>
      </w:r>
      <w:bookmarkEnd w:id="24"/>
      <w:bookmarkEnd w:id="25"/>
    </w:p>
    <w:p>
      <w:pPr>
        <w:ind w:firstLine="640" w:firstLineChars="200"/>
        <w:rPr>
          <w:rFonts w:ascii="宋体" w:hAnsi="宋体" w:cs="Arial"/>
          <w:color w:val="000000"/>
          <w:kern w:val="0"/>
          <w:sz w:val="32"/>
          <w:szCs w:val="32"/>
        </w:rPr>
      </w:pPr>
      <w:r>
        <w:rPr>
          <w:rFonts w:hint="eastAsia" w:ascii="仿宋" w:hAnsi="仿宋" w:eastAsia="仿宋"/>
          <w:color w:val="000000"/>
          <w:sz w:val="32"/>
          <w:szCs w:val="32"/>
        </w:rPr>
        <w:t>2018年度收入1588.95万元、支出总计</w:t>
      </w:r>
      <w:r>
        <w:rPr>
          <w:rFonts w:hint="eastAsia" w:ascii="宋体" w:hAnsi="宋体" w:cs="Arial"/>
          <w:color w:val="000000"/>
          <w:kern w:val="0"/>
          <w:sz w:val="32"/>
          <w:szCs w:val="32"/>
        </w:rPr>
        <w:t>1422.31</w:t>
      </w:r>
      <w:r>
        <w:rPr>
          <w:rFonts w:hint="eastAsia" w:ascii="仿宋" w:hAnsi="仿宋" w:eastAsia="仿宋"/>
          <w:color w:val="000000"/>
          <w:sz w:val="32"/>
          <w:szCs w:val="32"/>
        </w:rPr>
        <w:t>万元。与2017年相比，收入增加286.91万元，增加18%，支出减少123.54万元，下降43</w:t>
      </w:r>
      <w:r>
        <w:rPr>
          <w:rFonts w:ascii="仿宋" w:hAnsi="仿宋" w:eastAsia="仿宋"/>
          <w:color w:val="000000"/>
          <w:sz w:val="32"/>
          <w:szCs w:val="32"/>
        </w:rPr>
        <w:t>%</w:t>
      </w:r>
      <w:r>
        <w:rPr>
          <w:rFonts w:hint="eastAsia" w:ascii="仿宋" w:hAnsi="仿宋" w:eastAsia="仿宋"/>
          <w:color w:val="000000"/>
          <w:sz w:val="32"/>
          <w:szCs w:val="32"/>
        </w:rPr>
        <w:t>。主要变动原因是2017年政府办新购公务用车3辆；2018年人防专项经费拨款155万。</w:t>
      </w:r>
    </w:p>
    <w:p>
      <w:pPr>
        <w:spacing w:line="600" w:lineRule="exact"/>
        <w:ind w:firstLine="640" w:firstLineChars="200"/>
        <w:jc w:val="left"/>
        <w:rPr>
          <w:rFonts w:ascii="仿宋_GB2312" w:eastAsia="仿宋_GB2312"/>
          <w:color w:val="000000"/>
          <w:sz w:val="32"/>
          <w:szCs w:val="32"/>
        </w:rPr>
      </w:pPr>
    </w:p>
    <w:p>
      <w:pPr>
        <w:pStyle w:val="25"/>
        <w:numPr>
          <w:ilvl w:val="0"/>
          <w:numId w:val="1"/>
        </w:numPr>
        <w:spacing w:line="600" w:lineRule="exact"/>
        <w:ind w:firstLineChars="0"/>
        <w:outlineLvl w:val="1"/>
        <w:rPr>
          <w:rStyle w:val="27"/>
          <w:rFonts w:ascii="黑体" w:hAnsi="黑体" w:eastAsia="黑体"/>
          <w:b w:val="0"/>
        </w:rPr>
      </w:pPr>
      <w:bookmarkStart w:id="26" w:name="_Toc15396604"/>
      <w:bookmarkStart w:id="27" w:name="_Toc15377206"/>
      <w:r>
        <w:rPr>
          <w:rFonts w:hint="eastAsia" w:ascii="黑体" w:hAnsi="黑体" w:eastAsia="黑体"/>
          <w:color w:val="000000"/>
          <w:sz w:val="32"/>
          <w:szCs w:val="32"/>
        </w:rPr>
        <w:t>收</w:t>
      </w:r>
      <w:r>
        <w:rPr>
          <w:rStyle w:val="27"/>
          <w:rFonts w:hint="eastAsia" w:ascii="黑体" w:hAnsi="黑体" w:eastAsia="黑体"/>
          <w:b w:val="0"/>
        </w:rPr>
        <w:t>入决算情况说明</w:t>
      </w:r>
      <w:bookmarkEnd w:id="26"/>
      <w:bookmarkEnd w:id="27"/>
    </w:p>
    <w:p>
      <w:pPr>
        <w:spacing w:line="600" w:lineRule="exact"/>
        <w:ind w:firstLine="640" w:firstLineChars="200"/>
        <w:outlineLvl w:val="1"/>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8年本年收入合计1588.95万元，其中：一般公共预算财政拨款收入1588.95万元，占100</w:t>
      </w:r>
      <w:r>
        <w:rPr>
          <w:rFonts w:ascii="仿宋" w:hAnsi="仿宋" w:eastAsia="仿宋"/>
          <w:color w:val="000000"/>
          <w:sz w:val="32"/>
          <w:szCs w:val="32"/>
        </w:rPr>
        <w:t>%</w:t>
      </w:r>
      <w:r>
        <w:rPr>
          <w:rFonts w:hint="eastAsia" w:ascii="仿宋" w:hAnsi="仿宋" w:eastAsia="仿宋"/>
          <w:color w:val="000000"/>
          <w:sz w:val="32"/>
          <w:szCs w:val="32"/>
        </w:rPr>
        <w:t>；其他收入0.16万元，占0</w:t>
      </w:r>
      <w:r>
        <w:rPr>
          <w:rFonts w:ascii="仿宋" w:hAnsi="仿宋" w:eastAsia="仿宋"/>
          <w:color w:val="000000"/>
          <w:sz w:val="32"/>
          <w:szCs w:val="32"/>
        </w:rPr>
        <w:t>%</w:t>
      </w:r>
      <w:r>
        <w:rPr>
          <w:rFonts w:hint="eastAsia" w:ascii="仿宋" w:hAnsi="仿宋" w:eastAsia="仿宋"/>
          <w:color w:val="000000"/>
          <w:sz w:val="32"/>
          <w:szCs w:val="32"/>
        </w:rPr>
        <w:t>。</w:t>
      </w:r>
    </w:p>
    <w:p>
      <w:pPr>
        <w:spacing w:line="600" w:lineRule="exact"/>
        <w:ind w:firstLine="640" w:firstLineChars="200"/>
        <w:rPr>
          <w:rFonts w:ascii="仿宋_GB2312" w:eastAsia="仿宋_GB2312"/>
          <w:color w:val="FF0000"/>
          <w:sz w:val="32"/>
          <w:szCs w:val="32"/>
        </w:rPr>
      </w:pPr>
    </w:p>
    <w:p>
      <w:pPr>
        <w:pStyle w:val="25"/>
        <w:numPr>
          <w:ilvl w:val="0"/>
          <w:numId w:val="1"/>
        </w:numPr>
        <w:spacing w:line="600" w:lineRule="exact"/>
        <w:ind w:firstLineChars="0"/>
        <w:outlineLvl w:val="1"/>
        <w:rPr>
          <w:rStyle w:val="27"/>
          <w:rFonts w:ascii="黑体" w:hAnsi="黑体" w:eastAsia="黑体"/>
          <w:b w:val="0"/>
        </w:rPr>
      </w:pPr>
      <w:bookmarkStart w:id="28" w:name="_Toc15377207"/>
      <w:bookmarkStart w:id="29" w:name="_Toc15396605"/>
      <w:r>
        <w:rPr>
          <w:rFonts w:hint="eastAsia" w:ascii="黑体" w:hAnsi="黑体" w:eastAsia="黑体"/>
          <w:color w:val="000000"/>
          <w:sz w:val="32"/>
          <w:szCs w:val="32"/>
        </w:rPr>
        <w:t>支</w:t>
      </w:r>
      <w:r>
        <w:rPr>
          <w:rStyle w:val="27"/>
          <w:rFonts w:hint="eastAsia" w:ascii="黑体" w:hAnsi="黑体" w:eastAsia="黑体"/>
          <w:b w:val="0"/>
        </w:rPr>
        <w:t>出决算情况说明</w:t>
      </w:r>
      <w:bookmarkEnd w:id="28"/>
      <w:bookmarkEnd w:id="29"/>
    </w:p>
    <w:p>
      <w:pPr>
        <w:ind w:firstLine="480" w:firstLineChars="150"/>
        <w:rPr>
          <w:rFonts w:ascii="宋体" w:hAnsi="宋体" w:cs="Arial"/>
          <w:b/>
          <w:bCs/>
          <w:color w:val="000000"/>
          <w:kern w:val="0"/>
          <w:sz w:val="32"/>
          <w:szCs w:val="32"/>
        </w:rPr>
      </w:pPr>
      <w:r>
        <w:rPr>
          <w:rFonts w:ascii="仿宋" w:hAnsi="仿宋" w:eastAsia="仿宋"/>
          <w:color w:val="000000"/>
          <w:sz w:val="32"/>
          <w:szCs w:val="32"/>
        </w:rPr>
        <w:t>201</w:t>
      </w:r>
      <w:r>
        <w:rPr>
          <w:rFonts w:hint="eastAsia" w:ascii="仿宋" w:hAnsi="仿宋" w:eastAsia="仿宋"/>
          <w:color w:val="000000"/>
          <w:sz w:val="32"/>
          <w:szCs w:val="32"/>
        </w:rPr>
        <w:t>8年本年支出合计</w:t>
      </w:r>
      <w:r>
        <w:rPr>
          <w:rFonts w:ascii="仿宋" w:hAnsi="仿宋" w:eastAsia="仿宋"/>
          <w:color w:val="000000"/>
          <w:sz w:val="32"/>
          <w:szCs w:val="32"/>
        </w:rPr>
        <w:t>1422</w:t>
      </w:r>
      <w:r>
        <w:rPr>
          <w:rFonts w:hint="eastAsia" w:ascii="仿宋" w:hAnsi="仿宋" w:eastAsia="仿宋"/>
          <w:color w:val="000000"/>
          <w:sz w:val="32"/>
          <w:szCs w:val="32"/>
        </w:rPr>
        <w:t>.</w:t>
      </w:r>
      <w:r>
        <w:rPr>
          <w:rFonts w:ascii="仿宋" w:hAnsi="仿宋" w:eastAsia="仿宋"/>
          <w:color w:val="000000"/>
          <w:sz w:val="32"/>
          <w:szCs w:val="32"/>
        </w:rPr>
        <w:t>31</w:t>
      </w:r>
      <w:r>
        <w:rPr>
          <w:rFonts w:hint="eastAsia" w:ascii="仿宋" w:hAnsi="仿宋" w:eastAsia="仿宋"/>
          <w:color w:val="000000"/>
          <w:sz w:val="32"/>
          <w:szCs w:val="32"/>
        </w:rPr>
        <w:t>万元，其中：基本支出</w:t>
      </w:r>
      <w:r>
        <w:rPr>
          <w:rFonts w:ascii="宋体" w:hAnsi="宋体" w:cs="Arial"/>
          <w:b/>
          <w:bCs/>
          <w:color w:val="000000"/>
          <w:kern w:val="0"/>
          <w:sz w:val="32"/>
          <w:szCs w:val="32"/>
        </w:rPr>
        <w:t>1371</w:t>
      </w:r>
      <w:r>
        <w:rPr>
          <w:rFonts w:hint="eastAsia" w:ascii="宋体" w:hAnsi="宋体" w:cs="Arial"/>
          <w:b/>
          <w:bCs/>
          <w:color w:val="000000"/>
          <w:kern w:val="0"/>
          <w:sz w:val="32"/>
          <w:szCs w:val="32"/>
        </w:rPr>
        <w:t>.</w:t>
      </w:r>
      <w:r>
        <w:rPr>
          <w:rFonts w:ascii="宋体" w:hAnsi="宋体" w:cs="Arial"/>
          <w:b/>
          <w:bCs/>
          <w:color w:val="000000"/>
          <w:kern w:val="0"/>
          <w:sz w:val="32"/>
          <w:szCs w:val="32"/>
        </w:rPr>
        <w:t>1</w:t>
      </w:r>
      <w:r>
        <w:rPr>
          <w:rFonts w:hint="eastAsia" w:ascii="宋体" w:hAnsi="宋体" w:cs="Arial"/>
          <w:b/>
          <w:bCs/>
          <w:color w:val="000000"/>
          <w:kern w:val="0"/>
          <w:sz w:val="32"/>
          <w:szCs w:val="32"/>
        </w:rPr>
        <w:t>1</w:t>
      </w:r>
      <w:r>
        <w:rPr>
          <w:rFonts w:hint="eastAsia" w:ascii="仿宋" w:hAnsi="仿宋" w:eastAsia="仿宋"/>
          <w:color w:val="000000"/>
          <w:sz w:val="32"/>
          <w:szCs w:val="32"/>
        </w:rPr>
        <w:t>万元，占96</w:t>
      </w:r>
      <w:r>
        <w:rPr>
          <w:rFonts w:ascii="仿宋" w:hAnsi="仿宋" w:eastAsia="仿宋"/>
          <w:color w:val="000000"/>
          <w:sz w:val="32"/>
          <w:szCs w:val="32"/>
        </w:rPr>
        <w:t>%</w:t>
      </w:r>
      <w:r>
        <w:rPr>
          <w:rFonts w:hint="eastAsia" w:ascii="仿宋" w:hAnsi="仿宋" w:eastAsia="仿宋"/>
          <w:color w:val="000000"/>
          <w:sz w:val="32"/>
          <w:szCs w:val="32"/>
        </w:rPr>
        <w:t>；项目支出</w:t>
      </w:r>
      <w:r>
        <w:rPr>
          <w:rFonts w:ascii="仿宋" w:hAnsi="仿宋" w:eastAsia="仿宋"/>
          <w:color w:val="000000"/>
          <w:sz w:val="32"/>
          <w:szCs w:val="32"/>
        </w:rPr>
        <w:t>51</w:t>
      </w:r>
      <w:r>
        <w:rPr>
          <w:rFonts w:hint="eastAsia" w:ascii="仿宋" w:hAnsi="仿宋" w:eastAsia="仿宋"/>
          <w:color w:val="000000"/>
          <w:sz w:val="32"/>
          <w:szCs w:val="32"/>
        </w:rPr>
        <w:t>.</w:t>
      </w:r>
      <w:r>
        <w:rPr>
          <w:rFonts w:ascii="仿宋" w:hAnsi="仿宋" w:eastAsia="仿宋"/>
          <w:color w:val="000000"/>
          <w:sz w:val="32"/>
          <w:szCs w:val="32"/>
        </w:rPr>
        <w:t>19</w:t>
      </w:r>
      <w:r>
        <w:rPr>
          <w:rFonts w:hint="eastAsia" w:ascii="仿宋" w:hAnsi="仿宋" w:eastAsia="仿宋"/>
          <w:color w:val="000000"/>
          <w:sz w:val="32"/>
          <w:szCs w:val="32"/>
        </w:rPr>
        <w:t>万元，占4</w:t>
      </w:r>
      <w:r>
        <w:rPr>
          <w:rFonts w:ascii="仿宋" w:hAnsi="仿宋" w:eastAsia="仿宋"/>
          <w:color w:val="000000"/>
          <w:sz w:val="32"/>
          <w:szCs w:val="32"/>
        </w:rPr>
        <w:t>%</w:t>
      </w:r>
      <w:r>
        <w:rPr>
          <w:rFonts w:hint="eastAsia" w:ascii="仿宋" w:hAnsi="仿宋" w:eastAsia="仿宋"/>
          <w:color w:val="000000"/>
          <w:sz w:val="32"/>
          <w:szCs w:val="32"/>
        </w:rPr>
        <w:t>。</w:t>
      </w:r>
    </w:p>
    <w:p>
      <w:pPr>
        <w:spacing w:line="600" w:lineRule="exact"/>
        <w:ind w:firstLine="640" w:firstLineChars="200"/>
        <w:outlineLvl w:val="1"/>
        <w:rPr>
          <w:rStyle w:val="27"/>
          <w:rFonts w:ascii="黑体" w:hAnsi="黑体" w:eastAsia="黑体"/>
          <w:b w:val="0"/>
        </w:rPr>
      </w:pPr>
      <w:bookmarkStart w:id="30" w:name="_Toc15377208"/>
      <w:bookmarkStart w:id="31" w:name="_Toc15396606"/>
      <w:r>
        <w:rPr>
          <w:rFonts w:hint="eastAsia" w:ascii="黑体" w:hAnsi="黑体" w:eastAsia="黑体"/>
          <w:color w:val="000000"/>
          <w:sz w:val="32"/>
          <w:szCs w:val="32"/>
        </w:rPr>
        <w:t>四、财</w:t>
      </w:r>
      <w:r>
        <w:rPr>
          <w:rStyle w:val="27"/>
          <w:rFonts w:hint="eastAsia" w:ascii="黑体" w:hAnsi="黑体" w:eastAsia="黑体"/>
          <w:b w:val="0"/>
        </w:rPr>
        <w:t>政拨款收入支出决算总体情况说明</w:t>
      </w:r>
      <w:bookmarkEnd w:id="30"/>
      <w:bookmarkEnd w:id="31"/>
    </w:p>
    <w:p>
      <w:pPr>
        <w:ind w:firstLine="640" w:firstLineChars="200"/>
        <w:rPr>
          <w:rFonts w:ascii="宋体" w:hAnsi="宋体" w:cs="Arial"/>
          <w:color w:val="000000"/>
          <w:kern w:val="0"/>
          <w:sz w:val="32"/>
          <w:szCs w:val="32"/>
        </w:rPr>
      </w:pPr>
      <w:r>
        <w:rPr>
          <w:rFonts w:ascii="仿宋" w:hAnsi="仿宋" w:eastAsia="仿宋"/>
          <w:color w:val="000000"/>
          <w:sz w:val="32"/>
          <w:szCs w:val="32"/>
        </w:rPr>
        <w:t>201</w:t>
      </w:r>
      <w:r>
        <w:rPr>
          <w:rFonts w:hint="eastAsia" w:ascii="仿宋" w:hAnsi="仿宋" w:eastAsia="仿宋"/>
          <w:color w:val="000000"/>
          <w:sz w:val="32"/>
          <w:szCs w:val="32"/>
        </w:rPr>
        <w:t>8年财政拨款收入1588.95万元、支出总计</w:t>
      </w:r>
      <w:r>
        <w:rPr>
          <w:rFonts w:hint="eastAsia" w:ascii="宋体" w:hAnsi="宋体" w:cs="Arial"/>
          <w:color w:val="000000"/>
          <w:kern w:val="0"/>
          <w:sz w:val="32"/>
          <w:szCs w:val="32"/>
        </w:rPr>
        <w:t>1422.31</w:t>
      </w:r>
      <w:r>
        <w:rPr>
          <w:rFonts w:hint="eastAsia" w:ascii="仿宋" w:hAnsi="仿宋" w:eastAsia="仿宋"/>
          <w:color w:val="000000"/>
          <w:sz w:val="32"/>
          <w:szCs w:val="32"/>
        </w:rPr>
        <w:t>万元。与2017年相比，收入增加286.91万元，增加18%，支出减少123.54万元，下降43</w:t>
      </w:r>
      <w:r>
        <w:rPr>
          <w:rFonts w:ascii="仿宋" w:hAnsi="仿宋" w:eastAsia="仿宋"/>
          <w:color w:val="000000"/>
          <w:sz w:val="32"/>
          <w:szCs w:val="32"/>
        </w:rPr>
        <w:t>%</w:t>
      </w:r>
      <w:r>
        <w:rPr>
          <w:rFonts w:hint="eastAsia" w:ascii="仿宋" w:hAnsi="仿宋" w:eastAsia="仿宋"/>
          <w:color w:val="000000"/>
          <w:sz w:val="32"/>
          <w:szCs w:val="32"/>
        </w:rPr>
        <w:t>。主要变动原因是2017年政府办新购公务用车3辆；2018年人防专项经费拨款155万，年末结转结余155万。支出减少是厉行节约。</w:t>
      </w:r>
    </w:p>
    <w:p>
      <w:pPr>
        <w:spacing w:line="600" w:lineRule="exact"/>
        <w:ind w:firstLine="640"/>
        <w:rPr>
          <w:rFonts w:ascii="仿宋" w:hAnsi="仿宋" w:eastAsia="仿宋"/>
          <w:b/>
          <w:color w:val="00B050"/>
          <w:sz w:val="32"/>
          <w:szCs w:val="32"/>
        </w:rPr>
      </w:pPr>
    </w:p>
    <w:p>
      <w:pPr>
        <w:spacing w:line="600" w:lineRule="exact"/>
        <w:ind w:firstLine="640" w:firstLineChars="200"/>
        <w:outlineLvl w:val="1"/>
        <w:rPr>
          <w:rStyle w:val="27"/>
          <w:rFonts w:ascii="黑体" w:hAnsi="黑体" w:eastAsia="黑体"/>
          <w:b w:val="0"/>
        </w:rPr>
      </w:pPr>
      <w:bookmarkStart w:id="32" w:name="_Toc15377209"/>
      <w:bookmarkStart w:id="33" w:name="_Toc15396607"/>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7"/>
          <w:rFonts w:hint="eastAsia" w:ascii="黑体" w:hAnsi="黑体" w:eastAsia="黑体"/>
          <w:b w:val="0"/>
        </w:rPr>
        <w:t>般公共预算财政拨款支出决算情况说明</w:t>
      </w:r>
      <w:bookmarkEnd w:id="32"/>
      <w:bookmarkEnd w:id="33"/>
    </w:p>
    <w:p>
      <w:pPr>
        <w:spacing w:line="600" w:lineRule="exact"/>
        <w:ind w:firstLine="643" w:firstLineChars="200"/>
        <w:outlineLvl w:val="2"/>
        <w:rPr>
          <w:rFonts w:ascii="仿宋" w:hAnsi="仿宋" w:eastAsia="仿宋"/>
          <w:b/>
          <w:color w:val="000000"/>
          <w:sz w:val="32"/>
          <w:szCs w:val="32"/>
        </w:rPr>
      </w:pPr>
      <w:bookmarkStart w:id="34" w:name="_Toc15377210"/>
      <w:r>
        <w:rPr>
          <w:rFonts w:hint="eastAsia" w:ascii="仿宋" w:hAnsi="仿宋" w:eastAsia="仿宋"/>
          <w:b/>
          <w:color w:val="000000"/>
          <w:sz w:val="32"/>
          <w:szCs w:val="32"/>
        </w:rPr>
        <w:t>（一）一般公共预算财政拨款支出决算总体情况</w:t>
      </w:r>
      <w:bookmarkEnd w:id="34"/>
    </w:p>
    <w:p>
      <w:pPr>
        <w:spacing w:line="600" w:lineRule="exact"/>
        <w:ind w:firstLine="640" w:firstLineChars="20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8年一般公共预算财政拨款支出</w:t>
      </w:r>
      <w:r>
        <w:rPr>
          <w:rFonts w:ascii="仿宋" w:hAnsi="仿宋" w:eastAsia="仿宋"/>
          <w:color w:val="000000"/>
          <w:sz w:val="32"/>
          <w:szCs w:val="32"/>
        </w:rPr>
        <w:t>1422</w:t>
      </w:r>
      <w:r>
        <w:rPr>
          <w:rFonts w:hint="eastAsia" w:ascii="仿宋" w:hAnsi="仿宋" w:eastAsia="仿宋"/>
          <w:color w:val="000000"/>
          <w:sz w:val="32"/>
          <w:szCs w:val="32"/>
        </w:rPr>
        <w:t>.</w:t>
      </w:r>
      <w:r>
        <w:rPr>
          <w:rFonts w:ascii="仿宋" w:hAnsi="仿宋" w:eastAsia="仿宋"/>
          <w:color w:val="000000"/>
          <w:sz w:val="32"/>
          <w:szCs w:val="32"/>
        </w:rPr>
        <w:t>31</w:t>
      </w:r>
      <w:r>
        <w:rPr>
          <w:rFonts w:hint="eastAsia" w:ascii="仿宋" w:hAnsi="仿宋" w:eastAsia="仿宋"/>
          <w:color w:val="000000"/>
          <w:sz w:val="32"/>
          <w:szCs w:val="32"/>
        </w:rPr>
        <w:t>万元，占本年支出合计的100</w:t>
      </w:r>
      <w:r>
        <w:rPr>
          <w:rFonts w:ascii="仿宋" w:hAnsi="仿宋" w:eastAsia="仿宋"/>
          <w:color w:val="000000"/>
          <w:sz w:val="32"/>
          <w:szCs w:val="32"/>
        </w:rPr>
        <w:t>%</w:t>
      </w:r>
      <w:r>
        <w:rPr>
          <w:rFonts w:hint="eastAsia" w:ascii="仿宋" w:hAnsi="仿宋" w:eastAsia="仿宋"/>
          <w:color w:val="000000"/>
          <w:sz w:val="32"/>
          <w:szCs w:val="32"/>
        </w:rPr>
        <w:t>。与</w:t>
      </w:r>
      <w:r>
        <w:rPr>
          <w:rFonts w:ascii="仿宋" w:hAnsi="仿宋" w:eastAsia="仿宋"/>
          <w:color w:val="000000"/>
          <w:sz w:val="32"/>
          <w:szCs w:val="32"/>
        </w:rPr>
        <w:t>201</w:t>
      </w:r>
      <w:r>
        <w:rPr>
          <w:rFonts w:hint="eastAsia" w:ascii="仿宋" w:hAnsi="仿宋" w:eastAsia="仿宋"/>
          <w:color w:val="000000"/>
          <w:sz w:val="32"/>
          <w:szCs w:val="32"/>
        </w:rPr>
        <w:t>7年相比，一般公共预算财政拨减少123.53万元，下降8</w:t>
      </w:r>
      <w:r>
        <w:rPr>
          <w:rFonts w:ascii="仿宋" w:hAnsi="仿宋" w:eastAsia="仿宋"/>
          <w:color w:val="000000"/>
          <w:sz w:val="32"/>
          <w:szCs w:val="32"/>
        </w:rPr>
        <w:t>%</w:t>
      </w:r>
      <w:r>
        <w:rPr>
          <w:rFonts w:hint="eastAsia" w:ascii="仿宋" w:hAnsi="仿宋" w:eastAsia="仿宋"/>
          <w:color w:val="000000"/>
          <w:sz w:val="32"/>
          <w:szCs w:val="32"/>
        </w:rPr>
        <w:t>。主要变动原因是2017年我办新购公务用车3辆；厉行节约。</w:t>
      </w:r>
    </w:p>
    <w:p>
      <w:pPr>
        <w:spacing w:line="600" w:lineRule="exact"/>
        <w:ind w:firstLine="643" w:firstLineChars="200"/>
        <w:outlineLvl w:val="2"/>
        <w:rPr>
          <w:rFonts w:ascii="仿宋" w:hAnsi="仿宋" w:eastAsia="仿宋"/>
          <w:b/>
          <w:color w:val="000000"/>
          <w:sz w:val="32"/>
          <w:szCs w:val="32"/>
        </w:rPr>
      </w:pPr>
      <w:bookmarkStart w:id="35" w:name="_Toc15377211"/>
      <w:r>
        <w:rPr>
          <w:rFonts w:hint="eastAsia" w:ascii="仿宋" w:hAnsi="仿宋" w:eastAsia="仿宋"/>
          <w:b/>
          <w:color w:val="000000"/>
          <w:sz w:val="32"/>
          <w:szCs w:val="32"/>
        </w:rPr>
        <w:t>（二）一般公共预算财政拨款支出决算结构情况</w:t>
      </w:r>
      <w:bookmarkEnd w:id="35"/>
    </w:p>
    <w:p>
      <w:pPr>
        <w:spacing w:line="600" w:lineRule="exact"/>
        <w:ind w:firstLine="640"/>
        <w:rPr>
          <w:rFonts w:ascii="仿宋" w:hAnsi="仿宋" w:eastAsia="仿宋"/>
          <w:color w:val="000000" w:themeColor="text1"/>
          <w:sz w:val="32"/>
          <w:szCs w:val="32"/>
        </w:rPr>
      </w:pPr>
      <w:r>
        <w:rPr>
          <w:rFonts w:ascii="仿宋" w:hAnsi="仿宋" w:eastAsia="仿宋"/>
          <w:color w:val="000000"/>
          <w:sz w:val="32"/>
          <w:szCs w:val="32"/>
        </w:rPr>
        <w:t>201</w:t>
      </w:r>
      <w:r>
        <w:rPr>
          <w:rFonts w:hint="eastAsia" w:ascii="仿宋" w:hAnsi="仿宋" w:eastAsia="仿宋"/>
          <w:color w:val="000000"/>
          <w:sz w:val="32"/>
          <w:szCs w:val="32"/>
        </w:rPr>
        <w:t>8年一般公共预算财</w:t>
      </w:r>
      <w:r>
        <w:rPr>
          <w:rFonts w:hint="eastAsia" w:ascii="仿宋" w:hAnsi="仿宋" w:eastAsia="仿宋"/>
          <w:color w:val="000000" w:themeColor="text1"/>
          <w:sz w:val="32"/>
          <w:szCs w:val="32"/>
        </w:rPr>
        <w:t>政拨款支出</w:t>
      </w:r>
      <w:r>
        <w:rPr>
          <w:rFonts w:ascii="仿宋" w:hAnsi="仿宋" w:eastAsia="仿宋"/>
          <w:color w:val="000000"/>
          <w:sz w:val="32"/>
          <w:szCs w:val="32"/>
        </w:rPr>
        <w:t>1422</w:t>
      </w:r>
      <w:r>
        <w:rPr>
          <w:rFonts w:hint="eastAsia" w:ascii="仿宋" w:hAnsi="仿宋" w:eastAsia="仿宋"/>
          <w:color w:val="000000"/>
          <w:sz w:val="32"/>
          <w:szCs w:val="32"/>
        </w:rPr>
        <w:t>.</w:t>
      </w:r>
      <w:r>
        <w:rPr>
          <w:rFonts w:ascii="仿宋" w:hAnsi="仿宋" w:eastAsia="仿宋"/>
          <w:color w:val="000000"/>
          <w:sz w:val="32"/>
          <w:szCs w:val="32"/>
        </w:rPr>
        <w:t>31</w:t>
      </w:r>
      <w:r>
        <w:rPr>
          <w:rFonts w:hint="eastAsia" w:ascii="仿宋" w:hAnsi="仿宋" w:eastAsia="仿宋"/>
          <w:color w:val="000000" w:themeColor="text1"/>
          <w:sz w:val="32"/>
          <w:szCs w:val="32"/>
        </w:rPr>
        <w:t>万元，主要用于以下方面</w:t>
      </w:r>
      <w:r>
        <w:rPr>
          <w:rFonts w:ascii="仿宋" w:hAnsi="仿宋" w:eastAsia="仿宋"/>
          <w:color w:val="000000" w:themeColor="text1"/>
          <w:sz w:val="32"/>
          <w:szCs w:val="32"/>
        </w:rPr>
        <w:t>:</w:t>
      </w:r>
      <w:r>
        <w:rPr>
          <w:rFonts w:hint="eastAsia" w:ascii="仿宋" w:hAnsi="仿宋" w:eastAsia="仿宋"/>
          <w:b/>
          <w:color w:val="000000" w:themeColor="text1"/>
          <w:sz w:val="32"/>
          <w:szCs w:val="32"/>
        </w:rPr>
        <w:t>一般公共服务（类）</w:t>
      </w:r>
      <w:r>
        <w:rPr>
          <w:rFonts w:hint="eastAsia" w:ascii="仿宋" w:hAnsi="仿宋" w:eastAsia="仿宋"/>
          <w:color w:val="000000" w:themeColor="text1"/>
          <w:sz w:val="32"/>
          <w:szCs w:val="32"/>
        </w:rPr>
        <w:t>支出</w:t>
      </w:r>
      <w:r>
        <w:rPr>
          <w:rFonts w:ascii="仿宋" w:hAnsi="仿宋" w:eastAsia="仿宋"/>
          <w:color w:val="000000" w:themeColor="text1"/>
          <w:sz w:val="32"/>
          <w:szCs w:val="32"/>
        </w:rPr>
        <w:t>1157</w:t>
      </w:r>
      <w:r>
        <w:rPr>
          <w:rFonts w:hint="eastAsia" w:ascii="仿宋" w:hAnsi="仿宋" w:eastAsia="仿宋"/>
          <w:color w:val="000000" w:themeColor="text1"/>
          <w:sz w:val="32"/>
          <w:szCs w:val="32"/>
        </w:rPr>
        <w:t>.</w:t>
      </w:r>
      <w:r>
        <w:rPr>
          <w:rFonts w:ascii="仿宋" w:hAnsi="仿宋" w:eastAsia="仿宋"/>
          <w:color w:val="000000" w:themeColor="text1"/>
          <w:sz w:val="32"/>
          <w:szCs w:val="32"/>
        </w:rPr>
        <w:t>2</w:t>
      </w:r>
      <w:r>
        <w:rPr>
          <w:rFonts w:hint="eastAsia" w:ascii="仿宋" w:hAnsi="仿宋" w:eastAsia="仿宋"/>
          <w:color w:val="000000" w:themeColor="text1"/>
          <w:sz w:val="32"/>
          <w:szCs w:val="32"/>
        </w:rPr>
        <w:t>5万元，占81</w:t>
      </w:r>
      <w:r>
        <w:rPr>
          <w:rFonts w:ascii="仿宋" w:hAnsi="仿宋" w:eastAsia="仿宋"/>
          <w:color w:val="000000" w:themeColor="text1"/>
          <w:sz w:val="32"/>
          <w:szCs w:val="32"/>
        </w:rPr>
        <w:t>%</w:t>
      </w:r>
      <w:r>
        <w:rPr>
          <w:rFonts w:hint="eastAsia" w:ascii="仿宋" w:hAnsi="仿宋" w:eastAsia="仿宋"/>
          <w:color w:val="000000" w:themeColor="text1"/>
          <w:sz w:val="32"/>
          <w:szCs w:val="32"/>
        </w:rPr>
        <w:t>；</w:t>
      </w:r>
      <w:r>
        <w:rPr>
          <w:rFonts w:hint="eastAsia" w:ascii="仿宋" w:hAnsi="仿宋" w:eastAsia="仿宋"/>
          <w:b/>
          <w:color w:val="000000" w:themeColor="text1"/>
          <w:sz w:val="32"/>
          <w:szCs w:val="32"/>
        </w:rPr>
        <w:t>社会保障和就业（类）</w:t>
      </w:r>
      <w:r>
        <w:rPr>
          <w:rFonts w:hint="eastAsia" w:ascii="仿宋" w:hAnsi="仿宋" w:eastAsia="仿宋"/>
          <w:color w:val="000000" w:themeColor="text1"/>
          <w:sz w:val="32"/>
          <w:szCs w:val="32"/>
        </w:rPr>
        <w:t>支出</w:t>
      </w:r>
      <w:r>
        <w:rPr>
          <w:rFonts w:ascii="仿宋" w:hAnsi="仿宋" w:eastAsia="仿宋"/>
          <w:color w:val="000000" w:themeColor="text1"/>
          <w:sz w:val="32"/>
          <w:szCs w:val="32"/>
        </w:rPr>
        <w:t>158</w:t>
      </w:r>
      <w:r>
        <w:rPr>
          <w:rFonts w:hint="eastAsia" w:ascii="仿宋" w:hAnsi="仿宋" w:eastAsia="仿宋"/>
          <w:color w:val="000000" w:themeColor="text1"/>
          <w:sz w:val="32"/>
          <w:szCs w:val="32"/>
        </w:rPr>
        <w:t>.</w:t>
      </w:r>
      <w:r>
        <w:rPr>
          <w:rFonts w:ascii="仿宋" w:hAnsi="仿宋" w:eastAsia="仿宋"/>
          <w:color w:val="000000" w:themeColor="text1"/>
          <w:sz w:val="32"/>
          <w:szCs w:val="32"/>
        </w:rPr>
        <w:t>05</w:t>
      </w:r>
      <w:r>
        <w:rPr>
          <w:rFonts w:hint="eastAsia" w:ascii="仿宋" w:hAnsi="仿宋" w:eastAsia="仿宋"/>
          <w:color w:val="000000" w:themeColor="text1"/>
          <w:sz w:val="32"/>
          <w:szCs w:val="32"/>
        </w:rPr>
        <w:t>万元，占11</w:t>
      </w:r>
      <w:r>
        <w:rPr>
          <w:rFonts w:ascii="仿宋" w:hAnsi="仿宋" w:eastAsia="仿宋"/>
          <w:color w:val="000000" w:themeColor="text1"/>
          <w:sz w:val="32"/>
          <w:szCs w:val="32"/>
        </w:rPr>
        <w:t>%</w:t>
      </w:r>
      <w:r>
        <w:rPr>
          <w:rFonts w:hint="eastAsia" w:ascii="仿宋" w:hAnsi="仿宋" w:eastAsia="仿宋"/>
          <w:color w:val="000000" w:themeColor="text1"/>
          <w:sz w:val="32"/>
          <w:szCs w:val="32"/>
        </w:rPr>
        <w:t>；医疗卫生支出</w:t>
      </w:r>
      <w:r>
        <w:rPr>
          <w:rFonts w:ascii="仿宋" w:hAnsi="仿宋" w:eastAsia="仿宋"/>
          <w:color w:val="000000" w:themeColor="text1"/>
          <w:sz w:val="32"/>
          <w:szCs w:val="32"/>
        </w:rPr>
        <w:t>41</w:t>
      </w:r>
      <w:r>
        <w:rPr>
          <w:rFonts w:hint="eastAsia" w:ascii="仿宋" w:hAnsi="仿宋" w:eastAsia="仿宋"/>
          <w:color w:val="000000" w:themeColor="text1"/>
          <w:sz w:val="32"/>
          <w:szCs w:val="32"/>
        </w:rPr>
        <w:t>.</w:t>
      </w:r>
      <w:r>
        <w:rPr>
          <w:rFonts w:ascii="仿宋" w:hAnsi="仿宋" w:eastAsia="仿宋"/>
          <w:color w:val="000000" w:themeColor="text1"/>
          <w:sz w:val="32"/>
          <w:szCs w:val="32"/>
        </w:rPr>
        <w:t>32</w:t>
      </w:r>
      <w:r>
        <w:rPr>
          <w:rFonts w:hint="eastAsia" w:ascii="仿宋" w:hAnsi="仿宋" w:eastAsia="仿宋"/>
          <w:color w:val="000000" w:themeColor="text1"/>
          <w:sz w:val="32"/>
          <w:szCs w:val="32"/>
        </w:rPr>
        <w:t>万元，占3</w:t>
      </w:r>
      <w:r>
        <w:rPr>
          <w:rFonts w:ascii="仿宋" w:hAnsi="仿宋" w:eastAsia="仿宋"/>
          <w:color w:val="000000" w:themeColor="text1"/>
          <w:sz w:val="32"/>
          <w:szCs w:val="32"/>
        </w:rPr>
        <w:t>%</w:t>
      </w:r>
      <w:r>
        <w:rPr>
          <w:rFonts w:hint="eastAsia" w:ascii="仿宋" w:hAnsi="仿宋" w:eastAsia="仿宋"/>
          <w:color w:val="000000" w:themeColor="text1"/>
          <w:sz w:val="32"/>
          <w:szCs w:val="32"/>
        </w:rPr>
        <w:t>；住房保障支出</w:t>
      </w:r>
      <w:r>
        <w:rPr>
          <w:rFonts w:ascii="仿宋" w:hAnsi="仿宋" w:eastAsia="仿宋"/>
          <w:color w:val="000000" w:themeColor="text1"/>
          <w:sz w:val="32"/>
          <w:szCs w:val="32"/>
        </w:rPr>
        <w:t>65</w:t>
      </w:r>
      <w:r>
        <w:rPr>
          <w:rFonts w:hint="eastAsia" w:ascii="仿宋" w:hAnsi="仿宋" w:eastAsia="仿宋"/>
          <w:color w:val="000000" w:themeColor="text1"/>
          <w:sz w:val="32"/>
          <w:szCs w:val="32"/>
        </w:rPr>
        <w:t>.70万元，占4.6</w:t>
      </w:r>
      <w:r>
        <w:rPr>
          <w:rFonts w:ascii="仿宋" w:hAnsi="仿宋" w:eastAsia="仿宋"/>
          <w:color w:val="000000" w:themeColor="text1"/>
          <w:sz w:val="32"/>
          <w:szCs w:val="32"/>
        </w:rPr>
        <w:t>%</w:t>
      </w:r>
      <w:r>
        <w:rPr>
          <w:rFonts w:hint="eastAsia" w:ascii="仿宋" w:hAnsi="仿宋" w:eastAsia="仿宋"/>
          <w:color w:val="000000" w:themeColor="text1"/>
          <w:sz w:val="32"/>
          <w:szCs w:val="32"/>
        </w:rPr>
        <w:t>.</w:t>
      </w:r>
    </w:p>
    <w:p>
      <w:pPr>
        <w:pStyle w:val="13"/>
        <w:spacing w:after="0" w:line="540" w:lineRule="exact"/>
        <w:ind w:left="0" w:leftChars="0"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一般公共预算财政拨款支出具体情况：</w:t>
      </w:r>
    </w:p>
    <w:p>
      <w:pPr>
        <w:pStyle w:val="13"/>
        <w:spacing w:after="0" w:line="540" w:lineRule="exact"/>
        <w:ind w:left="0" w:leftChars="0"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2010301-行政运行支出</w:t>
      </w:r>
      <w:r>
        <w:rPr>
          <w:rFonts w:ascii="仿宋_GB2312" w:hAnsi="仿宋_GB2312" w:eastAsia="仿宋_GB2312" w:cs="仿宋_GB2312"/>
          <w:sz w:val="32"/>
          <w:szCs w:val="32"/>
        </w:rPr>
        <w:t>963</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6</w:t>
      </w:r>
      <w:r>
        <w:rPr>
          <w:rFonts w:hint="eastAsia" w:ascii="仿宋_GB2312" w:hAnsi="仿宋_GB2312" w:eastAsia="仿宋_GB2312" w:cs="仿宋_GB2312"/>
          <w:sz w:val="32"/>
          <w:szCs w:val="32"/>
        </w:rPr>
        <w:t>2万元，完成预算100%该支出主要用于支付职工工资和维护办公室正常运行。</w:t>
      </w:r>
    </w:p>
    <w:p>
      <w:pPr>
        <w:pStyle w:val="13"/>
        <w:spacing w:after="0" w:line="540" w:lineRule="exact"/>
        <w:ind w:left="0" w:leftChars="0"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2010302-一般行政管理事务30万元，完成预算100%该支出主要用于支付办公室日常办公室运转。</w:t>
      </w:r>
    </w:p>
    <w:p>
      <w:pPr>
        <w:pStyle w:val="13"/>
        <w:spacing w:after="0" w:line="540" w:lineRule="exact"/>
        <w:ind w:left="0" w:leftChars="0"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2080505-机关事业单位基本养老保险缴费支出</w:t>
      </w:r>
      <w:r>
        <w:rPr>
          <w:rFonts w:ascii="仿宋_GB2312" w:hAnsi="仿宋_GB2312" w:eastAsia="仿宋_GB2312" w:cs="仿宋_GB2312"/>
          <w:sz w:val="32"/>
          <w:szCs w:val="32"/>
        </w:rPr>
        <w:t>97</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75</w:t>
      </w:r>
      <w:r>
        <w:rPr>
          <w:rFonts w:hint="eastAsia" w:ascii="仿宋_GB2312" w:hAnsi="仿宋_GB2312" w:eastAsia="仿宋_GB2312" w:cs="仿宋_GB2312"/>
          <w:sz w:val="32"/>
          <w:szCs w:val="32"/>
        </w:rPr>
        <w:t>万元，完成预算100%该支出主要用于支付机关事业单位养老保险缴费支出。</w:t>
      </w:r>
    </w:p>
    <w:p>
      <w:pPr>
        <w:pStyle w:val="13"/>
        <w:spacing w:after="0" w:line="540" w:lineRule="exact"/>
        <w:ind w:left="0" w:leftChars="0"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2080506-机关事业单位职业年金缴费支出</w:t>
      </w:r>
      <w:r>
        <w:rPr>
          <w:rFonts w:ascii="仿宋_GB2312" w:hAnsi="仿宋_GB2312" w:eastAsia="仿宋_GB2312" w:cs="仿宋_GB2312"/>
          <w:sz w:val="32"/>
          <w:szCs w:val="32"/>
        </w:rPr>
        <w:t>39</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10</w:t>
      </w:r>
      <w:r>
        <w:rPr>
          <w:rFonts w:hint="eastAsia" w:ascii="仿宋_GB2312" w:hAnsi="仿宋_GB2312" w:eastAsia="仿宋_GB2312" w:cs="仿宋_GB2312"/>
          <w:sz w:val="32"/>
          <w:szCs w:val="32"/>
        </w:rPr>
        <w:t>元，完成预算100%该支出主要用于支付机关事业单位职业年金缴费支出。</w:t>
      </w:r>
    </w:p>
    <w:p>
      <w:pPr>
        <w:pStyle w:val="13"/>
        <w:spacing w:after="0" w:line="540" w:lineRule="exact"/>
        <w:ind w:left="0" w:leftChars="0"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2101101-行政单位医疗支出17.05万元，完成预算100%该支出主要用于支付职工基本医疗保险缴费。</w:t>
      </w:r>
    </w:p>
    <w:p>
      <w:pPr>
        <w:pStyle w:val="13"/>
        <w:spacing w:after="0" w:line="540" w:lineRule="exact"/>
        <w:ind w:left="0" w:leftChars="0"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2101103- 公务员医疗补助支出6.49万元，完成预算100%该支出主要用于支付公务员医疗补助缴费。</w:t>
      </w:r>
    </w:p>
    <w:p>
      <w:pPr>
        <w:pStyle w:val="13"/>
        <w:spacing w:after="0" w:line="540" w:lineRule="exact"/>
        <w:ind w:left="0" w:leftChars="0"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2210201-住房公积金支出65.7万元，完成预算100%该支出主要用于支付职工住房公积金。</w:t>
      </w:r>
    </w:p>
    <w:p>
      <w:pPr>
        <w:pStyle w:val="13"/>
        <w:spacing w:after="0" w:line="540" w:lineRule="exact"/>
        <w:ind w:left="0" w:leftChars="0"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2080801- 死亡抚恤21.19万元，完成预算100%，决算数与预算数持平，该支出主要用于单位退休干部死亡抚恤金和丧葬费。</w:t>
      </w:r>
    </w:p>
    <w:p>
      <w:pPr>
        <w:rPr>
          <w:rFonts w:ascii="宋体" w:hAnsi="宋体" w:cs="Arial"/>
          <w:b/>
          <w:bCs/>
          <w:color w:val="000000"/>
          <w:kern w:val="0"/>
          <w:sz w:val="32"/>
          <w:szCs w:val="32"/>
        </w:rPr>
      </w:pPr>
      <w:r>
        <w:rPr>
          <w:rFonts w:hint="eastAsia" w:ascii="仿宋_GB2312" w:hAnsi="仿宋_GB2312" w:eastAsia="仿宋_GB2312" w:cs="仿宋_GB2312"/>
          <w:sz w:val="32"/>
          <w:szCs w:val="32"/>
        </w:rPr>
        <w:t>2018年度一般公共预算财政拨款基本支出</w:t>
      </w:r>
      <w:r>
        <w:rPr>
          <w:rFonts w:ascii="宋体" w:hAnsi="宋体" w:cs="Arial"/>
          <w:b/>
          <w:bCs/>
          <w:color w:val="000000"/>
          <w:kern w:val="0"/>
          <w:sz w:val="32"/>
          <w:szCs w:val="32"/>
        </w:rPr>
        <w:t>1371</w:t>
      </w:r>
      <w:r>
        <w:rPr>
          <w:rFonts w:hint="eastAsia" w:ascii="宋体" w:hAnsi="宋体" w:cs="Arial"/>
          <w:b/>
          <w:bCs/>
          <w:color w:val="000000"/>
          <w:kern w:val="0"/>
          <w:sz w:val="32"/>
          <w:szCs w:val="32"/>
        </w:rPr>
        <w:t>.</w:t>
      </w:r>
      <w:r>
        <w:rPr>
          <w:rFonts w:ascii="宋体" w:hAnsi="宋体" w:cs="Arial"/>
          <w:b/>
          <w:bCs/>
          <w:color w:val="000000"/>
          <w:kern w:val="0"/>
          <w:sz w:val="32"/>
          <w:szCs w:val="32"/>
        </w:rPr>
        <w:t>1</w:t>
      </w:r>
      <w:r>
        <w:rPr>
          <w:rFonts w:hint="eastAsia" w:ascii="宋体" w:hAnsi="宋体" w:cs="Arial"/>
          <w:b/>
          <w:bCs/>
          <w:color w:val="000000"/>
          <w:kern w:val="0"/>
          <w:sz w:val="32"/>
          <w:szCs w:val="32"/>
        </w:rPr>
        <w:t>2</w:t>
      </w:r>
      <w:r>
        <w:rPr>
          <w:rFonts w:hint="eastAsia" w:ascii="仿宋_GB2312" w:hAnsi="仿宋_GB2312" w:eastAsia="仿宋_GB2312" w:cs="仿宋_GB2312"/>
          <w:sz w:val="32"/>
          <w:szCs w:val="32"/>
        </w:rPr>
        <w:t>其中：</w:t>
      </w:r>
    </w:p>
    <w:p>
      <w:pPr>
        <w:rPr>
          <w:rFonts w:ascii="宋体" w:hAnsi="宋体" w:cs="Arial"/>
          <w:color w:val="000000"/>
          <w:kern w:val="0"/>
          <w:sz w:val="32"/>
          <w:szCs w:val="32"/>
        </w:rPr>
      </w:pPr>
      <w:r>
        <w:rPr>
          <w:rFonts w:hint="eastAsia" w:ascii="仿宋_GB2312" w:hAnsi="仿宋_GB2312" w:eastAsia="仿宋_GB2312" w:cs="仿宋_GB2312"/>
          <w:sz w:val="32"/>
          <w:szCs w:val="32"/>
        </w:rPr>
        <w:t>人员经费</w:t>
      </w:r>
      <w:r>
        <w:rPr>
          <w:rFonts w:ascii="宋体" w:hAnsi="宋体" w:cs="Arial"/>
          <w:color w:val="000000"/>
          <w:kern w:val="0"/>
          <w:sz w:val="32"/>
          <w:szCs w:val="32"/>
        </w:rPr>
        <w:t>988</w:t>
      </w:r>
      <w:r>
        <w:rPr>
          <w:rFonts w:hint="eastAsia" w:ascii="宋体" w:hAnsi="宋体" w:cs="Arial"/>
          <w:color w:val="000000"/>
          <w:kern w:val="0"/>
          <w:sz w:val="32"/>
          <w:szCs w:val="32"/>
        </w:rPr>
        <w:t>.</w:t>
      </w:r>
      <w:r>
        <w:rPr>
          <w:rFonts w:ascii="宋体" w:hAnsi="宋体" w:cs="Arial"/>
          <w:color w:val="000000"/>
          <w:kern w:val="0"/>
          <w:sz w:val="32"/>
          <w:szCs w:val="32"/>
        </w:rPr>
        <w:t>4</w:t>
      </w:r>
      <w:r>
        <w:rPr>
          <w:rFonts w:hint="eastAsia" w:ascii="宋体" w:hAnsi="宋体" w:cs="Arial"/>
          <w:color w:val="000000"/>
          <w:kern w:val="0"/>
          <w:sz w:val="32"/>
          <w:szCs w:val="32"/>
        </w:rPr>
        <w:t>1万</w:t>
      </w:r>
      <w:r>
        <w:rPr>
          <w:rFonts w:hint="eastAsia" w:ascii="仿宋_GB2312" w:hAnsi="仿宋_GB2312" w:eastAsia="仿宋_GB2312" w:cs="仿宋_GB2312"/>
          <w:sz w:val="32"/>
          <w:szCs w:val="32"/>
        </w:rPr>
        <w:t>元，主要包括：基本工资:</w:t>
      </w:r>
      <w:r>
        <w:t xml:space="preserve"> </w:t>
      </w:r>
      <w:r>
        <w:rPr>
          <w:rFonts w:ascii="仿宋_GB2312" w:hAnsi="仿宋_GB2312" w:eastAsia="仿宋_GB2312" w:cs="仿宋_GB2312"/>
          <w:sz w:val="32"/>
          <w:szCs w:val="32"/>
        </w:rPr>
        <w:t>181</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9万元、津贴补贴：</w:t>
      </w:r>
      <w:r>
        <w:rPr>
          <w:rFonts w:ascii="仿宋_GB2312" w:hAnsi="仿宋_GB2312" w:eastAsia="仿宋_GB2312" w:cs="仿宋_GB2312"/>
          <w:sz w:val="32"/>
          <w:szCs w:val="32"/>
        </w:rPr>
        <w:t>326</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8</w:t>
      </w:r>
      <w:r>
        <w:rPr>
          <w:rFonts w:hint="eastAsia" w:ascii="仿宋_GB2312" w:hAnsi="仿宋_GB2312" w:eastAsia="仿宋_GB2312" w:cs="仿宋_GB2312"/>
          <w:sz w:val="32"/>
          <w:szCs w:val="32"/>
        </w:rPr>
        <w:t>7万元、奖金：</w:t>
      </w:r>
      <w:r>
        <w:rPr>
          <w:rFonts w:ascii="仿宋_GB2312" w:hAnsi="仿宋_GB2312" w:eastAsia="仿宋_GB2312" w:cs="仿宋_GB2312"/>
          <w:sz w:val="32"/>
          <w:szCs w:val="32"/>
        </w:rPr>
        <w:t>210</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73</w:t>
      </w:r>
      <w:r>
        <w:rPr>
          <w:rFonts w:hint="eastAsia" w:ascii="仿宋_GB2312" w:hAnsi="仿宋_GB2312" w:eastAsia="仿宋_GB2312" w:cs="仿宋_GB2312"/>
          <w:sz w:val="32"/>
          <w:szCs w:val="32"/>
        </w:rPr>
        <w:t>万元、机关事业单位基本养老保险缴费：97.75万元、职业年金缴费：39.1元、职工基本医疗保险缴费17.05万元、公务员医疗补助缴费6.49万元、其他社会保障缴费</w:t>
      </w:r>
      <w:r>
        <w:rPr>
          <w:rFonts w:ascii="仿宋_GB2312" w:hAnsi="仿宋_GB2312" w:eastAsia="仿宋_GB2312" w:cs="仿宋_GB2312"/>
          <w:sz w:val="32"/>
          <w:szCs w:val="32"/>
        </w:rPr>
        <w:t>8</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94</w:t>
      </w:r>
      <w:r>
        <w:rPr>
          <w:rFonts w:hint="eastAsia" w:ascii="仿宋_GB2312" w:hAnsi="仿宋_GB2312" w:eastAsia="仿宋_GB2312" w:cs="仿宋_GB2312"/>
          <w:sz w:val="32"/>
          <w:szCs w:val="32"/>
        </w:rPr>
        <w:t>万元、离休费22.83万元，生活补助：4.16万元、奖励金：0.09万元、住房公积金:65.7元。医疗费5.71万元。</w:t>
      </w:r>
    </w:p>
    <w:p>
      <w:pPr>
        <w:pStyle w:val="13"/>
        <w:spacing w:after="0" w:line="540" w:lineRule="exact"/>
        <w:ind w:left="0" w:leftChars="0"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日常公用经费</w:t>
      </w:r>
      <w:r>
        <w:rPr>
          <w:rFonts w:ascii="仿宋_GB2312" w:hAnsi="仿宋_GB2312" w:eastAsia="仿宋_GB2312" w:cs="仿宋_GB2312"/>
          <w:sz w:val="32"/>
          <w:szCs w:val="32"/>
        </w:rPr>
        <w:t>355</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62</w:t>
      </w:r>
      <w:r>
        <w:rPr>
          <w:rFonts w:hint="eastAsia" w:ascii="仿宋_GB2312" w:hAnsi="仿宋_GB2312" w:eastAsia="仿宋_GB2312" w:cs="仿宋_GB2312"/>
          <w:sz w:val="32"/>
          <w:szCs w:val="32"/>
        </w:rPr>
        <w:t>万元，主要包括：办公费：30.38万元、手续费0.28元、取暖费2.56万元，邮电费：17.25万元、差旅费113.71万元、维护费27.9万元，培训费：3.37万元、公务接待费：5.38万元、工会经费：5.01万元、公务用车运行维护费：149.78万元。</w:t>
      </w:r>
    </w:p>
    <w:p>
      <w:pPr>
        <w:pStyle w:val="13"/>
        <w:spacing w:after="0" w:line="540" w:lineRule="exact"/>
        <w:ind w:left="0" w:leftChars="0"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一般公共预算财政拨款项目支出：51.19万元</w:t>
      </w:r>
    </w:p>
    <w:p>
      <w:pPr>
        <w:pStyle w:val="13"/>
        <w:spacing w:after="0" w:line="540" w:lineRule="exact"/>
        <w:ind w:left="0" w:leftChars="0"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2010302-一般行政管理事务支出30万元，主要用于维护办公室正常运行。</w:t>
      </w:r>
    </w:p>
    <w:p>
      <w:pPr>
        <w:pStyle w:val="13"/>
        <w:spacing w:after="0" w:line="540" w:lineRule="exact"/>
        <w:ind w:left="0" w:leftChars="0"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2080801-死亡抚恤支出21.19万元，只要用于退休职工死亡抚恤金、丧葬费。</w:t>
      </w:r>
    </w:p>
    <w:p>
      <w:pPr>
        <w:spacing w:line="600" w:lineRule="exact"/>
        <w:ind w:firstLine="643" w:firstLineChars="200"/>
        <w:outlineLvl w:val="2"/>
        <w:rPr>
          <w:rFonts w:ascii="仿宋" w:hAnsi="仿宋" w:eastAsia="仿宋"/>
          <w:b/>
          <w:color w:val="000000"/>
          <w:sz w:val="32"/>
          <w:szCs w:val="32"/>
        </w:rPr>
      </w:pPr>
      <w:bookmarkStart w:id="36" w:name="_Toc15377212"/>
      <w:r>
        <w:rPr>
          <w:rFonts w:hint="eastAsia" w:ascii="仿宋" w:hAnsi="仿宋" w:eastAsia="仿宋"/>
          <w:b/>
          <w:color w:val="000000"/>
          <w:sz w:val="32"/>
          <w:szCs w:val="32"/>
        </w:rPr>
        <w:t>（三）一般公共预算财政拨款支出决算具体情况</w:t>
      </w:r>
      <w:bookmarkEnd w:id="36"/>
    </w:p>
    <w:p>
      <w:pPr>
        <w:spacing w:line="600" w:lineRule="exact"/>
        <w:ind w:firstLine="643" w:firstLineChars="200"/>
        <w:outlineLvl w:val="2"/>
        <w:rPr>
          <w:rFonts w:ascii="仿宋" w:hAnsi="仿宋" w:eastAsia="仿宋"/>
          <w:color w:val="FF0000"/>
          <w:sz w:val="32"/>
          <w:szCs w:val="32"/>
        </w:rPr>
      </w:pPr>
      <w:bookmarkStart w:id="37" w:name="_Toc15377444"/>
      <w:bookmarkStart w:id="38" w:name="_Toc15377213"/>
      <w:bookmarkStart w:id="39" w:name="_Toc15378460"/>
      <w:r>
        <w:rPr>
          <w:rFonts w:hint="eastAsia" w:ascii="仿宋" w:hAnsi="仿宋" w:eastAsia="仿宋"/>
          <w:b/>
          <w:color w:val="000000" w:themeColor="text1"/>
          <w:sz w:val="32"/>
          <w:szCs w:val="32"/>
        </w:rPr>
        <w:t>2018年般公共预算支出决算数为</w:t>
      </w:r>
      <w:r>
        <w:rPr>
          <w:rFonts w:ascii="宋体" w:hAnsi="宋体" w:cs="Arial"/>
          <w:b/>
          <w:bCs/>
          <w:color w:val="000000"/>
          <w:kern w:val="0"/>
          <w:sz w:val="32"/>
          <w:szCs w:val="32"/>
        </w:rPr>
        <w:t>1371</w:t>
      </w:r>
      <w:r>
        <w:rPr>
          <w:rFonts w:hint="eastAsia" w:ascii="宋体" w:hAnsi="宋体" w:cs="Arial"/>
          <w:b/>
          <w:bCs/>
          <w:color w:val="000000"/>
          <w:kern w:val="0"/>
          <w:sz w:val="32"/>
          <w:szCs w:val="32"/>
        </w:rPr>
        <w:t>.</w:t>
      </w:r>
      <w:r>
        <w:rPr>
          <w:rFonts w:ascii="宋体" w:hAnsi="宋体" w:cs="Arial"/>
          <w:b/>
          <w:bCs/>
          <w:color w:val="000000"/>
          <w:kern w:val="0"/>
          <w:sz w:val="32"/>
          <w:szCs w:val="32"/>
        </w:rPr>
        <w:t>1</w:t>
      </w:r>
      <w:r>
        <w:rPr>
          <w:rFonts w:hint="eastAsia" w:ascii="宋体" w:hAnsi="宋体" w:cs="Arial"/>
          <w:b/>
          <w:bCs/>
          <w:color w:val="000000"/>
          <w:kern w:val="0"/>
          <w:sz w:val="32"/>
          <w:szCs w:val="32"/>
        </w:rPr>
        <w:t>2</w:t>
      </w:r>
      <w:r>
        <w:rPr>
          <w:rFonts w:hint="eastAsia" w:ascii="仿宋" w:hAnsi="仿宋" w:eastAsia="仿宋"/>
          <w:color w:val="000000" w:themeColor="text1"/>
          <w:sz w:val="32"/>
          <w:szCs w:val="32"/>
        </w:rPr>
        <w:t>，</w:t>
      </w:r>
      <w:r>
        <w:rPr>
          <w:rStyle w:val="16"/>
          <w:rFonts w:hint="eastAsia" w:ascii="仿宋" w:hAnsi="仿宋" w:eastAsia="仿宋"/>
          <w:bCs/>
          <w:color w:val="000000" w:themeColor="text1"/>
          <w:sz w:val="32"/>
          <w:szCs w:val="32"/>
        </w:rPr>
        <w:t>完成</w:t>
      </w:r>
      <w:r>
        <w:rPr>
          <w:rStyle w:val="16"/>
          <w:rFonts w:hint="eastAsia" w:ascii="仿宋" w:hAnsi="仿宋" w:eastAsia="仿宋"/>
          <w:bCs/>
          <w:color w:val="000000"/>
          <w:sz w:val="32"/>
          <w:szCs w:val="32"/>
        </w:rPr>
        <w:t>预算100</w:t>
      </w:r>
      <w:r>
        <w:rPr>
          <w:rStyle w:val="16"/>
          <w:rFonts w:ascii="仿宋" w:hAnsi="仿宋" w:eastAsia="仿宋"/>
          <w:bCs/>
          <w:color w:val="000000"/>
          <w:sz w:val="32"/>
          <w:szCs w:val="32"/>
        </w:rPr>
        <w:t>%</w:t>
      </w:r>
      <w:r>
        <w:rPr>
          <w:rStyle w:val="16"/>
          <w:rFonts w:hint="eastAsia" w:ascii="仿宋" w:hAnsi="仿宋" w:eastAsia="仿宋"/>
          <w:bCs/>
          <w:color w:val="000000"/>
          <w:sz w:val="32"/>
          <w:szCs w:val="32"/>
        </w:rPr>
        <w:t>。其中：</w:t>
      </w:r>
      <w:bookmarkEnd w:id="37"/>
      <w:bookmarkEnd w:id="38"/>
      <w:bookmarkEnd w:id="39"/>
    </w:p>
    <w:p>
      <w:pPr>
        <w:spacing w:line="600" w:lineRule="exact"/>
        <w:ind w:firstLine="643" w:firstLineChars="200"/>
        <w:rPr>
          <w:rStyle w:val="16"/>
          <w:rFonts w:ascii="仿宋" w:hAnsi="仿宋" w:eastAsia="仿宋"/>
          <w:b w:val="0"/>
          <w:bCs/>
          <w:color w:val="000000"/>
          <w:sz w:val="32"/>
          <w:szCs w:val="32"/>
        </w:rPr>
      </w:pPr>
      <w:r>
        <w:rPr>
          <w:rStyle w:val="16"/>
          <w:rFonts w:ascii="仿宋" w:hAnsi="仿宋" w:eastAsia="仿宋"/>
          <w:bCs/>
          <w:color w:val="000000"/>
          <w:sz w:val="32"/>
          <w:szCs w:val="32"/>
        </w:rPr>
        <w:t>1.</w:t>
      </w:r>
      <w:r>
        <w:rPr>
          <w:rStyle w:val="16"/>
          <w:rFonts w:hint="eastAsia" w:ascii="仿宋" w:hAnsi="仿宋" w:eastAsia="仿宋"/>
          <w:bCs/>
          <w:color w:val="000000"/>
          <w:sz w:val="32"/>
          <w:szCs w:val="32"/>
        </w:rPr>
        <w:t>一般公共服务2010301-行政运行</w:t>
      </w:r>
      <w:r>
        <w:rPr>
          <w:rStyle w:val="16"/>
          <w:rFonts w:ascii="仿宋" w:hAnsi="仿宋" w:eastAsia="仿宋"/>
          <w:bCs/>
          <w:color w:val="000000"/>
          <w:sz w:val="32"/>
          <w:szCs w:val="32"/>
        </w:rPr>
        <w:t>:</w:t>
      </w:r>
      <w:r>
        <w:rPr>
          <w:rStyle w:val="16"/>
          <w:rFonts w:ascii="仿宋" w:hAnsi="仿宋" w:eastAsia="仿宋"/>
          <w:b w:val="0"/>
          <w:bCs/>
          <w:color w:val="000000"/>
          <w:sz w:val="32"/>
          <w:szCs w:val="32"/>
        </w:rPr>
        <w:t xml:space="preserve"> </w:t>
      </w:r>
      <w:r>
        <w:rPr>
          <w:rStyle w:val="16"/>
          <w:rFonts w:hint="eastAsia" w:ascii="仿宋" w:hAnsi="仿宋" w:eastAsia="仿宋"/>
          <w:b w:val="0"/>
          <w:bCs/>
          <w:color w:val="000000"/>
          <w:sz w:val="32"/>
          <w:szCs w:val="32"/>
        </w:rPr>
        <w:t>支出决算为</w:t>
      </w:r>
      <w:r>
        <w:rPr>
          <w:rFonts w:ascii="仿宋_GB2312" w:hAnsi="仿宋_GB2312" w:eastAsia="仿宋_GB2312" w:cs="仿宋_GB2312"/>
          <w:sz w:val="32"/>
          <w:szCs w:val="32"/>
        </w:rPr>
        <w:t>963</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6</w:t>
      </w:r>
      <w:r>
        <w:rPr>
          <w:rFonts w:hint="eastAsia" w:ascii="仿宋_GB2312" w:hAnsi="仿宋_GB2312" w:eastAsia="仿宋_GB2312" w:cs="仿宋_GB2312"/>
          <w:sz w:val="32"/>
          <w:szCs w:val="32"/>
        </w:rPr>
        <w:t>2</w:t>
      </w:r>
      <w:r>
        <w:rPr>
          <w:rStyle w:val="16"/>
          <w:rFonts w:hint="eastAsia" w:ascii="仿宋" w:hAnsi="仿宋" w:eastAsia="仿宋"/>
          <w:b w:val="0"/>
          <w:bCs/>
          <w:color w:val="000000"/>
          <w:sz w:val="32"/>
          <w:szCs w:val="32"/>
        </w:rPr>
        <w:t>万元，完成预算98</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，决算数小于预算数的主要原因是厉行节约。</w:t>
      </w:r>
    </w:p>
    <w:p>
      <w:pPr>
        <w:pStyle w:val="13"/>
        <w:spacing w:after="0" w:line="540" w:lineRule="exact"/>
        <w:ind w:left="0" w:leftChars="0"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2010301-行政运行支出</w:t>
      </w:r>
      <w:r>
        <w:rPr>
          <w:rFonts w:ascii="仿宋_GB2312" w:hAnsi="仿宋_GB2312" w:eastAsia="仿宋_GB2312" w:cs="仿宋_GB2312"/>
          <w:sz w:val="32"/>
          <w:szCs w:val="32"/>
        </w:rPr>
        <w:t>963</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6</w:t>
      </w:r>
      <w:r>
        <w:rPr>
          <w:rFonts w:hint="eastAsia" w:ascii="仿宋_GB2312" w:hAnsi="仿宋_GB2312" w:eastAsia="仿宋_GB2312" w:cs="仿宋_GB2312"/>
          <w:sz w:val="32"/>
          <w:szCs w:val="32"/>
        </w:rPr>
        <w:t>2万元，完成预算98%，该支出主要用于支付职工工资和维护办公室正常运行。</w:t>
      </w:r>
    </w:p>
    <w:p>
      <w:pPr>
        <w:pStyle w:val="13"/>
        <w:spacing w:after="0" w:line="540" w:lineRule="exact"/>
        <w:ind w:left="0" w:leftChars="0"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2010302-一般行政管理事务30万元，完成预算100%，该支出主要用于支付办公室日常办公室运转。</w:t>
      </w:r>
    </w:p>
    <w:p>
      <w:pPr>
        <w:pStyle w:val="13"/>
        <w:spacing w:after="0" w:line="540" w:lineRule="exact"/>
        <w:ind w:left="0" w:leftChars="0"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2101101-行政单位医疗支出17.05万元，完成预算100%，该支出主要用于支付职工基本医疗保险缴费。</w:t>
      </w:r>
    </w:p>
    <w:p>
      <w:pPr>
        <w:pStyle w:val="13"/>
        <w:spacing w:after="0" w:line="540" w:lineRule="exact"/>
        <w:ind w:left="0" w:leftChars="0"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2101103- 公务员医疗补助支出6.49万元，完成预算100%，该支出主要用于支付公务员医疗补助缴费。</w:t>
      </w:r>
    </w:p>
    <w:p>
      <w:pPr>
        <w:pStyle w:val="13"/>
        <w:spacing w:after="0" w:line="540" w:lineRule="exact"/>
        <w:ind w:left="0" w:leftChars="0"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2210201-住房公积金支出65.7万元，完成预算100%，该支出主要用于支付职工住房公积金。</w:t>
      </w:r>
    </w:p>
    <w:p>
      <w:pPr>
        <w:spacing w:line="600" w:lineRule="exact"/>
        <w:ind w:firstLine="643" w:firstLineChars="200"/>
        <w:rPr>
          <w:rStyle w:val="16"/>
          <w:rFonts w:ascii="仿宋" w:hAnsi="仿宋" w:eastAsia="仿宋"/>
          <w:b w:val="0"/>
          <w:bCs/>
          <w:color w:val="000000"/>
          <w:sz w:val="32"/>
          <w:szCs w:val="32"/>
        </w:rPr>
      </w:pPr>
      <w:r>
        <w:rPr>
          <w:rStyle w:val="16"/>
          <w:rFonts w:ascii="仿宋" w:hAnsi="仿宋" w:eastAsia="仿宋"/>
          <w:bCs/>
          <w:color w:val="000000"/>
          <w:sz w:val="32"/>
          <w:szCs w:val="32"/>
        </w:rPr>
        <w:t>5.</w:t>
      </w:r>
      <w:r>
        <w:rPr>
          <w:rStyle w:val="16"/>
          <w:rFonts w:hint="eastAsia" w:ascii="仿宋" w:hAnsi="仿宋" w:eastAsia="仿宋"/>
          <w:bCs/>
          <w:color w:val="000000"/>
          <w:sz w:val="32"/>
          <w:szCs w:val="32"/>
        </w:rPr>
        <w:t>社会保障和就业208-社会保障就业支出</w:t>
      </w:r>
      <w:r>
        <w:rPr>
          <w:rStyle w:val="16"/>
          <w:rFonts w:ascii="仿宋" w:hAnsi="仿宋" w:eastAsia="仿宋"/>
          <w:bCs/>
          <w:color w:val="000000"/>
          <w:sz w:val="32"/>
          <w:szCs w:val="32"/>
        </w:rPr>
        <w:t>:</w:t>
      </w:r>
      <w:r>
        <w:rPr>
          <w:rStyle w:val="16"/>
          <w:rFonts w:ascii="仿宋" w:hAnsi="仿宋" w:eastAsia="仿宋"/>
          <w:b w:val="0"/>
          <w:bCs/>
          <w:color w:val="000000"/>
          <w:sz w:val="32"/>
          <w:szCs w:val="32"/>
        </w:rPr>
        <w:t xml:space="preserve"> </w:t>
      </w:r>
      <w:r>
        <w:rPr>
          <w:rStyle w:val="16"/>
          <w:rFonts w:hint="eastAsia" w:ascii="仿宋" w:hAnsi="仿宋" w:eastAsia="仿宋"/>
          <w:b w:val="0"/>
          <w:bCs/>
          <w:color w:val="000000"/>
          <w:sz w:val="32"/>
          <w:szCs w:val="32"/>
        </w:rPr>
        <w:t>支出决算为158.0万元，完成预算100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，决算数等于预算数的主要原因是厉行节约。</w:t>
      </w:r>
    </w:p>
    <w:p>
      <w:pPr>
        <w:pStyle w:val="13"/>
        <w:spacing w:after="0" w:line="540" w:lineRule="exact"/>
        <w:ind w:left="0" w:leftChars="0"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2080505-机关事业单位基本养老保险缴费支出97.75元，完成预算100%，该支出主要用于支付机关事业单位养老保险缴费支出。</w:t>
      </w:r>
    </w:p>
    <w:p>
      <w:pPr>
        <w:pStyle w:val="13"/>
        <w:spacing w:after="0" w:line="540" w:lineRule="exact"/>
        <w:ind w:left="0" w:leftChars="0"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2080506-机关事业单位职业年金缴费支出39.10元，完成预算100%，该支出主要用于支付机关事业单位职业年金缴费支出。</w:t>
      </w:r>
    </w:p>
    <w:p>
      <w:pPr>
        <w:pStyle w:val="13"/>
        <w:spacing w:after="0" w:line="540" w:lineRule="exact"/>
        <w:ind w:left="0" w:leftChars="0"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2080801- 死亡抚恤21.19万元，完成预算100%，该支出主要用于单位退休干部死亡抚恤金和丧葬费。</w:t>
      </w:r>
    </w:p>
    <w:p>
      <w:pPr>
        <w:spacing w:line="600" w:lineRule="exact"/>
        <w:ind w:firstLine="643" w:firstLineChars="200"/>
        <w:rPr>
          <w:rFonts w:ascii="仿宋" w:hAnsi="仿宋" w:eastAsia="仿宋"/>
          <w:b/>
          <w:color w:val="000000"/>
          <w:sz w:val="32"/>
          <w:szCs w:val="32"/>
        </w:rPr>
      </w:pPr>
    </w:p>
    <w:p>
      <w:pPr>
        <w:rPr>
          <w:rFonts w:ascii="宋体" w:hAnsi="宋体" w:cs="Arial"/>
          <w:color w:val="000000"/>
          <w:kern w:val="0"/>
          <w:sz w:val="32"/>
          <w:szCs w:val="32"/>
        </w:rPr>
      </w:pPr>
      <w:r>
        <w:rPr>
          <w:rStyle w:val="16"/>
          <w:rFonts w:hint="eastAsia" w:ascii="仿宋_GB2312" w:hAnsi="仿宋" w:eastAsia="仿宋_GB2312"/>
          <w:bCs/>
          <w:color w:val="000000"/>
          <w:sz w:val="32"/>
          <w:szCs w:val="32"/>
        </w:rPr>
        <w:t>6.医疗卫生与计划生育210</w:t>
      </w:r>
      <w:r>
        <w:rPr>
          <w:rFonts w:hint="eastAsia" w:ascii="仿宋_GB2312" w:hAnsi="宋体" w:eastAsia="仿宋_GB2312" w:cs="Arial"/>
          <w:color w:val="000000"/>
          <w:kern w:val="0"/>
          <w:sz w:val="32"/>
          <w:szCs w:val="32"/>
        </w:rPr>
        <w:t>医疗卫生与计划生育支出</w:t>
      </w:r>
      <w:r>
        <w:rPr>
          <w:rStyle w:val="16"/>
          <w:rFonts w:hint="eastAsia" w:ascii="仿宋_GB2312" w:hAnsi="仿宋" w:eastAsia="仿宋_GB2312"/>
          <w:b w:val="0"/>
          <w:bCs/>
          <w:color w:val="000000"/>
          <w:sz w:val="32"/>
          <w:szCs w:val="32"/>
        </w:rPr>
        <w:t>支出决</w:t>
      </w:r>
      <w:r>
        <w:rPr>
          <w:rStyle w:val="16"/>
          <w:rFonts w:hint="eastAsia" w:ascii="仿宋" w:hAnsi="仿宋" w:eastAsia="仿宋"/>
          <w:b w:val="0"/>
          <w:bCs/>
          <w:color w:val="000000"/>
          <w:sz w:val="32"/>
          <w:szCs w:val="32"/>
        </w:rPr>
        <w:t>算为41.32万元，完成预算100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，决算数等于预算数的主要原因是厉行节约。</w:t>
      </w:r>
    </w:p>
    <w:p>
      <w:pPr>
        <w:pStyle w:val="13"/>
        <w:spacing w:after="0" w:line="540" w:lineRule="exact"/>
        <w:ind w:left="0" w:leftChars="0"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2101101-行政单位医疗支出17.05万元，完成预算100%，该支出主要用于支付职工基本医疗保险缴费。</w:t>
      </w:r>
    </w:p>
    <w:p>
      <w:pPr>
        <w:pStyle w:val="13"/>
        <w:spacing w:after="0" w:line="540" w:lineRule="exact"/>
        <w:ind w:left="0" w:leftChars="0"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2101103- 公务员医疗补助支出6.49万元，完成预算100%，该支出主要用于支付公务员医疗补助缴费。</w:t>
      </w:r>
    </w:p>
    <w:p>
      <w:pPr>
        <w:tabs>
          <w:tab w:val="right" w:pos="8306"/>
        </w:tabs>
        <w:spacing w:line="600" w:lineRule="exact"/>
        <w:ind w:firstLine="640"/>
        <w:outlineLvl w:val="1"/>
        <w:rPr>
          <w:rStyle w:val="27"/>
        </w:rPr>
      </w:pPr>
      <w:bookmarkStart w:id="40" w:name="_Toc15377214"/>
      <w:bookmarkStart w:id="41" w:name="_Toc15396608"/>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7"/>
          <w:rFonts w:hint="eastAsia" w:ascii="黑体" w:hAnsi="黑体" w:eastAsia="黑体"/>
          <w:b w:val="0"/>
        </w:rPr>
        <w:t>般公共预算财政拨款基本支出决算情况说明</w:t>
      </w:r>
      <w:bookmarkEnd w:id="40"/>
      <w:bookmarkEnd w:id="41"/>
      <w:r>
        <w:rPr>
          <w:rStyle w:val="27"/>
          <w:rFonts w:ascii="黑体" w:hAnsi="黑体" w:eastAsia="黑体"/>
          <w:b w:val="0"/>
        </w:rPr>
        <w:tab/>
      </w:r>
    </w:p>
    <w:p>
      <w:pPr>
        <w:spacing w:line="600" w:lineRule="exact"/>
        <w:ind w:firstLine="645"/>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8年一般公共预算财政拨款基本支出</w:t>
      </w:r>
      <w:r>
        <w:rPr>
          <w:rFonts w:ascii="仿宋" w:hAnsi="仿宋" w:eastAsia="仿宋"/>
          <w:color w:val="000000"/>
          <w:sz w:val="32"/>
          <w:szCs w:val="32"/>
        </w:rPr>
        <w:t>1371</w:t>
      </w:r>
      <w:r>
        <w:rPr>
          <w:rFonts w:hint="eastAsia" w:ascii="仿宋" w:hAnsi="仿宋" w:eastAsia="仿宋"/>
          <w:color w:val="000000"/>
          <w:sz w:val="32"/>
          <w:szCs w:val="32"/>
        </w:rPr>
        <w:t>.</w:t>
      </w:r>
      <w:r>
        <w:rPr>
          <w:rFonts w:ascii="仿宋" w:hAnsi="仿宋" w:eastAsia="仿宋"/>
          <w:color w:val="000000"/>
          <w:sz w:val="32"/>
          <w:szCs w:val="32"/>
        </w:rPr>
        <w:t>1</w:t>
      </w:r>
      <w:r>
        <w:rPr>
          <w:rFonts w:hint="eastAsia" w:ascii="仿宋" w:hAnsi="仿宋" w:eastAsia="仿宋"/>
          <w:color w:val="000000"/>
          <w:sz w:val="32"/>
          <w:szCs w:val="32"/>
        </w:rPr>
        <w:t>2万元，其中：</w:t>
      </w:r>
    </w:p>
    <w:p>
      <w:pPr>
        <w:rPr>
          <w:rFonts w:ascii="宋体" w:hAnsi="宋体" w:cs="Arial"/>
          <w:color w:val="000000"/>
          <w:kern w:val="0"/>
          <w:sz w:val="32"/>
          <w:szCs w:val="32"/>
        </w:rPr>
      </w:pPr>
      <w:r>
        <w:rPr>
          <w:rFonts w:hint="eastAsia" w:ascii="仿宋" w:hAnsi="仿宋" w:eastAsia="仿宋"/>
          <w:color w:val="000000"/>
          <w:sz w:val="32"/>
          <w:szCs w:val="32"/>
        </w:rPr>
        <w:t>人员经费1015.49万元，主要包括：</w:t>
      </w:r>
      <w:r>
        <w:rPr>
          <w:rFonts w:hint="eastAsia" w:ascii="仿宋_GB2312" w:hAnsi="仿宋_GB2312" w:eastAsia="仿宋_GB2312" w:cs="仿宋_GB2312"/>
          <w:sz w:val="32"/>
          <w:szCs w:val="32"/>
        </w:rPr>
        <w:t>基本工资:</w:t>
      </w:r>
      <w:r>
        <w:t xml:space="preserve"> </w:t>
      </w:r>
      <w:r>
        <w:rPr>
          <w:rFonts w:ascii="仿宋_GB2312" w:hAnsi="仿宋_GB2312" w:eastAsia="仿宋_GB2312" w:cs="仿宋_GB2312"/>
          <w:sz w:val="32"/>
          <w:szCs w:val="32"/>
        </w:rPr>
        <w:t>181</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9万元、津贴补贴：</w:t>
      </w:r>
      <w:r>
        <w:rPr>
          <w:rFonts w:ascii="仿宋_GB2312" w:hAnsi="仿宋_GB2312" w:eastAsia="仿宋_GB2312" w:cs="仿宋_GB2312"/>
          <w:sz w:val="32"/>
          <w:szCs w:val="32"/>
        </w:rPr>
        <w:t>326</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8</w:t>
      </w:r>
      <w:r>
        <w:rPr>
          <w:rFonts w:hint="eastAsia" w:ascii="仿宋_GB2312" w:hAnsi="仿宋_GB2312" w:eastAsia="仿宋_GB2312" w:cs="仿宋_GB2312"/>
          <w:sz w:val="32"/>
          <w:szCs w:val="32"/>
        </w:rPr>
        <w:t>7万元、奖金：</w:t>
      </w:r>
      <w:r>
        <w:rPr>
          <w:rFonts w:ascii="仿宋_GB2312" w:hAnsi="仿宋_GB2312" w:eastAsia="仿宋_GB2312" w:cs="仿宋_GB2312"/>
          <w:sz w:val="32"/>
          <w:szCs w:val="32"/>
        </w:rPr>
        <w:t>210</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73</w:t>
      </w:r>
      <w:r>
        <w:rPr>
          <w:rFonts w:hint="eastAsia" w:ascii="仿宋_GB2312" w:hAnsi="仿宋_GB2312" w:eastAsia="仿宋_GB2312" w:cs="仿宋_GB2312"/>
          <w:sz w:val="32"/>
          <w:szCs w:val="32"/>
        </w:rPr>
        <w:t>万元、机关事业单位基本养老保险缴费：97.75万元、职业年金缴费：39.1元、职工基本医疗保险缴费17.05万元、公务员医疗补助缴费6.49万元、其他社会保障缴费</w:t>
      </w:r>
      <w:r>
        <w:rPr>
          <w:rFonts w:ascii="仿宋_GB2312" w:hAnsi="仿宋_GB2312" w:eastAsia="仿宋_GB2312" w:cs="仿宋_GB2312"/>
          <w:sz w:val="32"/>
          <w:szCs w:val="32"/>
        </w:rPr>
        <w:t>8</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94</w:t>
      </w:r>
      <w:r>
        <w:rPr>
          <w:rFonts w:hint="eastAsia" w:ascii="仿宋_GB2312" w:hAnsi="仿宋_GB2312" w:eastAsia="仿宋_GB2312" w:cs="仿宋_GB2312"/>
          <w:sz w:val="32"/>
          <w:szCs w:val="32"/>
        </w:rPr>
        <w:t>万元、离休费22.83万元，生活补助：4.16万元、奖励金：0.09万元、住房公积金:65.7元。医疗费5.71万元。</w:t>
      </w:r>
    </w:p>
    <w:p>
      <w:pPr>
        <w:pStyle w:val="13"/>
        <w:spacing w:after="0" w:line="540" w:lineRule="exact"/>
        <w:ind w:left="0" w:leftChars="0" w:firstLine="640"/>
        <w:rPr>
          <w:rFonts w:ascii="仿宋_GB2312" w:hAnsi="仿宋_GB2312" w:eastAsia="仿宋_GB2312" w:cs="仿宋_GB2312"/>
          <w:sz w:val="32"/>
          <w:szCs w:val="32"/>
        </w:rPr>
      </w:pPr>
      <w:r>
        <w:rPr>
          <w:rFonts w:hint="eastAsia" w:ascii="仿宋" w:hAnsi="仿宋" w:eastAsia="仿宋"/>
          <w:color w:val="000000"/>
          <w:sz w:val="32"/>
          <w:szCs w:val="32"/>
        </w:rPr>
        <w:t>公用经费355.62万元，主要包括：</w:t>
      </w:r>
      <w:bookmarkStart w:id="42" w:name="_Toc15377215"/>
      <w:bookmarkStart w:id="43" w:name="_Toc15396609"/>
      <w:r>
        <w:rPr>
          <w:rFonts w:hint="eastAsia" w:ascii="仿宋_GB2312" w:hAnsi="仿宋_GB2312" w:eastAsia="仿宋_GB2312" w:cs="仿宋_GB2312"/>
          <w:sz w:val="32"/>
          <w:szCs w:val="32"/>
        </w:rPr>
        <w:t>办公费：30.38万元、手续费0.28元、取暖费2.56万元，邮电费：17.25万元、差旅费113.71万元、维护费27.9万元，培训费：3.37万元、公务接待费：5.38万元、工会经费：5.01万元、公务用车运行维护费：149.78万元。</w:t>
      </w:r>
    </w:p>
    <w:p>
      <w:pPr>
        <w:spacing w:line="600" w:lineRule="exact"/>
        <w:ind w:firstLine="645"/>
        <w:rPr>
          <w:rStyle w:val="27"/>
          <w:rFonts w:ascii="黑体" w:hAnsi="黑体" w:eastAsia="黑体"/>
          <w:b w:val="0"/>
        </w:rPr>
      </w:pPr>
      <w:r>
        <w:rPr>
          <w:rFonts w:hint="eastAsia" w:ascii="黑体" w:eastAsia="黑体"/>
          <w:color w:val="000000"/>
          <w:sz w:val="32"/>
          <w:szCs w:val="32"/>
        </w:rPr>
        <w:t>七、</w:t>
      </w:r>
      <w:r>
        <w:rPr>
          <w:rStyle w:val="27"/>
          <w:rFonts w:hint="eastAsia" w:ascii="黑体" w:hAnsi="黑体" w:eastAsia="黑体"/>
        </w:rPr>
        <w:t>“</w:t>
      </w:r>
      <w:r>
        <w:rPr>
          <w:rStyle w:val="27"/>
          <w:rFonts w:hint="eastAsia" w:ascii="黑体" w:hAnsi="黑体" w:eastAsia="黑体"/>
          <w:b w:val="0"/>
        </w:rPr>
        <w:t>三公”经费财政拨款支出决算情况说明</w:t>
      </w:r>
      <w:bookmarkEnd w:id="42"/>
      <w:bookmarkEnd w:id="43"/>
    </w:p>
    <w:p>
      <w:pPr>
        <w:spacing w:line="600" w:lineRule="exact"/>
        <w:ind w:firstLine="640"/>
        <w:outlineLvl w:val="2"/>
        <w:rPr>
          <w:rFonts w:ascii="仿宋" w:hAnsi="仿宋" w:eastAsia="仿宋"/>
          <w:b/>
          <w:color w:val="000000"/>
          <w:sz w:val="32"/>
          <w:szCs w:val="32"/>
        </w:rPr>
      </w:pPr>
      <w:bookmarkStart w:id="44" w:name="_Toc15377216"/>
      <w:r>
        <w:rPr>
          <w:rFonts w:hint="eastAsia" w:ascii="仿宋" w:hAnsi="仿宋" w:eastAsia="仿宋"/>
          <w:b/>
          <w:color w:val="000000"/>
          <w:sz w:val="32"/>
          <w:szCs w:val="32"/>
        </w:rPr>
        <w:t>（一）“三公”经费财政拨款支出决算总体情况说明</w:t>
      </w:r>
      <w:bookmarkEnd w:id="44"/>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8年“三公”经费财政拨款支出决算为155.16万元，完成预算100</w:t>
      </w:r>
      <w:r>
        <w:rPr>
          <w:rFonts w:ascii="仿宋" w:hAnsi="仿宋" w:eastAsia="仿宋"/>
          <w:color w:val="000000"/>
          <w:sz w:val="32"/>
          <w:szCs w:val="32"/>
        </w:rPr>
        <w:t>%</w:t>
      </w:r>
      <w:r>
        <w:rPr>
          <w:rFonts w:hint="eastAsia" w:ascii="仿宋" w:hAnsi="仿宋" w:eastAsia="仿宋"/>
          <w:color w:val="000000"/>
          <w:sz w:val="32"/>
          <w:szCs w:val="32"/>
        </w:rPr>
        <w:t>，决算数小于预算数的主要原因是厉行节约。</w:t>
      </w:r>
    </w:p>
    <w:p>
      <w:pPr>
        <w:spacing w:line="600" w:lineRule="exact"/>
        <w:ind w:firstLine="640"/>
        <w:rPr>
          <w:rFonts w:ascii="仿宋" w:hAnsi="仿宋" w:eastAsia="仿宋"/>
          <w:b/>
          <w:color w:val="000000" w:themeColor="text1"/>
          <w:sz w:val="32"/>
          <w:szCs w:val="32"/>
        </w:rPr>
      </w:pPr>
      <w:r>
        <w:rPr>
          <w:rFonts w:hint="eastAsia" w:ascii="仿宋" w:hAnsi="仿宋" w:eastAsia="仿宋"/>
          <w:b/>
          <w:color w:val="000000"/>
          <w:sz w:val="32"/>
          <w:szCs w:val="32"/>
        </w:rPr>
        <w:t>（上述“预算”口径为调整预</w:t>
      </w:r>
      <w:r>
        <w:rPr>
          <w:rFonts w:hint="eastAsia" w:ascii="仿宋" w:hAnsi="仿宋" w:eastAsia="仿宋"/>
          <w:b/>
          <w:color w:val="000000" w:themeColor="text1"/>
          <w:sz w:val="32"/>
          <w:szCs w:val="32"/>
        </w:rPr>
        <w:t>算数，包括政府性基金支出决算情况。）</w:t>
      </w:r>
    </w:p>
    <w:p>
      <w:pPr>
        <w:spacing w:line="600" w:lineRule="exact"/>
        <w:ind w:firstLine="640"/>
        <w:outlineLvl w:val="2"/>
        <w:rPr>
          <w:rFonts w:ascii="仿宋" w:hAnsi="仿宋" w:eastAsia="仿宋"/>
          <w:b/>
          <w:color w:val="000000"/>
          <w:sz w:val="32"/>
          <w:szCs w:val="32"/>
        </w:rPr>
      </w:pPr>
      <w:bookmarkStart w:id="45" w:name="_Toc15377217"/>
      <w:r>
        <w:rPr>
          <w:rFonts w:hint="eastAsia" w:ascii="仿宋" w:hAnsi="仿宋" w:eastAsia="仿宋"/>
          <w:b/>
          <w:color w:val="000000"/>
          <w:sz w:val="32"/>
          <w:szCs w:val="32"/>
        </w:rPr>
        <w:t>（二）“三公”经费财政拨款支出决算具体情况说明</w:t>
      </w:r>
      <w:bookmarkEnd w:id="45"/>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8年“三公”经费财政拨款支出决算中，公务用车购置及运行维护费支出决算149.78万元，占96</w:t>
      </w:r>
      <w:r>
        <w:rPr>
          <w:rFonts w:ascii="仿宋" w:hAnsi="仿宋" w:eastAsia="仿宋"/>
          <w:color w:val="000000"/>
          <w:sz w:val="32"/>
          <w:szCs w:val="32"/>
        </w:rPr>
        <w:t>%</w:t>
      </w:r>
      <w:r>
        <w:rPr>
          <w:rFonts w:hint="eastAsia" w:ascii="仿宋" w:hAnsi="仿宋" w:eastAsia="仿宋"/>
          <w:color w:val="000000"/>
          <w:sz w:val="32"/>
          <w:szCs w:val="32"/>
        </w:rPr>
        <w:t>；公务接待费支出决算5.38万元，占3</w:t>
      </w:r>
      <w:r>
        <w:rPr>
          <w:rFonts w:ascii="仿宋" w:hAnsi="仿宋" w:eastAsia="仿宋"/>
          <w:color w:val="000000"/>
          <w:sz w:val="32"/>
          <w:szCs w:val="32"/>
        </w:rPr>
        <w:t>%</w:t>
      </w:r>
      <w:r>
        <w:rPr>
          <w:rFonts w:hint="eastAsia" w:ascii="仿宋" w:hAnsi="仿宋" w:eastAsia="仿宋"/>
          <w:color w:val="000000"/>
          <w:sz w:val="32"/>
          <w:szCs w:val="32"/>
        </w:rPr>
        <w:t>。具体情况如下：</w:t>
      </w:r>
    </w:p>
    <w:p>
      <w:pPr>
        <w:spacing w:line="600" w:lineRule="exact"/>
        <w:ind w:firstLine="640"/>
        <w:rPr>
          <w:rFonts w:ascii="仿宋_GB2312" w:eastAsia="仿宋_GB2312"/>
          <w:color w:val="000000"/>
          <w:sz w:val="32"/>
          <w:szCs w:val="32"/>
        </w:rPr>
      </w:pPr>
      <w:r>
        <w:rPr>
          <w:rFonts w:ascii="仿宋_GB2312" w:eastAsia="仿宋_GB2312"/>
          <w:b/>
          <w:color w:val="000000"/>
          <w:sz w:val="32"/>
          <w:szCs w:val="32"/>
        </w:rPr>
        <w:t>1.</w:t>
      </w:r>
      <w:r>
        <w:rPr>
          <w:rFonts w:hint="eastAsia" w:ascii="仿宋_GB2312" w:eastAsia="仿宋_GB2312"/>
          <w:b/>
          <w:color w:val="000000"/>
          <w:sz w:val="32"/>
          <w:szCs w:val="32"/>
        </w:rPr>
        <w:t>因公出国（境）经费支出</w:t>
      </w:r>
      <w:r>
        <w:rPr>
          <w:rFonts w:hint="eastAsia" w:ascii="仿宋_GB2312" w:eastAsia="仿宋_GB2312"/>
          <w:color w:val="000000"/>
          <w:sz w:val="32"/>
          <w:szCs w:val="32"/>
        </w:rPr>
        <w:t>0万元，</w:t>
      </w:r>
      <w:r>
        <w:rPr>
          <w:rStyle w:val="16"/>
          <w:rFonts w:hint="eastAsia" w:ascii="仿宋" w:hAnsi="仿宋" w:eastAsia="仿宋"/>
          <w:b w:val="0"/>
          <w:bCs/>
          <w:color w:val="000000"/>
          <w:sz w:val="32"/>
          <w:szCs w:val="32"/>
        </w:rPr>
        <w:t>完成预算0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w:t>
      </w:r>
      <w:r>
        <w:rPr>
          <w:rFonts w:hint="eastAsia" w:ascii="仿宋_GB2312" w:eastAsia="仿宋_GB2312"/>
          <w:color w:val="000000"/>
          <w:sz w:val="32"/>
          <w:szCs w:val="32"/>
        </w:rPr>
        <w:t>全年安排因公出国（境）团组0次，出国（境）0人。</w:t>
      </w:r>
    </w:p>
    <w:p>
      <w:pPr>
        <w:spacing w:line="600" w:lineRule="exact"/>
        <w:ind w:firstLine="643" w:firstLineChars="200"/>
        <w:rPr>
          <w:rFonts w:ascii="仿宋_GB2312" w:eastAsia="仿宋_GB2312"/>
          <w:b/>
          <w:sz w:val="32"/>
          <w:szCs w:val="32"/>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hint="eastAsia" w:ascii="仿宋_GB2312" w:eastAsia="仿宋_GB2312"/>
          <w:color w:val="000000"/>
          <w:sz w:val="32"/>
          <w:szCs w:val="32"/>
        </w:rPr>
        <w:t>149.78万元,</w:t>
      </w:r>
      <w:r>
        <w:rPr>
          <w:rStyle w:val="16"/>
          <w:rFonts w:hint="eastAsia" w:ascii="仿宋" w:hAnsi="仿宋" w:eastAsia="仿宋"/>
          <w:b w:val="0"/>
          <w:bCs/>
          <w:color w:val="000000"/>
          <w:sz w:val="32"/>
          <w:szCs w:val="32"/>
        </w:rPr>
        <w:t>完成预算100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w:t>
      </w:r>
      <w:r>
        <w:rPr>
          <w:rFonts w:hint="eastAsia" w:ascii="仿宋_GB2312" w:eastAsia="仿宋_GB2312"/>
          <w:color w:val="000000"/>
          <w:sz w:val="32"/>
          <w:szCs w:val="32"/>
        </w:rPr>
        <w:t>公务用车购置及运行维护费支出决算比</w:t>
      </w:r>
      <w:r>
        <w:rPr>
          <w:rFonts w:ascii="仿宋_GB2312" w:eastAsia="仿宋_GB2312"/>
          <w:color w:val="000000"/>
          <w:sz w:val="32"/>
          <w:szCs w:val="32"/>
        </w:rPr>
        <w:t>201</w:t>
      </w:r>
      <w:r>
        <w:rPr>
          <w:rFonts w:hint="eastAsia" w:ascii="仿宋_GB2312" w:eastAsia="仿宋_GB2312"/>
          <w:color w:val="000000"/>
          <w:sz w:val="32"/>
          <w:szCs w:val="32"/>
        </w:rPr>
        <w:t>7年减少75.93万元，下降33</w:t>
      </w:r>
      <w:r>
        <w:rPr>
          <w:rFonts w:ascii="仿宋_GB2312" w:eastAsia="仿宋_GB2312"/>
          <w:color w:val="000000"/>
          <w:sz w:val="32"/>
          <w:szCs w:val="32"/>
        </w:rPr>
        <w:t>%</w:t>
      </w:r>
      <w:r>
        <w:rPr>
          <w:rFonts w:hint="eastAsia" w:ascii="仿宋_GB2312" w:eastAsia="仿宋_GB2312"/>
          <w:color w:val="000000"/>
          <w:sz w:val="32"/>
          <w:szCs w:val="32"/>
        </w:rPr>
        <w:t>。主要原因是厉行节约。加强机构编制和人员经费管理严格控制公用经费。</w:t>
      </w:r>
    </w:p>
    <w:p>
      <w:pPr>
        <w:spacing w:line="600" w:lineRule="exact"/>
        <w:ind w:firstLine="643" w:firstLineChars="200"/>
        <w:rPr>
          <w:rFonts w:ascii="仿宋_GB2312" w:eastAsia="仿宋_GB2312"/>
          <w:b/>
          <w:sz w:val="32"/>
          <w:szCs w:val="32"/>
        </w:rPr>
      </w:pPr>
      <w:r>
        <w:rPr>
          <w:rFonts w:hint="eastAsia" w:ascii="仿宋_GB2312" w:eastAsia="仿宋_GB2312"/>
          <w:b/>
          <w:color w:val="000000"/>
          <w:sz w:val="32"/>
          <w:szCs w:val="32"/>
        </w:rPr>
        <w:t>公务用车运行维护费支出</w:t>
      </w:r>
      <w:r>
        <w:rPr>
          <w:rFonts w:hint="eastAsia" w:ascii="仿宋_GB2312" w:eastAsia="仿宋_GB2312"/>
          <w:color w:val="000000"/>
          <w:sz w:val="32"/>
          <w:szCs w:val="32"/>
        </w:rPr>
        <w:t>149.78万元。主要用于保障日常领导干部出差、下乡、脱贫攻坚、慰问等出差工作等所需的公务用车燃料费、维修费、过路过桥费、保险费等支出。</w:t>
      </w:r>
      <w:r>
        <w:rPr>
          <w:rFonts w:hint="eastAsia" w:ascii="仿宋_GB2312" w:eastAsia="仿宋_GB2312"/>
          <w:sz w:val="32"/>
          <w:szCs w:val="32"/>
        </w:rPr>
        <w:t>截至</w:t>
      </w:r>
      <w:r>
        <w:rPr>
          <w:rFonts w:ascii="仿宋_GB2312" w:eastAsia="仿宋_GB2312"/>
          <w:sz w:val="32"/>
          <w:szCs w:val="32"/>
        </w:rPr>
        <w:t>201</w:t>
      </w:r>
      <w:r>
        <w:rPr>
          <w:rFonts w:hint="eastAsia" w:ascii="仿宋_GB2312" w:eastAsia="仿宋_GB2312"/>
          <w:sz w:val="32"/>
          <w:szCs w:val="32"/>
        </w:rPr>
        <w:t>8年</w:t>
      </w:r>
      <w:r>
        <w:rPr>
          <w:rFonts w:ascii="仿宋_GB2312" w:eastAsia="仿宋_GB2312"/>
          <w:sz w:val="32"/>
          <w:szCs w:val="32"/>
        </w:rPr>
        <w:t>12</w:t>
      </w:r>
      <w:r>
        <w:rPr>
          <w:rFonts w:hint="eastAsia" w:ascii="仿宋_GB2312" w:eastAsia="仿宋_GB2312"/>
          <w:sz w:val="32"/>
          <w:szCs w:val="32"/>
        </w:rPr>
        <w:t>月底，单位共有公务用车12辆。</w:t>
      </w:r>
    </w:p>
    <w:p>
      <w:pPr>
        <w:spacing w:line="600" w:lineRule="exact"/>
        <w:ind w:firstLine="640"/>
        <w:rPr>
          <w:rFonts w:ascii="仿宋_GB2312" w:eastAsia="仿宋_GB2312"/>
          <w:color w:val="000000"/>
          <w:sz w:val="32"/>
          <w:szCs w:val="32"/>
        </w:rPr>
      </w:pPr>
      <w:r>
        <w:rPr>
          <w:rFonts w:ascii="仿宋_GB2312" w:eastAsia="仿宋_GB2312"/>
          <w:b/>
          <w:color w:val="000000"/>
          <w:sz w:val="32"/>
          <w:szCs w:val="32"/>
        </w:rPr>
        <w:t>3.</w:t>
      </w:r>
      <w:r>
        <w:rPr>
          <w:rFonts w:hint="eastAsia" w:ascii="仿宋_GB2312" w:eastAsia="仿宋_GB2312"/>
          <w:b/>
          <w:color w:val="000000"/>
          <w:sz w:val="32"/>
          <w:szCs w:val="32"/>
        </w:rPr>
        <w:t>公务接待费支出</w:t>
      </w:r>
      <w:r>
        <w:rPr>
          <w:rFonts w:hint="eastAsia" w:ascii="仿宋_GB2312" w:eastAsia="仿宋_GB2312"/>
          <w:color w:val="000000"/>
          <w:sz w:val="32"/>
          <w:szCs w:val="32"/>
        </w:rPr>
        <w:t>5.38万元，</w:t>
      </w:r>
      <w:r>
        <w:rPr>
          <w:rStyle w:val="16"/>
          <w:rFonts w:hint="eastAsia" w:ascii="仿宋" w:hAnsi="仿宋" w:eastAsia="仿宋"/>
          <w:b w:val="0"/>
          <w:bCs/>
          <w:color w:val="000000"/>
          <w:sz w:val="32"/>
          <w:szCs w:val="32"/>
        </w:rPr>
        <w:t>完成预算98</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w:t>
      </w:r>
      <w:r>
        <w:rPr>
          <w:rFonts w:hint="eastAsia" w:ascii="仿宋_GB2312" w:eastAsia="仿宋_GB2312"/>
          <w:color w:val="000000"/>
          <w:sz w:val="32"/>
          <w:szCs w:val="32"/>
        </w:rPr>
        <w:t>公务接待费支出决算比</w:t>
      </w:r>
      <w:r>
        <w:rPr>
          <w:rFonts w:ascii="仿宋_GB2312" w:eastAsia="仿宋_GB2312"/>
          <w:color w:val="000000"/>
          <w:sz w:val="32"/>
          <w:szCs w:val="32"/>
        </w:rPr>
        <w:t>201</w:t>
      </w:r>
      <w:r>
        <w:rPr>
          <w:rFonts w:hint="eastAsia" w:ascii="仿宋_GB2312" w:eastAsia="仿宋_GB2312"/>
          <w:color w:val="000000"/>
          <w:sz w:val="32"/>
          <w:szCs w:val="32"/>
        </w:rPr>
        <w:t>7年增加0.38万元，增长7</w:t>
      </w:r>
      <w:r>
        <w:rPr>
          <w:rFonts w:ascii="仿宋_GB2312" w:eastAsia="仿宋_GB2312"/>
          <w:color w:val="000000"/>
          <w:sz w:val="32"/>
          <w:szCs w:val="32"/>
        </w:rPr>
        <w:t>%</w:t>
      </w:r>
      <w:r>
        <w:rPr>
          <w:rFonts w:hint="eastAsia" w:ascii="仿宋_GB2312" w:eastAsia="仿宋_GB2312"/>
          <w:color w:val="000000"/>
          <w:sz w:val="32"/>
          <w:szCs w:val="32"/>
        </w:rPr>
        <w:t>。主要接待是浙江、绵阳援建干部来我县考察调研支出，雅克音乐季邀请邻县来访客人，中国绿色兴拍摄制作等。</w:t>
      </w:r>
    </w:p>
    <w:p>
      <w:pPr>
        <w:spacing w:line="600" w:lineRule="exact"/>
        <w:ind w:firstLine="640"/>
        <w:rPr>
          <w:rFonts w:ascii="仿宋_GB2312" w:eastAsia="仿宋_GB2312"/>
          <w:color w:val="000000"/>
          <w:sz w:val="32"/>
          <w:szCs w:val="32"/>
        </w:rPr>
      </w:pPr>
      <w:r>
        <w:rPr>
          <w:rFonts w:hint="eastAsia" w:ascii="仿宋_GB2312" w:eastAsia="仿宋_GB2312"/>
          <w:color w:val="000000"/>
          <w:sz w:val="32"/>
          <w:szCs w:val="32"/>
        </w:rPr>
        <w:t>主要用于执行公务、开展业务活动开支的交通费、住宿费、用餐费等。国内公务接待40批次1345人次（不包括陪同人员），共计支出5.38万元，具体内容包括：用于浙江、绵阳援建干部来我县考察的住宿费、餐费3.38万元；雅克音季来访邻县客人的住宿费餐费1.25万元，中国绿色兴拍摄制作等0.75万元。</w:t>
      </w:r>
    </w:p>
    <w:p>
      <w:pPr>
        <w:spacing w:line="600" w:lineRule="exact"/>
        <w:ind w:firstLine="640"/>
        <w:outlineLvl w:val="1"/>
        <w:rPr>
          <w:rStyle w:val="27"/>
          <w:rFonts w:ascii="黑体" w:hAnsi="黑体" w:eastAsia="黑体"/>
        </w:rPr>
      </w:pPr>
      <w:bookmarkStart w:id="46" w:name="_Toc15377218"/>
      <w:bookmarkStart w:id="47" w:name="_Toc15396610"/>
      <w:r>
        <w:rPr>
          <w:rFonts w:hint="eastAsia" w:ascii="黑体" w:eastAsia="黑体"/>
          <w:color w:val="000000"/>
          <w:sz w:val="32"/>
          <w:szCs w:val="32"/>
        </w:rPr>
        <w:t>八、</w:t>
      </w:r>
      <w:r>
        <w:rPr>
          <w:rStyle w:val="27"/>
          <w:rFonts w:hint="eastAsia" w:ascii="黑体" w:hAnsi="黑体" w:eastAsia="黑体"/>
          <w:b w:val="0"/>
        </w:rPr>
        <w:t>政府性基金预算支出决算情况说明</w:t>
      </w:r>
      <w:bookmarkEnd w:id="46"/>
      <w:bookmarkEnd w:id="47"/>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8年政府性基金预算拨款支出0万元。</w:t>
      </w:r>
    </w:p>
    <w:p>
      <w:pPr>
        <w:numPr>
          <w:ilvl w:val="0"/>
          <w:numId w:val="2"/>
        </w:numPr>
        <w:spacing w:line="600" w:lineRule="exact"/>
        <w:ind w:firstLine="640"/>
        <w:outlineLvl w:val="1"/>
        <w:rPr>
          <w:rStyle w:val="27"/>
          <w:rFonts w:ascii="黑体" w:hAnsi="黑体" w:eastAsia="黑体"/>
          <w:b w:val="0"/>
        </w:rPr>
      </w:pPr>
      <w:bookmarkStart w:id="48" w:name="_Toc15396611"/>
      <w:bookmarkStart w:id="49" w:name="_Toc15377219"/>
      <w:r>
        <w:rPr>
          <w:rStyle w:val="27"/>
          <w:rFonts w:hint="eastAsia" w:ascii="黑体" w:hAnsi="黑体" w:eastAsia="黑体"/>
          <w:b w:val="0"/>
        </w:rPr>
        <w:t>国有资本经营预算支出决算情况说明</w:t>
      </w:r>
      <w:bookmarkEnd w:id="48"/>
      <w:bookmarkEnd w:id="49"/>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8年国有资本经营预算拨款支出0万元。</w:t>
      </w:r>
    </w:p>
    <w:p>
      <w:pPr>
        <w:pStyle w:val="25"/>
        <w:numPr>
          <w:ilvl w:val="0"/>
          <w:numId w:val="3"/>
        </w:numPr>
        <w:spacing w:line="580" w:lineRule="exact"/>
        <w:ind w:firstLineChars="0"/>
        <w:rPr>
          <w:rStyle w:val="27"/>
          <w:rFonts w:ascii="黑体" w:hAnsi="黑体" w:eastAsia="黑体"/>
          <w:b w:val="0"/>
        </w:rPr>
      </w:pPr>
      <w:r>
        <w:rPr>
          <w:rStyle w:val="27"/>
          <w:rFonts w:hint="eastAsia" w:ascii="黑体" w:hAnsi="黑体" w:eastAsia="黑体"/>
          <w:b w:val="0"/>
        </w:rPr>
        <w:t>预算绩效情况说明</w:t>
      </w:r>
    </w:p>
    <w:p>
      <w:pPr>
        <w:numPr>
          <w:ilvl w:val="0"/>
          <w:numId w:val="4"/>
        </w:numPr>
        <w:spacing w:line="580" w:lineRule="exact"/>
        <w:ind w:firstLine="643" w:firstLineChars="200"/>
        <w:rPr>
          <w:rFonts w:ascii="仿宋" w:hAnsi="仿宋" w:eastAsia="仿宋" w:cs="楷体_GB2312"/>
          <w:b/>
          <w:bCs/>
          <w:sz w:val="32"/>
          <w:szCs w:val="32"/>
        </w:rPr>
      </w:pPr>
      <w:r>
        <w:rPr>
          <w:rFonts w:hint="eastAsia" w:ascii="仿宋" w:hAnsi="仿宋" w:eastAsia="仿宋" w:cs="楷体_GB2312"/>
          <w:b/>
          <w:bCs/>
          <w:sz w:val="32"/>
          <w:szCs w:val="32"/>
        </w:rPr>
        <w:t>预算绩效管理工作开展情况。</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部门（单位）在年初预算编制阶段，组织对单位一般行政管理事务管理项目开展了预算事前绩效评估，对一般行政管理事务此项目编制了绩效目标，预算执行过程中，选取一般行政管理事务项目开展绩效监控，年终执行完毕后，对一般行政管理事务项目未开展了绩效目标完成情况梳理填报。</w:t>
      </w:r>
    </w:p>
    <w:p>
      <w:pPr>
        <w:pStyle w:val="13"/>
        <w:spacing w:after="0" w:line="540" w:lineRule="exact"/>
        <w:ind w:left="0" w:leftChars="0"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本部门按要求对2018年部门整体支出开展绩效自评，从评价情况来看红原县政府</w:t>
      </w:r>
      <w:r>
        <w:rPr>
          <w:rFonts w:hint="eastAsia" w:ascii="仿宋_GB2312" w:hAnsi="仿宋_GB2312" w:eastAsia="仿宋_GB2312" w:cs="仿宋_GB2312"/>
          <w:sz w:val="32"/>
          <w:szCs w:val="32"/>
          <w:lang w:eastAsia="zh-CN"/>
        </w:rPr>
        <w:t>办</w:t>
      </w:r>
      <w:bookmarkStart w:id="74" w:name="_GoBack"/>
      <w:bookmarkEnd w:id="74"/>
      <w:r>
        <w:rPr>
          <w:rFonts w:hint="eastAsia" w:ascii="仿宋_GB2312" w:hAnsi="仿宋_GB2312" w:eastAsia="仿宋_GB2312" w:cs="仿宋_GB2312"/>
          <w:sz w:val="32"/>
          <w:szCs w:val="32"/>
        </w:rPr>
        <w:t>公室紧紧围绕县政府中心工作，充分发挥参谋助手、综合协调、督查落实、后勤保障的职能作用，推动政府办各项工作上档升级、提质增效。</w:t>
      </w:r>
      <w:r>
        <w:rPr>
          <w:rFonts w:hint="eastAsia" w:ascii="仿宋_GB2312" w:hAnsi="仿宋_GB2312" w:eastAsia="仿宋_GB2312" w:cs="仿宋_GB2312"/>
          <w:b/>
          <w:bCs/>
          <w:sz w:val="32"/>
          <w:szCs w:val="32"/>
        </w:rPr>
        <w:t>一是</w:t>
      </w:r>
      <w:r>
        <w:rPr>
          <w:rFonts w:hint="eastAsia" w:ascii="仿宋_GB2312" w:hAnsi="仿宋_GB2312" w:eastAsia="仿宋_GB2312" w:cs="仿宋_GB2312"/>
          <w:sz w:val="32"/>
          <w:szCs w:val="32"/>
        </w:rPr>
        <w:t>全面加强党的建设。</w:t>
      </w:r>
      <w:r>
        <w:rPr>
          <w:rFonts w:hint="eastAsia" w:ascii="仿宋_GB2312" w:hAnsi="仿宋_GB2312" w:eastAsia="仿宋_GB2312" w:cs="仿宋_GB2312"/>
          <w:b/>
          <w:bCs/>
          <w:sz w:val="32"/>
          <w:szCs w:val="32"/>
        </w:rPr>
        <w:t>二是</w:t>
      </w:r>
      <w:r>
        <w:rPr>
          <w:rFonts w:hint="eastAsia" w:ascii="仿宋_GB2312" w:hAnsi="仿宋_GB2312" w:eastAsia="仿宋_GB2312" w:cs="仿宋_GB2312"/>
          <w:sz w:val="32"/>
          <w:szCs w:val="32"/>
        </w:rPr>
        <w:t>提升办公室工作水平。</w:t>
      </w:r>
      <w:r>
        <w:rPr>
          <w:rFonts w:hint="eastAsia" w:ascii="仿宋_GB2312" w:hAnsi="仿宋_GB2312" w:eastAsia="仿宋_GB2312" w:cs="仿宋_GB2312"/>
          <w:b/>
          <w:bCs/>
          <w:sz w:val="32"/>
          <w:szCs w:val="32"/>
        </w:rPr>
        <w:t>三是</w:t>
      </w:r>
      <w:r>
        <w:rPr>
          <w:rFonts w:hint="eastAsia" w:ascii="仿宋_GB2312" w:hAnsi="仿宋_GB2312" w:eastAsia="仿宋_GB2312" w:cs="仿宋_GB2312"/>
          <w:sz w:val="32"/>
          <w:szCs w:val="32"/>
        </w:rPr>
        <w:t>抓实抓牢信息工作。</w:t>
      </w:r>
      <w:r>
        <w:rPr>
          <w:rFonts w:hint="eastAsia" w:ascii="仿宋_GB2312" w:hAnsi="仿宋_GB2312" w:eastAsia="仿宋_GB2312" w:cs="仿宋_GB2312"/>
          <w:b/>
          <w:bCs/>
          <w:sz w:val="32"/>
          <w:szCs w:val="32"/>
        </w:rPr>
        <w:t>四是</w:t>
      </w:r>
      <w:r>
        <w:rPr>
          <w:rFonts w:hint="eastAsia" w:ascii="仿宋_GB2312" w:hAnsi="仿宋_GB2312" w:eastAsia="仿宋_GB2312" w:cs="仿宋_GB2312"/>
          <w:sz w:val="32"/>
          <w:szCs w:val="32"/>
        </w:rPr>
        <w:t>认真做好保密、机要、信心、人防、驻蓉工作。按照国家的法律法规加强预算管理，严格执行“八项规定”和内控制度，大力提倡勤俭节约，坚持把有限的日常公用经费用在保障单位工作正常运转中，坚持财政预算管理制度务，坚持“以收定支”，做好预算支出及执行情况调度，对会计工作的事前、事中、事后的监督，确保了会计的延续性，做到了每笔支出有据可查、有法可依，确保了 “三公”经费预算支出在严格控制在预算内，严格财经纪律，严格财务制度，严格审批程序，确保各项支出符合相关的要求，通过以上这些措施，较好地保证了财务管理工作和资金使用效率，部门职责履行效果明显、成效显著，服务对象满意度较高。部门整体支出绩效为“好”。</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本部门还自行组织了一般行政管理事务此项目绩效评价，从评价情况来看较好的保证了资金的管理和使用。</w:t>
      </w:r>
    </w:p>
    <w:p>
      <w:pPr>
        <w:numPr>
          <w:ilvl w:val="0"/>
          <w:numId w:val="4"/>
        </w:numPr>
        <w:spacing w:line="580" w:lineRule="exact"/>
        <w:ind w:firstLine="643" w:firstLineChars="200"/>
        <w:rPr>
          <w:rFonts w:ascii="仿宋_GB2312" w:hAnsi="仿宋_GB2312" w:eastAsia="仿宋_GB2312" w:cs="仿宋_GB2312"/>
          <w:sz w:val="32"/>
          <w:szCs w:val="32"/>
        </w:rPr>
      </w:pPr>
      <w:r>
        <w:rPr>
          <w:rFonts w:hint="eastAsia" w:ascii="仿宋" w:hAnsi="仿宋" w:eastAsia="仿宋" w:cs="楷体_GB2312"/>
          <w:b/>
          <w:bCs/>
          <w:sz w:val="32"/>
          <w:szCs w:val="32"/>
        </w:rPr>
        <w:t>项目绩效目标完成情况。</w:t>
      </w:r>
      <w:r>
        <w:rPr>
          <w:rFonts w:hint="eastAsia" w:ascii="楷体_GB2312" w:hAnsi="楷体_GB2312" w:eastAsia="楷体_GB2312" w:cs="楷体_GB2312"/>
          <w:b/>
          <w:bCs/>
          <w:sz w:val="32"/>
          <w:szCs w:val="32"/>
        </w:rPr>
        <w:br w:type="textWrapping"/>
      </w:r>
      <w:r>
        <w:rPr>
          <w:rFonts w:hint="eastAsia" w:ascii="仿宋_GB2312" w:hAnsi="仿宋_GB2312" w:eastAsia="仿宋_GB2312" w:cs="仿宋_GB2312"/>
          <w:sz w:val="32"/>
          <w:szCs w:val="32"/>
        </w:rPr>
        <w:t xml:space="preserve">    本部门在2018年度部门决算中反映“一般行政管理事务</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项目绩效目标实际完成情况。</w:t>
      </w:r>
    </w:p>
    <w:p>
      <w:pPr>
        <w:numPr>
          <w:ilvl w:val="0"/>
          <w:numId w:val="5"/>
        </w:num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般行政管理事务项目绩效目标完成情况综述。项目全年预算数30万元，执行数为30万元，完成预算的100%。通过项目实施，保障了一般行政管理事务工作的正常开展促办公室日常工作的有序开展提高资金有效使用和规范管理。</w:t>
      </w:r>
    </w:p>
    <w:p>
      <w:pPr>
        <w:tabs>
          <w:tab w:val="left" w:pos="312"/>
        </w:tabs>
        <w:spacing w:line="580" w:lineRule="exact"/>
        <w:ind w:left="640"/>
        <w:rPr>
          <w:rFonts w:ascii="仿宋_GB2312" w:hAnsi="仿宋_GB2312" w:eastAsia="仿宋_GB2312" w:cs="仿宋_GB2312"/>
          <w:sz w:val="32"/>
          <w:szCs w:val="32"/>
        </w:rPr>
      </w:pPr>
    </w:p>
    <w:tbl>
      <w:tblPr>
        <w:tblStyle w:val="14"/>
        <w:tblW w:w="9516" w:type="dxa"/>
        <w:tblInd w:w="108" w:type="dxa"/>
        <w:tblLayout w:type="fixed"/>
        <w:tblCellMar>
          <w:top w:w="0" w:type="dxa"/>
          <w:left w:w="108" w:type="dxa"/>
          <w:bottom w:w="0" w:type="dxa"/>
          <w:right w:w="108" w:type="dxa"/>
        </w:tblCellMar>
      </w:tblPr>
      <w:tblGrid>
        <w:gridCol w:w="516"/>
        <w:gridCol w:w="1006"/>
        <w:gridCol w:w="1040"/>
        <w:gridCol w:w="740"/>
        <w:gridCol w:w="1180"/>
        <w:gridCol w:w="1760"/>
        <w:gridCol w:w="1640"/>
        <w:gridCol w:w="1634"/>
      </w:tblGrid>
      <w:tr>
        <w:tblPrEx>
          <w:tblCellMar>
            <w:top w:w="0" w:type="dxa"/>
            <w:left w:w="108" w:type="dxa"/>
            <w:bottom w:w="0" w:type="dxa"/>
            <w:right w:w="108" w:type="dxa"/>
          </w:tblCellMar>
        </w:tblPrEx>
        <w:trPr>
          <w:trHeight w:val="555" w:hRule="atLeast"/>
        </w:trPr>
        <w:tc>
          <w:tcPr>
            <w:tcW w:w="9516" w:type="dxa"/>
            <w:gridSpan w:val="8"/>
            <w:tcBorders>
              <w:top w:val="nil"/>
              <w:left w:val="nil"/>
              <w:bottom w:val="nil"/>
              <w:right w:val="nil"/>
            </w:tcBorders>
            <w:shd w:val="clear" w:color="auto" w:fill="auto"/>
            <w:vAlign w:val="bottom"/>
          </w:tcPr>
          <w:p>
            <w:pPr>
              <w:widowControl/>
              <w:jc w:val="left"/>
              <w:rPr>
                <w:rFonts w:ascii="宋体" w:hAnsi="宋体" w:cs="宋体"/>
                <w:kern w:val="0"/>
                <w:sz w:val="24"/>
              </w:rPr>
            </w:pPr>
            <w:r>
              <w:rPr>
                <w:rFonts w:ascii="宋体" w:hAnsi="宋体" w:cs="宋体"/>
                <w:kern w:val="0"/>
                <w:sz w:val="24"/>
              </w:rPr>
              <mc:AlternateContent>
                <mc:Choice Requires="wpc">
                  <w:drawing>
                    <wp:anchor distT="0" distB="0" distL="114300" distR="114300" simplePos="0" relativeHeight="251659264" behindDoc="0" locked="0" layoutInCell="1" allowOverlap="1">
                      <wp:simplePos x="0" y="0"/>
                      <wp:positionH relativeFrom="column">
                        <wp:posOffset>762000</wp:posOffset>
                      </wp:positionH>
                      <wp:positionV relativeFrom="paragraph">
                        <wp:posOffset>-7620</wp:posOffset>
                      </wp:positionV>
                      <wp:extent cx="15240" cy="22860"/>
                      <wp:effectExtent l="0" t="0" r="0" b="0"/>
                      <wp:wrapNone/>
                      <wp:docPr id="2" name="Line 1"/>
                      <wp:cNvGraphicFramePr/>
                      <a:graphic xmlns:a="http://schemas.openxmlformats.org/drawingml/2006/main">
                        <a:graphicData uri="http://schemas.microsoft.com/office/word/2010/wordprocessingCanvas">
                          <wpc:wpc>
                            <wpc:bg/>
                            <wpc:whole/>
                            <wps:wsp>
                              <wps:cNvPr id="1025" name="Line 1"/>
                              <wps:cNvCnPr>
                                <a:cxnSpLocks noChangeShapeType="1"/>
                              </wps:cNvCnPr>
                              <wps:spPr>
                                <a:xfrm>
                                  <a:off x="771525" y="352425"/>
                                  <a:ext cx="0" cy="0"/>
                                </a:xfrm>
                                <a:prstGeom prst="line">
                                  <a:avLst/>
                                </a:prstGeom>
                                <a:noFill/>
                                <a:ln w="9525">
                                  <a:solidFill>
                                    <a:srgbClr val="000000"/>
                                  </a:solidFill>
                                  <a:round/>
                                </a:ln>
                              </wps:spPr>
                              <wps:bodyPr/>
                            </wps:wsp>
                          </wpc:wpc>
                        </a:graphicData>
                      </a:graphic>
                    </wp:anchor>
                  </w:drawing>
                </mc:Choice>
                <mc:Fallback>
                  <w:pict>
                    <v:group id="Line 1" o:spid="_x0000_s1026" o:spt="203" style="position:absolute;left:0pt;margin-left:60pt;margin-top:-0.6pt;height:1.8pt;width:1.2pt;z-index:251659264;mso-width-relative:page;mso-height-relative:page;" coordsize="15240,22860" editas="canvas" o:gfxdata="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BYAAABkcnMvUEsBAhQAFAAA&#10;AAgAh07iQDi0naTWAAAACAEAAA8AAAAAAAAAAQAgAAAAOAAAAGRycy9kb3ducmV2LnhtbFBLAQIU&#10;ABQAAAAIAIdO4kBXrx65GAIAAL8EAAAOAAAAAAAAAAEAIAAAADsBAABkcnMvZTJvRG9jLnhtbFBL&#10;BQYAAAAABgAGAFkBAADFBQAAAAA=&#10;">
                      <o:lock v:ext="edit" aspectratio="f"/>
                      <v:shape id="Line 1" o:spid="_x0000_s1026" style="position:absolute;left:0;top:0;height:22860;width:15240;" filled="f" stroked="f" coordsize="21600,21600" o:gfxdata="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BYAAABkcnMvUEsBAhQA&#10;FAAAAAgAh07iQDi0naTWAAAACAEAAA8AAAAAAAAAAQAgAAAAOAAAAGRycy9kb3ducmV2LnhtbFBL&#10;AQIUABQAAAAIAIdO4kAmZBUf4gEAABAEAAAOAAAAAAAAAAEAIAAAADsBAABkcnMvZTJvRG9jLnht&#10;bFBLBQYAAAAABgAGAFkBAACPBQAAAAA=&#10;">
                        <v:fill on="f" focussize="0,0"/>
                        <v:stroke on="f"/>
                        <v:imagedata o:title=""/>
                        <o:lock v:ext="edit" aspectratio="f"/>
                      </v:shape>
                      <v:line id="Line 1" o:spid="_x0000_s1026" o:spt="20" style="position:absolute;left:771525;top:352425;height:0;width:0;" filled="f" stroked="t" coordsize="21600,21600" o:gfxdata="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FgAAAGRycy9QSwECFAAUAAAACACHTuJA8r9QztQAAAAIAQAADwAAAAAAAAAB&#10;ACAAAAA4AAAAZHJzL2Rvd25yZXYueG1sUEsBAhQAFAAAAAgAh07iQPu59s/FAQAAmAMAAA4AAAAA&#10;AAAAAQAgAAAAOQEAAGRycy9lMm9Eb2MueG1sUEsFBgAAAAAGAAYAWQEAAHAFAAAAAA==&#10;">
                        <v:fill on="f" focussize="0,0"/>
                        <v:stroke color="#000000" joinstyle="round"/>
                        <v:imagedata o:title=""/>
                        <o:lock v:ext="edit" aspectratio="f"/>
                      </v:line>
                    </v:group>
                  </w:pict>
                </mc:Fallback>
              </mc:AlternateContent>
            </w:r>
            <w:r>
              <w:rPr>
                <w:rFonts w:ascii="宋体" w:hAnsi="宋体" w:cs="宋体"/>
                <w:kern w:val="0"/>
                <w:sz w:val="24"/>
              </w:rPr>
              <mc:AlternateContent>
                <mc:Choice Requires="wpc">
                  <w:drawing>
                    <wp:anchor distT="0" distB="0" distL="114300" distR="114300" simplePos="0" relativeHeight="251660288" behindDoc="0" locked="0" layoutInCell="1" allowOverlap="1">
                      <wp:simplePos x="0" y="0"/>
                      <wp:positionH relativeFrom="column">
                        <wp:posOffset>762000</wp:posOffset>
                      </wp:positionH>
                      <wp:positionV relativeFrom="paragraph">
                        <wp:posOffset>-7620</wp:posOffset>
                      </wp:positionV>
                      <wp:extent cx="15240" cy="22860"/>
                      <wp:effectExtent l="0" t="0" r="0" b="0"/>
                      <wp:wrapNone/>
                      <wp:docPr id="3" name="Line 2"/>
                      <wp:cNvGraphicFramePr/>
                      <a:graphic xmlns:a="http://schemas.openxmlformats.org/drawingml/2006/main">
                        <a:graphicData uri="http://schemas.microsoft.com/office/word/2010/wordprocessingCanvas">
                          <wpc:wpc>
                            <wpc:bg/>
                            <wpc:whole/>
                            <wps:wsp>
                              <wps:cNvPr id="1026" name="Line 2"/>
                              <wps:cNvCnPr>
                                <a:cxnSpLocks noChangeShapeType="1"/>
                              </wps:cNvCnPr>
                              <wps:spPr>
                                <a:xfrm>
                                  <a:off x="771525" y="352425"/>
                                  <a:ext cx="0" cy="0"/>
                                </a:xfrm>
                                <a:prstGeom prst="line">
                                  <a:avLst/>
                                </a:prstGeom>
                                <a:noFill/>
                                <a:ln w="9525">
                                  <a:solidFill>
                                    <a:srgbClr val="000000"/>
                                  </a:solidFill>
                                  <a:round/>
                                </a:ln>
                              </wps:spPr>
                              <wps:bodyPr/>
                            </wps:wsp>
                          </wpc:wpc>
                        </a:graphicData>
                      </a:graphic>
                    </wp:anchor>
                  </w:drawing>
                </mc:Choice>
                <mc:Fallback>
                  <w:pict>
                    <v:group id="Line 2" o:spid="_x0000_s1026" o:spt="203" style="position:absolute;left:0pt;margin-left:60pt;margin-top:-0.6pt;height:1.8pt;width:1.2pt;z-index:251660288;mso-width-relative:page;mso-height-relative:page;" coordsize="15240,22860" editas="canvas" o:gfxdata="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FgAAAGRycy9QSwECFAAUAAAA&#10;CACHTuJAOLSdpNYAAAAIAQAADwAAAAAAAAABACAAAAA4AAAAZHJzL2Rvd25yZXYueG1sUEsBAhQA&#10;FAAAAAgAh07iQHagdAQXAgAAvwQAAA4AAAAAAAAAAQAgAAAAOwEAAGRycy9lMm9Eb2MueG1sUEsF&#10;BgAAAAAGAAYAWQEAAMQFAAAAAA==&#10;">
                      <o:lock v:ext="edit" aspectratio="f"/>
                      <v:shape id="Line 2" o:spid="_x0000_s1026" style="position:absolute;left:0;top:0;height:22860;width:15240;" filled="f" stroked="f" coordsize="21600,21600" o:gfxdata="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BYAAABkcnMvUEsB&#10;AhQAFAAAAAgAh07iQDi0naTWAAAACAEAAA8AAAAAAAAAAQAgAAAAOAAAAGRycy9kb3ducmV2Lnht&#10;bFBLAQIUABQAAAAIAIdO4kDcvX/g5QEAABAEAAAOAAAAAAAAAAEAIAAAADsBAABkcnMvZTJvRG9j&#10;LnhtbFBLBQYAAAAABgAGAFkBAACSBQAAAAA=&#10;">
                        <v:fill on="f" focussize="0,0"/>
                        <v:stroke on="f"/>
                        <v:imagedata o:title=""/>
                        <o:lock v:ext="edit" aspectratio="f"/>
                      </v:shape>
                      <v:line id="Line 2" o:spid="_x0000_s1026" o:spt="20" style="position:absolute;left:771525;top:352425;height:0;width:0;" filled="f" stroked="t" coordsize="21600,21600" o:gfxdata="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WAAAAZHJzL1BLAQIUABQAAAAIAIdO4kDyv1DO1AAAAAgBAAAPAAAAAAAA&#10;AAEAIAAAADgAAABkcnMvZG93bnJldi54bWxQSwECFAAUAAAACACHTuJAhOveUscBAACYAwAADgAA&#10;AAAAAAABACAAAAA5AQAAZHJzL2Uyb0RvYy54bWxQSwUGAAAAAAYABgBZAQAAcgUAAAAA&#10;">
                        <v:fill on="f" focussize="0,0"/>
                        <v:stroke color="#000000" joinstyle="round"/>
                        <v:imagedata o:title=""/>
                        <o:lock v:ext="edit" aspectratio="f"/>
                      </v:line>
                    </v:group>
                  </w:pict>
                </mc:Fallback>
              </mc:AlternateContent>
            </w:r>
            <w:r>
              <w:rPr>
                <w:rFonts w:ascii="宋体" w:hAnsi="宋体" w:cs="宋体"/>
                <w:kern w:val="0"/>
                <w:sz w:val="24"/>
              </w:rPr>
              <mc:AlternateContent>
                <mc:Choice Requires="wpc">
                  <w:drawing>
                    <wp:anchor distT="0" distB="0" distL="114300" distR="114300" simplePos="0" relativeHeight="251661312" behindDoc="0" locked="0" layoutInCell="1" allowOverlap="1">
                      <wp:simplePos x="0" y="0"/>
                      <wp:positionH relativeFrom="column">
                        <wp:posOffset>762000</wp:posOffset>
                      </wp:positionH>
                      <wp:positionV relativeFrom="paragraph">
                        <wp:posOffset>-7620</wp:posOffset>
                      </wp:positionV>
                      <wp:extent cx="15240" cy="22860"/>
                      <wp:effectExtent l="0" t="0" r="0" b="0"/>
                      <wp:wrapNone/>
                      <wp:docPr id="4" name="Line 3"/>
                      <wp:cNvGraphicFramePr/>
                      <a:graphic xmlns:a="http://schemas.openxmlformats.org/drawingml/2006/main">
                        <a:graphicData uri="http://schemas.microsoft.com/office/word/2010/wordprocessingCanvas">
                          <wpc:wpc>
                            <wpc:bg/>
                            <wpc:whole/>
                            <wps:wsp>
                              <wps:cNvPr id="1027" name="Line 3"/>
                              <wps:cNvCnPr>
                                <a:cxnSpLocks noChangeShapeType="1"/>
                              </wps:cNvCnPr>
                              <wps:spPr>
                                <a:xfrm>
                                  <a:off x="771525" y="352425"/>
                                  <a:ext cx="0" cy="0"/>
                                </a:xfrm>
                                <a:prstGeom prst="line">
                                  <a:avLst/>
                                </a:prstGeom>
                                <a:noFill/>
                                <a:ln w="9525">
                                  <a:solidFill>
                                    <a:srgbClr val="000000"/>
                                  </a:solidFill>
                                  <a:round/>
                                </a:ln>
                              </wps:spPr>
                              <wps:bodyPr/>
                            </wps:wsp>
                          </wpc:wpc>
                        </a:graphicData>
                      </a:graphic>
                    </wp:anchor>
                  </w:drawing>
                </mc:Choice>
                <mc:Fallback>
                  <w:pict>
                    <v:group id="Line 3" o:spid="_x0000_s1026" o:spt="203" style="position:absolute;left:0pt;margin-left:60pt;margin-top:-0.6pt;height:1.8pt;width:1.2pt;z-index:251661312;mso-width-relative:page;mso-height-relative:page;" coordsize="15240,22860" editas="canvas" o:gfxdata="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BYAAABkcnMvUEsBAhQAFAAA&#10;AAgAh07iQDi0naTWAAAACAEAAA8AAAAAAAAAAQAgAAAAOAAAAGRycy9kb3ducmV2LnhtbFBLAQIU&#10;ABQAAAAIAIdO4kCSU8yEGAIAAL8EAAAOAAAAAAAAAAEAIAAAADsBAABkcnMvZTJvRG9jLnhtbFBL&#10;BQYAAAAABgAGAFkBAADFBQAAAAA=&#10;">
                      <o:lock v:ext="edit" aspectratio="f"/>
                      <v:shape id="Line 3" o:spid="_x0000_s1026" style="position:absolute;left:0;top:0;height:22860;width:15240;" filled="f" stroked="f" coordsize="21600,21600" o:gfxdata="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BYAAABkcnMvUEsB&#10;AhQAFAAAAAgAh07iQDi0naTWAAAACAEAAA8AAAAAAAAAAQAgAAAAOAAAAGRycy9kb3ducmV2Lnht&#10;bFBLAQIUABQAAAAIAIdO4kC1CIkD5QEAABAEAAAOAAAAAAAAAAEAIAAAADsBAABkcnMvZTJvRG9j&#10;LnhtbFBLBQYAAAAABgAGAFkBAACSBQAAAAA=&#10;">
                        <v:fill on="f" focussize="0,0"/>
                        <v:stroke on="f"/>
                        <v:imagedata o:title=""/>
                        <o:lock v:ext="edit" aspectratio="f"/>
                      </v:shape>
                      <v:line id="Line 3" o:spid="_x0000_s1026" o:spt="20" style="position:absolute;left:771525;top:352425;height:0;width:0;" filled="f" stroked="t" coordsize="21600,21600" o:gfxdata="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WAAAAZHJzL1BLAQIUABQAAAAIAIdO4kDyv1DO1AAAAAgBAAAPAAAAAAAA&#10;AAEAIAAAADgAAABkcnMvZG93bnJldi54bWxQSwECFAAUAAAACACHTuJAbtjpkMcBAACYAwAADgAA&#10;AAAAAAABACAAAAA5AQAAZHJzL2Uyb0RvYy54bWxQSwUGAAAAAAYABgBZAQAAcgUAAAAA&#10;">
                        <v:fill on="f" focussize="0,0"/>
                        <v:stroke color="#000000" joinstyle="round"/>
                        <v:imagedata o:title=""/>
                        <o:lock v:ext="edit" aspectratio="f"/>
                      </v:line>
                    </v:group>
                  </w:pict>
                </mc:Fallback>
              </mc:AlternateContent>
            </w:r>
            <w:r>
              <w:rPr>
                <w:rFonts w:ascii="宋体" w:hAnsi="宋体" w:cs="宋体"/>
                <w:kern w:val="0"/>
                <w:sz w:val="24"/>
              </w:rPr>
              <mc:AlternateContent>
                <mc:Choice Requires="wpc">
                  <w:drawing>
                    <wp:anchor distT="0" distB="0" distL="114300" distR="114300" simplePos="0" relativeHeight="251662336" behindDoc="0" locked="0" layoutInCell="1" allowOverlap="1">
                      <wp:simplePos x="0" y="0"/>
                      <wp:positionH relativeFrom="column">
                        <wp:posOffset>762000</wp:posOffset>
                      </wp:positionH>
                      <wp:positionV relativeFrom="paragraph">
                        <wp:posOffset>-7620</wp:posOffset>
                      </wp:positionV>
                      <wp:extent cx="45720" cy="22860"/>
                      <wp:effectExtent l="0" t="0" r="0" b="0"/>
                      <wp:wrapNone/>
                      <wp:docPr id="5" name="Line 4"/>
                      <wp:cNvGraphicFramePr/>
                      <a:graphic xmlns:a="http://schemas.openxmlformats.org/drawingml/2006/main">
                        <a:graphicData uri="http://schemas.microsoft.com/office/word/2010/wordprocessingCanvas">
                          <wpc:wpc>
                            <wpc:bg/>
                            <wpc:whole/>
                            <wps:wsp>
                              <wps:cNvPr id="1028" name="Line 4"/>
                              <wps:cNvCnPr>
                                <a:cxnSpLocks noChangeShapeType="1"/>
                              </wps:cNvCnPr>
                              <wps:spPr>
                                <a:xfrm>
                                  <a:off x="771525" y="352425"/>
                                  <a:ext cx="28575" cy="0"/>
                                </a:xfrm>
                                <a:prstGeom prst="line">
                                  <a:avLst/>
                                </a:prstGeom>
                                <a:noFill/>
                                <a:ln w="9525">
                                  <a:solidFill>
                                    <a:srgbClr val="000000"/>
                                  </a:solidFill>
                                  <a:round/>
                                </a:ln>
                              </wps:spPr>
                              <wps:bodyPr/>
                            </wps:wsp>
                          </wpc:wpc>
                        </a:graphicData>
                      </a:graphic>
                    </wp:anchor>
                  </w:drawing>
                </mc:Choice>
                <mc:Fallback>
                  <w:pict>
                    <v:group id="Line 4" o:spid="_x0000_s1026" o:spt="203" style="position:absolute;left:0pt;margin-left:60pt;margin-top:-0.6pt;height:1.8pt;width:3.6pt;z-index:251662336;mso-width-relative:page;mso-height-relative:page;" coordsize="45720,22860" editas="canvas" o:gfxdata="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FgAAAGRycy9Q&#10;SwECFAAUAAAACACHTuJAjRmOlNcAAAAIAQAADwAAAAAAAAABACAAAAA4AAAAZHJzL2Rvd25yZXYu&#10;eG1sUEsBAhQAFAAAAAgAh07iQO5UBgUfAgAAwwQAAA4AAAAAAAAAAQAgAAAAPAEAAGRycy9lMm9E&#10;b2MueG1sUEsFBgAAAAAGAAYAWQEAAM0FAAAAAA==&#10;">
                      <o:lock v:ext="edit" aspectratio="f"/>
                      <v:shape id="Line 4" o:spid="_x0000_s1026" style="position:absolute;left:0;top:0;height:22860;width:45720;" filled="f" stroked="f" coordsize="21600,21600" o:gfxdata="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WAAAAZHJz&#10;L1BLAQIUABQAAAAIAIdO4kCNGY6U1wAAAAgBAAAPAAAAAAAAAAEAIAAAADgAAABkcnMvZG93bnJl&#10;di54bWxQSwECFAAUAAAACACHTuJA7zBQr+gBAAAUBAAADgAAAAAAAAABACAAAAA8AQAAZHJzL2Uy&#10;b0RvYy54bWxQSwUGAAAAAAYABgBZAQAAlgUAAAAA&#10;">
                        <v:fill on="f" focussize="0,0"/>
                        <v:stroke on="f"/>
                        <v:imagedata o:title=""/>
                        <o:lock v:ext="edit" aspectratio="f"/>
                      </v:shape>
                      <v:line id="Line 4" o:spid="_x0000_s1026" o:spt="20" style="position:absolute;left:771525;top:352425;height:0;width:28575;" filled="f" stroked="t" coordsize="21600,21600" o:gfxdata="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WAAAAZHJzL1BLAQIUABQAAAAIAIdO4kBHEkP+1AAAAAgBAAAPAAAA&#10;AAAAAAEAIAAAADgAAABkcnMvZG93bnJldi54bWxQSwECFAAUAAAACACHTuJA+lPFT8oBAACcAwAA&#10;DgAAAAAAAAABACAAAAA5AQAAZHJzL2Uyb0RvYy54bWxQSwUGAAAAAAYABgBZAQAAdQUAAAAA&#10;">
                        <v:fill on="f" focussize="0,0"/>
                        <v:stroke color="#000000" joinstyle="round"/>
                        <v:imagedata o:title=""/>
                        <o:lock v:ext="edit" aspectratio="f"/>
                      </v:line>
                    </v:group>
                  </w:pict>
                </mc:Fallback>
              </mc:AlternateContent>
            </w:r>
            <w:r>
              <w:rPr>
                <w:rFonts w:ascii="宋体" w:hAnsi="宋体" w:cs="宋体"/>
                <w:kern w:val="0"/>
                <w:sz w:val="24"/>
              </w:rPr>
              <mc:AlternateContent>
                <mc:Choice Requires="wpc">
                  <w:drawing>
                    <wp:anchor distT="0" distB="0" distL="114300" distR="114300" simplePos="0" relativeHeight="251663360" behindDoc="0" locked="0" layoutInCell="1" allowOverlap="1">
                      <wp:simplePos x="0" y="0"/>
                      <wp:positionH relativeFrom="column">
                        <wp:posOffset>762000</wp:posOffset>
                      </wp:positionH>
                      <wp:positionV relativeFrom="paragraph">
                        <wp:posOffset>-7620</wp:posOffset>
                      </wp:positionV>
                      <wp:extent cx="15240" cy="22860"/>
                      <wp:effectExtent l="0" t="0" r="0" b="0"/>
                      <wp:wrapNone/>
                      <wp:docPr id="6" name="Line 5"/>
                      <wp:cNvGraphicFramePr/>
                      <a:graphic xmlns:a="http://schemas.openxmlformats.org/drawingml/2006/main">
                        <a:graphicData uri="http://schemas.microsoft.com/office/word/2010/wordprocessingCanvas">
                          <wpc:wpc>
                            <wpc:bg/>
                            <wpc:whole/>
                            <wps:wsp>
                              <wps:cNvPr id="1029" name="Line 5"/>
                              <wps:cNvCnPr>
                                <a:cxnSpLocks noChangeShapeType="1"/>
                              </wps:cNvCnPr>
                              <wps:spPr>
                                <a:xfrm>
                                  <a:off x="771525" y="352425"/>
                                  <a:ext cx="0" cy="0"/>
                                </a:xfrm>
                                <a:prstGeom prst="line">
                                  <a:avLst/>
                                </a:prstGeom>
                                <a:noFill/>
                                <a:ln w="9525">
                                  <a:solidFill>
                                    <a:srgbClr val="000000"/>
                                  </a:solidFill>
                                  <a:round/>
                                </a:ln>
                              </wps:spPr>
                              <wps:bodyPr/>
                            </wps:wsp>
                          </wpc:wpc>
                        </a:graphicData>
                      </a:graphic>
                    </wp:anchor>
                  </w:drawing>
                </mc:Choice>
                <mc:Fallback>
                  <w:pict>
                    <v:group id="Line 5" o:spid="_x0000_s1026" o:spt="203" style="position:absolute;left:0pt;margin-left:60pt;margin-top:-0.6pt;height:1.8pt;width:1.2pt;z-index:251663360;mso-width-relative:page;mso-height-relative:page;" coordsize="15240,22860" editas="canvas" o:gfxdata="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BYAAABkcnMvUEsBAhQAFAAA&#10;AAgAh07iQDi0naTWAAAACAEAAA8AAAAAAAAAAQAgAAAAOAAAAGRycy9kb3ducmV2LnhtbFBLAQIU&#10;ABQAAAAIAIdO4kDI+Td5GAIAAL8EAAAOAAAAAAAAAAEAIAAAADsBAABkcnMvZTJvRG9jLnhtbFBL&#10;BQYAAAAABgAGAFkBAADFBQAAAAA=&#10;">
                      <o:lock v:ext="edit" aspectratio="f"/>
                      <v:shape id="Line 5" o:spid="_x0000_s1026" style="position:absolute;left:0;top:0;height:22860;width:15240;" filled="f" stroked="f" coordsize="21600,21600" o:gfxdata="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BYAAABkcnMvUEsB&#10;AhQAFAAAAAgAh07iQDi0naTWAAAACAEAAA8AAAAAAAAAAQAgAAAAOAAAAGRycy9kb3ducmV2Lnht&#10;bFBLAQIUABQAAAAIAIdO4kBZD3N65QEAABAEAAAOAAAAAAAAAAEAIAAAADsBAABkcnMvZTJvRG9j&#10;LnhtbFBLBQYAAAAABgAGAFkBAACSBQAAAAA=&#10;">
                        <v:fill on="f" focussize="0,0"/>
                        <v:stroke on="f"/>
                        <v:imagedata o:title=""/>
                        <o:lock v:ext="edit" aspectratio="f"/>
                      </v:shape>
                      <v:line id="Line 5" o:spid="_x0000_s1026" o:spt="20" style="position:absolute;left:771525;top:352425;height:0;width:0;" filled="f" stroked="t" coordsize="21600,21600" o:gfxdata="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WAAAAZHJzL1BLAQIUABQAAAAIAIdO4kDyv1DO1AAAAAgBAAAPAAAAAAAA&#10;AAEAIAAAADgAAABkcnMvZG93bnJldi54bWxQSwECFAAUAAAACACHTuJA3ujF2McBAACYAwAADgAA&#10;AAAAAAABACAAAAA5AQAAZHJzL2Uyb0RvYy54bWxQSwUGAAAAAAYABgBZAQAAcgUAAAAA&#10;">
                        <v:fill on="f" focussize="0,0"/>
                        <v:stroke color="#000000" joinstyle="round"/>
                        <v:imagedata o:title=""/>
                        <o:lock v:ext="edit" aspectratio="f"/>
                      </v:line>
                    </v:group>
                  </w:pict>
                </mc:Fallback>
              </mc:AlternateContent>
            </w:r>
            <w:r>
              <w:rPr>
                <w:rFonts w:ascii="宋体" w:hAnsi="宋体" w:cs="宋体"/>
                <w:kern w:val="0"/>
                <w:sz w:val="24"/>
              </w:rPr>
              <mc:AlternateContent>
                <mc:Choice Requires="wpc">
                  <w:drawing>
                    <wp:anchor distT="0" distB="0" distL="114300" distR="114300" simplePos="0" relativeHeight="251664384" behindDoc="0" locked="0" layoutInCell="1" allowOverlap="1">
                      <wp:simplePos x="0" y="0"/>
                      <wp:positionH relativeFrom="column">
                        <wp:posOffset>1424940</wp:posOffset>
                      </wp:positionH>
                      <wp:positionV relativeFrom="paragraph">
                        <wp:posOffset>-7620</wp:posOffset>
                      </wp:positionV>
                      <wp:extent cx="15240" cy="22860"/>
                      <wp:effectExtent l="0" t="0" r="0" b="0"/>
                      <wp:wrapNone/>
                      <wp:docPr id="7" name="Line 6"/>
                      <wp:cNvGraphicFramePr/>
                      <a:graphic xmlns:a="http://schemas.openxmlformats.org/drawingml/2006/main">
                        <a:graphicData uri="http://schemas.microsoft.com/office/word/2010/wordprocessingCanvas">
                          <wpc:wpc>
                            <wpc:bg/>
                            <wpc:whole/>
                            <wps:wsp>
                              <wps:cNvPr id="1030" name="Line 6"/>
                              <wps:cNvCnPr>
                                <a:cxnSpLocks noChangeShapeType="1"/>
                              </wps:cNvCnPr>
                              <wps:spPr>
                                <a:xfrm>
                                  <a:off x="1438275" y="352425"/>
                                  <a:ext cx="0" cy="0"/>
                                </a:xfrm>
                                <a:prstGeom prst="line">
                                  <a:avLst/>
                                </a:prstGeom>
                                <a:noFill/>
                                <a:ln w="9525">
                                  <a:solidFill>
                                    <a:srgbClr val="000000"/>
                                  </a:solidFill>
                                  <a:round/>
                                </a:ln>
                              </wps:spPr>
                              <wps:bodyPr/>
                            </wps:wsp>
                          </wpc:wpc>
                        </a:graphicData>
                      </a:graphic>
                    </wp:anchor>
                  </w:drawing>
                </mc:Choice>
                <mc:Fallback>
                  <w:pict>
                    <v:group id="Line 6" o:spid="_x0000_s1026" o:spt="203" style="position:absolute;left:0pt;margin-left:112.2pt;margin-top:-0.6pt;height:1.8pt;width:1.2pt;z-index:251664384;mso-width-relative:page;mso-height-relative:page;" coordsize="15240,22860" editas="canvas" o:gfxdata="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BYAAABkcnMvUEsB&#10;AhQAFAAAAAgAh07iQOOfrfDYAAAACAEAAA8AAAAAAAAAAQAgAAAAOAAAAGRycy9kb3ducmV2Lnht&#10;bFBLAQIUABQAAAAIAIdO4kAkJDohHAIAAMAEAAAOAAAAAAAAAAEAIAAAAD0BAABkcnMvZTJvRG9j&#10;LnhtbFBLBQYAAAAABgAGAFkBAADLBQAAAAA=&#10;">
                      <o:lock v:ext="edit" aspectratio="f"/>
                      <v:shape id="Line 6" o:spid="_x0000_s1026" style="position:absolute;left:0;top:0;height:22860;width:15240;" filled="f" stroked="f" coordsize="21600,21600" o:gfxdata="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BYAAABkcnMv&#10;UEsBAhQAFAAAAAgAh07iQOOfrfDYAAAACAEAAA8AAAAAAAAAAQAgAAAAOAAAAGRycy9kb3ducmV2&#10;LnhtbFBLAQIUABQAAAAIAIdO4kC7Ob1c5gEAABEEAAAOAAAAAAAAAAEAIAAAAD0BAABkcnMvZTJv&#10;RG9jLnhtbFBLBQYAAAAABgAGAFkBAACVBQAAAAA=&#10;">
                        <v:fill on="f" focussize="0,0"/>
                        <v:stroke on="f"/>
                        <v:imagedata o:title=""/>
                        <o:lock v:ext="edit" aspectratio="f"/>
                      </v:shape>
                      <v:line id="Line 6" o:spid="_x0000_s1026" o:spt="20" style="position:absolute;left:1438275;top:352425;height:0;width:0;" filled="f" stroked="t" coordsize="21600,21600" o:gfxdata="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WAAAAZHJzL1BLAQIUABQAAAAIAIdO4kAplGCa1gAAAAgBAAAPAAAA&#10;AAAAAAEAIAAAADgAAABkcnMvZG93bnJldi54bWxQSwECFAAUAAAACACHTuJAovCWO8gBAACZAwAA&#10;DgAAAAAAAAABACAAAAA7AQAAZHJzL2Uyb0RvYy54bWxQSwUGAAAAAAYABgBZAQAAdQUAAAAA&#10;">
                        <v:fill on="f" focussize="0,0"/>
                        <v:stroke color="#000000" joinstyle="round"/>
                        <v:imagedata o:title=""/>
                        <o:lock v:ext="edit" aspectratio="f"/>
                      </v:line>
                    </v:group>
                  </w:pict>
                </mc:Fallback>
              </mc:AlternateContent>
            </w:r>
          </w:p>
          <w:tbl>
            <w:tblPr>
              <w:tblStyle w:val="14"/>
              <w:tblW w:w="9300" w:type="dxa"/>
              <w:tblCellSpacing w:w="0" w:type="dxa"/>
              <w:tblInd w:w="0" w:type="dxa"/>
              <w:tblLayout w:type="fixed"/>
              <w:tblCellMar>
                <w:top w:w="0" w:type="dxa"/>
                <w:left w:w="0" w:type="dxa"/>
                <w:bottom w:w="0" w:type="dxa"/>
                <w:right w:w="0" w:type="dxa"/>
              </w:tblCellMar>
            </w:tblPr>
            <w:tblGrid>
              <w:gridCol w:w="9300"/>
            </w:tblGrid>
            <w:tr>
              <w:tblPrEx>
                <w:tblCellMar>
                  <w:top w:w="0" w:type="dxa"/>
                  <w:left w:w="0" w:type="dxa"/>
                  <w:bottom w:w="0" w:type="dxa"/>
                  <w:right w:w="0" w:type="dxa"/>
                </w:tblCellMar>
              </w:tblPrEx>
              <w:trPr>
                <w:trHeight w:val="555" w:hRule="atLeast"/>
                <w:tblCellSpacing w:w="0" w:type="dxa"/>
              </w:trPr>
              <w:tc>
                <w:tcPr>
                  <w:tcW w:w="9300" w:type="dxa"/>
                  <w:tcBorders>
                    <w:top w:val="nil"/>
                    <w:left w:val="nil"/>
                    <w:bottom w:val="nil"/>
                    <w:right w:val="nil"/>
                  </w:tcBorders>
                  <w:shd w:val="clear" w:color="auto" w:fill="auto"/>
                  <w:vAlign w:val="center"/>
                </w:tcPr>
                <w:p>
                  <w:pPr>
                    <w:widowControl/>
                    <w:jc w:val="center"/>
                    <w:rPr>
                      <w:rFonts w:ascii="宋体" w:hAnsi="宋体" w:cs="宋体"/>
                      <w:b/>
                      <w:bCs/>
                      <w:kern w:val="0"/>
                      <w:sz w:val="24"/>
                    </w:rPr>
                  </w:pPr>
                </w:p>
                <w:p>
                  <w:pPr>
                    <w:widowControl/>
                    <w:jc w:val="center"/>
                    <w:rPr>
                      <w:rFonts w:ascii="宋体" w:hAnsi="宋体" w:cs="宋体"/>
                      <w:b/>
                      <w:bCs/>
                      <w:kern w:val="0"/>
                      <w:sz w:val="24"/>
                    </w:rPr>
                  </w:pPr>
                </w:p>
                <w:p>
                  <w:pPr>
                    <w:widowControl/>
                    <w:jc w:val="center"/>
                    <w:rPr>
                      <w:rFonts w:ascii="宋体" w:hAnsi="宋体" w:cs="宋体"/>
                      <w:b/>
                      <w:bCs/>
                      <w:kern w:val="0"/>
                      <w:sz w:val="24"/>
                    </w:rPr>
                  </w:pPr>
                  <w:r>
                    <w:rPr>
                      <w:rFonts w:hint="eastAsia" w:ascii="宋体" w:hAnsi="宋体" w:cs="宋体"/>
                      <w:b/>
                      <w:bCs/>
                      <w:kern w:val="0"/>
                      <w:sz w:val="24"/>
                    </w:rPr>
                    <w:t>项目支出绩效目标完成情况表</w:t>
                  </w:r>
                </w:p>
              </w:tc>
            </w:tr>
          </w:tbl>
          <w:p>
            <w:pPr>
              <w:widowControl/>
              <w:jc w:val="left"/>
              <w:rPr>
                <w:rFonts w:ascii="宋体" w:hAnsi="宋体" w:cs="宋体"/>
                <w:kern w:val="0"/>
                <w:sz w:val="24"/>
              </w:rPr>
            </w:pPr>
          </w:p>
        </w:tc>
      </w:tr>
      <w:tr>
        <w:tblPrEx>
          <w:tblCellMar>
            <w:top w:w="0" w:type="dxa"/>
            <w:left w:w="108" w:type="dxa"/>
            <w:bottom w:w="0" w:type="dxa"/>
            <w:right w:w="108" w:type="dxa"/>
          </w:tblCellMar>
        </w:tblPrEx>
        <w:trPr>
          <w:trHeight w:val="555" w:hRule="atLeast"/>
        </w:trPr>
        <w:tc>
          <w:tcPr>
            <w:tcW w:w="2562" w:type="dxa"/>
            <w:gridSpan w:val="3"/>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项目名称</w:t>
            </w:r>
          </w:p>
        </w:tc>
        <w:tc>
          <w:tcPr>
            <w:tcW w:w="6954" w:type="dxa"/>
            <w:gridSpan w:val="5"/>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宋体" w:hAnsi="宋体" w:cs="宋体"/>
                <w:b/>
                <w:bCs/>
                <w:kern w:val="0"/>
                <w:sz w:val="24"/>
              </w:rPr>
            </w:pPr>
            <w:r>
              <w:rPr>
                <w:rFonts w:hint="eastAsia" w:ascii="宋体" w:hAnsi="宋体" w:cs="宋体"/>
                <w:b/>
                <w:bCs/>
                <w:kern w:val="0"/>
                <w:sz w:val="24"/>
              </w:rPr>
              <w:t>一般行政管事务　</w:t>
            </w:r>
          </w:p>
        </w:tc>
      </w:tr>
      <w:tr>
        <w:tblPrEx>
          <w:tblCellMar>
            <w:top w:w="0" w:type="dxa"/>
            <w:left w:w="108" w:type="dxa"/>
            <w:bottom w:w="0" w:type="dxa"/>
            <w:right w:w="108" w:type="dxa"/>
          </w:tblCellMar>
        </w:tblPrEx>
        <w:trPr>
          <w:trHeight w:val="555" w:hRule="atLeast"/>
        </w:trPr>
        <w:tc>
          <w:tcPr>
            <w:tcW w:w="2562" w:type="dxa"/>
            <w:gridSpan w:val="3"/>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预算单位</w:t>
            </w:r>
          </w:p>
        </w:tc>
        <w:tc>
          <w:tcPr>
            <w:tcW w:w="6954" w:type="dxa"/>
            <w:gridSpan w:val="5"/>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宋体" w:hAnsi="宋体" w:cs="宋体"/>
                <w:b/>
                <w:bCs/>
                <w:kern w:val="0"/>
                <w:sz w:val="24"/>
              </w:rPr>
            </w:pPr>
            <w:r>
              <w:rPr>
                <w:rFonts w:hint="eastAsia" w:ascii="宋体" w:hAnsi="宋体" w:cs="宋体"/>
                <w:b/>
                <w:bCs/>
                <w:kern w:val="0"/>
                <w:sz w:val="24"/>
              </w:rPr>
              <w:t>红原县人民政府办公室　</w:t>
            </w:r>
          </w:p>
        </w:tc>
      </w:tr>
      <w:tr>
        <w:tblPrEx>
          <w:tblCellMar>
            <w:top w:w="0" w:type="dxa"/>
            <w:left w:w="108" w:type="dxa"/>
            <w:bottom w:w="0" w:type="dxa"/>
            <w:right w:w="108" w:type="dxa"/>
          </w:tblCellMar>
        </w:tblPrEx>
        <w:trPr>
          <w:trHeight w:val="555" w:hRule="atLeast"/>
        </w:trPr>
        <w:tc>
          <w:tcPr>
            <w:tcW w:w="516"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预算执行情况(万元</w:t>
            </w:r>
          </w:p>
        </w:tc>
        <w:tc>
          <w:tcPr>
            <w:tcW w:w="2046" w:type="dxa"/>
            <w:gridSpan w:val="2"/>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宋体" w:hAnsi="宋体" w:cs="宋体"/>
                <w:b/>
                <w:bCs/>
                <w:kern w:val="0"/>
                <w:sz w:val="24"/>
              </w:rPr>
            </w:pPr>
            <w:r>
              <w:rPr>
                <w:rFonts w:hint="eastAsia" w:ascii="宋体" w:hAnsi="宋体" w:cs="宋体"/>
                <w:b/>
                <w:bCs/>
                <w:kern w:val="0"/>
                <w:sz w:val="24"/>
              </w:rPr>
              <w:t>预算数:</w:t>
            </w:r>
          </w:p>
        </w:tc>
        <w:tc>
          <w:tcPr>
            <w:tcW w:w="1920" w:type="dxa"/>
            <w:gridSpan w:val="2"/>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宋体" w:hAnsi="宋体" w:cs="宋体"/>
                <w:b/>
                <w:bCs/>
                <w:kern w:val="0"/>
                <w:sz w:val="24"/>
              </w:rPr>
            </w:pPr>
            <w:r>
              <w:rPr>
                <w:rFonts w:hint="eastAsia" w:ascii="宋体" w:hAnsi="宋体" w:cs="宋体"/>
                <w:b/>
                <w:bCs/>
                <w:kern w:val="0"/>
                <w:sz w:val="24"/>
              </w:rPr>
              <w:t>30万元1　</w:t>
            </w:r>
          </w:p>
        </w:tc>
        <w:tc>
          <w:tcPr>
            <w:tcW w:w="17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kern w:val="0"/>
                <w:sz w:val="24"/>
              </w:rPr>
            </w:pPr>
            <w:r>
              <w:rPr>
                <w:rFonts w:hint="eastAsia" w:ascii="宋体" w:hAnsi="宋体" w:cs="宋体"/>
                <w:b/>
                <w:bCs/>
                <w:kern w:val="0"/>
                <w:sz w:val="24"/>
              </w:rPr>
              <w:t>执行数:</w:t>
            </w:r>
          </w:p>
        </w:tc>
        <w:tc>
          <w:tcPr>
            <w:tcW w:w="3274" w:type="dxa"/>
            <w:gridSpan w:val="2"/>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宋体" w:hAnsi="宋体" w:cs="宋体"/>
                <w:b/>
                <w:bCs/>
                <w:kern w:val="0"/>
                <w:sz w:val="24"/>
              </w:rPr>
            </w:pPr>
            <w:r>
              <w:rPr>
                <w:rFonts w:hint="eastAsia" w:ascii="宋体" w:hAnsi="宋体" w:cs="宋体"/>
                <w:b/>
                <w:bCs/>
                <w:kern w:val="0"/>
                <w:sz w:val="24"/>
              </w:rPr>
              <w:t>30万元</w:t>
            </w:r>
          </w:p>
        </w:tc>
      </w:tr>
      <w:tr>
        <w:tblPrEx>
          <w:tblCellMar>
            <w:top w:w="0" w:type="dxa"/>
            <w:left w:w="108" w:type="dxa"/>
            <w:bottom w:w="0" w:type="dxa"/>
            <w:right w:w="108" w:type="dxa"/>
          </w:tblCellMar>
        </w:tblPrEx>
        <w:trPr>
          <w:trHeight w:val="555" w:hRule="atLeast"/>
        </w:trPr>
        <w:tc>
          <w:tcPr>
            <w:tcW w:w="516"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20"/>
                <w:szCs w:val="20"/>
              </w:rPr>
            </w:pPr>
          </w:p>
        </w:tc>
        <w:tc>
          <w:tcPr>
            <w:tcW w:w="2046" w:type="dxa"/>
            <w:gridSpan w:val="2"/>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宋体" w:hAnsi="宋体" w:cs="宋体"/>
                <w:b/>
                <w:bCs/>
                <w:kern w:val="0"/>
                <w:sz w:val="24"/>
              </w:rPr>
            </w:pPr>
            <w:r>
              <w:rPr>
                <w:rFonts w:hint="eastAsia" w:ascii="宋体" w:hAnsi="宋体" w:cs="宋体"/>
                <w:b/>
                <w:bCs/>
                <w:kern w:val="0"/>
                <w:sz w:val="24"/>
              </w:rPr>
              <w:t>其中-财政拨款:</w:t>
            </w:r>
          </w:p>
        </w:tc>
        <w:tc>
          <w:tcPr>
            <w:tcW w:w="1920" w:type="dxa"/>
            <w:gridSpan w:val="2"/>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宋体" w:hAnsi="宋体" w:cs="宋体"/>
                <w:b/>
                <w:bCs/>
                <w:kern w:val="0"/>
                <w:sz w:val="24"/>
              </w:rPr>
            </w:pPr>
            <w:r>
              <w:rPr>
                <w:rFonts w:hint="eastAsia" w:ascii="宋体" w:hAnsi="宋体" w:cs="宋体"/>
                <w:b/>
                <w:bCs/>
                <w:kern w:val="0"/>
                <w:sz w:val="24"/>
              </w:rPr>
              <w:t>30万元</w:t>
            </w:r>
          </w:p>
        </w:tc>
        <w:tc>
          <w:tcPr>
            <w:tcW w:w="17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kern w:val="0"/>
                <w:sz w:val="24"/>
              </w:rPr>
            </w:pPr>
            <w:r>
              <w:rPr>
                <w:rFonts w:hint="eastAsia" w:ascii="宋体" w:hAnsi="宋体" w:cs="宋体"/>
                <w:b/>
                <w:bCs/>
                <w:kern w:val="0"/>
                <w:sz w:val="24"/>
              </w:rPr>
              <w:t>其中-财政拨款:</w:t>
            </w:r>
          </w:p>
        </w:tc>
        <w:tc>
          <w:tcPr>
            <w:tcW w:w="3274" w:type="dxa"/>
            <w:gridSpan w:val="2"/>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宋体" w:hAnsi="宋体" w:cs="宋体"/>
                <w:b/>
                <w:bCs/>
                <w:kern w:val="0"/>
                <w:sz w:val="24"/>
              </w:rPr>
            </w:pPr>
            <w:r>
              <w:rPr>
                <w:rFonts w:hint="eastAsia" w:ascii="宋体" w:hAnsi="宋体" w:cs="宋体"/>
                <w:b/>
                <w:bCs/>
                <w:kern w:val="0"/>
                <w:sz w:val="24"/>
              </w:rPr>
              <w:t>30万元　</w:t>
            </w:r>
          </w:p>
        </w:tc>
      </w:tr>
      <w:tr>
        <w:tblPrEx>
          <w:tblCellMar>
            <w:top w:w="0" w:type="dxa"/>
            <w:left w:w="108" w:type="dxa"/>
            <w:bottom w:w="0" w:type="dxa"/>
            <w:right w:w="108" w:type="dxa"/>
          </w:tblCellMar>
        </w:tblPrEx>
        <w:trPr>
          <w:trHeight w:val="555" w:hRule="atLeast"/>
        </w:trPr>
        <w:tc>
          <w:tcPr>
            <w:tcW w:w="516"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20"/>
                <w:szCs w:val="20"/>
              </w:rPr>
            </w:pPr>
          </w:p>
        </w:tc>
        <w:tc>
          <w:tcPr>
            <w:tcW w:w="2046" w:type="dxa"/>
            <w:gridSpan w:val="2"/>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宋体" w:hAnsi="宋体" w:cs="宋体"/>
                <w:b/>
                <w:bCs/>
                <w:kern w:val="0"/>
                <w:sz w:val="24"/>
              </w:rPr>
            </w:pPr>
            <w:r>
              <w:rPr>
                <w:rFonts w:hint="eastAsia" w:ascii="宋体" w:hAnsi="宋体" w:cs="宋体"/>
                <w:b/>
                <w:bCs/>
                <w:kern w:val="0"/>
                <w:sz w:val="24"/>
              </w:rPr>
              <w:t>其它资金:</w:t>
            </w:r>
          </w:p>
        </w:tc>
        <w:tc>
          <w:tcPr>
            <w:tcW w:w="1920" w:type="dxa"/>
            <w:gridSpan w:val="2"/>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宋体" w:hAnsi="宋体" w:cs="宋体"/>
                <w:b/>
                <w:bCs/>
                <w:kern w:val="0"/>
                <w:sz w:val="24"/>
              </w:rPr>
            </w:pPr>
            <w:r>
              <w:rPr>
                <w:rFonts w:hint="eastAsia" w:ascii="宋体" w:hAnsi="宋体" w:cs="宋体"/>
                <w:b/>
                <w:bCs/>
                <w:kern w:val="0"/>
                <w:sz w:val="24"/>
              </w:rPr>
              <w:t>0　</w:t>
            </w:r>
          </w:p>
        </w:tc>
        <w:tc>
          <w:tcPr>
            <w:tcW w:w="17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kern w:val="0"/>
                <w:sz w:val="24"/>
              </w:rPr>
            </w:pPr>
            <w:r>
              <w:rPr>
                <w:rFonts w:hint="eastAsia" w:ascii="宋体" w:hAnsi="宋体" w:cs="宋体"/>
                <w:b/>
                <w:bCs/>
                <w:kern w:val="0"/>
                <w:sz w:val="24"/>
              </w:rPr>
              <w:t>其它资金:</w:t>
            </w:r>
          </w:p>
        </w:tc>
        <w:tc>
          <w:tcPr>
            <w:tcW w:w="3274" w:type="dxa"/>
            <w:gridSpan w:val="2"/>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宋体" w:hAnsi="宋体" w:cs="宋体"/>
                <w:b/>
                <w:bCs/>
                <w:kern w:val="0"/>
                <w:sz w:val="24"/>
              </w:rPr>
            </w:pPr>
            <w:r>
              <w:rPr>
                <w:rFonts w:hint="eastAsia" w:ascii="宋体" w:hAnsi="宋体" w:cs="宋体"/>
                <w:b/>
                <w:bCs/>
                <w:kern w:val="0"/>
                <w:sz w:val="24"/>
              </w:rPr>
              <w:t>0　</w:t>
            </w:r>
          </w:p>
        </w:tc>
      </w:tr>
      <w:tr>
        <w:tblPrEx>
          <w:tblCellMar>
            <w:top w:w="0" w:type="dxa"/>
            <w:left w:w="108" w:type="dxa"/>
            <w:bottom w:w="0" w:type="dxa"/>
            <w:right w:w="108" w:type="dxa"/>
          </w:tblCellMar>
        </w:tblPrEx>
        <w:trPr>
          <w:trHeight w:val="555" w:hRule="atLeast"/>
        </w:trPr>
        <w:tc>
          <w:tcPr>
            <w:tcW w:w="516"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年度目标完成情况</w:t>
            </w:r>
          </w:p>
        </w:tc>
        <w:tc>
          <w:tcPr>
            <w:tcW w:w="2786" w:type="dxa"/>
            <w:gridSpan w:val="3"/>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宋体" w:hAnsi="宋体" w:cs="宋体"/>
                <w:b/>
                <w:bCs/>
                <w:kern w:val="0"/>
                <w:sz w:val="24"/>
              </w:rPr>
            </w:pPr>
            <w:r>
              <w:rPr>
                <w:rFonts w:hint="eastAsia" w:ascii="宋体" w:hAnsi="宋体" w:cs="宋体"/>
                <w:b/>
                <w:bCs/>
                <w:kern w:val="0"/>
                <w:sz w:val="24"/>
              </w:rPr>
              <w:t>预期目标</w:t>
            </w:r>
          </w:p>
        </w:tc>
        <w:tc>
          <w:tcPr>
            <w:tcW w:w="6214" w:type="dxa"/>
            <w:gridSpan w:val="4"/>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宋体" w:hAnsi="宋体" w:cs="宋体"/>
                <w:b/>
                <w:bCs/>
                <w:kern w:val="0"/>
                <w:sz w:val="24"/>
              </w:rPr>
            </w:pPr>
            <w:r>
              <w:rPr>
                <w:rFonts w:hint="eastAsia" w:ascii="宋体" w:hAnsi="宋体" w:cs="宋体"/>
                <w:b/>
                <w:bCs/>
                <w:kern w:val="0"/>
                <w:sz w:val="24"/>
              </w:rPr>
              <w:t>实际完成目标</w:t>
            </w:r>
          </w:p>
        </w:tc>
      </w:tr>
      <w:tr>
        <w:tblPrEx>
          <w:tblCellMar>
            <w:top w:w="0" w:type="dxa"/>
            <w:left w:w="108" w:type="dxa"/>
            <w:bottom w:w="0" w:type="dxa"/>
            <w:right w:w="108" w:type="dxa"/>
          </w:tblCellMar>
        </w:tblPrEx>
        <w:trPr>
          <w:trHeight w:val="1920" w:hRule="atLeast"/>
        </w:trPr>
        <w:tc>
          <w:tcPr>
            <w:tcW w:w="516"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20"/>
                <w:szCs w:val="20"/>
              </w:rPr>
            </w:pPr>
          </w:p>
        </w:tc>
        <w:tc>
          <w:tcPr>
            <w:tcW w:w="2786" w:type="dxa"/>
            <w:gridSpan w:val="3"/>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宋体" w:hAnsi="宋体" w:cs="宋体"/>
                <w:b/>
                <w:bCs/>
                <w:kern w:val="0"/>
                <w:sz w:val="24"/>
              </w:rPr>
            </w:pPr>
            <w:r>
              <w:rPr>
                <w:rFonts w:hint="eastAsia" w:ascii="宋体" w:hAnsi="宋体" w:cs="宋体"/>
                <w:b/>
                <w:bCs/>
                <w:kern w:val="0"/>
                <w:sz w:val="24"/>
              </w:rPr>
              <w:t>完成当年一般行政管理事务运行　</w:t>
            </w:r>
          </w:p>
        </w:tc>
        <w:tc>
          <w:tcPr>
            <w:tcW w:w="6214" w:type="dxa"/>
            <w:gridSpan w:val="4"/>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宋体" w:hAnsi="宋体" w:cs="宋体"/>
                <w:b/>
                <w:bCs/>
                <w:kern w:val="0"/>
                <w:sz w:val="24"/>
              </w:rPr>
            </w:pPr>
            <w:r>
              <w:rPr>
                <w:rFonts w:hint="eastAsia" w:ascii="宋体" w:hAnsi="宋体" w:cs="宋体"/>
                <w:b/>
                <w:bCs/>
                <w:kern w:val="0"/>
                <w:sz w:val="24"/>
              </w:rPr>
              <w:t>完成100%　</w:t>
            </w:r>
          </w:p>
        </w:tc>
      </w:tr>
      <w:tr>
        <w:tblPrEx>
          <w:tblCellMar>
            <w:top w:w="0" w:type="dxa"/>
            <w:left w:w="108" w:type="dxa"/>
            <w:bottom w:w="0" w:type="dxa"/>
            <w:right w:w="108" w:type="dxa"/>
          </w:tblCellMar>
        </w:tblPrEx>
        <w:trPr>
          <w:trHeight w:val="555" w:hRule="atLeast"/>
        </w:trPr>
        <w:tc>
          <w:tcPr>
            <w:tcW w:w="516" w:type="dxa"/>
            <w:vMerge w:val="restart"/>
            <w:tcBorders>
              <w:top w:val="nil"/>
              <w:left w:val="nil"/>
              <w:bottom w:val="nil"/>
              <w:right w:val="nil"/>
            </w:tcBorders>
            <w:shd w:val="clear" w:color="auto" w:fill="auto"/>
            <w:vAlign w:val="bottom"/>
          </w:tcPr>
          <w:p>
            <w:pPr>
              <w:widowControl/>
              <w:jc w:val="left"/>
              <w:rPr>
                <w:rFonts w:ascii="宋体" w:hAnsi="宋体" w:cs="宋体"/>
                <w:kern w:val="0"/>
                <w:sz w:val="24"/>
              </w:rPr>
            </w:pPr>
            <w:r>
              <w:rPr>
                <w:rFonts w:ascii="宋体" w:hAnsi="宋体" w:cs="宋体"/>
                <w:kern w:val="0"/>
                <w:sz w:val="24"/>
              </w:rPr>
              <mc:AlternateContent>
                <mc:Choice Requires="wpc">
                  <w:drawing>
                    <wp:anchor distT="0" distB="0" distL="114300" distR="114300" simplePos="0" relativeHeight="251665408" behindDoc="0" locked="0" layoutInCell="1" allowOverlap="1">
                      <wp:simplePos x="0" y="0"/>
                      <wp:positionH relativeFrom="column">
                        <wp:posOffset>274320</wp:posOffset>
                      </wp:positionH>
                      <wp:positionV relativeFrom="paragraph">
                        <wp:posOffset>14279880</wp:posOffset>
                      </wp:positionV>
                      <wp:extent cx="45720" cy="30480"/>
                      <wp:effectExtent l="0" t="0" r="0" b="0"/>
                      <wp:wrapNone/>
                      <wp:docPr id="12" name="直接连接符 6"/>
                      <wp:cNvGraphicFramePr/>
                      <a:graphic xmlns:a="http://schemas.openxmlformats.org/drawingml/2006/main">
                        <a:graphicData uri="http://schemas.microsoft.com/office/word/2010/wordprocessingCanvas">
                          <wpc:wpc>
                            <wpc:bg/>
                            <wpc:whole/>
                            <wps:wsp>
                              <wps:cNvPr id="1035" name="直接连接符 6"/>
                              <wps:cNvCnPr/>
                              <wps:spPr>
                                <a:xfrm>
                                  <a:off x="285750" y="18415000"/>
                                  <a:ext cx="28575" cy="9525"/>
                                </a:xfrm>
                                <a:prstGeom prst="line">
                                  <a:avLst/>
                                </a:prstGeom>
                                <a:noFill/>
                                <a:ln w="9525">
                                  <a:solidFill>
                                    <a:srgbClr val="000000"/>
                                  </a:solidFill>
                                  <a:round/>
                                </a:ln>
                              </wps:spPr>
                              <wps:bodyPr/>
                            </wps:wsp>
                          </wpc:wpc>
                        </a:graphicData>
                      </a:graphic>
                    </wp:anchor>
                  </w:drawing>
                </mc:Choice>
                <mc:Fallback>
                  <w:pict>
                    <v:group id="直接连接符 6" o:spid="_x0000_s1026" o:spt="203" style="position:absolute;left:0pt;margin-left:21.6pt;margin-top:1124.4pt;height:2.4pt;width:3.6pt;z-index:251665408;mso-width-relative:page;mso-height-relative:page;" coordsize="45720,30480" editas="canvas" o:gfxdata="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WAAAAZHJz&#10;L1BLAQIUABQAAAAIAIdO4kBsdpgw2wAAAAsBAAAPAAAAAAAAAAEAIAAAADgAAABkcnMvZG93bnJl&#10;di54bWxQSwECFAAUAAAACACHTuJAuh07IB0CAACtBAAADgAAAAAAAAABACAAAABAAQAAZHJzL2Uy&#10;b0RvYy54bWxQSwUGAAAAAAYABgBZAQAAzwUAAAAA&#10;">
                      <o:lock v:ext="edit" aspectratio="f"/>
                      <v:shape id="直接连接符 6" o:spid="_x0000_s1026" style="position:absolute;left:0;top:0;height:30480;width:45720;" filled="f" stroked="f" coordsize="21600,21600" o:gfxdata="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BYAAABkcnMv&#10;UEsBAhQAFAAAAAgAh07iQGx2mDDbAAAACwEAAA8AAAAAAAAAAQAgAAAAOAAAAGRycy9kb3ducmV2&#10;LnhtbFBLAQIUABQAAAAIAIdO4kATcFv84wEAAPIDAAAOAAAAAAAAAAEAIAAAAEABAABkcnMvZTJv&#10;RG9jLnhtbFBLBQYAAAAABgAGAFkBAACVBQAAAAA=&#10;">
                        <v:fill on="f" focussize="0,0"/>
                        <v:stroke on="f"/>
                        <v:imagedata o:title=""/>
                        <o:lock v:ext="edit" aspectratio="f"/>
                      </v:shape>
                      <v:line id="直接连接符 6" o:spid="_x0000_s1026" o:spt="20" style="position:absolute;left:285750;top:18415000;height:9525;width:28575;" filled="f" stroked="t" coordsize="21600,21600" o:gfxdata="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FgAAAGRycy9QSwECFAAUAAAACACHTuJAVgKBqtgAAAALAQAADwAA&#10;AAAAAAABACAAAAA4AAAAZHJzL2Rvd25yZXYueG1sUEsBAhQAFAAAAAgAh07iQGnpDAPHAQAAegMA&#10;AA4AAAAAAAAAAQAgAAAAPQEAAGRycy9lMm9Eb2MueG1sUEsFBgAAAAAGAAYAWQEAAHYFAAAAAA==&#10;">
                        <v:fill on="f" focussize="0,0"/>
                        <v:stroke color="#000000" joinstyle="round"/>
                        <v:imagedata o:title=""/>
                        <o:lock v:ext="edit" aspectratio="f"/>
                      </v:line>
                    </v:group>
                  </w:pict>
                </mc:Fallback>
              </mc:AlternateContent>
            </w:r>
          </w:p>
          <w:tbl>
            <w:tblPr>
              <w:tblStyle w:val="14"/>
              <w:tblW w:w="290" w:type="dxa"/>
              <w:tblCellSpacing w:w="0" w:type="dxa"/>
              <w:tblInd w:w="0" w:type="dxa"/>
              <w:tblLayout w:type="fixed"/>
              <w:tblCellMar>
                <w:top w:w="0" w:type="dxa"/>
                <w:left w:w="0" w:type="dxa"/>
                <w:bottom w:w="0" w:type="dxa"/>
                <w:right w:w="0" w:type="dxa"/>
              </w:tblCellMar>
            </w:tblPr>
            <w:tblGrid>
              <w:gridCol w:w="290"/>
            </w:tblGrid>
            <w:tr>
              <w:tblPrEx>
                <w:tblCellMar>
                  <w:top w:w="0" w:type="dxa"/>
                  <w:left w:w="0" w:type="dxa"/>
                  <w:bottom w:w="0" w:type="dxa"/>
                  <w:right w:w="0" w:type="dxa"/>
                </w:tblCellMar>
              </w:tblPrEx>
              <w:trPr>
                <w:trHeight w:val="312" w:hRule="atLeast"/>
                <w:tblCellSpacing w:w="0" w:type="dxa"/>
              </w:trPr>
              <w:tc>
                <w:tcPr>
                  <w:tcW w:w="290"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绩效指标完成情况</w:t>
                  </w:r>
                </w:p>
              </w:tc>
            </w:tr>
            <w:tr>
              <w:tblPrEx>
                <w:tblCellMar>
                  <w:top w:w="0" w:type="dxa"/>
                  <w:left w:w="0" w:type="dxa"/>
                  <w:bottom w:w="0" w:type="dxa"/>
                  <w:right w:w="0" w:type="dxa"/>
                </w:tblCellMar>
              </w:tblPrEx>
              <w:trPr>
                <w:trHeight w:val="312" w:hRule="atLeast"/>
                <w:tblCellSpacing w:w="0" w:type="dxa"/>
              </w:trPr>
              <w:tc>
                <w:tcPr>
                  <w:tcW w:w="290" w:type="dxa"/>
                  <w:vMerge w:val="continue"/>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24"/>
                    </w:rPr>
                  </w:pPr>
                </w:p>
              </w:tc>
            </w:tr>
          </w:tbl>
          <w:p>
            <w:pPr>
              <w:widowControl/>
              <w:jc w:val="left"/>
              <w:rPr>
                <w:rFonts w:ascii="宋体" w:hAnsi="宋体" w:cs="宋体"/>
                <w:kern w:val="0"/>
                <w:sz w:val="24"/>
              </w:rPr>
            </w:pPr>
          </w:p>
        </w:tc>
        <w:tc>
          <w:tcPr>
            <w:tcW w:w="1006" w:type="dxa"/>
            <w:vMerge w:val="restart"/>
            <w:tcBorders>
              <w:top w:val="nil"/>
              <w:left w:val="nil"/>
              <w:bottom w:val="nil"/>
              <w:right w:val="nil"/>
            </w:tcBorders>
            <w:shd w:val="clear" w:color="auto" w:fill="auto"/>
            <w:vAlign w:val="bottom"/>
          </w:tcPr>
          <w:p>
            <w:pPr>
              <w:widowControl/>
              <w:jc w:val="left"/>
              <w:rPr>
                <w:rFonts w:ascii="宋体" w:hAnsi="宋体" w:cs="宋体"/>
                <w:kern w:val="0"/>
                <w:sz w:val="24"/>
              </w:rPr>
            </w:pPr>
            <w:r>
              <w:rPr>
                <w:rFonts w:ascii="宋体" w:hAnsi="宋体" w:cs="宋体"/>
                <w:kern w:val="0"/>
                <w:sz w:val="24"/>
              </w:rPr>
              <mc:AlternateContent>
                <mc:Choice Requires="wpc">
                  <w:drawing>
                    <wp:anchor distT="0" distB="0" distL="114300" distR="114300" simplePos="0" relativeHeight="251666432" behindDoc="0" locked="0" layoutInCell="1" allowOverlap="1">
                      <wp:simplePos x="0" y="0"/>
                      <wp:positionH relativeFrom="column">
                        <wp:posOffset>411480</wp:posOffset>
                      </wp:positionH>
                      <wp:positionV relativeFrom="paragraph">
                        <wp:posOffset>381000</wp:posOffset>
                      </wp:positionV>
                      <wp:extent cx="22860" cy="30480"/>
                      <wp:effectExtent l="0" t="0" r="0" b="0"/>
                      <wp:wrapNone/>
                      <wp:docPr id="8" name="直接连接符 10"/>
                      <wp:cNvGraphicFramePr/>
                      <a:graphic xmlns:a="http://schemas.openxmlformats.org/drawingml/2006/main">
                        <a:graphicData uri="http://schemas.microsoft.com/office/word/2010/wordprocessingCanvas">
                          <wpc:wpc>
                            <wpc:bg/>
                            <wpc:whole/>
                            <wps:wsp>
                              <wps:cNvPr id="1031" name="直接连接符 10"/>
                              <wps:cNvCnPr/>
                              <wps:spPr>
                                <a:xfrm>
                                  <a:off x="704850" y="4429125"/>
                                  <a:ext cx="9525" cy="9525"/>
                                </a:xfrm>
                                <a:prstGeom prst="line">
                                  <a:avLst/>
                                </a:prstGeom>
                                <a:noFill/>
                                <a:ln w="9525">
                                  <a:solidFill>
                                    <a:srgbClr val="000000"/>
                                  </a:solidFill>
                                  <a:round/>
                                </a:ln>
                              </wps:spPr>
                              <wps:bodyPr/>
                            </wps:wsp>
                          </wpc:wpc>
                        </a:graphicData>
                      </a:graphic>
                    </wp:anchor>
                  </w:drawing>
                </mc:Choice>
                <mc:Fallback>
                  <w:pict>
                    <v:group id="直接连接符 10" o:spid="_x0000_s1026" o:spt="203" style="position:absolute;left:0pt;margin-left:32.4pt;margin-top:30pt;height:2.4pt;width:1.8pt;z-index:251666432;mso-width-relative:page;mso-height-relative:page;" coordsize="22860,30480" editas="canvas" o:gfxdata="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BYAAABkcnMvUEsB&#10;AhQAFAAAAAgAh07iQCQ1JYTXAAAABwEAAA8AAAAAAAAAAQAgAAAAOAAAAGRycy9kb3ducmV2Lnht&#10;bFBLAQIUABQAAAAIAIdO4kBSjNpiHQIAAKwEAAAOAAAAAAAAAAEAIAAAADwBAABkcnMvZTJvRG9j&#10;LnhtbFBLBQYAAAAABgAGAFkBAADLBQAAAAA=&#10;">
                      <o:lock v:ext="edit" aspectratio="f"/>
                      <v:shape id="直接连接符 10" o:spid="_x0000_s1026" style="position:absolute;left:0;top:0;height:30480;width:22860;" filled="f" stroked="f" coordsize="21600,21600" o:gfxdata="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WAAAAZHJzL1BL&#10;AQIUABQAAAAIAIdO4kAkNSWE1wAAAAcBAAAPAAAAAAAAAAEAIAAAADgAAABkcnMvZG93bnJldi54&#10;bWxQSwECFAAUAAAACACHTuJAcO6l9OUBAADxAwAADgAAAAAAAAABACAAAAA8AQAAZHJzL2Uyb0Rv&#10;Yy54bWxQSwUGAAAAAAYABgBZAQAAkwUAAAAA&#10;">
                        <v:fill on="f" focussize="0,0"/>
                        <v:stroke on="f"/>
                        <v:imagedata o:title=""/>
                        <o:lock v:ext="edit" aspectratio="f"/>
                      </v:shape>
                      <v:line id="直接连接符 10" o:spid="_x0000_s1026" o:spt="20" style="position:absolute;left:704850;top:4429125;height:9525;width:9525;" filled="f" stroked="t" coordsize="21600,21600" o:gfxdata="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BYAAABkcnMvUEsBAhQAFAAAAAgAh07iQDUNDvnVAAAABwEAAA8AAAAA&#10;AAAAAQAgAAAAOAAAAGRycy9kb3ducmV2LnhtbFBLAQIUABQAAAAIAIdO4kC6oDhlyAEAAHkDAAAO&#10;AAAAAAAAAAEAIAAAADoBAABkcnMvZTJvRG9jLnhtbFBLBQYAAAAABgAGAFkBAAB0BQAAAAA=&#10;">
                        <v:fill on="f" focussize="0,0"/>
                        <v:stroke color="#000000" joinstyle="round"/>
                        <v:imagedata o:title=""/>
                        <o:lock v:ext="edit" aspectratio="f"/>
                      </v:line>
                    </v:group>
                  </w:pict>
                </mc:Fallback>
              </mc:AlternateContent>
            </w:r>
            <w:r>
              <w:rPr>
                <w:rFonts w:ascii="宋体" w:hAnsi="宋体" w:cs="宋体"/>
                <w:kern w:val="0"/>
                <w:sz w:val="24"/>
              </w:rPr>
              <mc:AlternateContent>
                <mc:Choice Requires="wpc">
                  <w:drawing>
                    <wp:anchor distT="0" distB="0" distL="114300" distR="114300" simplePos="0" relativeHeight="251667456" behindDoc="0" locked="0" layoutInCell="1" allowOverlap="1">
                      <wp:simplePos x="0" y="0"/>
                      <wp:positionH relativeFrom="column">
                        <wp:posOffset>411480</wp:posOffset>
                      </wp:positionH>
                      <wp:positionV relativeFrom="paragraph">
                        <wp:posOffset>381000</wp:posOffset>
                      </wp:positionV>
                      <wp:extent cx="22860" cy="30480"/>
                      <wp:effectExtent l="0" t="0" r="0" b="0"/>
                      <wp:wrapNone/>
                      <wp:docPr id="9" name="直接连接符 9"/>
                      <wp:cNvGraphicFramePr/>
                      <a:graphic xmlns:a="http://schemas.openxmlformats.org/drawingml/2006/main">
                        <a:graphicData uri="http://schemas.microsoft.com/office/word/2010/wordprocessingCanvas">
                          <wpc:wpc>
                            <wpc:bg/>
                            <wpc:whole/>
                            <wps:wsp>
                              <wps:cNvPr id="1032" name="直接连接符 9"/>
                              <wps:cNvCnPr/>
                              <wps:spPr>
                                <a:xfrm>
                                  <a:off x="704850" y="4429125"/>
                                  <a:ext cx="9525" cy="9525"/>
                                </a:xfrm>
                                <a:prstGeom prst="line">
                                  <a:avLst/>
                                </a:prstGeom>
                                <a:noFill/>
                                <a:ln w="9525">
                                  <a:solidFill>
                                    <a:srgbClr val="000000"/>
                                  </a:solidFill>
                                  <a:round/>
                                </a:ln>
                              </wps:spPr>
                              <wps:bodyPr/>
                            </wps:wsp>
                          </wpc:wpc>
                        </a:graphicData>
                      </a:graphic>
                    </wp:anchor>
                  </w:drawing>
                </mc:Choice>
                <mc:Fallback>
                  <w:pict>
                    <v:group id="直接连接符 9" o:spid="_x0000_s1026" o:spt="203" style="position:absolute;left:0pt;margin-left:32.4pt;margin-top:30pt;height:2.4pt;width:1.8pt;z-index:251667456;mso-width-relative:page;mso-height-relative:page;" coordsize="22860,30480" editas="canvas" o:gfxdata="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">
                      <o:lock v:ext="edit" aspectratio="f"/>
                      <v:shape id="直接连接符 9" o:spid="_x0000_s1026" style="position:absolute;left:0;top:0;height:30480;width:22860;" filled="f" stroked="f" coordsize="21600,21600" o:gfxdata="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WAAAAZHJzL1BL&#10;AQIUABQAAAAIAIdO4kAkNSWE1wAAAAcBAAAPAAAAAAAAAAEAIAAAADgAAABkcnMvZG93bnJldi54&#10;bWxQSwECFAAUAAAACACHTuJALRf+nOUBAADwAwAADgAAAAAAAAABACAAAAA8AQAAZHJzL2Uyb0Rv&#10;Yy54bWxQSwUGAAAAAAYABgBZAQAAkwUAAAAA&#10;">
                        <v:fill on="f" focussize="0,0"/>
                        <v:stroke on="f"/>
                        <v:imagedata o:title=""/>
                        <o:lock v:ext="edit" aspectratio="f"/>
                      </v:shape>
                      <v:line id="直接连接符 9" o:spid="_x0000_s1026" o:spt="20" style="position:absolute;left:704850;top:4429125;height:9525;width:9525;" filled="f" stroked="t" coordsize="21600,21600" o:gfxdata="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BYAAABkcnMvUEsBAhQAFAAAAAgAh07iQDUNDvnVAAAABwEAAA8AAAAA&#10;AAAAAQAgAAAAOAAAAGRycy9kb3ducmV2LnhtbFBLAQIUABQAAAAIAIdO4kBkeDQLyAEAAHgDAAAO&#10;AAAAAAAAAAEAIAAAADoBAABkcnMvZTJvRG9jLnhtbFBLBQYAAAAABgAGAFkBAAB0BQAAAAA=&#10;">
                        <v:fill on="f" focussize="0,0"/>
                        <v:stroke color="#000000" joinstyle="round"/>
                        <v:imagedata o:title=""/>
                        <o:lock v:ext="edit" aspectratio="f"/>
                      </v:line>
                    </v:group>
                  </w:pict>
                </mc:Fallback>
              </mc:AlternateContent>
            </w:r>
            <w:r>
              <w:rPr>
                <w:rFonts w:ascii="宋体" w:hAnsi="宋体" w:cs="宋体"/>
                <w:kern w:val="0"/>
                <w:sz w:val="24"/>
              </w:rPr>
              <mc:AlternateContent>
                <mc:Choice Requires="wpc">
                  <w:drawing>
                    <wp:anchor distT="0" distB="0" distL="114300" distR="114300" simplePos="0" relativeHeight="251668480" behindDoc="0" locked="0" layoutInCell="1" allowOverlap="1">
                      <wp:simplePos x="0" y="0"/>
                      <wp:positionH relativeFrom="column">
                        <wp:posOffset>411480</wp:posOffset>
                      </wp:positionH>
                      <wp:positionV relativeFrom="paragraph">
                        <wp:posOffset>381000</wp:posOffset>
                      </wp:positionV>
                      <wp:extent cx="22860" cy="30480"/>
                      <wp:effectExtent l="0" t="0" r="0" b="0"/>
                      <wp:wrapNone/>
                      <wp:docPr id="10" name="直接连接符 8"/>
                      <wp:cNvGraphicFramePr/>
                      <a:graphic xmlns:a="http://schemas.openxmlformats.org/drawingml/2006/main">
                        <a:graphicData uri="http://schemas.microsoft.com/office/word/2010/wordprocessingCanvas">
                          <wpc:wpc>
                            <wpc:bg/>
                            <wpc:whole/>
                            <wps:wsp>
                              <wps:cNvPr id="1033" name="直接连接符 8"/>
                              <wps:cNvCnPr/>
                              <wps:spPr>
                                <a:xfrm>
                                  <a:off x="704850" y="4429125"/>
                                  <a:ext cx="9525" cy="9525"/>
                                </a:xfrm>
                                <a:prstGeom prst="line">
                                  <a:avLst/>
                                </a:prstGeom>
                                <a:noFill/>
                                <a:ln w="9525">
                                  <a:solidFill>
                                    <a:srgbClr val="000000"/>
                                  </a:solidFill>
                                  <a:round/>
                                </a:ln>
                              </wps:spPr>
                              <wps:bodyPr/>
                            </wps:wsp>
                          </wpc:wpc>
                        </a:graphicData>
                      </a:graphic>
                    </wp:anchor>
                  </w:drawing>
                </mc:Choice>
                <mc:Fallback>
                  <w:pict>
                    <v:group id="直接连接符 8" o:spid="_x0000_s1026" o:spt="203" style="position:absolute;left:0pt;margin-left:32.4pt;margin-top:30pt;height:2.4pt;width:1.8pt;z-index:251668480;mso-width-relative:page;mso-height-relative:page;" coordsize="22860,30480" editas="canvas" o:gfxdata="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FgAAAGRycy9QSwEC&#10;FAAUAAAACACHTuJAJDUlhNcAAAAHAQAADwAAAAAAAAABACAAAAA4AAAAZHJzL2Rvd25yZXYueG1s&#10;UEsBAhQAFAAAAAgAh07iQBmraTYcAgAAqwQAAA4AAAAAAAAAAQAgAAAAPAEAAGRycy9lMm9Eb2Mu&#10;eG1sUEsFBgAAAAAGAAYAWQEAAMoFAAAAAA==&#10;">
                      <o:lock v:ext="edit" aspectratio="f"/>
                      <v:shape id="直接连接符 8" o:spid="_x0000_s1026" style="position:absolute;left:0;top:0;height:30480;width:22860;" filled="f" stroked="f" coordsize="21600,21600" o:gfxdata="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WAAAAZHJzL1BL&#10;AQIUABQAAAAIAIdO4kAkNSWE1wAAAAcBAAAPAAAAAAAAAAEAIAAAADgAAABkcnMvZG93bnJldi54&#10;bWxQSwECFAAUAAAACACHTuJA7K5JLeUBAADwAwAADgAAAAAAAAABACAAAAA8AQAAZHJzL2Uyb0Rv&#10;Yy54bWxQSwUGAAAAAAYABgBZAQAAkwUAAAAA&#10;">
                        <v:fill on="f" focussize="0,0"/>
                        <v:stroke on="f"/>
                        <v:imagedata o:title=""/>
                        <o:lock v:ext="edit" aspectratio="f"/>
                      </v:shape>
                      <v:line id="直接连接符 8" o:spid="_x0000_s1026" o:spt="20" style="position:absolute;left:704850;top:4429125;height:9525;width:9525;" filled="f" stroked="t" coordsize="21600,21600" o:gfxdata="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BYAAABkcnMvUEsBAhQAFAAAAAgAh07iQDUNDvnVAAAABwEAAA8AAAAA&#10;AAAAAQAgAAAAOAAAAGRycy9kb3ducmV2LnhtbFBLAQIUABQAAAAIAIdO4kCBNf/ByAEAAHgDAAAO&#10;AAAAAAAAAAEAIAAAADoBAABkcnMvZTJvRG9jLnhtbFBLBQYAAAAABgAGAFkBAAB0BQAAAAA=&#10;">
                        <v:fill on="f" focussize="0,0"/>
                        <v:stroke color="#000000" joinstyle="round"/>
                        <v:imagedata o:title=""/>
                        <o:lock v:ext="edit" aspectratio="f"/>
                      </v:line>
                    </v:group>
                  </w:pict>
                </mc:Fallback>
              </mc:AlternateContent>
            </w:r>
            <w:r>
              <w:rPr>
                <w:rFonts w:ascii="宋体" w:hAnsi="宋体" w:cs="宋体"/>
                <w:kern w:val="0"/>
                <w:sz w:val="24"/>
              </w:rPr>
              <mc:AlternateContent>
                <mc:Choice Requires="wpc">
                  <w:drawing>
                    <wp:anchor distT="0" distB="0" distL="114300" distR="114300" simplePos="0" relativeHeight="251669504" behindDoc="0" locked="0" layoutInCell="1" allowOverlap="1">
                      <wp:simplePos x="0" y="0"/>
                      <wp:positionH relativeFrom="column">
                        <wp:posOffset>411480</wp:posOffset>
                      </wp:positionH>
                      <wp:positionV relativeFrom="paragraph">
                        <wp:posOffset>381000</wp:posOffset>
                      </wp:positionV>
                      <wp:extent cx="22860" cy="30480"/>
                      <wp:effectExtent l="0" t="0" r="0" b="0"/>
                      <wp:wrapNone/>
                      <wp:docPr id="11" name="直接连接符 7"/>
                      <wp:cNvGraphicFramePr/>
                      <a:graphic xmlns:a="http://schemas.openxmlformats.org/drawingml/2006/main">
                        <a:graphicData uri="http://schemas.microsoft.com/office/word/2010/wordprocessingCanvas">
                          <wpc:wpc>
                            <wpc:bg/>
                            <wpc:whole/>
                            <wps:wsp>
                              <wps:cNvPr id="1034" name="直接连接符 7"/>
                              <wps:cNvCnPr/>
                              <wps:spPr>
                                <a:xfrm>
                                  <a:off x="704850" y="4429125"/>
                                  <a:ext cx="9525" cy="9525"/>
                                </a:xfrm>
                                <a:prstGeom prst="line">
                                  <a:avLst/>
                                </a:prstGeom>
                                <a:noFill/>
                                <a:ln w="9525">
                                  <a:solidFill>
                                    <a:srgbClr val="000000"/>
                                  </a:solidFill>
                                  <a:round/>
                                </a:ln>
                              </wps:spPr>
                              <wps:bodyPr/>
                            </wps:wsp>
                          </wpc:wpc>
                        </a:graphicData>
                      </a:graphic>
                    </wp:anchor>
                  </w:drawing>
                </mc:Choice>
                <mc:Fallback>
                  <w:pict>
                    <v:group id="直接连接符 7" o:spid="_x0000_s1026" o:spt="203" style="position:absolute;left:0pt;margin-left:32.4pt;margin-top:30pt;height:2.4pt;width:1.8pt;z-index:251669504;mso-width-relative:page;mso-height-relative:page;" coordsize="22860,30480" editas="canvas" o:gfxdata="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">
                      <o:lock v:ext="edit" aspectratio="f"/>
                      <v:shape id="直接连接符 7" o:spid="_x0000_s1026" style="position:absolute;left:0;top:0;height:30480;width:22860;" filled="f" stroked="f" coordsize="21600,21600" o:gfxdata="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FgAAAGRycy9Q&#10;SwECFAAUAAAACACHTuJAJDUlhNcAAAAHAQAADwAAAAAAAAABACAAAAA4AAAAZHJzL2Rvd25yZXYu&#10;eG1sUEsBAhQAFAAAAAgAh07iQC7UErLmAQAA8AMAAA4AAAAAAAAAAQAgAAAAPAEAAGRycy9lMm9E&#10;b2MueG1sUEsFBgAAAAAGAAYAWQEAAJQFAAAAAA==&#10;">
                        <v:fill on="f" focussize="0,0"/>
                        <v:stroke on="f"/>
                        <v:imagedata o:title=""/>
                        <o:lock v:ext="edit" aspectratio="f"/>
                      </v:shape>
                      <v:line id="直接连接符 7" o:spid="_x0000_s1026" o:spt="20" style="position:absolute;left:704850;top:4429125;height:9525;width:9525;" filled="f" stroked="t" coordsize="21600,21600" o:gfxdata="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BYAAABkcnMvUEsBAhQAFAAAAAgAh07iQDUNDvnVAAAABwEAAA8AAAAA&#10;AAAAAQAgAAAAOAAAAGRycy9kb3ducmV2LnhtbFBLAQIUABQAAAAIAIdO4kAZeyTByAEAAHgDAAAO&#10;AAAAAAAAAAEAIAAAADoBAABkcnMvZTJvRG9jLnhtbFBLBQYAAAAABgAGAFkBAAB0BQAAAAA=&#10;">
                        <v:fill on="f" focussize="0,0"/>
                        <v:stroke color="#000000" joinstyle="round"/>
                        <v:imagedata o:title=""/>
                        <o:lock v:ext="edit" aspectratio="f"/>
                      </v:line>
                    </v:group>
                  </w:pict>
                </mc:Fallback>
              </mc:AlternateContent>
            </w:r>
          </w:p>
          <w:tbl>
            <w:tblPr>
              <w:tblStyle w:val="14"/>
              <w:tblW w:w="780" w:type="dxa"/>
              <w:tblCellSpacing w:w="0" w:type="dxa"/>
              <w:tblInd w:w="0" w:type="dxa"/>
              <w:tblLayout w:type="fixed"/>
              <w:tblCellMar>
                <w:top w:w="0" w:type="dxa"/>
                <w:left w:w="0" w:type="dxa"/>
                <w:bottom w:w="0" w:type="dxa"/>
                <w:right w:w="0" w:type="dxa"/>
              </w:tblCellMar>
            </w:tblPr>
            <w:tblGrid>
              <w:gridCol w:w="780"/>
            </w:tblGrid>
            <w:tr>
              <w:tblPrEx>
                <w:tblCellMar>
                  <w:top w:w="0" w:type="dxa"/>
                  <w:left w:w="0" w:type="dxa"/>
                  <w:bottom w:w="0" w:type="dxa"/>
                  <w:right w:w="0" w:type="dxa"/>
                </w:tblCellMar>
              </w:tblPrEx>
              <w:trPr>
                <w:trHeight w:val="312" w:hRule="atLeast"/>
                <w:tblCellSpacing w:w="0" w:type="dxa"/>
              </w:trPr>
              <w:tc>
                <w:tcPr>
                  <w:tcW w:w="780" w:type="dxa"/>
                  <w:vMerge w:val="restart"/>
                  <w:tcBorders>
                    <w:top w:val="nil"/>
                    <w:left w:val="single" w:color="auto" w:sz="4" w:space="0"/>
                    <w:bottom w:val="single" w:color="auto" w:sz="4" w:space="0"/>
                    <w:right w:val="single" w:color="auto" w:sz="4" w:space="0"/>
                  </w:tcBorders>
                  <w:shd w:val="clear" w:color="auto" w:fill="auto"/>
                  <w:vAlign w:val="bottom"/>
                </w:tcPr>
                <w:p>
                  <w:pPr>
                    <w:widowControl/>
                    <w:jc w:val="center"/>
                    <w:rPr>
                      <w:rFonts w:ascii="宋体" w:hAnsi="宋体" w:cs="宋体"/>
                      <w:b/>
                      <w:bCs/>
                      <w:kern w:val="0"/>
                      <w:sz w:val="20"/>
                      <w:szCs w:val="20"/>
                    </w:rPr>
                  </w:pPr>
                  <w:r>
                    <w:rPr>
                      <w:rFonts w:hint="eastAsia" w:ascii="宋体" w:hAnsi="宋体" w:cs="宋体"/>
                      <w:b/>
                      <w:bCs/>
                      <w:kern w:val="0"/>
                      <w:sz w:val="20"/>
                      <w:szCs w:val="20"/>
                    </w:rPr>
                    <w:t>一级指标</w:t>
                  </w:r>
                </w:p>
              </w:tc>
            </w:tr>
            <w:tr>
              <w:tblPrEx>
                <w:tblCellMar>
                  <w:top w:w="0" w:type="dxa"/>
                  <w:left w:w="0" w:type="dxa"/>
                  <w:bottom w:w="0" w:type="dxa"/>
                  <w:right w:w="0" w:type="dxa"/>
                </w:tblCellMar>
              </w:tblPrEx>
              <w:trPr>
                <w:trHeight w:val="312" w:hRule="atLeast"/>
                <w:tblCellSpacing w:w="0" w:type="dxa"/>
              </w:trPr>
              <w:tc>
                <w:tcPr>
                  <w:tcW w:w="78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b/>
                      <w:bCs/>
                      <w:kern w:val="0"/>
                      <w:sz w:val="20"/>
                      <w:szCs w:val="20"/>
                    </w:rPr>
                  </w:pPr>
                </w:p>
              </w:tc>
            </w:tr>
          </w:tbl>
          <w:p>
            <w:pPr>
              <w:widowControl/>
              <w:jc w:val="left"/>
              <w:rPr>
                <w:rFonts w:ascii="宋体" w:hAnsi="宋体" w:cs="宋体"/>
                <w:kern w:val="0"/>
                <w:sz w:val="24"/>
              </w:rPr>
            </w:pPr>
          </w:p>
        </w:tc>
        <w:tc>
          <w:tcPr>
            <w:tcW w:w="1040" w:type="dxa"/>
            <w:vMerge w:val="restart"/>
            <w:tcBorders>
              <w:top w:val="nil"/>
              <w:left w:val="single" w:color="auto" w:sz="4" w:space="0"/>
              <w:bottom w:val="single" w:color="auto" w:sz="4" w:space="0"/>
              <w:right w:val="single" w:color="auto" w:sz="4" w:space="0"/>
            </w:tcBorders>
            <w:shd w:val="clear" w:color="auto" w:fill="auto"/>
            <w:vAlign w:val="bottom"/>
          </w:tcPr>
          <w:p>
            <w:pPr>
              <w:widowControl/>
              <w:jc w:val="center"/>
              <w:rPr>
                <w:rFonts w:ascii="宋体" w:hAnsi="宋体" w:cs="宋体"/>
                <w:b/>
                <w:bCs/>
                <w:kern w:val="0"/>
                <w:sz w:val="20"/>
                <w:szCs w:val="20"/>
              </w:rPr>
            </w:pPr>
            <w:r>
              <w:rPr>
                <w:rFonts w:hint="eastAsia" w:ascii="宋体" w:hAnsi="宋体" w:cs="宋体"/>
                <w:b/>
                <w:bCs/>
                <w:kern w:val="0"/>
                <w:sz w:val="20"/>
                <w:szCs w:val="20"/>
              </w:rPr>
              <w:t>二级指标</w:t>
            </w:r>
          </w:p>
        </w:tc>
        <w:tc>
          <w:tcPr>
            <w:tcW w:w="740" w:type="dxa"/>
            <w:vMerge w:val="restart"/>
            <w:tcBorders>
              <w:top w:val="nil"/>
              <w:left w:val="single" w:color="auto" w:sz="4" w:space="0"/>
              <w:bottom w:val="single" w:color="auto" w:sz="4" w:space="0"/>
              <w:right w:val="single" w:color="auto" w:sz="4" w:space="0"/>
            </w:tcBorders>
            <w:shd w:val="clear" w:color="auto" w:fill="auto"/>
            <w:vAlign w:val="bottom"/>
          </w:tcPr>
          <w:p>
            <w:pPr>
              <w:widowControl/>
              <w:jc w:val="center"/>
              <w:rPr>
                <w:rFonts w:ascii="宋体" w:hAnsi="宋体" w:cs="宋体"/>
                <w:b/>
                <w:bCs/>
                <w:kern w:val="0"/>
                <w:sz w:val="20"/>
                <w:szCs w:val="20"/>
              </w:rPr>
            </w:pPr>
            <w:r>
              <w:rPr>
                <w:rFonts w:hint="eastAsia" w:ascii="宋体" w:hAnsi="宋体" w:cs="宋体"/>
                <w:b/>
                <w:bCs/>
                <w:kern w:val="0"/>
                <w:sz w:val="20"/>
                <w:szCs w:val="20"/>
              </w:rPr>
              <w:t>三级指标</w:t>
            </w:r>
          </w:p>
        </w:tc>
        <w:tc>
          <w:tcPr>
            <w:tcW w:w="2940" w:type="dxa"/>
            <w:gridSpan w:val="2"/>
            <w:vMerge w:val="restart"/>
            <w:tcBorders>
              <w:top w:val="single" w:color="auto" w:sz="4" w:space="0"/>
              <w:left w:val="single" w:color="auto" w:sz="4" w:space="0"/>
              <w:bottom w:val="single" w:color="000000" w:sz="4" w:space="0"/>
              <w:right w:val="single" w:color="000000" w:sz="4" w:space="0"/>
            </w:tcBorders>
            <w:shd w:val="clear" w:color="auto" w:fill="auto"/>
            <w:vAlign w:val="bottom"/>
          </w:tcPr>
          <w:p>
            <w:pPr>
              <w:widowControl/>
              <w:jc w:val="center"/>
              <w:rPr>
                <w:rFonts w:ascii="宋体" w:hAnsi="宋体" w:cs="宋体"/>
                <w:b/>
                <w:bCs/>
                <w:kern w:val="0"/>
                <w:sz w:val="20"/>
                <w:szCs w:val="20"/>
              </w:rPr>
            </w:pPr>
            <w:r>
              <w:rPr>
                <w:rFonts w:hint="eastAsia" w:ascii="宋体" w:hAnsi="宋体" w:cs="宋体"/>
                <w:b/>
                <w:bCs/>
                <w:kern w:val="0"/>
                <w:sz w:val="20"/>
                <w:szCs w:val="20"/>
              </w:rPr>
              <w:t>指标评价内容</w:t>
            </w:r>
          </w:p>
        </w:tc>
        <w:tc>
          <w:tcPr>
            <w:tcW w:w="1640" w:type="dxa"/>
            <w:vMerge w:val="restart"/>
            <w:tcBorders>
              <w:top w:val="nil"/>
              <w:left w:val="single" w:color="auto" w:sz="4" w:space="0"/>
              <w:bottom w:val="single" w:color="000000" w:sz="4" w:space="0"/>
              <w:right w:val="single" w:color="auto" w:sz="4" w:space="0"/>
            </w:tcBorders>
            <w:shd w:val="clear" w:color="auto" w:fill="auto"/>
            <w:vAlign w:val="bottom"/>
          </w:tcPr>
          <w:p>
            <w:pPr>
              <w:widowControl/>
              <w:jc w:val="center"/>
              <w:rPr>
                <w:rFonts w:ascii="宋体" w:hAnsi="宋体" w:cs="宋体"/>
                <w:b/>
                <w:bCs/>
                <w:kern w:val="0"/>
                <w:sz w:val="20"/>
                <w:szCs w:val="20"/>
              </w:rPr>
            </w:pPr>
            <w:r>
              <w:rPr>
                <w:rFonts w:hint="eastAsia" w:ascii="宋体" w:hAnsi="宋体" w:cs="宋体"/>
                <w:b/>
                <w:bCs/>
                <w:kern w:val="0"/>
                <w:sz w:val="20"/>
                <w:szCs w:val="20"/>
              </w:rPr>
              <w:t>预期指标值(包含数字及文字描述)</w:t>
            </w:r>
          </w:p>
        </w:tc>
        <w:tc>
          <w:tcPr>
            <w:tcW w:w="1634" w:type="dxa"/>
            <w:vMerge w:val="restart"/>
            <w:tcBorders>
              <w:top w:val="nil"/>
              <w:left w:val="single" w:color="auto" w:sz="4" w:space="0"/>
              <w:bottom w:val="single" w:color="000000" w:sz="4" w:space="0"/>
              <w:right w:val="single" w:color="auto" w:sz="4" w:space="0"/>
            </w:tcBorders>
            <w:shd w:val="clear" w:color="auto" w:fill="auto"/>
            <w:vAlign w:val="bottom"/>
          </w:tcPr>
          <w:p>
            <w:pPr>
              <w:widowControl/>
              <w:jc w:val="center"/>
              <w:rPr>
                <w:rFonts w:ascii="宋体" w:hAnsi="宋体" w:cs="宋体"/>
                <w:b/>
                <w:bCs/>
                <w:kern w:val="0"/>
                <w:sz w:val="20"/>
                <w:szCs w:val="20"/>
              </w:rPr>
            </w:pPr>
            <w:r>
              <w:rPr>
                <w:rFonts w:hint="eastAsia" w:ascii="宋体" w:hAnsi="宋体" w:cs="宋体"/>
                <w:b/>
                <w:bCs/>
                <w:kern w:val="0"/>
                <w:sz w:val="20"/>
                <w:szCs w:val="20"/>
              </w:rPr>
              <w:t>实际完成指标值(包含数字及文字描述)</w:t>
            </w:r>
          </w:p>
        </w:tc>
      </w:tr>
      <w:tr>
        <w:tblPrEx>
          <w:tblCellMar>
            <w:top w:w="0" w:type="dxa"/>
            <w:left w:w="108" w:type="dxa"/>
            <w:bottom w:w="0" w:type="dxa"/>
            <w:right w:w="108" w:type="dxa"/>
          </w:tblCellMar>
        </w:tblPrEx>
        <w:trPr>
          <w:trHeight w:val="555" w:hRule="atLeast"/>
        </w:trPr>
        <w:tc>
          <w:tcPr>
            <w:tcW w:w="516" w:type="dxa"/>
            <w:vMerge w:val="continue"/>
            <w:tcBorders>
              <w:top w:val="nil"/>
              <w:left w:val="nil"/>
              <w:bottom w:val="nil"/>
              <w:right w:val="nil"/>
            </w:tcBorders>
            <w:vAlign w:val="center"/>
          </w:tcPr>
          <w:p>
            <w:pPr>
              <w:widowControl/>
              <w:jc w:val="left"/>
              <w:rPr>
                <w:rFonts w:ascii="宋体" w:hAnsi="宋体" w:cs="宋体"/>
                <w:kern w:val="0"/>
                <w:sz w:val="24"/>
              </w:rPr>
            </w:pPr>
          </w:p>
        </w:tc>
        <w:tc>
          <w:tcPr>
            <w:tcW w:w="1006" w:type="dxa"/>
            <w:vMerge w:val="continue"/>
            <w:tcBorders>
              <w:top w:val="nil"/>
              <w:left w:val="nil"/>
              <w:bottom w:val="nil"/>
              <w:right w:val="nil"/>
            </w:tcBorders>
            <w:vAlign w:val="center"/>
          </w:tcPr>
          <w:p>
            <w:pPr>
              <w:widowControl/>
              <w:jc w:val="left"/>
              <w:rPr>
                <w:rFonts w:ascii="宋体" w:hAnsi="宋体" w:cs="宋体"/>
                <w:kern w:val="0"/>
                <w:sz w:val="24"/>
              </w:rPr>
            </w:pPr>
          </w:p>
        </w:tc>
        <w:tc>
          <w:tcPr>
            <w:tcW w:w="104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b/>
                <w:bCs/>
                <w:kern w:val="0"/>
                <w:sz w:val="20"/>
                <w:szCs w:val="20"/>
              </w:rPr>
            </w:pPr>
          </w:p>
        </w:tc>
        <w:tc>
          <w:tcPr>
            <w:tcW w:w="74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b/>
                <w:bCs/>
                <w:kern w:val="0"/>
                <w:sz w:val="20"/>
                <w:szCs w:val="20"/>
              </w:rPr>
            </w:pPr>
          </w:p>
        </w:tc>
        <w:tc>
          <w:tcPr>
            <w:tcW w:w="2940" w:type="dxa"/>
            <w:gridSpan w:val="2"/>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hAnsi="宋体" w:cs="宋体"/>
                <w:b/>
                <w:bCs/>
                <w:kern w:val="0"/>
                <w:sz w:val="20"/>
                <w:szCs w:val="20"/>
              </w:rPr>
            </w:pPr>
          </w:p>
        </w:tc>
        <w:tc>
          <w:tcPr>
            <w:tcW w:w="164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kern w:val="0"/>
                <w:sz w:val="20"/>
                <w:szCs w:val="20"/>
              </w:rPr>
            </w:pPr>
          </w:p>
        </w:tc>
        <w:tc>
          <w:tcPr>
            <w:tcW w:w="1634"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kern w:val="0"/>
                <w:sz w:val="20"/>
                <w:szCs w:val="20"/>
              </w:rPr>
            </w:pPr>
          </w:p>
        </w:tc>
      </w:tr>
      <w:tr>
        <w:tblPrEx>
          <w:tblCellMar>
            <w:top w:w="0" w:type="dxa"/>
            <w:left w:w="108" w:type="dxa"/>
            <w:bottom w:w="0" w:type="dxa"/>
            <w:right w:w="108" w:type="dxa"/>
          </w:tblCellMar>
        </w:tblPrEx>
        <w:trPr>
          <w:trHeight w:val="312" w:hRule="atLeast"/>
        </w:trPr>
        <w:tc>
          <w:tcPr>
            <w:tcW w:w="516" w:type="dxa"/>
            <w:vMerge w:val="continue"/>
            <w:tcBorders>
              <w:top w:val="nil"/>
              <w:left w:val="nil"/>
              <w:bottom w:val="nil"/>
              <w:right w:val="nil"/>
            </w:tcBorders>
            <w:vAlign w:val="center"/>
          </w:tcPr>
          <w:p>
            <w:pPr>
              <w:widowControl/>
              <w:jc w:val="left"/>
              <w:rPr>
                <w:rFonts w:ascii="宋体" w:hAnsi="宋体" w:cs="宋体"/>
                <w:kern w:val="0"/>
                <w:sz w:val="24"/>
              </w:rPr>
            </w:pPr>
          </w:p>
        </w:tc>
        <w:tc>
          <w:tcPr>
            <w:tcW w:w="1006" w:type="dxa"/>
            <w:vMerge w:val="continue"/>
            <w:tcBorders>
              <w:top w:val="nil"/>
              <w:left w:val="nil"/>
              <w:bottom w:val="nil"/>
              <w:right w:val="nil"/>
            </w:tcBorders>
            <w:vAlign w:val="center"/>
          </w:tcPr>
          <w:p>
            <w:pPr>
              <w:widowControl/>
              <w:jc w:val="left"/>
              <w:rPr>
                <w:rFonts w:ascii="宋体" w:hAnsi="宋体" w:cs="宋体"/>
                <w:kern w:val="0"/>
                <w:sz w:val="24"/>
              </w:rPr>
            </w:pPr>
          </w:p>
        </w:tc>
        <w:tc>
          <w:tcPr>
            <w:tcW w:w="104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b/>
                <w:bCs/>
                <w:kern w:val="0"/>
                <w:sz w:val="20"/>
                <w:szCs w:val="20"/>
              </w:rPr>
            </w:pPr>
          </w:p>
        </w:tc>
        <w:tc>
          <w:tcPr>
            <w:tcW w:w="74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b/>
                <w:bCs/>
                <w:kern w:val="0"/>
                <w:sz w:val="20"/>
                <w:szCs w:val="20"/>
              </w:rPr>
            </w:pPr>
          </w:p>
        </w:tc>
        <w:tc>
          <w:tcPr>
            <w:tcW w:w="2940" w:type="dxa"/>
            <w:gridSpan w:val="2"/>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hAnsi="宋体" w:cs="宋体"/>
                <w:b/>
                <w:bCs/>
                <w:kern w:val="0"/>
                <w:sz w:val="20"/>
                <w:szCs w:val="20"/>
              </w:rPr>
            </w:pPr>
          </w:p>
        </w:tc>
        <w:tc>
          <w:tcPr>
            <w:tcW w:w="164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kern w:val="0"/>
                <w:sz w:val="20"/>
                <w:szCs w:val="20"/>
              </w:rPr>
            </w:pPr>
          </w:p>
        </w:tc>
        <w:tc>
          <w:tcPr>
            <w:tcW w:w="1634"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kern w:val="0"/>
                <w:sz w:val="20"/>
                <w:szCs w:val="20"/>
              </w:rPr>
            </w:pPr>
          </w:p>
        </w:tc>
      </w:tr>
      <w:tr>
        <w:tblPrEx>
          <w:tblCellMar>
            <w:top w:w="0" w:type="dxa"/>
            <w:left w:w="108" w:type="dxa"/>
            <w:bottom w:w="0" w:type="dxa"/>
            <w:right w:w="108" w:type="dxa"/>
          </w:tblCellMar>
        </w:tblPrEx>
        <w:trPr>
          <w:trHeight w:val="765" w:hRule="atLeast"/>
        </w:trPr>
        <w:tc>
          <w:tcPr>
            <w:tcW w:w="516" w:type="dxa"/>
            <w:vMerge w:val="continue"/>
            <w:tcBorders>
              <w:top w:val="nil"/>
              <w:left w:val="nil"/>
              <w:bottom w:val="nil"/>
              <w:right w:val="nil"/>
            </w:tcBorders>
            <w:vAlign w:val="center"/>
          </w:tcPr>
          <w:p>
            <w:pPr>
              <w:widowControl/>
              <w:jc w:val="left"/>
              <w:rPr>
                <w:rFonts w:ascii="宋体" w:hAnsi="宋体" w:cs="宋体"/>
                <w:kern w:val="0"/>
                <w:sz w:val="24"/>
              </w:rPr>
            </w:pPr>
          </w:p>
        </w:tc>
        <w:tc>
          <w:tcPr>
            <w:tcW w:w="1006" w:type="dxa"/>
            <w:vMerge w:val="restart"/>
            <w:tcBorders>
              <w:top w:val="nil"/>
              <w:left w:val="single" w:color="auto" w:sz="4" w:space="0"/>
              <w:bottom w:val="single" w:color="auto" w:sz="4" w:space="0"/>
              <w:right w:val="single" w:color="auto" w:sz="4" w:space="0"/>
            </w:tcBorders>
            <w:shd w:val="clear" w:color="auto" w:fill="auto"/>
            <w:textDirection w:val="tbRlV"/>
            <w:vAlign w:val="center"/>
          </w:tcPr>
          <w:p>
            <w:pPr>
              <w:widowControl/>
              <w:jc w:val="center"/>
              <w:rPr>
                <w:rFonts w:ascii="宋体" w:hAnsi="宋体" w:cs="宋体"/>
                <w:kern w:val="0"/>
                <w:sz w:val="20"/>
                <w:szCs w:val="20"/>
              </w:rPr>
            </w:pPr>
            <w:r>
              <w:rPr>
                <w:rFonts w:hint="eastAsia" w:ascii="宋体" w:hAnsi="宋体" w:cs="宋体"/>
                <w:kern w:val="0"/>
                <w:sz w:val="20"/>
                <w:szCs w:val="20"/>
              </w:rPr>
              <w:t>项目决策</w:t>
            </w:r>
          </w:p>
        </w:tc>
        <w:tc>
          <w:tcPr>
            <w:tcW w:w="1040" w:type="dxa"/>
            <w:vMerge w:val="restart"/>
            <w:tcBorders>
              <w:top w:val="nil"/>
              <w:left w:val="single" w:color="auto" w:sz="4" w:space="0"/>
              <w:bottom w:val="single" w:color="auto" w:sz="4" w:space="0"/>
              <w:right w:val="single" w:color="auto" w:sz="4" w:space="0"/>
            </w:tcBorders>
            <w:shd w:val="clear" w:color="auto" w:fill="auto"/>
            <w:textDirection w:val="tbRlV"/>
            <w:vAlign w:val="bottom"/>
          </w:tcPr>
          <w:p>
            <w:pPr>
              <w:widowControl/>
              <w:jc w:val="center"/>
              <w:rPr>
                <w:rFonts w:ascii="宋体" w:hAnsi="宋体" w:cs="宋体"/>
                <w:kern w:val="0"/>
                <w:sz w:val="20"/>
                <w:szCs w:val="20"/>
              </w:rPr>
            </w:pPr>
            <w:r>
              <w:rPr>
                <w:rFonts w:hint="eastAsia" w:ascii="宋体" w:hAnsi="宋体" w:cs="宋体"/>
                <w:kern w:val="0"/>
                <w:sz w:val="20"/>
                <w:szCs w:val="20"/>
              </w:rPr>
              <w:t>绩效目标</w:t>
            </w:r>
          </w:p>
        </w:tc>
        <w:tc>
          <w:tcPr>
            <w:tcW w:w="740"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kern w:val="0"/>
                <w:sz w:val="20"/>
                <w:szCs w:val="20"/>
              </w:rPr>
            </w:pPr>
            <w:r>
              <w:rPr>
                <w:rFonts w:hint="eastAsia" w:ascii="宋体" w:hAnsi="宋体" w:cs="宋体"/>
                <w:kern w:val="0"/>
                <w:sz w:val="20"/>
                <w:szCs w:val="20"/>
              </w:rPr>
              <w:t>目标内容</w:t>
            </w:r>
          </w:p>
        </w:tc>
        <w:tc>
          <w:tcPr>
            <w:tcW w:w="2940" w:type="dxa"/>
            <w:gridSpan w:val="2"/>
            <w:tcBorders>
              <w:top w:val="single" w:color="auto" w:sz="4" w:space="0"/>
              <w:left w:val="nil"/>
              <w:bottom w:val="single" w:color="auto" w:sz="4" w:space="0"/>
              <w:right w:val="single" w:color="auto" w:sz="4" w:space="0"/>
            </w:tcBorders>
            <w:shd w:val="clear" w:color="auto" w:fill="auto"/>
            <w:vAlign w:val="bottom"/>
          </w:tcPr>
          <w:p>
            <w:pPr>
              <w:widowControl/>
              <w:jc w:val="left"/>
              <w:rPr>
                <w:rFonts w:ascii="宋体" w:hAnsi="宋体" w:cs="宋体"/>
                <w:kern w:val="0"/>
                <w:sz w:val="20"/>
                <w:szCs w:val="20"/>
              </w:rPr>
            </w:pPr>
            <w:r>
              <w:rPr>
                <w:rFonts w:hint="eastAsia" w:ascii="宋体" w:hAnsi="宋体" w:cs="宋体"/>
                <w:kern w:val="0"/>
                <w:sz w:val="20"/>
                <w:szCs w:val="20"/>
              </w:rPr>
              <w:t>项目预期提供的产品、服务、效益或其他目标明确,即绩效目标实际明确个数/应当明确个数×100%</w:t>
            </w:r>
          </w:p>
        </w:tc>
        <w:tc>
          <w:tcPr>
            <w:tcW w:w="1640" w:type="dxa"/>
            <w:tcBorders>
              <w:top w:val="nil"/>
              <w:left w:val="nil"/>
              <w:bottom w:val="single" w:color="auto" w:sz="4" w:space="0"/>
              <w:right w:val="single" w:color="auto" w:sz="4" w:space="0"/>
            </w:tcBorders>
            <w:shd w:val="clear" w:color="auto" w:fill="auto"/>
            <w:vAlign w:val="bottom"/>
          </w:tcPr>
          <w:p>
            <w:pPr>
              <w:widowControl/>
              <w:jc w:val="center"/>
              <w:textAlignment w:val="bottom"/>
              <w:rPr>
                <w:rFonts w:ascii="宋体" w:hAnsi="宋体" w:cs="宋体"/>
                <w:kern w:val="0"/>
                <w:sz w:val="20"/>
                <w:szCs w:val="20"/>
              </w:rPr>
            </w:pPr>
            <w:r>
              <w:rPr>
                <w:rFonts w:hint="eastAsia" w:ascii="宋体" w:hAnsi="宋体" w:cs="宋体"/>
                <w:kern w:val="0"/>
                <w:sz w:val="20"/>
                <w:szCs w:val="20"/>
              </w:rPr>
              <w:t>1个</w:t>
            </w:r>
          </w:p>
        </w:tc>
        <w:tc>
          <w:tcPr>
            <w:tcW w:w="1634" w:type="dxa"/>
            <w:tcBorders>
              <w:top w:val="nil"/>
              <w:left w:val="nil"/>
              <w:bottom w:val="single" w:color="auto" w:sz="4" w:space="0"/>
              <w:right w:val="single" w:color="auto" w:sz="4" w:space="0"/>
            </w:tcBorders>
            <w:shd w:val="clear" w:color="auto" w:fill="auto"/>
            <w:vAlign w:val="bottom"/>
          </w:tcPr>
          <w:p>
            <w:pPr>
              <w:widowControl/>
              <w:jc w:val="center"/>
              <w:textAlignment w:val="bottom"/>
              <w:rPr>
                <w:rFonts w:ascii="宋体" w:hAnsi="宋体" w:cs="宋体"/>
                <w:kern w:val="0"/>
                <w:sz w:val="20"/>
                <w:szCs w:val="20"/>
              </w:rPr>
            </w:pPr>
            <w:r>
              <w:rPr>
                <w:rFonts w:hint="eastAsia" w:ascii="宋体" w:hAnsi="宋体" w:cs="宋体"/>
                <w:kern w:val="0"/>
                <w:sz w:val="20"/>
                <w:szCs w:val="20"/>
              </w:rPr>
              <w:t>1个</w:t>
            </w:r>
          </w:p>
        </w:tc>
      </w:tr>
      <w:tr>
        <w:tblPrEx>
          <w:tblCellMar>
            <w:top w:w="0" w:type="dxa"/>
            <w:left w:w="108" w:type="dxa"/>
            <w:bottom w:w="0" w:type="dxa"/>
            <w:right w:w="108" w:type="dxa"/>
          </w:tblCellMar>
        </w:tblPrEx>
        <w:trPr>
          <w:trHeight w:val="645" w:hRule="atLeast"/>
        </w:trPr>
        <w:tc>
          <w:tcPr>
            <w:tcW w:w="516" w:type="dxa"/>
            <w:vMerge w:val="continue"/>
            <w:tcBorders>
              <w:top w:val="nil"/>
              <w:left w:val="nil"/>
              <w:bottom w:val="nil"/>
              <w:right w:val="nil"/>
            </w:tcBorders>
            <w:vAlign w:val="center"/>
          </w:tcPr>
          <w:p>
            <w:pPr>
              <w:widowControl/>
              <w:jc w:val="left"/>
              <w:rPr>
                <w:rFonts w:ascii="宋体" w:hAnsi="宋体" w:cs="宋体"/>
                <w:kern w:val="0"/>
                <w:sz w:val="24"/>
              </w:rPr>
            </w:pPr>
          </w:p>
        </w:tc>
        <w:tc>
          <w:tcPr>
            <w:tcW w:w="1006"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c>
          <w:tcPr>
            <w:tcW w:w="104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c>
          <w:tcPr>
            <w:tcW w:w="740"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kern w:val="0"/>
                <w:sz w:val="20"/>
                <w:szCs w:val="20"/>
              </w:rPr>
            </w:pPr>
            <w:r>
              <w:rPr>
                <w:rFonts w:hint="eastAsia" w:ascii="宋体" w:hAnsi="宋体" w:cs="宋体"/>
                <w:kern w:val="0"/>
                <w:sz w:val="20"/>
                <w:szCs w:val="20"/>
              </w:rPr>
              <w:t>进度计划</w:t>
            </w:r>
          </w:p>
        </w:tc>
        <w:tc>
          <w:tcPr>
            <w:tcW w:w="2940" w:type="dxa"/>
            <w:gridSpan w:val="2"/>
            <w:tcBorders>
              <w:top w:val="single" w:color="auto" w:sz="4" w:space="0"/>
              <w:left w:val="nil"/>
              <w:bottom w:val="single" w:color="auto" w:sz="4" w:space="0"/>
              <w:right w:val="single" w:color="auto" w:sz="4" w:space="0"/>
            </w:tcBorders>
            <w:shd w:val="clear" w:color="auto" w:fill="auto"/>
            <w:vAlign w:val="bottom"/>
          </w:tcPr>
          <w:p>
            <w:pPr>
              <w:widowControl/>
              <w:jc w:val="left"/>
              <w:rPr>
                <w:rFonts w:ascii="宋体" w:hAnsi="宋体" w:cs="宋体"/>
                <w:kern w:val="0"/>
                <w:sz w:val="20"/>
                <w:szCs w:val="20"/>
              </w:rPr>
            </w:pPr>
            <w:r>
              <w:rPr>
                <w:rFonts w:hint="eastAsia" w:ascii="宋体" w:hAnsi="宋体" w:cs="宋体"/>
                <w:kern w:val="0"/>
                <w:sz w:val="20"/>
                <w:szCs w:val="20"/>
              </w:rPr>
              <w:t>项目计划实施进度明确</w:t>
            </w:r>
          </w:p>
        </w:tc>
        <w:tc>
          <w:tcPr>
            <w:tcW w:w="1640" w:type="dxa"/>
            <w:tcBorders>
              <w:top w:val="nil"/>
              <w:left w:val="nil"/>
              <w:bottom w:val="single" w:color="auto" w:sz="4" w:space="0"/>
              <w:right w:val="single" w:color="auto" w:sz="4" w:space="0"/>
            </w:tcBorders>
            <w:shd w:val="clear" w:color="auto" w:fill="auto"/>
            <w:vAlign w:val="bottom"/>
          </w:tcPr>
          <w:p>
            <w:pPr>
              <w:jc w:val="center"/>
              <w:rPr>
                <w:rFonts w:ascii="宋体" w:hAnsi="宋体" w:cs="宋体"/>
                <w:sz w:val="20"/>
                <w:szCs w:val="20"/>
              </w:rPr>
            </w:pPr>
            <w:r>
              <w:rPr>
                <w:rFonts w:hint="eastAsia" w:ascii="宋体" w:hAnsi="宋体" w:cs="宋体"/>
                <w:sz w:val="20"/>
                <w:szCs w:val="20"/>
              </w:rPr>
              <w:t>明确</w:t>
            </w:r>
          </w:p>
        </w:tc>
        <w:tc>
          <w:tcPr>
            <w:tcW w:w="1634" w:type="dxa"/>
            <w:tcBorders>
              <w:top w:val="nil"/>
              <w:left w:val="nil"/>
              <w:bottom w:val="single" w:color="auto" w:sz="4" w:space="0"/>
              <w:right w:val="single" w:color="auto" w:sz="4" w:space="0"/>
            </w:tcBorders>
            <w:shd w:val="clear" w:color="auto" w:fill="auto"/>
            <w:vAlign w:val="bottom"/>
          </w:tcPr>
          <w:p>
            <w:pPr>
              <w:jc w:val="center"/>
              <w:rPr>
                <w:rFonts w:ascii="宋体" w:hAnsi="宋体" w:cs="宋体"/>
                <w:sz w:val="20"/>
                <w:szCs w:val="20"/>
              </w:rPr>
            </w:pPr>
            <w:r>
              <w:rPr>
                <w:rFonts w:hint="eastAsia" w:ascii="宋体" w:hAnsi="宋体" w:cs="宋体"/>
                <w:sz w:val="20"/>
                <w:szCs w:val="20"/>
              </w:rPr>
              <w:t>明确</w:t>
            </w:r>
          </w:p>
        </w:tc>
      </w:tr>
      <w:tr>
        <w:tblPrEx>
          <w:tblCellMar>
            <w:top w:w="0" w:type="dxa"/>
            <w:left w:w="108" w:type="dxa"/>
            <w:bottom w:w="0" w:type="dxa"/>
            <w:right w:w="108" w:type="dxa"/>
          </w:tblCellMar>
        </w:tblPrEx>
        <w:trPr>
          <w:trHeight w:val="690" w:hRule="atLeast"/>
        </w:trPr>
        <w:tc>
          <w:tcPr>
            <w:tcW w:w="516" w:type="dxa"/>
            <w:vMerge w:val="continue"/>
            <w:tcBorders>
              <w:top w:val="nil"/>
              <w:left w:val="nil"/>
              <w:bottom w:val="nil"/>
              <w:right w:val="nil"/>
            </w:tcBorders>
            <w:vAlign w:val="center"/>
          </w:tcPr>
          <w:p>
            <w:pPr>
              <w:widowControl/>
              <w:jc w:val="left"/>
              <w:rPr>
                <w:rFonts w:ascii="宋体" w:hAnsi="宋体" w:cs="宋体"/>
                <w:kern w:val="0"/>
                <w:sz w:val="24"/>
              </w:rPr>
            </w:pPr>
          </w:p>
        </w:tc>
        <w:tc>
          <w:tcPr>
            <w:tcW w:w="1006"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c>
          <w:tcPr>
            <w:tcW w:w="104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c>
          <w:tcPr>
            <w:tcW w:w="740"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kern w:val="0"/>
                <w:sz w:val="20"/>
                <w:szCs w:val="20"/>
              </w:rPr>
            </w:pPr>
            <w:r>
              <w:rPr>
                <w:rFonts w:hint="eastAsia" w:ascii="宋体" w:hAnsi="宋体" w:cs="宋体"/>
                <w:kern w:val="0"/>
                <w:sz w:val="20"/>
                <w:szCs w:val="20"/>
              </w:rPr>
              <w:t>目标匹配</w:t>
            </w:r>
          </w:p>
        </w:tc>
        <w:tc>
          <w:tcPr>
            <w:tcW w:w="2940" w:type="dxa"/>
            <w:gridSpan w:val="2"/>
            <w:tcBorders>
              <w:top w:val="single" w:color="auto" w:sz="4" w:space="0"/>
              <w:left w:val="nil"/>
              <w:bottom w:val="single" w:color="auto" w:sz="4" w:space="0"/>
              <w:right w:val="single" w:color="auto" w:sz="4" w:space="0"/>
            </w:tcBorders>
            <w:shd w:val="clear" w:color="auto" w:fill="auto"/>
            <w:vAlign w:val="bottom"/>
          </w:tcPr>
          <w:p>
            <w:pPr>
              <w:widowControl/>
              <w:jc w:val="left"/>
              <w:rPr>
                <w:rFonts w:ascii="宋体" w:hAnsi="宋体" w:cs="宋体"/>
                <w:kern w:val="0"/>
                <w:sz w:val="20"/>
                <w:szCs w:val="20"/>
              </w:rPr>
            </w:pPr>
            <w:r>
              <w:rPr>
                <w:rFonts w:hint="eastAsia" w:ascii="宋体" w:hAnsi="宋体" w:cs="宋体"/>
                <w:kern w:val="0"/>
                <w:sz w:val="20"/>
                <w:szCs w:val="20"/>
              </w:rPr>
              <w:t>绩效目标设定符合实际需求的抽样项目点个数/抽样项目点总数×100%</w:t>
            </w:r>
          </w:p>
        </w:tc>
        <w:tc>
          <w:tcPr>
            <w:tcW w:w="1640" w:type="dxa"/>
            <w:tcBorders>
              <w:top w:val="nil"/>
              <w:left w:val="nil"/>
              <w:bottom w:val="single" w:color="auto" w:sz="4" w:space="0"/>
              <w:right w:val="single" w:color="auto" w:sz="4" w:space="0"/>
            </w:tcBorders>
            <w:shd w:val="clear" w:color="auto" w:fill="auto"/>
            <w:vAlign w:val="bottom"/>
          </w:tcPr>
          <w:p>
            <w:pPr>
              <w:jc w:val="center"/>
              <w:rPr>
                <w:rFonts w:ascii="宋体" w:hAnsi="宋体" w:cs="宋体"/>
                <w:sz w:val="20"/>
                <w:szCs w:val="20"/>
              </w:rPr>
            </w:pPr>
            <w:r>
              <w:rPr>
                <w:rFonts w:hint="eastAsia" w:ascii="宋体" w:hAnsi="宋体" w:cs="宋体"/>
                <w:sz w:val="20"/>
                <w:szCs w:val="20"/>
              </w:rPr>
              <w:t>明确</w:t>
            </w:r>
          </w:p>
        </w:tc>
        <w:tc>
          <w:tcPr>
            <w:tcW w:w="1634" w:type="dxa"/>
            <w:tcBorders>
              <w:top w:val="nil"/>
              <w:left w:val="nil"/>
              <w:bottom w:val="single" w:color="auto" w:sz="4" w:space="0"/>
              <w:right w:val="single" w:color="auto" w:sz="4" w:space="0"/>
            </w:tcBorders>
            <w:shd w:val="clear" w:color="auto" w:fill="auto"/>
            <w:vAlign w:val="bottom"/>
          </w:tcPr>
          <w:p>
            <w:pPr>
              <w:jc w:val="center"/>
              <w:rPr>
                <w:rFonts w:ascii="宋体" w:hAnsi="宋体" w:cs="宋体"/>
                <w:sz w:val="20"/>
                <w:szCs w:val="20"/>
              </w:rPr>
            </w:pPr>
            <w:r>
              <w:rPr>
                <w:rFonts w:hint="eastAsia" w:ascii="宋体" w:hAnsi="宋体" w:cs="宋体"/>
                <w:sz w:val="20"/>
                <w:szCs w:val="20"/>
              </w:rPr>
              <w:t>明确</w:t>
            </w:r>
          </w:p>
        </w:tc>
      </w:tr>
      <w:tr>
        <w:tblPrEx>
          <w:tblCellMar>
            <w:top w:w="0" w:type="dxa"/>
            <w:left w:w="108" w:type="dxa"/>
            <w:bottom w:w="0" w:type="dxa"/>
            <w:right w:w="108" w:type="dxa"/>
          </w:tblCellMar>
        </w:tblPrEx>
        <w:trPr>
          <w:trHeight w:val="765" w:hRule="atLeast"/>
        </w:trPr>
        <w:tc>
          <w:tcPr>
            <w:tcW w:w="516" w:type="dxa"/>
            <w:vMerge w:val="continue"/>
            <w:tcBorders>
              <w:top w:val="nil"/>
              <w:left w:val="nil"/>
              <w:bottom w:val="nil"/>
              <w:right w:val="nil"/>
            </w:tcBorders>
            <w:vAlign w:val="center"/>
          </w:tcPr>
          <w:p>
            <w:pPr>
              <w:widowControl/>
              <w:jc w:val="left"/>
              <w:rPr>
                <w:rFonts w:ascii="宋体" w:hAnsi="宋体" w:cs="宋体"/>
                <w:kern w:val="0"/>
                <w:sz w:val="24"/>
              </w:rPr>
            </w:pPr>
          </w:p>
        </w:tc>
        <w:tc>
          <w:tcPr>
            <w:tcW w:w="1006"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c>
          <w:tcPr>
            <w:tcW w:w="1040" w:type="dxa"/>
            <w:vMerge w:val="restart"/>
            <w:tcBorders>
              <w:top w:val="nil"/>
              <w:left w:val="single" w:color="auto" w:sz="4" w:space="0"/>
              <w:bottom w:val="single" w:color="auto" w:sz="4" w:space="0"/>
              <w:right w:val="single" w:color="auto" w:sz="4" w:space="0"/>
            </w:tcBorders>
            <w:shd w:val="clear" w:color="auto" w:fill="auto"/>
            <w:textDirection w:val="tbRlV"/>
            <w:vAlign w:val="bottom"/>
          </w:tcPr>
          <w:p>
            <w:pPr>
              <w:widowControl/>
              <w:jc w:val="center"/>
              <w:rPr>
                <w:rFonts w:ascii="宋体" w:hAnsi="宋体" w:cs="宋体"/>
                <w:kern w:val="0"/>
                <w:sz w:val="20"/>
                <w:szCs w:val="20"/>
              </w:rPr>
            </w:pPr>
            <w:r>
              <w:rPr>
                <w:rFonts w:hint="eastAsia" w:ascii="宋体" w:hAnsi="宋体" w:cs="宋体"/>
                <w:kern w:val="0"/>
                <w:sz w:val="20"/>
                <w:szCs w:val="20"/>
              </w:rPr>
              <w:t>决策依据</w:t>
            </w:r>
          </w:p>
        </w:tc>
        <w:tc>
          <w:tcPr>
            <w:tcW w:w="740"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kern w:val="0"/>
                <w:sz w:val="20"/>
                <w:szCs w:val="20"/>
              </w:rPr>
            </w:pPr>
            <w:r>
              <w:rPr>
                <w:rFonts w:hint="eastAsia" w:ascii="宋体" w:hAnsi="宋体" w:cs="宋体"/>
                <w:kern w:val="0"/>
                <w:sz w:val="20"/>
                <w:szCs w:val="20"/>
              </w:rPr>
              <w:t>政策依据</w:t>
            </w:r>
          </w:p>
        </w:tc>
        <w:tc>
          <w:tcPr>
            <w:tcW w:w="2940" w:type="dxa"/>
            <w:gridSpan w:val="2"/>
            <w:tcBorders>
              <w:top w:val="single" w:color="auto" w:sz="4" w:space="0"/>
              <w:left w:val="nil"/>
              <w:bottom w:val="single" w:color="auto" w:sz="4" w:space="0"/>
              <w:right w:val="single" w:color="auto" w:sz="4" w:space="0"/>
            </w:tcBorders>
            <w:shd w:val="clear" w:color="auto" w:fill="auto"/>
            <w:vAlign w:val="bottom"/>
          </w:tcPr>
          <w:p>
            <w:pPr>
              <w:widowControl/>
              <w:jc w:val="left"/>
              <w:rPr>
                <w:rFonts w:ascii="宋体" w:hAnsi="宋体" w:cs="宋体"/>
                <w:kern w:val="0"/>
                <w:sz w:val="20"/>
                <w:szCs w:val="20"/>
              </w:rPr>
            </w:pPr>
            <w:r>
              <w:rPr>
                <w:rFonts w:hint="eastAsia" w:ascii="宋体" w:hAnsi="宋体" w:cs="宋体"/>
                <w:kern w:val="0"/>
                <w:sz w:val="20"/>
                <w:szCs w:val="20"/>
              </w:rPr>
              <w:t>项目符合党中央、国务院和省委、省政府决策部署；符合当前经济社会发展需要</w:t>
            </w:r>
          </w:p>
        </w:tc>
        <w:tc>
          <w:tcPr>
            <w:tcW w:w="1640" w:type="dxa"/>
            <w:tcBorders>
              <w:top w:val="nil"/>
              <w:left w:val="nil"/>
              <w:bottom w:val="single" w:color="auto" w:sz="4" w:space="0"/>
              <w:right w:val="single" w:color="auto" w:sz="4" w:space="0"/>
            </w:tcBorders>
            <w:shd w:val="clear" w:color="auto" w:fill="auto"/>
            <w:vAlign w:val="bottom"/>
          </w:tcPr>
          <w:p>
            <w:pPr>
              <w:jc w:val="center"/>
              <w:rPr>
                <w:rFonts w:ascii="宋体" w:hAnsi="宋体" w:cs="宋体"/>
                <w:sz w:val="20"/>
                <w:szCs w:val="20"/>
              </w:rPr>
            </w:pPr>
            <w:r>
              <w:rPr>
                <w:rFonts w:hint="eastAsia" w:ascii="宋体" w:hAnsi="宋体" w:cs="宋体"/>
                <w:sz w:val="20"/>
                <w:szCs w:val="20"/>
              </w:rPr>
              <w:t>1个</w:t>
            </w:r>
          </w:p>
        </w:tc>
        <w:tc>
          <w:tcPr>
            <w:tcW w:w="1634" w:type="dxa"/>
            <w:tcBorders>
              <w:top w:val="nil"/>
              <w:left w:val="nil"/>
              <w:bottom w:val="single" w:color="auto" w:sz="4" w:space="0"/>
              <w:right w:val="single" w:color="auto" w:sz="4" w:space="0"/>
            </w:tcBorders>
            <w:shd w:val="clear" w:color="auto" w:fill="auto"/>
            <w:vAlign w:val="bottom"/>
          </w:tcPr>
          <w:p>
            <w:pPr>
              <w:jc w:val="center"/>
              <w:rPr>
                <w:rFonts w:ascii="宋体" w:hAnsi="宋体" w:cs="宋体"/>
                <w:sz w:val="20"/>
                <w:szCs w:val="20"/>
              </w:rPr>
            </w:pPr>
            <w:r>
              <w:rPr>
                <w:rFonts w:hint="eastAsia" w:ascii="宋体" w:hAnsi="宋体" w:cs="宋体"/>
                <w:sz w:val="20"/>
                <w:szCs w:val="20"/>
              </w:rPr>
              <w:t>1个</w:t>
            </w:r>
          </w:p>
        </w:tc>
      </w:tr>
      <w:tr>
        <w:tblPrEx>
          <w:tblCellMar>
            <w:top w:w="0" w:type="dxa"/>
            <w:left w:w="108" w:type="dxa"/>
            <w:bottom w:w="0" w:type="dxa"/>
            <w:right w:w="108" w:type="dxa"/>
          </w:tblCellMar>
        </w:tblPrEx>
        <w:trPr>
          <w:trHeight w:val="555" w:hRule="atLeast"/>
        </w:trPr>
        <w:tc>
          <w:tcPr>
            <w:tcW w:w="516" w:type="dxa"/>
            <w:vMerge w:val="continue"/>
            <w:tcBorders>
              <w:top w:val="nil"/>
              <w:left w:val="nil"/>
              <w:bottom w:val="nil"/>
              <w:right w:val="nil"/>
            </w:tcBorders>
            <w:vAlign w:val="center"/>
          </w:tcPr>
          <w:p>
            <w:pPr>
              <w:widowControl/>
              <w:jc w:val="left"/>
              <w:rPr>
                <w:rFonts w:ascii="宋体" w:hAnsi="宋体" w:cs="宋体"/>
                <w:kern w:val="0"/>
                <w:sz w:val="24"/>
              </w:rPr>
            </w:pPr>
          </w:p>
        </w:tc>
        <w:tc>
          <w:tcPr>
            <w:tcW w:w="1006"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c>
          <w:tcPr>
            <w:tcW w:w="104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c>
          <w:tcPr>
            <w:tcW w:w="740" w:type="dxa"/>
            <w:vMerge w:val="restart"/>
            <w:tcBorders>
              <w:top w:val="nil"/>
              <w:left w:val="single" w:color="auto" w:sz="4" w:space="0"/>
              <w:bottom w:val="single" w:color="auto" w:sz="4" w:space="0"/>
              <w:right w:val="single" w:color="auto" w:sz="4" w:space="0"/>
            </w:tcBorders>
            <w:shd w:val="clear" w:color="auto" w:fill="auto"/>
            <w:vAlign w:val="bottom"/>
          </w:tcPr>
          <w:p>
            <w:pPr>
              <w:widowControl/>
              <w:jc w:val="center"/>
              <w:rPr>
                <w:rFonts w:ascii="宋体" w:hAnsi="宋体" w:cs="宋体"/>
                <w:kern w:val="0"/>
                <w:sz w:val="20"/>
                <w:szCs w:val="20"/>
              </w:rPr>
            </w:pPr>
            <w:r>
              <w:rPr>
                <w:rFonts w:hint="eastAsia" w:ascii="宋体" w:hAnsi="宋体" w:cs="宋体"/>
                <w:kern w:val="0"/>
                <w:sz w:val="20"/>
                <w:szCs w:val="20"/>
              </w:rPr>
              <w:t>实施规划</w:t>
            </w:r>
          </w:p>
        </w:tc>
        <w:tc>
          <w:tcPr>
            <w:tcW w:w="2940" w:type="dxa"/>
            <w:gridSpan w:val="2"/>
            <w:tcBorders>
              <w:top w:val="single" w:color="auto" w:sz="4" w:space="0"/>
              <w:left w:val="nil"/>
              <w:bottom w:val="single" w:color="auto" w:sz="4" w:space="0"/>
              <w:right w:val="single" w:color="auto" w:sz="4" w:space="0"/>
            </w:tcBorders>
            <w:shd w:val="clear" w:color="auto" w:fill="auto"/>
            <w:vAlign w:val="bottom"/>
          </w:tcPr>
          <w:p>
            <w:pPr>
              <w:widowControl/>
              <w:jc w:val="left"/>
              <w:rPr>
                <w:rFonts w:ascii="宋体" w:hAnsi="宋体" w:cs="宋体"/>
                <w:kern w:val="0"/>
                <w:sz w:val="20"/>
                <w:szCs w:val="20"/>
              </w:rPr>
            </w:pPr>
            <w:r>
              <w:rPr>
                <w:rFonts w:hint="eastAsia" w:ascii="宋体" w:hAnsi="宋体" w:cs="宋体"/>
                <w:kern w:val="0"/>
                <w:sz w:val="20"/>
                <w:szCs w:val="20"/>
              </w:rPr>
              <w:t>连续性项目根据需要制定中长期实施规划</w:t>
            </w:r>
          </w:p>
        </w:tc>
        <w:tc>
          <w:tcPr>
            <w:tcW w:w="1640" w:type="dxa"/>
            <w:tcBorders>
              <w:top w:val="nil"/>
              <w:left w:val="nil"/>
              <w:bottom w:val="single" w:color="auto" w:sz="4" w:space="0"/>
              <w:right w:val="single" w:color="auto" w:sz="4" w:space="0"/>
            </w:tcBorders>
            <w:shd w:val="clear" w:color="auto" w:fill="auto"/>
            <w:vAlign w:val="bottom"/>
          </w:tcPr>
          <w:p>
            <w:pPr>
              <w:jc w:val="center"/>
              <w:rPr>
                <w:rFonts w:ascii="宋体" w:hAnsi="宋体" w:cs="宋体"/>
                <w:sz w:val="20"/>
                <w:szCs w:val="20"/>
              </w:rPr>
            </w:pPr>
            <w:r>
              <w:rPr>
                <w:rFonts w:hint="eastAsia" w:ascii="宋体" w:hAnsi="宋体" w:cs="宋体"/>
                <w:sz w:val="20"/>
                <w:szCs w:val="20"/>
              </w:rPr>
              <w:t>符合</w:t>
            </w:r>
          </w:p>
        </w:tc>
        <w:tc>
          <w:tcPr>
            <w:tcW w:w="1634" w:type="dxa"/>
            <w:tcBorders>
              <w:top w:val="nil"/>
              <w:left w:val="nil"/>
              <w:bottom w:val="single" w:color="auto" w:sz="4" w:space="0"/>
              <w:right w:val="single" w:color="auto" w:sz="4" w:space="0"/>
            </w:tcBorders>
            <w:shd w:val="clear" w:color="auto" w:fill="auto"/>
            <w:vAlign w:val="bottom"/>
          </w:tcPr>
          <w:p>
            <w:pPr>
              <w:jc w:val="center"/>
              <w:rPr>
                <w:rFonts w:ascii="宋体" w:hAnsi="宋体" w:cs="宋体"/>
                <w:sz w:val="20"/>
                <w:szCs w:val="20"/>
              </w:rPr>
            </w:pPr>
            <w:r>
              <w:rPr>
                <w:rFonts w:hint="eastAsia" w:ascii="宋体" w:hAnsi="宋体" w:cs="宋体"/>
                <w:sz w:val="20"/>
                <w:szCs w:val="20"/>
              </w:rPr>
              <w:t>符合</w:t>
            </w:r>
          </w:p>
        </w:tc>
      </w:tr>
      <w:tr>
        <w:tblPrEx>
          <w:tblCellMar>
            <w:top w:w="0" w:type="dxa"/>
            <w:left w:w="108" w:type="dxa"/>
            <w:bottom w:w="0" w:type="dxa"/>
            <w:right w:w="108" w:type="dxa"/>
          </w:tblCellMar>
        </w:tblPrEx>
        <w:trPr>
          <w:trHeight w:val="555" w:hRule="atLeast"/>
        </w:trPr>
        <w:tc>
          <w:tcPr>
            <w:tcW w:w="516" w:type="dxa"/>
            <w:vMerge w:val="continue"/>
            <w:tcBorders>
              <w:top w:val="nil"/>
              <w:left w:val="nil"/>
              <w:bottom w:val="nil"/>
              <w:right w:val="nil"/>
            </w:tcBorders>
            <w:vAlign w:val="center"/>
          </w:tcPr>
          <w:p>
            <w:pPr>
              <w:widowControl/>
              <w:jc w:val="left"/>
              <w:rPr>
                <w:rFonts w:ascii="宋体" w:hAnsi="宋体" w:cs="宋体"/>
                <w:kern w:val="0"/>
                <w:sz w:val="24"/>
              </w:rPr>
            </w:pPr>
          </w:p>
        </w:tc>
        <w:tc>
          <w:tcPr>
            <w:tcW w:w="1006"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c>
          <w:tcPr>
            <w:tcW w:w="104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c>
          <w:tcPr>
            <w:tcW w:w="74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c>
          <w:tcPr>
            <w:tcW w:w="2940" w:type="dxa"/>
            <w:gridSpan w:val="2"/>
            <w:tcBorders>
              <w:top w:val="single" w:color="auto" w:sz="4" w:space="0"/>
              <w:left w:val="nil"/>
              <w:bottom w:val="single" w:color="auto" w:sz="4" w:space="0"/>
              <w:right w:val="single" w:color="auto" w:sz="4" w:space="0"/>
            </w:tcBorders>
            <w:shd w:val="clear" w:color="auto" w:fill="auto"/>
            <w:vAlign w:val="bottom"/>
          </w:tcPr>
          <w:p>
            <w:pPr>
              <w:widowControl/>
              <w:jc w:val="left"/>
              <w:rPr>
                <w:rFonts w:ascii="宋体" w:hAnsi="宋体" w:cs="宋体"/>
                <w:kern w:val="0"/>
                <w:sz w:val="20"/>
                <w:szCs w:val="20"/>
              </w:rPr>
            </w:pPr>
            <w:r>
              <w:rPr>
                <w:rFonts w:hint="eastAsia" w:ascii="宋体" w:hAnsi="宋体" w:cs="宋体"/>
                <w:kern w:val="0"/>
                <w:sz w:val="20"/>
                <w:szCs w:val="20"/>
              </w:rPr>
              <w:t>实施规划符合实际，并根据情况变化适时调整</w:t>
            </w:r>
          </w:p>
        </w:tc>
        <w:tc>
          <w:tcPr>
            <w:tcW w:w="1640" w:type="dxa"/>
            <w:tcBorders>
              <w:top w:val="nil"/>
              <w:left w:val="nil"/>
              <w:bottom w:val="single" w:color="auto" w:sz="4" w:space="0"/>
              <w:right w:val="single" w:color="auto" w:sz="4" w:space="0"/>
            </w:tcBorders>
            <w:shd w:val="clear" w:color="auto" w:fill="auto"/>
            <w:vAlign w:val="bottom"/>
          </w:tcPr>
          <w:p>
            <w:pPr>
              <w:jc w:val="center"/>
              <w:rPr>
                <w:rFonts w:ascii="宋体" w:hAnsi="宋体" w:cs="宋体"/>
                <w:sz w:val="20"/>
                <w:szCs w:val="20"/>
              </w:rPr>
            </w:pPr>
            <w:r>
              <w:rPr>
                <w:rFonts w:hint="eastAsia" w:ascii="宋体" w:hAnsi="宋体" w:cs="宋体"/>
                <w:sz w:val="20"/>
                <w:szCs w:val="20"/>
              </w:rPr>
              <w:t>有</w:t>
            </w:r>
          </w:p>
        </w:tc>
        <w:tc>
          <w:tcPr>
            <w:tcW w:w="1634" w:type="dxa"/>
            <w:tcBorders>
              <w:top w:val="nil"/>
              <w:left w:val="nil"/>
              <w:bottom w:val="single" w:color="auto" w:sz="4" w:space="0"/>
              <w:right w:val="single" w:color="auto" w:sz="4" w:space="0"/>
            </w:tcBorders>
            <w:shd w:val="clear" w:color="auto" w:fill="auto"/>
            <w:vAlign w:val="bottom"/>
          </w:tcPr>
          <w:p>
            <w:pPr>
              <w:jc w:val="center"/>
              <w:rPr>
                <w:rFonts w:ascii="宋体" w:hAnsi="宋体" w:cs="宋体"/>
                <w:sz w:val="20"/>
                <w:szCs w:val="20"/>
              </w:rPr>
            </w:pPr>
            <w:r>
              <w:rPr>
                <w:rFonts w:hint="eastAsia" w:ascii="宋体" w:hAnsi="宋体" w:cs="宋体"/>
                <w:sz w:val="20"/>
                <w:szCs w:val="20"/>
              </w:rPr>
              <w:t>有</w:t>
            </w:r>
          </w:p>
        </w:tc>
      </w:tr>
      <w:tr>
        <w:tblPrEx>
          <w:tblCellMar>
            <w:top w:w="0" w:type="dxa"/>
            <w:left w:w="108" w:type="dxa"/>
            <w:bottom w:w="0" w:type="dxa"/>
            <w:right w:w="108" w:type="dxa"/>
          </w:tblCellMar>
        </w:tblPrEx>
        <w:trPr>
          <w:trHeight w:val="555" w:hRule="atLeast"/>
        </w:trPr>
        <w:tc>
          <w:tcPr>
            <w:tcW w:w="516" w:type="dxa"/>
            <w:vMerge w:val="continue"/>
            <w:tcBorders>
              <w:top w:val="nil"/>
              <w:left w:val="nil"/>
              <w:bottom w:val="nil"/>
              <w:right w:val="nil"/>
            </w:tcBorders>
            <w:vAlign w:val="center"/>
          </w:tcPr>
          <w:p>
            <w:pPr>
              <w:widowControl/>
              <w:jc w:val="left"/>
              <w:rPr>
                <w:rFonts w:ascii="宋体" w:hAnsi="宋体" w:cs="宋体"/>
                <w:kern w:val="0"/>
                <w:sz w:val="24"/>
              </w:rPr>
            </w:pPr>
          </w:p>
        </w:tc>
        <w:tc>
          <w:tcPr>
            <w:tcW w:w="1006"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c>
          <w:tcPr>
            <w:tcW w:w="104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c>
          <w:tcPr>
            <w:tcW w:w="740" w:type="dxa"/>
            <w:vMerge w:val="restart"/>
            <w:tcBorders>
              <w:top w:val="nil"/>
              <w:left w:val="single" w:color="auto" w:sz="4" w:space="0"/>
              <w:bottom w:val="single" w:color="auto" w:sz="4" w:space="0"/>
              <w:right w:val="single" w:color="auto" w:sz="4" w:space="0"/>
            </w:tcBorders>
            <w:shd w:val="clear" w:color="auto" w:fill="auto"/>
            <w:vAlign w:val="bottom"/>
          </w:tcPr>
          <w:p>
            <w:pPr>
              <w:widowControl/>
              <w:jc w:val="center"/>
              <w:rPr>
                <w:rFonts w:ascii="宋体" w:hAnsi="宋体" w:cs="宋体"/>
                <w:kern w:val="0"/>
                <w:sz w:val="20"/>
                <w:szCs w:val="20"/>
              </w:rPr>
            </w:pPr>
            <w:r>
              <w:rPr>
                <w:rFonts w:hint="eastAsia" w:ascii="宋体" w:hAnsi="宋体" w:cs="宋体"/>
                <w:kern w:val="0"/>
                <w:sz w:val="20"/>
                <w:szCs w:val="20"/>
              </w:rPr>
              <w:t>管理制度</w:t>
            </w:r>
          </w:p>
        </w:tc>
        <w:tc>
          <w:tcPr>
            <w:tcW w:w="2940" w:type="dxa"/>
            <w:gridSpan w:val="2"/>
            <w:tcBorders>
              <w:top w:val="single" w:color="auto" w:sz="4" w:space="0"/>
              <w:left w:val="nil"/>
              <w:bottom w:val="single" w:color="auto" w:sz="4" w:space="0"/>
              <w:right w:val="single" w:color="auto" w:sz="4" w:space="0"/>
            </w:tcBorders>
            <w:shd w:val="clear" w:color="auto" w:fill="auto"/>
            <w:vAlign w:val="bottom"/>
          </w:tcPr>
          <w:p>
            <w:pPr>
              <w:widowControl/>
              <w:jc w:val="left"/>
              <w:rPr>
                <w:rFonts w:ascii="宋体" w:hAnsi="宋体" w:cs="宋体"/>
                <w:kern w:val="0"/>
                <w:sz w:val="20"/>
                <w:szCs w:val="20"/>
              </w:rPr>
            </w:pPr>
            <w:r>
              <w:rPr>
                <w:rFonts w:hint="eastAsia" w:ascii="宋体" w:hAnsi="宋体" w:cs="宋体"/>
                <w:kern w:val="0"/>
                <w:sz w:val="20"/>
                <w:szCs w:val="20"/>
              </w:rPr>
              <w:t>制定项目资金管理办法</w:t>
            </w:r>
          </w:p>
        </w:tc>
        <w:tc>
          <w:tcPr>
            <w:tcW w:w="1640" w:type="dxa"/>
            <w:tcBorders>
              <w:top w:val="nil"/>
              <w:left w:val="nil"/>
              <w:bottom w:val="single" w:color="auto" w:sz="4" w:space="0"/>
              <w:right w:val="single" w:color="auto" w:sz="4" w:space="0"/>
            </w:tcBorders>
            <w:shd w:val="clear" w:color="auto" w:fill="auto"/>
            <w:vAlign w:val="bottom"/>
          </w:tcPr>
          <w:p>
            <w:pPr>
              <w:jc w:val="center"/>
              <w:rPr>
                <w:rFonts w:ascii="宋体" w:hAnsi="宋体" w:cs="宋体"/>
                <w:sz w:val="20"/>
                <w:szCs w:val="20"/>
              </w:rPr>
            </w:pPr>
            <w:r>
              <w:rPr>
                <w:rFonts w:hint="eastAsia" w:ascii="宋体" w:hAnsi="宋体" w:cs="宋体"/>
                <w:sz w:val="20"/>
                <w:szCs w:val="20"/>
              </w:rPr>
              <w:t>符合</w:t>
            </w:r>
          </w:p>
        </w:tc>
        <w:tc>
          <w:tcPr>
            <w:tcW w:w="1634" w:type="dxa"/>
            <w:tcBorders>
              <w:top w:val="nil"/>
              <w:left w:val="nil"/>
              <w:bottom w:val="single" w:color="auto" w:sz="4" w:space="0"/>
              <w:right w:val="single" w:color="auto" w:sz="4" w:space="0"/>
            </w:tcBorders>
            <w:shd w:val="clear" w:color="auto" w:fill="auto"/>
            <w:vAlign w:val="bottom"/>
          </w:tcPr>
          <w:p>
            <w:pPr>
              <w:jc w:val="center"/>
              <w:rPr>
                <w:rFonts w:ascii="宋体" w:hAnsi="宋体" w:cs="宋体"/>
                <w:sz w:val="20"/>
                <w:szCs w:val="20"/>
              </w:rPr>
            </w:pPr>
            <w:r>
              <w:rPr>
                <w:rFonts w:hint="eastAsia" w:ascii="宋体" w:hAnsi="宋体" w:cs="宋体"/>
                <w:sz w:val="20"/>
                <w:szCs w:val="20"/>
              </w:rPr>
              <w:t>符合</w:t>
            </w:r>
          </w:p>
        </w:tc>
      </w:tr>
      <w:tr>
        <w:tblPrEx>
          <w:tblCellMar>
            <w:top w:w="0" w:type="dxa"/>
            <w:left w:w="108" w:type="dxa"/>
            <w:bottom w:w="0" w:type="dxa"/>
            <w:right w:w="108" w:type="dxa"/>
          </w:tblCellMar>
        </w:tblPrEx>
        <w:trPr>
          <w:trHeight w:val="750" w:hRule="atLeast"/>
        </w:trPr>
        <w:tc>
          <w:tcPr>
            <w:tcW w:w="516" w:type="dxa"/>
            <w:vMerge w:val="continue"/>
            <w:tcBorders>
              <w:top w:val="nil"/>
              <w:left w:val="nil"/>
              <w:bottom w:val="nil"/>
              <w:right w:val="nil"/>
            </w:tcBorders>
            <w:vAlign w:val="center"/>
          </w:tcPr>
          <w:p>
            <w:pPr>
              <w:widowControl/>
              <w:jc w:val="left"/>
              <w:rPr>
                <w:rFonts w:ascii="宋体" w:hAnsi="宋体" w:cs="宋体"/>
                <w:kern w:val="0"/>
                <w:sz w:val="24"/>
              </w:rPr>
            </w:pPr>
          </w:p>
        </w:tc>
        <w:tc>
          <w:tcPr>
            <w:tcW w:w="1006"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c>
          <w:tcPr>
            <w:tcW w:w="104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c>
          <w:tcPr>
            <w:tcW w:w="74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c>
          <w:tcPr>
            <w:tcW w:w="2940" w:type="dxa"/>
            <w:gridSpan w:val="2"/>
            <w:tcBorders>
              <w:top w:val="single" w:color="auto" w:sz="4" w:space="0"/>
              <w:left w:val="nil"/>
              <w:bottom w:val="single" w:color="auto" w:sz="4" w:space="0"/>
              <w:right w:val="single" w:color="auto" w:sz="4" w:space="0"/>
            </w:tcBorders>
            <w:shd w:val="clear" w:color="auto" w:fill="auto"/>
            <w:vAlign w:val="bottom"/>
          </w:tcPr>
          <w:p>
            <w:pPr>
              <w:widowControl/>
              <w:jc w:val="left"/>
              <w:rPr>
                <w:rFonts w:ascii="宋体" w:hAnsi="宋体" w:cs="宋体"/>
                <w:kern w:val="0"/>
                <w:sz w:val="20"/>
                <w:szCs w:val="20"/>
              </w:rPr>
            </w:pPr>
            <w:r>
              <w:rPr>
                <w:rFonts w:hint="eastAsia" w:ascii="宋体" w:hAnsi="宋体" w:cs="宋体"/>
                <w:kern w:val="0"/>
                <w:sz w:val="20"/>
                <w:szCs w:val="20"/>
              </w:rPr>
              <w:t>项目资金分配决策程序明确</w:t>
            </w:r>
          </w:p>
        </w:tc>
        <w:tc>
          <w:tcPr>
            <w:tcW w:w="1640" w:type="dxa"/>
            <w:tcBorders>
              <w:top w:val="nil"/>
              <w:left w:val="nil"/>
              <w:bottom w:val="single" w:color="auto" w:sz="4" w:space="0"/>
              <w:right w:val="single" w:color="auto" w:sz="4" w:space="0"/>
            </w:tcBorders>
            <w:shd w:val="clear" w:color="auto" w:fill="auto"/>
            <w:vAlign w:val="bottom"/>
          </w:tcPr>
          <w:p>
            <w:pPr>
              <w:jc w:val="center"/>
              <w:rPr>
                <w:rFonts w:ascii="宋体" w:hAnsi="宋体" w:cs="宋体"/>
                <w:sz w:val="20"/>
                <w:szCs w:val="20"/>
              </w:rPr>
            </w:pPr>
            <w:r>
              <w:rPr>
                <w:rFonts w:hint="eastAsia" w:ascii="宋体" w:hAnsi="宋体" w:cs="宋体"/>
                <w:sz w:val="20"/>
                <w:szCs w:val="20"/>
              </w:rPr>
              <w:t>是</w:t>
            </w:r>
          </w:p>
        </w:tc>
        <w:tc>
          <w:tcPr>
            <w:tcW w:w="1634" w:type="dxa"/>
            <w:tcBorders>
              <w:top w:val="nil"/>
              <w:left w:val="nil"/>
              <w:bottom w:val="single" w:color="auto" w:sz="4" w:space="0"/>
              <w:right w:val="single" w:color="auto" w:sz="4" w:space="0"/>
            </w:tcBorders>
            <w:shd w:val="clear" w:color="auto" w:fill="auto"/>
            <w:vAlign w:val="bottom"/>
          </w:tcPr>
          <w:p>
            <w:pPr>
              <w:jc w:val="center"/>
              <w:rPr>
                <w:rFonts w:ascii="宋体" w:hAnsi="宋体" w:cs="宋体"/>
                <w:sz w:val="20"/>
                <w:szCs w:val="20"/>
              </w:rPr>
            </w:pPr>
            <w:r>
              <w:rPr>
                <w:rFonts w:hint="eastAsia" w:ascii="宋体" w:hAnsi="宋体" w:cs="宋体"/>
                <w:sz w:val="20"/>
                <w:szCs w:val="20"/>
              </w:rPr>
              <w:t>是</w:t>
            </w:r>
          </w:p>
        </w:tc>
      </w:tr>
      <w:tr>
        <w:tblPrEx>
          <w:tblCellMar>
            <w:top w:w="0" w:type="dxa"/>
            <w:left w:w="108" w:type="dxa"/>
            <w:bottom w:w="0" w:type="dxa"/>
            <w:right w:w="108" w:type="dxa"/>
          </w:tblCellMar>
        </w:tblPrEx>
        <w:trPr>
          <w:trHeight w:val="825" w:hRule="atLeast"/>
        </w:trPr>
        <w:tc>
          <w:tcPr>
            <w:tcW w:w="516" w:type="dxa"/>
            <w:vMerge w:val="continue"/>
            <w:tcBorders>
              <w:top w:val="nil"/>
              <w:left w:val="nil"/>
              <w:bottom w:val="nil"/>
              <w:right w:val="nil"/>
            </w:tcBorders>
            <w:vAlign w:val="center"/>
          </w:tcPr>
          <w:p>
            <w:pPr>
              <w:widowControl/>
              <w:jc w:val="left"/>
              <w:rPr>
                <w:rFonts w:ascii="宋体" w:hAnsi="宋体" w:cs="宋体"/>
                <w:kern w:val="0"/>
                <w:sz w:val="24"/>
              </w:rPr>
            </w:pPr>
          </w:p>
        </w:tc>
        <w:tc>
          <w:tcPr>
            <w:tcW w:w="1006"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c>
          <w:tcPr>
            <w:tcW w:w="1040" w:type="dxa"/>
            <w:vMerge w:val="restart"/>
            <w:tcBorders>
              <w:top w:val="nil"/>
              <w:left w:val="single" w:color="auto" w:sz="4" w:space="0"/>
              <w:bottom w:val="single" w:color="auto" w:sz="4" w:space="0"/>
              <w:right w:val="single" w:color="auto" w:sz="4" w:space="0"/>
            </w:tcBorders>
            <w:shd w:val="clear" w:color="auto" w:fill="auto"/>
            <w:textDirection w:val="tbRlV"/>
            <w:vAlign w:val="bottom"/>
          </w:tcPr>
          <w:p>
            <w:pPr>
              <w:widowControl/>
              <w:jc w:val="center"/>
              <w:rPr>
                <w:rFonts w:ascii="宋体" w:hAnsi="宋体" w:cs="宋体"/>
                <w:kern w:val="0"/>
                <w:sz w:val="20"/>
                <w:szCs w:val="20"/>
              </w:rPr>
            </w:pPr>
            <w:r>
              <w:rPr>
                <w:rFonts w:hint="eastAsia" w:ascii="宋体" w:hAnsi="宋体" w:cs="宋体"/>
                <w:kern w:val="0"/>
                <w:sz w:val="20"/>
                <w:szCs w:val="20"/>
              </w:rPr>
              <w:t>资金分配</w:t>
            </w:r>
          </w:p>
        </w:tc>
        <w:tc>
          <w:tcPr>
            <w:tcW w:w="740"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kern w:val="0"/>
                <w:sz w:val="20"/>
                <w:szCs w:val="20"/>
              </w:rPr>
            </w:pPr>
            <w:r>
              <w:rPr>
                <w:rFonts w:hint="eastAsia" w:ascii="宋体" w:hAnsi="宋体" w:cs="宋体"/>
                <w:kern w:val="0"/>
                <w:sz w:val="20"/>
                <w:szCs w:val="20"/>
              </w:rPr>
              <w:t>分配方法</w:t>
            </w:r>
          </w:p>
        </w:tc>
        <w:tc>
          <w:tcPr>
            <w:tcW w:w="2940" w:type="dxa"/>
            <w:gridSpan w:val="2"/>
            <w:tcBorders>
              <w:top w:val="single" w:color="auto" w:sz="4" w:space="0"/>
              <w:left w:val="nil"/>
              <w:bottom w:val="single" w:color="auto" w:sz="4" w:space="0"/>
              <w:right w:val="single" w:color="auto" w:sz="4" w:space="0"/>
            </w:tcBorders>
            <w:shd w:val="clear" w:color="auto" w:fill="auto"/>
            <w:vAlign w:val="bottom"/>
          </w:tcPr>
          <w:p>
            <w:pPr>
              <w:widowControl/>
              <w:jc w:val="left"/>
              <w:rPr>
                <w:rFonts w:ascii="宋体" w:hAnsi="宋体" w:cs="宋体"/>
                <w:kern w:val="0"/>
                <w:sz w:val="20"/>
                <w:szCs w:val="20"/>
              </w:rPr>
            </w:pPr>
            <w:r>
              <w:rPr>
                <w:rFonts w:hint="eastAsia" w:ascii="宋体" w:hAnsi="宋体" w:cs="宋体"/>
                <w:kern w:val="0"/>
                <w:sz w:val="20"/>
                <w:szCs w:val="20"/>
              </w:rPr>
              <w:t>资金分配方法是否科学合理</w:t>
            </w:r>
          </w:p>
        </w:tc>
        <w:tc>
          <w:tcPr>
            <w:tcW w:w="1640" w:type="dxa"/>
            <w:tcBorders>
              <w:top w:val="nil"/>
              <w:left w:val="nil"/>
              <w:bottom w:val="single" w:color="auto" w:sz="4" w:space="0"/>
              <w:right w:val="single" w:color="auto" w:sz="4" w:space="0"/>
            </w:tcBorders>
            <w:shd w:val="clear" w:color="auto" w:fill="auto"/>
            <w:vAlign w:val="bottom"/>
          </w:tcPr>
          <w:p>
            <w:pPr>
              <w:jc w:val="center"/>
              <w:rPr>
                <w:rFonts w:ascii="宋体" w:hAnsi="宋体" w:cs="宋体"/>
                <w:sz w:val="20"/>
                <w:szCs w:val="20"/>
              </w:rPr>
            </w:pPr>
            <w:r>
              <w:rPr>
                <w:rFonts w:hint="eastAsia" w:ascii="宋体" w:hAnsi="宋体" w:cs="宋体"/>
                <w:sz w:val="20"/>
                <w:szCs w:val="20"/>
              </w:rPr>
              <w:t>明确</w:t>
            </w:r>
          </w:p>
        </w:tc>
        <w:tc>
          <w:tcPr>
            <w:tcW w:w="1634" w:type="dxa"/>
            <w:tcBorders>
              <w:top w:val="nil"/>
              <w:left w:val="nil"/>
              <w:bottom w:val="single" w:color="auto" w:sz="4" w:space="0"/>
              <w:right w:val="single" w:color="auto" w:sz="4" w:space="0"/>
            </w:tcBorders>
            <w:shd w:val="clear" w:color="auto" w:fill="auto"/>
            <w:vAlign w:val="bottom"/>
          </w:tcPr>
          <w:p>
            <w:pPr>
              <w:jc w:val="center"/>
              <w:rPr>
                <w:rFonts w:ascii="宋体" w:hAnsi="宋体" w:cs="宋体"/>
                <w:sz w:val="20"/>
                <w:szCs w:val="20"/>
              </w:rPr>
            </w:pPr>
            <w:r>
              <w:rPr>
                <w:rFonts w:hint="eastAsia" w:ascii="宋体" w:hAnsi="宋体" w:cs="宋体"/>
                <w:sz w:val="20"/>
                <w:szCs w:val="20"/>
              </w:rPr>
              <w:t>明确</w:t>
            </w:r>
          </w:p>
        </w:tc>
      </w:tr>
      <w:tr>
        <w:tblPrEx>
          <w:tblCellMar>
            <w:top w:w="0" w:type="dxa"/>
            <w:left w:w="108" w:type="dxa"/>
            <w:bottom w:w="0" w:type="dxa"/>
            <w:right w:w="108" w:type="dxa"/>
          </w:tblCellMar>
        </w:tblPrEx>
        <w:trPr>
          <w:trHeight w:val="555" w:hRule="atLeast"/>
        </w:trPr>
        <w:tc>
          <w:tcPr>
            <w:tcW w:w="516" w:type="dxa"/>
            <w:vMerge w:val="continue"/>
            <w:tcBorders>
              <w:top w:val="nil"/>
              <w:left w:val="nil"/>
              <w:bottom w:val="nil"/>
              <w:right w:val="nil"/>
            </w:tcBorders>
            <w:vAlign w:val="center"/>
          </w:tcPr>
          <w:p>
            <w:pPr>
              <w:widowControl/>
              <w:jc w:val="left"/>
              <w:rPr>
                <w:rFonts w:ascii="宋体" w:hAnsi="宋体" w:cs="宋体"/>
                <w:kern w:val="0"/>
                <w:sz w:val="24"/>
              </w:rPr>
            </w:pPr>
          </w:p>
        </w:tc>
        <w:tc>
          <w:tcPr>
            <w:tcW w:w="1006"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c>
          <w:tcPr>
            <w:tcW w:w="104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c>
          <w:tcPr>
            <w:tcW w:w="740"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kern w:val="0"/>
                <w:sz w:val="20"/>
                <w:szCs w:val="20"/>
              </w:rPr>
            </w:pPr>
            <w:r>
              <w:rPr>
                <w:rFonts w:hint="eastAsia" w:ascii="宋体" w:hAnsi="宋体" w:cs="宋体"/>
                <w:kern w:val="0"/>
                <w:sz w:val="20"/>
                <w:szCs w:val="20"/>
              </w:rPr>
              <w:t>分配过程</w:t>
            </w:r>
          </w:p>
        </w:tc>
        <w:tc>
          <w:tcPr>
            <w:tcW w:w="2940" w:type="dxa"/>
            <w:gridSpan w:val="2"/>
            <w:tcBorders>
              <w:top w:val="single" w:color="auto" w:sz="4" w:space="0"/>
              <w:left w:val="nil"/>
              <w:bottom w:val="single" w:color="auto" w:sz="4" w:space="0"/>
              <w:right w:val="single" w:color="auto" w:sz="4" w:space="0"/>
            </w:tcBorders>
            <w:shd w:val="clear" w:color="auto" w:fill="auto"/>
            <w:vAlign w:val="bottom"/>
          </w:tcPr>
          <w:p>
            <w:pPr>
              <w:widowControl/>
              <w:jc w:val="left"/>
              <w:rPr>
                <w:rFonts w:ascii="宋体" w:hAnsi="宋体" w:cs="宋体"/>
                <w:kern w:val="0"/>
                <w:sz w:val="20"/>
                <w:szCs w:val="20"/>
              </w:rPr>
            </w:pPr>
            <w:r>
              <w:rPr>
                <w:rFonts w:hint="eastAsia" w:ascii="宋体" w:hAnsi="宋体" w:cs="宋体"/>
                <w:kern w:val="0"/>
                <w:sz w:val="20"/>
                <w:szCs w:val="20"/>
              </w:rPr>
              <w:t>分配过程符合相关规定</w:t>
            </w:r>
          </w:p>
        </w:tc>
        <w:tc>
          <w:tcPr>
            <w:tcW w:w="1640" w:type="dxa"/>
            <w:tcBorders>
              <w:top w:val="nil"/>
              <w:left w:val="nil"/>
              <w:bottom w:val="single" w:color="auto" w:sz="4" w:space="0"/>
              <w:right w:val="single" w:color="auto" w:sz="4" w:space="0"/>
            </w:tcBorders>
            <w:shd w:val="clear" w:color="auto" w:fill="auto"/>
            <w:vAlign w:val="bottom"/>
          </w:tcPr>
          <w:p>
            <w:pPr>
              <w:jc w:val="center"/>
              <w:rPr>
                <w:rFonts w:ascii="宋体" w:hAnsi="宋体" w:cs="宋体"/>
                <w:sz w:val="20"/>
                <w:szCs w:val="20"/>
              </w:rPr>
            </w:pPr>
            <w:r>
              <w:rPr>
                <w:rFonts w:hint="eastAsia" w:ascii="宋体" w:hAnsi="宋体" w:cs="宋体"/>
                <w:sz w:val="20"/>
                <w:szCs w:val="20"/>
              </w:rPr>
              <w:t>合理</w:t>
            </w:r>
          </w:p>
        </w:tc>
        <w:tc>
          <w:tcPr>
            <w:tcW w:w="1634" w:type="dxa"/>
            <w:tcBorders>
              <w:top w:val="nil"/>
              <w:left w:val="nil"/>
              <w:bottom w:val="single" w:color="auto" w:sz="4" w:space="0"/>
              <w:right w:val="single" w:color="auto" w:sz="4" w:space="0"/>
            </w:tcBorders>
            <w:shd w:val="clear" w:color="auto" w:fill="auto"/>
            <w:vAlign w:val="bottom"/>
          </w:tcPr>
          <w:p>
            <w:pPr>
              <w:jc w:val="center"/>
              <w:rPr>
                <w:rFonts w:ascii="宋体" w:hAnsi="宋体" w:cs="宋体"/>
                <w:sz w:val="20"/>
                <w:szCs w:val="20"/>
              </w:rPr>
            </w:pPr>
            <w:r>
              <w:rPr>
                <w:rFonts w:hint="eastAsia" w:ascii="宋体" w:hAnsi="宋体" w:cs="宋体"/>
                <w:sz w:val="20"/>
                <w:szCs w:val="20"/>
              </w:rPr>
              <w:t>合理</w:t>
            </w:r>
          </w:p>
        </w:tc>
      </w:tr>
      <w:tr>
        <w:tblPrEx>
          <w:tblCellMar>
            <w:top w:w="0" w:type="dxa"/>
            <w:left w:w="108" w:type="dxa"/>
            <w:bottom w:w="0" w:type="dxa"/>
            <w:right w:w="108" w:type="dxa"/>
          </w:tblCellMar>
        </w:tblPrEx>
        <w:trPr>
          <w:trHeight w:val="765" w:hRule="atLeast"/>
        </w:trPr>
        <w:tc>
          <w:tcPr>
            <w:tcW w:w="516" w:type="dxa"/>
            <w:vMerge w:val="continue"/>
            <w:tcBorders>
              <w:top w:val="nil"/>
              <w:left w:val="nil"/>
              <w:bottom w:val="nil"/>
              <w:right w:val="nil"/>
            </w:tcBorders>
            <w:vAlign w:val="center"/>
          </w:tcPr>
          <w:p>
            <w:pPr>
              <w:widowControl/>
              <w:jc w:val="left"/>
              <w:rPr>
                <w:rFonts w:ascii="宋体" w:hAnsi="宋体" w:cs="宋体"/>
                <w:kern w:val="0"/>
                <w:sz w:val="24"/>
              </w:rPr>
            </w:pPr>
          </w:p>
        </w:tc>
        <w:tc>
          <w:tcPr>
            <w:tcW w:w="1006"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c>
          <w:tcPr>
            <w:tcW w:w="1040" w:type="dxa"/>
            <w:vMerge w:val="restart"/>
            <w:tcBorders>
              <w:top w:val="nil"/>
              <w:left w:val="single" w:color="auto" w:sz="4" w:space="0"/>
              <w:bottom w:val="single" w:color="auto" w:sz="4" w:space="0"/>
              <w:right w:val="single" w:color="auto" w:sz="4" w:space="0"/>
            </w:tcBorders>
            <w:shd w:val="clear" w:color="auto" w:fill="auto"/>
            <w:textDirection w:val="tbRlV"/>
            <w:vAlign w:val="bottom"/>
          </w:tcPr>
          <w:p>
            <w:pPr>
              <w:widowControl/>
              <w:jc w:val="center"/>
              <w:rPr>
                <w:rFonts w:ascii="宋体" w:hAnsi="宋体" w:cs="宋体"/>
                <w:kern w:val="0"/>
                <w:sz w:val="20"/>
                <w:szCs w:val="20"/>
              </w:rPr>
            </w:pPr>
            <w:r>
              <w:rPr>
                <w:rFonts w:hint="eastAsia" w:ascii="宋体" w:hAnsi="宋体" w:cs="宋体"/>
                <w:kern w:val="0"/>
                <w:sz w:val="20"/>
                <w:szCs w:val="20"/>
              </w:rPr>
              <w:t>分配结果</w:t>
            </w:r>
          </w:p>
        </w:tc>
        <w:tc>
          <w:tcPr>
            <w:tcW w:w="740"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kern w:val="0"/>
                <w:sz w:val="20"/>
                <w:szCs w:val="20"/>
              </w:rPr>
            </w:pPr>
            <w:r>
              <w:rPr>
                <w:rFonts w:hint="eastAsia" w:ascii="宋体" w:hAnsi="宋体" w:cs="宋体"/>
                <w:kern w:val="0"/>
                <w:sz w:val="20"/>
                <w:szCs w:val="20"/>
              </w:rPr>
              <w:t>审核把关</w:t>
            </w:r>
          </w:p>
        </w:tc>
        <w:tc>
          <w:tcPr>
            <w:tcW w:w="2940" w:type="dxa"/>
            <w:gridSpan w:val="2"/>
            <w:tcBorders>
              <w:top w:val="single" w:color="auto" w:sz="4" w:space="0"/>
              <w:left w:val="nil"/>
              <w:bottom w:val="single" w:color="auto" w:sz="4" w:space="0"/>
              <w:right w:val="single" w:color="auto" w:sz="4" w:space="0"/>
            </w:tcBorders>
            <w:shd w:val="clear" w:color="auto" w:fill="auto"/>
            <w:vAlign w:val="bottom"/>
          </w:tcPr>
          <w:p>
            <w:pPr>
              <w:widowControl/>
              <w:jc w:val="left"/>
              <w:rPr>
                <w:rFonts w:ascii="宋体" w:hAnsi="宋体" w:cs="宋体"/>
                <w:kern w:val="0"/>
                <w:sz w:val="20"/>
                <w:szCs w:val="20"/>
              </w:rPr>
            </w:pPr>
            <w:r>
              <w:rPr>
                <w:rFonts w:hint="eastAsia" w:ascii="宋体" w:hAnsi="宋体" w:cs="宋体"/>
                <w:kern w:val="0"/>
                <w:sz w:val="20"/>
                <w:szCs w:val="20"/>
              </w:rPr>
              <w:t>符合申报条件的抽样项目点个数/抽样项目点总数×100%</w:t>
            </w:r>
          </w:p>
        </w:tc>
        <w:tc>
          <w:tcPr>
            <w:tcW w:w="1640" w:type="dxa"/>
            <w:tcBorders>
              <w:top w:val="nil"/>
              <w:left w:val="nil"/>
              <w:bottom w:val="single" w:color="auto" w:sz="4" w:space="0"/>
              <w:right w:val="single" w:color="auto" w:sz="4" w:space="0"/>
            </w:tcBorders>
            <w:shd w:val="clear" w:color="auto" w:fill="auto"/>
            <w:vAlign w:val="bottom"/>
          </w:tcPr>
          <w:p>
            <w:pPr>
              <w:jc w:val="center"/>
              <w:rPr>
                <w:rFonts w:ascii="宋体" w:hAnsi="宋体" w:cs="宋体"/>
                <w:sz w:val="20"/>
                <w:szCs w:val="20"/>
              </w:rPr>
            </w:pPr>
            <w:r>
              <w:rPr>
                <w:rFonts w:hint="eastAsia" w:ascii="宋体" w:hAnsi="宋体" w:cs="宋体"/>
                <w:sz w:val="20"/>
                <w:szCs w:val="20"/>
              </w:rPr>
              <w:t>符合</w:t>
            </w:r>
          </w:p>
        </w:tc>
        <w:tc>
          <w:tcPr>
            <w:tcW w:w="1634" w:type="dxa"/>
            <w:tcBorders>
              <w:top w:val="nil"/>
              <w:left w:val="nil"/>
              <w:bottom w:val="single" w:color="auto" w:sz="4" w:space="0"/>
              <w:right w:val="single" w:color="auto" w:sz="4" w:space="0"/>
            </w:tcBorders>
            <w:shd w:val="clear" w:color="auto" w:fill="auto"/>
            <w:vAlign w:val="bottom"/>
          </w:tcPr>
          <w:p>
            <w:pPr>
              <w:jc w:val="center"/>
              <w:rPr>
                <w:rFonts w:ascii="宋体" w:hAnsi="宋体" w:cs="宋体"/>
                <w:sz w:val="20"/>
                <w:szCs w:val="20"/>
              </w:rPr>
            </w:pPr>
            <w:r>
              <w:rPr>
                <w:rFonts w:hint="eastAsia" w:ascii="宋体" w:hAnsi="宋体" w:cs="宋体"/>
                <w:sz w:val="20"/>
                <w:szCs w:val="20"/>
              </w:rPr>
              <w:t>符合</w:t>
            </w:r>
          </w:p>
        </w:tc>
      </w:tr>
      <w:tr>
        <w:tblPrEx>
          <w:tblCellMar>
            <w:top w:w="0" w:type="dxa"/>
            <w:left w:w="108" w:type="dxa"/>
            <w:bottom w:w="0" w:type="dxa"/>
            <w:right w:w="108" w:type="dxa"/>
          </w:tblCellMar>
        </w:tblPrEx>
        <w:trPr>
          <w:trHeight w:val="1020" w:hRule="atLeast"/>
        </w:trPr>
        <w:tc>
          <w:tcPr>
            <w:tcW w:w="516" w:type="dxa"/>
            <w:vMerge w:val="continue"/>
            <w:tcBorders>
              <w:top w:val="nil"/>
              <w:left w:val="nil"/>
              <w:bottom w:val="nil"/>
              <w:right w:val="nil"/>
            </w:tcBorders>
            <w:vAlign w:val="center"/>
          </w:tcPr>
          <w:p>
            <w:pPr>
              <w:widowControl/>
              <w:jc w:val="left"/>
              <w:rPr>
                <w:rFonts w:ascii="宋体" w:hAnsi="宋体" w:cs="宋体"/>
                <w:kern w:val="0"/>
                <w:sz w:val="24"/>
              </w:rPr>
            </w:pPr>
          </w:p>
        </w:tc>
        <w:tc>
          <w:tcPr>
            <w:tcW w:w="1006"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c>
          <w:tcPr>
            <w:tcW w:w="104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c>
          <w:tcPr>
            <w:tcW w:w="740"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kern w:val="0"/>
                <w:sz w:val="20"/>
                <w:szCs w:val="20"/>
              </w:rPr>
            </w:pPr>
            <w:r>
              <w:rPr>
                <w:rFonts w:hint="eastAsia" w:ascii="宋体" w:hAnsi="宋体" w:cs="宋体"/>
                <w:kern w:val="0"/>
                <w:sz w:val="20"/>
                <w:szCs w:val="20"/>
              </w:rPr>
              <w:t>资金集中</w:t>
            </w:r>
          </w:p>
        </w:tc>
        <w:tc>
          <w:tcPr>
            <w:tcW w:w="1180" w:type="dxa"/>
            <w:tcBorders>
              <w:top w:val="nil"/>
              <w:left w:val="nil"/>
              <w:bottom w:val="single" w:color="auto" w:sz="4" w:space="0"/>
              <w:right w:val="single" w:color="auto" w:sz="4" w:space="0"/>
            </w:tcBorders>
            <w:shd w:val="clear" w:color="auto" w:fill="auto"/>
            <w:vAlign w:val="bottom"/>
          </w:tcPr>
          <w:p>
            <w:pPr>
              <w:widowControl/>
              <w:jc w:val="left"/>
              <w:rPr>
                <w:rFonts w:ascii="宋体" w:hAnsi="宋体" w:cs="宋体"/>
                <w:kern w:val="0"/>
                <w:sz w:val="20"/>
                <w:szCs w:val="20"/>
              </w:rPr>
            </w:pPr>
            <w:r>
              <w:rPr>
                <w:rFonts w:hint="eastAsia" w:ascii="宋体" w:hAnsi="宋体" w:cs="宋体"/>
                <w:kern w:val="0"/>
                <w:sz w:val="20"/>
                <w:szCs w:val="20"/>
              </w:rPr>
              <w:t>集中</w:t>
            </w:r>
          </w:p>
        </w:tc>
        <w:tc>
          <w:tcPr>
            <w:tcW w:w="1760" w:type="dxa"/>
            <w:tcBorders>
              <w:top w:val="nil"/>
              <w:left w:val="nil"/>
              <w:bottom w:val="single" w:color="auto" w:sz="4" w:space="0"/>
              <w:right w:val="single" w:color="auto" w:sz="4" w:space="0"/>
            </w:tcBorders>
            <w:shd w:val="clear" w:color="auto" w:fill="auto"/>
            <w:vAlign w:val="bottom"/>
          </w:tcPr>
          <w:p>
            <w:pPr>
              <w:jc w:val="center"/>
              <w:rPr>
                <w:rFonts w:ascii="宋体" w:hAnsi="宋体" w:cs="宋体"/>
                <w:sz w:val="20"/>
                <w:szCs w:val="20"/>
              </w:rPr>
            </w:pPr>
            <w:r>
              <w:rPr>
                <w:rFonts w:hint="eastAsia" w:ascii="宋体" w:hAnsi="宋体" w:cs="宋体"/>
                <w:sz w:val="20"/>
                <w:szCs w:val="20"/>
              </w:rPr>
              <w:t>1个</w:t>
            </w:r>
          </w:p>
        </w:tc>
        <w:tc>
          <w:tcPr>
            <w:tcW w:w="1640" w:type="dxa"/>
            <w:tcBorders>
              <w:top w:val="nil"/>
              <w:left w:val="nil"/>
              <w:bottom w:val="single" w:color="auto" w:sz="4" w:space="0"/>
              <w:right w:val="single" w:color="auto" w:sz="4" w:space="0"/>
            </w:tcBorders>
            <w:shd w:val="clear" w:color="auto" w:fill="auto"/>
            <w:vAlign w:val="bottom"/>
          </w:tcPr>
          <w:p>
            <w:pPr>
              <w:jc w:val="center"/>
              <w:rPr>
                <w:rFonts w:ascii="宋体" w:hAnsi="宋体" w:cs="宋体"/>
                <w:sz w:val="20"/>
                <w:szCs w:val="20"/>
              </w:rPr>
            </w:pPr>
            <w:r>
              <w:rPr>
                <w:rFonts w:hint="eastAsia" w:ascii="宋体" w:hAnsi="宋体" w:cs="宋体"/>
                <w:sz w:val="20"/>
                <w:szCs w:val="20"/>
              </w:rPr>
              <w:t>1个</w:t>
            </w:r>
          </w:p>
        </w:tc>
        <w:tc>
          <w:tcPr>
            <w:tcW w:w="1634"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kern w:val="0"/>
                <w:sz w:val="20"/>
                <w:szCs w:val="20"/>
              </w:rPr>
            </w:pPr>
            <w:r>
              <w:rPr>
                <w:rFonts w:hint="eastAsia" w:ascii="宋体" w:hAnsi="宋体" w:cs="宋体"/>
                <w:kern w:val="0"/>
                <w:sz w:val="20"/>
                <w:szCs w:val="20"/>
              </w:rPr>
              <w:t>　</w:t>
            </w:r>
          </w:p>
        </w:tc>
      </w:tr>
      <w:tr>
        <w:tblPrEx>
          <w:tblCellMar>
            <w:top w:w="0" w:type="dxa"/>
            <w:left w:w="108" w:type="dxa"/>
            <w:bottom w:w="0" w:type="dxa"/>
            <w:right w:w="108" w:type="dxa"/>
          </w:tblCellMar>
        </w:tblPrEx>
        <w:trPr>
          <w:trHeight w:val="735" w:hRule="atLeast"/>
        </w:trPr>
        <w:tc>
          <w:tcPr>
            <w:tcW w:w="516" w:type="dxa"/>
            <w:vMerge w:val="continue"/>
            <w:tcBorders>
              <w:top w:val="nil"/>
              <w:left w:val="nil"/>
              <w:bottom w:val="nil"/>
              <w:right w:val="nil"/>
            </w:tcBorders>
            <w:vAlign w:val="center"/>
          </w:tcPr>
          <w:p>
            <w:pPr>
              <w:widowControl/>
              <w:jc w:val="left"/>
              <w:rPr>
                <w:rFonts w:ascii="宋体" w:hAnsi="宋体" w:cs="宋体"/>
                <w:kern w:val="0"/>
                <w:sz w:val="24"/>
              </w:rPr>
            </w:pPr>
          </w:p>
        </w:tc>
        <w:tc>
          <w:tcPr>
            <w:tcW w:w="1006"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c>
          <w:tcPr>
            <w:tcW w:w="104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c>
          <w:tcPr>
            <w:tcW w:w="740"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kern w:val="0"/>
                <w:sz w:val="20"/>
                <w:szCs w:val="20"/>
              </w:rPr>
            </w:pPr>
            <w:r>
              <w:rPr>
                <w:rFonts w:hint="eastAsia" w:ascii="宋体" w:hAnsi="宋体" w:cs="宋体"/>
                <w:kern w:val="0"/>
                <w:sz w:val="20"/>
                <w:szCs w:val="20"/>
              </w:rPr>
              <w:t>（均衡）</w:t>
            </w:r>
          </w:p>
        </w:tc>
        <w:tc>
          <w:tcPr>
            <w:tcW w:w="1180" w:type="dxa"/>
            <w:tcBorders>
              <w:top w:val="nil"/>
              <w:left w:val="nil"/>
              <w:bottom w:val="single" w:color="auto" w:sz="4" w:space="0"/>
              <w:right w:val="single" w:color="auto" w:sz="4" w:space="0"/>
            </w:tcBorders>
            <w:shd w:val="clear" w:color="auto" w:fill="auto"/>
            <w:vAlign w:val="bottom"/>
          </w:tcPr>
          <w:p>
            <w:pPr>
              <w:widowControl/>
              <w:jc w:val="left"/>
              <w:rPr>
                <w:rFonts w:ascii="宋体" w:hAnsi="宋体" w:cs="宋体"/>
                <w:kern w:val="0"/>
                <w:sz w:val="20"/>
                <w:szCs w:val="20"/>
              </w:rPr>
            </w:pPr>
            <w:r>
              <w:rPr>
                <w:rFonts w:hint="eastAsia" w:ascii="宋体" w:hAnsi="宋体" w:cs="宋体"/>
                <w:kern w:val="0"/>
                <w:sz w:val="20"/>
                <w:szCs w:val="20"/>
              </w:rPr>
              <w:t>均衡</w:t>
            </w:r>
          </w:p>
        </w:tc>
        <w:tc>
          <w:tcPr>
            <w:tcW w:w="1760" w:type="dxa"/>
            <w:tcBorders>
              <w:top w:val="nil"/>
              <w:left w:val="nil"/>
              <w:bottom w:val="single" w:color="auto" w:sz="4" w:space="0"/>
              <w:right w:val="single" w:color="auto" w:sz="4" w:space="0"/>
            </w:tcBorders>
            <w:shd w:val="clear" w:color="auto" w:fill="auto"/>
            <w:vAlign w:val="bottom"/>
          </w:tcPr>
          <w:p>
            <w:pPr>
              <w:jc w:val="center"/>
              <w:rPr>
                <w:rFonts w:ascii="宋体" w:hAnsi="宋体" w:cs="宋体"/>
                <w:sz w:val="20"/>
                <w:szCs w:val="20"/>
              </w:rPr>
            </w:pPr>
            <w:r>
              <w:rPr>
                <w:rFonts w:hint="eastAsia" w:ascii="宋体" w:hAnsi="宋体" w:cs="宋体"/>
                <w:sz w:val="20"/>
                <w:szCs w:val="20"/>
              </w:rPr>
              <w:t>1个</w:t>
            </w:r>
          </w:p>
        </w:tc>
        <w:tc>
          <w:tcPr>
            <w:tcW w:w="1640" w:type="dxa"/>
            <w:tcBorders>
              <w:top w:val="nil"/>
              <w:left w:val="nil"/>
              <w:bottom w:val="single" w:color="auto" w:sz="4" w:space="0"/>
              <w:right w:val="single" w:color="auto" w:sz="4" w:space="0"/>
            </w:tcBorders>
            <w:shd w:val="clear" w:color="auto" w:fill="auto"/>
            <w:vAlign w:val="bottom"/>
          </w:tcPr>
          <w:p>
            <w:pPr>
              <w:jc w:val="center"/>
              <w:rPr>
                <w:rFonts w:ascii="宋体" w:hAnsi="宋体" w:cs="宋体"/>
                <w:sz w:val="20"/>
                <w:szCs w:val="20"/>
              </w:rPr>
            </w:pPr>
            <w:r>
              <w:rPr>
                <w:rFonts w:hint="eastAsia" w:ascii="宋体" w:hAnsi="宋体" w:cs="宋体"/>
                <w:sz w:val="20"/>
                <w:szCs w:val="20"/>
              </w:rPr>
              <w:t>1个</w:t>
            </w:r>
          </w:p>
        </w:tc>
        <w:tc>
          <w:tcPr>
            <w:tcW w:w="1634"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kern w:val="0"/>
                <w:sz w:val="20"/>
                <w:szCs w:val="20"/>
              </w:rPr>
            </w:pPr>
            <w:r>
              <w:rPr>
                <w:rFonts w:hint="eastAsia" w:ascii="宋体" w:hAnsi="宋体" w:cs="宋体"/>
                <w:kern w:val="0"/>
                <w:sz w:val="20"/>
                <w:szCs w:val="20"/>
              </w:rPr>
              <w:t>　</w:t>
            </w:r>
          </w:p>
        </w:tc>
      </w:tr>
      <w:tr>
        <w:tblPrEx>
          <w:tblCellMar>
            <w:top w:w="0" w:type="dxa"/>
            <w:left w:w="108" w:type="dxa"/>
            <w:bottom w:w="0" w:type="dxa"/>
            <w:right w:w="108" w:type="dxa"/>
          </w:tblCellMar>
        </w:tblPrEx>
        <w:trPr>
          <w:trHeight w:val="540" w:hRule="atLeast"/>
        </w:trPr>
        <w:tc>
          <w:tcPr>
            <w:tcW w:w="516" w:type="dxa"/>
            <w:vMerge w:val="continue"/>
            <w:tcBorders>
              <w:top w:val="nil"/>
              <w:left w:val="nil"/>
              <w:bottom w:val="nil"/>
              <w:right w:val="nil"/>
            </w:tcBorders>
            <w:vAlign w:val="center"/>
          </w:tcPr>
          <w:p>
            <w:pPr>
              <w:widowControl/>
              <w:jc w:val="left"/>
              <w:rPr>
                <w:rFonts w:ascii="宋体" w:hAnsi="宋体" w:cs="宋体"/>
                <w:kern w:val="0"/>
                <w:sz w:val="24"/>
              </w:rPr>
            </w:pPr>
          </w:p>
        </w:tc>
        <w:tc>
          <w:tcPr>
            <w:tcW w:w="1006" w:type="dxa"/>
            <w:vMerge w:val="restart"/>
            <w:tcBorders>
              <w:top w:val="nil"/>
              <w:left w:val="single" w:color="auto" w:sz="4" w:space="0"/>
              <w:bottom w:val="single" w:color="auto" w:sz="4" w:space="0"/>
              <w:right w:val="single" w:color="auto" w:sz="4" w:space="0"/>
            </w:tcBorders>
            <w:shd w:val="clear" w:color="auto" w:fill="auto"/>
            <w:textDirection w:val="tbRlV"/>
            <w:vAlign w:val="center"/>
          </w:tcPr>
          <w:p>
            <w:pPr>
              <w:widowControl/>
              <w:jc w:val="center"/>
              <w:rPr>
                <w:rFonts w:ascii="宋体" w:hAnsi="宋体" w:cs="宋体"/>
                <w:kern w:val="0"/>
                <w:sz w:val="20"/>
                <w:szCs w:val="20"/>
              </w:rPr>
            </w:pPr>
            <w:r>
              <w:rPr>
                <w:rFonts w:hint="eastAsia" w:ascii="宋体" w:hAnsi="宋体" w:cs="宋体"/>
                <w:kern w:val="0"/>
                <w:sz w:val="20"/>
                <w:szCs w:val="20"/>
              </w:rPr>
              <w:t>项目管理</w:t>
            </w:r>
          </w:p>
        </w:tc>
        <w:tc>
          <w:tcPr>
            <w:tcW w:w="1040" w:type="dxa"/>
            <w:vMerge w:val="restart"/>
            <w:tcBorders>
              <w:top w:val="nil"/>
              <w:left w:val="single" w:color="auto" w:sz="4" w:space="0"/>
              <w:bottom w:val="single" w:color="auto" w:sz="4" w:space="0"/>
              <w:right w:val="single" w:color="auto" w:sz="4" w:space="0"/>
            </w:tcBorders>
            <w:shd w:val="clear" w:color="auto" w:fill="auto"/>
            <w:textDirection w:val="tbRlV"/>
            <w:vAlign w:val="center"/>
          </w:tcPr>
          <w:p>
            <w:pPr>
              <w:widowControl/>
              <w:jc w:val="center"/>
              <w:rPr>
                <w:rFonts w:ascii="宋体" w:hAnsi="宋体" w:cs="宋体"/>
                <w:kern w:val="0"/>
                <w:sz w:val="20"/>
                <w:szCs w:val="20"/>
              </w:rPr>
            </w:pPr>
            <w:r>
              <w:rPr>
                <w:rFonts w:hint="eastAsia" w:ascii="宋体" w:hAnsi="宋体" w:cs="宋体"/>
                <w:kern w:val="0"/>
                <w:sz w:val="20"/>
                <w:szCs w:val="20"/>
              </w:rPr>
              <w:t xml:space="preserve"> 资金到位</w:t>
            </w:r>
          </w:p>
        </w:tc>
        <w:tc>
          <w:tcPr>
            <w:tcW w:w="740"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kern w:val="0"/>
                <w:sz w:val="20"/>
                <w:szCs w:val="20"/>
              </w:rPr>
            </w:pPr>
            <w:r>
              <w:rPr>
                <w:rFonts w:hint="eastAsia" w:ascii="宋体" w:hAnsi="宋体" w:cs="宋体"/>
                <w:kern w:val="0"/>
                <w:sz w:val="20"/>
                <w:szCs w:val="20"/>
              </w:rPr>
              <w:t>分配时效</w:t>
            </w:r>
          </w:p>
        </w:tc>
        <w:tc>
          <w:tcPr>
            <w:tcW w:w="2940" w:type="dxa"/>
            <w:gridSpan w:val="2"/>
            <w:tcBorders>
              <w:top w:val="single" w:color="auto" w:sz="4" w:space="0"/>
              <w:left w:val="nil"/>
              <w:bottom w:val="single" w:color="auto" w:sz="4" w:space="0"/>
              <w:right w:val="single" w:color="auto" w:sz="4" w:space="0"/>
            </w:tcBorders>
            <w:shd w:val="clear" w:color="auto" w:fill="auto"/>
            <w:vAlign w:val="bottom"/>
          </w:tcPr>
          <w:p>
            <w:pPr>
              <w:widowControl/>
              <w:jc w:val="left"/>
              <w:rPr>
                <w:rFonts w:ascii="宋体" w:hAnsi="宋体" w:cs="宋体"/>
                <w:kern w:val="0"/>
                <w:sz w:val="20"/>
                <w:szCs w:val="20"/>
              </w:rPr>
            </w:pPr>
            <w:r>
              <w:rPr>
                <w:rFonts w:hint="eastAsia" w:ascii="宋体" w:hAnsi="宋体" w:cs="宋体"/>
                <w:kern w:val="0"/>
                <w:sz w:val="20"/>
                <w:szCs w:val="20"/>
              </w:rPr>
              <w:t>县级主管部门按规定及时分配资金</w:t>
            </w:r>
          </w:p>
        </w:tc>
        <w:tc>
          <w:tcPr>
            <w:tcW w:w="1640" w:type="dxa"/>
            <w:tcBorders>
              <w:top w:val="nil"/>
              <w:left w:val="nil"/>
              <w:bottom w:val="single" w:color="auto" w:sz="4" w:space="0"/>
              <w:right w:val="single" w:color="auto" w:sz="4" w:space="0"/>
            </w:tcBorders>
            <w:shd w:val="clear" w:color="auto" w:fill="auto"/>
            <w:vAlign w:val="bottom"/>
          </w:tcPr>
          <w:p>
            <w:pPr>
              <w:jc w:val="center"/>
              <w:rPr>
                <w:rFonts w:ascii="宋体" w:hAnsi="宋体" w:cs="宋体"/>
                <w:sz w:val="20"/>
                <w:szCs w:val="20"/>
              </w:rPr>
            </w:pPr>
            <w:r>
              <w:rPr>
                <w:rFonts w:hint="eastAsia" w:ascii="宋体" w:hAnsi="宋体" w:cs="宋体"/>
                <w:sz w:val="20"/>
                <w:szCs w:val="20"/>
              </w:rPr>
              <w:t>合理</w:t>
            </w:r>
          </w:p>
        </w:tc>
        <w:tc>
          <w:tcPr>
            <w:tcW w:w="1634" w:type="dxa"/>
            <w:tcBorders>
              <w:top w:val="nil"/>
              <w:left w:val="nil"/>
              <w:bottom w:val="single" w:color="auto" w:sz="4" w:space="0"/>
              <w:right w:val="single" w:color="auto" w:sz="4" w:space="0"/>
            </w:tcBorders>
            <w:shd w:val="clear" w:color="auto" w:fill="auto"/>
            <w:vAlign w:val="bottom"/>
          </w:tcPr>
          <w:p>
            <w:pPr>
              <w:jc w:val="center"/>
              <w:rPr>
                <w:rFonts w:ascii="宋体" w:hAnsi="宋体" w:cs="宋体"/>
                <w:sz w:val="20"/>
                <w:szCs w:val="20"/>
              </w:rPr>
            </w:pPr>
            <w:r>
              <w:rPr>
                <w:rFonts w:hint="eastAsia" w:ascii="宋体" w:hAnsi="宋体" w:cs="宋体"/>
                <w:sz w:val="20"/>
                <w:szCs w:val="20"/>
              </w:rPr>
              <w:t>合理</w:t>
            </w:r>
          </w:p>
        </w:tc>
      </w:tr>
      <w:tr>
        <w:tblPrEx>
          <w:tblCellMar>
            <w:top w:w="0" w:type="dxa"/>
            <w:left w:w="108" w:type="dxa"/>
            <w:bottom w:w="0" w:type="dxa"/>
            <w:right w:w="108" w:type="dxa"/>
          </w:tblCellMar>
        </w:tblPrEx>
        <w:trPr>
          <w:trHeight w:val="1155" w:hRule="atLeast"/>
        </w:trPr>
        <w:tc>
          <w:tcPr>
            <w:tcW w:w="516" w:type="dxa"/>
            <w:vMerge w:val="continue"/>
            <w:tcBorders>
              <w:top w:val="nil"/>
              <w:left w:val="nil"/>
              <w:bottom w:val="nil"/>
              <w:right w:val="nil"/>
            </w:tcBorders>
            <w:vAlign w:val="center"/>
          </w:tcPr>
          <w:p>
            <w:pPr>
              <w:widowControl/>
              <w:jc w:val="left"/>
              <w:rPr>
                <w:rFonts w:ascii="宋体" w:hAnsi="宋体" w:cs="宋体"/>
                <w:kern w:val="0"/>
                <w:sz w:val="24"/>
              </w:rPr>
            </w:pPr>
          </w:p>
        </w:tc>
        <w:tc>
          <w:tcPr>
            <w:tcW w:w="1006"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c>
          <w:tcPr>
            <w:tcW w:w="104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c>
          <w:tcPr>
            <w:tcW w:w="740"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kern w:val="0"/>
                <w:sz w:val="20"/>
                <w:szCs w:val="20"/>
              </w:rPr>
            </w:pPr>
            <w:r>
              <w:rPr>
                <w:rFonts w:hint="eastAsia" w:ascii="宋体" w:hAnsi="宋体" w:cs="宋体"/>
                <w:kern w:val="0"/>
                <w:sz w:val="20"/>
                <w:szCs w:val="20"/>
              </w:rPr>
              <w:t>资金拨付</w:t>
            </w:r>
          </w:p>
        </w:tc>
        <w:tc>
          <w:tcPr>
            <w:tcW w:w="2940" w:type="dxa"/>
            <w:gridSpan w:val="2"/>
            <w:tcBorders>
              <w:top w:val="single" w:color="auto" w:sz="4" w:space="0"/>
              <w:left w:val="nil"/>
              <w:bottom w:val="single" w:color="auto" w:sz="4" w:space="0"/>
              <w:right w:val="single" w:color="auto" w:sz="4" w:space="0"/>
            </w:tcBorders>
            <w:shd w:val="clear" w:color="auto" w:fill="auto"/>
            <w:vAlign w:val="bottom"/>
          </w:tcPr>
          <w:p>
            <w:pPr>
              <w:widowControl/>
              <w:jc w:val="left"/>
              <w:rPr>
                <w:rFonts w:ascii="宋体" w:hAnsi="宋体" w:cs="宋体"/>
                <w:kern w:val="0"/>
                <w:sz w:val="20"/>
                <w:szCs w:val="20"/>
              </w:rPr>
            </w:pPr>
            <w:r>
              <w:rPr>
                <w:rFonts w:hint="eastAsia" w:ascii="宋体" w:hAnsi="宋体" w:cs="宋体"/>
                <w:kern w:val="0"/>
                <w:sz w:val="20"/>
                <w:szCs w:val="20"/>
              </w:rPr>
              <w:t>按规定及时拨付资金</w:t>
            </w:r>
          </w:p>
        </w:tc>
        <w:tc>
          <w:tcPr>
            <w:tcW w:w="1640" w:type="dxa"/>
            <w:tcBorders>
              <w:top w:val="nil"/>
              <w:left w:val="nil"/>
              <w:bottom w:val="single" w:color="auto" w:sz="4" w:space="0"/>
              <w:right w:val="single" w:color="auto" w:sz="4" w:space="0"/>
            </w:tcBorders>
            <w:shd w:val="clear" w:color="auto" w:fill="auto"/>
            <w:vAlign w:val="bottom"/>
          </w:tcPr>
          <w:p>
            <w:pPr>
              <w:jc w:val="center"/>
              <w:rPr>
                <w:rFonts w:ascii="宋体" w:hAnsi="宋体" w:cs="宋体"/>
                <w:sz w:val="20"/>
                <w:szCs w:val="20"/>
              </w:rPr>
            </w:pPr>
            <w:r>
              <w:rPr>
                <w:rFonts w:hint="eastAsia" w:ascii="宋体" w:hAnsi="宋体" w:cs="宋体"/>
                <w:sz w:val="20"/>
                <w:szCs w:val="20"/>
              </w:rPr>
              <w:t>及时</w:t>
            </w:r>
          </w:p>
        </w:tc>
        <w:tc>
          <w:tcPr>
            <w:tcW w:w="1634" w:type="dxa"/>
            <w:tcBorders>
              <w:top w:val="nil"/>
              <w:left w:val="nil"/>
              <w:bottom w:val="single" w:color="auto" w:sz="4" w:space="0"/>
              <w:right w:val="single" w:color="auto" w:sz="4" w:space="0"/>
            </w:tcBorders>
            <w:shd w:val="clear" w:color="auto" w:fill="auto"/>
            <w:vAlign w:val="bottom"/>
          </w:tcPr>
          <w:p>
            <w:pPr>
              <w:jc w:val="center"/>
              <w:rPr>
                <w:rFonts w:ascii="宋体" w:hAnsi="宋体" w:cs="宋体"/>
                <w:sz w:val="20"/>
                <w:szCs w:val="20"/>
              </w:rPr>
            </w:pPr>
            <w:r>
              <w:rPr>
                <w:rFonts w:hint="eastAsia" w:ascii="宋体" w:hAnsi="宋体" w:cs="宋体"/>
                <w:sz w:val="20"/>
                <w:szCs w:val="20"/>
              </w:rPr>
              <w:t>及时</w:t>
            </w:r>
          </w:p>
        </w:tc>
      </w:tr>
      <w:tr>
        <w:tblPrEx>
          <w:tblCellMar>
            <w:top w:w="0" w:type="dxa"/>
            <w:left w:w="108" w:type="dxa"/>
            <w:bottom w:w="0" w:type="dxa"/>
            <w:right w:w="108" w:type="dxa"/>
          </w:tblCellMar>
        </w:tblPrEx>
        <w:trPr>
          <w:trHeight w:val="555" w:hRule="atLeast"/>
        </w:trPr>
        <w:tc>
          <w:tcPr>
            <w:tcW w:w="516" w:type="dxa"/>
            <w:vMerge w:val="continue"/>
            <w:tcBorders>
              <w:top w:val="nil"/>
              <w:left w:val="nil"/>
              <w:bottom w:val="nil"/>
              <w:right w:val="nil"/>
            </w:tcBorders>
            <w:vAlign w:val="center"/>
          </w:tcPr>
          <w:p>
            <w:pPr>
              <w:widowControl/>
              <w:jc w:val="left"/>
              <w:rPr>
                <w:rFonts w:ascii="宋体" w:hAnsi="宋体" w:cs="宋体"/>
                <w:kern w:val="0"/>
                <w:sz w:val="24"/>
              </w:rPr>
            </w:pPr>
          </w:p>
        </w:tc>
        <w:tc>
          <w:tcPr>
            <w:tcW w:w="1006"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c>
          <w:tcPr>
            <w:tcW w:w="1040" w:type="dxa"/>
            <w:vMerge w:val="restart"/>
            <w:tcBorders>
              <w:top w:val="nil"/>
              <w:left w:val="single" w:color="auto" w:sz="4" w:space="0"/>
              <w:bottom w:val="single" w:color="auto" w:sz="4" w:space="0"/>
              <w:right w:val="single" w:color="auto" w:sz="4" w:space="0"/>
            </w:tcBorders>
            <w:shd w:val="clear" w:color="auto" w:fill="auto"/>
            <w:textDirection w:val="tbRlV"/>
            <w:vAlign w:val="center"/>
          </w:tcPr>
          <w:p>
            <w:pPr>
              <w:widowControl/>
              <w:jc w:val="center"/>
              <w:rPr>
                <w:rFonts w:ascii="宋体" w:hAnsi="宋体" w:cs="宋体"/>
                <w:kern w:val="0"/>
                <w:sz w:val="20"/>
                <w:szCs w:val="20"/>
              </w:rPr>
            </w:pPr>
            <w:r>
              <w:rPr>
                <w:rFonts w:hint="eastAsia" w:ascii="宋体" w:hAnsi="宋体" w:cs="宋体"/>
                <w:kern w:val="0"/>
                <w:sz w:val="20"/>
                <w:szCs w:val="20"/>
              </w:rPr>
              <w:t xml:space="preserve">资金管理  </w:t>
            </w:r>
          </w:p>
        </w:tc>
        <w:tc>
          <w:tcPr>
            <w:tcW w:w="740"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kern w:val="0"/>
                <w:sz w:val="20"/>
                <w:szCs w:val="20"/>
              </w:rPr>
            </w:pPr>
            <w:r>
              <w:rPr>
                <w:rFonts w:hint="eastAsia" w:ascii="宋体" w:hAnsi="宋体" w:cs="宋体"/>
                <w:kern w:val="0"/>
                <w:sz w:val="20"/>
                <w:szCs w:val="20"/>
              </w:rPr>
              <w:t>使用范围</w:t>
            </w:r>
          </w:p>
        </w:tc>
        <w:tc>
          <w:tcPr>
            <w:tcW w:w="2940" w:type="dxa"/>
            <w:gridSpan w:val="2"/>
            <w:tcBorders>
              <w:top w:val="single" w:color="auto" w:sz="4" w:space="0"/>
              <w:left w:val="nil"/>
              <w:bottom w:val="single" w:color="auto" w:sz="4" w:space="0"/>
              <w:right w:val="single" w:color="auto" w:sz="4" w:space="0"/>
            </w:tcBorders>
            <w:shd w:val="clear" w:color="auto" w:fill="auto"/>
            <w:vAlign w:val="bottom"/>
          </w:tcPr>
          <w:p>
            <w:pPr>
              <w:widowControl/>
              <w:jc w:val="left"/>
              <w:rPr>
                <w:rFonts w:ascii="宋体" w:hAnsi="宋体" w:cs="宋体"/>
                <w:kern w:val="0"/>
                <w:sz w:val="20"/>
                <w:szCs w:val="20"/>
              </w:rPr>
            </w:pPr>
            <w:r>
              <w:rPr>
                <w:rFonts w:hint="eastAsia" w:ascii="宋体" w:hAnsi="宋体" w:cs="宋体"/>
                <w:kern w:val="0"/>
                <w:sz w:val="20"/>
                <w:szCs w:val="20"/>
              </w:rPr>
              <w:t>资金使用是否合规</w:t>
            </w:r>
          </w:p>
        </w:tc>
        <w:tc>
          <w:tcPr>
            <w:tcW w:w="1640" w:type="dxa"/>
            <w:tcBorders>
              <w:top w:val="nil"/>
              <w:left w:val="nil"/>
              <w:bottom w:val="single" w:color="auto" w:sz="4" w:space="0"/>
              <w:right w:val="single" w:color="auto" w:sz="4" w:space="0"/>
            </w:tcBorders>
            <w:shd w:val="clear" w:color="auto" w:fill="auto"/>
            <w:vAlign w:val="bottom"/>
          </w:tcPr>
          <w:p>
            <w:pPr>
              <w:jc w:val="center"/>
              <w:rPr>
                <w:rFonts w:ascii="宋体" w:hAnsi="宋体" w:cs="宋体"/>
                <w:sz w:val="20"/>
                <w:szCs w:val="20"/>
              </w:rPr>
            </w:pPr>
            <w:r>
              <w:rPr>
                <w:rFonts w:hint="eastAsia" w:ascii="宋体" w:hAnsi="宋体" w:cs="宋体"/>
                <w:sz w:val="20"/>
                <w:szCs w:val="20"/>
              </w:rPr>
              <w:t>是</w:t>
            </w:r>
          </w:p>
        </w:tc>
        <w:tc>
          <w:tcPr>
            <w:tcW w:w="1634" w:type="dxa"/>
            <w:tcBorders>
              <w:top w:val="nil"/>
              <w:left w:val="nil"/>
              <w:bottom w:val="single" w:color="auto" w:sz="4" w:space="0"/>
              <w:right w:val="single" w:color="auto" w:sz="4" w:space="0"/>
            </w:tcBorders>
            <w:shd w:val="clear" w:color="auto" w:fill="auto"/>
            <w:vAlign w:val="bottom"/>
          </w:tcPr>
          <w:p>
            <w:pPr>
              <w:jc w:val="center"/>
              <w:rPr>
                <w:rFonts w:ascii="宋体" w:hAnsi="宋体" w:cs="宋体"/>
                <w:sz w:val="20"/>
                <w:szCs w:val="20"/>
              </w:rPr>
            </w:pPr>
            <w:r>
              <w:rPr>
                <w:rFonts w:hint="eastAsia" w:ascii="宋体" w:hAnsi="宋体" w:cs="宋体"/>
                <w:sz w:val="20"/>
                <w:szCs w:val="20"/>
              </w:rPr>
              <w:t>是</w:t>
            </w:r>
          </w:p>
        </w:tc>
      </w:tr>
      <w:tr>
        <w:tblPrEx>
          <w:tblCellMar>
            <w:top w:w="0" w:type="dxa"/>
            <w:left w:w="108" w:type="dxa"/>
            <w:bottom w:w="0" w:type="dxa"/>
            <w:right w:w="108" w:type="dxa"/>
          </w:tblCellMar>
        </w:tblPrEx>
        <w:trPr>
          <w:trHeight w:val="555" w:hRule="atLeast"/>
        </w:trPr>
        <w:tc>
          <w:tcPr>
            <w:tcW w:w="516" w:type="dxa"/>
            <w:vMerge w:val="continue"/>
            <w:tcBorders>
              <w:top w:val="nil"/>
              <w:left w:val="nil"/>
              <w:bottom w:val="nil"/>
              <w:right w:val="nil"/>
            </w:tcBorders>
            <w:vAlign w:val="center"/>
          </w:tcPr>
          <w:p>
            <w:pPr>
              <w:widowControl/>
              <w:jc w:val="left"/>
              <w:rPr>
                <w:rFonts w:ascii="宋体" w:hAnsi="宋体" w:cs="宋体"/>
                <w:kern w:val="0"/>
                <w:sz w:val="24"/>
              </w:rPr>
            </w:pPr>
          </w:p>
        </w:tc>
        <w:tc>
          <w:tcPr>
            <w:tcW w:w="1006"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c>
          <w:tcPr>
            <w:tcW w:w="104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c>
          <w:tcPr>
            <w:tcW w:w="740"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kern w:val="0"/>
                <w:sz w:val="20"/>
                <w:szCs w:val="20"/>
              </w:rPr>
            </w:pPr>
            <w:r>
              <w:rPr>
                <w:rFonts w:hint="eastAsia" w:ascii="宋体" w:hAnsi="宋体" w:cs="宋体"/>
                <w:kern w:val="0"/>
                <w:sz w:val="20"/>
                <w:szCs w:val="20"/>
              </w:rPr>
              <w:t>支付依据</w:t>
            </w:r>
          </w:p>
        </w:tc>
        <w:tc>
          <w:tcPr>
            <w:tcW w:w="2940" w:type="dxa"/>
            <w:gridSpan w:val="2"/>
            <w:tcBorders>
              <w:top w:val="single" w:color="auto" w:sz="4" w:space="0"/>
              <w:left w:val="nil"/>
              <w:bottom w:val="single" w:color="auto" w:sz="4" w:space="0"/>
              <w:right w:val="single" w:color="auto" w:sz="4" w:space="0"/>
            </w:tcBorders>
            <w:shd w:val="clear" w:color="auto" w:fill="auto"/>
            <w:vAlign w:val="bottom"/>
          </w:tcPr>
          <w:p>
            <w:pPr>
              <w:widowControl/>
              <w:jc w:val="left"/>
              <w:rPr>
                <w:rFonts w:ascii="宋体" w:hAnsi="宋体" w:cs="宋体"/>
                <w:kern w:val="0"/>
                <w:sz w:val="20"/>
                <w:szCs w:val="20"/>
              </w:rPr>
            </w:pPr>
            <w:r>
              <w:rPr>
                <w:rFonts w:hint="eastAsia" w:ascii="宋体" w:hAnsi="宋体" w:cs="宋体"/>
                <w:kern w:val="0"/>
                <w:sz w:val="20"/>
                <w:szCs w:val="20"/>
              </w:rPr>
              <w:t>资金支付依据符合规定，即支付依旧合规资金量/资金总量×100%</w:t>
            </w:r>
          </w:p>
        </w:tc>
        <w:tc>
          <w:tcPr>
            <w:tcW w:w="1640" w:type="dxa"/>
            <w:tcBorders>
              <w:top w:val="nil"/>
              <w:left w:val="nil"/>
              <w:bottom w:val="single" w:color="auto" w:sz="4" w:space="0"/>
              <w:right w:val="single" w:color="auto" w:sz="4" w:space="0"/>
            </w:tcBorders>
            <w:shd w:val="clear" w:color="auto" w:fill="auto"/>
            <w:vAlign w:val="bottom"/>
          </w:tcPr>
          <w:p>
            <w:pPr>
              <w:jc w:val="center"/>
              <w:rPr>
                <w:rFonts w:ascii="宋体" w:hAnsi="宋体" w:cs="宋体"/>
                <w:sz w:val="20"/>
                <w:szCs w:val="20"/>
              </w:rPr>
            </w:pPr>
            <w:r>
              <w:rPr>
                <w:rFonts w:hint="eastAsia" w:ascii="宋体" w:hAnsi="宋体" w:cs="宋体"/>
                <w:sz w:val="20"/>
                <w:szCs w:val="20"/>
              </w:rPr>
              <w:t>是</w:t>
            </w:r>
          </w:p>
        </w:tc>
        <w:tc>
          <w:tcPr>
            <w:tcW w:w="1634" w:type="dxa"/>
            <w:tcBorders>
              <w:top w:val="nil"/>
              <w:left w:val="nil"/>
              <w:bottom w:val="single" w:color="auto" w:sz="4" w:space="0"/>
              <w:right w:val="single" w:color="auto" w:sz="4" w:space="0"/>
            </w:tcBorders>
            <w:shd w:val="clear" w:color="auto" w:fill="auto"/>
            <w:vAlign w:val="bottom"/>
          </w:tcPr>
          <w:p>
            <w:pPr>
              <w:jc w:val="center"/>
              <w:rPr>
                <w:rFonts w:ascii="宋体" w:hAnsi="宋体" w:cs="宋体"/>
                <w:sz w:val="20"/>
                <w:szCs w:val="20"/>
              </w:rPr>
            </w:pPr>
            <w:r>
              <w:rPr>
                <w:rFonts w:hint="eastAsia" w:ascii="宋体" w:hAnsi="宋体" w:cs="宋体"/>
                <w:sz w:val="20"/>
                <w:szCs w:val="20"/>
              </w:rPr>
              <w:t>是</w:t>
            </w:r>
          </w:p>
        </w:tc>
      </w:tr>
      <w:tr>
        <w:tblPrEx>
          <w:tblCellMar>
            <w:top w:w="0" w:type="dxa"/>
            <w:left w:w="108" w:type="dxa"/>
            <w:bottom w:w="0" w:type="dxa"/>
            <w:right w:w="108" w:type="dxa"/>
          </w:tblCellMar>
        </w:tblPrEx>
        <w:trPr>
          <w:trHeight w:val="555" w:hRule="atLeast"/>
        </w:trPr>
        <w:tc>
          <w:tcPr>
            <w:tcW w:w="516" w:type="dxa"/>
            <w:vMerge w:val="continue"/>
            <w:tcBorders>
              <w:top w:val="nil"/>
              <w:left w:val="nil"/>
              <w:bottom w:val="nil"/>
              <w:right w:val="nil"/>
            </w:tcBorders>
            <w:vAlign w:val="center"/>
          </w:tcPr>
          <w:p>
            <w:pPr>
              <w:widowControl/>
              <w:jc w:val="left"/>
              <w:rPr>
                <w:rFonts w:ascii="宋体" w:hAnsi="宋体" w:cs="宋体"/>
                <w:kern w:val="0"/>
                <w:sz w:val="24"/>
              </w:rPr>
            </w:pPr>
          </w:p>
        </w:tc>
        <w:tc>
          <w:tcPr>
            <w:tcW w:w="1006"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c>
          <w:tcPr>
            <w:tcW w:w="104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c>
          <w:tcPr>
            <w:tcW w:w="740"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kern w:val="0"/>
                <w:sz w:val="20"/>
                <w:szCs w:val="20"/>
              </w:rPr>
            </w:pPr>
            <w:r>
              <w:rPr>
                <w:rFonts w:hint="eastAsia" w:ascii="宋体" w:hAnsi="宋体" w:cs="宋体"/>
                <w:kern w:val="0"/>
                <w:sz w:val="20"/>
                <w:szCs w:val="20"/>
              </w:rPr>
              <w:t>开支标准</w:t>
            </w:r>
          </w:p>
        </w:tc>
        <w:tc>
          <w:tcPr>
            <w:tcW w:w="2940" w:type="dxa"/>
            <w:gridSpan w:val="2"/>
            <w:tcBorders>
              <w:top w:val="single" w:color="auto" w:sz="4" w:space="0"/>
              <w:left w:val="nil"/>
              <w:bottom w:val="single" w:color="auto" w:sz="4" w:space="0"/>
              <w:right w:val="single" w:color="auto" w:sz="4" w:space="0"/>
            </w:tcBorders>
            <w:shd w:val="clear" w:color="auto" w:fill="auto"/>
            <w:vAlign w:val="bottom"/>
          </w:tcPr>
          <w:p>
            <w:pPr>
              <w:widowControl/>
              <w:jc w:val="left"/>
              <w:rPr>
                <w:rFonts w:ascii="宋体" w:hAnsi="宋体" w:cs="宋体"/>
                <w:kern w:val="0"/>
                <w:sz w:val="20"/>
                <w:szCs w:val="20"/>
              </w:rPr>
            </w:pPr>
            <w:r>
              <w:rPr>
                <w:rFonts w:hint="eastAsia" w:ascii="宋体" w:hAnsi="宋体" w:cs="宋体"/>
                <w:kern w:val="0"/>
                <w:sz w:val="20"/>
                <w:szCs w:val="20"/>
              </w:rPr>
              <w:t>资金开支标准符合规定，即开支标准合规资金量/资金总量×100%</w:t>
            </w:r>
          </w:p>
        </w:tc>
        <w:tc>
          <w:tcPr>
            <w:tcW w:w="1640" w:type="dxa"/>
            <w:tcBorders>
              <w:top w:val="nil"/>
              <w:left w:val="nil"/>
              <w:bottom w:val="single" w:color="auto" w:sz="4" w:space="0"/>
              <w:right w:val="single" w:color="auto" w:sz="4" w:space="0"/>
            </w:tcBorders>
            <w:shd w:val="clear" w:color="auto" w:fill="auto"/>
            <w:vAlign w:val="bottom"/>
          </w:tcPr>
          <w:p>
            <w:pPr>
              <w:jc w:val="center"/>
              <w:rPr>
                <w:rFonts w:ascii="宋体" w:hAnsi="宋体" w:cs="宋体"/>
                <w:sz w:val="20"/>
                <w:szCs w:val="20"/>
              </w:rPr>
            </w:pPr>
            <w:r>
              <w:rPr>
                <w:rFonts w:hint="eastAsia" w:ascii="宋体" w:hAnsi="宋体" w:cs="宋体"/>
                <w:sz w:val="20"/>
                <w:szCs w:val="20"/>
              </w:rPr>
              <w:t>符合</w:t>
            </w:r>
          </w:p>
        </w:tc>
        <w:tc>
          <w:tcPr>
            <w:tcW w:w="1634" w:type="dxa"/>
            <w:tcBorders>
              <w:top w:val="nil"/>
              <w:left w:val="nil"/>
              <w:bottom w:val="single" w:color="auto" w:sz="4" w:space="0"/>
              <w:right w:val="single" w:color="auto" w:sz="4" w:space="0"/>
            </w:tcBorders>
            <w:shd w:val="clear" w:color="auto" w:fill="auto"/>
            <w:vAlign w:val="bottom"/>
          </w:tcPr>
          <w:p>
            <w:pPr>
              <w:jc w:val="center"/>
              <w:rPr>
                <w:rFonts w:ascii="宋体" w:hAnsi="宋体" w:cs="宋体"/>
                <w:sz w:val="20"/>
                <w:szCs w:val="20"/>
              </w:rPr>
            </w:pPr>
            <w:r>
              <w:rPr>
                <w:rFonts w:hint="eastAsia" w:ascii="宋体" w:hAnsi="宋体" w:cs="宋体"/>
                <w:sz w:val="20"/>
                <w:szCs w:val="20"/>
              </w:rPr>
              <w:t>符合</w:t>
            </w:r>
          </w:p>
        </w:tc>
      </w:tr>
      <w:tr>
        <w:tblPrEx>
          <w:tblCellMar>
            <w:top w:w="0" w:type="dxa"/>
            <w:left w:w="108" w:type="dxa"/>
            <w:bottom w:w="0" w:type="dxa"/>
            <w:right w:w="108" w:type="dxa"/>
          </w:tblCellMar>
        </w:tblPrEx>
        <w:trPr>
          <w:trHeight w:val="735" w:hRule="atLeast"/>
        </w:trPr>
        <w:tc>
          <w:tcPr>
            <w:tcW w:w="516" w:type="dxa"/>
            <w:vMerge w:val="continue"/>
            <w:tcBorders>
              <w:top w:val="nil"/>
              <w:left w:val="nil"/>
              <w:bottom w:val="nil"/>
              <w:right w:val="nil"/>
            </w:tcBorders>
            <w:vAlign w:val="center"/>
          </w:tcPr>
          <w:p>
            <w:pPr>
              <w:widowControl/>
              <w:jc w:val="left"/>
              <w:rPr>
                <w:rFonts w:ascii="宋体" w:hAnsi="宋体" w:cs="宋体"/>
                <w:kern w:val="0"/>
                <w:sz w:val="24"/>
              </w:rPr>
            </w:pPr>
          </w:p>
        </w:tc>
        <w:tc>
          <w:tcPr>
            <w:tcW w:w="1006"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c>
          <w:tcPr>
            <w:tcW w:w="1040" w:type="dxa"/>
            <w:vMerge w:val="restart"/>
            <w:tcBorders>
              <w:top w:val="nil"/>
              <w:left w:val="single" w:color="auto" w:sz="4" w:space="0"/>
              <w:bottom w:val="single" w:color="auto" w:sz="4" w:space="0"/>
              <w:right w:val="single" w:color="auto" w:sz="4" w:space="0"/>
            </w:tcBorders>
            <w:shd w:val="clear" w:color="auto" w:fill="auto"/>
            <w:textDirection w:val="tbRlV"/>
            <w:vAlign w:val="center"/>
          </w:tcPr>
          <w:p>
            <w:pPr>
              <w:widowControl/>
              <w:jc w:val="center"/>
              <w:rPr>
                <w:rFonts w:ascii="宋体" w:hAnsi="宋体" w:cs="宋体"/>
                <w:kern w:val="0"/>
                <w:sz w:val="20"/>
                <w:szCs w:val="20"/>
              </w:rPr>
            </w:pPr>
            <w:r>
              <w:rPr>
                <w:rFonts w:hint="eastAsia" w:ascii="宋体" w:hAnsi="宋体" w:cs="宋体"/>
                <w:kern w:val="0"/>
                <w:sz w:val="20"/>
                <w:szCs w:val="20"/>
              </w:rPr>
              <w:t>财务管理</w:t>
            </w:r>
          </w:p>
        </w:tc>
        <w:tc>
          <w:tcPr>
            <w:tcW w:w="740"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kern w:val="0"/>
                <w:sz w:val="20"/>
                <w:szCs w:val="20"/>
              </w:rPr>
            </w:pPr>
            <w:r>
              <w:rPr>
                <w:rFonts w:hint="eastAsia" w:ascii="宋体" w:hAnsi="宋体" w:cs="宋体"/>
                <w:kern w:val="0"/>
                <w:sz w:val="20"/>
                <w:szCs w:val="20"/>
              </w:rPr>
              <w:t>财务制度</w:t>
            </w:r>
          </w:p>
        </w:tc>
        <w:tc>
          <w:tcPr>
            <w:tcW w:w="2940" w:type="dxa"/>
            <w:gridSpan w:val="2"/>
            <w:tcBorders>
              <w:top w:val="single" w:color="auto" w:sz="4" w:space="0"/>
              <w:left w:val="nil"/>
              <w:bottom w:val="single" w:color="auto" w:sz="4" w:space="0"/>
              <w:right w:val="single" w:color="auto" w:sz="4" w:space="0"/>
            </w:tcBorders>
            <w:shd w:val="clear" w:color="auto" w:fill="auto"/>
            <w:vAlign w:val="bottom"/>
          </w:tcPr>
          <w:p>
            <w:pPr>
              <w:widowControl/>
              <w:jc w:val="left"/>
              <w:rPr>
                <w:rFonts w:ascii="宋体" w:hAnsi="宋体" w:cs="宋体"/>
                <w:kern w:val="0"/>
                <w:sz w:val="20"/>
                <w:szCs w:val="20"/>
              </w:rPr>
            </w:pPr>
            <w:r>
              <w:rPr>
                <w:rFonts w:hint="eastAsia" w:ascii="宋体" w:hAnsi="宋体" w:cs="宋体"/>
                <w:kern w:val="0"/>
                <w:sz w:val="20"/>
                <w:szCs w:val="20"/>
              </w:rPr>
              <w:t>财务制度健全，管理规范</w:t>
            </w:r>
          </w:p>
        </w:tc>
        <w:tc>
          <w:tcPr>
            <w:tcW w:w="1640" w:type="dxa"/>
            <w:tcBorders>
              <w:top w:val="nil"/>
              <w:left w:val="nil"/>
              <w:bottom w:val="single" w:color="auto" w:sz="4" w:space="0"/>
              <w:right w:val="single" w:color="auto" w:sz="4" w:space="0"/>
            </w:tcBorders>
            <w:shd w:val="clear" w:color="auto" w:fill="auto"/>
            <w:vAlign w:val="bottom"/>
          </w:tcPr>
          <w:p>
            <w:pPr>
              <w:jc w:val="center"/>
              <w:rPr>
                <w:rFonts w:ascii="宋体" w:hAnsi="宋体" w:cs="宋体"/>
                <w:sz w:val="20"/>
                <w:szCs w:val="20"/>
              </w:rPr>
            </w:pPr>
            <w:r>
              <w:rPr>
                <w:rFonts w:hint="eastAsia" w:ascii="宋体" w:hAnsi="宋体" w:cs="宋体"/>
                <w:sz w:val="20"/>
                <w:szCs w:val="20"/>
              </w:rPr>
              <w:t>符合</w:t>
            </w:r>
          </w:p>
        </w:tc>
        <w:tc>
          <w:tcPr>
            <w:tcW w:w="1634" w:type="dxa"/>
            <w:tcBorders>
              <w:top w:val="nil"/>
              <w:left w:val="nil"/>
              <w:bottom w:val="single" w:color="auto" w:sz="4" w:space="0"/>
              <w:right w:val="single" w:color="auto" w:sz="4" w:space="0"/>
            </w:tcBorders>
            <w:shd w:val="clear" w:color="auto" w:fill="auto"/>
            <w:vAlign w:val="bottom"/>
          </w:tcPr>
          <w:p>
            <w:pPr>
              <w:jc w:val="center"/>
              <w:rPr>
                <w:rFonts w:ascii="宋体" w:hAnsi="宋体" w:cs="宋体"/>
                <w:sz w:val="20"/>
                <w:szCs w:val="20"/>
              </w:rPr>
            </w:pPr>
            <w:r>
              <w:rPr>
                <w:rFonts w:hint="eastAsia" w:ascii="宋体" w:hAnsi="宋体" w:cs="宋体"/>
                <w:sz w:val="20"/>
                <w:szCs w:val="20"/>
              </w:rPr>
              <w:t>符合</w:t>
            </w:r>
          </w:p>
        </w:tc>
      </w:tr>
      <w:tr>
        <w:tblPrEx>
          <w:tblCellMar>
            <w:top w:w="0" w:type="dxa"/>
            <w:left w:w="108" w:type="dxa"/>
            <w:bottom w:w="0" w:type="dxa"/>
            <w:right w:w="108" w:type="dxa"/>
          </w:tblCellMar>
        </w:tblPrEx>
        <w:trPr>
          <w:trHeight w:val="555" w:hRule="atLeast"/>
        </w:trPr>
        <w:tc>
          <w:tcPr>
            <w:tcW w:w="516" w:type="dxa"/>
            <w:vMerge w:val="continue"/>
            <w:tcBorders>
              <w:top w:val="nil"/>
              <w:left w:val="nil"/>
              <w:bottom w:val="nil"/>
              <w:right w:val="nil"/>
            </w:tcBorders>
            <w:vAlign w:val="center"/>
          </w:tcPr>
          <w:p>
            <w:pPr>
              <w:widowControl/>
              <w:jc w:val="left"/>
              <w:rPr>
                <w:rFonts w:ascii="宋体" w:hAnsi="宋体" w:cs="宋体"/>
                <w:kern w:val="0"/>
                <w:sz w:val="24"/>
              </w:rPr>
            </w:pPr>
          </w:p>
        </w:tc>
        <w:tc>
          <w:tcPr>
            <w:tcW w:w="1006"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c>
          <w:tcPr>
            <w:tcW w:w="104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c>
          <w:tcPr>
            <w:tcW w:w="740"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kern w:val="0"/>
                <w:sz w:val="20"/>
                <w:szCs w:val="20"/>
              </w:rPr>
            </w:pPr>
            <w:r>
              <w:rPr>
                <w:rFonts w:hint="eastAsia" w:ascii="宋体" w:hAnsi="宋体" w:cs="宋体"/>
                <w:kern w:val="0"/>
                <w:sz w:val="20"/>
                <w:szCs w:val="20"/>
              </w:rPr>
              <w:t>会计核算</w:t>
            </w:r>
          </w:p>
        </w:tc>
        <w:tc>
          <w:tcPr>
            <w:tcW w:w="2940" w:type="dxa"/>
            <w:gridSpan w:val="2"/>
            <w:tcBorders>
              <w:top w:val="single" w:color="auto" w:sz="4" w:space="0"/>
              <w:left w:val="nil"/>
              <w:bottom w:val="single" w:color="auto" w:sz="4" w:space="0"/>
              <w:right w:val="single" w:color="auto" w:sz="4" w:space="0"/>
            </w:tcBorders>
            <w:shd w:val="clear" w:color="auto" w:fill="auto"/>
            <w:vAlign w:val="bottom"/>
          </w:tcPr>
          <w:p>
            <w:pPr>
              <w:widowControl/>
              <w:jc w:val="left"/>
              <w:rPr>
                <w:rFonts w:ascii="宋体" w:hAnsi="宋体" w:cs="宋体"/>
                <w:kern w:val="0"/>
                <w:sz w:val="20"/>
                <w:szCs w:val="20"/>
              </w:rPr>
            </w:pPr>
            <w:r>
              <w:rPr>
                <w:rFonts w:hint="eastAsia" w:ascii="宋体" w:hAnsi="宋体" w:cs="宋体"/>
                <w:kern w:val="0"/>
                <w:sz w:val="20"/>
                <w:szCs w:val="20"/>
              </w:rPr>
              <w:t>会计核算规范</w:t>
            </w:r>
          </w:p>
        </w:tc>
        <w:tc>
          <w:tcPr>
            <w:tcW w:w="1640" w:type="dxa"/>
            <w:tcBorders>
              <w:top w:val="nil"/>
              <w:left w:val="nil"/>
              <w:bottom w:val="single" w:color="auto" w:sz="4" w:space="0"/>
              <w:right w:val="single" w:color="auto" w:sz="4" w:space="0"/>
            </w:tcBorders>
            <w:shd w:val="clear" w:color="auto" w:fill="auto"/>
            <w:vAlign w:val="bottom"/>
          </w:tcPr>
          <w:p>
            <w:pPr>
              <w:jc w:val="center"/>
              <w:rPr>
                <w:rFonts w:ascii="宋体" w:hAnsi="宋体" w:cs="宋体"/>
                <w:sz w:val="20"/>
                <w:szCs w:val="20"/>
              </w:rPr>
            </w:pPr>
            <w:r>
              <w:rPr>
                <w:rFonts w:hint="eastAsia" w:ascii="宋体" w:hAnsi="宋体" w:cs="宋体"/>
                <w:sz w:val="20"/>
                <w:szCs w:val="20"/>
              </w:rPr>
              <w:t>是</w:t>
            </w:r>
          </w:p>
        </w:tc>
        <w:tc>
          <w:tcPr>
            <w:tcW w:w="1634" w:type="dxa"/>
            <w:tcBorders>
              <w:top w:val="nil"/>
              <w:left w:val="nil"/>
              <w:bottom w:val="single" w:color="auto" w:sz="4" w:space="0"/>
              <w:right w:val="single" w:color="auto" w:sz="4" w:space="0"/>
            </w:tcBorders>
            <w:shd w:val="clear" w:color="auto" w:fill="auto"/>
            <w:vAlign w:val="bottom"/>
          </w:tcPr>
          <w:p>
            <w:pPr>
              <w:jc w:val="center"/>
              <w:rPr>
                <w:rFonts w:ascii="宋体" w:hAnsi="宋体" w:cs="宋体"/>
                <w:sz w:val="20"/>
                <w:szCs w:val="20"/>
              </w:rPr>
            </w:pPr>
            <w:r>
              <w:rPr>
                <w:rFonts w:hint="eastAsia" w:ascii="宋体" w:hAnsi="宋体" w:cs="宋体"/>
                <w:sz w:val="20"/>
                <w:szCs w:val="20"/>
              </w:rPr>
              <w:t>是</w:t>
            </w:r>
          </w:p>
        </w:tc>
      </w:tr>
      <w:tr>
        <w:tblPrEx>
          <w:tblCellMar>
            <w:top w:w="0" w:type="dxa"/>
            <w:left w:w="108" w:type="dxa"/>
            <w:bottom w:w="0" w:type="dxa"/>
            <w:right w:w="108" w:type="dxa"/>
          </w:tblCellMar>
        </w:tblPrEx>
        <w:trPr>
          <w:trHeight w:val="555" w:hRule="atLeast"/>
        </w:trPr>
        <w:tc>
          <w:tcPr>
            <w:tcW w:w="516" w:type="dxa"/>
            <w:vMerge w:val="continue"/>
            <w:tcBorders>
              <w:top w:val="nil"/>
              <w:left w:val="nil"/>
              <w:bottom w:val="nil"/>
              <w:right w:val="nil"/>
            </w:tcBorders>
            <w:vAlign w:val="center"/>
          </w:tcPr>
          <w:p>
            <w:pPr>
              <w:widowControl/>
              <w:jc w:val="left"/>
              <w:rPr>
                <w:rFonts w:ascii="宋体" w:hAnsi="宋体" w:cs="宋体"/>
                <w:kern w:val="0"/>
                <w:sz w:val="24"/>
              </w:rPr>
            </w:pPr>
          </w:p>
        </w:tc>
        <w:tc>
          <w:tcPr>
            <w:tcW w:w="1006"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c>
          <w:tcPr>
            <w:tcW w:w="1040" w:type="dxa"/>
            <w:vMerge w:val="restart"/>
            <w:tcBorders>
              <w:top w:val="nil"/>
              <w:left w:val="single" w:color="auto" w:sz="4" w:space="0"/>
              <w:bottom w:val="single" w:color="auto" w:sz="4" w:space="0"/>
              <w:right w:val="single" w:color="auto" w:sz="4" w:space="0"/>
            </w:tcBorders>
            <w:shd w:val="clear" w:color="auto" w:fill="auto"/>
            <w:textDirection w:val="tbRlV"/>
            <w:vAlign w:val="bottom"/>
          </w:tcPr>
          <w:p>
            <w:pPr>
              <w:widowControl/>
              <w:jc w:val="center"/>
              <w:rPr>
                <w:rFonts w:ascii="宋体" w:hAnsi="宋体" w:cs="宋体"/>
                <w:kern w:val="0"/>
                <w:sz w:val="20"/>
                <w:szCs w:val="20"/>
              </w:rPr>
            </w:pPr>
            <w:r>
              <w:rPr>
                <w:rFonts w:hint="eastAsia" w:ascii="宋体" w:hAnsi="宋体" w:cs="宋体"/>
                <w:kern w:val="0"/>
                <w:sz w:val="20"/>
                <w:szCs w:val="20"/>
              </w:rPr>
              <w:t>组织实施（4分）</w:t>
            </w:r>
          </w:p>
        </w:tc>
        <w:tc>
          <w:tcPr>
            <w:tcW w:w="740"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kern w:val="0"/>
                <w:sz w:val="20"/>
                <w:szCs w:val="20"/>
              </w:rPr>
            </w:pPr>
            <w:r>
              <w:rPr>
                <w:rFonts w:hint="eastAsia" w:ascii="宋体" w:hAnsi="宋体" w:cs="宋体"/>
                <w:kern w:val="0"/>
                <w:sz w:val="20"/>
                <w:szCs w:val="20"/>
              </w:rPr>
              <w:t>项目调整</w:t>
            </w:r>
          </w:p>
        </w:tc>
        <w:tc>
          <w:tcPr>
            <w:tcW w:w="2940" w:type="dxa"/>
            <w:gridSpan w:val="2"/>
            <w:tcBorders>
              <w:top w:val="single" w:color="auto" w:sz="4" w:space="0"/>
              <w:left w:val="nil"/>
              <w:bottom w:val="single" w:color="auto" w:sz="4" w:space="0"/>
              <w:right w:val="single" w:color="auto" w:sz="4" w:space="0"/>
            </w:tcBorders>
            <w:shd w:val="clear" w:color="auto" w:fill="auto"/>
            <w:vAlign w:val="bottom"/>
          </w:tcPr>
          <w:p>
            <w:pPr>
              <w:widowControl/>
              <w:jc w:val="left"/>
              <w:rPr>
                <w:rFonts w:ascii="宋体" w:hAnsi="宋体" w:cs="宋体"/>
                <w:kern w:val="0"/>
                <w:sz w:val="20"/>
                <w:szCs w:val="20"/>
              </w:rPr>
            </w:pPr>
            <w:r>
              <w:rPr>
                <w:rFonts w:hint="eastAsia" w:ascii="宋体" w:hAnsi="宋体" w:cs="宋体"/>
                <w:kern w:val="0"/>
                <w:sz w:val="20"/>
                <w:szCs w:val="20"/>
              </w:rPr>
              <w:t>项目调整严格履行相关手续</w:t>
            </w:r>
          </w:p>
        </w:tc>
        <w:tc>
          <w:tcPr>
            <w:tcW w:w="1640" w:type="dxa"/>
            <w:tcBorders>
              <w:top w:val="nil"/>
              <w:left w:val="nil"/>
              <w:bottom w:val="single" w:color="auto" w:sz="4" w:space="0"/>
              <w:right w:val="single" w:color="auto" w:sz="4" w:space="0"/>
            </w:tcBorders>
            <w:shd w:val="clear" w:color="auto" w:fill="auto"/>
            <w:vAlign w:val="bottom"/>
          </w:tcPr>
          <w:p>
            <w:pPr>
              <w:jc w:val="center"/>
              <w:rPr>
                <w:rFonts w:ascii="宋体" w:hAnsi="宋体" w:cs="宋体"/>
                <w:sz w:val="20"/>
                <w:szCs w:val="20"/>
              </w:rPr>
            </w:pPr>
            <w:r>
              <w:rPr>
                <w:rFonts w:hint="eastAsia" w:ascii="宋体" w:hAnsi="宋体" w:cs="宋体"/>
                <w:sz w:val="20"/>
                <w:szCs w:val="20"/>
              </w:rPr>
              <w:t>是</w:t>
            </w:r>
          </w:p>
        </w:tc>
        <w:tc>
          <w:tcPr>
            <w:tcW w:w="1634" w:type="dxa"/>
            <w:tcBorders>
              <w:top w:val="nil"/>
              <w:left w:val="nil"/>
              <w:bottom w:val="single" w:color="auto" w:sz="4" w:space="0"/>
              <w:right w:val="single" w:color="auto" w:sz="4" w:space="0"/>
            </w:tcBorders>
            <w:shd w:val="clear" w:color="auto" w:fill="auto"/>
            <w:vAlign w:val="bottom"/>
          </w:tcPr>
          <w:p>
            <w:pPr>
              <w:jc w:val="center"/>
              <w:rPr>
                <w:rFonts w:ascii="宋体" w:hAnsi="宋体" w:cs="宋体"/>
                <w:sz w:val="20"/>
                <w:szCs w:val="20"/>
              </w:rPr>
            </w:pPr>
            <w:r>
              <w:rPr>
                <w:rFonts w:hint="eastAsia" w:ascii="宋体" w:hAnsi="宋体" w:cs="宋体"/>
                <w:sz w:val="20"/>
                <w:szCs w:val="20"/>
              </w:rPr>
              <w:t>是</w:t>
            </w:r>
          </w:p>
        </w:tc>
      </w:tr>
      <w:tr>
        <w:tblPrEx>
          <w:tblCellMar>
            <w:top w:w="0" w:type="dxa"/>
            <w:left w:w="108" w:type="dxa"/>
            <w:bottom w:w="0" w:type="dxa"/>
            <w:right w:w="108" w:type="dxa"/>
          </w:tblCellMar>
        </w:tblPrEx>
        <w:trPr>
          <w:trHeight w:val="855" w:hRule="atLeast"/>
        </w:trPr>
        <w:tc>
          <w:tcPr>
            <w:tcW w:w="516" w:type="dxa"/>
            <w:vMerge w:val="continue"/>
            <w:tcBorders>
              <w:top w:val="nil"/>
              <w:left w:val="nil"/>
              <w:bottom w:val="nil"/>
              <w:right w:val="nil"/>
            </w:tcBorders>
            <w:vAlign w:val="center"/>
          </w:tcPr>
          <w:p>
            <w:pPr>
              <w:widowControl/>
              <w:jc w:val="left"/>
              <w:rPr>
                <w:rFonts w:ascii="宋体" w:hAnsi="宋体" w:cs="宋体"/>
                <w:kern w:val="0"/>
                <w:sz w:val="24"/>
              </w:rPr>
            </w:pPr>
          </w:p>
        </w:tc>
        <w:tc>
          <w:tcPr>
            <w:tcW w:w="1006"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c>
          <w:tcPr>
            <w:tcW w:w="104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c>
          <w:tcPr>
            <w:tcW w:w="740"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kern w:val="0"/>
                <w:sz w:val="20"/>
                <w:szCs w:val="20"/>
              </w:rPr>
            </w:pPr>
            <w:r>
              <w:rPr>
                <w:rFonts w:hint="eastAsia" w:ascii="宋体" w:hAnsi="宋体" w:cs="宋体"/>
                <w:kern w:val="0"/>
                <w:sz w:val="20"/>
                <w:szCs w:val="20"/>
              </w:rPr>
              <w:t>投资变更</w:t>
            </w:r>
          </w:p>
        </w:tc>
        <w:tc>
          <w:tcPr>
            <w:tcW w:w="2940" w:type="dxa"/>
            <w:gridSpan w:val="2"/>
            <w:tcBorders>
              <w:top w:val="single" w:color="auto" w:sz="4" w:space="0"/>
              <w:left w:val="nil"/>
              <w:bottom w:val="single" w:color="auto" w:sz="4" w:space="0"/>
              <w:right w:val="single" w:color="auto" w:sz="4" w:space="0"/>
            </w:tcBorders>
            <w:shd w:val="clear" w:color="auto" w:fill="auto"/>
            <w:vAlign w:val="bottom"/>
          </w:tcPr>
          <w:p>
            <w:pPr>
              <w:widowControl/>
              <w:jc w:val="left"/>
              <w:rPr>
                <w:rFonts w:ascii="宋体" w:hAnsi="宋体" w:cs="宋体"/>
                <w:kern w:val="0"/>
                <w:sz w:val="20"/>
                <w:szCs w:val="20"/>
              </w:rPr>
            </w:pPr>
            <w:r>
              <w:rPr>
                <w:rFonts w:hint="eastAsia" w:ascii="宋体" w:hAnsi="宋体" w:cs="宋体"/>
                <w:kern w:val="0"/>
                <w:sz w:val="20"/>
                <w:szCs w:val="20"/>
              </w:rPr>
              <w:t>项目投资变更额/项目总投入×100%</w:t>
            </w:r>
          </w:p>
        </w:tc>
        <w:tc>
          <w:tcPr>
            <w:tcW w:w="1640" w:type="dxa"/>
            <w:tcBorders>
              <w:top w:val="nil"/>
              <w:left w:val="nil"/>
              <w:bottom w:val="single" w:color="auto" w:sz="4" w:space="0"/>
              <w:right w:val="single" w:color="auto" w:sz="4" w:space="0"/>
            </w:tcBorders>
            <w:shd w:val="clear" w:color="auto" w:fill="auto"/>
            <w:vAlign w:val="bottom"/>
          </w:tcPr>
          <w:p>
            <w:pPr>
              <w:jc w:val="center"/>
              <w:rPr>
                <w:rFonts w:ascii="宋体" w:hAnsi="宋体" w:cs="宋体"/>
                <w:sz w:val="20"/>
                <w:szCs w:val="20"/>
              </w:rPr>
            </w:pPr>
            <w:r>
              <w:rPr>
                <w:rFonts w:hint="eastAsia" w:ascii="宋体" w:hAnsi="宋体" w:cs="宋体"/>
                <w:sz w:val="20"/>
                <w:szCs w:val="20"/>
              </w:rPr>
              <w:t>该项目未存在调整</w:t>
            </w:r>
          </w:p>
        </w:tc>
        <w:tc>
          <w:tcPr>
            <w:tcW w:w="1634" w:type="dxa"/>
            <w:tcBorders>
              <w:top w:val="nil"/>
              <w:left w:val="nil"/>
              <w:bottom w:val="single" w:color="auto" w:sz="4" w:space="0"/>
              <w:right w:val="single" w:color="auto" w:sz="4" w:space="0"/>
            </w:tcBorders>
            <w:shd w:val="clear" w:color="auto" w:fill="auto"/>
            <w:vAlign w:val="bottom"/>
          </w:tcPr>
          <w:p>
            <w:pPr>
              <w:jc w:val="center"/>
              <w:rPr>
                <w:rFonts w:ascii="宋体" w:hAnsi="宋体" w:cs="宋体"/>
                <w:sz w:val="20"/>
                <w:szCs w:val="20"/>
              </w:rPr>
            </w:pPr>
            <w:r>
              <w:rPr>
                <w:rFonts w:hint="eastAsia" w:ascii="宋体" w:hAnsi="宋体" w:cs="宋体"/>
                <w:sz w:val="20"/>
                <w:szCs w:val="20"/>
              </w:rPr>
              <w:t>该项目未存在调整</w:t>
            </w:r>
          </w:p>
        </w:tc>
      </w:tr>
      <w:tr>
        <w:tblPrEx>
          <w:tblCellMar>
            <w:top w:w="0" w:type="dxa"/>
            <w:left w:w="108" w:type="dxa"/>
            <w:bottom w:w="0" w:type="dxa"/>
            <w:right w:w="108" w:type="dxa"/>
          </w:tblCellMar>
        </w:tblPrEx>
        <w:trPr>
          <w:trHeight w:val="765" w:hRule="atLeast"/>
        </w:trPr>
        <w:tc>
          <w:tcPr>
            <w:tcW w:w="516" w:type="dxa"/>
            <w:vMerge w:val="continue"/>
            <w:tcBorders>
              <w:top w:val="nil"/>
              <w:left w:val="nil"/>
              <w:bottom w:val="nil"/>
              <w:right w:val="nil"/>
            </w:tcBorders>
            <w:vAlign w:val="center"/>
          </w:tcPr>
          <w:p>
            <w:pPr>
              <w:widowControl/>
              <w:jc w:val="left"/>
              <w:rPr>
                <w:rFonts w:ascii="宋体" w:hAnsi="宋体" w:cs="宋体"/>
                <w:kern w:val="0"/>
                <w:sz w:val="24"/>
              </w:rPr>
            </w:pPr>
          </w:p>
        </w:tc>
        <w:tc>
          <w:tcPr>
            <w:tcW w:w="1006"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c>
          <w:tcPr>
            <w:tcW w:w="104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c>
          <w:tcPr>
            <w:tcW w:w="740"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kern w:val="0"/>
                <w:sz w:val="20"/>
                <w:szCs w:val="20"/>
              </w:rPr>
            </w:pPr>
            <w:r>
              <w:rPr>
                <w:rFonts w:hint="eastAsia" w:ascii="宋体" w:hAnsi="宋体" w:cs="宋体"/>
                <w:kern w:val="0"/>
                <w:sz w:val="20"/>
                <w:szCs w:val="20"/>
              </w:rPr>
              <w:t>制度执行</w:t>
            </w:r>
          </w:p>
        </w:tc>
        <w:tc>
          <w:tcPr>
            <w:tcW w:w="2940" w:type="dxa"/>
            <w:gridSpan w:val="2"/>
            <w:tcBorders>
              <w:top w:val="single" w:color="auto" w:sz="4" w:space="0"/>
              <w:left w:val="nil"/>
              <w:bottom w:val="single" w:color="auto" w:sz="4" w:space="0"/>
              <w:right w:val="single" w:color="auto" w:sz="4" w:space="0"/>
            </w:tcBorders>
            <w:shd w:val="clear" w:color="auto" w:fill="auto"/>
            <w:vAlign w:val="bottom"/>
          </w:tcPr>
          <w:p>
            <w:pPr>
              <w:widowControl/>
              <w:jc w:val="left"/>
              <w:rPr>
                <w:rFonts w:ascii="宋体" w:hAnsi="宋体" w:cs="宋体"/>
                <w:kern w:val="0"/>
                <w:sz w:val="20"/>
                <w:szCs w:val="20"/>
              </w:rPr>
            </w:pPr>
            <w:r>
              <w:rPr>
                <w:rFonts w:hint="eastAsia" w:ascii="宋体" w:hAnsi="宋体" w:cs="宋体"/>
                <w:kern w:val="0"/>
                <w:sz w:val="20"/>
                <w:szCs w:val="20"/>
              </w:rPr>
              <w:t>严格执行项目有关制度规定</w:t>
            </w:r>
          </w:p>
        </w:tc>
        <w:tc>
          <w:tcPr>
            <w:tcW w:w="1640" w:type="dxa"/>
            <w:tcBorders>
              <w:top w:val="nil"/>
              <w:left w:val="nil"/>
              <w:bottom w:val="single" w:color="auto" w:sz="4" w:space="0"/>
              <w:right w:val="single" w:color="auto" w:sz="4" w:space="0"/>
            </w:tcBorders>
            <w:shd w:val="clear" w:color="auto" w:fill="auto"/>
            <w:vAlign w:val="bottom"/>
          </w:tcPr>
          <w:p>
            <w:pPr>
              <w:jc w:val="center"/>
              <w:rPr>
                <w:rFonts w:ascii="宋体" w:hAnsi="宋体" w:cs="宋体"/>
                <w:sz w:val="20"/>
                <w:szCs w:val="20"/>
              </w:rPr>
            </w:pPr>
            <w:r>
              <w:rPr>
                <w:rFonts w:hint="eastAsia" w:ascii="宋体" w:hAnsi="宋体" w:cs="宋体"/>
                <w:sz w:val="20"/>
                <w:szCs w:val="20"/>
              </w:rPr>
              <w:t>该项目未存在调整</w:t>
            </w:r>
          </w:p>
        </w:tc>
        <w:tc>
          <w:tcPr>
            <w:tcW w:w="1634" w:type="dxa"/>
            <w:tcBorders>
              <w:top w:val="nil"/>
              <w:left w:val="nil"/>
              <w:bottom w:val="single" w:color="auto" w:sz="4" w:space="0"/>
              <w:right w:val="single" w:color="auto" w:sz="4" w:space="0"/>
            </w:tcBorders>
            <w:shd w:val="clear" w:color="auto" w:fill="auto"/>
            <w:vAlign w:val="bottom"/>
          </w:tcPr>
          <w:p>
            <w:pPr>
              <w:jc w:val="center"/>
              <w:rPr>
                <w:rFonts w:ascii="宋体" w:hAnsi="宋体" w:cs="宋体"/>
                <w:sz w:val="20"/>
                <w:szCs w:val="20"/>
              </w:rPr>
            </w:pPr>
            <w:r>
              <w:rPr>
                <w:rFonts w:hint="eastAsia" w:ascii="宋体" w:hAnsi="宋体" w:cs="宋体"/>
                <w:sz w:val="20"/>
                <w:szCs w:val="20"/>
              </w:rPr>
              <w:t>该项目未存在调整</w:t>
            </w:r>
          </w:p>
        </w:tc>
      </w:tr>
      <w:tr>
        <w:tblPrEx>
          <w:tblCellMar>
            <w:top w:w="0" w:type="dxa"/>
            <w:left w:w="108" w:type="dxa"/>
            <w:bottom w:w="0" w:type="dxa"/>
            <w:right w:w="108" w:type="dxa"/>
          </w:tblCellMar>
        </w:tblPrEx>
        <w:trPr>
          <w:trHeight w:val="555" w:hRule="atLeast"/>
        </w:trPr>
        <w:tc>
          <w:tcPr>
            <w:tcW w:w="516" w:type="dxa"/>
            <w:vMerge w:val="continue"/>
            <w:tcBorders>
              <w:top w:val="nil"/>
              <w:left w:val="nil"/>
              <w:bottom w:val="nil"/>
              <w:right w:val="nil"/>
            </w:tcBorders>
            <w:vAlign w:val="center"/>
          </w:tcPr>
          <w:p>
            <w:pPr>
              <w:widowControl/>
              <w:jc w:val="left"/>
              <w:rPr>
                <w:rFonts w:ascii="宋体" w:hAnsi="宋体" w:cs="宋体"/>
                <w:kern w:val="0"/>
                <w:sz w:val="24"/>
              </w:rPr>
            </w:pPr>
          </w:p>
        </w:tc>
        <w:tc>
          <w:tcPr>
            <w:tcW w:w="1006" w:type="dxa"/>
            <w:vMerge w:val="restart"/>
            <w:tcBorders>
              <w:top w:val="nil"/>
              <w:left w:val="nil"/>
              <w:bottom w:val="nil"/>
              <w:right w:val="nil"/>
            </w:tcBorders>
            <w:shd w:val="clear" w:color="auto" w:fill="auto"/>
            <w:vAlign w:val="bottom"/>
          </w:tcPr>
          <w:p>
            <w:pPr>
              <w:widowControl/>
              <w:jc w:val="left"/>
              <w:rPr>
                <w:rFonts w:ascii="宋体" w:hAnsi="宋体" w:cs="宋体"/>
                <w:kern w:val="0"/>
                <w:sz w:val="24"/>
              </w:rPr>
            </w:pPr>
            <w:r>
              <w:rPr>
                <w:rFonts w:ascii="宋体" w:hAnsi="宋体" w:cs="宋体"/>
                <w:kern w:val="0"/>
                <w:sz w:val="24"/>
              </w:rPr>
              <mc:AlternateContent>
                <mc:Choice Requires="wpc">
                  <w:drawing>
                    <wp:anchor distT="0" distB="0" distL="114300" distR="114300" simplePos="0" relativeHeight="251670528" behindDoc="0" locked="0" layoutInCell="1" allowOverlap="1">
                      <wp:simplePos x="0" y="0"/>
                      <wp:positionH relativeFrom="column">
                        <wp:posOffset>373380</wp:posOffset>
                      </wp:positionH>
                      <wp:positionV relativeFrom="paragraph">
                        <wp:posOffset>3406140</wp:posOffset>
                      </wp:positionV>
                      <wp:extent cx="30480" cy="30480"/>
                      <wp:effectExtent l="0" t="0" r="0" b="0"/>
                      <wp:wrapNone/>
                      <wp:docPr id="1" name="直接连接符 5"/>
                      <wp:cNvGraphicFramePr/>
                      <a:graphic xmlns:a="http://schemas.openxmlformats.org/drawingml/2006/main">
                        <a:graphicData uri="http://schemas.microsoft.com/office/word/2010/wordprocessingCanvas">
                          <wpc:wpc>
                            <wpc:bg/>
                            <wpc:whole/>
                            <wps:wsp>
                              <wps:cNvPr id="1036" name="直接连接符 5"/>
                              <wps:cNvCnPr/>
                              <wps:spPr>
                                <a:xfrm>
                                  <a:off x="666750" y="18415000"/>
                                  <a:ext cx="9525" cy="9525"/>
                                </a:xfrm>
                                <a:prstGeom prst="line">
                                  <a:avLst/>
                                </a:prstGeom>
                                <a:noFill/>
                                <a:ln w="9525">
                                  <a:solidFill>
                                    <a:srgbClr val="000000"/>
                                  </a:solidFill>
                                  <a:round/>
                                </a:ln>
                              </wps:spPr>
                              <wps:bodyPr/>
                            </wps:wsp>
                          </wpc:wpc>
                        </a:graphicData>
                      </a:graphic>
                    </wp:anchor>
                  </w:drawing>
                </mc:Choice>
                <mc:Fallback>
                  <w:pict>
                    <v:group id="直接连接符 5" o:spid="_x0000_s1026" o:spt="203" style="position:absolute;left:0pt;margin-left:29.4pt;margin-top:268.2pt;height:2.4pt;width:2.4pt;z-index:251670528;mso-width-relative:page;mso-height-relative:page;" coordsize="30480,30480" editas="canvas" o:gfxdata="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FgAAAGRycy9Q&#10;SwECFAAUAAAACACHTuJAw+mThtsAAAAJAQAADwAAAAAAAAABACAAAAA4AAAAZHJzL2Rvd25yZXYu&#10;eG1sUEsBAhQAFAAAAAgAh07iQANXEJ4bAgAAqwQAAA4AAAAAAAAAAQAgAAAAQAEAAGRycy9lMm9E&#10;b2MueG1sUEsFBgAAAAAGAAYAWQEAAM0FAAAAAA==&#10;">
                      <o:lock v:ext="edit" aspectratio="f"/>
                      <v:shape id="直接连接符 5" o:spid="_x0000_s1026" style="position:absolute;left:0;top:0;height:30480;width:30480;" filled="f" stroked="f" coordsize="21600,21600" o:gfxdata="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FgAAAGRy&#10;cy9QSwECFAAUAAAACACHTuJAw+mThtsAAAAJAQAADwAAAAAAAAABACAAAAA4AAAAZHJzL2Rvd25y&#10;ZXYueG1sUEsBAhQAFAAAAAgAh07iQA1QHMjlAQAA8QMAAA4AAAAAAAAAAQAgAAAAQAEAAGRycy9l&#10;Mm9Eb2MueG1sUEsFBgAAAAAGAAYAWQEAAJcFAAAAAA==&#10;">
                        <v:fill on="f" focussize="0,0"/>
                        <v:stroke on="f"/>
                        <v:imagedata o:title=""/>
                        <o:lock v:ext="edit" aspectratio="f"/>
                      </v:shape>
                      <v:line id="直接连接符 5" o:spid="_x0000_s1026" o:spt="20" style="position:absolute;left:666750;top:18415000;height:9525;width:9525;" filled="f" stroked="t" coordsize="21600,21600" o:gfxdata="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BYAAABkcnMvUEsBAhQAFAAAAAgAh07iQGYPSP3YAAAACQEAAA8A&#10;AAAAAAAAAQAgAAAAOAAAAGRycy9kb3ducmV2LnhtbFBLAQIUABQAAAAIAIdO4kAnHO9eyAEAAHkD&#10;AAAOAAAAAAAAAAEAIAAAAD0BAABkcnMvZTJvRG9jLnhtbFBLBQYAAAAABgAGAFkBAAB3BQAAAAA=&#10;">
                        <v:fill on="f" focussize="0,0"/>
                        <v:stroke color="#000000" joinstyle="round"/>
                        <v:imagedata o:title=""/>
                        <o:lock v:ext="edit" aspectratio="f"/>
                      </v:line>
                    </v:group>
                  </w:pict>
                </mc:Fallback>
              </mc:AlternateContent>
            </w:r>
          </w:p>
          <w:tbl>
            <w:tblPr>
              <w:tblStyle w:val="14"/>
              <w:tblW w:w="760" w:type="dxa"/>
              <w:tblCellSpacing w:w="0" w:type="dxa"/>
              <w:tblInd w:w="0" w:type="dxa"/>
              <w:tblLayout w:type="fixed"/>
              <w:tblCellMar>
                <w:top w:w="0" w:type="dxa"/>
                <w:left w:w="0" w:type="dxa"/>
                <w:bottom w:w="0" w:type="dxa"/>
                <w:right w:w="0" w:type="dxa"/>
              </w:tblCellMar>
            </w:tblPr>
            <w:tblGrid>
              <w:gridCol w:w="760"/>
            </w:tblGrid>
            <w:tr>
              <w:tblPrEx>
                <w:tblCellMar>
                  <w:top w:w="0" w:type="dxa"/>
                  <w:left w:w="0" w:type="dxa"/>
                  <w:bottom w:w="0" w:type="dxa"/>
                  <w:right w:w="0" w:type="dxa"/>
                </w:tblCellMar>
              </w:tblPrEx>
              <w:trPr>
                <w:trHeight w:val="312" w:hRule="atLeast"/>
                <w:tblCellSpacing w:w="0" w:type="dxa"/>
              </w:trPr>
              <w:tc>
                <w:tcPr>
                  <w:tcW w:w="760" w:type="dxa"/>
                  <w:vMerge w:val="restart"/>
                  <w:tcBorders>
                    <w:top w:val="nil"/>
                    <w:left w:val="single" w:color="auto" w:sz="4" w:space="0"/>
                    <w:bottom w:val="single" w:color="auto" w:sz="4" w:space="0"/>
                    <w:right w:val="single" w:color="auto" w:sz="4" w:space="0"/>
                  </w:tcBorders>
                  <w:shd w:val="clear" w:color="auto" w:fill="auto"/>
                  <w:textDirection w:val="tbRlV"/>
                  <w:vAlign w:val="center"/>
                </w:tcPr>
                <w:p>
                  <w:pPr>
                    <w:widowControl/>
                    <w:jc w:val="center"/>
                    <w:rPr>
                      <w:rFonts w:ascii="宋体" w:hAnsi="宋体" w:cs="宋体"/>
                      <w:kern w:val="0"/>
                      <w:sz w:val="20"/>
                      <w:szCs w:val="20"/>
                    </w:rPr>
                  </w:pPr>
                  <w:r>
                    <w:rPr>
                      <w:rFonts w:hint="eastAsia" w:ascii="宋体" w:hAnsi="宋体" w:cs="宋体"/>
                      <w:kern w:val="0"/>
                      <w:sz w:val="20"/>
                      <w:szCs w:val="20"/>
                    </w:rPr>
                    <w:t>项目绩效</w:t>
                  </w:r>
                </w:p>
              </w:tc>
            </w:tr>
            <w:tr>
              <w:tblPrEx>
                <w:tblCellMar>
                  <w:top w:w="0" w:type="dxa"/>
                  <w:left w:w="0" w:type="dxa"/>
                  <w:bottom w:w="0" w:type="dxa"/>
                  <w:right w:w="0" w:type="dxa"/>
                </w:tblCellMar>
              </w:tblPrEx>
              <w:trPr>
                <w:trHeight w:val="312" w:hRule="atLeast"/>
                <w:tblCellSpacing w:w="0" w:type="dxa"/>
              </w:trPr>
              <w:tc>
                <w:tcPr>
                  <w:tcW w:w="76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r>
          </w:tbl>
          <w:p>
            <w:pPr>
              <w:widowControl/>
              <w:jc w:val="left"/>
              <w:rPr>
                <w:rFonts w:ascii="宋体" w:hAnsi="宋体" w:cs="宋体"/>
                <w:kern w:val="0"/>
                <w:sz w:val="24"/>
              </w:rPr>
            </w:pPr>
          </w:p>
        </w:tc>
        <w:tc>
          <w:tcPr>
            <w:tcW w:w="1040" w:type="dxa"/>
            <w:vMerge w:val="restart"/>
            <w:tcBorders>
              <w:top w:val="nil"/>
              <w:left w:val="single" w:color="auto" w:sz="4" w:space="0"/>
              <w:bottom w:val="single" w:color="auto" w:sz="4" w:space="0"/>
              <w:right w:val="single" w:color="auto" w:sz="4" w:space="0"/>
            </w:tcBorders>
            <w:shd w:val="clear" w:color="auto" w:fill="auto"/>
            <w:textDirection w:val="tbRlV"/>
            <w:vAlign w:val="bottom"/>
          </w:tcPr>
          <w:p>
            <w:pPr>
              <w:widowControl/>
              <w:jc w:val="center"/>
              <w:rPr>
                <w:rFonts w:ascii="宋体" w:hAnsi="宋体" w:cs="宋体"/>
                <w:kern w:val="0"/>
                <w:sz w:val="20"/>
                <w:szCs w:val="20"/>
              </w:rPr>
            </w:pPr>
            <w:r>
              <w:rPr>
                <w:rFonts w:hint="eastAsia" w:ascii="宋体" w:hAnsi="宋体" w:cs="宋体"/>
                <w:kern w:val="0"/>
                <w:sz w:val="20"/>
                <w:szCs w:val="20"/>
              </w:rPr>
              <w:t>项目完成</w:t>
            </w:r>
          </w:p>
        </w:tc>
        <w:tc>
          <w:tcPr>
            <w:tcW w:w="740"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kern w:val="0"/>
                <w:sz w:val="20"/>
                <w:szCs w:val="20"/>
              </w:rPr>
            </w:pPr>
            <w:r>
              <w:rPr>
                <w:rFonts w:hint="eastAsia" w:ascii="宋体" w:hAnsi="宋体" w:cs="宋体"/>
                <w:kern w:val="0"/>
                <w:sz w:val="20"/>
                <w:szCs w:val="20"/>
              </w:rPr>
              <w:t>完成数量</w:t>
            </w:r>
          </w:p>
        </w:tc>
        <w:tc>
          <w:tcPr>
            <w:tcW w:w="2940" w:type="dxa"/>
            <w:gridSpan w:val="2"/>
            <w:tcBorders>
              <w:top w:val="single" w:color="auto" w:sz="4" w:space="0"/>
              <w:left w:val="nil"/>
              <w:bottom w:val="single" w:color="auto" w:sz="4" w:space="0"/>
              <w:right w:val="single" w:color="auto" w:sz="4" w:space="0"/>
            </w:tcBorders>
            <w:shd w:val="clear" w:color="auto" w:fill="auto"/>
            <w:vAlign w:val="bottom"/>
          </w:tcPr>
          <w:p>
            <w:pPr>
              <w:widowControl/>
              <w:jc w:val="left"/>
              <w:rPr>
                <w:rFonts w:ascii="宋体" w:hAnsi="宋体" w:cs="宋体"/>
                <w:kern w:val="0"/>
                <w:sz w:val="20"/>
                <w:szCs w:val="20"/>
              </w:rPr>
            </w:pPr>
            <w:r>
              <w:rPr>
                <w:rFonts w:hint="eastAsia" w:ascii="宋体" w:hAnsi="宋体" w:cs="宋体"/>
                <w:kern w:val="0"/>
                <w:sz w:val="20"/>
                <w:szCs w:val="20"/>
              </w:rPr>
              <w:t>实际完成任务量/绩效目标设定任务量×100%</w:t>
            </w:r>
          </w:p>
        </w:tc>
        <w:tc>
          <w:tcPr>
            <w:tcW w:w="1640" w:type="dxa"/>
            <w:tcBorders>
              <w:top w:val="nil"/>
              <w:left w:val="nil"/>
              <w:bottom w:val="single" w:color="auto" w:sz="4" w:space="0"/>
              <w:right w:val="single" w:color="auto" w:sz="4" w:space="0"/>
            </w:tcBorders>
            <w:shd w:val="clear" w:color="auto" w:fill="auto"/>
            <w:vAlign w:val="bottom"/>
          </w:tcPr>
          <w:p>
            <w:pPr>
              <w:jc w:val="center"/>
              <w:rPr>
                <w:rFonts w:ascii="宋体" w:hAnsi="宋体" w:cs="宋体"/>
                <w:sz w:val="20"/>
                <w:szCs w:val="20"/>
              </w:rPr>
            </w:pPr>
            <w:r>
              <w:rPr>
                <w:rFonts w:hint="eastAsia" w:ascii="宋体" w:hAnsi="宋体" w:cs="宋体"/>
                <w:sz w:val="20"/>
                <w:szCs w:val="20"/>
              </w:rPr>
              <w:t>是</w:t>
            </w:r>
          </w:p>
        </w:tc>
        <w:tc>
          <w:tcPr>
            <w:tcW w:w="1634" w:type="dxa"/>
            <w:tcBorders>
              <w:top w:val="nil"/>
              <w:left w:val="nil"/>
              <w:bottom w:val="single" w:color="auto" w:sz="4" w:space="0"/>
              <w:right w:val="single" w:color="auto" w:sz="4" w:space="0"/>
            </w:tcBorders>
            <w:shd w:val="clear" w:color="auto" w:fill="auto"/>
            <w:vAlign w:val="bottom"/>
          </w:tcPr>
          <w:p>
            <w:pPr>
              <w:jc w:val="center"/>
              <w:rPr>
                <w:rFonts w:ascii="宋体" w:hAnsi="宋体" w:cs="宋体"/>
                <w:sz w:val="20"/>
                <w:szCs w:val="20"/>
              </w:rPr>
            </w:pPr>
            <w:r>
              <w:rPr>
                <w:rFonts w:hint="eastAsia" w:ascii="宋体" w:hAnsi="宋体" w:cs="宋体"/>
                <w:sz w:val="20"/>
                <w:szCs w:val="20"/>
              </w:rPr>
              <w:t>是</w:t>
            </w:r>
          </w:p>
        </w:tc>
      </w:tr>
      <w:tr>
        <w:tblPrEx>
          <w:tblCellMar>
            <w:top w:w="0" w:type="dxa"/>
            <w:left w:w="108" w:type="dxa"/>
            <w:bottom w:w="0" w:type="dxa"/>
            <w:right w:w="108" w:type="dxa"/>
          </w:tblCellMar>
        </w:tblPrEx>
        <w:trPr>
          <w:trHeight w:val="555" w:hRule="atLeast"/>
        </w:trPr>
        <w:tc>
          <w:tcPr>
            <w:tcW w:w="516" w:type="dxa"/>
            <w:vMerge w:val="continue"/>
            <w:tcBorders>
              <w:top w:val="nil"/>
              <w:left w:val="nil"/>
              <w:bottom w:val="nil"/>
              <w:right w:val="nil"/>
            </w:tcBorders>
            <w:vAlign w:val="center"/>
          </w:tcPr>
          <w:p>
            <w:pPr>
              <w:widowControl/>
              <w:jc w:val="left"/>
              <w:rPr>
                <w:rFonts w:ascii="宋体" w:hAnsi="宋体" w:cs="宋体"/>
                <w:kern w:val="0"/>
                <w:sz w:val="24"/>
              </w:rPr>
            </w:pPr>
          </w:p>
        </w:tc>
        <w:tc>
          <w:tcPr>
            <w:tcW w:w="1006" w:type="dxa"/>
            <w:vMerge w:val="continue"/>
            <w:tcBorders>
              <w:top w:val="nil"/>
              <w:left w:val="nil"/>
              <w:bottom w:val="nil"/>
              <w:right w:val="nil"/>
            </w:tcBorders>
            <w:vAlign w:val="center"/>
          </w:tcPr>
          <w:p>
            <w:pPr>
              <w:widowControl/>
              <w:jc w:val="left"/>
              <w:rPr>
                <w:rFonts w:ascii="宋体" w:hAnsi="宋体" w:cs="宋体"/>
                <w:kern w:val="0"/>
                <w:sz w:val="24"/>
              </w:rPr>
            </w:pPr>
          </w:p>
        </w:tc>
        <w:tc>
          <w:tcPr>
            <w:tcW w:w="104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c>
          <w:tcPr>
            <w:tcW w:w="740"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kern w:val="0"/>
                <w:sz w:val="20"/>
                <w:szCs w:val="20"/>
              </w:rPr>
            </w:pPr>
            <w:r>
              <w:rPr>
                <w:rFonts w:hint="eastAsia" w:ascii="宋体" w:hAnsi="宋体" w:cs="宋体"/>
                <w:kern w:val="0"/>
                <w:sz w:val="20"/>
                <w:szCs w:val="20"/>
              </w:rPr>
              <w:t>完成质量</w:t>
            </w:r>
          </w:p>
        </w:tc>
        <w:tc>
          <w:tcPr>
            <w:tcW w:w="2940" w:type="dxa"/>
            <w:gridSpan w:val="2"/>
            <w:tcBorders>
              <w:top w:val="single" w:color="auto" w:sz="4" w:space="0"/>
              <w:left w:val="nil"/>
              <w:bottom w:val="single" w:color="auto" w:sz="4" w:space="0"/>
              <w:right w:val="single" w:color="auto" w:sz="4" w:space="0"/>
            </w:tcBorders>
            <w:shd w:val="clear" w:color="auto" w:fill="auto"/>
            <w:vAlign w:val="bottom"/>
          </w:tcPr>
          <w:p>
            <w:pPr>
              <w:widowControl/>
              <w:jc w:val="left"/>
              <w:rPr>
                <w:rFonts w:ascii="宋体" w:hAnsi="宋体" w:cs="宋体"/>
                <w:kern w:val="0"/>
                <w:sz w:val="20"/>
                <w:szCs w:val="20"/>
              </w:rPr>
            </w:pPr>
            <w:r>
              <w:rPr>
                <w:rFonts w:hint="eastAsia" w:ascii="宋体" w:hAnsi="宋体" w:cs="宋体"/>
                <w:kern w:val="0"/>
                <w:sz w:val="20"/>
                <w:szCs w:val="20"/>
              </w:rPr>
              <w:t>符合绩效目标设定的验收标准，达到行业基准水平</w:t>
            </w:r>
          </w:p>
        </w:tc>
        <w:tc>
          <w:tcPr>
            <w:tcW w:w="1640" w:type="dxa"/>
            <w:tcBorders>
              <w:top w:val="nil"/>
              <w:left w:val="nil"/>
              <w:bottom w:val="single" w:color="auto" w:sz="4" w:space="0"/>
              <w:right w:val="single" w:color="auto" w:sz="4" w:space="0"/>
            </w:tcBorders>
            <w:shd w:val="clear" w:color="auto" w:fill="auto"/>
            <w:vAlign w:val="bottom"/>
          </w:tcPr>
          <w:p>
            <w:pPr>
              <w:jc w:val="center"/>
              <w:rPr>
                <w:rFonts w:ascii="宋体" w:hAnsi="宋体" w:cs="宋体"/>
                <w:sz w:val="20"/>
                <w:szCs w:val="20"/>
              </w:rPr>
            </w:pPr>
            <w:r>
              <w:rPr>
                <w:rFonts w:hint="eastAsia" w:ascii="宋体" w:hAnsi="宋体" w:cs="宋体"/>
                <w:sz w:val="20"/>
                <w:szCs w:val="20"/>
              </w:rPr>
              <w:t>100%</w:t>
            </w:r>
          </w:p>
        </w:tc>
        <w:tc>
          <w:tcPr>
            <w:tcW w:w="1634" w:type="dxa"/>
            <w:tcBorders>
              <w:top w:val="nil"/>
              <w:left w:val="nil"/>
              <w:bottom w:val="single" w:color="auto" w:sz="4" w:space="0"/>
              <w:right w:val="single" w:color="auto" w:sz="4" w:space="0"/>
            </w:tcBorders>
            <w:shd w:val="clear" w:color="auto" w:fill="auto"/>
            <w:vAlign w:val="bottom"/>
          </w:tcPr>
          <w:p>
            <w:pPr>
              <w:jc w:val="center"/>
              <w:rPr>
                <w:rFonts w:ascii="宋体" w:hAnsi="宋体" w:cs="宋体"/>
                <w:sz w:val="20"/>
                <w:szCs w:val="20"/>
              </w:rPr>
            </w:pPr>
            <w:r>
              <w:rPr>
                <w:rFonts w:hint="eastAsia" w:ascii="宋体" w:hAnsi="宋体" w:cs="宋体"/>
                <w:sz w:val="20"/>
                <w:szCs w:val="20"/>
              </w:rPr>
              <w:t>100%</w:t>
            </w:r>
          </w:p>
        </w:tc>
      </w:tr>
      <w:tr>
        <w:tblPrEx>
          <w:tblCellMar>
            <w:top w:w="0" w:type="dxa"/>
            <w:left w:w="108" w:type="dxa"/>
            <w:bottom w:w="0" w:type="dxa"/>
            <w:right w:w="108" w:type="dxa"/>
          </w:tblCellMar>
        </w:tblPrEx>
        <w:trPr>
          <w:trHeight w:val="801" w:hRule="atLeast"/>
        </w:trPr>
        <w:tc>
          <w:tcPr>
            <w:tcW w:w="516" w:type="dxa"/>
            <w:vMerge w:val="continue"/>
            <w:tcBorders>
              <w:top w:val="nil"/>
              <w:left w:val="nil"/>
              <w:bottom w:val="nil"/>
              <w:right w:val="nil"/>
            </w:tcBorders>
            <w:vAlign w:val="center"/>
          </w:tcPr>
          <w:p>
            <w:pPr>
              <w:widowControl/>
              <w:jc w:val="left"/>
              <w:rPr>
                <w:rFonts w:ascii="宋体" w:hAnsi="宋体" w:cs="宋体"/>
                <w:kern w:val="0"/>
                <w:sz w:val="24"/>
              </w:rPr>
            </w:pPr>
          </w:p>
        </w:tc>
        <w:tc>
          <w:tcPr>
            <w:tcW w:w="1006" w:type="dxa"/>
            <w:vMerge w:val="continue"/>
            <w:tcBorders>
              <w:top w:val="nil"/>
              <w:left w:val="nil"/>
              <w:bottom w:val="nil"/>
              <w:right w:val="nil"/>
            </w:tcBorders>
            <w:vAlign w:val="center"/>
          </w:tcPr>
          <w:p>
            <w:pPr>
              <w:widowControl/>
              <w:jc w:val="left"/>
              <w:rPr>
                <w:rFonts w:ascii="宋体" w:hAnsi="宋体" w:cs="宋体"/>
                <w:kern w:val="0"/>
                <w:sz w:val="24"/>
              </w:rPr>
            </w:pPr>
          </w:p>
        </w:tc>
        <w:tc>
          <w:tcPr>
            <w:tcW w:w="104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c>
          <w:tcPr>
            <w:tcW w:w="740"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kern w:val="0"/>
                <w:sz w:val="20"/>
                <w:szCs w:val="20"/>
              </w:rPr>
            </w:pPr>
            <w:r>
              <w:rPr>
                <w:rFonts w:hint="eastAsia" w:ascii="宋体" w:hAnsi="宋体" w:cs="宋体"/>
                <w:kern w:val="0"/>
                <w:sz w:val="20"/>
                <w:szCs w:val="20"/>
              </w:rPr>
              <w:t>完成时效</w:t>
            </w:r>
          </w:p>
        </w:tc>
        <w:tc>
          <w:tcPr>
            <w:tcW w:w="2940" w:type="dxa"/>
            <w:gridSpan w:val="2"/>
            <w:tcBorders>
              <w:top w:val="single" w:color="auto" w:sz="4" w:space="0"/>
              <w:left w:val="nil"/>
              <w:bottom w:val="single" w:color="auto" w:sz="4" w:space="0"/>
              <w:right w:val="single" w:color="auto" w:sz="4" w:space="0"/>
            </w:tcBorders>
            <w:shd w:val="clear" w:color="auto" w:fill="auto"/>
            <w:vAlign w:val="bottom"/>
          </w:tcPr>
          <w:p>
            <w:pPr>
              <w:widowControl/>
              <w:jc w:val="left"/>
              <w:rPr>
                <w:rFonts w:ascii="宋体" w:hAnsi="宋体" w:cs="宋体"/>
                <w:kern w:val="0"/>
                <w:sz w:val="20"/>
                <w:szCs w:val="20"/>
              </w:rPr>
            </w:pPr>
            <w:r>
              <w:rPr>
                <w:rFonts w:hint="eastAsia" w:ascii="宋体" w:hAnsi="宋体" w:cs="宋体"/>
                <w:kern w:val="0"/>
                <w:sz w:val="20"/>
                <w:szCs w:val="20"/>
              </w:rPr>
              <w:t>（实际完成时间-绩效目标设定完成时间）/绩效目标设定完成时间×100%</w:t>
            </w:r>
          </w:p>
        </w:tc>
        <w:tc>
          <w:tcPr>
            <w:tcW w:w="1640" w:type="dxa"/>
            <w:tcBorders>
              <w:top w:val="nil"/>
              <w:left w:val="nil"/>
              <w:bottom w:val="single" w:color="auto" w:sz="4" w:space="0"/>
              <w:right w:val="single" w:color="auto" w:sz="4" w:space="0"/>
            </w:tcBorders>
            <w:shd w:val="clear" w:color="auto" w:fill="auto"/>
            <w:vAlign w:val="bottom"/>
          </w:tcPr>
          <w:p>
            <w:pPr>
              <w:jc w:val="center"/>
              <w:rPr>
                <w:rFonts w:ascii="宋体" w:hAnsi="宋体" w:cs="宋体"/>
                <w:sz w:val="20"/>
                <w:szCs w:val="20"/>
              </w:rPr>
            </w:pPr>
            <w:r>
              <w:rPr>
                <w:rFonts w:hint="eastAsia" w:ascii="宋体" w:hAnsi="宋体" w:cs="宋体"/>
                <w:sz w:val="20"/>
                <w:szCs w:val="20"/>
              </w:rPr>
              <w:t>符合</w:t>
            </w:r>
          </w:p>
        </w:tc>
        <w:tc>
          <w:tcPr>
            <w:tcW w:w="1634" w:type="dxa"/>
            <w:tcBorders>
              <w:top w:val="nil"/>
              <w:left w:val="nil"/>
              <w:bottom w:val="single" w:color="auto" w:sz="4" w:space="0"/>
              <w:right w:val="single" w:color="auto" w:sz="4" w:space="0"/>
            </w:tcBorders>
            <w:shd w:val="clear" w:color="auto" w:fill="auto"/>
            <w:vAlign w:val="bottom"/>
          </w:tcPr>
          <w:p>
            <w:pPr>
              <w:jc w:val="center"/>
              <w:rPr>
                <w:rFonts w:ascii="宋体" w:hAnsi="宋体" w:cs="宋体"/>
                <w:sz w:val="20"/>
                <w:szCs w:val="20"/>
              </w:rPr>
            </w:pPr>
            <w:r>
              <w:rPr>
                <w:rFonts w:hint="eastAsia" w:ascii="宋体" w:hAnsi="宋体" w:cs="宋体"/>
                <w:sz w:val="20"/>
                <w:szCs w:val="20"/>
              </w:rPr>
              <w:t>符合</w:t>
            </w:r>
          </w:p>
        </w:tc>
      </w:tr>
      <w:tr>
        <w:tblPrEx>
          <w:tblCellMar>
            <w:top w:w="0" w:type="dxa"/>
            <w:left w:w="108" w:type="dxa"/>
            <w:bottom w:w="0" w:type="dxa"/>
            <w:right w:w="108" w:type="dxa"/>
          </w:tblCellMar>
        </w:tblPrEx>
        <w:trPr>
          <w:trHeight w:val="555" w:hRule="atLeast"/>
        </w:trPr>
        <w:tc>
          <w:tcPr>
            <w:tcW w:w="516" w:type="dxa"/>
            <w:vMerge w:val="continue"/>
            <w:tcBorders>
              <w:top w:val="nil"/>
              <w:left w:val="nil"/>
              <w:bottom w:val="nil"/>
              <w:right w:val="nil"/>
            </w:tcBorders>
            <w:vAlign w:val="center"/>
          </w:tcPr>
          <w:p>
            <w:pPr>
              <w:widowControl/>
              <w:jc w:val="left"/>
              <w:rPr>
                <w:rFonts w:ascii="宋体" w:hAnsi="宋体" w:cs="宋体"/>
                <w:kern w:val="0"/>
                <w:sz w:val="24"/>
              </w:rPr>
            </w:pPr>
          </w:p>
        </w:tc>
        <w:tc>
          <w:tcPr>
            <w:tcW w:w="1006" w:type="dxa"/>
            <w:vMerge w:val="continue"/>
            <w:tcBorders>
              <w:top w:val="nil"/>
              <w:left w:val="nil"/>
              <w:bottom w:val="nil"/>
              <w:right w:val="nil"/>
            </w:tcBorders>
            <w:vAlign w:val="center"/>
          </w:tcPr>
          <w:p>
            <w:pPr>
              <w:widowControl/>
              <w:jc w:val="left"/>
              <w:rPr>
                <w:rFonts w:ascii="宋体" w:hAnsi="宋体" w:cs="宋体"/>
                <w:kern w:val="0"/>
                <w:sz w:val="24"/>
              </w:rPr>
            </w:pPr>
          </w:p>
        </w:tc>
        <w:tc>
          <w:tcPr>
            <w:tcW w:w="104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c>
          <w:tcPr>
            <w:tcW w:w="740"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kern w:val="0"/>
                <w:sz w:val="20"/>
                <w:szCs w:val="20"/>
              </w:rPr>
            </w:pPr>
            <w:r>
              <w:rPr>
                <w:rFonts w:hint="eastAsia" w:ascii="宋体" w:hAnsi="宋体" w:cs="宋体"/>
                <w:kern w:val="0"/>
                <w:sz w:val="20"/>
                <w:szCs w:val="20"/>
              </w:rPr>
              <w:t>完成成本</w:t>
            </w:r>
          </w:p>
        </w:tc>
        <w:tc>
          <w:tcPr>
            <w:tcW w:w="2940" w:type="dxa"/>
            <w:gridSpan w:val="2"/>
            <w:tcBorders>
              <w:top w:val="single" w:color="auto" w:sz="4" w:space="0"/>
              <w:left w:val="nil"/>
              <w:bottom w:val="single" w:color="auto" w:sz="4" w:space="0"/>
              <w:right w:val="single" w:color="auto" w:sz="4" w:space="0"/>
            </w:tcBorders>
            <w:shd w:val="clear" w:color="auto" w:fill="auto"/>
            <w:vAlign w:val="bottom"/>
          </w:tcPr>
          <w:p>
            <w:pPr>
              <w:widowControl/>
              <w:jc w:val="left"/>
              <w:rPr>
                <w:rFonts w:ascii="宋体" w:hAnsi="宋体" w:cs="宋体"/>
                <w:kern w:val="0"/>
                <w:sz w:val="20"/>
                <w:szCs w:val="20"/>
              </w:rPr>
            </w:pPr>
            <w:r>
              <w:rPr>
                <w:rFonts w:hint="eastAsia" w:ascii="宋体" w:hAnsi="宋体" w:cs="宋体"/>
                <w:kern w:val="0"/>
                <w:sz w:val="20"/>
                <w:szCs w:val="20"/>
              </w:rPr>
              <w:t>（实际完成成本-预计完成成本）/预计完成成本×100%</w:t>
            </w:r>
          </w:p>
        </w:tc>
        <w:tc>
          <w:tcPr>
            <w:tcW w:w="1640" w:type="dxa"/>
            <w:tcBorders>
              <w:top w:val="nil"/>
              <w:left w:val="nil"/>
              <w:bottom w:val="single" w:color="auto" w:sz="4" w:space="0"/>
              <w:right w:val="single" w:color="auto" w:sz="4" w:space="0"/>
            </w:tcBorders>
            <w:shd w:val="clear" w:color="auto" w:fill="auto"/>
            <w:vAlign w:val="bottom"/>
          </w:tcPr>
          <w:p>
            <w:pPr>
              <w:jc w:val="center"/>
              <w:rPr>
                <w:rFonts w:ascii="宋体" w:hAnsi="宋体" w:cs="宋体"/>
                <w:sz w:val="20"/>
                <w:szCs w:val="20"/>
              </w:rPr>
            </w:pPr>
            <w:r>
              <w:rPr>
                <w:rFonts w:hint="eastAsia" w:ascii="宋体" w:hAnsi="宋体" w:cs="宋体"/>
                <w:sz w:val="20"/>
                <w:szCs w:val="20"/>
              </w:rPr>
              <w:t>100%</w:t>
            </w:r>
          </w:p>
        </w:tc>
        <w:tc>
          <w:tcPr>
            <w:tcW w:w="1634" w:type="dxa"/>
            <w:tcBorders>
              <w:top w:val="nil"/>
              <w:left w:val="nil"/>
              <w:bottom w:val="single" w:color="auto" w:sz="4" w:space="0"/>
              <w:right w:val="single" w:color="auto" w:sz="4" w:space="0"/>
            </w:tcBorders>
            <w:shd w:val="clear" w:color="auto" w:fill="auto"/>
            <w:vAlign w:val="bottom"/>
          </w:tcPr>
          <w:p>
            <w:pPr>
              <w:jc w:val="center"/>
              <w:rPr>
                <w:rFonts w:ascii="宋体" w:hAnsi="宋体" w:cs="宋体"/>
                <w:sz w:val="20"/>
                <w:szCs w:val="20"/>
              </w:rPr>
            </w:pPr>
            <w:r>
              <w:rPr>
                <w:rFonts w:hint="eastAsia" w:ascii="宋体" w:hAnsi="宋体" w:cs="宋体"/>
                <w:sz w:val="20"/>
                <w:szCs w:val="20"/>
              </w:rPr>
              <w:t>100%</w:t>
            </w:r>
          </w:p>
        </w:tc>
      </w:tr>
      <w:tr>
        <w:tblPrEx>
          <w:tblCellMar>
            <w:top w:w="0" w:type="dxa"/>
            <w:left w:w="108" w:type="dxa"/>
            <w:bottom w:w="0" w:type="dxa"/>
            <w:right w:w="108" w:type="dxa"/>
          </w:tblCellMar>
        </w:tblPrEx>
        <w:trPr>
          <w:trHeight w:val="720" w:hRule="atLeast"/>
        </w:trPr>
        <w:tc>
          <w:tcPr>
            <w:tcW w:w="516" w:type="dxa"/>
            <w:vMerge w:val="continue"/>
            <w:tcBorders>
              <w:top w:val="nil"/>
              <w:left w:val="nil"/>
              <w:bottom w:val="nil"/>
              <w:right w:val="nil"/>
            </w:tcBorders>
            <w:vAlign w:val="center"/>
          </w:tcPr>
          <w:p>
            <w:pPr>
              <w:widowControl/>
              <w:jc w:val="left"/>
              <w:rPr>
                <w:rFonts w:ascii="宋体" w:hAnsi="宋体" w:cs="宋体"/>
                <w:kern w:val="0"/>
                <w:sz w:val="24"/>
              </w:rPr>
            </w:pPr>
          </w:p>
        </w:tc>
        <w:tc>
          <w:tcPr>
            <w:tcW w:w="1006" w:type="dxa"/>
            <w:vMerge w:val="continue"/>
            <w:tcBorders>
              <w:top w:val="nil"/>
              <w:left w:val="nil"/>
              <w:bottom w:val="nil"/>
              <w:right w:val="nil"/>
            </w:tcBorders>
            <w:vAlign w:val="center"/>
          </w:tcPr>
          <w:p>
            <w:pPr>
              <w:widowControl/>
              <w:jc w:val="left"/>
              <w:rPr>
                <w:rFonts w:ascii="宋体" w:hAnsi="宋体" w:cs="宋体"/>
                <w:kern w:val="0"/>
                <w:sz w:val="24"/>
              </w:rPr>
            </w:pPr>
          </w:p>
        </w:tc>
        <w:tc>
          <w:tcPr>
            <w:tcW w:w="1040" w:type="dxa"/>
            <w:vMerge w:val="restart"/>
            <w:tcBorders>
              <w:top w:val="nil"/>
              <w:left w:val="single" w:color="auto" w:sz="4" w:space="0"/>
              <w:bottom w:val="single" w:color="auto" w:sz="4" w:space="0"/>
              <w:right w:val="single" w:color="auto" w:sz="4" w:space="0"/>
            </w:tcBorders>
            <w:shd w:val="clear" w:color="auto" w:fill="auto"/>
            <w:textDirection w:val="tbRlV"/>
            <w:vAlign w:val="bottom"/>
          </w:tcPr>
          <w:p>
            <w:pPr>
              <w:widowControl/>
              <w:jc w:val="center"/>
              <w:rPr>
                <w:rFonts w:ascii="宋体" w:hAnsi="宋体" w:cs="宋体"/>
                <w:kern w:val="0"/>
                <w:sz w:val="20"/>
                <w:szCs w:val="20"/>
              </w:rPr>
            </w:pPr>
            <w:r>
              <w:rPr>
                <w:rFonts w:hint="eastAsia" w:ascii="宋体" w:hAnsi="宋体" w:cs="宋体"/>
                <w:kern w:val="0"/>
                <w:sz w:val="20"/>
                <w:szCs w:val="20"/>
              </w:rPr>
              <w:t>项目效益</w:t>
            </w:r>
          </w:p>
        </w:tc>
        <w:tc>
          <w:tcPr>
            <w:tcW w:w="740"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kern w:val="0"/>
                <w:sz w:val="20"/>
                <w:szCs w:val="20"/>
              </w:rPr>
            </w:pPr>
            <w:r>
              <w:rPr>
                <w:rFonts w:hint="eastAsia" w:ascii="宋体" w:hAnsi="宋体" w:cs="宋体"/>
                <w:kern w:val="0"/>
                <w:sz w:val="20"/>
                <w:szCs w:val="20"/>
              </w:rPr>
              <w:t>经济效益</w:t>
            </w:r>
          </w:p>
        </w:tc>
        <w:tc>
          <w:tcPr>
            <w:tcW w:w="2940" w:type="dxa"/>
            <w:gridSpan w:val="2"/>
            <w:tcBorders>
              <w:top w:val="single" w:color="auto" w:sz="4" w:space="0"/>
              <w:left w:val="nil"/>
              <w:bottom w:val="single" w:color="auto" w:sz="4" w:space="0"/>
              <w:right w:val="single" w:color="auto" w:sz="4" w:space="0"/>
            </w:tcBorders>
            <w:shd w:val="clear" w:color="auto" w:fill="auto"/>
            <w:vAlign w:val="bottom"/>
          </w:tcPr>
          <w:p>
            <w:pPr>
              <w:widowControl/>
              <w:jc w:val="left"/>
              <w:rPr>
                <w:rFonts w:ascii="宋体" w:hAnsi="宋体" w:cs="宋体"/>
                <w:kern w:val="0"/>
                <w:sz w:val="20"/>
                <w:szCs w:val="20"/>
              </w:rPr>
            </w:pPr>
            <w:r>
              <w:rPr>
                <w:rFonts w:hint="eastAsia" w:ascii="宋体" w:hAnsi="宋体" w:cs="宋体"/>
                <w:kern w:val="0"/>
                <w:sz w:val="20"/>
                <w:szCs w:val="20"/>
              </w:rPr>
              <w:t>反映相关产出对经济社会发展带来的影响和效果，根据项目实际细化具体指标。</w:t>
            </w:r>
          </w:p>
        </w:tc>
        <w:tc>
          <w:tcPr>
            <w:tcW w:w="1640" w:type="dxa"/>
            <w:tcBorders>
              <w:top w:val="nil"/>
              <w:left w:val="nil"/>
              <w:bottom w:val="single" w:color="auto" w:sz="4" w:space="0"/>
              <w:right w:val="single" w:color="auto" w:sz="4" w:space="0"/>
            </w:tcBorders>
            <w:shd w:val="clear" w:color="auto" w:fill="auto"/>
            <w:vAlign w:val="bottom"/>
          </w:tcPr>
          <w:p>
            <w:pPr>
              <w:jc w:val="center"/>
              <w:rPr>
                <w:rFonts w:ascii="宋体" w:hAnsi="宋体" w:cs="宋体"/>
                <w:sz w:val="20"/>
                <w:szCs w:val="20"/>
              </w:rPr>
            </w:pPr>
            <w:r>
              <w:rPr>
                <w:rFonts w:hint="eastAsia" w:ascii="宋体" w:hAnsi="宋体" w:cs="宋体"/>
                <w:sz w:val="20"/>
                <w:szCs w:val="20"/>
              </w:rPr>
              <w:t>100%</w:t>
            </w:r>
          </w:p>
        </w:tc>
        <w:tc>
          <w:tcPr>
            <w:tcW w:w="1634" w:type="dxa"/>
            <w:tcBorders>
              <w:top w:val="nil"/>
              <w:left w:val="nil"/>
              <w:bottom w:val="single" w:color="auto" w:sz="4" w:space="0"/>
              <w:right w:val="single" w:color="auto" w:sz="4" w:space="0"/>
            </w:tcBorders>
            <w:shd w:val="clear" w:color="auto" w:fill="auto"/>
            <w:vAlign w:val="bottom"/>
          </w:tcPr>
          <w:p>
            <w:pPr>
              <w:jc w:val="center"/>
              <w:rPr>
                <w:rFonts w:ascii="宋体" w:hAnsi="宋体" w:cs="宋体"/>
                <w:sz w:val="20"/>
                <w:szCs w:val="20"/>
              </w:rPr>
            </w:pPr>
            <w:r>
              <w:rPr>
                <w:rFonts w:hint="eastAsia" w:ascii="宋体" w:hAnsi="宋体" w:cs="宋体"/>
                <w:sz w:val="20"/>
                <w:szCs w:val="20"/>
              </w:rPr>
              <w:t>100%</w:t>
            </w:r>
          </w:p>
        </w:tc>
      </w:tr>
      <w:tr>
        <w:tblPrEx>
          <w:tblCellMar>
            <w:top w:w="0" w:type="dxa"/>
            <w:left w:w="108" w:type="dxa"/>
            <w:bottom w:w="0" w:type="dxa"/>
            <w:right w:w="108" w:type="dxa"/>
          </w:tblCellMar>
        </w:tblPrEx>
        <w:trPr>
          <w:trHeight w:val="741" w:hRule="atLeast"/>
        </w:trPr>
        <w:tc>
          <w:tcPr>
            <w:tcW w:w="516" w:type="dxa"/>
            <w:vMerge w:val="continue"/>
            <w:tcBorders>
              <w:top w:val="nil"/>
              <w:left w:val="nil"/>
              <w:bottom w:val="nil"/>
              <w:right w:val="nil"/>
            </w:tcBorders>
            <w:vAlign w:val="center"/>
          </w:tcPr>
          <w:p>
            <w:pPr>
              <w:widowControl/>
              <w:jc w:val="left"/>
              <w:rPr>
                <w:rFonts w:ascii="宋体" w:hAnsi="宋体" w:cs="宋体"/>
                <w:kern w:val="0"/>
                <w:sz w:val="24"/>
              </w:rPr>
            </w:pPr>
          </w:p>
        </w:tc>
        <w:tc>
          <w:tcPr>
            <w:tcW w:w="1006" w:type="dxa"/>
            <w:vMerge w:val="continue"/>
            <w:tcBorders>
              <w:top w:val="nil"/>
              <w:left w:val="nil"/>
              <w:bottom w:val="nil"/>
              <w:right w:val="nil"/>
            </w:tcBorders>
            <w:vAlign w:val="center"/>
          </w:tcPr>
          <w:p>
            <w:pPr>
              <w:widowControl/>
              <w:jc w:val="left"/>
              <w:rPr>
                <w:rFonts w:ascii="宋体" w:hAnsi="宋体" w:cs="宋体"/>
                <w:kern w:val="0"/>
                <w:sz w:val="24"/>
              </w:rPr>
            </w:pPr>
          </w:p>
        </w:tc>
        <w:tc>
          <w:tcPr>
            <w:tcW w:w="104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c>
          <w:tcPr>
            <w:tcW w:w="740"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kern w:val="0"/>
                <w:sz w:val="20"/>
                <w:szCs w:val="20"/>
              </w:rPr>
            </w:pPr>
            <w:r>
              <w:rPr>
                <w:rFonts w:hint="eastAsia" w:ascii="宋体" w:hAnsi="宋体" w:cs="宋体"/>
                <w:kern w:val="0"/>
                <w:sz w:val="20"/>
                <w:szCs w:val="20"/>
              </w:rPr>
              <w:t>社会效益</w:t>
            </w:r>
          </w:p>
        </w:tc>
        <w:tc>
          <w:tcPr>
            <w:tcW w:w="2940" w:type="dxa"/>
            <w:gridSpan w:val="2"/>
            <w:tcBorders>
              <w:top w:val="single" w:color="auto" w:sz="4" w:space="0"/>
              <w:left w:val="nil"/>
              <w:bottom w:val="single" w:color="auto" w:sz="4" w:space="0"/>
              <w:right w:val="single" w:color="auto" w:sz="4" w:space="0"/>
            </w:tcBorders>
            <w:shd w:val="clear" w:color="auto" w:fill="auto"/>
            <w:vAlign w:val="bottom"/>
          </w:tcPr>
          <w:p>
            <w:pPr>
              <w:widowControl/>
              <w:jc w:val="left"/>
              <w:rPr>
                <w:rFonts w:ascii="宋体" w:hAnsi="宋体" w:cs="宋体"/>
                <w:kern w:val="0"/>
                <w:sz w:val="20"/>
                <w:szCs w:val="20"/>
              </w:rPr>
            </w:pPr>
            <w:r>
              <w:rPr>
                <w:rFonts w:hint="eastAsia" w:ascii="宋体" w:hAnsi="宋体" w:cs="宋体"/>
                <w:kern w:val="0"/>
                <w:sz w:val="20"/>
                <w:szCs w:val="20"/>
              </w:rPr>
              <w:t>反映相关产出对社会发展带来的影响和效果，根据项目实际细化具体指标。</w:t>
            </w:r>
          </w:p>
        </w:tc>
        <w:tc>
          <w:tcPr>
            <w:tcW w:w="1640" w:type="dxa"/>
            <w:tcBorders>
              <w:top w:val="nil"/>
              <w:left w:val="nil"/>
              <w:bottom w:val="single" w:color="auto" w:sz="4" w:space="0"/>
              <w:right w:val="single" w:color="auto" w:sz="4" w:space="0"/>
            </w:tcBorders>
            <w:shd w:val="clear" w:color="auto" w:fill="auto"/>
            <w:vAlign w:val="bottom"/>
          </w:tcPr>
          <w:p>
            <w:pPr>
              <w:jc w:val="center"/>
              <w:rPr>
                <w:rFonts w:ascii="宋体" w:hAnsi="宋体" w:cs="宋体"/>
                <w:sz w:val="20"/>
                <w:szCs w:val="20"/>
              </w:rPr>
            </w:pPr>
            <w:r>
              <w:rPr>
                <w:rFonts w:hint="eastAsia" w:ascii="宋体" w:hAnsi="宋体" w:cs="宋体"/>
                <w:sz w:val="20"/>
                <w:szCs w:val="20"/>
              </w:rPr>
              <w:t>确保国有资产不流失</w:t>
            </w:r>
          </w:p>
        </w:tc>
        <w:tc>
          <w:tcPr>
            <w:tcW w:w="1634" w:type="dxa"/>
            <w:tcBorders>
              <w:top w:val="nil"/>
              <w:left w:val="nil"/>
              <w:bottom w:val="single" w:color="auto" w:sz="4" w:space="0"/>
              <w:right w:val="single" w:color="auto" w:sz="4" w:space="0"/>
            </w:tcBorders>
            <w:shd w:val="clear" w:color="auto" w:fill="auto"/>
            <w:vAlign w:val="bottom"/>
          </w:tcPr>
          <w:p>
            <w:pPr>
              <w:jc w:val="center"/>
              <w:rPr>
                <w:rFonts w:ascii="宋体" w:hAnsi="宋体" w:cs="宋体"/>
                <w:sz w:val="20"/>
                <w:szCs w:val="20"/>
              </w:rPr>
            </w:pPr>
            <w:r>
              <w:rPr>
                <w:rFonts w:hint="eastAsia" w:ascii="宋体" w:hAnsi="宋体" w:cs="宋体"/>
                <w:sz w:val="20"/>
                <w:szCs w:val="20"/>
              </w:rPr>
              <w:t>确保国有资产不流失</w:t>
            </w:r>
          </w:p>
        </w:tc>
      </w:tr>
      <w:tr>
        <w:tblPrEx>
          <w:tblCellMar>
            <w:top w:w="0" w:type="dxa"/>
            <w:left w:w="108" w:type="dxa"/>
            <w:bottom w:w="0" w:type="dxa"/>
            <w:right w:w="108" w:type="dxa"/>
          </w:tblCellMar>
        </w:tblPrEx>
        <w:trPr>
          <w:trHeight w:val="720" w:hRule="atLeast"/>
        </w:trPr>
        <w:tc>
          <w:tcPr>
            <w:tcW w:w="516" w:type="dxa"/>
            <w:vMerge w:val="continue"/>
            <w:tcBorders>
              <w:top w:val="nil"/>
              <w:left w:val="nil"/>
              <w:bottom w:val="nil"/>
              <w:right w:val="nil"/>
            </w:tcBorders>
            <w:vAlign w:val="center"/>
          </w:tcPr>
          <w:p>
            <w:pPr>
              <w:widowControl/>
              <w:jc w:val="left"/>
              <w:rPr>
                <w:rFonts w:ascii="宋体" w:hAnsi="宋体" w:cs="宋体"/>
                <w:kern w:val="0"/>
                <w:sz w:val="24"/>
              </w:rPr>
            </w:pPr>
          </w:p>
        </w:tc>
        <w:tc>
          <w:tcPr>
            <w:tcW w:w="1006" w:type="dxa"/>
            <w:vMerge w:val="continue"/>
            <w:tcBorders>
              <w:top w:val="nil"/>
              <w:left w:val="nil"/>
              <w:bottom w:val="nil"/>
              <w:right w:val="nil"/>
            </w:tcBorders>
            <w:vAlign w:val="center"/>
          </w:tcPr>
          <w:p>
            <w:pPr>
              <w:widowControl/>
              <w:jc w:val="left"/>
              <w:rPr>
                <w:rFonts w:ascii="宋体" w:hAnsi="宋体" w:cs="宋体"/>
                <w:kern w:val="0"/>
                <w:sz w:val="24"/>
              </w:rPr>
            </w:pPr>
          </w:p>
        </w:tc>
        <w:tc>
          <w:tcPr>
            <w:tcW w:w="104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c>
          <w:tcPr>
            <w:tcW w:w="740"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kern w:val="0"/>
                <w:sz w:val="20"/>
                <w:szCs w:val="20"/>
              </w:rPr>
            </w:pPr>
            <w:r>
              <w:rPr>
                <w:rFonts w:hint="eastAsia" w:ascii="宋体" w:hAnsi="宋体" w:cs="宋体"/>
                <w:kern w:val="0"/>
                <w:sz w:val="20"/>
                <w:szCs w:val="20"/>
              </w:rPr>
              <w:t>生态效益</w:t>
            </w:r>
          </w:p>
        </w:tc>
        <w:tc>
          <w:tcPr>
            <w:tcW w:w="2940" w:type="dxa"/>
            <w:gridSpan w:val="2"/>
            <w:tcBorders>
              <w:top w:val="single" w:color="auto" w:sz="4" w:space="0"/>
              <w:left w:val="nil"/>
              <w:bottom w:val="single" w:color="auto" w:sz="4" w:space="0"/>
              <w:right w:val="single" w:color="auto" w:sz="4" w:space="0"/>
            </w:tcBorders>
            <w:shd w:val="clear" w:color="auto" w:fill="auto"/>
            <w:vAlign w:val="bottom"/>
          </w:tcPr>
          <w:p>
            <w:pPr>
              <w:widowControl/>
              <w:jc w:val="left"/>
              <w:rPr>
                <w:rFonts w:ascii="宋体" w:hAnsi="宋体" w:cs="宋体"/>
                <w:kern w:val="0"/>
                <w:sz w:val="20"/>
                <w:szCs w:val="20"/>
              </w:rPr>
            </w:pPr>
            <w:r>
              <w:rPr>
                <w:rFonts w:hint="eastAsia" w:ascii="宋体" w:hAnsi="宋体" w:cs="宋体"/>
                <w:kern w:val="0"/>
                <w:sz w:val="20"/>
                <w:szCs w:val="20"/>
              </w:rPr>
              <w:t>反映相关产出对自然环境带来的影响和效果，根据项目实际细化具体指标。</w:t>
            </w:r>
          </w:p>
        </w:tc>
        <w:tc>
          <w:tcPr>
            <w:tcW w:w="1640" w:type="dxa"/>
            <w:tcBorders>
              <w:top w:val="nil"/>
              <w:left w:val="nil"/>
              <w:bottom w:val="single" w:color="auto" w:sz="4" w:space="0"/>
              <w:right w:val="single" w:color="auto" w:sz="4" w:space="0"/>
            </w:tcBorders>
            <w:shd w:val="clear" w:color="auto" w:fill="auto"/>
            <w:vAlign w:val="bottom"/>
          </w:tcPr>
          <w:p>
            <w:pPr>
              <w:jc w:val="center"/>
              <w:rPr>
                <w:rFonts w:ascii="宋体" w:hAnsi="宋体" w:cs="宋体"/>
                <w:sz w:val="20"/>
                <w:szCs w:val="20"/>
              </w:rPr>
            </w:pPr>
            <w:r>
              <w:rPr>
                <w:rFonts w:hint="eastAsia" w:ascii="宋体" w:hAnsi="宋体" w:cs="宋体"/>
                <w:sz w:val="20"/>
                <w:szCs w:val="20"/>
              </w:rPr>
              <w:t>保障人民群众个人利益不受损</w:t>
            </w:r>
          </w:p>
        </w:tc>
        <w:tc>
          <w:tcPr>
            <w:tcW w:w="1634" w:type="dxa"/>
            <w:tcBorders>
              <w:top w:val="nil"/>
              <w:left w:val="nil"/>
              <w:bottom w:val="single" w:color="auto" w:sz="4" w:space="0"/>
              <w:right w:val="single" w:color="auto" w:sz="4" w:space="0"/>
            </w:tcBorders>
            <w:shd w:val="clear" w:color="auto" w:fill="auto"/>
            <w:vAlign w:val="bottom"/>
          </w:tcPr>
          <w:p>
            <w:pPr>
              <w:jc w:val="center"/>
              <w:rPr>
                <w:rFonts w:ascii="宋体" w:hAnsi="宋体" w:cs="宋体"/>
                <w:sz w:val="20"/>
                <w:szCs w:val="20"/>
              </w:rPr>
            </w:pPr>
            <w:r>
              <w:rPr>
                <w:rFonts w:hint="eastAsia" w:ascii="宋体" w:hAnsi="宋体" w:cs="宋体"/>
                <w:sz w:val="20"/>
                <w:szCs w:val="20"/>
              </w:rPr>
              <w:t>保障人民群众个人利益不受损</w:t>
            </w:r>
          </w:p>
        </w:tc>
      </w:tr>
      <w:tr>
        <w:tblPrEx>
          <w:tblCellMar>
            <w:top w:w="0" w:type="dxa"/>
            <w:left w:w="108" w:type="dxa"/>
            <w:bottom w:w="0" w:type="dxa"/>
            <w:right w:w="108" w:type="dxa"/>
          </w:tblCellMar>
        </w:tblPrEx>
        <w:trPr>
          <w:trHeight w:val="759" w:hRule="atLeast"/>
        </w:trPr>
        <w:tc>
          <w:tcPr>
            <w:tcW w:w="516" w:type="dxa"/>
            <w:vMerge w:val="continue"/>
            <w:tcBorders>
              <w:top w:val="nil"/>
              <w:left w:val="nil"/>
              <w:bottom w:val="nil"/>
              <w:right w:val="nil"/>
            </w:tcBorders>
            <w:vAlign w:val="center"/>
          </w:tcPr>
          <w:p>
            <w:pPr>
              <w:widowControl/>
              <w:jc w:val="left"/>
              <w:rPr>
                <w:rFonts w:ascii="宋体" w:hAnsi="宋体" w:cs="宋体"/>
                <w:kern w:val="0"/>
                <w:sz w:val="24"/>
              </w:rPr>
            </w:pPr>
          </w:p>
        </w:tc>
        <w:tc>
          <w:tcPr>
            <w:tcW w:w="1006" w:type="dxa"/>
            <w:vMerge w:val="continue"/>
            <w:tcBorders>
              <w:top w:val="nil"/>
              <w:left w:val="nil"/>
              <w:bottom w:val="nil"/>
              <w:right w:val="nil"/>
            </w:tcBorders>
            <w:vAlign w:val="center"/>
          </w:tcPr>
          <w:p>
            <w:pPr>
              <w:widowControl/>
              <w:jc w:val="left"/>
              <w:rPr>
                <w:rFonts w:ascii="宋体" w:hAnsi="宋体" w:cs="宋体"/>
                <w:kern w:val="0"/>
                <w:sz w:val="24"/>
              </w:rPr>
            </w:pPr>
          </w:p>
        </w:tc>
        <w:tc>
          <w:tcPr>
            <w:tcW w:w="104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c>
          <w:tcPr>
            <w:tcW w:w="740" w:type="dxa"/>
            <w:tcBorders>
              <w:top w:val="nil"/>
              <w:left w:val="nil"/>
              <w:bottom w:val="single" w:color="auto" w:sz="4" w:space="0"/>
              <w:right w:val="single" w:color="auto" w:sz="4" w:space="0"/>
            </w:tcBorders>
            <w:shd w:val="clear" w:color="auto" w:fill="auto"/>
            <w:vAlign w:val="bottom"/>
          </w:tcPr>
          <w:p>
            <w:pPr>
              <w:widowControl/>
              <w:jc w:val="left"/>
              <w:rPr>
                <w:rFonts w:ascii="宋体" w:hAnsi="宋体" w:cs="宋体"/>
                <w:kern w:val="0"/>
                <w:sz w:val="20"/>
                <w:szCs w:val="20"/>
              </w:rPr>
            </w:pPr>
            <w:r>
              <w:rPr>
                <w:rFonts w:hint="eastAsia" w:ascii="宋体" w:hAnsi="宋体" w:cs="宋体"/>
                <w:kern w:val="0"/>
                <w:sz w:val="20"/>
                <w:szCs w:val="20"/>
              </w:rPr>
              <w:t>可持续效益</w:t>
            </w:r>
          </w:p>
        </w:tc>
        <w:tc>
          <w:tcPr>
            <w:tcW w:w="2940" w:type="dxa"/>
            <w:gridSpan w:val="2"/>
            <w:tcBorders>
              <w:top w:val="single" w:color="auto" w:sz="4" w:space="0"/>
              <w:left w:val="nil"/>
              <w:bottom w:val="single" w:color="auto" w:sz="4" w:space="0"/>
              <w:right w:val="single" w:color="auto" w:sz="4" w:space="0"/>
            </w:tcBorders>
            <w:shd w:val="clear" w:color="auto" w:fill="auto"/>
            <w:vAlign w:val="bottom"/>
          </w:tcPr>
          <w:p>
            <w:pPr>
              <w:widowControl/>
              <w:jc w:val="left"/>
              <w:rPr>
                <w:rFonts w:ascii="宋体" w:hAnsi="宋体" w:cs="宋体"/>
                <w:kern w:val="0"/>
                <w:sz w:val="20"/>
                <w:szCs w:val="20"/>
              </w:rPr>
            </w:pPr>
            <w:r>
              <w:rPr>
                <w:rFonts w:hint="eastAsia" w:ascii="宋体" w:hAnsi="宋体" w:cs="宋体"/>
                <w:kern w:val="0"/>
                <w:sz w:val="20"/>
                <w:szCs w:val="20"/>
              </w:rPr>
              <w:t>反映相关产出带来影响的可持续期限，根据项目实际细化具体指标。</w:t>
            </w:r>
          </w:p>
        </w:tc>
        <w:tc>
          <w:tcPr>
            <w:tcW w:w="1640" w:type="dxa"/>
            <w:tcBorders>
              <w:top w:val="nil"/>
              <w:left w:val="nil"/>
              <w:bottom w:val="single" w:color="auto" w:sz="4" w:space="0"/>
              <w:right w:val="single" w:color="auto" w:sz="4" w:space="0"/>
            </w:tcBorders>
            <w:shd w:val="clear" w:color="auto" w:fill="auto"/>
            <w:vAlign w:val="bottom"/>
          </w:tcPr>
          <w:p>
            <w:pPr>
              <w:jc w:val="center"/>
              <w:rPr>
                <w:rFonts w:ascii="宋体" w:hAnsi="宋体" w:cs="宋体"/>
                <w:sz w:val="20"/>
                <w:szCs w:val="20"/>
              </w:rPr>
            </w:pPr>
            <w:r>
              <w:rPr>
                <w:rFonts w:hint="eastAsia" w:ascii="宋体" w:hAnsi="宋体" w:cs="宋体"/>
                <w:sz w:val="20"/>
                <w:szCs w:val="20"/>
              </w:rPr>
              <w:t>确保及时为我县经济社会发展提供用地保障</w:t>
            </w:r>
          </w:p>
        </w:tc>
        <w:tc>
          <w:tcPr>
            <w:tcW w:w="1634" w:type="dxa"/>
            <w:tcBorders>
              <w:top w:val="nil"/>
              <w:left w:val="nil"/>
              <w:bottom w:val="single" w:color="auto" w:sz="4" w:space="0"/>
              <w:right w:val="single" w:color="auto" w:sz="4" w:space="0"/>
            </w:tcBorders>
            <w:shd w:val="clear" w:color="auto" w:fill="auto"/>
            <w:vAlign w:val="bottom"/>
          </w:tcPr>
          <w:p>
            <w:pPr>
              <w:jc w:val="center"/>
              <w:rPr>
                <w:rFonts w:ascii="宋体" w:hAnsi="宋体" w:cs="宋体"/>
                <w:sz w:val="20"/>
                <w:szCs w:val="20"/>
              </w:rPr>
            </w:pPr>
            <w:r>
              <w:rPr>
                <w:rFonts w:hint="eastAsia" w:ascii="宋体" w:hAnsi="宋体" w:cs="宋体"/>
                <w:sz w:val="20"/>
                <w:szCs w:val="20"/>
              </w:rPr>
              <w:t>确保及时为我县经济社会发展提供用地保障</w:t>
            </w:r>
          </w:p>
        </w:tc>
      </w:tr>
      <w:tr>
        <w:tblPrEx>
          <w:tblCellMar>
            <w:top w:w="0" w:type="dxa"/>
            <w:left w:w="108" w:type="dxa"/>
            <w:bottom w:w="0" w:type="dxa"/>
            <w:right w:w="108" w:type="dxa"/>
          </w:tblCellMar>
        </w:tblPrEx>
        <w:trPr>
          <w:trHeight w:val="1080" w:hRule="atLeast"/>
        </w:trPr>
        <w:tc>
          <w:tcPr>
            <w:tcW w:w="516" w:type="dxa"/>
            <w:vMerge w:val="continue"/>
            <w:tcBorders>
              <w:top w:val="nil"/>
              <w:left w:val="nil"/>
              <w:bottom w:val="nil"/>
              <w:right w:val="nil"/>
            </w:tcBorders>
            <w:vAlign w:val="center"/>
          </w:tcPr>
          <w:p>
            <w:pPr>
              <w:widowControl/>
              <w:jc w:val="left"/>
              <w:rPr>
                <w:rFonts w:ascii="宋体" w:hAnsi="宋体" w:cs="宋体"/>
                <w:kern w:val="0"/>
                <w:sz w:val="24"/>
              </w:rPr>
            </w:pPr>
          </w:p>
        </w:tc>
        <w:tc>
          <w:tcPr>
            <w:tcW w:w="1006" w:type="dxa"/>
            <w:vMerge w:val="continue"/>
            <w:tcBorders>
              <w:top w:val="nil"/>
              <w:left w:val="nil"/>
              <w:bottom w:val="nil"/>
              <w:right w:val="nil"/>
            </w:tcBorders>
            <w:vAlign w:val="center"/>
          </w:tcPr>
          <w:p>
            <w:pPr>
              <w:widowControl/>
              <w:jc w:val="left"/>
              <w:rPr>
                <w:rFonts w:ascii="宋体" w:hAnsi="宋体" w:cs="宋体"/>
                <w:kern w:val="0"/>
                <w:sz w:val="24"/>
              </w:rPr>
            </w:pPr>
          </w:p>
        </w:tc>
        <w:tc>
          <w:tcPr>
            <w:tcW w:w="104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满意度</w:t>
            </w:r>
          </w:p>
        </w:tc>
        <w:tc>
          <w:tcPr>
            <w:tcW w:w="74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服务对象满意度</w:t>
            </w:r>
          </w:p>
        </w:tc>
        <w:tc>
          <w:tcPr>
            <w:tcW w:w="2940" w:type="dxa"/>
            <w:gridSpan w:val="2"/>
            <w:tcBorders>
              <w:top w:val="single" w:color="auto" w:sz="4" w:space="0"/>
              <w:left w:val="nil"/>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反映服务对象或项目受益人对相关产出及其影响的认可程度，根据项目实际细化具体指标。</w:t>
            </w:r>
          </w:p>
        </w:tc>
        <w:tc>
          <w:tcPr>
            <w:tcW w:w="1640" w:type="dxa"/>
            <w:tcBorders>
              <w:top w:val="nil"/>
              <w:left w:val="nil"/>
              <w:bottom w:val="single" w:color="auto" w:sz="4" w:space="0"/>
              <w:right w:val="single" w:color="auto" w:sz="4" w:space="0"/>
            </w:tcBorders>
            <w:shd w:val="clear" w:color="auto" w:fill="auto"/>
            <w:vAlign w:val="bottom"/>
          </w:tcPr>
          <w:p>
            <w:pPr>
              <w:jc w:val="center"/>
              <w:rPr>
                <w:rFonts w:ascii="宋体" w:hAnsi="宋体" w:cs="宋体"/>
                <w:sz w:val="20"/>
                <w:szCs w:val="20"/>
              </w:rPr>
            </w:pPr>
            <w:r>
              <w:rPr>
                <w:rFonts w:hint="eastAsia" w:ascii="宋体" w:hAnsi="宋体" w:cs="宋体"/>
                <w:sz w:val="20"/>
                <w:szCs w:val="20"/>
              </w:rPr>
              <w:t>无</w:t>
            </w:r>
          </w:p>
        </w:tc>
        <w:tc>
          <w:tcPr>
            <w:tcW w:w="1634" w:type="dxa"/>
            <w:tcBorders>
              <w:top w:val="nil"/>
              <w:left w:val="nil"/>
              <w:bottom w:val="single" w:color="auto" w:sz="4" w:space="0"/>
              <w:right w:val="single" w:color="auto" w:sz="4" w:space="0"/>
            </w:tcBorders>
            <w:shd w:val="clear" w:color="auto" w:fill="auto"/>
            <w:vAlign w:val="bottom"/>
          </w:tcPr>
          <w:p>
            <w:pPr>
              <w:jc w:val="center"/>
              <w:rPr>
                <w:rFonts w:ascii="宋体" w:hAnsi="宋体" w:cs="宋体"/>
                <w:sz w:val="20"/>
                <w:szCs w:val="20"/>
              </w:rPr>
            </w:pPr>
            <w:r>
              <w:rPr>
                <w:rFonts w:hint="eastAsia" w:ascii="宋体" w:hAnsi="宋体" w:cs="宋体"/>
                <w:sz w:val="20"/>
                <w:szCs w:val="20"/>
              </w:rPr>
              <w:t>无</w:t>
            </w:r>
          </w:p>
        </w:tc>
      </w:tr>
      <w:tr>
        <w:tblPrEx>
          <w:tblCellMar>
            <w:top w:w="0" w:type="dxa"/>
            <w:left w:w="108" w:type="dxa"/>
            <w:bottom w:w="0" w:type="dxa"/>
            <w:right w:w="108" w:type="dxa"/>
          </w:tblCellMar>
        </w:tblPrEx>
        <w:trPr>
          <w:trHeight w:val="1080" w:hRule="atLeast"/>
        </w:trPr>
        <w:tc>
          <w:tcPr>
            <w:tcW w:w="516" w:type="dxa"/>
            <w:tcBorders>
              <w:top w:val="nil"/>
              <w:left w:val="nil"/>
              <w:bottom w:val="nil"/>
              <w:right w:val="nil"/>
            </w:tcBorders>
            <w:vAlign w:val="center"/>
          </w:tcPr>
          <w:p>
            <w:pPr>
              <w:widowControl/>
              <w:jc w:val="left"/>
              <w:rPr>
                <w:rFonts w:ascii="宋体" w:hAnsi="宋体" w:cs="宋体"/>
                <w:kern w:val="0"/>
                <w:sz w:val="24"/>
              </w:rPr>
            </w:pPr>
          </w:p>
        </w:tc>
        <w:tc>
          <w:tcPr>
            <w:tcW w:w="1006" w:type="dxa"/>
            <w:tcBorders>
              <w:top w:val="nil"/>
              <w:left w:val="nil"/>
              <w:bottom w:val="nil"/>
              <w:right w:val="nil"/>
            </w:tcBorders>
            <w:vAlign w:val="center"/>
          </w:tcPr>
          <w:p>
            <w:pPr>
              <w:widowControl/>
              <w:jc w:val="left"/>
              <w:rPr>
                <w:rFonts w:ascii="宋体" w:hAnsi="宋体" w:cs="宋体"/>
                <w:kern w:val="0"/>
                <w:sz w:val="24"/>
              </w:rPr>
            </w:pPr>
          </w:p>
        </w:tc>
        <w:tc>
          <w:tcPr>
            <w:tcW w:w="104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p>
        </w:tc>
        <w:tc>
          <w:tcPr>
            <w:tcW w:w="74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p>
        </w:tc>
        <w:tc>
          <w:tcPr>
            <w:tcW w:w="2940" w:type="dxa"/>
            <w:gridSpan w:val="2"/>
            <w:tcBorders>
              <w:top w:val="single" w:color="auto" w:sz="4" w:space="0"/>
              <w:left w:val="nil"/>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p>
        </w:tc>
        <w:tc>
          <w:tcPr>
            <w:tcW w:w="1640" w:type="dxa"/>
            <w:tcBorders>
              <w:top w:val="nil"/>
              <w:left w:val="nil"/>
              <w:bottom w:val="single" w:color="auto" w:sz="4" w:space="0"/>
              <w:right w:val="single" w:color="auto" w:sz="4" w:space="0"/>
            </w:tcBorders>
            <w:shd w:val="clear" w:color="auto" w:fill="auto"/>
            <w:vAlign w:val="bottom"/>
          </w:tcPr>
          <w:p>
            <w:pPr>
              <w:jc w:val="center"/>
              <w:rPr>
                <w:rFonts w:ascii="宋体" w:hAnsi="宋体" w:cs="宋体"/>
                <w:sz w:val="20"/>
                <w:szCs w:val="20"/>
              </w:rPr>
            </w:pPr>
            <w:r>
              <w:rPr>
                <w:rFonts w:hint="eastAsia" w:ascii="宋体" w:hAnsi="宋体" w:cs="宋体"/>
                <w:sz w:val="20"/>
                <w:szCs w:val="20"/>
              </w:rPr>
              <w:t>群众满意度高</w:t>
            </w:r>
          </w:p>
        </w:tc>
        <w:tc>
          <w:tcPr>
            <w:tcW w:w="1634" w:type="dxa"/>
            <w:tcBorders>
              <w:top w:val="nil"/>
              <w:left w:val="nil"/>
              <w:bottom w:val="single" w:color="auto" w:sz="4" w:space="0"/>
              <w:right w:val="single" w:color="auto" w:sz="4" w:space="0"/>
            </w:tcBorders>
            <w:shd w:val="clear" w:color="auto" w:fill="auto"/>
            <w:vAlign w:val="bottom"/>
          </w:tcPr>
          <w:p>
            <w:pPr>
              <w:jc w:val="center"/>
              <w:rPr>
                <w:rFonts w:ascii="宋体" w:hAnsi="宋体" w:cs="宋体"/>
                <w:sz w:val="20"/>
                <w:szCs w:val="20"/>
              </w:rPr>
            </w:pPr>
            <w:r>
              <w:rPr>
                <w:rFonts w:hint="eastAsia" w:ascii="宋体" w:hAnsi="宋体" w:cs="宋体"/>
                <w:sz w:val="20"/>
                <w:szCs w:val="20"/>
              </w:rPr>
              <w:t>群众满意度高</w:t>
            </w:r>
          </w:p>
        </w:tc>
      </w:tr>
    </w:tbl>
    <w:p>
      <w:pPr>
        <w:tabs>
          <w:tab w:val="left" w:pos="312"/>
        </w:tabs>
        <w:spacing w:line="580" w:lineRule="exact"/>
        <w:rPr>
          <w:rFonts w:ascii="仿宋_GB2312" w:hAnsi="仿宋_GB2312" w:eastAsia="仿宋_GB2312" w:cs="仿宋_GB2312"/>
          <w:sz w:val="32"/>
          <w:szCs w:val="32"/>
        </w:rPr>
      </w:pPr>
    </w:p>
    <w:p>
      <w:pPr>
        <w:rPr>
          <w:rFonts w:ascii="Calibri" w:hAnsi="Calibri"/>
        </w:rPr>
      </w:pPr>
    </w:p>
    <w:p>
      <w:pPr>
        <w:rPr>
          <w:rFonts w:ascii="Calibri" w:hAnsi="Calibri"/>
        </w:rPr>
      </w:pPr>
    </w:p>
    <w:p>
      <w:pPr>
        <w:spacing w:line="580" w:lineRule="exact"/>
        <w:rPr>
          <w:rFonts w:ascii="仿宋_GB2312" w:hAnsi="仿宋_GB2312" w:eastAsia="仿宋_GB2312" w:cs="仿宋_GB2312"/>
          <w:sz w:val="32"/>
          <w:szCs w:val="32"/>
        </w:rPr>
      </w:pPr>
    </w:p>
    <w:p>
      <w:pPr>
        <w:spacing w:line="580" w:lineRule="exact"/>
        <w:rPr>
          <w:rFonts w:ascii="仿宋_GB2312" w:hAnsi="仿宋_GB2312" w:eastAsia="仿宋_GB2312" w:cs="仿宋_GB2312"/>
          <w:sz w:val="32"/>
          <w:szCs w:val="32"/>
        </w:rPr>
      </w:pPr>
    </w:p>
    <w:p>
      <w:pPr>
        <w:spacing w:line="580" w:lineRule="exact"/>
        <w:rPr>
          <w:rFonts w:ascii="仿宋_GB2312" w:hAnsi="仿宋_GB2312" w:eastAsia="仿宋_GB2312" w:cs="仿宋_GB2312"/>
          <w:sz w:val="32"/>
          <w:szCs w:val="32"/>
        </w:rPr>
      </w:pPr>
    </w:p>
    <w:p>
      <w:pPr>
        <w:spacing w:line="580" w:lineRule="exact"/>
        <w:rPr>
          <w:rFonts w:ascii="仿宋_GB2312" w:hAnsi="仿宋_GB2312" w:eastAsia="仿宋_GB2312" w:cs="仿宋_GB2312"/>
          <w:sz w:val="32"/>
          <w:szCs w:val="32"/>
        </w:rPr>
      </w:pPr>
    </w:p>
    <w:p>
      <w:pPr>
        <w:spacing w:line="580" w:lineRule="exact"/>
        <w:rPr>
          <w:rFonts w:ascii="仿宋_GB2312" w:hAnsi="仿宋_GB2312" w:eastAsia="仿宋_GB2312" w:cs="仿宋_GB2312"/>
          <w:sz w:val="32"/>
          <w:szCs w:val="32"/>
        </w:rPr>
      </w:pPr>
    </w:p>
    <w:p>
      <w:pPr>
        <w:spacing w:line="600" w:lineRule="exact"/>
        <w:ind w:firstLine="800" w:firstLineChars="250"/>
        <w:outlineLvl w:val="1"/>
        <w:rPr>
          <w:rStyle w:val="27"/>
          <w:rFonts w:ascii="黑体" w:hAnsi="黑体" w:eastAsia="黑体"/>
        </w:rPr>
      </w:pPr>
      <w:bookmarkStart w:id="50" w:name="_Toc15396612"/>
      <w:bookmarkStart w:id="51" w:name="_Toc15377221"/>
      <w:r>
        <w:rPr>
          <w:rFonts w:hint="eastAsia" w:ascii="黑体" w:hAnsi="黑体" w:eastAsia="黑体"/>
          <w:color w:val="000000"/>
          <w:sz w:val="32"/>
          <w:szCs w:val="32"/>
        </w:rPr>
        <w:t>十</w:t>
      </w:r>
      <w:r>
        <w:rPr>
          <w:rStyle w:val="27"/>
          <w:rFonts w:hint="eastAsia" w:ascii="黑体" w:hAnsi="黑体" w:eastAsia="黑体"/>
        </w:rPr>
        <w:t>一、</w:t>
      </w:r>
      <w:r>
        <w:rPr>
          <w:rStyle w:val="27"/>
          <w:rFonts w:hint="eastAsia" w:ascii="黑体" w:hAnsi="黑体" w:eastAsia="黑体"/>
          <w:b w:val="0"/>
        </w:rPr>
        <w:t>其他重要事项的情况说明</w:t>
      </w:r>
      <w:bookmarkEnd w:id="50"/>
      <w:bookmarkEnd w:id="51"/>
    </w:p>
    <w:p>
      <w:pPr>
        <w:spacing w:line="600" w:lineRule="exact"/>
        <w:ind w:firstLine="643" w:firstLineChars="200"/>
        <w:outlineLvl w:val="2"/>
        <w:rPr>
          <w:rFonts w:ascii="仿宋" w:hAnsi="仿宋" w:eastAsia="仿宋"/>
          <w:color w:val="000000"/>
          <w:sz w:val="32"/>
          <w:szCs w:val="32"/>
        </w:rPr>
      </w:pPr>
      <w:bookmarkStart w:id="52" w:name="_Toc15377222"/>
      <w:r>
        <w:rPr>
          <w:rFonts w:hint="eastAsia" w:ascii="仿宋" w:hAnsi="仿宋" w:eastAsia="仿宋"/>
          <w:b/>
          <w:color w:val="000000"/>
          <w:sz w:val="32"/>
          <w:szCs w:val="32"/>
        </w:rPr>
        <w:t>（一）机关运行经费支出情况</w:t>
      </w:r>
      <w:bookmarkEnd w:id="52"/>
    </w:p>
    <w:p>
      <w:pPr>
        <w:spacing w:line="600" w:lineRule="exact"/>
        <w:ind w:firstLine="640" w:firstLineChars="200"/>
        <w:rPr>
          <w:rFonts w:ascii="仿宋_GB2312" w:eastAsia="仿宋_GB2312"/>
          <w:color w:val="000000" w:themeColor="text1"/>
          <w:sz w:val="32"/>
          <w:szCs w:val="32"/>
        </w:rPr>
      </w:pPr>
      <w:r>
        <w:rPr>
          <w:rFonts w:ascii="仿宋_GB2312" w:eastAsia="仿宋_GB2312"/>
          <w:color w:val="000000"/>
          <w:sz w:val="32"/>
          <w:szCs w:val="32"/>
        </w:rPr>
        <w:t>201</w:t>
      </w:r>
      <w:r>
        <w:rPr>
          <w:rFonts w:hint="eastAsia" w:ascii="仿宋_GB2312" w:eastAsia="仿宋_GB2312"/>
          <w:color w:val="000000"/>
          <w:sz w:val="32"/>
          <w:szCs w:val="32"/>
        </w:rPr>
        <w:t>8年，红原县人民政府办公室机关运行经费支出1422.31万元，比</w:t>
      </w:r>
      <w:r>
        <w:rPr>
          <w:rFonts w:ascii="仿宋_GB2312" w:eastAsia="仿宋_GB2312"/>
          <w:color w:val="000000"/>
          <w:sz w:val="32"/>
          <w:szCs w:val="32"/>
        </w:rPr>
        <w:t>201</w:t>
      </w:r>
      <w:r>
        <w:rPr>
          <w:rFonts w:hint="eastAsia" w:ascii="仿宋_GB2312" w:eastAsia="仿宋_GB2312"/>
          <w:color w:val="000000"/>
          <w:sz w:val="32"/>
          <w:szCs w:val="32"/>
        </w:rPr>
        <w:t>7年减少123.54万元，下降8</w:t>
      </w:r>
      <w:r>
        <w:rPr>
          <w:rFonts w:ascii="仿宋_GB2312" w:eastAsia="仿宋_GB2312"/>
          <w:color w:val="000000"/>
          <w:sz w:val="32"/>
          <w:szCs w:val="32"/>
        </w:rPr>
        <w:t>%</w:t>
      </w:r>
      <w:r>
        <w:rPr>
          <w:rFonts w:hint="eastAsia" w:ascii="仿宋_GB2312" w:eastAsia="仿宋_GB2312"/>
          <w:color w:val="000000"/>
          <w:sz w:val="32"/>
          <w:szCs w:val="32"/>
        </w:rPr>
        <w:t>，</w:t>
      </w:r>
      <w:r>
        <w:rPr>
          <w:rFonts w:hint="eastAsia" w:ascii="仿宋_GB2312" w:eastAsia="仿宋_GB2312"/>
          <w:color w:val="000000" w:themeColor="text1"/>
          <w:sz w:val="32"/>
          <w:szCs w:val="32"/>
        </w:rPr>
        <w:t>主要原因是厉行节约，严格加强机构编制和人员经费管理、规范公务接待管理，进一步控制差旅费、会议费、培训数量和规模。严格控制公用经费。</w:t>
      </w:r>
    </w:p>
    <w:p>
      <w:pPr>
        <w:spacing w:line="600" w:lineRule="exact"/>
        <w:ind w:firstLine="640"/>
        <w:rPr>
          <w:rFonts w:ascii="仿宋" w:hAnsi="仿宋" w:eastAsia="仿宋"/>
          <w:b/>
          <w:color w:val="000000"/>
          <w:sz w:val="32"/>
          <w:szCs w:val="32"/>
        </w:rPr>
      </w:pPr>
      <w:r>
        <w:rPr>
          <w:rFonts w:hint="eastAsia" w:ascii="仿宋" w:hAnsi="仿宋" w:eastAsia="仿宋"/>
          <w:b/>
          <w:color w:val="000000"/>
          <w:sz w:val="32"/>
          <w:szCs w:val="32"/>
        </w:rPr>
        <w:t>（数据来源财决</w:t>
      </w:r>
      <w:r>
        <w:rPr>
          <w:rFonts w:ascii="仿宋" w:hAnsi="仿宋" w:eastAsia="仿宋"/>
          <w:b/>
          <w:color w:val="000000"/>
          <w:sz w:val="32"/>
          <w:szCs w:val="32"/>
        </w:rPr>
        <w:t>CS05</w:t>
      </w:r>
      <w:r>
        <w:rPr>
          <w:rFonts w:hint="eastAsia" w:ascii="仿宋" w:hAnsi="仿宋" w:eastAsia="仿宋"/>
          <w:b/>
          <w:color w:val="000000"/>
          <w:sz w:val="32"/>
          <w:szCs w:val="32"/>
        </w:rPr>
        <w:t>表）</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53" w:name="_Toc15377223"/>
      <w:r>
        <w:rPr>
          <w:rFonts w:hint="eastAsia" w:ascii="仿宋" w:hAnsi="仿宋" w:eastAsia="仿宋"/>
          <w:b/>
          <w:color w:val="000000"/>
          <w:sz w:val="32"/>
          <w:szCs w:val="32"/>
        </w:rPr>
        <w:t>（二）政府采购支出情况</w:t>
      </w:r>
      <w:bookmarkEnd w:id="53"/>
    </w:p>
    <w:p>
      <w:pPr>
        <w:spacing w:line="600" w:lineRule="exact"/>
        <w:ind w:firstLine="640" w:firstLineChars="20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8年，红原人民政府办公室政府采购支出总额0万元，其中：政府采购货物支出0万元、政府采购工程支出0万元、政府采购服务支出0万元。</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54" w:name="_Toc15377224"/>
      <w:r>
        <w:rPr>
          <w:rFonts w:hint="eastAsia" w:ascii="仿宋" w:hAnsi="仿宋" w:eastAsia="仿宋"/>
          <w:b/>
          <w:color w:val="000000"/>
          <w:sz w:val="32"/>
          <w:szCs w:val="32"/>
        </w:rPr>
        <w:t>（三）国有资产占有使用情况</w:t>
      </w:r>
      <w:bookmarkEnd w:id="54"/>
    </w:p>
    <w:p>
      <w:pPr>
        <w:spacing w:line="600" w:lineRule="exact"/>
        <w:ind w:firstLine="640"/>
        <w:rPr>
          <w:rFonts w:ascii="仿宋_GB2312" w:eastAsia="仿宋_GB2312"/>
          <w:color w:val="00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201</w:t>
      </w:r>
      <w:r>
        <w:rPr>
          <w:rFonts w:hint="eastAsia" w:ascii="仿宋_GB2312" w:eastAsia="仿宋_GB2312"/>
          <w:color w:val="000000"/>
          <w:sz w:val="32"/>
          <w:szCs w:val="32"/>
        </w:rPr>
        <w:t>8年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日，政府办共有车辆12辆，其中：一般公务用车12辆、</w:t>
      </w:r>
      <w:r>
        <w:rPr>
          <w:rFonts w:hint="eastAsia" w:ascii="仿宋_GB2312" w:eastAsia="仿宋_GB2312"/>
          <w:color w:val="000000" w:themeColor="text1"/>
          <w:sz w:val="32"/>
          <w:szCs w:val="32"/>
        </w:rPr>
        <w:t>主要是用于</w:t>
      </w:r>
      <w:r>
        <w:rPr>
          <w:rFonts w:hint="eastAsia" w:ascii="仿宋_GB2312" w:eastAsia="仿宋_GB2312"/>
          <w:color w:val="000000"/>
          <w:sz w:val="32"/>
          <w:szCs w:val="32"/>
        </w:rPr>
        <w:t>保障日常领导干部出差、下乡、应急抢险救灾、脱贫攻坚、联户联情、两年一进等出差工作。</w:t>
      </w:r>
    </w:p>
    <w:p>
      <w:pPr>
        <w:autoSpaceDE w:val="0"/>
        <w:autoSpaceDN w:val="0"/>
        <w:adjustRightInd w:val="0"/>
        <w:spacing w:line="600" w:lineRule="exact"/>
        <w:ind w:firstLine="640" w:firstLineChars="200"/>
        <w:jc w:val="left"/>
        <w:rPr>
          <w:rFonts w:ascii="仿宋_GB2312" w:eastAsia="仿宋_GB2312"/>
          <w:color w:val="000000"/>
          <w:sz w:val="32"/>
          <w:szCs w:val="32"/>
        </w:rPr>
      </w:pPr>
      <w:r>
        <w:rPr>
          <w:rFonts w:hint="eastAsia" w:ascii="仿宋_GB2312" w:eastAsia="仿宋_GB2312"/>
          <w:color w:val="000000" w:themeColor="text1"/>
          <w:sz w:val="32"/>
          <w:szCs w:val="32"/>
        </w:rPr>
        <w:t>单价</w:t>
      </w:r>
      <w:r>
        <w:rPr>
          <w:rFonts w:ascii="仿宋_GB2312" w:eastAsia="仿宋_GB2312"/>
          <w:color w:val="000000" w:themeColor="text1"/>
          <w:sz w:val="32"/>
          <w:szCs w:val="32"/>
        </w:rPr>
        <w:t>50</w:t>
      </w:r>
      <w:r>
        <w:rPr>
          <w:rFonts w:hint="eastAsia" w:ascii="仿宋_GB2312" w:eastAsia="仿宋_GB2312"/>
          <w:color w:val="000000" w:themeColor="text1"/>
          <w:sz w:val="32"/>
          <w:szCs w:val="32"/>
        </w:rPr>
        <w:t>万元以上通用设备0辆（套）单价</w:t>
      </w:r>
      <w:r>
        <w:rPr>
          <w:rFonts w:ascii="仿宋_GB2312" w:eastAsia="仿宋_GB2312"/>
          <w:color w:val="000000" w:themeColor="text1"/>
          <w:sz w:val="32"/>
          <w:szCs w:val="32"/>
        </w:rPr>
        <w:t>100</w:t>
      </w:r>
      <w:r>
        <w:rPr>
          <w:rFonts w:hint="eastAsia" w:ascii="仿宋_GB2312" w:eastAsia="仿宋_GB2312"/>
          <w:color w:val="000000"/>
          <w:sz w:val="32"/>
          <w:szCs w:val="32"/>
        </w:rPr>
        <w:t>万元以上专用设备0台（套）。</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r>
        <w:rPr>
          <w:rFonts w:hint="eastAsia" w:ascii="仿宋" w:hAnsi="仿宋" w:eastAsia="仿宋"/>
          <w:b/>
          <w:color w:val="000000"/>
          <w:sz w:val="32"/>
          <w:szCs w:val="32"/>
        </w:rPr>
        <w:t>（数据来源财决</w:t>
      </w:r>
      <w:r>
        <w:rPr>
          <w:rFonts w:ascii="仿宋" w:hAnsi="仿宋" w:eastAsia="仿宋"/>
          <w:b/>
          <w:color w:val="000000"/>
          <w:sz w:val="32"/>
          <w:szCs w:val="32"/>
        </w:rPr>
        <w:t>CS05</w:t>
      </w:r>
      <w:r>
        <w:rPr>
          <w:rFonts w:hint="eastAsia" w:ascii="仿宋" w:hAnsi="仿宋" w:eastAsia="仿宋"/>
          <w:b/>
          <w:color w:val="000000"/>
          <w:sz w:val="32"/>
          <w:szCs w:val="32"/>
        </w:rPr>
        <w:t>表，按部门决算报表填报数据罗列车辆情况。）</w:t>
      </w:r>
      <w:r>
        <w:rPr>
          <w:rFonts w:ascii="仿宋_GB2312" w:eastAsia="仿宋_GB2312"/>
          <w:b/>
          <w:color w:val="000000"/>
          <w:sz w:val="32"/>
          <w:szCs w:val="32"/>
        </w:rPr>
        <w:br w:type="page"/>
      </w:r>
    </w:p>
    <w:p>
      <w:pPr>
        <w:numPr>
          <w:ilvl w:val="0"/>
          <w:numId w:val="6"/>
        </w:numPr>
        <w:spacing w:line="600" w:lineRule="exact"/>
        <w:ind w:firstLine="663" w:firstLineChars="150"/>
        <w:jc w:val="center"/>
        <w:outlineLvl w:val="0"/>
        <w:rPr>
          <w:rStyle w:val="26"/>
          <w:rFonts w:ascii="黑体" w:hAnsi="黑体" w:eastAsia="黑体"/>
          <w:b w:val="0"/>
        </w:rPr>
      </w:pPr>
      <w:bookmarkStart w:id="55" w:name="_Toc15377225"/>
      <w:bookmarkStart w:id="56" w:name="_Toc15396613"/>
      <w:r>
        <w:rPr>
          <w:rFonts w:hint="eastAsia" w:ascii="黑体" w:hAnsi="黑体" w:eastAsia="黑体"/>
          <w:b/>
          <w:color w:val="000000"/>
          <w:sz w:val="44"/>
          <w:szCs w:val="44"/>
        </w:rPr>
        <w:t>名</w:t>
      </w:r>
      <w:r>
        <w:rPr>
          <w:rStyle w:val="26"/>
          <w:rFonts w:hint="eastAsia" w:ascii="黑体" w:hAnsi="黑体" w:eastAsia="黑体"/>
          <w:b w:val="0"/>
        </w:rPr>
        <w:t>词解释</w:t>
      </w:r>
      <w:bookmarkEnd w:id="55"/>
      <w:bookmarkEnd w:id="56"/>
    </w:p>
    <w:p>
      <w:pPr>
        <w:spacing w:line="600" w:lineRule="exact"/>
        <w:jc w:val="left"/>
        <w:rPr>
          <w:rFonts w:ascii="宋体"/>
          <w:b/>
          <w:color w:val="000000"/>
          <w:sz w:val="44"/>
          <w:szCs w:val="44"/>
        </w:rPr>
      </w:pPr>
    </w:p>
    <w:p>
      <w:pPr>
        <w:pStyle w:val="24"/>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1.</w:t>
      </w:r>
      <w:r>
        <w:rPr>
          <w:rFonts w:hint="eastAsia" w:ascii="仿宋_GB2312" w:eastAsia="仿宋_GB2312"/>
          <w:color w:val="auto"/>
          <w:sz w:val="32"/>
          <w:szCs w:val="32"/>
        </w:rPr>
        <w:t>财政拨款收入：指单位从同级财政部门取得的财政预算资金。</w:t>
      </w:r>
    </w:p>
    <w:p>
      <w:pPr>
        <w:pStyle w:val="24"/>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2.</w:t>
      </w:r>
      <w:r>
        <w:rPr>
          <w:rFonts w:hint="eastAsia" w:ascii="仿宋_GB2312" w:eastAsia="仿宋_GB2312"/>
          <w:color w:val="auto"/>
          <w:sz w:val="32"/>
          <w:szCs w:val="32"/>
        </w:rPr>
        <w:t>事业收入：指事业单位开展专业业务活动及辅助活动取得的收入。</w:t>
      </w:r>
    </w:p>
    <w:p>
      <w:pPr>
        <w:pStyle w:val="24"/>
        <w:spacing w:line="560" w:lineRule="exact"/>
        <w:ind w:firstLine="640" w:firstLineChars="200"/>
        <w:rPr>
          <w:rFonts w:ascii="仿宋_GB2312" w:eastAsia="仿宋_GB2312"/>
          <w:color w:val="auto"/>
          <w:sz w:val="32"/>
          <w:szCs w:val="32"/>
        </w:rPr>
      </w:pPr>
      <w:r>
        <w:rPr>
          <w:rFonts w:hint="eastAsia" w:ascii="仿宋_GB2312" w:eastAsia="仿宋_GB2312"/>
          <w:color w:val="auto"/>
          <w:sz w:val="32"/>
          <w:szCs w:val="32"/>
        </w:rPr>
        <w:t>3.政府性基金收入：指各级政府及其所属部门根据法律、行政法规规定并经国务院或财政部批准，向公民、法人和其他组织征收的政府性基金，以及参照政府性基金管理或纳入基金预算、具有特定用途的财政资金。</w:t>
      </w:r>
    </w:p>
    <w:p>
      <w:pPr>
        <w:pStyle w:val="24"/>
        <w:spacing w:line="560" w:lineRule="exact"/>
        <w:ind w:firstLine="640" w:firstLineChars="200"/>
        <w:rPr>
          <w:rFonts w:ascii="仿宋_GB2312" w:eastAsia="仿宋_GB2312"/>
          <w:color w:val="auto"/>
          <w:sz w:val="32"/>
          <w:szCs w:val="32"/>
        </w:rPr>
      </w:pPr>
      <w:r>
        <w:rPr>
          <w:rFonts w:hint="eastAsia" w:ascii="仿宋_GB2312" w:eastAsia="仿宋_GB2312"/>
          <w:color w:val="auto"/>
          <w:sz w:val="32"/>
          <w:szCs w:val="32"/>
        </w:rPr>
        <w:t>4</w:t>
      </w:r>
      <w:r>
        <w:rPr>
          <w:rFonts w:ascii="仿宋_GB2312" w:eastAsia="仿宋_GB2312"/>
          <w:color w:val="auto"/>
          <w:sz w:val="32"/>
          <w:szCs w:val="32"/>
        </w:rPr>
        <w:t>.</w:t>
      </w:r>
      <w:r>
        <w:rPr>
          <w:rFonts w:hint="eastAsia" w:ascii="仿宋_GB2312" w:eastAsia="仿宋_GB2312"/>
          <w:color w:val="auto"/>
          <w:sz w:val="32"/>
          <w:szCs w:val="32"/>
        </w:rPr>
        <w:t>经营收入：指事业单位在专业业务活动及其辅助活动之外开展非独立核算经营活动取得的收入。</w:t>
      </w:r>
    </w:p>
    <w:p>
      <w:pPr>
        <w:pStyle w:val="24"/>
        <w:spacing w:line="560" w:lineRule="exact"/>
        <w:ind w:firstLine="640" w:firstLineChars="200"/>
        <w:rPr>
          <w:rFonts w:ascii="仿宋_GB2312" w:eastAsia="仿宋_GB2312"/>
          <w:color w:val="auto"/>
          <w:sz w:val="32"/>
          <w:szCs w:val="32"/>
        </w:rPr>
      </w:pPr>
      <w:r>
        <w:rPr>
          <w:rFonts w:hint="eastAsia" w:ascii="仿宋_GB2312" w:eastAsia="仿宋_GB2312"/>
          <w:color w:val="auto"/>
          <w:sz w:val="32"/>
          <w:szCs w:val="32"/>
        </w:rPr>
        <w:t>5</w:t>
      </w:r>
      <w:r>
        <w:rPr>
          <w:rFonts w:ascii="仿宋_GB2312" w:eastAsia="仿宋_GB2312"/>
          <w:color w:val="auto"/>
          <w:sz w:val="32"/>
          <w:szCs w:val="32"/>
        </w:rPr>
        <w:t>.</w:t>
      </w:r>
      <w:r>
        <w:rPr>
          <w:rFonts w:hint="eastAsia" w:ascii="仿宋_GB2312" w:eastAsia="仿宋_GB2312"/>
          <w:color w:val="auto"/>
          <w:sz w:val="32"/>
          <w:szCs w:val="32"/>
        </w:rPr>
        <w:t>其他收入：指单位取得的除上述收入以外的各项收入。主要是利息收入。</w:t>
      </w:r>
    </w:p>
    <w:p>
      <w:pPr>
        <w:pStyle w:val="24"/>
        <w:spacing w:line="560" w:lineRule="exact"/>
        <w:ind w:firstLine="640" w:firstLineChars="200"/>
        <w:rPr>
          <w:rFonts w:ascii="仿宋_GB2312" w:eastAsia="仿宋_GB2312"/>
          <w:color w:val="auto"/>
          <w:sz w:val="32"/>
          <w:szCs w:val="32"/>
        </w:rPr>
      </w:pPr>
      <w:r>
        <w:rPr>
          <w:rFonts w:hint="eastAsia" w:ascii="仿宋_GB2312" w:eastAsia="仿宋_GB2312"/>
          <w:color w:val="auto"/>
          <w:sz w:val="32"/>
          <w:szCs w:val="32"/>
        </w:rPr>
        <w:t>6</w:t>
      </w:r>
      <w:r>
        <w:rPr>
          <w:rFonts w:ascii="仿宋_GB2312" w:eastAsia="仿宋_GB2312"/>
          <w:color w:val="auto"/>
          <w:sz w:val="32"/>
          <w:szCs w:val="32"/>
        </w:rPr>
        <w:t>.</w:t>
      </w:r>
      <w:r>
        <w:rPr>
          <w:rFonts w:hint="eastAsia" w:ascii="仿宋_GB2312" w:eastAsia="仿宋_GB2312"/>
          <w:color w:val="auto"/>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p>
    <w:p>
      <w:pPr>
        <w:pStyle w:val="24"/>
        <w:spacing w:line="560" w:lineRule="exact"/>
        <w:ind w:firstLine="640" w:firstLineChars="200"/>
        <w:rPr>
          <w:rFonts w:ascii="仿宋_GB2312" w:eastAsia="仿宋_GB2312"/>
          <w:color w:val="auto"/>
          <w:sz w:val="32"/>
          <w:szCs w:val="32"/>
        </w:rPr>
      </w:pPr>
      <w:r>
        <w:rPr>
          <w:rFonts w:hint="eastAsia" w:ascii="仿宋_GB2312" w:eastAsia="仿宋_GB2312"/>
          <w:color w:val="auto"/>
          <w:sz w:val="32"/>
          <w:szCs w:val="32"/>
        </w:rPr>
        <w:t>7</w:t>
      </w:r>
      <w:r>
        <w:rPr>
          <w:rFonts w:ascii="仿宋_GB2312" w:eastAsia="仿宋_GB2312"/>
          <w:color w:val="auto"/>
          <w:sz w:val="32"/>
          <w:szCs w:val="32"/>
        </w:rPr>
        <w:t>.</w:t>
      </w:r>
      <w:r>
        <w:rPr>
          <w:rFonts w:hint="eastAsia" w:ascii="仿宋_GB2312" w:eastAsia="仿宋_GB2312"/>
          <w:color w:val="auto"/>
          <w:sz w:val="32"/>
          <w:szCs w:val="32"/>
        </w:rPr>
        <w:t>年初结转和结余：指以前年度尚未完成、结转到本年按有关规定继续使用的资金。</w:t>
      </w:r>
    </w:p>
    <w:p>
      <w:pPr>
        <w:pStyle w:val="24"/>
        <w:spacing w:line="560" w:lineRule="exact"/>
        <w:ind w:firstLine="640" w:firstLineChars="200"/>
        <w:rPr>
          <w:rFonts w:ascii="仿宋_GB2312" w:eastAsia="仿宋_GB2312"/>
          <w:color w:val="auto"/>
          <w:sz w:val="32"/>
          <w:szCs w:val="32"/>
        </w:rPr>
      </w:pPr>
      <w:r>
        <w:rPr>
          <w:rFonts w:hint="eastAsia" w:ascii="仿宋_GB2312" w:eastAsia="仿宋_GB2312"/>
          <w:color w:val="auto"/>
          <w:sz w:val="32"/>
          <w:szCs w:val="32"/>
        </w:rPr>
        <w:t>8</w:t>
      </w:r>
      <w:r>
        <w:rPr>
          <w:rFonts w:ascii="仿宋_GB2312" w:eastAsia="仿宋_GB2312"/>
          <w:color w:val="auto"/>
          <w:sz w:val="32"/>
          <w:szCs w:val="32"/>
        </w:rPr>
        <w:t>.</w:t>
      </w:r>
      <w:r>
        <w:rPr>
          <w:rFonts w:hint="eastAsia" w:ascii="仿宋_GB2312" w:eastAsia="仿宋_GB2312"/>
          <w:color w:val="auto"/>
          <w:sz w:val="32"/>
          <w:szCs w:val="32"/>
        </w:rPr>
        <w:t>结余分配：指事业单位按照事业单位会计制度的规定从非财政补助结余中分配的事业基金和职工福利基金等。</w:t>
      </w:r>
    </w:p>
    <w:p>
      <w:pPr>
        <w:pStyle w:val="24"/>
        <w:spacing w:line="560" w:lineRule="exact"/>
        <w:ind w:firstLine="640" w:firstLineChars="200"/>
        <w:rPr>
          <w:rFonts w:ascii="仿宋_GB2312" w:eastAsia="仿宋_GB2312"/>
          <w:color w:val="auto"/>
          <w:sz w:val="32"/>
          <w:szCs w:val="32"/>
        </w:rPr>
      </w:pPr>
      <w:r>
        <w:rPr>
          <w:rFonts w:hint="eastAsia" w:ascii="仿宋_GB2312" w:eastAsia="仿宋_GB2312"/>
          <w:color w:val="auto"/>
          <w:sz w:val="32"/>
          <w:szCs w:val="32"/>
        </w:rPr>
        <w:t>9、年末结转和结余：指单位按有关规定结转到下年或以后年度继续使用的资金。</w:t>
      </w:r>
    </w:p>
    <w:p>
      <w:pPr>
        <w:ind w:firstLine="640" w:firstLineChars="200"/>
        <w:rPr>
          <w:rFonts w:ascii="仿宋_GB2312" w:eastAsia="仿宋_GB2312"/>
          <w:sz w:val="32"/>
          <w:szCs w:val="32"/>
        </w:rPr>
      </w:pPr>
      <w:r>
        <w:rPr>
          <w:rFonts w:hint="eastAsia" w:ascii="仿宋_GB2312" w:eastAsia="仿宋_GB2312"/>
          <w:sz w:val="32"/>
          <w:szCs w:val="32"/>
        </w:rPr>
        <w:t>10</w:t>
      </w:r>
      <w:r>
        <w:rPr>
          <w:rFonts w:ascii="仿宋_GB2312" w:eastAsia="仿宋_GB2312"/>
          <w:sz w:val="32"/>
          <w:szCs w:val="32"/>
        </w:rPr>
        <w:t>.</w:t>
      </w:r>
      <w:r>
        <w:rPr>
          <w:rFonts w:hint="eastAsia" w:ascii="仿宋_GB2312" w:eastAsia="仿宋_GB2312"/>
          <w:sz w:val="32"/>
          <w:szCs w:val="32"/>
        </w:rPr>
        <w:t>社会保障和就业：指政府在社会保障与就业方面的支出。</w:t>
      </w:r>
    </w:p>
    <w:p>
      <w:pPr>
        <w:pStyle w:val="13"/>
        <w:ind w:left="0" w:leftChars="0" w:firstLine="640"/>
        <w:rPr>
          <w:rFonts w:eastAsia="仿宋_GB2312"/>
        </w:rPr>
      </w:pPr>
      <w:r>
        <w:rPr>
          <w:rFonts w:hint="eastAsia" w:ascii="仿宋_GB2312" w:eastAsia="仿宋_GB2312"/>
          <w:sz w:val="32"/>
          <w:szCs w:val="32"/>
        </w:rPr>
        <w:t>11.行政事业单位医疗：指行政事业单位医疗方面的支出。</w:t>
      </w:r>
    </w:p>
    <w:p>
      <w:pPr>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2</w:t>
      </w:r>
      <w:r>
        <w:rPr>
          <w:rFonts w:ascii="仿宋_GB2312" w:eastAsia="仿宋_GB2312"/>
          <w:sz w:val="32"/>
          <w:szCs w:val="32"/>
        </w:rPr>
        <w:t>.</w:t>
      </w:r>
      <w:r>
        <w:rPr>
          <w:rFonts w:hint="eastAsia" w:ascii="仿宋_GB2312" w:eastAsia="仿宋_GB2312"/>
          <w:sz w:val="32"/>
          <w:szCs w:val="32"/>
        </w:rPr>
        <w:t>国土资源事务：指国土资源管理等方面的支出。</w:t>
      </w:r>
    </w:p>
    <w:p>
      <w:pPr>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3</w:t>
      </w:r>
      <w:r>
        <w:rPr>
          <w:rFonts w:ascii="仿宋_GB2312" w:eastAsia="仿宋_GB2312"/>
          <w:sz w:val="32"/>
          <w:szCs w:val="32"/>
        </w:rPr>
        <w:t>.</w:t>
      </w:r>
      <w:r>
        <w:rPr>
          <w:rFonts w:hint="eastAsia" w:ascii="仿宋_GB2312" w:eastAsia="仿宋_GB2312"/>
          <w:sz w:val="32"/>
          <w:szCs w:val="32"/>
        </w:rPr>
        <w:t>行政运行：指行政单位（包括实行公务员管理的事业单位）的基本支出。</w:t>
      </w:r>
    </w:p>
    <w:p>
      <w:pPr>
        <w:ind w:firstLine="640" w:firstLineChars="200"/>
        <w:rPr>
          <w:rFonts w:ascii="仿宋_GB2312" w:eastAsia="仿宋_GB2312"/>
          <w:sz w:val="32"/>
          <w:szCs w:val="32"/>
        </w:rPr>
      </w:pPr>
      <w:r>
        <w:rPr>
          <w:rFonts w:hint="eastAsia" w:ascii="仿宋_GB2312" w:eastAsia="仿宋_GB2312"/>
          <w:sz w:val="32"/>
          <w:szCs w:val="32"/>
        </w:rPr>
        <w:t>14.事业运行：指事业单位的基本支出，不包括行政单位（包括实行公务员管理的事业单位）后勤服务中兴、医务室等附属事业单位。</w:t>
      </w:r>
    </w:p>
    <w:p>
      <w:pPr>
        <w:ind w:firstLine="640" w:firstLineChars="200"/>
        <w:rPr>
          <w:rFonts w:ascii="仿宋_GB2312" w:eastAsia="仿宋_GB2312"/>
          <w:sz w:val="32"/>
          <w:szCs w:val="32"/>
        </w:rPr>
      </w:pPr>
      <w:r>
        <w:rPr>
          <w:rFonts w:hint="eastAsia" w:ascii="仿宋_GB2312" w:eastAsia="仿宋_GB2312"/>
          <w:sz w:val="32"/>
          <w:szCs w:val="32"/>
        </w:rPr>
        <w:t>15.住房保障支出：指集中反映政府用于住房方面的支出。</w:t>
      </w:r>
    </w:p>
    <w:p>
      <w:pPr>
        <w:ind w:firstLine="640" w:firstLineChars="200"/>
        <w:rPr>
          <w:rFonts w:ascii="仿宋_GB2312" w:eastAsia="仿宋_GB2312"/>
          <w:sz w:val="32"/>
          <w:szCs w:val="32"/>
        </w:rPr>
      </w:pPr>
      <w:r>
        <w:rPr>
          <w:rFonts w:hint="eastAsia" w:ascii="仿宋_GB2312" w:eastAsia="仿宋_GB2312"/>
          <w:sz w:val="32"/>
          <w:szCs w:val="32"/>
        </w:rPr>
        <w:t>16.住房公积金：指反映行政事业单位按人力资源和社会保障部、财政部规定的基本工资和津贴补贴以及规定比例为职工缴纳的住房公积金。</w:t>
      </w:r>
    </w:p>
    <w:p>
      <w:pPr>
        <w:ind w:firstLine="640" w:firstLineChars="200"/>
        <w:rPr>
          <w:rFonts w:ascii="仿宋_GB2312" w:eastAsia="仿宋_GB2312"/>
          <w:sz w:val="32"/>
          <w:szCs w:val="32"/>
        </w:rPr>
      </w:pPr>
      <w:r>
        <w:rPr>
          <w:rFonts w:hint="eastAsia" w:ascii="仿宋_GB2312" w:eastAsia="仿宋_GB2312"/>
          <w:sz w:val="32"/>
          <w:szCs w:val="32"/>
        </w:rPr>
        <w:t>17</w:t>
      </w:r>
      <w:r>
        <w:rPr>
          <w:rFonts w:ascii="仿宋_GB2312" w:eastAsia="仿宋_GB2312"/>
          <w:sz w:val="32"/>
          <w:szCs w:val="32"/>
        </w:rPr>
        <w:t>.</w:t>
      </w:r>
      <w:r>
        <w:rPr>
          <w:rFonts w:hint="eastAsia" w:ascii="仿宋_GB2312" w:eastAsia="仿宋_GB2312"/>
          <w:sz w:val="32"/>
          <w:szCs w:val="32"/>
        </w:rPr>
        <w:t>城乡社区支出：指政府城乡社区事务支出。</w:t>
      </w:r>
    </w:p>
    <w:p>
      <w:pPr>
        <w:ind w:firstLine="640" w:firstLineChars="200"/>
        <w:rPr>
          <w:rFonts w:ascii="仿宋_GB2312" w:eastAsia="仿宋_GB2312"/>
          <w:sz w:val="32"/>
          <w:szCs w:val="32"/>
        </w:rPr>
      </w:pPr>
      <w:r>
        <w:rPr>
          <w:rFonts w:hint="eastAsia" w:ascii="仿宋_GB2312" w:eastAsia="仿宋_GB2312"/>
          <w:sz w:val="32"/>
          <w:szCs w:val="32"/>
        </w:rPr>
        <w:t>18</w:t>
      </w:r>
      <w:r>
        <w:rPr>
          <w:rFonts w:ascii="仿宋_GB2312" w:eastAsia="仿宋_GB2312"/>
          <w:sz w:val="32"/>
          <w:szCs w:val="32"/>
        </w:rPr>
        <w:t>.</w:t>
      </w:r>
      <w:r>
        <w:rPr>
          <w:rFonts w:hint="eastAsia" w:ascii="仿宋_GB2312" w:eastAsia="仿宋_GB2312"/>
          <w:sz w:val="32"/>
          <w:szCs w:val="32"/>
        </w:rPr>
        <w:t>国土海洋气象等支出：指政府用于国土资源、海洋、测绘、地震、气象等公益服务事业方面的支出。</w:t>
      </w:r>
    </w:p>
    <w:p>
      <w:pPr>
        <w:ind w:firstLine="640" w:firstLineChars="200"/>
        <w:rPr>
          <w:rFonts w:ascii="仿宋_GB2312" w:eastAsia="仿宋_GB2312"/>
          <w:sz w:val="32"/>
          <w:szCs w:val="32"/>
        </w:rPr>
      </w:pPr>
      <w:r>
        <w:rPr>
          <w:rFonts w:hint="eastAsia" w:ascii="仿宋_GB2312" w:eastAsia="仿宋_GB2312"/>
          <w:sz w:val="32"/>
          <w:szCs w:val="32"/>
        </w:rPr>
        <w:t>19</w:t>
      </w:r>
      <w:r>
        <w:rPr>
          <w:rFonts w:ascii="仿宋_GB2312" w:eastAsia="仿宋_GB2312"/>
          <w:sz w:val="32"/>
          <w:szCs w:val="32"/>
        </w:rPr>
        <w:t>.</w:t>
      </w:r>
      <w:r>
        <w:rPr>
          <w:rFonts w:hint="eastAsia" w:ascii="仿宋_GB2312" w:eastAsia="仿宋_GB2312"/>
          <w:sz w:val="32"/>
          <w:szCs w:val="32"/>
        </w:rPr>
        <w:t>一般行政管理事务：指行政单位（包括实行公务员管理的事业单位）未单独设置项级科目的其他项目支出。</w:t>
      </w:r>
    </w:p>
    <w:p>
      <w:pPr>
        <w:ind w:firstLine="640" w:firstLineChars="200"/>
        <w:rPr>
          <w:rFonts w:ascii="仿宋_GB2312" w:eastAsia="仿宋_GB2312"/>
          <w:sz w:val="32"/>
          <w:szCs w:val="32"/>
        </w:rPr>
      </w:pPr>
      <w:r>
        <w:rPr>
          <w:rFonts w:hint="eastAsia" w:ascii="仿宋_GB2312" w:eastAsia="仿宋_GB2312"/>
          <w:sz w:val="32"/>
          <w:szCs w:val="32"/>
        </w:rPr>
        <w:t>20</w:t>
      </w:r>
      <w:r>
        <w:rPr>
          <w:rFonts w:ascii="仿宋_GB2312" w:eastAsia="仿宋_GB2312"/>
          <w:sz w:val="32"/>
          <w:szCs w:val="32"/>
        </w:rPr>
        <w:t>.</w:t>
      </w:r>
      <w:r>
        <w:rPr>
          <w:rFonts w:hint="eastAsia" w:ascii="仿宋_GB2312" w:eastAsia="仿宋_GB2312"/>
          <w:sz w:val="32"/>
          <w:szCs w:val="32"/>
        </w:rPr>
        <w:t>地质灾害防治：指地质灾害防治项目支出。</w:t>
      </w:r>
    </w:p>
    <w:p>
      <w:pPr>
        <w:ind w:firstLine="640" w:firstLineChars="200"/>
        <w:rPr>
          <w:rFonts w:ascii="仿宋_GB2312" w:eastAsia="仿宋_GB2312"/>
          <w:sz w:val="32"/>
          <w:szCs w:val="32"/>
        </w:rPr>
      </w:pPr>
      <w:r>
        <w:rPr>
          <w:rFonts w:hint="eastAsia" w:ascii="仿宋_GB2312" w:eastAsia="仿宋_GB2312"/>
          <w:sz w:val="32"/>
          <w:szCs w:val="32"/>
        </w:rPr>
        <w:t>21</w:t>
      </w:r>
      <w:r>
        <w:rPr>
          <w:rFonts w:ascii="仿宋_GB2312" w:eastAsia="仿宋_GB2312"/>
          <w:sz w:val="32"/>
          <w:szCs w:val="32"/>
        </w:rPr>
        <w:t>.</w:t>
      </w:r>
      <w:r>
        <w:rPr>
          <w:rFonts w:hint="eastAsia" w:ascii="仿宋_GB2312" w:eastAsia="仿宋_GB2312"/>
          <w:sz w:val="32"/>
          <w:szCs w:val="32"/>
        </w:rPr>
        <w:t>地震监测：指地震和火山监测台站、台网等设施建设与运行维护，观测设备的购置、维护和技术升级，地震观测工作等方面的支出。</w:t>
      </w:r>
    </w:p>
    <w:p>
      <w:pPr>
        <w:ind w:firstLine="640" w:firstLineChars="200"/>
        <w:rPr>
          <w:rFonts w:ascii="仿宋_GB2312" w:eastAsia="仿宋_GB2312"/>
          <w:sz w:val="32"/>
          <w:szCs w:val="32"/>
        </w:rPr>
      </w:pPr>
      <w:r>
        <w:rPr>
          <w:rFonts w:hint="eastAsia" w:ascii="仿宋_GB2312" w:eastAsia="仿宋_GB2312"/>
          <w:sz w:val="32"/>
          <w:szCs w:val="32"/>
        </w:rPr>
        <w:t>22</w:t>
      </w:r>
      <w:r>
        <w:rPr>
          <w:rFonts w:ascii="仿宋_GB2312" w:eastAsia="仿宋_GB2312"/>
          <w:sz w:val="32"/>
          <w:szCs w:val="32"/>
        </w:rPr>
        <w:t>.</w:t>
      </w:r>
      <w:r>
        <w:rPr>
          <w:rFonts w:hint="eastAsia" w:ascii="仿宋_GB2312" w:eastAsia="仿宋_GB2312"/>
          <w:sz w:val="32"/>
          <w:szCs w:val="32"/>
        </w:rPr>
        <w:t>其他国土海洋气象等支出：指其他用于国土海洋气象等方面的支出。</w:t>
      </w:r>
    </w:p>
    <w:p>
      <w:pPr>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3</w:t>
      </w:r>
      <w:r>
        <w:rPr>
          <w:rFonts w:ascii="仿宋_GB2312" w:eastAsia="仿宋_GB2312"/>
          <w:sz w:val="32"/>
          <w:szCs w:val="32"/>
        </w:rPr>
        <w:t>.</w:t>
      </w:r>
      <w:r>
        <w:rPr>
          <w:rFonts w:hint="eastAsia" w:ascii="仿宋_GB2312" w:eastAsia="仿宋_GB2312"/>
          <w:sz w:val="32"/>
          <w:szCs w:val="32"/>
        </w:rPr>
        <w:t>基本支出：指为保障机构正常运转、完成日常工作任务而发生的人员支出和公用支出。</w:t>
      </w:r>
    </w:p>
    <w:p>
      <w:pPr>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4</w:t>
      </w:r>
      <w:r>
        <w:rPr>
          <w:rFonts w:ascii="仿宋_GB2312" w:eastAsia="仿宋_GB2312"/>
          <w:sz w:val="32"/>
          <w:szCs w:val="32"/>
        </w:rPr>
        <w:t>.</w:t>
      </w:r>
      <w:r>
        <w:rPr>
          <w:rFonts w:hint="eastAsia" w:ascii="仿宋_GB2312" w:eastAsia="仿宋_GB2312"/>
          <w:sz w:val="32"/>
          <w:szCs w:val="32"/>
        </w:rPr>
        <w:t>项目支出：指在基本支出之外为完成特定行政任务和事业发展目标所发生的支出。</w:t>
      </w:r>
    </w:p>
    <w:p>
      <w:pPr>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5</w:t>
      </w:r>
      <w:r>
        <w:rPr>
          <w:rFonts w:ascii="仿宋_GB2312" w:eastAsia="仿宋_GB2312"/>
          <w:sz w:val="32"/>
          <w:szCs w:val="32"/>
        </w:rPr>
        <w:t>.</w:t>
      </w:r>
      <w:r>
        <w:rPr>
          <w:rFonts w:hint="eastAsia" w:ascii="仿宋_GB2312" w:eastAsia="仿宋_GB2312"/>
          <w:sz w:val="32"/>
          <w:szCs w:val="32"/>
        </w:rPr>
        <w:t>经营支出：指事业单位在专业业务活动及其辅助活动之外开展非独立核算经营活动发生的支出。</w:t>
      </w:r>
    </w:p>
    <w:p>
      <w:pPr>
        <w:pStyle w:val="13"/>
        <w:ind w:left="0" w:leftChars="0" w:firstLine="640"/>
        <w:rPr>
          <w:rFonts w:eastAsia="仿宋_GB2312"/>
        </w:rPr>
      </w:pPr>
      <w:r>
        <w:rPr>
          <w:rFonts w:hint="eastAsia" w:ascii="仿宋_GB2312" w:eastAsia="仿宋_GB2312"/>
          <w:sz w:val="32"/>
          <w:szCs w:val="32"/>
        </w:rPr>
        <w:t>26.对个人和家庭的补助：指政府用于对个人和家庭的补助支出。</w:t>
      </w:r>
    </w:p>
    <w:p>
      <w:pPr>
        <w:pStyle w:val="24"/>
        <w:spacing w:line="560" w:lineRule="exact"/>
        <w:ind w:firstLine="640" w:firstLineChars="200"/>
        <w:rPr>
          <w:rFonts w:ascii="仿宋_GB2312" w:eastAsia="仿宋_GB2312"/>
          <w:color w:val="auto"/>
          <w:sz w:val="32"/>
          <w:szCs w:val="32"/>
        </w:rPr>
      </w:pPr>
      <w:r>
        <w:rPr>
          <w:rFonts w:hint="eastAsia" w:ascii="仿宋_GB2312" w:eastAsia="仿宋_GB2312"/>
          <w:color w:val="auto"/>
          <w:sz w:val="32"/>
          <w:szCs w:val="32"/>
        </w:rPr>
        <w:t>27</w:t>
      </w:r>
      <w:r>
        <w:rPr>
          <w:rFonts w:ascii="仿宋_GB2312" w:eastAsia="仿宋_GB2312"/>
          <w:color w:val="auto"/>
          <w:sz w:val="32"/>
          <w:szCs w:val="32"/>
        </w:rPr>
        <w:t>.</w:t>
      </w:r>
      <w:r>
        <w:rPr>
          <w:rFonts w:hint="eastAsia" w:ascii="仿宋_GB2312" w:eastAsia="仿宋_GB2312"/>
          <w:color w:val="auto"/>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4"/>
        <w:spacing w:line="560" w:lineRule="exact"/>
        <w:ind w:firstLine="640" w:firstLineChars="200"/>
        <w:rPr>
          <w:rFonts w:ascii="仿宋_GB2312" w:eastAsia="仿宋_GB2312"/>
          <w:color w:val="auto"/>
          <w:sz w:val="32"/>
          <w:szCs w:val="32"/>
        </w:rPr>
      </w:pPr>
      <w:r>
        <w:rPr>
          <w:rFonts w:hint="eastAsia" w:ascii="仿宋_GB2312" w:eastAsia="仿宋_GB2312"/>
          <w:color w:val="auto"/>
          <w:sz w:val="32"/>
          <w:szCs w:val="32"/>
        </w:rPr>
        <w:t>28</w:t>
      </w:r>
      <w:r>
        <w:rPr>
          <w:rFonts w:ascii="仿宋_GB2312" w:eastAsia="仿宋_GB2312"/>
          <w:color w:val="auto"/>
          <w:sz w:val="32"/>
          <w:szCs w:val="32"/>
        </w:rPr>
        <w:t>.</w:t>
      </w:r>
      <w:r>
        <w:rPr>
          <w:rFonts w:hint="eastAsia" w:ascii="仿宋_GB2312" w:eastAsia="仿宋_GB2312"/>
          <w:color w:val="auto"/>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24"/>
        <w:spacing w:line="560" w:lineRule="exact"/>
        <w:ind w:firstLine="640" w:firstLineChars="200"/>
        <w:rPr>
          <w:rFonts w:ascii="仿宋_GB2312" w:eastAsia="仿宋_GB2312"/>
          <w:color w:val="auto"/>
          <w:sz w:val="32"/>
          <w:szCs w:val="32"/>
        </w:rPr>
      </w:pPr>
      <w:r>
        <w:rPr>
          <w:rFonts w:hint="eastAsia" w:ascii="仿宋_GB2312" w:eastAsia="仿宋_GB2312"/>
          <w:color w:val="auto"/>
          <w:sz w:val="32"/>
          <w:szCs w:val="32"/>
        </w:rPr>
        <w:t>29.委托业务费：指因委托外单位办理业务而支付的委托业务费。</w:t>
      </w:r>
    </w:p>
    <w:p>
      <w:pPr>
        <w:spacing w:line="600" w:lineRule="exact"/>
        <w:ind w:firstLine="640" w:firstLineChars="200"/>
        <w:rPr>
          <w:rFonts w:ascii="仿宋" w:hAnsi="仿宋" w:eastAsia="仿宋"/>
          <w:b/>
          <w:color w:val="000000"/>
          <w:sz w:val="32"/>
          <w:szCs w:val="32"/>
        </w:rPr>
      </w:pPr>
      <w:r>
        <w:rPr>
          <w:rFonts w:hint="eastAsia" w:ascii="仿宋_GB2312" w:eastAsia="仿宋_GB2312"/>
          <w:color w:val="000000"/>
          <w:sz w:val="32"/>
          <w:szCs w:val="32"/>
        </w:rPr>
        <w:t>30</w:t>
      </w:r>
      <w:r>
        <w:rPr>
          <w:rFonts w:ascii="仿宋_GB2312" w:eastAsia="仿宋_GB2312"/>
          <w:color w:val="000000"/>
          <w:sz w:val="32"/>
          <w:szCs w:val="32"/>
        </w:rPr>
        <w:t>.</w:t>
      </w:r>
      <w:r>
        <w:rPr>
          <w:rFonts w:hint="eastAsia" w:ascii="仿宋_GB2312" w:eastAsia="仿宋_GB2312"/>
          <w:color w:val="000000"/>
          <w:sz w:val="32"/>
          <w:szCs w:val="32"/>
        </w:rPr>
        <w:t>基本支出：指为保障机构正常运转、完成日常工作任务而发生的人员支出和公用支出。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31</w:t>
      </w:r>
      <w:r>
        <w:rPr>
          <w:rFonts w:ascii="仿宋_GB2312" w:eastAsia="仿宋_GB2312"/>
          <w:color w:val="000000"/>
          <w:sz w:val="32"/>
          <w:szCs w:val="32"/>
        </w:rPr>
        <w:t>.</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32</w:t>
      </w:r>
      <w:r>
        <w:rPr>
          <w:rFonts w:ascii="仿宋_GB2312" w:eastAsia="仿宋_GB2312"/>
          <w:color w:val="000000"/>
          <w:sz w:val="32"/>
          <w:szCs w:val="32"/>
        </w:rPr>
        <w:t>.</w:t>
      </w:r>
      <w:r>
        <w:rPr>
          <w:rFonts w:hint="eastAsia" w:ascii="仿宋_GB2312" w:eastAsia="仿宋_GB2312"/>
          <w:color w:val="000000"/>
          <w:sz w:val="32"/>
          <w:szCs w:val="32"/>
        </w:rPr>
        <w:t>经营支出：指事业单位在专业业务活动及其辅助活动之外开展非独立核算经营活动发生的支出。</w:t>
      </w:r>
    </w:p>
    <w:p>
      <w:pPr>
        <w:pStyle w:val="24"/>
        <w:spacing w:line="560" w:lineRule="exact"/>
        <w:ind w:firstLine="640" w:firstLineChars="200"/>
        <w:rPr>
          <w:rFonts w:ascii="仿宋_GB2312" w:eastAsia="仿宋_GB2312"/>
          <w:sz w:val="32"/>
          <w:szCs w:val="32"/>
        </w:rPr>
      </w:pPr>
      <w:r>
        <w:rPr>
          <w:rFonts w:hint="eastAsia" w:ascii="仿宋_GB2312" w:eastAsia="仿宋_GB2312"/>
          <w:sz w:val="32"/>
          <w:szCs w:val="32"/>
        </w:rPr>
        <w:t>33</w:t>
      </w:r>
      <w:r>
        <w:rPr>
          <w:rFonts w:ascii="仿宋_GB2312" w:eastAsia="仿宋_GB2312"/>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4"/>
        <w:spacing w:line="560" w:lineRule="exact"/>
        <w:ind w:firstLine="640" w:firstLineChars="200"/>
        <w:rPr>
          <w:rFonts w:ascii="仿宋_GB2312" w:eastAsia="仿宋_GB2312"/>
          <w:sz w:val="32"/>
          <w:szCs w:val="32"/>
        </w:rPr>
      </w:pPr>
      <w:r>
        <w:rPr>
          <w:rFonts w:hint="eastAsia" w:ascii="仿宋_GB2312" w:eastAsia="仿宋_GB2312"/>
          <w:sz w:val="32"/>
          <w:szCs w:val="32"/>
        </w:rPr>
        <w:t>34</w:t>
      </w:r>
      <w:r>
        <w:rPr>
          <w:rFonts w:ascii="仿宋_GB2312" w:eastAsia="仿宋_GB2312"/>
          <w:sz w:val="32"/>
          <w:szCs w:val="32"/>
        </w:rPr>
        <w:t>.</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24"/>
        <w:spacing w:line="560" w:lineRule="exact"/>
        <w:ind w:firstLine="883" w:firstLineChars="200"/>
      </w:pPr>
      <w:bookmarkStart w:id="57" w:name="_Toc15377226"/>
      <w:r>
        <w:rPr>
          <w:rFonts w:ascii="宋体"/>
          <w:b/>
          <w:color w:val="000000"/>
          <w:sz w:val="44"/>
          <w:szCs w:val="44"/>
        </w:rPr>
        <w:br w:type="page"/>
      </w:r>
      <w:bookmarkStart w:id="58" w:name="_Toc15396617"/>
    </w:p>
    <w:p>
      <w:pPr>
        <w:spacing w:line="600" w:lineRule="exact"/>
        <w:jc w:val="center"/>
        <w:outlineLvl w:val="0"/>
        <w:rPr>
          <w:rStyle w:val="26"/>
          <w:rFonts w:ascii="黑体" w:hAnsi="黑体" w:eastAsia="黑体"/>
          <w:b w:val="0"/>
        </w:rPr>
      </w:pPr>
      <w:r>
        <w:rPr>
          <w:rFonts w:hint="eastAsia" w:ascii="仿宋_GB2312"/>
          <w:color w:val="000000"/>
        </w:rPr>
        <w:t xml:space="preserve">    </w:t>
      </w:r>
      <w:bookmarkStart w:id="59" w:name="_Toc15396614"/>
      <w:r>
        <w:rPr>
          <w:rFonts w:hint="eastAsia" w:ascii="黑体" w:hAnsi="黑体" w:eastAsia="黑体"/>
          <w:sz w:val="44"/>
          <w:szCs w:val="44"/>
        </w:rPr>
        <w:t>第</w:t>
      </w:r>
      <w:r>
        <w:rPr>
          <w:rStyle w:val="26"/>
          <w:rFonts w:hint="eastAsia" w:ascii="黑体" w:hAnsi="黑体" w:eastAsia="黑体"/>
          <w:b w:val="0"/>
        </w:rPr>
        <w:t>四部分 附件</w:t>
      </w:r>
      <w:bookmarkEnd w:id="59"/>
    </w:p>
    <w:p>
      <w:pPr>
        <w:spacing w:line="600" w:lineRule="exact"/>
        <w:jc w:val="center"/>
        <w:outlineLvl w:val="0"/>
        <w:rPr>
          <w:rStyle w:val="26"/>
        </w:rPr>
      </w:pPr>
    </w:p>
    <w:p>
      <w:pPr>
        <w:spacing w:line="530" w:lineRule="exact"/>
        <w:rPr>
          <w:rFonts w:ascii="仿宋_GB2312" w:eastAsia="仿宋"/>
          <w:sz w:val="32"/>
          <w:szCs w:val="32"/>
        </w:rPr>
      </w:pPr>
      <w:bookmarkStart w:id="60" w:name="_Toc15396615"/>
      <w:r>
        <w:rPr>
          <w:rStyle w:val="26"/>
          <w:rFonts w:hint="eastAsia" w:ascii="仿宋" w:hAnsi="仿宋" w:eastAsia="仿宋"/>
          <w:b w:val="0"/>
          <w:bCs w:val="0"/>
          <w:sz w:val="32"/>
          <w:szCs w:val="32"/>
        </w:rPr>
        <w:t>附件1</w:t>
      </w:r>
      <w:bookmarkEnd w:id="60"/>
      <w:r>
        <w:rPr>
          <w:rStyle w:val="26"/>
          <w:rFonts w:hint="eastAsia" w:ascii="仿宋" w:hAnsi="仿宋" w:eastAsia="仿宋"/>
          <w:b w:val="0"/>
          <w:bCs w:val="0"/>
          <w:sz w:val="32"/>
          <w:szCs w:val="32"/>
        </w:rPr>
        <w:t>：</w:t>
      </w:r>
    </w:p>
    <w:p>
      <w:pPr>
        <w:spacing w:line="140" w:lineRule="exact"/>
      </w:pPr>
      <w:r>
        <w:rPr>
          <w:rFonts w:hint="eastAsia"/>
        </w:rPr>
        <w:t xml:space="preserve"> </w:t>
      </w:r>
    </w:p>
    <w:p>
      <w:pPr>
        <w:spacing w:line="52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红原县人民政府办公室</w:t>
      </w:r>
    </w:p>
    <w:p>
      <w:pPr>
        <w:spacing w:line="52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关于2018年</w:t>
      </w:r>
      <w:r>
        <w:rPr>
          <w:rFonts w:hint="eastAsia" w:ascii="Calibri" w:hAnsi="Calibri" w:eastAsia="方正小标宋简体" w:cs="方正小标宋简体"/>
          <w:sz w:val="44"/>
          <w:szCs w:val="44"/>
        </w:rPr>
        <w:t>整体支出绩效评价情况的报告</w:t>
      </w:r>
    </w:p>
    <w:p>
      <w:pPr>
        <w:spacing w:line="520" w:lineRule="exact"/>
        <w:rPr>
          <w:rFonts w:ascii="仿宋_GB2312" w:hAnsi="仿宋_GB2312" w:cs="仿宋_GB2312"/>
        </w:rPr>
      </w:pPr>
    </w:p>
    <w:p>
      <w:pPr>
        <w:spacing w:line="520" w:lineRule="exact"/>
        <w:rPr>
          <w:rFonts w:ascii="仿宋_GB2312" w:hAnsi="仿宋_GB2312" w:eastAsia="仿宋_GB2312" w:cs="仿宋_GB2312"/>
          <w:sz w:val="30"/>
          <w:szCs w:val="30"/>
        </w:rPr>
      </w:pPr>
      <w:r>
        <w:rPr>
          <w:rFonts w:hint="eastAsia" w:ascii="仿宋_GB2312" w:hAnsi="仿宋_GB2312" w:eastAsia="仿宋_GB2312" w:cs="仿宋_GB2312"/>
          <w:sz w:val="30"/>
          <w:szCs w:val="30"/>
        </w:rPr>
        <w:t>县财政局：</w:t>
      </w:r>
    </w:p>
    <w:p>
      <w:pPr>
        <w:spacing w:line="520" w:lineRule="exact"/>
        <w:ind w:firstLine="640"/>
        <w:rPr>
          <w:rFonts w:ascii="仿宋_GB2312" w:hAnsi="仿宋_GB2312" w:eastAsia="仿宋_GB2312" w:cs="仿宋_GB2312"/>
          <w:sz w:val="30"/>
          <w:szCs w:val="30"/>
        </w:rPr>
      </w:pPr>
      <w:r>
        <w:rPr>
          <w:rFonts w:hint="eastAsia" w:ascii="仿宋_GB2312" w:hAnsi="仿宋_GB2312" w:eastAsia="仿宋_GB2312" w:cs="仿宋_GB2312"/>
          <w:sz w:val="30"/>
          <w:szCs w:val="30"/>
        </w:rPr>
        <w:t>根据《中华人民共和国预算法》《中华人民共和国会计法》和县财政局《关于开展2018年财政支出绩效评价工作的通知》要求，结合我办实际，现将2018年整体支出绩效评价情况报告如下。</w:t>
      </w:r>
    </w:p>
    <w:p>
      <w:pPr>
        <w:spacing w:line="520" w:lineRule="exact"/>
        <w:ind w:firstLine="640"/>
        <w:rPr>
          <w:rFonts w:ascii="仿宋_GB2312" w:hAnsi="黑体" w:eastAsia="仿宋_GB2312" w:cs="黑体"/>
          <w:sz w:val="30"/>
          <w:szCs w:val="30"/>
        </w:rPr>
      </w:pPr>
      <w:r>
        <w:rPr>
          <w:rFonts w:hint="eastAsia" w:ascii="仿宋_GB2312" w:hAnsi="黑体" w:eastAsia="仿宋_GB2312" w:cs="黑体"/>
          <w:sz w:val="30"/>
          <w:szCs w:val="30"/>
        </w:rPr>
        <w:t>一、单位概况</w:t>
      </w:r>
    </w:p>
    <w:p>
      <w:pPr>
        <w:spacing w:line="520" w:lineRule="exact"/>
        <w:ind w:firstLine="640"/>
        <w:rPr>
          <w:rFonts w:ascii="仿宋_GB2312" w:hAnsi="仿宋_GB2312" w:eastAsia="仿宋_GB2312" w:cs="仿宋_GB2312"/>
          <w:sz w:val="30"/>
          <w:szCs w:val="30"/>
        </w:rPr>
      </w:pPr>
      <w:r>
        <w:rPr>
          <w:rFonts w:hint="eastAsia" w:ascii="仿宋_GB2312" w:hAnsi="楷体_GB2312" w:eastAsia="仿宋_GB2312" w:cs="楷体_GB2312"/>
          <w:b/>
          <w:bCs/>
          <w:sz w:val="30"/>
          <w:szCs w:val="30"/>
        </w:rPr>
        <w:t>（一）机构组成。</w:t>
      </w:r>
      <w:r>
        <w:rPr>
          <w:rFonts w:hint="eastAsia" w:ascii="仿宋_GB2312" w:hAnsi="仿宋_GB2312" w:eastAsia="仿宋_GB2312" w:cs="仿宋_GB2312"/>
          <w:sz w:val="30"/>
          <w:szCs w:val="30"/>
        </w:rPr>
        <w:t>我单位为独立核算全额拨行政单位，下属5个事业单位，分别为：红原县政府应急管理办公室（参公），信息化办公室，红原县政府驻成都办事处，红原县政府人防办，红原县政府专职消防队。</w:t>
      </w:r>
    </w:p>
    <w:p>
      <w:pPr>
        <w:spacing w:line="520" w:lineRule="exact"/>
        <w:ind w:firstLine="640"/>
        <w:rPr>
          <w:rFonts w:ascii="仿宋_GB2312" w:hAnsi="仿宋_GB2312" w:eastAsia="仿宋_GB2312" w:cs="仿宋_GB2312"/>
          <w:sz w:val="30"/>
          <w:szCs w:val="30"/>
        </w:rPr>
      </w:pPr>
      <w:r>
        <w:rPr>
          <w:rFonts w:hint="eastAsia" w:ascii="仿宋_GB2312" w:hAnsi="楷体_GB2312" w:eastAsia="仿宋_GB2312" w:cs="楷体_GB2312"/>
          <w:b/>
          <w:bCs/>
          <w:sz w:val="30"/>
          <w:szCs w:val="30"/>
        </w:rPr>
        <w:t>（二）机构职能。</w:t>
      </w:r>
      <w:r>
        <w:rPr>
          <w:rFonts w:hint="eastAsia" w:ascii="仿宋_GB2312" w:hAnsi="仿宋_GB2312" w:eastAsia="仿宋_GB2312" w:cs="仿宋_GB2312"/>
          <w:sz w:val="30"/>
          <w:szCs w:val="30"/>
        </w:rPr>
        <w:t>1.协助县政府领导组织起草或审核以县政府、县政府办公室名义发布的公文。办理州政府、州政府办公室及各州直部门发送县政府的文电。指导全县行政机关公文处理工作。2.研究县政府各部门和各乡镇人民政府请示县政府的事项，提出审核意见，报县政府领导审批。3.负责县政府会议的准备工作，协助县政府领导组织实施会议决定事项。根据县政府领导的指示，对县政府各部门和各乡、镇人民政府间争议问题提出处理意见和建议，报县政府领导决定。4.督促检查县政府各部门和各乡镇人民政府对县政府决定事项及县政府领导指示的贯彻落实情况，及时向县政府领导报告。5.负责县政府值班工作，指导各乡镇人民政府和全县政府各部门值班工作，及时报告重要情况。6.指导、监督全县政府信息公开工作和机关行政效能建设工作，指导、监督全县政府系统电子政务工作和政府网站建设。7.组织办理涉及县政府工作的人大代表议案、批评、建议和政协委员提案、建议工作。8.指导全县应急管理工作，协助县政府领导做好需由县政府组织处理的突发事件的应急处置工作。9.围绕县政府中心工作和县政府领导的指示，组织专题调查研究，及时反映情况，提出政策性建议。10.指导全县政务服务中心建设，组织全县各部门集中开展行政审批和公共服务。11.负责县政府人民防空和民防工作，指导全县人民防空和民防工作。12.负责全县机关事业单位小汽车编制审核报批事项。13.承办县政府和县政府领导交办的其他事项。</w:t>
      </w:r>
    </w:p>
    <w:p>
      <w:pPr>
        <w:spacing w:line="520" w:lineRule="exact"/>
        <w:ind w:firstLine="640"/>
        <w:rPr>
          <w:rFonts w:ascii="仿宋_GB2312" w:hAnsi="仿宋_GB2312" w:eastAsia="仿宋_GB2312" w:cs="仿宋_GB2312"/>
          <w:sz w:val="30"/>
          <w:szCs w:val="30"/>
        </w:rPr>
      </w:pPr>
      <w:r>
        <w:rPr>
          <w:rFonts w:hint="eastAsia" w:ascii="仿宋_GB2312" w:hAnsi="楷体_GB2312" w:eastAsia="仿宋_GB2312" w:cs="楷体_GB2312"/>
          <w:b/>
          <w:bCs/>
          <w:sz w:val="30"/>
          <w:szCs w:val="30"/>
        </w:rPr>
        <w:t>（三）人员概况。</w:t>
      </w:r>
      <w:r>
        <w:rPr>
          <w:rFonts w:hint="eastAsia" w:ascii="仿宋_GB2312" w:hAnsi="仿宋_GB2312" w:eastAsia="仿宋_GB2312" w:cs="仿宋_GB2312"/>
          <w:sz w:val="30"/>
          <w:szCs w:val="30"/>
        </w:rPr>
        <w:t>截止2017年底我单位共有编制63人，其中公务员编制24人，行政工勤编制11人，事业编制22人，参公6人；在职52人，其中公务员21人，行政工勤11人，其中参公5人，事业15人；退休16人。</w:t>
      </w:r>
    </w:p>
    <w:p>
      <w:pPr>
        <w:spacing w:line="520" w:lineRule="exact"/>
        <w:ind w:firstLine="640"/>
        <w:rPr>
          <w:rFonts w:ascii="仿宋_GB2312" w:hAnsi="黑体" w:eastAsia="仿宋_GB2312" w:cs="黑体"/>
          <w:sz w:val="30"/>
          <w:szCs w:val="30"/>
        </w:rPr>
      </w:pPr>
      <w:r>
        <w:rPr>
          <w:rFonts w:hint="eastAsia" w:ascii="仿宋_GB2312" w:hAnsi="黑体" w:eastAsia="仿宋_GB2312" w:cs="黑体"/>
          <w:sz w:val="30"/>
          <w:szCs w:val="30"/>
        </w:rPr>
        <w:t>二、部门财政资金收支情况</w:t>
      </w:r>
    </w:p>
    <w:p>
      <w:pPr>
        <w:spacing w:line="520" w:lineRule="exact"/>
        <w:ind w:firstLine="640"/>
        <w:rPr>
          <w:rFonts w:ascii="仿宋_GB2312" w:hAnsi="仿宋_GB2312" w:eastAsia="仿宋_GB2312" w:cs="仿宋_GB2312"/>
          <w:sz w:val="30"/>
          <w:szCs w:val="30"/>
        </w:rPr>
      </w:pPr>
      <w:r>
        <w:rPr>
          <w:rFonts w:hint="eastAsia" w:ascii="仿宋_GB2312" w:hAnsi="楷体_GB2312" w:eastAsia="仿宋_GB2312" w:cs="楷体_GB2312"/>
          <w:b/>
          <w:bCs/>
          <w:sz w:val="30"/>
          <w:szCs w:val="30"/>
        </w:rPr>
        <w:t>（一）部门财政资金收入情况。</w:t>
      </w:r>
      <w:r>
        <w:rPr>
          <w:rFonts w:hint="eastAsia" w:ascii="仿宋_GB2312" w:hAnsi="仿宋_GB2312" w:eastAsia="仿宋_GB2312" w:cs="仿宋_GB2312"/>
          <w:sz w:val="30"/>
          <w:szCs w:val="30"/>
        </w:rPr>
        <w:t>2017年政府办本年收入合计13,020,408.52元，其中：一般公共预算财政拨款收入13,020,408.52元，占100%；上年结转结余2,722,625.12元。2018年，政府办本年收入合计13983861.32元，其中：一般公共预算财政拨款收入13983861.32元，占100%。项目收入248900元，占18.08 %（上级项目收入40000元，本级项目收入208900元）。上年结转结余20231.69元。</w:t>
      </w:r>
    </w:p>
    <w:p>
      <w:pPr>
        <w:spacing w:line="520" w:lineRule="exact"/>
        <w:ind w:firstLine="640"/>
        <w:rPr>
          <w:rFonts w:ascii="仿宋_GB2312" w:hAnsi="仿宋_GB2312" w:eastAsia="仿宋_GB2312" w:cs="仿宋_GB2312"/>
          <w:sz w:val="30"/>
          <w:szCs w:val="30"/>
        </w:rPr>
      </w:pPr>
      <w:r>
        <w:rPr>
          <w:rFonts w:hint="eastAsia" w:ascii="仿宋_GB2312" w:hAnsi="楷体_GB2312" w:eastAsia="仿宋_GB2312" w:cs="楷体_GB2312"/>
          <w:b/>
          <w:bCs/>
          <w:sz w:val="30"/>
          <w:szCs w:val="30"/>
        </w:rPr>
        <w:t>（二）部门财政资金支出情况。</w:t>
      </w:r>
      <w:r>
        <w:rPr>
          <w:rFonts w:hint="eastAsia" w:ascii="仿宋_GB2312" w:hAnsi="仿宋_GB2312" w:eastAsia="仿宋_GB2312" w:cs="仿宋_GB2312"/>
          <w:sz w:val="30"/>
          <w:szCs w:val="30"/>
        </w:rPr>
        <w:t>2017年，政府办本年支出合计15,458,510.76元，其中：基本支出14,769,754.21元，占95.55%；项目支出688,756.55元，占4.45%。整体支出主要特点：</w:t>
      </w:r>
      <w:r>
        <w:rPr>
          <w:rFonts w:hint="eastAsia" w:ascii="仿宋_GB2312" w:hAnsi="仿宋_GB2312" w:eastAsia="仿宋_GB2312" w:cs="仿宋_GB2312"/>
          <w:b/>
          <w:bCs/>
          <w:sz w:val="30"/>
          <w:szCs w:val="30"/>
        </w:rPr>
        <w:t>一是</w:t>
      </w:r>
      <w:r>
        <w:rPr>
          <w:rFonts w:hint="eastAsia" w:ascii="仿宋_GB2312" w:hAnsi="仿宋_GB2312" w:eastAsia="仿宋_GB2312" w:cs="仿宋_GB2312"/>
          <w:sz w:val="30"/>
          <w:szCs w:val="30"/>
        </w:rPr>
        <w:t>足额保证单位正常运行。工资福利支出750879.5元，一般公用经费支出6,727,317.35元，对个人和家庭的补助支出1,812,506.36元，其他资本性支出1,996,481.55元。</w:t>
      </w:r>
      <w:r>
        <w:rPr>
          <w:rFonts w:hint="eastAsia" w:ascii="仿宋_GB2312" w:hAnsi="仿宋_GB2312" w:eastAsia="仿宋_GB2312" w:cs="仿宋_GB2312"/>
          <w:b/>
          <w:bCs/>
          <w:sz w:val="30"/>
          <w:szCs w:val="30"/>
        </w:rPr>
        <w:t>二是</w:t>
      </w:r>
      <w:r>
        <w:rPr>
          <w:rFonts w:hint="eastAsia" w:ascii="仿宋_GB2312" w:hAnsi="仿宋_GB2312" w:eastAsia="仿宋_GB2312" w:cs="仿宋_GB2312"/>
          <w:sz w:val="30"/>
          <w:szCs w:val="30"/>
        </w:rPr>
        <w:t>项目支出主要用于办公补助，生活补助元153000元，奖励金500000元。2018年1-6月，合计支出6616337.16元。其中：工资福利支出3196247.8元、商品服务支出1500675.86元、个人家庭补助支出1919413.5元。</w:t>
      </w:r>
    </w:p>
    <w:p>
      <w:pPr>
        <w:spacing w:line="520" w:lineRule="exact"/>
        <w:ind w:firstLine="640"/>
        <w:rPr>
          <w:rFonts w:ascii="仿宋_GB2312" w:hAnsi="黑体" w:eastAsia="仿宋_GB2312" w:cs="黑体"/>
          <w:sz w:val="30"/>
          <w:szCs w:val="30"/>
        </w:rPr>
      </w:pPr>
      <w:r>
        <w:rPr>
          <w:rFonts w:hint="eastAsia" w:ascii="仿宋_GB2312" w:hAnsi="黑体" w:eastAsia="仿宋_GB2312" w:cs="黑体"/>
          <w:sz w:val="30"/>
          <w:szCs w:val="30"/>
        </w:rPr>
        <w:t>三、部门财政支出管理情况</w:t>
      </w:r>
    </w:p>
    <w:p>
      <w:pPr>
        <w:spacing w:line="520" w:lineRule="exact"/>
        <w:ind w:firstLine="640"/>
        <w:rPr>
          <w:rFonts w:ascii="仿宋_GB2312" w:hAnsi="仿宋_GB2312" w:eastAsia="仿宋_GB2312" w:cs="仿宋_GB2312"/>
          <w:sz w:val="30"/>
          <w:szCs w:val="30"/>
        </w:rPr>
      </w:pPr>
      <w:r>
        <w:rPr>
          <w:rFonts w:hint="eastAsia" w:ascii="仿宋_GB2312" w:hAnsi="楷体_GB2312" w:eastAsia="仿宋_GB2312" w:cs="楷体_GB2312"/>
          <w:b/>
          <w:bCs/>
          <w:sz w:val="30"/>
          <w:szCs w:val="30"/>
        </w:rPr>
        <w:t>（一）预算编制情况。</w:t>
      </w:r>
      <w:r>
        <w:rPr>
          <w:rFonts w:hint="eastAsia" w:ascii="仿宋_GB2312" w:hAnsi="仿宋_GB2312" w:eastAsia="仿宋_GB2312" w:cs="仿宋_GB2312"/>
          <w:sz w:val="30"/>
          <w:szCs w:val="30"/>
        </w:rPr>
        <w:t xml:space="preserve">严格按照相关规定进行预算编制。 </w:t>
      </w:r>
    </w:p>
    <w:p>
      <w:pPr>
        <w:spacing w:line="520" w:lineRule="exact"/>
        <w:ind w:firstLine="640"/>
        <w:rPr>
          <w:rFonts w:ascii="仿宋_GB2312" w:hAnsi="仿宋_GB2312" w:eastAsia="仿宋_GB2312" w:cs="仿宋_GB2312"/>
          <w:sz w:val="30"/>
          <w:szCs w:val="30"/>
        </w:rPr>
      </w:pPr>
      <w:r>
        <w:rPr>
          <w:rFonts w:hint="eastAsia" w:ascii="仿宋_GB2312" w:hAnsi="楷体_GB2312" w:eastAsia="仿宋_GB2312" w:cs="楷体_GB2312"/>
          <w:b/>
          <w:bCs/>
          <w:sz w:val="30"/>
          <w:szCs w:val="30"/>
        </w:rPr>
        <w:t>（二）执行管理情况。</w:t>
      </w:r>
      <w:r>
        <w:rPr>
          <w:rFonts w:hint="eastAsia" w:ascii="仿宋_GB2312" w:hAnsi="仿宋_GB2312" w:eastAsia="仿宋_GB2312" w:cs="仿宋_GB2312"/>
          <w:sz w:val="30"/>
          <w:szCs w:val="30"/>
        </w:rPr>
        <w:t>部门预算执行到位，严格按照预算管理进行支付并做到节能降耗，“三公”经费严格按照年初预算执行。“三公”经费支出情况：1.无因公出国（境）经费支出。 2.公务用车运行维护费支出2,257,139.37元。主要用于日常公务等所需的公务用车燃料费、维修费、过路过桥费、保险费等支出。3.公务接待费支出50000元。主要用于执行公务、开展业务活动开支的住宿费、用餐费等。国内公务接待166批次，1933人次，共计支出50000元，具体接待内容包括：接待用住宿费、餐费。</w:t>
      </w:r>
    </w:p>
    <w:p>
      <w:pPr>
        <w:spacing w:line="520" w:lineRule="exact"/>
        <w:ind w:firstLine="640"/>
        <w:rPr>
          <w:rFonts w:ascii="仿宋_GB2312" w:hAnsi="仿宋_GB2312" w:eastAsia="仿宋_GB2312" w:cs="仿宋_GB2312"/>
          <w:sz w:val="30"/>
          <w:szCs w:val="30"/>
        </w:rPr>
      </w:pPr>
      <w:r>
        <w:rPr>
          <w:rFonts w:hint="eastAsia" w:ascii="仿宋_GB2312" w:hAnsi="楷体_GB2312" w:eastAsia="仿宋_GB2312" w:cs="楷体_GB2312"/>
          <w:b/>
          <w:bCs/>
          <w:sz w:val="30"/>
          <w:szCs w:val="30"/>
        </w:rPr>
        <w:t>（三）综合管理情况。</w:t>
      </w:r>
      <w:r>
        <w:rPr>
          <w:rFonts w:hint="eastAsia" w:ascii="仿宋_GB2312" w:hAnsi="仿宋_GB2312" w:eastAsia="仿宋_GB2312" w:cs="仿宋_GB2312"/>
          <w:sz w:val="30"/>
          <w:szCs w:val="30"/>
        </w:rPr>
        <w:t>在财务管理过程中建立健全财务核算制度、严格执行国家相关财经法规，加强了会计基础工作、逐渐规范了财务管理行为。进一步规范了“三公经费”的管理并严格控制了“三公经费”的支出。</w:t>
      </w:r>
    </w:p>
    <w:p>
      <w:pPr>
        <w:spacing w:line="520" w:lineRule="exact"/>
        <w:ind w:firstLine="640"/>
        <w:rPr>
          <w:rFonts w:ascii="仿宋_GB2312" w:hAnsi="仿宋_GB2312" w:eastAsia="仿宋_GB2312" w:cs="仿宋_GB2312"/>
          <w:sz w:val="30"/>
          <w:szCs w:val="30"/>
        </w:rPr>
      </w:pPr>
      <w:r>
        <w:rPr>
          <w:rFonts w:hint="eastAsia" w:ascii="仿宋_GB2312" w:hAnsi="楷体_GB2312" w:eastAsia="仿宋_GB2312" w:cs="楷体_GB2312"/>
          <w:b/>
          <w:bCs/>
          <w:sz w:val="30"/>
          <w:szCs w:val="30"/>
        </w:rPr>
        <w:t>（四）整体绩效。</w:t>
      </w:r>
      <w:r>
        <w:rPr>
          <w:rFonts w:hint="eastAsia" w:ascii="仿宋_GB2312" w:hAnsi="仿宋_GB2312" w:eastAsia="仿宋_GB2312" w:cs="仿宋_GB2312"/>
          <w:sz w:val="30"/>
          <w:szCs w:val="30"/>
        </w:rPr>
        <w:t>保障当年工作正常开展，及时拨付兑现当月公用经费，按时发放工资，充分发挥办公室综合协调、参谋助手作用积极为领导部门服务。综合能力进一步提升，效能进一步发挥。信息、人防、外事、应急等各项工作有力有序有效推进,整体绩效较好</w:t>
      </w:r>
    </w:p>
    <w:p>
      <w:pPr>
        <w:spacing w:line="520" w:lineRule="exact"/>
        <w:ind w:firstLine="640"/>
        <w:rPr>
          <w:rFonts w:ascii="仿宋_GB2312" w:hAnsi="黑体" w:eastAsia="仿宋_GB2312" w:cs="黑体"/>
          <w:sz w:val="30"/>
          <w:szCs w:val="30"/>
        </w:rPr>
      </w:pPr>
      <w:r>
        <w:rPr>
          <w:rFonts w:hint="eastAsia" w:ascii="仿宋_GB2312" w:hAnsi="黑体" w:eastAsia="仿宋_GB2312" w:cs="黑体"/>
          <w:sz w:val="30"/>
          <w:szCs w:val="30"/>
        </w:rPr>
        <w:t>四、评价结论及建议</w:t>
      </w:r>
    </w:p>
    <w:p>
      <w:pPr>
        <w:spacing w:line="520" w:lineRule="exact"/>
        <w:ind w:firstLine="640"/>
        <w:rPr>
          <w:rFonts w:ascii="仿宋_GB2312" w:hAnsi="仿宋_GB2312" w:eastAsia="仿宋_GB2312" w:cs="仿宋_GB2312"/>
          <w:sz w:val="30"/>
          <w:szCs w:val="30"/>
        </w:rPr>
      </w:pPr>
      <w:r>
        <w:rPr>
          <w:rFonts w:hint="eastAsia" w:ascii="仿宋_GB2312" w:hAnsi="楷体_GB2312" w:eastAsia="仿宋_GB2312" w:cs="楷体_GB2312"/>
          <w:b/>
          <w:bCs/>
          <w:sz w:val="30"/>
          <w:szCs w:val="30"/>
        </w:rPr>
        <w:t>（一）评价结论。</w:t>
      </w:r>
      <w:r>
        <w:rPr>
          <w:rFonts w:hint="eastAsia" w:ascii="仿宋_GB2312" w:hAnsi="仿宋_GB2312" w:eastAsia="仿宋_GB2312" w:cs="仿宋_GB2312"/>
          <w:sz w:val="30"/>
          <w:szCs w:val="30"/>
        </w:rPr>
        <w:t>根据《2018年红原县部门支出绩效评价指标体系》评分得分98.5分，部门整体支出绩效为“好”。</w:t>
      </w:r>
    </w:p>
    <w:p>
      <w:pPr>
        <w:spacing w:line="520" w:lineRule="exact"/>
        <w:ind w:firstLine="640"/>
        <w:rPr>
          <w:rFonts w:ascii="仿宋_GB2312" w:hAnsi="仿宋_GB2312" w:eastAsia="仿宋_GB2312" w:cs="仿宋_GB2312"/>
          <w:sz w:val="30"/>
          <w:szCs w:val="30"/>
        </w:rPr>
      </w:pPr>
      <w:r>
        <w:rPr>
          <w:rFonts w:hint="eastAsia" w:ascii="仿宋_GB2312" w:hAnsi="楷体_GB2312" w:eastAsia="仿宋_GB2312" w:cs="楷体_GB2312"/>
          <w:b/>
          <w:bCs/>
          <w:sz w:val="30"/>
          <w:szCs w:val="30"/>
        </w:rPr>
        <w:t>（二）存在问题。</w:t>
      </w:r>
      <w:r>
        <w:rPr>
          <w:rFonts w:hint="eastAsia" w:ascii="仿宋_GB2312" w:hAnsi="仿宋_GB2312" w:eastAsia="仿宋_GB2312" w:cs="仿宋_GB2312"/>
          <w:sz w:val="30"/>
          <w:szCs w:val="30"/>
        </w:rPr>
        <w:t>预算时工作考虑不全面，部分工作开展所需经费为纳入预算，导致中途追加预算。</w:t>
      </w:r>
    </w:p>
    <w:p>
      <w:pPr>
        <w:spacing w:line="520" w:lineRule="exact"/>
        <w:ind w:firstLine="640"/>
        <w:rPr>
          <w:rFonts w:ascii="仿宋_GB2312" w:hAnsi="仿宋_GB2312" w:eastAsia="仿宋_GB2312" w:cs="仿宋_GB2312"/>
          <w:sz w:val="30"/>
          <w:szCs w:val="30"/>
        </w:rPr>
      </w:pPr>
      <w:r>
        <w:rPr>
          <w:rFonts w:hint="eastAsia" w:ascii="仿宋_GB2312" w:hAnsi="楷体_GB2312" w:eastAsia="仿宋_GB2312" w:cs="楷体_GB2312"/>
          <w:b/>
          <w:bCs/>
          <w:sz w:val="30"/>
          <w:szCs w:val="30"/>
        </w:rPr>
        <w:t>（三）改进建议。</w:t>
      </w:r>
      <w:r>
        <w:rPr>
          <w:rFonts w:hint="eastAsia" w:ascii="仿宋_GB2312" w:hAnsi="仿宋_GB2312" w:eastAsia="仿宋_GB2312" w:cs="仿宋_GB2312"/>
          <w:sz w:val="30"/>
          <w:szCs w:val="30"/>
        </w:rPr>
        <w:t>沟通交流，增强预算编制的准确性和全面性。加强管理，提高整体支出绩效成果。</w:t>
      </w:r>
    </w:p>
    <w:p>
      <w:pPr>
        <w:spacing w:line="520" w:lineRule="exact"/>
        <w:ind w:firstLine="640"/>
        <w:rPr>
          <w:rFonts w:ascii="仿宋_GB2312" w:eastAsia="仿宋_GB2312"/>
          <w:sz w:val="30"/>
          <w:szCs w:val="30"/>
        </w:rPr>
      </w:pPr>
      <w:r>
        <w:rPr>
          <w:rFonts w:hint="eastAsia" w:ascii="仿宋_GB2312" w:hAnsi="仿宋_GB2312" w:eastAsia="仿宋_GB2312" w:cs="仿宋_GB2312"/>
          <w:sz w:val="30"/>
          <w:szCs w:val="30"/>
        </w:rPr>
        <w:t>特此报告。</w:t>
      </w:r>
    </w:p>
    <w:p>
      <w:pPr>
        <w:spacing w:line="520" w:lineRule="exact"/>
        <w:ind w:firstLine="640"/>
        <w:rPr>
          <w:rFonts w:ascii="仿宋_GB2312" w:eastAsia="仿宋_GB2312"/>
          <w:sz w:val="30"/>
          <w:szCs w:val="30"/>
        </w:rPr>
      </w:pPr>
    </w:p>
    <w:p>
      <w:pPr>
        <w:spacing w:line="520" w:lineRule="exact"/>
        <w:ind w:firstLine="640"/>
        <w:rPr>
          <w:rFonts w:ascii="仿宋_GB2312" w:eastAsia="仿宋_GB2312"/>
          <w:sz w:val="30"/>
          <w:szCs w:val="30"/>
        </w:rPr>
      </w:pPr>
    </w:p>
    <w:bookmarkEnd w:id="58"/>
    <w:p>
      <w:pPr>
        <w:spacing w:line="600" w:lineRule="exact"/>
        <w:outlineLvl w:val="0"/>
        <w:rPr>
          <w:rStyle w:val="26"/>
          <w:rFonts w:ascii="仿宋_GB2312" w:hAnsi="仿宋" w:eastAsia="仿宋_GB2312" w:cstheme="majorBidi"/>
          <w:b w:val="0"/>
          <w:bCs w:val="0"/>
          <w:sz w:val="30"/>
          <w:szCs w:val="30"/>
        </w:rPr>
      </w:pPr>
      <w:bookmarkStart w:id="61" w:name="_Toc15396618"/>
    </w:p>
    <w:p>
      <w:pPr>
        <w:spacing w:line="600" w:lineRule="exact"/>
        <w:outlineLvl w:val="0"/>
        <w:rPr>
          <w:rFonts w:ascii="仿宋_GB2312" w:hAnsi="黑体" w:eastAsia="仿宋_GB2312"/>
          <w:color w:val="000000"/>
          <w:sz w:val="30"/>
          <w:szCs w:val="30"/>
        </w:rPr>
      </w:pPr>
    </w:p>
    <w:p>
      <w:pPr>
        <w:spacing w:line="600" w:lineRule="exact"/>
        <w:outlineLvl w:val="0"/>
        <w:rPr>
          <w:rFonts w:ascii="仿宋_GB2312" w:hAnsi="黑体" w:eastAsia="仿宋_GB2312"/>
          <w:color w:val="000000"/>
          <w:sz w:val="30"/>
          <w:szCs w:val="30"/>
        </w:rPr>
      </w:pPr>
    </w:p>
    <w:p>
      <w:pPr>
        <w:spacing w:line="600" w:lineRule="exact"/>
        <w:outlineLvl w:val="0"/>
        <w:rPr>
          <w:rFonts w:ascii="仿宋_GB2312" w:hAnsi="黑体" w:eastAsia="仿宋_GB2312"/>
          <w:color w:val="000000"/>
          <w:sz w:val="30"/>
          <w:szCs w:val="30"/>
        </w:rPr>
      </w:pPr>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spacing w:line="600" w:lineRule="exact"/>
        <w:jc w:val="center"/>
        <w:outlineLvl w:val="0"/>
        <w:rPr>
          <w:rStyle w:val="26"/>
          <w:rFonts w:ascii="黑体" w:hAnsi="黑体" w:eastAsia="黑体"/>
          <w:b w:val="0"/>
        </w:rPr>
      </w:pPr>
      <w:r>
        <w:rPr>
          <w:rFonts w:hint="eastAsia" w:ascii="黑体" w:hAnsi="黑体" w:eastAsia="黑体"/>
          <w:color w:val="000000"/>
          <w:sz w:val="44"/>
          <w:szCs w:val="44"/>
        </w:rPr>
        <w:t>第</w:t>
      </w:r>
      <w:r>
        <w:rPr>
          <w:rStyle w:val="26"/>
          <w:rFonts w:hint="eastAsia" w:ascii="黑体" w:hAnsi="黑体" w:eastAsia="黑体"/>
          <w:b w:val="0"/>
        </w:rPr>
        <w:t>五部分 附表</w:t>
      </w:r>
      <w:bookmarkEnd w:id="57"/>
      <w:bookmarkEnd w:id="61"/>
    </w:p>
    <w:p>
      <w:pPr>
        <w:spacing w:line="600" w:lineRule="exact"/>
        <w:jc w:val="center"/>
        <w:outlineLvl w:val="0"/>
        <w:rPr>
          <w:rFonts w:ascii="仿宋" w:hAnsi="仿宋" w:eastAsia="仿宋"/>
          <w:b/>
          <w:color w:val="000000"/>
          <w:sz w:val="44"/>
          <w:szCs w:val="44"/>
        </w:rPr>
      </w:pPr>
    </w:p>
    <w:p>
      <w:pPr>
        <w:pStyle w:val="3"/>
        <w:numPr>
          <w:ilvl w:val="0"/>
          <w:numId w:val="7"/>
        </w:numPr>
        <w:rPr>
          <w:rFonts w:ascii="仿宋" w:hAnsi="仿宋" w:eastAsia="仿宋"/>
          <w:b w:val="0"/>
          <w:color w:val="000000"/>
        </w:rPr>
      </w:pPr>
      <w:bookmarkStart w:id="62" w:name="_Toc15396620"/>
      <w:r>
        <w:rPr>
          <w:rFonts w:hint="eastAsia" w:ascii="仿宋" w:hAnsi="仿宋" w:eastAsia="仿宋"/>
          <w:b w:val="0"/>
          <w:color w:val="000000"/>
        </w:rPr>
        <w:t>收入支出决算总表</w:t>
      </w:r>
    </w:p>
    <w:p>
      <w:pPr>
        <w:pStyle w:val="3"/>
        <w:rPr>
          <w:rFonts w:ascii="仿宋" w:hAnsi="仿宋" w:eastAsia="仿宋"/>
          <w:color w:val="000000"/>
        </w:rPr>
      </w:pPr>
      <w:r>
        <w:rPr>
          <w:rFonts w:hint="eastAsia" w:ascii="仿宋" w:hAnsi="仿宋" w:eastAsia="仿宋"/>
          <w:b w:val="0"/>
          <w:color w:val="000000"/>
        </w:rPr>
        <w:t>二、收</w:t>
      </w:r>
      <w:r>
        <w:rPr>
          <w:rStyle w:val="27"/>
          <w:rFonts w:hint="eastAsia" w:ascii="仿宋" w:hAnsi="仿宋" w:eastAsia="仿宋"/>
          <w:b w:val="0"/>
          <w:bCs w:val="0"/>
        </w:rPr>
        <w:t>入总表</w:t>
      </w:r>
      <w:bookmarkEnd w:id="62"/>
    </w:p>
    <w:p>
      <w:pPr>
        <w:pStyle w:val="3"/>
        <w:rPr>
          <w:rFonts w:ascii="仿宋" w:hAnsi="仿宋" w:eastAsia="仿宋"/>
          <w:color w:val="000000"/>
        </w:rPr>
      </w:pPr>
      <w:bookmarkStart w:id="63" w:name="_Toc15396621"/>
      <w:r>
        <w:rPr>
          <w:rStyle w:val="27"/>
          <w:rFonts w:hint="eastAsia" w:ascii="仿宋" w:hAnsi="仿宋" w:eastAsia="仿宋"/>
          <w:b w:val="0"/>
          <w:bCs w:val="0"/>
        </w:rPr>
        <w:t>三、</w:t>
      </w:r>
      <w:r>
        <w:rPr>
          <w:rFonts w:hint="eastAsia" w:ascii="仿宋" w:hAnsi="仿宋" w:eastAsia="仿宋"/>
          <w:b w:val="0"/>
          <w:color w:val="000000"/>
        </w:rPr>
        <w:t>支</w:t>
      </w:r>
      <w:r>
        <w:rPr>
          <w:rStyle w:val="27"/>
          <w:rFonts w:hint="eastAsia" w:ascii="仿宋" w:hAnsi="仿宋" w:eastAsia="仿宋"/>
          <w:b w:val="0"/>
          <w:bCs w:val="0"/>
        </w:rPr>
        <w:t>出总表</w:t>
      </w:r>
      <w:bookmarkEnd w:id="63"/>
    </w:p>
    <w:p>
      <w:pPr>
        <w:pStyle w:val="3"/>
        <w:rPr>
          <w:rFonts w:ascii="仿宋" w:hAnsi="仿宋" w:eastAsia="仿宋"/>
          <w:b w:val="0"/>
          <w:color w:val="000000"/>
        </w:rPr>
      </w:pPr>
      <w:bookmarkStart w:id="64" w:name="_Toc15396622"/>
      <w:r>
        <w:rPr>
          <w:rStyle w:val="27"/>
          <w:rFonts w:hint="eastAsia" w:ascii="仿宋" w:hAnsi="仿宋" w:eastAsia="仿宋"/>
          <w:b w:val="0"/>
          <w:bCs w:val="0"/>
        </w:rPr>
        <w:t>四、</w:t>
      </w:r>
      <w:r>
        <w:rPr>
          <w:rFonts w:hint="eastAsia" w:ascii="仿宋" w:hAnsi="仿宋" w:eastAsia="仿宋"/>
          <w:b w:val="0"/>
          <w:color w:val="000000"/>
        </w:rPr>
        <w:t>财</w:t>
      </w:r>
      <w:r>
        <w:rPr>
          <w:rStyle w:val="27"/>
          <w:rFonts w:hint="eastAsia" w:ascii="仿宋" w:hAnsi="仿宋" w:eastAsia="仿宋"/>
          <w:b w:val="0"/>
          <w:bCs w:val="0"/>
        </w:rPr>
        <w:t>政拨款收入支出决算总表</w:t>
      </w:r>
      <w:bookmarkEnd w:id="64"/>
    </w:p>
    <w:p>
      <w:pPr>
        <w:pStyle w:val="3"/>
        <w:rPr>
          <w:rFonts w:ascii="仿宋" w:hAnsi="仿宋" w:eastAsia="仿宋"/>
          <w:color w:val="000000"/>
        </w:rPr>
      </w:pPr>
      <w:bookmarkStart w:id="65" w:name="_Toc15396623"/>
      <w:r>
        <w:rPr>
          <w:rStyle w:val="27"/>
          <w:rFonts w:hint="eastAsia" w:ascii="仿宋" w:hAnsi="仿宋" w:eastAsia="仿宋"/>
          <w:b w:val="0"/>
          <w:bCs w:val="0"/>
        </w:rPr>
        <w:t>五、</w:t>
      </w:r>
      <w:r>
        <w:rPr>
          <w:rFonts w:hint="eastAsia" w:ascii="仿宋" w:hAnsi="仿宋" w:eastAsia="仿宋"/>
          <w:b w:val="0"/>
          <w:color w:val="000000"/>
        </w:rPr>
        <w:t>财</w:t>
      </w:r>
      <w:r>
        <w:rPr>
          <w:rStyle w:val="27"/>
          <w:rFonts w:hint="eastAsia" w:ascii="仿宋" w:hAnsi="仿宋" w:eastAsia="仿宋"/>
          <w:b w:val="0"/>
          <w:bCs w:val="0"/>
        </w:rPr>
        <w:t>政拨款支出决算明细表（政府经济分类科目）</w:t>
      </w:r>
      <w:bookmarkEnd w:id="65"/>
    </w:p>
    <w:p>
      <w:pPr>
        <w:pStyle w:val="3"/>
        <w:rPr>
          <w:rFonts w:ascii="仿宋" w:hAnsi="仿宋" w:eastAsia="仿宋"/>
          <w:color w:val="000000"/>
        </w:rPr>
      </w:pPr>
      <w:bookmarkStart w:id="66" w:name="_Toc15396624"/>
      <w:r>
        <w:rPr>
          <w:rStyle w:val="27"/>
          <w:rFonts w:hint="eastAsia" w:ascii="仿宋" w:hAnsi="仿宋" w:eastAsia="仿宋"/>
          <w:b w:val="0"/>
          <w:bCs w:val="0"/>
        </w:rPr>
        <w:t>六、</w:t>
      </w:r>
      <w:r>
        <w:rPr>
          <w:rFonts w:hint="eastAsia" w:ascii="仿宋" w:hAnsi="仿宋" w:eastAsia="仿宋"/>
          <w:b w:val="0"/>
          <w:color w:val="000000"/>
        </w:rPr>
        <w:t>一</w:t>
      </w:r>
      <w:r>
        <w:rPr>
          <w:rStyle w:val="27"/>
          <w:rFonts w:hint="eastAsia" w:ascii="仿宋" w:hAnsi="仿宋" w:eastAsia="仿宋"/>
          <w:b w:val="0"/>
          <w:bCs w:val="0"/>
        </w:rPr>
        <w:t>般公共预算财政拨款支出决算表</w:t>
      </w:r>
      <w:bookmarkEnd w:id="66"/>
    </w:p>
    <w:p>
      <w:pPr>
        <w:pStyle w:val="3"/>
        <w:rPr>
          <w:rFonts w:ascii="仿宋" w:hAnsi="仿宋" w:eastAsia="仿宋"/>
          <w:color w:val="000000"/>
        </w:rPr>
      </w:pPr>
      <w:bookmarkStart w:id="67" w:name="_Toc15396625"/>
      <w:r>
        <w:rPr>
          <w:rStyle w:val="27"/>
          <w:rFonts w:hint="eastAsia" w:ascii="仿宋" w:hAnsi="仿宋" w:eastAsia="仿宋"/>
          <w:b w:val="0"/>
          <w:bCs w:val="0"/>
        </w:rPr>
        <w:t>七、</w:t>
      </w:r>
      <w:r>
        <w:rPr>
          <w:rFonts w:hint="eastAsia" w:ascii="仿宋" w:hAnsi="仿宋" w:eastAsia="仿宋"/>
          <w:b w:val="0"/>
          <w:color w:val="000000"/>
        </w:rPr>
        <w:t>一</w:t>
      </w:r>
      <w:r>
        <w:rPr>
          <w:rStyle w:val="27"/>
          <w:rFonts w:hint="eastAsia" w:ascii="仿宋" w:hAnsi="仿宋" w:eastAsia="仿宋"/>
          <w:b w:val="0"/>
          <w:bCs w:val="0"/>
        </w:rPr>
        <w:t>般公共预算财政拨款支出决算明细表</w:t>
      </w:r>
      <w:bookmarkEnd w:id="67"/>
    </w:p>
    <w:p>
      <w:pPr>
        <w:pStyle w:val="3"/>
        <w:rPr>
          <w:rFonts w:ascii="仿宋" w:hAnsi="仿宋" w:eastAsia="仿宋"/>
          <w:color w:val="000000"/>
        </w:rPr>
      </w:pPr>
      <w:bookmarkStart w:id="68" w:name="_Toc15396626"/>
      <w:r>
        <w:rPr>
          <w:rStyle w:val="27"/>
          <w:rFonts w:hint="eastAsia" w:ascii="仿宋" w:hAnsi="仿宋" w:eastAsia="仿宋"/>
          <w:b w:val="0"/>
          <w:bCs w:val="0"/>
        </w:rPr>
        <w:t>八、</w:t>
      </w:r>
      <w:r>
        <w:rPr>
          <w:rFonts w:hint="eastAsia" w:ascii="仿宋" w:hAnsi="仿宋" w:eastAsia="仿宋"/>
          <w:b w:val="0"/>
          <w:color w:val="000000"/>
        </w:rPr>
        <w:t>一</w:t>
      </w:r>
      <w:r>
        <w:rPr>
          <w:rStyle w:val="27"/>
          <w:rFonts w:hint="eastAsia" w:ascii="仿宋" w:hAnsi="仿宋" w:eastAsia="仿宋"/>
          <w:b w:val="0"/>
          <w:bCs w:val="0"/>
        </w:rPr>
        <w:t>般公共预算财政拨款基本支出决算表</w:t>
      </w:r>
      <w:bookmarkEnd w:id="68"/>
    </w:p>
    <w:p>
      <w:pPr>
        <w:pStyle w:val="3"/>
        <w:rPr>
          <w:rFonts w:ascii="仿宋" w:hAnsi="仿宋" w:eastAsia="仿宋"/>
          <w:color w:val="000000"/>
        </w:rPr>
      </w:pPr>
      <w:bookmarkStart w:id="69" w:name="_Toc15396627"/>
      <w:r>
        <w:rPr>
          <w:rStyle w:val="27"/>
          <w:rFonts w:hint="eastAsia" w:ascii="仿宋" w:hAnsi="仿宋" w:eastAsia="仿宋"/>
          <w:b w:val="0"/>
          <w:bCs w:val="0"/>
        </w:rPr>
        <w:t>九、</w:t>
      </w:r>
      <w:r>
        <w:rPr>
          <w:rFonts w:hint="eastAsia" w:ascii="仿宋" w:hAnsi="仿宋" w:eastAsia="仿宋"/>
          <w:b w:val="0"/>
          <w:color w:val="000000"/>
        </w:rPr>
        <w:t>一</w:t>
      </w:r>
      <w:r>
        <w:rPr>
          <w:rStyle w:val="27"/>
          <w:rFonts w:hint="eastAsia" w:ascii="仿宋" w:hAnsi="仿宋" w:eastAsia="仿宋"/>
          <w:b w:val="0"/>
          <w:bCs w:val="0"/>
        </w:rPr>
        <w:t>般公共预算财政拨款项目支出决算表</w:t>
      </w:r>
      <w:bookmarkEnd w:id="69"/>
    </w:p>
    <w:p>
      <w:pPr>
        <w:pStyle w:val="3"/>
        <w:rPr>
          <w:rFonts w:ascii="仿宋" w:hAnsi="仿宋" w:eastAsia="仿宋"/>
          <w:color w:val="000000"/>
        </w:rPr>
      </w:pPr>
      <w:bookmarkStart w:id="70" w:name="_Toc15396628"/>
      <w:r>
        <w:rPr>
          <w:rStyle w:val="27"/>
          <w:rFonts w:hint="eastAsia" w:ascii="仿宋" w:hAnsi="仿宋" w:eastAsia="仿宋"/>
          <w:b w:val="0"/>
          <w:bCs w:val="0"/>
        </w:rPr>
        <w:t>十、</w:t>
      </w:r>
      <w:r>
        <w:rPr>
          <w:rFonts w:hint="eastAsia" w:ascii="仿宋" w:hAnsi="仿宋" w:eastAsia="仿宋"/>
          <w:b w:val="0"/>
          <w:color w:val="000000"/>
        </w:rPr>
        <w:t>一</w:t>
      </w:r>
      <w:r>
        <w:rPr>
          <w:rStyle w:val="27"/>
          <w:rFonts w:hint="eastAsia" w:ascii="仿宋" w:hAnsi="仿宋" w:eastAsia="仿宋"/>
          <w:b w:val="0"/>
          <w:bCs w:val="0"/>
        </w:rPr>
        <w:t>般公共预算财政拨款“三公”经费支出决算表</w:t>
      </w:r>
      <w:bookmarkEnd w:id="70"/>
    </w:p>
    <w:p>
      <w:pPr>
        <w:pStyle w:val="3"/>
        <w:rPr>
          <w:rFonts w:ascii="仿宋" w:hAnsi="仿宋" w:eastAsia="仿宋"/>
          <w:color w:val="000000"/>
        </w:rPr>
      </w:pPr>
      <w:bookmarkStart w:id="71" w:name="_Toc15396629"/>
      <w:r>
        <w:rPr>
          <w:rStyle w:val="27"/>
          <w:rFonts w:hint="eastAsia" w:ascii="仿宋" w:hAnsi="仿宋" w:eastAsia="仿宋"/>
          <w:b w:val="0"/>
          <w:bCs w:val="0"/>
        </w:rPr>
        <w:t>十一、</w:t>
      </w:r>
      <w:r>
        <w:rPr>
          <w:rFonts w:hint="eastAsia" w:ascii="仿宋" w:hAnsi="仿宋" w:eastAsia="仿宋"/>
          <w:b w:val="0"/>
          <w:color w:val="000000"/>
        </w:rPr>
        <w:t>政</w:t>
      </w:r>
      <w:r>
        <w:rPr>
          <w:rStyle w:val="27"/>
          <w:rFonts w:hint="eastAsia" w:ascii="仿宋" w:hAnsi="仿宋" w:eastAsia="仿宋"/>
          <w:b w:val="0"/>
          <w:bCs w:val="0"/>
        </w:rPr>
        <w:t>府性基金预算财政拨款收入支出决算表</w:t>
      </w:r>
      <w:bookmarkEnd w:id="71"/>
    </w:p>
    <w:p>
      <w:pPr>
        <w:pStyle w:val="3"/>
        <w:rPr>
          <w:rFonts w:ascii="仿宋" w:hAnsi="仿宋" w:eastAsia="仿宋"/>
          <w:color w:val="000000"/>
        </w:rPr>
      </w:pPr>
      <w:bookmarkStart w:id="72" w:name="_Toc15396630"/>
      <w:r>
        <w:rPr>
          <w:rStyle w:val="27"/>
          <w:rFonts w:hint="eastAsia" w:ascii="仿宋" w:hAnsi="仿宋" w:eastAsia="仿宋"/>
          <w:b w:val="0"/>
          <w:bCs w:val="0"/>
        </w:rPr>
        <w:t>十二、</w:t>
      </w:r>
      <w:r>
        <w:rPr>
          <w:rFonts w:hint="eastAsia" w:ascii="仿宋" w:hAnsi="仿宋" w:eastAsia="仿宋"/>
          <w:b w:val="0"/>
          <w:color w:val="000000"/>
        </w:rPr>
        <w:t>政</w:t>
      </w:r>
      <w:r>
        <w:rPr>
          <w:rStyle w:val="27"/>
          <w:rFonts w:hint="eastAsia" w:ascii="仿宋" w:hAnsi="仿宋" w:eastAsia="仿宋"/>
          <w:b w:val="0"/>
          <w:bCs w:val="0"/>
        </w:rPr>
        <w:t>府性基金预算财政拨款“三公”经费支出决算表</w:t>
      </w:r>
      <w:bookmarkEnd w:id="72"/>
    </w:p>
    <w:p>
      <w:pPr>
        <w:pStyle w:val="3"/>
        <w:rPr>
          <w:rFonts w:ascii="仿宋" w:hAnsi="仿宋" w:eastAsia="仿宋"/>
          <w:color w:val="000000" w:themeColor="text1"/>
        </w:rPr>
      </w:pPr>
      <w:bookmarkStart w:id="73" w:name="_Toc15396631"/>
      <w:r>
        <w:rPr>
          <w:rStyle w:val="27"/>
          <w:rFonts w:hint="eastAsia" w:ascii="仿宋" w:hAnsi="仿宋" w:eastAsia="仿宋"/>
          <w:b w:val="0"/>
          <w:bCs w:val="0"/>
        </w:rPr>
        <w:t>十三、</w:t>
      </w:r>
      <w:r>
        <w:rPr>
          <w:rFonts w:hint="eastAsia" w:ascii="仿宋" w:hAnsi="仿宋" w:eastAsia="仿宋"/>
          <w:b w:val="0"/>
          <w:color w:val="000000"/>
        </w:rPr>
        <w:t>国</w:t>
      </w:r>
      <w:r>
        <w:rPr>
          <w:rStyle w:val="27"/>
          <w:rFonts w:hint="eastAsia" w:ascii="仿宋" w:hAnsi="仿宋" w:eastAsia="仿宋"/>
          <w:b w:val="0"/>
          <w:bCs w:val="0"/>
        </w:rPr>
        <w:t>有资本经营预算支出决算表</w:t>
      </w:r>
      <w:bookmarkEnd w:id="73"/>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Cambria">
    <w:altName w:val="Noto Sans Syriac Eastern"/>
    <w:panose1 w:val="02040503050406030204"/>
    <w:charset w:val="00"/>
    <w:family w:val="roman"/>
    <w:pitch w:val="default"/>
    <w:sig w:usb0="00000000" w:usb1="00000000" w:usb2="00000000" w:usb3="00000000" w:csb0="2000019F" w:csb1="00000000"/>
  </w:font>
  <w:font w:name="Noto Sans Syriac Eastern">
    <w:panose1 w:val="02040503050306020203"/>
    <w:charset w:val="86"/>
    <w:family w:val="auto"/>
    <w:pitch w:val="default"/>
    <w:sig w:usb0="00000000" w:usb1="00000000" w:usb2="00000080" w:usb3="00000000" w:csb0="203E0161" w:csb1="D7FF0000"/>
  </w:font>
  <w:font w:name="仿宋_GB2312">
    <w:panose1 w:val="02010609030101010101"/>
    <w:charset w:val="86"/>
    <w:family w:val="modern"/>
    <w:pitch w:val="default"/>
    <w:sig w:usb0="00000001" w:usb1="080E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方正黑体_GBK">
    <w:panose1 w:val="02000000000000000000"/>
    <w:charset w:val="86"/>
    <w:family w:val="auto"/>
    <w:pitch w:val="default"/>
    <w:sig w:usb0="00000001" w:usb1="0800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Noto Sans CJK JP Bold">
    <w:panose1 w:val="020B0800000000000000"/>
    <w:charset w:val="86"/>
    <w:family w:val="auto"/>
    <w:pitch w:val="default"/>
    <w:sig w:usb0="30000003" w:usb1="2BDF3C10" w:usb2="00000016" w:usb3="00000000" w:csb0="602E010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
    </w:sdtPr>
    <w:sdtContent>
      <w:p>
        <w:pPr>
          <w:pStyle w:val="9"/>
          <w:jc w:val="center"/>
        </w:pPr>
        <w:r>
          <w:fldChar w:fldCharType="begin"/>
        </w:r>
        <w:r>
          <w:instrText xml:space="preserve">PAGE   \* MERGEFORMAT</w:instrText>
        </w:r>
        <w:r>
          <w:fldChar w:fldCharType="separate"/>
        </w:r>
        <w:r>
          <w:rPr>
            <w:lang w:val="zh-CN"/>
          </w:rPr>
          <w:t>2</w:t>
        </w:r>
        <w:r>
          <w:rPr>
            <w:lang w:val="zh-CN"/>
          </w:rPr>
          <w:fldChar w:fldCharType="end"/>
        </w:r>
      </w:p>
    </w:sdtContent>
  </w:sdt>
  <w:p>
    <w:pPr>
      <w:pStyle w:val="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026C66B"/>
    <w:multiLevelType w:val="singleLevel"/>
    <w:tmpl w:val="B026C66B"/>
    <w:lvl w:ilvl="0" w:tentative="0">
      <w:start w:val="1"/>
      <w:numFmt w:val="decimal"/>
      <w:lvlText w:val="%1."/>
      <w:lvlJc w:val="left"/>
      <w:pPr>
        <w:tabs>
          <w:tab w:val="left" w:pos="312"/>
        </w:tabs>
      </w:pPr>
    </w:lvl>
  </w:abstractNum>
  <w:abstractNum w:abstractNumId="1">
    <w:nsid w:val="CF652CEC"/>
    <w:multiLevelType w:val="singleLevel"/>
    <w:tmpl w:val="CF652CEC"/>
    <w:lvl w:ilvl="0" w:tentative="0">
      <w:start w:val="9"/>
      <w:numFmt w:val="chineseCounting"/>
      <w:suff w:val="nothing"/>
      <w:lvlText w:val="%1、"/>
      <w:lvlJc w:val="left"/>
      <w:rPr>
        <w:rFonts w:hint="eastAsia"/>
      </w:rPr>
    </w:lvl>
  </w:abstractNum>
  <w:abstractNum w:abstractNumId="2">
    <w:nsid w:val="E2FA047D"/>
    <w:multiLevelType w:val="singleLevel"/>
    <w:tmpl w:val="E2FA047D"/>
    <w:lvl w:ilvl="0" w:tentative="0">
      <w:start w:val="3"/>
      <w:numFmt w:val="chineseCounting"/>
      <w:suff w:val="space"/>
      <w:lvlText w:val="第%1部分"/>
      <w:lvlJc w:val="left"/>
      <w:rPr>
        <w:rFonts w:hint="eastAsia"/>
      </w:rPr>
    </w:lvl>
  </w:abstractNum>
  <w:abstractNum w:abstractNumId="3">
    <w:nsid w:val="EC0BEF30"/>
    <w:multiLevelType w:val="singleLevel"/>
    <w:tmpl w:val="EC0BEF30"/>
    <w:lvl w:ilvl="0" w:tentative="0">
      <w:start w:val="1"/>
      <w:numFmt w:val="chineseCounting"/>
      <w:suff w:val="nothing"/>
      <w:lvlText w:val="（%1）"/>
      <w:lvlJc w:val="left"/>
      <w:rPr>
        <w:rFonts w:hint="eastAsia" w:ascii="楷体_GB2312" w:hAnsi="楷体_GB2312" w:eastAsia="楷体_GB2312" w:cs="楷体_GB2312"/>
        <w:b/>
        <w:bCs/>
        <w:sz w:val="32"/>
        <w:szCs w:val="32"/>
      </w:rPr>
    </w:lvl>
  </w:abstractNum>
  <w:abstractNum w:abstractNumId="4">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5">
    <w:nsid w:val="17F426B7"/>
    <w:multiLevelType w:val="multilevel"/>
    <w:tmpl w:val="17F426B7"/>
    <w:lvl w:ilvl="0" w:tentative="0">
      <w:start w:val="10"/>
      <w:numFmt w:val="japaneseCounting"/>
      <w:lvlText w:val="%1、"/>
      <w:lvlJc w:val="left"/>
      <w:pPr>
        <w:ind w:left="1429" w:hanging="720"/>
      </w:pPr>
      <w:rPr>
        <w:rFonts w:hint="default"/>
      </w:rPr>
    </w:lvl>
    <w:lvl w:ilvl="1" w:tentative="0">
      <w:start w:val="1"/>
      <w:numFmt w:val="lowerLetter"/>
      <w:lvlText w:val="%2)"/>
      <w:lvlJc w:val="left"/>
      <w:pPr>
        <w:ind w:left="1549" w:hanging="420"/>
      </w:pPr>
    </w:lvl>
    <w:lvl w:ilvl="2" w:tentative="0">
      <w:start w:val="1"/>
      <w:numFmt w:val="lowerRoman"/>
      <w:lvlText w:val="%3."/>
      <w:lvlJc w:val="right"/>
      <w:pPr>
        <w:ind w:left="1969" w:hanging="420"/>
      </w:pPr>
    </w:lvl>
    <w:lvl w:ilvl="3" w:tentative="0">
      <w:start w:val="1"/>
      <w:numFmt w:val="decimal"/>
      <w:lvlText w:val="%4."/>
      <w:lvlJc w:val="left"/>
      <w:pPr>
        <w:ind w:left="2389" w:hanging="420"/>
      </w:pPr>
    </w:lvl>
    <w:lvl w:ilvl="4" w:tentative="0">
      <w:start w:val="1"/>
      <w:numFmt w:val="lowerLetter"/>
      <w:lvlText w:val="%5)"/>
      <w:lvlJc w:val="left"/>
      <w:pPr>
        <w:ind w:left="2809" w:hanging="420"/>
      </w:pPr>
    </w:lvl>
    <w:lvl w:ilvl="5" w:tentative="0">
      <w:start w:val="1"/>
      <w:numFmt w:val="lowerRoman"/>
      <w:lvlText w:val="%6."/>
      <w:lvlJc w:val="right"/>
      <w:pPr>
        <w:ind w:left="3229" w:hanging="420"/>
      </w:pPr>
    </w:lvl>
    <w:lvl w:ilvl="6" w:tentative="0">
      <w:start w:val="1"/>
      <w:numFmt w:val="decimal"/>
      <w:lvlText w:val="%7."/>
      <w:lvlJc w:val="left"/>
      <w:pPr>
        <w:ind w:left="3649" w:hanging="420"/>
      </w:pPr>
    </w:lvl>
    <w:lvl w:ilvl="7" w:tentative="0">
      <w:start w:val="1"/>
      <w:numFmt w:val="lowerLetter"/>
      <w:lvlText w:val="%8)"/>
      <w:lvlJc w:val="left"/>
      <w:pPr>
        <w:ind w:left="4069" w:hanging="420"/>
      </w:pPr>
    </w:lvl>
    <w:lvl w:ilvl="8" w:tentative="0">
      <w:start w:val="1"/>
      <w:numFmt w:val="lowerRoman"/>
      <w:lvlText w:val="%9."/>
      <w:lvlJc w:val="right"/>
      <w:pPr>
        <w:ind w:left="4489" w:hanging="420"/>
      </w:pPr>
    </w:lvl>
  </w:abstractNum>
  <w:abstractNum w:abstractNumId="6">
    <w:nsid w:val="5D5382B5"/>
    <w:multiLevelType w:val="singleLevel"/>
    <w:tmpl w:val="5D5382B5"/>
    <w:lvl w:ilvl="0" w:tentative="0">
      <w:start w:val="1"/>
      <w:numFmt w:val="chineseCounting"/>
      <w:suff w:val="nothing"/>
      <w:lvlText w:val="%1、"/>
      <w:lvlJc w:val="left"/>
    </w:lvl>
  </w:abstractNum>
  <w:num w:numId="1">
    <w:abstractNumId w:val="4"/>
  </w:num>
  <w:num w:numId="2">
    <w:abstractNumId w:val="1"/>
  </w:num>
  <w:num w:numId="3">
    <w:abstractNumId w:val="5"/>
  </w:num>
  <w:num w:numId="4">
    <w:abstractNumId w:val="3"/>
  </w:num>
  <w:num w:numId="5">
    <w:abstractNumId w:val="0"/>
  </w:num>
  <w:num w:numId="6">
    <w:abstractNumId w:val="2"/>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F1361C"/>
    <w:rsid w:val="000222C6"/>
    <w:rsid w:val="0002549F"/>
    <w:rsid w:val="00046548"/>
    <w:rsid w:val="00061482"/>
    <w:rsid w:val="0006487A"/>
    <w:rsid w:val="00065F8F"/>
    <w:rsid w:val="000768F2"/>
    <w:rsid w:val="0009184B"/>
    <w:rsid w:val="0009421B"/>
    <w:rsid w:val="0009593C"/>
    <w:rsid w:val="00097EC1"/>
    <w:rsid w:val="000B047F"/>
    <w:rsid w:val="000B0705"/>
    <w:rsid w:val="000B5923"/>
    <w:rsid w:val="000B5A48"/>
    <w:rsid w:val="000B6FF3"/>
    <w:rsid w:val="000C3467"/>
    <w:rsid w:val="000C3CA6"/>
    <w:rsid w:val="000C5BAE"/>
    <w:rsid w:val="000D0AAA"/>
    <w:rsid w:val="000D1267"/>
    <w:rsid w:val="000D1644"/>
    <w:rsid w:val="000D1D50"/>
    <w:rsid w:val="000D1E8B"/>
    <w:rsid w:val="000D5782"/>
    <w:rsid w:val="000E6613"/>
    <w:rsid w:val="000E7119"/>
    <w:rsid w:val="001007E2"/>
    <w:rsid w:val="00114340"/>
    <w:rsid w:val="00114E9B"/>
    <w:rsid w:val="00145369"/>
    <w:rsid w:val="0014729F"/>
    <w:rsid w:val="00157BAB"/>
    <w:rsid w:val="00164671"/>
    <w:rsid w:val="001654D1"/>
    <w:rsid w:val="0018106D"/>
    <w:rsid w:val="00181F2D"/>
    <w:rsid w:val="001877A7"/>
    <w:rsid w:val="00191536"/>
    <w:rsid w:val="00195123"/>
    <w:rsid w:val="00196687"/>
    <w:rsid w:val="00197F6A"/>
    <w:rsid w:val="001C0962"/>
    <w:rsid w:val="001D2F00"/>
    <w:rsid w:val="001D7531"/>
    <w:rsid w:val="001E6003"/>
    <w:rsid w:val="001E737D"/>
    <w:rsid w:val="001F0592"/>
    <w:rsid w:val="001F5A19"/>
    <w:rsid w:val="001F7506"/>
    <w:rsid w:val="002006CD"/>
    <w:rsid w:val="002022E5"/>
    <w:rsid w:val="00202B36"/>
    <w:rsid w:val="00204643"/>
    <w:rsid w:val="00204B7A"/>
    <w:rsid w:val="002102FE"/>
    <w:rsid w:val="0021101A"/>
    <w:rsid w:val="00220536"/>
    <w:rsid w:val="00235629"/>
    <w:rsid w:val="00260C38"/>
    <w:rsid w:val="002616C0"/>
    <w:rsid w:val="00261D65"/>
    <w:rsid w:val="002662AA"/>
    <w:rsid w:val="00280496"/>
    <w:rsid w:val="00295495"/>
    <w:rsid w:val="002B1028"/>
    <w:rsid w:val="002B2613"/>
    <w:rsid w:val="002F1818"/>
    <w:rsid w:val="002F567B"/>
    <w:rsid w:val="003216A9"/>
    <w:rsid w:val="003242F6"/>
    <w:rsid w:val="00341353"/>
    <w:rsid w:val="0037013F"/>
    <w:rsid w:val="00380C92"/>
    <w:rsid w:val="00384739"/>
    <w:rsid w:val="003A0666"/>
    <w:rsid w:val="003A484F"/>
    <w:rsid w:val="003B0BE0"/>
    <w:rsid w:val="003B0C1B"/>
    <w:rsid w:val="003B688C"/>
    <w:rsid w:val="003C0291"/>
    <w:rsid w:val="003C39AE"/>
    <w:rsid w:val="003C7B60"/>
    <w:rsid w:val="003D1FB2"/>
    <w:rsid w:val="003D66DA"/>
    <w:rsid w:val="003E1310"/>
    <w:rsid w:val="003E6F55"/>
    <w:rsid w:val="003F3249"/>
    <w:rsid w:val="00406254"/>
    <w:rsid w:val="00412DEA"/>
    <w:rsid w:val="004133F7"/>
    <w:rsid w:val="004223DE"/>
    <w:rsid w:val="00426148"/>
    <w:rsid w:val="00434489"/>
    <w:rsid w:val="00436634"/>
    <w:rsid w:val="00437085"/>
    <w:rsid w:val="00443880"/>
    <w:rsid w:val="004464F4"/>
    <w:rsid w:val="00471401"/>
    <w:rsid w:val="00473F31"/>
    <w:rsid w:val="0048263A"/>
    <w:rsid w:val="00487E5D"/>
    <w:rsid w:val="004905D0"/>
    <w:rsid w:val="004A711F"/>
    <w:rsid w:val="004B199D"/>
    <w:rsid w:val="004B4690"/>
    <w:rsid w:val="004B742C"/>
    <w:rsid w:val="004C27D5"/>
    <w:rsid w:val="004E0A2D"/>
    <w:rsid w:val="004E206B"/>
    <w:rsid w:val="004E6DF7"/>
    <w:rsid w:val="004E7D15"/>
    <w:rsid w:val="004F0FBD"/>
    <w:rsid w:val="005030CB"/>
    <w:rsid w:val="00505A47"/>
    <w:rsid w:val="00512FDA"/>
    <w:rsid w:val="00520DA0"/>
    <w:rsid w:val="00547E97"/>
    <w:rsid w:val="00550FB0"/>
    <w:rsid w:val="0055311F"/>
    <w:rsid w:val="0055558A"/>
    <w:rsid w:val="00555A5B"/>
    <w:rsid w:val="005664BB"/>
    <w:rsid w:val="0057481D"/>
    <w:rsid w:val="0058486E"/>
    <w:rsid w:val="005849E1"/>
    <w:rsid w:val="005C32A8"/>
    <w:rsid w:val="005D1C8B"/>
    <w:rsid w:val="005D5CED"/>
    <w:rsid w:val="005E0D8C"/>
    <w:rsid w:val="005E4CF9"/>
    <w:rsid w:val="005F1A4C"/>
    <w:rsid w:val="00600BA4"/>
    <w:rsid w:val="00605688"/>
    <w:rsid w:val="006070AF"/>
    <w:rsid w:val="00607E6C"/>
    <w:rsid w:val="006101B1"/>
    <w:rsid w:val="00612CB1"/>
    <w:rsid w:val="00614E44"/>
    <w:rsid w:val="00622830"/>
    <w:rsid w:val="00630AEF"/>
    <w:rsid w:val="006325F8"/>
    <w:rsid w:val="00634C9A"/>
    <w:rsid w:val="006440E4"/>
    <w:rsid w:val="00654CD3"/>
    <w:rsid w:val="0066343B"/>
    <w:rsid w:val="00664777"/>
    <w:rsid w:val="006748A4"/>
    <w:rsid w:val="00683E73"/>
    <w:rsid w:val="006A3141"/>
    <w:rsid w:val="006A5E34"/>
    <w:rsid w:val="006B2422"/>
    <w:rsid w:val="006B2B9A"/>
    <w:rsid w:val="006B4E8D"/>
    <w:rsid w:val="006C1937"/>
    <w:rsid w:val="006E7DFE"/>
    <w:rsid w:val="006F020C"/>
    <w:rsid w:val="00701DDA"/>
    <w:rsid w:val="007127B7"/>
    <w:rsid w:val="00730A36"/>
    <w:rsid w:val="007416B6"/>
    <w:rsid w:val="00746F48"/>
    <w:rsid w:val="0075179A"/>
    <w:rsid w:val="0075404D"/>
    <w:rsid w:val="00756A03"/>
    <w:rsid w:val="0076182A"/>
    <w:rsid w:val="0076199B"/>
    <w:rsid w:val="00767B7E"/>
    <w:rsid w:val="0077163A"/>
    <w:rsid w:val="007764A1"/>
    <w:rsid w:val="007764EF"/>
    <w:rsid w:val="007770C3"/>
    <w:rsid w:val="00782B3D"/>
    <w:rsid w:val="00784D24"/>
    <w:rsid w:val="00785FBA"/>
    <w:rsid w:val="00786E4A"/>
    <w:rsid w:val="0078758E"/>
    <w:rsid w:val="007875EB"/>
    <w:rsid w:val="0079426B"/>
    <w:rsid w:val="00794DAD"/>
    <w:rsid w:val="007B1518"/>
    <w:rsid w:val="007D312A"/>
    <w:rsid w:val="007D3F19"/>
    <w:rsid w:val="007E23B0"/>
    <w:rsid w:val="007F1991"/>
    <w:rsid w:val="007F2C2F"/>
    <w:rsid w:val="007F4ED3"/>
    <w:rsid w:val="007F55FC"/>
    <w:rsid w:val="007F5665"/>
    <w:rsid w:val="00800112"/>
    <w:rsid w:val="0081068A"/>
    <w:rsid w:val="008253BB"/>
    <w:rsid w:val="00832EDD"/>
    <w:rsid w:val="0083706E"/>
    <w:rsid w:val="008423A5"/>
    <w:rsid w:val="00847CB6"/>
    <w:rsid w:val="00850625"/>
    <w:rsid w:val="00853718"/>
    <w:rsid w:val="00855221"/>
    <w:rsid w:val="00860645"/>
    <w:rsid w:val="0086520C"/>
    <w:rsid w:val="0086571E"/>
    <w:rsid w:val="00871F71"/>
    <w:rsid w:val="00885AF4"/>
    <w:rsid w:val="0089307E"/>
    <w:rsid w:val="008939CD"/>
    <w:rsid w:val="00896F82"/>
    <w:rsid w:val="00896FE9"/>
    <w:rsid w:val="008A6501"/>
    <w:rsid w:val="008B0A1D"/>
    <w:rsid w:val="008B60B9"/>
    <w:rsid w:val="008B768C"/>
    <w:rsid w:val="008C4DB1"/>
    <w:rsid w:val="008C4EAF"/>
    <w:rsid w:val="008C5176"/>
    <w:rsid w:val="008C7FD0"/>
    <w:rsid w:val="008E1DE7"/>
    <w:rsid w:val="008E707C"/>
    <w:rsid w:val="008F4F19"/>
    <w:rsid w:val="00900B08"/>
    <w:rsid w:val="00902155"/>
    <w:rsid w:val="00902FA3"/>
    <w:rsid w:val="009065FF"/>
    <w:rsid w:val="00923564"/>
    <w:rsid w:val="0092392E"/>
    <w:rsid w:val="009315F9"/>
    <w:rsid w:val="00945B7F"/>
    <w:rsid w:val="00946945"/>
    <w:rsid w:val="00951248"/>
    <w:rsid w:val="0095152F"/>
    <w:rsid w:val="00953DB1"/>
    <w:rsid w:val="00954C49"/>
    <w:rsid w:val="00965628"/>
    <w:rsid w:val="0096686B"/>
    <w:rsid w:val="0097099F"/>
    <w:rsid w:val="00971997"/>
    <w:rsid w:val="00971FFC"/>
    <w:rsid w:val="00976E16"/>
    <w:rsid w:val="00981C94"/>
    <w:rsid w:val="0098375B"/>
    <w:rsid w:val="009844EE"/>
    <w:rsid w:val="0098533D"/>
    <w:rsid w:val="0098660A"/>
    <w:rsid w:val="009931C3"/>
    <w:rsid w:val="009B2C43"/>
    <w:rsid w:val="009B4EAE"/>
    <w:rsid w:val="009B7573"/>
    <w:rsid w:val="009C22F4"/>
    <w:rsid w:val="009C2E98"/>
    <w:rsid w:val="009D3447"/>
    <w:rsid w:val="009D4711"/>
    <w:rsid w:val="009D6EE9"/>
    <w:rsid w:val="009E5467"/>
    <w:rsid w:val="009F1185"/>
    <w:rsid w:val="009F18CD"/>
    <w:rsid w:val="009F2A13"/>
    <w:rsid w:val="009F3CB2"/>
    <w:rsid w:val="00A04EB0"/>
    <w:rsid w:val="00A13CC1"/>
    <w:rsid w:val="00A16847"/>
    <w:rsid w:val="00A237D8"/>
    <w:rsid w:val="00A268C4"/>
    <w:rsid w:val="00A307CD"/>
    <w:rsid w:val="00A30CA3"/>
    <w:rsid w:val="00A33145"/>
    <w:rsid w:val="00A40A00"/>
    <w:rsid w:val="00A4142F"/>
    <w:rsid w:val="00A52C36"/>
    <w:rsid w:val="00A56DF2"/>
    <w:rsid w:val="00A67AB5"/>
    <w:rsid w:val="00A91760"/>
    <w:rsid w:val="00A93B00"/>
    <w:rsid w:val="00A93C21"/>
    <w:rsid w:val="00AA3833"/>
    <w:rsid w:val="00AA3DAE"/>
    <w:rsid w:val="00AB0657"/>
    <w:rsid w:val="00AB42E0"/>
    <w:rsid w:val="00AC3C6A"/>
    <w:rsid w:val="00AD5620"/>
    <w:rsid w:val="00AD7C1B"/>
    <w:rsid w:val="00AE16BA"/>
    <w:rsid w:val="00AE1EBE"/>
    <w:rsid w:val="00B03C9D"/>
    <w:rsid w:val="00B060AE"/>
    <w:rsid w:val="00B10517"/>
    <w:rsid w:val="00B14E76"/>
    <w:rsid w:val="00B161B8"/>
    <w:rsid w:val="00B2048C"/>
    <w:rsid w:val="00B310B9"/>
    <w:rsid w:val="00B35F3F"/>
    <w:rsid w:val="00B36CBB"/>
    <w:rsid w:val="00B425E0"/>
    <w:rsid w:val="00B440AA"/>
    <w:rsid w:val="00B44B70"/>
    <w:rsid w:val="00B53C56"/>
    <w:rsid w:val="00B54CE3"/>
    <w:rsid w:val="00B73B2B"/>
    <w:rsid w:val="00B77EA6"/>
    <w:rsid w:val="00B81598"/>
    <w:rsid w:val="00B841F1"/>
    <w:rsid w:val="00B944D6"/>
    <w:rsid w:val="00B9792F"/>
    <w:rsid w:val="00BA7A33"/>
    <w:rsid w:val="00BB4954"/>
    <w:rsid w:val="00BB4DF0"/>
    <w:rsid w:val="00BB6340"/>
    <w:rsid w:val="00BC289F"/>
    <w:rsid w:val="00BC5361"/>
    <w:rsid w:val="00BC5460"/>
    <w:rsid w:val="00BC6B50"/>
    <w:rsid w:val="00BD0E25"/>
    <w:rsid w:val="00BD766F"/>
    <w:rsid w:val="00BE0E9F"/>
    <w:rsid w:val="00BF56A3"/>
    <w:rsid w:val="00BF5BD6"/>
    <w:rsid w:val="00C03E31"/>
    <w:rsid w:val="00C33E72"/>
    <w:rsid w:val="00C354B2"/>
    <w:rsid w:val="00C35554"/>
    <w:rsid w:val="00C42709"/>
    <w:rsid w:val="00C4276A"/>
    <w:rsid w:val="00C50918"/>
    <w:rsid w:val="00C533CC"/>
    <w:rsid w:val="00C5751C"/>
    <w:rsid w:val="00C61BFC"/>
    <w:rsid w:val="00C62B85"/>
    <w:rsid w:val="00C65438"/>
    <w:rsid w:val="00C91CBB"/>
    <w:rsid w:val="00C97FEF"/>
    <w:rsid w:val="00CB5152"/>
    <w:rsid w:val="00CB7E2B"/>
    <w:rsid w:val="00CC09B6"/>
    <w:rsid w:val="00CC666F"/>
    <w:rsid w:val="00CD1E3F"/>
    <w:rsid w:val="00CE44F6"/>
    <w:rsid w:val="00CE49DA"/>
    <w:rsid w:val="00CE7B61"/>
    <w:rsid w:val="00CF055F"/>
    <w:rsid w:val="00D00095"/>
    <w:rsid w:val="00D00631"/>
    <w:rsid w:val="00D112CD"/>
    <w:rsid w:val="00D1526B"/>
    <w:rsid w:val="00D1548B"/>
    <w:rsid w:val="00D20620"/>
    <w:rsid w:val="00D26091"/>
    <w:rsid w:val="00D34E7C"/>
    <w:rsid w:val="00D35489"/>
    <w:rsid w:val="00D37BDF"/>
    <w:rsid w:val="00D51276"/>
    <w:rsid w:val="00D7035F"/>
    <w:rsid w:val="00D8309F"/>
    <w:rsid w:val="00DA65AC"/>
    <w:rsid w:val="00DB1913"/>
    <w:rsid w:val="00DC35A2"/>
    <w:rsid w:val="00DC410D"/>
    <w:rsid w:val="00DC68CA"/>
    <w:rsid w:val="00DC7CBA"/>
    <w:rsid w:val="00DD73B7"/>
    <w:rsid w:val="00DE4BBA"/>
    <w:rsid w:val="00DF28BC"/>
    <w:rsid w:val="00DF34B9"/>
    <w:rsid w:val="00E01053"/>
    <w:rsid w:val="00E05F98"/>
    <w:rsid w:val="00E07ACF"/>
    <w:rsid w:val="00E331A1"/>
    <w:rsid w:val="00E33202"/>
    <w:rsid w:val="00E336A9"/>
    <w:rsid w:val="00E50624"/>
    <w:rsid w:val="00E53080"/>
    <w:rsid w:val="00E568DF"/>
    <w:rsid w:val="00E64269"/>
    <w:rsid w:val="00E82267"/>
    <w:rsid w:val="00E97C7A"/>
    <w:rsid w:val="00EA010F"/>
    <w:rsid w:val="00ED1B63"/>
    <w:rsid w:val="00ED3C1F"/>
    <w:rsid w:val="00ED4085"/>
    <w:rsid w:val="00ED420E"/>
    <w:rsid w:val="00EE2F57"/>
    <w:rsid w:val="00EF4C34"/>
    <w:rsid w:val="00EF77C6"/>
    <w:rsid w:val="00F05438"/>
    <w:rsid w:val="00F1361C"/>
    <w:rsid w:val="00F160C7"/>
    <w:rsid w:val="00F36D8F"/>
    <w:rsid w:val="00F4106D"/>
    <w:rsid w:val="00F417B1"/>
    <w:rsid w:val="00F46554"/>
    <w:rsid w:val="00F602DF"/>
    <w:rsid w:val="00F81FD9"/>
    <w:rsid w:val="00F841AA"/>
    <w:rsid w:val="00F851E0"/>
    <w:rsid w:val="00FA23E8"/>
    <w:rsid w:val="00FA6268"/>
    <w:rsid w:val="00FB12C4"/>
    <w:rsid w:val="00FC6195"/>
    <w:rsid w:val="00FD3CC1"/>
    <w:rsid w:val="00FE60E5"/>
    <w:rsid w:val="00FF1E02"/>
    <w:rsid w:val="00FF30B4"/>
    <w:rsid w:val="0ED62A80"/>
    <w:rsid w:val="10C055FF"/>
    <w:rsid w:val="10F529AD"/>
    <w:rsid w:val="16BB723D"/>
    <w:rsid w:val="240371BF"/>
    <w:rsid w:val="25B46BBD"/>
    <w:rsid w:val="29FD04D3"/>
    <w:rsid w:val="319F7F4E"/>
    <w:rsid w:val="35DF3EF4"/>
    <w:rsid w:val="453E098F"/>
    <w:rsid w:val="6B7F3207"/>
    <w:rsid w:val="75282356"/>
    <w:rsid w:val="7DB146BC"/>
    <w:rsid w:val="DBDB77A6"/>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6"/>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7"/>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30"/>
    <w:unhideWhenUsed/>
    <w:qFormat/>
    <w:uiPriority w:val="9"/>
    <w:pPr>
      <w:keepNext/>
      <w:keepLines/>
      <w:spacing w:before="260" w:after="260" w:line="416" w:lineRule="auto"/>
      <w:outlineLvl w:val="2"/>
    </w:pPr>
    <w:rPr>
      <w:b/>
      <w:bCs/>
      <w:sz w:val="32"/>
      <w:szCs w:val="32"/>
    </w:rPr>
  </w:style>
  <w:style w:type="character" w:default="1" w:styleId="15">
    <w:name w:val="Default Paragraph Font"/>
    <w:unhideWhenUsed/>
    <w:qFormat/>
    <w:uiPriority w:val="1"/>
  </w:style>
  <w:style w:type="table" w:default="1" w:styleId="14">
    <w:name w:val="Normal Table"/>
    <w:unhideWhenUsed/>
    <w:qFormat/>
    <w:uiPriority w:val="99"/>
    <w:tblPr>
      <w:tblCellMar>
        <w:top w:w="0" w:type="dxa"/>
        <w:left w:w="108" w:type="dxa"/>
        <w:bottom w:w="0" w:type="dxa"/>
        <w:right w:w="108" w:type="dxa"/>
      </w:tblCellMar>
    </w:tblPr>
  </w:style>
  <w:style w:type="paragraph" w:styleId="5">
    <w:name w:val="Body Text"/>
    <w:basedOn w:val="1"/>
    <w:link w:val="23"/>
    <w:qFormat/>
    <w:uiPriority w:val="99"/>
    <w:pPr>
      <w:spacing w:beforeLines="30"/>
    </w:pPr>
    <w:rPr>
      <w:rFonts w:ascii="仿宋_GB2312" w:eastAsia="仿宋_GB2312"/>
      <w:kern w:val="0"/>
      <w:sz w:val="30"/>
    </w:rPr>
  </w:style>
  <w:style w:type="paragraph" w:styleId="6">
    <w:name w:val="Body Text Indent"/>
    <w:basedOn w:val="1"/>
    <w:link w:val="31"/>
    <w:unhideWhenUsed/>
    <w:qFormat/>
    <w:uiPriority w:val="99"/>
    <w:pPr>
      <w:spacing w:after="120"/>
      <w:ind w:left="420" w:leftChars="200"/>
    </w:pPr>
  </w:style>
  <w:style w:type="paragraph" w:styleId="7">
    <w:name w:val="toc 3"/>
    <w:basedOn w:val="1"/>
    <w:next w:val="1"/>
    <w:unhideWhenUsed/>
    <w:qFormat/>
    <w:uiPriority w:val="39"/>
    <w:pPr>
      <w:tabs>
        <w:tab w:val="right" w:leader="dot" w:pos="8296"/>
      </w:tabs>
      <w:ind w:left="840" w:leftChars="400"/>
    </w:pPr>
  </w:style>
  <w:style w:type="paragraph" w:styleId="8">
    <w:name w:val="Balloon Text"/>
    <w:basedOn w:val="1"/>
    <w:link w:val="29"/>
    <w:unhideWhenUsed/>
    <w:qFormat/>
    <w:uiPriority w:val="99"/>
    <w:rPr>
      <w:sz w:val="18"/>
      <w:szCs w:val="18"/>
    </w:rPr>
  </w:style>
  <w:style w:type="paragraph" w:styleId="9">
    <w:name w:val="footer"/>
    <w:basedOn w:val="1"/>
    <w:link w:val="21"/>
    <w:qFormat/>
    <w:uiPriority w:val="99"/>
    <w:pPr>
      <w:tabs>
        <w:tab w:val="center" w:pos="4153"/>
        <w:tab w:val="right" w:pos="8306"/>
      </w:tabs>
      <w:snapToGrid w:val="0"/>
      <w:jc w:val="left"/>
    </w:pPr>
    <w:rPr>
      <w:rFonts w:ascii="Calibri" w:hAnsi="Calibri"/>
      <w:kern w:val="0"/>
      <w:sz w:val="18"/>
      <w:szCs w:val="18"/>
    </w:rPr>
  </w:style>
  <w:style w:type="paragraph" w:styleId="10">
    <w:name w:val="header"/>
    <w:basedOn w:val="1"/>
    <w:link w:val="19"/>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1">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2">
    <w:name w:val="toc 2"/>
    <w:basedOn w:val="1"/>
    <w:next w:val="1"/>
    <w:unhideWhenUsed/>
    <w:qFormat/>
    <w:uiPriority w:val="39"/>
    <w:pPr>
      <w:tabs>
        <w:tab w:val="right" w:leader="dot" w:pos="8296"/>
      </w:tabs>
      <w:ind w:left="420" w:leftChars="200"/>
    </w:pPr>
  </w:style>
  <w:style w:type="paragraph" w:styleId="13">
    <w:name w:val="Body Text First Indent 2"/>
    <w:basedOn w:val="6"/>
    <w:link w:val="32"/>
    <w:unhideWhenUsed/>
    <w:qFormat/>
    <w:uiPriority w:val="99"/>
    <w:pPr>
      <w:ind w:firstLine="420" w:firstLineChars="200"/>
    </w:pPr>
  </w:style>
  <w:style w:type="character" w:styleId="16">
    <w:name w:val="Strong"/>
    <w:basedOn w:val="15"/>
    <w:qFormat/>
    <w:uiPriority w:val="99"/>
    <w:rPr>
      <w:b/>
    </w:rPr>
  </w:style>
  <w:style w:type="character" w:styleId="17">
    <w:name w:val="Hyperlink"/>
    <w:basedOn w:val="15"/>
    <w:unhideWhenUsed/>
    <w:qFormat/>
    <w:uiPriority w:val="99"/>
    <w:rPr>
      <w:color w:val="0000FF" w:themeColor="hyperlink"/>
      <w:u w:val="single"/>
    </w:rPr>
  </w:style>
  <w:style w:type="character" w:customStyle="1" w:styleId="18">
    <w:name w:val="Header Char"/>
    <w:basedOn w:val="15"/>
    <w:semiHidden/>
    <w:qFormat/>
    <w:uiPriority w:val="99"/>
    <w:rPr>
      <w:rFonts w:ascii="Times New Roman" w:hAnsi="Times New Roman"/>
      <w:sz w:val="18"/>
      <w:szCs w:val="18"/>
    </w:rPr>
  </w:style>
  <w:style w:type="character" w:customStyle="1" w:styleId="19">
    <w:name w:val="页眉 Char"/>
    <w:link w:val="10"/>
    <w:semiHidden/>
    <w:qFormat/>
    <w:locked/>
    <w:uiPriority w:val="99"/>
    <w:rPr>
      <w:sz w:val="18"/>
    </w:rPr>
  </w:style>
  <w:style w:type="character" w:customStyle="1" w:styleId="20">
    <w:name w:val="Footer Char"/>
    <w:basedOn w:val="15"/>
    <w:semiHidden/>
    <w:qFormat/>
    <w:uiPriority w:val="99"/>
    <w:rPr>
      <w:rFonts w:ascii="Times New Roman" w:hAnsi="Times New Roman"/>
      <w:sz w:val="18"/>
      <w:szCs w:val="18"/>
    </w:rPr>
  </w:style>
  <w:style w:type="character" w:customStyle="1" w:styleId="21">
    <w:name w:val="页脚 Char"/>
    <w:link w:val="9"/>
    <w:qFormat/>
    <w:locked/>
    <w:uiPriority w:val="99"/>
    <w:rPr>
      <w:sz w:val="18"/>
    </w:rPr>
  </w:style>
  <w:style w:type="character" w:customStyle="1" w:styleId="22">
    <w:name w:val="Body Text Char"/>
    <w:basedOn w:val="15"/>
    <w:semiHidden/>
    <w:qFormat/>
    <w:uiPriority w:val="99"/>
    <w:rPr>
      <w:rFonts w:ascii="Times New Roman" w:hAnsi="Times New Roman"/>
      <w:szCs w:val="24"/>
    </w:rPr>
  </w:style>
  <w:style w:type="character" w:customStyle="1" w:styleId="23">
    <w:name w:val="正文文本 Char"/>
    <w:link w:val="5"/>
    <w:qFormat/>
    <w:locked/>
    <w:uiPriority w:val="99"/>
    <w:rPr>
      <w:rFonts w:ascii="仿宋_GB2312" w:hAnsi="Times New Roman" w:eastAsia="仿宋_GB2312"/>
      <w:sz w:val="24"/>
    </w:rPr>
  </w:style>
  <w:style w:type="paragraph" w:customStyle="1" w:styleId="24">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5">
    <w:name w:val="List Paragraph"/>
    <w:basedOn w:val="1"/>
    <w:qFormat/>
    <w:uiPriority w:val="34"/>
    <w:pPr>
      <w:ind w:firstLine="420" w:firstLineChars="200"/>
    </w:pPr>
  </w:style>
  <w:style w:type="character" w:customStyle="1" w:styleId="26">
    <w:name w:val="标题 1 Char"/>
    <w:basedOn w:val="15"/>
    <w:link w:val="2"/>
    <w:qFormat/>
    <w:uiPriority w:val="9"/>
    <w:rPr>
      <w:rFonts w:ascii="Times New Roman" w:hAnsi="Times New Roman"/>
      <w:b/>
      <w:bCs/>
      <w:kern w:val="44"/>
      <w:sz w:val="44"/>
      <w:szCs w:val="44"/>
    </w:rPr>
  </w:style>
  <w:style w:type="character" w:customStyle="1" w:styleId="27">
    <w:name w:val="标题 2 Char"/>
    <w:basedOn w:val="15"/>
    <w:link w:val="3"/>
    <w:qFormat/>
    <w:uiPriority w:val="9"/>
    <w:rPr>
      <w:rFonts w:asciiTheme="majorHAnsi" w:hAnsiTheme="majorHAnsi" w:eastAsiaTheme="majorEastAsia" w:cstheme="majorBidi"/>
      <w:b/>
      <w:bCs/>
      <w:kern w:val="2"/>
      <w:sz w:val="32"/>
      <w:szCs w:val="32"/>
    </w:rPr>
  </w:style>
  <w:style w:type="paragraph" w:customStyle="1" w:styleId="28">
    <w:name w:val="TOC 标题1"/>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character" w:customStyle="1" w:styleId="29">
    <w:name w:val="批注框文本 Char"/>
    <w:basedOn w:val="15"/>
    <w:link w:val="8"/>
    <w:semiHidden/>
    <w:qFormat/>
    <w:uiPriority w:val="99"/>
    <w:rPr>
      <w:rFonts w:ascii="Times New Roman" w:hAnsi="Times New Roman"/>
      <w:kern w:val="2"/>
      <w:sz w:val="18"/>
      <w:szCs w:val="18"/>
    </w:rPr>
  </w:style>
  <w:style w:type="character" w:customStyle="1" w:styleId="30">
    <w:name w:val="标题 3 Char"/>
    <w:basedOn w:val="15"/>
    <w:link w:val="4"/>
    <w:qFormat/>
    <w:uiPriority w:val="9"/>
    <w:rPr>
      <w:rFonts w:ascii="Times New Roman" w:hAnsi="Times New Roman"/>
      <w:b/>
      <w:bCs/>
      <w:kern w:val="2"/>
      <w:sz w:val="32"/>
      <w:szCs w:val="32"/>
    </w:rPr>
  </w:style>
  <w:style w:type="character" w:customStyle="1" w:styleId="31">
    <w:name w:val="正文文本缩进 Char"/>
    <w:basedOn w:val="15"/>
    <w:link w:val="6"/>
    <w:semiHidden/>
    <w:qFormat/>
    <w:uiPriority w:val="99"/>
    <w:rPr>
      <w:rFonts w:ascii="Times New Roman" w:hAnsi="Times New Roman"/>
      <w:kern w:val="2"/>
      <w:sz w:val="21"/>
      <w:szCs w:val="24"/>
    </w:rPr>
  </w:style>
  <w:style w:type="character" w:customStyle="1" w:styleId="32">
    <w:name w:val="正文首行缩进 2 Char"/>
    <w:basedOn w:val="31"/>
    <w:link w:val="13"/>
    <w:uiPriority w:val="99"/>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四川省财政厅</Company>
  <Pages>34</Pages>
  <Words>2607</Words>
  <Characters>14863</Characters>
  <Lines>123</Lines>
  <Paragraphs>34</Paragraphs>
  <TotalTime>0</TotalTime>
  <ScaleCrop>false</ScaleCrop>
  <LinksUpToDate>false</LinksUpToDate>
  <CharactersWithSpaces>17436</CharactersWithSpaces>
  <Application>WPS Office_11.8.2.1121_F1E327BC-269C-435d-A152-05C5408002CA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2019-08-16T18:09:00Z</dcterms:created>
  <dc:creator>张彬茜</dc:creator>
  <cp:lastModifiedBy>ruijie</cp:lastModifiedBy>
  <cp:lastPrinted>2019-08-01T08:48:00Z</cp:lastPrinted>
  <dcterms:modified xsi:type="dcterms:W3CDTF">2023-06-06T18:39:41Z</dcterms:modified>
  <dc:title>四川省***</dc:title>
  <cp:revision>82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2052-11.8.2.1121</vt:lpwstr>
  </property>
  <property fmtid="{D5CDD505-2E9C-101B-9397-08002B2CF9AE}" pid="3" name="ICV">
    <vt:lpwstr>52E81AA9CD6B4969ED0C7F642F63CBF6</vt:lpwstr>
  </property>
</Properties>
</file>