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77193"/>
      <w:bookmarkStart w:id="1" w:name="_Toc15396597"/>
      <w:bookmarkStart w:id="2" w:name="_Toc15377425"/>
      <w:bookmarkStart w:id="3" w:name="_Toc15306267"/>
      <w:bookmarkStart w:id="4" w:name="_Toc15396475"/>
      <w:bookmarkStart w:id="5" w:name="_Toc15378441"/>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bookmarkEnd w:id="0"/>
    <w:bookmarkEnd w:id="1"/>
    <w:bookmarkEnd w:id="2"/>
    <w:bookmarkEnd w:id="3"/>
    <w:bookmarkEnd w:id="4"/>
    <w:bookmarkEnd w:id="5"/>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8"/>
          <w:rFonts w:hint="eastAsia" w:ascii="方正小标宋简体" w:hAnsi="方正小标宋简体" w:eastAsia="方正小标宋简体" w:cs="方正小标宋简体"/>
          <w:sz w:val="44"/>
          <w:szCs w:val="44"/>
          <w:shd w:val="clear" w:color="auto" w:fill="FFFFFF"/>
        </w:rPr>
        <w:t>202</w:t>
      </w:r>
      <w:r>
        <w:rPr>
          <w:rStyle w:val="18"/>
          <w:rFonts w:hint="eastAsia" w:ascii="方正小标宋简体" w:hAnsi="方正小标宋简体" w:eastAsia="方正小标宋简体" w:cs="方正小标宋简体"/>
          <w:sz w:val="44"/>
          <w:szCs w:val="44"/>
          <w:shd w:val="clear" w:color="auto" w:fill="FFFFFF"/>
          <w:lang w:val="en-US" w:eastAsia="zh-CN"/>
        </w:rPr>
        <w:t>4</w:t>
      </w:r>
      <w:r>
        <w:rPr>
          <w:rStyle w:val="18"/>
          <w:rFonts w:hint="eastAsia" w:ascii="方正小标宋简体" w:hAnsi="方正小标宋简体" w:eastAsia="方正小标宋简体" w:cs="方正小标宋简体"/>
          <w:sz w:val="44"/>
          <w:szCs w:val="44"/>
          <w:shd w:val="clear" w:color="auto" w:fill="FFFFFF"/>
        </w:rPr>
        <w:t>年度</w:t>
      </w:r>
    </w:p>
    <w:p>
      <w:pPr>
        <w:pStyle w:val="15"/>
        <w:keepNext w:val="0"/>
        <w:keepLines w:val="0"/>
        <w:widowControl/>
        <w:suppressLineNumbers w:val="0"/>
        <w:ind w:left="0" w:right="75"/>
        <w:jc w:val="center"/>
        <w:rPr>
          <w:rStyle w:val="18"/>
          <w:rFonts w:hint="eastAsia" w:ascii="方正小标宋简体" w:hAnsi="方正小标宋简体" w:eastAsia="方正小标宋简体" w:cs="方正小标宋简体"/>
          <w:sz w:val="44"/>
          <w:szCs w:val="44"/>
          <w:shd w:val="clear" w:color="auto" w:fill="FFFFFF"/>
          <w:lang w:eastAsia="zh-CN"/>
        </w:rPr>
      </w:pPr>
      <w:r>
        <w:rPr>
          <w:rStyle w:val="18"/>
          <w:rFonts w:hint="eastAsia" w:ascii="方正小标宋简体" w:hAnsi="方正小标宋简体" w:eastAsia="方正小标宋简体" w:cs="方正小标宋简体"/>
          <w:sz w:val="44"/>
          <w:szCs w:val="44"/>
          <w:shd w:val="clear" w:color="auto" w:fill="FFFFFF"/>
        </w:rPr>
        <w:t>红原县人民代表大会常务委员会办公</w:t>
      </w:r>
      <w:r>
        <w:rPr>
          <w:rStyle w:val="18"/>
          <w:rFonts w:hint="eastAsia" w:ascii="方正小标宋简体" w:hAnsi="方正小标宋简体" w:eastAsia="方正小标宋简体" w:cs="方正小标宋简体"/>
          <w:sz w:val="44"/>
          <w:szCs w:val="44"/>
          <w:shd w:val="clear" w:color="auto" w:fill="FFFFFF"/>
          <w:lang w:eastAsia="zh-CN"/>
        </w:rPr>
        <w:t>室</w:t>
      </w:r>
    </w:p>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8"/>
          <w:rFonts w:hint="eastAsia" w:ascii="方正小标宋简体" w:hAnsi="方正小标宋简体" w:eastAsia="方正小标宋简体" w:cs="方正小标宋简体"/>
          <w:sz w:val="44"/>
          <w:szCs w:val="44"/>
          <w:shd w:val="clear" w:color="auto" w:fill="FFFFFF"/>
        </w:rPr>
        <w:t>部门决算</w:t>
      </w:r>
      <w:r>
        <w:rPr>
          <w:rStyle w:val="18"/>
          <w:rFonts w:hint="eastAsia" w:ascii="方正小标宋简体" w:hAnsi="方正小标宋简体" w:eastAsia="方正小标宋简体" w:cs="方正小标宋简体"/>
          <w:sz w:val="44"/>
          <w:szCs w:val="44"/>
          <w:shd w:val="clear" w:color="auto" w:fill="FFFFFF"/>
          <w:lang w:eastAsia="zh-CN"/>
        </w:rPr>
        <w:t>公开编制说明</w:t>
      </w: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pStyle w:val="2"/>
        <w:rPr>
          <w:rFonts w:ascii="方正小标宋简体" w:eastAsia="方正小标宋简体"/>
          <w:sz w:val="36"/>
          <w:szCs w:val="36"/>
        </w:rPr>
      </w:pPr>
    </w:p>
    <w:p>
      <w:pPr>
        <w:pStyle w:val="4"/>
        <w:rPr>
          <w:rFonts w:ascii="方正小标宋简体" w:eastAsia="方正小标宋简体"/>
          <w:sz w:val="36"/>
          <w:szCs w:val="36"/>
        </w:rPr>
      </w:pPr>
    </w:p>
    <w:p>
      <w:pPr>
        <w:pStyle w:val="4"/>
        <w:rPr>
          <w:rFonts w:ascii="方正小标宋简体" w:eastAsia="方正小标宋简体"/>
          <w:sz w:val="36"/>
          <w:szCs w:val="36"/>
        </w:rPr>
      </w:pPr>
    </w:p>
    <w:p>
      <w:pPr>
        <w:pStyle w:val="15"/>
        <w:keepNext w:val="0"/>
        <w:keepLines w:val="0"/>
        <w:widowControl/>
        <w:suppressLineNumbers w:val="0"/>
        <w:ind w:left="0" w:right="75"/>
        <w:jc w:val="left"/>
      </w:pPr>
      <w:r>
        <w:rPr>
          <w:sz w:val="24"/>
          <w:szCs w:val="24"/>
          <w:shd w:val="clear" w:color="auto" w:fill="FFFFFF"/>
        </w:rPr>
        <w:t>保密审查情况：已审查，内容审定</w:t>
      </w:r>
    </w:p>
    <w:p>
      <w:pPr>
        <w:pStyle w:val="15"/>
        <w:keepNext w:val="0"/>
        <w:keepLines w:val="0"/>
        <w:widowControl/>
        <w:suppressLineNumbers w:val="0"/>
        <w:ind w:left="0" w:right="75"/>
        <w:jc w:val="left"/>
        <w:rPr>
          <w:rStyle w:val="18"/>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部门主要负责人审签情况：已审签，同意对外公开</w:t>
      </w:r>
    </w:p>
    <w:p>
      <w:pPr>
        <w:widowControl/>
        <w:jc w:val="center"/>
        <w:rPr>
          <w:rFonts w:ascii="黑体" w:eastAsia="黑体"/>
          <w:sz w:val="48"/>
          <w:szCs w:val="48"/>
        </w:rPr>
      </w:pPr>
      <w:r>
        <w:rPr>
          <w:rFonts w:hint="eastAsia" w:ascii="黑体" w:eastAsia="黑体"/>
          <w:sz w:val="48"/>
          <w:szCs w:val="48"/>
        </w:rPr>
        <w:t>目录</w:t>
      </w:r>
    </w:p>
    <w:p>
      <w:pPr>
        <w:widowControl/>
        <w:jc w:val="center"/>
        <w:rPr>
          <w:rFonts w:ascii="黑体" w:eastAsia="黑体" w:cs="Arial"/>
          <w:sz w:val="28"/>
          <w:szCs w:val="28"/>
        </w:rPr>
      </w:pPr>
    </w:p>
    <w:p>
      <w:pPr>
        <w:pStyle w:val="13"/>
      </w:pPr>
      <w:r>
        <w:rPr>
          <w:rFonts w:hint="eastAsia"/>
        </w:rPr>
        <w:t>公开时间：202</w:t>
      </w:r>
      <w:r>
        <w:rPr>
          <w:rFonts w:hint="eastAsia"/>
          <w:lang w:val="en-US" w:eastAsia="zh-CN"/>
        </w:rPr>
        <w:t>5</w:t>
      </w:r>
      <w:r>
        <w:rPr>
          <w:rFonts w:hint="eastAsia"/>
        </w:rPr>
        <w:t>年</w:t>
      </w:r>
      <w:r>
        <w:rPr>
          <w:rFonts w:hint="eastAsia"/>
          <w:lang w:val="en-US" w:eastAsia="zh-CN"/>
        </w:rPr>
        <w:t>9</w:t>
      </w:r>
      <w:r>
        <w:rPr>
          <w:rFonts w:hint="eastAsia"/>
        </w:rPr>
        <w:t>月</w:t>
      </w:r>
      <w:r>
        <w:rPr>
          <w:rFonts w:hint="eastAsia"/>
          <w:lang w:val="en-US" w:eastAsia="zh-CN"/>
        </w:rPr>
        <w:t>19</w:t>
      </w:r>
      <w:r>
        <w:rPr>
          <w:rFonts w:hint="eastAsia"/>
        </w:rPr>
        <w:t>日</w:t>
      </w:r>
    </w:p>
    <w:p/>
    <w:sdt>
      <w:sdtPr>
        <w:rPr>
          <w:rFonts w:ascii="宋体" w:hAnsi="宋体" w:eastAsia="宋体" w:cs="Times New Roman"/>
          <w:kern w:val="2"/>
          <w:sz w:val="21"/>
          <w:szCs w:val="24"/>
          <w:lang w:val="en-US" w:eastAsia="zh-CN" w:bidi="ar-SA"/>
        </w:rPr>
        <w:id w:val="147451071"/>
        <w15:color w:val="DBDBDB"/>
        <w:docPartObj>
          <w:docPartGallery w:val="Table of Contents"/>
          <w:docPartUnique/>
        </w:docPartObj>
      </w:sdtPr>
      <w:sdtEndPr>
        <w:rPr>
          <w:rFonts w:hint="eastAsia" w:ascii="仿宋_GB2312" w:hAnsi="仿宋_GB2312" w:eastAsia="仿宋_GB2312" w:cs="仿宋_GB2312"/>
          <w:b/>
          <w:color w:val="auto"/>
          <w:kern w:val="2"/>
          <w:sz w:val="28"/>
          <w:szCs w:val="28"/>
          <w:lang w:val="en-US" w:eastAsia="zh-CN" w:bidi="ar-SA"/>
        </w:rPr>
      </w:sdtEndPr>
      <w:sdtContent>
        <w:p>
          <w:pPr>
            <w:spacing w:before="0" w:beforeLines="0" w:after="0" w:afterLines="0" w:line="240" w:lineRule="auto"/>
            <w:ind w:left="0" w:leftChars="0" w:right="0" w:rightChars="0" w:firstLine="0" w:firstLineChars="0"/>
            <w:jc w:val="center"/>
          </w:pPr>
          <w:bookmarkStart w:id="6" w:name="_Toc15377196"/>
          <w:bookmarkStart w:id="7" w:name="_Toc15396599"/>
        </w:p>
        <w:p>
          <w:pPr>
            <w:pStyle w:val="13"/>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TOC \o "1-2" \h \u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_Toc16019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第一部分 部门概况</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_Toc16019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3</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_Toc31358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rPr>
            <w:t>一、 部门职责</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_Toc31358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_Toc13721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rPr>
            <w:t>二、机构设置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_Toc13721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3"/>
            <w:tabs>
              <w:tab w:val="right" w:leader="dot" w:pos="8306"/>
              <w:tab w:val="clear" w:pos="8296"/>
            </w:tabs>
            <w:rPr>
              <w:rFonts w:hint="eastAsia"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_Toc16164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第二部分 202</w:t>
          </w:r>
          <w:r>
            <w:rPr>
              <w:rFonts w:hint="eastAsia" w:ascii="仿宋_GB2312" w:hAnsi="仿宋_GB2312" w:eastAsia="仿宋_GB2312" w:cs="仿宋_GB2312"/>
              <w:b/>
              <w:bCs/>
              <w:sz w:val="28"/>
              <w:szCs w:val="28"/>
              <w:lang w:val="en-US" w:eastAsia="zh-CN"/>
            </w:rPr>
            <w:t>4</w:t>
          </w:r>
          <w:r>
            <w:rPr>
              <w:rFonts w:hint="eastAsia" w:ascii="仿宋_GB2312" w:hAnsi="仿宋_GB2312" w:eastAsia="仿宋_GB2312" w:cs="仿宋_GB2312"/>
              <w:b/>
              <w:bCs/>
              <w:sz w:val="28"/>
              <w:szCs w:val="28"/>
            </w:rPr>
            <w:t>年度部门决算情况说明</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_Toc16164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10</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_Toc7064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 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_Toc7064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_Toc24050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 收入决算情况说明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_Toc24050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_Toc1784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三、 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_Toc31432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四、财政拨款收入支出决算总体情况说明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_Toc31432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_Toc17525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五、一般公共预算财政拨款支出决算情况说明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_Toc17525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_Toc13941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六、一般公共预算财政拨款基本支出决算情况说明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_Toc13941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_Toc4299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七、财政拨款“三公”经费支出决算情况说明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_Toc4299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_Toc22646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八、政府性基金预算支出决算情况说明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_Toc22646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_Toc1631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九、 国有资本经营预算支出决算情况说明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_Toc1631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_Toc4892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十、 其他重要事项的情况说明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_Toc4892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3"/>
            <w:tabs>
              <w:tab w:val="right" w:leader="dot" w:pos="8306"/>
              <w:tab w:val="clear" w:pos="8296"/>
            </w:tabs>
            <w:rPr>
              <w:rFonts w:hint="eastAsia"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_Toc31207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第三部分 名词解释</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_Toc31207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31</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3"/>
            <w:tabs>
              <w:tab w:val="right" w:leader="dot" w:pos="8306"/>
              <w:tab w:val="clear" w:pos="8296"/>
            </w:tabs>
            <w:rPr>
              <w:rFonts w:hint="eastAsia"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_Toc17629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第四部分 附件</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_Toc17629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33</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3"/>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_Toc20539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第五部分 附表</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_Toc20539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33</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_Toc7319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一、收</w:t>
          </w:r>
          <w:r>
            <w:rPr>
              <w:rFonts w:hint="eastAsia" w:ascii="仿宋_GB2312" w:hAnsi="仿宋_GB2312" w:eastAsia="仿宋_GB2312" w:cs="仿宋_GB2312"/>
              <w:bCs w:val="0"/>
              <w:sz w:val="28"/>
              <w:szCs w:val="28"/>
            </w:rPr>
            <w:t>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_Toc7319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_Toc31354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二、收</w:t>
          </w:r>
          <w:r>
            <w:rPr>
              <w:rFonts w:hint="eastAsia" w:ascii="仿宋_GB2312" w:hAnsi="仿宋_GB2312" w:eastAsia="仿宋_GB2312" w:cs="仿宋_GB2312"/>
              <w:bCs w:val="0"/>
              <w:sz w:val="28"/>
              <w:szCs w:val="28"/>
            </w:rPr>
            <w:t>入决算表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_Toc31354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_Toc24023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三、</w:t>
          </w:r>
          <w:r>
            <w:rPr>
              <w:rFonts w:hint="eastAsia" w:ascii="仿宋_GB2312" w:hAnsi="仿宋_GB2312" w:eastAsia="仿宋_GB2312" w:cs="仿宋_GB2312"/>
              <w:sz w:val="28"/>
              <w:szCs w:val="28"/>
            </w:rPr>
            <w:t>支</w:t>
          </w:r>
          <w:r>
            <w:rPr>
              <w:rFonts w:hint="eastAsia" w:ascii="仿宋_GB2312" w:hAnsi="仿宋_GB2312" w:eastAsia="仿宋_GB2312" w:cs="仿宋_GB2312"/>
              <w:bCs w:val="0"/>
              <w:sz w:val="28"/>
              <w:szCs w:val="28"/>
            </w:rPr>
            <w:t>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_Toc24023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_Toc10976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四、</w:t>
          </w:r>
          <w:r>
            <w:rPr>
              <w:rFonts w:hint="eastAsia" w:ascii="仿宋_GB2312" w:hAnsi="仿宋_GB2312" w:eastAsia="仿宋_GB2312" w:cs="仿宋_GB2312"/>
              <w:sz w:val="28"/>
              <w:szCs w:val="28"/>
            </w:rPr>
            <w:t>财</w:t>
          </w:r>
          <w:r>
            <w:rPr>
              <w:rFonts w:hint="eastAsia" w:ascii="仿宋_GB2312" w:hAnsi="仿宋_GB2312" w:eastAsia="仿宋_GB2312" w:cs="仿宋_GB2312"/>
              <w:bCs w:val="0"/>
              <w:sz w:val="28"/>
              <w:szCs w:val="28"/>
            </w:rPr>
            <w:t>政拨款收入支出决算总表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_Toc10976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_Toc21466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五、</w:t>
          </w:r>
          <w:r>
            <w:rPr>
              <w:rFonts w:hint="eastAsia" w:ascii="仿宋_GB2312" w:hAnsi="仿宋_GB2312" w:eastAsia="仿宋_GB2312" w:cs="仿宋_GB2312"/>
              <w:sz w:val="28"/>
              <w:szCs w:val="28"/>
            </w:rPr>
            <w:t>财</w:t>
          </w:r>
          <w:r>
            <w:rPr>
              <w:rFonts w:hint="eastAsia" w:ascii="仿宋_GB2312" w:hAnsi="仿宋_GB2312" w:eastAsia="仿宋_GB2312" w:cs="仿宋_GB2312"/>
              <w:bCs w:val="0"/>
              <w:sz w:val="28"/>
              <w:szCs w:val="28"/>
            </w:rPr>
            <w:t>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_Toc21466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_Toc2143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六、</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_Toc2143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_Toc32100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七、</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_Toc32100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_Toc17350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八、</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般公共预算财政拨款基本支出决算表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_Toc17350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_Toc10434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九、</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般公共预算财政拨款项目支出决算表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_Toc10434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_Toc6168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w:t>
          </w:r>
          <w:r>
            <w:rPr>
              <w:rFonts w:hint="eastAsia" w:ascii="仿宋_GB2312" w:hAnsi="仿宋_GB2312" w:eastAsia="仿宋_GB2312" w:cs="仿宋_GB2312"/>
              <w:sz w:val="28"/>
              <w:szCs w:val="28"/>
            </w:rPr>
            <w:t>政</w:t>
          </w:r>
          <w:r>
            <w:rPr>
              <w:rFonts w:hint="eastAsia" w:ascii="仿宋_GB2312" w:hAnsi="仿宋_GB2312" w:eastAsia="仿宋_GB2312" w:cs="仿宋_GB2312"/>
              <w:bCs w:val="0"/>
              <w:sz w:val="28"/>
              <w:szCs w:val="28"/>
            </w:rPr>
            <w:t>府性基金预算财政拨款收入支出决算表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_Toc6168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_Toc23336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十一、</w:t>
          </w:r>
          <w:r>
            <w:rPr>
              <w:rFonts w:hint="eastAsia" w:ascii="仿宋_GB2312" w:hAnsi="仿宋_GB2312" w:eastAsia="仿宋_GB2312" w:cs="仿宋_GB2312"/>
              <w:sz w:val="28"/>
              <w:szCs w:val="28"/>
            </w:rPr>
            <w:t>国</w:t>
          </w:r>
          <w:r>
            <w:rPr>
              <w:rFonts w:hint="eastAsia" w:ascii="仿宋_GB2312" w:hAnsi="仿宋_GB2312" w:eastAsia="仿宋_GB2312" w:cs="仿宋_GB2312"/>
              <w:bCs w:val="0"/>
              <w:sz w:val="28"/>
              <w:szCs w:val="28"/>
            </w:rPr>
            <w:t>有资本经营预算财政拨款收入支出决算表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_Toc23336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_Toc23283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十二、国有资本经营预算财政拨款支出决算表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_Toc23283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_Toc19470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十三、财政拨款“三公”经费支出决算表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_Toc19470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_Toc1273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十四、部门项目支出绩效目标表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_Toc1273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end"/>
          </w:r>
        </w:p>
      </w:sdtContent>
    </w:sdt>
    <w:p>
      <w:pPr>
        <w:pStyle w:val="5"/>
        <w:jc w:val="center"/>
        <w:rPr>
          <w:rFonts w:hint="eastAsia" w:ascii="黑体" w:eastAsia="黑体"/>
          <w:b w:val="0"/>
        </w:rPr>
      </w:pPr>
      <w:bookmarkStart w:id="8" w:name="_Toc16019"/>
    </w:p>
    <w:p>
      <w:pPr>
        <w:pStyle w:val="5"/>
        <w:jc w:val="both"/>
        <w:rPr>
          <w:rFonts w:hint="eastAsia" w:ascii="黑体" w:eastAsia="黑体"/>
          <w:b w:val="0"/>
        </w:rPr>
      </w:pPr>
    </w:p>
    <w:p>
      <w:pPr>
        <w:rPr>
          <w:rFonts w:hint="eastAsia"/>
        </w:rPr>
      </w:pPr>
    </w:p>
    <w:p>
      <w:pPr>
        <w:pStyle w:val="5"/>
        <w:jc w:val="center"/>
        <w:rPr>
          <w:rStyle w:val="20"/>
          <w:rFonts w:ascii="黑体" w:eastAsia="黑体"/>
          <w:b/>
          <w:bCs w:val="0"/>
        </w:rPr>
      </w:pPr>
      <w:r>
        <w:rPr>
          <w:rFonts w:hint="eastAsia" w:ascii="黑体" w:eastAsia="黑体"/>
          <w:b w:val="0"/>
        </w:rPr>
        <w:t xml:space="preserve">第一部分 </w:t>
      </w:r>
      <w:r>
        <w:rPr>
          <w:rStyle w:val="20"/>
          <w:rFonts w:hint="eastAsia" w:ascii="黑体" w:eastAsia="黑体"/>
          <w:b w:val="0"/>
          <w:bCs w:val="0"/>
        </w:rPr>
        <w:t>部门概况</w:t>
      </w:r>
      <w:bookmarkEnd w:id="6"/>
      <w:bookmarkEnd w:id="7"/>
      <w:bookmarkEnd w:id="8"/>
    </w:p>
    <w:p>
      <w:pPr>
        <w:widowControl/>
        <w:jc w:val="left"/>
        <w:rPr>
          <w:rFonts w:ascii="黑体" w:eastAsia="黑体"/>
          <w:sz w:val="32"/>
          <w:szCs w:val="32"/>
        </w:rPr>
      </w:pPr>
    </w:p>
    <w:p>
      <w:pPr>
        <w:pStyle w:val="6"/>
        <w:numPr>
          <w:ilvl w:val="0"/>
          <w:numId w:val="1"/>
        </w:numPr>
        <w:rPr>
          <w:rFonts w:hint="eastAsia" w:ascii="黑体" w:eastAsia="黑体"/>
          <w:b w:val="0"/>
          <w:bCs/>
        </w:rPr>
      </w:pPr>
      <w:bookmarkStart w:id="9" w:name="_Toc31358"/>
      <w:r>
        <w:rPr>
          <w:rFonts w:hint="eastAsia" w:ascii="黑体" w:eastAsia="黑体"/>
          <w:b w:val="0"/>
          <w:bCs/>
        </w:rPr>
        <w:t>部门职责</w:t>
      </w:r>
      <w:bookmarkEnd w:id="9"/>
    </w:p>
    <w:p>
      <w:pPr>
        <w:pStyle w:val="15"/>
        <w:keepNext w:val="0"/>
        <w:keepLines w:val="0"/>
        <w:pageBreakBefore w:val="0"/>
        <w:widowControl/>
        <w:numPr>
          <w:ilvl w:val="0"/>
          <w:numId w:val="2"/>
        </w:numPr>
        <w:suppressLineNumbers w:val="0"/>
        <w:kinsoku/>
        <w:wordWrap/>
        <w:overflowPunct/>
        <w:topLinePunct w:val="0"/>
        <w:autoSpaceDE/>
        <w:autoSpaceDN/>
        <w:bidi w:val="0"/>
        <w:adjustRightInd/>
        <w:snapToGrid/>
        <w:spacing w:line="576" w:lineRule="exact"/>
        <w:ind w:left="0" w:right="75"/>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主要职能。</w:t>
      </w:r>
    </w:p>
    <w:p>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right="75" w:rightChars="0"/>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1.综合办公室主要职能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根据主任会议安排，承担代表大会会议、常委会议、主任会议及其他会议的筹备和会务工作。起草代表大会、常委会、主任会议的有关通知、总结、计划、决议、决定、纪要、报告等文件，编写《公报》、《人大工作简报》，组织人大工作的宣传及新闻报道和组织人大机构内部的政治学习。负责内外协调，承担有关接待工作，负责文书档案、工资福利、机关财务、机关人事管理和后勤服务、车辆管理、财产管理。办理常委会领导同志交办的其他事项。 </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2.人大常委会财政经济预算和农业农村城乡环境保护委员会主要职能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（1）为县人大常委会审议财政经济方面的各种报告，开展初审工作并提出意见，草拟县人大常委会会议相应的审议意见。</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（2）根据常委会议和主任会议安排，承担对财政、经济方面的执法检查、代表视察和代表评议的牵头工作。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（3）按照对口联系范围，经常联系财政和其他经济管理部门，开展调查研究工作，印发有关调查报告。</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（4）承办上级人大对口的专门委员会发来的法律法规征求意见的整理上报工作。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（5）办理本工作委员会全部文书档案工作。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（6）承担领导交办的其他工作。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3.县人大常委会法制监察司法和民族宗教外事委员会主要职能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（1）为县人大常委会会议，审议政法方面的各种工作报告，开展初审，提出意见，草拟县人大常委会会议的相应审议意见。</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（2）根据常委会议及主任会议安排，承担对政法和司法机关，以及法制建设执法检查、代表视察和代表评议的牵头工作。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（3）按照对口联系范围经常对公、检、法、司等部门，开展调查研究工作，印发有关电查报告。</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（4）承办上级人大对口专门委员会发来的法律法规征求意见和整理上报工作。  </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（5）办理本工作委员会的全部文书档案工作。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（6）承担领导交办的其他工作。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4.县人大常委会教育科学文化卫生和社会建设委员会主要职能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（1）为县人大常委会审议教育、科学、文化、卫生、民族宗教等方面的各种报告，开展初审工作，提出初审意见，草拟常委会会议相应的审议意见。</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（2）根据常委会议和主任会议安排，承担对教育、科技、文化、卫生、民族、宗教等方面的执法检查、代表视察和代表评议的牵头工作。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（3）按照对口联系范围，经常联系教育、科技、文化、卫生、民族、宗教等部门，开展调查研究工作，印发调查报告。</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（4）承办上级对口专门委员会发来的法律法规征求意见和整理上报工作。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（5）办理本工作委员会的全部文书档案工作。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（6）承担领导交办的其他工作。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5.县人大常委人事代表工作委员会主要职能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（1）办理人民代表大会及其常务委员会人事任免的具体工作。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（2）加强同县委、组织部、纪委、上级人大常委会对口部门、乡镇党委、本级“一府两院”的人事监察部门、政工机构和信访部门的配合与联系。</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（3）搞好对县人大常委会任命的国家机关工作人员的述职评议工作。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（4）承担换届选举方面的具体工作和由上面交办的人民代表大会制度和人大工作方面的法律、法规的征求意见，整理上报工作。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（5）做好代表联系，办理代表议案建议、批评和意见，办理人民群众的来信来访工作。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（6）承担县人大常委会代表资格审查委员会的有关具体工作和指导乡、镇人大及其主席团的工作。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6.预算联网中心主要职能</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负责全县预算及相关预算执行相关数据的监督等管理工作。</w:t>
      </w:r>
    </w:p>
    <w:p>
      <w:pPr>
        <w:pStyle w:val="15"/>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4</w:t>
      </w:r>
      <w:r>
        <w:rPr>
          <w:rFonts w:hint="eastAsia" w:ascii="楷体_GB2312" w:hAnsi="楷体_GB2312" w:eastAsia="楷体_GB2312" w:cs="楷体_GB2312"/>
          <w:b/>
          <w:bCs/>
          <w:sz w:val="32"/>
          <w:szCs w:val="32"/>
          <w:shd w:val="clear" w:color="auto" w:fill="FFFFFF"/>
        </w:rPr>
        <w:t>年重点工作完成情况。</w:t>
      </w:r>
    </w:p>
    <w:p>
      <w:pPr>
        <w:pStyle w:val="6"/>
        <w:pageBreakBefore w:val="0"/>
        <w:widowControl w:val="0"/>
        <w:numPr>
          <w:ilvl w:val="0"/>
          <w:numId w:val="0"/>
        </w:numPr>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b w:val="0"/>
          <w:bCs w:val="0"/>
          <w:kern w:val="2"/>
          <w:sz w:val="32"/>
          <w:szCs w:val="32"/>
          <w:shd w:val="clear" w:color="auto" w:fill="FFFFFF"/>
          <w:lang w:val="en-US" w:eastAsia="zh-CN" w:bidi="ar-SA"/>
        </w:rPr>
      </w:pPr>
      <w:bookmarkStart w:id="10" w:name="_Toc15377200"/>
      <w:bookmarkStart w:id="11" w:name="_Toc13721"/>
      <w:bookmarkStart w:id="12" w:name="_Toc15396601"/>
      <w:r>
        <w:rPr>
          <w:rFonts w:hint="eastAsia" w:ascii="楷体_GB2312" w:hAnsi="楷体_GB2312" w:eastAsia="楷体_GB2312" w:cs="楷体_GB2312"/>
          <w:b/>
          <w:bCs/>
          <w:color w:val="000000"/>
          <w:kern w:val="0"/>
          <w:sz w:val="32"/>
          <w:szCs w:val="32"/>
          <w:lang w:val="en-US" w:eastAsia="zh-CN" w:bidi="ar-SA"/>
        </w:rPr>
        <w:t>1.坚决贯彻县委决策部署。</w:t>
      </w:r>
      <w:r>
        <w:rPr>
          <w:rFonts w:hint="eastAsia" w:ascii="仿宋_GB2312" w:hAnsi="仿宋_GB2312" w:eastAsia="仿宋_GB2312" w:cs="仿宋_GB2312"/>
          <w:b w:val="0"/>
          <w:bCs w:val="0"/>
          <w:kern w:val="2"/>
          <w:sz w:val="32"/>
          <w:szCs w:val="32"/>
          <w:shd w:val="clear" w:color="auto" w:fill="FFFFFF"/>
          <w:lang w:val="en-US" w:eastAsia="zh-CN" w:bidi="ar-SA"/>
        </w:rPr>
        <w:t>围绕县委中心统筹安排年度重点工作，2024年召开常委会会议6次、主任会议6次，十五届人民代表大会1次，听取和审议政府、财政、计划、人大、法院、检察院工作报告，确保与县委中心工作同频共振、同向发力。坚持党管干部原则与依法行使任免权相统一，认真审议任免案，充分讨论，增强思想共识，全力支持机构改革、全力支持县委人事安排决策。2024年，依法任免国家机关工作人员59人次，其中：决定任命13人次、决定免去9人次、任命17人次、免去8人次、接受辞去代表职务8人、终止代表职务1人、接受辞去常委会委员职务3人。</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default"/>
          <w:lang w:val="en-US" w:eastAsia="zh-CN"/>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2.组织召开县十五届人大第三次会议。</w:t>
      </w:r>
      <w:r>
        <w:rPr>
          <w:rFonts w:hint="eastAsia" w:ascii="仿宋_GB2312" w:hAnsi="仿宋_GB2312" w:eastAsia="仿宋_GB2312" w:cs="Times New Roman"/>
          <w:sz w:val="32"/>
          <w:lang w:val="en-US" w:eastAsia="zh-CN"/>
        </w:rPr>
        <w:t>1月14日-17日，县十五届人大第三次会议在红原县召开，会议听取和审查了县人民政府工作报告、红原县2023年</w:t>
      </w:r>
      <w:r>
        <w:rPr>
          <w:rFonts w:hint="eastAsia" w:ascii="仿宋_GB2312" w:hAnsi="仿宋_GB2312" w:eastAsia="仿宋_GB2312" w:cs="仿宋_GB2312"/>
          <w:b w:val="0"/>
          <w:bCs/>
          <w:color w:val="000000"/>
          <w:kern w:val="0"/>
          <w:sz w:val="32"/>
          <w:szCs w:val="32"/>
          <w:shd w:val="clear" w:color="auto" w:fill="FFFFFF"/>
          <w:lang w:val="en-US" w:eastAsia="zh-CN" w:bidi="ar"/>
        </w:rPr>
        <w:t>国民经济和社会发展计划执行情况及2024年计划（草案）的报告、</w:t>
      </w:r>
      <w:r>
        <w:rPr>
          <w:rFonts w:hint="eastAsia" w:ascii="仿宋_GB2312" w:hAnsi="仿宋_GB2312" w:eastAsia="仿宋_GB2312"/>
          <w:sz w:val="32"/>
        </w:rPr>
        <w:t>红原县2023年财政预算执行情况及2024年财政预算草案的报告</w:t>
      </w:r>
      <w:r>
        <w:rPr>
          <w:rFonts w:hint="eastAsia" w:ascii="仿宋_GB2312" w:hAnsi="仿宋_GB2312" w:eastAsia="仿宋_GB2312"/>
          <w:sz w:val="32"/>
          <w:lang w:eastAsia="zh-CN"/>
        </w:rPr>
        <w:t>、</w:t>
      </w:r>
      <w:r>
        <w:rPr>
          <w:rFonts w:hint="eastAsia" w:ascii="仿宋_GB2312" w:hAnsi="仿宋_GB2312" w:eastAsia="仿宋_GB2312"/>
          <w:sz w:val="32"/>
        </w:rPr>
        <w:t>乡村振兴</w:t>
      </w:r>
      <w:r>
        <w:rPr>
          <w:rFonts w:hint="eastAsia" w:ascii="仿宋_GB2312" w:hAnsi="仿宋_GB2312" w:eastAsia="仿宋_GB2312"/>
          <w:sz w:val="32"/>
          <w:lang w:eastAsia="zh-CN"/>
        </w:rPr>
        <w:t>促进</w:t>
      </w:r>
      <w:r>
        <w:rPr>
          <w:rFonts w:hint="eastAsia" w:ascii="仿宋_GB2312" w:hAnsi="仿宋_GB2312" w:eastAsia="仿宋_GB2312"/>
          <w:sz w:val="32"/>
        </w:rPr>
        <w:t>工作</w:t>
      </w:r>
      <w:r>
        <w:rPr>
          <w:rFonts w:hint="eastAsia" w:ascii="仿宋_GB2312" w:hAnsi="仿宋_GB2312" w:eastAsia="仿宋_GB2312"/>
          <w:sz w:val="32"/>
          <w:lang w:val="en-US" w:eastAsia="zh-CN"/>
        </w:rPr>
        <w:t>情况</w:t>
      </w:r>
      <w:r>
        <w:rPr>
          <w:rFonts w:hint="eastAsia" w:ascii="仿宋_GB2312" w:hAnsi="仿宋_GB2312" w:eastAsia="仿宋_GB2312"/>
          <w:sz w:val="32"/>
          <w:lang w:eastAsia="zh-CN"/>
        </w:rPr>
        <w:t>的</w:t>
      </w:r>
      <w:r>
        <w:rPr>
          <w:rFonts w:hint="eastAsia" w:ascii="仿宋_GB2312" w:hAnsi="仿宋_GB2312" w:eastAsia="仿宋_GB2312"/>
          <w:sz w:val="32"/>
        </w:rPr>
        <w:t>报告</w:t>
      </w:r>
      <w:r>
        <w:rPr>
          <w:rFonts w:hint="eastAsia" w:ascii="仿宋_GB2312" w:hAnsi="仿宋_GB2312" w:eastAsia="仿宋_GB2312" w:cs="仿宋_GB2312"/>
          <w:b w:val="0"/>
          <w:bCs w:val="0"/>
          <w:color w:val="000000"/>
          <w:w w:val="100"/>
          <w:sz w:val="32"/>
          <w:szCs w:val="32"/>
          <w:lang w:val="en-US" w:eastAsia="zh-CN"/>
        </w:rPr>
        <w:t>，</w:t>
      </w:r>
      <w:r>
        <w:rPr>
          <w:rFonts w:hint="eastAsia" w:ascii="仿宋_GB2312" w:hAnsi="仿宋_GB2312" w:eastAsia="仿宋_GB2312"/>
          <w:sz w:val="32"/>
        </w:rPr>
        <w:t>票决</w:t>
      </w:r>
      <w:r>
        <w:rPr>
          <w:rFonts w:hint="eastAsia" w:ascii="仿宋_GB2312" w:hAnsi="仿宋_GB2312" w:eastAsia="仿宋_GB2312"/>
          <w:sz w:val="32"/>
          <w:lang w:eastAsia="zh-CN"/>
        </w:rPr>
        <w:t>了</w:t>
      </w:r>
      <w:r>
        <w:rPr>
          <w:rFonts w:hint="eastAsia" w:ascii="仿宋_GB2312" w:hAnsi="仿宋_GB2312" w:eastAsia="仿宋_GB2312"/>
          <w:sz w:val="32"/>
        </w:rPr>
        <w:t>2024年度民生实事项目</w:t>
      </w:r>
      <w:r>
        <w:rPr>
          <w:rFonts w:hint="eastAsia" w:ascii="仿宋_GB2312" w:hAnsi="仿宋_GB2312" w:eastAsia="仿宋_GB2312"/>
          <w:sz w:val="32"/>
          <w:lang w:eastAsia="zh-CN"/>
        </w:rPr>
        <w:t>，</w:t>
      </w:r>
      <w:r>
        <w:rPr>
          <w:rFonts w:hint="eastAsia" w:ascii="仿宋_GB2312" w:hAnsi="仿宋_GB2312" w:eastAsia="仿宋_GB2312" w:cs="仿宋_GB2312"/>
          <w:b w:val="0"/>
          <w:bCs w:val="0"/>
          <w:color w:val="000000"/>
          <w:w w:val="100"/>
          <w:sz w:val="32"/>
          <w:szCs w:val="32"/>
          <w:lang w:val="en-US" w:eastAsia="zh-CN"/>
        </w:rPr>
        <w:t>并依法作出相关决议，会议依法选举县监察委员会主任、人大常委会委员，并举行宪法宣誓。</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b w:val="0"/>
          <w:bCs w:val="0"/>
          <w:color w:val="000000"/>
          <w:w w:val="100"/>
          <w:sz w:val="32"/>
          <w:szCs w:val="32"/>
          <w:lang w:val="en-US" w:eastAsia="zh-CN"/>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3.聚焦预算审查监督。</w:t>
      </w:r>
      <w:r>
        <w:rPr>
          <w:rFonts w:hint="eastAsia" w:ascii="仿宋_GB2312" w:hAnsi="仿宋_GB2312" w:eastAsia="仿宋_GB2312" w:cs="仿宋_GB2312"/>
          <w:b w:val="0"/>
          <w:bCs/>
          <w:color w:val="000000"/>
          <w:kern w:val="0"/>
          <w:sz w:val="32"/>
          <w:szCs w:val="32"/>
          <w:shd w:val="clear" w:color="auto" w:fill="FFFFFF"/>
          <w:lang w:val="en-US" w:eastAsia="zh-CN" w:bidi="ar"/>
        </w:rPr>
        <w:t>听取了县人民政府红原县2024年部门预算编制情况的报告</w:t>
      </w:r>
      <w:r>
        <w:rPr>
          <w:rFonts w:hint="eastAsia" w:ascii="仿宋_GB2312" w:hAnsi="仿宋_GB2312" w:eastAsia="仿宋_GB2312" w:cs="仿宋_GB2312"/>
          <w:b w:val="0"/>
          <w:bCs w:val="0"/>
          <w:color w:val="000000"/>
          <w:w w:val="100"/>
          <w:sz w:val="32"/>
          <w:szCs w:val="32"/>
          <w:lang w:val="en-US" w:eastAsia="zh-CN"/>
        </w:rPr>
        <w:t>，2023年度财政预算执行和其他财政收支审计情况的报告、关于红原县2023年财政决算情况和2024年上半年财政预算执行情况的报告、关于2024年财政预算调整方案（草案）的报告、关于红原县2024年财政涉农资金统筹整合使用方案（草案）的报告，要求县人民政府按照常委会依法作出的审议意见和决议认真予以落实，切实维护预算执行的严肃性，保持经济和社会各项事业全面发展。</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color w:val="000000"/>
          <w:kern w:val="0"/>
          <w:sz w:val="32"/>
          <w:szCs w:val="32"/>
          <w:lang w:val="en-US" w:eastAsia="zh-CN" w:bidi="ar-SA"/>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4.聚焦社会治理开展监督。</w:t>
      </w:r>
      <w:r>
        <w:rPr>
          <w:rFonts w:hint="eastAsia" w:ascii="仿宋_GB2312" w:hAnsi="仿宋_GB2312" w:eastAsia="仿宋_GB2312" w:cs="Times New Roman"/>
          <w:sz w:val="32"/>
          <w:lang w:val="en-US" w:eastAsia="zh-CN"/>
        </w:rPr>
        <w:t>按照红原县人大常委会主任会议工作安排，2024年3月，县人大就2024年3月全县各乡镇重点工作开展情况进行了调研，并对当前各乡镇存在问题进行了梳理及提出意见建议，</w:t>
      </w:r>
      <w:r>
        <w:rPr>
          <w:rFonts w:hint="eastAsia" w:ascii="仿宋_GB2312" w:hAnsi="仿宋_GB2312" w:eastAsia="仿宋_GB2312" w:cs="仿宋_GB2312"/>
          <w:b w:val="0"/>
          <w:bCs w:val="0"/>
          <w:i w:val="0"/>
          <w:iCs w:val="0"/>
          <w:caps w:val="0"/>
          <w:color w:val="000000" w:themeColor="text1"/>
          <w:spacing w:val="0"/>
          <w:sz w:val="32"/>
          <w:szCs w:val="32"/>
          <w:shd w:val="clear" w:color="auto" w:fill="auto"/>
          <w:lang w:val="en-US" w:eastAsia="zh-CN"/>
        </w:rPr>
        <w:t>得到了县委主要领导充分肯定批示。</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color w:val="000000"/>
          <w:sz w:val="32"/>
          <w:szCs w:val="32"/>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5.聚焦生态环境保护开展监督。</w:t>
      </w:r>
      <w:r>
        <w:rPr>
          <w:rFonts w:hint="eastAsia" w:ascii="仿宋_GB2312" w:eastAsia="仿宋_GB2312"/>
          <w:color w:val="000000"/>
          <w:sz w:val="32"/>
          <w:szCs w:val="32"/>
          <w:shd w:val="clear" w:color="auto" w:fill="FFFFFF"/>
          <w:lang w:val="en-US" w:eastAsia="zh-CN"/>
        </w:rPr>
        <w:t>针对</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人民</w:t>
      </w:r>
      <w:r>
        <w:rPr>
          <w:rFonts w:hint="eastAsia" w:ascii="仿宋_GB2312" w:hAnsi="仿宋_GB2312" w:eastAsia="仿宋_GB2312" w:cs="仿宋_GB2312"/>
          <w:color w:val="000000"/>
          <w:sz w:val="32"/>
          <w:szCs w:val="32"/>
        </w:rPr>
        <w:t>政府关于</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环境状况和环境保护目标完成情况</w:t>
      </w:r>
      <w:r>
        <w:rPr>
          <w:rFonts w:hint="eastAsia" w:ascii="仿宋_GB2312" w:hAnsi="仿宋_GB2312" w:eastAsia="仿宋_GB2312" w:cs="仿宋_GB2312"/>
          <w:color w:val="000000"/>
          <w:kern w:val="0"/>
          <w:sz w:val="32"/>
          <w:szCs w:val="32"/>
          <w:lang w:val="en-US" w:eastAsia="zh-CN"/>
        </w:rPr>
        <w:t>开展了专项调研</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督促县人民政府</w:t>
      </w:r>
      <w:r>
        <w:rPr>
          <w:rFonts w:hint="eastAsia" w:ascii="仿宋_GB2312" w:hAnsi="仿宋_GB2312" w:eastAsia="仿宋_GB2312" w:cs="仿宋_GB2312"/>
          <w:color w:val="000000"/>
          <w:sz w:val="32"/>
          <w:szCs w:val="32"/>
        </w:rPr>
        <w:t>要聚焦突出生态环境问题治理，努力推动污染防治从攻坚突破向拓展提升转变</w:t>
      </w:r>
      <w:r>
        <w:rPr>
          <w:rFonts w:hint="eastAsia" w:ascii="仿宋_GB2312" w:hAnsi="仿宋_GB2312" w:eastAsia="仿宋_GB2312" w:cs="仿宋_GB2312"/>
          <w:color w:val="000000"/>
          <w:sz w:val="32"/>
          <w:szCs w:val="32"/>
          <w:lang w:eastAsia="zh-CN"/>
        </w:rPr>
        <w:t>；</w:t>
      </w:r>
      <w:r>
        <w:rPr>
          <w:rFonts w:hint="default" w:ascii="仿宋_GB2312" w:hAnsi="仿宋_GB2312" w:eastAsia="仿宋_GB2312" w:cs="仿宋_GB2312"/>
          <w:color w:val="000000"/>
          <w:sz w:val="32"/>
          <w:szCs w:val="32"/>
        </w:rPr>
        <w:t>紧盯中央、省</w:t>
      </w:r>
      <w:r>
        <w:rPr>
          <w:rFonts w:hint="eastAsia" w:ascii="仿宋_GB2312" w:hAnsi="仿宋_GB2312" w:eastAsia="仿宋_GB2312" w:cs="仿宋_GB2312"/>
          <w:color w:val="000000"/>
          <w:sz w:val="32"/>
          <w:szCs w:val="32"/>
          <w:lang w:eastAsia="zh-CN"/>
        </w:rPr>
        <w:t>、州</w:t>
      </w:r>
      <w:r>
        <w:rPr>
          <w:rFonts w:hint="default" w:ascii="仿宋_GB2312" w:hAnsi="仿宋_GB2312" w:eastAsia="仿宋_GB2312" w:cs="仿宋_GB2312"/>
          <w:color w:val="000000"/>
          <w:sz w:val="32"/>
          <w:szCs w:val="32"/>
        </w:rPr>
        <w:t>生态环境督察反馈问题整改工作</w:t>
      </w:r>
      <w:r>
        <w:rPr>
          <w:rFonts w:hint="eastAsia" w:ascii="仿宋_GB2312" w:hAnsi="仿宋_GB2312" w:eastAsia="仿宋_GB2312" w:cs="仿宋_GB2312"/>
          <w:color w:val="000000"/>
          <w:sz w:val="32"/>
          <w:szCs w:val="32"/>
        </w:rPr>
        <w:t>坚决打好督察整改攻坚战。</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6.聚焦民生保障开展监督。</w:t>
      </w:r>
      <w:r>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t>听取和审议了县人民政府关于红原县食品安全监督工作情况的报告、关于《四川省农村集体经济组织条例》实施情况</w:t>
      </w:r>
      <w:r>
        <w:rPr>
          <w:rFonts w:hint="eastAsia" w:ascii="仿宋_GB2312" w:hAnsi="Times New Roman" w:eastAsia="仿宋_GB2312" w:cs="Times New Roman"/>
          <w:b w:val="0"/>
          <w:color w:val="auto"/>
          <w:kern w:val="2"/>
          <w:sz w:val="32"/>
          <w:lang w:val="en-US" w:eastAsia="zh-CN"/>
        </w:rPr>
        <w:t>的报告</w:t>
      </w:r>
      <w:r>
        <w:rPr>
          <w:rFonts w:hint="eastAsia" w:ascii="仿宋_GB2312" w:eastAsia="仿宋_GB2312" w:cs="Times New Roman"/>
          <w:b w:val="0"/>
          <w:color w:val="auto"/>
          <w:kern w:val="2"/>
          <w:sz w:val="32"/>
          <w:lang w:val="en-US" w:eastAsia="zh-CN"/>
        </w:rPr>
        <w:t>、关于红原县城乡社会救助工作情况的报告、关于红原县生态家庭牧场发展情况的报告、关于红原经营性国有资产运行情况的报告，</w:t>
      </w:r>
      <w:r>
        <w:rPr>
          <w:rFonts w:hint="eastAsia" w:ascii="仿宋_GB2312" w:hAnsi="仿宋_GB2312" w:eastAsia="仿宋_GB2312" w:cs="仿宋_GB2312"/>
          <w:color w:val="000000"/>
          <w:sz w:val="32"/>
          <w:szCs w:val="32"/>
        </w:rPr>
        <w:t>提出针对性较强的审议意见</w:t>
      </w: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条，督促</w:t>
      </w:r>
      <w:r>
        <w:rPr>
          <w:rFonts w:hint="eastAsia" w:ascii="仿宋_GB2312" w:hAnsi="仿宋_GB2312" w:eastAsia="仿宋_GB2312" w:cs="仿宋_GB2312"/>
          <w:color w:val="000000"/>
          <w:sz w:val="32"/>
          <w:szCs w:val="32"/>
          <w:lang w:val="en-US" w:eastAsia="zh-CN"/>
        </w:rPr>
        <w:t>相关部门</w:t>
      </w:r>
      <w:r>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t>抓好日常监管，着力排除隐患，提升监管水平，凝聚社会共识。</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b w:val="0"/>
          <w:bCs w:val="0"/>
          <w:i w:val="0"/>
          <w:iCs w:val="0"/>
          <w:caps w:val="0"/>
          <w:color w:val="000000" w:themeColor="text1"/>
          <w:spacing w:val="0"/>
          <w:sz w:val="32"/>
          <w:szCs w:val="32"/>
          <w:shd w:val="clear" w:color="auto" w:fill="auto"/>
          <w:lang w:val="en-US" w:eastAsia="zh-CN"/>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7.聚焦重点项目建设开展监督。</w:t>
      </w:r>
      <w:r>
        <w:rPr>
          <w:rFonts w:hint="eastAsia" w:ascii="仿宋_GB2312" w:hAnsi="仿宋_GB2312" w:eastAsia="仿宋_GB2312" w:cs="仿宋_GB2312"/>
          <w:b w:val="0"/>
          <w:bCs w:val="0"/>
          <w:i w:val="0"/>
          <w:iCs w:val="0"/>
          <w:caps w:val="0"/>
          <w:color w:val="000000" w:themeColor="text1"/>
          <w:spacing w:val="0"/>
          <w:sz w:val="32"/>
          <w:szCs w:val="32"/>
          <w:shd w:val="clear" w:color="auto" w:fill="auto"/>
          <w:lang w:val="en-US" w:eastAsia="zh-CN"/>
        </w:rPr>
        <w:t>组织组织省、州、县、乡镇人大代表和属地人民群众对</w:t>
      </w:r>
      <w:r>
        <w:rPr>
          <w:rFonts w:hint="eastAsia" w:ascii="仿宋_GB2312" w:hAnsi="仿宋_GB2312" w:eastAsia="仿宋_GB2312" w:cs="仿宋_GB2312"/>
          <w:sz w:val="32"/>
          <w:szCs w:val="32"/>
          <w:lang w:val="en-US" w:eastAsia="zh-CN"/>
        </w:rPr>
        <w:t>色地镇民族特色村寨建设项目、藏医院能力提升建设项目（续建）、瓦切镇小学学生宿舍建设项目、龙日镇小学综合楼建设项目共4个民生实事项目开展专题监督。</w:t>
      </w:r>
      <w:r>
        <w:rPr>
          <w:rFonts w:hint="eastAsia" w:ascii="仿宋_GB2312" w:hAnsi="仿宋_GB2312" w:eastAsia="仿宋_GB2312" w:cs="仿宋_GB2312"/>
          <w:b w:val="0"/>
          <w:bCs w:val="0"/>
          <w:i w:val="0"/>
          <w:iCs w:val="0"/>
          <w:caps w:val="0"/>
          <w:color w:val="000000" w:themeColor="text1"/>
          <w:spacing w:val="0"/>
          <w:sz w:val="32"/>
          <w:szCs w:val="32"/>
          <w:shd w:val="clear" w:color="auto" w:fill="auto"/>
          <w:lang w:val="en-US" w:eastAsia="zh-CN"/>
        </w:rPr>
        <w:t>听取和审议了红原县人民政府关于2024年重点项目完成情况的报告，并结合存在的问题提出了可行性建议意见6条，督促县人民政府强化工作落实、规范项目管理，促进重大项目实施，助推经济社会发展。</w:t>
      </w:r>
    </w:p>
    <w:p>
      <w:pPr>
        <w:rPr>
          <w:rFonts w:hint="eastAsia"/>
          <w:lang w:val="en-US" w:eastAsia="zh-CN"/>
        </w:rPr>
      </w:pPr>
    </w:p>
    <w:p>
      <w:pPr>
        <w:pStyle w:val="6"/>
        <w:pageBreakBefore w:val="0"/>
        <w:widowControl w:val="0"/>
        <w:numPr>
          <w:ilvl w:val="0"/>
          <w:numId w:val="0"/>
        </w:numPr>
        <w:kinsoku/>
        <w:wordWrap/>
        <w:overflowPunct/>
        <w:topLinePunct w:val="0"/>
        <w:autoSpaceDE/>
        <w:autoSpaceDN/>
        <w:bidi w:val="0"/>
        <w:spacing w:line="576" w:lineRule="exact"/>
        <w:textAlignment w:val="auto"/>
        <w:rPr>
          <w:rStyle w:val="21"/>
          <w:b w:val="0"/>
          <w:bCs/>
        </w:rPr>
      </w:pPr>
      <w:r>
        <w:rPr>
          <w:rFonts w:hint="eastAsia" w:ascii="黑体" w:eastAsia="黑体"/>
          <w:b w:val="0"/>
          <w:bCs/>
        </w:rPr>
        <w:t>二、机</w:t>
      </w:r>
      <w:r>
        <w:rPr>
          <w:rStyle w:val="21"/>
          <w:rFonts w:hint="eastAsia" w:ascii="黑体" w:eastAsia="黑体"/>
          <w:b w:val="0"/>
          <w:bCs/>
        </w:rPr>
        <w:t>构设置</w:t>
      </w:r>
      <w:bookmarkEnd w:id="10"/>
      <w:bookmarkEnd w:id="11"/>
      <w:bookmarkEnd w:id="12"/>
    </w:p>
    <w:p>
      <w:pPr>
        <w:ind w:firstLine="800" w:firstLineChars="250"/>
        <w:rPr>
          <w:rFonts w:hint="eastAsia"/>
          <w:sz w:val="32"/>
          <w:szCs w:val="32"/>
        </w:rPr>
      </w:pP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人大常委会办公室下属二级预算单位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个，其中</w:t>
      </w:r>
      <w:r>
        <w:rPr>
          <w:rFonts w:hint="eastAsia" w:ascii="仿宋_GB2312" w:hAnsi="仿宋_GB2312" w:eastAsia="仿宋_GB2312" w:cs="仿宋_GB2312"/>
          <w:sz w:val="32"/>
          <w:szCs w:val="32"/>
          <w:lang w:eastAsia="zh-CN"/>
        </w:rPr>
        <w:t>全额拨款</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（红原县人民代表大会常委委员会办公室本级）</w:t>
      </w:r>
      <w:r>
        <w:rPr>
          <w:rFonts w:hint="eastAsia" w:ascii="仿宋_GB2312" w:hAnsi="仿宋_GB2312" w:eastAsia="仿宋_GB2312" w:cs="仿宋_GB2312"/>
          <w:sz w:val="32"/>
          <w:szCs w:val="32"/>
        </w:rPr>
        <w:t>，人大常委会办公室内设办公室、法制监察司法和民族宗教外事委员会、财政经济预算和农业农村城乡环境保护委员会、教育科学文化卫生和社会建设委员会及人事代表工作委员会“四委一室”</w:t>
      </w:r>
      <w:r>
        <w:rPr>
          <w:rFonts w:hint="eastAsia" w:ascii="仿宋_GB2312" w:hAnsi="仿宋_GB2312" w:eastAsia="仿宋_GB2312" w:cs="仿宋_GB2312"/>
          <w:sz w:val="32"/>
          <w:szCs w:val="32"/>
          <w:lang w:eastAsia="zh-CN"/>
        </w:rPr>
        <w:t>；全额拨款股级</w:t>
      </w:r>
      <w:r>
        <w:rPr>
          <w:rFonts w:hint="eastAsia" w:ascii="仿宋_GB2312" w:hAnsi="仿宋_GB2312" w:eastAsia="仿宋_GB2312" w:cs="仿宋_GB2312"/>
          <w:sz w:val="32"/>
          <w:szCs w:val="32"/>
        </w:rPr>
        <w:t>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（红原县人大预算联网服务中心）</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2024</w:t>
      </w:r>
      <w:r>
        <w:rPr>
          <w:rFonts w:hint="eastAsia" w:ascii="仿宋_GB2312" w:hAnsi="仿宋_GB2312" w:eastAsia="仿宋_GB2312" w:cs="仿宋_GB2312"/>
          <w:bCs/>
          <w:sz w:val="32"/>
          <w:szCs w:val="32"/>
        </w:rPr>
        <w:t>年底我单位共有</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，非参公事业人员</w:t>
      </w:r>
      <w:r>
        <w:rPr>
          <w:rFonts w:hint="eastAsia" w:ascii="仿宋_GB2312" w:hAnsi="仿宋_GB2312" w:eastAsia="仿宋_GB2312" w:cs="仿宋_GB2312"/>
          <w:sz w:val="32"/>
          <w:szCs w:val="32"/>
          <w:lang w:val="en-US" w:eastAsia="zh-CN"/>
        </w:rPr>
        <w:t>2人，同比去年事业增加1人，主要变动原因是正常调动</w:t>
      </w:r>
      <w:r>
        <w:rPr>
          <w:rFonts w:hint="eastAsia" w:ascii="仿宋_GB2312" w:hAnsi="仿宋_GB2312" w:eastAsia="仿宋_GB2312" w:cs="仿宋_GB2312"/>
          <w:sz w:val="32"/>
          <w:szCs w:val="32"/>
        </w:rPr>
        <w:t>。</w:t>
      </w:r>
    </w:p>
    <w:p>
      <w:pPr>
        <w:pStyle w:val="8"/>
        <w:adjustRightInd w:val="0"/>
        <w:snapToGrid w:val="0"/>
        <w:spacing w:beforeLines="0" w:line="600" w:lineRule="exact"/>
        <w:ind w:firstLine="668" w:firstLineChars="20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人大常委会办公室202</w:t>
      </w:r>
      <w:r>
        <w:rPr>
          <w:rFonts w:hint="eastAsia" w:hAnsi="仿宋_GB2312" w:cs="仿宋_GB2312"/>
          <w:sz w:val="32"/>
          <w:szCs w:val="32"/>
          <w:lang w:val="en-US" w:eastAsia="zh-CN"/>
        </w:rPr>
        <w:t>4</w:t>
      </w:r>
      <w:r>
        <w:rPr>
          <w:rFonts w:hint="eastAsia" w:ascii="仿宋_GB2312" w:hAnsi="仿宋_GB2312" w:eastAsia="仿宋_GB2312" w:cs="仿宋_GB2312"/>
          <w:sz w:val="32"/>
          <w:szCs w:val="32"/>
        </w:rPr>
        <w:t>年度部门决算编制范围的二级预算单位包括：</w:t>
      </w:r>
    </w:p>
    <w:p>
      <w:pPr>
        <w:pStyle w:val="8"/>
        <w:numPr>
          <w:ilvl w:val="0"/>
          <w:numId w:val="0"/>
        </w:numPr>
        <w:adjustRightInd w:val="0"/>
        <w:snapToGrid w:val="0"/>
        <w:spacing w:beforeLines="0" w:line="600" w:lineRule="exact"/>
        <w:ind w:left="672" w:leftChars="0"/>
        <w:outlineLvl w:val="2"/>
        <w:rPr>
          <w:rFonts w:hint="eastAsia" w:ascii="仿宋_GB2312" w:hAnsi="仿宋_GB2312" w:eastAsia="仿宋_GB2312" w:cs="仿宋_GB2312"/>
          <w:sz w:val="32"/>
          <w:szCs w:val="32"/>
        </w:rPr>
      </w:pPr>
      <w:bookmarkStart w:id="13" w:name="_Toc15377202"/>
      <w:bookmarkStart w:id="14" w:name="_Toc15378449"/>
      <w:bookmarkStart w:id="15" w:name="_Toc15377433"/>
      <w:bookmarkStart w:id="16" w:name="_Toc15306276"/>
      <w:r>
        <w:rPr>
          <w:rFonts w:hint="eastAsia" w:hAnsi="仿宋_GB2312" w:cs="仿宋_GB2312"/>
          <w:sz w:val="32"/>
          <w:szCs w:val="32"/>
          <w:lang w:val="en-US" w:eastAsia="zh-CN"/>
        </w:rPr>
        <w:t>1.</w:t>
      </w:r>
      <w:r>
        <w:rPr>
          <w:rFonts w:hint="eastAsia" w:ascii="仿宋_GB2312" w:hAnsi="仿宋_GB2312" w:eastAsia="仿宋_GB2312" w:cs="仿宋_GB2312"/>
          <w:sz w:val="32"/>
          <w:szCs w:val="32"/>
          <w:lang w:eastAsia="zh-CN"/>
        </w:rPr>
        <w:t>红原县人民代表大会常委委员会办公室本级</w:t>
      </w:r>
    </w:p>
    <w:bookmarkEnd w:id="13"/>
    <w:bookmarkEnd w:id="14"/>
    <w:bookmarkEnd w:id="15"/>
    <w:bookmarkEnd w:id="16"/>
    <w:p>
      <w:pPr>
        <w:widowControl/>
        <w:ind w:firstLine="640" w:firstLineChars="200"/>
        <w:jc w:val="left"/>
        <w:rPr>
          <w:rFonts w:ascii="仿宋" w:eastAsia="仿宋"/>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红原县人大预算联网服务中心</w:t>
      </w:r>
      <w:r>
        <w:rPr>
          <w:rFonts w:ascii="仿宋" w:eastAsia="仿宋"/>
          <w:sz w:val="32"/>
          <w:szCs w:val="32"/>
        </w:rPr>
        <w:br w:type="page"/>
      </w:r>
    </w:p>
    <w:p>
      <w:pPr>
        <w:pStyle w:val="5"/>
        <w:ind w:right="440"/>
        <w:jc w:val="center"/>
        <w:rPr>
          <w:rStyle w:val="20"/>
          <w:rFonts w:ascii="黑体" w:eastAsia="黑体"/>
          <w:b w:val="0"/>
          <w:bCs/>
        </w:rPr>
      </w:pPr>
      <w:bookmarkStart w:id="17" w:name="_Toc15377204"/>
      <w:bookmarkStart w:id="18" w:name="_Toc15396602"/>
      <w:bookmarkStart w:id="19" w:name="_Toc16164"/>
      <w:r>
        <w:rPr>
          <w:rFonts w:hint="eastAsia" w:ascii="黑体" w:eastAsia="黑体"/>
          <w:b w:val="0"/>
        </w:rPr>
        <w:t>第二部分 202</w:t>
      </w:r>
      <w:r>
        <w:rPr>
          <w:rFonts w:hint="eastAsia" w:ascii="黑体" w:eastAsia="黑体"/>
          <w:b w:val="0"/>
          <w:lang w:val="en-US" w:eastAsia="zh-CN"/>
        </w:rPr>
        <w:t>4</w:t>
      </w:r>
      <w:r>
        <w:rPr>
          <w:rFonts w:hint="eastAsia" w:ascii="黑体" w:eastAsia="黑体"/>
          <w:b w:val="0"/>
        </w:rPr>
        <w:t>年度</w:t>
      </w:r>
      <w:r>
        <w:rPr>
          <w:rStyle w:val="20"/>
          <w:rFonts w:hint="eastAsia" w:ascii="黑体" w:eastAsia="黑体"/>
          <w:b w:val="0"/>
          <w:bCs/>
        </w:rPr>
        <w:t>部门决算情况说明</w:t>
      </w:r>
      <w:bookmarkEnd w:id="17"/>
      <w:bookmarkEnd w:id="18"/>
      <w:bookmarkEnd w:id="19"/>
    </w:p>
    <w:p/>
    <w:p>
      <w:pPr>
        <w:pStyle w:val="27"/>
        <w:numPr>
          <w:ilvl w:val="0"/>
          <w:numId w:val="3"/>
        </w:numPr>
        <w:spacing w:line="600" w:lineRule="exact"/>
        <w:ind w:firstLineChars="0"/>
        <w:outlineLvl w:val="1"/>
        <w:rPr>
          <w:rStyle w:val="21"/>
          <w:rFonts w:ascii="黑体" w:eastAsia="黑体"/>
          <w:b w:val="0"/>
        </w:rPr>
      </w:pPr>
      <w:bookmarkStart w:id="20" w:name="_Toc15396603"/>
      <w:bookmarkStart w:id="21" w:name="_Toc15377205"/>
      <w:bookmarkStart w:id="22" w:name="_Toc7064"/>
      <w:r>
        <w:rPr>
          <w:rFonts w:hint="eastAsia" w:ascii="黑体" w:eastAsia="黑体"/>
          <w:sz w:val="32"/>
          <w:szCs w:val="32"/>
        </w:rPr>
        <w:t>收</w:t>
      </w:r>
      <w:r>
        <w:rPr>
          <w:rStyle w:val="21"/>
          <w:rFonts w:hint="eastAsia" w:ascii="黑体" w:eastAsia="黑体"/>
          <w:b w:val="0"/>
        </w:rPr>
        <w:t>入支出决算总体情况说明</w:t>
      </w:r>
      <w:bookmarkEnd w:id="20"/>
      <w:bookmarkEnd w:id="21"/>
      <w:bookmarkEnd w:id="22"/>
    </w:p>
    <w:p>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年度收入</w:t>
      </w:r>
      <w:r>
        <w:rPr>
          <w:rFonts w:hint="eastAsia" w:ascii="仿宋_GB2312" w:hAnsi="仿宋_GB2312" w:eastAsia="仿宋_GB2312" w:cs="仿宋_GB2312"/>
          <w:sz w:val="32"/>
          <w:szCs w:val="32"/>
          <w:lang w:val="en-US" w:eastAsia="zh-CN"/>
        </w:rPr>
        <w:t>907.48</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907.48</w:t>
      </w:r>
      <w:r>
        <w:rPr>
          <w:rFonts w:hint="eastAsia" w:ascii="仿宋_GB2312" w:hAnsi="仿宋_GB2312" w:eastAsia="仿宋_GB2312" w:cs="仿宋_GB2312"/>
          <w:sz w:val="32"/>
          <w:szCs w:val="32"/>
        </w:rPr>
        <w:t>万元。资金与20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年相比，收入</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37.68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37.68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下降了</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%。收入支出均</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2024年我办未举办县乡人大代表履职能力提升培训班，2023年举办产生代表培训食宿费，误工补助等17万元</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2023年支付移动云平台业务费9万元，2024年无该支出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2024年人员变动及工资保险调整等。</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pStyle w:val="2"/>
        <w:jc w:val="both"/>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080000" cy="2183130"/>
            <wp:effectExtent l="4445" t="4445" r="20955" b="222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7"/>
        <w:numPr>
          <w:ilvl w:val="0"/>
          <w:numId w:val="3"/>
        </w:numPr>
        <w:spacing w:line="600" w:lineRule="exact"/>
        <w:ind w:firstLineChars="0"/>
        <w:outlineLvl w:val="1"/>
        <w:rPr>
          <w:rStyle w:val="21"/>
          <w:rFonts w:ascii="黑体" w:eastAsia="黑体"/>
          <w:b w:val="0"/>
        </w:rPr>
      </w:pPr>
      <w:bookmarkStart w:id="23" w:name="_Toc15396604"/>
      <w:bookmarkStart w:id="24" w:name="_Toc24050"/>
      <w:bookmarkStart w:id="25" w:name="_Toc15377206"/>
      <w:r>
        <w:rPr>
          <w:rFonts w:hint="eastAsia" w:ascii="黑体" w:eastAsia="黑体"/>
          <w:sz w:val="32"/>
          <w:szCs w:val="32"/>
        </w:rPr>
        <w:t>收</w:t>
      </w:r>
      <w:r>
        <w:rPr>
          <w:rStyle w:val="21"/>
          <w:rFonts w:hint="eastAsia" w:ascii="黑体" w:eastAsia="黑体"/>
          <w:b w:val="0"/>
        </w:rPr>
        <w:t>入决算情况说明</w:t>
      </w:r>
      <w:bookmarkEnd w:id="23"/>
      <w:bookmarkEnd w:id="24"/>
      <w:bookmarkEnd w:id="25"/>
    </w:p>
    <w:p>
      <w:pPr>
        <w:pStyle w:val="15"/>
        <w:keepNext w:val="0"/>
        <w:keepLines w:val="0"/>
        <w:widowControl/>
        <w:numPr>
          <w:ilvl w:val="0"/>
          <w:numId w:val="0"/>
        </w:numPr>
        <w:suppressLineNumbers w:val="0"/>
        <w:shd w:val="clear" w:color="auto" w:fill="auto"/>
        <w:ind w:right="75" w:righ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907.48</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907.48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lang w:eastAsia="zh-CN"/>
        </w:rPr>
        <w:t>无其他收入、</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国有资本经营预算财政拨款收入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（图2：收入决算结构图）（饼状图）</w:t>
      </w:r>
    </w:p>
    <w:p>
      <w:pPr>
        <w:pStyle w:val="2"/>
      </w:pPr>
      <w:r>
        <w:rPr>
          <w:rFonts w:hint="eastAsia" w:eastAsia="仿宋_GB2312"/>
          <w:lang w:eastAsia="zh-CN"/>
        </w:rPr>
        <w:drawing>
          <wp:inline distT="0" distB="0" distL="114300" distR="114300">
            <wp:extent cx="4794885" cy="2155825"/>
            <wp:effectExtent l="4445" t="4445" r="20320" b="1143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7"/>
        <w:numPr>
          <w:ilvl w:val="0"/>
          <w:numId w:val="3"/>
        </w:numPr>
        <w:spacing w:line="600" w:lineRule="exact"/>
        <w:ind w:firstLineChars="0"/>
        <w:outlineLvl w:val="1"/>
        <w:rPr>
          <w:rStyle w:val="21"/>
          <w:rFonts w:ascii="黑体" w:eastAsia="黑体"/>
          <w:b w:val="0"/>
        </w:rPr>
      </w:pPr>
      <w:bookmarkStart w:id="26" w:name="_Toc15377207"/>
      <w:bookmarkStart w:id="27" w:name="_Toc1784"/>
      <w:bookmarkStart w:id="28" w:name="_Toc15396605"/>
      <w:r>
        <w:rPr>
          <w:rFonts w:hint="eastAsia" w:ascii="黑体" w:eastAsia="黑体"/>
          <w:sz w:val="32"/>
          <w:szCs w:val="32"/>
        </w:rPr>
        <w:t>支</w:t>
      </w:r>
      <w:r>
        <w:rPr>
          <w:rStyle w:val="21"/>
          <w:rFonts w:hint="eastAsia" w:ascii="黑体" w:eastAsia="黑体"/>
          <w:b w:val="0"/>
        </w:rPr>
        <w:t>出决算情况说明</w:t>
      </w:r>
      <w:bookmarkEnd w:id="26"/>
      <w:bookmarkEnd w:id="27"/>
      <w:bookmarkEnd w:id="28"/>
    </w:p>
    <w:p>
      <w:pPr>
        <w:spacing w:line="600" w:lineRule="exact"/>
        <w:ind w:firstLine="640" w:firstLineChars="200"/>
        <w:outlineLvl w:val="1"/>
        <w:rPr>
          <w:rFonts w:hint="eastAsia" w:ascii="仿宋_GB2312" w:hAnsi="仿宋_GB2312" w:eastAsia="仿宋_GB2312" w:cs="仿宋_GB2312"/>
          <w:sz w:val="32"/>
          <w:szCs w:val="32"/>
          <w:lang w:eastAsia="zh-CN"/>
        </w:rPr>
      </w:pPr>
      <w:bookmarkStart w:id="29" w:name="_Toc15375"/>
      <w:bookmarkStart w:id="30" w:name="_Toc5657"/>
      <w:bookmarkStart w:id="31" w:name="_Toc7068"/>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907.48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749.62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157.86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eastAsia="zh-CN"/>
        </w:rPr>
        <w:t>等支出。</w:t>
      </w:r>
      <w:bookmarkEnd w:id="29"/>
      <w:bookmarkEnd w:id="30"/>
      <w:bookmarkEnd w:id="31"/>
    </w:p>
    <w:p>
      <w:pPr>
        <w:spacing w:line="600" w:lineRule="exact"/>
        <w:ind w:firstLine="640"/>
        <w:rPr>
          <w:rFonts w:hint="eastAsia" w:ascii="仿宋_GB2312" w:hAnsi="仿宋_GB2312" w:eastAsia="仿宋_GB2312" w:cs="仿宋_GB2312"/>
          <w:sz w:val="32"/>
          <w:szCs w:val="32"/>
          <w:shd w:val="pct10" w:color="auto" w:fill="FFFFFF"/>
        </w:rPr>
      </w:pPr>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（图3：支出决算结构图）（饼状图）</w:t>
      </w:r>
    </w:p>
    <w:p>
      <w:pPr>
        <w:pStyle w:val="2"/>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080000" cy="2668270"/>
            <wp:effectExtent l="4445" t="4445" r="20955" b="1333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4"/>
      </w:pPr>
    </w:p>
    <w:p>
      <w:pPr>
        <w:spacing w:line="600" w:lineRule="exact"/>
        <w:ind w:firstLine="640" w:firstLineChars="200"/>
        <w:outlineLvl w:val="1"/>
        <w:rPr>
          <w:rStyle w:val="21"/>
          <w:rFonts w:ascii="黑体" w:eastAsia="黑体"/>
          <w:b w:val="0"/>
        </w:rPr>
      </w:pPr>
      <w:bookmarkStart w:id="32" w:name="_Toc15377208"/>
      <w:bookmarkStart w:id="33" w:name="_Toc15396606"/>
      <w:bookmarkStart w:id="34" w:name="_Toc31432"/>
      <w:r>
        <w:rPr>
          <w:rFonts w:hint="eastAsia" w:ascii="黑体" w:eastAsia="黑体"/>
          <w:sz w:val="32"/>
          <w:szCs w:val="32"/>
        </w:rPr>
        <w:t>四、财</w:t>
      </w:r>
      <w:r>
        <w:rPr>
          <w:rStyle w:val="21"/>
          <w:rFonts w:hint="eastAsia" w:ascii="黑体" w:eastAsia="黑体"/>
          <w:b w:val="0"/>
        </w:rPr>
        <w:t>政拨款收入支出决算总体情况说明</w:t>
      </w:r>
      <w:bookmarkEnd w:id="32"/>
      <w:bookmarkEnd w:id="33"/>
      <w:bookmarkEnd w:id="34"/>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年度收入</w:t>
      </w:r>
      <w:r>
        <w:rPr>
          <w:rFonts w:hint="eastAsia" w:ascii="仿宋_GB2312" w:hAnsi="仿宋_GB2312" w:eastAsia="仿宋_GB2312" w:cs="仿宋_GB2312"/>
          <w:sz w:val="32"/>
          <w:szCs w:val="32"/>
          <w:lang w:val="en-US" w:eastAsia="zh-CN"/>
        </w:rPr>
        <w:t>907.48</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907.48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资金与20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年相比，收入</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37.68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37.68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下降了</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%。收入支出均</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2024年我办未举办县乡人大代表履职能力提升培训班，2023年举办产生代表培训食宿费，误工补助等17万元</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2023年支付移动云平台业务费9万元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2024年人员变动。</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pStyle w:val="2"/>
        <w:rPr>
          <w:rFonts w:hint="eastAsia" w:ascii="仿宋" w:eastAsia="仿宋"/>
          <w:sz w:val="32"/>
          <w:szCs w:val="32"/>
        </w:rPr>
      </w:pPr>
    </w:p>
    <w:p>
      <w:pPr>
        <w:pStyle w:val="4"/>
        <w:rPr>
          <w:rFonts w:hint="eastAsia" w:eastAsia="仿宋"/>
          <w:lang w:eastAsia="zh-CN"/>
        </w:rPr>
      </w:pPr>
      <w:r>
        <w:rPr>
          <w:rFonts w:hint="eastAsia" w:ascii="仿宋_GB2312" w:eastAsia="仿宋_GB2312"/>
          <w:sz w:val="32"/>
          <w:szCs w:val="32"/>
          <w:lang w:eastAsia="zh-CN"/>
        </w:rPr>
        <w:drawing>
          <wp:inline distT="0" distB="0" distL="114300" distR="114300">
            <wp:extent cx="5080000" cy="2183130"/>
            <wp:effectExtent l="4445" t="4445" r="20955" b="2222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rPr>
          <w:rFonts w:ascii="仿宋" w:eastAsia="仿宋"/>
          <w:b/>
          <w:sz w:val="32"/>
          <w:szCs w:val="32"/>
        </w:rPr>
      </w:pPr>
    </w:p>
    <w:p>
      <w:pPr>
        <w:spacing w:line="600" w:lineRule="exact"/>
        <w:ind w:firstLine="640" w:firstLineChars="200"/>
        <w:outlineLvl w:val="1"/>
        <w:rPr>
          <w:rStyle w:val="21"/>
          <w:rFonts w:ascii="黑体" w:eastAsia="黑体"/>
          <w:b w:val="0"/>
        </w:rPr>
      </w:pPr>
      <w:bookmarkStart w:id="35" w:name="_Toc15396607"/>
      <w:bookmarkStart w:id="36" w:name="_Toc15377209"/>
      <w:bookmarkStart w:id="37" w:name="_Toc17525"/>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35"/>
      <w:bookmarkEnd w:id="36"/>
      <w:bookmarkEnd w:id="37"/>
    </w:p>
    <w:p>
      <w:pPr>
        <w:spacing w:line="600" w:lineRule="exact"/>
        <w:ind w:firstLine="643" w:firstLineChars="200"/>
        <w:outlineLvl w:val="2"/>
        <w:rPr>
          <w:rFonts w:ascii="仿宋" w:eastAsia="仿宋"/>
          <w:b/>
          <w:sz w:val="32"/>
          <w:szCs w:val="32"/>
        </w:rPr>
      </w:pPr>
      <w:bookmarkStart w:id="38" w:name="_Toc15377210"/>
      <w:r>
        <w:rPr>
          <w:rFonts w:hint="eastAsia" w:ascii="仿宋" w:eastAsia="仿宋"/>
          <w:b/>
          <w:sz w:val="32"/>
          <w:szCs w:val="32"/>
        </w:rPr>
        <w:t>（一）一般公共预算财政拨款支出决算总体情况</w:t>
      </w:r>
      <w:bookmarkEnd w:id="38"/>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907.48</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%。资金与20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年相比，收入</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37.68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37.68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下降了</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%。收入支出均</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2024年我办未举办县乡人大代表履职能力提升培训班，2023年举办产生代表培训食宿费，误工补助等17万元</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2023年支付移动云平台业务费9万元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2024年人员变动。</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pStyle w:val="2"/>
        <w:rPr>
          <w:rFonts w:ascii="仿宋" w:eastAsia="仿宋"/>
          <w:sz w:val="32"/>
          <w:szCs w:val="32"/>
        </w:rPr>
      </w:pPr>
      <w:r>
        <w:rPr>
          <w:rFonts w:hint="eastAsia" w:ascii="仿宋_GB2312" w:eastAsia="仿宋_GB2312"/>
          <w:sz w:val="32"/>
          <w:szCs w:val="32"/>
          <w:lang w:eastAsia="zh-CN"/>
        </w:rPr>
        <w:drawing>
          <wp:inline distT="0" distB="0" distL="114300" distR="114300">
            <wp:extent cx="5080000" cy="2183130"/>
            <wp:effectExtent l="4445" t="4445" r="20955" b="222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eastAsia="仿宋"/>
          <w:b/>
          <w:sz w:val="32"/>
          <w:szCs w:val="32"/>
        </w:rPr>
      </w:pPr>
      <w:bookmarkStart w:id="39" w:name="_Toc15377211"/>
      <w:r>
        <w:rPr>
          <w:rFonts w:hint="eastAsia" w:ascii="仿宋" w:eastAsia="仿宋"/>
          <w:b/>
          <w:sz w:val="32"/>
          <w:szCs w:val="32"/>
        </w:rPr>
        <w:t>（二）一般公共预算财政拨款支出决算结构情况</w:t>
      </w:r>
      <w:bookmarkEnd w:id="39"/>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907.48</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一般公共服务</w:t>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720.27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79</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社会保障和就业</w:t>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94.09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sz w:val="32"/>
          <w:szCs w:val="32"/>
          <w:lang w:val="en-US" w:eastAsia="zh-CN"/>
        </w:rPr>
        <w:t>42.39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sz w:val="32"/>
          <w:szCs w:val="32"/>
          <w:lang w:val="en-US" w:eastAsia="zh-CN"/>
        </w:rPr>
        <w:t>50.73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（图6：一般公共预算财政拨款支出决算结构）（饼状图）</w:t>
      </w:r>
    </w:p>
    <w:p>
      <w:pPr>
        <w:pStyle w:val="4"/>
        <w:rPr>
          <w:rFonts w:hint="eastAsia"/>
          <w:lang w:eastAsia="zh-CN"/>
        </w:rPr>
      </w:pPr>
    </w:p>
    <w:p>
      <w:pPr>
        <w:pStyle w:val="4"/>
        <w:rPr>
          <w:rFonts w:hint="eastAsia"/>
          <w:lang w:eastAsia="zh-CN"/>
        </w:rPr>
      </w:pPr>
      <w:r>
        <w:rPr>
          <w:rFonts w:hint="eastAsia" w:ascii="仿宋" w:eastAsia="仿宋"/>
          <w:sz w:val="32"/>
          <w:szCs w:val="32"/>
          <w:lang w:eastAsia="zh-CN"/>
        </w:rPr>
        <w:drawing>
          <wp:anchor distT="0" distB="0" distL="114300" distR="114300" simplePos="0" relativeHeight="251659264" behindDoc="1" locked="0" layoutInCell="1" allowOverlap="1">
            <wp:simplePos x="0" y="0"/>
            <wp:positionH relativeFrom="column">
              <wp:posOffset>298450</wp:posOffset>
            </wp:positionH>
            <wp:positionV relativeFrom="paragraph">
              <wp:posOffset>128270</wp:posOffset>
            </wp:positionV>
            <wp:extent cx="4858385" cy="2126615"/>
            <wp:effectExtent l="4445" t="5080" r="13970" b="59055"/>
            <wp:wrapTight wrapText="bothSides">
              <wp:wrapPolygon>
                <wp:start x="-20" y="-52"/>
                <wp:lineTo x="-20" y="21426"/>
                <wp:lineTo x="21577" y="21426"/>
                <wp:lineTo x="21577" y="-52"/>
                <wp:lineTo x="-20" y="-52"/>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4"/>
        <w:rPr>
          <w:rFonts w:hint="eastAsia"/>
          <w:lang w:eastAsia="zh-CN"/>
        </w:rPr>
      </w:pPr>
    </w:p>
    <w:p>
      <w:pPr>
        <w:pStyle w:val="4"/>
        <w:rPr>
          <w:rFonts w:hint="eastAsia"/>
          <w:lang w:eastAsia="zh-CN"/>
        </w:rPr>
      </w:pPr>
    </w:p>
    <w:p>
      <w:pPr>
        <w:spacing w:line="600" w:lineRule="exact"/>
        <w:outlineLvl w:val="9"/>
        <w:rPr>
          <w:rFonts w:hint="eastAsia" w:ascii="仿宋" w:eastAsia="仿宋"/>
          <w:b/>
          <w:sz w:val="32"/>
          <w:szCs w:val="32"/>
        </w:rPr>
      </w:pPr>
      <w:bookmarkStart w:id="40" w:name="_Toc15377212"/>
    </w:p>
    <w:p>
      <w:pPr>
        <w:pStyle w:val="2"/>
        <w:ind w:left="0" w:leftChars="0" w:firstLine="0" w:firstLineChars="0"/>
        <w:rPr>
          <w:rFonts w:hint="eastAsia"/>
        </w:rPr>
      </w:pPr>
    </w:p>
    <w:p>
      <w:pPr>
        <w:spacing w:line="600" w:lineRule="exact"/>
        <w:ind w:firstLine="643" w:firstLineChars="200"/>
        <w:outlineLvl w:val="2"/>
        <w:rPr>
          <w:rFonts w:ascii="仿宋" w:eastAsia="仿宋"/>
          <w:b/>
          <w:sz w:val="32"/>
          <w:szCs w:val="32"/>
        </w:rPr>
      </w:pPr>
      <w:r>
        <w:rPr>
          <w:rFonts w:hint="eastAsia" w:ascii="仿宋" w:eastAsia="仿宋"/>
          <w:b/>
          <w:sz w:val="32"/>
          <w:szCs w:val="32"/>
        </w:rPr>
        <w:t>（三）一般公共预算财政拨款支出决算具体情况</w:t>
      </w:r>
      <w:bookmarkEnd w:id="40"/>
    </w:p>
    <w:p>
      <w:pPr>
        <w:spacing w:line="600" w:lineRule="exact"/>
        <w:ind w:firstLine="643" w:firstLineChars="200"/>
        <w:outlineLvl w:val="2"/>
        <w:rPr>
          <w:rFonts w:hint="eastAsia" w:ascii="仿宋_GB2312" w:hAnsi="仿宋_GB2312" w:eastAsia="仿宋_GB2312" w:cs="仿宋_GB2312"/>
          <w:sz w:val="32"/>
          <w:szCs w:val="32"/>
        </w:rPr>
      </w:pPr>
      <w:bookmarkStart w:id="41" w:name="_Toc15377213"/>
      <w:bookmarkStart w:id="42" w:name="_Toc15377444"/>
      <w:bookmarkStart w:id="43" w:name="_Toc15378460"/>
      <w:r>
        <w:rPr>
          <w:rFonts w:hint="eastAsia" w:ascii="仿宋_GB2312" w:hAnsi="仿宋_GB2312" w:eastAsia="仿宋_GB2312" w:cs="仿宋_GB2312"/>
          <w:b/>
          <w:sz w:val="32"/>
          <w:szCs w:val="32"/>
        </w:rPr>
        <w:t>202</w:t>
      </w:r>
      <w:r>
        <w:rPr>
          <w:rFonts w:hint="eastAsia" w:ascii="仿宋_GB2312" w:hAnsi="仿宋_GB2312" w:eastAsia="仿宋_GB2312" w:cs="仿宋_GB2312"/>
          <w:b/>
          <w:sz w:val="32"/>
          <w:szCs w:val="32"/>
          <w:lang w:val="en-US" w:eastAsia="zh-CN"/>
        </w:rPr>
        <w:t>4</w:t>
      </w:r>
      <w:r>
        <w:rPr>
          <w:rFonts w:hint="eastAsia" w:ascii="仿宋_GB2312" w:hAnsi="仿宋_GB2312" w:eastAsia="仿宋_GB2312" w:cs="仿宋_GB2312"/>
          <w:b/>
          <w:sz w:val="32"/>
          <w:szCs w:val="32"/>
        </w:rPr>
        <w:t>年一般公共预算支出决算数为</w:t>
      </w:r>
      <w:r>
        <w:rPr>
          <w:rFonts w:hint="eastAsia" w:ascii="仿宋_GB2312" w:hAnsi="仿宋_GB2312" w:eastAsia="仿宋_GB2312" w:cs="仿宋_GB2312"/>
          <w:b/>
          <w:sz w:val="32"/>
          <w:szCs w:val="32"/>
          <w:lang w:val="en-US" w:eastAsia="zh-CN"/>
        </w:rPr>
        <w:t>907.48万元</w:t>
      </w:r>
      <w:r>
        <w:rPr>
          <w:rFonts w:hint="eastAsia" w:ascii="仿宋_GB2312" w:hAnsi="仿宋_GB2312" w:eastAsia="仿宋_GB2312" w:cs="仿宋_GB2312"/>
          <w:sz w:val="32"/>
          <w:szCs w:val="32"/>
        </w:rPr>
        <w:t>，</w:t>
      </w:r>
      <w:r>
        <w:rPr>
          <w:rStyle w:val="18"/>
          <w:rFonts w:hint="eastAsia" w:ascii="仿宋_GB2312" w:hAnsi="仿宋_GB2312" w:eastAsia="仿宋_GB2312" w:cs="仿宋_GB2312"/>
          <w:bCs/>
          <w:sz w:val="32"/>
          <w:szCs w:val="32"/>
        </w:rPr>
        <w:t>完成预算</w:t>
      </w:r>
      <w:r>
        <w:rPr>
          <w:rStyle w:val="18"/>
          <w:rFonts w:hint="eastAsia" w:ascii="仿宋_GB2312" w:hAnsi="仿宋_GB2312" w:eastAsia="仿宋_GB2312" w:cs="仿宋_GB2312"/>
          <w:bCs/>
          <w:sz w:val="32"/>
          <w:szCs w:val="32"/>
          <w:lang w:val="en-US" w:eastAsia="zh-CN"/>
        </w:rPr>
        <w:t>100</w:t>
      </w:r>
      <w:r>
        <w:rPr>
          <w:rStyle w:val="18"/>
          <w:rFonts w:hint="eastAsia" w:ascii="仿宋_GB2312" w:hAnsi="仿宋_GB2312" w:eastAsia="仿宋_GB2312" w:cs="仿宋_GB2312"/>
          <w:bCs/>
          <w:sz w:val="32"/>
          <w:szCs w:val="32"/>
        </w:rPr>
        <w:t>%。其中：</w:t>
      </w:r>
      <w:bookmarkEnd w:id="41"/>
      <w:bookmarkEnd w:id="42"/>
      <w:bookmarkEnd w:id="43"/>
    </w:p>
    <w:p>
      <w:pPr>
        <w:numPr>
          <w:ilvl w:val="0"/>
          <w:numId w:val="4"/>
        </w:numPr>
        <w:spacing w:line="600" w:lineRule="exact"/>
        <w:ind w:firstLine="643" w:firstLineChars="200"/>
        <w:rPr>
          <w:rStyle w:val="18"/>
          <w:rFonts w:hint="eastAsia" w:ascii="仿宋_GB2312" w:hAnsi="仿宋_GB2312" w:eastAsia="仿宋_GB2312" w:cs="仿宋_GB2312"/>
          <w:b w:val="0"/>
          <w:bCs/>
          <w:sz w:val="32"/>
          <w:szCs w:val="32"/>
          <w:lang w:val="en-US" w:eastAsia="zh-CN"/>
        </w:rPr>
      </w:pPr>
      <w:r>
        <w:rPr>
          <w:rStyle w:val="18"/>
          <w:rFonts w:hint="eastAsia" w:ascii="仿宋_GB2312" w:hAnsi="仿宋_GB2312" w:eastAsia="仿宋_GB2312" w:cs="仿宋_GB2312"/>
          <w:bCs/>
          <w:sz w:val="32"/>
          <w:szCs w:val="32"/>
        </w:rPr>
        <w:t>一般公共服务</w:t>
      </w:r>
      <w:r>
        <w:rPr>
          <w:rStyle w:val="18"/>
          <w:rFonts w:hint="eastAsia" w:ascii="仿宋_GB2312" w:hAnsi="仿宋_GB2312" w:eastAsia="仿宋_GB2312" w:cs="仿宋_GB2312"/>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2010101</w:t>
      </w:r>
      <w:r>
        <w:rPr>
          <w:rStyle w:val="18"/>
          <w:rFonts w:hint="eastAsia" w:ascii="仿宋_GB2312" w:hAnsi="仿宋_GB2312" w:eastAsia="仿宋_GB2312" w:cs="仿宋_GB2312"/>
          <w:b w:val="0"/>
          <w:bCs/>
          <w:sz w:val="32"/>
          <w:szCs w:val="32"/>
          <w:lang w:val="en-US" w:eastAsia="zh-CN"/>
        </w:rPr>
        <w:t>-行政运行</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531.37</w:t>
      </w:r>
      <w:r>
        <w:rPr>
          <w:rStyle w:val="18"/>
          <w:rFonts w:hint="eastAsia" w:ascii="仿宋_GB2312" w:hAnsi="仿宋_GB2312" w:eastAsia="仿宋_GB2312" w:cs="仿宋_GB2312"/>
          <w:b w:val="0"/>
          <w:bCs/>
          <w:sz w:val="32"/>
          <w:szCs w:val="32"/>
        </w:rPr>
        <w:t>万元，完</w:t>
      </w:r>
      <w:r>
        <w:rPr>
          <w:rStyle w:val="18"/>
          <w:rFonts w:hint="eastAsia" w:ascii="仿宋_GB2312" w:hAnsi="仿宋_GB2312" w:eastAsia="仿宋_GB2312" w:cs="仿宋_GB2312"/>
          <w:b w:val="0"/>
          <w:bCs/>
          <w:sz w:val="32"/>
          <w:szCs w:val="32"/>
          <w:lang w:val="en-US" w:eastAsia="zh-CN"/>
        </w:rPr>
        <w:t>成预算99%，主要用于开支日常公用经费及人员经费，存在少量结余主要是人员变动导致；2010102-一般行政管理事务支出决算为81.5万元，完成预算96%，主要用于专项公用经费.存在结余主要是2024年厉行节约接待相对减少，专项接待费存在少量结余；2010104</w:t>
      </w:r>
      <w:r>
        <w:rPr>
          <w:rStyle w:val="18"/>
          <w:rFonts w:hint="eastAsia" w:ascii="仿宋_GB2312" w:hAnsi="仿宋_GB2312" w:eastAsia="仿宋_GB2312" w:cs="仿宋_GB2312"/>
          <w:b w:val="0"/>
          <w:bCs/>
          <w:sz w:val="32"/>
          <w:szCs w:val="32"/>
          <w:lang w:val="en-US" w:eastAsia="zh-CN"/>
        </w:rPr>
        <w:tab/>
      </w:r>
      <w:r>
        <w:rPr>
          <w:rStyle w:val="18"/>
          <w:rFonts w:hint="eastAsia" w:ascii="仿宋_GB2312" w:hAnsi="仿宋_GB2312" w:eastAsia="仿宋_GB2312" w:cs="仿宋_GB2312"/>
          <w:b w:val="0"/>
          <w:bCs/>
          <w:sz w:val="32"/>
          <w:szCs w:val="32"/>
          <w:lang w:val="en-US" w:eastAsia="zh-CN"/>
        </w:rPr>
        <w:t>-人大会议支出决算为29.39万元，完成预算98%，主要用于召开人代会、常委会相关印刷费，办公费等，存在少量零星结余；2010107-人大代表履职能力提升支出决算为12万元，完成预算100%，主要用于代表履职产生的培训费及代表履职能力提升相关的后勤保障开支；2010108-代表工作支出决算为34.98万元，完成预算100%，主要用于组织各级代表培训调研差旅费及租车费等；2010150-事业运行支出决算为31.03万元，完成预算100%，主要用于预算联网督查室人员经费及日常公用经费开支。</w:t>
      </w:r>
    </w:p>
    <w:p>
      <w:pPr>
        <w:numPr>
          <w:ilvl w:val="0"/>
          <w:numId w:val="0"/>
        </w:numPr>
        <w:spacing w:line="600" w:lineRule="exact"/>
        <w:ind w:firstLine="643" w:firstLineChars="200"/>
        <w:rPr>
          <w:rFonts w:hint="eastAsia" w:ascii="仿宋_GB2312" w:hAnsi="仿宋_GB2312" w:eastAsia="仿宋_GB2312" w:cs="仿宋_GB2312"/>
          <w:b/>
          <w:color w:val="000000"/>
          <w:sz w:val="32"/>
          <w:szCs w:val="32"/>
        </w:rPr>
      </w:pPr>
      <w:r>
        <w:rPr>
          <w:rStyle w:val="18"/>
          <w:rFonts w:hint="eastAsia" w:ascii="仿宋_GB2312" w:hAnsi="仿宋_GB2312" w:eastAsia="仿宋_GB2312" w:cs="仿宋_GB2312"/>
          <w:bCs/>
          <w:sz w:val="32"/>
          <w:szCs w:val="32"/>
          <w:lang w:val="en-US" w:eastAsia="zh-CN"/>
        </w:rPr>
        <w:t>2.</w:t>
      </w:r>
      <w:r>
        <w:rPr>
          <w:rStyle w:val="18"/>
          <w:rFonts w:hint="eastAsia" w:ascii="仿宋_GB2312" w:hAnsi="仿宋_GB2312" w:eastAsia="仿宋_GB2312" w:cs="仿宋_GB2312"/>
          <w:bCs/>
          <w:sz w:val="32"/>
          <w:szCs w:val="32"/>
        </w:rPr>
        <w:t>社会保障和就业</w:t>
      </w:r>
      <w:r>
        <w:rPr>
          <w:rStyle w:val="18"/>
          <w:rFonts w:hint="eastAsia" w:ascii="仿宋_GB2312" w:hAnsi="仿宋_GB2312" w:eastAsia="仿宋_GB2312" w:cs="仿宋_GB2312"/>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w:t>
      </w:r>
      <w:r>
        <w:rPr>
          <w:rStyle w:val="18"/>
          <w:rFonts w:hint="eastAsia" w:ascii="仿宋_GB2312" w:hAnsi="仿宋_GB2312" w:eastAsia="仿宋_GB2312" w:cs="仿宋_GB2312"/>
          <w:b w:val="0"/>
          <w:bCs/>
          <w:color w:val="000000"/>
          <w:sz w:val="32"/>
          <w:szCs w:val="32"/>
        </w:rPr>
        <w:t>2080505</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rPr>
        <w:t>机关事业单位基本养老保险缴费支出决算为</w:t>
      </w:r>
      <w:r>
        <w:rPr>
          <w:rStyle w:val="18"/>
          <w:rFonts w:hint="eastAsia" w:ascii="仿宋_GB2312" w:hAnsi="仿宋_GB2312" w:eastAsia="仿宋_GB2312" w:cs="仿宋_GB2312"/>
          <w:b w:val="0"/>
          <w:bCs/>
          <w:color w:val="000000"/>
          <w:sz w:val="32"/>
          <w:szCs w:val="32"/>
          <w:lang w:val="en-US" w:eastAsia="zh-CN"/>
        </w:rPr>
        <w:t>62.73</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全部用于职工缴纳养老保险单位部分；2080506</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机关事业单位职业年金缴费支出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31.36</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全部用于职工缴纳职业年金单位部分。</w:t>
      </w:r>
    </w:p>
    <w:p>
      <w:pPr>
        <w:numPr>
          <w:ilvl w:val="0"/>
          <w:numId w:val="0"/>
        </w:numPr>
        <w:spacing w:line="600" w:lineRule="exact"/>
        <w:ind w:firstLine="643" w:firstLineChars="200"/>
        <w:rPr>
          <w:rStyle w:val="18"/>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卫生健康</w:t>
      </w:r>
      <w:r>
        <w:rPr>
          <w:rFonts w:hint="eastAsia" w:ascii="仿宋_GB2312" w:hAnsi="仿宋_GB2312" w:eastAsia="仿宋_GB2312" w:cs="仿宋_GB2312"/>
          <w:b/>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color w:val="000000"/>
          <w:sz w:val="32"/>
          <w:szCs w:val="32"/>
          <w:lang w:eastAsia="zh-CN"/>
        </w:rPr>
        <w:t>2101101</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行政单位医疗支出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29.49</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，全部用于行政在职职工缴纳医疗保险单位部分；2101102</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1.78</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，全部用于事业在职职工缴纳医疗保险单位部分；2101103</w:t>
      </w:r>
      <w:r>
        <w:rPr>
          <w:rStyle w:val="18"/>
          <w:rFonts w:hint="eastAsia" w:ascii="仿宋_GB2312" w:hAnsi="仿宋_GB2312" w:eastAsia="仿宋_GB2312" w:cs="仿宋_GB2312"/>
          <w:b w:val="0"/>
          <w:bCs/>
          <w:color w:val="000000"/>
          <w:sz w:val="32"/>
          <w:szCs w:val="32"/>
          <w:lang w:eastAsia="zh-CN"/>
        </w:rPr>
        <w:tab/>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公务员医疗补助支出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10.73</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，全部用于行政在职职工公务员补充医保；2101199</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其他行政事业单位医疗支出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0.39</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，全部用于缴纳事业在职职工补充医保。</w:t>
      </w:r>
    </w:p>
    <w:p>
      <w:pPr>
        <w:numPr>
          <w:ilvl w:val="0"/>
          <w:numId w:val="0"/>
        </w:numPr>
        <w:spacing w:line="600" w:lineRule="exact"/>
        <w:ind w:firstLine="640" w:firstLineChars="200"/>
        <w:rPr>
          <w:rFonts w:ascii="仿宋" w:eastAsia="仿宋"/>
          <w:b/>
          <w:sz w:val="32"/>
          <w:szCs w:val="32"/>
        </w:rPr>
      </w:pPr>
      <w:r>
        <w:rPr>
          <w:rStyle w:val="18"/>
          <w:rFonts w:hint="eastAsia"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bCs/>
          <w:sz w:val="32"/>
          <w:szCs w:val="32"/>
          <w:lang w:val="en-US" w:eastAsia="zh-CN"/>
        </w:rPr>
        <w:t>住房保障支出</w:t>
      </w:r>
      <w:r>
        <w:rPr>
          <w:rStyle w:val="18"/>
          <w:rFonts w:hint="eastAsia" w:ascii="仿宋_GB2312" w:hAnsi="仿宋_GB2312" w:eastAsia="仿宋_GB2312" w:cs="仿宋_GB2312"/>
          <w:b w:val="0"/>
          <w:bCs/>
          <w:color w:val="000000"/>
          <w:sz w:val="32"/>
          <w:szCs w:val="32"/>
          <w:lang w:val="en-US" w:eastAsia="zh-CN"/>
        </w:rPr>
        <w:t>：2210201-住房公积金</w:t>
      </w:r>
      <w:r>
        <w:rPr>
          <w:rStyle w:val="18"/>
          <w:rFonts w:hint="eastAsia" w:ascii="仿宋_GB2312" w:hAnsi="仿宋_GB2312" w:eastAsia="仿宋_GB2312" w:cs="仿宋_GB2312"/>
          <w:b w:val="0"/>
          <w:bCs/>
          <w:color w:val="000000"/>
          <w:sz w:val="32"/>
          <w:szCs w:val="32"/>
          <w:lang w:eastAsia="zh-CN"/>
        </w:rPr>
        <w:t>支出决算为</w:t>
      </w:r>
      <w:r>
        <w:rPr>
          <w:rStyle w:val="18"/>
          <w:rFonts w:hint="eastAsia" w:ascii="仿宋_GB2312" w:hAnsi="仿宋_GB2312" w:eastAsia="仿宋_GB2312" w:cs="仿宋_GB2312"/>
          <w:b w:val="0"/>
          <w:bCs/>
          <w:color w:val="000000"/>
          <w:sz w:val="32"/>
          <w:szCs w:val="32"/>
          <w:lang w:val="en-US" w:eastAsia="zh-CN"/>
        </w:rPr>
        <w:t>50.73</w:t>
      </w:r>
      <w:r>
        <w:rPr>
          <w:rStyle w:val="18"/>
          <w:rFonts w:hint="eastAsia" w:ascii="仿宋_GB2312" w:hAnsi="仿宋_GB2312" w:eastAsia="仿宋_GB2312" w:cs="仿宋_GB2312"/>
          <w:b w:val="0"/>
          <w:bCs/>
          <w:color w:val="000000"/>
          <w:sz w:val="32"/>
          <w:szCs w:val="32"/>
          <w:lang w:eastAsia="zh-CN"/>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lang w:eastAsia="zh-CN"/>
        </w:rPr>
        <w:t>%，全部用于行政事业职工缴纳住房公积金单位部分。</w:t>
      </w:r>
    </w:p>
    <w:p>
      <w:pPr>
        <w:tabs>
          <w:tab w:val="right" w:pos="8306"/>
        </w:tabs>
        <w:spacing w:line="600" w:lineRule="exact"/>
        <w:ind w:firstLine="640"/>
        <w:outlineLvl w:val="1"/>
        <w:rPr>
          <w:rStyle w:val="21"/>
        </w:rPr>
      </w:pPr>
      <w:bookmarkStart w:id="44" w:name="_Toc15377214"/>
      <w:bookmarkStart w:id="45" w:name="_Toc15396608"/>
      <w:bookmarkStart w:id="46" w:name="_Toc13941"/>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44"/>
      <w:bookmarkEnd w:id="45"/>
      <w:bookmarkEnd w:id="46"/>
      <w:r>
        <w:rPr>
          <w:rStyle w:val="21"/>
          <w:rFonts w:ascii="黑体" w:eastAsia="黑体"/>
          <w:b w:val="0"/>
        </w:rPr>
        <w:tab/>
      </w:r>
    </w:p>
    <w:p>
      <w:pPr>
        <w:spacing w:line="60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749.62</w:t>
      </w:r>
      <w:r>
        <w:rPr>
          <w:rFonts w:hint="eastAsia" w:ascii="仿宋_GB2312" w:hAnsi="仿宋_GB2312" w:eastAsia="仿宋_GB2312" w:cs="仿宋_GB2312"/>
          <w:sz w:val="32"/>
          <w:szCs w:val="32"/>
        </w:rPr>
        <w:t>万元，其中：</w:t>
      </w:r>
    </w:p>
    <w:p>
      <w:pPr>
        <w:spacing w:line="600" w:lineRule="exact"/>
        <w:ind w:firstLine="645"/>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690.63</w:t>
      </w:r>
      <w:r>
        <w:rPr>
          <w:rFonts w:hint="eastAsia" w:ascii="仿宋_GB2312" w:hAnsi="仿宋_GB2312" w:eastAsia="仿宋_GB2312" w:cs="仿宋_GB2312"/>
          <w:sz w:val="32"/>
          <w:szCs w:val="32"/>
        </w:rPr>
        <w:t>万元，包括：</w:t>
      </w:r>
      <w:r>
        <w:rPr>
          <w:rFonts w:hint="eastAsia" w:ascii="仿宋_GB2312" w:hAnsi="仿宋_GB2312" w:eastAsia="仿宋_GB2312" w:cs="仿宋_GB2312"/>
          <w:color w:val="000000"/>
          <w:sz w:val="32"/>
          <w:szCs w:val="32"/>
        </w:rPr>
        <w:t>基本工资</w:t>
      </w:r>
      <w:r>
        <w:rPr>
          <w:rFonts w:hint="eastAsia" w:ascii="仿宋_GB2312" w:hAnsi="仿宋_GB2312" w:eastAsia="仿宋_GB2312" w:cs="仿宋_GB2312"/>
          <w:color w:val="000000"/>
          <w:sz w:val="32"/>
          <w:szCs w:val="32"/>
          <w:lang w:val="en-US" w:eastAsia="zh-CN"/>
        </w:rPr>
        <w:t>119.37</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180.49</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162.61</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绩效工资</w:t>
      </w:r>
      <w:r>
        <w:rPr>
          <w:rFonts w:hint="eastAsia" w:ascii="仿宋_GB2312" w:hAnsi="仿宋_GB2312" w:eastAsia="仿宋_GB2312" w:cs="仿宋_GB2312"/>
          <w:color w:val="000000"/>
          <w:sz w:val="32"/>
          <w:szCs w:val="32"/>
          <w:lang w:val="en-US" w:eastAsia="zh-CN"/>
        </w:rPr>
        <w:t>5.33万元、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62.73</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31.36</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7.64</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、职工基本医疗保险缴</w:t>
      </w:r>
      <w:r>
        <w:rPr>
          <w:rFonts w:hint="eastAsia" w:ascii="仿宋_GB2312" w:hAnsi="仿宋_GB2312" w:eastAsia="仿宋_GB2312" w:cs="仿宋_GB2312"/>
          <w:color w:val="000000"/>
          <w:sz w:val="32"/>
          <w:szCs w:val="32"/>
          <w:lang w:val="en-US" w:eastAsia="zh-CN"/>
        </w:rPr>
        <w:t>31.28</w:t>
      </w:r>
      <w:r>
        <w:rPr>
          <w:rFonts w:hint="eastAsia" w:ascii="仿宋_GB2312" w:hAnsi="仿宋_GB2312" w:eastAsia="仿宋_GB2312" w:cs="仿宋_GB2312"/>
          <w:color w:val="000000"/>
          <w:sz w:val="32"/>
          <w:szCs w:val="32"/>
          <w:lang w:eastAsia="zh-CN"/>
        </w:rPr>
        <w:t>万元、公务员医疗补助缴费</w:t>
      </w:r>
      <w:r>
        <w:rPr>
          <w:rFonts w:hint="eastAsia" w:ascii="仿宋_GB2312" w:hAnsi="仿宋_GB2312" w:eastAsia="仿宋_GB2312" w:cs="仿宋_GB2312"/>
          <w:color w:val="000000"/>
          <w:sz w:val="32"/>
          <w:szCs w:val="32"/>
          <w:lang w:val="en-US" w:eastAsia="zh-CN"/>
        </w:rPr>
        <w:t>11.11</w:t>
      </w:r>
      <w:r>
        <w:rPr>
          <w:rFonts w:hint="eastAsia" w:ascii="仿宋_GB2312" w:hAnsi="仿宋_GB2312" w:eastAsia="仿宋_GB2312" w:cs="仿宋_GB2312"/>
          <w:color w:val="000000"/>
          <w:sz w:val="32"/>
          <w:szCs w:val="32"/>
          <w:lang w:eastAsia="zh-CN"/>
        </w:rPr>
        <w:t>万元、住房公积金</w:t>
      </w:r>
      <w:r>
        <w:rPr>
          <w:rFonts w:hint="eastAsia" w:ascii="仿宋_GB2312" w:hAnsi="仿宋_GB2312" w:eastAsia="仿宋_GB2312" w:cs="仿宋_GB2312"/>
          <w:color w:val="000000"/>
          <w:sz w:val="32"/>
          <w:szCs w:val="32"/>
          <w:lang w:val="en-US" w:eastAsia="zh-CN"/>
        </w:rPr>
        <w:t>50.73</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lang w:val="en-US" w:eastAsia="zh-CN"/>
        </w:rPr>
        <w:t>生活补助22.64万元，医疗费1.73万元、医疗费补助3.60万元，奖励金0.01万元。</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58.99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rPr>
        <w:t>包括：办公费</w:t>
      </w:r>
      <w:r>
        <w:rPr>
          <w:rFonts w:hint="eastAsia" w:ascii="仿宋_GB2312" w:hAnsi="仿宋_GB2312" w:eastAsia="仿宋_GB2312" w:cs="仿宋_GB2312"/>
          <w:color w:val="000000"/>
          <w:sz w:val="32"/>
          <w:szCs w:val="32"/>
          <w:lang w:val="en-US" w:eastAsia="zh-CN"/>
        </w:rPr>
        <w:t>13.36</w:t>
      </w:r>
      <w:r>
        <w:rPr>
          <w:rFonts w:hint="eastAsia" w:ascii="仿宋_GB2312" w:hAnsi="仿宋_GB2312" w:eastAsia="仿宋_GB2312" w:cs="仿宋_GB2312"/>
          <w:color w:val="000000"/>
          <w:sz w:val="32"/>
          <w:szCs w:val="32"/>
          <w:lang w:eastAsia="zh-CN"/>
        </w:rPr>
        <w:t>万元、印刷费</w:t>
      </w:r>
      <w:r>
        <w:rPr>
          <w:rFonts w:hint="eastAsia" w:ascii="仿宋_GB2312" w:hAnsi="仿宋_GB2312" w:eastAsia="仿宋_GB2312" w:cs="仿宋_GB2312"/>
          <w:color w:val="000000"/>
          <w:sz w:val="32"/>
          <w:szCs w:val="32"/>
          <w:lang w:val="en-US" w:eastAsia="zh-CN"/>
        </w:rPr>
        <w:t>0.42万元、</w:t>
      </w:r>
      <w:r>
        <w:rPr>
          <w:rFonts w:hint="eastAsia" w:ascii="仿宋_GB2312" w:hAnsi="仿宋_GB2312" w:eastAsia="仿宋_GB2312" w:cs="仿宋_GB2312"/>
          <w:color w:val="000000"/>
          <w:sz w:val="32"/>
          <w:szCs w:val="32"/>
          <w:lang w:eastAsia="zh-CN"/>
        </w:rPr>
        <w:t>水费</w:t>
      </w:r>
      <w:r>
        <w:rPr>
          <w:rFonts w:hint="eastAsia" w:ascii="仿宋_GB2312" w:hAnsi="仿宋_GB2312" w:eastAsia="仿宋_GB2312" w:cs="仿宋_GB2312"/>
          <w:color w:val="000000"/>
          <w:sz w:val="32"/>
          <w:szCs w:val="32"/>
          <w:lang w:val="en-US" w:eastAsia="zh-CN"/>
        </w:rPr>
        <w:t>0.52万元，</w:t>
      </w:r>
      <w:r>
        <w:rPr>
          <w:rFonts w:hint="eastAsia" w:ascii="仿宋_GB2312" w:hAnsi="仿宋_GB2312" w:eastAsia="仿宋_GB2312" w:cs="仿宋_GB2312"/>
          <w:color w:val="000000"/>
          <w:sz w:val="32"/>
          <w:szCs w:val="32"/>
          <w:lang w:eastAsia="zh-CN"/>
        </w:rPr>
        <w:t>邮电费</w:t>
      </w:r>
      <w:r>
        <w:rPr>
          <w:rFonts w:hint="eastAsia" w:ascii="仿宋_GB2312" w:hAnsi="仿宋_GB2312" w:eastAsia="仿宋_GB2312" w:cs="仿宋_GB2312"/>
          <w:color w:val="000000"/>
          <w:sz w:val="32"/>
          <w:szCs w:val="32"/>
          <w:lang w:val="en-US" w:eastAsia="zh-CN"/>
        </w:rPr>
        <w:t>5.46</w:t>
      </w:r>
      <w:r>
        <w:rPr>
          <w:rFonts w:hint="eastAsia" w:ascii="仿宋_GB2312" w:hAnsi="仿宋_GB2312" w:eastAsia="仿宋_GB2312" w:cs="仿宋_GB2312"/>
          <w:color w:val="000000"/>
          <w:sz w:val="32"/>
          <w:szCs w:val="32"/>
          <w:lang w:eastAsia="zh-CN"/>
        </w:rPr>
        <w:t>万元、取暖费</w:t>
      </w:r>
      <w:r>
        <w:rPr>
          <w:rFonts w:hint="eastAsia" w:ascii="仿宋_GB2312" w:hAnsi="仿宋_GB2312" w:eastAsia="仿宋_GB2312" w:cs="仿宋_GB2312"/>
          <w:color w:val="000000"/>
          <w:sz w:val="32"/>
          <w:szCs w:val="32"/>
          <w:lang w:val="en-US" w:eastAsia="zh-CN"/>
        </w:rPr>
        <w:t>2.38万元、</w:t>
      </w:r>
      <w:r>
        <w:rPr>
          <w:rFonts w:hint="eastAsia" w:ascii="仿宋_GB2312" w:hAnsi="仿宋_GB2312" w:eastAsia="仿宋_GB2312" w:cs="仿宋_GB2312"/>
          <w:color w:val="000000"/>
          <w:sz w:val="32"/>
          <w:szCs w:val="32"/>
          <w:lang w:eastAsia="zh-CN"/>
        </w:rPr>
        <w:t>差旅费</w:t>
      </w:r>
      <w:r>
        <w:rPr>
          <w:rFonts w:hint="eastAsia" w:ascii="仿宋_GB2312" w:hAnsi="仿宋_GB2312" w:eastAsia="仿宋_GB2312" w:cs="仿宋_GB2312"/>
          <w:color w:val="000000"/>
          <w:sz w:val="32"/>
          <w:szCs w:val="32"/>
          <w:lang w:val="en-US" w:eastAsia="zh-CN"/>
        </w:rPr>
        <w:t>4.67</w:t>
      </w:r>
      <w:r>
        <w:rPr>
          <w:rFonts w:hint="eastAsia" w:ascii="仿宋_GB2312" w:hAnsi="仿宋_GB2312" w:eastAsia="仿宋_GB2312" w:cs="仿宋_GB2312"/>
          <w:color w:val="000000"/>
          <w:sz w:val="32"/>
          <w:szCs w:val="32"/>
          <w:lang w:eastAsia="zh-CN"/>
        </w:rPr>
        <w:t>万元、维修维护</w:t>
      </w:r>
      <w:r>
        <w:rPr>
          <w:rFonts w:hint="eastAsia" w:ascii="仿宋_GB2312" w:hAnsi="仿宋_GB2312" w:eastAsia="仿宋_GB2312" w:cs="仿宋_GB2312"/>
          <w:color w:val="000000"/>
          <w:sz w:val="32"/>
          <w:szCs w:val="32"/>
          <w:lang w:val="en-US" w:eastAsia="zh-CN"/>
        </w:rPr>
        <w:t>1.41万元、培训费0.39万元、接待费0.2万元、委托业务费0.3万元、</w:t>
      </w:r>
      <w:r>
        <w:rPr>
          <w:rFonts w:hint="eastAsia" w:ascii="仿宋_GB2312" w:hAnsi="仿宋_GB2312" w:eastAsia="仿宋_GB2312" w:cs="仿宋_GB2312"/>
          <w:color w:val="000000"/>
          <w:sz w:val="32"/>
          <w:szCs w:val="32"/>
          <w:lang w:eastAsia="zh-CN"/>
        </w:rPr>
        <w:t>工会经费</w:t>
      </w:r>
      <w:r>
        <w:rPr>
          <w:rFonts w:hint="eastAsia" w:ascii="仿宋_GB2312" w:hAnsi="仿宋_GB2312" w:eastAsia="仿宋_GB2312" w:cs="仿宋_GB2312"/>
          <w:color w:val="000000"/>
          <w:sz w:val="32"/>
          <w:szCs w:val="32"/>
          <w:lang w:val="en-US" w:eastAsia="zh-CN"/>
        </w:rPr>
        <w:t>5.23万元、</w:t>
      </w:r>
      <w:r>
        <w:rPr>
          <w:rFonts w:hint="eastAsia" w:ascii="仿宋_GB2312" w:hAnsi="仿宋_GB2312" w:eastAsia="仿宋_GB2312" w:cs="仿宋_GB2312"/>
          <w:color w:val="000000"/>
          <w:sz w:val="32"/>
          <w:szCs w:val="32"/>
          <w:lang w:eastAsia="zh-CN"/>
        </w:rPr>
        <w:t>公务用车运行维护费</w:t>
      </w:r>
      <w:r>
        <w:rPr>
          <w:rFonts w:hint="eastAsia" w:ascii="仿宋_GB2312" w:hAnsi="仿宋_GB2312" w:eastAsia="仿宋_GB2312" w:cs="仿宋_GB2312"/>
          <w:color w:val="000000"/>
          <w:sz w:val="32"/>
          <w:szCs w:val="32"/>
          <w:lang w:val="en-US" w:eastAsia="zh-CN"/>
        </w:rPr>
        <w:t>23.92</w:t>
      </w:r>
      <w:r>
        <w:rPr>
          <w:rFonts w:hint="eastAsia" w:ascii="仿宋_GB2312" w:hAnsi="仿宋_GB2312" w:eastAsia="仿宋_GB2312" w:cs="仿宋_GB2312"/>
          <w:color w:val="000000"/>
          <w:sz w:val="32"/>
          <w:szCs w:val="32"/>
          <w:lang w:eastAsia="zh-CN"/>
        </w:rPr>
        <w:t>万元，其他交通费用</w:t>
      </w:r>
      <w:r>
        <w:rPr>
          <w:rFonts w:hint="eastAsia" w:ascii="仿宋_GB2312" w:hAnsi="仿宋_GB2312" w:eastAsia="仿宋_GB2312" w:cs="仿宋_GB2312"/>
          <w:color w:val="000000"/>
          <w:sz w:val="32"/>
          <w:szCs w:val="32"/>
          <w:lang w:val="en-US" w:eastAsia="zh-CN"/>
        </w:rPr>
        <w:t>0.73万元</w:t>
      </w:r>
      <w:r>
        <w:rPr>
          <w:rFonts w:hint="eastAsia" w:ascii="仿宋_GB2312" w:hAnsi="仿宋_GB2312" w:eastAsia="仿宋_GB2312" w:cs="仿宋_GB2312"/>
          <w:color w:val="000000"/>
          <w:sz w:val="32"/>
          <w:szCs w:val="32"/>
          <w:lang w:eastAsia="zh-CN"/>
        </w:rPr>
        <w:t>。</w:t>
      </w:r>
    </w:p>
    <w:p>
      <w:pPr>
        <w:spacing w:line="600" w:lineRule="exact"/>
        <w:ind w:firstLine="640"/>
        <w:outlineLvl w:val="1"/>
        <w:rPr>
          <w:rStyle w:val="21"/>
          <w:rFonts w:ascii="黑体" w:eastAsia="黑体"/>
          <w:b w:val="0"/>
        </w:rPr>
      </w:pPr>
      <w:bookmarkStart w:id="47" w:name="_Toc15396609"/>
      <w:bookmarkStart w:id="48" w:name="_Toc15377215"/>
      <w:bookmarkStart w:id="49" w:name="_Toc4299"/>
      <w:r>
        <w:rPr>
          <w:rFonts w:hint="eastAsia" w:ascii="黑体" w:eastAsia="黑体"/>
          <w:sz w:val="32"/>
          <w:szCs w:val="32"/>
        </w:rPr>
        <w:t>七、</w:t>
      </w:r>
      <w:r>
        <w:rPr>
          <w:rStyle w:val="21"/>
          <w:rFonts w:hint="eastAsia" w:ascii="黑体" w:eastAsia="黑体"/>
          <w:b w:val="0"/>
        </w:rPr>
        <w:t>财政拨款</w:t>
      </w:r>
      <w:r>
        <w:rPr>
          <w:rStyle w:val="21"/>
          <w:rFonts w:hint="eastAsia" w:ascii="黑体" w:eastAsia="黑体"/>
        </w:rPr>
        <w:t>“</w:t>
      </w:r>
      <w:r>
        <w:rPr>
          <w:rStyle w:val="21"/>
          <w:rFonts w:hint="eastAsia" w:ascii="黑体" w:eastAsia="黑体"/>
          <w:b w:val="0"/>
        </w:rPr>
        <w:t>三公”经费支出决算情况说明</w:t>
      </w:r>
      <w:bookmarkEnd w:id="47"/>
      <w:bookmarkEnd w:id="48"/>
      <w:bookmarkEnd w:id="49"/>
    </w:p>
    <w:p>
      <w:pPr>
        <w:spacing w:line="600" w:lineRule="exact"/>
        <w:ind w:firstLine="640"/>
        <w:outlineLvl w:val="2"/>
        <w:rPr>
          <w:rFonts w:hint="eastAsia" w:ascii="仿宋_GB2312" w:hAnsi="仿宋_GB2312" w:eastAsia="仿宋_GB2312" w:cs="仿宋_GB2312"/>
          <w:b/>
          <w:sz w:val="32"/>
          <w:szCs w:val="32"/>
        </w:rPr>
      </w:pPr>
      <w:bookmarkStart w:id="50" w:name="_Toc15377216"/>
      <w:r>
        <w:rPr>
          <w:rFonts w:hint="eastAsia" w:ascii="仿宋_GB2312" w:hAnsi="仿宋_GB2312" w:eastAsia="仿宋_GB2312" w:cs="仿宋_GB2312"/>
          <w:b/>
          <w:sz w:val="32"/>
          <w:szCs w:val="32"/>
        </w:rPr>
        <w:t>（一）“三公”经费财政拨款支出决算总体情况说明</w:t>
      </w:r>
      <w:bookmarkEnd w:id="50"/>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%，较上年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10.03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上升</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w:t>
      </w:r>
    </w:p>
    <w:p>
      <w:pPr>
        <w:spacing w:line="600" w:lineRule="exact"/>
        <w:ind w:firstLine="640"/>
        <w:outlineLvl w:val="2"/>
        <w:rPr>
          <w:rFonts w:hint="eastAsia" w:ascii="仿宋_GB2312" w:hAnsi="仿宋_GB2312" w:eastAsia="仿宋_GB2312" w:cs="仿宋_GB2312"/>
          <w:b/>
          <w:sz w:val="32"/>
          <w:szCs w:val="32"/>
        </w:rPr>
      </w:pPr>
      <w:bookmarkStart w:id="51" w:name="_Toc15377217"/>
      <w:r>
        <w:rPr>
          <w:rFonts w:hint="eastAsia" w:ascii="仿宋_GB2312" w:hAnsi="仿宋_GB2312" w:eastAsia="仿宋_GB2312" w:cs="仿宋_GB2312"/>
          <w:b/>
          <w:sz w:val="32"/>
          <w:szCs w:val="32"/>
        </w:rPr>
        <w:t>（二）“三公”经费财政拨款支出决算具体情况说明</w:t>
      </w:r>
      <w:bookmarkEnd w:id="51"/>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42.97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1.03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%。具体情况如下：</w:t>
      </w:r>
    </w:p>
    <w:p>
      <w:pPr>
        <w:spacing w:line="600" w:lineRule="exact"/>
        <w:ind w:firstLine="640"/>
        <w:rPr>
          <w:rFonts w:hint="eastAsia" w:ascii="仿宋" w:eastAsia="仿宋"/>
          <w:sz w:val="32"/>
          <w:szCs w:val="32"/>
        </w:rPr>
      </w:pPr>
      <w:r>
        <w:rPr>
          <w:rFonts w:hint="eastAsia" w:ascii="仿宋_GB2312" w:hAnsi="仿宋_GB2312" w:eastAsia="仿宋_GB2312" w:cs="仿宋_GB2312"/>
          <w:sz w:val="32"/>
          <w:szCs w:val="32"/>
        </w:rPr>
        <w:t>（图7：“三公”经费财政拨款支出结构）（饼状</w:t>
      </w:r>
      <w:r>
        <w:rPr>
          <w:rFonts w:hint="eastAsia" w:ascii="仿宋" w:eastAsia="仿宋"/>
          <w:sz w:val="32"/>
          <w:szCs w:val="32"/>
        </w:rPr>
        <w:t>图）</w:t>
      </w:r>
    </w:p>
    <w:p>
      <w:pPr>
        <w:pStyle w:val="4"/>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080000" cy="2381885"/>
            <wp:effectExtent l="5080" t="4445" r="20320" b="1397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sz w:val="32"/>
          <w:szCs w:val="32"/>
        </w:rPr>
      </w:pPr>
    </w:p>
    <w:p>
      <w:pPr>
        <w:spacing w:line="60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1.因公出国（境）经费支出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人。因公出国（境）支出决算</w:t>
      </w:r>
      <w:r>
        <w:rPr>
          <w:rFonts w:hint="eastAsia" w:ascii="仿宋_GB2312" w:hAnsi="仿宋_GB2312" w:eastAsia="仿宋_GB2312" w:cs="仿宋_GB2312"/>
          <w:sz w:val="32"/>
          <w:szCs w:val="32"/>
          <w:lang w:eastAsia="zh-CN"/>
        </w:rPr>
        <w:t>与上年持平，主要原因是两年均未有出国安排。</w:t>
      </w:r>
    </w:p>
    <w:p>
      <w:pPr>
        <w:spacing w:line="600" w:lineRule="exact"/>
        <w:ind w:firstLine="640"/>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2.公务用车购置及运行维护费支出</w:t>
      </w:r>
      <w:r>
        <w:rPr>
          <w:rFonts w:hint="eastAsia" w:ascii="仿宋_GB2312" w:hAnsi="仿宋_GB2312" w:eastAsia="仿宋_GB2312" w:cs="仿宋_GB2312"/>
          <w:sz w:val="32"/>
          <w:szCs w:val="32"/>
          <w:lang w:val="en-US" w:eastAsia="zh-CN"/>
        </w:rPr>
        <w:t>42.97</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公务用车购置及运行维护费支出决算较上年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10.03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上升</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上升</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川</w:t>
      </w:r>
      <w:r>
        <w:rPr>
          <w:rFonts w:hint="eastAsia" w:ascii="仿宋_GB2312" w:hAnsi="仿宋_GB2312" w:eastAsia="仿宋_GB2312" w:cs="仿宋_GB2312"/>
          <w:sz w:val="32"/>
          <w:szCs w:val="32"/>
          <w:lang w:val="en-US" w:eastAsia="zh-CN"/>
        </w:rPr>
        <w:t>U00343车辆2024年</w:t>
      </w:r>
      <w:r>
        <w:rPr>
          <w:rFonts w:hint="eastAsia" w:ascii="仿宋_GB2312" w:hAnsi="仿宋_GB2312" w:eastAsia="仿宋_GB2312" w:cs="仿宋_GB2312"/>
          <w:kern w:val="2"/>
          <w:sz w:val="32"/>
          <w:szCs w:val="32"/>
          <w:lang w:val="en-US" w:eastAsia="zh-CN" w:bidi="ar-SA"/>
        </w:rPr>
        <w:t>由于发动机漏油等问题大修，产生大修费用11.08万元，2023年无该费用，除去该大修因素影响，公务用车运行维护费相比去年略有下降。</w:t>
      </w:r>
    </w:p>
    <w:p>
      <w:pPr>
        <w:spacing w:line="60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原因为</w:t>
      </w:r>
      <w:r>
        <w:rPr>
          <w:rFonts w:hint="eastAsia" w:ascii="仿宋_GB2312" w:hAnsi="仿宋_GB2312" w:eastAsia="仿宋_GB2312" w:cs="仿宋_GB2312"/>
          <w:sz w:val="32"/>
          <w:szCs w:val="32"/>
        </w:rPr>
        <w:t>全年</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更新购置公务用车。</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sz w:val="32"/>
          <w:szCs w:val="32"/>
        </w:rPr>
        <w:t>公务用车运行维护费支出</w:t>
      </w:r>
      <w:r>
        <w:rPr>
          <w:rFonts w:hint="eastAsia" w:ascii="仿宋_GB2312" w:hAnsi="仿宋_GB2312" w:eastAsia="仿宋_GB2312" w:cs="仿宋_GB2312"/>
          <w:sz w:val="32"/>
          <w:szCs w:val="32"/>
          <w:lang w:val="en-US" w:eastAsia="zh-CN"/>
        </w:rPr>
        <w:t>42.97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主要用于</w:t>
      </w:r>
      <w:r>
        <w:rPr>
          <w:rFonts w:hint="eastAsia" w:ascii="仿宋_GB2312" w:hAnsi="仿宋_GB2312" w:eastAsia="仿宋_GB2312" w:cs="仿宋_GB2312"/>
          <w:color w:val="000000"/>
          <w:sz w:val="32"/>
          <w:szCs w:val="32"/>
          <w:lang w:eastAsia="zh-CN"/>
        </w:rPr>
        <w:t>人大工作出差、开展脱贫攻坚等工作下乡等所需的公务用车燃料费、维修费、过路过桥费、保险费等支出。</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3.公务接待费支出</w:t>
      </w:r>
      <w:r>
        <w:rPr>
          <w:rFonts w:hint="eastAsia" w:ascii="仿宋_GB2312" w:hAnsi="仿宋_GB2312" w:eastAsia="仿宋_GB2312" w:cs="仿宋_GB2312"/>
          <w:color w:val="000000"/>
          <w:sz w:val="32"/>
          <w:szCs w:val="32"/>
          <w:lang w:val="en-US" w:eastAsia="zh-CN"/>
        </w:rPr>
        <w:t>1.03</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公务接待费支出决算比202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1.17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0.53%</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厉行节约，2024年减少不必要的接待费支出。</w:t>
      </w:r>
      <w:r>
        <w:rPr>
          <w:rFonts w:hint="eastAsia" w:ascii="仿宋_GB2312" w:hAnsi="仿宋_GB2312" w:eastAsia="仿宋_GB2312" w:cs="仿宋_GB2312"/>
          <w:sz w:val="32"/>
          <w:szCs w:val="32"/>
        </w:rPr>
        <w:t>其中：</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国内公务接待支出</w:t>
      </w:r>
      <w:r>
        <w:rPr>
          <w:rFonts w:hint="eastAsia" w:ascii="仿宋_GB2312" w:hAnsi="仿宋_GB2312" w:eastAsia="仿宋_GB2312" w:cs="仿宋_GB2312"/>
          <w:sz w:val="32"/>
          <w:szCs w:val="32"/>
          <w:lang w:val="en-US" w:eastAsia="zh-CN"/>
        </w:rPr>
        <w:t>1.03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主要用于接待上级部门及各县执行公务、开展业务活动、调研等开支的餐费</w:t>
      </w:r>
      <w:r>
        <w:rPr>
          <w:rFonts w:hint="eastAsia" w:ascii="仿宋_GB2312" w:hAnsi="仿宋_GB2312" w:eastAsia="仿宋_GB2312" w:cs="仿宋_GB2312"/>
          <w:sz w:val="32"/>
          <w:szCs w:val="32"/>
        </w:rPr>
        <w:t>。国内公务接待</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108</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1.03</w:t>
      </w:r>
      <w:r>
        <w:rPr>
          <w:rFonts w:hint="eastAsia" w:ascii="仿宋_GB2312" w:hAnsi="仿宋_GB2312" w:eastAsia="仿宋_GB2312" w:cs="仿宋_GB2312"/>
          <w:sz w:val="32"/>
          <w:szCs w:val="32"/>
        </w:rPr>
        <w:t>万元，具体内容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w:t>
      </w:r>
      <w:r>
        <w:rPr>
          <w:rFonts w:hint="eastAsia" w:ascii="仿宋_GB2312" w:hAnsi="仿宋_GB2312" w:eastAsia="仿宋_GB2312" w:cs="仿宋_GB2312"/>
          <w:sz w:val="32"/>
          <w:szCs w:val="32"/>
          <w:lang w:val="en-US" w:eastAsia="zh-CN"/>
        </w:rPr>
        <w:t>松潘、九寨沟、马尔康、遂宁等县到我县考察机关建设、生态保护、文旅融合发展等工作及州人大到我县跟踪督导工作。在考察调研过程中相互交流相关工作经验取长补短，让我县代表不出县的情况下开阔了眼界，同时学习了其他县先进工作经验，为我县进一步做好人大相关工作奠定了坚实的基础。</w:t>
      </w:r>
    </w:p>
    <w:p>
      <w:pPr>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外事接待支出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万元，外事接待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bookmarkStart w:id="52" w:name="_Toc15377218"/>
      <w:bookmarkStart w:id="53" w:name="_Toc15396610"/>
    </w:p>
    <w:p>
      <w:pPr>
        <w:pStyle w:val="11"/>
        <w:rPr>
          <w:rFonts w:hint="eastAsia"/>
        </w:rPr>
      </w:pPr>
    </w:p>
    <w:p>
      <w:pPr>
        <w:spacing w:line="600" w:lineRule="exact"/>
        <w:ind w:firstLine="640"/>
        <w:outlineLvl w:val="1"/>
        <w:rPr>
          <w:rStyle w:val="21"/>
          <w:rFonts w:ascii="黑体" w:eastAsia="黑体"/>
        </w:rPr>
      </w:pPr>
      <w:bookmarkStart w:id="54" w:name="_Toc22646"/>
      <w:r>
        <w:rPr>
          <w:rFonts w:hint="eastAsia" w:ascii="黑体" w:eastAsia="黑体"/>
          <w:sz w:val="32"/>
          <w:szCs w:val="32"/>
        </w:rPr>
        <w:t>八、</w:t>
      </w:r>
      <w:r>
        <w:rPr>
          <w:rStyle w:val="21"/>
          <w:rFonts w:hint="eastAsia" w:ascii="黑体" w:eastAsia="黑体"/>
          <w:b w:val="0"/>
        </w:rPr>
        <w:t>政府性基金预算支出决算情况说明</w:t>
      </w:r>
      <w:bookmarkEnd w:id="52"/>
      <w:bookmarkEnd w:id="53"/>
      <w:bookmarkEnd w:id="54"/>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5"/>
        </w:numPr>
        <w:spacing w:line="600" w:lineRule="exact"/>
        <w:ind w:firstLine="640"/>
        <w:outlineLvl w:val="1"/>
        <w:rPr>
          <w:rStyle w:val="21"/>
          <w:rFonts w:ascii="黑体" w:eastAsia="黑体"/>
          <w:b w:val="0"/>
        </w:rPr>
      </w:pPr>
      <w:bookmarkStart w:id="55" w:name="_Toc15396611"/>
      <w:bookmarkStart w:id="56" w:name="_Toc15377219"/>
      <w:bookmarkStart w:id="57" w:name="_Toc1631"/>
      <w:r>
        <w:rPr>
          <w:rStyle w:val="21"/>
          <w:rFonts w:hint="eastAsia" w:ascii="黑体" w:eastAsia="黑体"/>
          <w:b w:val="0"/>
        </w:rPr>
        <w:t>国有资本经营预算支出决算情况说明</w:t>
      </w:r>
      <w:bookmarkEnd w:id="55"/>
      <w:bookmarkEnd w:id="56"/>
      <w:bookmarkEnd w:id="57"/>
    </w:p>
    <w:p>
      <w:pPr>
        <w:spacing w:line="600" w:lineRule="exact"/>
        <w:ind w:firstLine="640"/>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5"/>
        </w:numPr>
        <w:spacing w:line="600" w:lineRule="exact"/>
        <w:ind w:firstLine="640"/>
        <w:outlineLvl w:val="1"/>
        <w:rPr>
          <w:rStyle w:val="21"/>
          <w:rFonts w:ascii="黑体" w:eastAsia="黑体"/>
          <w:b w:val="0"/>
        </w:rPr>
      </w:pPr>
      <w:bookmarkStart w:id="58" w:name="_Toc15396612"/>
      <w:bookmarkStart w:id="59" w:name="_Toc15377221"/>
      <w:bookmarkStart w:id="60" w:name="_Toc4892"/>
      <w:r>
        <w:rPr>
          <w:rStyle w:val="21"/>
          <w:rFonts w:hint="eastAsia" w:ascii="黑体" w:eastAsia="黑体"/>
          <w:b w:val="0"/>
        </w:rPr>
        <w:t>其他重要事项的情况说明</w:t>
      </w:r>
      <w:bookmarkEnd w:id="58"/>
      <w:bookmarkEnd w:id="59"/>
      <w:bookmarkEnd w:id="60"/>
    </w:p>
    <w:p>
      <w:pPr>
        <w:spacing w:line="600" w:lineRule="exact"/>
        <w:ind w:firstLine="643" w:firstLineChars="200"/>
        <w:outlineLvl w:val="2"/>
        <w:rPr>
          <w:rFonts w:ascii="仿宋" w:eastAsia="仿宋"/>
          <w:sz w:val="32"/>
          <w:szCs w:val="32"/>
        </w:rPr>
      </w:pPr>
      <w:bookmarkStart w:id="61" w:name="_Toc15377222"/>
      <w:r>
        <w:rPr>
          <w:rFonts w:hint="eastAsia" w:ascii="仿宋" w:eastAsia="仿宋"/>
          <w:b/>
          <w:sz w:val="32"/>
          <w:szCs w:val="32"/>
        </w:rPr>
        <w:t>（一）机关运行经费支出情况</w:t>
      </w:r>
      <w:bookmarkEnd w:id="6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红原县人大办</w:t>
      </w:r>
      <w:r>
        <w:rPr>
          <w:rFonts w:hint="eastAsia" w:ascii="仿宋_GB2312" w:eastAsia="仿宋_GB2312"/>
          <w:sz w:val="32"/>
          <w:szCs w:val="32"/>
        </w:rPr>
        <w:t>机关运行经费支出</w:t>
      </w:r>
      <w:r>
        <w:rPr>
          <w:rFonts w:hint="eastAsia" w:ascii="仿宋_GB2312" w:eastAsia="仿宋_GB2312"/>
          <w:sz w:val="32"/>
          <w:szCs w:val="32"/>
          <w:lang w:val="en-US" w:eastAsia="zh-CN"/>
        </w:rPr>
        <w:t>56.62万元</w:t>
      </w:r>
      <w:r>
        <w:rPr>
          <w:rFonts w:hint="eastAsia" w:ascii="仿宋_GB2312" w:eastAsia="仿宋_GB2312"/>
          <w:sz w:val="32"/>
          <w:szCs w:val="32"/>
        </w:rPr>
        <w:t>，比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增加</w:t>
      </w:r>
      <w:r>
        <w:rPr>
          <w:rFonts w:hint="eastAsia" w:ascii="仿宋_GB2312" w:eastAsia="仿宋_GB2312"/>
          <w:sz w:val="32"/>
          <w:szCs w:val="32"/>
          <w:lang w:val="en-US" w:eastAsia="zh-CN"/>
        </w:rPr>
        <w:t>2.29</w:t>
      </w:r>
      <w:r>
        <w:rPr>
          <w:rFonts w:hint="eastAsia" w:ascii="仿宋_GB2312" w:eastAsia="仿宋_GB2312"/>
          <w:sz w:val="32"/>
          <w:szCs w:val="32"/>
        </w:rPr>
        <w:t>万元，</w:t>
      </w:r>
      <w:r>
        <w:rPr>
          <w:rFonts w:hint="eastAsia" w:ascii="仿宋_GB2312" w:eastAsia="仿宋_GB2312"/>
          <w:sz w:val="32"/>
          <w:szCs w:val="32"/>
          <w:lang w:eastAsia="zh-CN"/>
        </w:rPr>
        <w:t>上涨</w:t>
      </w: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sz w:val="32"/>
          <w:szCs w:val="32"/>
          <w:lang w:eastAsia="zh-CN"/>
        </w:rPr>
        <w:t>上涨</w:t>
      </w:r>
      <w:r>
        <w:rPr>
          <w:rFonts w:hint="eastAsia" w:ascii="仿宋_GB2312" w:eastAsia="仿宋_GB2312"/>
          <w:sz w:val="32"/>
          <w:szCs w:val="32"/>
        </w:rPr>
        <w:t>主要原因是</w:t>
      </w:r>
      <w:r>
        <w:rPr>
          <w:rFonts w:hint="eastAsia" w:ascii="仿宋_GB2312" w:eastAsia="仿宋_GB2312"/>
          <w:sz w:val="32"/>
          <w:szCs w:val="32"/>
          <w:lang w:val="en-US" w:eastAsia="zh-CN"/>
        </w:rPr>
        <w:t>2024年人员较2023年增加1人，导致公用经费增加1人</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62" w:name="_Toc15377223"/>
      <w:r>
        <w:rPr>
          <w:rFonts w:hint="eastAsia" w:ascii="仿宋" w:eastAsia="仿宋"/>
          <w:b/>
          <w:sz w:val="32"/>
          <w:szCs w:val="32"/>
        </w:rPr>
        <w:t>（二）政府采购支出情况</w:t>
      </w:r>
      <w:bookmarkEnd w:id="62"/>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人大办</w:t>
      </w:r>
      <w:r>
        <w:rPr>
          <w:rFonts w:hint="eastAsia" w:ascii="仿宋_GB2312" w:eastAsia="仿宋_GB2312"/>
          <w:sz w:val="32"/>
          <w:szCs w:val="32"/>
        </w:rPr>
        <w:t>政府采购支出总额</w:t>
      </w:r>
      <w:r>
        <w:rPr>
          <w:rFonts w:hint="eastAsia" w:ascii="仿宋_GB2312" w:eastAsia="仿宋_GB2312"/>
          <w:sz w:val="32"/>
          <w:szCs w:val="32"/>
          <w:lang w:val="en-US" w:eastAsia="zh-CN"/>
        </w:rPr>
        <w:t>0.76</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0.76</w:t>
      </w:r>
      <w:r>
        <w:rPr>
          <w:rFonts w:hint="eastAsia" w:ascii="仿宋_GB2312" w:eastAsia="仿宋_GB2312"/>
          <w:sz w:val="32"/>
          <w:szCs w:val="32"/>
        </w:rPr>
        <w:t>万元</w:t>
      </w:r>
      <w:r>
        <w:rPr>
          <w:rFonts w:hint="eastAsia" w:ascii="仿宋_GB2312" w:eastAsia="仿宋_GB2312"/>
          <w:sz w:val="32"/>
          <w:szCs w:val="32"/>
          <w:lang w:eastAsia="zh-CN"/>
        </w:rPr>
        <w:t>（框采协议修车）</w:t>
      </w:r>
      <w:r>
        <w:rPr>
          <w:rFonts w:hint="eastAsia" w:ascii="仿宋_GB2312" w:eastAsia="仿宋_GB2312"/>
          <w:sz w:val="32"/>
          <w:szCs w:val="32"/>
        </w:rPr>
        <w:t>。授予中小企业合同金额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63" w:name="_Toc15377224"/>
      <w:r>
        <w:rPr>
          <w:rFonts w:hint="eastAsia" w:ascii="仿宋" w:eastAsia="仿宋"/>
          <w:b/>
          <w:sz w:val="32"/>
          <w:szCs w:val="32"/>
        </w:rPr>
        <w:t>（三）国有资产占有使用情况</w:t>
      </w:r>
      <w:bookmarkEnd w:id="63"/>
    </w:p>
    <w:p>
      <w:pPr>
        <w:pStyle w:val="15"/>
        <w:keepNext w:val="0"/>
        <w:keepLines w:val="0"/>
        <w:widowControl/>
        <w:numPr>
          <w:ilvl w:val="0"/>
          <w:numId w:val="0"/>
        </w:numPr>
        <w:suppressLineNumbers w:val="0"/>
        <w:shd w:val="clear" w:color="auto" w:fill="auto"/>
        <w:ind w:leftChars="0" w:right="75" w:rightChars="0" w:firstLine="640" w:firstLineChars="200"/>
        <w:rPr>
          <w:rStyle w:val="18"/>
          <w:rFonts w:hint="eastAsia" w:ascii="仿宋_GB2312" w:hAnsi="仿宋_GB2312" w:eastAsia="仿宋_GB2312" w:cs="仿宋_GB2312"/>
          <w:sz w:val="32"/>
          <w:szCs w:val="32"/>
          <w:shd w:val="clear" w:color="auto" w:fill="FFFFFF"/>
          <w:lang w:val="en-US" w:eastAsia="zh-CN"/>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我单位</w:t>
      </w:r>
      <w:r>
        <w:rPr>
          <w:rFonts w:hint="eastAsia" w:ascii="仿宋_GB2312" w:eastAsia="仿宋_GB2312"/>
          <w:sz w:val="32"/>
          <w:szCs w:val="32"/>
        </w:rPr>
        <w:t>共有车辆</w:t>
      </w:r>
      <w:r>
        <w:rPr>
          <w:rFonts w:hint="eastAsia" w:ascii="仿宋_GB2312" w:eastAsia="仿宋_GB2312"/>
          <w:sz w:val="32"/>
          <w:szCs w:val="32"/>
          <w:lang w:val="en-US" w:eastAsia="zh-CN"/>
        </w:rPr>
        <w:t>4</w:t>
      </w:r>
      <w:r>
        <w:rPr>
          <w:rFonts w:hint="eastAsia" w:ascii="仿宋_GB2312" w:eastAsia="仿宋_GB2312"/>
          <w:sz w:val="32"/>
          <w:szCs w:val="32"/>
        </w:rPr>
        <w:t>辆</w:t>
      </w:r>
      <w:r>
        <w:rPr>
          <w:rFonts w:hint="eastAsia" w:ascii="仿宋_GB2312" w:eastAsia="仿宋_GB2312"/>
          <w:sz w:val="32"/>
          <w:szCs w:val="32"/>
          <w:lang w:eastAsia="zh-CN"/>
        </w:rPr>
        <w:t>，全部为应急保障用车</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r>
        <w:rPr>
          <w:rFonts w:hint="eastAsia" w:ascii="仿宋_GB2312" w:eastAsia="仿宋_GB2312"/>
          <w:sz w:val="32"/>
          <w:szCs w:val="32"/>
          <w:lang w:eastAsia="zh-CN"/>
        </w:rPr>
        <w:t>截止年底</w:t>
      </w:r>
      <w:r>
        <w:rPr>
          <w:rFonts w:hint="eastAsia" w:ascii="仿宋_GB2312" w:eastAsia="仿宋_GB2312"/>
          <w:sz w:val="32"/>
          <w:szCs w:val="32"/>
        </w:rPr>
        <w:t>共有</w:t>
      </w:r>
      <w:r>
        <w:rPr>
          <w:rFonts w:hint="eastAsia" w:ascii="仿宋_GB2312" w:eastAsia="仿宋_GB2312"/>
          <w:sz w:val="32"/>
          <w:szCs w:val="32"/>
          <w:lang w:eastAsia="zh-CN"/>
        </w:rPr>
        <w:t>资产</w:t>
      </w:r>
      <w:r>
        <w:rPr>
          <w:rFonts w:hint="eastAsia" w:ascii="仿宋_GB2312" w:eastAsia="仿宋_GB2312"/>
          <w:sz w:val="32"/>
          <w:szCs w:val="32"/>
          <w:lang w:val="en-US" w:eastAsia="zh-CN"/>
        </w:rPr>
        <w:t>396.38万元</w:t>
      </w:r>
      <w:r>
        <w:rPr>
          <w:rFonts w:hint="eastAsia" w:ascii="仿宋_GB2312" w:eastAsia="仿宋_GB2312"/>
          <w:color w:val="000000"/>
          <w:sz w:val="32"/>
          <w:szCs w:val="32"/>
        </w:rPr>
        <w:t>（账面原值，下同）</w:t>
      </w:r>
      <w:r>
        <w:rPr>
          <w:rFonts w:hint="eastAsia" w:ascii="仿宋_GB2312" w:eastAsia="仿宋_GB2312"/>
          <w:sz w:val="32"/>
          <w:szCs w:val="32"/>
          <w:lang w:val="en-US" w:eastAsia="zh-CN"/>
        </w:rPr>
        <w:t>，其中固定资产395.39万元，占比99.75%，无形资产0.99万元，占比0.25%。</w:t>
      </w:r>
      <w:r>
        <w:rPr>
          <w:rFonts w:hint="eastAsia" w:ascii="仿宋_GB2312" w:eastAsia="仿宋_GB2312"/>
          <w:color w:val="000000"/>
          <w:sz w:val="32"/>
          <w:szCs w:val="32"/>
        </w:rPr>
        <w:t>从资产类别分析，配置土地、房屋及构筑物</w:t>
      </w:r>
      <w:r>
        <w:rPr>
          <w:rFonts w:hint="eastAsia" w:ascii="仿宋_GB2312" w:eastAsia="仿宋_GB2312"/>
          <w:color w:val="000000"/>
          <w:sz w:val="32"/>
          <w:szCs w:val="32"/>
          <w:lang w:val="en-US" w:eastAsia="zh-CN"/>
        </w:rPr>
        <w:t>32.5</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 配置通用设备</w:t>
      </w:r>
      <w:r>
        <w:rPr>
          <w:rFonts w:hint="eastAsia" w:ascii="仿宋_GB2312" w:eastAsia="仿宋_GB2312"/>
          <w:color w:val="000000"/>
          <w:sz w:val="32"/>
          <w:szCs w:val="32"/>
          <w:lang w:val="en-US" w:eastAsia="zh-CN"/>
        </w:rPr>
        <w:t>330.71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83</w:t>
      </w:r>
      <w:r>
        <w:rPr>
          <w:rFonts w:hint="eastAsia" w:ascii="仿宋_GB2312" w:eastAsia="仿宋_GB2312"/>
          <w:color w:val="000000"/>
          <w:sz w:val="32"/>
          <w:szCs w:val="32"/>
        </w:rPr>
        <w:t>% ； 配置家具、用具、装具及动植物</w:t>
      </w:r>
      <w:r>
        <w:rPr>
          <w:rFonts w:hint="eastAsia" w:ascii="仿宋_GB2312" w:eastAsia="仿宋_GB2312"/>
          <w:color w:val="000000"/>
          <w:sz w:val="32"/>
          <w:szCs w:val="32"/>
          <w:lang w:val="en-US" w:eastAsia="zh-CN"/>
        </w:rPr>
        <w:t>32.18</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8.73</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，无形资产</w:t>
      </w:r>
      <w:r>
        <w:rPr>
          <w:rFonts w:hint="eastAsia" w:ascii="仿宋_GB2312" w:eastAsia="仿宋_GB2312"/>
          <w:color w:val="000000"/>
          <w:sz w:val="32"/>
          <w:szCs w:val="32"/>
          <w:lang w:val="en-US" w:eastAsia="zh-CN"/>
        </w:rPr>
        <w:t>0.99万元，占比0.27%</w:t>
      </w:r>
      <w:r>
        <w:rPr>
          <w:rFonts w:hint="eastAsia" w:ascii="仿宋_GB2312" w:eastAsia="仿宋_GB2312"/>
          <w:color w:val="000000"/>
          <w:sz w:val="32"/>
          <w:szCs w:val="32"/>
        </w:rPr>
        <w:t>。</w:t>
      </w:r>
    </w:p>
    <w:p>
      <w:pPr>
        <w:pStyle w:val="15"/>
        <w:keepNext w:val="0"/>
        <w:keepLines w:val="0"/>
        <w:widowControl/>
        <w:numPr>
          <w:ilvl w:val="0"/>
          <w:numId w:val="0"/>
        </w:numPr>
        <w:suppressLineNumbers w:val="0"/>
        <w:shd w:val="clear" w:color="auto" w:fill="auto"/>
        <w:ind w:left="420" w:leftChars="0" w:right="75" w:rightChars="0"/>
        <w:rPr>
          <w:rStyle w:val="18"/>
          <w:rFonts w:hint="eastAsia" w:ascii="仿宋_GB2312" w:hAnsi="仿宋_GB2312" w:eastAsia="仿宋_GB2312" w:cs="仿宋_GB2312"/>
          <w:sz w:val="32"/>
          <w:szCs w:val="32"/>
          <w:shd w:val="clear" w:color="auto" w:fill="FFFFFF"/>
          <w:lang w:val="en-US" w:eastAsia="zh-CN"/>
        </w:rPr>
      </w:pPr>
      <w:r>
        <w:rPr>
          <w:rStyle w:val="18"/>
          <w:rFonts w:hint="eastAsia" w:ascii="仿宋_GB2312" w:hAnsi="仿宋_GB2312" w:eastAsia="仿宋_GB2312" w:cs="仿宋_GB2312"/>
          <w:sz w:val="32"/>
          <w:szCs w:val="32"/>
          <w:shd w:val="clear" w:color="auto" w:fill="FFFFFF"/>
          <w:lang w:val="en-US" w:eastAsia="zh-CN"/>
        </w:rPr>
        <w:t>（四）由养老保险机构发放养老金的退休人员</w:t>
      </w:r>
    </w:p>
    <w:p>
      <w:pPr>
        <w:pStyle w:val="2"/>
        <w:numPr>
          <w:ilvl w:val="0"/>
          <w:numId w:val="0"/>
        </w:numPr>
        <w:ind w:firstLine="640" w:firstLineChars="200"/>
        <w:rPr>
          <w:rFonts w:ascii="仿宋_GB2312" w:eastAsia="仿宋_GB2312"/>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w:t>
      </w:r>
      <w:r>
        <w:rPr>
          <w:rFonts w:hint="eastAsia"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w:t>
      </w:r>
      <w:r>
        <w:rPr>
          <w:rFonts w:hint="eastAsia" w:eastAsia="仿宋_GB2312"/>
          <w:color w:val="000000"/>
          <w:sz w:val="32"/>
          <w:szCs w:val="32"/>
          <w:lang w:val="en-US" w:eastAsia="zh-CN"/>
        </w:rPr>
        <w:t>29</w:t>
      </w:r>
      <w:r>
        <w:rPr>
          <w:rFonts w:hint="eastAsia" w:ascii="仿宋_GB2312" w:eastAsia="仿宋_GB2312"/>
          <w:color w:val="000000"/>
          <w:sz w:val="32"/>
          <w:szCs w:val="32"/>
          <w:lang w:val="en-US" w:eastAsia="zh-CN"/>
        </w:rPr>
        <w:t>人，较上年新增</w:t>
      </w:r>
      <w:r>
        <w:rPr>
          <w:rFonts w:hint="eastAsia" w:eastAsia="仿宋_GB2312"/>
          <w:color w:val="000000"/>
          <w:sz w:val="32"/>
          <w:szCs w:val="32"/>
          <w:lang w:val="en-US" w:eastAsia="zh-CN"/>
        </w:rPr>
        <w:t>1</w:t>
      </w:r>
      <w:r>
        <w:rPr>
          <w:rFonts w:hint="eastAsia" w:ascii="仿宋_GB2312" w:eastAsia="仿宋_GB2312"/>
          <w:color w:val="000000"/>
          <w:sz w:val="32"/>
          <w:szCs w:val="32"/>
          <w:lang w:val="en-US" w:eastAsia="zh-CN"/>
        </w:rPr>
        <w:t>人。</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w:t>
      </w:r>
      <w:r>
        <w:rPr>
          <w:rFonts w:hint="eastAsia" w:ascii="仿宋" w:eastAsia="仿宋"/>
          <w:b/>
          <w:sz w:val="32"/>
          <w:szCs w:val="32"/>
          <w:lang w:eastAsia="zh-CN"/>
        </w:rPr>
        <w:t>五</w:t>
      </w:r>
      <w:r>
        <w:rPr>
          <w:rFonts w:hint="eastAsia" w:ascii="仿宋" w:eastAsia="仿宋"/>
          <w:b/>
          <w:sz w:val="32"/>
          <w:szCs w:val="32"/>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人大代表专项、人大会议专项及人大代表履职能力提升3个专项预算</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024</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3个项目完成情况良好，严格按照本单位制定的目标绩效管理制度来开展绩效管理工作，项目资金为专项经费的，全部用于专项工2024年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0"/>
        </w:numPr>
        <w:spacing w:line="580" w:lineRule="exact"/>
        <w:ind w:firstLine="320" w:firstLineChars="100"/>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lang w:val="en-US" w:eastAsia="zh-CN"/>
        </w:rPr>
        <w:t>1.</w:t>
      </w:r>
      <w:r>
        <w:rPr>
          <w:rFonts w:hint="eastAsia" w:ascii="楷体_GB2312" w:hAnsi="楷体_GB2312" w:eastAsia="楷体_GB2312" w:cs="楷体_GB2312"/>
          <w:color w:val="auto"/>
          <w:sz w:val="32"/>
          <w:szCs w:val="32"/>
          <w:highlight w:val="none"/>
        </w:rPr>
        <w:t>项目绩效目标完成情况。</w:t>
      </w:r>
      <w:r>
        <w:rPr>
          <w:rFonts w:hint="eastAsia" w:ascii="楷体_GB2312" w:hAnsi="楷体_GB2312" w:eastAsia="楷体_GB2312" w:cs="楷体_GB2312"/>
          <w:color w:val="FF0000"/>
          <w:sz w:val="32"/>
          <w:szCs w:val="32"/>
          <w:highlight w:val="none"/>
        </w:rPr>
        <w:br w:type="textWrapping"/>
      </w:r>
      <w:r>
        <w:rPr>
          <w:rFonts w:hint="eastAsia" w:ascii="仿宋_GB2312" w:hAnsi="仿宋_GB2312" w:eastAsia="仿宋_GB2312" w:cs="仿宋_GB2312"/>
          <w:color w:val="FF0000"/>
          <w:sz w:val="32"/>
          <w:szCs w:val="32"/>
          <w:highlight w:val="none"/>
        </w:rPr>
        <w:t xml:space="preserve">    </w:t>
      </w:r>
      <w:r>
        <w:rPr>
          <w:rFonts w:hint="eastAsia" w:ascii="仿宋_GB2312" w:hAnsi="仿宋_GB2312" w:eastAsia="仿宋_GB2312" w:cs="仿宋_GB2312"/>
          <w:color w:val="auto"/>
          <w:sz w:val="32"/>
          <w:szCs w:val="32"/>
          <w:highlight w:val="none"/>
        </w:rPr>
        <w:t>本部门在20</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年度部门决算中反映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“人大会议专项”及“人大代表履职能力提升专项”及“专项办公费”3</w:t>
      </w:r>
      <w:r>
        <w:rPr>
          <w:rFonts w:hint="eastAsia" w:ascii="仿宋_GB2312" w:hAnsi="仿宋_GB2312" w:eastAsia="仿宋_GB2312" w:cs="仿宋_GB2312"/>
          <w:color w:val="auto"/>
          <w:sz w:val="32"/>
          <w:szCs w:val="32"/>
          <w:highlight w:val="none"/>
        </w:rPr>
        <w:t>个项目绩效目标实际完成情况。</w:t>
      </w: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人大会议</w:t>
      </w:r>
      <w:r>
        <w:rPr>
          <w:rFonts w:hint="eastAsia" w:ascii="仿宋_GB2312" w:hAnsi="仿宋_GB2312" w:eastAsia="仿宋_GB2312" w:cs="仿宋_GB2312"/>
          <w:color w:val="auto"/>
          <w:sz w:val="32"/>
          <w:szCs w:val="32"/>
          <w:highlight w:val="none"/>
        </w:rPr>
        <w:t>项目绩效目</w:t>
      </w:r>
      <w:r>
        <w:rPr>
          <w:rFonts w:hint="eastAsia" w:ascii="仿宋_GB2312" w:hAnsi="仿宋_GB2312" w:eastAsia="仿宋_GB2312" w:cs="仿宋_GB2312"/>
          <w:color w:val="auto"/>
          <w:sz w:val="32"/>
          <w:szCs w:val="32"/>
        </w:rPr>
        <w:t>标完成情况</w:t>
      </w:r>
      <w:r>
        <w:rPr>
          <w:rFonts w:hint="eastAsia" w:ascii="仿宋_GB2312" w:hAnsi="仿宋_GB2312" w:eastAsia="仿宋_GB2312" w:cs="仿宋_GB2312"/>
          <w:sz w:val="32"/>
          <w:szCs w:val="32"/>
        </w:rPr>
        <w:t>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29.39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2024年两会及常委会的顺利召开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2023年支出执行基础上，细化预算编制，提高了预算编制的精准性。</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代表履职能力提升</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46.99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46.97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99.54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有效保障了代表履职能力提升相关培训，代表视察、调研等工作，提高了代表的履职能力和参与感。</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预算编制还不够精准，下一步将根据上一年支出执行情况结合实际细化预算编制，提高预算编制的精准性。</w:t>
      </w: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人大专项办公费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26.29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，为人大常委会调研、开展人大事务等专项工作做好了后勤服务保障工作，</w:t>
      </w:r>
      <w:r>
        <w:rPr>
          <w:rStyle w:val="18"/>
          <w:rFonts w:hint="eastAsia" w:ascii="仿宋_GB2312" w:hAnsi="仿宋_GB2312" w:eastAsia="仿宋_GB2312" w:cs="仿宋_GB2312"/>
          <w:b w:val="0"/>
          <w:bCs/>
          <w:sz w:val="32"/>
          <w:szCs w:val="32"/>
          <w:lang w:val="en-US" w:eastAsia="zh-CN"/>
        </w:rPr>
        <w:t>存在结余主要是2024年厉行节约接待相对减少，专项接待费存在少量结余。</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预算编制经济科目不够精准，后续将提高相关业务人员业务素养，加强学习，争取预算根据精准细化。</w:t>
      </w: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737"/>
        <w:gridCol w:w="853"/>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24</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13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82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人大会议</w:t>
            </w:r>
          </w:p>
        </w:tc>
      </w:tr>
      <w:tr>
        <w:tblPrEx>
          <w:tblCellMar>
            <w:top w:w="0" w:type="dxa"/>
            <w:left w:w="0" w:type="dxa"/>
            <w:bottom w:w="0" w:type="dxa"/>
            <w:right w:w="0" w:type="dxa"/>
          </w:tblCellMar>
        </w:tblPrEx>
        <w:trPr>
          <w:trHeight w:val="276" w:hRule="atLeast"/>
        </w:trPr>
        <w:tc>
          <w:tcPr>
            <w:tcW w:w="213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82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29.39万元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30万元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29.39万元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定期召开常委会、主任会议，听取和审议“一府两院”专项报告，依法进行人事任免，</w:t>
            </w:r>
            <w:r>
              <w:rPr>
                <w:rFonts w:hint="eastAsia" w:ascii="宋体" w:hAnsi="宋体" w:eastAsia="宋体" w:cs="宋体"/>
                <w:b w:val="0"/>
                <w:i w:val="0"/>
                <w:caps w:val="0"/>
                <w:snapToGrid w:val="0"/>
                <w:color w:val="000000"/>
                <w:spacing w:val="0"/>
                <w:kern w:val="56"/>
                <w:sz w:val="24"/>
                <w:szCs w:val="24"/>
                <w:shd w:val="clear" w:color="auto" w:fill="FFFFFF"/>
              </w:rPr>
              <w:t>形成了步调一致、共谋发展的强大合力。</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color w:val="000000"/>
                <w:sz w:val="24"/>
                <w:lang w:val="en-US" w:eastAsia="zh-CN"/>
              </w:rPr>
              <w:t>围绕县委中心统筹安排年度重点工作，2024年召开常委会会议6次、主任会议6次，十五届人民代表大会1次，听取和审议政府、财政、计划、人大、法院、检察院工作报告，确保与县委中心工作同频共振、同向发力。坚持党管干部原则与依法行使任免权相统一，认真审议任免案，充分讨论，增强思想共识，全力支持机构改革、全力支持县委人事安排决策。2024年，依法任免国家机关工作人员59人次，其中：决定任命13人次、决定免去9人次、任命17人次、免去8人次、接受辞去代表职务8人、终止代表职务1人、接受辞去常委会委员职务3人。</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auto"/>
                <w:sz w:val="20"/>
                <w:szCs w:val="20"/>
                <w:lang w:eastAsia="zh-CN"/>
              </w:rPr>
            </w:pPr>
            <w:r>
              <w:rPr>
                <w:rFonts w:hint="eastAsia" w:ascii="宋体" w:hAnsi="宋体" w:cs="宋体"/>
                <w:color w:val="auto"/>
                <w:sz w:val="20"/>
                <w:szCs w:val="20"/>
                <w:lang w:eastAsia="zh-CN"/>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auto"/>
                <w:sz w:val="20"/>
                <w:szCs w:val="20"/>
                <w:lang w:val="en-US" w:eastAsia="zh-CN"/>
              </w:rPr>
            </w:pPr>
            <w:r>
              <w:rPr>
                <w:rFonts w:hint="eastAsia" w:ascii="宋体" w:hAnsi="宋体" w:cs="宋体"/>
                <w:color w:val="auto"/>
                <w:sz w:val="20"/>
                <w:szCs w:val="20"/>
                <w:lang w:eastAsia="zh-CN"/>
              </w:rPr>
              <w:t>完成</w:t>
            </w:r>
            <w:r>
              <w:rPr>
                <w:rFonts w:hint="eastAsia" w:ascii="宋体" w:hAnsi="宋体" w:cs="宋体"/>
                <w:color w:val="auto"/>
                <w:sz w:val="20"/>
                <w:szCs w:val="20"/>
                <w:lang w:val="en-US" w:eastAsia="zh-CN"/>
              </w:rPr>
              <w:t>1</w:t>
            </w:r>
            <w:r>
              <w:rPr>
                <w:rFonts w:hint="eastAsia" w:ascii="宋体" w:hAnsi="宋体" w:cs="宋体"/>
                <w:color w:val="auto"/>
                <w:sz w:val="20"/>
                <w:szCs w:val="20"/>
                <w:lang w:eastAsia="zh-CN"/>
              </w:rPr>
              <w:t>次人代会</w:t>
            </w:r>
            <w:r>
              <w:rPr>
                <w:rFonts w:hint="eastAsia" w:ascii="宋体" w:hAnsi="宋体" w:cs="宋体"/>
                <w:color w:val="auto"/>
                <w:sz w:val="20"/>
                <w:szCs w:val="20"/>
                <w:lang w:val="en-US" w:eastAsia="zh-CN"/>
              </w:rPr>
              <w:t>,8次常委会的召开</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eastAsia="zh-CN"/>
              </w:rPr>
              <w:t>围绕县委中心统筹安排年度重点工作，2024年召开常委会会议6次、主任会议6次，十五届人民代表大会1次，听取和审议政府、财政、计划、人大、法院、检察院工作报告，确保与县委中心工作同频共振、同向发力。坚持党管干部原则与依法行使任免权相统一，认真审议任免案，充分讨论，增强思想共识，全力支持机构改革、全力支持县委人事安排决策。2024年，依法任免国家机关工作人员59人次，其中：决定任命13人次、决定免去9人次、任命17人次、免去8人次、接受辞去代表职务8人、终止代表职务1人、接受辞去常委会委员职务3人。</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853"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代表作为我县经济发展的参谋，提出了有效合理的意见建议。</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督促相关部门做好环境保护相关工作</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针对县人民政府关于环境状况和环境保护目标完成情况开展了专项调研，督促县人民政府要聚焦突出生态环境问题治理，努力推动污染防治从攻坚突破向拓展提升转变；紧盯中央、省、州生态环境督察反馈问题整改工作坚决打好督察整改攻坚战。</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县人大常委会把办理代表建议作为支持和保障代表依法履职的重要环节来抓，及时将县第十五届人大三次会议代表建议意见70件交办县人民政府，由县人大常委会领导领衔督办，县人大专门委员会、常委会办事工作机构全履盖督办，对代表建议办理实行“四个转变”，内容涉及生态环保、经济建设、社会事业、文化旅游、社会治理、基础设施建设等</w:t>
            </w:r>
            <w:r>
              <w:rPr>
                <w:rFonts w:hint="eastAsia"/>
              </w:rPr>
              <w:t>。</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rPr>
          <w:rFonts w:ascii="Calibri" w:hAnsi="Calibri"/>
        </w:rPr>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24</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代表履职能力提升</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46.99万元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46.97万元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ascii="宋体" w:hAnsi="宋体" w:cs="宋体"/>
                <w:color w:val="000000"/>
                <w:sz w:val="24"/>
              </w:rPr>
            </w:pPr>
            <w:r>
              <w:rPr>
                <w:rFonts w:hint="eastAsia" w:ascii="宋体" w:hAnsi="宋体" w:cs="宋体"/>
                <w:color w:val="000000"/>
                <w:sz w:val="24"/>
                <w:lang w:val="en-US" w:eastAsia="zh-CN"/>
              </w:rPr>
              <w:t>46.99万元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46.97万元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both"/>
              <w:rPr>
                <w:rFonts w:hint="default" w:ascii="宋体" w:hAnsi="宋体" w:eastAsia="宋体" w:cs="宋体"/>
                <w:color w:val="000000"/>
                <w:sz w:val="24"/>
                <w:lang w:val="en-US" w:eastAsia="zh-CN"/>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通过对人大代表的各方面培训及参与专题调研来提高人大代表的履职能力。</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lang w:val="en-US" w:eastAsia="zh-CN"/>
              </w:rPr>
              <w:t xml:space="preserve">  着力突出提升代表政治素质、履职素质和专业素质，通过组织代表进行专门培训、调研考察、召开代表工作交流会、为代表征订人大报刊杂志，寄送文件汇编等多种形式，进一步提升了代表的综合素质和履职能力，特别是代表联系群众、反映民意的能力。2024年，组织90余名常委会组成人员、人大代表及人大系统干部赴云南省10个县（区）及西南民族大学、浙江大学城市学院成都电子科技大学学习考察，鼓励支持县人大代表及人大干部创新作为，全面提升服务大局、调查研究、开拓进取和狠抓落实的能力水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2024年，组织90余名常委会组成人员、人大代表及人大系统干部赴云南省10个县（区）及西南民族大学、浙江大学城市学院成都电子科技大学学习考察，完成县乡人大代表履职能力提升培训一期</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2024年，组织90余名常委会组成人员、人大代表及人大系统干部赴云南省10个县（区）及西南民族大学、浙江大学城市学院成都电子科技大学学习考察</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每次培训或调研后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每次培训或调研后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提高代表素质及履职能力，促进我县经济发展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通过代表培训及调研提高了代表履职能力，为红原县经济社会发展更好的出谋划策。</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通过培训及调研，认清自己的权利和义务，懂得如何行好自己的职责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w:t>
            </w:r>
            <w:r>
              <w:rPr>
                <w:rFonts w:hint="eastAsia" w:ascii="宋体" w:hAnsi="宋体" w:cs="宋体"/>
                <w:color w:val="000000"/>
                <w:sz w:val="20"/>
                <w:szCs w:val="20"/>
                <w:lang w:val="en-US" w:eastAsia="zh-CN"/>
              </w:rPr>
              <w:t>2024年</w:t>
            </w:r>
            <w:r>
              <w:rPr>
                <w:rFonts w:hint="eastAsia" w:ascii="宋体" w:hAnsi="宋体" w:cs="宋体"/>
                <w:color w:val="000000"/>
                <w:sz w:val="20"/>
                <w:szCs w:val="20"/>
                <w:lang w:eastAsia="zh-CN"/>
              </w:rPr>
              <w:t>培训及调研，学习了相关工作方法，先进县的代表工作方面的经验，提高了代表自身工作能力，为更好的履行代表工作打好了坚实的基础。</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通过培训及调研，县</w:t>
            </w:r>
            <w:r>
              <w:rPr>
                <w:rFonts w:hint="eastAsia" w:ascii="宋体" w:hAnsi="宋体" w:cs="宋体"/>
                <w:color w:val="000000"/>
                <w:sz w:val="20"/>
                <w:szCs w:val="20"/>
              </w:rPr>
              <w:t>人大代表提出了城乡建设生态环境保护</w:t>
            </w:r>
            <w:r>
              <w:rPr>
                <w:rFonts w:hint="eastAsia" w:ascii="宋体" w:hAnsi="宋体" w:cs="宋体"/>
                <w:color w:val="000000"/>
                <w:sz w:val="20"/>
                <w:szCs w:val="20"/>
                <w:lang w:eastAsia="zh-CN"/>
              </w:rPr>
              <w:t>，卫生事业发展</w:t>
            </w:r>
            <w:r>
              <w:rPr>
                <w:rFonts w:hint="eastAsia" w:ascii="宋体" w:hAnsi="宋体" w:cs="宋体"/>
                <w:color w:val="000000"/>
                <w:sz w:val="20"/>
                <w:szCs w:val="20"/>
              </w:rPr>
              <w:t>方面的建议。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val="en-US" w:eastAsia="zh-CN"/>
              </w:rPr>
              <w:t>2024年</w:t>
            </w:r>
            <w:r>
              <w:rPr>
                <w:rFonts w:hint="eastAsia" w:ascii="宋体" w:hAnsi="宋体" w:cs="宋体"/>
                <w:color w:val="000000"/>
                <w:sz w:val="20"/>
                <w:szCs w:val="20"/>
                <w:lang w:eastAsia="zh-CN"/>
              </w:rPr>
              <w:t>通过培训及调研，提升了代表自身工作能力，为提出高质量意见建议奠定了基础。</w:t>
            </w:r>
            <w:r>
              <w:rPr>
                <w:rFonts w:hint="eastAsia" w:ascii="宋体" w:hAnsi="宋体" w:cs="宋体"/>
                <w:color w:val="000000"/>
                <w:sz w:val="20"/>
                <w:szCs w:val="20"/>
                <w:lang w:val="en-US" w:eastAsia="zh-CN"/>
              </w:rPr>
              <w:t>2024年组织600余名各级人大代表参与全县重大项目全过程监督，组织500余名各级人大代表积极参加红原县黄河上游“全域全员全天”生态环境综合治理主题活动，通过“亮身份”“践承诺”“办实事”，进一步密切人大代表同群众的联系，提高代表依法履职的能力</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val="en-US" w:eastAsia="zh-CN"/>
              </w:rPr>
              <w:t>2024年</w:t>
            </w:r>
            <w:r>
              <w:rPr>
                <w:rFonts w:hint="eastAsia" w:ascii="宋体" w:hAnsi="宋体" w:cs="宋体"/>
                <w:color w:val="000000"/>
                <w:sz w:val="20"/>
                <w:szCs w:val="20"/>
                <w:lang w:eastAsia="zh-CN"/>
              </w:rPr>
              <w:t>通过培训及调研，提升了代表自身工作能力，为提出高质量意见建议奠定了基础。</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left="630"/>
        <w:rPr>
          <w:rFonts w:ascii="仿宋_GB2312" w:hAnsi="仿宋_GB2312" w:eastAsia="仿宋_GB2312" w:cs="仿宋_GB2312"/>
          <w:sz w:val="32"/>
          <w:szCs w:val="32"/>
        </w:rPr>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24</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 xml:space="preserve">  人大专项办公费</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26.29万元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30万元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26.29万元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采购预算联网督查室相关设备，全面完成预算联网督查室的建设</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2024年较好的保障了人大常委会调研、开展人大事务等专项工作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20</w:t>
            </w:r>
            <w:r>
              <w:rPr>
                <w:rFonts w:hint="eastAsia" w:ascii="宋体" w:hAnsi="宋体" w:cs="宋体"/>
                <w:color w:val="000000"/>
                <w:sz w:val="20"/>
                <w:szCs w:val="20"/>
                <w:lang w:val="en-US" w:eastAsia="zh-CN"/>
              </w:rPr>
              <w:t>24</w:t>
            </w:r>
            <w:r>
              <w:rPr>
                <w:rFonts w:hint="eastAsia" w:ascii="宋体" w:hAnsi="宋体" w:cs="宋体"/>
                <w:color w:val="000000"/>
                <w:sz w:val="20"/>
                <w:szCs w:val="20"/>
                <w:lang w:eastAsia="zh-CN"/>
              </w:rPr>
              <w:t>年做好人大常委会调研、开展人大事务等专项工作的保障工作</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20</w:t>
            </w:r>
            <w:r>
              <w:rPr>
                <w:rFonts w:hint="eastAsia" w:ascii="宋体" w:hAnsi="宋体" w:cs="宋体"/>
                <w:color w:val="000000"/>
                <w:sz w:val="20"/>
                <w:szCs w:val="20"/>
                <w:lang w:val="en-US" w:eastAsia="zh-CN"/>
              </w:rPr>
              <w:t>24</w:t>
            </w:r>
            <w:r>
              <w:rPr>
                <w:rFonts w:hint="eastAsia" w:ascii="宋体" w:hAnsi="宋体" w:cs="宋体"/>
                <w:color w:val="000000"/>
                <w:sz w:val="20"/>
                <w:szCs w:val="20"/>
                <w:lang w:eastAsia="zh-CN"/>
              </w:rPr>
              <w:t>年较好的保障了人大常委会调研、开展人大事务等专项工作，圆满的完成了代表联络站提升改造，代表视察调研、培训等工作。</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有效履行人大监督职责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通过对人大培训，调研等人大事务工作的有限保障，实现人大代表能力提升，为我县经济发展提高有价值的意见建议，同时通过代表监督对财政资金使用实现了全过程的监督，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auto"/>
                <w:sz w:val="20"/>
                <w:szCs w:val="20"/>
                <w:highlight w:val="none"/>
                <w:lang w:val="en-US"/>
              </w:rPr>
            </w:pPr>
            <w:r>
              <w:rPr>
                <w:rFonts w:hint="eastAsia" w:ascii="宋体" w:hAnsi="宋体" w:cs="宋体"/>
                <w:color w:val="auto"/>
                <w:sz w:val="20"/>
                <w:szCs w:val="20"/>
                <w:highlight w:val="none"/>
                <w:lang w:val="en-US" w:eastAsia="zh-CN"/>
              </w:rPr>
              <w:t>一是通过代表培训及考察调研学习等提升了代表履职能力，为我县经济社会发展提供更好的参谋作用；二是2024年通过对民生重点项目等的监督，实现对资金的有效监督。</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lang w:eastAsia="zh-CN"/>
              </w:rPr>
              <w:t>通过监督有效实现了对环保资金的监督，确保环保资金用到实处，同时代表提出对生态环境保护方面的建议意见</w:t>
            </w:r>
            <w:r>
              <w:rPr>
                <w:rFonts w:hint="eastAsia" w:ascii="宋体" w:hAnsi="宋体" w:cs="宋体"/>
                <w:color w:val="auto"/>
                <w:sz w:val="20"/>
                <w:szCs w:val="20"/>
                <w:highlight w:val="none"/>
              </w:rPr>
              <w:t>。</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000000"/>
                <w:sz w:val="20"/>
                <w:szCs w:val="20"/>
                <w:lang w:val="en-US" w:eastAsia="zh-CN"/>
              </w:rPr>
              <w:t>2024年</w:t>
            </w:r>
            <w:r>
              <w:rPr>
                <w:rFonts w:hint="eastAsia" w:ascii="宋体" w:hAnsi="宋体" w:cs="宋体"/>
                <w:color w:val="000000"/>
                <w:sz w:val="20"/>
                <w:szCs w:val="20"/>
                <w:lang w:eastAsia="zh-CN"/>
              </w:rPr>
              <w:t>通过培训及调研，提升了代表自身工作能力，为提出高质量意见建议奠定了基础。</w:t>
            </w:r>
            <w:r>
              <w:rPr>
                <w:rFonts w:hint="eastAsia" w:ascii="宋体" w:hAnsi="宋体" w:cs="宋体"/>
                <w:color w:val="000000"/>
                <w:sz w:val="20"/>
                <w:szCs w:val="20"/>
                <w:lang w:val="en-US" w:eastAsia="zh-CN"/>
              </w:rPr>
              <w:t>2024年，组织90余名常委会组成人员、人大代表及人大系统干部赴云南省10个县（区）及西南民族大学、浙江大学城市学院成都电子科技大学学习考察，举办红原县2024年县乡（镇）人大代表履职能力提升培训班1期，鼓励支持县人大代表及人大干部创新作为，全面提升服务大局、调查研究、开拓进取和狠抓落实的能力水平。</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为</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委</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000000"/>
                <w:sz w:val="20"/>
                <w:szCs w:val="20"/>
                <w:lang w:val="en-US" w:eastAsia="zh-CN"/>
              </w:rPr>
              <w:t>2024年</w:t>
            </w:r>
            <w:r>
              <w:rPr>
                <w:rFonts w:hint="eastAsia" w:ascii="宋体" w:hAnsi="宋体" w:cs="宋体"/>
                <w:color w:val="000000"/>
                <w:sz w:val="20"/>
                <w:szCs w:val="20"/>
                <w:lang w:eastAsia="zh-CN"/>
              </w:rPr>
              <w:t>通过培训及调研，提升了代表自身工作能力，</w:t>
            </w:r>
            <w:r>
              <w:rPr>
                <w:rFonts w:hint="eastAsia" w:ascii="宋体" w:hAnsi="宋体" w:cs="宋体"/>
                <w:color w:val="auto"/>
                <w:sz w:val="20"/>
                <w:szCs w:val="20"/>
                <w:highlight w:val="none"/>
              </w:rPr>
              <w:t>为</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委</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政府重大决策提供</w:t>
            </w:r>
            <w:r>
              <w:rPr>
                <w:rFonts w:hint="eastAsia" w:ascii="宋体" w:hAnsi="宋体" w:cs="宋体"/>
                <w:color w:val="auto"/>
                <w:sz w:val="20"/>
                <w:szCs w:val="20"/>
                <w:highlight w:val="none"/>
                <w:lang w:eastAsia="zh-CN"/>
              </w:rPr>
              <w:t>了好的</w:t>
            </w:r>
            <w:r>
              <w:rPr>
                <w:rFonts w:hint="eastAsia" w:ascii="宋体" w:hAnsi="宋体" w:cs="宋体"/>
                <w:color w:val="auto"/>
                <w:sz w:val="20"/>
                <w:szCs w:val="20"/>
                <w:highlight w:val="none"/>
              </w:rPr>
              <w:t>意见建议</w:t>
            </w:r>
            <w:r>
              <w:rPr>
                <w:rFonts w:hint="eastAsia" w:ascii="宋体" w:hAnsi="宋体" w:cs="宋体"/>
                <w:color w:val="auto"/>
                <w:sz w:val="20"/>
                <w:szCs w:val="20"/>
                <w:highlight w:val="none"/>
                <w:lang w:eastAsia="zh-CN"/>
              </w:rPr>
              <w:t>。</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整体支出得分</w:t>
      </w:r>
      <w:r>
        <w:rPr>
          <w:rFonts w:hint="eastAsia" w:ascii="仿宋_GB2312" w:hAnsi="仿宋_GB2312" w:eastAsia="仿宋_GB2312" w:cs="仿宋_GB2312"/>
          <w:sz w:val="32"/>
          <w:szCs w:val="32"/>
          <w:lang w:val="en-US" w:eastAsia="zh-CN"/>
        </w:rPr>
        <w:t>94.6分，</w:t>
      </w:r>
      <w:r>
        <w:rPr>
          <w:rFonts w:hint="eastAsia" w:ascii="仿宋_GB2312" w:hAnsi="仿宋_GB2312" w:eastAsia="仿宋_GB2312" w:cs="仿宋_GB2312"/>
          <w:sz w:val="32"/>
          <w:szCs w:val="32"/>
          <w:lang w:eastAsia="zh-CN"/>
        </w:rPr>
        <w:t>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红原县人大常委会办公室202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年部门整体支出绩效报告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pPr>
        <w:pStyle w:val="4"/>
        <w:rPr>
          <w:rFonts w:hint="eastAsia" w:ascii="仿宋_GB2312" w:hAnsi="仿宋_GB2312" w:eastAsia="仿宋_GB2312" w:cs="仿宋_GB2312"/>
          <w:sz w:val="32"/>
          <w:szCs w:val="32"/>
        </w:rPr>
      </w:pPr>
    </w:p>
    <w:p>
      <w:pPr>
        <w:widowControl/>
        <w:ind w:firstLine="643" w:firstLineChars="200"/>
        <w:jc w:val="left"/>
        <w:rPr>
          <w:rFonts w:ascii="仿宋_GB2312" w:eastAsia="仿宋_GB2312"/>
          <w:b/>
          <w:sz w:val="32"/>
          <w:szCs w:val="32"/>
        </w:rPr>
      </w:pPr>
    </w:p>
    <w:p>
      <w:pPr>
        <w:numPr>
          <w:ilvl w:val="0"/>
          <w:numId w:val="6"/>
        </w:numPr>
        <w:spacing w:line="600" w:lineRule="exact"/>
        <w:ind w:firstLine="660" w:firstLineChars="150"/>
        <w:jc w:val="center"/>
        <w:outlineLvl w:val="0"/>
        <w:rPr>
          <w:rStyle w:val="20"/>
          <w:rFonts w:ascii="黑体" w:eastAsia="黑体"/>
          <w:b w:val="0"/>
        </w:rPr>
      </w:pPr>
      <w:bookmarkStart w:id="64" w:name="_Toc15396613"/>
      <w:bookmarkStart w:id="65" w:name="_Toc15377225"/>
      <w:bookmarkStart w:id="66" w:name="_Toc31207"/>
      <w:r>
        <w:rPr>
          <w:rFonts w:hint="eastAsia" w:ascii="黑体" w:eastAsia="黑体"/>
          <w:sz w:val="44"/>
          <w:szCs w:val="44"/>
        </w:rPr>
        <w:t>名</w:t>
      </w:r>
      <w:r>
        <w:rPr>
          <w:rStyle w:val="20"/>
          <w:rFonts w:hint="eastAsia" w:ascii="黑体" w:eastAsia="黑体"/>
          <w:b w:val="0"/>
        </w:rPr>
        <w:t>词解释</w:t>
      </w:r>
      <w:bookmarkEnd w:id="64"/>
      <w:bookmarkEnd w:id="65"/>
      <w:bookmarkEnd w:id="66"/>
    </w:p>
    <w:p>
      <w:pPr>
        <w:spacing w:line="600" w:lineRule="exact"/>
        <w:jc w:val="left"/>
        <w:rPr>
          <w:rFonts w:ascii="宋体"/>
          <w:b/>
          <w:sz w:val="44"/>
          <w:szCs w:val="44"/>
        </w:rPr>
      </w:pPr>
    </w:p>
    <w:p>
      <w:pPr>
        <w:numPr>
          <w:ilvl w:val="0"/>
          <w:numId w:val="7"/>
        </w:numPr>
        <w:spacing w:line="600" w:lineRule="exact"/>
        <w:jc w:val="center"/>
        <w:outlineLvl w:val="0"/>
        <w:rPr>
          <w:rFonts w:hint="eastAsia" w:ascii="仿宋_GB2312" w:eastAsia="仿宋_GB2312"/>
          <w:color w:val="auto"/>
          <w:sz w:val="32"/>
          <w:szCs w:val="32"/>
        </w:rPr>
      </w:pPr>
      <w:bookmarkStart w:id="67" w:name="_Toc27029"/>
      <w:bookmarkStart w:id="68" w:name="_Toc18803"/>
      <w:bookmarkStart w:id="69" w:name="_Toc27947"/>
      <w:bookmarkStart w:id="70" w:name="_Toc15377226"/>
      <w:r>
        <w:rPr>
          <w:rFonts w:hint="eastAsia" w:ascii="仿宋_GB2312" w:eastAsia="仿宋_GB2312"/>
          <w:color w:val="auto"/>
          <w:sz w:val="32"/>
          <w:szCs w:val="32"/>
        </w:rPr>
        <w:t>财政拨款收入：指单位从同级财政部门取得的财政预算资</w:t>
      </w:r>
      <w:bookmarkEnd w:id="67"/>
      <w:bookmarkEnd w:id="68"/>
      <w:bookmarkEnd w:id="69"/>
    </w:p>
    <w:p>
      <w:pPr>
        <w:numPr>
          <w:ilvl w:val="0"/>
          <w:numId w:val="0"/>
        </w:numPr>
        <w:spacing w:line="600" w:lineRule="exact"/>
        <w:jc w:val="both"/>
        <w:outlineLvl w:val="0"/>
        <w:rPr>
          <w:rFonts w:hint="eastAsia" w:ascii="仿宋_GB2312" w:eastAsia="仿宋_GB2312"/>
          <w:color w:val="auto"/>
          <w:sz w:val="32"/>
          <w:szCs w:val="32"/>
        </w:rPr>
      </w:pPr>
      <w:bookmarkStart w:id="71" w:name="_Toc704"/>
      <w:bookmarkStart w:id="72" w:name="_Toc21049"/>
      <w:bookmarkStart w:id="73" w:name="_Toc28771"/>
      <w:r>
        <w:rPr>
          <w:rFonts w:hint="eastAsia" w:ascii="仿宋_GB2312" w:eastAsia="仿宋_GB2312"/>
          <w:color w:val="auto"/>
          <w:sz w:val="32"/>
          <w:szCs w:val="32"/>
        </w:rPr>
        <w:t>金。</w:t>
      </w:r>
      <w:bookmarkEnd w:id="71"/>
      <w:bookmarkEnd w:id="72"/>
      <w:bookmarkEnd w:id="73"/>
    </w:p>
    <w:p>
      <w:pPr>
        <w:spacing w:line="600" w:lineRule="exact"/>
        <w:jc w:val="both"/>
        <w:outlineLvl w:val="0"/>
        <w:rPr>
          <w:rFonts w:hint="eastAsia" w:ascii="仿宋_GB2312" w:eastAsia="仿宋_GB2312"/>
          <w:color w:val="auto"/>
          <w:sz w:val="32"/>
          <w:szCs w:val="32"/>
        </w:rPr>
      </w:pPr>
      <w:bookmarkStart w:id="74" w:name="_Toc16486"/>
      <w:bookmarkStart w:id="75" w:name="_Toc24986"/>
      <w:bookmarkStart w:id="76" w:name="_Toc5090"/>
      <w:r>
        <w:rPr>
          <w:rFonts w:hint="eastAsia" w:ascii="仿宋_GB2312" w:eastAsia="仿宋_GB2312"/>
          <w:color w:val="auto"/>
          <w:sz w:val="32"/>
          <w:szCs w:val="32"/>
        </w:rPr>
        <w:t>2.其他收入：指单位取得的除上述收入以外的各项收入。</w:t>
      </w:r>
      <w:bookmarkEnd w:id="74"/>
      <w:bookmarkEnd w:id="75"/>
      <w:bookmarkEnd w:id="76"/>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77" w:name="_Toc13744"/>
      <w:bookmarkStart w:id="78" w:name="_Toc19661"/>
      <w:bookmarkStart w:id="79" w:name="_Toc5473"/>
      <w:r>
        <w:rPr>
          <w:rFonts w:hint="eastAsia" w:ascii="仿宋_GB2312" w:eastAsia="仿宋_GB2312"/>
          <w:color w:val="auto"/>
          <w:sz w:val="32"/>
          <w:szCs w:val="32"/>
        </w:rPr>
        <w:t>3.年初结转和结余：指以前年度尚未完成、结转到本年按有</w:t>
      </w:r>
      <w:bookmarkEnd w:id="77"/>
      <w:bookmarkEnd w:id="78"/>
      <w:bookmarkEnd w:id="79"/>
    </w:p>
    <w:p>
      <w:pPr>
        <w:spacing w:line="600" w:lineRule="exact"/>
        <w:jc w:val="both"/>
        <w:outlineLvl w:val="0"/>
        <w:rPr>
          <w:rFonts w:hint="eastAsia" w:ascii="仿宋_GB2312" w:eastAsia="仿宋_GB2312"/>
          <w:color w:val="auto"/>
          <w:sz w:val="32"/>
          <w:szCs w:val="32"/>
        </w:rPr>
      </w:pPr>
      <w:bookmarkStart w:id="80" w:name="_Toc11790"/>
      <w:bookmarkStart w:id="81" w:name="_Toc15327"/>
      <w:bookmarkStart w:id="82" w:name="_Toc12956"/>
      <w:r>
        <w:rPr>
          <w:rFonts w:hint="eastAsia" w:ascii="仿宋_GB2312" w:eastAsia="仿宋_GB2312"/>
          <w:color w:val="auto"/>
          <w:sz w:val="32"/>
          <w:szCs w:val="32"/>
        </w:rPr>
        <w:t>关规定继续使用的资金。</w:t>
      </w:r>
      <w:bookmarkEnd w:id="80"/>
      <w:bookmarkEnd w:id="81"/>
      <w:bookmarkEnd w:id="82"/>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83" w:name="_Toc21359"/>
      <w:bookmarkStart w:id="84" w:name="_Toc9882"/>
      <w:bookmarkStart w:id="85" w:name="_Toc1206"/>
      <w:r>
        <w:rPr>
          <w:rFonts w:hint="eastAsia" w:ascii="仿宋_GB2312" w:eastAsia="仿宋_GB2312"/>
          <w:color w:val="auto"/>
          <w:sz w:val="32"/>
          <w:szCs w:val="32"/>
        </w:rPr>
        <w:t>4、年末结转和结余：指单位按有关规定结转到下年或以后</w:t>
      </w:r>
      <w:bookmarkEnd w:id="83"/>
      <w:bookmarkEnd w:id="84"/>
      <w:bookmarkEnd w:id="85"/>
    </w:p>
    <w:p>
      <w:pPr>
        <w:spacing w:line="600" w:lineRule="exact"/>
        <w:jc w:val="both"/>
        <w:outlineLvl w:val="0"/>
        <w:rPr>
          <w:rFonts w:hint="eastAsia" w:ascii="仿宋_GB2312" w:eastAsia="仿宋_GB2312"/>
          <w:color w:val="auto"/>
          <w:sz w:val="32"/>
          <w:szCs w:val="32"/>
        </w:rPr>
      </w:pPr>
      <w:bookmarkStart w:id="86" w:name="_Toc12873"/>
      <w:bookmarkStart w:id="87" w:name="_Toc8387"/>
      <w:bookmarkStart w:id="88" w:name="_Toc9271"/>
      <w:r>
        <w:rPr>
          <w:rFonts w:hint="eastAsia" w:ascii="仿宋_GB2312" w:eastAsia="仿宋_GB2312"/>
          <w:color w:val="auto"/>
          <w:sz w:val="32"/>
          <w:szCs w:val="32"/>
        </w:rPr>
        <w:t>年度继续使用的资金。</w:t>
      </w:r>
      <w:bookmarkEnd w:id="86"/>
      <w:bookmarkEnd w:id="87"/>
      <w:bookmarkEnd w:id="88"/>
    </w:p>
    <w:p>
      <w:pPr>
        <w:numPr>
          <w:ilvl w:val="0"/>
          <w:numId w:val="8"/>
        </w:numPr>
        <w:spacing w:line="600" w:lineRule="exact"/>
        <w:jc w:val="center"/>
        <w:outlineLvl w:val="0"/>
        <w:rPr>
          <w:rFonts w:hint="eastAsia" w:ascii="仿宋_GB2312" w:eastAsia="仿宋_GB2312"/>
          <w:color w:val="auto"/>
          <w:sz w:val="32"/>
          <w:szCs w:val="32"/>
          <w:lang w:val="en-US" w:eastAsia="zh-CN"/>
        </w:rPr>
      </w:pPr>
      <w:bookmarkStart w:id="89" w:name="_Toc31094"/>
      <w:bookmarkStart w:id="90" w:name="_Toc7344"/>
      <w:bookmarkStart w:id="91" w:name="_Toc2744"/>
      <w:r>
        <w:rPr>
          <w:rFonts w:hint="eastAsia" w:ascii="仿宋_GB2312" w:eastAsia="仿宋_GB2312"/>
          <w:color w:val="auto"/>
          <w:sz w:val="32"/>
          <w:szCs w:val="32"/>
        </w:rPr>
        <w:t>一般公共服务：2010101指人大行政运行，反映人员经费与日常公用经费的支出。2010104指人大会议，反映县人大召开人民代表大会等专门会议的支出。</w:t>
      </w:r>
      <w:r>
        <w:rPr>
          <w:rFonts w:hint="eastAsia" w:ascii="仿宋_GB2312" w:eastAsia="仿宋_GB2312"/>
          <w:color w:val="auto"/>
          <w:sz w:val="32"/>
          <w:szCs w:val="32"/>
          <w:lang w:val="en-US" w:eastAsia="zh-CN"/>
        </w:rPr>
        <w:t>2010107指人大代表履职能力提升，反映各级人大为提高代表履职能力所发生的</w:t>
      </w:r>
      <w:bookmarkEnd w:id="89"/>
      <w:bookmarkEnd w:id="90"/>
      <w:bookmarkEnd w:id="91"/>
    </w:p>
    <w:p>
      <w:pPr>
        <w:numPr>
          <w:ilvl w:val="0"/>
          <w:numId w:val="0"/>
        </w:numPr>
        <w:spacing w:line="600" w:lineRule="exact"/>
        <w:jc w:val="both"/>
        <w:outlineLvl w:val="0"/>
        <w:rPr>
          <w:rFonts w:hint="default" w:ascii="仿宋_GB2312" w:eastAsia="仿宋_GB2312"/>
          <w:color w:val="auto"/>
          <w:sz w:val="32"/>
          <w:szCs w:val="32"/>
          <w:lang w:val="en-US" w:eastAsia="zh-CN"/>
        </w:rPr>
      </w:pPr>
      <w:bookmarkStart w:id="92" w:name="_Toc18095"/>
      <w:bookmarkStart w:id="93" w:name="_Toc23901"/>
      <w:bookmarkStart w:id="94" w:name="_Toc13530"/>
      <w:r>
        <w:rPr>
          <w:rFonts w:hint="eastAsia" w:ascii="仿宋_GB2312" w:eastAsia="仿宋_GB2312"/>
          <w:color w:val="auto"/>
          <w:sz w:val="32"/>
          <w:szCs w:val="32"/>
          <w:lang w:val="en-US" w:eastAsia="zh-CN"/>
        </w:rPr>
        <w:t>各项支出。</w:t>
      </w:r>
      <w:r>
        <w:rPr>
          <w:rFonts w:hint="eastAsia" w:ascii="仿宋_GB2312" w:eastAsia="仿宋_GB2312"/>
          <w:color w:val="auto"/>
          <w:sz w:val="32"/>
          <w:szCs w:val="32"/>
        </w:rPr>
        <w:t>2010108指代表工作，反映人大代表各类视察等方面的支出。</w:t>
      </w:r>
      <w:r>
        <w:rPr>
          <w:rFonts w:hint="eastAsia" w:ascii="仿宋_GB2312" w:eastAsia="仿宋_GB2312"/>
          <w:color w:val="auto"/>
          <w:sz w:val="32"/>
          <w:szCs w:val="32"/>
          <w:lang w:val="en-US" w:eastAsia="zh-CN"/>
        </w:rPr>
        <w:t>2100150指事业运行，反映人大事业机构产生的人员经费及公用经费。</w:t>
      </w:r>
      <w:bookmarkEnd w:id="92"/>
      <w:bookmarkEnd w:id="93"/>
      <w:bookmarkEnd w:id="94"/>
    </w:p>
    <w:p>
      <w:pPr>
        <w:spacing w:line="600" w:lineRule="exact"/>
        <w:jc w:val="center"/>
        <w:outlineLvl w:val="0"/>
        <w:rPr>
          <w:rFonts w:hint="eastAsia" w:ascii="仿宋_GB2312" w:eastAsia="仿宋_GB2312"/>
          <w:color w:val="auto"/>
          <w:sz w:val="32"/>
          <w:szCs w:val="32"/>
        </w:rPr>
      </w:pPr>
      <w:bookmarkStart w:id="95" w:name="_Toc19703"/>
      <w:bookmarkStart w:id="96" w:name="_Toc25321"/>
      <w:bookmarkStart w:id="97" w:name="_Toc22387"/>
      <w:r>
        <w:rPr>
          <w:rFonts w:hint="eastAsia" w:ascii="仿宋_GB2312" w:eastAsia="仿宋_GB2312"/>
          <w:color w:val="auto"/>
          <w:sz w:val="32"/>
          <w:szCs w:val="32"/>
        </w:rPr>
        <w:t>6.社会保障和就业：2080505指机关事业单位基本养老保险缴费支出。2080506指机关事业单位职业年金缴费支出。</w:t>
      </w:r>
      <w:bookmarkEnd w:id="95"/>
      <w:bookmarkEnd w:id="96"/>
      <w:bookmarkEnd w:id="97"/>
    </w:p>
    <w:p>
      <w:pPr>
        <w:spacing w:line="600" w:lineRule="exact"/>
        <w:jc w:val="both"/>
        <w:outlineLvl w:val="0"/>
        <w:rPr>
          <w:rFonts w:hint="default" w:ascii="仿宋_GB2312" w:eastAsia="仿宋_GB2312"/>
          <w:color w:val="auto"/>
          <w:sz w:val="32"/>
          <w:szCs w:val="32"/>
          <w:lang w:val="en-US" w:eastAsia="zh-CN"/>
        </w:rPr>
      </w:pPr>
      <w:bookmarkStart w:id="98" w:name="_Toc3261"/>
      <w:bookmarkStart w:id="99" w:name="_Toc11709"/>
      <w:bookmarkStart w:id="100" w:name="_Toc7898"/>
      <w:r>
        <w:rPr>
          <w:rFonts w:hint="eastAsia" w:ascii="仿宋_GB2312" w:eastAsia="仿宋_GB2312"/>
          <w:color w:val="auto"/>
          <w:sz w:val="32"/>
          <w:szCs w:val="32"/>
        </w:rPr>
        <w:t>7.医疗卫生与计划生育：2101101指行政单位医疗</w:t>
      </w:r>
      <w:r>
        <w:rPr>
          <w:rFonts w:hint="eastAsia" w:ascii="仿宋_GB2312" w:eastAsia="仿宋_GB2312"/>
          <w:color w:val="auto"/>
          <w:sz w:val="32"/>
          <w:szCs w:val="32"/>
          <w:lang w:eastAsia="zh-CN"/>
        </w:rPr>
        <w:t>保险</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2101102指事业单位医疗保险支出。</w:t>
      </w:r>
      <w:r>
        <w:rPr>
          <w:rFonts w:hint="eastAsia" w:ascii="仿宋_GB2312" w:eastAsia="仿宋_GB2312"/>
          <w:color w:val="auto"/>
          <w:sz w:val="32"/>
          <w:szCs w:val="32"/>
        </w:rPr>
        <w:t>2101103指公务员医疗补助。</w:t>
      </w:r>
      <w:r>
        <w:rPr>
          <w:rFonts w:hint="eastAsia" w:ascii="仿宋_GB2312" w:eastAsia="仿宋_GB2312"/>
          <w:color w:val="auto"/>
          <w:sz w:val="32"/>
          <w:szCs w:val="32"/>
          <w:lang w:val="en-US" w:eastAsia="zh-CN"/>
        </w:rPr>
        <w:t>2101199指其他行政事业单位医疗支出，反映事业单位职工补充医保。</w:t>
      </w:r>
      <w:bookmarkEnd w:id="98"/>
      <w:bookmarkEnd w:id="99"/>
      <w:bookmarkEnd w:id="100"/>
    </w:p>
    <w:p>
      <w:pPr>
        <w:spacing w:line="600" w:lineRule="exact"/>
        <w:jc w:val="both"/>
        <w:outlineLvl w:val="0"/>
        <w:rPr>
          <w:rFonts w:hint="eastAsia" w:ascii="仿宋_GB2312" w:eastAsia="仿宋_GB2312"/>
          <w:color w:val="auto"/>
          <w:sz w:val="32"/>
          <w:szCs w:val="32"/>
        </w:rPr>
      </w:pPr>
      <w:bookmarkStart w:id="101" w:name="_Toc14400"/>
      <w:bookmarkStart w:id="102" w:name="_Toc27720"/>
      <w:bookmarkStart w:id="103" w:name="_Toc17531"/>
      <w:r>
        <w:rPr>
          <w:rFonts w:hint="eastAsia" w:ascii="仿宋_GB2312" w:eastAsia="仿宋_GB2312"/>
          <w:color w:val="auto"/>
          <w:sz w:val="32"/>
          <w:szCs w:val="32"/>
        </w:rPr>
        <w:t>8.住房保障：2210201指住房公积金。</w:t>
      </w:r>
      <w:bookmarkEnd w:id="101"/>
      <w:bookmarkEnd w:id="102"/>
      <w:bookmarkEnd w:id="103"/>
    </w:p>
    <w:p>
      <w:pPr>
        <w:spacing w:line="600" w:lineRule="exact"/>
        <w:jc w:val="center"/>
        <w:outlineLvl w:val="0"/>
        <w:rPr>
          <w:rFonts w:hint="eastAsia" w:ascii="仿宋_GB2312" w:eastAsia="仿宋_GB2312"/>
          <w:color w:val="auto"/>
          <w:sz w:val="32"/>
          <w:szCs w:val="32"/>
        </w:rPr>
      </w:pPr>
      <w:bookmarkStart w:id="104" w:name="_Toc15140"/>
      <w:bookmarkStart w:id="105" w:name="_Toc20801"/>
      <w:bookmarkStart w:id="106" w:name="_Toc969"/>
      <w:r>
        <w:rPr>
          <w:rFonts w:hint="eastAsia" w:ascii="仿宋_GB2312" w:eastAsia="仿宋_GB2312"/>
          <w:color w:val="auto"/>
          <w:sz w:val="32"/>
          <w:szCs w:val="32"/>
        </w:rPr>
        <w:t>9.基本支出：指为保障机构正常运转、完成日常工作任务而</w:t>
      </w:r>
      <w:bookmarkEnd w:id="104"/>
      <w:bookmarkEnd w:id="105"/>
      <w:bookmarkEnd w:id="106"/>
    </w:p>
    <w:p>
      <w:pPr>
        <w:spacing w:line="600" w:lineRule="exact"/>
        <w:jc w:val="both"/>
        <w:outlineLvl w:val="0"/>
        <w:rPr>
          <w:rFonts w:hint="eastAsia" w:ascii="仿宋_GB2312" w:eastAsia="仿宋_GB2312"/>
          <w:color w:val="auto"/>
          <w:sz w:val="32"/>
          <w:szCs w:val="32"/>
        </w:rPr>
      </w:pPr>
      <w:bookmarkStart w:id="107" w:name="_Toc4186"/>
      <w:bookmarkStart w:id="108" w:name="_Toc1908"/>
      <w:bookmarkStart w:id="109" w:name="_Toc2623"/>
      <w:r>
        <w:rPr>
          <w:rFonts w:hint="eastAsia" w:ascii="仿宋_GB2312" w:eastAsia="仿宋_GB2312"/>
          <w:color w:val="auto"/>
          <w:sz w:val="32"/>
          <w:szCs w:val="32"/>
        </w:rPr>
        <w:t>发生的人员支出和公用支出。</w:t>
      </w:r>
      <w:bookmarkEnd w:id="107"/>
      <w:bookmarkEnd w:id="108"/>
      <w:bookmarkEnd w:id="109"/>
    </w:p>
    <w:p>
      <w:pPr>
        <w:spacing w:line="600" w:lineRule="exact"/>
        <w:jc w:val="center"/>
        <w:outlineLvl w:val="0"/>
        <w:rPr>
          <w:rFonts w:hint="eastAsia" w:ascii="仿宋_GB2312" w:eastAsia="仿宋_GB2312"/>
          <w:color w:val="auto"/>
          <w:sz w:val="32"/>
          <w:szCs w:val="32"/>
        </w:rPr>
      </w:pPr>
      <w:bookmarkStart w:id="110" w:name="_Toc26501"/>
      <w:bookmarkStart w:id="111" w:name="_Toc9649"/>
      <w:bookmarkStart w:id="112" w:name="_Toc27377"/>
      <w:r>
        <w:rPr>
          <w:rFonts w:hint="eastAsia" w:ascii="仿宋_GB2312" w:eastAsia="仿宋_GB2312"/>
          <w:color w:val="auto"/>
          <w:sz w:val="32"/>
          <w:szCs w:val="32"/>
        </w:rPr>
        <w:t>10.项目支出：指在基本支出之外为完成特定行政任务和事</w:t>
      </w:r>
      <w:bookmarkEnd w:id="110"/>
      <w:bookmarkEnd w:id="111"/>
      <w:bookmarkEnd w:id="112"/>
    </w:p>
    <w:p>
      <w:pPr>
        <w:spacing w:line="600" w:lineRule="exact"/>
        <w:jc w:val="both"/>
        <w:outlineLvl w:val="0"/>
        <w:rPr>
          <w:rFonts w:hint="eastAsia" w:ascii="仿宋_GB2312" w:eastAsia="仿宋_GB2312"/>
          <w:color w:val="auto"/>
          <w:sz w:val="32"/>
          <w:szCs w:val="32"/>
        </w:rPr>
      </w:pPr>
      <w:bookmarkStart w:id="113" w:name="_Toc19535"/>
      <w:bookmarkStart w:id="114" w:name="_Toc30698"/>
      <w:bookmarkStart w:id="115" w:name="_Toc26892"/>
      <w:r>
        <w:rPr>
          <w:rFonts w:hint="eastAsia" w:ascii="仿宋_GB2312" w:eastAsia="仿宋_GB2312"/>
          <w:color w:val="auto"/>
          <w:sz w:val="32"/>
          <w:szCs w:val="32"/>
        </w:rPr>
        <w:t>业发展目标所发生的支出。</w:t>
      </w:r>
      <w:bookmarkEnd w:id="113"/>
      <w:bookmarkEnd w:id="114"/>
      <w:bookmarkEnd w:id="115"/>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116" w:name="_Toc21244"/>
      <w:bookmarkStart w:id="117" w:name="_Toc27678"/>
      <w:bookmarkStart w:id="118" w:name="_Toc22739"/>
      <w:r>
        <w:rPr>
          <w:rFonts w:hint="eastAsia" w:ascii="仿宋_GB2312" w:eastAsia="仿宋_GB2312"/>
          <w:color w:val="auto"/>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w:t>
      </w:r>
      <w:bookmarkEnd w:id="116"/>
      <w:bookmarkEnd w:id="117"/>
      <w:bookmarkEnd w:id="118"/>
    </w:p>
    <w:p>
      <w:pPr>
        <w:spacing w:line="600" w:lineRule="exact"/>
        <w:jc w:val="both"/>
        <w:outlineLvl w:val="0"/>
        <w:rPr>
          <w:rFonts w:hint="eastAsia" w:ascii="仿宋_GB2312" w:eastAsia="仿宋_GB2312"/>
          <w:color w:val="auto"/>
          <w:sz w:val="32"/>
          <w:szCs w:val="32"/>
        </w:rPr>
      </w:pPr>
      <w:bookmarkStart w:id="119" w:name="_Toc1029"/>
      <w:bookmarkStart w:id="120" w:name="_Toc14809"/>
      <w:bookmarkStart w:id="121" w:name="_Toc11049"/>
      <w:r>
        <w:rPr>
          <w:rFonts w:hint="eastAsia" w:ascii="仿宋_GB2312" w:eastAsia="仿宋_GB2312"/>
          <w:color w:val="auto"/>
          <w:sz w:val="32"/>
          <w:szCs w:val="32"/>
        </w:rPr>
        <w:t>外宾接待）支出。</w:t>
      </w:r>
      <w:bookmarkEnd w:id="119"/>
      <w:bookmarkEnd w:id="120"/>
      <w:bookmarkEnd w:id="121"/>
    </w:p>
    <w:p>
      <w:pPr>
        <w:spacing w:line="600" w:lineRule="exact"/>
        <w:jc w:val="center"/>
        <w:outlineLvl w:val="0"/>
        <w:rPr>
          <w:rFonts w:hint="eastAsia" w:ascii="仿宋_GB2312" w:eastAsia="仿宋_GB2312"/>
          <w:color w:val="auto"/>
          <w:sz w:val="32"/>
          <w:szCs w:val="32"/>
        </w:rPr>
      </w:pPr>
      <w:bookmarkStart w:id="122" w:name="_Toc13615"/>
      <w:bookmarkStart w:id="123" w:name="_Toc20693"/>
      <w:bookmarkStart w:id="124" w:name="_Toc28505"/>
      <w:r>
        <w:rPr>
          <w:rFonts w:hint="eastAsia" w:ascii="仿宋_GB2312" w:eastAsia="仿宋_GB2312"/>
          <w:color w:val="auto"/>
          <w:sz w:val="32"/>
          <w:szCs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w:t>
      </w:r>
      <w:bookmarkEnd w:id="122"/>
      <w:bookmarkEnd w:id="123"/>
      <w:bookmarkEnd w:id="124"/>
    </w:p>
    <w:p>
      <w:pPr>
        <w:spacing w:line="600" w:lineRule="exact"/>
        <w:jc w:val="both"/>
        <w:outlineLvl w:val="0"/>
        <w:rPr>
          <w:rFonts w:hint="eastAsia" w:ascii="仿宋_GB2312" w:eastAsia="仿宋_GB2312"/>
          <w:color w:val="auto"/>
          <w:sz w:val="32"/>
          <w:szCs w:val="32"/>
        </w:rPr>
      </w:pPr>
      <w:bookmarkStart w:id="125" w:name="_Toc23183"/>
      <w:bookmarkStart w:id="126" w:name="_Toc19910"/>
      <w:bookmarkStart w:id="127" w:name="_Toc20644"/>
      <w:r>
        <w:rPr>
          <w:rFonts w:hint="eastAsia" w:ascii="仿宋_GB2312" w:eastAsia="仿宋_GB2312"/>
          <w:color w:val="auto"/>
          <w:sz w:val="32"/>
          <w:szCs w:val="32"/>
        </w:rPr>
        <w:t>其他费用。</w:t>
      </w:r>
      <w:bookmarkEnd w:id="125"/>
      <w:bookmarkEnd w:id="126"/>
      <w:bookmarkEnd w:id="127"/>
    </w:p>
    <w:p>
      <w:pPr>
        <w:spacing w:line="600" w:lineRule="exact"/>
        <w:jc w:val="center"/>
        <w:outlineLvl w:val="0"/>
        <w:rPr>
          <w:rStyle w:val="20"/>
          <w:rFonts w:ascii="黑体" w:eastAsia="黑体"/>
          <w:b w:val="0"/>
        </w:rPr>
      </w:pPr>
      <w:bookmarkStart w:id="188" w:name="_GoBack"/>
      <w:bookmarkEnd w:id="188"/>
      <w:r>
        <w:rPr>
          <w:rFonts w:ascii="宋体"/>
          <w:b/>
          <w:sz w:val="44"/>
          <w:szCs w:val="44"/>
        </w:rPr>
        <w:br w:type="page"/>
      </w:r>
      <w:bookmarkStart w:id="128" w:name="_Toc15396614"/>
      <w:bookmarkStart w:id="129" w:name="_Toc17629"/>
      <w:r>
        <w:rPr>
          <w:rFonts w:hint="eastAsia" w:ascii="黑体" w:eastAsia="黑体"/>
          <w:sz w:val="44"/>
          <w:szCs w:val="44"/>
        </w:rPr>
        <w:t>第</w:t>
      </w:r>
      <w:r>
        <w:rPr>
          <w:rStyle w:val="20"/>
          <w:rFonts w:hint="eastAsia" w:ascii="黑体" w:eastAsia="黑体"/>
          <w:b w:val="0"/>
        </w:rPr>
        <w:t>四部分 附件</w:t>
      </w:r>
      <w:bookmarkEnd w:id="128"/>
      <w:bookmarkEnd w:id="129"/>
    </w:p>
    <w:p>
      <w:pPr>
        <w:spacing w:line="572" w:lineRule="exact"/>
        <w:jc w:val="left"/>
        <w:outlineLvl w:val="0"/>
        <w:rPr>
          <w:rFonts w:ascii="方正小标宋简体" w:eastAsia="方正小标宋简体" w:cs="方正小标宋简体"/>
          <w:sz w:val="44"/>
          <w:szCs w:val="44"/>
        </w:rPr>
      </w:pPr>
      <w:bookmarkStart w:id="130" w:name="_Toc4715"/>
      <w:bookmarkStart w:id="131" w:name="_Toc31443"/>
      <w:r>
        <w:rPr>
          <w:rFonts w:hint="eastAsia" w:ascii="黑体" w:eastAsia="黑体" w:cs="黑体"/>
          <w:sz w:val="32"/>
          <w:szCs w:val="32"/>
        </w:rPr>
        <w:t>附件</w:t>
      </w:r>
      <w:bookmarkEnd w:id="130"/>
      <w:bookmarkEnd w:id="131"/>
    </w:p>
    <w:p>
      <w:pPr>
        <w:spacing w:line="600" w:lineRule="exact"/>
        <w:jc w:val="center"/>
        <w:outlineLvl w:val="0"/>
        <w:rPr>
          <w:rFonts w:hint="eastAsia" w:ascii="黑体" w:eastAsia="黑体"/>
          <w:sz w:val="44"/>
          <w:szCs w:val="44"/>
        </w:rPr>
      </w:pPr>
      <w:bookmarkStart w:id="132" w:name="_Toc15396618"/>
      <w:bookmarkStart w:id="133" w:name="_Toc20539"/>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eastAsia="方正小标宋简体" w:cs="Times New Roman"/>
          <w:b w:val="0"/>
          <w:bCs/>
          <w:sz w:val="44"/>
          <w:szCs w:val="44"/>
          <w:highlight w:val="none"/>
          <w:shd w:val="clear" w:color="auto" w:fill="FFFFFF"/>
          <w:lang w:eastAsia="zh-CN"/>
        </w:rPr>
      </w:pPr>
      <w:r>
        <w:rPr>
          <w:rFonts w:hint="eastAsia" w:eastAsia="方正小标宋简体" w:cs="Times New Roman"/>
          <w:b w:val="0"/>
          <w:bCs/>
          <w:sz w:val="44"/>
          <w:szCs w:val="44"/>
          <w:highlight w:val="none"/>
          <w:shd w:val="clear" w:color="auto" w:fill="FFFFFF"/>
          <w:lang w:eastAsia="zh-CN"/>
        </w:rPr>
        <w:t>红原县人大常委会办公室</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eastAsia="方正小标宋简体" w:cs="Times New Roman"/>
          <w:b w:val="0"/>
          <w:bCs/>
          <w:sz w:val="44"/>
          <w:szCs w:val="44"/>
          <w:highlight w:val="none"/>
          <w:shd w:val="clear" w:color="auto" w:fill="FFFFFF"/>
          <w:lang w:eastAsia="zh-CN"/>
        </w:rPr>
        <w:t>自评</w:t>
      </w:r>
      <w:r>
        <w:rPr>
          <w:rFonts w:hint="default" w:ascii="Times New Roman" w:hAnsi="Times New Roman" w:eastAsia="方正小标宋简体" w:cs="Times New Roman"/>
          <w:b w:val="0"/>
          <w:bCs/>
          <w:sz w:val="44"/>
          <w:szCs w:val="44"/>
          <w:highlight w:val="none"/>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highlight w:val="none"/>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Cs/>
          <w:sz w:val="32"/>
          <w:szCs w:val="32"/>
          <w:lang w:eastAsia="zh-CN"/>
        </w:rPr>
        <w:t>县人大常委会机关</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eastAsia="zh-CN"/>
        </w:rPr>
        <w:t>，共设机构</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eastAsia="zh-CN"/>
        </w:rPr>
        <w:t>个，即：综合办公室、人事代表工作委员会、法制监察司法和民族宗教外事委员会、财政经济预算和农业农村城乡环境保护委员会、教育科学文化卫生和社会建设委员会、预算联网服务中心（股级事业单位）；办公室下设两个股级机构，即行政股和秘书股。</w:t>
      </w:r>
    </w:p>
    <w:p>
      <w:pPr>
        <w:keepNext w:val="0"/>
        <w:keepLines w:val="0"/>
        <w:pageBreakBefore w:val="0"/>
        <w:widowControl/>
        <w:numPr>
          <w:ilvl w:val="0"/>
          <w:numId w:val="9"/>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643" w:firstLineChars="20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1</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bCs/>
          <w:color w:val="000000"/>
          <w:kern w:val="0"/>
          <w:sz w:val="32"/>
          <w:szCs w:val="32"/>
          <w:lang w:val="zh-CN"/>
        </w:rPr>
        <w:t>综合办公室主要职能</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根据主任会议安排，承担代表大会会议、常委会议、主任会议及其他会议的筹备和会务工作。起草代表大会、常委会、主任会议的有关通知、总结、计划、决议、决定、纪要、报告等文件，编写《公报》、《人大工作简报》，组织人大工作的宣传及新闻报道和组织人大机构内部的政治学习。负责内外协调，承担有关接待工作，负责文书档案、工资福利、机关财务、机关人事管理和后勤服务、车辆管理、财产管理。办理常委会领导同志交办的其他事项。 </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643" w:firstLineChars="200"/>
        <w:jc w:val="left"/>
        <w:textAlignment w:val="auto"/>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zh-CN"/>
        </w:rPr>
        <w:t>2</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bCs/>
          <w:color w:val="000000"/>
          <w:kern w:val="0"/>
          <w:sz w:val="32"/>
          <w:szCs w:val="32"/>
          <w:lang w:val="zh-CN"/>
        </w:rPr>
        <w:t>人大常委会</w:t>
      </w:r>
      <w:r>
        <w:rPr>
          <w:rFonts w:hint="eastAsia" w:ascii="仿宋_GB2312" w:hAnsi="仿宋_GB2312" w:eastAsia="仿宋_GB2312" w:cs="仿宋_GB2312"/>
          <w:b/>
          <w:bCs/>
          <w:color w:val="000000"/>
          <w:kern w:val="0"/>
          <w:sz w:val="32"/>
          <w:szCs w:val="32"/>
          <w:lang w:val="zh-CN" w:eastAsia="zh-CN"/>
        </w:rPr>
        <w:t>财政经济预算和农业农村城乡环境保护委员会</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（1）为县人大常委会审议财政经济方面的各种报告，开展初审工作并提出意见，草拟县人大常委会会议相应的审议意见。</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（2）根据常委会议和主任会议安排，承担对财政、经济方面的执法检查、代表视察和代表评议的牵头工作。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（3）按照对口联系范围，经常联系财政和其他经济管理部门，开展调查研究工作，印发有关调查报告。</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lang w:val="zh-CN"/>
        </w:rPr>
        <w:t>）承办上级人大对口的专门委员会发来的法律法规征求意见的整理上报工作。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zh-CN"/>
        </w:rPr>
        <w:t>）办理本工作委员会全部文书档案工作。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lang w:val="zh-CN"/>
        </w:rPr>
        <w:t>）承担领导交办的其他工作。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643" w:firstLineChars="20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3.</w:t>
      </w:r>
      <w:r>
        <w:rPr>
          <w:rFonts w:hint="eastAsia" w:ascii="仿宋_GB2312" w:hAnsi="仿宋_GB2312" w:eastAsia="仿宋_GB2312" w:cs="仿宋_GB2312"/>
          <w:b/>
          <w:bCs/>
          <w:color w:val="000000"/>
          <w:kern w:val="0"/>
          <w:sz w:val="32"/>
          <w:szCs w:val="32"/>
          <w:lang w:val="zh-CN"/>
        </w:rPr>
        <w:t>县人大常委会法制监察司法和民族宗教外事委员会</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（1）为县人大常委会会议，审议政法方面的各种工作报告，开展初审，提出意见，草拟县人大常委会会议的相应审议意见。</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（2）根据常委会议及主任会议安排，承担对政法和司法机关，以及法制建设执法检查、代表视察和代表评议的牵头工作。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（3）按照对口联系范围经常对公、检、法、司等部门，开展调查研究工作，印发有关电查报告。</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（4）承办上级人大对口专门委员会发来的法律法规征求意见和整理上报工作。  </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zh-CN"/>
        </w:rPr>
        <w:t>）办理本工作委员会的全部文书档案工作。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lang w:val="zh-CN"/>
        </w:rPr>
        <w:t>）承担领导交办的其他工作。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643" w:firstLineChars="20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4.县</w:t>
      </w:r>
      <w:r>
        <w:rPr>
          <w:rFonts w:hint="eastAsia" w:ascii="仿宋_GB2312" w:hAnsi="仿宋_GB2312" w:eastAsia="仿宋_GB2312" w:cs="仿宋_GB2312"/>
          <w:b/>
          <w:bCs/>
          <w:color w:val="000000"/>
          <w:kern w:val="0"/>
          <w:sz w:val="32"/>
          <w:szCs w:val="32"/>
          <w:lang w:val="zh-CN"/>
        </w:rPr>
        <w:t>人大常委会教育科学文化卫生和社会建设委员会</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（1）为县人大常委会审议教育、科学、文化、卫生、民族宗教等方面的各种报告，开展初审工作，提出初审意见，草拟常委会会议相应的审议意见。</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（2）根据常委会议和主任会议安排，承担对教育、科技、文化、卫生、民族、宗教等方面的执法检查、代表视察和代表评议的牵头工作。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（3）按照对口联系范围，经常联系教育、科技、文化、卫生、民族、宗教等部门，开展调查研究工作，印发调查报告。</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（4）承办上级对口专门委员会发来的法律法规征求意见和整理上报工作。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zh-CN"/>
        </w:rPr>
        <w:t>）办理本工作委员会的全部文书档案工作。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lang w:val="zh-CN"/>
        </w:rPr>
        <w:t>）承担领导交办的其他工作。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643" w:firstLineChars="20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5.县</w:t>
      </w:r>
      <w:r>
        <w:rPr>
          <w:rFonts w:hint="eastAsia" w:ascii="仿宋_GB2312" w:hAnsi="仿宋_GB2312" w:eastAsia="仿宋_GB2312" w:cs="仿宋_GB2312"/>
          <w:b/>
          <w:bCs/>
          <w:color w:val="000000"/>
          <w:kern w:val="0"/>
          <w:sz w:val="32"/>
          <w:szCs w:val="32"/>
          <w:lang w:val="zh-CN"/>
        </w:rPr>
        <w:t>人大常委人事代表工作委员会</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（1）办理人民代表大会及其常务委员会人事任免的具体工作。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（2）加强同县委、组织部、纪委、上级人大常委会对口部门、乡镇党委、本级“一府两院”的人事监察部门、政工机构和信访部门的配合与联系。</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（3）搞好对县人大常委会任命的国家机关工作人员的述职评议工作。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（4）承担换届选举方面的具体工作和由上面交办的人民代表大会制度和人大工作方面的法律、法规的征求意见，整理上报工作。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zh-CN"/>
        </w:rPr>
        <w:t>）做好代表联系，办理代表议案建议、批评和意见，办理人民群众的来信来访工作。</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320" w:firstLineChars="1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lang w:val="zh-CN"/>
        </w:rPr>
        <w:t>）承担县人大常委会代表资格审查委员会的有关具体工作和指导乡、镇人大及其主席团的工作。</w:t>
      </w:r>
    </w:p>
    <w:p>
      <w:pPr>
        <w:pStyle w:val="2"/>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6.预算联网中心</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lang w:val="en-US" w:eastAsia="zh-CN" w:bidi="ar-SA"/>
        </w:rPr>
        <w:t>负责全县预算及相关预算执行相关数据的监督及管理等工作。</w:t>
      </w:r>
    </w:p>
    <w:p>
      <w:pPr>
        <w:keepNext w:val="0"/>
        <w:keepLines w:val="0"/>
        <w:pageBreakBefore w:val="0"/>
        <w:widowControl w:val="0"/>
        <w:numPr>
          <w:ilvl w:val="0"/>
          <w:numId w:val="9"/>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人员概况。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72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rPr>
        <w:t>本单位截止</w:t>
      </w:r>
      <w:r>
        <w:rPr>
          <w:rFonts w:hint="eastAsia" w:ascii="仿宋_GB2312" w:hAnsi="仿宋_GB2312" w:eastAsia="仿宋_GB2312" w:cs="仿宋_GB2312"/>
          <w:color w:val="000000"/>
          <w:kern w:val="0"/>
          <w:sz w:val="32"/>
          <w:szCs w:val="32"/>
          <w:lang w:val="en-US" w:eastAsia="zh-CN"/>
        </w:rPr>
        <w:t>2024年底，人大机关行政编制17个，机关工勤编制4个；人大预算联网服务中心（股级事业机构）事业编制2个，行政事业共有编制23个。</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72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lang w:val="en-US" w:eastAsia="zh-CN"/>
        </w:rPr>
        <w:t>截止2024年底</w:t>
      </w:r>
      <w:r>
        <w:rPr>
          <w:rFonts w:hint="eastAsia" w:ascii="仿宋_GB2312" w:hAnsi="仿宋_GB2312" w:eastAsia="仿宋_GB2312" w:cs="仿宋_GB2312"/>
          <w:bCs/>
          <w:color w:val="auto"/>
          <w:sz w:val="32"/>
          <w:szCs w:val="32"/>
        </w:rPr>
        <w:t>在职</w:t>
      </w:r>
      <w:r>
        <w:rPr>
          <w:rFonts w:hint="eastAsia" w:ascii="仿宋_GB2312" w:hAnsi="仿宋_GB2312" w:eastAsia="仿宋_GB2312" w:cs="仿宋_GB2312"/>
          <w:bCs/>
          <w:color w:val="auto"/>
          <w:sz w:val="32"/>
          <w:szCs w:val="32"/>
          <w:lang w:eastAsia="zh-CN"/>
        </w:rPr>
        <w:t>职工</w:t>
      </w:r>
      <w:r>
        <w:rPr>
          <w:rFonts w:hint="eastAsia" w:ascii="仿宋_GB2312" w:hAnsi="仿宋_GB2312" w:eastAsia="仿宋_GB2312" w:cs="仿宋_GB2312"/>
          <w:bCs/>
          <w:color w:val="auto"/>
          <w:sz w:val="32"/>
          <w:szCs w:val="32"/>
          <w:lang w:val="en-US" w:eastAsia="zh-CN"/>
        </w:rPr>
        <w:t>23</w:t>
      </w:r>
      <w:r>
        <w:rPr>
          <w:rFonts w:hint="eastAsia" w:ascii="仿宋_GB2312" w:hAnsi="仿宋_GB2312" w:eastAsia="仿宋_GB2312" w:cs="仿宋_GB2312"/>
          <w:bCs/>
          <w:color w:val="auto"/>
          <w:sz w:val="32"/>
          <w:szCs w:val="32"/>
        </w:rPr>
        <w:t>人，其中公务员</w:t>
      </w:r>
      <w:r>
        <w:rPr>
          <w:rFonts w:hint="eastAsia" w:ascii="仿宋_GB2312" w:hAnsi="仿宋_GB2312" w:eastAsia="仿宋_GB2312" w:cs="仿宋_GB2312"/>
          <w:bCs/>
          <w:color w:val="auto"/>
          <w:sz w:val="32"/>
          <w:szCs w:val="32"/>
          <w:lang w:val="en-US" w:eastAsia="zh-CN"/>
        </w:rPr>
        <w:t>17</w:t>
      </w:r>
      <w:r>
        <w:rPr>
          <w:rFonts w:hint="eastAsia" w:ascii="仿宋_GB2312" w:hAnsi="仿宋_GB2312" w:eastAsia="仿宋_GB2312" w:cs="仿宋_GB2312"/>
          <w:bCs/>
          <w:color w:val="auto"/>
          <w:sz w:val="32"/>
          <w:szCs w:val="32"/>
        </w:rPr>
        <w:t>人，</w:t>
      </w:r>
      <w:r>
        <w:rPr>
          <w:rFonts w:hint="eastAsia" w:ascii="仿宋_GB2312" w:hAnsi="仿宋_GB2312" w:eastAsia="仿宋_GB2312" w:cs="仿宋_GB2312"/>
          <w:bCs/>
          <w:color w:val="auto"/>
          <w:sz w:val="32"/>
          <w:szCs w:val="32"/>
          <w:lang w:eastAsia="zh-CN"/>
        </w:rPr>
        <w:t>行政工勤</w:t>
      </w:r>
      <w:r>
        <w:rPr>
          <w:rFonts w:hint="eastAsia" w:ascii="仿宋_GB2312" w:hAnsi="仿宋_GB2312" w:eastAsia="仿宋_GB2312" w:cs="仿宋_GB2312"/>
          <w:bCs/>
          <w:color w:val="auto"/>
          <w:sz w:val="32"/>
          <w:szCs w:val="32"/>
          <w:lang w:val="en-US" w:eastAsia="zh-CN"/>
        </w:rPr>
        <w:t>4</w:t>
      </w:r>
      <w:r>
        <w:rPr>
          <w:rFonts w:hint="eastAsia" w:ascii="仿宋_GB2312" w:hAnsi="仿宋_GB2312" w:eastAsia="仿宋_GB2312" w:cs="仿宋_GB2312"/>
          <w:bCs/>
          <w:color w:val="auto"/>
          <w:sz w:val="32"/>
          <w:szCs w:val="32"/>
        </w:rPr>
        <w:t>人</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事业管理人员2人。事业人员</w:t>
      </w:r>
      <w:r>
        <w:rPr>
          <w:rFonts w:hint="eastAsia" w:ascii="仿宋_GB2312" w:hAnsi="仿宋_GB2312" w:eastAsia="仿宋_GB2312" w:cs="仿宋_GB2312"/>
          <w:bCs/>
          <w:color w:val="auto"/>
          <w:sz w:val="32"/>
          <w:szCs w:val="32"/>
          <w:lang w:eastAsia="zh-CN"/>
        </w:rPr>
        <w:t>比上年增加</w:t>
      </w:r>
      <w:r>
        <w:rPr>
          <w:rFonts w:hint="eastAsia" w:ascii="仿宋_GB2312" w:hAnsi="仿宋_GB2312" w:eastAsia="仿宋_GB2312" w:cs="仿宋_GB2312"/>
          <w:bCs/>
          <w:color w:val="auto"/>
          <w:sz w:val="32"/>
          <w:szCs w:val="32"/>
          <w:lang w:val="en-US" w:eastAsia="zh-CN"/>
        </w:rPr>
        <w:t>1人。</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rPr>
      </w:pPr>
      <w:r>
        <w:rPr>
          <w:rFonts w:hint="eastAsia" w:ascii="仿宋_GB2312" w:hAnsi="仿宋_GB2312" w:eastAsia="仿宋_GB2312" w:cs="仿宋_GB2312"/>
          <w:color w:val="000000"/>
          <w:kern w:val="0"/>
          <w:sz w:val="32"/>
          <w:szCs w:val="32"/>
          <w:highlight w:val="none"/>
          <w:shd w:val="clear" w:color="auto" w:fill="FFFFFF"/>
        </w:rPr>
        <w:t>二、</w:t>
      </w:r>
      <w:r>
        <w:rPr>
          <w:rFonts w:hint="eastAsia" w:ascii="仿宋_GB2312" w:hAnsi="仿宋_GB2312" w:eastAsia="仿宋_GB2312" w:cs="仿宋_GB2312"/>
          <w:color w:val="000000"/>
          <w:kern w:val="0"/>
          <w:sz w:val="32"/>
          <w:szCs w:val="32"/>
          <w:highlight w:val="none"/>
          <w:shd w:val="clear" w:color="auto" w:fill="FFFFFF"/>
          <w:lang w:eastAsia="zh-CN"/>
        </w:rPr>
        <w:t>部门</w:t>
      </w:r>
      <w:r>
        <w:rPr>
          <w:rFonts w:hint="eastAsia" w:ascii="仿宋_GB2312" w:hAnsi="仿宋_GB2312" w:eastAsia="仿宋_GB2312" w:cs="仿宋_GB2312"/>
          <w:color w:val="000000"/>
          <w:kern w:val="0"/>
          <w:sz w:val="32"/>
          <w:szCs w:val="32"/>
          <w:highlight w:val="none"/>
          <w:shd w:val="clear" w:color="auto" w:fill="FFFFFF"/>
        </w:rPr>
        <w:t>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（一）收入情况。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720"/>
        <w:jc w:val="left"/>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zh-CN"/>
        </w:rPr>
        <w:t>我办</w:t>
      </w:r>
      <w:r>
        <w:rPr>
          <w:rFonts w:hint="eastAsia" w:ascii="仿宋_GB2312" w:hAnsi="仿宋_GB2312" w:eastAsia="仿宋_GB2312" w:cs="仿宋_GB2312"/>
          <w:bCs/>
          <w:color w:val="auto"/>
          <w:sz w:val="32"/>
          <w:szCs w:val="32"/>
          <w:lang w:val="en-US" w:eastAsia="zh-CN"/>
        </w:rPr>
        <w:t>2024年年初部门预算收入897.82万元，比上年增加55.53万元，增加主要原因是2024年代表履职能力提升年初预算比上年增加10万元；专项办公费年初预算比上年增加10万元；年度目标奖提标及工资保险基础调整。决算报表2024年收入907.48万元，比上年减少37.68万元，减少主要原因是2023年由于业务需要中途追加移动云平台办公软件费用9万元，追加培训班缺口经费17万元，追加专项办公缺口经费13万元，2024年未追加该三项经费。</w:t>
      </w:r>
    </w:p>
    <w:p>
      <w:pPr>
        <w:keepNext w:val="0"/>
        <w:keepLines w:val="0"/>
        <w:pageBreakBefore w:val="0"/>
        <w:widowControl/>
        <w:numPr>
          <w:ilvl w:val="0"/>
          <w:numId w:val="1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2024年我办决算支出907.48万元，其中：一般公共服务支出720.27万元；社会保障和就业支出94.09万元；卫生健康支出42.39万元；住房保障支出50.73万元。</w:t>
      </w:r>
    </w:p>
    <w:p>
      <w:pPr>
        <w:pStyle w:val="2"/>
        <w:keepNext w:val="0"/>
        <w:keepLines w:val="0"/>
        <w:pageBreakBefore w:val="0"/>
        <w:widowControl w:val="0"/>
        <w:kinsoku/>
        <w:wordWrap/>
        <w:overflowPunct/>
        <w:topLinePunct w:val="0"/>
        <w:autoSpaceDE/>
        <w:autoSpaceDN/>
        <w:bidi w:val="0"/>
        <w:spacing w:after="0" w:line="560" w:lineRule="exact"/>
        <w:ind w:left="0"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整体支出主要</w:t>
      </w:r>
      <w:r>
        <w:rPr>
          <w:rFonts w:hint="eastAsia" w:ascii="仿宋_GB2312" w:hAnsi="仿宋_GB2312" w:eastAsia="仿宋_GB2312" w:cs="仿宋_GB2312"/>
          <w:sz w:val="32"/>
          <w:szCs w:val="32"/>
          <w:lang w:eastAsia="zh-CN"/>
        </w:rPr>
        <w:t>完成任务</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个方面：</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保障单位基本正常运转，其中工资福利支出</w:t>
      </w:r>
      <w:r>
        <w:rPr>
          <w:rFonts w:hint="eastAsia" w:ascii="仿宋_GB2312" w:hAnsi="仿宋_GB2312" w:eastAsia="仿宋_GB2312" w:cs="仿宋_GB2312"/>
          <w:sz w:val="32"/>
          <w:szCs w:val="32"/>
          <w:lang w:val="en-US" w:eastAsia="zh-CN"/>
        </w:rPr>
        <w:t>469.51万元</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，日常公用经费</w:t>
      </w:r>
      <w:r>
        <w:rPr>
          <w:rFonts w:hint="eastAsia" w:ascii="仿宋_GB2312" w:hAnsi="仿宋_GB2312" w:eastAsia="仿宋_GB2312" w:cs="仿宋_GB2312"/>
          <w:sz w:val="32"/>
          <w:szCs w:val="32"/>
          <w:lang w:val="en-US" w:eastAsia="zh-CN"/>
        </w:rPr>
        <w:t>58.99万元，各类保险公积金194.85万元，退休体检费及目标奖26.26万元；</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组织好代表培训视察等工作，其中代表培训视察调研等支付46.98万元；</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做好每年常委会及人代会会务工作及材料收集撰写等，其中会议费支出29.39万元。</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做好人大办各项专项事务工作及后勤保障工作，其中专项办公费支出81.5万元。</w:t>
      </w:r>
    </w:p>
    <w:p>
      <w:pPr>
        <w:keepNext w:val="0"/>
        <w:keepLines w:val="0"/>
        <w:pageBreakBefore w:val="0"/>
        <w:widowControl/>
        <w:numPr>
          <w:ilvl w:val="0"/>
          <w:numId w:val="1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结余分配和结转结余情况</w:t>
      </w:r>
      <w:r>
        <w:rPr>
          <w:rFonts w:hint="eastAsia" w:ascii="仿宋_GB2312" w:hAnsi="仿宋_GB2312" w:eastAsia="仿宋_GB2312" w:cs="仿宋_GB2312"/>
          <w:b/>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sz w:val="32"/>
          <w:szCs w:val="32"/>
          <w:lang w:val="en-US" w:eastAsia="zh-CN"/>
        </w:rPr>
        <w:t>人大办2024年无结转结余</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结情况。</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themeColor="text1"/>
          <w:kern w:val="0"/>
          <w:sz w:val="32"/>
          <w:szCs w:val="32"/>
          <w:highlight w:val="none"/>
          <w:shd w:val="clear" w:color="auto" w:fill="FFFFFF"/>
        </w:rPr>
      </w:pPr>
      <w:r>
        <w:rPr>
          <w:rFonts w:hint="eastAsia" w:ascii="仿宋_GB2312" w:hAnsi="仿宋_GB2312" w:eastAsia="仿宋_GB2312" w:cs="仿宋_GB2312"/>
          <w:color w:val="000000"/>
          <w:kern w:val="0"/>
          <w:sz w:val="32"/>
          <w:szCs w:val="32"/>
          <w:highlight w:val="none"/>
          <w:shd w:val="clear" w:color="auto" w:fill="FFFFFF"/>
        </w:rPr>
        <w:t>三、</w:t>
      </w:r>
      <w:r>
        <w:rPr>
          <w:rFonts w:hint="eastAsia" w:ascii="仿宋_GB2312" w:hAnsi="仿宋_GB2312" w:eastAsia="仿宋_GB2312" w:cs="仿宋_GB2312"/>
          <w:color w:val="000000"/>
          <w:kern w:val="0"/>
          <w:sz w:val="32"/>
          <w:szCs w:val="32"/>
          <w:highlight w:val="none"/>
          <w:u w:val="none"/>
          <w:shd w:val="clear" w:color="auto" w:fill="FFFFFF"/>
        </w:rPr>
        <w:t>部门</w:t>
      </w:r>
      <w:r>
        <w:rPr>
          <w:rFonts w:hint="eastAsia" w:ascii="仿宋_GB2312" w:hAnsi="仿宋_GB2312" w:eastAsia="仿宋_GB2312" w:cs="仿宋_GB2312"/>
          <w:color w:val="000000"/>
          <w:kern w:val="0"/>
          <w:sz w:val="32"/>
          <w:szCs w:val="32"/>
          <w:highlight w:val="none"/>
          <w:u w:val="none"/>
          <w:shd w:val="clear" w:color="auto" w:fill="FFFFFF"/>
          <w:lang w:eastAsia="zh-CN"/>
        </w:rPr>
        <w:t>预算</w:t>
      </w:r>
      <w:r>
        <w:rPr>
          <w:rFonts w:hint="eastAsia" w:ascii="仿宋_GB2312" w:hAnsi="仿宋_GB2312" w:eastAsia="仿宋_GB2312" w:cs="仿宋_GB2312"/>
          <w:color w:val="000000"/>
          <w:kern w:val="0"/>
          <w:sz w:val="32"/>
          <w:szCs w:val="32"/>
          <w:highlight w:val="none"/>
          <w:u w:val="none"/>
          <w:shd w:val="clear" w:color="auto" w:fill="FFFFFF"/>
        </w:rPr>
        <w:t>绩效</w:t>
      </w:r>
      <w:r>
        <w:rPr>
          <w:rFonts w:hint="eastAsia" w:ascii="仿宋_GB2312" w:hAnsi="仿宋_GB2312" w:eastAsia="仿宋_GB2312" w:cs="仿宋_GB2312"/>
          <w:color w:val="000000"/>
          <w:kern w:val="0"/>
          <w:sz w:val="32"/>
          <w:szCs w:val="32"/>
          <w:highlight w:val="none"/>
          <w:u w:val="none"/>
          <w:shd w:val="clear" w:color="auto" w:fill="FFFFFF"/>
          <w:lang w:eastAsia="zh-CN"/>
        </w:rPr>
        <w:t>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（一）部门预算总体绩效分析。</w:t>
      </w:r>
      <w:r>
        <w:rPr>
          <w:rFonts w:hint="eastAsia" w:ascii="仿宋_GB2312" w:hAnsi="仿宋_GB2312" w:eastAsia="仿宋_GB2312" w:cs="仿宋_GB2312"/>
          <w:color w:val="000000"/>
          <w:kern w:val="0"/>
          <w:sz w:val="32"/>
          <w:szCs w:val="32"/>
          <w:highlight w:val="none"/>
          <w:shd w:val="clear" w:color="auto" w:fill="FFFFFF"/>
          <w:lang w:val="zh-CN"/>
        </w:rPr>
        <w:t>根据部门预算绩效评价指标体系，我办绩效评价覆盖范围依次包括履职效能、预算管理、财务管理、资产管理、采购管理等情况。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1.</w:t>
      </w:r>
      <w:r>
        <w:rPr>
          <w:rFonts w:hint="eastAsia" w:ascii="仿宋_GB2312" w:hAnsi="仿宋_GB2312" w:eastAsia="仿宋_GB2312" w:cs="仿宋_GB2312"/>
          <w:b/>
          <w:bCs/>
          <w:color w:val="000000"/>
          <w:kern w:val="0"/>
          <w:sz w:val="32"/>
          <w:szCs w:val="32"/>
          <w:highlight w:val="none"/>
          <w:shd w:val="clear" w:color="auto" w:fill="FFFFFF"/>
          <w:lang w:val="zh-CN"/>
        </w:rPr>
        <w:t>履职效能（</w:t>
      </w:r>
      <w:r>
        <w:rPr>
          <w:rFonts w:hint="eastAsia" w:ascii="仿宋_GB2312" w:hAnsi="仿宋_GB2312" w:eastAsia="仿宋_GB2312" w:cs="仿宋_GB2312"/>
          <w:b/>
          <w:bCs/>
          <w:color w:val="000000"/>
          <w:kern w:val="0"/>
          <w:sz w:val="32"/>
          <w:szCs w:val="32"/>
          <w:highlight w:val="none"/>
          <w:shd w:val="clear" w:color="auto" w:fill="FFFFFF"/>
          <w:lang w:val="en-US" w:eastAsia="zh-CN"/>
        </w:rPr>
        <w:t>15分</w:t>
      </w:r>
      <w:r>
        <w:rPr>
          <w:rFonts w:hint="eastAsia" w:ascii="仿宋_GB2312" w:hAnsi="仿宋_GB2312" w:eastAsia="仿宋_GB2312" w:cs="仿宋_GB2312"/>
          <w:b/>
          <w:bCs/>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zh-CN"/>
        </w:rPr>
        <w:t>核心职能目标完成情况：</w:t>
      </w:r>
    </w:p>
    <w:p>
      <w:pPr>
        <w:pStyle w:val="2"/>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（1）会议组织及会务等工作（</w:t>
      </w:r>
      <w:r>
        <w:rPr>
          <w:rFonts w:hint="eastAsia" w:ascii="仿宋_GB2312" w:hAnsi="仿宋_GB2312" w:eastAsia="仿宋_GB2312" w:cs="仿宋_GB2312"/>
          <w:b/>
          <w:bCs/>
          <w:sz w:val="32"/>
          <w:szCs w:val="32"/>
          <w:lang w:val="en-US" w:eastAsia="zh-CN"/>
        </w:rPr>
        <w:t>5分</w:t>
      </w:r>
      <w:r>
        <w:rPr>
          <w:rFonts w:hint="eastAsia" w:ascii="仿宋_GB2312" w:hAnsi="仿宋_GB2312" w:eastAsia="仿宋_GB2312" w:cs="仿宋_GB2312"/>
          <w:b/>
          <w:bCs/>
          <w:sz w:val="32"/>
          <w:szCs w:val="32"/>
          <w:lang w:val="zh-CN"/>
        </w:rPr>
        <w:t>）</w:t>
      </w:r>
    </w:p>
    <w:p>
      <w:pPr>
        <w:pStyle w:val="4"/>
        <w:ind w:firstLine="64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sz w:val="32"/>
          <w:szCs w:val="32"/>
          <w:lang w:val="en-US" w:eastAsia="zh-CN"/>
        </w:rPr>
        <w:t>2024我办共计召开常委会7次，</w:t>
      </w:r>
      <w:r>
        <w:rPr>
          <w:rFonts w:hint="eastAsia" w:ascii="仿宋_GB2312" w:hAnsi="仿宋_GB2312" w:eastAsia="仿宋_GB2312" w:cs="仿宋_GB2312"/>
          <w:color w:val="000000"/>
          <w:kern w:val="0"/>
          <w:sz w:val="32"/>
          <w:szCs w:val="32"/>
          <w:lang w:val="en-US" w:eastAsia="zh-CN" w:bidi="ar-SA"/>
        </w:rPr>
        <w:t>依法任免国家机关工作人员59人次，其中：决定任命13人次、决定免去9人次、任命17人次、免去8人次、接受辞去代表职务8人、终止代表职务1人、接受辞去常委会委员职务3人，圆满完成会务服务及会议既定目标任务。</w:t>
      </w:r>
    </w:p>
    <w:p>
      <w:pPr>
        <w:pStyle w:val="4"/>
        <w:ind w:firstLine="64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评分：5分</w:t>
      </w:r>
    </w:p>
    <w:p>
      <w:pPr>
        <w:pStyle w:val="4"/>
        <w:numPr>
          <w:ilvl w:val="0"/>
          <w:numId w:val="11"/>
        </w:numPr>
        <w:ind w:left="1280" w:leftChars="0"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代表培训及调研等工作（5分）</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val="0"/>
        <w:snapToGrid w:val="0"/>
        <w:spacing w:line="560" w:lineRule="exact"/>
        <w:ind w:leftChars="0" w:firstLine="643" w:firstLineChars="200"/>
        <w:jc w:val="both"/>
        <w:textAlignment w:val="auto"/>
        <w:outlineLvl w:val="9"/>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2024年我办</w:t>
      </w:r>
      <w:r>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t>持续深化代表“亮身份、明职责、晒承诺、作表率”及“我为群众办实事--人大代表在行动”主题活动，组织600余名各级人大代表参与全县重大项目全过程监督，组织500余名各级人大代表积极参加红原县黄河上游“全域全员全天”生态环境综合治理主题活动，通过“亮身份”“践承诺”“办实事”，进一步密切人大代表同群众的联系，提高代表依法履职的能力，激发广大代表履职的积极性。</w:t>
      </w:r>
      <w:r>
        <w:rPr>
          <w:rFonts w:hint="eastAsia" w:ascii="仿宋_GB2312" w:hAnsi="仿宋_GB2312" w:eastAsia="仿宋_GB2312" w:cs="仿宋_GB2312"/>
          <w:b/>
          <w:bCs/>
          <w:i w:val="0"/>
          <w:iCs w:val="0"/>
          <w:caps w:val="0"/>
          <w:color w:val="000000"/>
          <w:spacing w:val="0"/>
          <w:kern w:val="2"/>
          <w:sz w:val="32"/>
          <w:szCs w:val="32"/>
          <w:shd w:val="clear" w:color="auto" w:fill="FFFFFF"/>
          <w:lang w:val="en-US" w:eastAsia="zh-CN" w:bidi="ar-SA"/>
        </w:rPr>
        <w:t>二是</w:t>
      </w:r>
      <w:r>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t>2024年，组织90余名常委会组成人员、人大代表及人大系统干部赴云南省10个县（区）及西南民族大学、</w:t>
      </w:r>
      <w:r>
        <w:rPr>
          <w:rFonts w:hint="eastAsia" w:ascii="仿宋_GB2312" w:hAnsi="仿宋_GB2312" w:eastAsia="仿宋_GB2312" w:cs="仿宋_GB2312"/>
          <w:sz w:val="32"/>
          <w:szCs w:val="32"/>
          <w:lang w:val="en-US" w:eastAsia="zh-CN"/>
        </w:rPr>
        <w:t>浙江大学城市学院、</w:t>
      </w:r>
      <w:r>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t>成都电子科技大学学习考察，举办红原县2024年县乡（镇）人大代表履职能力提升培训班1期，鼓励支持县人大代表及人大干部创新作为，全面提升服务大局、调查研究、开拓进取和狠抓落实的能力水平。</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t>评分：5分</w:t>
      </w:r>
    </w:p>
    <w:p>
      <w:pPr>
        <w:pStyle w:val="4"/>
        <w:numPr>
          <w:ilvl w:val="0"/>
          <w:numId w:val="11"/>
        </w:numPr>
        <w:ind w:left="1280" w:leftChars="0"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专项保障及后勤工作（5分）</w:t>
      </w:r>
    </w:p>
    <w:p>
      <w:pPr>
        <w:pStyle w:val="4"/>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2024年我办主动作为、细心谋划，做好人大各项工作的后勤保障工作，为人大更好的完成各项工作任务打好了坚实的基础。</w:t>
      </w:r>
    </w:p>
    <w:p>
      <w:pPr>
        <w:pStyle w:val="4"/>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评分：4分</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78" w:lineRule="exact"/>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预算管理（</w:t>
      </w:r>
      <w:r>
        <w:rPr>
          <w:rFonts w:hint="eastAsia" w:ascii="仿宋_GB2312" w:hAnsi="仿宋_GB2312" w:eastAsia="仿宋_GB2312" w:cs="仿宋_GB2312"/>
          <w:b/>
          <w:bCs/>
          <w:color w:val="000000"/>
          <w:kern w:val="0"/>
          <w:sz w:val="32"/>
          <w:szCs w:val="32"/>
          <w:highlight w:val="none"/>
          <w:shd w:val="clear" w:color="auto" w:fill="FFFFFF"/>
          <w:lang w:val="en-US" w:eastAsia="zh-CN"/>
        </w:rPr>
        <w:t>25分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widowControl w:val="0"/>
        <w:numPr>
          <w:ilvl w:val="0"/>
          <w:numId w:val="13"/>
        </w:numPr>
        <w:spacing w:after="120"/>
        <w:ind w:left="160" w:leftChars="0" w:firstLine="0" w:firstLineChars="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预算编制质量（8分）</w:t>
      </w:r>
    </w:p>
    <w:p>
      <w:pPr>
        <w:pStyle w:val="4"/>
        <w:numPr>
          <w:ilvl w:val="0"/>
          <w:numId w:val="0"/>
        </w:numPr>
        <w:ind w:left="160" w:left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2024年我办严格按照部门预算编制要求编制年初预算，统筹兼顾，科学谋划，较好的完成了2024年部门预算编制工作，但仍存在少量执行过程中部分经济开支科目无法预计调整的情况。</w:t>
      </w:r>
    </w:p>
    <w:p>
      <w:pPr>
        <w:pStyle w:val="4"/>
        <w:numPr>
          <w:ilvl w:val="0"/>
          <w:numId w:val="0"/>
        </w:numPr>
        <w:ind w:left="16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评分：7分</w:t>
      </w:r>
    </w:p>
    <w:p>
      <w:pPr>
        <w:pStyle w:val="2"/>
        <w:widowControl w:val="0"/>
        <w:numPr>
          <w:ilvl w:val="0"/>
          <w:numId w:val="13"/>
        </w:numPr>
        <w:spacing w:after="120"/>
        <w:ind w:left="160" w:leftChars="0" w:firstLine="0" w:firstLineChars="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单位收入统筹（4）</w:t>
      </w:r>
    </w:p>
    <w:p>
      <w:pPr>
        <w:pStyle w:val="2"/>
        <w:ind w:left="0" w:leftChars="0"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val="zh-CN"/>
        </w:rPr>
        <w:t xml:space="preserve">我办收入全部来自财政拨款，无其他收入来源，统筹效率较高。  </w:t>
      </w:r>
    </w:p>
    <w:p>
      <w:pPr>
        <w:pStyle w:val="4"/>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评分：4分</w:t>
      </w:r>
    </w:p>
    <w:p>
      <w:pPr>
        <w:pStyle w:val="4"/>
        <w:numPr>
          <w:ilvl w:val="0"/>
          <w:numId w:val="13"/>
        </w:numPr>
        <w:ind w:left="160" w:leftChars="0"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预算年终结余（2分）</w:t>
      </w:r>
    </w:p>
    <w:p>
      <w:pPr>
        <w:pStyle w:val="4"/>
        <w:numPr>
          <w:ilvl w:val="0"/>
          <w:numId w:val="0"/>
        </w:numPr>
        <w:ind w:left="16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2024年我办预算年终结余8.69万元，执行率99.05%，主要结余为无法预计的接待费结余及少量工资保险结余。</w:t>
      </w:r>
    </w:p>
    <w:p>
      <w:pPr>
        <w:pStyle w:val="4"/>
        <w:numPr>
          <w:ilvl w:val="0"/>
          <w:numId w:val="0"/>
        </w:numPr>
        <w:ind w:left="16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评分：1.8分</w:t>
      </w:r>
    </w:p>
    <w:p>
      <w:pPr>
        <w:pStyle w:val="4"/>
        <w:numPr>
          <w:ilvl w:val="0"/>
          <w:numId w:val="13"/>
        </w:numPr>
        <w:ind w:left="160" w:leftChars="0" w:firstLine="0" w:firstLineChars="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支出执行进度（6分）</w:t>
      </w:r>
    </w:p>
    <w:p>
      <w:pPr>
        <w:pStyle w:val="4"/>
        <w:numPr>
          <w:ilvl w:val="0"/>
          <w:numId w:val="0"/>
        </w:numPr>
        <w:ind w:left="16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全年支出执行进度99.05%，执行进度较好。</w:t>
      </w:r>
    </w:p>
    <w:p>
      <w:pPr>
        <w:pStyle w:val="4"/>
        <w:numPr>
          <w:ilvl w:val="0"/>
          <w:numId w:val="0"/>
        </w:numPr>
        <w:ind w:left="160" w:leftChars="0"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评分5.8分</w:t>
      </w:r>
    </w:p>
    <w:p>
      <w:pPr>
        <w:pStyle w:val="4"/>
        <w:numPr>
          <w:ilvl w:val="0"/>
          <w:numId w:val="13"/>
        </w:numPr>
        <w:ind w:left="160" w:leftChars="0" w:firstLine="0" w:firstLineChars="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严控一般性支出（5分）</w:t>
      </w:r>
    </w:p>
    <w:p>
      <w:pPr>
        <w:pStyle w:val="4"/>
        <w:numPr>
          <w:ilvl w:val="0"/>
          <w:numId w:val="0"/>
        </w:numPr>
        <w:ind w:left="160" w:leftChars="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   </w:t>
      </w:r>
      <w:r>
        <w:rPr>
          <w:rFonts w:hint="eastAsia" w:ascii="仿宋_GB2312" w:hAnsi="仿宋_GB2312" w:eastAsia="仿宋_GB2312" w:cs="仿宋_GB2312"/>
          <w:b w:val="0"/>
          <w:bCs w:val="0"/>
          <w:kern w:val="2"/>
          <w:sz w:val="32"/>
          <w:szCs w:val="32"/>
          <w:lang w:val="en-US" w:eastAsia="zh-CN" w:bidi="ar-SA"/>
        </w:rPr>
        <w:t>2024年我办按照节能型机关建设等要求，厉行节约、严控8项一般性支出，接待费等均比上年有所下降。较好的执行了一般性支出压减要求。</w:t>
      </w:r>
    </w:p>
    <w:p>
      <w:pPr>
        <w:pStyle w:val="4"/>
        <w:numPr>
          <w:ilvl w:val="0"/>
          <w:numId w:val="0"/>
        </w:numPr>
        <w:ind w:left="160" w:left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    评分：4分</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78" w:lineRule="exact"/>
        <w:ind w:left="0" w:leftChars="0" w:firstLine="0" w:firstLineChars="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财务管理（</w:t>
      </w:r>
      <w:r>
        <w:rPr>
          <w:rFonts w:hint="eastAsia" w:ascii="仿宋_GB2312" w:hAnsi="仿宋_GB2312" w:eastAsia="仿宋_GB2312" w:cs="仿宋_GB2312"/>
          <w:b/>
          <w:bCs/>
          <w:color w:val="000000"/>
          <w:kern w:val="0"/>
          <w:sz w:val="32"/>
          <w:szCs w:val="32"/>
          <w:highlight w:val="none"/>
          <w:shd w:val="clear" w:color="auto" w:fill="FFFFFF"/>
          <w:lang w:val="en-US" w:eastAsia="zh-CN"/>
        </w:rPr>
        <w:t>10分</w:t>
      </w:r>
      <w:r>
        <w:rPr>
          <w:rFonts w:hint="eastAsia" w:ascii="仿宋_GB2312" w:hAnsi="仿宋_GB2312" w:eastAsia="仿宋_GB2312" w:cs="仿宋_GB2312"/>
          <w:b/>
          <w:bCs/>
          <w:color w:val="000000"/>
          <w:kern w:val="0"/>
          <w:sz w:val="32"/>
          <w:szCs w:val="32"/>
          <w:highlight w:val="none"/>
          <w:shd w:val="clear" w:color="auto" w:fill="FFFFFF"/>
          <w:lang w:val="zh-CN"/>
        </w:rPr>
        <w:t>）。</w:t>
      </w:r>
    </w:p>
    <w:p>
      <w:pPr>
        <w:keepNext w:val="0"/>
        <w:keepLines w:val="0"/>
        <w:pageBreakBefore w:val="0"/>
        <w:widowControl w:val="0"/>
        <w:numPr>
          <w:ilvl w:val="0"/>
          <w:numId w:val="14"/>
        </w:numPr>
        <w:kinsoku/>
        <w:wordWrap/>
        <w:overflowPunct/>
        <w:topLinePunct w:val="0"/>
        <w:autoSpaceDE/>
        <w:autoSpaceDN/>
        <w:bidi w:val="0"/>
        <w:adjustRightInd w:val="0"/>
        <w:snapToGrid w:val="0"/>
        <w:spacing w:line="578" w:lineRule="exact"/>
        <w:ind w:left="320" w:leftChars="0" w:firstLineChars="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财务管理制度（</w:t>
      </w:r>
      <w:r>
        <w:rPr>
          <w:rFonts w:hint="eastAsia" w:ascii="仿宋_GB2312" w:hAnsi="仿宋_GB2312" w:eastAsia="仿宋_GB2312" w:cs="仿宋_GB2312"/>
          <w:b/>
          <w:bCs/>
          <w:color w:val="000000"/>
          <w:kern w:val="0"/>
          <w:sz w:val="32"/>
          <w:szCs w:val="32"/>
          <w:highlight w:val="none"/>
          <w:shd w:val="clear" w:color="auto" w:fill="FFFFFF"/>
          <w:lang w:val="en-US" w:eastAsia="zh-CN"/>
        </w:rPr>
        <w:t>4分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办建立了《红原县人大办财务岗位职责》、《红原人大常委会办公室经费支出报销注意事项及报销流程》、《红原县人大常委会办公室后勤管理制度》、《红原县人大常委会办公室财务报销管理制度》等一系列财务制度，并严格执行，财务管理科学，安全。</w:t>
      </w:r>
    </w:p>
    <w:p>
      <w:pPr>
        <w:pStyle w:val="4"/>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评分：4分</w:t>
      </w:r>
    </w:p>
    <w:p>
      <w:pPr>
        <w:pStyle w:val="4"/>
        <w:numPr>
          <w:ilvl w:val="0"/>
          <w:numId w:val="14"/>
        </w:numPr>
        <w:ind w:left="320" w:leftChars="0"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财务岗位设置（2分）</w:t>
      </w:r>
    </w:p>
    <w:p>
      <w:pPr>
        <w:pStyle w:val="4"/>
        <w:numPr>
          <w:ilvl w:val="0"/>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我办设置会计分管副主任1名，出纳1名，会计1名，财务岗位设置符合相关财务管理制度。</w:t>
      </w:r>
    </w:p>
    <w:p>
      <w:pPr>
        <w:pStyle w:val="4"/>
        <w:numPr>
          <w:ilvl w:val="0"/>
          <w:numId w:val="0"/>
        </w:numPr>
        <w:ind w:leftChars="0" w:firstLine="960" w:firstLineChars="3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评分：2分</w:t>
      </w:r>
    </w:p>
    <w:p>
      <w:pPr>
        <w:pStyle w:val="4"/>
        <w:numPr>
          <w:ilvl w:val="0"/>
          <w:numId w:val="14"/>
        </w:numPr>
        <w:ind w:left="320" w:leftChars="0"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资金使用规范（4分）</w:t>
      </w:r>
    </w:p>
    <w:p>
      <w:pPr>
        <w:pStyle w:val="4"/>
        <w:numPr>
          <w:ilvl w:val="0"/>
          <w:numId w:val="0"/>
        </w:numPr>
        <w:ind w:leftChars="0" w:firstLine="64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我办资金严格按照资金使用办法及范围开支，不存在不按照财务管理制度规定违规使用资金的情况。</w:t>
      </w:r>
    </w:p>
    <w:p>
      <w:pPr>
        <w:pStyle w:val="4"/>
        <w:numPr>
          <w:ilvl w:val="0"/>
          <w:numId w:val="0"/>
        </w:numPr>
        <w:ind w:leftChars="0" w:firstLine="960" w:firstLineChars="3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评分：4分</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78" w:lineRule="exact"/>
        <w:ind w:left="0" w:leftChars="0" w:firstLine="0" w:firstLineChars="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资产管理（</w:t>
      </w:r>
      <w:r>
        <w:rPr>
          <w:rFonts w:hint="eastAsia" w:ascii="仿宋_GB2312" w:hAnsi="仿宋_GB2312" w:eastAsia="仿宋_GB2312" w:cs="仿宋_GB2312"/>
          <w:b/>
          <w:bCs/>
          <w:color w:val="000000"/>
          <w:kern w:val="0"/>
          <w:sz w:val="32"/>
          <w:szCs w:val="32"/>
          <w:highlight w:val="none"/>
          <w:shd w:val="clear" w:color="auto" w:fill="FFFFFF"/>
          <w:lang w:val="en-US" w:eastAsia="zh-CN"/>
        </w:rPr>
        <w:t>9分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numPr>
          <w:ilvl w:val="0"/>
          <w:numId w:val="15"/>
        </w:numPr>
        <w:ind w:left="0" w:leftChars="0" w:firstLine="0" w:firstLineChars="0"/>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人均资产变化率（</w:t>
      </w:r>
      <w:r>
        <w:rPr>
          <w:rFonts w:hint="eastAsia" w:ascii="仿宋_GB2312" w:hAnsi="仿宋_GB2312" w:eastAsia="仿宋_GB2312" w:cs="仿宋_GB2312"/>
          <w:b/>
          <w:bCs/>
          <w:color w:val="000000"/>
          <w:kern w:val="0"/>
          <w:sz w:val="32"/>
          <w:szCs w:val="32"/>
          <w:highlight w:val="none"/>
          <w:shd w:val="clear" w:color="auto" w:fill="FFFFFF"/>
          <w:lang w:val="en-US" w:eastAsia="zh-CN"/>
        </w:rPr>
        <w:t>3分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4"/>
        <w:numPr>
          <w:ilvl w:val="0"/>
          <w:numId w:val="0"/>
        </w:numPr>
        <w:ind w:leftChars="0" w:firstLine="64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zh-CN" w:eastAsia="zh-CN"/>
        </w:rPr>
        <w:t>我办</w:t>
      </w:r>
      <w:r>
        <w:rPr>
          <w:rFonts w:hint="eastAsia" w:ascii="仿宋_GB2312" w:hAnsi="仿宋_GB2312" w:eastAsia="仿宋_GB2312" w:cs="仿宋_GB2312"/>
          <w:b w:val="0"/>
          <w:bCs w:val="0"/>
          <w:sz w:val="32"/>
          <w:szCs w:val="32"/>
          <w:lang w:val="en-US" w:eastAsia="zh-CN"/>
        </w:rPr>
        <w:t>2024年人均资产变化率0.03%，变化小。</w:t>
      </w:r>
    </w:p>
    <w:p>
      <w:pPr>
        <w:pStyle w:val="4"/>
        <w:numPr>
          <w:ilvl w:val="0"/>
          <w:numId w:val="0"/>
        </w:numPr>
        <w:ind w:leftChars="0" w:firstLine="960" w:firstLineChars="300"/>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sz w:val="32"/>
          <w:szCs w:val="32"/>
          <w:lang w:val="en-US" w:eastAsia="zh-CN"/>
        </w:rPr>
        <w:t>评分：3分</w:t>
      </w:r>
    </w:p>
    <w:p>
      <w:pPr>
        <w:pStyle w:val="4"/>
        <w:numPr>
          <w:ilvl w:val="0"/>
          <w:numId w:val="15"/>
        </w:numPr>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资产使用率（</w:t>
      </w:r>
      <w:r>
        <w:rPr>
          <w:rFonts w:hint="eastAsia" w:ascii="仿宋_GB2312" w:hAnsi="仿宋_GB2312" w:eastAsia="仿宋_GB2312" w:cs="仿宋_GB2312"/>
          <w:b/>
          <w:bCs/>
          <w:sz w:val="32"/>
          <w:szCs w:val="32"/>
          <w:lang w:val="en-US" w:eastAsia="zh-CN"/>
        </w:rPr>
        <w:t>3分</w:t>
      </w:r>
      <w:r>
        <w:rPr>
          <w:rFonts w:hint="eastAsia" w:ascii="仿宋_GB2312" w:hAnsi="仿宋_GB2312" w:eastAsia="仿宋_GB2312" w:cs="仿宋_GB2312"/>
          <w:b/>
          <w:bCs/>
          <w:sz w:val="32"/>
          <w:szCs w:val="32"/>
          <w:lang w:val="zh-CN"/>
        </w:rPr>
        <w:t>）</w:t>
      </w:r>
    </w:p>
    <w:p>
      <w:pPr>
        <w:pStyle w:val="4"/>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我办2024年资产使用率100%，不存在闲置资产。</w:t>
      </w:r>
    </w:p>
    <w:p>
      <w:pPr>
        <w:pStyle w:val="4"/>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评分：3分</w:t>
      </w:r>
    </w:p>
    <w:p>
      <w:pPr>
        <w:pStyle w:val="4"/>
        <w:numPr>
          <w:ilvl w:val="0"/>
          <w:numId w:val="15"/>
        </w:numPr>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资产盘活率（</w:t>
      </w:r>
      <w:r>
        <w:rPr>
          <w:rFonts w:hint="eastAsia" w:ascii="仿宋_GB2312" w:hAnsi="仿宋_GB2312" w:eastAsia="仿宋_GB2312" w:cs="仿宋_GB2312"/>
          <w:b/>
          <w:bCs/>
          <w:sz w:val="32"/>
          <w:szCs w:val="32"/>
          <w:lang w:val="en-US" w:eastAsia="zh-CN"/>
        </w:rPr>
        <w:t>3分</w:t>
      </w:r>
      <w:r>
        <w:rPr>
          <w:rFonts w:hint="eastAsia" w:ascii="仿宋_GB2312" w:hAnsi="仿宋_GB2312" w:eastAsia="仿宋_GB2312" w:cs="仿宋_GB2312"/>
          <w:b/>
          <w:bCs/>
          <w:sz w:val="32"/>
          <w:szCs w:val="32"/>
          <w:lang w:val="zh-CN"/>
        </w:rPr>
        <w:t>）</w:t>
      </w:r>
    </w:p>
    <w:p>
      <w:pPr>
        <w:pStyle w:val="4"/>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我办2024年资产均在使用无闲置需要盘活的资产，资产使用率高。</w:t>
      </w:r>
    </w:p>
    <w:p>
      <w:pPr>
        <w:pStyle w:val="4"/>
        <w:numPr>
          <w:ilvl w:val="0"/>
          <w:numId w:val="0"/>
        </w:numPr>
        <w:ind w:firstLine="1280" w:firstLineChars="400"/>
        <w:rPr>
          <w:rFonts w:hint="eastAsia" w:ascii="仿宋_GB2312" w:hAnsi="仿宋_GB2312" w:eastAsia="仿宋_GB2312" w:cs="仿宋_GB2312"/>
          <w:b w:val="0"/>
          <w:bCs w:val="0"/>
          <w:color w:val="000000"/>
          <w:kern w:val="0"/>
          <w:sz w:val="32"/>
          <w:szCs w:val="32"/>
          <w:highlight w:val="none"/>
          <w:shd w:val="clear" w:color="auto" w:fill="FFFFFF"/>
          <w:lang w:val="en-US" w:eastAsia="zh-CN" w:bidi="ar-SA"/>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bidi="ar-SA"/>
        </w:rPr>
        <w:t>评分：3分</w:t>
      </w:r>
    </w:p>
    <w:p>
      <w:pPr>
        <w:pStyle w:val="2"/>
        <w:ind w:left="0" w:leftChars="0" w:firstLine="0" w:firstLineChars="0"/>
        <w:rPr>
          <w:rFonts w:hint="eastAsia" w:ascii="仿宋_GB2312" w:hAnsi="仿宋_GB2312" w:eastAsia="仿宋_GB2312" w:cs="仿宋_GB2312"/>
          <w:sz w:val="32"/>
          <w:szCs w:val="32"/>
          <w:lang w:val="zh-CN"/>
        </w:rPr>
      </w:pPr>
      <w:r>
        <w:rPr>
          <w:rFonts w:hint="eastAsia" w:ascii="仿宋_GB2312" w:hAnsi="仿宋_GB2312" w:eastAsia="仿宋_GB2312" w:cs="仿宋_GB2312"/>
          <w:b/>
          <w:bCs/>
          <w:color w:val="000000"/>
          <w:kern w:val="0"/>
          <w:sz w:val="32"/>
          <w:szCs w:val="32"/>
          <w:highlight w:val="none"/>
          <w:shd w:val="clear" w:color="auto" w:fill="FFFFFF"/>
          <w:lang w:val="zh-CN" w:eastAsia="zh-CN" w:bidi="ar-SA"/>
        </w:rPr>
        <w:t>5. 采购管理（</w:t>
      </w:r>
      <w:r>
        <w:rPr>
          <w:rFonts w:hint="eastAsia" w:ascii="仿宋_GB2312" w:hAnsi="仿宋_GB2312" w:eastAsia="仿宋_GB2312" w:cs="仿宋_GB2312"/>
          <w:b/>
          <w:bCs/>
          <w:color w:val="000000"/>
          <w:kern w:val="0"/>
          <w:sz w:val="32"/>
          <w:szCs w:val="32"/>
          <w:highlight w:val="none"/>
          <w:shd w:val="clear" w:color="auto" w:fill="FFFFFF"/>
          <w:lang w:val="en-US" w:eastAsia="zh-CN" w:bidi="ar-SA"/>
        </w:rPr>
        <w:t>6</w:t>
      </w:r>
      <w:r>
        <w:rPr>
          <w:rFonts w:hint="eastAsia" w:ascii="仿宋_GB2312" w:hAnsi="仿宋_GB2312" w:eastAsia="仿宋_GB2312" w:cs="仿宋_GB2312"/>
          <w:b/>
          <w:bCs/>
          <w:color w:val="000000"/>
          <w:kern w:val="0"/>
          <w:sz w:val="32"/>
          <w:szCs w:val="32"/>
          <w:highlight w:val="none"/>
          <w:shd w:val="clear" w:color="auto" w:fill="FFFFFF"/>
          <w:lang w:val="zh-CN" w:eastAsia="zh-CN" w:bidi="ar-SA"/>
        </w:rPr>
        <w:t xml:space="preserve">分）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xml:space="preserve"> </w:t>
      </w:r>
    </w:p>
    <w:p>
      <w:pPr>
        <w:pStyle w:val="2"/>
        <w:ind w:left="0" w:leftChars="0" w:firstLine="0" w:firstLineChars="0"/>
        <w:rPr>
          <w:rFonts w:hint="eastAsia" w:ascii="仿宋_GB2312" w:hAnsi="仿宋_GB2312" w:eastAsia="仿宋_GB2312" w:cs="仿宋_GB2312"/>
          <w:sz w:val="32"/>
          <w:szCs w:val="32"/>
          <w:lang w:val="zh-CN"/>
        </w:rPr>
      </w:pPr>
      <w:r>
        <w:rPr>
          <w:rFonts w:hint="eastAsia" w:ascii="仿宋_GB2312" w:hAnsi="仿宋_GB2312" w:eastAsia="仿宋_GB2312" w:cs="仿宋_GB2312"/>
          <w:b/>
          <w:bCs/>
          <w:kern w:val="2"/>
          <w:sz w:val="32"/>
          <w:szCs w:val="32"/>
          <w:lang w:val="zh-CN" w:eastAsia="zh-CN" w:bidi="ar-SA"/>
        </w:rPr>
        <w:t xml:space="preserve">（1）支持中小企业发展（3分） </w:t>
      </w:r>
      <w:r>
        <w:rPr>
          <w:rFonts w:hint="eastAsia" w:ascii="仿宋_GB2312" w:hAnsi="仿宋_GB2312" w:eastAsia="仿宋_GB2312" w:cs="仿宋_GB2312"/>
          <w:sz w:val="32"/>
          <w:szCs w:val="32"/>
          <w:lang w:val="zh-CN"/>
        </w:rPr>
        <w:t xml:space="preserve"> </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2024年我办严格执行政府采购促进中小企业发展相关管理办法要求，采购均在中小企业。</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评分：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 xml:space="preserve">分  </w:t>
      </w:r>
    </w:p>
    <w:p>
      <w:pPr>
        <w:pStyle w:val="2"/>
        <w:ind w:left="0" w:leftChars="0" w:firstLine="0" w:firstLineChars="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（2）采购执行（</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val="zh-CN"/>
        </w:rPr>
        <w:t xml:space="preserve">分）  </w:t>
      </w:r>
    </w:p>
    <w:p>
      <w:pPr>
        <w:pStyle w:val="2"/>
        <w:ind w:left="0" w:leftChars="0" w:firstLine="960" w:firstLineChars="3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我办全年采购计划完成率100%，流程合规。  </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评分：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 xml:space="preserve">分  </w:t>
      </w:r>
    </w:p>
    <w:p>
      <w:pPr>
        <w:pStyle w:val="2"/>
        <w:rPr>
          <w:rFonts w:hint="eastAsia" w:ascii="仿宋_GB2312" w:hAnsi="仿宋_GB2312" w:eastAsia="仿宋_GB2312" w:cs="仿宋_GB2312"/>
          <w:sz w:val="32"/>
          <w:szCs w:val="32"/>
          <w:lang w:val="zh-CN"/>
        </w:rPr>
      </w:pPr>
    </w:p>
    <w:p>
      <w:pPr>
        <w:pStyle w:val="2"/>
        <w:ind w:left="0" w:leftChars="0" w:firstLine="0" w:firstLineChars="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总体绩效自评得分汇总* </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一级指标 | 分值 | 自评得分 | 得分率 |</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履职效能 | 15   | 14       | 93.3%  |</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预算管理 | 25   | 2</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lang w:val="zh-CN"/>
        </w:rPr>
        <w:t xml:space="preserve">     | </w:t>
      </w:r>
      <w:r>
        <w:rPr>
          <w:rFonts w:hint="eastAsia" w:ascii="仿宋_GB2312" w:hAnsi="仿宋_GB2312" w:eastAsia="仿宋_GB2312" w:cs="仿宋_GB2312"/>
          <w:sz w:val="32"/>
          <w:szCs w:val="32"/>
          <w:lang w:val="en-US" w:eastAsia="zh-CN"/>
        </w:rPr>
        <w:t>90.4</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财务管理 | 10   | 10       | 100%   |</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资产管理 | </w:t>
      </w:r>
      <w:r>
        <w:rPr>
          <w:rFonts w:hint="eastAsia" w:ascii="仿宋_GB2312" w:hAnsi="仿宋_GB2312" w:eastAsia="仿宋_GB2312" w:cs="仿宋_GB2312"/>
          <w:sz w:val="32"/>
          <w:szCs w:val="32"/>
          <w:lang w:val="en-US" w:eastAsia="zh-CN"/>
        </w:rPr>
        <w:t xml:space="preserve">9   </w:t>
      </w:r>
      <w:r>
        <w:rPr>
          <w:rFonts w:hint="eastAsia" w:ascii="仿宋_GB2312" w:hAnsi="仿宋_GB2312" w:eastAsia="仿宋_GB2312" w:cs="仿宋_GB2312"/>
          <w:sz w:val="32"/>
          <w:szCs w:val="32"/>
          <w:lang w:val="zh-CN"/>
        </w:rPr>
        <w:t xml:space="preserve"> | </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rPr>
        <w:t>%   |</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采购管理 |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rPr>
        <w:t>%   |</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合计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65   </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61.6     </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94.76</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w:t>
      </w:r>
    </w:p>
    <w:p>
      <w:pPr>
        <w:pStyle w:val="2"/>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主要问题与改进方向</w:t>
      </w:r>
    </w:p>
    <w:p>
      <w:pPr>
        <w:pStyle w:val="2"/>
        <w:numPr>
          <w:ilvl w:val="0"/>
          <w:numId w:val="16"/>
        </w:numP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履职效能：继续加强各项工作的统筹协调、细化管理，更好的保障人大各项工作的顺利推进。</w:t>
      </w:r>
    </w:p>
    <w:p>
      <w:pPr>
        <w:pStyle w:val="2"/>
        <w:numPr>
          <w:ilvl w:val="0"/>
          <w:numId w:val="0"/>
        </w:numPr>
        <w:ind w:leftChars="400"/>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sz w:val="32"/>
          <w:szCs w:val="32"/>
          <w:lang w:val="zh-CN"/>
        </w:rPr>
        <w:t>2. 预算管理：科学谋划，统筹兼顾，细化预算，编制更加精准的预算。</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rPr>
        <w:t>（二）部门预算项目绩效分析</w:t>
      </w:r>
      <w:r>
        <w:rPr>
          <w:rFonts w:hint="eastAsia" w:ascii="仿宋_GB2312" w:hAnsi="仿宋_GB2312" w:eastAsia="仿宋_GB2312" w:cs="仿宋_GB2312"/>
          <w:color w:val="000000"/>
          <w:kern w:val="0"/>
          <w:sz w:val="32"/>
          <w:szCs w:val="32"/>
          <w:highlight w:val="none"/>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常年项目绩效分析。</w:t>
      </w:r>
      <w:r>
        <w:rPr>
          <w:rFonts w:hint="eastAsia" w:ascii="仿宋_GB2312" w:hAnsi="仿宋_GB2312" w:eastAsia="仿宋_GB2312" w:cs="仿宋_GB2312"/>
          <w:color w:val="000000"/>
          <w:kern w:val="0"/>
          <w:sz w:val="32"/>
          <w:szCs w:val="32"/>
          <w:highlight w:val="none"/>
          <w:shd w:val="clear" w:color="auto" w:fill="FFFFFF"/>
          <w:lang w:val="zh-CN" w:eastAsia="zh-CN"/>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rPr>
        <w:t>3</w:t>
      </w:r>
      <w:r>
        <w:rPr>
          <w:rFonts w:hint="eastAsia" w:ascii="仿宋_GB2312" w:hAnsi="仿宋_GB2312" w:eastAsia="仿宋_GB2312" w:cs="仿宋_GB2312"/>
          <w:color w:val="000000"/>
          <w:kern w:val="0"/>
          <w:sz w:val="32"/>
          <w:szCs w:val="32"/>
          <w:highlight w:val="none"/>
          <w:shd w:val="clear" w:color="auto" w:fill="FFFFFF"/>
          <w:lang w:val="zh-CN" w:eastAsia="zh-CN"/>
        </w:rPr>
        <w:t>个，涉及预算总金额</w:t>
      </w:r>
      <w:r>
        <w:rPr>
          <w:rFonts w:hint="eastAsia" w:ascii="仿宋_GB2312" w:hAnsi="仿宋_GB2312" w:eastAsia="仿宋_GB2312" w:cs="仿宋_GB2312"/>
          <w:color w:val="000000"/>
          <w:kern w:val="0"/>
          <w:sz w:val="32"/>
          <w:szCs w:val="32"/>
          <w:highlight w:val="none"/>
          <w:shd w:val="clear" w:color="auto" w:fill="FFFFFF"/>
          <w:lang w:val="en-US" w:eastAsia="zh-CN"/>
        </w:rPr>
        <w:t xml:space="preserve">   107</w:t>
      </w:r>
      <w:r>
        <w:rPr>
          <w:rFonts w:hint="eastAsia" w:ascii="仿宋_GB2312" w:hAnsi="仿宋_GB2312" w:eastAsia="仿宋_GB2312" w:cs="仿宋_GB2312"/>
          <w:color w:val="000000"/>
          <w:kern w:val="0"/>
          <w:sz w:val="32"/>
          <w:szCs w:val="32"/>
          <w:highlight w:val="none"/>
          <w:shd w:val="clear" w:color="auto" w:fill="FFFFFF"/>
          <w:lang w:val="zh-CN" w:eastAsia="zh-CN"/>
        </w:rPr>
        <w:t>万元，</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zh-CN" w:eastAsia="zh-CN"/>
        </w:rPr>
        <w:t>—</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月预算执行总体进度为</w:t>
      </w:r>
      <w:r>
        <w:rPr>
          <w:rFonts w:hint="eastAsia" w:ascii="仿宋_GB2312" w:hAnsi="仿宋_GB2312" w:eastAsia="仿宋_GB2312" w:cs="仿宋_GB2312"/>
          <w:color w:val="000000"/>
          <w:kern w:val="0"/>
          <w:sz w:val="32"/>
          <w:szCs w:val="32"/>
          <w:highlight w:val="none"/>
          <w:shd w:val="clear" w:color="auto" w:fill="FFFFFF"/>
          <w:lang w:val="en-US" w:eastAsia="zh-CN"/>
        </w:rPr>
        <w:t>95.94</w:t>
      </w:r>
      <w:r>
        <w:rPr>
          <w:rFonts w:hint="eastAsia" w:ascii="仿宋_GB2312" w:hAnsi="仿宋_GB2312" w:eastAsia="仿宋_GB2312" w:cs="仿宋_GB2312"/>
          <w:color w:val="000000"/>
          <w:kern w:val="0"/>
          <w:sz w:val="32"/>
          <w:szCs w:val="32"/>
          <w:highlight w:val="none"/>
          <w:shd w:val="clear" w:color="auto" w:fill="FFFFFF"/>
          <w:lang w:val="zh-CN"/>
        </w:rPr>
        <w:t>%，其中：</w:t>
      </w:r>
      <w:r>
        <w:rPr>
          <w:rFonts w:hint="eastAsia" w:ascii="仿宋_GB2312" w:hAnsi="仿宋_GB2312" w:eastAsia="仿宋_GB2312" w:cs="仿宋_GB2312"/>
          <w:color w:val="000000"/>
          <w:kern w:val="0"/>
          <w:sz w:val="32"/>
          <w:szCs w:val="32"/>
          <w:highlight w:val="none"/>
          <w:shd w:val="clear" w:color="auto" w:fill="FFFFFF"/>
          <w:lang w:val="zh-CN" w:eastAsia="zh-CN"/>
        </w:rPr>
        <w:t>预算结余率大于</w:t>
      </w:r>
      <w:r>
        <w:rPr>
          <w:rFonts w:hint="eastAsia" w:ascii="仿宋_GB2312" w:hAnsi="仿宋_GB2312" w:eastAsia="仿宋_GB2312" w:cs="仿宋_GB2312"/>
          <w:color w:val="000000"/>
          <w:kern w:val="0"/>
          <w:sz w:val="32"/>
          <w:szCs w:val="32"/>
          <w:highlight w:val="none"/>
          <w:shd w:val="clear" w:color="auto" w:fill="FFFFFF"/>
          <w:lang w:val="en-US" w:eastAsia="zh-CN"/>
        </w:rPr>
        <w:t>10%</w:t>
      </w:r>
      <w:r>
        <w:rPr>
          <w:rFonts w:hint="eastAsia" w:ascii="仿宋_GB2312" w:hAnsi="仿宋_GB2312" w:eastAsia="仿宋_GB2312" w:cs="仿宋_GB2312"/>
          <w:color w:val="000000"/>
          <w:kern w:val="0"/>
          <w:sz w:val="32"/>
          <w:szCs w:val="32"/>
          <w:highlight w:val="none"/>
          <w:shd w:val="clear" w:color="auto" w:fill="FFFFFF"/>
          <w:lang w:val="zh-CN" w:eastAsia="zh-CN"/>
        </w:rPr>
        <w:t>的项目共计</w:t>
      </w:r>
      <w:r>
        <w:rPr>
          <w:rFonts w:hint="eastAsia" w:ascii="仿宋_GB2312" w:hAnsi="仿宋_GB2312" w:eastAsia="仿宋_GB2312" w:cs="仿宋_GB2312"/>
          <w:color w:val="000000"/>
          <w:kern w:val="0"/>
          <w:sz w:val="32"/>
          <w:szCs w:val="32"/>
          <w:highlight w:val="none"/>
          <w:shd w:val="clear" w:color="auto" w:fill="FFFFFF"/>
          <w:lang w:val="en-US" w:eastAsia="zh-CN"/>
        </w:rPr>
        <w:t xml:space="preserve">1 </w:t>
      </w:r>
      <w:r>
        <w:rPr>
          <w:rFonts w:hint="eastAsia" w:ascii="仿宋_GB2312" w:hAnsi="仿宋_GB2312" w:eastAsia="仿宋_GB2312" w:cs="仿宋_GB2312"/>
          <w:color w:val="000000"/>
          <w:kern w:val="0"/>
          <w:sz w:val="32"/>
          <w:szCs w:val="32"/>
          <w:highlight w:val="none"/>
          <w:shd w:val="clear" w:color="auto" w:fill="FFFFFF"/>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阶段（含一次性）项目绩效分析。</w:t>
      </w:r>
      <w:r>
        <w:rPr>
          <w:rFonts w:hint="eastAsia" w:ascii="仿宋_GB2312" w:hAnsi="仿宋_GB2312" w:eastAsia="仿宋_GB2312" w:cs="仿宋_GB2312"/>
          <w:color w:val="000000"/>
          <w:kern w:val="0"/>
          <w:sz w:val="32"/>
          <w:szCs w:val="32"/>
          <w:highlight w:val="none"/>
          <w:shd w:val="clear" w:color="auto" w:fill="FFFFFF"/>
          <w:lang w:val="zh-CN" w:eastAsia="zh-CN"/>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rPr>
        <w:t>4</w:t>
      </w:r>
      <w:r>
        <w:rPr>
          <w:rFonts w:hint="eastAsia" w:ascii="仿宋_GB2312" w:hAnsi="仿宋_GB2312" w:eastAsia="仿宋_GB2312" w:cs="仿宋_GB2312"/>
          <w:color w:val="000000"/>
          <w:kern w:val="0"/>
          <w:sz w:val="32"/>
          <w:szCs w:val="32"/>
          <w:highlight w:val="none"/>
          <w:shd w:val="clear" w:color="auto" w:fill="FFFFFF"/>
          <w:lang w:val="zh-CN" w:eastAsia="zh-CN"/>
        </w:rPr>
        <w:t>个，涉及预算总金额</w:t>
      </w:r>
      <w:r>
        <w:rPr>
          <w:rFonts w:hint="eastAsia" w:ascii="仿宋_GB2312" w:hAnsi="仿宋_GB2312" w:eastAsia="仿宋_GB2312" w:cs="仿宋_GB2312"/>
          <w:color w:val="000000"/>
          <w:kern w:val="0"/>
          <w:sz w:val="32"/>
          <w:szCs w:val="32"/>
          <w:highlight w:val="none"/>
          <w:shd w:val="clear" w:color="auto" w:fill="FFFFFF"/>
          <w:lang w:val="en-US" w:eastAsia="zh-CN"/>
        </w:rPr>
        <w:t>55.22</w:t>
      </w:r>
      <w:r>
        <w:rPr>
          <w:rFonts w:hint="eastAsia" w:ascii="仿宋_GB2312" w:hAnsi="仿宋_GB2312" w:eastAsia="仿宋_GB2312" w:cs="仿宋_GB2312"/>
          <w:color w:val="000000"/>
          <w:kern w:val="0"/>
          <w:sz w:val="32"/>
          <w:szCs w:val="32"/>
          <w:highlight w:val="none"/>
          <w:shd w:val="clear" w:color="auto" w:fill="FFFFFF"/>
          <w:lang w:val="zh-CN" w:eastAsia="zh-CN"/>
        </w:rPr>
        <w:t>万元，</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zh-CN" w:eastAsia="zh-CN"/>
        </w:rPr>
        <w:t>—</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月预算执行总体进度为</w:t>
      </w:r>
      <w:r>
        <w:rPr>
          <w:rFonts w:hint="eastAsia" w:ascii="仿宋_GB2312" w:hAnsi="仿宋_GB2312" w:eastAsia="仿宋_GB2312" w:cs="仿宋_GB2312"/>
          <w:color w:val="000000"/>
          <w:kern w:val="0"/>
          <w:sz w:val="32"/>
          <w:szCs w:val="32"/>
          <w:highlight w:val="none"/>
          <w:shd w:val="clear" w:color="auto" w:fill="FFFFFF"/>
          <w:lang w:val="en-US" w:eastAsia="zh-CN"/>
        </w:rPr>
        <w:t>100</w:t>
      </w:r>
      <w:r>
        <w:rPr>
          <w:rFonts w:hint="eastAsia" w:ascii="仿宋_GB2312" w:hAnsi="仿宋_GB2312" w:eastAsia="仿宋_GB2312" w:cs="仿宋_GB2312"/>
          <w:color w:val="000000"/>
          <w:kern w:val="0"/>
          <w:sz w:val="32"/>
          <w:szCs w:val="32"/>
          <w:highlight w:val="none"/>
          <w:shd w:val="clear" w:color="auto" w:fill="FFFFFF"/>
          <w:lang w:val="zh-CN"/>
        </w:rPr>
        <w:t>%，其中：</w:t>
      </w:r>
      <w:r>
        <w:rPr>
          <w:rFonts w:hint="eastAsia" w:ascii="仿宋_GB2312" w:hAnsi="仿宋_GB2312" w:eastAsia="仿宋_GB2312" w:cs="仿宋_GB2312"/>
          <w:color w:val="000000"/>
          <w:kern w:val="0"/>
          <w:sz w:val="32"/>
          <w:szCs w:val="32"/>
          <w:highlight w:val="none"/>
          <w:shd w:val="clear" w:color="auto" w:fill="FFFFFF"/>
          <w:lang w:val="zh-CN" w:eastAsia="zh-CN"/>
        </w:rPr>
        <w:t>预算结余率大于</w:t>
      </w:r>
      <w:r>
        <w:rPr>
          <w:rFonts w:hint="eastAsia" w:ascii="仿宋_GB2312" w:hAnsi="仿宋_GB2312" w:eastAsia="仿宋_GB2312" w:cs="仿宋_GB2312"/>
          <w:color w:val="000000"/>
          <w:kern w:val="0"/>
          <w:sz w:val="32"/>
          <w:szCs w:val="32"/>
          <w:highlight w:val="none"/>
          <w:shd w:val="clear" w:color="auto" w:fill="FFFFFF"/>
          <w:lang w:val="en-US" w:eastAsia="zh-CN"/>
        </w:rPr>
        <w:t>10%</w:t>
      </w:r>
      <w:r>
        <w:rPr>
          <w:rFonts w:hint="eastAsia" w:ascii="仿宋_GB2312" w:hAnsi="仿宋_GB2312" w:eastAsia="仿宋_GB2312" w:cs="仿宋_GB2312"/>
          <w:color w:val="000000"/>
          <w:kern w:val="0"/>
          <w:sz w:val="32"/>
          <w:szCs w:val="32"/>
          <w:highlight w:val="none"/>
          <w:shd w:val="clear" w:color="auto" w:fill="FFFFFF"/>
          <w:lang w:val="zh-CN" w:eastAsia="zh-CN"/>
        </w:rPr>
        <w:t>的项目共计</w:t>
      </w:r>
      <w:r>
        <w:rPr>
          <w:rFonts w:hint="eastAsia" w:ascii="仿宋_GB2312" w:hAnsi="仿宋_GB2312" w:eastAsia="仿宋_GB2312" w:cs="仿宋_GB2312"/>
          <w:color w:val="000000"/>
          <w:kern w:val="0"/>
          <w:sz w:val="32"/>
          <w:szCs w:val="32"/>
          <w:highlight w:val="none"/>
          <w:shd w:val="clear" w:color="auto" w:fill="FFFFFF"/>
          <w:lang w:val="en-US" w:eastAsia="zh-CN"/>
        </w:rPr>
        <w:t>0</w:t>
      </w:r>
      <w:r>
        <w:rPr>
          <w:rFonts w:hint="eastAsia" w:ascii="仿宋_GB2312" w:hAnsi="仿宋_GB2312" w:eastAsia="仿宋_GB2312" w:cs="仿宋_GB2312"/>
          <w:color w:val="000000"/>
          <w:kern w:val="0"/>
          <w:sz w:val="32"/>
          <w:szCs w:val="32"/>
          <w:highlight w:val="none"/>
          <w:shd w:val="clear" w:color="auto" w:fill="FFFFFF"/>
          <w:lang w:val="zh-CN" w:eastAsia="zh-CN"/>
        </w:rPr>
        <w:t>个。</w:t>
      </w:r>
    </w:p>
    <w:p>
      <w:pPr>
        <w:keepNext w:val="0"/>
        <w:keepLines w:val="0"/>
        <w:pageBreakBefore w:val="0"/>
        <w:widowControl w:val="0"/>
        <w:numPr>
          <w:ilvl w:val="0"/>
          <w:numId w:val="17"/>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项目决策（</w:t>
      </w:r>
      <w:r>
        <w:rPr>
          <w:rFonts w:hint="eastAsia" w:ascii="仿宋_GB2312" w:hAnsi="仿宋_GB2312" w:eastAsia="仿宋_GB2312" w:cs="仿宋_GB2312"/>
          <w:b/>
          <w:bCs/>
          <w:color w:val="000000"/>
          <w:kern w:val="0"/>
          <w:sz w:val="32"/>
          <w:szCs w:val="32"/>
          <w:highlight w:val="none"/>
          <w:shd w:val="clear" w:color="auto" w:fill="FFFFFF"/>
          <w:lang w:val="en-US" w:eastAsia="zh-CN"/>
        </w:rPr>
        <w:t>12分</w:t>
      </w:r>
      <w:r>
        <w:rPr>
          <w:rFonts w:hint="eastAsia" w:ascii="仿宋_GB2312" w:hAnsi="仿宋_GB2312" w:eastAsia="仿宋_GB2312" w:cs="仿宋_GB2312"/>
          <w:b/>
          <w:bCs/>
          <w:color w:val="000000"/>
          <w:kern w:val="0"/>
          <w:sz w:val="32"/>
          <w:szCs w:val="32"/>
          <w:highlight w:val="none"/>
          <w:shd w:val="clear" w:color="auto" w:fill="FFFFFF"/>
          <w:lang w:val="zh-CN"/>
        </w:rPr>
        <w:t>）。</w:t>
      </w:r>
    </w:p>
    <w:p>
      <w:pPr>
        <w:keepNext w:val="0"/>
        <w:keepLines w:val="0"/>
        <w:pageBreakBefore w:val="0"/>
        <w:widowControl w:val="0"/>
        <w:numPr>
          <w:ilvl w:val="0"/>
          <w:numId w:val="18"/>
        </w:numPr>
        <w:kinsoku/>
        <w:wordWrap/>
        <w:overflowPunct/>
        <w:topLinePunct w:val="0"/>
        <w:autoSpaceDE/>
        <w:autoSpaceDN/>
        <w:bidi w:val="0"/>
        <w:adjustRightInd w:val="0"/>
        <w:snapToGrid w:val="0"/>
        <w:spacing w:line="578" w:lineRule="exact"/>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决策程序（</w:t>
      </w:r>
      <w:r>
        <w:rPr>
          <w:rFonts w:hint="eastAsia" w:ascii="仿宋_GB2312" w:hAnsi="仿宋_GB2312" w:eastAsia="仿宋_GB2312" w:cs="仿宋_GB2312"/>
          <w:b/>
          <w:bCs/>
          <w:color w:val="000000"/>
          <w:kern w:val="0"/>
          <w:sz w:val="32"/>
          <w:szCs w:val="32"/>
          <w:highlight w:val="none"/>
          <w:shd w:val="clear" w:color="auto" w:fill="FFFFFF"/>
          <w:lang w:val="en-US" w:eastAsia="zh-CN"/>
        </w:rPr>
        <w:t>4分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ind w:left="0" w:leftChars="0" w:firstLine="640" w:firstLineChars="200"/>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2024年我办3个常年性项目为人大会议（30万元）、代表履职能力提升（47万元）、人大专项办公费（30万元）。我办三个项目的申报是根据我办专项工作任务安排，测试各项经济成本申报，申报经充分论证，经三重一大会议决策通过申报程序合法，但由于红原县条件有限等原因未经专业第三方公司专家论证。</w:t>
      </w:r>
    </w:p>
    <w:p>
      <w:pPr>
        <w:pStyle w:val="2"/>
        <w:ind w:left="0" w:leftChars="0" w:firstLine="640" w:firstLineChars="200"/>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4个一次性项目涉及浙江培训交流项目（20万元）、退休建房补助（1.22万元）、抚恤金（22.92万元）及公务用车运行维护费（11.08万元）其中公务用车运行维护费11.08万元为川U00343大修追加经费，有报账详细全面的资料作为佐证，其他3个项目均有人事局及组织部下发文件，申报依据充分合理，程序合法。</w:t>
      </w:r>
    </w:p>
    <w:p>
      <w:pPr>
        <w:pStyle w:val="4"/>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 xml:space="preserve">      评分：3分</w:t>
      </w:r>
    </w:p>
    <w:p>
      <w:pPr>
        <w:keepNext w:val="0"/>
        <w:keepLines w:val="0"/>
        <w:pageBreakBefore w:val="0"/>
        <w:widowControl w:val="0"/>
        <w:numPr>
          <w:ilvl w:val="0"/>
          <w:numId w:val="18"/>
        </w:numPr>
        <w:kinsoku/>
        <w:wordWrap/>
        <w:overflowPunct/>
        <w:topLinePunct w:val="0"/>
        <w:autoSpaceDE/>
        <w:autoSpaceDN/>
        <w:bidi w:val="0"/>
        <w:adjustRightInd w:val="0"/>
        <w:snapToGrid w:val="0"/>
        <w:spacing w:line="578" w:lineRule="exact"/>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目标设置（</w:t>
      </w:r>
      <w:r>
        <w:rPr>
          <w:rFonts w:hint="eastAsia" w:ascii="仿宋_GB2312" w:hAnsi="仿宋_GB2312" w:eastAsia="仿宋_GB2312" w:cs="仿宋_GB2312"/>
          <w:b/>
          <w:bCs/>
          <w:color w:val="000000"/>
          <w:kern w:val="0"/>
          <w:sz w:val="32"/>
          <w:szCs w:val="32"/>
          <w:highlight w:val="none"/>
          <w:shd w:val="clear" w:color="auto" w:fill="FFFFFF"/>
          <w:lang w:val="en-US" w:eastAsia="zh-CN"/>
        </w:rPr>
        <w:t>4分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ind w:left="0" w:leftChars="0" w:firstLine="640" w:firstLineChars="200"/>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2024年我办3个常年性项目为人大会议（30万元）、代表履职能力提升（47万元）、人大专项办公费（30万元）。我办3个项目均设置了一、二、三级指标，但指标不够细化、完善。</w:t>
      </w:r>
    </w:p>
    <w:p>
      <w:pPr>
        <w:pStyle w:val="2"/>
        <w:ind w:left="0" w:leftChars="0" w:firstLine="640" w:firstLineChars="200"/>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4个一次性项目涉及浙江培训交流项目（20万元）、退休建房补助（1.22万元）、抚恤金（22.92万元）及公务用车运行维护费（11.08万元）。我办4个项目均设置了一、二、三级指标，但指标不够细化、完善。</w:t>
      </w:r>
    </w:p>
    <w:p>
      <w:pPr>
        <w:pStyle w:val="4"/>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 xml:space="preserve">      评分：3分</w:t>
      </w:r>
    </w:p>
    <w:p>
      <w:pPr>
        <w:keepNext w:val="0"/>
        <w:keepLines w:val="0"/>
        <w:pageBreakBefore w:val="0"/>
        <w:widowControl w:val="0"/>
        <w:numPr>
          <w:ilvl w:val="0"/>
          <w:numId w:val="18"/>
        </w:numPr>
        <w:kinsoku/>
        <w:wordWrap/>
        <w:overflowPunct/>
        <w:topLinePunct w:val="0"/>
        <w:autoSpaceDE/>
        <w:autoSpaceDN/>
        <w:bidi w:val="0"/>
        <w:adjustRightInd w:val="0"/>
        <w:snapToGrid w:val="0"/>
        <w:spacing w:line="578" w:lineRule="exact"/>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项目入库（</w:t>
      </w:r>
      <w:r>
        <w:rPr>
          <w:rFonts w:hint="eastAsia" w:ascii="仿宋_GB2312" w:hAnsi="仿宋_GB2312" w:eastAsia="仿宋_GB2312" w:cs="仿宋_GB2312"/>
          <w:b/>
          <w:bCs/>
          <w:color w:val="000000"/>
          <w:kern w:val="0"/>
          <w:sz w:val="32"/>
          <w:szCs w:val="32"/>
          <w:highlight w:val="none"/>
          <w:shd w:val="clear" w:color="auto" w:fill="FFFFFF"/>
          <w:lang w:val="en-US" w:eastAsia="zh-CN"/>
        </w:rPr>
        <w:t>4分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ind w:left="0" w:leftChars="0" w:firstLine="640" w:firstLineChars="200"/>
        <w:rPr>
          <w:rFonts w:hint="eastAsia" w:ascii="仿宋_GB2312" w:hAnsi="仿宋_GB2312" w:eastAsia="仿宋_GB2312" w:cs="仿宋_GB2312"/>
          <w:b/>
          <w:bCs/>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2024年我办3个常年性项目及4个一次性项目均在规定时间内及时入库</w:t>
      </w:r>
      <w:r>
        <w:rPr>
          <w:rFonts w:hint="eastAsia" w:ascii="仿宋_GB2312" w:hAnsi="仿宋_GB2312" w:eastAsia="仿宋_GB2312" w:cs="仿宋_GB2312"/>
          <w:b/>
          <w:bCs/>
          <w:color w:val="000000"/>
          <w:kern w:val="0"/>
          <w:sz w:val="32"/>
          <w:szCs w:val="32"/>
          <w:highlight w:val="none"/>
          <w:shd w:val="clear" w:color="auto" w:fill="FFFFFF"/>
          <w:lang w:val="en-US" w:eastAsia="zh-CN"/>
        </w:rPr>
        <w:t>。</w:t>
      </w:r>
    </w:p>
    <w:p>
      <w:pPr>
        <w:pStyle w:val="4"/>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 xml:space="preserve">   </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 xml:space="preserve">     评分：4分</w:t>
      </w:r>
    </w:p>
    <w:p>
      <w:pPr>
        <w:keepNext w:val="0"/>
        <w:keepLines w:val="0"/>
        <w:pageBreakBefore w:val="0"/>
        <w:widowControl w:val="0"/>
        <w:numPr>
          <w:ilvl w:val="0"/>
          <w:numId w:val="17"/>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项目执行（12分）</w:t>
      </w:r>
      <w:r>
        <w:rPr>
          <w:rFonts w:hint="eastAsia" w:ascii="仿宋_GB2312" w:hAnsi="仿宋_GB2312" w:eastAsia="仿宋_GB2312" w:cs="仿宋_GB2312"/>
          <w:color w:val="000000"/>
          <w:kern w:val="0"/>
          <w:sz w:val="32"/>
          <w:szCs w:val="32"/>
          <w:highlight w:val="none"/>
          <w:shd w:val="clear" w:color="auto" w:fill="FFFFFF"/>
          <w:lang w:val="zh-CN"/>
        </w:rPr>
        <w:t>。</w:t>
      </w:r>
    </w:p>
    <w:p>
      <w:pPr>
        <w:keepNext w:val="0"/>
        <w:keepLines w:val="0"/>
        <w:pageBreakBefore w:val="0"/>
        <w:widowControl w:val="0"/>
        <w:numPr>
          <w:ilvl w:val="0"/>
          <w:numId w:val="19"/>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执行同向（</w:t>
      </w:r>
      <w:r>
        <w:rPr>
          <w:rFonts w:hint="eastAsia" w:ascii="仿宋_GB2312" w:hAnsi="仿宋_GB2312" w:eastAsia="仿宋_GB2312" w:cs="仿宋_GB2312"/>
          <w:b/>
          <w:bCs/>
          <w:color w:val="000000"/>
          <w:kern w:val="0"/>
          <w:sz w:val="32"/>
          <w:szCs w:val="32"/>
          <w:highlight w:val="none"/>
          <w:shd w:val="clear" w:color="auto" w:fill="FFFFFF"/>
          <w:lang w:val="en-US" w:eastAsia="zh-CN"/>
        </w:rPr>
        <w:t>4分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2024年我办7个项目资金开支范围均符合绩效目标设置。</w:t>
      </w:r>
    </w:p>
    <w:p>
      <w:pPr>
        <w:pStyle w:val="4"/>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 xml:space="preserve">        评分：4分</w:t>
      </w:r>
    </w:p>
    <w:p>
      <w:pPr>
        <w:keepNext w:val="0"/>
        <w:keepLines w:val="0"/>
        <w:pageBreakBefore w:val="0"/>
        <w:widowControl w:val="0"/>
        <w:numPr>
          <w:ilvl w:val="0"/>
          <w:numId w:val="19"/>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项目调整（</w:t>
      </w:r>
      <w:r>
        <w:rPr>
          <w:rFonts w:hint="eastAsia" w:ascii="仿宋_GB2312" w:hAnsi="仿宋_GB2312" w:eastAsia="仿宋_GB2312" w:cs="仿宋_GB2312"/>
          <w:b/>
          <w:bCs/>
          <w:color w:val="000000"/>
          <w:kern w:val="0"/>
          <w:sz w:val="32"/>
          <w:szCs w:val="32"/>
          <w:highlight w:val="none"/>
          <w:shd w:val="clear" w:color="auto" w:fill="FFFFFF"/>
          <w:lang w:val="en-US" w:eastAsia="zh-CN"/>
        </w:rPr>
        <w:t>4分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2024年我办7个项目均按照预算要求及绩效目标设置执行，不存在项目调整的情况。</w:t>
      </w:r>
    </w:p>
    <w:p>
      <w:pPr>
        <w:pStyle w:val="4"/>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 xml:space="preserve">        评分：4分</w:t>
      </w:r>
    </w:p>
    <w:p>
      <w:pPr>
        <w:keepNext w:val="0"/>
        <w:keepLines w:val="0"/>
        <w:pageBreakBefore w:val="0"/>
        <w:widowControl w:val="0"/>
        <w:numPr>
          <w:ilvl w:val="0"/>
          <w:numId w:val="19"/>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执行结果（</w:t>
      </w:r>
      <w:r>
        <w:rPr>
          <w:rFonts w:hint="eastAsia" w:ascii="仿宋_GB2312" w:hAnsi="仿宋_GB2312" w:eastAsia="仿宋_GB2312" w:cs="仿宋_GB2312"/>
          <w:b/>
          <w:bCs/>
          <w:color w:val="000000"/>
          <w:kern w:val="0"/>
          <w:sz w:val="32"/>
          <w:szCs w:val="32"/>
          <w:highlight w:val="none"/>
          <w:shd w:val="clear" w:color="auto" w:fill="FFFFFF"/>
          <w:lang w:val="en-US" w:eastAsia="zh-CN"/>
        </w:rPr>
        <w:t>4分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2024年我办7个项目均按期支付，较好的实现了各项目标任务。</w:t>
      </w:r>
    </w:p>
    <w:p>
      <w:pPr>
        <w:pStyle w:val="4"/>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highlight w:val="none"/>
          <w:shd w:val="clear" w:color="auto" w:fill="FFFFFF"/>
          <w:lang w:val="en-US" w:eastAsia="zh-CN"/>
        </w:rPr>
        <w:t xml:space="preserve">        评分：4分</w:t>
      </w:r>
    </w:p>
    <w:p>
      <w:pPr>
        <w:keepNext w:val="0"/>
        <w:keepLines w:val="0"/>
        <w:pageBreakBefore w:val="0"/>
        <w:widowControl w:val="0"/>
        <w:numPr>
          <w:ilvl w:val="0"/>
          <w:numId w:val="17"/>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目标实现（</w:t>
      </w:r>
      <w:r>
        <w:rPr>
          <w:rFonts w:hint="eastAsia" w:ascii="仿宋_GB2312" w:hAnsi="仿宋_GB2312" w:eastAsia="仿宋_GB2312" w:cs="仿宋_GB2312"/>
          <w:b/>
          <w:bCs/>
          <w:color w:val="000000"/>
          <w:kern w:val="0"/>
          <w:sz w:val="32"/>
          <w:szCs w:val="32"/>
          <w:highlight w:val="none"/>
          <w:shd w:val="clear" w:color="auto" w:fill="FFFFFF"/>
          <w:lang w:val="en-US" w:eastAsia="zh-CN"/>
        </w:rPr>
        <w:t>11分</w:t>
      </w:r>
      <w:r>
        <w:rPr>
          <w:rFonts w:hint="eastAsia" w:ascii="仿宋_GB2312" w:hAnsi="仿宋_GB2312" w:eastAsia="仿宋_GB2312" w:cs="仿宋_GB2312"/>
          <w:b/>
          <w:bCs/>
          <w:color w:val="000000"/>
          <w:kern w:val="0"/>
          <w:sz w:val="32"/>
          <w:szCs w:val="32"/>
          <w:highlight w:val="none"/>
          <w:shd w:val="clear" w:color="auto" w:fill="FFFFFF"/>
          <w:lang w:val="zh-CN"/>
        </w:rPr>
        <w:t>）。</w:t>
      </w:r>
    </w:p>
    <w:p>
      <w:pPr>
        <w:keepNext w:val="0"/>
        <w:keepLines w:val="0"/>
        <w:pageBreakBefore w:val="0"/>
        <w:widowControl w:val="0"/>
        <w:numPr>
          <w:ilvl w:val="0"/>
          <w:numId w:val="2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目标完成（</w:t>
      </w:r>
      <w:r>
        <w:rPr>
          <w:rFonts w:hint="eastAsia" w:ascii="仿宋_GB2312" w:hAnsi="仿宋_GB2312" w:eastAsia="仿宋_GB2312" w:cs="仿宋_GB2312"/>
          <w:b/>
          <w:bCs/>
          <w:color w:val="000000"/>
          <w:kern w:val="0"/>
          <w:sz w:val="32"/>
          <w:szCs w:val="32"/>
          <w:highlight w:val="none"/>
          <w:shd w:val="clear" w:color="auto" w:fill="FFFFFF"/>
          <w:lang w:val="en-US" w:eastAsia="zh-CN"/>
        </w:rPr>
        <w:t>4分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2024年我办7个项目较好的完成了绩效目标，不存在偏离绩效指标的情况。</w:t>
      </w:r>
    </w:p>
    <w:p>
      <w:pPr>
        <w:pStyle w:val="4"/>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highlight w:val="none"/>
          <w:shd w:val="clear" w:color="auto" w:fill="FFFFFF"/>
          <w:lang w:val="en-US" w:eastAsia="zh-CN"/>
        </w:rPr>
        <w:t xml:space="preserve">         评分：4分</w:t>
      </w:r>
    </w:p>
    <w:p>
      <w:pPr>
        <w:keepNext w:val="0"/>
        <w:keepLines w:val="0"/>
        <w:pageBreakBefore w:val="0"/>
        <w:widowControl w:val="0"/>
        <w:numPr>
          <w:ilvl w:val="0"/>
          <w:numId w:val="2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目标偏离（</w:t>
      </w:r>
      <w:r>
        <w:rPr>
          <w:rFonts w:hint="eastAsia" w:ascii="仿宋_GB2312" w:hAnsi="仿宋_GB2312" w:eastAsia="仿宋_GB2312" w:cs="仿宋_GB2312"/>
          <w:b/>
          <w:bCs/>
          <w:color w:val="000000"/>
          <w:kern w:val="0"/>
          <w:sz w:val="32"/>
          <w:szCs w:val="32"/>
          <w:highlight w:val="none"/>
          <w:shd w:val="clear" w:color="auto" w:fill="FFFFFF"/>
          <w:lang w:val="en-US" w:eastAsia="zh-CN"/>
        </w:rPr>
        <w:t>4分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2024年我办7个项目较好的完成了数量绩效目标，不存在偏离绩效指标的情况。</w:t>
      </w:r>
    </w:p>
    <w:p>
      <w:pPr>
        <w:pStyle w:val="4"/>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highlight w:val="none"/>
          <w:shd w:val="clear" w:color="auto" w:fill="FFFFFF"/>
          <w:lang w:val="en-US" w:eastAsia="zh-CN"/>
        </w:rPr>
        <w:t xml:space="preserve">         评分：4分</w:t>
      </w:r>
    </w:p>
    <w:p>
      <w:pPr>
        <w:keepNext w:val="0"/>
        <w:keepLines w:val="0"/>
        <w:pageBreakBefore w:val="0"/>
        <w:widowControl w:val="0"/>
        <w:numPr>
          <w:ilvl w:val="0"/>
          <w:numId w:val="2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实现效果（</w:t>
      </w:r>
      <w:r>
        <w:rPr>
          <w:rFonts w:hint="eastAsia" w:ascii="仿宋_GB2312" w:hAnsi="仿宋_GB2312" w:eastAsia="仿宋_GB2312" w:cs="仿宋_GB2312"/>
          <w:b/>
          <w:bCs/>
          <w:color w:val="000000"/>
          <w:kern w:val="0"/>
          <w:sz w:val="32"/>
          <w:szCs w:val="32"/>
          <w:highlight w:val="none"/>
          <w:shd w:val="clear" w:color="auto" w:fill="FFFFFF"/>
          <w:lang w:val="en-US" w:eastAsia="zh-CN"/>
        </w:rPr>
        <w:t>3分</w:t>
      </w:r>
      <w:r>
        <w:rPr>
          <w:rFonts w:hint="eastAsia" w:ascii="仿宋_GB2312" w:hAnsi="仿宋_GB2312" w:eastAsia="仿宋_GB2312" w:cs="仿宋_GB2312"/>
          <w:b/>
          <w:bCs/>
          <w:color w:val="000000"/>
          <w:kern w:val="0"/>
          <w:sz w:val="32"/>
          <w:szCs w:val="32"/>
          <w:highlight w:val="none"/>
          <w:shd w:val="clear" w:color="auto" w:fill="FFFFFF"/>
          <w:lang w:val="zh-CN"/>
        </w:rPr>
        <w:t>）</w:t>
      </w:r>
    </w:p>
    <w:p>
      <w:pPr>
        <w:pStyle w:val="2"/>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2024年我办通过代表意见建议收集，督促办理，加强</w:t>
      </w:r>
    </w:p>
    <w:p>
      <w:pPr>
        <w:pStyle w:val="2"/>
        <w:ind w:left="0" w:leftChars="0" w:firstLine="0" w:firstLineChars="0"/>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民生重点项目，环保项目的代表监督等较好的履行了人大职责，为红原县经济社会可持续发展，环境保护等方面贡献了人大力量，实现了较好的经济社会效益。</w:t>
      </w:r>
    </w:p>
    <w:p>
      <w:pPr>
        <w:pStyle w:val="4"/>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highlight w:val="none"/>
          <w:shd w:val="clear" w:color="auto" w:fill="FFFFFF"/>
          <w:lang w:val="en-US" w:eastAsia="zh-CN"/>
        </w:rPr>
        <w:t xml:space="preserve">      评分：3分</w:t>
      </w:r>
    </w:p>
    <w:p>
      <w:pPr>
        <w:keepNext w:val="0"/>
        <w:keepLines w:val="0"/>
        <w:pageBreakBefore w:val="0"/>
        <w:widowControl w:val="0"/>
        <w:numPr>
          <w:ilvl w:val="0"/>
          <w:numId w:val="10"/>
        </w:numPr>
        <w:kinsoku/>
        <w:wordWrap/>
        <w:overflowPunct/>
        <w:topLinePunct w:val="0"/>
        <w:autoSpaceDE/>
        <w:autoSpaceDN/>
        <w:bidi w:val="0"/>
        <w:snapToGrid w:val="0"/>
        <w:spacing w:line="600" w:lineRule="exact"/>
        <w:ind w:left="0" w:leftChars="0"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绩效结果应用情况。</w:t>
      </w:r>
    </w:p>
    <w:p>
      <w:pPr>
        <w:pStyle w:val="2"/>
        <w:numPr>
          <w:ilvl w:val="0"/>
          <w:numId w:val="21"/>
        </w:numPr>
        <w:ind w:left="720"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内部应用情况 </w:t>
      </w:r>
    </w:p>
    <w:p>
      <w:pPr>
        <w:pStyle w:val="4"/>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通过绩效评价找准了病根，如预算编制精准度不够，绩效指标设置不够细化全面。我办通过全面掌握预算需求，细心测算预算需求等办法，逐年提高了预算编制的精准度；通过加强学习，提升业务能力等办法，2025年我办绩效目标设置更加细化、合理。</w:t>
      </w:r>
    </w:p>
    <w:p>
      <w:pPr>
        <w:pStyle w:val="2"/>
        <w:numPr>
          <w:ilvl w:val="0"/>
          <w:numId w:val="0"/>
        </w:num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 信息公开情况 </w:t>
      </w:r>
    </w:p>
    <w:p>
      <w:pPr>
        <w:pStyle w:val="2"/>
        <w:numPr>
          <w:ilvl w:val="0"/>
          <w:numId w:val="0"/>
        </w:numPr>
        <w:ind w:left="720"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公开范围：绩效自评报告、重点项目评价结果已在部门官</w:t>
      </w:r>
    </w:p>
    <w:p>
      <w:pPr>
        <w:pStyle w:val="2"/>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网公示，但</w:t>
      </w:r>
      <w:r>
        <w:rPr>
          <w:rFonts w:hint="eastAsia" w:ascii="仿宋_GB2312" w:hAnsi="仿宋_GB2312" w:eastAsia="仿宋_GB2312" w:cs="仿宋_GB2312"/>
          <w:sz w:val="32"/>
          <w:szCs w:val="32"/>
          <w:lang w:eastAsia="zh-CN"/>
        </w:rPr>
        <w:t>报告</w:t>
      </w:r>
      <w:r>
        <w:rPr>
          <w:rFonts w:hint="eastAsia" w:ascii="仿宋_GB2312" w:hAnsi="仿宋_GB2312" w:eastAsia="仿宋_GB2312" w:cs="仿宋_GB2312"/>
          <w:sz w:val="32"/>
          <w:szCs w:val="32"/>
        </w:rPr>
        <w:t xml:space="preserve">未细化至三级指标得分。  </w:t>
      </w:r>
    </w:p>
    <w:p>
      <w:pPr>
        <w:pStyle w:val="2"/>
        <w:numPr>
          <w:ilvl w:val="0"/>
          <w:numId w:val="0"/>
        </w:numPr>
        <w:ind w:left="720"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公开时效：按要求在预算批复后20日内公开。  </w:t>
      </w:r>
    </w:p>
    <w:p>
      <w:pPr>
        <w:pStyle w:val="2"/>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 整改反馈情况  </w:t>
      </w:r>
    </w:p>
    <w:p>
      <w:pPr>
        <w:pStyle w:val="2"/>
        <w:numPr>
          <w:ilvl w:val="0"/>
          <w:numId w:val="0"/>
        </w:numPr>
        <w:ind w:left="720" w:left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问题整改：针对202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财政专项监督检查及巡视</w:t>
      </w:r>
      <w:r>
        <w:rPr>
          <w:rFonts w:hint="eastAsia" w:ascii="仿宋_GB2312" w:hAnsi="仿宋_GB2312" w:eastAsia="仿宋_GB2312" w:cs="仿宋_GB2312"/>
          <w:sz w:val="32"/>
          <w:szCs w:val="32"/>
        </w:rPr>
        <w:t>发现的</w:t>
      </w:r>
      <w:r>
        <w:rPr>
          <w:rFonts w:hint="eastAsia" w:ascii="仿宋_GB2312" w:hAnsi="仿宋_GB2312" w:eastAsia="仿宋_GB2312" w:cs="仿宋_GB2312"/>
          <w:sz w:val="32"/>
          <w:szCs w:val="32"/>
          <w:lang w:val="en-US" w:eastAsia="zh-CN"/>
        </w:rPr>
        <w:t>6</w:t>
      </w:r>
    </w:p>
    <w:p>
      <w:pPr>
        <w:pStyle w:val="2"/>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项问题（如</w:t>
      </w:r>
      <w:r>
        <w:rPr>
          <w:rFonts w:hint="eastAsia" w:ascii="仿宋_GB2312" w:hAnsi="仿宋_GB2312" w:eastAsia="仿宋_GB2312" w:cs="仿宋_GB2312"/>
          <w:sz w:val="32"/>
          <w:szCs w:val="32"/>
          <w:lang w:eastAsia="zh-CN"/>
        </w:rPr>
        <w:t>跨年度报销、附件不齐</w:t>
      </w:r>
      <w:r>
        <w:rPr>
          <w:rFonts w:hint="eastAsia" w:ascii="仿宋_GB2312" w:hAnsi="仿宋_GB2312" w:eastAsia="仿宋_GB2312" w:cs="仿宋_GB2312"/>
          <w:sz w:val="32"/>
          <w:szCs w:val="32"/>
        </w:rPr>
        <w:t xml:space="preserve">）已全部整改。  </w:t>
      </w:r>
    </w:p>
    <w:p>
      <w:pPr>
        <w:pStyle w:val="2"/>
        <w:numPr>
          <w:ilvl w:val="0"/>
          <w:numId w:val="0"/>
        </w:numPr>
        <w:ind w:left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长效机制：建立“评价-反馈-整改-回头看”闭环管理流程，</w:t>
      </w:r>
    </w:p>
    <w:p>
      <w:pPr>
        <w:pStyle w:val="2"/>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每季度开展执行督查。  </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rPr>
      </w:pPr>
      <w:r>
        <w:rPr>
          <w:rFonts w:hint="eastAsia" w:ascii="仿宋_GB2312" w:hAnsi="仿宋_GB2312" w:eastAsia="仿宋_GB2312" w:cs="仿宋_GB2312"/>
          <w:color w:val="000000"/>
          <w:kern w:val="0"/>
          <w:sz w:val="32"/>
          <w:szCs w:val="32"/>
          <w:highlight w:val="none"/>
          <w:shd w:val="clear" w:color="auto" w:fill="FFFFFF"/>
          <w:lang w:eastAsia="zh-CN"/>
        </w:rPr>
        <w:t>四、</w:t>
      </w:r>
      <w:r>
        <w:rPr>
          <w:rFonts w:hint="eastAsia" w:ascii="仿宋_GB2312" w:hAnsi="仿宋_GB2312" w:eastAsia="仿宋_GB2312" w:cs="仿宋_GB2312"/>
          <w:color w:val="000000"/>
          <w:kern w:val="0"/>
          <w:sz w:val="32"/>
          <w:szCs w:val="32"/>
          <w:highlight w:val="none"/>
          <w:shd w:val="clear" w:color="auto" w:fill="FFFFFF"/>
        </w:rPr>
        <w:t>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720"/>
        <w:jc w:val="both"/>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（一）评价结论。</w:t>
      </w:r>
      <w:r>
        <w:rPr>
          <w:rFonts w:hint="eastAsia" w:ascii="仿宋_GB2312" w:hAnsi="仿宋_GB2312" w:eastAsia="仿宋_GB2312" w:cs="仿宋_GB2312"/>
          <w:color w:val="000000"/>
          <w:sz w:val="32"/>
          <w:szCs w:val="32"/>
        </w:rPr>
        <w:t>根据《红原县部门整体支出绩效评价指标体系》自查</w:t>
      </w:r>
      <w:r>
        <w:rPr>
          <w:rFonts w:hint="eastAsia" w:ascii="仿宋_GB2312" w:hAnsi="仿宋_GB2312" w:eastAsia="仿宋_GB2312" w:cs="仿宋_GB2312"/>
          <w:color w:val="000000"/>
          <w:sz w:val="32"/>
          <w:szCs w:val="32"/>
          <w:lang w:eastAsia="zh-CN"/>
        </w:rPr>
        <w:t>得</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sz w:val="32"/>
          <w:szCs w:val="32"/>
          <w:lang w:val="en-US" w:eastAsia="zh-CN"/>
        </w:rPr>
        <w:t>94.6</w:t>
      </w:r>
      <w:r>
        <w:rPr>
          <w:rFonts w:hint="eastAsia" w:ascii="仿宋_GB2312" w:hAnsi="仿宋_GB2312" w:eastAsia="仿宋_GB2312" w:cs="仿宋_GB2312"/>
          <w:color w:val="000000"/>
          <w:sz w:val="32"/>
          <w:szCs w:val="32"/>
        </w:rPr>
        <w:t>分，总体评价较好。</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（二）存在问题。</w:t>
      </w:r>
    </w:p>
    <w:p>
      <w:pPr>
        <w:keepNext w:val="0"/>
        <w:keepLines w:val="0"/>
        <w:pageBreakBefore w:val="0"/>
        <w:widowControl/>
        <w:kinsoku/>
        <w:wordWrap/>
        <w:overflowPunct/>
        <w:topLinePunct w:val="0"/>
        <w:autoSpaceDE/>
        <w:autoSpaceDN/>
        <w:bidi w:val="0"/>
        <w:adjustRightInd w:val="0"/>
        <w:snapToGrid w:val="0"/>
        <w:spacing w:line="560" w:lineRule="exact"/>
        <w:ind w:firstLine="720"/>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预算编制不够精准，绩效目标设置不够细化、合理。</w:t>
      </w:r>
    </w:p>
    <w:p>
      <w:pPr>
        <w:keepNext w:val="0"/>
        <w:keepLines w:val="0"/>
        <w:pageBreakBefore w:val="0"/>
        <w:widowControl/>
        <w:numPr>
          <w:ilvl w:val="0"/>
          <w:numId w:val="9"/>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zh-CN" w:eastAsia="zh-CN"/>
        </w:rPr>
        <w:t>改进建议。</w:t>
      </w:r>
      <w:bookmarkStart w:id="134" w:name="_Hlk110546638"/>
    </w:p>
    <w:p>
      <w:pPr>
        <w:pStyle w:val="2"/>
        <w:numPr>
          <w:ilvl w:val="0"/>
          <w:numId w:val="0"/>
        </w:numPr>
        <w:ind w:leftChars="200" w:firstLine="643" w:firstLineChars="200"/>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b/>
          <w:bCs/>
          <w:sz w:val="32"/>
          <w:szCs w:val="32"/>
          <w:lang w:val="en" w:eastAsia="zh-CN"/>
        </w:rPr>
        <w:t>一是</w:t>
      </w:r>
      <w:r>
        <w:rPr>
          <w:rFonts w:hint="eastAsia" w:ascii="仿宋_GB2312" w:hAnsi="仿宋_GB2312" w:eastAsia="仿宋_GB2312" w:cs="仿宋_GB2312"/>
          <w:sz w:val="32"/>
          <w:szCs w:val="32"/>
          <w:lang w:val="en" w:eastAsia="zh-CN"/>
        </w:rPr>
        <w:t>全面统筹规划，细心核算各项经济成本，提高预算</w:t>
      </w:r>
    </w:p>
    <w:p>
      <w:pPr>
        <w:pStyle w:val="2"/>
        <w:numPr>
          <w:ilvl w:val="0"/>
          <w:numId w:val="0"/>
        </w:numPr>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编制精准度。</w:t>
      </w:r>
      <w:r>
        <w:rPr>
          <w:rFonts w:hint="eastAsia" w:ascii="仿宋_GB2312" w:hAnsi="仿宋_GB2312" w:eastAsia="仿宋_GB2312" w:cs="仿宋_GB2312"/>
          <w:b/>
          <w:bCs/>
          <w:sz w:val="32"/>
          <w:szCs w:val="32"/>
          <w:lang w:val="en" w:eastAsia="zh-CN"/>
        </w:rPr>
        <w:t>二是</w:t>
      </w:r>
      <w:r>
        <w:rPr>
          <w:rFonts w:hint="eastAsia" w:ascii="仿宋_GB2312" w:hAnsi="仿宋_GB2312" w:eastAsia="仿宋_GB2312" w:cs="仿宋_GB2312"/>
          <w:sz w:val="32"/>
          <w:szCs w:val="32"/>
          <w:lang w:val="en" w:eastAsia="zh-CN"/>
        </w:rPr>
        <w:t>加强业务学习、培训，提升绩效管理应用能力。</w:t>
      </w:r>
    </w:p>
    <w:bookmarkEnd w:id="134"/>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ascii="仿宋" w:eastAsia="仿宋"/>
        </w:rPr>
      </w:pPr>
      <w:r>
        <w:rPr>
          <w:rFonts w:hint="eastAsia" w:ascii="黑体" w:eastAsia="黑体"/>
          <w:sz w:val="44"/>
          <w:szCs w:val="44"/>
        </w:rPr>
        <w:t>第</w:t>
      </w:r>
      <w:r>
        <w:rPr>
          <w:rStyle w:val="20"/>
          <w:rFonts w:hint="eastAsia" w:ascii="黑体" w:eastAsia="黑体"/>
          <w:b w:val="0"/>
        </w:rPr>
        <w:t>五部分 附表</w:t>
      </w:r>
      <w:bookmarkEnd w:id="70"/>
      <w:bookmarkEnd w:id="132"/>
      <w:bookmarkEnd w:id="133"/>
      <w:bookmarkStart w:id="135" w:name="_Toc15396619"/>
    </w:p>
    <w:p>
      <w:pPr>
        <w:pStyle w:val="6"/>
        <w:rPr>
          <w:rFonts w:ascii="仿宋" w:eastAsia="仿宋"/>
        </w:rPr>
      </w:pPr>
      <w:bookmarkStart w:id="136" w:name="_Toc7114"/>
      <w:bookmarkStart w:id="137" w:name="_Toc9836"/>
      <w:bookmarkStart w:id="138" w:name="_Toc7319"/>
      <w:r>
        <w:rPr>
          <w:rFonts w:hint="eastAsia" w:ascii="仿宋" w:eastAsia="仿宋"/>
          <w:b w:val="0"/>
        </w:rPr>
        <w:t>一、收</w:t>
      </w:r>
      <w:r>
        <w:rPr>
          <w:rStyle w:val="21"/>
          <w:rFonts w:hint="eastAsia" w:ascii="仿宋" w:eastAsia="仿宋"/>
          <w:b w:val="0"/>
          <w:bCs w:val="0"/>
        </w:rPr>
        <w:t>入支出决算总表</w:t>
      </w:r>
      <w:bookmarkEnd w:id="135"/>
      <w:bookmarkEnd w:id="136"/>
      <w:bookmarkEnd w:id="137"/>
      <w:bookmarkEnd w:id="138"/>
    </w:p>
    <w:p>
      <w:pPr>
        <w:pStyle w:val="6"/>
        <w:rPr>
          <w:rFonts w:ascii="仿宋" w:eastAsia="仿宋"/>
        </w:rPr>
      </w:pPr>
      <w:bookmarkStart w:id="139" w:name="_Toc15396620"/>
      <w:bookmarkStart w:id="140" w:name="_Toc31850"/>
      <w:bookmarkStart w:id="141" w:name="_Toc5275"/>
      <w:bookmarkStart w:id="142" w:name="_Toc31354"/>
      <w:r>
        <w:rPr>
          <w:rFonts w:hint="eastAsia" w:ascii="仿宋" w:eastAsia="仿宋"/>
          <w:b w:val="0"/>
        </w:rPr>
        <w:t>二、收</w:t>
      </w:r>
      <w:r>
        <w:rPr>
          <w:rStyle w:val="21"/>
          <w:rFonts w:hint="eastAsia" w:ascii="仿宋" w:eastAsia="仿宋"/>
          <w:b w:val="0"/>
          <w:bCs w:val="0"/>
        </w:rPr>
        <w:t>入决算表</w:t>
      </w:r>
      <w:bookmarkEnd w:id="139"/>
      <w:bookmarkEnd w:id="140"/>
      <w:bookmarkEnd w:id="141"/>
      <w:bookmarkEnd w:id="142"/>
    </w:p>
    <w:p>
      <w:pPr>
        <w:pStyle w:val="6"/>
        <w:rPr>
          <w:rFonts w:ascii="仿宋" w:eastAsia="仿宋"/>
        </w:rPr>
      </w:pPr>
      <w:bookmarkStart w:id="143" w:name="_Toc15396621"/>
      <w:bookmarkStart w:id="144" w:name="_Toc15012"/>
      <w:bookmarkStart w:id="145" w:name="_Toc22743"/>
      <w:bookmarkStart w:id="146" w:name="_Toc24023"/>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出决算表</w:t>
      </w:r>
      <w:bookmarkEnd w:id="143"/>
      <w:bookmarkEnd w:id="144"/>
      <w:bookmarkEnd w:id="145"/>
      <w:bookmarkEnd w:id="146"/>
    </w:p>
    <w:p>
      <w:pPr>
        <w:pStyle w:val="6"/>
        <w:rPr>
          <w:rFonts w:ascii="仿宋" w:eastAsia="仿宋"/>
          <w:b w:val="0"/>
        </w:rPr>
      </w:pPr>
      <w:bookmarkStart w:id="147" w:name="_Toc15396622"/>
      <w:bookmarkStart w:id="148" w:name="_Toc2325"/>
      <w:bookmarkStart w:id="149" w:name="_Toc3319"/>
      <w:bookmarkStart w:id="150" w:name="_Toc10976"/>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bookmarkEnd w:id="147"/>
      <w:bookmarkEnd w:id="148"/>
      <w:bookmarkEnd w:id="149"/>
      <w:bookmarkEnd w:id="150"/>
    </w:p>
    <w:p>
      <w:pPr>
        <w:pStyle w:val="6"/>
        <w:rPr>
          <w:rStyle w:val="21"/>
          <w:rFonts w:ascii="仿宋" w:eastAsia="仿宋"/>
          <w:b w:val="0"/>
          <w:bCs w:val="0"/>
        </w:rPr>
      </w:pPr>
      <w:bookmarkStart w:id="151" w:name="_Toc15396623"/>
      <w:bookmarkStart w:id="152" w:name="_Toc17946"/>
      <w:bookmarkStart w:id="153" w:name="_Toc9871"/>
      <w:bookmarkStart w:id="154" w:name="_Toc21466"/>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w:t>
      </w:r>
      <w:bookmarkEnd w:id="151"/>
      <w:bookmarkEnd w:id="152"/>
      <w:bookmarkEnd w:id="153"/>
      <w:bookmarkEnd w:id="154"/>
      <w:bookmarkStart w:id="155" w:name="_Toc15396624"/>
    </w:p>
    <w:p>
      <w:pPr>
        <w:pStyle w:val="6"/>
        <w:rPr>
          <w:rFonts w:ascii="仿宋" w:eastAsia="仿宋"/>
        </w:rPr>
      </w:pPr>
      <w:bookmarkStart w:id="156" w:name="_Toc2800"/>
      <w:bookmarkStart w:id="157" w:name="_Toc20117"/>
      <w:bookmarkStart w:id="158" w:name="_Toc2143"/>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bookmarkEnd w:id="155"/>
      <w:bookmarkEnd w:id="156"/>
      <w:bookmarkEnd w:id="157"/>
      <w:bookmarkEnd w:id="158"/>
    </w:p>
    <w:p>
      <w:pPr>
        <w:pStyle w:val="6"/>
        <w:rPr>
          <w:rFonts w:ascii="仿宋" w:eastAsia="仿宋"/>
        </w:rPr>
      </w:pPr>
      <w:bookmarkStart w:id="159" w:name="_Toc15396625"/>
      <w:bookmarkStart w:id="160" w:name="_Toc10733"/>
      <w:bookmarkStart w:id="161" w:name="_Toc29704"/>
      <w:bookmarkStart w:id="162" w:name="_Toc32100"/>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bookmarkEnd w:id="159"/>
      <w:bookmarkEnd w:id="160"/>
      <w:bookmarkEnd w:id="161"/>
      <w:bookmarkEnd w:id="162"/>
    </w:p>
    <w:p>
      <w:pPr>
        <w:pStyle w:val="6"/>
        <w:rPr>
          <w:rFonts w:ascii="仿宋" w:eastAsia="仿宋"/>
        </w:rPr>
      </w:pPr>
      <w:bookmarkStart w:id="163" w:name="_Toc15396626"/>
      <w:bookmarkStart w:id="164" w:name="_Toc8432"/>
      <w:bookmarkStart w:id="165" w:name="_Toc30543"/>
      <w:bookmarkStart w:id="166" w:name="_Toc17350"/>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bookmarkEnd w:id="163"/>
      <w:bookmarkEnd w:id="164"/>
      <w:bookmarkEnd w:id="165"/>
      <w:bookmarkEnd w:id="166"/>
    </w:p>
    <w:p>
      <w:pPr>
        <w:pStyle w:val="6"/>
        <w:rPr>
          <w:rFonts w:ascii="仿宋" w:eastAsia="仿宋"/>
        </w:rPr>
      </w:pPr>
      <w:bookmarkStart w:id="167" w:name="_Toc15396627"/>
      <w:bookmarkStart w:id="168" w:name="_Toc10916"/>
      <w:bookmarkStart w:id="169" w:name="_Toc28168"/>
      <w:bookmarkStart w:id="170" w:name="_Toc10434"/>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bookmarkEnd w:id="167"/>
      <w:bookmarkEnd w:id="168"/>
      <w:bookmarkEnd w:id="169"/>
      <w:bookmarkEnd w:id="170"/>
    </w:p>
    <w:p>
      <w:pPr>
        <w:pStyle w:val="6"/>
        <w:rPr>
          <w:rFonts w:ascii="仿宋" w:eastAsia="仿宋"/>
        </w:rPr>
      </w:pPr>
      <w:bookmarkStart w:id="171" w:name="_Toc15396628"/>
      <w:bookmarkStart w:id="172" w:name="_Toc16699"/>
      <w:bookmarkStart w:id="173" w:name="_Toc13791"/>
      <w:bookmarkStart w:id="174" w:name="_Toc6168"/>
      <w:r>
        <w:rPr>
          <w:rStyle w:val="21"/>
          <w:rFonts w:hint="eastAsia" w:ascii="仿宋" w:eastAsia="仿宋"/>
          <w:b w:val="0"/>
          <w:bCs w:val="0"/>
        </w:rPr>
        <w:t>十、</w:t>
      </w:r>
      <w:bookmarkEnd w:id="171"/>
      <w:r>
        <w:rPr>
          <w:rFonts w:hint="eastAsia" w:ascii="仿宋" w:eastAsia="仿宋"/>
          <w:b w:val="0"/>
        </w:rPr>
        <w:t>政</w:t>
      </w:r>
      <w:r>
        <w:rPr>
          <w:rStyle w:val="21"/>
          <w:rFonts w:hint="eastAsia" w:ascii="仿宋" w:eastAsia="仿宋"/>
          <w:b w:val="0"/>
          <w:bCs w:val="0"/>
        </w:rPr>
        <w:t>府性基金预算财政拨款收入支出决算表</w:t>
      </w:r>
      <w:bookmarkEnd w:id="172"/>
      <w:bookmarkEnd w:id="173"/>
      <w:bookmarkEnd w:id="174"/>
    </w:p>
    <w:p>
      <w:pPr>
        <w:pStyle w:val="6"/>
        <w:rPr>
          <w:rFonts w:ascii="仿宋" w:eastAsia="仿宋"/>
        </w:rPr>
      </w:pPr>
      <w:bookmarkStart w:id="175" w:name="_Toc15396629"/>
      <w:bookmarkStart w:id="176" w:name="_Toc8848"/>
      <w:bookmarkStart w:id="177" w:name="_Toc4423"/>
      <w:bookmarkStart w:id="178" w:name="_Toc23336"/>
      <w:r>
        <w:rPr>
          <w:rStyle w:val="21"/>
          <w:rFonts w:hint="eastAsia" w:ascii="仿宋" w:eastAsia="仿宋"/>
          <w:b w:val="0"/>
          <w:bCs w:val="0"/>
        </w:rPr>
        <w:t>十一、</w:t>
      </w:r>
      <w:bookmarkEnd w:id="175"/>
      <w:r>
        <w:rPr>
          <w:rFonts w:hint="eastAsia" w:ascii="仿宋" w:eastAsia="仿宋"/>
          <w:b w:val="0"/>
        </w:rPr>
        <w:t>国</w:t>
      </w:r>
      <w:r>
        <w:rPr>
          <w:rStyle w:val="21"/>
          <w:rFonts w:hint="eastAsia" w:ascii="仿宋" w:eastAsia="仿宋"/>
          <w:b w:val="0"/>
          <w:bCs w:val="0"/>
        </w:rPr>
        <w:t>有资本经营预算财政拨款收入支出决算表</w:t>
      </w:r>
      <w:bookmarkEnd w:id="176"/>
      <w:bookmarkEnd w:id="177"/>
      <w:bookmarkEnd w:id="178"/>
    </w:p>
    <w:p>
      <w:pPr>
        <w:pStyle w:val="6"/>
        <w:rPr>
          <w:rFonts w:ascii="仿宋" w:eastAsia="仿宋"/>
        </w:rPr>
      </w:pPr>
      <w:bookmarkStart w:id="179" w:name="_Toc15396630"/>
      <w:bookmarkStart w:id="180" w:name="_Toc3767"/>
      <w:bookmarkStart w:id="181" w:name="_Toc375"/>
      <w:bookmarkStart w:id="182" w:name="_Toc23283"/>
      <w:r>
        <w:rPr>
          <w:rStyle w:val="21"/>
          <w:rFonts w:hint="eastAsia" w:ascii="仿宋" w:eastAsia="仿宋"/>
          <w:b w:val="0"/>
          <w:bCs w:val="0"/>
        </w:rPr>
        <w:t>十二、</w:t>
      </w:r>
      <w:bookmarkEnd w:id="179"/>
      <w:r>
        <w:rPr>
          <w:rStyle w:val="21"/>
          <w:rFonts w:hint="eastAsia" w:ascii="仿宋" w:eastAsia="仿宋"/>
          <w:b w:val="0"/>
          <w:bCs w:val="0"/>
        </w:rPr>
        <w:t>国有资本经营预算财政拨款支出决算表</w:t>
      </w:r>
      <w:bookmarkEnd w:id="180"/>
      <w:bookmarkEnd w:id="181"/>
      <w:bookmarkEnd w:id="182"/>
    </w:p>
    <w:p>
      <w:pPr>
        <w:pStyle w:val="6"/>
        <w:rPr>
          <w:rStyle w:val="21"/>
          <w:rFonts w:hint="eastAsia" w:ascii="仿宋" w:eastAsia="仿宋"/>
          <w:b w:val="0"/>
          <w:bCs w:val="0"/>
        </w:rPr>
      </w:pPr>
      <w:bookmarkStart w:id="183" w:name="_Toc15396631"/>
      <w:bookmarkStart w:id="184" w:name="_Toc23427"/>
      <w:bookmarkStart w:id="185" w:name="_Toc6173"/>
      <w:bookmarkStart w:id="186" w:name="_Toc19470"/>
      <w:r>
        <w:rPr>
          <w:rStyle w:val="21"/>
          <w:rFonts w:hint="eastAsia" w:ascii="仿宋" w:eastAsia="仿宋"/>
          <w:b w:val="0"/>
          <w:bCs w:val="0"/>
        </w:rPr>
        <w:t>十三、</w:t>
      </w:r>
      <w:bookmarkEnd w:id="183"/>
      <w:r>
        <w:rPr>
          <w:rStyle w:val="21"/>
          <w:rFonts w:hint="eastAsia" w:ascii="仿宋" w:eastAsia="仿宋"/>
          <w:b w:val="0"/>
          <w:bCs w:val="0"/>
        </w:rPr>
        <w:t>财政拨款“三公”经费支出决算表</w:t>
      </w:r>
      <w:bookmarkEnd w:id="184"/>
      <w:bookmarkEnd w:id="185"/>
      <w:bookmarkEnd w:id="186"/>
    </w:p>
    <w:p>
      <w:bookmarkStart w:id="187" w:name="_Toc1273"/>
      <w:r>
        <w:rPr>
          <w:rStyle w:val="21"/>
          <w:rFonts w:hint="eastAsia" w:ascii="仿宋" w:eastAsia="仿宋"/>
          <w:b w:val="0"/>
          <w:bCs w:val="0"/>
        </w:rPr>
        <w:t>十四、部门项目支出绩效目标表</w:t>
      </w:r>
      <w:bookmarkEnd w:id="187"/>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47E0C"/>
    <w:multiLevelType w:val="singleLevel"/>
    <w:tmpl w:val="8B847E0C"/>
    <w:lvl w:ilvl="0" w:tentative="0">
      <w:start w:val="1"/>
      <w:numFmt w:val="decimal"/>
      <w:lvlText w:val="%1."/>
      <w:lvlJc w:val="left"/>
      <w:pPr>
        <w:tabs>
          <w:tab w:val="left" w:pos="312"/>
        </w:tabs>
      </w:pPr>
    </w:lvl>
  </w:abstractNum>
  <w:abstractNum w:abstractNumId="1">
    <w:nsid w:val="B343EE66"/>
    <w:multiLevelType w:val="singleLevel"/>
    <w:tmpl w:val="B343EE66"/>
    <w:lvl w:ilvl="0" w:tentative="0">
      <w:start w:val="2"/>
      <w:numFmt w:val="chineseCounting"/>
      <w:suff w:val="nothing"/>
      <w:lvlText w:val="（%1）"/>
      <w:lvlJc w:val="left"/>
      <w:rPr>
        <w:rFonts w:hint="eastAsia"/>
      </w:rPr>
    </w:lvl>
  </w:abstractNum>
  <w:abstractNum w:abstractNumId="2">
    <w:nsid w:val="B3BA602B"/>
    <w:multiLevelType w:val="singleLevel"/>
    <w:tmpl w:val="B3BA602B"/>
    <w:lvl w:ilvl="0" w:tentative="0">
      <w:start w:val="1"/>
      <w:numFmt w:val="decimal"/>
      <w:suff w:val="nothing"/>
      <w:lvlText w:val="（%1）"/>
      <w:lvlJc w:val="left"/>
    </w:lvl>
  </w:abstractNum>
  <w:abstractNum w:abstractNumId="3">
    <w:nsid w:val="B6264CD1"/>
    <w:multiLevelType w:val="singleLevel"/>
    <w:tmpl w:val="B6264CD1"/>
    <w:lvl w:ilvl="0" w:tentative="0">
      <w:start w:val="1"/>
      <w:numFmt w:val="decimal"/>
      <w:suff w:val="nothing"/>
      <w:lvlText w:val="（%1）"/>
      <w:lvlJc w:val="left"/>
      <w:pPr>
        <w:ind w:left="160" w:leftChars="0" w:firstLine="0" w:firstLineChars="0"/>
      </w:pPr>
    </w:lvl>
  </w:abstractNum>
  <w:abstractNum w:abstractNumId="4">
    <w:nsid w:val="C8EBE6B8"/>
    <w:multiLevelType w:val="singleLevel"/>
    <w:tmpl w:val="C8EBE6B8"/>
    <w:lvl w:ilvl="0" w:tentative="0">
      <w:start w:val="1"/>
      <w:numFmt w:val="decimal"/>
      <w:suff w:val="space"/>
      <w:lvlText w:val="%1."/>
      <w:lvlJc w:val="left"/>
    </w:lvl>
  </w:abstractNum>
  <w:abstractNum w:abstractNumId="5">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6">
    <w:nsid w:val="D4109CB4"/>
    <w:multiLevelType w:val="singleLevel"/>
    <w:tmpl w:val="D4109CB4"/>
    <w:lvl w:ilvl="0" w:tentative="0">
      <w:start w:val="2"/>
      <w:numFmt w:val="decimal"/>
      <w:suff w:val="nothing"/>
      <w:lvlText w:val="（%1）"/>
      <w:lvlJc w:val="left"/>
      <w:pPr>
        <w:ind w:left="1280" w:leftChars="0" w:firstLine="0" w:firstLineChars="0"/>
      </w:pPr>
    </w:lvl>
  </w:abstractNum>
  <w:abstractNum w:abstractNumId="7">
    <w:nsid w:val="D9660D67"/>
    <w:multiLevelType w:val="singleLevel"/>
    <w:tmpl w:val="D9660D67"/>
    <w:lvl w:ilvl="0" w:tentative="0">
      <w:start w:val="2"/>
      <w:numFmt w:val="chineseCounting"/>
      <w:suff w:val="nothing"/>
      <w:lvlText w:val="（%1）"/>
      <w:lvlJc w:val="left"/>
      <w:rPr>
        <w:rFonts w:hint="eastAsia"/>
      </w:rPr>
    </w:lvl>
  </w:abstractNum>
  <w:abstractNum w:abstractNumId="8">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9">
    <w:nsid w:val="E6B5C037"/>
    <w:multiLevelType w:val="singleLevel"/>
    <w:tmpl w:val="E6B5C037"/>
    <w:lvl w:ilvl="0" w:tentative="0">
      <w:start w:val="1"/>
      <w:numFmt w:val="decimal"/>
      <w:lvlText w:val="%1."/>
      <w:lvlJc w:val="left"/>
      <w:pPr>
        <w:tabs>
          <w:tab w:val="left" w:pos="312"/>
        </w:tabs>
      </w:pPr>
    </w:lvl>
  </w:abstractNum>
  <w:abstractNum w:abstractNumId="10">
    <w:nsid w:val="EACD8409"/>
    <w:multiLevelType w:val="singleLevel"/>
    <w:tmpl w:val="EACD8409"/>
    <w:lvl w:ilvl="0" w:tentative="0">
      <w:start w:val="5"/>
      <w:numFmt w:val="decimal"/>
      <w:lvlText w:val="%1."/>
      <w:lvlJc w:val="left"/>
      <w:pPr>
        <w:tabs>
          <w:tab w:val="left" w:pos="312"/>
        </w:tabs>
      </w:pPr>
    </w:lvl>
  </w:abstractNum>
  <w:abstractNum w:abstractNumId="11">
    <w:nsid w:val="00285B84"/>
    <w:multiLevelType w:val="singleLevel"/>
    <w:tmpl w:val="00285B84"/>
    <w:lvl w:ilvl="0" w:tentative="0">
      <w:start w:val="1"/>
      <w:numFmt w:val="decimal"/>
      <w:lvlText w:val="%1."/>
      <w:lvlJc w:val="left"/>
      <w:pPr>
        <w:tabs>
          <w:tab w:val="left" w:pos="312"/>
        </w:tabs>
      </w:pPr>
    </w:lvl>
  </w:abstractNum>
  <w:abstractNum w:abstractNumId="12">
    <w:nsid w:val="0A6FD9F8"/>
    <w:multiLevelType w:val="singleLevel"/>
    <w:tmpl w:val="0A6FD9F8"/>
    <w:lvl w:ilvl="0" w:tentative="0">
      <w:start w:val="1"/>
      <w:numFmt w:val="decimal"/>
      <w:suff w:val="nothing"/>
      <w:lvlText w:val="（%1）"/>
      <w:lvlJc w:val="left"/>
    </w:lvl>
  </w:abstractNum>
  <w:abstractNum w:abstractNumId="13">
    <w:nsid w:val="107280E0"/>
    <w:multiLevelType w:val="singleLevel"/>
    <w:tmpl w:val="107280E0"/>
    <w:lvl w:ilvl="0" w:tentative="0">
      <w:start w:val="2"/>
      <w:numFmt w:val="decimal"/>
      <w:lvlText w:val="%1."/>
      <w:lvlJc w:val="left"/>
      <w:pPr>
        <w:tabs>
          <w:tab w:val="left" w:pos="312"/>
        </w:tabs>
      </w:pPr>
    </w:lvl>
  </w:abstractNum>
  <w:abstractNum w:abstractNumId="1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5">
    <w:nsid w:val="139CE83D"/>
    <w:multiLevelType w:val="singleLevel"/>
    <w:tmpl w:val="139CE83D"/>
    <w:lvl w:ilvl="0" w:tentative="0">
      <w:start w:val="1"/>
      <w:numFmt w:val="decimal"/>
      <w:suff w:val="nothing"/>
      <w:lvlText w:val="（%1）"/>
      <w:lvlJc w:val="left"/>
      <w:pPr>
        <w:ind w:left="320"/>
      </w:pPr>
    </w:lvl>
  </w:abstractNum>
  <w:abstractNum w:abstractNumId="16">
    <w:nsid w:val="355685C0"/>
    <w:multiLevelType w:val="singleLevel"/>
    <w:tmpl w:val="355685C0"/>
    <w:lvl w:ilvl="0" w:tentative="0">
      <w:start w:val="1"/>
      <w:numFmt w:val="chineseCounting"/>
      <w:suff w:val="nothing"/>
      <w:lvlText w:val="（%1）"/>
      <w:lvlJc w:val="left"/>
      <w:rPr>
        <w:rFonts w:hint="eastAsia"/>
      </w:rPr>
    </w:lvl>
  </w:abstractNum>
  <w:abstractNum w:abstractNumId="17">
    <w:nsid w:val="4B5E5050"/>
    <w:multiLevelType w:val="singleLevel"/>
    <w:tmpl w:val="4B5E5050"/>
    <w:lvl w:ilvl="0" w:tentative="0">
      <w:start w:val="1"/>
      <w:numFmt w:val="chineseCounting"/>
      <w:suff w:val="nothing"/>
      <w:lvlText w:val="%1、"/>
      <w:lvlJc w:val="left"/>
      <w:rPr>
        <w:rFonts w:hint="eastAsia"/>
      </w:rPr>
    </w:lvl>
  </w:abstractNum>
  <w:abstractNum w:abstractNumId="18">
    <w:nsid w:val="52A41832"/>
    <w:multiLevelType w:val="singleLevel"/>
    <w:tmpl w:val="52A41832"/>
    <w:lvl w:ilvl="0" w:tentative="0">
      <w:start w:val="1"/>
      <w:numFmt w:val="decimal"/>
      <w:suff w:val="nothing"/>
      <w:lvlText w:val="（%1）"/>
      <w:lvlJc w:val="left"/>
    </w:lvl>
  </w:abstractNum>
  <w:abstractNum w:abstractNumId="19">
    <w:nsid w:val="73D3CD7A"/>
    <w:multiLevelType w:val="singleLevel"/>
    <w:tmpl w:val="73D3CD7A"/>
    <w:lvl w:ilvl="0" w:tentative="0">
      <w:start w:val="1"/>
      <w:numFmt w:val="decimal"/>
      <w:suff w:val="nothing"/>
      <w:lvlText w:val="（%1）"/>
      <w:lvlJc w:val="left"/>
    </w:lvl>
  </w:abstractNum>
  <w:abstractNum w:abstractNumId="20">
    <w:nsid w:val="7644BAAF"/>
    <w:multiLevelType w:val="singleLevel"/>
    <w:tmpl w:val="7644BAAF"/>
    <w:lvl w:ilvl="0" w:tentative="0">
      <w:start w:val="1"/>
      <w:numFmt w:val="decimal"/>
      <w:suff w:val="space"/>
      <w:lvlText w:val="%1."/>
      <w:lvlJc w:val="left"/>
    </w:lvl>
  </w:abstractNum>
  <w:num w:numId="1">
    <w:abstractNumId w:val="17"/>
  </w:num>
  <w:num w:numId="2">
    <w:abstractNumId w:val="16"/>
  </w:num>
  <w:num w:numId="3">
    <w:abstractNumId w:val="14"/>
  </w:num>
  <w:num w:numId="4">
    <w:abstractNumId w:val="0"/>
  </w:num>
  <w:num w:numId="5">
    <w:abstractNumId w:val="5"/>
  </w:num>
  <w:num w:numId="6">
    <w:abstractNumId w:val="8"/>
  </w:num>
  <w:num w:numId="7">
    <w:abstractNumId w:val="9"/>
  </w:num>
  <w:num w:numId="8">
    <w:abstractNumId w:val="10"/>
  </w:num>
  <w:num w:numId="9">
    <w:abstractNumId w:val="1"/>
  </w:num>
  <w:num w:numId="10">
    <w:abstractNumId w:val="7"/>
  </w:num>
  <w:num w:numId="11">
    <w:abstractNumId w:val="6"/>
  </w:num>
  <w:num w:numId="12">
    <w:abstractNumId w:val="13"/>
  </w:num>
  <w:num w:numId="13">
    <w:abstractNumId w:val="3"/>
  </w:num>
  <w:num w:numId="14">
    <w:abstractNumId w:val="15"/>
  </w:num>
  <w:num w:numId="15">
    <w:abstractNumId w:val="2"/>
  </w:num>
  <w:num w:numId="16">
    <w:abstractNumId w:val="20"/>
  </w:num>
  <w:num w:numId="17">
    <w:abstractNumId w:val="11"/>
  </w:num>
  <w:num w:numId="18">
    <w:abstractNumId w:val="19"/>
  </w:num>
  <w:num w:numId="19">
    <w:abstractNumId w:val="18"/>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BiOWIxN2FhMzAxNzRiNWJjMzA1YWY4MTVjNzk1NDcifQ=="/>
  </w:docVars>
  <w:rsids>
    <w:rsidRoot w:val="005346C9"/>
    <w:rsid w:val="00225378"/>
    <w:rsid w:val="002C1B69"/>
    <w:rsid w:val="005346C9"/>
    <w:rsid w:val="007C6D18"/>
    <w:rsid w:val="008A6D2B"/>
    <w:rsid w:val="00EB7E60"/>
    <w:rsid w:val="00F1191B"/>
    <w:rsid w:val="019329D2"/>
    <w:rsid w:val="01E70628"/>
    <w:rsid w:val="021F6013"/>
    <w:rsid w:val="024B7594"/>
    <w:rsid w:val="02810A7C"/>
    <w:rsid w:val="02A824AD"/>
    <w:rsid w:val="02AA1175"/>
    <w:rsid w:val="02C16A01"/>
    <w:rsid w:val="02E96621"/>
    <w:rsid w:val="02F072F1"/>
    <w:rsid w:val="0305345B"/>
    <w:rsid w:val="03166E4C"/>
    <w:rsid w:val="033B50CF"/>
    <w:rsid w:val="03E539A3"/>
    <w:rsid w:val="04421544"/>
    <w:rsid w:val="0442248D"/>
    <w:rsid w:val="04522421"/>
    <w:rsid w:val="045A1585"/>
    <w:rsid w:val="04966BE4"/>
    <w:rsid w:val="05253F5F"/>
    <w:rsid w:val="053C0C8A"/>
    <w:rsid w:val="056B77C2"/>
    <w:rsid w:val="058D7738"/>
    <w:rsid w:val="05CD3FD8"/>
    <w:rsid w:val="05F33481"/>
    <w:rsid w:val="05FA7D44"/>
    <w:rsid w:val="06112117"/>
    <w:rsid w:val="06BC02D5"/>
    <w:rsid w:val="06DF5D71"/>
    <w:rsid w:val="06E5739D"/>
    <w:rsid w:val="071050D0"/>
    <w:rsid w:val="07454B02"/>
    <w:rsid w:val="07854B6B"/>
    <w:rsid w:val="081128A2"/>
    <w:rsid w:val="08253C58"/>
    <w:rsid w:val="083E4D1A"/>
    <w:rsid w:val="08B0361C"/>
    <w:rsid w:val="08E07D65"/>
    <w:rsid w:val="097F55EA"/>
    <w:rsid w:val="09C13E54"/>
    <w:rsid w:val="0A281ACE"/>
    <w:rsid w:val="0A481E7F"/>
    <w:rsid w:val="0AB66BC3"/>
    <w:rsid w:val="0AEF5D5B"/>
    <w:rsid w:val="0B81081E"/>
    <w:rsid w:val="0BCD3D94"/>
    <w:rsid w:val="0BD100F8"/>
    <w:rsid w:val="0C0A5B78"/>
    <w:rsid w:val="0C272694"/>
    <w:rsid w:val="0C50326D"/>
    <w:rsid w:val="0CA912FB"/>
    <w:rsid w:val="0CE71E24"/>
    <w:rsid w:val="0CF602B9"/>
    <w:rsid w:val="0D661C0C"/>
    <w:rsid w:val="0DA6726B"/>
    <w:rsid w:val="0DF465A6"/>
    <w:rsid w:val="0E1E54C4"/>
    <w:rsid w:val="0E4D5CB6"/>
    <w:rsid w:val="0E632100"/>
    <w:rsid w:val="0EAA135B"/>
    <w:rsid w:val="0EAF54E9"/>
    <w:rsid w:val="0EAF6971"/>
    <w:rsid w:val="0EB67D00"/>
    <w:rsid w:val="0ECA7307"/>
    <w:rsid w:val="0F2033CB"/>
    <w:rsid w:val="0F9C5147"/>
    <w:rsid w:val="106B4B1A"/>
    <w:rsid w:val="106D2640"/>
    <w:rsid w:val="10751948"/>
    <w:rsid w:val="107B5BE0"/>
    <w:rsid w:val="10900A00"/>
    <w:rsid w:val="109202F8"/>
    <w:rsid w:val="10CA684D"/>
    <w:rsid w:val="111D7BC2"/>
    <w:rsid w:val="114E0781"/>
    <w:rsid w:val="11576D6C"/>
    <w:rsid w:val="116352D6"/>
    <w:rsid w:val="116E3A5D"/>
    <w:rsid w:val="11B36B4A"/>
    <w:rsid w:val="122A4C8C"/>
    <w:rsid w:val="12A6008B"/>
    <w:rsid w:val="12EA7589"/>
    <w:rsid w:val="132D30A8"/>
    <w:rsid w:val="133E02C4"/>
    <w:rsid w:val="13595D0D"/>
    <w:rsid w:val="13BD743A"/>
    <w:rsid w:val="13C44C6D"/>
    <w:rsid w:val="142478A0"/>
    <w:rsid w:val="144E60BD"/>
    <w:rsid w:val="149B0E8A"/>
    <w:rsid w:val="14F7697C"/>
    <w:rsid w:val="15121A08"/>
    <w:rsid w:val="154F67B8"/>
    <w:rsid w:val="157B135B"/>
    <w:rsid w:val="160863B2"/>
    <w:rsid w:val="16495B3E"/>
    <w:rsid w:val="16526AE4"/>
    <w:rsid w:val="16573B76"/>
    <w:rsid w:val="16A14DF1"/>
    <w:rsid w:val="16C62AAA"/>
    <w:rsid w:val="16D74CB7"/>
    <w:rsid w:val="19151713"/>
    <w:rsid w:val="193957B5"/>
    <w:rsid w:val="194C06C0"/>
    <w:rsid w:val="196F1358"/>
    <w:rsid w:val="19837F2A"/>
    <w:rsid w:val="1A0758B3"/>
    <w:rsid w:val="1A4E703E"/>
    <w:rsid w:val="1A893148"/>
    <w:rsid w:val="1B1A2B1A"/>
    <w:rsid w:val="1B6F4B1B"/>
    <w:rsid w:val="1BA61858"/>
    <w:rsid w:val="1BD16179"/>
    <w:rsid w:val="1BF965F2"/>
    <w:rsid w:val="1C0F6CA1"/>
    <w:rsid w:val="1C1F7EE7"/>
    <w:rsid w:val="1C3A1F70"/>
    <w:rsid w:val="1C6012AB"/>
    <w:rsid w:val="1D0C6A66"/>
    <w:rsid w:val="1D234B0A"/>
    <w:rsid w:val="1D5D57EA"/>
    <w:rsid w:val="1E22594E"/>
    <w:rsid w:val="1E2F362A"/>
    <w:rsid w:val="1EBA0B8A"/>
    <w:rsid w:val="1ECB3486"/>
    <w:rsid w:val="1EEE287B"/>
    <w:rsid w:val="1EFA1543"/>
    <w:rsid w:val="1F185C1B"/>
    <w:rsid w:val="1F2D7B6A"/>
    <w:rsid w:val="1F980D5B"/>
    <w:rsid w:val="20476A09"/>
    <w:rsid w:val="20614532"/>
    <w:rsid w:val="206C46C2"/>
    <w:rsid w:val="207F70B2"/>
    <w:rsid w:val="20801F1B"/>
    <w:rsid w:val="20917D1D"/>
    <w:rsid w:val="20B836E6"/>
    <w:rsid w:val="217F6677"/>
    <w:rsid w:val="21B856E5"/>
    <w:rsid w:val="21BF6A73"/>
    <w:rsid w:val="22235254"/>
    <w:rsid w:val="223C144D"/>
    <w:rsid w:val="223D4010"/>
    <w:rsid w:val="22D402FC"/>
    <w:rsid w:val="230A5F68"/>
    <w:rsid w:val="23A61C99"/>
    <w:rsid w:val="243E6375"/>
    <w:rsid w:val="24813D24"/>
    <w:rsid w:val="248A5117"/>
    <w:rsid w:val="25693679"/>
    <w:rsid w:val="259756BC"/>
    <w:rsid w:val="25FB1098"/>
    <w:rsid w:val="26040EF9"/>
    <w:rsid w:val="260C30F7"/>
    <w:rsid w:val="27764078"/>
    <w:rsid w:val="27AA4F6F"/>
    <w:rsid w:val="27B54BA0"/>
    <w:rsid w:val="27CB6172"/>
    <w:rsid w:val="28E15521"/>
    <w:rsid w:val="29565B6D"/>
    <w:rsid w:val="29DF4D7B"/>
    <w:rsid w:val="2A4C2E6E"/>
    <w:rsid w:val="2A92703F"/>
    <w:rsid w:val="2AA077A9"/>
    <w:rsid w:val="2AA809EC"/>
    <w:rsid w:val="2AFA0B1C"/>
    <w:rsid w:val="2AFE0EA8"/>
    <w:rsid w:val="2B694756"/>
    <w:rsid w:val="2B7B6DE1"/>
    <w:rsid w:val="2B801021"/>
    <w:rsid w:val="2B8266EC"/>
    <w:rsid w:val="2B9164A3"/>
    <w:rsid w:val="2B98057D"/>
    <w:rsid w:val="2BF233C5"/>
    <w:rsid w:val="2BFB4ED7"/>
    <w:rsid w:val="2C025EDA"/>
    <w:rsid w:val="2C113116"/>
    <w:rsid w:val="2C204AC9"/>
    <w:rsid w:val="2C351E0C"/>
    <w:rsid w:val="2C3F4B36"/>
    <w:rsid w:val="2C534988"/>
    <w:rsid w:val="2C8608B9"/>
    <w:rsid w:val="2CC72906"/>
    <w:rsid w:val="2CE23E3F"/>
    <w:rsid w:val="2D855015"/>
    <w:rsid w:val="2E3A195C"/>
    <w:rsid w:val="2E9420B6"/>
    <w:rsid w:val="2EF73CF0"/>
    <w:rsid w:val="2F0B5447"/>
    <w:rsid w:val="2F3E36CD"/>
    <w:rsid w:val="2FC11C09"/>
    <w:rsid w:val="2FEC353D"/>
    <w:rsid w:val="301D32E3"/>
    <w:rsid w:val="30542A7D"/>
    <w:rsid w:val="305667F5"/>
    <w:rsid w:val="30BD4AC6"/>
    <w:rsid w:val="30C85944"/>
    <w:rsid w:val="30F54260"/>
    <w:rsid w:val="31CD6F8B"/>
    <w:rsid w:val="31D16A7B"/>
    <w:rsid w:val="31D9148B"/>
    <w:rsid w:val="31F40390"/>
    <w:rsid w:val="32015C68"/>
    <w:rsid w:val="322875D1"/>
    <w:rsid w:val="32701331"/>
    <w:rsid w:val="328412DF"/>
    <w:rsid w:val="32A44717"/>
    <w:rsid w:val="32F0738F"/>
    <w:rsid w:val="33920C6F"/>
    <w:rsid w:val="33BB353F"/>
    <w:rsid w:val="34272982"/>
    <w:rsid w:val="346C2A8B"/>
    <w:rsid w:val="349C065E"/>
    <w:rsid w:val="34AA5361"/>
    <w:rsid w:val="35037A49"/>
    <w:rsid w:val="35140511"/>
    <w:rsid w:val="35B0678D"/>
    <w:rsid w:val="35B430FE"/>
    <w:rsid w:val="35E31F79"/>
    <w:rsid w:val="369F2781"/>
    <w:rsid w:val="36A22794"/>
    <w:rsid w:val="36D02C6D"/>
    <w:rsid w:val="36E93C13"/>
    <w:rsid w:val="370D7188"/>
    <w:rsid w:val="37203D70"/>
    <w:rsid w:val="372F1B4E"/>
    <w:rsid w:val="37557806"/>
    <w:rsid w:val="37A62A66"/>
    <w:rsid w:val="37CB2491"/>
    <w:rsid w:val="38417D8A"/>
    <w:rsid w:val="384229D7"/>
    <w:rsid w:val="38555B96"/>
    <w:rsid w:val="38896E55"/>
    <w:rsid w:val="38A40870"/>
    <w:rsid w:val="38EE3768"/>
    <w:rsid w:val="38F452F3"/>
    <w:rsid w:val="391A3141"/>
    <w:rsid w:val="39B27192"/>
    <w:rsid w:val="39DB3B32"/>
    <w:rsid w:val="3A72247D"/>
    <w:rsid w:val="3AEC456D"/>
    <w:rsid w:val="3AEE3385"/>
    <w:rsid w:val="3AF17846"/>
    <w:rsid w:val="3B313DD8"/>
    <w:rsid w:val="3BD72A99"/>
    <w:rsid w:val="3C1D667F"/>
    <w:rsid w:val="3C9219DA"/>
    <w:rsid w:val="3CA32E35"/>
    <w:rsid w:val="3CF211DC"/>
    <w:rsid w:val="3CF96E86"/>
    <w:rsid w:val="3D8C7CFA"/>
    <w:rsid w:val="3DD11BB1"/>
    <w:rsid w:val="3DF37D79"/>
    <w:rsid w:val="3E5F540E"/>
    <w:rsid w:val="3E91626C"/>
    <w:rsid w:val="3EEA117C"/>
    <w:rsid w:val="3F1A6CC0"/>
    <w:rsid w:val="3F1E2BD3"/>
    <w:rsid w:val="3F23344A"/>
    <w:rsid w:val="404137B4"/>
    <w:rsid w:val="40464190"/>
    <w:rsid w:val="40CF3AE1"/>
    <w:rsid w:val="41C94730"/>
    <w:rsid w:val="41CA7043"/>
    <w:rsid w:val="41ED2A5B"/>
    <w:rsid w:val="41FD0E53"/>
    <w:rsid w:val="42122365"/>
    <w:rsid w:val="42A74A51"/>
    <w:rsid w:val="42B850ED"/>
    <w:rsid w:val="42D863FB"/>
    <w:rsid w:val="42FE4D96"/>
    <w:rsid w:val="433C5FEC"/>
    <w:rsid w:val="433C7ACC"/>
    <w:rsid w:val="439F7ECC"/>
    <w:rsid w:val="43CF26EE"/>
    <w:rsid w:val="43DD305D"/>
    <w:rsid w:val="43E837B0"/>
    <w:rsid w:val="44911445"/>
    <w:rsid w:val="44A72A1B"/>
    <w:rsid w:val="44D75CFE"/>
    <w:rsid w:val="44DB384C"/>
    <w:rsid w:val="452D591E"/>
    <w:rsid w:val="45326705"/>
    <w:rsid w:val="45523641"/>
    <w:rsid w:val="45553C41"/>
    <w:rsid w:val="45D313B0"/>
    <w:rsid w:val="45EC57D9"/>
    <w:rsid w:val="4645313C"/>
    <w:rsid w:val="46733559"/>
    <w:rsid w:val="467B63B8"/>
    <w:rsid w:val="4689127A"/>
    <w:rsid w:val="468C691A"/>
    <w:rsid w:val="46996820"/>
    <w:rsid w:val="46EB5A91"/>
    <w:rsid w:val="46ED56CD"/>
    <w:rsid w:val="46FA2178"/>
    <w:rsid w:val="470E79D1"/>
    <w:rsid w:val="471F0B67"/>
    <w:rsid w:val="477932D9"/>
    <w:rsid w:val="47F46BC7"/>
    <w:rsid w:val="480916A9"/>
    <w:rsid w:val="481375AF"/>
    <w:rsid w:val="48157B15"/>
    <w:rsid w:val="48A16BAF"/>
    <w:rsid w:val="48A26623"/>
    <w:rsid w:val="48D1071F"/>
    <w:rsid w:val="49634005"/>
    <w:rsid w:val="49DF11B1"/>
    <w:rsid w:val="4A1A51E7"/>
    <w:rsid w:val="4A500B9B"/>
    <w:rsid w:val="4A62606A"/>
    <w:rsid w:val="4AC00FE3"/>
    <w:rsid w:val="4ACA3C0F"/>
    <w:rsid w:val="4ADB7BCB"/>
    <w:rsid w:val="4B7A73E4"/>
    <w:rsid w:val="4BE24953"/>
    <w:rsid w:val="4BF91DDB"/>
    <w:rsid w:val="4C3103EA"/>
    <w:rsid w:val="4C5D11DF"/>
    <w:rsid w:val="4CD34FFD"/>
    <w:rsid w:val="4CDF1BF4"/>
    <w:rsid w:val="4D1A3604"/>
    <w:rsid w:val="4D7F6F33"/>
    <w:rsid w:val="4E4837C9"/>
    <w:rsid w:val="4EA053B3"/>
    <w:rsid w:val="4ECC5CC5"/>
    <w:rsid w:val="4EF433CA"/>
    <w:rsid w:val="4F781E8C"/>
    <w:rsid w:val="4F9D5D96"/>
    <w:rsid w:val="50190581"/>
    <w:rsid w:val="50A54F03"/>
    <w:rsid w:val="50B0566A"/>
    <w:rsid w:val="50CA7228"/>
    <w:rsid w:val="50CF1F80"/>
    <w:rsid w:val="510F4A72"/>
    <w:rsid w:val="514C1822"/>
    <w:rsid w:val="51840FBC"/>
    <w:rsid w:val="51874608"/>
    <w:rsid w:val="51B7313F"/>
    <w:rsid w:val="51D6733E"/>
    <w:rsid w:val="52224331"/>
    <w:rsid w:val="523A5B1F"/>
    <w:rsid w:val="52410C5B"/>
    <w:rsid w:val="526861E8"/>
    <w:rsid w:val="526D1A50"/>
    <w:rsid w:val="5281374D"/>
    <w:rsid w:val="52B4767F"/>
    <w:rsid w:val="53095C1D"/>
    <w:rsid w:val="535F4698"/>
    <w:rsid w:val="53C66AC7"/>
    <w:rsid w:val="53CF5879"/>
    <w:rsid w:val="53D845EF"/>
    <w:rsid w:val="53E07CA7"/>
    <w:rsid w:val="53E2021C"/>
    <w:rsid w:val="544B0D60"/>
    <w:rsid w:val="54524DC7"/>
    <w:rsid w:val="54F076C7"/>
    <w:rsid w:val="54F9581D"/>
    <w:rsid w:val="5527753F"/>
    <w:rsid w:val="55306D65"/>
    <w:rsid w:val="55E95CE9"/>
    <w:rsid w:val="56187031"/>
    <w:rsid w:val="57342B3C"/>
    <w:rsid w:val="575E5BD0"/>
    <w:rsid w:val="57AE25BB"/>
    <w:rsid w:val="57B7551B"/>
    <w:rsid w:val="57CD55D6"/>
    <w:rsid w:val="58005114"/>
    <w:rsid w:val="580F5357"/>
    <w:rsid w:val="58140E42"/>
    <w:rsid w:val="58577395"/>
    <w:rsid w:val="59213594"/>
    <w:rsid w:val="592B61C1"/>
    <w:rsid w:val="595349E6"/>
    <w:rsid w:val="59722042"/>
    <w:rsid w:val="59D32AE1"/>
    <w:rsid w:val="59DB1995"/>
    <w:rsid w:val="59F64A21"/>
    <w:rsid w:val="5A09375D"/>
    <w:rsid w:val="5A0A6F9A"/>
    <w:rsid w:val="5A3A17F8"/>
    <w:rsid w:val="5A5654C0"/>
    <w:rsid w:val="5A673AE1"/>
    <w:rsid w:val="5A9D6525"/>
    <w:rsid w:val="5ACF2DEC"/>
    <w:rsid w:val="5ADA7E9F"/>
    <w:rsid w:val="5AFC4F25"/>
    <w:rsid w:val="5B041AE6"/>
    <w:rsid w:val="5B3B1009"/>
    <w:rsid w:val="5B490B80"/>
    <w:rsid w:val="5B5D7173"/>
    <w:rsid w:val="5B6F3FE4"/>
    <w:rsid w:val="5B77068B"/>
    <w:rsid w:val="5BA65138"/>
    <w:rsid w:val="5C0D1BAE"/>
    <w:rsid w:val="5C2C7C7B"/>
    <w:rsid w:val="5CD94CAE"/>
    <w:rsid w:val="5CE768A3"/>
    <w:rsid w:val="5CEE34C1"/>
    <w:rsid w:val="5D5F6439"/>
    <w:rsid w:val="5E136863"/>
    <w:rsid w:val="5EA7022C"/>
    <w:rsid w:val="5EC92704"/>
    <w:rsid w:val="5ED13367"/>
    <w:rsid w:val="5EE27322"/>
    <w:rsid w:val="5EEE216B"/>
    <w:rsid w:val="5F357D99"/>
    <w:rsid w:val="5F597F1C"/>
    <w:rsid w:val="5F9956BD"/>
    <w:rsid w:val="602816AC"/>
    <w:rsid w:val="6075099A"/>
    <w:rsid w:val="614147D4"/>
    <w:rsid w:val="61581B1D"/>
    <w:rsid w:val="619012B7"/>
    <w:rsid w:val="61954B1F"/>
    <w:rsid w:val="619A0388"/>
    <w:rsid w:val="61B00EE2"/>
    <w:rsid w:val="61EE23E6"/>
    <w:rsid w:val="62314848"/>
    <w:rsid w:val="624731C8"/>
    <w:rsid w:val="62593D9F"/>
    <w:rsid w:val="62634C1E"/>
    <w:rsid w:val="62E0626E"/>
    <w:rsid w:val="631E66D7"/>
    <w:rsid w:val="637A5DE0"/>
    <w:rsid w:val="639B6977"/>
    <w:rsid w:val="63A3408B"/>
    <w:rsid w:val="63B15515"/>
    <w:rsid w:val="63C10E3C"/>
    <w:rsid w:val="64CD3547"/>
    <w:rsid w:val="650773BA"/>
    <w:rsid w:val="656B12B1"/>
    <w:rsid w:val="657F5D22"/>
    <w:rsid w:val="658E5B0E"/>
    <w:rsid w:val="65B61F12"/>
    <w:rsid w:val="662D3578"/>
    <w:rsid w:val="667E5B82"/>
    <w:rsid w:val="66853989"/>
    <w:rsid w:val="66B41C83"/>
    <w:rsid w:val="66E2751B"/>
    <w:rsid w:val="67343515"/>
    <w:rsid w:val="676F652F"/>
    <w:rsid w:val="681542C4"/>
    <w:rsid w:val="691049E1"/>
    <w:rsid w:val="695452C0"/>
    <w:rsid w:val="69AA5C34"/>
    <w:rsid w:val="6A002D52"/>
    <w:rsid w:val="6ABD5F60"/>
    <w:rsid w:val="6AE10832"/>
    <w:rsid w:val="6B6A0DCB"/>
    <w:rsid w:val="6BE7241B"/>
    <w:rsid w:val="6CEF6A2B"/>
    <w:rsid w:val="6D1504AB"/>
    <w:rsid w:val="6D81111B"/>
    <w:rsid w:val="6DCB5EE1"/>
    <w:rsid w:val="6DE36C13"/>
    <w:rsid w:val="6DE85FD7"/>
    <w:rsid w:val="6E0F17B6"/>
    <w:rsid w:val="6E166FE8"/>
    <w:rsid w:val="6E1A4B6F"/>
    <w:rsid w:val="6E5354E0"/>
    <w:rsid w:val="6E535B46"/>
    <w:rsid w:val="6E612268"/>
    <w:rsid w:val="6E7C509D"/>
    <w:rsid w:val="6E940BEF"/>
    <w:rsid w:val="6EF3446D"/>
    <w:rsid w:val="6F324855"/>
    <w:rsid w:val="6F5A2F04"/>
    <w:rsid w:val="6F681F38"/>
    <w:rsid w:val="6FB24AEE"/>
    <w:rsid w:val="6FC7611F"/>
    <w:rsid w:val="6FF2313D"/>
    <w:rsid w:val="70840239"/>
    <w:rsid w:val="70C858DB"/>
    <w:rsid w:val="70F829D5"/>
    <w:rsid w:val="7194581F"/>
    <w:rsid w:val="71E73B2D"/>
    <w:rsid w:val="71F15DA2"/>
    <w:rsid w:val="727B38BE"/>
    <w:rsid w:val="72B1108D"/>
    <w:rsid w:val="72B15531"/>
    <w:rsid w:val="72CB65F3"/>
    <w:rsid w:val="72D00747"/>
    <w:rsid w:val="72E66F89"/>
    <w:rsid w:val="73055389"/>
    <w:rsid w:val="734F0FD2"/>
    <w:rsid w:val="736B3932"/>
    <w:rsid w:val="736C0702"/>
    <w:rsid w:val="73843460"/>
    <w:rsid w:val="73EC25BF"/>
    <w:rsid w:val="7416389E"/>
    <w:rsid w:val="74DB737D"/>
    <w:rsid w:val="75101E4D"/>
    <w:rsid w:val="752E4BC6"/>
    <w:rsid w:val="75BA294F"/>
    <w:rsid w:val="75BA7A8F"/>
    <w:rsid w:val="760D0CD1"/>
    <w:rsid w:val="766528BB"/>
    <w:rsid w:val="76982FF6"/>
    <w:rsid w:val="77976AA4"/>
    <w:rsid w:val="780F5FBF"/>
    <w:rsid w:val="78173FB2"/>
    <w:rsid w:val="785250C1"/>
    <w:rsid w:val="787F19EA"/>
    <w:rsid w:val="78AC0D2E"/>
    <w:rsid w:val="78D67AA0"/>
    <w:rsid w:val="78F543CA"/>
    <w:rsid w:val="795B3AF3"/>
    <w:rsid w:val="79780B57"/>
    <w:rsid w:val="7981755F"/>
    <w:rsid w:val="7A6A66F1"/>
    <w:rsid w:val="7A6C19E9"/>
    <w:rsid w:val="7ADB75EF"/>
    <w:rsid w:val="7ADD3367"/>
    <w:rsid w:val="7B3B008E"/>
    <w:rsid w:val="7B570946"/>
    <w:rsid w:val="7BBF2A6D"/>
    <w:rsid w:val="7C1F52BA"/>
    <w:rsid w:val="7CC145C3"/>
    <w:rsid w:val="7CCD4D16"/>
    <w:rsid w:val="7D380D29"/>
    <w:rsid w:val="7D71005D"/>
    <w:rsid w:val="7D853AE4"/>
    <w:rsid w:val="7D87580C"/>
    <w:rsid w:val="7DEA37BD"/>
    <w:rsid w:val="7DF32EA2"/>
    <w:rsid w:val="7E3D5ECB"/>
    <w:rsid w:val="7E4C077A"/>
    <w:rsid w:val="7E775881"/>
    <w:rsid w:val="7F1070E3"/>
    <w:rsid w:val="7F887631"/>
    <w:rsid w:val="7F8C7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21"/>
    <w:qFormat/>
    <w:uiPriority w:val="0"/>
    <w:pPr>
      <w:keepNext/>
      <w:keepLines/>
      <w:spacing w:before="260" w:after="260" w:line="415" w:lineRule="auto"/>
      <w:outlineLvl w:val="1"/>
    </w:pPr>
    <w:rPr>
      <w:rFonts w:ascii="Cambria" w:hAnsi="Cambria"/>
      <w:b/>
      <w:bCs/>
      <w:sz w:val="32"/>
      <w:szCs w:val="32"/>
    </w:rPr>
  </w:style>
  <w:style w:type="paragraph" w:styleId="7">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next w:val="2"/>
    <w:qFormat/>
    <w:uiPriority w:val="0"/>
    <w:pPr>
      <w:spacing w:after="120"/>
      <w:ind w:left="200" w:leftChars="200"/>
    </w:pPr>
    <w:rPr>
      <w:rFonts w:ascii="仿宋_GB2312" w:hAnsi="仿宋_GB2312"/>
      <w:szCs w:val="32"/>
    </w:rPr>
  </w:style>
  <w:style w:type="paragraph" w:styleId="4">
    <w:name w:val="Plain Text"/>
    <w:basedOn w:val="1"/>
    <w:unhideWhenUsed/>
    <w:qFormat/>
    <w:uiPriority w:val="99"/>
    <w:rPr>
      <w:rFonts w:ascii="宋体" w:hAnsi="Courier New"/>
    </w:rPr>
  </w:style>
  <w:style w:type="paragraph" w:styleId="8">
    <w:name w:val="Body Text"/>
    <w:basedOn w:val="1"/>
    <w:qFormat/>
    <w:uiPriority w:val="0"/>
    <w:pPr>
      <w:spacing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next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标题 1 Char"/>
    <w:basedOn w:val="17"/>
    <w:link w:val="5"/>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6"/>
    <w:qFormat/>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5"/>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5"/>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四号正文"/>
    <w:basedOn w:val="1"/>
    <w:qFormat/>
    <w:uiPriority w:val="0"/>
    <w:pPr>
      <w:spacing w:line="360" w:lineRule="auto"/>
    </w:pPr>
    <w:rPr>
      <w:rFonts w:ascii="??" w:hAnsi="??"/>
      <w:color w:val="000000"/>
      <w:kern w:val="0"/>
      <w:sz w:val="28"/>
      <w:szCs w:val="21"/>
      <w:lang w:val="zh-CN"/>
    </w:r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 w:type="paragraph" w:customStyle="1" w:styleId="33">
    <w:name w:val="No Spacing"/>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收支上下年变动表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945.16</c:v>
                </c:pt>
                <c:pt idx="1">
                  <c:v>945.16</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907.48</c:v>
                </c:pt>
                <c:pt idx="1">
                  <c:v>907.48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823431935"/>
        <c:axId val="169162847"/>
      </c:barChart>
      <c:catAx>
        <c:axId val="8234319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9162847"/>
        <c:crosses val="autoZero"/>
        <c:auto val="1"/>
        <c:lblAlgn val="ctr"/>
        <c:lblOffset val="100"/>
        <c:noMultiLvlLbl val="0"/>
      </c:catAx>
      <c:valAx>
        <c:axId val="169162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3431935"/>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财政拨款收入</c:v>
                </c:pt>
              </c:strCache>
            </c:strRef>
          </c:cat>
          <c:val>
            <c:numRef>
              <c:f>Sheet1!$B$2</c:f>
              <c:numCache>
                <c:formatCode>General</c:formatCode>
                <c:ptCount val="1"/>
                <c:pt idx="0">
                  <c:v>8.2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749.62</c:v>
                </c:pt>
                <c:pt idx="1">
                  <c:v>157.86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财政拨款收支上下年变动表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945.16</c:v>
                </c:pt>
                <c:pt idx="1">
                  <c:v>945.16</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907.48</c:v>
                </c:pt>
                <c:pt idx="1">
                  <c:v>907.48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823431935"/>
        <c:axId val="169162847"/>
      </c:barChart>
      <c:catAx>
        <c:axId val="8234319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9162847"/>
        <c:crosses val="autoZero"/>
        <c:auto val="1"/>
        <c:lblAlgn val="ctr"/>
        <c:lblOffset val="100"/>
        <c:noMultiLvlLbl val="0"/>
      </c:catAx>
      <c:valAx>
        <c:axId val="169162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3431935"/>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财政拨款收支上下年变动表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一般公共财政拨款收入</c:v>
                </c:pt>
                <c:pt idx="1">
                  <c:v>一般公共财政拨款支出</c:v>
                </c:pt>
              </c:strCache>
            </c:strRef>
          </c:cat>
          <c:val>
            <c:numRef>
              <c:f>Sheet1!$B$2:$B$3</c:f>
              <c:numCache>
                <c:formatCode>General</c:formatCode>
                <c:ptCount val="2"/>
                <c:pt idx="0">
                  <c:v>945.16</c:v>
                </c:pt>
                <c:pt idx="1">
                  <c:v>945.16</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一般公共财政拨款收入</c:v>
                </c:pt>
                <c:pt idx="1">
                  <c:v>一般公共财政拨款支出</c:v>
                </c:pt>
              </c:strCache>
            </c:strRef>
          </c:cat>
          <c:val>
            <c:numRef>
              <c:f>Sheet1!$C$2:$C$3</c:f>
              <c:numCache>
                <c:formatCode>General</c:formatCode>
                <c:ptCount val="2"/>
                <c:pt idx="0">
                  <c:v>907.48</c:v>
                </c:pt>
                <c:pt idx="1">
                  <c:v>907.48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一般公共财政拨款收入</c:v>
                </c:pt>
                <c:pt idx="1">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823431935"/>
        <c:axId val="169162847"/>
      </c:barChart>
      <c:catAx>
        <c:axId val="8234319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9162847"/>
        <c:crosses val="autoZero"/>
        <c:auto val="1"/>
        <c:lblAlgn val="ctr"/>
        <c:lblOffset val="100"/>
        <c:noMultiLvlLbl val="0"/>
      </c:catAx>
      <c:valAx>
        <c:axId val="169162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3431935"/>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一般公共预算财政拨款支出构成图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720.27</c:v>
                </c:pt>
                <c:pt idx="1">
                  <c:v>94.09</c:v>
                </c:pt>
                <c:pt idx="2">
                  <c:v>42.39</c:v>
                </c:pt>
                <c:pt idx="3">
                  <c:v>50.73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三公经费支出情况表</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42.97</c:v>
                </c:pt>
                <c:pt idx="2">
                  <c:v>1.03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48</Pages>
  <Words>19665</Words>
  <Characters>21283</Characters>
  <Lines>58</Lines>
  <Paragraphs>16</Paragraphs>
  <TotalTime>110</TotalTime>
  <ScaleCrop>false</ScaleCrop>
  <LinksUpToDate>false</LinksUpToDate>
  <CharactersWithSpaces>22077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2025-09-18T02:53:45Z</cp:lastPrinted>
  <dcterms:modified xsi:type="dcterms:W3CDTF">2025-09-18T02:56:12Z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EEBB459259A34692A3BE4F4236310D61</vt:lpwstr>
  </property>
</Properties>
</file>