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红原县人大常委会办公室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rPr>
        <w:t>年部门预算编制的说明</w:t>
      </w:r>
    </w:p>
    <w:p>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6"/>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2.</w:t>
      </w:r>
      <w:r>
        <w:rPr>
          <w:rFonts w:hint="eastAsia" w:ascii="仿宋_GB2312" w:hAnsi="仿宋_GB2312" w:eastAsia="仿宋_GB2312" w:cs="仿宋_GB2312"/>
          <w:sz w:val="32"/>
          <w:szCs w:val="32"/>
          <w:shd w:val="clear" w:color="auto" w:fill="FFFFFF"/>
        </w:rPr>
        <w:t>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3.</w:t>
      </w:r>
      <w:r>
        <w:rPr>
          <w:rFonts w:hint="eastAsia" w:ascii="仿宋_GB2312" w:hAnsi="仿宋_GB2312" w:eastAsia="仿宋_GB2312" w:cs="仿宋_GB2312"/>
          <w:sz w:val="32"/>
          <w:szCs w:val="32"/>
          <w:shd w:val="clear" w:color="auto" w:fill="FFFFFF"/>
        </w:rPr>
        <w:t>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9"/>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9.</w:t>
      </w:r>
      <w:r>
        <w:rPr>
          <w:rFonts w:hint="eastAsia" w:ascii="仿宋_GB2312" w:hAnsi="仿宋_GB2312" w:eastAsia="仿宋_GB2312" w:cs="仿宋_GB2312"/>
          <w:sz w:val="32"/>
          <w:szCs w:val="32"/>
          <w:shd w:val="clear" w:color="auto" w:fill="FFFFFF"/>
        </w:rPr>
        <w:t>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w:t>
      </w:r>
      <w:bookmarkStart w:id="0" w:name="_GoBack"/>
      <w:bookmarkEnd w:id="0"/>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楷体_GB2312" w:hAnsi="楷体_GB2312" w:eastAsia="楷体_GB2312" w:cs="楷体_GB2312"/>
          <w:b/>
          <w:bCs w:val="0"/>
          <w:sz w:val="32"/>
          <w:szCs w:val="32"/>
          <w:lang w:eastAsia="zh-CN"/>
        </w:rPr>
      </w:pPr>
      <w:r>
        <w:rPr>
          <w:rFonts w:hint="eastAsia" w:ascii="仿宋_GB2312" w:hAnsi="仿宋_GB2312" w:eastAsia="仿宋_GB2312" w:cs="仿宋_GB2312"/>
          <w:sz w:val="32"/>
          <w:szCs w:val="32"/>
          <w:shd w:val="clear" w:color="auto" w:fill="FFFFFF"/>
          <w:lang w:val="en-US" w:eastAsia="zh-CN"/>
        </w:rPr>
        <w:t>11.</w:t>
      </w:r>
      <w:r>
        <w:rPr>
          <w:rFonts w:hint="eastAsia" w:ascii="仿宋_GB2312" w:hAnsi="仿宋_GB2312" w:eastAsia="仿宋_GB2312" w:cs="仿宋_GB2312"/>
          <w:sz w:val="32"/>
          <w:szCs w:val="32"/>
          <w:shd w:val="clear" w:color="auto" w:fill="FFFFFF"/>
        </w:rPr>
        <w:t>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pPr>
        <w:ind w:firstLine="642" w:firstLineChars="200"/>
        <w:rPr>
          <w:rFonts w:hint="eastAsia" w:ascii="Times New Roman" w:hAnsi="Times New Roman" w:eastAsia="仿宋_GB2312" w:cs="Times New Roman"/>
          <w:b/>
          <w:bCs/>
          <w:i w:val="0"/>
          <w:iCs w:val="0"/>
          <w:snapToGrid/>
          <w:color w:val="auto"/>
          <w:kern w:val="2"/>
          <w:sz w:val="32"/>
          <w:szCs w:val="32"/>
          <w:lang w:val="en-US" w:eastAsia="zh-CN" w:bidi="ar-SA"/>
        </w:rPr>
      </w:pPr>
      <w:r>
        <w:rPr>
          <w:rFonts w:hint="eastAsia" w:ascii="Times New Roman" w:hAnsi="Times New Roman" w:eastAsia="仿宋_GB2312" w:cs="Times New Roman"/>
          <w:b/>
          <w:bCs/>
          <w:i w:val="0"/>
          <w:iCs w:val="0"/>
          <w:snapToGrid/>
          <w:color w:val="auto"/>
          <w:kern w:val="2"/>
          <w:sz w:val="32"/>
          <w:szCs w:val="32"/>
          <w:lang w:val="en-US" w:eastAsia="zh-CN" w:bidi="ar-SA"/>
        </w:rPr>
        <w:t>1.始终用党的创新理论武装头脑，筑牢“思想阵地”</w:t>
      </w:r>
    </w:p>
    <w:p>
      <w:pPr>
        <w:ind w:firstLine="640" w:firstLineChars="200"/>
        <w:rPr>
          <w:rFonts w:hint="eastAsia" w:ascii="Times New Roman" w:hAnsi="Times New Roman" w:eastAsia="仿宋_GB2312" w:cs="Times New Roman"/>
          <w:b w:val="0"/>
          <w:bCs w:val="0"/>
          <w:i w:val="0"/>
          <w:iCs w:val="0"/>
          <w:snapToGrid/>
          <w:color w:val="auto"/>
          <w:kern w:val="2"/>
          <w:sz w:val="32"/>
          <w:szCs w:val="32"/>
          <w:lang w:val="en-US" w:eastAsia="zh-CN" w:bidi="ar-SA"/>
        </w:rPr>
      </w:pPr>
      <w:r>
        <w:rPr>
          <w:rFonts w:hint="eastAsia" w:ascii="Times New Roman" w:hAnsi="Times New Roman" w:eastAsia="仿宋_GB2312" w:cs="Times New Roman"/>
          <w:b w:val="0"/>
          <w:bCs w:val="0"/>
          <w:i w:val="0"/>
          <w:iCs w:val="0"/>
          <w:snapToGrid/>
          <w:color w:val="auto"/>
          <w:kern w:val="2"/>
          <w:sz w:val="32"/>
          <w:szCs w:val="32"/>
          <w:lang w:val="en-US" w:eastAsia="zh-CN" w:bidi="ar-SA"/>
        </w:rPr>
        <w:t>坚定不移用习近平新时代中国特色社会主义思想统一思想、统一意志、统一行动，坚持在深刻领悟“两个确立”的决定性意义中，进一步增强“四个意识”、坚定“四个自信”、做到“两个维护”。严格遵守政治纪律和政治规矩，及时就重大问题、重要事项、重点工作向县委请示报告，保证党的领导全面、系统、整体地落实到各方面全过程。依法讨论决定全县发展大局的重大事项，依法做好人事任免工作，加强对人大选举和任命人员的监督，对县政府18个组成部门开展履职评议,确保决定任免工作更加规范有序。积极推动县委十三届五次全会精神贯彻落实，加强前瞻性思考、全局性谋划、系统性推进，坚决做到县委工作重心在哪里，人大工作就跟进到哪里，作用就发挥到哪里。</w:t>
      </w:r>
    </w:p>
    <w:p>
      <w:pPr>
        <w:ind w:firstLine="642" w:firstLineChars="200"/>
        <w:rPr>
          <w:rFonts w:hint="eastAsia" w:ascii="Times New Roman" w:hAnsi="Times New Roman" w:eastAsia="仿宋_GB2312" w:cs="Times New Roman"/>
          <w:b/>
          <w:bCs/>
          <w:i w:val="0"/>
          <w:iCs w:val="0"/>
          <w:snapToGrid/>
          <w:color w:val="auto"/>
          <w:kern w:val="2"/>
          <w:sz w:val="32"/>
          <w:szCs w:val="32"/>
          <w:lang w:val="en-US" w:eastAsia="zh-CN" w:bidi="ar-SA"/>
        </w:rPr>
      </w:pPr>
      <w:r>
        <w:rPr>
          <w:rFonts w:hint="eastAsia" w:ascii="Times New Roman" w:hAnsi="Times New Roman" w:eastAsia="仿宋_GB2312" w:cs="Times New Roman"/>
          <w:b/>
          <w:bCs/>
          <w:i w:val="0"/>
          <w:iCs w:val="0"/>
          <w:snapToGrid/>
          <w:color w:val="auto"/>
          <w:kern w:val="2"/>
          <w:sz w:val="32"/>
          <w:szCs w:val="32"/>
          <w:lang w:val="en-US" w:eastAsia="zh-CN" w:bidi="ar-SA"/>
        </w:rPr>
        <w:t>2.坚持正确有效依法监督，守好“发展阵地”</w:t>
      </w:r>
    </w:p>
    <w:p>
      <w:pPr>
        <w:ind w:firstLine="640" w:firstLineChars="200"/>
        <w:rPr>
          <w:rFonts w:hint="eastAsia" w:ascii="Times New Roman" w:hAnsi="Times New Roman" w:eastAsia="仿宋_GB2312" w:cs="Times New Roman"/>
          <w:b w:val="0"/>
          <w:bCs w:val="0"/>
          <w:i w:val="0"/>
          <w:iCs w:val="0"/>
          <w:snapToGrid/>
          <w:color w:val="auto"/>
          <w:kern w:val="2"/>
          <w:sz w:val="32"/>
          <w:szCs w:val="32"/>
          <w:lang w:val="en-US" w:eastAsia="zh-CN" w:bidi="ar-SA"/>
        </w:rPr>
      </w:pPr>
      <w:r>
        <w:rPr>
          <w:rFonts w:hint="eastAsia" w:ascii="Times New Roman" w:hAnsi="Times New Roman" w:eastAsia="仿宋_GB2312" w:cs="Times New Roman"/>
          <w:b w:val="0"/>
          <w:bCs w:val="0"/>
          <w:i w:val="0"/>
          <w:iCs w:val="0"/>
          <w:snapToGrid/>
          <w:color w:val="auto"/>
          <w:kern w:val="2"/>
          <w:sz w:val="32"/>
          <w:szCs w:val="32"/>
          <w:lang w:val="en-US" w:eastAsia="zh-CN" w:bidi="ar-SA"/>
        </w:rPr>
        <w:t>牢牢把握坚持高质量发展这一新时代的硬道理，围绕县委十三届五次全会决策部署，紧扣县年度经济社会发展目标、项目建设、民生实事、依法行政、公正司法等，创新开展“目标监督、项目监督、实事监督、行政监督、司法监督”五项监督；聚焦民族团结进步、生态文明建设、农牧业现代化、现代园区建设、清洁能源开发、全域旅游创建“6个示范”，聚力民族团结进步、生态文明建设、特色优势产业、战略新兴产业、统筹发展安全、推动城乡融合、营造良好环境、增进民生福祉、加强党的建设“9项重点工作”，完善监督规则，凝聚监督合力，提升监督质效。抓好预算执行、审计、政府债务管理、国有资产管理等监督。按照州人大要求，2025年5月底完成预算联网监督示范点建设工作，迎接省人大检查验收。听取审议法治政府建设、红原县农业园区发展情况、2025年重点项目完成情况、优化营商环境工作情况、应急队伍建设情况等12个专项工作报告，开展《中小企业促进法》执法检查。加大对县法院、县检察院监督力度，听取和审议相关工作专项报告，提出意见建议，力促公正司法、公平正义。</w:t>
      </w:r>
    </w:p>
    <w:p>
      <w:pPr>
        <w:ind w:firstLine="642" w:firstLineChars="200"/>
        <w:rPr>
          <w:rFonts w:hint="eastAsia" w:ascii="Times New Roman" w:hAnsi="Times New Roman" w:eastAsia="仿宋_GB2312" w:cs="Times New Roman"/>
          <w:b/>
          <w:bCs/>
          <w:i w:val="0"/>
          <w:iCs w:val="0"/>
          <w:snapToGrid/>
          <w:color w:val="auto"/>
          <w:kern w:val="2"/>
          <w:sz w:val="32"/>
          <w:szCs w:val="32"/>
          <w:lang w:val="en-US" w:eastAsia="zh-CN" w:bidi="ar-SA"/>
        </w:rPr>
      </w:pPr>
      <w:r>
        <w:rPr>
          <w:rFonts w:hint="eastAsia" w:ascii="Times New Roman" w:hAnsi="Times New Roman" w:eastAsia="仿宋_GB2312" w:cs="Times New Roman"/>
          <w:b/>
          <w:bCs/>
          <w:i w:val="0"/>
          <w:iCs w:val="0"/>
          <w:snapToGrid/>
          <w:color w:val="auto"/>
          <w:kern w:val="2"/>
          <w:sz w:val="32"/>
          <w:szCs w:val="32"/>
          <w:lang w:val="en-US" w:eastAsia="zh-CN" w:bidi="ar-SA"/>
        </w:rPr>
        <w:t>3.不断丰富“代表在行动”活动内涵，拓展“履职阵地”</w:t>
      </w:r>
    </w:p>
    <w:p>
      <w:pPr>
        <w:ind w:firstLine="640" w:firstLineChars="200"/>
        <w:rPr>
          <w:rFonts w:hint="eastAsia" w:ascii="Times New Roman" w:hAnsi="Times New Roman" w:eastAsia="仿宋_GB2312" w:cs="Times New Roman"/>
          <w:b w:val="0"/>
          <w:bCs w:val="0"/>
          <w:i w:val="0"/>
          <w:iCs w:val="0"/>
          <w:snapToGrid/>
          <w:color w:val="auto"/>
          <w:kern w:val="2"/>
          <w:sz w:val="32"/>
          <w:szCs w:val="32"/>
          <w:lang w:val="en-US" w:eastAsia="zh-CN" w:bidi="ar-SA"/>
        </w:rPr>
      </w:pPr>
      <w:r>
        <w:rPr>
          <w:rFonts w:hint="eastAsia" w:ascii="Times New Roman" w:hAnsi="Times New Roman" w:eastAsia="仿宋_GB2312" w:cs="Times New Roman"/>
          <w:b w:val="0"/>
          <w:bCs w:val="0"/>
          <w:i w:val="0"/>
          <w:iCs w:val="0"/>
          <w:snapToGrid/>
          <w:color w:val="auto"/>
          <w:kern w:val="2"/>
          <w:sz w:val="32"/>
          <w:szCs w:val="32"/>
          <w:lang w:val="en-US" w:eastAsia="zh-CN" w:bidi="ar-SA"/>
        </w:rPr>
        <w:t>坚持把全过程人民民主贯彻落实到人大工作各方面、各环节、全过程，切实在尊重代表、依靠代表、服务代表上下功夫，丰富民主民意表达平台和载体，健全吸纳民意、汇集民智工作机制。坚持把建好管好用好代表之家作为践行和发展全过程人民民主的有力抓手，进一步加强“三化”建设，持续推进建家“三个进”工作，推动代表之家提档升级、建出特色、形成品牌。采取“请进来、走出去”相结合的方式，抓好代表学习培训，提升代表履职能力。坚持邀请代表列席常委会会议，参加视察、调研、执法检查和“一府一委两院”有关活动，持续拓宽代表知情资政渠道。认真抓好高质量议案建议提出、交办、督办、回访四个环节的工作，适时听取审议县第十五届人大四次会议代表建议意见办理情况的报告，持续推动人大代表议案建议内容高质量、办理高质量。持续开展“我为群众办实事——人大代表在行动”实践活动，密切人大代表与人民群众的联系。深化开展民生实事项目人大代表票决制工作，持续开展代表参与监督重点项目，推动代表履职更有作为。</w:t>
      </w:r>
    </w:p>
    <w:p>
      <w:pPr>
        <w:ind w:firstLine="642" w:firstLineChars="200"/>
        <w:rPr>
          <w:rFonts w:hint="eastAsia" w:ascii="Times New Roman" w:hAnsi="Times New Roman" w:eastAsia="仿宋_GB2312" w:cs="Times New Roman"/>
          <w:b/>
          <w:bCs/>
          <w:i w:val="0"/>
          <w:iCs w:val="0"/>
          <w:snapToGrid/>
          <w:color w:val="auto"/>
          <w:kern w:val="2"/>
          <w:sz w:val="32"/>
          <w:szCs w:val="32"/>
          <w:lang w:val="en-US" w:eastAsia="zh-CN" w:bidi="ar-SA"/>
        </w:rPr>
      </w:pPr>
      <w:r>
        <w:rPr>
          <w:rFonts w:hint="eastAsia" w:ascii="Times New Roman" w:hAnsi="Times New Roman" w:eastAsia="仿宋_GB2312" w:cs="Times New Roman"/>
          <w:b/>
          <w:bCs/>
          <w:i w:val="0"/>
          <w:iCs w:val="0"/>
          <w:snapToGrid/>
          <w:color w:val="auto"/>
          <w:kern w:val="2"/>
          <w:sz w:val="32"/>
          <w:szCs w:val="32"/>
          <w:lang w:val="en-US" w:eastAsia="zh-CN" w:bidi="ar-SA"/>
        </w:rPr>
        <w:t>4.牢牢把握“四个机关”工作定位，建强“服务阵地”</w:t>
      </w:r>
    </w:p>
    <w:p>
      <w:pPr>
        <w:ind w:firstLine="640" w:firstLineChars="200"/>
        <w:rPr>
          <w:rFonts w:hint="eastAsia" w:ascii="楷体_GB2312" w:hAnsi="楷体_GB2312" w:eastAsia="楷体_GB2312" w:cs="楷体_GB2312"/>
          <w:b/>
          <w:bCs w:val="0"/>
          <w:sz w:val="32"/>
          <w:szCs w:val="32"/>
          <w:lang w:eastAsia="zh-CN"/>
        </w:rPr>
      </w:pPr>
      <w:r>
        <w:rPr>
          <w:rFonts w:hint="eastAsia" w:ascii="Times New Roman" w:hAnsi="Times New Roman" w:eastAsia="仿宋_GB2312" w:cs="Times New Roman"/>
          <w:b w:val="0"/>
          <w:bCs w:val="0"/>
          <w:i w:val="0"/>
          <w:iCs w:val="0"/>
          <w:snapToGrid/>
          <w:color w:val="auto"/>
          <w:kern w:val="2"/>
          <w:sz w:val="32"/>
          <w:szCs w:val="32"/>
          <w:lang w:val="en-US" w:eastAsia="zh-CN" w:bidi="ar-SA"/>
        </w:rPr>
        <w:t>锚定“四个机关”定位，全面加强自身建设，充分发挥机关的综合服务功能，建强服务发展、服务群众、服务代表的机关阵地。坚决做到县委有号召、人大有行动、代表有作为。时刻牢记“国之大者”，善于从讲政治的高度谋划和推进工作，找准助推经济社会高质量发展的着力点，用高水平的调研、高水准的审议、高质量的建议，服务全县改革发展大局。坚持以人民为中心的发展思想，切实把群众观点、群众路线植根于思想中、落实到行动上，常态化问需于民、问计于民，坚决做到一心为民、服务群众。加强宣传舆论工作，把牢意识形态主阵地，推动根本政治制度深入人心。抓好新修订的《代表法》《监督法》贯彻落实。加强对县乡人大工作的指导和支持，深化上下协同联动，全面提升人大工作整体实效。加强制度建设，提升常委会及机关制度化规范化水平。积极拓展交流渠道，持续加强对外交流合作。依托阿坝州“智慧人大”平台，积极推进信息化建设，讲好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firstLine="640" w:firstLineChars="200"/>
        <w:jc w:val="both"/>
        <w:textAlignment w:val="auto"/>
        <w:outlineLvl w:val="9"/>
        <w:rPr>
          <w:rFonts w:hint="default"/>
          <w:sz w:val="32"/>
          <w:szCs w:val="32"/>
          <w:lang w:val="en-US"/>
        </w:rPr>
      </w:pPr>
      <w:r>
        <w:rPr>
          <w:rFonts w:hint="eastAsia" w:ascii="仿宋_GB2312" w:hAnsi="仿宋" w:eastAsia="仿宋_GB2312"/>
          <w:sz w:val="32"/>
          <w:szCs w:val="32"/>
        </w:rPr>
        <w:t>人大常委会办公室内设办公室、</w:t>
      </w:r>
      <w:r>
        <w:rPr>
          <w:rFonts w:hint="eastAsia" w:ascii="仿宋_GB2312" w:hAnsi="仿宋" w:eastAsia="仿宋_GB2312"/>
          <w:sz w:val="32"/>
          <w:szCs w:val="32"/>
          <w:lang w:val="en-US" w:eastAsia="zh-CN"/>
        </w:rPr>
        <w:t>法监司和民宗外事委</w:t>
      </w:r>
      <w:r>
        <w:rPr>
          <w:rFonts w:hint="eastAsia" w:ascii="仿宋_GB2312" w:hAnsi="仿宋" w:eastAsia="仿宋_GB2312"/>
          <w:sz w:val="32"/>
          <w:szCs w:val="32"/>
        </w:rPr>
        <w:t>、财经</w:t>
      </w:r>
      <w:r>
        <w:rPr>
          <w:rFonts w:hint="eastAsia" w:ascii="仿宋_GB2312" w:hAnsi="仿宋" w:eastAsia="仿宋_GB2312"/>
          <w:sz w:val="32"/>
          <w:szCs w:val="32"/>
          <w:lang w:val="en-US" w:eastAsia="zh-CN"/>
        </w:rPr>
        <w:t>农环</w:t>
      </w:r>
      <w:r>
        <w:rPr>
          <w:rFonts w:hint="eastAsia" w:ascii="仿宋_GB2312" w:hAnsi="仿宋" w:eastAsia="仿宋_GB2312"/>
          <w:sz w:val="32"/>
          <w:szCs w:val="32"/>
        </w:rPr>
        <w:t>委、教科文卫</w:t>
      </w:r>
      <w:r>
        <w:rPr>
          <w:rFonts w:hint="eastAsia" w:ascii="仿宋_GB2312" w:hAnsi="仿宋" w:eastAsia="仿宋_GB2312"/>
          <w:sz w:val="32"/>
          <w:szCs w:val="32"/>
          <w:lang w:val="en-US" w:eastAsia="zh-CN"/>
        </w:rPr>
        <w:t>和社建</w:t>
      </w:r>
      <w:r>
        <w:rPr>
          <w:rFonts w:hint="eastAsia" w:ascii="仿宋_GB2312" w:hAnsi="仿宋" w:eastAsia="仿宋_GB2312"/>
          <w:sz w:val="32"/>
          <w:szCs w:val="32"/>
        </w:rPr>
        <w:t>委及人代工委“四委一室”</w:t>
      </w:r>
      <w:r>
        <w:rPr>
          <w:rFonts w:hint="eastAsia" w:ascii="仿宋_GB2312" w:hAnsi="仿宋" w:eastAsia="仿宋_GB2312"/>
          <w:sz w:val="32"/>
          <w:szCs w:val="32"/>
          <w:lang w:val="en-US" w:eastAsia="zh-CN"/>
        </w:rPr>
        <w:t>，下设二级股级事业单位人大预算联网服务中心，</w:t>
      </w:r>
      <w:r>
        <w:rPr>
          <w:rFonts w:hint="eastAsia" w:ascii="仿宋_GB2312" w:hAnsi="仿宋_GB2312" w:eastAsia="仿宋_GB2312" w:cs="仿宋_GB2312"/>
          <w:color w:val="333333"/>
          <w:sz w:val="32"/>
          <w:szCs w:val="32"/>
          <w:shd w:val="clear" w:color="auto" w:fill="FFFFFF"/>
        </w:rPr>
        <w:t>我</w:t>
      </w:r>
      <w:r>
        <w:rPr>
          <w:rFonts w:hint="eastAsia" w:ascii="仿宋_GB2312" w:hAnsi="仿宋_GB2312" w:eastAsia="仿宋_GB2312" w:cs="仿宋_GB2312"/>
          <w:color w:val="333333"/>
          <w:sz w:val="32"/>
          <w:szCs w:val="32"/>
          <w:shd w:val="clear" w:color="auto" w:fill="FFFFFF"/>
          <w:lang w:eastAsia="zh-CN"/>
        </w:rPr>
        <w:t>单位</w:t>
      </w:r>
      <w:r>
        <w:rPr>
          <w:rFonts w:hint="eastAsia" w:ascii="仿宋_GB2312" w:hAnsi="仿宋_GB2312" w:eastAsia="仿宋_GB2312" w:cs="仿宋_GB2312"/>
          <w:color w:val="333333"/>
          <w:sz w:val="32"/>
          <w:szCs w:val="32"/>
          <w:shd w:val="clear" w:color="auto" w:fill="FFFFFF"/>
        </w:rPr>
        <w:t>为独立核算全额拨款行政单位</w:t>
      </w:r>
      <w:r>
        <w:rPr>
          <w:rFonts w:hint="eastAsia" w:ascii="仿宋_GB2312" w:hAnsi="仿宋_GB2312" w:eastAsia="仿宋_GB2312" w:cs="仿宋_GB2312"/>
          <w:color w:val="333333"/>
          <w:sz w:val="32"/>
          <w:szCs w:val="32"/>
          <w:shd w:val="clear" w:color="auto" w:fill="FFFFFF"/>
          <w:lang w:eastAsia="zh-CN"/>
        </w:rPr>
        <w:t>。截至</w:t>
      </w:r>
      <w:r>
        <w:rPr>
          <w:rFonts w:hint="eastAsia" w:ascii="仿宋_GB2312" w:hAnsi="仿宋_GB2312" w:eastAsia="仿宋_GB2312" w:cs="仿宋_GB2312"/>
          <w:color w:val="333333"/>
          <w:sz w:val="32"/>
          <w:szCs w:val="32"/>
          <w:shd w:val="clear" w:color="auto" w:fill="FFFFFF"/>
          <w:lang w:val="en-US" w:eastAsia="zh-CN"/>
        </w:rPr>
        <w:t>2024年底我办共有在职人员23人，其中公务员17人，行政工勤4人，事业管理人员2人。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eastAsia="zh-CN"/>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eastAsia="zh-CN"/>
        </w:rPr>
        <w:t>红</w:t>
      </w:r>
      <w:r>
        <w:rPr>
          <w:rFonts w:hint="eastAsia" w:ascii="仿宋_GB2312" w:eastAsia="仿宋_GB2312"/>
          <w:sz w:val="32"/>
          <w:szCs w:val="32"/>
          <w:lang w:eastAsia="zh-CN"/>
        </w:rPr>
        <w:t>原县人大办</w:t>
      </w:r>
      <w:r>
        <w:rPr>
          <w:rFonts w:hint="eastAsia" w:ascii="仿宋_GB2312" w:eastAsia="仿宋_GB2312"/>
          <w:sz w:val="32"/>
          <w:szCs w:val="32"/>
        </w:rPr>
        <w:t>收入预算总额为</w:t>
      </w:r>
      <w:r>
        <w:rPr>
          <w:rFonts w:hint="eastAsia" w:ascii="仿宋_GB2312" w:eastAsia="仿宋_GB2312"/>
          <w:sz w:val="32"/>
          <w:szCs w:val="32"/>
          <w:lang w:val="en-US" w:eastAsia="zh-CN"/>
        </w:rPr>
        <w:t>873.14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873.14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873.14</w:t>
      </w:r>
      <w:r>
        <w:rPr>
          <w:rFonts w:hint="eastAsia" w:ascii="仿宋_GB2312" w:eastAsia="仿宋_GB2312"/>
          <w:sz w:val="32"/>
          <w:szCs w:val="32"/>
        </w:rPr>
        <w:t>万元，</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744.36万元，项目支出128.78万元，</w:t>
      </w:r>
      <w:r>
        <w:rPr>
          <w:rFonts w:hint="eastAsia" w:ascii="仿宋_GB2312" w:eastAsia="仿宋_GB2312"/>
          <w:sz w:val="32"/>
          <w:szCs w:val="32"/>
        </w:rPr>
        <w:t>其中：一般公共服务</w:t>
      </w:r>
      <w:r>
        <w:rPr>
          <w:rFonts w:hint="eastAsia" w:ascii="仿宋_GB2312" w:eastAsia="仿宋_GB2312"/>
          <w:sz w:val="32"/>
          <w:szCs w:val="32"/>
          <w:lang w:val="en-US" w:eastAsia="zh-CN"/>
        </w:rPr>
        <w:t>685.02</w:t>
      </w:r>
      <w:r>
        <w:rPr>
          <w:rFonts w:hint="eastAsia" w:ascii="仿宋_GB2312" w:eastAsia="仿宋_GB2312"/>
          <w:sz w:val="32"/>
          <w:szCs w:val="32"/>
        </w:rPr>
        <w:t>万元，社会保障和就业</w:t>
      </w:r>
      <w:r>
        <w:rPr>
          <w:rFonts w:hint="eastAsia" w:ascii="仿宋_GB2312" w:eastAsia="仿宋_GB2312"/>
          <w:sz w:val="32"/>
          <w:szCs w:val="32"/>
          <w:lang w:val="en-US" w:eastAsia="zh-CN"/>
        </w:rPr>
        <w:t>96.12</w:t>
      </w:r>
      <w:r>
        <w:rPr>
          <w:rFonts w:hint="eastAsia" w:ascii="仿宋_GB2312" w:eastAsia="仿宋_GB2312"/>
          <w:sz w:val="32"/>
          <w:szCs w:val="32"/>
        </w:rPr>
        <w:t>万元，医疗卫生</w:t>
      </w:r>
      <w:r>
        <w:rPr>
          <w:rFonts w:hint="eastAsia" w:ascii="仿宋_GB2312" w:eastAsia="仿宋_GB2312"/>
          <w:sz w:val="32"/>
          <w:szCs w:val="32"/>
          <w:lang w:val="en-US" w:eastAsia="zh-CN"/>
        </w:rPr>
        <w:t>39.31</w:t>
      </w:r>
      <w:r>
        <w:rPr>
          <w:rFonts w:hint="eastAsia" w:ascii="仿宋_GB2312" w:eastAsia="仿宋_GB2312"/>
          <w:sz w:val="32"/>
          <w:szCs w:val="32"/>
        </w:rPr>
        <w:t>万元，住房保障支出</w:t>
      </w:r>
      <w:r>
        <w:rPr>
          <w:rFonts w:hint="eastAsia" w:ascii="仿宋_GB2312" w:eastAsia="仿宋_GB2312"/>
          <w:sz w:val="32"/>
          <w:szCs w:val="32"/>
          <w:lang w:val="en-US" w:eastAsia="zh-CN"/>
        </w:rPr>
        <w:t>52.69</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红原县人大办</w:t>
      </w:r>
      <w:r>
        <w:rPr>
          <w:rFonts w:hint="eastAsia" w:ascii="仿宋_GB2312" w:eastAsia="仿宋_GB2312"/>
          <w:sz w:val="32"/>
          <w:szCs w:val="32"/>
        </w:rPr>
        <w:t>预算安排支出主要用于保障该部门</w:t>
      </w:r>
      <w:r>
        <w:rPr>
          <w:rFonts w:hint="eastAsia" w:ascii="仿宋_GB2312" w:eastAsia="仿宋_GB2312"/>
          <w:sz w:val="32"/>
          <w:szCs w:val="32"/>
          <w:lang w:eastAsia="zh-CN"/>
        </w:rPr>
        <w:t>及下属</w:t>
      </w:r>
      <w:r>
        <w:rPr>
          <w:rFonts w:hint="eastAsia" w:ascii="仿宋_GB2312" w:eastAsia="仿宋_GB2312"/>
          <w:sz w:val="32"/>
          <w:szCs w:val="32"/>
        </w:rPr>
        <w:t>机构正常运转、完成日常工作任务以及承担</w:t>
      </w:r>
      <w:r>
        <w:rPr>
          <w:rFonts w:hint="eastAsia" w:ascii="仿宋_GB2312" w:eastAsia="仿宋_GB2312"/>
          <w:sz w:val="32"/>
          <w:szCs w:val="32"/>
          <w:lang w:eastAsia="zh-CN"/>
        </w:rPr>
        <w:t>人大</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744.36</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669.8万元，机关运行经费74.56万元，其中：办公费15.78万元，印刷费0.6万元，手续费0.1万元，水费0.5万元，邮电费4万元，取暖费2.38万元，差旅费3.6万元，维修维护费1万元，公务接待费0.45万元，工会经费4.81万元，福利费11.73万元，公务用车运行维护费23.2万元，其他商品和服务支出6.41万元（残保金）。项目支出128.78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（一）2010101</w:t>
      </w:r>
      <w:r>
        <w:rPr>
          <w:rFonts w:hint="eastAsia" w:ascii="仿宋_GB2312" w:eastAsia="仿宋_GB2312"/>
          <w:sz w:val="32"/>
          <w:szCs w:val="32"/>
          <w:lang w:val="en-US" w:eastAsia="zh-CN"/>
        </w:rPr>
        <w:t>-</w:t>
      </w:r>
      <w:r>
        <w:rPr>
          <w:rFonts w:hint="eastAsia" w:ascii="仿宋_GB2312" w:eastAsia="仿宋_GB2312"/>
          <w:sz w:val="32"/>
          <w:szCs w:val="32"/>
        </w:rPr>
        <w:t>行政运行</w:t>
      </w:r>
      <w:r>
        <w:rPr>
          <w:rFonts w:hint="eastAsia" w:ascii="仿宋_GB2312" w:eastAsia="仿宋_GB2312"/>
          <w:sz w:val="32"/>
          <w:szCs w:val="32"/>
          <w:lang w:val="en-US" w:eastAsia="zh-CN"/>
        </w:rPr>
        <w:t>519.18</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行政</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eastAsia="zh-CN"/>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）20101</w:t>
      </w:r>
      <w:r>
        <w:rPr>
          <w:rFonts w:hint="eastAsia" w:ascii="仿宋_GB2312" w:eastAsia="仿宋_GB2312"/>
          <w:sz w:val="32"/>
          <w:szCs w:val="32"/>
          <w:lang w:val="en-US" w:eastAsia="zh-CN"/>
        </w:rPr>
        <w:t>50-</w:t>
      </w:r>
      <w:r>
        <w:rPr>
          <w:rFonts w:hint="eastAsia" w:ascii="仿宋_GB2312" w:eastAsia="仿宋_GB2312"/>
          <w:sz w:val="32"/>
          <w:szCs w:val="32"/>
          <w:lang w:eastAsia="zh-CN"/>
        </w:rPr>
        <w:t>事业</w:t>
      </w:r>
      <w:r>
        <w:rPr>
          <w:rFonts w:hint="eastAsia" w:ascii="仿宋_GB2312" w:eastAsia="仿宋_GB2312"/>
          <w:sz w:val="32"/>
          <w:szCs w:val="32"/>
        </w:rPr>
        <w:t>运</w:t>
      </w:r>
      <w:r>
        <w:rPr>
          <w:rFonts w:hint="eastAsia" w:ascii="仿宋_GB2312" w:eastAsia="仿宋_GB2312"/>
          <w:sz w:val="32"/>
          <w:szCs w:val="32"/>
          <w:lang w:eastAsia="zh-CN"/>
        </w:rPr>
        <w:t>行</w:t>
      </w:r>
      <w:r>
        <w:rPr>
          <w:rFonts w:hint="eastAsia" w:ascii="仿宋_GB2312" w:eastAsia="仿宋_GB2312"/>
          <w:sz w:val="32"/>
          <w:szCs w:val="32"/>
          <w:lang w:val="en-US" w:eastAsia="zh-CN"/>
        </w:rPr>
        <w:t>37.06</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事业</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（三）2010102</w:t>
      </w:r>
      <w:r>
        <w:rPr>
          <w:rFonts w:hint="eastAsia" w:ascii="仿宋_GB2312" w:eastAsia="仿宋_GB2312"/>
          <w:sz w:val="32"/>
          <w:szCs w:val="32"/>
          <w:lang w:val="en-US" w:eastAsia="zh-CN"/>
        </w:rPr>
        <w:t>-</w:t>
      </w:r>
      <w:r>
        <w:rPr>
          <w:rFonts w:hint="eastAsia" w:ascii="仿宋_GB2312" w:eastAsia="仿宋_GB2312"/>
          <w:sz w:val="32"/>
          <w:szCs w:val="32"/>
          <w:lang w:eastAsia="zh-CN"/>
        </w:rPr>
        <w:t>一般行政管理事务</w:t>
      </w:r>
      <w:r>
        <w:rPr>
          <w:rFonts w:hint="eastAsia" w:ascii="仿宋_GB2312" w:eastAsia="仿宋_GB2312"/>
          <w:sz w:val="32"/>
          <w:szCs w:val="32"/>
          <w:lang w:val="en-US" w:eastAsia="zh-CN"/>
        </w:rPr>
        <w:t>35</w:t>
      </w:r>
      <w:r>
        <w:rPr>
          <w:rFonts w:hint="eastAsia" w:ascii="仿宋_GB2312" w:eastAsia="仿宋_GB2312"/>
          <w:sz w:val="32"/>
          <w:szCs w:val="32"/>
          <w:lang w:eastAsia="zh-CN"/>
        </w:rPr>
        <w:t>万元，为人大专项办公费，主要用于人大调研等工作开展费用，车辆保障、出差等费用；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（四）2010104</w:t>
      </w:r>
      <w:r>
        <w:rPr>
          <w:rFonts w:hint="eastAsia" w:ascii="仿宋_GB2312" w:eastAsia="仿宋_GB2312"/>
          <w:sz w:val="32"/>
          <w:szCs w:val="32"/>
          <w:lang w:val="en-US" w:eastAsia="zh-CN"/>
        </w:rPr>
        <w:t>-</w:t>
      </w:r>
      <w:r>
        <w:rPr>
          <w:rFonts w:hint="eastAsia" w:ascii="仿宋_GB2312" w:eastAsia="仿宋_GB2312"/>
          <w:sz w:val="32"/>
          <w:szCs w:val="32"/>
          <w:lang w:eastAsia="zh-CN"/>
        </w:rPr>
        <w:t>人大会议</w:t>
      </w:r>
      <w:r>
        <w:rPr>
          <w:rFonts w:hint="eastAsia" w:ascii="仿宋_GB2312" w:eastAsia="仿宋_GB2312"/>
          <w:sz w:val="32"/>
          <w:szCs w:val="32"/>
          <w:lang w:val="en-US" w:eastAsia="zh-CN"/>
        </w:rPr>
        <w:t>25</w:t>
      </w:r>
      <w:r>
        <w:rPr>
          <w:rFonts w:hint="eastAsia" w:ascii="仿宋_GB2312" w:eastAsia="仿宋_GB2312"/>
          <w:sz w:val="32"/>
          <w:szCs w:val="32"/>
          <w:lang w:eastAsia="zh-CN"/>
        </w:rPr>
        <w:t>万元，主要用于人大常委会及人代会议的住宿费、伙食费、会议室及会议通信线路租金、交通费、文件印刷费等支出；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（五）2010107</w:t>
      </w:r>
      <w:r>
        <w:rPr>
          <w:rFonts w:hint="eastAsia" w:ascii="仿宋_GB2312" w:eastAsia="仿宋_GB2312"/>
          <w:sz w:val="32"/>
          <w:szCs w:val="32"/>
          <w:lang w:val="en-US" w:eastAsia="zh-CN"/>
        </w:rPr>
        <w:t>-</w:t>
      </w:r>
      <w:r>
        <w:rPr>
          <w:rFonts w:hint="eastAsia" w:ascii="仿宋_GB2312" w:eastAsia="仿宋_GB2312"/>
          <w:sz w:val="32"/>
          <w:szCs w:val="32"/>
          <w:lang w:eastAsia="zh-CN"/>
        </w:rPr>
        <w:t>人大代表履职能力提升</w:t>
      </w:r>
      <w:r>
        <w:rPr>
          <w:rFonts w:hint="eastAsia" w:ascii="仿宋_GB2312" w:eastAsia="仿宋_GB2312"/>
          <w:sz w:val="32"/>
          <w:szCs w:val="32"/>
          <w:lang w:val="en-US" w:eastAsia="zh-CN"/>
        </w:rPr>
        <w:t>17</w:t>
      </w:r>
      <w:r>
        <w:rPr>
          <w:rFonts w:hint="eastAsia" w:ascii="仿宋_GB2312" w:eastAsia="仿宋_GB2312"/>
          <w:sz w:val="32"/>
          <w:szCs w:val="32"/>
          <w:lang w:eastAsia="zh-CN"/>
        </w:rPr>
        <w:t>元，主要州、县人大代表履职培训相关工作支出；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（六）</w:t>
      </w:r>
      <w:r>
        <w:rPr>
          <w:rFonts w:hint="eastAsia" w:ascii="仿宋_GB2312" w:eastAsia="仿宋_GB2312"/>
          <w:sz w:val="32"/>
          <w:szCs w:val="32"/>
          <w:lang w:val="en-US" w:eastAsia="zh-CN"/>
        </w:rPr>
        <w:t>2010108-代表工作30万元，主要用于开展代表调研考察等活动相关开支。</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（七）2080505</w:t>
      </w:r>
      <w:r>
        <w:rPr>
          <w:rFonts w:hint="eastAsia" w:ascii="仿宋_GB2312" w:eastAsia="仿宋_GB2312"/>
          <w:sz w:val="32"/>
          <w:szCs w:val="32"/>
          <w:lang w:val="en-US" w:eastAsia="zh-CN"/>
        </w:rPr>
        <w:t>-</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64.08</w:t>
      </w:r>
      <w:r>
        <w:rPr>
          <w:rFonts w:hint="eastAsia" w:ascii="仿宋_GB2312" w:eastAsia="仿宋_GB2312"/>
          <w:sz w:val="32"/>
          <w:szCs w:val="32"/>
          <w:lang w:eastAsia="zh-CN"/>
        </w:rPr>
        <w:t>万元，全部用于行政及事业在职职工缴纳单位部分养老保险；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（八）2080506-机关事业单位职业年金缴费支出32.04万元，全部用于</w:t>
      </w:r>
      <w:r>
        <w:rPr>
          <w:rFonts w:hint="eastAsia" w:ascii="仿宋_GB2312" w:eastAsia="仿宋_GB2312"/>
          <w:sz w:val="32"/>
          <w:szCs w:val="32"/>
          <w:lang w:eastAsia="zh-CN"/>
        </w:rPr>
        <w:t>行政及事业</w:t>
      </w:r>
      <w:r>
        <w:rPr>
          <w:rFonts w:hint="eastAsia" w:ascii="仿宋_GB2312" w:eastAsia="仿宋_GB2312"/>
          <w:sz w:val="32"/>
          <w:szCs w:val="32"/>
          <w:lang w:val="en-US" w:eastAsia="zh-CN"/>
        </w:rPr>
        <w:t>在职职工缴纳单位部分职业年金；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（九）2101101-行政单位医疗26.01万元，全部用于缴纳行政在职职工单位部分医疗保险；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val="en-US" w:eastAsia="zh-CN"/>
        </w:rPr>
      </w:pPr>
      <w:r>
        <w:rPr>
          <w:rFonts w:hint="eastAsia" w:ascii="仿宋_GB2312" w:eastAsia="仿宋_GB2312"/>
          <w:sz w:val="32"/>
          <w:szCs w:val="32"/>
          <w:lang w:val="en-US" w:eastAsia="zh-CN"/>
        </w:rPr>
        <w:t>（十）2101102-事业单位医疗2.02万元，全部用于缴纳事业在职职工单位部分医疗保险；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（十一）2101103-公务员医疗补助支出10.84万元，全部用于缴纳行政在职职工公务员医疗保险；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 xml:space="preserve"> （十二）2101199-其他行政事业单位医疗支出0.44万元，全部用于缴纳事业在职职工公务员医疗保险；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（十三）2210201-住房公积金支出52.69万元，全部用于缴纳行政及事业在职职工单位部分住房公积金。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（十四）</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2010106-人大监督支出21.78万元，主要用于预算联网监督系统升级改造等开支。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873.14万元，较上年度预算897.82万元减少了24.68万元，下降3%，其中基本运行经费预算744.36万元，占全部总预算的85%，较上年790.82万元减少了46.46万元，下降了6%，下降主要原因是人员的正常变动；专项业务工作经费预算128.78万元，占总预算的15%，与上年预算107万元相比增加21.78万元，增加主要原因是根据阿人办</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w:t>
      </w:r>
      <w:r>
        <w:rPr>
          <w:rFonts w:hint="eastAsia" w:ascii="仿宋_GB2312" w:eastAsia="仿宋_GB2312"/>
          <w:sz w:val="32"/>
          <w:szCs w:val="32"/>
          <w:lang w:val="en-US" w:eastAsia="zh-CN"/>
        </w:rPr>
        <w:t>76号文件要求，我办将在2025年5月底前完成预算联网监督示范点建设工作，此项工作涉及预算联网系统5个模块的升级及新增2个模块，同时购置一台国产笔记本电脑，根据测算此项工作需财政资金21.78万元。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37.11万元，比上年减少0.53万元，下降1%，下降主要原因是根据实际工作需要，严格落实中央八项规定，减少不必要的开支。其中：出国费0万元，与上年持平，主要原因为未安排因公出国；公车购置费0元，与上年持平，主要原因为2025年未有公车购置安排；公务用车维护费支出32.66万元，与上年持平，主要是按照厉行节约要求减少公车开支；公务接待费4.45万元，较上年度预算减少0.53万元，下降11%，主要原因是2025年我办将结合本年度工作需要，厉行节约，严格按照扫码支付相关要求，减少不必要的接待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本单位2025年无使用政府性基金预算拨款安排的支出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本单位2025年无使用国有资本经营预算拨款安排的支出。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2025年度安排政府采购预算21.78万元，主要用于</w:t>
      </w:r>
      <w:r>
        <w:rPr>
          <w:rFonts w:hint="eastAsia" w:ascii="仿宋_GB2312" w:eastAsia="仿宋_GB2312"/>
          <w:sz w:val="32"/>
          <w:szCs w:val="32"/>
          <w:lang w:eastAsia="zh-CN"/>
        </w:rPr>
        <w:t>预算联网督查系统升级改造等</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4"/>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截止2024年底，实际共有固定资产价值原值395.39万</w:t>
      </w:r>
    </w:p>
    <w:p>
      <w:pPr>
        <w:pStyle w:val="4"/>
        <w:numPr>
          <w:ilvl w:val="0"/>
          <w:numId w:val="0"/>
        </w:numPr>
        <w:rPr>
          <w:rFonts w:hint="eastAsia" w:ascii="仿宋_GB2312" w:eastAsia="仿宋_GB2312"/>
          <w:sz w:val="32"/>
          <w:szCs w:val="32"/>
          <w:lang w:val="en-US" w:eastAsia="zh-CN"/>
        </w:rPr>
      </w:pPr>
      <w:r>
        <w:rPr>
          <w:rFonts w:hint="eastAsia" w:ascii="仿宋_GB2312" w:eastAsia="仿宋_GB2312"/>
          <w:sz w:val="32"/>
          <w:szCs w:val="32"/>
          <w:lang w:eastAsia="zh-CN"/>
        </w:rPr>
        <w:t>元：其中：公务用车</w:t>
      </w:r>
      <w:r>
        <w:rPr>
          <w:rFonts w:hint="eastAsia" w:ascii="仿宋_GB2312" w:eastAsia="仿宋_GB2312"/>
          <w:sz w:val="32"/>
          <w:szCs w:val="32"/>
          <w:lang w:val="en-US" w:eastAsia="zh-CN"/>
        </w:rPr>
        <w:t>4辆价值256.88万</w:t>
      </w:r>
      <w:r>
        <w:rPr>
          <w:rFonts w:hint="eastAsia" w:ascii="仿宋_GB2312" w:eastAsia="仿宋_GB2312"/>
          <w:sz w:val="32"/>
          <w:szCs w:val="32"/>
          <w:lang w:eastAsia="zh-CN"/>
        </w:rPr>
        <w:t>元；房屋</w:t>
      </w:r>
      <w:r>
        <w:rPr>
          <w:rFonts w:hint="eastAsia" w:ascii="仿宋_GB2312" w:eastAsia="仿宋_GB2312"/>
          <w:sz w:val="32"/>
          <w:szCs w:val="32"/>
          <w:lang w:val="en-US" w:eastAsia="zh-CN"/>
        </w:rPr>
        <w:t>1702.29平方米，价值32.5万元</w:t>
      </w:r>
      <w:r>
        <w:rPr>
          <w:rFonts w:hint="eastAsia" w:ascii="仿宋_GB2312" w:eastAsia="仿宋_GB2312"/>
          <w:sz w:val="32"/>
          <w:szCs w:val="32"/>
          <w:lang w:eastAsia="zh-CN"/>
        </w:rPr>
        <w:t>，通用设备</w:t>
      </w:r>
      <w:r>
        <w:rPr>
          <w:rFonts w:hint="eastAsia" w:ascii="仿宋_GB2312" w:eastAsia="仿宋_GB2312"/>
          <w:sz w:val="32"/>
          <w:szCs w:val="32"/>
          <w:lang w:val="en-US" w:eastAsia="zh-CN"/>
        </w:rPr>
        <w:t>价值73.83万元，家具用具32.18万元。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绩效目标是预算编制的前提和基础，按照“费随事定”的原则，2025年我单位项目支出按要求编制了绩效目标，从项目完成、项目效益、满意度等方面做了测评，具体情况详见附表6。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right="0" w:rightChars="0" w:hanging="640" w:hangingChars="200"/>
        <w:jc w:val="both"/>
        <w:textAlignment w:val="auto"/>
        <w:outlineLvl w:val="9"/>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表2-1.财政拨款支出预算表（部门经济分类科目</w:t>
      </w:r>
      <w:r>
        <w:rPr>
          <w:rFonts w:hint="eastAsia" w:ascii="仿宋_GB2312" w:eastAsia="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 xml:space="preserve"> 表4.政府性基金预算支出预算表 </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960" w:firstLineChars="3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表6.项目支出绩效目标表</w:t>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r>
        <w:rPr>
          <w:rFonts w:hint="eastAsia" w:ascii="仿宋_GB2312" w:eastAsia="仿宋_GB2312"/>
          <w:sz w:val="32"/>
          <w:szCs w:val="32"/>
          <w:lang w:val="en-US" w:eastAsia="zh-CN"/>
        </w:rPr>
        <w:tab/>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5F78432A"/>
    <w:rsid w:val="04D035F5"/>
    <w:rsid w:val="05D9297D"/>
    <w:rsid w:val="12303925"/>
    <w:rsid w:val="137D5290"/>
    <w:rsid w:val="146D0E60"/>
    <w:rsid w:val="17516817"/>
    <w:rsid w:val="19C1402F"/>
    <w:rsid w:val="21555156"/>
    <w:rsid w:val="21B26104"/>
    <w:rsid w:val="225C2514"/>
    <w:rsid w:val="25916979"/>
    <w:rsid w:val="277E173A"/>
    <w:rsid w:val="2D75517C"/>
    <w:rsid w:val="2F1A41CB"/>
    <w:rsid w:val="2F7B047E"/>
    <w:rsid w:val="326A5F0A"/>
    <w:rsid w:val="33291F9F"/>
    <w:rsid w:val="35EB5C31"/>
    <w:rsid w:val="3B7DCAC4"/>
    <w:rsid w:val="3BC136BC"/>
    <w:rsid w:val="40407744"/>
    <w:rsid w:val="405F34A4"/>
    <w:rsid w:val="4072099E"/>
    <w:rsid w:val="413216BD"/>
    <w:rsid w:val="42022339"/>
    <w:rsid w:val="42EB7271"/>
    <w:rsid w:val="462036D5"/>
    <w:rsid w:val="477F52FA"/>
    <w:rsid w:val="49927FF5"/>
    <w:rsid w:val="49C8304E"/>
    <w:rsid w:val="50F47C38"/>
    <w:rsid w:val="53746E0E"/>
    <w:rsid w:val="54C16083"/>
    <w:rsid w:val="54F05869"/>
    <w:rsid w:val="55306D65"/>
    <w:rsid w:val="597B1764"/>
    <w:rsid w:val="5EC549C2"/>
    <w:rsid w:val="5F78432A"/>
    <w:rsid w:val="63272054"/>
    <w:rsid w:val="64F41B5D"/>
    <w:rsid w:val="65744A4C"/>
    <w:rsid w:val="66AF0431"/>
    <w:rsid w:val="6E6303B7"/>
    <w:rsid w:val="6EE113A4"/>
    <w:rsid w:val="6F573414"/>
    <w:rsid w:val="748C590E"/>
    <w:rsid w:val="75A021FE"/>
    <w:rsid w:val="79DC406F"/>
    <w:rsid w:val="7D824D38"/>
    <w:rsid w:val="7E333984"/>
    <w:rsid w:val="7FD840FD"/>
    <w:rsid w:val="7FFFC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5">
    <w:name w:val="Body Text"/>
    <w:basedOn w:val="1"/>
    <w:qFormat/>
    <w:uiPriority w:val="0"/>
    <w:pPr>
      <w:spacing w:before="93" w:beforeLines="30"/>
    </w:pPr>
    <w:rPr>
      <w:rFonts w:ascii="仿宋_GB2312" w:eastAsia="仿宋_GB2312"/>
      <w:sz w:val="30"/>
    </w:rPr>
  </w:style>
  <w:style w:type="paragraph" w:styleId="6">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9">
    <w:name w:val="Hyperlink"/>
    <w:basedOn w:val="8"/>
    <w:qFormat/>
    <w:uiPriority w:val="0"/>
    <w:rPr>
      <w:rFonts w:hint="default"/>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4049</Words>
  <Characters>4179</Characters>
  <Lines>0</Lines>
  <Paragraphs>0</Paragraphs>
  <TotalTime>27</TotalTime>
  <ScaleCrop>false</ScaleCrop>
  <LinksUpToDate>false</LinksUpToDate>
  <CharactersWithSpaces>4220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user</cp:lastModifiedBy>
  <dcterms:modified xsi:type="dcterms:W3CDTF">2025-06-05T15:39:49Z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905A95002CFF48908DF1E8E671947C19_13</vt:lpwstr>
  </property>
</Properties>
</file>