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06267"/>
      <w:bookmarkStart w:id="1" w:name="_Toc15378441"/>
      <w:bookmarkStart w:id="2" w:name="_Toc15377425"/>
      <w:bookmarkStart w:id="3" w:name="_Toc15396475"/>
      <w:bookmarkStart w:id="4" w:name="_Toc15377193"/>
      <w:bookmarkStart w:id="5" w:name="_Toc1539659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bookmarkEnd w:id="0"/>
    <w:bookmarkEnd w:id="1"/>
    <w:bookmarkEnd w:id="2"/>
    <w:bookmarkEnd w:id="3"/>
    <w:bookmarkEnd w:id="4"/>
    <w:bookmarkEnd w:id="5"/>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8"/>
          <w:rFonts w:hint="eastAsia" w:ascii="方正小标宋简体" w:hAnsi="方正小标宋简体" w:eastAsia="方正小标宋简体" w:cs="方正小标宋简体"/>
          <w:sz w:val="44"/>
          <w:szCs w:val="44"/>
          <w:shd w:val="clear" w:color="auto" w:fill="FFFFFF"/>
        </w:rPr>
        <w:t>202</w:t>
      </w:r>
      <w:r>
        <w:rPr>
          <w:rStyle w:val="18"/>
          <w:rFonts w:hint="eastAsia" w:ascii="方正小标宋简体" w:hAnsi="方正小标宋简体" w:eastAsia="方正小标宋简体" w:cs="方正小标宋简体"/>
          <w:sz w:val="44"/>
          <w:szCs w:val="44"/>
          <w:shd w:val="clear" w:color="auto" w:fill="FFFFFF"/>
          <w:lang w:val="en-US" w:eastAsia="zh-CN"/>
        </w:rPr>
        <w:t>3</w:t>
      </w:r>
      <w:r>
        <w:rPr>
          <w:rStyle w:val="18"/>
          <w:rFonts w:hint="eastAsia" w:ascii="方正小标宋简体" w:hAnsi="方正小标宋简体" w:eastAsia="方正小标宋简体" w:cs="方正小标宋简体"/>
          <w:sz w:val="44"/>
          <w:szCs w:val="44"/>
          <w:shd w:val="clear" w:color="auto" w:fill="FFFFFF"/>
        </w:rPr>
        <w:t>年度</w:t>
      </w:r>
    </w:p>
    <w:p>
      <w:pPr>
        <w:pStyle w:val="15"/>
        <w:keepNext w:val="0"/>
        <w:keepLines w:val="0"/>
        <w:widowControl/>
        <w:suppressLineNumbers w:val="0"/>
        <w:ind w:left="0" w:right="75"/>
        <w:jc w:val="center"/>
        <w:rPr>
          <w:rStyle w:val="18"/>
          <w:rFonts w:hint="eastAsia" w:ascii="方正小标宋简体" w:hAnsi="方正小标宋简体" w:eastAsia="方正小标宋简体" w:cs="方正小标宋简体"/>
          <w:sz w:val="44"/>
          <w:szCs w:val="44"/>
          <w:shd w:val="clear" w:color="auto" w:fill="FFFFFF"/>
          <w:lang w:eastAsia="zh-CN"/>
        </w:rPr>
      </w:pPr>
      <w:r>
        <w:rPr>
          <w:rStyle w:val="18"/>
          <w:rFonts w:hint="eastAsia" w:ascii="方正小标宋简体" w:hAnsi="方正小标宋简体" w:eastAsia="方正小标宋简体" w:cs="方正小标宋简体"/>
          <w:sz w:val="44"/>
          <w:szCs w:val="44"/>
          <w:shd w:val="clear" w:color="auto" w:fill="FFFFFF"/>
        </w:rPr>
        <w:t>红原县人民代表大会常务委员会办公</w:t>
      </w:r>
      <w:r>
        <w:rPr>
          <w:rStyle w:val="18"/>
          <w:rFonts w:hint="eastAsia" w:ascii="方正小标宋简体" w:hAnsi="方正小标宋简体" w:eastAsia="方正小标宋简体" w:cs="方正小标宋简体"/>
          <w:sz w:val="44"/>
          <w:szCs w:val="44"/>
          <w:shd w:val="clear" w:color="auto" w:fill="FFFFFF"/>
          <w:lang w:eastAsia="zh-CN"/>
        </w:rPr>
        <w:t>室</w:t>
      </w:r>
    </w:p>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8"/>
          <w:rFonts w:hint="eastAsia" w:ascii="方正小标宋简体" w:hAnsi="方正小标宋简体" w:eastAsia="方正小标宋简体" w:cs="方正小标宋简体"/>
          <w:sz w:val="44"/>
          <w:szCs w:val="44"/>
          <w:shd w:val="clear" w:color="auto" w:fill="FFFFFF"/>
        </w:rPr>
        <w:t>部门决算</w:t>
      </w:r>
      <w:r>
        <w:rPr>
          <w:rStyle w:val="18"/>
          <w:rFonts w:hint="eastAsia" w:ascii="方正小标宋简体" w:hAnsi="方正小标宋简体" w:eastAsia="方正小标宋简体" w:cs="方正小标宋简体"/>
          <w:sz w:val="44"/>
          <w:szCs w:val="44"/>
          <w:shd w:val="clear" w:color="auto" w:fill="FFFFFF"/>
          <w:lang w:eastAsia="zh-CN"/>
        </w:rPr>
        <w:t>公开编制说明</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pStyle w:val="2"/>
        <w:rPr>
          <w:rFonts w:ascii="方正小标宋简体" w:eastAsia="方正小标宋简体"/>
          <w:sz w:val="36"/>
          <w:szCs w:val="36"/>
        </w:rPr>
      </w:pPr>
    </w:p>
    <w:p>
      <w:pPr>
        <w:pStyle w:val="4"/>
        <w:rPr>
          <w:rFonts w:ascii="方正小标宋简体" w:eastAsia="方正小标宋简体"/>
          <w:sz w:val="36"/>
          <w:szCs w:val="36"/>
        </w:rPr>
      </w:pPr>
    </w:p>
    <w:p>
      <w:pPr>
        <w:pStyle w:val="4"/>
        <w:rPr>
          <w:rFonts w:ascii="方正小标宋简体" w:eastAsia="方正小标宋简体"/>
          <w:sz w:val="36"/>
          <w:szCs w:val="36"/>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pStyle w:val="15"/>
        <w:keepNext w:val="0"/>
        <w:keepLines w:val="0"/>
        <w:widowControl/>
        <w:suppressLineNumbers w:val="0"/>
        <w:ind w:left="0" w:right="75"/>
        <w:jc w:val="left"/>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12</w:t>
      </w:r>
      <w:r>
        <w:rPr>
          <w:rFonts w:hint="eastAsia"/>
        </w:rPr>
        <w:t>日</w:t>
      </w:r>
      <w:bookmarkStart w:id="187" w:name="_GoBack"/>
      <w:bookmarkEnd w:id="187"/>
    </w:p>
    <w:p/>
    <w:sdt>
      <w:sdtPr>
        <w:rPr>
          <w:rFonts w:ascii="宋体" w:hAnsi="宋体" w:eastAsia="宋体" w:cs="Times New Roman"/>
          <w:kern w:val="2"/>
          <w:sz w:val="21"/>
          <w:szCs w:val="24"/>
          <w:lang w:val="en-US" w:eastAsia="zh-CN" w:bidi="ar-SA"/>
        </w:rPr>
        <w:id w:val="147451071"/>
        <w15:color w:val="DBDBDB"/>
        <w:docPartObj>
          <w:docPartGallery w:val="Table of Contents"/>
          <w:docPartUnique/>
        </w:docPartObj>
      </w:sdtPr>
      <w:sdtEndPr>
        <w:rPr>
          <w:rFonts w:hint="eastAsia" w:ascii="仿宋_GB2312" w:hAnsi="仿宋_GB2312" w:eastAsia="仿宋_GB2312" w:cs="仿宋_GB2312"/>
          <w:b/>
          <w:color w:val="auto"/>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bookmarkStart w:id="6" w:name="_Toc15377196"/>
          <w:bookmarkStart w:id="7" w:name="_Toc15396599"/>
        </w:p>
        <w:p>
          <w:pPr>
            <w:pStyle w:val="13"/>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TOC \o "1-2" \h \u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_Toc16019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第一部分 部门概况</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_Toc16019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_Toc31358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一、 部门职责</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_Toc13721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二、机构设置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_Toc13721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_Toc16164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第二部分 202</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年度</w:t>
          </w:r>
          <w:r>
            <w:rPr>
              <w:rFonts w:hint="eastAsia" w:ascii="仿宋_GB2312" w:hAnsi="仿宋_GB2312" w:eastAsia="仿宋_GB2312" w:cs="仿宋_GB2312"/>
              <w:b/>
              <w:bCs/>
              <w:sz w:val="28"/>
              <w:szCs w:val="28"/>
            </w:rPr>
            <w:t>部门决算情况说明</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_Toc16164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9</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_Toc7064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 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_Toc7064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_Toc24050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 收入决算情况说明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_Toc24050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_Toc1784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 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_Toc31432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四、财政拨款收入支出决算总体情况说明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_Toc31432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_Toc17525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五、一般公共预算财政拨款支出决算情况说明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_Toc17525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_Toc13941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六、一般公共预算财政拨款基本支出决算情况说明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_Toc13941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_Toc4299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七、财政拨款“三公”经费支出决算情况说明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_Toc22646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八、政府性基金预算支出决算情况说明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_Toc22646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_Toc1631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九、 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_Toc1631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_Toc4892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十、 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_Toc4892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_Toc31207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第三部分 名词解释</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_Toc31207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30</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3"/>
            <w:tabs>
              <w:tab w:val="right" w:leader="dot" w:pos="8306"/>
              <w:tab w:val="clear" w:pos="8296"/>
            </w:tabs>
            <w:rPr>
              <w:rFonts w:hint="eastAsia"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_Toc17629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第四部分 附件</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_Toc17629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33</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3"/>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b/>
              <w:bCs/>
              <w:color w:val="auto"/>
              <w:sz w:val="28"/>
              <w:szCs w:val="28"/>
            </w:rPr>
            <w:fldChar w:fldCharType="begin"/>
          </w:r>
          <w:r>
            <w:rPr>
              <w:rFonts w:hint="eastAsia" w:ascii="仿宋_GB2312" w:hAnsi="仿宋_GB2312" w:eastAsia="仿宋_GB2312" w:cs="仿宋_GB2312"/>
              <w:b/>
              <w:bCs/>
              <w:sz w:val="28"/>
              <w:szCs w:val="28"/>
            </w:rPr>
            <w:instrText xml:space="preserve"> HYPERLINK \l _Toc20539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第五部分 附表</w:t>
          </w:r>
          <w:r>
            <w:rPr>
              <w:rFonts w:hint="eastAsia" w:ascii="仿宋_GB2312" w:hAnsi="仿宋_GB2312" w:eastAsia="仿宋_GB2312" w:cs="仿宋_GB2312"/>
              <w:b/>
              <w:bCs/>
              <w:sz w:val="28"/>
              <w:szCs w:val="28"/>
            </w:rPr>
            <w:tab/>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PAGEREF _Toc20539 \h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41</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_Toc7319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一、收</w:t>
          </w:r>
          <w:r>
            <w:rPr>
              <w:rFonts w:hint="eastAsia" w:ascii="仿宋_GB2312" w:hAnsi="仿宋_GB2312" w:eastAsia="仿宋_GB2312" w:cs="仿宋_GB2312"/>
              <w:bCs w:val="0"/>
              <w:sz w:val="28"/>
              <w:szCs w:val="28"/>
            </w:rPr>
            <w:t>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_Toc7319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_Toc31354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二、收</w:t>
          </w:r>
          <w:r>
            <w:rPr>
              <w:rFonts w:hint="eastAsia" w:ascii="仿宋_GB2312" w:hAnsi="仿宋_GB2312" w:eastAsia="仿宋_GB2312" w:cs="仿宋_GB2312"/>
              <w:bCs w:val="0"/>
              <w:sz w:val="28"/>
              <w:szCs w:val="28"/>
            </w:rPr>
            <w:t>入决算表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_Toc31354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_Toc24023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三、</w:t>
          </w:r>
          <w:r>
            <w:rPr>
              <w:rFonts w:hint="eastAsia" w:ascii="仿宋_GB2312" w:hAnsi="仿宋_GB2312" w:eastAsia="仿宋_GB2312" w:cs="仿宋_GB2312"/>
              <w:sz w:val="28"/>
              <w:szCs w:val="28"/>
            </w:rPr>
            <w:t>支</w:t>
          </w:r>
          <w:r>
            <w:rPr>
              <w:rFonts w:hint="eastAsia" w:ascii="仿宋_GB2312" w:hAnsi="仿宋_GB2312" w:eastAsia="仿宋_GB2312" w:cs="仿宋_GB2312"/>
              <w:bCs w:val="0"/>
              <w:sz w:val="28"/>
              <w:szCs w:val="28"/>
            </w:rPr>
            <w:t>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_Toc24023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_Toc10976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四、</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_Toc21466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五、</w:t>
          </w:r>
          <w:r>
            <w:rPr>
              <w:rFonts w:hint="eastAsia" w:ascii="仿宋_GB2312" w:hAnsi="仿宋_GB2312" w:eastAsia="仿宋_GB2312" w:cs="仿宋_GB2312"/>
              <w:sz w:val="28"/>
              <w:szCs w:val="28"/>
            </w:rPr>
            <w:t>财</w:t>
          </w:r>
          <w:r>
            <w:rPr>
              <w:rFonts w:hint="eastAsia" w:ascii="仿宋_GB2312" w:hAnsi="仿宋_GB2312" w:eastAsia="仿宋_GB2312" w:cs="仿宋_GB2312"/>
              <w:bCs w:val="0"/>
              <w:sz w:val="28"/>
              <w:szCs w:val="28"/>
            </w:rPr>
            <w:t>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_Toc2143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六、</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_Toc32100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七、</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_Toc17350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八、</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_Toc17350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_Toc10434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九、</w:t>
          </w:r>
          <w:r>
            <w:rPr>
              <w:rFonts w:hint="eastAsia" w:ascii="仿宋_GB2312" w:hAnsi="仿宋_GB2312" w:eastAsia="仿宋_GB2312" w:cs="仿宋_GB2312"/>
              <w:sz w:val="28"/>
              <w:szCs w:val="28"/>
            </w:rPr>
            <w:t>一</w:t>
          </w:r>
          <w:r>
            <w:rPr>
              <w:rFonts w:hint="eastAsia" w:ascii="仿宋_GB2312" w:hAnsi="仿宋_GB2312" w:eastAsia="仿宋_GB2312" w:cs="仿宋_GB2312"/>
              <w:bCs w:val="0"/>
              <w:sz w:val="28"/>
              <w:szCs w:val="28"/>
            </w:rPr>
            <w:t>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_Toc10434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_Toc6168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w:t>
          </w:r>
          <w:r>
            <w:rPr>
              <w:rFonts w:hint="eastAsia" w:ascii="仿宋_GB2312" w:hAnsi="仿宋_GB2312" w:eastAsia="仿宋_GB2312" w:cs="仿宋_GB2312"/>
              <w:sz w:val="28"/>
              <w:szCs w:val="28"/>
            </w:rPr>
            <w:t>政</w:t>
          </w:r>
          <w:r>
            <w:rPr>
              <w:rFonts w:hint="eastAsia" w:ascii="仿宋_GB2312" w:hAnsi="仿宋_GB2312" w:eastAsia="仿宋_GB2312" w:cs="仿宋_GB2312"/>
              <w:bCs w:val="0"/>
              <w:sz w:val="28"/>
              <w:szCs w:val="28"/>
            </w:rPr>
            <w:t>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_Toc6168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_Toc23336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十一、</w:t>
          </w:r>
          <w:r>
            <w:rPr>
              <w:rFonts w:hint="eastAsia" w:ascii="仿宋_GB2312" w:hAnsi="仿宋_GB2312" w:eastAsia="仿宋_GB2312" w:cs="仿宋_GB2312"/>
              <w:sz w:val="28"/>
              <w:szCs w:val="28"/>
            </w:rPr>
            <w:t>国</w:t>
          </w:r>
          <w:r>
            <w:rPr>
              <w:rFonts w:hint="eastAsia" w:ascii="仿宋_GB2312" w:hAnsi="仿宋_GB2312" w:eastAsia="仿宋_GB2312" w:cs="仿宋_GB2312"/>
              <w:bCs w:val="0"/>
              <w:sz w:val="28"/>
              <w:szCs w:val="28"/>
            </w:rPr>
            <w:t>有资本经营预算财政拨款收入支出决算表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_Toc23336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_Toc23283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十二、国有资本经营预算财政拨款支出决算表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_Toc23283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_Toc19470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十三、财政拨款“三公”经费支出决算表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_Toc19470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pStyle w:val="14"/>
            <w:tabs>
              <w:tab w:val="right" w:leader="dot" w:pos="8306"/>
              <w:tab w:val="clear" w:pos="8296"/>
            </w:tabs>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sz w:val="28"/>
              <w:szCs w:val="28"/>
            </w:rPr>
            <w:instrText xml:space="preserve"> HYPERLINK \l _Toc1273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sz w:val="28"/>
              <w:szCs w:val="28"/>
            </w:rPr>
            <w:t>十四、部门项目支出绩效目标表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auto"/>
              <w:sz w:val="28"/>
              <w:szCs w:val="28"/>
            </w:rPr>
            <w:fldChar w:fldCharType="end"/>
          </w:r>
        </w:p>
        <w:p>
          <w:pP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end"/>
          </w:r>
        </w:p>
      </w:sdtContent>
    </w:sdt>
    <w:p>
      <w:pPr>
        <w:pStyle w:val="5"/>
        <w:jc w:val="center"/>
        <w:rPr>
          <w:rFonts w:hint="eastAsia" w:ascii="黑体" w:eastAsia="黑体"/>
          <w:b w:val="0"/>
        </w:rPr>
      </w:pPr>
      <w:bookmarkStart w:id="8" w:name="_Toc16019"/>
    </w:p>
    <w:p>
      <w:pPr>
        <w:pStyle w:val="5"/>
        <w:jc w:val="both"/>
        <w:rPr>
          <w:rFonts w:hint="eastAsia" w:ascii="黑体" w:eastAsia="黑体"/>
          <w:b w:val="0"/>
        </w:rPr>
      </w:pPr>
    </w:p>
    <w:p>
      <w:pPr>
        <w:rPr>
          <w:rFonts w:hint="eastAsia"/>
        </w:rPr>
      </w:pPr>
    </w:p>
    <w:p>
      <w:pPr>
        <w:pStyle w:val="5"/>
        <w:jc w:val="center"/>
        <w:rPr>
          <w:rStyle w:val="20"/>
          <w:rFonts w:ascii="黑体" w:eastAsia="黑体"/>
          <w:b/>
          <w:bCs w:val="0"/>
        </w:rPr>
      </w:pPr>
      <w:r>
        <w:rPr>
          <w:rFonts w:hint="eastAsia" w:ascii="黑体" w:eastAsia="黑体"/>
          <w:b w:val="0"/>
        </w:rPr>
        <w:t xml:space="preserve">第一部分 </w:t>
      </w:r>
      <w:r>
        <w:rPr>
          <w:rStyle w:val="20"/>
          <w:rFonts w:hint="eastAsia" w:ascii="黑体" w:eastAsia="黑体"/>
          <w:b w:val="0"/>
          <w:bCs w:val="0"/>
        </w:rPr>
        <w:t>部门概况</w:t>
      </w:r>
      <w:bookmarkEnd w:id="6"/>
      <w:bookmarkEnd w:id="7"/>
      <w:bookmarkEnd w:id="8"/>
    </w:p>
    <w:p>
      <w:pPr>
        <w:widowControl/>
        <w:jc w:val="left"/>
        <w:rPr>
          <w:rFonts w:ascii="黑体" w:eastAsia="黑体"/>
          <w:sz w:val="32"/>
          <w:szCs w:val="32"/>
        </w:rPr>
      </w:pPr>
    </w:p>
    <w:p>
      <w:pPr>
        <w:pStyle w:val="6"/>
        <w:numPr>
          <w:ilvl w:val="0"/>
          <w:numId w:val="1"/>
        </w:numPr>
        <w:rPr>
          <w:rFonts w:hint="eastAsia" w:ascii="黑体" w:eastAsia="黑体"/>
          <w:b w:val="0"/>
          <w:bCs/>
        </w:rPr>
      </w:pPr>
      <w:bookmarkStart w:id="9" w:name="_Toc31358"/>
      <w:r>
        <w:rPr>
          <w:rFonts w:hint="eastAsia" w:ascii="黑体" w:eastAsia="黑体"/>
          <w:b w:val="0"/>
          <w:bCs/>
        </w:rPr>
        <w:t>部门职责</w:t>
      </w:r>
      <w:bookmarkEnd w:id="9"/>
    </w:p>
    <w:p>
      <w:pPr>
        <w:pStyle w:val="15"/>
        <w:keepNext w:val="0"/>
        <w:keepLines w:val="0"/>
        <w:pageBreakBefore w:val="0"/>
        <w:widowControl/>
        <w:numPr>
          <w:ilvl w:val="0"/>
          <w:numId w:val="2"/>
        </w:numPr>
        <w:suppressLineNumbers w:val="0"/>
        <w:kinsoku/>
        <w:wordWrap/>
        <w:overflowPunct/>
        <w:topLinePunct w:val="0"/>
        <w:autoSpaceDE/>
        <w:autoSpaceDN/>
        <w:bidi w:val="0"/>
        <w:adjustRightInd/>
        <w:snapToGrid/>
        <w:spacing w:line="576" w:lineRule="exact"/>
        <w:ind w:left="0" w:right="75"/>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主要职能。</w:t>
      </w:r>
    </w:p>
    <w:p>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right="75" w:rightChars="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1.综合办公室主要职能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2.人大常委会财政经济预算和农业农村城乡环境保护委员会主要职能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（1）为县人大常委会审议财政经济方面的各种报告，开展初审工作并提出意见，草拟县人大常委会会议相应的审议意见。</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（2）根据常委会议和主任会议安排，承担对财政、经济方面的执法检查、代表视察和代表评议的牵头工作。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（3）按照对口联系范围，经常联系财政和其他经济管理部门，开展调查研究工作，印发有关调查报告。</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（4）承办上级人大对口的专门委员会发来的法律法规征求意见的整理上报工作。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3.县人大常委会法制监察司法和民族宗教外事委员会主要职能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（1）为县人大常委会会议，审议政法方面的各种工作报告，开展初审，提出意见，草拟县人大常委会会议的相应审议意见。</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（2）根据常委会议及主任会议安排，承担对政法和司法机关，以及法制建设执法检查、代表视察和代表评议的牵头工作。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（3）按照对口联系范围经常对公、检、法、司等部门，开展调查研究工作，印发有关电查报告。</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（4）承办上级人大对口专门委员会发来的法律法规征求意见和整理上报工作。  </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（5）办理本工作委员会的全部文书档案工作。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4.县人大常委会教育科学文化卫生和社会建设委员会主要职能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（1）为县人大常委会审议教育、科学、文化、卫生、民族宗教等方面的各种报告，开展初审工作，提出初审意见，草拟常委会会议相应的审议意见。</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（2）根据常委会议和主任会议安排，承担对教育、科技、文化、卫生、民族、宗教等方面的执法检查、代表视察和代表评议的牵头工作。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（3）按照对口联系范围，经常联系教育、科技、文化、卫生、民族、宗教等部门，开展调查研究工作，印发调查报告。</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（4）承办上级对口专门委员会发来的法律法规征求意见和整理上报工作。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（5）办理本工作委员会的全部文书档案工作。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（6）承担领导交办的其他工作。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5.县人大常委人事代表工作委员会主要职能</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（1）办理人民代表大会及其常务委员会人事任免的具体工作。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 xml:space="preserve">  （2）加强同县委、组织部、纪委、上级人大常委会对口部门、乡镇党委、本级“一府两院”的人事监察部门、政工机构和信访部门的配合与联系。</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（3）搞好对县人大常委会任命的国家机关工作人员的述职评议工作。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（4）承担换届选举方面的具体工作和由上面交办的人民代表大会制度和人大工作方面的法律、法规的征求意见，整理上报工作。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（5）做好代表联系，办理代表议案建议、批评和意见，办理人民群众的来信来访工作。</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（6）承担县人大常委会代表资格审查委员会的有关具体工作和指导乡、镇人大及其主席团的工作。</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6.预算联网中心主要职能</w:t>
      </w:r>
    </w:p>
    <w:p>
      <w:pPr>
        <w:keepNext w:val="0"/>
        <w:keepLines w:val="0"/>
        <w:pageBreakBefore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负责全县预算及相关预算执行相关数据的监督等管理工作。</w:t>
      </w:r>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3</w:t>
      </w:r>
      <w:r>
        <w:rPr>
          <w:rFonts w:hint="eastAsia" w:ascii="楷体_GB2312" w:hAnsi="楷体_GB2312" w:eastAsia="楷体_GB2312" w:cs="楷体_GB2312"/>
          <w:b/>
          <w:bCs/>
          <w:sz w:val="32"/>
          <w:szCs w:val="32"/>
          <w:shd w:val="clear" w:color="auto" w:fill="FFFFFF"/>
        </w:rPr>
        <w:t>年重点工作完成情况。</w:t>
      </w:r>
    </w:p>
    <w:p>
      <w:pPr>
        <w:pStyle w:val="15"/>
        <w:keepNext w:val="0"/>
        <w:keepLines w:val="0"/>
        <w:widowControl/>
        <w:numPr>
          <w:numId w:val="0"/>
        </w:numPr>
        <w:suppressLineNumbers w:val="0"/>
        <w:shd w:val="clear" w:fill="FFFFFF"/>
        <w:spacing w:before="0" w:beforeAutospacing="0" w:after="100" w:afterAutospacing="0"/>
        <w:ind w:right="0" w:rightChars="0" w:firstLine="643" w:firstLineChars="200"/>
        <w:jc w:val="both"/>
        <w:rPr>
          <w:rFonts w:hint="eastAsia" w:ascii="仿宋_GB2312" w:hAnsi="仿宋_GB2312" w:eastAsia="仿宋_GB2312" w:cs="仿宋_GB2312"/>
          <w:color w:val="000000"/>
          <w:kern w:val="0"/>
          <w:sz w:val="32"/>
          <w:szCs w:val="32"/>
          <w:lang w:val="en-US" w:eastAsia="zh-CN" w:bidi="ar-SA"/>
        </w:rPr>
      </w:pPr>
      <w:bookmarkStart w:id="10" w:name="_Toc15377200"/>
      <w:bookmarkStart w:id="11" w:name="_Toc15396601"/>
      <w:r>
        <w:rPr>
          <w:rFonts w:hint="eastAsia" w:ascii="楷体_GB2312" w:hAnsi="楷体_GB2312" w:eastAsia="楷体_GB2312" w:cs="楷体_GB2312"/>
          <w:b/>
          <w:bCs/>
          <w:color w:val="000000"/>
          <w:kern w:val="0"/>
          <w:sz w:val="32"/>
          <w:szCs w:val="32"/>
          <w:lang w:val="en-US" w:eastAsia="zh-CN" w:bidi="ar-SA"/>
        </w:rPr>
        <w:t>1.坚决贯彻县委决策部署。</w:t>
      </w:r>
      <w:r>
        <w:rPr>
          <w:rFonts w:hint="eastAsia" w:ascii="仿宋_GB2312" w:hAnsi="仿宋_GB2312" w:eastAsia="仿宋_GB2312" w:cs="仿宋_GB2312"/>
          <w:color w:val="000000"/>
          <w:kern w:val="0"/>
          <w:sz w:val="32"/>
          <w:szCs w:val="32"/>
          <w:lang w:val="en-US" w:eastAsia="zh-CN" w:bidi="ar-SA"/>
        </w:rPr>
        <w:t>围绕县委中心统筹安排年度重点工作，2023年召开常委会会议7次、主任会议7次，听取和审议“一府一委两院”专项工作报告20项，确保与县委中心工作同频共振、同向发力。坚持党管干部原则与依法行使任免权相统一，认真审议任免案，充分讨论，增强思想共识，全力支持机构改革、全力支持县委人事安排决策。2023年，依法任免国家机关工作人员25人次，其中：决定任命6人次、任命3人次，决定免去7人次，免去3人次，接受辞去县十五届人民代表大会代表职务和专门委员会委员职务6人次。严格执行任前法律知识考试制度，组织宪法宣誓3批11人次，切实增强了任命人员的宪法意识、责任意识、公仆意识和人大意识。</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方正楷体简体" w:hAnsi="方正楷体简体" w:eastAsia="仿宋_GB2312" w:cs="方正楷体简体"/>
          <w:b/>
          <w:bCs/>
          <w:color w:val="000000"/>
          <w:kern w:val="0"/>
          <w:sz w:val="32"/>
          <w:szCs w:val="32"/>
          <w:shd w:val="clear" w:color="auto" w:fill="FFFFFF"/>
          <w:lang w:val="en-US" w:eastAsia="zh-CN" w:bidi="ar"/>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2.聚焦预算审查监督。</w:t>
      </w:r>
      <w:r>
        <w:rPr>
          <w:rFonts w:hint="eastAsia" w:ascii="仿宋_GB2312" w:hAnsi="仿宋_GB2312" w:eastAsia="仿宋_GB2312" w:cs="仿宋_GB2312"/>
          <w:b w:val="0"/>
          <w:bCs/>
          <w:color w:val="000000"/>
          <w:kern w:val="0"/>
          <w:sz w:val="32"/>
          <w:szCs w:val="32"/>
          <w:shd w:val="clear" w:color="auto" w:fill="FFFFFF"/>
          <w:lang w:val="en-US" w:eastAsia="zh-CN" w:bidi="ar"/>
        </w:rPr>
        <w:t>听取了县人民政府红原县2023年部门预算编制情况的报告、关于2022年及以前年度财政资金“三项清理”工作方案（草案）、</w:t>
      </w:r>
      <w:r>
        <w:rPr>
          <w:rFonts w:hint="eastAsia" w:ascii="仿宋_GB2312" w:hAnsi="Times New Roman" w:eastAsia="仿宋_GB2312" w:cs="Times New Roman"/>
          <w:b w:val="0"/>
          <w:color w:val="auto"/>
          <w:kern w:val="2"/>
          <w:sz w:val="32"/>
          <w:lang w:val="en-US" w:eastAsia="zh-CN"/>
        </w:rPr>
        <w:t>2022年度财政预算执行和其他财政收支审计情况的报告</w:t>
      </w:r>
      <w:r>
        <w:rPr>
          <w:rFonts w:hint="eastAsia" w:ascii="仿宋_GB2312" w:eastAsia="仿宋_GB2312" w:cs="Times New Roman"/>
          <w:b w:val="0"/>
          <w:color w:val="auto"/>
          <w:kern w:val="2"/>
          <w:sz w:val="32"/>
          <w:lang w:val="en-US" w:eastAsia="zh-CN"/>
        </w:rPr>
        <w:t>、</w:t>
      </w:r>
      <w:r>
        <w:rPr>
          <w:rFonts w:hint="eastAsia" w:ascii="仿宋_GB2312" w:hAnsi="Times New Roman" w:eastAsia="仿宋_GB2312" w:cs="Times New Roman"/>
          <w:b w:val="0"/>
          <w:color w:val="auto"/>
          <w:kern w:val="2"/>
          <w:sz w:val="32"/>
          <w:lang w:val="en-US" w:eastAsia="zh-CN"/>
        </w:rPr>
        <w:t>关于红原县2022年财政决算情况和2023年上半年财政预算执行情况的报告、关于2023年财政预算调整方案（草案）的报告、关于红原县2023年财政涉农资金统筹整合使用方案（草案）的报告</w:t>
      </w:r>
      <w:r>
        <w:rPr>
          <w:rFonts w:hint="eastAsia" w:ascii="仿宋_GB2312" w:hAnsi="仿宋_GB2312" w:eastAsia="仿宋_GB2312" w:cs="仿宋_GB2312"/>
          <w:b w:val="0"/>
          <w:bCs w:val="0"/>
          <w:color w:val="000000"/>
          <w:w w:val="100"/>
          <w:sz w:val="32"/>
          <w:szCs w:val="32"/>
          <w:lang w:val="en-US" w:eastAsia="zh-CN"/>
        </w:rPr>
        <w:t>，</w:t>
      </w:r>
      <w:r>
        <w:rPr>
          <w:rFonts w:hint="eastAsia" w:ascii="仿宋_GB2312" w:eastAsia="仿宋_GB2312"/>
          <w:sz w:val="32"/>
        </w:rPr>
        <w:t>要求</w:t>
      </w:r>
      <w:r>
        <w:rPr>
          <w:rFonts w:hint="eastAsia" w:ascii="仿宋_GB2312" w:eastAsia="仿宋_GB2312"/>
          <w:sz w:val="32"/>
          <w:lang w:eastAsia="zh-CN"/>
        </w:rPr>
        <w:t>县人民政府</w:t>
      </w:r>
      <w:r>
        <w:rPr>
          <w:rFonts w:hint="eastAsia" w:ascii="仿宋_GB2312" w:eastAsia="仿宋_GB2312"/>
          <w:sz w:val="32"/>
        </w:rPr>
        <w:t>按照常委会依法作出的审议意见和决议认真予以落实，切实维护预算执行的严肃性，保持经济和社会各项事业全面发展</w:t>
      </w:r>
      <w:r>
        <w:rPr>
          <w:rFonts w:hint="eastAsia" w:ascii="仿宋_GB2312" w:eastAsia="仿宋_GB2312"/>
          <w:sz w:val="32"/>
          <w:lang w:eastAsia="zh-CN"/>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default" w:ascii="方正楷体简体" w:hAnsi="方正楷体简体" w:eastAsia="方正楷体简体" w:cs="方正楷体简体"/>
          <w:b/>
          <w:bCs/>
          <w:color w:val="000000"/>
          <w:kern w:val="0"/>
          <w:sz w:val="32"/>
          <w:szCs w:val="32"/>
          <w:shd w:val="clear" w:color="auto" w:fill="FFFFFF"/>
          <w:lang w:val="en-US" w:eastAsia="zh-CN" w:bidi="ar"/>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3.聚焦重点项目建设开展监督。</w:t>
      </w:r>
      <w:r>
        <w:rPr>
          <w:rFonts w:hint="eastAsia" w:ascii="仿宋_GB2312" w:hAnsi="仿宋_GB2312" w:eastAsia="仿宋_GB2312" w:cs="仿宋_GB2312"/>
          <w:b w:val="0"/>
          <w:bCs w:val="0"/>
          <w:i w:val="0"/>
          <w:iCs w:val="0"/>
          <w:caps w:val="0"/>
          <w:color w:val="000000" w:themeColor="text1"/>
          <w:spacing w:val="0"/>
          <w:sz w:val="32"/>
          <w:szCs w:val="32"/>
          <w:shd w:val="clear" w:color="auto" w:fill="auto"/>
          <w:lang w:val="en-US" w:eastAsia="zh-CN"/>
        </w:rPr>
        <w:t>组织县级相关部门、人大代表对红原县面源污染治理项目、红原县草原畜牧业转型升级试点项目、马久高速建设等项目推进情况开展了专题调研，听取和审议了红原县人民政府关于2023年重点项目完成情况的报告，并结合存在的问题提出了可行性建议意见6条，督促县人民政府强化工作落实、规范项目管理，促进重大项目实施，助推经济社会发展。</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4.聚焦民生保障开展监督。</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听取和审议了县人民政府关于红原县藏医药事业发展情况的报告、红原县</w:t>
      </w:r>
      <w:r>
        <w:rPr>
          <w:rFonts w:hint="eastAsia" w:ascii="仿宋_GB2312" w:hAnsi="Times New Roman" w:eastAsia="仿宋_GB2312" w:cs="Times New Roman"/>
          <w:b w:val="0"/>
          <w:color w:val="auto"/>
          <w:kern w:val="2"/>
          <w:sz w:val="32"/>
          <w:lang w:val="en-US" w:eastAsia="zh-CN"/>
        </w:rPr>
        <w:t>寄宿制学校学生管理情况的报告</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，关于国土空间总体规划（2021-2035年）的报告、关于红原县重点人群资助参保情况的报告、关于红原县民族宗教工作开展情况的报告，</w:t>
      </w:r>
      <w:r>
        <w:rPr>
          <w:rFonts w:hint="eastAsia" w:ascii="仿宋_GB2312" w:hAnsi="仿宋_GB2312" w:eastAsia="仿宋_GB2312" w:cs="仿宋_GB2312"/>
          <w:color w:val="000000"/>
          <w:sz w:val="32"/>
          <w:szCs w:val="32"/>
        </w:rPr>
        <w:t>提出针对性较强的审议意见</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条，督促</w:t>
      </w:r>
      <w:r>
        <w:rPr>
          <w:rFonts w:hint="eastAsia" w:ascii="仿宋_GB2312" w:hAnsi="仿宋_GB2312" w:eastAsia="仿宋_GB2312" w:cs="仿宋_GB2312"/>
          <w:color w:val="000000"/>
          <w:sz w:val="32"/>
          <w:szCs w:val="32"/>
          <w:lang w:val="en-US" w:eastAsia="zh-CN"/>
        </w:rPr>
        <w:t>相关部门</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要在提升服务能力上出实招，在支持藏医药事业及教育事业上下功夫。</w:t>
      </w:r>
    </w:p>
    <w:p>
      <w:pPr>
        <w:pStyle w:val="6"/>
        <w:pageBreakBefore w:val="0"/>
        <w:widowControl w:val="0"/>
        <w:kinsoku/>
        <w:wordWrap/>
        <w:overflowPunct/>
        <w:topLinePunct w:val="0"/>
        <w:autoSpaceDE/>
        <w:autoSpaceDN/>
        <w:bidi w:val="0"/>
        <w:spacing w:line="576" w:lineRule="exact"/>
        <w:textAlignment w:val="auto"/>
        <w:rPr>
          <w:rStyle w:val="21"/>
          <w:b w:val="0"/>
          <w:bCs/>
        </w:rPr>
      </w:pPr>
      <w:bookmarkStart w:id="12" w:name="_Toc13721"/>
      <w:r>
        <w:rPr>
          <w:rFonts w:hint="eastAsia" w:ascii="黑体" w:eastAsia="黑体"/>
          <w:b w:val="0"/>
          <w:bCs/>
        </w:rPr>
        <w:t>二、机</w:t>
      </w:r>
      <w:r>
        <w:rPr>
          <w:rStyle w:val="21"/>
          <w:rFonts w:hint="eastAsia" w:ascii="黑体" w:eastAsia="黑体"/>
          <w:b w:val="0"/>
          <w:bCs/>
        </w:rPr>
        <w:t>构设置</w:t>
      </w:r>
      <w:bookmarkEnd w:id="10"/>
      <w:bookmarkEnd w:id="11"/>
      <w:bookmarkEnd w:id="12"/>
    </w:p>
    <w:p>
      <w:pPr>
        <w:ind w:firstLine="800" w:firstLineChars="250"/>
        <w:rPr>
          <w:rFonts w:hint="eastAsia"/>
          <w:sz w:val="32"/>
          <w:szCs w:val="32"/>
        </w:rPr>
      </w:pP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人大常委会办公室下属二级预算单位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个，其中</w:t>
      </w:r>
      <w:r>
        <w:rPr>
          <w:rFonts w:hint="eastAsia" w:ascii="仿宋_GB2312" w:hAnsi="仿宋_GB2312" w:eastAsia="仿宋_GB2312" w:cs="仿宋_GB2312"/>
          <w:sz w:val="32"/>
          <w:szCs w:val="32"/>
          <w:lang w:eastAsia="zh-CN"/>
        </w:rPr>
        <w:t>全额拨款</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（红原县人民代表大会常委委员会办公室本级）</w:t>
      </w:r>
      <w:r>
        <w:rPr>
          <w:rFonts w:hint="eastAsia" w:ascii="仿宋_GB2312" w:hAnsi="仿宋_GB2312" w:eastAsia="仿宋_GB2312" w:cs="仿宋_GB2312"/>
          <w:sz w:val="32"/>
          <w:szCs w:val="32"/>
        </w:rPr>
        <w:t>，人大常委会办公室内设办公室、法制监察司法和民族宗教外事委员会、财政经济预算和农业农村城乡环境保护委员会、教育科学文化卫生和社会建设委员会及人事代表工作委员会“四委一室”</w:t>
      </w:r>
      <w:r>
        <w:rPr>
          <w:rFonts w:hint="eastAsia" w:ascii="仿宋_GB2312" w:hAnsi="仿宋_GB2312" w:eastAsia="仿宋_GB2312" w:cs="仿宋_GB2312"/>
          <w:sz w:val="32"/>
          <w:szCs w:val="32"/>
          <w:lang w:eastAsia="zh-CN"/>
        </w:rPr>
        <w:t>；全额拨款股级</w:t>
      </w:r>
      <w:r>
        <w:rPr>
          <w:rFonts w:hint="eastAsia" w:ascii="仿宋_GB2312" w:hAnsi="仿宋_GB2312" w:eastAsia="仿宋_GB2312" w:cs="仿宋_GB2312"/>
          <w:sz w:val="32"/>
          <w:szCs w:val="32"/>
        </w:rPr>
        <w:t>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（红原县人大预算联网服务中心）</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，非参公事业人员</w:t>
      </w:r>
      <w:r>
        <w:rPr>
          <w:rFonts w:hint="eastAsia" w:ascii="仿宋_GB2312" w:hAnsi="仿宋_GB2312" w:eastAsia="仿宋_GB2312" w:cs="仿宋_GB2312"/>
          <w:sz w:val="32"/>
          <w:szCs w:val="32"/>
          <w:lang w:val="en-US" w:eastAsia="zh-CN"/>
        </w:rPr>
        <w:t>1人，同比去年减少1人，主要变动原因是人员退休及调出</w:t>
      </w:r>
      <w:r>
        <w:rPr>
          <w:rFonts w:hint="eastAsia" w:ascii="仿宋_GB2312" w:hAnsi="仿宋_GB2312" w:eastAsia="仿宋_GB2312" w:cs="仿宋_GB2312"/>
          <w:sz w:val="32"/>
          <w:szCs w:val="32"/>
        </w:rPr>
        <w:t>。</w:t>
      </w:r>
    </w:p>
    <w:p>
      <w:pPr>
        <w:pStyle w:val="8"/>
        <w:adjustRightInd w:val="0"/>
        <w:snapToGrid w:val="0"/>
        <w:spacing w:beforeLines="0" w:line="600" w:lineRule="exact"/>
        <w:ind w:firstLine="668" w:firstLineChars="20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rPr>
        <w:t>人大常委会办公室202</w:t>
      </w:r>
      <w:r>
        <w:rPr>
          <w:rFonts w:hint="eastAsia" w:hAnsi="仿宋_GB2312" w:cs="仿宋_GB2312"/>
          <w:sz w:val="32"/>
          <w:szCs w:val="32"/>
          <w:lang w:val="en-US" w:eastAsia="zh-CN"/>
        </w:rPr>
        <w:t>3</w:t>
      </w:r>
      <w:r>
        <w:rPr>
          <w:rFonts w:hint="eastAsia" w:ascii="仿宋_GB2312" w:hAnsi="仿宋_GB2312" w:eastAsia="仿宋_GB2312" w:cs="仿宋_GB2312"/>
          <w:sz w:val="32"/>
          <w:szCs w:val="32"/>
        </w:rPr>
        <w:t>年度部门决算编制范围的二级预算单位包括：</w:t>
      </w:r>
    </w:p>
    <w:p>
      <w:pPr>
        <w:pStyle w:val="8"/>
        <w:numPr>
          <w:ilvl w:val="0"/>
          <w:numId w:val="0"/>
        </w:numPr>
        <w:adjustRightInd w:val="0"/>
        <w:snapToGrid w:val="0"/>
        <w:spacing w:beforeLines="0" w:line="600" w:lineRule="exact"/>
        <w:ind w:left="672" w:leftChars="0"/>
        <w:outlineLvl w:val="2"/>
        <w:rPr>
          <w:rFonts w:hint="eastAsia" w:ascii="仿宋_GB2312" w:hAnsi="仿宋_GB2312" w:eastAsia="仿宋_GB2312" w:cs="仿宋_GB2312"/>
          <w:sz w:val="32"/>
          <w:szCs w:val="32"/>
        </w:rPr>
      </w:pPr>
      <w:bookmarkStart w:id="13" w:name="_Toc15377202"/>
      <w:bookmarkStart w:id="14" w:name="_Toc15378449"/>
      <w:bookmarkStart w:id="15" w:name="_Toc15377433"/>
      <w:bookmarkStart w:id="16" w:name="_Toc15306276"/>
      <w:r>
        <w:rPr>
          <w:rFonts w:hint="eastAsia" w:hAnsi="仿宋_GB2312" w:cs="仿宋_GB2312"/>
          <w:sz w:val="32"/>
          <w:szCs w:val="32"/>
          <w:lang w:val="en-US" w:eastAsia="zh-CN"/>
        </w:rPr>
        <w:t>1.</w:t>
      </w:r>
      <w:r>
        <w:rPr>
          <w:rFonts w:hint="eastAsia" w:ascii="仿宋_GB2312" w:hAnsi="仿宋_GB2312" w:eastAsia="仿宋_GB2312" w:cs="仿宋_GB2312"/>
          <w:sz w:val="32"/>
          <w:szCs w:val="32"/>
          <w:lang w:eastAsia="zh-CN"/>
        </w:rPr>
        <w:t>红原县人民代表大会常委委员会办公室本级</w:t>
      </w:r>
    </w:p>
    <w:bookmarkEnd w:id="13"/>
    <w:bookmarkEnd w:id="14"/>
    <w:bookmarkEnd w:id="15"/>
    <w:bookmarkEnd w:id="16"/>
    <w:p>
      <w:pPr>
        <w:widowControl/>
        <w:ind w:firstLine="640" w:firstLineChars="200"/>
        <w:jc w:val="left"/>
        <w:rPr>
          <w:rFonts w:ascii="仿宋" w:eastAsia="仿宋"/>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红原县人大预算联网服务中心</w:t>
      </w:r>
      <w:r>
        <w:rPr>
          <w:rFonts w:ascii="仿宋" w:eastAsia="仿宋"/>
          <w:sz w:val="32"/>
          <w:szCs w:val="32"/>
        </w:rPr>
        <w:br w:type="page"/>
      </w:r>
    </w:p>
    <w:p>
      <w:pPr>
        <w:pStyle w:val="5"/>
        <w:ind w:right="440"/>
        <w:jc w:val="center"/>
        <w:rPr>
          <w:rStyle w:val="20"/>
          <w:rFonts w:ascii="黑体" w:eastAsia="黑体"/>
          <w:b w:val="0"/>
          <w:bCs/>
        </w:rPr>
      </w:pPr>
      <w:bookmarkStart w:id="17" w:name="_Toc15377204"/>
      <w:bookmarkStart w:id="18" w:name="_Toc15396602"/>
      <w:bookmarkStart w:id="19" w:name="_Toc16164"/>
      <w:r>
        <w:rPr>
          <w:rFonts w:hint="eastAsia" w:ascii="黑体" w:eastAsia="黑体"/>
          <w:b w:val="0"/>
        </w:rPr>
        <w:t>第二部分 202</w:t>
      </w:r>
      <w:r>
        <w:rPr>
          <w:rFonts w:hint="eastAsia" w:ascii="黑体" w:eastAsia="黑体"/>
          <w:b w:val="0"/>
          <w:lang w:val="en-US" w:eastAsia="zh-CN"/>
        </w:rPr>
        <w:t>3</w:t>
      </w:r>
      <w:r>
        <w:rPr>
          <w:rFonts w:hint="eastAsia" w:ascii="黑体" w:eastAsia="黑体"/>
          <w:b w:val="0"/>
        </w:rPr>
        <w:t>年度</w:t>
      </w:r>
      <w:r>
        <w:rPr>
          <w:rStyle w:val="20"/>
          <w:rFonts w:hint="eastAsia" w:ascii="黑体" w:eastAsia="黑体"/>
          <w:b w:val="0"/>
          <w:bCs/>
        </w:rPr>
        <w:t>部门决算情况说明</w:t>
      </w:r>
      <w:bookmarkEnd w:id="17"/>
      <w:bookmarkEnd w:id="18"/>
      <w:bookmarkEnd w:id="19"/>
    </w:p>
    <w:p/>
    <w:p>
      <w:pPr>
        <w:pStyle w:val="27"/>
        <w:numPr>
          <w:ilvl w:val="0"/>
          <w:numId w:val="3"/>
        </w:numPr>
        <w:spacing w:line="600" w:lineRule="exact"/>
        <w:ind w:firstLineChars="0"/>
        <w:outlineLvl w:val="1"/>
        <w:rPr>
          <w:rStyle w:val="21"/>
          <w:rFonts w:ascii="黑体" w:eastAsia="黑体"/>
          <w:b w:val="0"/>
        </w:rPr>
      </w:pPr>
      <w:bookmarkStart w:id="20" w:name="_Toc15396603"/>
      <w:bookmarkStart w:id="21" w:name="_Toc15377205"/>
      <w:bookmarkStart w:id="22" w:name="_Toc7064"/>
      <w:r>
        <w:rPr>
          <w:rFonts w:hint="eastAsia" w:ascii="黑体" w:eastAsia="黑体"/>
          <w:sz w:val="32"/>
          <w:szCs w:val="32"/>
        </w:rPr>
        <w:t>收</w:t>
      </w:r>
      <w:r>
        <w:rPr>
          <w:rStyle w:val="21"/>
          <w:rFonts w:hint="eastAsia" w:ascii="黑体" w:eastAsia="黑体"/>
          <w:b w:val="0"/>
        </w:rPr>
        <w:t>入支出决算总体情况说明</w:t>
      </w:r>
      <w:bookmarkEnd w:id="20"/>
      <w:bookmarkEnd w:id="21"/>
      <w:bookmarkEnd w:id="22"/>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 xml:space="preserve">945.16 </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945.16</w:t>
      </w:r>
      <w:r>
        <w:rPr>
          <w:rFonts w:hint="eastAsia" w:ascii="仿宋_GB2312" w:hAnsi="仿宋_GB2312" w:eastAsia="仿宋_GB2312" w:cs="仿宋_GB2312"/>
          <w:sz w:val="32"/>
          <w:szCs w:val="32"/>
        </w:rPr>
        <w:t>万元。资金与20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年相比，收入</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67.61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63.78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下降了</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%。收入支出均</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2023年我办无</w:t>
      </w:r>
      <w:r>
        <w:rPr>
          <w:rFonts w:hint="eastAsia" w:ascii="仿宋_GB2312" w:hAnsi="仿宋_GB2312" w:eastAsia="仿宋_GB2312" w:cs="仿宋_GB2312"/>
          <w:sz w:val="32"/>
          <w:szCs w:val="32"/>
          <w:lang w:val="en-US" w:eastAsia="zh-CN"/>
        </w:rPr>
        <w:t>2022年支付的县乡人大代表换届选举工作经费29.3万元</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2023年我办无</w:t>
      </w:r>
      <w:r>
        <w:rPr>
          <w:rFonts w:hint="eastAsia" w:ascii="仿宋_GB2312" w:hAnsi="仿宋_GB2312" w:eastAsia="仿宋_GB2312" w:cs="仿宋_GB2312"/>
          <w:sz w:val="32"/>
          <w:szCs w:val="32"/>
        </w:rPr>
        <w:t>代表联络站提升改造经费</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2022年我办退休去世2人，发放抚恤金54.14万元，2023年无该支出。</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pStyle w:val="2"/>
        <w:jc w:val="both"/>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4157980" cy="2655570"/>
            <wp:effectExtent l="4445" t="4445" r="9525" b="698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7"/>
        <w:numPr>
          <w:ilvl w:val="0"/>
          <w:numId w:val="3"/>
        </w:numPr>
        <w:spacing w:line="600" w:lineRule="exact"/>
        <w:ind w:firstLineChars="0"/>
        <w:outlineLvl w:val="1"/>
        <w:rPr>
          <w:rStyle w:val="21"/>
          <w:rFonts w:ascii="黑体" w:eastAsia="黑体"/>
          <w:b w:val="0"/>
        </w:rPr>
      </w:pPr>
      <w:bookmarkStart w:id="23" w:name="_Toc15377206"/>
      <w:bookmarkStart w:id="24" w:name="_Toc15396604"/>
      <w:bookmarkStart w:id="25" w:name="_Toc24050"/>
      <w:r>
        <w:rPr>
          <w:rFonts w:hint="eastAsia" w:ascii="黑体" w:eastAsia="黑体"/>
          <w:sz w:val="32"/>
          <w:szCs w:val="32"/>
        </w:rPr>
        <w:t>收</w:t>
      </w:r>
      <w:r>
        <w:rPr>
          <w:rStyle w:val="21"/>
          <w:rFonts w:hint="eastAsia" w:ascii="黑体" w:eastAsia="黑体"/>
          <w:b w:val="0"/>
        </w:rPr>
        <w:t>入决算情况说明</w:t>
      </w:r>
      <w:bookmarkEnd w:id="23"/>
      <w:bookmarkEnd w:id="24"/>
      <w:bookmarkEnd w:id="25"/>
    </w:p>
    <w:p>
      <w:pPr>
        <w:pStyle w:val="15"/>
        <w:keepNext w:val="0"/>
        <w:keepLines w:val="0"/>
        <w:widowControl/>
        <w:numPr>
          <w:ilvl w:val="0"/>
          <w:numId w:val="0"/>
        </w:numPr>
        <w:suppressLineNumbers w:val="0"/>
        <w:shd w:val="clear" w:color="auto" w:fill="auto"/>
        <w:ind w:right="75"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945.16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943.55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99.83</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1.61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val="en-US" w:eastAsia="zh-CN"/>
        </w:rPr>
        <w:t>为年底州人大转入代表活动经费</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（图2：收入决算结构图）（饼状图）</w:t>
      </w:r>
    </w:p>
    <w:p>
      <w:pPr>
        <w:spacing w:line="600" w:lineRule="exact"/>
        <w:ind w:firstLine="420" w:firstLineChars="200"/>
        <w:rPr>
          <w:rFonts w:hint="eastAsia" w:ascii="仿宋_GB2312" w:eastAsia="仿宋_GB2312"/>
          <w:sz w:val="32"/>
          <w:szCs w:val="32"/>
          <w:lang w:eastAsia="zh-CN"/>
        </w:rPr>
      </w:pPr>
      <w:r>
        <w:drawing>
          <wp:anchor distT="0" distB="0" distL="114300" distR="114300" simplePos="0" relativeHeight="251660288" behindDoc="1" locked="0" layoutInCell="1" allowOverlap="1">
            <wp:simplePos x="0" y="0"/>
            <wp:positionH relativeFrom="column">
              <wp:posOffset>372110</wp:posOffset>
            </wp:positionH>
            <wp:positionV relativeFrom="paragraph">
              <wp:posOffset>109855</wp:posOffset>
            </wp:positionV>
            <wp:extent cx="4572000" cy="2480310"/>
            <wp:effectExtent l="4445" t="4445" r="14605" b="67945"/>
            <wp:wrapTight wrapText="bothSides">
              <wp:wrapPolygon>
                <wp:start x="-21" y="-39"/>
                <wp:lineTo x="-21" y="21528"/>
                <wp:lineTo x="21579" y="21528"/>
                <wp:lineTo x="21579" y="-39"/>
                <wp:lineTo x="-21" y="-39"/>
              </wp:wrapPolygon>
            </wp:wrapTight>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4"/>
      </w:pPr>
    </w:p>
    <w:p>
      <w:pPr>
        <w:pStyle w:val="27"/>
        <w:numPr>
          <w:ilvl w:val="0"/>
          <w:numId w:val="3"/>
        </w:numPr>
        <w:spacing w:line="600" w:lineRule="exact"/>
        <w:ind w:firstLineChars="0"/>
        <w:outlineLvl w:val="1"/>
        <w:rPr>
          <w:rStyle w:val="21"/>
          <w:rFonts w:ascii="黑体" w:eastAsia="黑体"/>
          <w:b w:val="0"/>
        </w:rPr>
      </w:pPr>
      <w:bookmarkStart w:id="26" w:name="_Toc15377207"/>
      <w:bookmarkStart w:id="27" w:name="_Toc15396605"/>
      <w:bookmarkStart w:id="28" w:name="_Toc1784"/>
      <w:r>
        <w:rPr>
          <w:rFonts w:hint="eastAsia" w:ascii="黑体" w:eastAsia="黑体"/>
          <w:sz w:val="32"/>
          <w:szCs w:val="32"/>
        </w:rPr>
        <w:t>支</w:t>
      </w:r>
      <w:r>
        <w:rPr>
          <w:rStyle w:val="21"/>
          <w:rFonts w:hint="eastAsia" w:ascii="黑体" w:eastAsia="黑体"/>
          <w:b w:val="0"/>
        </w:rPr>
        <w:t>出决算情况说明</w:t>
      </w:r>
      <w:bookmarkEnd w:id="26"/>
      <w:bookmarkEnd w:id="27"/>
      <w:bookmarkEnd w:id="28"/>
    </w:p>
    <w:p>
      <w:pPr>
        <w:spacing w:line="600" w:lineRule="exact"/>
        <w:ind w:firstLine="640" w:firstLineChars="200"/>
        <w:outlineLvl w:val="1"/>
        <w:rPr>
          <w:rFonts w:hint="eastAsia" w:ascii="仿宋_GB2312" w:hAnsi="仿宋_GB2312" w:eastAsia="仿宋_GB2312" w:cs="仿宋_GB2312"/>
          <w:sz w:val="32"/>
          <w:szCs w:val="32"/>
          <w:lang w:eastAsia="zh-CN"/>
        </w:rPr>
      </w:pPr>
      <w:bookmarkStart w:id="29" w:name="_Toc7068"/>
      <w:bookmarkStart w:id="30" w:name="_Toc15375"/>
      <w:bookmarkStart w:id="31" w:name="_Toc5657"/>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945.16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817.61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rPr>
        <w:t>%；项目支出127.</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eastAsia="zh-CN"/>
        </w:rPr>
        <w:t>等支出。</w:t>
      </w:r>
      <w:bookmarkEnd w:id="29"/>
      <w:bookmarkEnd w:id="30"/>
      <w:bookmarkEnd w:id="31"/>
    </w:p>
    <w:p>
      <w:pPr>
        <w:spacing w:line="600" w:lineRule="exact"/>
        <w:ind w:firstLine="640"/>
        <w:rPr>
          <w:rFonts w:hint="eastAsia" w:ascii="仿宋_GB2312" w:hAnsi="仿宋_GB2312" w:eastAsia="仿宋_GB2312" w:cs="仿宋_GB2312"/>
          <w:sz w:val="32"/>
          <w:szCs w:val="32"/>
          <w:shd w:val="pct10" w:color="auto" w:fill="FFFFFF"/>
        </w:rPr>
      </w:pP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（图3：支出决算结构图）（饼状图）</w:t>
      </w:r>
    </w:p>
    <w:p>
      <w:pPr>
        <w:pStyle w:val="2"/>
        <w:rPr>
          <w:rFonts w:ascii="仿宋_GB2312" w:eastAsia="仿宋_GB2312"/>
          <w:sz w:val="32"/>
          <w:szCs w:val="32"/>
        </w:rPr>
      </w:pPr>
      <w:r>
        <w:drawing>
          <wp:inline distT="0" distB="0" distL="114300" distR="114300">
            <wp:extent cx="4572000" cy="2216785"/>
            <wp:effectExtent l="4445" t="4445" r="14605" b="762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pPr>
    </w:p>
    <w:p>
      <w:pPr>
        <w:spacing w:line="600" w:lineRule="exact"/>
        <w:ind w:firstLine="640" w:firstLineChars="200"/>
        <w:outlineLvl w:val="1"/>
        <w:rPr>
          <w:rStyle w:val="21"/>
          <w:rFonts w:ascii="黑体" w:eastAsia="黑体"/>
          <w:b w:val="0"/>
        </w:rPr>
      </w:pPr>
      <w:bookmarkStart w:id="32" w:name="_Toc15377208"/>
      <w:bookmarkStart w:id="33" w:name="_Toc15396606"/>
      <w:bookmarkStart w:id="34" w:name="_Toc31432"/>
      <w:r>
        <w:rPr>
          <w:rFonts w:hint="eastAsia" w:ascii="黑体" w:eastAsia="黑体"/>
          <w:sz w:val="32"/>
          <w:szCs w:val="32"/>
        </w:rPr>
        <w:t>四、财</w:t>
      </w:r>
      <w:r>
        <w:rPr>
          <w:rStyle w:val="21"/>
          <w:rFonts w:hint="eastAsia" w:ascii="黑体" w:eastAsia="黑体"/>
          <w:b w:val="0"/>
        </w:rPr>
        <w:t>政拨款收入支出决算总体情况说明</w:t>
      </w:r>
      <w:bookmarkEnd w:id="32"/>
      <w:bookmarkEnd w:id="33"/>
      <w:bookmarkEnd w:id="34"/>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w:t>
      </w:r>
      <w:r>
        <w:rPr>
          <w:rFonts w:hint="eastAsia" w:ascii="仿宋_GB2312" w:hAnsi="仿宋_GB2312" w:eastAsia="仿宋_GB2312" w:cs="仿宋_GB2312"/>
          <w:sz w:val="32"/>
          <w:szCs w:val="32"/>
          <w:lang w:val="en-US" w:eastAsia="zh-CN"/>
        </w:rPr>
        <w:t>943.55</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943.55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年相比，收入</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65.27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65.27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%。收入支出均</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主要原因：</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2023年我办无2022年支付的县乡人大代表换届选举工作经费29.3万元</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2023年我办无</w:t>
      </w:r>
      <w:r>
        <w:rPr>
          <w:rFonts w:hint="eastAsia" w:ascii="仿宋_GB2312" w:hAnsi="仿宋_GB2312" w:eastAsia="仿宋_GB2312" w:cs="仿宋_GB2312"/>
          <w:sz w:val="32"/>
          <w:szCs w:val="32"/>
        </w:rPr>
        <w:t>代表联络站提升改造经费</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2022年我办退休去世2人，发放抚恤金54.14万元，2023年无该支出。</w:t>
      </w: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pStyle w:val="2"/>
        <w:rPr>
          <w:rFonts w:hint="eastAsia" w:ascii="仿宋" w:eastAsia="仿宋"/>
          <w:sz w:val="32"/>
          <w:szCs w:val="32"/>
        </w:rPr>
      </w:pPr>
    </w:p>
    <w:p>
      <w:pPr>
        <w:pStyle w:val="4"/>
        <w:rPr>
          <w:rFonts w:hint="eastAsia" w:eastAsia="仿宋"/>
          <w:lang w:eastAsia="zh-CN"/>
        </w:rPr>
      </w:pPr>
      <w:r>
        <w:rPr>
          <w:rFonts w:hint="eastAsia" w:eastAsia="仿宋"/>
          <w:lang w:eastAsia="zh-CN"/>
        </w:rPr>
        <w:drawing>
          <wp:inline distT="0" distB="0" distL="114300" distR="114300">
            <wp:extent cx="4979035" cy="2473325"/>
            <wp:effectExtent l="4445" t="4445" r="7620" b="177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rPr>
          <w:rFonts w:ascii="仿宋" w:eastAsia="仿宋"/>
          <w:b/>
          <w:sz w:val="32"/>
          <w:szCs w:val="32"/>
        </w:rPr>
      </w:pPr>
    </w:p>
    <w:p>
      <w:pPr>
        <w:spacing w:line="600" w:lineRule="exact"/>
        <w:ind w:firstLine="640" w:firstLineChars="200"/>
        <w:outlineLvl w:val="1"/>
        <w:rPr>
          <w:rStyle w:val="21"/>
          <w:rFonts w:ascii="黑体" w:eastAsia="黑体"/>
          <w:b w:val="0"/>
        </w:rPr>
      </w:pPr>
      <w:bookmarkStart w:id="35" w:name="_Toc15396607"/>
      <w:bookmarkStart w:id="36" w:name="_Toc15377209"/>
      <w:bookmarkStart w:id="37" w:name="_Toc17525"/>
      <w:r>
        <w:rPr>
          <w:rFonts w:hint="eastAsia" w:ascii="黑体" w:eastAsia="黑体"/>
          <w:sz w:val="32"/>
          <w:szCs w:val="32"/>
        </w:rPr>
        <w:t>五、</w:t>
      </w:r>
      <w:r>
        <w:rPr>
          <w:rFonts w:hint="eastAsia" w:ascii="黑体" w:eastAsia="黑体"/>
          <w:b/>
          <w:sz w:val="32"/>
          <w:szCs w:val="32"/>
        </w:rPr>
        <w:t>一</w:t>
      </w:r>
      <w:r>
        <w:rPr>
          <w:rStyle w:val="21"/>
          <w:rFonts w:hint="eastAsia" w:ascii="黑体" w:eastAsia="黑体"/>
          <w:b w:val="0"/>
        </w:rPr>
        <w:t>般公共预算财政拨款支出决算情况说明</w:t>
      </w:r>
      <w:bookmarkEnd w:id="35"/>
      <w:bookmarkEnd w:id="36"/>
      <w:bookmarkEnd w:id="37"/>
    </w:p>
    <w:p>
      <w:pPr>
        <w:spacing w:line="600" w:lineRule="exact"/>
        <w:ind w:firstLine="643" w:firstLineChars="200"/>
        <w:outlineLvl w:val="2"/>
        <w:rPr>
          <w:rFonts w:ascii="仿宋" w:eastAsia="仿宋"/>
          <w:b/>
          <w:sz w:val="32"/>
          <w:szCs w:val="32"/>
        </w:rPr>
      </w:pPr>
      <w:bookmarkStart w:id="38" w:name="_Toc15377210"/>
      <w:r>
        <w:rPr>
          <w:rFonts w:hint="eastAsia" w:ascii="仿宋" w:eastAsia="仿宋"/>
          <w:b/>
          <w:sz w:val="32"/>
          <w:szCs w:val="32"/>
        </w:rPr>
        <w:t>（一）一般公共预算财政拨款支出决算总体情况</w:t>
      </w:r>
      <w:bookmarkEnd w:id="38"/>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943.55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99.83</w:t>
      </w:r>
      <w:r>
        <w:rPr>
          <w:rFonts w:hint="eastAsia" w:ascii="仿宋_GB2312" w:hAnsi="仿宋_GB2312" w:eastAsia="仿宋_GB2312" w:cs="仿宋_GB2312"/>
          <w:sz w:val="32"/>
          <w:szCs w:val="32"/>
        </w:rPr>
        <w:t>%。与20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年相比，一般公共预算财政拨款支出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val="en-US" w:eastAsia="zh-CN"/>
        </w:rPr>
        <w:t>65.27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val="en-US" w:eastAsia="zh-CN"/>
        </w:rPr>
        <w:t>2023年我办无2022年支付的县乡人大代表换届选举工作经费29.3万元</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2023年我办无</w:t>
      </w:r>
      <w:r>
        <w:rPr>
          <w:rFonts w:hint="eastAsia" w:ascii="仿宋_GB2312" w:hAnsi="仿宋_GB2312" w:eastAsia="仿宋_GB2312" w:cs="仿宋_GB2312"/>
          <w:sz w:val="32"/>
          <w:szCs w:val="32"/>
        </w:rPr>
        <w:t>代表联络站提升改造经费</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2022年我办退休去世2人，发放抚恤金54.14万元，2023年无该支出。</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pStyle w:val="2"/>
        <w:rPr>
          <w:rFonts w:hint="eastAsia" w:ascii="仿宋" w:eastAsia="仿宋"/>
          <w:sz w:val="32"/>
          <w:szCs w:val="32"/>
        </w:rPr>
      </w:pPr>
      <w:r>
        <w:rPr>
          <w:rFonts w:hint="eastAsia" w:eastAsia="仿宋"/>
          <w:lang w:eastAsia="zh-CN"/>
        </w:rPr>
        <w:drawing>
          <wp:inline distT="0" distB="0" distL="114300" distR="114300">
            <wp:extent cx="4685665" cy="2878455"/>
            <wp:effectExtent l="4445" t="4445" r="15240" b="1270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eastAsia="仿宋"/>
          <w:sz w:val="32"/>
          <w:szCs w:val="32"/>
        </w:rPr>
      </w:pPr>
    </w:p>
    <w:p>
      <w:pPr>
        <w:spacing w:line="600" w:lineRule="exact"/>
        <w:ind w:firstLine="643" w:firstLineChars="200"/>
        <w:outlineLvl w:val="2"/>
        <w:rPr>
          <w:rFonts w:ascii="仿宋" w:eastAsia="仿宋"/>
          <w:b/>
          <w:sz w:val="32"/>
          <w:szCs w:val="32"/>
        </w:rPr>
      </w:pPr>
      <w:bookmarkStart w:id="39" w:name="_Toc15377211"/>
      <w:r>
        <w:rPr>
          <w:rFonts w:hint="eastAsia" w:ascii="仿宋" w:eastAsia="仿宋"/>
          <w:b/>
          <w:sz w:val="32"/>
          <w:szCs w:val="32"/>
        </w:rPr>
        <w:t>（二）一般公共预算财政拨款支出决算结构情况</w:t>
      </w:r>
      <w:bookmarkEnd w:id="3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943.55</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750.97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100.39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43.78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48.41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pPr>
        <w:pStyle w:val="2"/>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（图6：一般公共预算财政拨款支出决算结构）（饼状图）</w:t>
      </w:r>
    </w:p>
    <w:p>
      <w:pPr>
        <w:pStyle w:val="4"/>
        <w:rPr>
          <w:rFonts w:hint="eastAsia"/>
          <w:lang w:eastAsia="zh-CN"/>
        </w:rPr>
      </w:pPr>
    </w:p>
    <w:p>
      <w:pPr>
        <w:pStyle w:val="4"/>
        <w:rPr>
          <w:rFonts w:hint="eastAsia"/>
          <w:lang w:eastAsia="zh-CN"/>
        </w:rPr>
      </w:pPr>
      <w:r>
        <w:rPr>
          <w:rFonts w:hint="eastAsia" w:ascii="仿宋" w:eastAsia="仿宋"/>
          <w:sz w:val="32"/>
          <w:szCs w:val="32"/>
          <w:lang w:eastAsia="zh-CN"/>
        </w:rPr>
        <w:drawing>
          <wp:anchor distT="0" distB="0" distL="114300" distR="114300" simplePos="0" relativeHeight="251659264" behindDoc="1" locked="0" layoutInCell="1" allowOverlap="1">
            <wp:simplePos x="0" y="0"/>
            <wp:positionH relativeFrom="column">
              <wp:posOffset>298450</wp:posOffset>
            </wp:positionH>
            <wp:positionV relativeFrom="paragraph">
              <wp:posOffset>128270</wp:posOffset>
            </wp:positionV>
            <wp:extent cx="4858385" cy="2411730"/>
            <wp:effectExtent l="4445" t="5080" r="13970" b="21590"/>
            <wp:wrapTight wrapText="bothSides">
              <wp:wrapPolygon>
                <wp:start x="-20" y="-45"/>
                <wp:lineTo x="-20" y="21452"/>
                <wp:lineTo x="21577" y="21452"/>
                <wp:lineTo x="21577" y="-45"/>
                <wp:lineTo x="-20" y="-45"/>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4"/>
        <w:rPr>
          <w:rFonts w:hint="eastAsia"/>
          <w:lang w:eastAsia="zh-CN"/>
        </w:rPr>
      </w:pPr>
    </w:p>
    <w:p>
      <w:pPr>
        <w:pStyle w:val="4"/>
        <w:rPr>
          <w:rFonts w:hint="eastAsia"/>
          <w:lang w:eastAsia="zh-CN"/>
        </w:rPr>
      </w:pPr>
    </w:p>
    <w:p>
      <w:pPr>
        <w:spacing w:line="600" w:lineRule="exact"/>
        <w:outlineLvl w:val="9"/>
        <w:rPr>
          <w:rFonts w:hint="eastAsia" w:ascii="仿宋" w:eastAsia="仿宋"/>
          <w:b/>
          <w:sz w:val="32"/>
          <w:szCs w:val="32"/>
        </w:rPr>
      </w:pPr>
      <w:bookmarkStart w:id="40" w:name="_Toc15377212"/>
    </w:p>
    <w:p>
      <w:pPr>
        <w:pStyle w:val="2"/>
        <w:rPr>
          <w:rFonts w:hint="eastAsia"/>
        </w:rPr>
      </w:pPr>
    </w:p>
    <w:p>
      <w:pPr>
        <w:spacing w:line="600" w:lineRule="exact"/>
        <w:ind w:firstLine="643" w:firstLineChars="200"/>
        <w:outlineLvl w:val="2"/>
        <w:rPr>
          <w:rFonts w:ascii="仿宋" w:eastAsia="仿宋"/>
          <w:b/>
          <w:sz w:val="32"/>
          <w:szCs w:val="32"/>
        </w:rPr>
      </w:pPr>
      <w:r>
        <w:rPr>
          <w:rFonts w:hint="eastAsia" w:ascii="仿宋" w:eastAsia="仿宋"/>
          <w:b/>
          <w:sz w:val="32"/>
          <w:szCs w:val="32"/>
        </w:rPr>
        <w:t>（三）一般公共预算财政拨款支出决算具体情况</w:t>
      </w:r>
      <w:bookmarkEnd w:id="40"/>
    </w:p>
    <w:p>
      <w:pPr>
        <w:spacing w:line="600" w:lineRule="exact"/>
        <w:ind w:firstLine="643" w:firstLineChars="200"/>
        <w:outlineLvl w:val="2"/>
        <w:rPr>
          <w:rFonts w:hint="eastAsia" w:ascii="仿宋_GB2312" w:hAnsi="仿宋_GB2312" w:eastAsia="仿宋_GB2312" w:cs="仿宋_GB2312"/>
          <w:sz w:val="32"/>
          <w:szCs w:val="32"/>
        </w:rPr>
      </w:pPr>
      <w:bookmarkStart w:id="41" w:name="_Toc15377213"/>
      <w:bookmarkStart w:id="42" w:name="_Toc15378460"/>
      <w:bookmarkStart w:id="43" w:name="_Toc15377444"/>
      <w:r>
        <w:rPr>
          <w:rFonts w:hint="eastAsia" w:ascii="仿宋_GB2312" w:hAnsi="仿宋_GB2312" w:eastAsia="仿宋_GB2312" w:cs="仿宋_GB2312"/>
          <w:b/>
          <w:sz w:val="32"/>
          <w:szCs w:val="32"/>
        </w:rPr>
        <w:t>202</w:t>
      </w: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年一般公共预算支出决算数为</w:t>
      </w:r>
      <w:r>
        <w:rPr>
          <w:rFonts w:hint="eastAsia" w:ascii="仿宋_GB2312" w:hAnsi="仿宋_GB2312" w:eastAsia="仿宋_GB2312" w:cs="仿宋_GB2312"/>
          <w:b/>
          <w:sz w:val="32"/>
          <w:szCs w:val="32"/>
          <w:lang w:val="en-US" w:eastAsia="zh-CN"/>
        </w:rPr>
        <w:t>943.55</w:t>
      </w:r>
      <w:r>
        <w:rPr>
          <w:rFonts w:hint="eastAsia" w:ascii="仿宋_GB2312" w:hAnsi="仿宋_GB2312" w:eastAsia="仿宋_GB2312" w:cs="仿宋_GB2312"/>
          <w:sz w:val="32"/>
          <w:szCs w:val="32"/>
        </w:rPr>
        <w:t>，</w:t>
      </w:r>
      <w:r>
        <w:rPr>
          <w:rStyle w:val="18"/>
          <w:rFonts w:hint="eastAsia" w:ascii="仿宋_GB2312" w:hAnsi="仿宋_GB2312" w:eastAsia="仿宋_GB2312" w:cs="仿宋_GB2312"/>
          <w:bCs/>
          <w:sz w:val="32"/>
          <w:szCs w:val="32"/>
        </w:rPr>
        <w:t>完成预算</w:t>
      </w:r>
      <w:r>
        <w:rPr>
          <w:rStyle w:val="18"/>
          <w:rFonts w:hint="eastAsia" w:ascii="仿宋_GB2312" w:hAnsi="仿宋_GB2312" w:eastAsia="仿宋_GB2312" w:cs="仿宋_GB2312"/>
          <w:bCs/>
          <w:sz w:val="32"/>
          <w:szCs w:val="32"/>
          <w:lang w:val="en-US" w:eastAsia="zh-CN"/>
        </w:rPr>
        <w:t>100</w:t>
      </w:r>
      <w:r>
        <w:rPr>
          <w:rStyle w:val="18"/>
          <w:rFonts w:hint="eastAsia" w:ascii="仿宋_GB2312" w:hAnsi="仿宋_GB2312" w:eastAsia="仿宋_GB2312" w:cs="仿宋_GB2312"/>
          <w:bCs/>
          <w:sz w:val="32"/>
          <w:szCs w:val="32"/>
        </w:rPr>
        <w:t>%。其中：</w:t>
      </w:r>
      <w:bookmarkEnd w:id="41"/>
      <w:bookmarkEnd w:id="42"/>
      <w:bookmarkEnd w:id="43"/>
    </w:p>
    <w:p>
      <w:pPr>
        <w:numPr>
          <w:ilvl w:val="0"/>
          <w:numId w:val="4"/>
        </w:numPr>
        <w:spacing w:line="600" w:lineRule="exact"/>
        <w:ind w:firstLine="643" w:firstLineChars="200"/>
        <w:rPr>
          <w:rStyle w:val="18"/>
          <w:rFonts w:hint="eastAsia" w:ascii="仿宋_GB2312" w:hAnsi="仿宋_GB2312" w:eastAsia="仿宋_GB2312" w:cs="仿宋_GB2312"/>
          <w:b w:val="0"/>
          <w:bCs/>
          <w:sz w:val="32"/>
          <w:szCs w:val="32"/>
          <w:lang w:val="en-US" w:eastAsia="zh-CN"/>
        </w:rPr>
      </w:pPr>
      <w:r>
        <w:rPr>
          <w:rStyle w:val="18"/>
          <w:rFonts w:hint="eastAsia" w:ascii="仿宋_GB2312" w:hAnsi="仿宋_GB2312" w:eastAsia="仿宋_GB2312" w:cs="仿宋_GB2312"/>
          <w:bCs/>
          <w:sz w:val="32"/>
          <w:szCs w:val="32"/>
        </w:rPr>
        <w:t>一般公共服务</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2010101</w:t>
      </w:r>
      <w:r>
        <w:rPr>
          <w:rStyle w:val="18"/>
          <w:rFonts w:hint="eastAsia" w:ascii="仿宋_GB2312" w:hAnsi="仿宋_GB2312" w:eastAsia="仿宋_GB2312" w:cs="仿宋_GB2312"/>
          <w:b w:val="0"/>
          <w:bCs/>
          <w:sz w:val="32"/>
          <w:szCs w:val="32"/>
          <w:lang w:val="en-US" w:eastAsia="zh-CN"/>
        </w:rPr>
        <w:t>-行政运行</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608.23</w:t>
      </w:r>
      <w:r>
        <w:rPr>
          <w:rStyle w:val="18"/>
          <w:rFonts w:hint="eastAsia" w:ascii="仿宋_GB2312" w:hAnsi="仿宋_GB2312" w:eastAsia="仿宋_GB2312" w:cs="仿宋_GB2312"/>
          <w:b w:val="0"/>
          <w:bCs/>
          <w:sz w:val="32"/>
          <w:szCs w:val="32"/>
        </w:rPr>
        <w:t>万元，完</w:t>
      </w:r>
      <w:r>
        <w:rPr>
          <w:rStyle w:val="18"/>
          <w:rFonts w:hint="eastAsia" w:ascii="仿宋_GB2312" w:hAnsi="仿宋_GB2312" w:eastAsia="仿宋_GB2312" w:cs="仿宋_GB2312"/>
          <w:b w:val="0"/>
          <w:bCs/>
          <w:sz w:val="32"/>
          <w:szCs w:val="32"/>
          <w:lang w:val="en-US" w:eastAsia="zh-CN"/>
        </w:rPr>
        <w:t>成预算100%，主要用于开支日常公用经费及人员经费；2010102-一般行政管理事务支出决算为54.16万元，完成预算100%，主要用于专项公用经费；2010104</w:t>
      </w:r>
      <w:r>
        <w:rPr>
          <w:rStyle w:val="18"/>
          <w:rFonts w:hint="eastAsia" w:ascii="仿宋_GB2312" w:hAnsi="仿宋_GB2312" w:eastAsia="仿宋_GB2312" w:cs="仿宋_GB2312"/>
          <w:b w:val="0"/>
          <w:bCs/>
          <w:sz w:val="32"/>
          <w:szCs w:val="32"/>
          <w:lang w:val="en-US" w:eastAsia="zh-CN"/>
        </w:rPr>
        <w:tab/>
      </w:r>
      <w:r>
        <w:rPr>
          <w:rStyle w:val="18"/>
          <w:rFonts w:hint="eastAsia" w:ascii="仿宋_GB2312" w:hAnsi="仿宋_GB2312" w:eastAsia="仿宋_GB2312" w:cs="仿宋_GB2312"/>
          <w:b w:val="0"/>
          <w:bCs/>
          <w:sz w:val="32"/>
          <w:szCs w:val="32"/>
          <w:lang w:val="en-US" w:eastAsia="zh-CN"/>
        </w:rPr>
        <w:t>-人大会议支出决算为25.44万元，完成预算100%，主要用于召开人代会、常委会相关印刷费，办公费等；2010107-人大代表履职能力提升支出决算为37.66万元，完成预算100%，主要用于代表履职产生的培训费及代表履职能力提升相关的后勤保障开支；2010108-代表工作支出决算为8.68万元，完成预算100%，主要用于2022年代表换届选举，代表培训等开支；2010150</w:t>
      </w:r>
      <w:r>
        <w:rPr>
          <w:rStyle w:val="18"/>
          <w:rFonts w:hint="eastAsia" w:ascii="仿宋_GB2312" w:hAnsi="仿宋_GB2312" w:eastAsia="仿宋_GB2312" w:cs="仿宋_GB2312"/>
          <w:b w:val="0"/>
          <w:bCs/>
          <w:sz w:val="32"/>
          <w:szCs w:val="32"/>
          <w:lang w:val="en-US" w:eastAsia="zh-CN"/>
        </w:rPr>
        <w:tab/>
      </w:r>
      <w:r>
        <w:rPr>
          <w:rStyle w:val="18"/>
          <w:rFonts w:hint="eastAsia" w:ascii="仿宋_GB2312" w:hAnsi="仿宋_GB2312" w:eastAsia="仿宋_GB2312" w:cs="仿宋_GB2312"/>
          <w:b w:val="0"/>
          <w:bCs/>
          <w:sz w:val="32"/>
          <w:szCs w:val="32"/>
          <w:lang w:val="en-US" w:eastAsia="zh-CN"/>
        </w:rPr>
        <w:t>-事业运行支出决算为16.8万元，完成预算100%，主要用于预算联网督查室人员经费及日常公用经费开支。</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rPr>
      </w:pPr>
      <w:r>
        <w:rPr>
          <w:rStyle w:val="18"/>
          <w:rFonts w:hint="eastAsia" w:ascii="仿宋_GB2312" w:hAnsi="仿宋_GB2312" w:eastAsia="仿宋_GB2312" w:cs="仿宋_GB2312"/>
          <w:bCs/>
          <w:sz w:val="32"/>
          <w:szCs w:val="32"/>
          <w:lang w:val="en-US" w:eastAsia="zh-CN"/>
        </w:rPr>
        <w:t>2.</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w:t>
      </w:r>
      <w:r>
        <w:rPr>
          <w:rStyle w:val="18"/>
          <w:rFonts w:hint="eastAsia" w:ascii="仿宋_GB2312" w:hAnsi="仿宋_GB2312" w:eastAsia="仿宋_GB2312" w:cs="仿宋_GB2312"/>
          <w:b w:val="0"/>
          <w:bCs/>
          <w:color w:val="000000"/>
          <w:sz w:val="32"/>
          <w:szCs w:val="32"/>
        </w:rPr>
        <w:t>2080505</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rPr>
        <w:t>机关事业单位基本养老保险缴费支出决算为</w:t>
      </w:r>
      <w:r>
        <w:rPr>
          <w:rStyle w:val="18"/>
          <w:rFonts w:hint="eastAsia" w:ascii="仿宋_GB2312" w:hAnsi="仿宋_GB2312" w:eastAsia="仿宋_GB2312" w:cs="仿宋_GB2312"/>
          <w:b w:val="0"/>
          <w:bCs/>
          <w:color w:val="000000"/>
          <w:sz w:val="32"/>
          <w:szCs w:val="32"/>
          <w:lang w:val="en-US" w:eastAsia="zh-CN"/>
        </w:rPr>
        <w:t>66.92</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全部用于职工缴纳养老保险单位部分；2080506</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机关事业单位职业年金缴费支出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33.46</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全部用于职工缴纳职业年金单位部分。</w:t>
      </w:r>
    </w:p>
    <w:p>
      <w:pPr>
        <w:numPr>
          <w:ilvl w:val="0"/>
          <w:numId w:val="0"/>
        </w:numPr>
        <w:spacing w:line="600" w:lineRule="exact"/>
        <w:ind w:firstLine="643" w:firstLineChars="200"/>
        <w:rPr>
          <w:rStyle w:val="18"/>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color w:val="000000"/>
          <w:sz w:val="32"/>
          <w:szCs w:val="32"/>
          <w:lang w:eastAsia="zh-CN"/>
        </w:rPr>
        <w:t>2101101</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行政单位医疗支出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31.9</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，全部用于行政在职职工缴纳医疗保险单位部分；2101102</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0.99</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，全部用于事业在职职工缴纳医疗保险单位部分；2101103</w:t>
      </w:r>
      <w:r>
        <w:rPr>
          <w:rStyle w:val="18"/>
          <w:rFonts w:hint="eastAsia" w:ascii="仿宋_GB2312" w:hAnsi="仿宋_GB2312" w:eastAsia="仿宋_GB2312" w:cs="仿宋_GB2312"/>
          <w:b w:val="0"/>
          <w:bCs/>
          <w:color w:val="000000"/>
          <w:sz w:val="32"/>
          <w:szCs w:val="32"/>
          <w:lang w:eastAsia="zh-CN"/>
        </w:rPr>
        <w:tab/>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公务员医疗补助支出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10.67</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，全部用于行政在职职工公务员补充医保；2101199</w:t>
      </w:r>
      <w:r>
        <w:rPr>
          <w:rStyle w:val="18"/>
          <w:rFonts w:hint="eastAsia" w:ascii="仿宋_GB2312" w:hAnsi="仿宋_GB2312" w:eastAsia="仿宋_GB2312" w:cs="仿宋_GB2312"/>
          <w:b w:val="0"/>
          <w:bCs/>
          <w:color w:val="000000"/>
          <w:sz w:val="32"/>
          <w:szCs w:val="32"/>
          <w:lang w:val="en-US" w:eastAsia="zh-CN"/>
        </w:rPr>
        <w:t>-</w:t>
      </w:r>
      <w:r>
        <w:rPr>
          <w:rStyle w:val="18"/>
          <w:rFonts w:hint="eastAsia" w:ascii="仿宋_GB2312" w:hAnsi="仿宋_GB2312" w:eastAsia="仿宋_GB2312" w:cs="仿宋_GB2312"/>
          <w:b w:val="0"/>
          <w:bCs/>
          <w:color w:val="000000"/>
          <w:sz w:val="32"/>
          <w:szCs w:val="32"/>
          <w:lang w:eastAsia="zh-CN"/>
        </w:rPr>
        <w:t>其他行政事业单位医疗支出</w:t>
      </w:r>
      <w:r>
        <w:rPr>
          <w:rStyle w:val="18"/>
          <w:rFonts w:hint="eastAsia" w:ascii="仿宋_GB2312" w:hAnsi="仿宋_GB2312" w:eastAsia="仿宋_GB2312" w:cs="仿宋_GB2312"/>
          <w:b w:val="0"/>
          <w:bCs/>
          <w:color w:val="000000"/>
          <w:sz w:val="32"/>
          <w:szCs w:val="32"/>
        </w:rPr>
        <w:t>决算为</w:t>
      </w:r>
      <w:r>
        <w:rPr>
          <w:rStyle w:val="18"/>
          <w:rFonts w:hint="eastAsia" w:ascii="仿宋_GB2312" w:hAnsi="仿宋_GB2312" w:eastAsia="仿宋_GB2312" w:cs="仿宋_GB2312"/>
          <w:b w:val="0"/>
          <w:bCs/>
          <w:color w:val="000000"/>
          <w:sz w:val="32"/>
          <w:szCs w:val="32"/>
          <w:lang w:val="en-US" w:eastAsia="zh-CN"/>
        </w:rPr>
        <w:t>0.22</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，全部用于缴纳事业在职职工补充医保。</w:t>
      </w:r>
    </w:p>
    <w:p>
      <w:pPr>
        <w:numPr>
          <w:ilvl w:val="0"/>
          <w:numId w:val="0"/>
        </w:numPr>
        <w:spacing w:line="600" w:lineRule="exact"/>
        <w:ind w:firstLine="640" w:firstLineChars="200"/>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 w:val="0"/>
          <w:bCs/>
          <w:color w:val="000000"/>
          <w:sz w:val="32"/>
          <w:szCs w:val="32"/>
          <w:lang w:val="en-US" w:eastAsia="zh-CN"/>
        </w:rPr>
        <w:t>4.住房保障支出：2210201-住房公积金</w:t>
      </w:r>
      <w:r>
        <w:rPr>
          <w:rStyle w:val="18"/>
          <w:rFonts w:hint="eastAsia" w:ascii="仿宋_GB2312" w:hAnsi="仿宋_GB2312" w:eastAsia="仿宋_GB2312" w:cs="仿宋_GB2312"/>
          <w:b w:val="0"/>
          <w:bCs/>
          <w:color w:val="000000"/>
          <w:sz w:val="32"/>
          <w:szCs w:val="32"/>
          <w:lang w:eastAsia="zh-CN"/>
        </w:rPr>
        <w:t>支出决算为</w:t>
      </w:r>
      <w:r>
        <w:rPr>
          <w:rStyle w:val="18"/>
          <w:rFonts w:hint="eastAsia" w:ascii="仿宋_GB2312" w:hAnsi="仿宋_GB2312" w:eastAsia="仿宋_GB2312" w:cs="仿宋_GB2312"/>
          <w:b w:val="0"/>
          <w:bCs/>
          <w:color w:val="000000"/>
          <w:sz w:val="32"/>
          <w:szCs w:val="32"/>
          <w:lang w:val="en-US" w:eastAsia="zh-CN"/>
        </w:rPr>
        <w:t>48.41</w:t>
      </w:r>
      <w:r>
        <w:rPr>
          <w:rStyle w:val="18"/>
          <w:rFonts w:hint="eastAsia" w:ascii="仿宋_GB2312" w:hAnsi="仿宋_GB2312" w:eastAsia="仿宋_GB2312" w:cs="仿宋_GB2312"/>
          <w:b w:val="0"/>
          <w:bCs/>
          <w:color w:val="000000"/>
          <w:sz w:val="32"/>
          <w:szCs w:val="32"/>
          <w:lang w:eastAsia="zh-CN"/>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lang w:eastAsia="zh-CN"/>
        </w:rPr>
        <w:t>%，全部用于行政事业职工缴纳住房公积金单位部分。</w:t>
      </w:r>
    </w:p>
    <w:p>
      <w:pPr>
        <w:spacing w:line="600" w:lineRule="exact"/>
        <w:rPr>
          <w:rFonts w:ascii="仿宋" w:eastAsia="仿宋"/>
          <w:b/>
          <w:sz w:val="32"/>
          <w:szCs w:val="32"/>
        </w:rPr>
      </w:pPr>
    </w:p>
    <w:p>
      <w:pPr>
        <w:tabs>
          <w:tab w:val="right" w:pos="8306"/>
        </w:tabs>
        <w:spacing w:line="600" w:lineRule="exact"/>
        <w:ind w:firstLine="640"/>
        <w:outlineLvl w:val="1"/>
        <w:rPr>
          <w:rStyle w:val="21"/>
        </w:rPr>
      </w:pPr>
      <w:bookmarkStart w:id="44" w:name="_Toc15377214"/>
      <w:bookmarkStart w:id="45" w:name="_Toc15396608"/>
      <w:bookmarkStart w:id="46" w:name="_Toc13941"/>
      <w:r>
        <w:rPr>
          <w:rFonts w:hint="eastAsia" w:ascii="黑体" w:eastAsia="黑体"/>
          <w:sz w:val="32"/>
          <w:szCs w:val="32"/>
        </w:rPr>
        <w:t>六</w:t>
      </w:r>
      <w:r>
        <w:rPr>
          <w:rFonts w:hint="eastAsia" w:ascii="黑体" w:eastAsia="黑体"/>
          <w:b/>
          <w:sz w:val="32"/>
          <w:szCs w:val="32"/>
        </w:rPr>
        <w:t>、一</w:t>
      </w:r>
      <w:r>
        <w:rPr>
          <w:rStyle w:val="21"/>
          <w:rFonts w:hint="eastAsia" w:ascii="黑体" w:eastAsia="黑体"/>
          <w:b w:val="0"/>
        </w:rPr>
        <w:t>般公共预算财政拨款基本支出决算情况说明</w:t>
      </w:r>
      <w:bookmarkEnd w:id="44"/>
      <w:bookmarkEnd w:id="45"/>
      <w:bookmarkEnd w:id="46"/>
      <w:r>
        <w:rPr>
          <w:rStyle w:val="21"/>
          <w:rFonts w:ascii="黑体" w:eastAsia="黑体"/>
          <w:b w:val="0"/>
        </w:rPr>
        <w:tab/>
      </w:r>
    </w:p>
    <w:p>
      <w:pPr>
        <w:spacing w:line="60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817.61</w:t>
      </w:r>
      <w:r>
        <w:rPr>
          <w:rFonts w:hint="eastAsia" w:ascii="仿宋_GB2312" w:hAnsi="仿宋_GB2312" w:eastAsia="仿宋_GB2312" w:cs="仿宋_GB2312"/>
          <w:sz w:val="32"/>
          <w:szCs w:val="32"/>
        </w:rPr>
        <w:t>万元，其中：</w:t>
      </w:r>
    </w:p>
    <w:p>
      <w:pPr>
        <w:spacing w:line="600" w:lineRule="exact"/>
        <w:ind w:firstLine="645"/>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762.03</w:t>
      </w:r>
      <w:r>
        <w:rPr>
          <w:rFonts w:hint="eastAsia" w:ascii="仿宋_GB2312" w:hAnsi="仿宋_GB2312" w:eastAsia="仿宋_GB2312" w:cs="仿宋_GB2312"/>
          <w:sz w:val="32"/>
          <w:szCs w:val="32"/>
        </w:rPr>
        <w:t>万元，包括：</w:t>
      </w:r>
      <w:r>
        <w:rPr>
          <w:rFonts w:hint="eastAsia" w:ascii="仿宋_GB2312" w:hAnsi="仿宋_GB2312" w:eastAsia="仿宋_GB2312" w:cs="仿宋_GB2312"/>
          <w:color w:val="000000"/>
          <w:sz w:val="32"/>
          <w:szCs w:val="32"/>
        </w:rPr>
        <w:t>基本工资</w:t>
      </w:r>
      <w:r>
        <w:rPr>
          <w:rFonts w:hint="eastAsia" w:ascii="仿宋_GB2312" w:hAnsi="仿宋_GB2312" w:eastAsia="仿宋_GB2312" w:cs="仿宋_GB2312"/>
          <w:color w:val="000000"/>
          <w:sz w:val="32"/>
          <w:szCs w:val="32"/>
          <w:lang w:val="en-US" w:eastAsia="zh-CN"/>
        </w:rPr>
        <w:t>143.4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220.3</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173.32</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3.1万元、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66.92</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33.46</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7.04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、职工基本医疗保险缴</w:t>
      </w:r>
      <w:r>
        <w:rPr>
          <w:rFonts w:hint="eastAsia" w:ascii="仿宋_GB2312" w:hAnsi="仿宋_GB2312" w:eastAsia="仿宋_GB2312" w:cs="仿宋_GB2312"/>
          <w:color w:val="000000"/>
          <w:sz w:val="32"/>
          <w:szCs w:val="32"/>
          <w:lang w:val="en-US" w:eastAsia="zh-CN"/>
        </w:rPr>
        <w:t>32.89</w:t>
      </w:r>
      <w:r>
        <w:rPr>
          <w:rFonts w:hint="eastAsia" w:ascii="仿宋_GB2312" w:hAnsi="仿宋_GB2312" w:eastAsia="仿宋_GB2312" w:cs="仿宋_GB2312"/>
          <w:color w:val="000000"/>
          <w:sz w:val="32"/>
          <w:szCs w:val="32"/>
          <w:lang w:eastAsia="zh-CN"/>
        </w:rPr>
        <w:t>万元、公务员医疗补助缴费</w:t>
      </w:r>
      <w:r>
        <w:rPr>
          <w:rFonts w:hint="eastAsia" w:ascii="仿宋_GB2312" w:hAnsi="仿宋_GB2312" w:eastAsia="仿宋_GB2312" w:cs="仿宋_GB2312"/>
          <w:color w:val="000000"/>
          <w:sz w:val="32"/>
          <w:szCs w:val="32"/>
          <w:lang w:val="en-US" w:eastAsia="zh-CN"/>
        </w:rPr>
        <w:t>10.89</w:t>
      </w:r>
      <w:r>
        <w:rPr>
          <w:rFonts w:hint="eastAsia" w:ascii="仿宋_GB2312" w:hAnsi="仿宋_GB2312" w:eastAsia="仿宋_GB2312" w:cs="仿宋_GB2312"/>
          <w:color w:val="000000"/>
          <w:sz w:val="32"/>
          <w:szCs w:val="32"/>
          <w:lang w:eastAsia="zh-CN"/>
        </w:rPr>
        <w:t>万元、住房公积金</w:t>
      </w:r>
      <w:r>
        <w:rPr>
          <w:rFonts w:hint="eastAsia" w:ascii="仿宋_GB2312" w:hAnsi="仿宋_GB2312" w:eastAsia="仿宋_GB2312" w:cs="仿宋_GB2312"/>
          <w:color w:val="000000"/>
          <w:sz w:val="32"/>
          <w:szCs w:val="32"/>
          <w:lang w:val="en-US" w:eastAsia="zh-CN"/>
        </w:rPr>
        <w:t>48.41</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val="en-US" w:eastAsia="zh-CN"/>
        </w:rPr>
        <w:t>生活补助16.23万元，医疗费3.8万元、医疗费补助2.26万元，奖励金0.01万元。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55.58</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包括：办公费</w:t>
      </w:r>
      <w:r>
        <w:rPr>
          <w:rFonts w:hint="eastAsia" w:ascii="仿宋_GB2312" w:hAnsi="仿宋_GB2312" w:eastAsia="仿宋_GB2312" w:cs="仿宋_GB2312"/>
          <w:color w:val="000000"/>
          <w:sz w:val="32"/>
          <w:szCs w:val="32"/>
          <w:lang w:val="en-US" w:eastAsia="zh-CN"/>
        </w:rPr>
        <w:t>15.12</w:t>
      </w:r>
      <w:r>
        <w:rPr>
          <w:rFonts w:hint="eastAsia" w:ascii="仿宋_GB2312" w:hAnsi="仿宋_GB2312" w:eastAsia="仿宋_GB2312" w:cs="仿宋_GB2312"/>
          <w:color w:val="000000"/>
          <w:sz w:val="32"/>
          <w:szCs w:val="32"/>
          <w:lang w:eastAsia="zh-CN"/>
        </w:rPr>
        <w:t>万元、印刷费</w:t>
      </w:r>
      <w:r>
        <w:rPr>
          <w:rFonts w:hint="eastAsia" w:ascii="仿宋_GB2312" w:hAnsi="仿宋_GB2312" w:eastAsia="仿宋_GB2312" w:cs="仿宋_GB2312"/>
          <w:color w:val="000000"/>
          <w:sz w:val="32"/>
          <w:szCs w:val="32"/>
          <w:lang w:val="en-US" w:eastAsia="zh-CN"/>
        </w:rPr>
        <w:t>0.55万元、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0.45万元，</w:t>
      </w:r>
      <w:r>
        <w:rPr>
          <w:rFonts w:hint="eastAsia" w:ascii="仿宋_GB2312" w:hAnsi="仿宋_GB2312" w:eastAsia="仿宋_GB2312" w:cs="仿宋_GB2312"/>
          <w:color w:val="000000"/>
          <w:sz w:val="32"/>
          <w:szCs w:val="32"/>
          <w:lang w:eastAsia="zh-CN"/>
        </w:rPr>
        <w:t>邮电费</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万元、取暖费</w:t>
      </w:r>
      <w:r>
        <w:rPr>
          <w:rFonts w:hint="eastAsia" w:ascii="仿宋_GB2312" w:hAnsi="仿宋_GB2312" w:eastAsia="仿宋_GB2312" w:cs="仿宋_GB2312"/>
          <w:color w:val="000000"/>
          <w:sz w:val="32"/>
          <w:szCs w:val="32"/>
          <w:lang w:val="en-US" w:eastAsia="zh-CN"/>
        </w:rPr>
        <w:t>2.38万元、</w:t>
      </w:r>
      <w:r>
        <w:rPr>
          <w:rFonts w:hint="eastAsia" w:ascii="仿宋_GB2312" w:hAnsi="仿宋_GB2312" w:eastAsia="仿宋_GB2312" w:cs="仿宋_GB2312"/>
          <w:color w:val="000000"/>
          <w:sz w:val="32"/>
          <w:szCs w:val="32"/>
          <w:lang w:eastAsia="zh-CN"/>
        </w:rPr>
        <w:t>差旅费</w:t>
      </w:r>
      <w:r>
        <w:rPr>
          <w:rFonts w:hint="eastAsia" w:ascii="仿宋_GB2312" w:hAnsi="仿宋_GB2312" w:eastAsia="仿宋_GB2312" w:cs="仿宋_GB2312"/>
          <w:color w:val="000000"/>
          <w:sz w:val="32"/>
          <w:szCs w:val="32"/>
          <w:lang w:val="en-US" w:eastAsia="zh-CN"/>
        </w:rPr>
        <w:t>2.98</w:t>
      </w:r>
      <w:r>
        <w:rPr>
          <w:rFonts w:hint="eastAsia" w:ascii="仿宋_GB2312" w:hAnsi="仿宋_GB2312" w:eastAsia="仿宋_GB2312" w:cs="仿宋_GB2312"/>
          <w:color w:val="000000"/>
          <w:sz w:val="32"/>
          <w:szCs w:val="32"/>
          <w:lang w:eastAsia="zh-CN"/>
        </w:rPr>
        <w:t>万元、维修维护</w:t>
      </w:r>
      <w:r>
        <w:rPr>
          <w:rFonts w:hint="eastAsia" w:ascii="仿宋_GB2312" w:hAnsi="仿宋_GB2312" w:eastAsia="仿宋_GB2312" w:cs="仿宋_GB2312"/>
          <w:color w:val="000000"/>
          <w:sz w:val="32"/>
          <w:szCs w:val="32"/>
          <w:lang w:val="en-US" w:eastAsia="zh-CN"/>
        </w:rPr>
        <w:t>0.35万元、劳务费1.51万元、</w:t>
      </w:r>
      <w:r>
        <w:rPr>
          <w:rFonts w:hint="eastAsia" w:ascii="仿宋_GB2312" w:hAnsi="仿宋_GB2312" w:eastAsia="仿宋_GB2312" w:cs="仿宋_GB2312"/>
          <w:color w:val="000000"/>
          <w:sz w:val="32"/>
          <w:szCs w:val="32"/>
          <w:lang w:eastAsia="zh-CN"/>
        </w:rPr>
        <w:t>工会经费</w:t>
      </w:r>
      <w:r>
        <w:rPr>
          <w:rFonts w:hint="eastAsia" w:ascii="仿宋_GB2312" w:hAnsi="仿宋_GB2312" w:eastAsia="仿宋_GB2312" w:cs="仿宋_GB2312"/>
          <w:color w:val="000000"/>
          <w:sz w:val="32"/>
          <w:szCs w:val="32"/>
          <w:lang w:val="en-US" w:eastAsia="zh-CN"/>
        </w:rPr>
        <w:t>5.04万元、</w:t>
      </w:r>
      <w:r>
        <w:rPr>
          <w:rFonts w:hint="eastAsia" w:ascii="仿宋_GB2312" w:hAnsi="仿宋_GB2312" w:eastAsia="仿宋_GB2312" w:cs="仿宋_GB2312"/>
          <w:color w:val="000000"/>
          <w:sz w:val="32"/>
          <w:szCs w:val="32"/>
          <w:lang w:eastAsia="zh-CN"/>
        </w:rPr>
        <w:t>公务用车运行维护费</w:t>
      </w:r>
      <w:r>
        <w:rPr>
          <w:rFonts w:hint="eastAsia" w:ascii="仿宋_GB2312" w:hAnsi="仿宋_GB2312" w:eastAsia="仿宋_GB2312" w:cs="仿宋_GB2312"/>
          <w:color w:val="000000"/>
          <w:sz w:val="32"/>
          <w:szCs w:val="32"/>
          <w:lang w:val="en-US" w:eastAsia="zh-CN"/>
        </w:rPr>
        <w:t>23.2</w:t>
      </w:r>
      <w:r>
        <w:rPr>
          <w:rFonts w:hint="eastAsia" w:ascii="仿宋_GB2312" w:hAnsi="仿宋_GB2312" w:eastAsia="仿宋_GB2312" w:cs="仿宋_GB2312"/>
          <w:color w:val="000000"/>
          <w:sz w:val="32"/>
          <w:szCs w:val="32"/>
          <w:lang w:eastAsia="zh-CN"/>
        </w:rPr>
        <w:t>万元。</w:t>
      </w:r>
    </w:p>
    <w:p>
      <w:pPr>
        <w:spacing w:line="600" w:lineRule="exact"/>
        <w:ind w:firstLine="640"/>
        <w:outlineLvl w:val="1"/>
        <w:rPr>
          <w:rStyle w:val="21"/>
          <w:rFonts w:ascii="黑体" w:eastAsia="黑体"/>
          <w:b w:val="0"/>
        </w:rPr>
      </w:pPr>
      <w:bookmarkStart w:id="47" w:name="_Toc15396609"/>
      <w:bookmarkStart w:id="48" w:name="_Toc15377215"/>
      <w:bookmarkStart w:id="49" w:name="_Toc4299"/>
      <w:r>
        <w:rPr>
          <w:rFonts w:hint="eastAsia" w:ascii="黑体" w:eastAsia="黑体"/>
          <w:sz w:val="32"/>
          <w:szCs w:val="32"/>
        </w:rPr>
        <w:t>七、</w:t>
      </w:r>
      <w:r>
        <w:rPr>
          <w:rStyle w:val="21"/>
          <w:rFonts w:hint="eastAsia" w:ascii="黑体" w:eastAsia="黑体"/>
          <w:b w:val="0"/>
        </w:rPr>
        <w:t>财政拨款</w:t>
      </w:r>
      <w:r>
        <w:rPr>
          <w:rStyle w:val="21"/>
          <w:rFonts w:hint="eastAsia" w:ascii="黑体" w:eastAsia="黑体"/>
        </w:rPr>
        <w:t>“</w:t>
      </w:r>
      <w:r>
        <w:rPr>
          <w:rStyle w:val="21"/>
          <w:rFonts w:hint="eastAsia" w:ascii="黑体" w:eastAsia="黑体"/>
          <w:b w:val="0"/>
        </w:rPr>
        <w:t>三公”经费支出决算情况说明</w:t>
      </w:r>
      <w:bookmarkEnd w:id="47"/>
      <w:bookmarkEnd w:id="48"/>
      <w:bookmarkEnd w:id="49"/>
    </w:p>
    <w:p>
      <w:pPr>
        <w:spacing w:line="600" w:lineRule="exact"/>
        <w:ind w:firstLine="640"/>
        <w:outlineLvl w:val="2"/>
        <w:rPr>
          <w:rFonts w:hint="eastAsia" w:ascii="仿宋_GB2312" w:hAnsi="仿宋_GB2312" w:eastAsia="仿宋_GB2312" w:cs="仿宋_GB2312"/>
          <w:b/>
          <w:sz w:val="32"/>
          <w:szCs w:val="32"/>
        </w:rPr>
      </w:pPr>
      <w:bookmarkStart w:id="50" w:name="_Toc15377216"/>
      <w:r>
        <w:rPr>
          <w:rFonts w:hint="eastAsia" w:ascii="仿宋_GB2312" w:hAnsi="仿宋_GB2312" w:eastAsia="仿宋_GB2312" w:cs="仿宋_GB2312"/>
          <w:b/>
          <w:sz w:val="32"/>
          <w:szCs w:val="32"/>
        </w:rPr>
        <w:t>（一）“三公”经费财政拨款支出决算总体情况说明</w:t>
      </w:r>
      <w:bookmarkEnd w:id="50"/>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33.98</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%，较上年减少</w:t>
      </w:r>
      <w:r>
        <w:rPr>
          <w:rFonts w:hint="eastAsia" w:ascii="仿宋_GB2312" w:hAnsi="仿宋_GB2312" w:eastAsia="仿宋_GB2312" w:cs="仿宋_GB2312"/>
          <w:sz w:val="32"/>
          <w:szCs w:val="32"/>
          <w:lang w:val="en-US" w:eastAsia="zh-CN"/>
        </w:rPr>
        <w:t>7.62</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w:t>
      </w:r>
    </w:p>
    <w:p>
      <w:pPr>
        <w:spacing w:line="600" w:lineRule="exact"/>
        <w:ind w:firstLine="640"/>
        <w:outlineLvl w:val="2"/>
        <w:rPr>
          <w:rFonts w:hint="eastAsia" w:ascii="仿宋_GB2312" w:hAnsi="仿宋_GB2312" w:eastAsia="仿宋_GB2312" w:cs="仿宋_GB2312"/>
          <w:b/>
          <w:sz w:val="32"/>
          <w:szCs w:val="32"/>
        </w:rPr>
      </w:pPr>
      <w:bookmarkStart w:id="51" w:name="_Toc15377217"/>
      <w:r>
        <w:rPr>
          <w:rFonts w:hint="eastAsia" w:ascii="仿宋_GB2312" w:hAnsi="仿宋_GB2312" w:eastAsia="仿宋_GB2312" w:cs="仿宋_GB2312"/>
          <w:b/>
          <w:sz w:val="32"/>
          <w:szCs w:val="32"/>
        </w:rPr>
        <w:t>（二）“三公”经费财政拨款支出决算具体情况说明</w:t>
      </w:r>
      <w:bookmarkEnd w:id="51"/>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31.77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93.53</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6.47</w:t>
      </w:r>
      <w:r>
        <w:rPr>
          <w:rFonts w:hint="eastAsia" w:ascii="仿宋_GB2312" w:hAnsi="仿宋_GB2312" w:eastAsia="仿宋_GB2312" w:cs="仿宋_GB2312"/>
          <w:sz w:val="32"/>
          <w:szCs w:val="32"/>
        </w:rPr>
        <w:t>%。具体情况如下：</w:t>
      </w:r>
    </w:p>
    <w:p>
      <w:pPr>
        <w:spacing w:line="600" w:lineRule="exact"/>
        <w:ind w:firstLine="640"/>
        <w:rPr>
          <w:rFonts w:hint="eastAsia" w:ascii="仿宋" w:eastAsia="仿宋"/>
          <w:sz w:val="32"/>
          <w:szCs w:val="32"/>
        </w:rPr>
      </w:pPr>
      <w:r>
        <w:rPr>
          <w:rFonts w:hint="eastAsia" w:ascii="仿宋_GB2312" w:hAnsi="仿宋_GB2312" w:eastAsia="仿宋_GB2312" w:cs="仿宋_GB2312"/>
          <w:sz w:val="32"/>
          <w:szCs w:val="32"/>
        </w:rPr>
        <w:t>（图7：“三公”经费财政拨款支出结构）（饼状</w:t>
      </w:r>
      <w:r>
        <w:rPr>
          <w:rFonts w:hint="eastAsia" w:ascii="仿宋" w:eastAsia="仿宋"/>
          <w:sz w:val="32"/>
          <w:szCs w:val="32"/>
        </w:rPr>
        <w:t>图）</w:t>
      </w:r>
    </w:p>
    <w:p>
      <w:pPr>
        <w:pStyle w:val="4"/>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4817110" cy="2473325"/>
            <wp:effectExtent l="4445" t="4445" r="17145" b="177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sz w:val="32"/>
          <w:szCs w:val="32"/>
        </w:rPr>
      </w:pPr>
    </w:p>
    <w:p>
      <w:pPr>
        <w:spacing w:line="60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人。因公出国（境）支出决算</w:t>
      </w:r>
      <w:r>
        <w:rPr>
          <w:rFonts w:hint="eastAsia" w:ascii="仿宋_GB2312" w:hAnsi="仿宋_GB2312" w:eastAsia="仿宋_GB2312" w:cs="仿宋_GB2312"/>
          <w:sz w:val="32"/>
          <w:szCs w:val="32"/>
          <w:lang w:eastAsia="zh-CN"/>
        </w:rPr>
        <w:t>与上年持平，主要原因是两年均未有出国安排。</w:t>
      </w:r>
    </w:p>
    <w:p>
      <w:pPr>
        <w:spacing w:line="600" w:lineRule="exact"/>
        <w:ind w:firstLine="64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sz w:val="32"/>
          <w:szCs w:val="32"/>
          <w:lang w:val="en-US" w:eastAsia="zh-CN"/>
        </w:rPr>
        <w:t>31.77</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年减少</w:t>
      </w:r>
      <w:r>
        <w:rPr>
          <w:rFonts w:hint="eastAsia" w:ascii="仿宋_GB2312" w:hAnsi="仿宋_GB2312" w:eastAsia="仿宋_GB2312" w:cs="仿宋_GB2312"/>
          <w:sz w:val="32"/>
          <w:szCs w:val="32"/>
          <w:lang w:val="en-US" w:eastAsia="zh-CN"/>
        </w:rPr>
        <w:t>8.46</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21.03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厉行节约减少不必要的开支。</w:t>
      </w:r>
    </w:p>
    <w:p>
      <w:pPr>
        <w:spacing w:line="60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原因为</w:t>
      </w:r>
      <w:r>
        <w:rPr>
          <w:rFonts w:hint="eastAsia" w:ascii="仿宋_GB2312" w:hAnsi="仿宋_GB2312" w:eastAsia="仿宋_GB2312" w:cs="仿宋_GB2312"/>
          <w:sz w:val="32"/>
          <w:szCs w:val="32"/>
        </w:rPr>
        <w:t>全年</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更新购置公务用车。</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lang w:val="en-US" w:eastAsia="zh-CN"/>
        </w:rPr>
        <w:t>31.77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color w:val="000000"/>
          <w:sz w:val="32"/>
          <w:szCs w:val="32"/>
          <w:lang w:eastAsia="zh-CN"/>
        </w:rPr>
        <w:t>人大工作出差、开展脱贫攻坚工作下乡等所需的公务用车燃料费、维修费、过路过桥费、保险费等支出。</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sz w:val="32"/>
          <w:szCs w:val="32"/>
        </w:rPr>
        <w:t>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0.83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上升</w:t>
      </w:r>
      <w:r>
        <w:rPr>
          <w:rFonts w:hint="eastAsia" w:ascii="仿宋_GB2312" w:hAnsi="仿宋_GB2312" w:eastAsia="仿宋_GB2312" w:cs="仿宋_GB2312"/>
          <w:sz w:val="32"/>
          <w:szCs w:val="32"/>
          <w:lang w:val="en-US" w:eastAsia="zh-CN"/>
        </w:rPr>
        <w:t>60.58</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2023年疫情放开相比于2022年接待活动增加。</w:t>
      </w:r>
      <w:r>
        <w:rPr>
          <w:rFonts w:hint="eastAsia" w:ascii="仿宋_GB2312" w:hAnsi="仿宋_GB2312" w:eastAsia="仿宋_GB2312" w:cs="仿宋_GB2312"/>
          <w:sz w:val="32"/>
          <w:szCs w:val="32"/>
        </w:rPr>
        <w:t>其中：</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国内公务接待支出</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主要用于接待上级部门及各县执行公务、开展业务活动、调研等开支的餐费</w:t>
      </w:r>
      <w:r>
        <w:rPr>
          <w:rFonts w:hint="eastAsia" w:ascii="仿宋_GB2312" w:hAnsi="仿宋_GB2312" w:eastAsia="仿宋_GB2312" w:cs="仿宋_GB2312"/>
          <w:sz w:val="32"/>
          <w:szCs w:val="32"/>
        </w:rPr>
        <w:t>。国内公务接待</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225</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万元，具体内容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w:t>
      </w:r>
      <w:r>
        <w:rPr>
          <w:rFonts w:hint="eastAsia" w:ascii="仿宋_GB2312" w:hAnsi="仿宋_GB2312" w:eastAsia="仿宋_GB2312" w:cs="仿宋_GB2312"/>
          <w:sz w:val="32"/>
          <w:szCs w:val="32"/>
          <w:lang w:val="en-US" w:eastAsia="zh-CN"/>
        </w:rPr>
        <w:t>接待玛多等县考察生态畜牧业发展、红色教育，依法治县示范点建设及一三产业融合发展，长征沿线地区调研交流互鉴，代表联络站建设等工作。在考察调研过程中相互交流相关工作经验取长补短，让我县代表不出县的情况下开阔了眼界，同时学习了其他县先进工作经验，为我县进一步做好人大相关工作奠定了坚实的基础。</w:t>
      </w:r>
    </w:p>
    <w:p>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52" w:name="_Toc15396610"/>
      <w:bookmarkStart w:id="53" w:name="_Toc15377218"/>
    </w:p>
    <w:p>
      <w:pPr>
        <w:pStyle w:val="11"/>
        <w:rPr>
          <w:rFonts w:hint="eastAsia"/>
        </w:rPr>
      </w:pPr>
    </w:p>
    <w:p>
      <w:pPr>
        <w:spacing w:line="600" w:lineRule="exact"/>
        <w:ind w:firstLine="640"/>
        <w:outlineLvl w:val="1"/>
        <w:rPr>
          <w:rStyle w:val="21"/>
          <w:rFonts w:ascii="黑体" w:eastAsia="黑体"/>
        </w:rPr>
      </w:pPr>
      <w:bookmarkStart w:id="54" w:name="_Toc22646"/>
      <w:r>
        <w:rPr>
          <w:rFonts w:hint="eastAsia" w:ascii="黑体" w:eastAsia="黑体"/>
          <w:sz w:val="32"/>
          <w:szCs w:val="32"/>
        </w:rPr>
        <w:t>八、</w:t>
      </w:r>
      <w:r>
        <w:rPr>
          <w:rStyle w:val="21"/>
          <w:rFonts w:hint="eastAsia" w:ascii="黑体" w:eastAsia="黑体"/>
          <w:b w:val="0"/>
        </w:rPr>
        <w:t>政府性基金预算支出决算情况说明</w:t>
      </w:r>
      <w:bookmarkEnd w:id="52"/>
      <w:bookmarkEnd w:id="53"/>
      <w:bookmarkEnd w:id="54"/>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rPr>
          <w:rFonts w:ascii="仿宋_GB2312" w:eastAsia="仿宋_GB2312"/>
          <w:sz w:val="32"/>
          <w:szCs w:val="32"/>
        </w:rPr>
      </w:pPr>
    </w:p>
    <w:p>
      <w:pPr>
        <w:numPr>
          <w:ilvl w:val="0"/>
          <w:numId w:val="5"/>
        </w:numPr>
        <w:spacing w:line="600" w:lineRule="exact"/>
        <w:ind w:firstLine="640"/>
        <w:outlineLvl w:val="1"/>
        <w:rPr>
          <w:rStyle w:val="21"/>
          <w:rFonts w:ascii="黑体" w:eastAsia="黑体"/>
          <w:b w:val="0"/>
        </w:rPr>
      </w:pPr>
      <w:bookmarkStart w:id="55" w:name="_Toc15396611"/>
      <w:bookmarkStart w:id="56" w:name="_Toc15377219"/>
      <w:bookmarkStart w:id="57" w:name="_Toc1631"/>
      <w:r>
        <w:rPr>
          <w:rStyle w:val="21"/>
          <w:rFonts w:hint="eastAsia" w:ascii="黑体" w:eastAsia="黑体"/>
          <w:b w:val="0"/>
        </w:rPr>
        <w:t>国有资本经营预算支出决算情况说明</w:t>
      </w:r>
      <w:bookmarkEnd w:id="55"/>
      <w:bookmarkEnd w:id="56"/>
      <w:bookmarkEnd w:id="5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5"/>
        </w:numPr>
        <w:spacing w:line="600" w:lineRule="exact"/>
        <w:ind w:firstLine="640"/>
        <w:outlineLvl w:val="1"/>
        <w:rPr>
          <w:rStyle w:val="21"/>
          <w:rFonts w:ascii="黑体" w:eastAsia="黑体"/>
          <w:b w:val="0"/>
        </w:rPr>
      </w:pPr>
      <w:bookmarkStart w:id="58" w:name="_Toc15396612"/>
      <w:bookmarkStart w:id="59" w:name="_Toc15377221"/>
      <w:bookmarkStart w:id="60" w:name="_Toc4892"/>
      <w:r>
        <w:rPr>
          <w:rStyle w:val="21"/>
          <w:rFonts w:hint="eastAsia" w:ascii="黑体" w:eastAsia="黑体"/>
          <w:b w:val="0"/>
        </w:rPr>
        <w:t>其他重要事项的情况说明</w:t>
      </w:r>
      <w:bookmarkEnd w:id="58"/>
      <w:bookmarkEnd w:id="59"/>
      <w:bookmarkEnd w:id="60"/>
    </w:p>
    <w:p>
      <w:pPr>
        <w:spacing w:line="600" w:lineRule="exact"/>
        <w:ind w:firstLine="643" w:firstLineChars="200"/>
        <w:outlineLvl w:val="2"/>
        <w:rPr>
          <w:rFonts w:ascii="仿宋" w:eastAsia="仿宋"/>
          <w:sz w:val="32"/>
          <w:szCs w:val="32"/>
        </w:rPr>
      </w:pPr>
      <w:bookmarkStart w:id="61" w:name="_Toc15377222"/>
      <w:r>
        <w:rPr>
          <w:rFonts w:hint="eastAsia" w:ascii="仿宋" w:eastAsia="仿宋"/>
          <w:b/>
          <w:sz w:val="32"/>
          <w:szCs w:val="32"/>
        </w:rPr>
        <w:t>（一）机关运行经费支出情况</w:t>
      </w:r>
      <w:bookmarkEnd w:id="6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红原县人大办</w:t>
      </w:r>
      <w:r>
        <w:rPr>
          <w:rFonts w:hint="eastAsia" w:ascii="仿宋_GB2312" w:eastAsia="仿宋_GB2312"/>
          <w:sz w:val="32"/>
          <w:szCs w:val="32"/>
        </w:rPr>
        <w:t>机关运行经费支出</w:t>
      </w:r>
      <w:r>
        <w:rPr>
          <w:rFonts w:hint="eastAsia" w:ascii="仿宋_GB2312" w:eastAsia="仿宋_GB2312"/>
          <w:sz w:val="32"/>
          <w:szCs w:val="32"/>
          <w:lang w:val="en-US" w:eastAsia="zh-CN"/>
        </w:rPr>
        <w:t>54.33</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lang w:val="en-US" w:eastAsia="zh-CN"/>
        </w:rPr>
        <w:t>21.07</w:t>
      </w:r>
      <w:r>
        <w:rPr>
          <w:rFonts w:hint="eastAsia" w:ascii="仿宋_GB2312" w:eastAsia="仿宋_GB2312"/>
          <w:sz w:val="32"/>
          <w:szCs w:val="32"/>
        </w:rPr>
        <w:t>万元，</w:t>
      </w:r>
      <w:r>
        <w:rPr>
          <w:rFonts w:hint="eastAsia" w:ascii="仿宋_GB2312" w:eastAsia="仿宋_GB2312"/>
          <w:sz w:val="32"/>
          <w:szCs w:val="32"/>
          <w:lang w:eastAsia="zh-CN"/>
        </w:rPr>
        <w:t>下降</w:t>
      </w:r>
      <w:r>
        <w:rPr>
          <w:rFonts w:hint="eastAsia" w:ascii="仿宋_GB2312" w:eastAsia="仿宋_GB2312"/>
          <w:sz w:val="32"/>
          <w:szCs w:val="32"/>
          <w:lang w:val="en-US" w:eastAsia="zh-CN"/>
        </w:rPr>
        <w:t>27.94</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z w:val="32"/>
          <w:szCs w:val="32"/>
          <w:lang w:eastAsia="zh-CN"/>
        </w:rPr>
        <w:t>下降</w:t>
      </w:r>
      <w:r>
        <w:rPr>
          <w:rFonts w:hint="eastAsia" w:ascii="仿宋_GB2312" w:eastAsia="仿宋_GB2312"/>
          <w:sz w:val="32"/>
          <w:szCs w:val="32"/>
        </w:rPr>
        <w:t>主要原因是</w:t>
      </w:r>
      <w:r>
        <w:rPr>
          <w:rFonts w:hint="eastAsia" w:ascii="仿宋_GB2312" w:eastAsia="仿宋_GB2312"/>
          <w:sz w:val="32"/>
          <w:szCs w:val="32"/>
          <w:lang w:eastAsia="zh-CN"/>
        </w:rPr>
        <w:t>：</w:t>
      </w:r>
      <w:r>
        <w:rPr>
          <w:rFonts w:hint="eastAsia" w:ascii="仿宋_GB2312" w:eastAsia="仿宋_GB2312"/>
          <w:b/>
          <w:bCs/>
          <w:sz w:val="32"/>
          <w:szCs w:val="32"/>
          <w:lang w:eastAsia="zh-CN"/>
        </w:rPr>
        <w:t>一是</w:t>
      </w:r>
      <w:r>
        <w:rPr>
          <w:rFonts w:hint="eastAsia" w:ascii="仿宋_GB2312" w:eastAsia="仿宋_GB2312"/>
          <w:sz w:val="32"/>
          <w:szCs w:val="32"/>
          <w:lang w:val="en-US" w:eastAsia="zh-CN"/>
        </w:rPr>
        <w:t>2023年在机关运行经费报销的差旅费及办公费较2022年减少，</w:t>
      </w:r>
      <w:r>
        <w:rPr>
          <w:rFonts w:hint="eastAsia" w:ascii="仿宋_GB2312" w:eastAsia="仿宋_GB2312"/>
          <w:b/>
          <w:bCs/>
          <w:sz w:val="32"/>
          <w:szCs w:val="32"/>
          <w:lang w:val="en-US" w:eastAsia="zh-CN"/>
        </w:rPr>
        <w:t>二是</w:t>
      </w:r>
      <w:r>
        <w:rPr>
          <w:rFonts w:hint="eastAsia" w:ascii="仿宋_GB2312" w:eastAsia="仿宋_GB2312"/>
          <w:sz w:val="32"/>
          <w:szCs w:val="32"/>
          <w:lang w:val="en-US" w:eastAsia="zh-CN"/>
        </w:rPr>
        <w:t>2023年在职人员较2022年少1人，导致人头经费减少</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2" w:name="_Toc15377223"/>
      <w:r>
        <w:rPr>
          <w:rFonts w:hint="eastAsia" w:ascii="仿宋" w:eastAsia="仿宋"/>
          <w:b/>
          <w:sz w:val="32"/>
          <w:szCs w:val="32"/>
        </w:rPr>
        <w:t>（二）政府采购支出情况</w:t>
      </w:r>
      <w:bookmarkEnd w:id="6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人大办</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3" w:name="_Toc15377224"/>
      <w:r>
        <w:rPr>
          <w:rFonts w:hint="eastAsia" w:ascii="仿宋" w:eastAsia="仿宋"/>
          <w:b/>
          <w:sz w:val="32"/>
          <w:szCs w:val="32"/>
        </w:rPr>
        <w:t>（三）国有资产占有使用情况</w:t>
      </w:r>
      <w:bookmarkEnd w:id="63"/>
    </w:p>
    <w:p>
      <w:pPr>
        <w:pStyle w:val="15"/>
        <w:keepNext w:val="0"/>
        <w:keepLines w:val="0"/>
        <w:widowControl/>
        <w:numPr>
          <w:ilvl w:val="0"/>
          <w:numId w:val="0"/>
        </w:numPr>
        <w:suppressLineNumbers w:val="0"/>
        <w:shd w:val="clear" w:color="auto" w:fill="auto"/>
        <w:ind w:leftChars="0" w:right="75" w:rightChars="0" w:firstLine="640" w:firstLineChars="200"/>
        <w:rPr>
          <w:rStyle w:val="18"/>
          <w:rFonts w:hint="eastAsia" w:ascii="仿宋_GB2312" w:hAnsi="仿宋_GB2312" w:eastAsia="仿宋_GB2312" w:cs="仿宋_GB2312"/>
          <w:sz w:val="32"/>
          <w:szCs w:val="32"/>
          <w:shd w:val="clear" w:color="auto" w:fill="FFFFFF"/>
          <w:lang w:val="en-US" w:eastAsia="zh-CN"/>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4</w:t>
      </w:r>
      <w:r>
        <w:rPr>
          <w:rFonts w:hint="eastAsia" w:ascii="仿宋_GB2312" w:eastAsia="仿宋_GB2312"/>
          <w:sz w:val="32"/>
          <w:szCs w:val="32"/>
        </w:rPr>
        <w:t>辆</w:t>
      </w:r>
      <w:r>
        <w:rPr>
          <w:rFonts w:hint="eastAsia" w:ascii="仿宋_GB2312" w:eastAsia="仿宋_GB2312"/>
          <w:sz w:val="32"/>
          <w:szCs w:val="32"/>
          <w:lang w:eastAsia="zh-CN"/>
        </w:rPr>
        <w:t>，全部为应急保障用车</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r>
        <w:rPr>
          <w:rFonts w:hint="eastAsia" w:ascii="仿宋_GB2312" w:eastAsia="仿宋_GB2312"/>
          <w:sz w:val="32"/>
          <w:szCs w:val="32"/>
          <w:lang w:eastAsia="zh-CN"/>
        </w:rPr>
        <w:t>截止年底</w:t>
      </w:r>
      <w:r>
        <w:rPr>
          <w:rFonts w:hint="eastAsia" w:ascii="仿宋_GB2312" w:eastAsia="仿宋_GB2312"/>
          <w:sz w:val="32"/>
          <w:szCs w:val="32"/>
        </w:rPr>
        <w:t>共有</w:t>
      </w:r>
      <w:r>
        <w:rPr>
          <w:rFonts w:hint="eastAsia" w:ascii="仿宋_GB2312" w:eastAsia="仿宋_GB2312"/>
          <w:sz w:val="32"/>
          <w:szCs w:val="32"/>
          <w:lang w:eastAsia="zh-CN"/>
        </w:rPr>
        <w:t>资产</w:t>
      </w:r>
      <w:r>
        <w:rPr>
          <w:rFonts w:hint="eastAsia" w:ascii="仿宋_GB2312" w:eastAsia="仿宋_GB2312"/>
          <w:sz w:val="32"/>
          <w:szCs w:val="32"/>
          <w:lang w:val="en-US" w:eastAsia="zh-CN"/>
        </w:rPr>
        <w:t>399.8万元</w:t>
      </w:r>
      <w:r>
        <w:rPr>
          <w:rFonts w:hint="eastAsia" w:ascii="仿宋_GB2312" w:eastAsia="仿宋_GB2312"/>
          <w:color w:val="000000"/>
          <w:sz w:val="32"/>
          <w:szCs w:val="32"/>
        </w:rPr>
        <w:t>（账面原值，下同）</w:t>
      </w:r>
      <w:r>
        <w:rPr>
          <w:rFonts w:hint="eastAsia" w:ascii="仿宋_GB2312" w:eastAsia="仿宋_GB2312"/>
          <w:sz w:val="32"/>
          <w:szCs w:val="32"/>
          <w:lang w:val="en-US" w:eastAsia="zh-CN"/>
        </w:rPr>
        <w:t>，其中固定资产398.81万元，占比99.75%，无形资产0.99万元，占比0.25%。</w:t>
      </w:r>
      <w:r>
        <w:rPr>
          <w:rFonts w:hint="eastAsia" w:ascii="仿宋_GB2312" w:eastAsia="仿宋_GB2312"/>
          <w:color w:val="000000"/>
          <w:sz w:val="32"/>
          <w:szCs w:val="32"/>
        </w:rPr>
        <w:t>从资产类别分析，配置土地、房屋及构筑物</w:t>
      </w:r>
      <w:r>
        <w:rPr>
          <w:rFonts w:hint="eastAsia" w:ascii="仿宋_GB2312" w:eastAsia="仿宋_GB2312"/>
          <w:color w:val="000000"/>
          <w:sz w:val="32"/>
          <w:szCs w:val="32"/>
          <w:lang w:val="en-US" w:eastAsia="zh-CN"/>
        </w:rPr>
        <w:t>32.5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8.12</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333.39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83.38</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32.92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8.23</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，无形资产</w:t>
      </w:r>
      <w:r>
        <w:rPr>
          <w:rFonts w:hint="eastAsia" w:ascii="仿宋_GB2312" w:eastAsia="仿宋_GB2312"/>
          <w:color w:val="000000"/>
          <w:sz w:val="32"/>
          <w:szCs w:val="32"/>
          <w:lang w:val="en-US" w:eastAsia="zh-CN"/>
        </w:rPr>
        <w:t>0.99万元，占比0.27%</w:t>
      </w:r>
      <w:r>
        <w:rPr>
          <w:rFonts w:hint="eastAsia" w:ascii="仿宋_GB2312" w:eastAsia="仿宋_GB2312"/>
          <w:color w:val="000000"/>
          <w:sz w:val="32"/>
          <w:szCs w:val="32"/>
        </w:rPr>
        <w:t>。</w:t>
      </w:r>
    </w:p>
    <w:p>
      <w:pPr>
        <w:pStyle w:val="15"/>
        <w:keepNext w:val="0"/>
        <w:keepLines w:val="0"/>
        <w:widowControl/>
        <w:numPr>
          <w:ilvl w:val="0"/>
          <w:numId w:val="0"/>
        </w:numPr>
        <w:suppressLineNumbers w:val="0"/>
        <w:shd w:val="clear" w:color="auto" w:fill="auto"/>
        <w:ind w:left="420" w:leftChars="0" w:right="75" w:rightChars="0"/>
        <w:rPr>
          <w:rStyle w:val="18"/>
          <w:rFonts w:hint="eastAsia" w:ascii="仿宋_GB2312" w:hAnsi="仿宋_GB2312" w:eastAsia="仿宋_GB2312" w:cs="仿宋_GB2312"/>
          <w:sz w:val="32"/>
          <w:szCs w:val="32"/>
          <w:shd w:val="clear" w:color="auto" w:fill="FFFFFF"/>
          <w:lang w:val="en-US" w:eastAsia="zh-CN"/>
        </w:rPr>
      </w:pPr>
      <w:r>
        <w:rPr>
          <w:rStyle w:val="18"/>
          <w:rFonts w:hint="eastAsia" w:ascii="仿宋_GB2312" w:hAnsi="仿宋_GB2312" w:eastAsia="仿宋_GB2312" w:cs="仿宋_GB2312"/>
          <w:sz w:val="32"/>
          <w:szCs w:val="32"/>
          <w:shd w:val="clear" w:color="auto" w:fill="FFFFFF"/>
          <w:lang w:val="en-US" w:eastAsia="zh-CN"/>
        </w:rPr>
        <w:t>（四）由养老保险机构发放养老金的退休人员</w:t>
      </w:r>
    </w:p>
    <w:p>
      <w:pPr>
        <w:pStyle w:val="2"/>
        <w:numPr>
          <w:ilvl w:val="0"/>
          <w:numId w:val="0"/>
        </w:numPr>
        <w:ind w:firstLine="640" w:firstLineChars="200"/>
        <w:rPr>
          <w:rFonts w:ascii="仿宋_GB2312" w:eastAsia="仿宋_GB2312"/>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w:t>
      </w:r>
      <w:r>
        <w:rPr>
          <w:rFonts w:hint="eastAsia"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w:t>
      </w:r>
      <w:r>
        <w:rPr>
          <w:rFonts w:hint="eastAsia" w:eastAsia="仿宋_GB2312"/>
          <w:color w:val="000000"/>
          <w:sz w:val="32"/>
          <w:szCs w:val="32"/>
          <w:lang w:val="en-US" w:eastAsia="zh-CN"/>
        </w:rPr>
        <w:t>28</w:t>
      </w:r>
      <w:r>
        <w:rPr>
          <w:rFonts w:hint="eastAsia" w:ascii="仿宋_GB2312" w:eastAsia="仿宋_GB2312"/>
          <w:color w:val="000000"/>
          <w:sz w:val="32"/>
          <w:szCs w:val="32"/>
          <w:lang w:val="en-US" w:eastAsia="zh-CN"/>
        </w:rPr>
        <w:t>人，较上年新增</w:t>
      </w:r>
      <w:r>
        <w:rPr>
          <w:rFonts w:hint="eastAsia" w:eastAsia="仿宋_GB2312"/>
          <w:color w:val="000000"/>
          <w:sz w:val="32"/>
          <w:szCs w:val="32"/>
          <w:lang w:val="en-US" w:eastAsia="zh-CN"/>
        </w:rPr>
        <w:t>2</w:t>
      </w:r>
      <w:r>
        <w:rPr>
          <w:rFonts w:hint="eastAsia" w:ascii="仿宋_GB2312" w:eastAsia="仿宋_GB2312"/>
          <w:color w:val="000000"/>
          <w:sz w:val="32"/>
          <w:szCs w:val="32"/>
          <w:lang w:val="en-US" w:eastAsia="zh-CN"/>
        </w:rPr>
        <w:t>人。</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w:t>
      </w:r>
      <w:r>
        <w:rPr>
          <w:rFonts w:hint="eastAsia" w:ascii="仿宋" w:eastAsia="仿宋"/>
          <w:b/>
          <w:sz w:val="32"/>
          <w:szCs w:val="32"/>
          <w:lang w:eastAsia="zh-CN"/>
        </w:rPr>
        <w:t>五</w:t>
      </w:r>
      <w:r>
        <w:rPr>
          <w:rFonts w:hint="eastAsia" w:ascii="仿宋" w:eastAsia="仿宋"/>
          <w:b/>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人大代表专项、人大会议专项及人大代表履职能力提升3个专项预算</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3个项目完成情况良好，严格按照本单位制定的目标绩效管理制度来开展绩效管理工作，项目资金为专项经费的，全部用于专项工2023年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0"/>
        </w:numPr>
        <w:spacing w:line="580" w:lineRule="exact"/>
        <w:ind w:firstLine="320" w:firstLineChars="100"/>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lang w:val="en-US" w:eastAsia="zh-CN"/>
        </w:rPr>
        <w:t>1.</w:t>
      </w:r>
      <w:r>
        <w:rPr>
          <w:rFonts w:hint="eastAsia" w:ascii="楷体_GB2312" w:hAnsi="楷体_GB2312" w:eastAsia="楷体_GB2312" w:cs="楷体_GB2312"/>
          <w:color w:val="auto"/>
          <w:sz w:val="32"/>
          <w:szCs w:val="32"/>
          <w:highlight w:val="none"/>
        </w:rPr>
        <w:t>项目绩效目标完成情况。</w:t>
      </w:r>
      <w:r>
        <w:rPr>
          <w:rFonts w:hint="eastAsia" w:ascii="楷体_GB2312" w:hAnsi="楷体_GB2312" w:eastAsia="楷体_GB2312" w:cs="楷体_GB2312"/>
          <w:color w:val="FF0000"/>
          <w:sz w:val="32"/>
          <w:szCs w:val="32"/>
          <w:highlight w:val="none"/>
        </w:rPr>
        <w:br w:type="textWrapping"/>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auto"/>
          <w:sz w:val="32"/>
          <w:szCs w:val="32"/>
          <w:highlight w:val="none"/>
        </w:rPr>
        <w:t>本部门在20</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年度部门决算中反映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“人大会议专项”及“人大代表履职能力提升专项”及“专项办公费”3</w:t>
      </w:r>
      <w:r>
        <w:rPr>
          <w:rFonts w:hint="eastAsia" w:ascii="仿宋_GB2312" w:hAnsi="仿宋_GB2312" w:eastAsia="仿宋_GB2312" w:cs="仿宋_GB2312"/>
          <w:color w:val="auto"/>
          <w:sz w:val="32"/>
          <w:szCs w:val="32"/>
          <w:highlight w:val="none"/>
        </w:rPr>
        <w:t>个项目绩效目标实际完成情况。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人大会议</w:t>
      </w:r>
      <w:r>
        <w:rPr>
          <w:rFonts w:hint="eastAsia" w:ascii="仿宋_GB2312" w:hAnsi="仿宋_GB2312" w:eastAsia="仿宋_GB2312" w:cs="仿宋_GB2312"/>
          <w:color w:val="auto"/>
          <w:sz w:val="32"/>
          <w:szCs w:val="32"/>
          <w:highlight w:val="none"/>
        </w:rPr>
        <w:t>项目绩效目</w:t>
      </w:r>
      <w:r>
        <w:rPr>
          <w:rFonts w:hint="eastAsia" w:ascii="仿宋_GB2312" w:hAnsi="仿宋_GB2312" w:eastAsia="仿宋_GB2312" w:cs="仿宋_GB2312"/>
          <w:color w:val="auto"/>
          <w:sz w:val="32"/>
          <w:szCs w:val="32"/>
        </w:rPr>
        <w:t>标完成情况</w:t>
      </w:r>
      <w:r>
        <w:rPr>
          <w:rFonts w:hint="eastAsia" w:ascii="仿宋_GB2312" w:hAnsi="仿宋_GB2312" w:eastAsia="仿宋_GB2312" w:cs="仿宋_GB2312"/>
          <w:sz w:val="32"/>
          <w:szCs w:val="32"/>
        </w:rPr>
        <w:t>综述。项目全年预算数</w:t>
      </w:r>
      <w:r>
        <w:rPr>
          <w:rFonts w:hint="eastAsia" w:ascii="仿宋_GB2312" w:hAnsi="仿宋_GB2312" w:eastAsia="仿宋_GB2312" w:cs="仿宋_GB2312"/>
          <w:sz w:val="32"/>
          <w:szCs w:val="32"/>
          <w:lang w:val="en-US" w:eastAsia="zh-CN"/>
        </w:rPr>
        <w:t>25.44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25.44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2023年两会及常委会的顺利召开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2022年支出执行基础上，细化预算编制，提高了预算编制的精准性。</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代表履职能力提升</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48.17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47.95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99.54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有效保障了代表换届、履职能力提升培训，代表视察、调研等工作，提高了代表的履职能力和参与感。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预算编制还不够精准，下一步将根据上一年支出执行情况结合实际细化预算编制，提高预算编制的精准性。</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人大专项办公费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45.16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45.16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，为人大常委会调研、开展人大事务等专项工作做好了后勤服务保障工作，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预算编制经济科目不够精准，后续将提高相关业务人员业务素养，加强学习，争取预算根据精准细化。</w:t>
      </w: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737"/>
        <w:gridCol w:w="853"/>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23</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人大会议</w:t>
            </w:r>
          </w:p>
        </w:tc>
      </w:tr>
      <w:tr>
        <w:tblPrEx>
          <w:tblCellMar>
            <w:top w:w="0" w:type="dxa"/>
            <w:left w:w="0" w:type="dxa"/>
            <w:bottom w:w="0" w:type="dxa"/>
            <w:right w:w="0" w:type="dxa"/>
          </w:tblCellMar>
        </w:tblPrEx>
        <w:trPr>
          <w:trHeight w:val="276" w:hRule="atLeast"/>
        </w:trPr>
        <w:tc>
          <w:tcPr>
            <w:tcW w:w="213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82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25.44万元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25.44万元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25.44万元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25.44万元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74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定期召开常委会、主任会议，听取和审议“一府两院”专项报告，依法进行人事任免，</w:t>
            </w:r>
            <w:r>
              <w:rPr>
                <w:rFonts w:hint="eastAsia" w:ascii="宋体" w:hAnsi="宋体" w:eastAsia="宋体" w:cs="宋体"/>
                <w:b w:val="0"/>
                <w:i w:val="0"/>
                <w:caps w:val="0"/>
                <w:snapToGrid w:val="0"/>
                <w:color w:val="000000"/>
                <w:spacing w:val="0"/>
                <w:kern w:val="56"/>
                <w:sz w:val="24"/>
                <w:szCs w:val="24"/>
                <w:shd w:val="clear" w:color="auto" w:fill="FFFFFF"/>
              </w:rPr>
              <w:t>形成了步调一致、共谋发展的强大合力。</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围绕县委中心统筹安排年度重点工作，2023年召开常委会会议7次、主任会议7次，听取和审议“一府一委两院”专项工作报告20项，确保与县委中心工作同频共振、同向发力。依法任免国家机关工作人员25人次，其中：决定任命6人次、任命3人次，决定免去7人次，免去3人次，接受辞去县十五届人民代表大会代表职务和专门委员会委员职务6人次。严格执行任前法律知识考试制度，组织宪法宣誓3批11人次，切实增强了任命人员的宪法意识、责任意识、公仆意识和人大意识。</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7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1</w:t>
            </w:r>
            <w:r>
              <w:rPr>
                <w:rFonts w:hint="eastAsia" w:ascii="宋体" w:hAnsi="宋体" w:cs="宋体"/>
                <w:color w:val="auto"/>
                <w:sz w:val="20"/>
                <w:szCs w:val="20"/>
                <w:lang w:eastAsia="zh-CN"/>
              </w:rPr>
              <w:t>次人代会</w:t>
            </w:r>
            <w:r>
              <w:rPr>
                <w:rFonts w:hint="eastAsia" w:ascii="宋体" w:hAnsi="宋体" w:cs="宋体"/>
                <w:color w:val="auto"/>
                <w:sz w:val="20"/>
                <w:szCs w:val="20"/>
                <w:lang w:val="en-US" w:eastAsia="zh-CN"/>
              </w:rPr>
              <w:t>,8次常委会的召开</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围绕县委中心统筹安排年度重点工作，2023年召开常委会会议7次、主任会议7次，听取和审议“一府一委两院”专项工作报告20项，确保与县委中心工作同频共振、同向发力。依法任免国家机关工作人员25人次，其中：决定任命6人次、任命3人次，决定免去7人次，免去3人次，接受辞去县十五届人民代表大会代表职务和专门委员会委员职务6人次。严格执行任前法律知识考试制度，组织宪法宣誓3批11人次，切实增强了任命人员的宪法意识、责任意识、公仆意识和人大意识。</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73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85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代表作为我县经济发展的参谋，提出了有效合理的意见建议。</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督促相关部门做好环境保护相关工作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听取和审议了红原县人民政府关于2022年度环境状况和环境保护目标完成情况的报告，督促县人民政府要聚焦突出生态环境问题治理，努力推动污染防治从攻坚突破向拓展提升转变；紧盯中央、省、州生态环境督察反馈问题整改工作坚决打好督察整改攻坚战。</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853"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人大常委会把办理代表建议作为支持和保障代表依法履职的重要环节来抓，及时将县第十五届人大二次会议代表建议意见71件交办县人民政府，并制定下发了《关于督办县人大代表建议的通知》，由县人大常委会领导领衔督办，县人大专门委员会、常委会办事工作机构全履盖督办，对代表建议办理实行“四个转变”，内容涉及生态环保、经济建设、社会事业、文化旅游、社会治理、基础设施建设等</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73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853"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23</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代表履职能力提升</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48.17万元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47.95万元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46.56万元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46.34万元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lang w:val="en-US" w:eastAsia="zh-CN" w:bidi="ar"/>
              </w:rPr>
              <w:t>1.61</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1.61</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通过对人大代表的各方面培训及参与专题调研来提高人大代表的履职能力。</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2023年举办代表履职能力提升培训班一期，通过对人大代表的各方面培训提高了人大代表的履职能力；组织基层代表外出学习考察一次，通过观摩学习相关县人大的先进工作经验，提高了代表履职能力；支付代表换届选举工作经费，同时人大办为代表调研考察等做好了后勤服务保障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2023年</w:t>
            </w:r>
            <w:r>
              <w:rPr>
                <w:rFonts w:hint="eastAsia" w:ascii="宋体" w:hAnsi="宋体" w:eastAsia="宋体" w:cs="宋体"/>
                <w:color w:val="000000"/>
                <w:sz w:val="20"/>
                <w:szCs w:val="20"/>
                <w:lang w:val="en-US" w:eastAsia="zh-CN"/>
              </w:rPr>
              <w:t>举办代表履职能力提升培训班一期，组织基层代表外出学习考察一次，按时组</w:t>
            </w:r>
            <w:r>
              <w:rPr>
                <w:rFonts w:hint="eastAsia" w:ascii="宋体" w:hAnsi="宋体" w:cs="宋体"/>
                <w:color w:val="000000"/>
                <w:sz w:val="20"/>
                <w:szCs w:val="20"/>
                <w:lang w:val="en-US" w:eastAsia="zh-CN"/>
              </w:rPr>
              <w:t>织代表参加上级部门相关培训、调研及会议，支付代表换届选举工作经费</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2023年</w:t>
            </w:r>
            <w:r>
              <w:rPr>
                <w:rFonts w:hint="eastAsia" w:ascii="宋体" w:hAnsi="宋体" w:eastAsia="宋体" w:cs="宋体"/>
                <w:color w:val="000000"/>
                <w:sz w:val="20"/>
                <w:szCs w:val="20"/>
                <w:lang w:val="en-US" w:eastAsia="zh-CN"/>
              </w:rPr>
              <w:t>举办代表履职能力提升培训班一期</w:t>
            </w:r>
            <w:r>
              <w:rPr>
                <w:rFonts w:hint="eastAsia" w:ascii="宋体" w:hAnsi="宋体" w:cs="宋体"/>
                <w:color w:val="000000"/>
                <w:sz w:val="24"/>
                <w:lang w:val="en-US" w:eastAsia="zh-CN"/>
              </w:rPr>
              <w:t>，</w:t>
            </w:r>
            <w:r>
              <w:rPr>
                <w:rFonts w:hint="eastAsia" w:ascii="宋体" w:hAnsi="宋体" w:eastAsia="宋体" w:cs="宋体"/>
                <w:color w:val="000000"/>
                <w:sz w:val="20"/>
                <w:szCs w:val="20"/>
                <w:lang w:val="en-US" w:eastAsia="zh-CN"/>
              </w:rPr>
              <w:t>组织基层代表外出学习考察一次，</w:t>
            </w:r>
            <w:r>
              <w:rPr>
                <w:rFonts w:hint="eastAsia" w:ascii="宋体" w:hAnsi="宋体" w:cs="宋体"/>
                <w:color w:val="000000"/>
                <w:sz w:val="20"/>
                <w:szCs w:val="20"/>
                <w:lang w:val="en-US" w:eastAsia="zh-CN"/>
              </w:rPr>
              <w:t>按时组织代表参加上级部门相关培训、调研及会议，完成代表换届选举工作经费的支付</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每次培训或调研后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每次培训或调研后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提高代表素质及履职能力，促进我县经济发展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通过代表培训及调研提高了代表履职能力，为红原县经济社会发展更好的出谋划策。</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通过培训及调研，认清自己的权利和义务，懂得如何行好自己的职责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w:t>
            </w:r>
            <w:r>
              <w:rPr>
                <w:rFonts w:hint="eastAsia" w:ascii="宋体" w:hAnsi="宋体" w:cs="宋体"/>
                <w:color w:val="000000"/>
                <w:sz w:val="20"/>
                <w:szCs w:val="20"/>
                <w:lang w:val="en-US" w:eastAsia="zh-CN"/>
              </w:rPr>
              <w:t>2023年</w:t>
            </w:r>
            <w:r>
              <w:rPr>
                <w:rFonts w:hint="eastAsia" w:ascii="宋体" w:hAnsi="宋体" w:cs="宋体"/>
                <w:color w:val="000000"/>
                <w:sz w:val="20"/>
                <w:szCs w:val="20"/>
                <w:lang w:eastAsia="zh-CN"/>
              </w:rPr>
              <w:t>培训及调研，学习了相关工作方法，先进县的代表工作方面的经验，提高了代表自身工作能力，为更好的履行代表工作打好了坚实的基础。</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w:t>
            </w:r>
            <w:r>
              <w:rPr>
                <w:rFonts w:hint="eastAsia" w:ascii="宋体" w:hAnsi="宋体" w:cs="宋体"/>
                <w:color w:val="000000"/>
                <w:sz w:val="20"/>
                <w:szCs w:val="20"/>
                <w:lang w:eastAsia="zh-CN"/>
              </w:rPr>
              <w:t>，卫生事业发展</w:t>
            </w:r>
            <w:r>
              <w:rPr>
                <w:rFonts w:hint="eastAsia" w:ascii="宋体" w:hAnsi="宋体" w:cs="宋体"/>
                <w:color w:val="000000"/>
                <w:sz w:val="20"/>
                <w:szCs w:val="20"/>
              </w:rPr>
              <w:t>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2023年</w:t>
            </w:r>
            <w:r>
              <w:rPr>
                <w:rFonts w:hint="eastAsia" w:ascii="宋体" w:hAnsi="宋体" w:cs="宋体"/>
                <w:color w:val="000000"/>
                <w:sz w:val="20"/>
                <w:szCs w:val="20"/>
                <w:lang w:eastAsia="zh-CN"/>
              </w:rPr>
              <w:t>通过培训及调研，提升了代表自身工作能力，为提出高质量意见建议奠定了基础。</w:t>
            </w:r>
            <w:r>
              <w:rPr>
                <w:rFonts w:hint="eastAsia" w:ascii="宋体" w:hAnsi="宋体" w:cs="宋体"/>
                <w:color w:val="000000"/>
                <w:sz w:val="20"/>
                <w:szCs w:val="20"/>
                <w:lang w:val="en-US" w:eastAsia="zh-CN"/>
              </w:rPr>
              <w:t>2023年代表外出</w:t>
            </w:r>
            <w:r>
              <w:rPr>
                <w:rFonts w:hint="eastAsia" w:ascii="宋体" w:hAnsi="宋体" w:cs="宋体"/>
                <w:color w:val="000000"/>
                <w:sz w:val="20"/>
                <w:szCs w:val="20"/>
                <w:lang w:eastAsia="zh-CN"/>
              </w:rPr>
              <w:t>学习考察了先进县在文旅融合等方面的先进经验，为我县文旅融合发展等提供了借鉴。配合省、州人大常委会开展《青藏高原生态保护法（草案）》立法调研</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2023年</w:t>
            </w:r>
            <w:r>
              <w:rPr>
                <w:rFonts w:hint="eastAsia" w:ascii="宋体" w:hAnsi="宋体" w:cs="宋体"/>
                <w:color w:val="000000"/>
                <w:sz w:val="20"/>
                <w:szCs w:val="20"/>
                <w:lang w:eastAsia="zh-CN"/>
              </w:rPr>
              <w:t>通过培训及调研，提升了代表自身工作能力，为提出高质量意见建议奠定了基础。</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tbl>
      <w:tblPr>
        <w:tblStyle w:val="16"/>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2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23</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 xml:space="preserve">  人大专项办公费</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45.16万元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45.16万元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45.16万元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45.16万元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采购预算联网督查室相关设备，全面完成预算联网督查室的建设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2023年较好的保障了人大常委会调研、开展人大事务等专项工作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23</w:t>
            </w:r>
            <w:r>
              <w:rPr>
                <w:rFonts w:hint="eastAsia" w:ascii="宋体" w:hAnsi="宋体" w:cs="宋体"/>
                <w:color w:val="000000"/>
                <w:sz w:val="20"/>
                <w:szCs w:val="20"/>
                <w:lang w:eastAsia="zh-CN"/>
              </w:rPr>
              <w:t>年做好人大常委会调研、开展人大事务等专项工作的保障工作</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23</w:t>
            </w:r>
            <w:r>
              <w:rPr>
                <w:rFonts w:hint="eastAsia" w:ascii="宋体" w:hAnsi="宋体" w:cs="宋体"/>
                <w:color w:val="000000"/>
                <w:sz w:val="20"/>
                <w:szCs w:val="20"/>
                <w:lang w:eastAsia="zh-CN"/>
              </w:rPr>
              <w:t>年较好的保障了人大常委会调研、开展人大事务等专项工作，圆满的完成了代表联络站提升改造，代表视察调研、培训等工作。</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有效履行人大监督职责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通过对人大培训，调研等人大事务工作的有限保障，实现人大代表能力提升，为我县经济发展提高有价值的意见建议，同时通过代表监督对财政资金使用实现了全过程的监督，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highlight w:val="none"/>
                <w:lang w:val="en-US"/>
              </w:rPr>
            </w:pPr>
            <w:r>
              <w:rPr>
                <w:rFonts w:hint="eastAsia" w:ascii="宋体" w:hAnsi="宋体" w:cs="宋体"/>
                <w:color w:val="auto"/>
                <w:sz w:val="20"/>
                <w:szCs w:val="20"/>
                <w:highlight w:val="none"/>
                <w:lang w:val="en-US" w:eastAsia="zh-CN"/>
              </w:rPr>
              <w:t>一是通过代表培训及考察调研学习等提升了代表履职能力，为我县经济社会发展提供更好的参谋作用；二是2023年通过对民生重点项目等的监督，实现对资金的有效监督。</w:t>
            </w: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lang w:eastAsia="zh-CN"/>
              </w:rPr>
              <w:t>通过监督有效实现了对环保资金的监督，确保环保资金用到实处，同时代表提出对生态环境保护方面的建议意见</w:t>
            </w:r>
            <w:r>
              <w:rPr>
                <w:rFonts w:hint="eastAsia" w:ascii="宋体" w:hAnsi="宋体" w:cs="宋体"/>
                <w:color w:val="auto"/>
                <w:sz w:val="20"/>
                <w:szCs w:val="20"/>
                <w:highlight w:val="none"/>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000000"/>
                <w:sz w:val="20"/>
                <w:szCs w:val="20"/>
                <w:lang w:val="en-US" w:eastAsia="zh-CN"/>
              </w:rPr>
              <w:t>2023年</w:t>
            </w:r>
            <w:r>
              <w:rPr>
                <w:rFonts w:hint="eastAsia" w:ascii="宋体" w:hAnsi="宋体" w:cs="宋体"/>
                <w:color w:val="000000"/>
                <w:sz w:val="20"/>
                <w:szCs w:val="20"/>
                <w:lang w:eastAsia="zh-CN"/>
              </w:rPr>
              <w:t>通过培训及调研，提升了代表自身工作能力，为提出高质量意见建议奠定了基础。</w:t>
            </w:r>
            <w:r>
              <w:rPr>
                <w:rFonts w:hint="eastAsia" w:ascii="宋体" w:hAnsi="宋体" w:cs="宋体"/>
                <w:color w:val="000000"/>
                <w:sz w:val="20"/>
                <w:szCs w:val="20"/>
                <w:lang w:val="en-US" w:eastAsia="zh-CN"/>
              </w:rPr>
              <w:t>2023年代表外出</w:t>
            </w:r>
            <w:r>
              <w:rPr>
                <w:rFonts w:hint="eastAsia" w:ascii="宋体" w:hAnsi="宋体" w:cs="宋体"/>
                <w:color w:val="000000"/>
                <w:sz w:val="20"/>
                <w:szCs w:val="20"/>
                <w:lang w:eastAsia="zh-CN"/>
              </w:rPr>
              <w:t>学习考察了先进县在文旅融合等方面的先进经验，为我县文旅融合发展等提供了借鉴。配合省、州人大常委会开展《青藏高原生态保护法（草案）》等立法调研</w:t>
            </w: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为</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委</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000000"/>
                <w:sz w:val="20"/>
                <w:szCs w:val="20"/>
                <w:lang w:val="en-US" w:eastAsia="zh-CN"/>
              </w:rPr>
              <w:t>2023年</w:t>
            </w:r>
            <w:r>
              <w:rPr>
                <w:rFonts w:hint="eastAsia" w:ascii="宋体" w:hAnsi="宋体" w:cs="宋体"/>
                <w:color w:val="000000"/>
                <w:sz w:val="20"/>
                <w:szCs w:val="20"/>
                <w:lang w:eastAsia="zh-CN"/>
              </w:rPr>
              <w:t>通过培训及调研，提升了代表自身工作能力，</w:t>
            </w:r>
            <w:r>
              <w:rPr>
                <w:rFonts w:hint="eastAsia" w:ascii="宋体" w:hAnsi="宋体" w:cs="宋体"/>
                <w:color w:val="auto"/>
                <w:sz w:val="20"/>
                <w:szCs w:val="20"/>
                <w:highlight w:val="none"/>
              </w:rPr>
              <w:t>为</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委</w:t>
            </w:r>
            <w:r>
              <w:rPr>
                <w:rFonts w:hint="eastAsia" w:ascii="宋体" w:hAnsi="宋体" w:cs="宋体"/>
                <w:color w:val="auto"/>
                <w:sz w:val="20"/>
                <w:szCs w:val="20"/>
                <w:highlight w:val="none"/>
                <w:lang w:eastAsia="zh-CN"/>
              </w:rPr>
              <w:t>县</w:t>
            </w:r>
            <w:r>
              <w:rPr>
                <w:rFonts w:hint="eastAsia" w:ascii="宋体" w:hAnsi="宋体" w:cs="宋体"/>
                <w:color w:val="auto"/>
                <w:sz w:val="20"/>
                <w:szCs w:val="20"/>
                <w:highlight w:val="none"/>
              </w:rPr>
              <w:t>政府重大决策提供</w:t>
            </w:r>
            <w:r>
              <w:rPr>
                <w:rFonts w:hint="eastAsia" w:ascii="宋体" w:hAnsi="宋体" w:cs="宋体"/>
                <w:color w:val="auto"/>
                <w:sz w:val="20"/>
                <w:szCs w:val="20"/>
                <w:highlight w:val="none"/>
                <w:lang w:eastAsia="zh-CN"/>
              </w:rPr>
              <w:t>了好的</w:t>
            </w:r>
            <w:r>
              <w:rPr>
                <w:rFonts w:hint="eastAsia" w:ascii="宋体" w:hAnsi="宋体" w:cs="宋体"/>
                <w:color w:val="auto"/>
                <w:sz w:val="20"/>
                <w:szCs w:val="20"/>
                <w:highlight w:val="none"/>
              </w:rPr>
              <w:t>意见建议</w:t>
            </w:r>
            <w:r>
              <w:rPr>
                <w:rFonts w:hint="eastAsia" w:ascii="宋体" w:hAnsi="宋体" w:cs="宋体"/>
                <w:color w:val="auto"/>
                <w:sz w:val="20"/>
                <w:szCs w:val="20"/>
                <w:highlight w:val="none"/>
                <w:lang w:eastAsia="zh-CN"/>
              </w:rPr>
              <w:t>。</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整体支出得分</w:t>
      </w:r>
      <w:r>
        <w:rPr>
          <w:rFonts w:hint="eastAsia" w:ascii="仿宋_GB2312" w:hAnsi="仿宋_GB2312" w:eastAsia="仿宋_GB2312" w:cs="仿宋_GB2312"/>
          <w:sz w:val="32"/>
          <w:szCs w:val="32"/>
          <w:lang w:val="en-US" w:eastAsia="zh-CN"/>
        </w:rPr>
        <w:t>95分，</w:t>
      </w:r>
      <w:r>
        <w:rPr>
          <w:rFonts w:hint="eastAsia" w:ascii="仿宋_GB2312" w:hAnsi="仿宋_GB2312" w:eastAsia="仿宋_GB2312" w:cs="仿宋_GB2312"/>
          <w:sz w:val="32"/>
          <w:szCs w:val="32"/>
          <w:lang w:eastAsia="zh-CN"/>
        </w:rPr>
        <w:t>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红原县人大常委会办公室202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4"/>
        <w:rPr>
          <w:rFonts w:hint="eastAsia" w:ascii="仿宋_GB2312" w:hAnsi="仿宋_GB2312" w:eastAsia="仿宋_GB2312" w:cs="仿宋_GB2312"/>
          <w:sz w:val="32"/>
          <w:szCs w:val="32"/>
        </w:rPr>
      </w:pPr>
    </w:p>
    <w:p>
      <w:pPr>
        <w:widowControl/>
        <w:ind w:firstLine="643" w:firstLineChars="200"/>
        <w:jc w:val="left"/>
        <w:rPr>
          <w:rFonts w:ascii="仿宋_GB2312" w:eastAsia="仿宋_GB2312"/>
          <w:b/>
          <w:sz w:val="32"/>
          <w:szCs w:val="32"/>
        </w:rPr>
      </w:pPr>
    </w:p>
    <w:p>
      <w:pPr>
        <w:numPr>
          <w:ilvl w:val="0"/>
          <w:numId w:val="6"/>
        </w:numPr>
        <w:spacing w:line="600" w:lineRule="exact"/>
        <w:ind w:firstLine="660" w:firstLineChars="150"/>
        <w:jc w:val="center"/>
        <w:outlineLvl w:val="0"/>
        <w:rPr>
          <w:rStyle w:val="20"/>
          <w:rFonts w:ascii="黑体" w:eastAsia="黑体"/>
          <w:b w:val="0"/>
        </w:rPr>
      </w:pPr>
      <w:bookmarkStart w:id="64" w:name="_Toc15396613"/>
      <w:bookmarkStart w:id="65" w:name="_Toc15377225"/>
      <w:bookmarkStart w:id="66" w:name="_Toc31207"/>
      <w:r>
        <w:rPr>
          <w:rFonts w:hint="eastAsia" w:ascii="黑体" w:eastAsia="黑体"/>
          <w:sz w:val="44"/>
          <w:szCs w:val="44"/>
        </w:rPr>
        <w:t>名</w:t>
      </w:r>
      <w:r>
        <w:rPr>
          <w:rStyle w:val="20"/>
          <w:rFonts w:hint="eastAsia" w:ascii="黑体" w:eastAsia="黑体"/>
          <w:b w:val="0"/>
        </w:rPr>
        <w:t>词解释</w:t>
      </w:r>
      <w:bookmarkEnd w:id="64"/>
      <w:bookmarkEnd w:id="65"/>
      <w:bookmarkEnd w:id="66"/>
    </w:p>
    <w:p>
      <w:pPr>
        <w:spacing w:line="600" w:lineRule="exact"/>
        <w:jc w:val="left"/>
        <w:rPr>
          <w:rFonts w:ascii="宋体"/>
          <w:b/>
          <w:sz w:val="44"/>
          <w:szCs w:val="44"/>
        </w:rPr>
      </w:pPr>
    </w:p>
    <w:p>
      <w:pPr>
        <w:numPr>
          <w:ilvl w:val="0"/>
          <w:numId w:val="7"/>
        </w:numPr>
        <w:spacing w:line="600" w:lineRule="exact"/>
        <w:jc w:val="center"/>
        <w:outlineLvl w:val="0"/>
        <w:rPr>
          <w:rFonts w:hint="eastAsia" w:ascii="仿宋_GB2312" w:eastAsia="仿宋_GB2312"/>
          <w:color w:val="auto"/>
          <w:sz w:val="32"/>
          <w:szCs w:val="32"/>
        </w:rPr>
      </w:pPr>
      <w:bookmarkStart w:id="67" w:name="_Toc27029"/>
      <w:bookmarkStart w:id="68" w:name="_Toc18803"/>
      <w:bookmarkStart w:id="69" w:name="_Toc27947"/>
      <w:bookmarkStart w:id="70" w:name="_Toc15377226"/>
      <w:r>
        <w:rPr>
          <w:rFonts w:hint="eastAsia" w:ascii="仿宋_GB2312" w:eastAsia="仿宋_GB2312"/>
          <w:color w:val="auto"/>
          <w:sz w:val="32"/>
          <w:szCs w:val="32"/>
        </w:rPr>
        <w:t>财政拨款收入：指单位从同级财政部门取得的财政预算资</w:t>
      </w:r>
      <w:bookmarkEnd w:id="67"/>
      <w:bookmarkEnd w:id="68"/>
      <w:bookmarkEnd w:id="69"/>
    </w:p>
    <w:p>
      <w:pPr>
        <w:numPr>
          <w:ilvl w:val="0"/>
          <w:numId w:val="0"/>
        </w:numPr>
        <w:spacing w:line="600" w:lineRule="exact"/>
        <w:jc w:val="both"/>
        <w:outlineLvl w:val="0"/>
        <w:rPr>
          <w:rFonts w:hint="eastAsia" w:ascii="仿宋_GB2312" w:eastAsia="仿宋_GB2312"/>
          <w:color w:val="auto"/>
          <w:sz w:val="32"/>
          <w:szCs w:val="32"/>
        </w:rPr>
      </w:pPr>
      <w:bookmarkStart w:id="71" w:name="_Toc704"/>
      <w:bookmarkStart w:id="72" w:name="_Toc21049"/>
      <w:bookmarkStart w:id="73" w:name="_Toc28771"/>
      <w:r>
        <w:rPr>
          <w:rFonts w:hint="eastAsia" w:ascii="仿宋_GB2312" w:eastAsia="仿宋_GB2312"/>
          <w:color w:val="auto"/>
          <w:sz w:val="32"/>
          <w:szCs w:val="32"/>
        </w:rPr>
        <w:t>金。</w:t>
      </w:r>
      <w:bookmarkEnd w:id="71"/>
      <w:bookmarkEnd w:id="72"/>
      <w:bookmarkEnd w:id="73"/>
    </w:p>
    <w:p>
      <w:pPr>
        <w:spacing w:line="600" w:lineRule="exact"/>
        <w:jc w:val="both"/>
        <w:outlineLvl w:val="0"/>
        <w:rPr>
          <w:rFonts w:hint="eastAsia" w:ascii="仿宋_GB2312" w:eastAsia="仿宋_GB2312"/>
          <w:color w:val="auto"/>
          <w:sz w:val="32"/>
          <w:szCs w:val="32"/>
        </w:rPr>
      </w:pPr>
      <w:bookmarkStart w:id="74" w:name="_Toc16486"/>
      <w:bookmarkStart w:id="75" w:name="_Toc24986"/>
      <w:bookmarkStart w:id="76" w:name="_Toc5090"/>
      <w:r>
        <w:rPr>
          <w:rFonts w:hint="eastAsia" w:ascii="仿宋_GB2312" w:eastAsia="仿宋_GB2312"/>
          <w:color w:val="auto"/>
          <w:sz w:val="32"/>
          <w:szCs w:val="32"/>
        </w:rPr>
        <w:t>2.其他收入：指单位取得的除上述收入以外的各项收入。</w:t>
      </w:r>
      <w:bookmarkEnd w:id="74"/>
      <w:bookmarkEnd w:id="75"/>
      <w:bookmarkEnd w:id="76"/>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77" w:name="_Toc13744"/>
      <w:bookmarkStart w:id="78" w:name="_Toc19661"/>
      <w:bookmarkStart w:id="79" w:name="_Toc5473"/>
      <w:r>
        <w:rPr>
          <w:rFonts w:hint="eastAsia" w:ascii="仿宋_GB2312" w:eastAsia="仿宋_GB2312"/>
          <w:color w:val="auto"/>
          <w:sz w:val="32"/>
          <w:szCs w:val="32"/>
        </w:rPr>
        <w:t>3.年初结转和结余：指以前年度尚未完成、结转到本年按有</w:t>
      </w:r>
      <w:bookmarkEnd w:id="77"/>
      <w:bookmarkEnd w:id="78"/>
      <w:bookmarkEnd w:id="79"/>
    </w:p>
    <w:p>
      <w:pPr>
        <w:spacing w:line="600" w:lineRule="exact"/>
        <w:jc w:val="both"/>
        <w:outlineLvl w:val="0"/>
        <w:rPr>
          <w:rFonts w:hint="eastAsia" w:ascii="仿宋_GB2312" w:eastAsia="仿宋_GB2312"/>
          <w:color w:val="auto"/>
          <w:sz w:val="32"/>
          <w:szCs w:val="32"/>
        </w:rPr>
      </w:pPr>
      <w:bookmarkStart w:id="80" w:name="_Toc11790"/>
      <w:bookmarkStart w:id="81" w:name="_Toc15327"/>
      <w:bookmarkStart w:id="82" w:name="_Toc12956"/>
      <w:r>
        <w:rPr>
          <w:rFonts w:hint="eastAsia" w:ascii="仿宋_GB2312" w:eastAsia="仿宋_GB2312"/>
          <w:color w:val="auto"/>
          <w:sz w:val="32"/>
          <w:szCs w:val="32"/>
        </w:rPr>
        <w:t>关规定继续使用的资金。</w:t>
      </w:r>
      <w:bookmarkEnd w:id="80"/>
      <w:bookmarkEnd w:id="81"/>
      <w:bookmarkEnd w:id="82"/>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83" w:name="_Toc21359"/>
      <w:bookmarkStart w:id="84" w:name="_Toc9882"/>
      <w:bookmarkStart w:id="85" w:name="_Toc1206"/>
      <w:r>
        <w:rPr>
          <w:rFonts w:hint="eastAsia" w:ascii="仿宋_GB2312" w:eastAsia="仿宋_GB2312"/>
          <w:color w:val="auto"/>
          <w:sz w:val="32"/>
          <w:szCs w:val="32"/>
        </w:rPr>
        <w:t>4、年末结转和结余：指单位按有关规定结转到下年或以后</w:t>
      </w:r>
      <w:bookmarkEnd w:id="83"/>
      <w:bookmarkEnd w:id="84"/>
      <w:bookmarkEnd w:id="85"/>
    </w:p>
    <w:p>
      <w:pPr>
        <w:spacing w:line="600" w:lineRule="exact"/>
        <w:jc w:val="both"/>
        <w:outlineLvl w:val="0"/>
        <w:rPr>
          <w:rFonts w:hint="eastAsia" w:ascii="仿宋_GB2312" w:eastAsia="仿宋_GB2312"/>
          <w:color w:val="auto"/>
          <w:sz w:val="32"/>
          <w:szCs w:val="32"/>
        </w:rPr>
      </w:pPr>
      <w:bookmarkStart w:id="86" w:name="_Toc12873"/>
      <w:bookmarkStart w:id="87" w:name="_Toc8387"/>
      <w:bookmarkStart w:id="88" w:name="_Toc9271"/>
      <w:r>
        <w:rPr>
          <w:rFonts w:hint="eastAsia" w:ascii="仿宋_GB2312" w:eastAsia="仿宋_GB2312"/>
          <w:color w:val="auto"/>
          <w:sz w:val="32"/>
          <w:szCs w:val="32"/>
        </w:rPr>
        <w:t>年度继续使用的资金。</w:t>
      </w:r>
      <w:bookmarkEnd w:id="86"/>
      <w:bookmarkEnd w:id="87"/>
      <w:bookmarkEnd w:id="88"/>
    </w:p>
    <w:p>
      <w:pPr>
        <w:numPr>
          <w:ilvl w:val="0"/>
          <w:numId w:val="8"/>
        </w:numPr>
        <w:spacing w:line="600" w:lineRule="exact"/>
        <w:jc w:val="center"/>
        <w:outlineLvl w:val="0"/>
        <w:rPr>
          <w:rFonts w:hint="eastAsia" w:ascii="仿宋_GB2312" w:eastAsia="仿宋_GB2312"/>
          <w:color w:val="auto"/>
          <w:sz w:val="32"/>
          <w:szCs w:val="32"/>
          <w:lang w:val="en-US" w:eastAsia="zh-CN"/>
        </w:rPr>
      </w:pPr>
      <w:bookmarkStart w:id="89" w:name="_Toc31094"/>
      <w:bookmarkStart w:id="90" w:name="_Toc7344"/>
      <w:bookmarkStart w:id="91" w:name="_Toc2744"/>
      <w:r>
        <w:rPr>
          <w:rFonts w:hint="eastAsia" w:ascii="仿宋_GB2312" w:eastAsia="仿宋_GB2312"/>
          <w:color w:val="auto"/>
          <w:sz w:val="32"/>
          <w:szCs w:val="32"/>
        </w:rPr>
        <w:t>一般公共服务：2010101指人大行政运行，反映人员经费与日常公用经费的支出。2010104指人大会议，反映县人大召开人民代表大会等专门会议的支出。</w:t>
      </w:r>
      <w:r>
        <w:rPr>
          <w:rFonts w:hint="eastAsia" w:ascii="仿宋_GB2312" w:eastAsia="仿宋_GB2312"/>
          <w:color w:val="auto"/>
          <w:sz w:val="32"/>
          <w:szCs w:val="32"/>
          <w:lang w:val="en-US" w:eastAsia="zh-CN"/>
        </w:rPr>
        <w:t>2010107指人大代表履职能力提升，反映各级人大为提高代表履职能力所发生的</w:t>
      </w:r>
      <w:bookmarkEnd w:id="89"/>
      <w:bookmarkEnd w:id="90"/>
      <w:bookmarkEnd w:id="91"/>
    </w:p>
    <w:p>
      <w:pPr>
        <w:numPr>
          <w:ilvl w:val="0"/>
          <w:numId w:val="0"/>
        </w:numPr>
        <w:spacing w:line="600" w:lineRule="exact"/>
        <w:jc w:val="both"/>
        <w:outlineLvl w:val="0"/>
        <w:rPr>
          <w:rFonts w:hint="default" w:ascii="仿宋_GB2312" w:eastAsia="仿宋_GB2312"/>
          <w:color w:val="auto"/>
          <w:sz w:val="32"/>
          <w:szCs w:val="32"/>
          <w:lang w:val="en-US" w:eastAsia="zh-CN"/>
        </w:rPr>
      </w:pPr>
      <w:bookmarkStart w:id="92" w:name="_Toc18095"/>
      <w:bookmarkStart w:id="93" w:name="_Toc23901"/>
      <w:bookmarkStart w:id="94" w:name="_Toc13530"/>
      <w:r>
        <w:rPr>
          <w:rFonts w:hint="eastAsia" w:ascii="仿宋_GB2312" w:eastAsia="仿宋_GB2312"/>
          <w:color w:val="auto"/>
          <w:sz w:val="32"/>
          <w:szCs w:val="32"/>
          <w:lang w:val="en-US" w:eastAsia="zh-CN"/>
        </w:rPr>
        <w:t>各项支出。</w:t>
      </w:r>
      <w:r>
        <w:rPr>
          <w:rFonts w:hint="eastAsia" w:ascii="仿宋_GB2312" w:eastAsia="仿宋_GB2312"/>
          <w:color w:val="auto"/>
          <w:sz w:val="32"/>
          <w:szCs w:val="32"/>
        </w:rPr>
        <w:t>2010108指代表工作，反映人大代表各类视察等方面的支出。</w:t>
      </w:r>
      <w:r>
        <w:rPr>
          <w:rFonts w:hint="eastAsia" w:ascii="仿宋_GB2312" w:eastAsia="仿宋_GB2312"/>
          <w:color w:val="auto"/>
          <w:sz w:val="32"/>
          <w:szCs w:val="32"/>
          <w:lang w:val="en-US" w:eastAsia="zh-CN"/>
        </w:rPr>
        <w:t>2100150指事业运行，反映人大事业机构产生的人员经费及公用经费。</w:t>
      </w:r>
      <w:bookmarkEnd w:id="92"/>
      <w:bookmarkEnd w:id="93"/>
      <w:bookmarkEnd w:id="94"/>
    </w:p>
    <w:p>
      <w:pPr>
        <w:spacing w:line="600" w:lineRule="exact"/>
        <w:jc w:val="center"/>
        <w:outlineLvl w:val="0"/>
        <w:rPr>
          <w:rFonts w:hint="eastAsia" w:ascii="仿宋_GB2312" w:eastAsia="仿宋_GB2312"/>
          <w:color w:val="auto"/>
          <w:sz w:val="32"/>
          <w:szCs w:val="32"/>
        </w:rPr>
      </w:pPr>
      <w:bookmarkStart w:id="95" w:name="_Toc19703"/>
      <w:bookmarkStart w:id="96" w:name="_Toc25321"/>
      <w:bookmarkStart w:id="97" w:name="_Toc22387"/>
      <w:r>
        <w:rPr>
          <w:rFonts w:hint="eastAsia" w:ascii="仿宋_GB2312" w:eastAsia="仿宋_GB2312"/>
          <w:color w:val="auto"/>
          <w:sz w:val="32"/>
          <w:szCs w:val="32"/>
        </w:rPr>
        <w:t>6.社会保障和就业：2080505指机关事业单位基本养老保险缴费支出。2080506指机关事业单位职业年金缴费支出。</w:t>
      </w:r>
      <w:bookmarkEnd w:id="95"/>
      <w:bookmarkEnd w:id="96"/>
      <w:bookmarkEnd w:id="97"/>
    </w:p>
    <w:p>
      <w:pPr>
        <w:spacing w:line="600" w:lineRule="exact"/>
        <w:jc w:val="both"/>
        <w:outlineLvl w:val="0"/>
        <w:rPr>
          <w:rFonts w:hint="default" w:ascii="仿宋_GB2312" w:eastAsia="仿宋_GB2312"/>
          <w:color w:val="auto"/>
          <w:sz w:val="32"/>
          <w:szCs w:val="32"/>
          <w:lang w:val="en-US" w:eastAsia="zh-CN"/>
        </w:rPr>
      </w:pPr>
      <w:bookmarkStart w:id="98" w:name="_Toc3261"/>
      <w:bookmarkStart w:id="99" w:name="_Toc11709"/>
      <w:bookmarkStart w:id="100" w:name="_Toc7898"/>
      <w:r>
        <w:rPr>
          <w:rFonts w:hint="eastAsia" w:ascii="仿宋_GB2312" w:eastAsia="仿宋_GB2312"/>
          <w:color w:val="auto"/>
          <w:sz w:val="32"/>
          <w:szCs w:val="32"/>
        </w:rPr>
        <w:t>7.医疗卫生与计划生育：2101101指行政单位医疗</w:t>
      </w:r>
      <w:r>
        <w:rPr>
          <w:rFonts w:hint="eastAsia" w:ascii="仿宋_GB2312" w:eastAsia="仿宋_GB2312"/>
          <w:color w:val="auto"/>
          <w:sz w:val="32"/>
          <w:szCs w:val="32"/>
          <w:lang w:eastAsia="zh-CN"/>
        </w:rPr>
        <w:t>保险</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2101102指事业单位医疗保险支出。</w:t>
      </w:r>
      <w:r>
        <w:rPr>
          <w:rFonts w:hint="eastAsia" w:ascii="仿宋_GB2312" w:eastAsia="仿宋_GB2312"/>
          <w:color w:val="auto"/>
          <w:sz w:val="32"/>
          <w:szCs w:val="32"/>
        </w:rPr>
        <w:t>2101103指公务员医疗补助。</w:t>
      </w:r>
      <w:r>
        <w:rPr>
          <w:rFonts w:hint="eastAsia" w:ascii="仿宋_GB2312" w:eastAsia="仿宋_GB2312"/>
          <w:color w:val="auto"/>
          <w:sz w:val="32"/>
          <w:szCs w:val="32"/>
          <w:lang w:val="en-US" w:eastAsia="zh-CN"/>
        </w:rPr>
        <w:t>2101199指其他行政事业单位医疗支出，反映事业单位职工补充医保。</w:t>
      </w:r>
      <w:bookmarkEnd w:id="98"/>
      <w:bookmarkEnd w:id="99"/>
      <w:bookmarkEnd w:id="100"/>
    </w:p>
    <w:p>
      <w:pPr>
        <w:spacing w:line="600" w:lineRule="exact"/>
        <w:jc w:val="both"/>
        <w:outlineLvl w:val="0"/>
        <w:rPr>
          <w:rFonts w:hint="eastAsia" w:ascii="仿宋_GB2312" w:eastAsia="仿宋_GB2312"/>
          <w:color w:val="auto"/>
          <w:sz w:val="32"/>
          <w:szCs w:val="32"/>
        </w:rPr>
      </w:pPr>
      <w:bookmarkStart w:id="101" w:name="_Toc14400"/>
      <w:bookmarkStart w:id="102" w:name="_Toc27720"/>
      <w:bookmarkStart w:id="103" w:name="_Toc17531"/>
      <w:r>
        <w:rPr>
          <w:rFonts w:hint="eastAsia" w:ascii="仿宋_GB2312" w:eastAsia="仿宋_GB2312"/>
          <w:color w:val="auto"/>
          <w:sz w:val="32"/>
          <w:szCs w:val="32"/>
        </w:rPr>
        <w:t>8.住房保障：2210201指住房公积金。</w:t>
      </w:r>
      <w:bookmarkEnd w:id="101"/>
      <w:bookmarkEnd w:id="102"/>
      <w:bookmarkEnd w:id="103"/>
    </w:p>
    <w:p>
      <w:pPr>
        <w:spacing w:line="600" w:lineRule="exact"/>
        <w:jc w:val="center"/>
        <w:outlineLvl w:val="0"/>
        <w:rPr>
          <w:rFonts w:hint="eastAsia" w:ascii="仿宋_GB2312" w:eastAsia="仿宋_GB2312"/>
          <w:color w:val="auto"/>
          <w:sz w:val="32"/>
          <w:szCs w:val="32"/>
        </w:rPr>
      </w:pPr>
      <w:bookmarkStart w:id="104" w:name="_Toc15140"/>
      <w:bookmarkStart w:id="105" w:name="_Toc20801"/>
      <w:bookmarkStart w:id="106" w:name="_Toc969"/>
      <w:r>
        <w:rPr>
          <w:rFonts w:hint="eastAsia" w:ascii="仿宋_GB2312" w:eastAsia="仿宋_GB2312"/>
          <w:color w:val="auto"/>
          <w:sz w:val="32"/>
          <w:szCs w:val="32"/>
        </w:rPr>
        <w:t>9.基本支出：指为保障机构正常运转、完成日常工作任务而</w:t>
      </w:r>
      <w:bookmarkEnd w:id="104"/>
      <w:bookmarkEnd w:id="105"/>
      <w:bookmarkEnd w:id="106"/>
    </w:p>
    <w:p>
      <w:pPr>
        <w:spacing w:line="600" w:lineRule="exact"/>
        <w:jc w:val="both"/>
        <w:outlineLvl w:val="0"/>
        <w:rPr>
          <w:rFonts w:hint="eastAsia" w:ascii="仿宋_GB2312" w:eastAsia="仿宋_GB2312"/>
          <w:color w:val="auto"/>
          <w:sz w:val="32"/>
          <w:szCs w:val="32"/>
        </w:rPr>
      </w:pPr>
      <w:bookmarkStart w:id="107" w:name="_Toc4186"/>
      <w:bookmarkStart w:id="108" w:name="_Toc1908"/>
      <w:bookmarkStart w:id="109" w:name="_Toc2623"/>
      <w:r>
        <w:rPr>
          <w:rFonts w:hint="eastAsia" w:ascii="仿宋_GB2312" w:eastAsia="仿宋_GB2312"/>
          <w:color w:val="auto"/>
          <w:sz w:val="32"/>
          <w:szCs w:val="32"/>
        </w:rPr>
        <w:t>发生的人员支出和公用支出。</w:t>
      </w:r>
      <w:bookmarkEnd w:id="107"/>
      <w:bookmarkEnd w:id="108"/>
      <w:bookmarkEnd w:id="109"/>
    </w:p>
    <w:p>
      <w:pPr>
        <w:spacing w:line="600" w:lineRule="exact"/>
        <w:jc w:val="center"/>
        <w:outlineLvl w:val="0"/>
        <w:rPr>
          <w:rFonts w:hint="eastAsia" w:ascii="仿宋_GB2312" w:eastAsia="仿宋_GB2312"/>
          <w:color w:val="auto"/>
          <w:sz w:val="32"/>
          <w:szCs w:val="32"/>
        </w:rPr>
      </w:pPr>
      <w:bookmarkStart w:id="110" w:name="_Toc26501"/>
      <w:bookmarkStart w:id="111" w:name="_Toc9649"/>
      <w:bookmarkStart w:id="112" w:name="_Toc27377"/>
      <w:r>
        <w:rPr>
          <w:rFonts w:hint="eastAsia" w:ascii="仿宋_GB2312" w:eastAsia="仿宋_GB2312"/>
          <w:color w:val="auto"/>
          <w:sz w:val="32"/>
          <w:szCs w:val="32"/>
        </w:rPr>
        <w:t>10.项目支出：指在基本支出之外为完成特定行政任务和事</w:t>
      </w:r>
      <w:bookmarkEnd w:id="110"/>
      <w:bookmarkEnd w:id="111"/>
      <w:bookmarkEnd w:id="112"/>
    </w:p>
    <w:p>
      <w:pPr>
        <w:spacing w:line="600" w:lineRule="exact"/>
        <w:jc w:val="both"/>
        <w:outlineLvl w:val="0"/>
        <w:rPr>
          <w:rFonts w:hint="eastAsia" w:ascii="仿宋_GB2312" w:eastAsia="仿宋_GB2312"/>
          <w:color w:val="auto"/>
          <w:sz w:val="32"/>
          <w:szCs w:val="32"/>
        </w:rPr>
      </w:pPr>
      <w:bookmarkStart w:id="113" w:name="_Toc19535"/>
      <w:bookmarkStart w:id="114" w:name="_Toc30698"/>
      <w:bookmarkStart w:id="115" w:name="_Toc26892"/>
      <w:r>
        <w:rPr>
          <w:rFonts w:hint="eastAsia" w:ascii="仿宋_GB2312" w:eastAsia="仿宋_GB2312"/>
          <w:color w:val="auto"/>
          <w:sz w:val="32"/>
          <w:szCs w:val="32"/>
        </w:rPr>
        <w:t>业发展目标所发生的支出。</w:t>
      </w:r>
      <w:bookmarkEnd w:id="113"/>
      <w:bookmarkEnd w:id="114"/>
      <w:bookmarkEnd w:id="115"/>
      <w:r>
        <w:rPr>
          <w:rFonts w:hint="eastAsia" w:ascii="仿宋_GB2312" w:eastAsia="仿宋_GB2312"/>
          <w:color w:val="auto"/>
          <w:sz w:val="32"/>
          <w:szCs w:val="32"/>
        </w:rPr>
        <w:t xml:space="preserve"> </w:t>
      </w:r>
    </w:p>
    <w:p>
      <w:pPr>
        <w:spacing w:line="600" w:lineRule="exact"/>
        <w:jc w:val="center"/>
        <w:outlineLvl w:val="0"/>
        <w:rPr>
          <w:rFonts w:hint="eastAsia" w:ascii="仿宋_GB2312" w:eastAsia="仿宋_GB2312"/>
          <w:color w:val="auto"/>
          <w:sz w:val="32"/>
          <w:szCs w:val="32"/>
        </w:rPr>
      </w:pPr>
      <w:bookmarkStart w:id="116" w:name="_Toc21244"/>
      <w:bookmarkStart w:id="117" w:name="_Toc27678"/>
      <w:bookmarkStart w:id="118" w:name="_Toc22739"/>
      <w:r>
        <w:rPr>
          <w:rFonts w:hint="eastAsia" w:ascii="仿宋_GB2312" w:eastAsia="仿宋_GB2312"/>
          <w:color w:val="auto"/>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w:t>
      </w:r>
      <w:bookmarkEnd w:id="116"/>
      <w:bookmarkEnd w:id="117"/>
      <w:bookmarkEnd w:id="118"/>
    </w:p>
    <w:p>
      <w:pPr>
        <w:spacing w:line="600" w:lineRule="exact"/>
        <w:jc w:val="both"/>
        <w:outlineLvl w:val="0"/>
        <w:rPr>
          <w:rFonts w:hint="eastAsia" w:ascii="仿宋_GB2312" w:eastAsia="仿宋_GB2312"/>
          <w:color w:val="auto"/>
          <w:sz w:val="32"/>
          <w:szCs w:val="32"/>
        </w:rPr>
      </w:pPr>
      <w:bookmarkStart w:id="119" w:name="_Toc1029"/>
      <w:bookmarkStart w:id="120" w:name="_Toc14809"/>
      <w:bookmarkStart w:id="121" w:name="_Toc11049"/>
      <w:r>
        <w:rPr>
          <w:rFonts w:hint="eastAsia" w:ascii="仿宋_GB2312" w:eastAsia="仿宋_GB2312"/>
          <w:color w:val="auto"/>
          <w:sz w:val="32"/>
          <w:szCs w:val="32"/>
        </w:rPr>
        <w:t>外宾接待）支出。</w:t>
      </w:r>
      <w:bookmarkEnd w:id="119"/>
      <w:bookmarkEnd w:id="120"/>
      <w:bookmarkEnd w:id="121"/>
    </w:p>
    <w:p>
      <w:pPr>
        <w:spacing w:line="600" w:lineRule="exact"/>
        <w:jc w:val="center"/>
        <w:outlineLvl w:val="0"/>
        <w:rPr>
          <w:rFonts w:hint="eastAsia" w:ascii="仿宋_GB2312" w:eastAsia="仿宋_GB2312"/>
          <w:color w:val="auto"/>
          <w:sz w:val="32"/>
          <w:szCs w:val="32"/>
        </w:rPr>
      </w:pPr>
      <w:bookmarkStart w:id="122" w:name="_Toc13615"/>
      <w:bookmarkStart w:id="123" w:name="_Toc20693"/>
      <w:bookmarkStart w:id="124" w:name="_Toc28505"/>
      <w:r>
        <w:rPr>
          <w:rFonts w:hint="eastAsia" w:ascii="仿宋_GB2312" w:eastAsia="仿宋_GB2312"/>
          <w:color w:val="auto"/>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w:t>
      </w:r>
      <w:bookmarkEnd w:id="122"/>
      <w:bookmarkEnd w:id="123"/>
      <w:bookmarkEnd w:id="124"/>
    </w:p>
    <w:p>
      <w:pPr>
        <w:spacing w:line="600" w:lineRule="exact"/>
        <w:jc w:val="both"/>
        <w:outlineLvl w:val="0"/>
        <w:rPr>
          <w:rFonts w:hint="eastAsia" w:ascii="仿宋_GB2312" w:eastAsia="仿宋_GB2312"/>
          <w:color w:val="auto"/>
          <w:sz w:val="32"/>
          <w:szCs w:val="32"/>
        </w:rPr>
      </w:pPr>
      <w:bookmarkStart w:id="125" w:name="_Toc23183"/>
      <w:bookmarkStart w:id="126" w:name="_Toc19910"/>
      <w:bookmarkStart w:id="127" w:name="_Toc20644"/>
      <w:r>
        <w:rPr>
          <w:rFonts w:hint="eastAsia" w:ascii="仿宋_GB2312" w:eastAsia="仿宋_GB2312"/>
          <w:color w:val="auto"/>
          <w:sz w:val="32"/>
          <w:szCs w:val="32"/>
        </w:rPr>
        <w:t>其他费用。</w:t>
      </w:r>
      <w:bookmarkEnd w:id="125"/>
      <w:bookmarkEnd w:id="126"/>
      <w:bookmarkEnd w:id="127"/>
    </w:p>
    <w:p>
      <w:pPr>
        <w:spacing w:line="600" w:lineRule="exact"/>
        <w:jc w:val="center"/>
        <w:outlineLvl w:val="0"/>
        <w:rPr>
          <w:rStyle w:val="20"/>
          <w:rFonts w:ascii="黑体" w:eastAsia="黑体"/>
          <w:b w:val="0"/>
        </w:rPr>
      </w:pPr>
      <w:r>
        <w:rPr>
          <w:rFonts w:ascii="宋体"/>
          <w:b/>
          <w:sz w:val="44"/>
          <w:szCs w:val="44"/>
        </w:rPr>
        <w:br w:type="page"/>
      </w:r>
      <w:bookmarkStart w:id="128" w:name="_Toc15396614"/>
      <w:bookmarkStart w:id="129" w:name="_Toc17629"/>
      <w:r>
        <w:rPr>
          <w:rFonts w:hint="eastAsia" w:ascii="黑体" w:eastAsia="黑体"/>
          <w:sz w:val="44"/>
          <w:szCs w:val="44"/>
        </w:rPr>
        <w:t>第</w:t>
      </w:r>
      <w:r>
        <w:rPr>
          <w:rStyle w:val="20"/>
          <w:rFonts w:hint="eastAsia" w:ascii="黑体" w:eastAsia="黑体"/>
          <w:b w:val="0"/>
        </w:rPr>
        <w:t>四部分 附件</w:t>
      </w:r>
      <w:bookmarkEnd w:id="128"/>
      <w:bookmarkEnd w:id="129"/>
    </w:p>
    <w:p>
      <w:pPr>
        <w:spacing w:line="572" w:lineRule="exact"/>
        <w:jc w:val="left"/>
        <w:outlineLvl w:val="0"/>
        <w:rPr>
          <w:rFonts w:ascii="方正小标宋简体" w:eastAsia="方正小标宋简体" w:cs="方正小标宋简体"/>
          <w:sz w:val="44"/>
          <w:szCs w:val="44"/>
        </w:rPr>
      </w:pPr>
      <w:bookmarkStart w:id="130" w:name="_Toc4715"/>
      <w:bookmarkStart w:id="131" w:name="_Toc31443"/>
      <w:r>
        <w:rPr>
          <w:rFonts w:hint="eastAsia" w:ascii="黑体" w:eastAsia="黑体" w:cs="黑体"/>
          <w:sz w:val="32"/>
          <w:szCs w:val="32"/>
        </w:rPr>
        <w:t>附件</w:t>
      </w:r>
      <w:bookmarkEnd w:id="130"/>
      <w:bookmarkEnd w:id="131"/>
    </w:p>
    <w:p>
      <w:pPr>
        <w:keepNext w:val="0"/>
        <w:keepLines w:val="0"/>
        <w:pageBreakBefore w:val="0"/>
        <w:widowControl/>
        <w:kinsoku/>
        <w:wordWrap/>
        <w:overflowPunct/>
        <w:topLinePunct w:val="0"/>
        <w:autoSpaceDE/>
        <w:autoSpaceDN/>
        <w:bidi w:val="0"/>
        <w:spacing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红原县人大常委会办公室</w:t>
      </w:r>
    </w:p>
    <w:p>
      <w:pPr>
        <w:keepNext w:val="0"/>
        <w:keepLines w:val="0"/>
        <w:pageBreakBefore w:val="0"/>
        <w:widowControl/>
        <w:kinsoku/>
        <w:wordWrap/>
        <w:overflowPunct/>
        <w:topLinePunct w:val="0"/>
        <w:autoSpaceDE/>
        <w:autoSpaceDN/>
        <w:bidi w:val="0"/>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年部门</w:t>
      </w:r>
      <w:r>
        <w:rPr>
          <w:rFonts w:hint="eastAsia" w:ascii="方正小标宋简体" w:hAnsi="方正小标宋简体" w:eastAsia="方正小标宋简体" w:cs="方正小标宋简体"/>
          <w:sz w:val="44"/>
          <w:szCs w:val="44"/>
          <w:lang w:eastAsia="zh-CN"/>
        </w:rPr>
        <w:t>整体</w:t>
      </w:r>
      <w:r>
        <w:rPr>
          <w:rFonts w:hint="eastAsia" w:ascii="方正小标宋简体" w:hAnsi="方正小标宋简体" w:eastAsia="方正小标宋简体" w:cs="方正小标宋简体"/>
          <w:sz w:val="44"/>
          <w:szCs w:val="44"/>
        </w:rPr>
        <w:t>支出绩效报告</w:t>
      </w:r>
    </w:p>
    <w:p>
      <w:pPr>
        <w:widowControl/>
        <w:adjustRightInd w:val="0"/>
        <w:snapToGrid w:val="0"/>
        <w:spacing w:line="560" w:lineRule="exact"/>
        <w:contextualSpacing/>
        <w:jc w:val="left"/>
        <w:rPr>
          <w:rFonts w:hint="eastAsia" w:ascii="仿宋_GB2312" w:hAnsi="仿宋_GB2312" w:eastAsia="仿宋_GB2312" w:cs="仿宋_GB2312"/>
          <w:sz w:val="32"/>
          <w:szCs w:val="32"/>
          <w:lang w:val="en-US" w:eastAsia="zh-CN"/>
        </w:rPr>
      </w:pPr>
    </w:p>
    <w:p>
      <w:pPr>
        <w:widowControl/>
        <w:adjustRightInd w:val="0"/>
        <w:snapToGrid w:val="0"/>
        <w:spacing w:line="560" w:lineRule="exact"/>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rPr>
      </w:pPr>
      <w:r>
        <w:rPr>
          <w:rFonts w:hint="eastAsia" w:ascii="楷体_GB2312" w:hAnsi="楷体_GB2312" w:eastAsia="楷体_GB2312" w:cs="楷体_GB2312"/>
          <w:b w:val="0"/>
          <w:bCs w:val="0"/>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bCs/>
          <w:sz w:val="32"/>
          <w:szCs w:val="32"/>
          <w:lang w:eastAsia="zh-CN"/>
        </w:rPr>
        <w:t>县人大常委会机关</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eastAsia="zh-CN"/>
        </w:rPr>
        <w:t>个，即：综合办公室、人事代表工作委员会、法制监察司法和民族宗教外事委员会、财政经济预算和农业农村城乡环境保护委员会、教育科学文化卫生和社会建设委员会、预算联网服务中心（股级事业单位）；办公室下设两个股级机构，即行政股和秘书股。</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rPr>
      </w:pPr>
      <w:r>
        <w:rPr>
          <w:rFonts w:hint="eastAsia" w:ascii="楷体_GB2312" w:hAnsi="楷体_GB2312" w:eastAsia="楷体_GB2312" w:cs="楷体_GB2312"/>
          <w:b w:val="0"/>
          <w:bCs w:val="0"/>
          <w:color w:val="000000"/>
          <w:kern w:val="0"/>
          <w:sz w:val="32"/>
          <w:szCs w:val="32"/>
          <w:lang w:val="zh-CN"/>
        </w:rPr>
        <w:t>（二）机构职能。</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1</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val="zh-CN" w:eastAsia="zh-CN"/>
        </w:rPr>
        <w:t>综合办公室主要职能</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 xml:space="preserve">     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zh-CN" w:eastAsia="zh-CN"/>
        </w:rPr>
        <w:t>2</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val="zh-CN" w:eastAsia="zh-CN"/>
        </w:rPr>
        <w:t>人大常委会财政经济预算和农业农村城乡环境保护委员会</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（1）为县人大常委会审议财政经济方面的各种报告，开展初审工作并提出意见，草拟县人大常委会会议相应的审议意见。</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 xml:space="preserve">  （2）根据常委会议和主任会议安排，承担对财政、经济方面的执法检查、代表视察和代表评议的牵头工作。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 xml:space="preserve">  （3）按照对口联系范围，经常联系财政和其他经济管理部门，开展调查研究工作，印发有关调查报告。</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zh-CN" w:eastAsia="zh-CN"/>
        </w:rPr>
        <w:t>）承办上级人大对口的专门委员会发来的法律法规征求意见的整理上报工作。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val="zh-CN" w:eastAsia="zh-CN"/>
        </w:rPr>
        <w:t>）办理本工作委员会全部文书档案工作。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val="zh-CN" w:eastAsia="zh-CN"/>
        </w:rPr>
        <w:t>）承担领导交办的其他工作。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zh-CN" w:eastAsia="zh-CN"/>
        </w:rPr>
        <w:t>县人大常委会法制监察司法和民族宗教外事委员会</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（1）为县人大常委会会议，审议政法方面的各种工作报告，开展初审，提出意见，草拟县人大常委会会议的相应审议意见。</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（2）根据常委会议及主任会议安排，承担对政法和司法机关，以及法制建设执法检查、代表视察和代表评议的牵头工作。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（3）按照对口联系范围经常对公、检、法、司等部门，开展调查研究工作，印发有关电查报告。</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 xml:space="preserve">（4）承办上级人大对口专门委员会发来的法律法规征求意见和整理上报工作。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val="zh-CN" w:eastAsia="zh-CN"/>
        </w:rPr>
        <w:t>）办理本工作委员会的全部文书档案工作。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val="zh-CN" w:eastAsia="zh-CN"/>
        </w:rPr>
        <w:t>）承担领导交办的其他工作。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4.县</w:t>
      </w:r>
      <w:r>
        <w:rPr>
          <w:rFonts w:hint="eastAsia" w:ascii="仿宋_GB2312" w:hAnsi="仿宋_GB2312" w:eastAsia="仿宋_GB2312" w:cs="仿宋_GB2312"/>
          <w:bCs/>
          <w:sz w:val="32"/>
          <w:szCs w:val="32"/>
          <w:lang w:val="zh-CN" w:eastAsia="zh-CN"/>
        </w:rPr>
        <w:t>人大常委会教育科学文化卫生和社会建设委员会</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（1）为县人大常委会审议教育、科学、文化、卫生、民族宗教等方面的各种报告，开展初审工作，提出初审意见，草拟常委会会议相应的审议意见。</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（2）根据常委会议和主任会议安排，承担对教育、科技、文化、卫生、民族、宗教等方面的执法检查、代表视察和代表评议的牵头工作。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（3）按照对口联系范围，经常联系教育、科技、文化、卫生、民族、宗教等部门，开展调查研究工作，印发调查报告。</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（4）承办上级对口专门委员会发来的法律法规征求意见和整理上报工作。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val="zh-CN" w:eastAsia="zh-CN"/>
        </w:rPr>
        <w:t>）办理本工作委员会的全部文书档案工作。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val="zh-CN" w:eastAsia="zh-CN"/>
        </w:rPr>
        <w:t>）承担领导交办的其他工作。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5.县</w:t>
      </w:r>
      <w:r>
        <w:rPr>
          <w:rFonts w:hint="eastAsia" w:ascii="仿宋_GB2312" w:hAnsi="仿宋_GB2312" w:eastAsia="仿宋_GB2312" w:cs="仿宋_GB2312"/>
          <w:bCs/>
          <w:sz w:val="32"/>
          <w:szCs w:val="32"/>
          <w:lang w:val="zh-CN" w:eastAsia="zh-CN"/>
        </w:rPr>
        <w:t>人大常委人事代表工作委员会</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 xml:space="preserve">  （1）办理人民代表大会及其常务委员会人事任免的具体工作。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 xml:space="preserve">  （2）加强同县委、组织部、纪委、上级人大常委会对口部门、乡镇党委、本级“一府两院”的人事监察部门、政工机构和信访部门的配合与联系。</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（3）搞好对县人大常委会任命的国家机关工作人员的述职评议工作。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（4）承担换届选举方面的具体工作和由上面交办的人民代表大会制度和人大工作方面的法律、法规的征求意见，整理上报工作。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val="zh-CN" w:eastAsia="zh-CN"/>
        </w:rPr>
        <w:t>）做好代表联系，办理代表议案建议、批评和意见，办理人民群众的来信来访工作。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lang w:val="zh-CN" w:eastAsia="zh-CN"/>
        </w:rPr>
        <w:t>）承担县人大常委会代表资格审查委员会的有关具体工作和指导乡、镇人大及其主席团的工作。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6.预算联网中心</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负责全县预算及相关预算执行相关数据的监督及管理等工作。</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（三）人员概况。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zh-CN" w:eastAsia="zh-CN"/>
        </w:rPr>
        <w:t>本单位截止</w:t>
      </w:r>
      <w:r>
        <w:rPr>
          <w:rFonts w:hint="eastAsia" w:ascii="仿宋_GB2312" w:hAnsi="仿宋_GB2312" w:eastAsia="仿宋_GB2312" w:cs="仿宋_GB2312"/>
          <w:bCs/>
          <w:sz w:val="32"/>
          <w:szCs w:val="32"/>
          <w:lang w:val="en-US" w:eastAsia="zh-CN"/>
        </w:rPr>
        <w:t>2023年底共有</w:t>
      </w:r>
      <w:r>
        <w:rPr>
          <w:rFonts w:hint="eastAsia" w:ascii="仿宋_GB2312" w:hAnsi="仿宋_GB2312" w:eastAsia="仿宋_GB2312" w:cs="仿宋_GB2312"/>
          <w:bCs/>
          <w:sz w:val="32"/>
          <w:szCs w:val="32"/>
          <w:lang w:eastAsia="zh-CN"/>
        </w:rPr>
        <w:t>在职职工</w:t>
      </w: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lang w:eastAsia="zh-CN"/>
        </w:rPr>
        <w:t>人，其中公务员</w:t>
      </w:r>
      <w:r>
        <w:rPr>
          <w:rFonts w:hint="eastAsia" w:ascii="仿宋_GB2312" w:hAnsi="仿宋_GB2312" w:eastAsia="仿宋_GB2312" w:cs="仿宋_GB2312"/>
          <w:bCs/>
          <w:sz w:val="32"/>
          <w:szCs w:val="32"/>
          <w:lang w:val="en-US" w:eastAsia="zh-CN"/>
        </w:rPr>
        <w:t>18</w:t>
      </w:r>
      <w:r>
        <w:rPr>
          <w:rFonts w:hint="eastAsia" w:ascii="仿宋_GB2312" w:hAnsi="仿宋_GB2312" w:eastAsia="仿宋_GB2312" w:cs="仿宋_GB2312"/>
          <w:bCs/>
          <w:sz w:val="32"/>
          <w:szCs w:val="32"/>
          <w:lang w:eastAsia="zh-CN"/>
        </w:rPr>
        <w:t>人，行政工勤</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人，</w:t>
      </w:r>
      <w:r>
        <w:rPr>
          <w:rFonts w:hint="eastAsia" w:ascii="仿宋_GB2312" w:hAnsi="仿宋_GB2312" w:eastAsia="仿宋_GB2312" w:cs="仿宋_GB2312"/>
          <w:bCs/>
          <w:sz w:val="32"/>
          <w:szCs w:val="32"/>
          <w:lang w:val="en-US" w:eastAsia="zh-CN"/>
        </w:rPr>
        <w:t>事业管理人员1人。</w:t>
      </w:r>
      <w:r>
        <w:rPr>
          <w:rFonts w:hint="eastAsia" w:ascii="仿宋_GB2312" w:hAnsi="仿宋_GB2312" w:eastAsia="仿宋_GB2312" w:cs="仿宋_GB2312"/>
          <w:bCs/>
          <w:sz w:val="32"/>
          <w:szCs w:val="32"/>
          <w:lang w:eastAsia="zh-CN"/>
        </w:rPr>
        <w:t>比上年减少</w:t>
      </w:r>
      <w:r>
        <w:rPr>
          <w:rFonts w:hint="eastAsia" w:ascii="仿宋_GB2312" w:hAnsi="仿宋_GB2312" w:eastAsia="仿宋_GB2312" w:cs="仿宋_GB2312"/>
          <w:bCs/>
          <w:sz w:val="32"/>
          <w:szCs w:val="32"/>
          <w:lang w:val="en-US" w:eastAsia="zh-CN"/>
        </w:rPr>
        <w:t>1人，减少原因是22年退休2人，新调入1人。</w:t>
      </w:r>
    </w:p>
    <w:p>
      <w:pPr>
        <w:widowControl/>
        <w:adjustRightInd w:val="0"/>
        <w:snapToGrid w:val="0"/>
        <w:spacing w:line="560" w:lineRule="exact"/>
        <w:contextualSpacing/>
        <w:jc w:val="left"/>
        <w:rPr>
          <w:rFonts w:hint="eastAsia" w:ascii="黑体" w:hAnsi="宋体" w:eastAsia="黑体" w:cs="宋体"/>
          <w:color w:val="000000"/>
          <w:kern w:val="0"/>
          <w:sz w:val="32"/>
          <w:szCs w:val="32"/>
          <w:shd w:val="clear" w:color="auto" w:fill="FFFFFF"/>
          <w:lang w:eastAsia="zh-CN"/>
        </w:rPr>
      </w:pPr>
      <w:r>
        <w:rPr>
          <w:rFonts w:hint="eastAsia" w:ascii="黑体" w:hAnsi="宋体" w:eastAsia="黑体" w:cs="宋体"/>
          <w:color w:val="000000"/>
          <w:kern w:val="0"/>
          <w:sz w:val="32"/>
          <w:szCs w:val="32"/>
          <w:shd w:val="clear" w:color="auto" w:fill="FFFFFF"/>
          <w:lang w:eastAsia="zh-CN"/>
        </w:rPr>
        <w:t>二、部门财政资金收支情况</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（一）部门财政资金收入情况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年度财政拨款收入总计</w:t>
      </w:r>
      <w:r>
        <w:rPr>
          <w:rFonts w:hint="eastAsia" w:ascii="仿宋_GB2312" w:hAnsi="仿宋_GB2312" w:eastAsia="仿宋_GB2312" w:cs="仿宋_GB2312"/>
          <w:bCs/>
          <w:sz w:val="32"/>
          <w:szCs w:val="32"/>
          <w:lang w:val="en-US" w:eastAsia="zh-CN"/>
        </w:rPr>
        <w:t>943.55万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其中：一般公共服务支出750.97万元，主要为人员工资、体检费、工伤失业保险、会议费、差旅费、印刷费、培训费、公务用车运行维护费等；社会保障和就业支出100.39万元，主要为单位部分各项保险；医疗卫生与计划生育支出43.78万元，全部为单位部分医疗保险、公务员医疗补助；住房保障支出48.41万元，全部为单位部分住房公积金）。</w:t>
      </w:r>
      <w:r>
        <w:rPr>
          <w:rFonts w:hint="eastAsia" w:ascii="仿宋_GB2312" w:hAnsi="仿宋_GB2312" w:eastAsia="仿宋_GB2312" w:cs="仿宋_GB2312"/>
          <w:bCs/>
          <w:sz w:val="32"/>
          <w:szCs w:val="32"/>
          <w:lang w:eastAsia="zh-CN"/>
        </w:rPr>
        <w:t>与20</w:t>
      </w: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lang w:eastAsia="zh-CN"/>
        </w:rPr>
        <w:t>年相比，收入减少了</w:t>
      </w:r>
      <w:r>
        <w:rPr>
          <w:rFonts w:hint="eastAsia" w:ascii="仿宋_GB2312" w:hAnsi="仿宋_GB2312" w:eastAsia="仿宋_GB2312" w:cs="仿宋_GB2312"/>
          <w:bCs/>
          <w:sz w:val="32"/>
          <w:szCs w:val="32"/>
          <w:lang w:val="en-US" w:eastAsia="zh-CN"/>
        </w:rPr>
        <w:t>65.27</w:t>
      </w:r>
      <w:r>
        <w:rPr>
          <w:rFonts w:hint="eastAsia" w:ascii="仿宋_GB2312" w:hAnsi="仿宋_GB2312" w:eastAsia="仿宋_GB2312" w:cs="仿宋_GB2312"/>
          <w:bCs/>
          <w:sz w:val="32"/>
          <w:szCs w:val="32"/>
          <w:lang w:eastAsia="zh-CN"/>
        </w:rPr>
        <w:t>万元，下降了</w:t>
      </w:r>
      <w:r>
        <w:rPr>
          <w:rFonts w:hint="eastAsia" w:ascii="仿宋_GB2312" w:hAnsi="仿宋_GB2312" w:eastAsia="仿宋_GB2312" w:cs="仿宋_GB2312"/>
          <w:bCs/>
          <w:sz w:val="32"/>
          <w:szCs w:val="32"/>
          <w:lang w:val="en-US" w:eastAsia="zh-CN"/>
        </w:rPr>
        <w:t>6.47%</w:t>
      </w:r>
      <w:r>
        <w:rPr>
          <w:rFonts w:hint="eastAsia" w:ascii="仿宋_GB2312" w:hAnsi="仿宋_GB2312" w:eastAsia="仿宋_GB2312" w:cs="仿宋_GB2312"/>
          <w:bCs/>
          <w:sz w:val="32"/>
          <w:szCs w:val="32"/>
          <w:lang w:eastAsia="zh-CN"/>
        </w:rPr>
        <w:t>，主要变动原因是</w:t>
      </w:r>
      <w:r>
        <w:rPr>
          <w:rFonts w:hint="eastAsia" w:ascii="仿宋_GB2312" w:hAnsi="仿宋_GB2312" w:eastAsia="仿宋_GB2312" w:cs="仿宋_GB2312"/>
          <w:bCs/>
          <w:sz w:val="32"/>
          <w:szCs w:val="32"/>
          <w:lang w:val="en-US" w:eastAsia="zh-CN"/>
        </w:rPr>
        <w:t>22年支付换届人代会及两次培训会相关开支23年无人代会换届支出及仅支付一次培训相关支出。</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（二）部门财政资金支出情况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年度财政拨款支出</w:t>
      </w:r>
      <w:r>
        <w:rPr>
          <w:rFonts w:hint="eastAsia" w:ascii="仿宋_GB2312" w:hAnsi="仿宋_GB2312" w:eastAsia="仿宋_GB2312" w:cs="仿宋_GB2312"/>
          <w:bCs/>
          <w:sz w:val="32"/>
          <w:szCs w:val="32"/>
          <w:lang w:val="en-US" w:eastAsia="zh-CN"/>
        </w:rPr>
        <w:t>943.55万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与20</w:t>
      </w:r>
      <w:r>
        <w:rPr>
          <w:rFonts w:hint="eastAsia" w:ascii="仿宋_GB2312" w:hAnsi="仿宋_GB2312" w:eastAsia="仿宋_GB2312" w:cs="仿宋_GB2312"/>
          <w:bCs/>
          <w:sz w:val="32"/>
          <w:szCs w:val="32"/>
          <w:lang w:val="en-US" w:eastAsia="zh-CN"/>
        </w:rPr>
        <w:t>22</w:t>
      </w:r>
      <w:r>
        <w:rPr>
          <w:rFonts w:hint="eastAsia" w:ascii="仿宋_GB2312" w:hAnsi="仿宋_GB2312" w:eastAsia="仿宋_GB2312" w:cs="仿宋_GB2312"/>
          <w:bCs/>
          <w:sz w:val="32"/>
          <w:szCs w:val="32"/>
          <w:lang w:eastAsia="zh-CN"/>
        </w:rPr>
        <w:t>年相比，支出减少了</w:t>
      </w:r>
      <w:r>
        <w:rPr>
          <w:rFonts w:hint="eastAsia" w:ascii="仿宋_GB2312" w:hAnsi="仿宋_GB2312" w:eastAsia="仿宋_GB2312" w:cs="仿宋_GB2312"/>
          <w:bCs/>
          <w:sz w:val="32"/>
          <w:szCs w:val="32"/>
          <w:lang w:val="en-US" w:eastAsia="zh-CN"/>
        </w:rPr>
        <w:t>65.27</w:t>
      </w:r>
      <w:r>
        <w:rPr>
          <w:rFonts w:hint="eastAsia" w:ascii="仿宋_GB2312" w:hAnsi="仿宋_GB2312" w:eastAsia="仿宋_GB2312" w:cs="仿宋_GB2312"/>
          <w:bCs/>
          <w:sz w:val="32"/>
          <w:szCs w:val="32"/>
          <w:lang w:eastAsia="zh-CN"/>
        </w:rPr>
        <w:t>万元，下降了</w:t>
      </w:r>
      <w:r>
        <w:rPr>
          <w:rFonts w:hint="eastAsia" w:ascii="仿宋_GB2312" w:hAnsi="仿宋_GB2312" w:eastAsia="仿宋_GB2312" w:cs="仿宋_GB2312"/>
          <w:bCs/>
          <w:sz w:val="32"/>
          <w:szCs w:val="32"/>
          <w:lang w:val="en-US" w:eastAsia="zh-CN"/>
        </w:rPr>
        <w:t>6.47%</w:t>
      </w:r>
      <w:r>
        <w:rPr>
          <w:rFonts w:hint="eastAsia" w:ascii="仿宋_GB2312" w:hAnsi="仿宋_GB2312" w:eastAsia="仿宋_GB2312" w:cs="仿宋_GB2312"/>
          <w:bCs/>
          <w:sz w:val="32"/>
          <w:szCs w:val="32"/>
          <w:lang w:eastAsia="zh-CN"/>
        </w:rPr>
        <w:t>，主要变动原因是</w:t>
      </w:r>
      <w:r>
        <w:rPr>
          <w:rFonts w:hint="eastAsia" w:ascii="仿宋_GB2312" w:hAnsi="仿宋_GB2312" w:eastAsia="仿宋_GB2312" w:cs="仿宋_GB2312"/>
          <w:bCs/>
          <w:sz w:val="32"/>
          <w:szCs w:val="32"/>
          <w:lang w:val="en-US" w:eastAsia="zh-CN"/>
        </w:rPr>
        <w:t>22年支付换届人代会及两次培训会相关开支23年无人代会换届支出及仅支付一次培训相关支出。其中：一般公共服务支出750.97万元，主要为人员工资、体检费、工伤失业保险、会议费、差旅费、印刷费、培训费、公务用车运行维护费等；社会保障和就业支出100.39万元，主要为单位部分各项保险；医疗卫生与计划生育支出43.78万元，全部为单位部分医疗保险、公务员医疗补助；住房保障支出48.41万元，全部为单位部分住房公积金</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（一）部门预算管理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zh-CN" w:eastAsia="zh-CN"/>
        </w:rPr>
        <w:t>红原县人大常委会办公室预算编制严格按照《预算法》相关规定，结合全县预算编制口径，结合我单位实际情况编制，主要用于保障我单位正常运转、完成日常工作任务以及红原县人大事务发展相关工作而编制，预算编制目标明确。其中根据我单位职能职责编制三项专项部门预算，一是人大专项办公费预算，主要用于补充我单位开展人大专项工作产生的办公费、差旅费、油费等，</w:t>
      </w:r>
      <w:r>
        <w:rPr>
          <w:rFonts w:hint="eastAsia" w:ascii="仿宋_GB2312" w:hAnsi="仿宋_GB2312" w:eastAsia="仿宋_GB2312" w:cs="仿宋_GB2312"/>
          <w:bCs/>
          <w:sz w:val="32"/>
          <w:szCs w:val="32"/>
          <w:lang w:val="en-US" w:eastAsia="zh-CN"/>
        </w:rPr>
        <w:t>2023年初预算20万元，年底执行17.66万元，执行率88.3%；</w:t>
      </w:r>
      <w:r>
        <w:rPr>
          <w:rFonts w:hint="eastAsia" w:ascii="仿宋_GB2312" w:hAnsi="仿宋_GB2312" w:eastAsia="仿宋_GB2312" w:cs="仿宋_GB2312"/>
          <w:bCs/>
          <w:sz w:val="32"/>
          <w:szCs w:val="32"/>
          <w:lang w:val="zh-CN" w:eastAsia="zh-CN"/>
        </w:rPr>
        <w:t>二是人大会议，主要用于我单位每年的常委会及人代会产生的印刷，代表食宿费用，会议用品费用等会议开支，</w:t>
      </w:r>
      <w:r>
        <w:rPr>
          <w:rFonts w:hint="eastAsia" w:ascii="仿宋_GB2312" w:hAnsi="仿宋_GB2312" w:eastAsia="仿宋_GB2312" w:cs="仿宋_GB2312"/>
          <w:bCs/>
          <w:sz w:val="32"/>
          <w:szCs w:val="32"/>
          <w:lang w:val="en-US" w:eastAsia="zh-CN"/>
        </w:rPr>
        <w:t>2023年初预算30万元，中途调剂4.56万元，年底执行25.44万元，执行率100%。三是代表视察及履职能力提升专项经费，主要用于我县各级人大代表参加培训、调研、视察等开支的差旅费，办公费及县人大开展代表履职相关工作产生的公务用车运行维护费等开支</w:t>
      </w: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2023年初预算37万元，中途调剂9.71万元，年底执行27.27万元，执行率99.93%。该三项经费</w:t>
      </w:r>
      <w:r>
        <w:rPr>
          <w:rFonts w:hint="eastAsia" w:ascii="仿宋_GB2312" w:hAnsi="仿宋_GB2312" w:eastAsia="仿宋_GB2312" w:cs="仿宋_GB2312"/>
          <w:bCs/>
          <w:sz w:val="32"/>
          <w:szCs w:val="32"/>
          <w:lang w:val="zh-CN" w:eastAsia="zh-CN"/>
        </w:rPr>
        <w:t>我办均严格按照专项经费开支范围审核拨付资金。</w:t>
      </w:r>
      <w:r>
        <w:rPr>
          <w:rFonts w:hint="eastAsia" w:ascii="仿宋_GB2312" w:hAnsi="仿宋_GB2312" w:eastAsia="仿宋_GB2312" w:cs="仿宋_GB2312"/>
          <w:bCs/>
          <w:sz w:val="32"/>
          <w:szCs w:val="32"/>
          <w:lang w:val="en-US" w:eastAsia="zh-CN"/>
        </w:rPr>
        <w:t>2023年我办预算支出无违规记录。</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zh-CN" w:eastAsia="zh-CN"/>
        </w:rPr>
        <w:t>年绩效目标执行率</w:t>
      </w:r>
      <w:r>
        <w:rPr>
          <w:rFonts w:hint="eastAsia" w:ascii="仿宋_GB2312" w:hAnsi="仿宋_GB2312" w:eastAsia="仿宋_GB2312" w:cs="仿宋_GB2312"/>
          <w:bCs/>
          <w:sz w:val="32"/>
          <w:szCs w:val="32"/>
          <w:lang w:val="en-US" w:eastAsia="zh-CN"/>
        </w:rPr>
        <w:t>均达88</w:t>
      </w:r>
      <w:r>
        <w:rPr>
          <w:rFonts w:hint="eastAsia" w:ascii="仿宋_GB2312" w:hAnsi="仿宋_GB2312" w:eastAsia="仿宋_GB2312" w:cs="仿宋_GB2312"/>
          <w:bCs/>
          <w:sz w:val="32"/>
          <w:szCs w:val="32"/>
          <w:lang w:val="zh-CN" w:eastAsia="zh-CN"/>
        </w:rPr>
        <w:t>%及以上完成度较好，202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val="zh-CN" w:eastAsia="zh-CN"/>
        </w:rPr>
        <w:t>年我单位及时公开部门预算，绩效报告等，对预算编制进一步细化。</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（二）三公经费执行管理情况。</w:t>
      </w:r>
      <w:r>
        <w:rPr>
          <w:rFonts w:hint="eastAsia" w:ascii="楷体_GB2312" w:hAnsi="楷体_GB2312" w:eastAsia="楷体_GB2312" w:cs="楷体_GB2312"/>
          <w:b w:val="0"/>
          <w:bCs w:val="0"/>
          <w:color w:val="000000"/>
          <w:kern w:val="0"/>
          <w:sz w:val="32"/>
          <w:szCs w:val="32"/>
          <w:lang w:val="zh-CN" w:eastAsia="zh-CN"/>
        </w:rPr>
        <w:tab/>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1.因公出国(境)经费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年因公出国(境)费</w:t>
      </w:r>
      <w:r>
        <w:rPr>
          <w:rFonts w:hint="eastAsia" w:ascii="仿宋_GB2312" w:hAnsi="仿宋_GB2312" w:eastAsia="仿宋_GB2312" w:cs="仿宋_GB2312"/>
          <w:bCs/>
          <w:sz w:val="32"/>
          <w:szCs w:val="32"/>
          <w:lang w:val="en-US" w:eastAsia="zh-CN"/>
        </w:rPr>
        <w:t>0.00</w:t>
      </w:r>
      <w:r>
        <w:rPr>
          <w:rFonts w:hint="eastAsia" w:ascii="仿宋_GB2312" w:hAnsi="仿宋_GB2312" w:eastAsia="仿宋_GB2312" w:cs="仿宋_GB2312"/>
          <w:bCs/>
          <w:sz w:val="32"/>
          <w:szCs w:val="32"/>
          <w:lang w:eastAsia="zh-CN"/>
        </w:rPr>
        <w:t xml:space="preserve">元，因公出国(境) </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人，与上年持平。</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2.公务接待费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年公务接待费</w:t>
      </w:r>
      <w:r>
        <w:rPr>
          <w:rFonts w:hint="eastAsia" w:ascii="仿宋_GB2312" w:hAnsi="仿宋_GB2312" w:eastAsia="仿宋_GB2312" w:cs="仿宋_GB2312"/>
          <w:bCs/>
          <w:sz w:val="32"/>
          <w:szCs w:val="32"/>
          <w:lang w:val="en-US" w:eastAsia="zh-CN"/>
        </w:rPr>
        <w:t>2.2万</w:t>
      </w:r>
      <w:r>
        <w:rPr>
          <w:rFonts w:hint="eastAsia" w:ascii="仿宋_GB2312" w:hAnsi="仿宋_GB2312" w:eastAsia="仿宋_GB2312" w:cs="仿宋_GB2312"/>
          <w:bCs/>
          <w:sz w:val="32"/>
          <w:szCs w:val="32"/>
          <w:lang w:eastAsia="zh-CN"/>
        </w:rPr>
        <w:t>元。公务接待费支出决算比</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年决算增加</w:t>
      </w:r>
      <w:r>
        <w:rPr>
          <w:rFonts w:hint="eastAsia" w:ascii="仿宋_GB2312" w:hAnsi="仿宋_GB2312" w:eastAsia="仿宋_GB2312" w:cs="仿宋_GB2312"/>
          <w:bCs/>
          <w:sz w:val="32"/>
          <w:szCs w:val="32"/>
          <w:lang w:val="en-US" w:eastAsia="zh-CN"/>
        </w:rPr>
        <w:t>0.83</w:t>
      </w:r>
      <w:r>
        <w:rPr>
          <w:rFonts w:hint="eastAsia" w:ascii="仿宋_GB2312" w:hAnsi="仿宋_GB2312" w:eastAsia="仿宋_GB2312" w:cs="仿宋_GB2312"/>
          <w:bCs/>
          <w:sz w:val="32"/>
          <w:szCs w:val="32"/>
          <w:lang w:eastAsia="zh-CN"/>
        </w:rPr>
        <w:t>万元。</w:t>
      </w:r>
      <w:r>
        <w:rPr>
          <w:rFonts w:hint="eastAsia" w:ascii="仿宋_GB2312" w:hAnsi="仿宋_GB2312" w:eastAsia="仿宋_GB2312" w:cs="仿宋_GB2312"/>
          <w:bCs/>
          <w:sz w:val="32"/>
          <w:szCs w:val="32"/>
          <w:lang w:val="en-US" w:eastAsia="zh-CN"/>
        </w:rPr>
        <w:t>主要原因为22年厉性节约及疫情静态等影响减少了县与县之间的交流调研，2023年疫情放开县与县之间交流学习增加。后续年度我们将严格执行“八项规定、六项禁令”，结合年度工作需要，减少不必要的开支，严格审批管理接待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3.公务用车购置及运行维护费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年公务用车购置及运行维护费</w:t>
      </w:r>
      <w:r>
        <w:rPr>
          <w:rFonts w:hint="eastAsia" w:ascii="仿宋_GB2312" w:hAnsi="仿宋_GB2312" w:eastAsia="仿宋_GB2312" w:cs="仿宋_GB2312"/>
          <w:bCs/>
          <w:sz w:val="32"/>
          <w:szCs w:val="32"/>
          <w:lang w:val="en-US" w:eastAsia="zh-CN"/>
        </w:rPr>
        <w:t>33.98万</w:t>
      </w:r>
      <w:r>
        <w:rPr>
          <w:rFonts w:hint="eastAsia" w:ascii="仿宋_GB2312" w:hAnsi="仿宋_GB2312" w:eastAsia="仿宋_GB2312" w:cs="仿宋_GB2312"/>
          <w:bCs/>
          <w:sz w:val="32"/>
          <w:szCs w:val="32"/>
          <w:lang w:eastAsia="zh-CN"/>
        </w:rPr>
        <w:t>元。其中：</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公务用车购置支出</w:t>
      </w:r>
      <w:r>
        <w:rPr>
          <w:rFonts w:hint="eastAsia" w:ascii="仿宋_GB2312" w:hAnsi="仿宋_GB2312" w:eastAsia="仿宋_GB2312" w:cs="仿宋_GB2312"/>
          <w:bCs/>
          <w:sz w:val="32"/>
          <w:szCs w:val="32"/>
          <w:lang w:val="en-US" w:eastAsia="zh-CN"/>
        </w:rPr>
        <w:t>0万</w:t>
      </w:r>
      <w:r>
        <w:rPr>
          <w:rFonts w:hint="eastAsia" w:ascii="仿宋_GB2312" w:hAnsi="仿宋_GB2312" w:eastAsia="仿宋_GB2312" w:cs="仿宋_GB2312"/>
          <w:bCs/>
          <w:sz w:val="32"/>
          <w:szCs w:val="32"/>
          <w:lang w:eastAsia="zh-CN"/>
        </w:rPr>
        <w:t>元（含税）。</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公务用车运行维护费支出</w:t>
      </w:r>
      <w:r>
        <w:rPr>
          <w:rFonts w:hint="eastAsia" w:ascii="仿宋_GB2312" w:hAnsi="仿宋_GB2312" w:eastAsia="仿宋_GB2312" w:cs="仿宋_GB2312"/>
          <w:bCs/>
          <w:sz w:val="32"/>
          <w:szCs w:val="32"/>
          <w:lang w:val="en-US" w:eastAsia="zh-CN"/>
        </w:rPr>
        <w:t>31.77万</w:t>
      </w:r>
      <w:r>
        <w:rPr>
          <w:rFonts w:hint="eastAsia" w:ascii="仿宋_GB2312" w:hAnsi="仿宋_GB2312" w:eastAsia="仿宋_GB2312" w:cs="仿宋_GB2312"/>
          <w:bCs/>
          <w:sz w:val="32"/>
          <w:szCs w:val="32"/>
          <w:lang w:eastAsia="zh-CN"/>
        </w:rPr>
        <w:t>元。主要用于人大机关因公出差、下乡调研等所需的公务用车燃料费、维修费、过路过桥费、保险费等支出。</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公务用车购置及运行维护费支出</w:t>
      </w:r>
      <w:r>
        <w:rPr>
          <w:rFonts w:hint="eastAsia" w:ascii="仿宋_GB2312" w:hAnsi="仿宋_GB2312" w:eastAsia="仿宋_GB2312" w:cs="仿宋_GB2312"/>
          <w:bCs/>
          <w:sz w:val="32"/>
          <w:szCs w:val="32"/>
          <w:lang w:val="en-US" w:eastAsia="zh-CN"/>
        </w:rPr>
        <w:t>31.77</w:t>
      </w:r>
      <w:r>
        <w:rPr>
          <w:rFonts w:hint="eastAsia" w:ascii="仿宋_GB2312" w:hAnsi="仿宋_GB2312" w:eastAsia="仿宋_GB2312" w:cs="仿宋_GB2312"/>
          <w:bCs/>
          <w:sz w:val="32"/>
          <w:szCs w:val="32"/>
          <w:lang w:eastAsia="zh-CN"/>
        </w:rPr>
        <w:t>万元,完成预算</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lang w:eastAsia="zh-CN"/>
        </w:rPr>
        <w:t>%。公务用车购置及运行维护费支出决算比</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bCs/>
          <w:sz w:val="32"/>
          <w:szCs w:val="32"/>
          <w:lang w:eastAsia="zh-CN"/>
        </w:rPr>
        <w:t>年减少</w:t>
      </w:r>
      <w:r>
        <w:rPr>
          <w:rFonts w:hint="eastAsia" w:ascii="仿宋_GB2312" w:hAnsi="仿宋_GB2312" w:eastAsia="仿宋_GB2312" w:cs="仿宋_GB2312"/>
          <w:bCs/>
          <w:sz w:val="32"/>
          <w:szCs w:val="32"/>
          <w:lang w:val="en-US" w:eastAsia="zh-CN"/>
        </w:rPr>
        <w:t>8.46</w:t>
      </w:r>
      <w:r>
        <w:rPr>
          <w:rFonts w:hint="eastAsia" w:ascii="仿宋_GB2312" w:hAnsi="仿宋_GB2312" w:eastAsia="仿宋_GB2312" w:cs="仿宋_GB2312"/>
          <w:bCs/>
          <w:sz w:val="32"/>
          <w:szCs w:val="32"/>
          <w:lang w:eastAsia="zh-CN"/>
        </w:rPr>
        <w:t>万元，下降</w:t>
      </w:r>
      <w:r>
        <w:rPr>
          <w:rFonts w:hint="eastAsia" w:ascii="仿宋_GB2312" w:hAnsi="仿宋_GB2312" w:eastAsia="仿宋_GB2312" w:cs="仿宋_GB2312"/>
          <w:bCs/>
          <w:sz w:val="32"/>
          <w:szCs w:val="32"/>
          <w:lang w:val="en-US" w:eastAsia="zh-CN"/>
        </w:rPr>
        <w:t>21.03%</w:t>
      </w:r>
      <w:r>
        <w:rPr>
          <w:rFonts w:hint="eastAsia" w:ascii="仿宋_GB2312" w:hAnsi="仿宋_GB2312" w:eastAsia="仿宋_GB2312" w:cs="仿宋_GB2312"/>
          <w:bCs/>
          <w:sz w:val="32"/>
          <w:szCs w:val="32"/>
          <w:lang w:eastAsia="zh-CN"/>
        </w:rPr>
        <w:t>。主要原因是</w:t>
      </w:r>
      <w:r>
        <w:rPr>
          <w:rFonts w:hint="eastAsia" w:ascii="仿宋_GB2312" w:hAnsi="仿宋_GB2312" w:eastAsia="仿宋_GB2312" w:cs="仿宋_GB2312"/>
          <w:bCs/>
          <w:sz w:val="32"/>
          <w:szCs w:val="32"/>
          <w:lang w:val="en-US" w:eastAsia="zh-CN"/>
        </w:rPr>
        <w:t>厉行节约减少不必要的开支。</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（三）综合管理情况。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会计法》、《新预算法》、《行政事业单位政府会计制度》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资产管理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单位内控管理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在财务管理过程中逐步建立健全财务管理制度、财务核算制度、财务报销制度等，严格按照</w:t>
      </w:r>
      <w:r>
        <w:rPr>
          <w:rFonts w:hint="eastAsia" w:ascii="仿宋_GB2312" w:hAnsi="仿宋_GB2312" w:eastAsia="仿宋_GB2312" w:cs="仿宋_GB2312"/>
          <w:bCs/>
          <w:sz w:val="32"/>
          <w:szCs w:val="32"/>
          <w:lang w:val="en-US" w:eastAsia="zh-CN"/>
        </w:rPr>
        <w:t>《行政事业单位政府会计制度》</w:t>
      </w:r>
      <w:r>
        <w:rPr>
          <w:rFonts w:hint="eastAsia" w:ascii="仿宋_GB2312" w:hAnsi="仿宋_GB2312" w:eastAsia="仿宋_GB2312" w:cs="仿宋_GB2312"/>
          <w:bCs/>
          <w:sz w:val="32"/>
          <w:szCs w:val="32"/>
          <w:lang w:eastAsia="zh-CN"/>
        </w:rPr>
        <w:t>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部门预算管理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zh-CN" w:eastAsia="zh-CN"/>
        </w:rPr>
        <w:t>绩效管理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（2）严格执行支出预算，“三公经费”本着节约、高效的原则严格控制支出。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（四）整体绩效。</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通过整体绩效自评，反映本部门能按照人大相关职责要求有效履行职责，圆满完成了人大各项工作任务，绩效评价结果为优，各级人大代表及相关部门等对县人大办的各项工作满意度较高。</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（五）结果应用情况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2023年我单位从收支执行，三公经费管理，预算管理，绩效管理等方面进行了详尽</w:t>
      </w:r>
      <w:r>
        <w:rPr>
          <w:rFonts w:hint="eastAsia" w:ascii="仿宋_GB2312" w:hAnsi="仿宋_GB2312" w:eastAsia="仿宋_GB2312" w:cs="仿宋_GB2312"/>
          <w:bCs/>
          <w:sz w:val="32"/>
          <w:szCs w:val="32"/>
          <w:lang w:val="zh-CN" w:eastAsia="zh-CN"/>
        </w:rPr>
        <w:t>部门自评、</w:t>
      </w:r>
      <w:r>
        <w:rPr>
          <w:rFonts w:hint="eastAsia" w:ascii="仿宋_GB2312" w:hAnsi="仿宋_GB2312" w:eastAsia="仿宋_GB2312" w:cs="仿宋_GB2312"/>
          <w:bCs/>
          <w:sz w:val="32"/>
          <w:szCs w:val="32"/>
          <w:lang w:val="en-US" w:eastAsia="zh-CN"/>
        </w:rPr>
        <w:t>2023年预算绩效目标，项目预算绩效目标等均进行了公开，评价结果较好，对部门预算编制不够精准细化的问题将在后续工作中将逐步改进。</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根据《红原县部门支出绩效评价指标体系》自查得分95分，总体评价较好。</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（二）存在问题。</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存在的问题:在平时工作推进过程中，还应加强绩效管理，进一步细化管理，预算编制还需更加精准。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改进建议。</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2.规范账务处理，提高财务信息质量。</w:t>
      </w:r>
    </w:p>
    <w:p>
      <w:pPr>
        <w:widowControl/>
        <w:jc w:val="left"/>
        <w:rPr>
          <w:rStyle w:val="20"/>
          <w:rFonts w:ascii="黑体" w:eastAsia="黑体"/>
          <w:b w:val="0"/>
        </w:rPr>
      </w:pPr>
      <w:r>
        <w:rPr>
          <w:rStyle w:val="20"/>
          <w:rFonts w:ascii="黑体" w:eastAsia="黑体"/>
          <w:b w:val="0"/>
        </w:rPr>
        <w:br w:type="page"/>
      </w:r>
    </w:p>
    <w:p>
      <w:pPr>
        <w:spacing w:line="600" w:lineRule="exact"/>
        <w:jc w:val="center"/>
        <w:outlineLvl w:val="0"/>
        <w:rPr>
          <w:rFonts w:ascii="仿宋" w:eastAsia="仿宋"/>
        </w:rPr>
      </w:pPr>
      <w:bookmarkStart w:id="132" w:name="_Toc15396618"/>
      <w:bookmarkStart w:id="133" w:name="_Toc20539"/>
      <w:r>
        <w:rPr>
          <w:rFonts w:hint="eastAsia" w:ascii="黑体" w:eastAsia="黑体"/>
          <w:sz w:val="44"/>
          <w:szCs w:val="44"/>
        </w:rPr>
        <w:t>第</w:t>
      </w:r>
      <w:r>
        <w:rPr>
          <w:rStyle w:val="20"/>
          <w:rFonts w:hint="eastAsia" w:ascii="黑体" w:eastAsia="黑体"/>
          <w:b w:val="0"/>
        </w:rPr>
        <w:t>五部分 附表</w:t>
      </w:r>
      <w:bookmarkEnd w:id="70"/>
      <w:bookmarkEnd w:id="132"/>
      <w:bookmarkEnd w:id="133"/>
      <w:bookmarkStart w:id="134" w:name="_Toc15396619"/>
    </w:p>
    <w:p>
      <w:pPr>
        <w:pStyle w:val="6"/>
        <w:rPr>
          <w:rFonts w:ascii="仿宋" w:eastAsia="仿宋"/>
        </w:rPr>
      </w:pPr>
      <w:bookmarkStart w:id="135" w:name="_Toc7114"/>
      <w:bookmarkStart w:id="136" w:name="_Toc9836"/>
      <w:bookmarkStart w:id="137" w:name="_Toc7319"/>
      <w:r>
        <w:rPr>
          <w:rFonts w:hint="eastAsia" w:ascii="仿宋" w:eastAsia="仿宋"/>
          <w:b w:val="0"/>
        </w:rPr>
        <w:t>一、收</w:t>
      </w:r>
      <w:r>
        <w:rPr>
          <w:rStyle w:val="21"/>
          <w:rFonts w:hint="eastAsia" w:ascii="仿宋" w:eastAsia="仿宋"/>
          <w:b w:val="0"/>
          <w:bCs w:val="0"/>
        </w:rPr>
        <w:t>入支出决算总表</w:t>
      </w:r>
      <w:bookmarkEnd w:id="134"/>
      <w:bookmarkEnd w:id="135"/>
      <w:bookmarkEnd w:id="136"/>
      <w:bookmarkEnd w:id="137"/>
    </w:p>
    <w:p>
      <w:pPr>
        <w:pStyle w:val="6"/>
        <w:rPr>
          <w:rFonts w:ascii="仿宋" w:eastAsia="仿宋"/>
        </w:rPr>
      </w:pPr>
      <w:bookmarkStart w:id="138" w:name="_Toc15396620"/>
      <w:bookmarkStart w:id="139" w:name="_Toc31850"/>
      <w:bookmarkStart w:id="140" w:name="_Toc5275"/>
      <w:bookmarkStart w:id="141" w:name="_Toc31354"/>
      <w:r>
        <w:rPr>
          <w:rFonts w:hint="eastAsia" w:ascii="仿宋" w:eastAsia="仿宋"/>
          <w:b w:val="0"/>
        </w:rPr>
        <w:t>二、收</w:t>
      </w:r>
      <w:r>
        <w:rPr>
          <w:rStyle w:val="21"/>
          <w:rFonts w:hint="eastAsia" w:ascii="仿宋" w:eastAsia="仿宋"/>
          <w:b w:val="0"/>
          <w:bCs w:val="0"/>
        </w:rPr>
        <w:t>入决算表</w:t>
      </w:r>
      <w:bookmarkEnd w:id="138"/>
      <w:bookmarkEnd w:id="139"/>
      <w:bookmarkEnd w:id="140"/>
      <w:bookmarkEnd w:id="141"/>
    </w:p>
    <w:p>
      <w:pPr>
        <w:pStyle w:val="6"/>
        <w:rPr>
          <w:rFonts w:ascii="仿宋" w:eastAsia="仿宋"/>
        </w:rPr>
      </w:pPr>
      <w:bookmarkStart w:id="142" w:name="_Toc15396621"/>
      <w:bookmarkStart w:id="143" w:name="_Toc15012"/>
      <w:bookmarkStart w:id="144" w:name="_Toc22743"/>
      <w:bookmarkStart w:id="145" w:name="_Toc24023"/>
      <w:r>
        <w:rPr>
          <w:rStyle w:val="21"/>
          <w:rFonts w:hint="eastAsia" w:ascii="仿宋" w:eastAsia="仿宋"/>
          <w:b w:val="0"/>
          <w:bCs w:val="0"/>
        </w:rPr>
        <w:t>三、</w:t>
      </w:r>
      <w:r>
        <w:rPr>
          <w:rFonts w:hint="eastAsia" w:ascii="仿宋" w:eastAsia="仿宋"/>
          <w:b w:val="0"/>
        </w:rPr>
        <w:t>支</w:t>
      </w:r>
      <w:r>
        <w:rPr>
          <w:rStyle w:val="21"/>
          <w:rFonts w:hint="eastAsia" w:ascii="仿宋" w:eastAsia="仿宋"/>
          <w:b w:val="0"/>
          <w:bCs w:val="0"/>
        </w:rPr>
        <w:t>出决算表</w:t>
      </w:r>
      <w:bookmarkEnd w:id="142"/>
      <w:bookmarkEnd w:id="143"/>
      <w:bookmarkEnd w:id="144"/>
      <w:bookmarkEnd w:id="145"/>
    </w:p>
    <w:p>
      <w:pPr>
        <w:pStyle w:val="6"/>
        <w:rPr>
          <w:rFonts w:ascii="仿宋" w:eastAsia="仿宋"/>
          <w:b w:val="0"/>
        </w:rPr>
      </w:pPr>
      <w:bookmarkStart w:id="146" w:name="_Toc15396622"/>
      <w:bookmarkStart w:id="147" w:name="_Toc2325"/>
      <w:bookmarkStart w:id="148" w:name="_Toc3319"/>
      <w:bookmarkStart w:id="149" w:name="_Toc10976"/>
      <w:r>
        <w:rPr>
          <w:rStyle w:val="21"/>
          <w:rFonts w:hint="eastAsia" w:ascii="仿宋" w:eastAsia="仿宋"/>
          <w:b w:val="0"/>
          <w:bCs w:val="0"/>
        </w:rPr>
        <w:t>四、</w:t>
      </w:r>
      <w:r>
        <w:rPr>
          <w:rFonts w:hint="eastAsia" w:ascii="仿宋" w:eastAsia="仿宋"/>
          <w:b w:val="0"/>
        </w:rPr>
        <w:t>财</w:t>
      </w:r>
      <w:r>
        <w:rPr>
          <w:rStyle w:val="21"/>
          <w:rFonts w:hint="eastAsia" w:ascii="仿宋" w:eastAsia="仿宋"/>
          <w:b w:val="0"/>
          <w:bCs w:val="0"/>
        </w:rPr>
        <w:t>政拨款收入支出决算总表</w:t>
      </w:r>
      <w:bookmarkEnd w:id="146"/>
      <w:bookmarkEnd w:id="147"/>
      <w:bookmarkEnd w:id="148"/>
      <w:bookmarkEnd w:id="149"/>
    </w:p>
    <w:p>
      <w:pPr>
        <w:pStyle w:val="6"/>
        <w:rPr>
          <w:rStyle w:val="21"/>
          <w:rFonts w:ascii="仿宋" w:eastAsia="仿宋"/>
          <w:b w:val="0"/>
          <w:bCs w:val="0"/>
        </w:rPr>
      </w:pPr>
      <w:bookmarkStart w:id="150" w:name="_Toc15396623"/>
      <w:bookmarkStart w:id="151" w:name="_Toc17946"/>
      <w:bookmarkStart w:id="152" w:name="_Toc9871"/>
      <w:bookmarkStart w:id="153" w:name="_Toc21466"/>
      <w:r>
        <w:rPr>
          <w:rStyle w:val="21"/>
          <w:rFonts w:hint="eastAsia" w:ascii="仿宋" w:eastAsia="仿宋"/>
          <w:b w:val="0"/>
          <w:bCs w:val="0"/>
        </w:rPr>
        <w:t>五、</w:t>
      </w:r>
      <w:r>
        <w:rPr>
          <w:rFonts w:hint="eastAsia" w:ascii="仿宋" w:eastAsia="仿宋"/>
          <w:b w:val="0"/>
        </w:rPr>
        <w:t>财</w:t>
      </w:r>
      <w:r>
        <w:rPr>
          <w:rStyle w:val="21"/>
          <w:rFonts w:hint="eastAsia" w:ascii="仿宋" w:eastAsia="仿宋"/>
          <w:b w:val="0"/>
          <w:bCs w:val="0"/>
        </w:rPr>
        <w:t>政拨款支出决算明细表</w:t>
      </w:r>
      <w:bookmarkEnd w:id="150"/>
      <w:bookmarkEnd w:id="151"/>
      <w:bookmarkEnd w:id="152"/>
      <w:bookmarkEnd w:id="153"/>
      <w:bookmarkStart w:id="154" w:name="_Toc15396624"/>
    </w:p>
    <w:p>
      <w:pPr>
        <w:pStyle w:val="6"/>
        <w:rPr>
          <w:rFonts w:ascii="仿宋" w:eastAsia="仿宋"/>
        </w:rPr>
      </w:pPr>
      <w:bookmarkStart w:id="155" w:name="_Toc2800"/>
      <w:bookmarkStart w:id="156" w:name="_Toc20117"/>
      <w:bookmarkStart w:id="157" w:name="_Toc2143"/>
      <w:r>
        <w:rPr>
          <w:rStyle w:val="21"/>
          <w:rFonts w:hint="eastAsia" w:ascii="仿宋" w:eastAsia="仿宋"/>
          <w:b w:val="0"/>
          <w:bCs w:val="0"/>
        </w:rPr>
        <w:t>六、</w:t>
      </w:r>
      <w:r>
        <w:rPr>
          <w:rFonts w:hint="eastAsia" w:ascii="仿宋" w:eastAsia="仿宋"/>
          <w:b w:val="0"/>
        </w:rPr>
        <w:t>一</w:t>
      </w:r>
      <w:r>
        <w:rPr>
          <w:rStyle w:val="21"/>
          <w:rFonts w:hint="eastAsia" w:ascii="仿宋" w:eastAsia="仿宋"/>
          <w:b w:val="0"/>
          <w:bCs w:val="0"/>
        </w:rPr>
        <w:t>般公共预算财政拨款支出决算表</w:t>
      </w:r>
      <w:bookmarkEnd w:id="154"/>
      <w:bookmarkEnd w:id="155"/>
      <w:bookmarkEnd w:id="156"/>
      <w:bookmarkEnd w:id="157"/>
    </w:p>
    <w:p>
      <w:pPr>
        <w:pStyle w:val="6"/>
        <w:rPr>
          <w:rFonts w:ascii="仿宋" w:eastAsia="仿宋"/>
        </w:rPr>
      </w:pPr>
      <w:bookmarkStart w:id="158" w:name="_Toc15396625"/>
      <w:bookmarkStart w:id="159" w:name="_Toc10733"/>
      <w:bookmarkStart w:id="160" w:name="_Toc29704"/>
      <w:bookmarkStart w:id="161" w:name="_Toc32100"/>
      <w:r>
        <w:rPr>
          <w:rStyle w:val="21"/>
          <w:rFonts w:hint="eastAsia" w:ascii="仿宋" w:eastAsia="仿宋"/>
          <w:b w:val="0"/>
          <w:bCs w:val="0"/>
        </w:rPr>
        <w:t>七、</w:t>
      </w:r>
      <w:r>
        <w:rPr>
          <w:rFonts w:hint="eastAsia" w:ascii="仿宋" w:eastAsia="仿宋"/>
          <w:b w:val="0"/>
        </w:rPr>
        <w:t>一</w:t>
      </w:r>
      <w:r>
        <w:rPr>
          <w:rStyle w:val="21"/>
          <w:rFonts w:hint="eastAsia" w:ascii="仿宋" w:eastAsia="仿宋"/>
          <w:b w:val="0"/>
          <w:bCs w:val="0"/>
        </w:rPr>
        <w:t>般公共预算财政拨款支出决算明细表</w:t>
      </w:r>
      <w:bookmarkEnd w:id="158"/>
      <w:bookmarkEnd w:id="159"/>
      <w:bookmarkEnd w:id="160"/>
      <w:bookmarkEnd w:id="161"/>
    </w:p>
    <w:p>
      <w:pPr>
        <w:pStyle w:val="6"/>
        <w:rPr>
          <w:rFonts w:ascii="仿宋" w:eastAsia="仿宋"/>
        </w:rPr>
      </w:pPr>
      <w:bookmarkStart w:id="162" w:name="_Toc15396626"/>
      <w:bookmarkStart w:id="163" w:name="_Toc8432"/>
      <w:bookmarkStart w:id="164" w:name="_Toc30543"/>
      <w:bookmarkStart w:id="165" w:name="_Toc17350"/>
      <w:r>
        <w:rPr>
          <w:rStyle w:val="21"/>
          <w:rFonts w:hint="eastAsia" w:ascii="仿宋" w:eastAsia="仿宋"/>
          <w:b w:val="0"/>
          <w:bCs w:val="0"/>
        </w:rPr>
        <w:t>八、</w:t>
      </w:r>
      <w:r>
        <w:rPr>
          <w:rFonts w:hint="eastAsia" w:ascii="仿宋" w:eastAsia="仿宋"/>
          <w:b w:val="0"/>
        </w:rPr>
        <w:t>一</w:t>
      </w:r>
      <w:r>
        <w:rPr>
          <w:rStyle w:val="21"/>
          <w:rFonts w:hint="eastAsia" w:ascii="仿宋" w:eastAsia="仿宋"/>
          <w:b w:val="0"/>
          <w:bCs w:val="0"/>
        </w:rPr>
        <w:t>般公共预算财政拨款基本支出决算表</w:t>
      </w:r>
      <w:bookmarkEnd w:id="162"/>
      <w:bookmarkEnd w:id="163"/>
      <w:bookmarkEnd w:id="164"/>
      <w:bookmarkEnd w:id="165"/>
    </w:p>
    <w:p>
      <w:pPr>
        <w:pStyle w:val="6"/>
        <w:rPr>
          <w:rFonts w:ascii="仿宋" w:eastAsia="仿宋"/>
        </w:rPr>
      </w:pPr>
      <w:bookmarkStart w:id="166" w:name="_Toc15396627"/>
      <w:bookmarkStart w:id="167" w:name="_Toc10916"/>
      <w:bookmarkStart w:id="168" w:name="_Toc28168"/>
      <w:bookmarkStart w:id="169" w:name="_Toc10434"/>
      <w:r>
        <w:rPr>
          <w:rStyle w:val="21"/>
          <w:rFonts w:hint="eastAsia" w:ascii="仿宋" w:eastAsia="仿宋"/>
          <w:b w:val="0"/>
          <w:bCs w:val="0"/>
        </w:rPr>
        <w:t>九、</w:t>
      </w:r>
      <w:r>
        <w:rPr>
          <w:rFonts w:hint="eastAsia" w:ascii="仿宋" w:eastAsia="仿宋"/>
          <w:b w:val="0"/>
        </w:rPr>
        <w:t>一</w:t>
      </w:r>
      <w:r>
        <w:rPr>
          <w:rStyle w:val="21"/>
          <w:rFonts w:hint="eastAsia" w:ascii="仿宋" w:eastAsia="仿宋"/>
          <w:b w:val="0"/>
          <w:bCs w:val="0"/>
        </w:rPr>
        <w:t>般公共预算财政拨款项目支出决算表</w:t>
      </w:r>
      <w:bookmarkEnd w:id="166"/>
      <w:bookmarkEnd w:id="167"/>
      <w:bookmarkEnd w:id="168"/>
      <w:bookmarkEnd w:id="169"/>
    </w:p>
    <w:p>
      <w:pPr>
        <w:pStyle w:val="6"/>
        <w:rPr>
          <w:rFonts w:ascii="仿宋" w:eastAsia="仿宋"/>
        </w:rPr>
      </w:pPr>
      <w:bookmarkStart w:id="170" w:name="_Toc15396628"/>
      <w:bookmarkStart w:id="171" w:name="_Toc16699"/>
      <w:bookmarkStart w:id="172" w:name="_Toc13791"/>
      <w:bookmarkStart w:id="173" w:name="_Toc6168"/>
      <w:r>
        <w:rPr>
          <w:rStyle w:val="21"/>
          <w:rFonts w:hint="eastAsia" w:ascii="仿宋" w:eastAsia="仿宋"/>
          <w:b w:val="0"/>
          <w:bCs w:val="0"/>
        </w:rPr>
        <w:t>十、</w:t>
      </w:r>
      <w:bookmarkEnd w:id="170"/>
      <w:r>
        <w:rPr>
          <w:rFonts w:hint="eastAsia" w:ascii="仿宋" w:eastAsia="仿宋"/>
          <w:b w:val="0"/>
        </w:rPr>
        <w:t>政</w:t>
      </w:r>
      <w:r>
        <w:rPr>
          <w:rStyle w:val="21"/>
          <w:rFonts w:hint="eastAsia" w:ascii="仿宋" w:eastAsia="仿宋"/>
          <w:b w:val="0"/>
          <w:bCs w:val="0"/>
        </w:rPr>
        <w:t>府性基金预算财政拨款收入支出决算表</w:t>
      </w:r>
      <w:bookmarkEnd w:id="171"/>
      <w:bookmarkEnd w:id="172"/>
      <w:bookmarkEnd w:id="173"/>
    </w:p>
    <w:p>
      <w:pPr>
        <w:pStyle w:val="6"/>
        <w:rPr>
          <w:rFonts w:ascii="仿宋" w:eastAsia="仿宋"/>
        </w:rPr>
      </w:pPr>
      <w:bookmarkStart w:id="174" w:name="_Toc15396629"/>
      <w:bookmarkStart w:id="175" w:name="_Toc8848"/>
      <w:bookmarkStart w:id="176" w:name="_Toc4423"/>
      <w:bookmarkStart w:id="177" w:name="_Toc23336"/>
      <w:r>
        <w:rPr>
          <w:rStyle w:val="21"/>
          <w:rFonts w:hint="eastAsia" w:ascii="仿宋" w:eastAsia="仿宋"/>
          <w:b w:val="0"/>
          <w:bCs w:val="0"/>
        </w:rPr>
        <w:t>十一、</w:t>
      </w:r>
      <w:bookmarkEnd w:id="174"/>
      <w:r>
        <w:rPr>
          <w:rFonts w:hint="eastAsia" w:ascii="仿宋" w:eastAsia="仿宋"/>
          <w:b w:val="0"/>
        </w:rPr>
        <w:t>国</w:t>
      </w:r>
      <w:r>
        <w:rPr>
          <w:rStyle w:val="21"/>
          <w:rFonts w:hint="eastAsia" w:ascii="仿宋" w:eastAsia="仿宋"/>
          <w:b w:val="0"/>
          <w:bCs w:val="0"/>
        </w:rPr>
        <w:t>有资本经营预算财政拨款收入支出决算表</w:t>
      </w:r>
      <w:bookmarkEnd w:id="175"/>
      <w:bookmarkEnd w:id="176"/>
      <w:bookmarkEnd w:id="177"/>
    </w:p>
    <w:p>
      <w:pPr>
        <w:pStyle w:val="6"/>
        <w:rPr>
          <w:rFonts w:ascii="仿宋" w:eastAsia="仿宋"/>
        </w:rPr>
      </w:pPr>
      <w:bookmarkStart w:id="178" w:name="_Toc15396630"/>
      <w:bookmarkStart w:id="179" w:name="_Toc3767"/>
      <w:bookmarkStart w:id="180" w:name="_Toc375"/>
      <w:bookmarkStart w:id="181" w:name="_Toc23283"/>
      <w:r>
        <w:rPr>
          <w:rStyle w:val="21"/>
          <w:rFonts w:hint="eastAsia" w:ascii="仿宋" w:eastAsia="仿宋"/>
          <w:b w:val="0"/>
          <w:bCs w:val="0"/>
        </w:rPr>
        <w:t>十二、</w:t>
      </w:r>
      <w:bookmarkEnd w:id="178"/>
      <w:r>
        <w:rPr>
          <w:rStyle w:val="21"/>
          <w:rFonts w:hint="eastAsia" w:ascii="仿宋" w:eastAsia="仿宋"/>
          <w:b w:val="0"/>
          <w:bCs w:val="0"/>
        </w:rPr>
        <w:t>国有资本经营预算财政拨款支出决算表</w:t>
      </w:r>
      <w:bookmarkEnd w:id="179"/>
      <w:bookmarkEnd w:id="180"/>
      <w:bookmarkEnd w:id="181"/>
    </w:p>
    <w:p>
      <w:pPr>
        <w:pStyle w:val="6"/>
        <w:rPr>
          <w:rStyle w:val="21"/>
          <w:rFonts w:hint="eastAsia" w:ascii="仿宋" w:eastAsia="仿宋"/>
          <w:b w:val="0"/>
          <w:bCs w:val="0"/>
        </w:rPr>
      </w:pPr>
      <w:bookmarkStart w:id="182" w:name="_Toc15396631"/>
      <w:bookmarkStart w:id="183" w:name="_Toc23427"/>
      <w:bookmarkStart w:id="184" w:name="_Toc6173"/>
      <w:bookmarkStart w:id="185" w:name="_Toc19470"/>
      <w:r>
        <w:rPr>
          <w:rStyle w:val="21"/>
          <w:rFonts w:hint="eastAsia" w:ascii="仿宋" w:eastAsia="仿宋"/>
          <w:b w:val="0"/>
          <w:bCs w:val="0"/>
        </w:rPr>
        <w:t>十三、</w:t>
      </w:r>
      <w:bookmarkEnd w:id="182"/>
      <w:r>
        <w:rPr>
          <w:rStyle w:val="21"/>
          <w:rFonts w:hint="eastAsia" w:ascii="仿宋" w:eastAsia="仿宋"/>
          <w:b w:val="0"/>
          <w:bCs w:val="0"/>
        </w:rPr>
        <w:t>财政拨款“三公”经费支出决算表</w:t>
      </w:r>
      <w:bookmarkEnd w:id="183"/>
      <w:bookmarkEnd w:id="184"/>
      <w:bookmarkEnd w:id="185"/>
    </w:p>
    <w:p>
      <w:bookmarkStart w:id="186" w:name="_Toc1273"/>
      <w:r>
        <w:rPr>
          <w:rStyle w:val="21"/>
          <w:rFonts w:hint="eastAsia" w:ascii="仿宋" w:eastAsia="仿宋"/>
          <w:b w:val="0"/>
          <w:bCs w:val="0"/>
        </w:rPr>
        <w:t>十四、部门项目支出绩效目标表</w:t>
      </w:r>
      <w:bookmarkEnd w:id="18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00000" w:csb1="00000000"/>
  </w:font>
  <w:font w:name="方正书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47E0C"/>
    <w:multiLevelType w:val="singleLevel"/>
    <w:tmpl w:val="8B847E0C"/>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E6B5C037"/>
    <w:multiLevelType w:val="singleLevel"/>
    <w:tmpl w:val="E6B5C037"/>
    <w:lvl w:ilvl="0" w:tentative="0">
      <w:start w:val="1"/>
      <w:numFmt w:val="decimal"/>
      <w:lvlText w:val="%1."/>
      <w:lvlJc w:val="left"/>
      <w:pPr>
        <w:tabs>
          <w:tab w:val="left" w:pos="312"/>
        </w:tabs>
      </w:pPr>
    </w:lvl>
  </w:abstractNum>
  <w:abstractNum w:abstractNumId="4">
    <w:nsid w:val="EACD8409"/>
    <w:multiLevelType w:val="singleLevel"/>
    <w:tmpl w:val="EACD8409"/>
    <w:lvl w:ilvl="0" w:tentative="0">
      <w:start w:val="5"/>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55685C0"/>
    <w:multiLevelType w:val="singleLevel"/>
    <w:tmpl w:val="355685C0"/>
    <w:lvl w:ilvl="0" w:tentative="0">
      <w:start w:val="1"/>
      <w:numFmt w:val="chineseCounting"/>
      <w:suff w:val="nothing"/>
      <w:lvlText w:val="（%1）"/>
      <w:lvlJc w:val="left"/>
      <w:rPr>
        <w:rFonts w:hint="eastAsia"/>
      </w:rPr>
    </w:lvl>
  </w:abstractNum>
  <w:abstractNum w:abstractNumId="7">
    <w:nsid w:val="4B5E5050"/>
    <w:multiLevelType w:val="singleLevel"/>
    <w:tmpl w:val="4B5E5050"/>
    <w:lvl w:ilvl="0" w:tentative="0">
      <w:start w:val="1"/>
      <w:numFmt w:val="chineseCounting"/>
      <w:suff w:val="nothing"/>
      <w:lvlText w:val="%1、"/>
      <w:lvlJc w:val="left"/>
      <w:rPr>
        <w:rFonts w:hint="eastAsia"/>
      </w:rPr>
    </w:lvl>
  </w:abstractNum>
  <w:num w:numId="1">
    <w:abstractNumId w:val="7"/>
  </w:num>
  <w:num w:numId="2">
    <w:abstractNumId w:val="6"/>
  </w:num>
  <w:num w:numId="3">
    <w:abstractNumId w:val="5"/>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BiOWIxN2FhMzAxNzRiNWJjMzA1YWY4MTVjNzk1NDcifQ=="/>
  </w:docVars>
  <w:rsids>
    <w:rsidRoot w:val="005346C9"/>
    <w:rsid w:val="00225378"/>
    <w:rsid w:val="002C1B69"/>
    <w:rsid w:val="005346C9"/>
    <w:rsid w:val="007C6D18"/>
    <w:rsid w:val="008A6D2B"/>
    <w:rsid w:val="00EB7E60"/>
    <w:rsid w:val="00F1191B"/>
    <w:rsid w:val="019329D2"/>
    <w:rsid w:val="01E70628"/>
    <w:rsid w:val="021F6013"/>
    <w:rsid w:val="024B7594"/>
    <w:rsid w:val="02810A7C"/>
    <w:rsid w:val="02A824AD"/>
    <w:rsid w:val="02C16A01"/>
    <w:rsid w:val="02E96621"/>
    <w:rsid w:val="02F072F1"/>
    <w:rsid w:val="0305345B"/>
    <w:rsid w:val="03166E4C"/>
    <w:rsid w:val="033B50CF"/>
    <w:rsid w:val="04421544"/>
    <w:rsid w:val="0442248D"/>
    <w:rsid w:val="04522421"/>
    <w:rsid w:val="045A1585"/>
    <w:rsid w:val="04966BE4"/>
    <w:rsid w:val="05253F5F"/>
    <w:rsid w:val="053C0C8A"/>
    <w:rsid w:val="058D7738"/>
    <w:rsid w:val="05FA7D44"/>
    <w:rsid w:val="06112117"/>
    <w:rsid w:val="06BC02D5"/>
    <w:rsid w:val="081128A2"/>
    <w:rsid w:val="08253C58"/>
    <w:rsid w:val="08B0361C"/>
    <w:rsid w:val="08E07D65"/>
    <w:rsid w:val="09C13E54"/>
    <w:rsid w:val="0A281ACE"/>
    <w:rsid w:val="0AEF5D5B"/>
    <w:rsid w:val="0B81081E"/>
    <w:rsid w:val="0BCD3D94"/>
    <w:rsid w:val="0BD100F8"/>
    <w:rsid w:val="0C0A5B78"/>
    <w:rsid w:val="0C272694"/>
    <w:rsid w:val="0CA912FB"/>
    <w:rsid w:val="0CE71E24"/>
    <w:rsid w:val="0CF602B9"/>
    <w:rsid w:val="0D661C0C"/>
    <w:rsid w:val="0DA6726B"/>
    <w:rsid w:val="0E1E54C4"/>
    <w:rsid w:val="0E4D5CB6"/>
    <w:rsid w:val="0E632100"/>
    <w:rsid w:val="0EAA135B"/>
    <w:rsid w:val="0EAF54E9"/>
    <w:rsid w:val="0F2033CB"/>
    <w:rsid w:val="0F9C5147"/>
    <w:rsid w:val="106B4B1A"/>
    <w:rsid w:val="106D2640"/>
    <w:rsid w:val="107B5BE0"/>
    <w:rsid w:val="10900A00"/>
    <w:rsid w:val="109202F8"/>
    <w:rsid w:val="114E0781"/>
    <w:rsid w:val="11576D6C"/>
    <w:rsid w:val="116352D6"/>
    <w:rsid w:val="116E3A5D"/>
    <w:rsid w:val="11B36B4A"/>
    <w:rsid w:val="122A4C8C"/>
    <w:rsid w:val="12A6008B"/>
    <w:rsid w:val="12EA7589"/>
    <w:rsid w:val="133E02C4"/>
    <w:rsid w:val="13595D0D"/>
    <w:rsid w:val="13C44C6D"/>
    <w:rsid w:val="144E60BD"/>
    <w:rsid w:val="149B0E8A"/>
    <w:rsid w:val="15121A08"/>
    <w:rsid w:val="16495B3E"/>
    <w:rsid w:val="16C62AAA"/>
    <w:rsid w:val="19151713"/>
    <w:rsid w:val="196F1358"/>
    <w:rsid w:val="1A0758B3"/>
    <w:rsid w:val="1B1A2B1A"/>
    <w:rsid w:val="1B6F4B1B"/>
    <w:rsid w:val="1BA61858"/>
    <w:rsid w:val="1BD16179"/>
    <w:rsid w:val="1BF965F2"/>
    <w:rsid w:val="1C3A1F70"/>
    <w:rsid w:val="1C6012AB"/>
    <w:rsid w:val="1D0C6A66"/>
    <w:rsid w:val="1D234B0A"/>
    <w:rsid w:val="1E22594E"/>
    <w:rsid w:val="1E2F362A"/>
    <w:rsid w:val="1ECB3486"/>
    <w:rsid w:val="1EEE287B"/>
    <w:rsid w:val="1EFA1543"/>
    <w:rsid w:val="1F185C1B"/>
    <w:rsid w:val="1F2D7B6A"/>
    <w:rsid w:val="20476A09"/>
    <w:rsid w:val="20614532"/>
    <w:rsid w:val="207F70B2"/>
    <w:rsid w:val="20801F1B"/>
    <w:rsid w:val="20B836E6"/>
    <w:rsid w:val="217F6677"/>
    <w:rsid w:val="21B856E5"/>
    <w:rsid w:val="21BF6A73"/>
    <w:rsid w:val="223C144D"/>
    <w:rsid w:val="223D4010"/>
    <w:rsid w:val="230A5F68"/>
    <w:rsid w:val="243E6375"/>
    <w:rsid w:val="24813D24"/>
    <w:rsid w:val="25693679"/>
    <w:rsid w:val="259756BC"/>
    <w:rsid w:val="25FB1098"/>
    <w:rsid w:val="260C30F7"/>
    <w:rsid w:val="27764078"/>
    <w:rsid w:val="27B54BA0"/>
    <w:rsid w:val="29565B6D"/>
    <w:rsid w:val="2A92703F"/>
    <w:rsid w:val="2AA077A9"/>
    <w:rsid w:val="2AA809EC"/>
    <w:rsid w:val="2AFA0B1C"/>
    <w:rsid w:val="2B694756"/>
    <w:rsid w:val="2B8266EC"/>
    <w:rsid w:val="2B9164A3"/>
    <w:rsid w:val="2B98057D"/>
    <w:rsid w:val="2BF233C5"/>
    <w:rsid w:val="2BFB4ED7"/>
    <w:rsid w:val="2C025EDA"/>
    <w:rsid w:val="2C204AC9"/>
    <w:rsid w:val="2C351E0C"/>
    <w:rsid w:val="2C3F4B36"/>
    <w:rsid w:val="2C8608B9"/>
    <w:rsid w:val="2D855015"/>
    <w:rsid w:val="2E9420B6"/>
    <w:rsid w:val="2EF73CF0"/>
    <w:rsid w:val="2F0B5447"/>
    <w:rsid w:val="2FC11C09"/>
    <w:rsid w:val="2FEC353D"/>
    <w:rsid w:val="30BD4AC6"/>
    <w:rsid w:val="30C85944"/>
    <w:rsid w:val="31CD6F8B"/>
    <w:rsid w:val="31D16A7B"/>
    <w:rsid w:val="31F40390"/>
    <w:rsid w:val="32015C68"/>
    <w:rsid w:val="322875D1"/>
    <w:rsid w:val="32A44717"/>
    <w:rsid w:val="32F0738F"/>
    <w:rsid w:val="33920C6F"/>
    <w:rsid w:val="33BB353F"/>
    <w:rsid w:val="346C2A8B"/>
    <w:rsid w:val="349C065E"/>
    <w:rsid w:val="35037A49"/>
    <w:rsid w:val="35B430FE"/>
    <w:rsid w:val="35E31F79"/>
    <w:rsid w:val="369F2781"/>
    <w:rsid w:val="36A22794"/>
    <w:rsid w:val="36E93C13"/>
    <w:rsid w:val="370D7188"/>
    <w:rsid w:val="37203D70"/>
    <w:rsid w:val="37557806"/>
    <w:rsid w:val="37A62A66"/>
    <w:rsid w:val="37CB2491"/>
    <w:rsid w:val="38417D8A"/>
    <w:rsid w:val="384229D7"/>
    <w:rsid w:val="38896E55"/>
    <w:rsid w:val="38A40870"/>
    <w:rsid w:val="38EE3768"/>
    <w:rsid w:val="38F452F3"/>
    <w:rsid w:val="391A3141"/>
    <w:rsid w:val="39B27192"/>
    <w:rsid w:val="39DB3B32"/>
    <w:rsid w:val="3A72247D"/>
    <w:rsid w:val="3AEC456D"/>
    <w:rsid w:val="3AF17846"/>
    <w:rsid w:val="3B313DD8"/>
    <w:rsid w:val="3BD72A99"/>
    <w:rsid w:val="3C1D667F"/>
    <w:rsid w:val="3CA32E35"/>
    <w:rsid w:val="3CF211DC"/>
    <w:rsid w:val="3CF96E86"/>
    <w:rsid w:val="3E91626C"/>
    <w:rsid w:val="3EEA117C"/>
    <w:rsid w:val="3F1A6CC0"/>
    <w:rsid w:val="3F1E2BD3"/>
    <w:rsid w:val="3F23344A"/>
    <w:rsid w:val="404137B4"/>
    <w:rsid w:val="40464190"/>
    <w:rsid w:val="40CF3AE1"/>
    <w:rsid w:val="41C94730"/>
    <w:rsid w:val="41CA7043"/>
    <w:rsid w:val="41FD0E53"/>
    <w:rsid w:val="42122365"/>
    <w:rsid w:val="42A74A51"/>
    <w:rsid w:val="42B850ED"/>
    <w:rsid w:val="42D863FB"/>
    <w:rsid w:val="42FE4D96"/>
    <w:rsid w:val="433C7ACC"/>
    <w:rsid w:val="439F7ECC"/>
    <w:rsid w:val="43DD305D"/>
    <w:rsid w:val="44911445"/>
    <w:rsid w:val="45326705"/>
    <w:rsid w:val="45523641"/>
    <w:rsid w:val="45D313B0"/>
    <w:rsid w:val="45EC57D9"/>
    <w:rsid w:val="4645313C"/>
    <w:rsid w:val="46733559"/>
    <w:rsid w:val="467B63B8"/>
    <w:rsid w:val="468C691A"/>
    <w:rsid w:val="46996820"/>
    <w:rsid w:val="46FA2178"/>
    <w:rsid w:val="470E79D1"/>
    <w:rsid w:val="471F0B67"/>
    <w:rsid w:val="477932D9"/>
    <w:rsid w:val="47F46BC7"/>
    <w:rsid w:val="480916A9"/>
    <w:rsid w:val="48157B15"/>
    <w:rsid w:val="49634005"/>
    <w:rsid w:val="49DF11B1"/>
    <w:rsid w:val="4A1A51E7"/>
    <w:rsid w:val="4AC00FE3"/>
    <w:rsid w:val="4ACA3C0F"/>
    <w:rsid w:val="4B7A73E4"/>
    <w:rsid w:val="4BE24953"/>
    <w:rsid w:val="4BF91DDB"/>
    <w:rsid w:val="4C3103EA"/>
    <w:rsid w:val="4C5D11DF"/>
    <w:rsid w:val="4CDF1BF4"/>
    <w:rsid w:val="4D1A3604"/>
    <w:rsid w:val="4D7F6F33"/>
    <w:rsid w:val="4E4837C9"/>
    <w:rsid w:val="4EA053B3"/>
    <w:rsid w:val="4ECC5CC5"/>
    <w:rsid w:val="4EF433CA"/>
    <w:rsid w:val="50A54F03"/>
    <w:rsid w:val="50B0566A"/>
    <w:rsid w:val="50CA7228"/>
    <w:rsid w:val="514C1822"/>
    <w:rsid w:val="51874608"/>
    <w:rsid w:val="51B7313F"/>
    <w:rsid w:val="523A5B1F"/>
    <w:rsid w:val="526D1A50"/>
    <w:rsid w:val="53095C1D"/>
    <w:rsid w:val="535F4698"/>
    <w:rsid w:val="53C66AC7"/>
    <w:rsid w:val="53CF5879"/>
    <w:rsid w:val="53D845EF"/>
    <w:rsid w:val="53E07CA7"/>
    <w:rsid w:val="544B0D60"/>
    <w:rsid w:val="54524DC7"/>
    <w:rsid w:val="54F9581D"/>
    <w:rsid w:val="5527753F"/>
    <w:rsid w:val="55E95CE9"/>
    <w:rsid w:val="575E5BD0"/>
    <w:rsid w:val="57AE25BB"/>
    <w:rsid w:val="57CD55D6"/>
    <w:rsid w:val="580F5357"/>
    <w:rsid w:val="58140E42"/>
    <w:rsid w:val="58577395"/>
    <w:rsid w:val="595349E6"/>
    <w:rsid w:val="59D32AE1"/>
    <w:rsid w:val="5A09375D"/>
    <w:rsid w:val="5A0A6F9A"/>
    <w:rsid w:val="5A3A17F8"/>
    <w:rsid w:val="5A5654C0"/>
    <w:rsid w:val="5A673AE1"/>
    <w:rsid w:val="5A9D6525"/>
    <w:rsid w:val="5ADA7E9F"/>
    <w:rsid w:val="5AFC4F25"/>
    <w:rsid w:val="5B490B80"/>
    <w:rsid w:val="5B5D7173"/>
    <w:rsid w:val="5B6F3FE4"/>
    <w:rsid w:val="5B77068B"/>
    <w:rsid w:val="5BA65138"/>
    <w:rsid w:val="5C0D1BAE"/>
    <w:rsid w:val="5C2C7C7B"/>
    <w:rsid w:val="5CD94CAE"/>
    <w:rsid w:val="5CEE34C1"/>
    <w:rsid w:val="5D5F6439"/>
    <w:rsid w:val="5E136863"/>
    <w:rsid w:val="5EA7022C"/>
    <w:rsid w:val="5EC92704"/>
    <w:rsid w:val="5EE27322"/>
    <w:rsid w:val="5F357D99"/>
    <w:rsid w:val="5F597F1C"/>
    <w:rsid w:val="602816AC"/>
    <w:rsid w:val="6075099A"/>
    <w:rsid w:val="619012B7"/>
    <w:rsid w:val="61954B1F"/>
    <w:rsid w:val="619A0388"/>
    <w:rsid w:val="62314848"/>
    <w:rsid w:val="624731C8"/>
    <w:rsid w:val="62593D9F"/>
    <w:rsid w:val="62634C1E"/>
    <w:rsid w:val="62E0626E"/>
    <w:rsid w:val="631E66D7"/>
    <w:rsid w:val="637A5DE0"/>
    <w:rsid w:val="639B6977"/>
    <w:rsid w:val="63A3408B"/>
    <w:rsid w:val="63C10E3C"/>
    <w:rsid w:val="64CD3547"/>
    <w:rsid w:val="650773BA"/>
    <w:rsid w:val="657F5D22"/>
    <w:rsid w:val="65B61F12"/>
    <w:rsid w:val="662D3578"/>
    <w:rsid w:val="66853989"/>
    <w:rsid w:val="66E2751B"/>
    <w:rsid w:val="67343515"/>
    <w:rsid w:val="676F652F"/>
    <w:rsid w:val="681542C4"/>
    <w:rsid w:val="691049E1"/>
    <w:rsid w:val="695452C0"/>
    <w:rsid w:val="69AA5C34"/>
    <w:rsid w:val="6ABD5F60"/>
    <w:rsid w:val="6AE10832"/>
    <w:rsid w:val="6B6A0DCB"/>
    <w:rsid w:val="6BE7241B"/>
    <w:rsid w:val="6CEF6A2B"/>
    <w:rsid w:val="6D1504AB"/>
    <w:rsid w:val="6D81111B"/>
    <w:rsid w:val="6DCB5EE1"/>
    <w:rsid w:val="6DE36C13"/>
    <w:rsid w:val="6DE85FD7"/>
    <w:rsid w:val="6E166FE8"/>
    <w:rsid w:val="6E1A4B6F"/>
    <w:rsid w:val="6E5354E0"/>
    <w:rsid w:val="6E612268"/>
    <w:rsid w:val="6E7C509D"/>
    <w:rsid w:val="6E940BEF"/>
    <w:rsid w:val="6F324855"/>
    <w:rsid w:val="6F681F38"/>
    <w:rsid w:val="6FB24AEE"/>
    <w:rsid w:val="6FC7611F"/>
    <w:rsid w:val="70C858DB"/>
    <w:rsid w:val="70F829D5"/>
    <w:rsid w:val="7194581F"/>
    <w:rsid w:val="71E73B2D"/>
    <w:rsid w:val="72B15531"/>
    <w:rsid w:val="72CB65F3"/>
    <w:rsid w:val="72D00747"/>
    <w:rsid w:val="73055389"/>
    <w:rsid w:val="734F0FD2"/>
    <w:rsid w:val="736B3932"/>
    <w:rsid w:val="736C0702"/>
    <w:rsid w:val="73843460"/>
    <w:rsid w:val="73EC25BF"/>
    <w:rsid w:val="7416389E"/>
    <w:rsid w:val="74DB737D"/>
    <w:rsid w:val="752E4BC6"/>
    <w:rsid w:val="75BA294F"/>
    <w:rsid w:val="75BA7A8F"/>
    <w:rsid w:val="766528BB"/>
    <w:rsid w:val="76982FF6"/>
    <w:rsid w:val="77976AA4"/>
    <w:rsid w:val="780F5FBF"/>
    <w:rsid w:val="785250C1"/>
    <w:rsid w:val="787F19EA"/>
    <w:rsid w:val="78AC0D2E"/>
    <w:rsid w:val="78D67AA0"/>
    <w:rsid w:val="78F543CA"/>
    <w:rsid w:val="795B3AF3"/>
    <w:rsid w:val="79780B57"/>
    <w:rsid w:val="7981755F"/>
    <w:rsid w:val="7A6C19E9"/>
    <w:rsid w:val="7ADB75EF"/>
    <w:rsid w:val="7B570946"/>
    <w:rsid w:val="7C1F52BA"/>
    <w:rsid w:val="7CC145C3"/>
    <w:rsid w:val="7CCD4D16"/>
    <w:rsid w:val="7D380D29"/>
    <w:rsid w:val="7D71005D"/>
    <w:rsid w:val="7D853AE4"/>
    <w:rsid w:val="7DEA37BD"/>
    <w:rsid w:val="7DF32EA2"/>
    <w:rsid w:val="7E4C077A"/>
    <w:rsid w:val="7E775881"/>
    <w:rsid w:val="7F1070E3"/>
    <w:rsid w:val="7F887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21"/>
    <w:qFormat/>
    <w:uiPriority w:val="0"/>
    <w:pPr>
      <w:keepNext/>
      <w:keepLines/>
      <w:spacing w:before="260" w:after="260" w:line="415"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2"/>
    <w:qFormat/>
    <w:uiPriority w:val="0"/>
    <w:pPr>
      <w:spacing w:after="120"/>
      <w:ind w:left="200" w:leftChars="200"/>
    </w:pPr>
    <w:rPr>
      <w:rFonts w:ascii="仿宋_GB2312" w:hAnsi="仿宋_GB2312"/>
      <w:szCs w:val="32"/>
    </w:rPr>
  </w:style>
  <w:style w:type="paragraph" w:styleId="4">
    <w:name w:val="Plain Text"/>
    <w:basedOn w:val="1"/>
    <w:unhideWhenUsed/>
    <w:qFormat/>
    <w:uiPriority w:val="99"/>
    <w:rPr>
      <w:rFonts w:ascii="宋体" w:hAnsi="Courier New"/>
    </w:rPr>
  </w:style>
  <w:style w:type="paragraph" w:styleId="8">
    <w:name w:val="Body Text"/>
    <w:basedOn w:val="1"/>
    <w:qFormat/>
    <w:uiPriority w:val="0"/>
    <w:pPr>
      <w:spacing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标题 2 Char"/>
    <w:basedOn w:val="17"/>
    <w:link w:val="6"/>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TOC 标题2"/>
    <w:basedOn w:val="5"/>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paragraph" w:customStyle="1" w:styleId="33">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收支上下年变动情况表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1012.77</c:v>
                </c:pt>
                <c:pt idx="1">
                  <c:v>1008.94</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945.16</c:v>
                </c:pt>
                <c:pt idx="1">
                  <c:v>945.16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9008237"/>
        <c:axId val="400394024"/>
      </c:barChart>
      <c:catAx>
        <c:axId val="5790082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394024"/>
        <c:crosses val="autoZero"/>
        <c:auto val="1"/>
        <c:lblAlgn val="ctr"/>
        <c:lblOffset val="100"/>
        <c:noMultiLvlLbl val="0"/>
      </c:catAx>
      <c:valAx>
        <c:axId val="400394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008237"/>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收入组成图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'[新建 XLS 工作表.xls]Sheet1'!$A$1:$A$2</c:f>
              <c:strCache>
                <c:ptCount val="2"/>
                <c:pt idx="0">
                  <c:v>一般公共财政拨款收入</c:v>
                </c:pt>
                <c:pt idx="1">
                  <c:v>其他收入</c:v>
                </c:pt>
              </c:strCache>
            </c:strRef>
          </c:cat>
          <c:val>
            <c:numRef>
              <c:f>'[新建 XLS 工作表.xls]Sheet1'!$B$1:$B$2</c:f>
              <c:numCache>
                <c:formatCode>General</c:formatCode>
                <c:ptCount val="2"/>
                <c:pt idx="0">
                  <c:v>943.55</c:v>
                </c:pt>
                <c:pt idx="1">
                  <c:v>1.61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'[新建 XLS 工作表.xls]Sheet1'!$A$1:$A$2</c:f>
              <c:strCache>
                <c:ptCount val="2"/>
                <c:pt idx="0">
                  <c:v>基本支出</c:v>
                </c:pt>
                <c:pt idx="1">
                  <c:v>项目支出</c:v>
                </c:pt>
              </c:strCache>
            </c:strRef>
          </c:cat>
          <c:val>
            <c:numRef>
              <c:f>'[新建 XLS 工作表.xls]Sheet1'!$B$1:$B$2</c:f>
              <c:numCache>
                <c:formatCode>General</c:formatCode>
                <c:ptCount val="2"/>
                <c:pt idx="0">
                  <c:v>817.61</c:v>
                </c:pt>
                <c:pt idx="1">
                  <c:v>127.55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财政拨款收支上下年变动图</a:t>
            </a:r>
          </a:p>
        </c:rich>
      </c:tx>
      <c:layout/>
      <c:overlay val="0"/>
      <c:spPr>
        <a:noFill/>
        <a:ln>
          <a:noFill/>
        </a:ln>
        <a:effectLst/>
      </c:spPr>
    </c:title>
    <c:autoTitleDeleted val="0"/>
    <c:plotArea>
      <c:layout>
        <c:manualLayout>
          <c:layoutTarget val="inner"/>
          <c:xMode val="edge"/>
          <c:yMode val="edge"/>
          <c:x val="0.028575"/>
          <c:y val="0.121666666666667"/>
          <c:w val="0.927925"/>
          <c:h val="0.716566666666667"/>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943.55</c:v>
                </c:pt>
                <c:pt idx="1">
                  <c:v>943.55</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1008.82</c:v>
                </c:pt>
                <c:pt idx="1">
                  <c:v>1008.82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3380026"/>
        <c:axId val="60706055"/>
      </c:barChart>
      <c:catAx>
        <c:axId val="573380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06055"/>
        <c:crosses val="autoZero"/>
        <c:auto val="1"/>
        <c:lblAlgn val="ctr"/>
        <c:lblOffset val="100"/>
        <c:noMultiLvlLbl val="0"/>
      </c:catAx>
      <c:valAx>
        <c:axId val="60706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3380026"/>
        <c:crosses val="autoZero"/>
        <c:crossBetween val="between"/>
      </c:valAx>
      <c:spPr>
        <a:noFill/>
        <a:ln>
          <a:noFill/>
        </a:ln>
        <a:effectLst/>
      </c:spPr>
    </c:plotArea>
    <c:legend>
      <c:legendPos val="b"/>
      <c:legendEntry>
        <c:idx val="2"/>
        <c:delete val="1"/>
      </c:legendEntry>
      <c:layout>
        <c:manualLayout>
          <c:xMode val="edge"/>
          <c:yMode val="edge"/>
          <c:x val="0.3541875"/>
          <c:y val="0.92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一般公共预算财政拨款支出上下年变动图</a:t>
            </a:r>
          </a:p>
        </c:rich>
      </c:tx>
      <c:layout/>
      <c:overlay val="0"/>
      <c:spPr>
        <a:noFill/>
        <a:ln>
          <a:noFill/>
        </a:ln>
        <a:effectLst/>
      </c:spPr>
    </c:title>
    <c:autoTitleDeleted val="0"/>
    <c:plotArea>
      <c:layout>
        <c:manualLayout>
          <c:layoutTarget val="inner"/>
          <c:xMode val="edge"/>
          <c:yMode val="edge"/>
          <c:x val="0.028575"/>
          <c:y val="0.121666666666667"/>
          <c:w val="0.927925"/>
          <c:h val="0.716566666666667"/>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943.55</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1008.82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3380026"/>
        <c:axId val="60706055"/>
      </c:barChart>
      <c:catAx>
        <c:axId val="5733800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706055"/>
        <c:crosses val="autoZero"/>
        <c:auto val="1"/>
        <c:lblAlgn val="ctr"/>
        <c:lblOffset val="100"/>
        <c:noMultiLvlLbl val="0"/>
      </c:catAx>
      <c:valAx>
        <c:axId val="60706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3380026"/>
        <c:crosses val="autoZero"/>
        <c:crossBetween val="between"/>
      </c:valAx>
      <c:spPr>
        <a:noFill/>
        <a:ln>
          <a:noFill/>
        </a:ln>
        <a:effectLst/>
      </c:spPr>
    </c:plotArea>
    <c:legend>
      <c:legendPos val="b"/>
      <c:legendEntry>
        <c:idx val="2"/>
        <c:delete val="1"/>
      </c:legendEntry>
      <c:layout>
        <c:manualLayout>
          <c:xMode val="edge"/>
          <c:yMode val="edge"/>
          <c:x val="0.3541875"/>
          <c:y val="0.92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752.58</c:v>
                </c:pt>
                <c:pt idx="1">
                  <c:v>100.39</c:v>
                </c:pt>
                <c:pt idx="2">
                  <c:v>43.78</c:v>
                </c:pt>
                <c:pt idx="3">
                  <c:v>48.41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7901397310836"/>
          <c:y val="0.030808729139923"/>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财政拨款“三公经费”支出构成图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公务用车购置及运行维护费支出</c:v>
                </c:pt>
                <c:pt idx="2">
                  <c:v>公务接待</c:v>
                </c:pt>
              </c:strCache>
            </c:strRef>
          </c:cat>
          <c:val>
            <c:numRef>
              <c:f>Sheet1!$B$2:$B$4</c:f>
              <c:numCache>
                <c:formatCode>General</c:formatCode>
                <c:ptCount val="3"/>
                <c:pt idx="0">
                  <c:v>0</c:v>
                </c:pt>
                <c:pt idx="1">
                  <c:v>31.77</c:v>
                </c:pt>
                <c:pt idx="2">
                  <c:v>2.2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42</Pages>
  <Words>17908</Words>
  <Characters>19384</Characters>
  <Lines>58</Lines>
  <Paragraphs>16</Paragraphs>
  <TotalTime>6</TotalTime>
  <ScaleCrop>false</ScaleCrop>
  <LinksUpToDate>false</LinksUpToDate>
  <CharactersWithSpaces>24630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2023-10-19T09:34:00Z</cp:lastPrinted>
  <dcterms:modified xsi:type="dcterms:W3CDTF">2024-11-11T13:29:06Z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EEBB459259A34692A3BE4F4236310D61</vt:lpwstr>
  </property>
</Properties>
</file>