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红原县人大常委会办公室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4</w:t>
      </w:r>
      <w:r>
        <w:rPr>
          <w:rFonts w:hint="eastAsia" w:ascii="方正小标宋简体" w:hAnsi="方正小标宋简体" w:eastAsia="方正小标宋简体" w:cs="方正小标宋简体"/>
          <w:b w:val="0"/>
          <w:bCs/>
          <w:sz w:val="44"/>
          <w:szCs w:val="44"/>
        </w:rPr>
        <w:t>年部门预算编制的说明</w:t>
      </w:r>
    </w:p>
    <w:p>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7"/>
        <w:keepNext w:val="0"/>
        <w:keepLines w:val="0"/>
        <w:widowControl/>
        <w:suppressLineNumbers w:val="0"/>
        <w:ind w:left="0" w:right="75"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rPr>
        <w:t>负责做好本级人民代表大会、常委会会议、主任会议、党组会议以及其他有关会议各种文件的起草、</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"https://www.baidu.com/s?wd=%E4%BC%9A%E8%AE%AE%E8%AE%B0%E5%BD%95&amp;tn=SE_PcZhidaonwhc_ngpagmjz&amp;rsv_dl=gh_pc_zhidao"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会议记录</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和会务工作。对会议决定的事项负责办理落实，并及时报告反馈。</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2.</w:t>
      </w:r>
      <w:r>
        <w:rPr>
          <w:rFonts w:hint="eastAsia" w:ascii="仿宋_GB2312" w:hAnsi="仿宋_GB2312" w:eastAsia="仿宋_GB2312" w:cs="仿宋_GB2312"/>
          <w:sz w:val="32"/>
          <w:szCs w:val="32"/>
          <w:shd w:val="clear" w:color="auto" w:fill="FFFFFF"/>
        </w:rPr>
        <w:t>负责做好本级</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"https://www.baidu.com/s?wd=%E4%BA%BA%E5%A4%A7%E5%B8%B8%E5%A7%94%E4%BC%9A&amp;tn=SE_PcZhidaonwhc_ngpagmjz&amp;rsv_dl=gh_pc_zhidao"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人大常委会</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日常文件材料的起草以及</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"https://www.baidu.com/s?wd=%E3%80%8A%E4%BC%9A%E5%88%8A%E3%80%8B&amp;tn=SE_PcZhidaonwhc_ngpagmjz&amp;rsv_dl=gh_pc_zhidao"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《会刊》</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"https://www.baidu.com/s?wd=%E3%80%8A%E6%B1%87%E7%BC%96%E3%80%8B&amp;tn=SE_PcZhidaonwhc_ngpagmjz&amp;rsv_dl=gh_pc_zhidao"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《汇编》</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的编辑、校对、分发工作。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3.</w:t>
      </w:r>
      <w:r>
        <w:rPr>
          <w:rFonts w:hint="eastAsia" w:ascii="仿宋_GB2312" w:hAnsi="仿宋_GB2312" w:eastAsia="仿宋_GB2312" w:cs="仿宋_GB2312"/>
          <w:sz w:val="32"/>
          <w:szCs w:val="32"/>
          <w:shd w:val="clear" w:color="auto" w:fill="FFFFFF"/>
        </w:rPr>
        <w:t>负责做好上一级人代会期间本级代表团的服务工作；负责做好兄弟人大来参观、交流的</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"https://www.baidu.com/s?wd=%E6%8E%A5%E5%BE%85%E5%B7%A5%E4%BD%9C&amp;tn=SE_PcZhidaonwhc_ngpagmjz&amp;rsv_dl=gh_pc_zhidao"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接待工作</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，以及上级人大代表来我辖区开展视察、检查、调查活动的接待和服务工作。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负责做好本级人大机关的行政、财务、财产管理和日常事务工作，做好</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"https://www.baidu.com/s?wd=%E7%A6%BB%E9%80%80%E4%BC%91%E4%BA%BA%E5%91%98&amp;tn=SE_PcZhidaonwhc_ngpagmjz&amp;rsv_dl=gh_pc_zhidao"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离退休人员</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负责本级人大常委会印鉴管理和机关的文电、机要、保密、档案、文印等工作。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负责做好本级人大系统的通讯报道工作。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负责协调人大常委会各工作机构之间的工作关系，以及与其他部门之间的关系，牵头或组织机关内部业务学习和政治学习；负责搞好与“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”办公室的横向联系，积极做好区人大常委会与“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”联席会议的准备工作和有关事宜；负责搞好同上一级人大常委会各工作委(室)及下级人大的工作联系。</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负责做好情况的上呈下达，为领导决策及时提供信息，当好领导的参谋助手。</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9.</w:t>
      </w:r>
      <w:r>
        <w:rPr>
          <w:rFonts w:hint="eastAsia" w:ascii="仿宋_GB2312" w:hAnsi="仿宋_GB2312" w:eastAsia="仿宋_GB2312" w:cs="仿宋_GB2312"/>
          <w:sz w:val="32"/>
          <w:szCs w:val="32"/>
          <w:shd w:val="clear" w:color="auto" w:fill="FFFFFF"/>
        </w:rPr>
        <w:t>协助做好人大代表和人民群众的来信来访和办理工作，做好人大常委会组织的代表活动的后勤服务工作。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10.</w:t>
      </w:r>
      <w:r>
        <w:rPr>
          <w:rFonts w:hint="eastAsia" w:ascii="仿宋_GB2312" w:hAnsi="仿宋_GB2312" w:eastAsia="仿宋_GB2312" w:cs="仿宋_GB2312"/>
          <w:sz w:val="32"/>
          <w:szCs w:val="32"/>
          <w:shd w:val="clear" w:color="auto" w:fill="FFFFFF"/>
        </w:rPr>
        <w:t>负责建立健全各项规章制度，加强办公室自身建设，提高全办人员的政治素质和业务素质，提高办公室的整体素质和办事效率。</w:t>
      </w:r>
    </w:p>
    <w:p>
      <w:pPr>
        <w:snapToGrid w:val="0"/>
        <w:spacing w:line="560" w:lineRule="exact"/>
        <w:ind w:firstLine="640" w:firstLineChars="200"/>
        <w:rPr>
          <w:rFonts w:hint="eastAsia" w:ascii="楷体_GB2312" w:hAnsi="楷体_GB2312" w:eastAsia="楷体_GB2312" w:cs="楷体_GB2312"/>
          <w:b/>
          <w:bCs w:val="0"/>
          <w:sz w:val="32"/>
          <w:szCs w:val="32"/>
          <w:lang w:eastAsia="zh-CN"/>
        </w:rPr>
      </w:pPr>
      <w:r>
        <w:rPr>
          <w:rFonts w:hint="eastAsia" w:ascii="仿宋_GB2312" w:hAnsi="仿宋_GB2312" w:eastAsia="仿宋_GB2312" w:cs="仿宋_GB2312"/>
          <w:sz w:val="32"/>
          <w:szCs w:val="32"/>
          <w:shd w:val="clear" w:color="auto" w:fill="FFFFFF"/>
          <w:lang w:val="en-US" w:eastAsia="zh-CN"/>
        </w:rPr>
        <w:t>11.</w:t>
      </w:r>
      <w:r>
        <w:rPr>
          <w:rFonts w:hint="eastAsia" w:ascii="仿宋_GB2312" w:hAnsi="仿宋_GB2312" w:eastAsia="仿宋_GB2312" w:cs="仿宋_GB2312"/>
          <w:sz w:val="32"/>
          <w:szCs w:val="32"/>
          <w:shd w:val="clear" w:color="auto" w:fill="FFFFFF"/>
        </w:rPr>
        <w:t>负责办理常委会、主任会议及常委会领导部署、安排的各项工作</w:t>
      </w:r>
      <w:r>
        <w:rPr>
          <w:rFonts w:hint="eastAsia" w:ascii="仿宋_GB2312" w:hAnsi="仿宋_GB2312" w:eastAsia="仿宋_GB2312" w:cs="仿宋_GB2312"/>
          <w:sz w:val="32"/>
          <w:szCs w:val="32"/>
          <w:shd w:val="clear" w:color="auto" w:fill="FFFFFF"/>
          <w:lang w:val="en-US" w:eastAsia="zh-CN"/>
        </w:rPr>
        <w:t>.</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4</w:t>
      </w:r>
      <w:r>
        <w:rPr>
          <w:rFonts w:hint="eastAsia" w:ascii="楷体_GB2312" w:hAnsi="楷体_GB2312" w:eastAsia="楷体_GB2312" w:cs="楷体_GB2312"/>
          <w:b/>
          <w:bCs w:val="0"/>
          <w:sz w:val="32"/>
          <w:szCs w:val="32"/>
          <w:lang w:eastAsia="zh-CN"/>
        </w:rPr>
        <w:t>年重点工作任务</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202</w:t>
      </w:r>
      <w:r>
        <w:rPr>
          <w:rFonts w:hint="eastAsia"/>
          <w:bCs/>
          <w:sz w:val="32"/>
          <w:szCs w:val="32"/>
          <w:lang w:val="en-US" w:eastAsia="zh-CN"/>
        </w:rPr>
        <w:t>4</w:t>
      </w:r>
      <w:r>
        <w:rPr>
          <w:rFonts w:hint="eastAsia"/>
          <w:bCs/>
          <w:sz w:val="32"/>
          <w:szCs w:val="32"/>
        </w:rPr>
        <w:t>年重点工作任务介绍</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楷体_GB2312" w:hAnsi="楷体_GB2312" w:eastAsia="楷体_GB2312" w:cs="楷体_GB2312"/>
          <w:b/>
          <w:bCs/>
          <w:i w:val="0"/>
          <w:caps w:val="0"/>
          <w:color w:val="000000"/>
          <w:spacing w:val="0"/>
          <w:sz w:val="32"/>
          <w:szCs w:val="32"/>
          <w:lang w:val="en-US" w:eastAsia="zh-CN"/>
        </w:rPr>
      </w:pPr>
      <w:r>
        <w:rPr>
          <w:rFonts w:hint="eastAsia" w:ascii="楷体_GB2312" w:hAnsi="楷体_GB2312" w:eastAsia="楷体_GB2312" w:cs="楷体_GB2312"/>
          <w:b/>
          <w:bCs/>
          <w:i w:val="0"/>
          <w:caps w:val="0"/>
          <w:color w:val="000000"/>
          <w:spacing w:val="0"/>
          <w:sz w:val="32"/>
          <w:szCs w:val="32"/>
          <w:lang w:val="en-US" w:eastAsia="zh-CN"/>
        </w:rPr>
        <w:t>1.提高政治站位，在围绕中心、服务大局上显担当</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40" w:lineRule="exact"/>
        <w:ind w:firstLine="640" w:firstLineChars="200"/>
        <w:jc w:val="left"/>
        <w:textAlignment w:val="auto"/>
        <w:outlineLvl w:val="9"/>
        <w:rPr>
          <w:rFonts w:hint="eastAsia" w:ascii="仿宋_GB2312" w:hAnsi="Times New Roman" w:eastAsia="仿宋_GB2312" w:cs="仿宋_GB2312"/>
          <w:b w:val="0"/>
          <w:bCs w:val="0"/>
          <w:i w:val="0"/>
          <w:caps w:val="0"/>
          <w:color w:val="auto"/>
          <w:spacing w:val="0"/>
          <w:kern w:val="0"/>
          <w:sz w:val="32"/>
          <w:szCs w:val="32"/>
          <w:shd w:val="clear" w:fill="FFFFFF"/>
          <w:lang w:val="en-US" w:eastAsia="zh-CN" w:bidi="ar"/>
        </w:rPr>
      </w:pPr>
      <w:r>
        <w:rPr>
          <w:rFonts w:hint="eastAsia" w:ascii="仿宋_GB2312" w:eastAsia="仿宋_GB2312" w:cs="仿宋_GB2312"/>
          <w:b w:val="0"/>
          <w:bCs w:val="0"/>
          <w:i w:val="0"/>
          <w:caps w:val="0"/>
          <w:color w:val="auto"/>
          <w:spacing w:val="0"/>
          <w:kern w:val="0"/>
          <w:sz w:val="32"/>
          <w:szCs w:val="32"/>
          <w:shd w:val="clear" w:fill="FFFFFF"/>
          <w:lang w:val="en-US" w:eastAsia="zh-CN" w:bidi="ar"/>
        </w:rPr>
        <w:t>紧紧围绕</w:t>
      </w:r>
      <w:r>
        <w:rPr>
          <w:rFonts w:hint="eastAsia" w:ascii="仿宋_GB2312" w:hAnsi="Times New Roman" w:eastAsia="仿宋_GB2312" w:cs="仿宋_GB2312"/>
          <w:b w:val="0"/>
          <w:bCs w:val="0"/>
          <w:i w:val="0"/>
          <w:caps w:val="0"/>
          <w:color w:val="auto"/>
          <w:spacing w:val="0"/>
          <w:kern w:val="0"/>
          <w:sz w:val="32"/>
          <w:szCs w:val="32"/>
          <w:shd w:val="clear" w:fill="FFFFFF"/>
          <w:lang w:val="en-US" w:eastAsia="zh-CN" w:bidi="ar"/>
        </w:rPr>
        <w:t>县委的决策部署，把促进全县经济社会</w:t>
      </w:r>
      <w:r>
        <w:rPr>
          <w:rFonts w:hint="eastAsia" w:ascii="仿宋_GB2312" w:eastAsia="仿宋_GB2312" w:cs="仿宋_GB2312"/>
          <w:b w:val="0"/>
          <w:bCs w:val="0"/>
          <w:i w:val="0"/>
          <w:caps w:val="0"/>
          <w:color w:val="auto"/>
          <w:spacing w:val="0"/>
          <w:kern w:val="0"/>
          <w:sz w:val="32"/>
          <w:szCs w:val="32"/>
          <w:shd w:val="clear" w:fill="FFFFFF"/>
          <w:lang w:val="en-US" w:eastAsia="zh-CN" w:bidi="ar"/>
        </w:rPr>
        <w:t>高质量</w:t>
      </w:r>
      <w:r>
        <w:rPr>
          <w:rFonts w:hint="eastAsia" w:ascii="仿宋_GB2312" w:hAnsi="Times New Roman" w:eastAsia="仿宋_GB2312" w:cs="仿宋_GB2312"/>
          <w:b w:val="0"/>
          <w:bCs w:val="0"/>
          <w:i w:val="0"/>
          <w:caps w:val="0"/>
          <w:color w:val="auto"/>
          <w:spacing w:val="0"/>
          <w:kern w:val="0"/>
          <w:sz w:val="32"/>
          <w:szCs w:val="32"/>
          <w:shd w:val="clear" w:fill="FFFFFF"/>
          <w:lang w:val="en-US" w:eastAsia="zh-CN" w:bidi="ar"/>
        </w:rPr>
        <w:t>发展作为工作的出发点和落脚点，紧贴中心、服务大局，做到县委工作重点明确到哪里、人大监督就聚焦到哪里。坚持和完善人民代表大会制度，推动新时代人大工作与时俱进，增强监督的针对性和实效性。坚持谋大事、议大事、抓大事，开展好调查研究，认真倾听民意，及时作出决议、决定，将县委的主张转化为全县人民的共同意志和自觉行动。</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40" w:lineRule="exact"/>
        <w:ind w:firstLine="643" w:firstLineChars="200"/>
        <w:jc w:val="left"/>
        <w:textAlignment w:val="auto"/>
        <w:outlineLvl w:val="9"/>
        <w:rPr>
          <w:rFonts w:hint="eastAsia" w:ascii="黑体" w:hAnsi="宋体" w:eastAsia="黑体" w:cs="黑体"/>
          <w:b/>
          <w:bCs/>
          <w:i w:val="0"/>
          <w:caps w:val="0"/>
          <w:color w:val="auto"/>
          <w:spacing w:val="0"/>
          <w:kern w:val="0"/>
          <w:sz w:val="32"/>
          <w:szCs w:val="32"/>
          <w:shd w:val="clear" w:fill="FFFFFF"/>
          <w:lang w:val="en-US" w:eastAsia="zh-CN" w:bidi="ar"/>
        </w:rPr>
      </w:pPr>
      <w:r>
        <w:rPr>
          <w:rFonts w:hint="eastAsia" w:ascii="楷体_GB2312" w:hAnsi="楷体_GB2312" w:eastAsia="楷体_GB2312" w:cs="楷体_GB2312"/>
          <w:b/>
          <w:bCs/>
          <w:i w:val="0"/>
          <w:caps w:val="0"/>
          <w:color w:val="000000"/>
          <w:spacing w:val="0"/>
          <w:sz w:val="32"/>
          <w:szCs w:val="32"/>
          <w:lang w:val="en-US" w:eastAsia="zh-CN"/>
        </w:rPr>
        <w:t>2.紧扣重点难点，在强化监督、提升质效上见实效</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40" w:lineRule="exact"/>
        <w:ind w:firstLine="640" w:firstLineChars="200"/>
        <w:jc w:val="left"/>
        <w:textAlignment w:val="auto"/>
        <w:outlineLvl w:val="9"/>
        <w:rPr>
          <w:rFonts w:hint="eastAsia" w:ascii="仿宋_GB2312" w:hAnsi="仿宋_GB2312" w:eastAsia="仿宋_GB2312" w:cs="仿宋_GB2312"/>
          <w:b w:val="0"/>
          <w:bCs w:val="0"/>
          <w:color w:val="auto"/>
          <w:spacing w:val="0"/>
          <w:sz w:val="32"/>
          <w:szCs w:val="32"/>
        </w:rPr>
      </w:pPr>
      <w:r>
        <w:rPr>
          <w:rFonts w:hint="eastAsia" w:asci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坚持正确监督、有效监督、依法监督，</w:t>
      </w:r>
      <w:r>
        <w:rPr>
          <w:rFonts w:hint="eastAsia" w:ascii="仿宋_GB2312" w:hAnsi="Times New Roman"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着力强化重点工作监督，</w:t>
      </w:r>
      <w:r>
        <w:rPr>
          <w:rFonts w:hint="eastAsia" w:asci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按照县委提出的“</w:t>
      </w:r>
      <w:r>
        <w:rPr>
          <w:rFonts w:hint="eastAsia" w:ascii="仿宋_GB2312" w:hAnsi="仿宋_GB2312" w:eastAsia="仿宋_GB2312" w:cs="仿宋_GB2312"/>
          <w:b w:val="0"/>
          <w:bCs w:val="0"/>
          <w:color w:val="000000" w:themeColor="text1"/>
          <w:sz w:val="32"/>
          <w:szCs w:val="32"/>
          <w:u w:val="none"/>
          <w:lang w:eastAsia="zh-CN"/>
          <w14:textFill>
            <w14:solidFill>
              <w14:schemeClr w14:val="tx1"/>
            </w14:solidFill>
          </w14:textFill>
        </w:rPr>
        <w:t>紧扣五个关键、实施“五个工程”、争创“五个示范”、</w:t>
      </w: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建</w:t>
      </w:r>
      <w:r>
        <w:rPr>
          <w:rFonts w:hint="eastAsia" w:ascii="仿宋_GB2312" w:hAnsi="仿宋_GB2312" w:eastAsia="仿宋_GB2312" w:cs="仿宋_GB2312"/>
          <w:b w:val="0"/>
          <w:bCs w:val="0"/>
          <w:color w:val="000000" w:themeColor="text1"/>
          <w:sz w:val="32"/>
          <w:szCs w:val="32"/>
          <w:u w:val="none"/>
          <w:lang w:eastAsia="zh-CN"/>
          <w14:textFill>
            <w14:solidFill>
              <w14:schemeClr w14:val="tx1"/>
            </w14:solidFill>
          </w14:textFill>
        </w:rPr>
        <w:t>成“五</w:t>
      </w: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个</w:t>
      </w:r>
      <w:r>
        <w:rPr>
          <w:rFonts w:hint="eastAsia" w:ascii="仿宋_GB2312" w:hAnsi="仿宋_GB2312" w:eastAsia="仿宋_GB2312" w:cs="仿宋_GB2312"/>
          <w:b w:val="0"/>
          <w:bCs w:val="0"/>
          <w:color w:val="000000" w:themeColor="text1"/>
          <w:sz w:val="32"/>
          <w:szCs w:val="32"/>
          <w:u w:val="none"/>
          <w:lang w:eastAsia="zh-CN"/>
          <w14:textFill>
            <w14:solidFill>
              <w14:schemeClr w14:val="tx1"/>
            </w14:solidFill>
          </w14:textFill>
        </w:rPr>
        <w:t>家园”</w:t>
      </w:r>
      <w:r>
        <w:rPr>
          <w:rFonts w:hint="eastAsia" w:asci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的</w:t>
      </w:r>
      <w:r>
        <w:rPr>
          <w:rFonts w:hint="eastAsia" w:ascii="仿宋_GB2312" w:hAnsi="仿宋_GB2312" w:eastAsia="仿宋_GB2312" w:cs="仿宋_GB2312"/>
          <w:b w:val="0"/>
          <w:bCs w:val="0"/>
          <w:color w:val="000000" w:themeColor="text1"/>
          <w:sz w:val="32"/>
          <w:szCs w:val="32"/>
          <w:u w:val="none"/>
          <w:lang w:eastAsia="zh-CN"/>
          <w14:textFill>
            <w14:solidFill>
              <w14:schemeClr w14:val="tx1"/>
            </w14:solidFill>
          </w14:textFill>
        </w:rPr>
        <w:t>战略</w:t>
      </w: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目标</w:t>
      </w:r>
      <w:r>
        <w:rPr>
          <w:rFonts w:hint="eastAsia" w:ascii="仿宋_GB2312" w:hAnsi="Times New Roman"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坚持问题导向，精选监督议题，把监督工作同支持依法履行职责有机统一起来，形成工作合力。着力规范预算联网监督，不断提升县政府及其职能部门依法理财水平。严控政府债务，提高财政资金效率。着力强化监督实效，</w:t>
      </w:r>
      <w:r>
        <w:rPr>
          <w:rFonts w:hint="eastAsia" w:asci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适时启用</w:t>
      </w:r>
      <w:r>
        <w:rPr>
          <w:rFonts w:hint="eastAsia" w:ascii="仿宋_GB2312" w:hAnsi="Times New Roman"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人大专题询问</w:t>
      </w:r>
      <w:r>
        <w:rPr>
          <w:rFonts w:hint="eastAsia" w:asci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等刚性监督</w:t>
      </w:r>
      <w:r>
        <w:rPr>
          <w:rFonts w:hint="eastAsia" w:ascii="仿宋_GB2312" w:hAnsi="Times New Roman"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，综合运用视察调研、听取和审议专项工作报告等方式开展监督。</w:t>
      </w:r>
      <w:r>
        <w:rPr>
          <w:rFonts w:hint="eastAsia" w:asci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尤其要围绕乡村振兴、黄河上游生态保护和高质量发展等重大项目开展监督。</w:t>
      </w:r>
      <w:r>
        <w:rPr>
          <w:rFonts w:hint="eastAsia" w:ascii="仿宋_GB2312" w:hAnsi="Times New Roman"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注重发挥执法检查作用，突出检查重点，改进检查方式，加强跟踪督办，增强监督刚性。</w:t>
      </w:r>
      <w:r>
        <w:rPr>
          <w:rFonts w:hint="eastAsia" w:ascii="仿宋_GB2312" w:hAnsi="仿宋_GB2312" w:eastAsia="仿宋_GB2312" w:cs="仿宋_GB2312"/>
          <w:b w:val="0"/>
          <w:bCs w:val="0"/>
          <w:color w:val="000000" w:themeColor="text1"/>
          <w:spacing w:val="0"/>
          <w:sz w:val="32"/>
          <w:szCs w:val="32"/>
          <w14:textFill>
            <w14:solidFill>
              <w14:schemeClr w14:val="tx1"/>
            </w14:solidFill>
          </w14:textFill>
        </w:rPr>
        <w:t>深入学习贯彻习近平法治思想，强化法律监督，对新修订的法律法规实施情况及时开展执法检查和专题调研，力促法律法规的贯彻实施。加大对县法院、县检察院监督力度，听取和审议相关</w:t>
      </w:r>
      <w:r>
        <w:rPr>
          <w:rFonts w:hint="eastAsia" w:ascii="仿宋_GB2312" w:hAnsi="仿宋_GB2312" w:eastAsia="仿宋_GB2312" w:cs="仿宋_GB2312"/>
          <w:b w:val="0"/>
          <w:bCs w:val="0"/>
          <w:color w:val="auto"/>
          <w:spacing w:val="0"/>
          <w:sz w:val="32"/>
          <w:szCs w:val="32"/>
        </w:rPr>
        <w:t>工作专项报告，提出意见建议，力促公正司法、公平裁判。积极配合省、州人大组织的执法检查、立法调研，确保法律法规在我县正确贯彻实施。加强规范性文件备案审查，切实维护法制统一。</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40" w:lineRule="exact"/>
        <w:ind w:firstLine="643" w:firstLineChars="200"/>
        <w:jc w:val="left"/>
        <w:textAlignment w:val="auto"/>
        <w:outlineLvl w:val="9"/>
        <w:rPr>
          <w:rFonts w:hint="eastAsia" w:ascii="黑体" w:hAnsi="宋体" w:eastAsia="黑体" w:cs="黑体"/>
          <w:b/>
          <w:bCs/>
          <w:i w:val="0"/>
          <w:caps w:val="0"/>
          <w:color w:val="333333"/>
          <w:spacing w:val="0"/>
          <w:kern w:val="0"/>
          <w:sz w:val="32"/>
          <w:szCs w:val="32"/>
          <w:shd w:val="clear" w:fill="FFFFFF"/>
          <w:lang w:val="en-US" w:eastAsia="zh-CN" w:bidi="ar"/>
        </w:rPr>
      </w:pPr>
      <w:r>
        <w:rPr>
          <w:rFonts w:hint="eastAsia" w:ascii="楷体_GB2312" w:hAnsi="楷体_GB2312" w:eastAsia="楷体_GB2312" w:cs="楷体_GB2312"/>
          <w:b/>
          <w:bCs/>
          <w:i w:val="0"/>
          <w:caps w:val="0"/>
          <w:color w:val="000000"/>
          <w:spacing w:val="0"/>
          <w:sz w:val="32"/>
          <w:szCs w:val="32"/>
          <w:lang w:val="en-US" w:eastAsia="zh-CN"/>
        </w:rPr>
        <w:t>3.强化代表职责，在激发活力、发挥作用上求突破</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40" w:lineRule="exact"/>
        <w:ind w:firstLine="640" w:firstLineChars="200"/>
        <w:jc w:val="left"/>
        <w:textAlignment w:val="auto"/>
        <w:outlineLvl w:val="9"/>
        <w:rPr>
          <w:rFonts w:hint="eastAsia" w:ascii="仿宋_GB2312" w:hAnsi="仿宋_GB2312" w:eastAsia="仿宋_GB2312" w:cs="仿宋_GB2312"/>
          <w:color w:val="000000"/>
          <w:spacing w:val="0"/>
          <w:sz w:val="32"/>
          <w:szCs w:val="32"/>
        </w:rPr>
      </w:pPr>
      <w:r>
        <w:rPr>
          <w:rFonts w:hint="eastAsia" w:ascii="仿宋_GB2312" w:hAnsi="Times New Roman"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通过代表学习培训、开展联系选民活动、开展述职评议等方式，充分调动代表积极性，不断提高代表履职能力。通过代表列席常委会会议、参加调研视察、依法</w:t>
      </w:r>
      <w:r>
        <w:rPr>
          <w:rFonts w:hint="eastAsia" w:asci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督</w:t>
      </w:r>
      <w:r>
        <w:rPr>
          <w:rFonts w:hint="eastAsia" w:ascii="仿宋_GB2312" w:hAnsi="Times New Roman"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办建议批评和意见等途径，支持代表依法行使权利，完善面对面协商办理机制，提升代表对办理工作满意度。全面改造提升乡镇代表联络站建设，</w:t>
      </w:r>
      <w:r>
        <w:rPr>
          <w:rFonts w:hint="eastAsia" w:asci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创新</w:t>
      </w:r>
      <w:r>
        <w:rPr>
          <w:rFonts w:hint="eastAsia" w:ascii="仿宋_GB2312" w:hAnsi="Times New Roman"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“联络站+”模式，充分发挥“连心桥、宣传窗、信息站、监督岗</w:t>
      </w:r>
      <w:r>
        <w:rPr>
          <w:rFonts w:hint="eastAsia" w:asci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”四</w:t>
      </w:r>
      <w:r>
        <w:rPr>
          <w:rFonts w:hint="eastAsia" w:ascii="仿宋_GB2312" w:hAnsi="Times New Roman"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大功能作用。做好新一届人大代表重新编组进站工作，组织代表开展系列主题活动，</w:t>
      </w:r>
      <w:r>
        <w:rPr>
          <w:rFonts w:hint="eastAsia" w:asci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推</w:t>
      </w:r>
      <w:r>
        <w:rPr>
          <w:rFonts w:hint="eastAsia" w:ascii="仿宋_GB2312" w:hAnsi="Times New Roman"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动人大代表依法履职常态化、制度化。</w:t>
      </w:r>
      <w:r>
        <w:rPr>
          <w:rFonts w:hint="eastAsia" w:ascii="仿宋_GB2312" w:hAnsi="仿宋_GB2312" w:eastAsia="仿宋_GB2312" w:cs="仿宋_GB2312"/>
          <w:color w:val="000000"/>
          <w:spacing w:val="0"/>
          <w:sz w:val="32"/>
          <w:szCs w:val="32"/>
        </w:rPr>
        <w:t>强化代表服务管理，健全人大代表管理考核评价机制和激励约束机制，建立代表履职档案库，动态掌握代表履职情况。</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40" w:lineRule="exact"/>
        <w:ind w:firstLine="643" w:firstLineChars="200"/>
        <w:jc w:val="left"/>
        <w:textAlignment w:val="auto"/>
        <w:outlineLvl w:val="9"/>
        <w:rPr>
          <w:rFonts w:hint="eastAsia" w:ascii="楷体_GB2312" w:hAnsi="楷体_GB2312" w:eastAsia="楷体_GB2312" w:cs="楷体_GB2312"/>
          <w:b/>
          <w:bCs/>
          <w:i w:val="0"/>
          <w:caps w:val="0"/>
          <w:color w:val="000000"/>
          <w:spacing w:val="0"/>
          <w:sz w:val="32"/>
          <w:szCs w:val="32"/>
          <w:lang w:val="en-US" w:eastAsia="zh-CN"/>
        </w:rPr>
      </w:pPr>
      <w:r>
        <w:rPr>
          <w:rFonts w:hint="eastAsia" w:ascii="黑体" w:hAnsi="宋体" w:eastAsia="黑体" w:cs="黑体"/>
          <w:b/>
          <w:bCs/>
          <w:i w:val="0"/>
          <w:caps w:val="0"/>
          <w:color w:val="333333"/>
          <w:spacing w:val="0"/>
          <w:kern w:val="0"/>
          <w:sz w:val="32"/>
          <w:szCs w:val="32"/>
          <w:shd w:val="clear" w:fill="FFFFFF"/>
          <w:lang w:val="en-US" w:eastAsia="zh-CN" w:bidi="ar"/>
        </w:rPr>
        <w:t>4.</w:t>
      </w:r>
      <w:r>
        <w:rPr>
          <w:rFonts w:hint="eastAsia" w:ascii="楷体_GB2312" w:hAnsi="楷体_GB2312" w:eastAsia="楷体_GB2312" w:cs="楷体_GB2312"/>
          <w:b/>
          <w:bCs/>
          <w:i w:val="0"/>
          <w:caps w:val="0"/>
          <w:color w:val="000000"/>
          <w:spacing w:val="0"/>
          <w:sz w:val="32"/>
          <w:szCs w:val="32"/>
          <w:lang w:val="en-US" w:eastAsia="zh-CN"/>
        </w:rPr>
        <w:t>坚持从严从实，在建强队伍、提升水平上下功夫</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40" w:lineRule="exact"/>
        <w:ind w:firstLine="640" w:firstLineChars="200"/>
        <w:jc w:val="left"/>
        <w:textAlignment w:val="auto"/>
        <w:outlineLvl w:val="9"/>
        <w:rPr>
          <w:rFonts w:hint="eastAsia" w:ascii="仿宋_GB2312" w:hAnsi="仿宋_GB2312" w:eastAsia="仿宋_GB2312" w:cs="仿宋_GB2312"/>
          <w:color w:val="000000"/>
          <w:spacing w:val="0"/>
          <w:sz w:val="32"/>
          <w:szCs w:val="32"/>
        </w:rPr>
      </w:pPr>
      <w:r>
        <w:rPr>
          <w:rFonts w:hint="eastAsia" w:ascii="仿宋_GB2312" w:hAnsi="仿宋_GB2312" w:eastAsia="仿宋_GB2312" w:cs="仿宋_GB2312"/>
          <w:b w:val="0"/>
          <w:bCs w:val="0"/>
          <w:color w:val="000000" w:themeColor="text1"/>
          <w:spacing w:val="0"/>
          <w:sz w:val="32"/>
          <w:szCs w:val="32"/>
          <w:lang w:val="zh-CN" w:eastAsia="zh-CN"/>
          <w14:textFill>
            <w14:solidFill>
              <w14:schemeClr w14:val="tx1"/>
            </w14:solidFill>
          </w14:textFill>
        </w:rPr>
        <w:t>主动适应新时代新要求，全面加强人大自身建设，不断提升依法履职能力，努力把人大及其常委会建设成为自觉坚持中国共产党领导的政治机关、保证人民当家作主的国家权力机关、全面担负宪法法律赋予的各项职责的工作机关、始终同人民群众保持密切联系的代表机关。加强各专门委员会建设，做好“专”字文章，充分发挥常委会组成人员、专门委员会和工作部门的作用。深化机关作风建设，大力弘扬学习之风、务实之风、创新之风、清廉之风、团结之风，着力营造风清气正、务实高效的工作环境。</w:t>
      </w:r>
      <w:r>
        <w:rPr>
          <w:rFonts w:hint="eastAsia" w:ascii="仿宋_GB2312" w:hAnsi="仿宋_GB2312" w:eastAsia="仿宋_GB2312" w:cs="仿宋_GB2312"/>
          <w:b w:val="0"/>
          <w:bCs w:val="0"/>
          <w:i w:val="0"/>
          <w:caps w:val="0"/>
          <w:color w:val="000000" w:themeColor="text1"/>
          <w:spacing w:val="0"/>
          <w:sz w:val="32"/>
          <w:szCs w:val="32"/>
          <w:shd w:val="clear" w:fill="FFFFFF"/>
          <w14:textFill>
            <w14:solidFill>
              <w14:schemeClr w14:val="tx1"/>
            </w14:solidFill>
          </w14:textFill>
        </w:rPr>
        <w:t>加强制度建设，提升人大工作制度化、规范化、程序化水平。加强人大宣传工作，讲好人大故事，传递</w:t>
      </w:r>
      <w:r>
        <w:rPr>
          <w:rFonts w:hint="eastAsia" w:ascii="仿宋_GB2312" w:hAnsi="仿宋_GB2312" w:eastAsia="仿宋_GB2312" w:cs="仿宋_GB2312"/>
          <w:b w:val="0"/>
          <w:bCs w:val="0"/>
          <w:i w:val="0"/>
          <w:caps w:val="0"/>
          <w:color w:val="000000" w:themeColor="text1"/>
          <w:spacing w:val="0"/>
          <w:sz w:val="32"/>
          <w:szCs w:val="32"/>
          <w:shd w:val="clear" w:fill="FFFFFF"/>
          <w:lang w:eastAsia="zh-CN"/>
          <w14:textFill>
            <w14:solidFill>
              <w14:schemeClr w14:val="tx1"/>
            </w14:solidFill>
          </w14:textFill>
        </w:rPr>
        <w:t>好</w:t>
      </w:r>
      <w:r>
        <w:rPr>
          <w:rFonts w:hint="eastAsia" w:ascii="仿宋_GB2312" w:hAnsi="仿宋_GB2312" w:eastAsia="仿宋_GB2312" w:cs="仿宋_GB2312"/>
          <w:b w:val="0"/>
          <w:bCs w:val="0"/>
          <w:i w:val="0"/>
          <w:caps w:val="0"/>
          <w:color w:val="000000" w:themeColor="text1"/>
          <w:spacing w:val="0"/>
          <w:sz w:val="32"/>
          <w:szCs w:val="32"/>
          <w:shd w:val="clear" w:fill="FFFFFF"/>
          <w14:textFill>
            <w14:solidFill>
              <w14:schemeClr w14:val="tx1"/>
            </w14:solidFill>
          </w14:textFill>
        </w:rPr>
        <w:t>人大声音。加快“智慧人大”建设，通过数字赋能提升人大工作水平。</w:t>
      </w:r>
      <w:r>
        <w:rPr>
          <w:rFonts w:hint="eastAsia" w:ascii="仿宋_GB2312" w:hAnsi="仿宋_GB2312" w:eastAsia="仿宋_GB2312" w:cs="仿宋_GB2312"/>
          <w:color w:val="000000"/>
          <w:spacing w:val="0"/>
          <w:sz w:val="32"/>
          <w:szCs w:val="32"/>
        </w:rPr>
        <w:t>加强与上级人大、兄弟县（市</w:t>
      </w:r>
      <w:r>
        <w:rPr>
          <w:rFonts w:hint="eastAsia" w:ascii="仿宋_GB2312" w:hAnsi="仿宋_GB2312" w:eastAsia="仿宋_GB2312" w:cs="仿宋_GB2312"/>
          <w:color w:val="000000"/>
          <w:spacing w:val="0"/>
          <w:sz w:val="32"/>
          <w:szCs w:val="32"/>
          <w:lang w:eastAsia="zh-CN"/>
        </w:rPr>
        <w:t>、区</w:t>
      </w:r>
      <w:r>
        <w:rPr>
          <w:rFonts w:hint="eastAsia" w:ascii="仿宋_GB2312" w:hAnsi="仿宋_GB2312" w:eastAsia="仿宋_GB2312" w:cs="仿宋_GB2312"/>
          <w:color w:val="000000"/>
          <w:spacing w:val="0"/>
          <w:sz w:val="32"/>
          <w:szCs w:val="32"/>
        </w:rPr>
        <w:t>）人大</w:t>
      </w:r>
      <w:r>
        <w:rPr>
          <w:rFonts w:hint="eastAsia" w:ascii="仿宋_GB2312" w:hAnsi="仿宋_GB2312" w:eastAsia="仿宋_GB2312" w:cs="仿宋_GB2312"/>
          <w:color w:val="000000"/>
          <w:spacing w:val="0"/>
          <w:sz w:val="32"/>
          <w:szCs w:val="32"/>
          <w:lang w:val="en-US" w:eastAsia="zh-CN"/>
        </w:rPr>
        <w:t xml:space="preserve"> </w:t>
      </w:r>
      <w:r>
        <w:rPr>
          <w:rFonts w:hint="eastAsia" w:ascii="仿宋_GB2312" w:hAnsi="仿宋_GB2312" w:eastAsia="仿宋_GB2312" w:cs="仿宋_GB2312"/>
          <w:color w:val="000000"/>
          <w:spacing w:val="0"/>
          <w:sz w:val="32"/>
          <w:szCs w:val="32"/>
        </w:rPr>
        <w:t>的联系和沟通，监督</w:t>
      </w:r>
      <w:r>
        <w:rPr>
          <w:rFonts w:hint="eastAsia" w:ascii="仿宋_GB2312" w:hAnsi="仿宋_GB2312" w:eastAsia="仿宋_GB2312" w:cs="仿宋_GB2312"/>
          <w:color w:val="000000"/>
          <w:spacing w:val="0"/>
          <w:sz w:val="32"/>
          <w:szCs w:val="32"/>
          <w:lang w:eastAsia="zh-CN"/>
        </w:rPr>
        <w:t>和</w:t>
      </w:r>
      <w:r>
        <w:rPr>
          <w:rFonts w:hint="eastAsia" w:ascii="仿宋_GB2312" w:hAnsi="仿宋_GB2312" w:eastAsia="仿宋_GB2312" w:cs="仿宋_GB2312"/>
          <w:color w:val="000000"/>
          <w:spacing w:val="0"/>
          <w:sz w:val="32"/>
          <w:szCs w:val="32"/>
        </w:rPr>
        <w:t>指导乡镇人大工作，保持良性互动，努力形成整体合力、增强整体实效。</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60" w:lineRule="exact"/>
        <w:ind w:firstLine="640" w:firstLineChars="200"/>
        <w:jc w:val="both"/>
        <w:textAlignment w:val="auto"/>
        <w:outlineLvl w:val="9"/>
        <w:rPr>
          <w:rFonts w:hint="default"/>
          <w:sz w:val="32"/>
          <w:szCs w:val="32"/>
          <w:lang w:val="en-US"/>
        </w:rPr>
      </w:pPr>
      <w:r>
        <w:rPr>
          <w:rFonts w:hint="eastAsia" w:ascii="仿宋_GB2312" w:hAnsi="仿宋" w:eastAsia="仿宋_GB2312"/>
          <w:sz w:val="32"/>
          <w:szCs w:val="32"/>
        </w:rPr>
        <w:t>人大常委会办公室内设办公室、</w:t>
      </w:r>
      <w:r>
        <w:rPr>
          <w:rFonts w:hint="eastAsia" w:ascii="仿宋_GB2312" w:hAnsi="仿宋" w:eastAsia="仿宋_GB2312"/>
          <w:sz w:val="32"/>
          <w:szCs w:val="32"/>
          <w:lang w:val="en-US" w:eastAsia="zh-CN"/>
        </w:rPr>
        <w:t>法监司和民宗外事委</w:t>
      </w:r>
      <w:r>
        <w:rPr>
          <w:rFonts w:hint="eastAsia" w:ascii="仿宋_GB2312" w:hAnsi="仿宋" w:eastAsia="仿宋_GB2312"/>
          <w:sz w:val="32"/>
          <w:szCs w:val="32"/>
        </w:rPr>
        <w:t>、财经</w:t>
      </w:r>
      <w:r>
        <w:rPr>
          <w:rFonts w:hint="eastAsia" w:ascii="仿宋_GB2312" w:hAnsi="仿宋" w:eastAsia="仿宋_GB2312"/>
          <w:sz w:val="32"/>
          <w:szCs w:val="32"/>
          <w:lang w:val="en-US" w:eastAsia="zh-CN"/>
        </w:rPr>
        <w:t>农环</w:t>
      </w:r>
      <w:r>
        <w:rPr>
          <w:rFonts w:hint="eastAsia" w:ascii="仿宋_GB2312" w:hAnsi="仿宋" w:eastAsia="仿宋_GB2312"/>
          <w:sz w:val="32"/>
          <w:szCs w:val="32"/>
        </w:rPr>
        <w:t>委、教科文卫</w:t>
      </w:r>
      <w:r>
        <w:rPr>
          <w:rFonts w:hint="eastAsia" w:ascii="仿宋_GB2312" w:hAnsi="仿宋" w:eastAsia="仿宋_GB2312"/>
          <w:sz w:val="32"/>
          <w:szCs w:val="32"/>
          <w:lang w:val="en-US" w:eastAsia="zh-CN"/>
        </w:rPr>
        <w:t>和社建</w:t>
      </w:r>
      <w:r>
        <w:rPr>
          <w:rFonts w:hint="eastAsia" w:ascii="仿宋_GB2312" w:hAnsi="仿宋" w:eastAsia="仿宋_GB2312"/>
          <w:sz w:val="32"/>
          <w:szCs w:val="32"/>
        </w:rPr>
        <w:t>委及人代工委“四委一室”</w:t>
      </w:r>
      <w:r>
        <w:rPr>
          <w:rFonts w:hint="eastAsia" w:ascii="仿宋_GB2312" w:hAnsi="仿宋" w:eastAsia="仿宋_GB2312"/>
          <w:sz w:val="32"/>
          <w:szCs w:val="32"/>
          <w:lang w:val="en-US" w:eastAsia="zh-CN"/>
        </w:rPr>
        <w:t>，下设二级股级事业单位人大预算联网服务中心，</w:t>
      </w:r>
      <w:r>
        <w:rPr>
          <w:rFonts w:hint="eastAsia" w:ascii="仿宋_GB2312" w:hAnsi="仿宋_GB2312" w:eastAsia="仿宋_GB2312" w:cs="仿宋_GB2312"/>
          <w:color w:val="333333"/>
          <w:sz w:val="32"/>
          <w:szCs w:val="32"/>
          <w:shd w:val="clear" w:color="auto" w:fill="FFFFFF"/>
        </w:rPr>
        <w:t>我</w:t>
      </w:r>
      <w:r>
        <w:rPr>
          <w:rFonts w:hint="eastAsia" w:ascii="仿宋_GB2312" w:hAnsi="仿宋_GB2312" w:eastAsia="仿宋_GB2312" w:cs="仿宋_GB2312"/>
          <w:color w:val="333333"/>
          <w:sz w:val="32"/>
          <w:szCs w:val="32"/>
          <w:shd w:val="clear" w:color="auto" w:fill="FFFFFF"/>
          <w:lang w:eastAsia="zh-CN"/>
        </w:rPr>
        <w:t>单位</w:t>
      </w:r>
      <w:r>
        <w:rPr>
          <w:rFonts w:hint="eastAsia" w:ascii="仿宋_GB2312" w:hAnsi="仿宋_GB2312" w:eastAsia="仿宋_GB2312" w:cs="仿宋_GB2312"/>
          <w:color w:val="333333"/>
          <w:sz w:val="32"/>
          <w:szCs w:val="32"/>
          <w:shd w:val="clear" w:color="auto" w:fill="FFFFFF"/>
        </w:rPr>
        <w:t>为独立核算全额拨款行政单位</w:t>
      </w:r>
      <w:r>
        <w:rPr>
          <w:rFonts w:hint="eastAsia" w:ascii="仿宋_GB2312" w:hAnsi="仿宋_GB2312" w:eastAsia="仿宋_GB2312" w:cs="仿宋_GB2312"/>
          <w:color w:val="333333"/>
          <w:sz w:val="32"/>
          <w:szCs w:val="32"/>
          <w:shd w:val="clear" w:color="auto" w:fill="FFFFFF"/>
          <w:lang w:eastAsia="zh-CN"/>
        </w:rPr>
        <w:t>。截至</w:t>
      </w:r>
      <w:r>
        <w:rPr>
          <w:rFonts w:hint="eastAsia" w:ascii="仿宋_GB2312" w:hAnsi="仿宋_GB2312" w:eastAsia="仿宋_GB2312" w:cs="仿宋_GB2312"/>
          <w:color w:val="333333"/>
          <w:sz w:val="32"/>
          <w:szCs w:val="32"/>
          <w:shd w:val="clear" w:color="auto" w:fill="FFFFFF"/>
          <w:lang w:val="en-US" w:eastAsia="zh-CN"/>
        </w:rPr>
        <w:t>2023年底我办共有在职人员23人，其中公务员18人，行政工勤4人，事业管理人员1人</w:t>
      </w:r>
      <w:bookmarkStart w:id="0" w:name="_GoBack"/>
      <w:bookmarkEnd w:id="0"/>
      <w:r>
        <w:rPr>
          <w:rFonts w:hint="eastAsia" w:ascii="仿宋_GB2312" w:hAnsi="仿宋_GB2312" w:eastAsia="仿宋_GB2312" w:cs="仿宋_GB2312"/>
          <w:color w:val="333333"/>
          <w:sz w:val="32"/>
          <w:szCs w:val="32"/>
          <w:shd w:val="clear" w:color="auto" w:fill="FFFFFF"/>
          <w:lang w:val="en-US"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w:t>
      </w:r>
      <w:r>
        <w:rPr>
          <w:rFonts w:hint="eastAsia" w:ascii="仿宋_GB2312" w:eastAsia="仿宋_GB2312"/>
          <w:color w:val="auto"/>
          <w:sz w:val="32"/>
          <w:szCs w:val="32"/>
          <w:lang w:eastAsia="zh-CN"/>
        </w:rPr>
        <w:t>红</w:t>
      </w:r>
      <w:r>
        <w:rPr>
          <w:rFonts w:hint="eastAsia" w:ascii="仿宋_GB2312" w:eastAsia="仿宋_GB2312"/>
          <w:sz w:val="32"/>
          <w:szCs w:val="32"/>
          <w:lang w:eastAsia="zh-CN"/>
        </w:rPr>
        <w:t>原县人大办</w:t>
      </w:r>
      <w:r>
        <w:rPr>
          <w:rFonts w:hint="eastAsia" w:ascii="仿宋_GB2312" w:eastAsia="仿宋_GB2312"/>
          <w:sz w:val="32"/>
          <w:szCs w:val="32"/>
        </w:rPr>
        <w:t>收入预算总额为</w:t>
      </w:r>
      <w:r>
        <w:rPr>
          <w:rFonts w:hint="eastAsia" w:ascii="仿宋_GB2312" w:eastAsia="仿宋_GB2312"/>
          <w:sz w:val="32"/>
          <w:szCs w:val="32"/>
          <w:lang w:val="en-US" w:eastAsia="zh-CN"/>
        </w:rPr>
        <w:t>897.82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897.82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897.82</w:t>
      </w:r>
      <w:r>
        <w:rPr>
          <w:rFonts w:hint="eastAsia" w:ascii="仿宋_GB2312" w:eastAsia="仿宋_GB2312"/>
          <w:sz w:val="32"/>
          <w:szCs w:val="32"/>
        </w:rPr>
        <w:t>万元，</w:t>
      </w:r>
      <w:r>
        <w:rPr>
          <w:rFonts w:hint="eastAsia" w:ascii="仿宋_GB2312" w:eastAsia="仿宋_GB2312"/>
          <w:sz w:val="32"/>
          <w:szCs w:val="32"/>
          <w:lang w:eastAsia="zh-CN"/>
        </w:rPr>
        <w:t>基本支出</w:t>
      </w:r>
      <w:r>
        <w:rPr>
          <w:rFonts w:hint="eastAsia" w:ascii="仿宋_GB2312" w:eastAsia="仿宋_GB2312"/>
          <w:sz w:val="32"/>
          <w:szCs w:val="32"/>
          <w:lang w:val="en-US" w:eastAsia="zh-CN"/>
        </w:rPr>
        <w:t>790.82万元，项目支出107万元，</w:t>
      </w:r>
      <w:r>
        <w:rPr>
          <w:rFonts w:hint="eastAsia" w:ascii="仿宋_GB2312" w:eastAsia="仿宋_GB2312"/>
          <w:sz w:val="32"/>
          <w:szCs w:val="32"/>
        </w:rPr>
        <w:t>其中：一般公共服务</w:t>
      </w:r>
      <w:r>
        <w:rPr>
          <w:rFonts w:hint="eastAsia" w:ascii="仿宋_GB2312" w:eastAsia="仿宋_GB2312"/>
          <w:sz w:val="32"/>
          <w:szCs w:val="32"/>
          <w:lang w:val="en-US" w:eastAsia="zh-CN"/>
        </w:rPr>
        <w:t>693.98</w:t>
      </w:r>
      <w:r>
        <w:rPr>
          <w:rFonts w:hint="eastAsia" w:ascii="仿宋_GB2312" w:eastAsia="仿宋_GB2312"/>
          <w:sz w:val="32"/>
          <w:szCs w:val="32"/>
        </w:rPr>
        <w:t>万元，社会保障和就业</w:t>
      </w:r>
      <w:r>
        <w:rPr>
          <w:rFonts w:hint="eastAsia" w:ascii="仿宋_GB2312" w:eastAsia="仿宋_GB2312"/>
          <w:sz w:val="32"/>
          <w:szCs w:val="32"/>
          <w:lang w:val="en-US" w:eastAsia="zh-CN"/>
        </w:rPr>
        <w:t>104.62</w:t>
      </w:r>
      <w:r>
        <w:rPr>
          <w:rFonts w:hint="eastAsia" w:ascii="仿宋_GB2312" w:eastAsia="仿宋_GB2312"/>
          <w:sz w:val="32"/>
          <w:szCs w:val="32"/>
        </w:rPr>
        <w:t>万元，医疗卫生</w:t>
      </w:r>
      <w:r>
        <w:rPr>
          <w:rFonts w:hint="eastAsia" w:ascii="仿宋_GB2312" w:eastAsia="仿宋_GB2312"/>
          <w:sz w:val="32"/>
          <w:szCs w:val="32"/>
          <w:lang w:val="en-US" w:eastAsia="zh-CN"/>
        </w:rPr>
        <w:t>41.76</w:t>
      </w:r>
      <w:r>
        <w:rPr>
          <w:rFonts w:hint="eastAsia" w:ascii="仿宋_GB2312" w:eastAsia="仿宋_GB2312"/>
          <w:sz w:val="32"/>
          <w:szCs w:val="32"/>
        </w:rPr>
        <w:t>万元，住房保障支出</w:t>
      </w:r>
      <w:r>
        <w:rPr>
          <w:rFonts w:hint="eastAsia" w:ascii="仿宋_GB2312" w:eastAsia="仿宋_GB2312"/>
          <w:sz w:val="32"/>
          <w:szCs w:val="32"/>
          <w:lang w:val="en-US" w:eastAsia="zh-CN"/>
        </w:rPr>
        <w:t>57.44</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红原县人大办</w:t>
      </w:r>
      <w:r>
        <w:rPr>
          <w:rFonts w:hint="eastAsia" w:ascii="仿宋_GB2312" w:eastAsia="仿宋_GB2312"/>
          <w:sz w:val="32"/>
          <w:szCs w:val="32"/>
        </w:rPr>
        <w:t>预算安排支出主要用于保障该部门</w:t>
      </w:r>
      <w:r>
        <w:rPr>
          <w:rFonts w:hint="eastAsia" w:ascii="仿宋_GB2312" w:eastAsia="仿宋_GB2312"/>
          <w:sz w:val="32"/>
          <w:szCs w:val="32"/>
          <w:lang w:eastAsia="zh-CN"/>
        </w:rPr>
        <w:t>及下属</w:t>
      </w:r>
      <w:r>
        <w:rPr>
          <w:rFonts w:hint="eastAsia" w:ascii="仿宋_GB2312" w:eastAsia="仿宋_GB2312"/>
          <w:sz w:val="32"/>
          <w:szCs w:val="32"/>
        </w:rPr>
        <w:t>机构正常运转、完成日常工作任务以及承担</w:t>
      </w:r>
      <w:r>
        <w:rPr>
          <w:rFonts w:hint="eastAsia" w:ascii="仿宋_GB2312" w:eastAsia="仿宋_GB2312"/>
          <w:sz w:val="32"/>
          <w:szCs w:val="32"/>
          <w:lang w:eastAsia="zh-CN"/>
        </w:rPr>
        <w:t>人大</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default"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eastAsia="仿宋_GB2312"/>
          <w:sz w:val="32"/>
          <w:szCs w:val="32"/>
          <w:lang w:val="en-US" w:eastAsia="zh-CN"/>
        </w:rPr>
        <w:t>790.82</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731.39万元，机关运行经费59.43万元，其中：办公费13.47万元，印刷费1.4万元，手续费0.1万元，水费0.6万元，邮电费5万元，取暖费2.38万元，差旅费5.11万元，维修维护费1万元，公务接待费0.48万元，工会经费5.23万元，公务用车运行维护费24.66万元。项目支出107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（一）2010101</w:t>
      </w:r>
      <w:r>
        <w:rPr>
          <w:rFonts w:hint="eastAsia" w:ascii="仿宋_GB2312" w:eastAsia="仿宋_GB2312"/>
          <w:sz w:val="32"/>
          <w:szCs w:val="32"/>
          <w:lang w:val="en-US" w:eastAsia="zh-CN"/>
        </w:rPr>
        <w:t>-</w:t>
      </w:r>
      <w:r>
        <w:rPr>
          <w:rFonts w:hint="eastAsia" w:ascii="仿宋_GB2312" w:eastAsia="仿宋_GB2312"/>
          <w:sz w:val="32"/>
          <w:szCs w:val="32"/>
        </w:rPr>
        <w:t>行政运行</w:t>
      </w:r>
      <w:r>
        <w:rPr>
          <w:rFonts w:hint="eastAsia" w:ascii="仿宋_GB2312" w:eastAsia="仿宋_GB2312"/>
          <w:sz w:val="32"/>
          <w:szCs w:val="32"/>
          <w:lang w:val="en-US" w:eastAsia="zh-CN"/>
        </w:rPr>
        <w:t>552.95</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行政</w:t>
      </w:r>
      <w:r>
        <w:rPr>
          <w:rFonts w:hint="eastAsia" w:ascii="仿宋_GB2312" w:eastAsia="仿宋_GB2312"/>
          <w:sz w:val="32"/>
          <w:szCs w:val="32"/>
        </w:rPr>
        <w:t>单位人员工资</w:t>
      </w:r>
      <w:r>
        <w:rPr>
          <w:rFonts w:hint="eastAsia" w:ascii="仿宋_GB2312" w:eastAsia="仿宋_GB2312"/>
          <w:sz w:val="32"/>
          <w:szCs w:val="32"/>
          <w:lang w:eastAsia="zh-CN"/>
        </w:rPr>
        <w:t>、个人部分保险</w:t>
      </w:r>
      <w:r>
        <w:rPr>
          <w:rFonts w:hint="eastAsia" w:ascii="仿宋_GB2312" w:eastAsia="仿宋_GB2312"/>
          <w:sz w:val="32"/>
          <w:szCs w:val="32"/>
        </w:rPr>
        <w:t>、日常运转</w:t>
      </w:r>
      <w:r>
        <w:rPr>
          <w:rFonts w:hint="eastAsia" w:ascii="仿宋_GB2312" w:eastAsia="仿宋_GB2312"/>
          <w:sz w:val="32"/>
          <w:szCs w:val="32"/>
          <w:lang w:eastAsia="zh-CN"/>
        </w:rPr>
        <w:t>等</w:t>
      </w:r>
      <w:r>
        <w:rPr>
          <w:rFonts w:hint="eastAsia" w:ascii="仿宋_GB2312" w:eastAsia="仿宋_GB2312"/>
          <w:sz w:val="32"/>
          <w:szCs w:val="32"/>
        </w:rPr>
        <w:t>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lang w:eastAsia="zh-CN"/>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）20101</w:t>
      </w:r>
      <w:r>
        <w:rPr>
          <w:rFonts w:hint="eastAsia" w:ascii="仿宋_GB2312" w:eastAsia="仿宋_GB2312"/>
          <w:sz w:val="32"/>
          <w:szCs w:val="32"/>
          <w:lang w:val="en-US" w:eastAsia="zh-CN"/>
        </w:rPr>
        <w:t>50-</w:t>
      </w:r>
      <w:r>
        <w:rPr>
          <w:rFonts w:hint="eastAsia" w:ascii="仿宋_GB2312" w:eastAsia="仿宋_GB2312"/>
          <w:sz w:val="32"/>
          <w:szCs w:val="32"/>
          <w:lang w:eastAsia="zh-CN"/>
        </w:rPr>
        <w:t>事业</w:t>
      </w:r>
      <w:r>
        <w:rPr>
          <w:rFonts w:hint="eastAsia" w:ascii="仿宋_GB2312" w:eastAsia="仿宋_GB2312"/>
          <w:sz w:val="32"/>
          <w:szCs w:val="32"/>
        </w:rPr>
        <w:t>运</w:t>
      </w:r>
      <w:r>
        <w:rPr>
          <w:rFonts w:hint="eastAsia" w:ascii="仿宋_GB2312" w:eastAsia="仿宋_GB2312"/>
          <w:sz w:val="32"/>
          <w:szCs w:val="32"/>
          <w:lang w:eastAsia="zh-CN"/>
        </w:rPr>
        <w:t>行</w:t>
      </w:r>
      <w:r>
        <w:rPr>
          <w:rFonts w:hint="eastAsia" w:ascii="仿宋_GB2312" w:eastAsia="仿宋_GB2312"/>
          <w:sz w:val="32"/>
          <w:szCs w:val="32"/>
        </w:rPr>
        <w:t>34.04</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事业</w:t>
      </w:r>
      <w:r>
        <w:rPr>
          <w:rFonts w:hint="eastAsia" w:ascii="仿宋_GB2312" w:eastAsia="仿宋_GB2312"/>
          <w:sz w:val="32"/>
          <w:szCs w:val="32"/>
        </w:rPr>
        <w:t>单位人员工资</w:t>
      </w:r>
      <w:r>
        <w:rPr>
          <w:rFonts w:hint="eastAsia" w:ascii="仿宋_GB2312" w:eastAsia="仿宋_GB2312"/>
          <w:sz w:val="32"/>
          <w:szCs w:val="32"/>
          <w:lang w:eastAsia="zh-CN"/>
        </w:rPr>
        <w:t>、个人部分保险</w:t>
      </w:r>
      <w:r>
        <w:rPr>
          <w:rFonts w:hint="eastAsia" w:ascii="仿宋_GB2312" w:eastAsia="仿宋_GB2312"/>
          <w:sz w:val="32"/>
          <w:szCs w:val="32"/>
        </w:rPr>
        <w:t>、日常运转</w:t>
      </w:r>
      <w:r>
        <w:rPr>
          <w:rFonts w:hint="eastAsia" w:ascii="仿宋_GB2312" w:eastAsia="仿宋_GB2312"/>
          <w:sz w:val="32"/>
          <w:szCs w:val="32"/>
          <w:lang w:eastAsia="zh-CN"/>
        </w:rPr>
        <w:t>等</w:t>
      </w:r>
      <w:r>
        <w:rPr>
          <w:rFonts w:hint="eastAsia" w:ascii="仿宋_GB2312" w:eastAsia="仿宋_GB2312"/>
          <w:sz w:val="32"/>
          <w:szCs w:val="32"/>
        </w:rPr>
        <w:t>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（三）2010102</w:t>
      </w:r>
      <w:r>
        <w:rPr>
          <w:rFonts w:hint="eastAsia" w:ascii="仿宋_GB2312" w:eastAsia="仿宋_GB2312"/>
          <w:sz w:val="32"/>
          <w:szCs w:val="32"/>
          <w:lang w:val="en-US" w:eastAsia="zh-CN"/>
        </w:rPr>
        <w:t>-</w:t>
      </w:r>
      <w:r>
        <w:rPr>
          <w:rFonts w:hint="eastAsia" w:ascii="仿宋_GB2312" w:eastAsia="仿宋_GB2312"/>
          <w:sz w:val="32"/>
          <w:szCs w:val="32"/>
          <w:lang w:eastAsia="zh-CN"/>
        </w:rPr>
        <w:t>一般行政管理事务30万元，为人大专项办公费，主要用于人大调研等工作开展费用，车辆保障、出差等费用；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（四）2010104</w:t>
      </w:r>
      <w:r>
        <w:rPr>
          <w:rFonts w:hint="eastAsia" w:ascii="仿宋_GB2312" w:eastAsia="仿宋_GB2312"/>
          <w:sz w:val="32"/>
          <w:szCs w:val="32"/>
          <w:lang w:val="en-US" w:eastAsia="zh-CN"/>
        </w:rPr>
        <w:t>-</w:t>
      </w:r>
      <w:r>
        <w:rPr>
          <w:rFonts w:hint="eastAsia" w:ascii="仿宋_GB2312" w:eastAsia="仿宋_GB2312"/>
          <w:sz w:val="32"/>
          <w:szCs w:val="32"/>
          <w:lang w:eastAsia="zh-CN"/>
        </w:rPr>
        <w:t>人大会议30.00万元，主要用于人大常委会及人代会议的住宿费、伙食费、会议室及会议通信线路租金、交通费、文件印刷费等支出；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（五）2010107</w:t>
      </w:r>
      <w:r>
        <w:rPr>
          <w:rFonts w:hint="eastAsia" w:ascii="仿宋_GB2312" w:eastAsia="仿宋_GB2312"/>
          <w:sz w:val="32"/>
          <w:szCs w:val="32"/>
          <w:lang w:val="en-US" w:eastAsia="zh-CN"/>
        </w:rPr>
        <w:t>-</w:t>
      </w:r>
      <w:r>
        <w:rPr>
          <w:rFonts w:hint="eastAsia" w:ascii="仿宋_GB2312" w:eastAsia="仿宋_GB2312"/>
          <w:sz w:val="32"/>
          <w:szCs w:val="32"/>
          <w:lang w:eastAsia="zh-CN"/>
        </w:rPr>
        <w:t>人大代表履职能力提升</w:t>
      </w:r>
      <w:r>
        <w:rPr>
          <w:rFonts w:hint="eastAsia" w:ascii="仿宋_GB2312" w:eastAsia="仿宋_GB2312"/>
          <w:sz w:val="32"/>
          <w:szCs w:val="32"/>
          <w:lang w:val="en-US" w:eastAsia="zh-CN"/>
        </w:rPr>
        <w:t>12</w:t>
      </w:r>
      <w:r>
        <w:rPr>
          <w:rFonts w:hint="eastAsia" w:ascii="仿宋_GB2312" w:eastAsia="仿宋_GB2312"/>
          <w:sz w:val="32"/>
          <w:szCs w:val="32"/>
          <w:lang w:eastAsia="zh-CN"/>
        </w:rPr>
        <w:t>元，主要州、县人大代表履职培训相关工作支出；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（六）</w:t>
      </w:r>
      <w:r>
        <w:rPr>
          <w:rFonts w:hint="eastAsia" w:ascii="仿宋_GB2312" w:eastAsia="仿宋_GB2312"/>
          <w:sz w:val="32"/>
          <w:szCs w:val="32"/>
          <w:lang w:val="en-US" w:eastAsia="zh-CN"/>
        </w:rPr>
        <w:t>2010108-代表工作35万元，主要用于开展代表调研考察等活动相关开支。</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（七）2080505</w:t>
      </w:r>
      <w:r>
        <w:rPr>
          <w:rFonts w:hint="eastAsia" w:ascii="仿宋_GB2312" w:eastAsia="仿宋_GB2312"/>
          <w:sz w:val="32"/>
          <w:szCs w:val="32"/>
          <w:lang w:val="en-US" w:eastAsia="zh-CN"/>
        </w:rPr>
        <w:t>-</w:t>
      </w:r>
      <w:r>
        <w:rPr>
          <w:rFonts w:hint="eastAsia"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69.74</w:t>
      </w:r>
      <w:r>
        <w:rPr>
          <w:rFonts w:hint="eastAsia" w:ascii="仿宋_GB2312" w:eastAsia="仿宋_GB2312"/>
          <w:sz w:val="32"/>
          <w:szCs w:val="32"/>
          <w:lang w:eastAsia="zh-CN"/>
        </w:rPr>
        <w:t>万元，全部用于行政及事业在职职工缴纳单位部分养老保险；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（八）2080506-机关事业单位职业年金缴费支出34.87万元，全部用于</w:t>
      </w:r>
      <w:r>
        <w:rPr>
          <w:rFonts w:hint="eastAsia" w:ascii="仿宋_GB2312" w:eastAsia="仿宋_GB2312"/>
          <w:sz w:val="32"/>
          <w:szCs w:val="32"/>
          <w:lang w:eastAsia="zh-CN"/>
        </w:rPr>
        <w:t>行政及事业</w:t>
      </w:r>
      <w:r>
        <w:rPr>
          <w:rFonts w:hint="eastAsia" w:ascii="仿宋_GB2312" w:eastAsia="仿宋_GB2312"/>
          <w:sz w:val="32"/>
          <w:szCs w:val="32"/>
          <w:lang w:val="en-US" w:eastAsia="zh-CN"/>
        </w:rPr>
        <w:t>在职职工缴纳单位部分职业年金；</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（九）2101101-行政单位医疗28.63万元，全部用于缴纳行政在职职工单位部分医疗保险；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lang w:val="en-US" w:eastAsia="zh-CN"/>
        </w:rPr>
      </w:pPr>
      <w:r>
        <w:rPr>
          <w:rFonts w:hint="eastAsia" w:ascii="仿宋_GB2312" w:eastAsia="仿宋_GB2312"/>
          <w:sz w:val="32"/>
          <w:szCs w:val="32"/>
          <w:lang w:val="en-US" w:eastAsia="zh-CN"/>
        </w:rPr>
        <w:t>（十）2101102-事业单位医疗1.89万元，全部用于缴纳事业在职职工单位部分医疗保险；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（十一）2101103-公务员医疗补助支出10.82万元，全部用于缴纳行政在职职工公务员医疗保险；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lang w:val="en-US" w:eastAsia="zh-CN"/>
        </w:rPr>
      </w:pPr>
      <w:r>
        <w:rPr>
          <w:rFonts w:hint="eastAsia" w:ascii="仿宋_GB2312" w:eastAsia="仿宋_GB2312"/>
          <w:sz w:val="32"/>
          <w:szCs w:val="32"/>
          <w:lang w:val="en-US" w:eastAsia="zh-CN"/>
        </w:rPr>
        <w:t xml:space="preserve"> （十二）2101199-其他行政事业单位医疗支出0.43万元，全部用于缴纳事业在职职工公务员医疗保险；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（十三）2210201-住房公积金支出57.45万元，全部用于缴纳行政及事业在职职工单位部分住房公积金。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预算拨款收入897.82万元，较上年度预算842.29万元增加了55.53万元，增长6.59%，其中基本运行经费预算790.82万元，占全部总预算的88.08%，较上年755.29万元增加了35.53万元，增长了4.7%，增长主要原因是2023年津补贴等工资正常调整及每年底的保险基数调整，导致编制预算时基数相对去年稍高；专项业务工作经费预算107万元，占总预算的11.92%，与上年预算87万元相比增加20万元，其中专项办公费增加10万元，代表履职能力提升专项增加10万元，增加主要原因是我办87万元专项办公费标准制定时间较久，随着人大工作的逐年规范及细化，工作任务的增加及要求的提高，87万元专项办公费已不能满足业务开支，导致我办近年中途追加专项经费。为进一步规范预算管理，减少中途追加，故今年将追加部分专项预算纳入年初预算申报，导致增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37.64万元，其中：出国费0万元，与上年持平，主要原因为未安排因公出国；公车购置费0元，与上年持平；公务用车维护费支出32.66万元，比上年减少0.04万元，与上年基本持平；公务接待费4.98万元，较上年度预算减少0.02万元，与上年基本持平，2024年我办将结合本年度工作需要，厉行节约，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2024年度安排采购预算7万元，主要用于</w:t>
      </w:r>
      <w:r>
        <w:rPr>
          <w:rFonts w:hint="eastAsia" w:ascii="仿宋_GB2312" w:eastAsia="仿宋_GB2312"/>
          <w:sz w:val="32"/>
          <w:szCs w:val="32"/>
          <w:lang w:eastAsia="zh-CN"/>
        </w:rPr>
        <w:t>采购办公桌椅、沙发，标准化档案室建设等</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pStyle w:val="4"/>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截止2023年底，实际共有固定资产价值原值398.81万</w:t>
      </w:r>
    </w:p>
    <w:p>
      <w:pPr>
        <w:pStyle w:val="4"/>
        <w:numPr>
          <w:ilvl w:val="0"/>
          <w:numId w:val="0"/>
        </w:numPr>
        <w:rPr>
          <w:rFonts w:hint="eastAsia" w:ascii="仿宋_GB2312" w:eastAsia="仿宋_GB2312"/>
          <w:sz w:val="32"/>
          <w:szCs w:val="32"/>
          <w:lang w:val="en-US" w:eastAsia="zh-CN"/>
        </w:rPr>
      </w:pPr>
      <w:r>
        <w:rPr>
          <w:rFonts w:hint="eastAsia" w:ascii="仿宋_GB2312" w:eastAsia="仿宋_GB2312"/>
          <w:sz w:val="32"/>
          <w:szCs w:val="32"/>
          <w:lang w:eastAsia="zh-CN"/>
        </w:rPr>
        <w:t>元：其中：公务用车</w:t>
      </w:r>
      <w:r>
        <w:rPr>
          <w:rFonts w:hint="eastAsia" w:ascii="仿宋_GB2312" w:eastAsia="仿宋_GB2312"/>
          <w:sz w:val="32"/>
          <w:szCs w:val="32"/>
          <w:lang w:val="en-US" w:eastAsia="zh-CN"/>
        </w:rPr>
        <w:t>4辆价值256.88万</w:t>
      </w:r>
      <w:r>
        <w:rPr>
          <w:rFonts w:hint="eastAsia" w:ascii="仿宋_GB2312" w:eastAsia="仿宋_GB2312"/>
          <w:sz w:val="32"/>
          <w:szCs w:val="32"/>
          <w:lang w:eastAsia="zh-CN"/>
        </w:rPr>
        <w:t>元；房屋</w:t>
      </w:r>
      <w:r>
        <w:rPr>
          <w:rFonts w:hint="eastAsia" w:ascii="仿宋_GB2312" w:eastAsia="仿宋_GB2312"/>
          <w:sz w:val="32"/>
          <w:szCs w:val="32"/>
          <w:lang w:val="en-US" w:eastAsia="zh-CN"/>
        </w:rPr>
        <w:t>1702.29平方米，价值32.5万元</w:t>
      </w:r>
      <w:r>
        <w:rPr>
          <w:rFonts w:hint="eastAsia" w:ascii="仿宋_GB2312" w:eastAsia="仿宋_GB2312"/>
          <w:sz w:val="32"/>
          <w:szCs w:val="32"/>
          <w:lang w:eastAsia="zh-CN"/>
        </w:rPr>
        <w:t>，通用设备</w:t>
      </w:r>
      <w:r>
        <w:rPr>
          <w:rFonts w:hint="eastAsia" w:ascii="仿宋_GB2312" w:eastAsia="仿宋_GB2312"/>
          <w:sz w:val="32"/>
          <w:szCs w:val="32"/>
          <w:lang w:val="en-US" w:eastAsia="zh-CN"/>
        </w:rPr>
        <w:t>价值76.51万元，家具用具32.92万元。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2024年我单位项目支出按要求编制了事前绩效目标，并上传了事前绩效评估报告，从项目完成、项目效益、满意度等方面做了测评，具体情况详见附表6.</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1596" w:leftChars="76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表2-1.财政拨款支出预算表（部门经济分类科目）表3.一般公共预算支出预算表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表3-1.一般公共预算基本支出预算表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表3-2.一般公共预算项目支出预算表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表3-3.一般公共预算“三公”经费支出预算表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表4.政府性基金支出预算表</w:t>
      </w:r>
    </w:p>
    <w:p>
      <w:pPr>
        <w:pStyle w:val="2"/>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表4-1.政府性基金预算“三公”经费支出预算表</w:t>
      </w:r>
    </w:p>
    <w:p>
      <w:pPr>
        <w:pStyle w:val="4"/>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表5.国有资本经营预算支出预算表</w:t>
      </w:r>
    </w:p>
    <w:p>
      <w:pPr>
        <w:pStyle w:val="4"/>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表6.项目支出绩效目标表</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0"/>
      </w:rPr>
    </w:pPr>
    <w:r>
      <w:fldChar w:fldCharType="begin"/>
    </w:r>
    <w:r>
      <w:rPr>
        <w:rStyle w:val="10"/>
      </w:rPr>
      <w:instrText xml:space="preserve">PAGE  </w:instrTex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OWIxN2FhMzAxNzRiNWJjMzA1YWY4MTVjNzk1NDcifQ=="/>
  </w:docVars>
  <w:rsids>
    <w:rsidRoot w:val="00172A27"/>
    <w:rsid w:val="021C5E6E"/>
    <w:rsid w:val="0227311A"/>
    <w:rsid w:val="026E2AF7"/>
    <w:rsid w:val="039823BA"/>
    <w:rsid w:val="041B7BC0"/>
    <w:rsid w:val="04966335"/>
    <w:rsid w:val="05981C3A"/>
    <w:rsid w:val="06485A7E"/>
    <w:rsid w:val="067A7CBC"/>
    <w:rsid w:val="06DB3A69"/>
    <w:rsid w:val="07107CE7"/>
    <w:rsid w:val="09121D09"/>
    <w:rsid w:val="09275E06"/>
    <w:rsid w:val="09293162"/>
    <w:rsid w:val="098670BB"/>
    <w:rsid w:val="0A00497C"/>
    <w:rsid w:val="0A1F3070"/>
    <w:rsid w:val="0A691330"/>
    <w:rsid w:val="0AF12517"/>
    <w:rsid w:val="0CF47246"/>
    <w:rsid w:val="0D8D4779"/>
    <w:rsid w:val="0DF2282E"/>
    <w:rsid w:val="0E4941CC"/>
    <w:rsid w:val="0E59261A"/>
    <w:rsid w:val="10B92046"/>
    <w:rsid w:val="11096ED0"/>
    <w:rsid w:val="13905C6F"/>
    <w:rsid w:val="14665D24"/>
    <w:rsid w:val="150507F9"/>
    <w:rsid w:val="15205ED3"/>
    <w:rsid w:val="15355203"/>
    <w:rsid w:val="16900E36"/>
    <w:rsid w:val="18870CA9"/>
    <w:rsid w:val="18E90CD1"/>
    <w:rsid w:val="194D289E"/>
    <w:rsid w:val="1C2C75C2"/>
    <w:rsid w:val="1C487A41"/>
    <w:rsid w:val="1C8B457A"/>
    <w:rsid w:val="1CD37CCF"/>
    <w:rsid w:val="1CF55E97"/>
    <w:rsid w:val="1D0E6F59"/>
    <w:rsid w:val="1DDD6B91"/>
    <w:rsid w:val="1EA21A14"/>
    <w:rsid w:val="1F4D7621"/>
    <w:rsid w:val="1FAE4192"/>
    <w:rsid w:val="1FC3227C"/>
    <w:rsid w:val="1FDF698A"/>
    <w:rsid w:val="202D3A81"/>
    <w:rsid w:val="23862A4B"/>
    <w:rsid w:val="23E375C9"/>
    <w:rsid w:val="24912949"/>
    <w:rsid w:val="25172D96"/>
    <w:rsid w:val="2518224A"/>
    <w:rsid w:val="26600825"/>
    <w:rsid w:val="272F507E"/>
    <w:rsid w:val="275E288B"/>
    <w:rsid w:val="276C144B"/>
    <w:rsid w:val="27CB7F20"/>
    <w:rsid w:val="27E93AAD"/>
    <w:rsid w:val="28AF655E"/>
    <w:rsid w:val="29121599"/>
    <w:rsid w:val="2A9F38E6"/>
    <w:rsid w:val="2B4F70BA"/>
    <w:rsid w:val="2C954F06"/>
    <w:rsid w:val="2D241839"/>
    <w:rsid w:val="2D7E5A35"/>
    <w:rsid w:val="2DBA5C97"/>
    <w:rsid w:val="2E020414"/>
    <w:rsid w:val="2E652F0D"/>
    <w:rsid w:val="2F270E7E"/>
    <w:rsid w:val="2FFE2E5D"/>
    <w:rsid w:val="3112096E"/>
    <w:rsid w:val="3275301D"/>
    <w:rsid w:val="329D070B"/>
    <w:rsid w:val="341E3ACD"/>
    <w:rsid w:val="352367C0"/>
    <w:rsid w:val="35E054DE"/>
    <w:rsid w:val="3609630C"/>
    <w:rsid w:val="3684230E"/>
    <w:rsid w:val="36910587"/>
    <w:rsid w:val="37135440"/>
    <w:rsid w:val="380D1E8F"/>
    <w:rsid w:val="3AF07A76"/>
    <w:rsid w:val="3C09394B"/>
    <w:rsid w:val="3C2E6878"/>
    <w:rsid w:val="3D533494"/>
    <w:rsid w:val="3D830794"/>
    <w:rsid w:val="3E115F7A"/>
    <w:rsid w:val="3E2C192B"/>
    <w:rsid w:val="3F696545"/>
    <w:rsid w:val="3FD662F8"/>
    <w:rsid w:val="408829FA"/>
    <w:rsid w:val="41C14C68"/>
    <w:rsid w:val="424B1F31"/>
    <w:rsid w:val="43266BC4"/>
    <w:rsid w:val="44DE2F1A"/>
    <w:rsid w:val="451E6974"/>
    <w:rsid w:val="465025E9"/>
    <w:rsid w:val="47643D96"/>
    <w:rsid w:val="47F70466"/>
    <w:rsid w:val="494055D5"/>
    <w:rsid w:val="499713D1"/>
    <w:rsid w:val="49CA7BE0"/>
    <w:rsid w:val="4ABA40F8"/>
    <w:rsid w:val="4B2A6FB1"/>
    <w:rsid w:val="4C3B4458"/>
    <w:rsid w:val="4C433C79"/>
    <w:rsid w:val="4D4D1254"/>
    <w:rsid w:val="4D616AAD"/>
    <w:rsid w:val="4E922C96"/>
    <w:rsid w:val="4F027E1C"/>
    <w:rsid w:val="51257DF2"/>
    <w:rsid w:val="51501312"/>
    <w:rsid w:val="53197213"/>
    <w:rsid w:val="5333338C"/>
    <w:rsid w:val="54462559"/>
    <w:rsid w:val="54715195"/>
    <w:rsid w:val="54DE4E87"/>
    <w:rsid w:val="55236927"/>
    <w:rsid w:val="555E53B0"/>
    <w:rsid w:val="55F85C97"/>
    <w:rsid w:val="569951D6"/>
    <w:rsid w:val="56F015BA"/>
    <w:rsid w:val="56F94885"/>
    <w:rsid w:val="57D577DD"/>
    <w:rsid w:val="59080725"/>
    <w:rsid w:val="594B23BF"/>
    <w:rsid w:val="5A3B68D8"/>
    <w:rsid w:val="5BAD55B3"/>
    <w:rsid w:val="5BEE2A2D"/>
    <w:rsid w:val="5D6D6DA8"/>
    <w:rsid w:val="5D6F2B20"/>
    <w:rsid w:val="5D7E22DD"/>
    <w:rsid w:val="5E1C257C"/>
    <w:rsid w:val="5F8E3006"/>
    <w:rsid w:val="5F9D3125"/>
    <w:rsid w:val="601857BA"/>
    <w:rsid w:val="609B1E7E"/>
    <w:rsid w:val="62856942"/>
    <w:rsid w:val="62D96C8E"/>
    <w:rsid w:val="62E73159"/>
    <w:rsid w:val="636966A0"/>
    <w:rsid w:val="645912A9"/>
    <w:rsid w:val="66D32372"/>
    <w:rsid w:val="670175BB"/>
    <w:rsid w:val="678B49FB"/>
    <w:rsid w:val="68060525"/>
    <w:rsid w:val="694677C3"/>
    <w:rsid w:val="6A883473"/>
    <w:rsid w:val="6AE54422"/>
    <w:rsid w:val="6B3E7FD6"/>
    <w:rsid w:val="6B480E55"/>
    <w:rsid w:val="6C417D7E"/>
    <w:rsid w:val="6CCB713F"/>
    <w:rsid w:val="6D9E2C3B"/>
    <w:rsid w:val="6E987B71"/>
    <w:rsid w:val="6FBF4B32"/>
    <w:rsid w:val="701632CF"/>
    <w:rsid w:val="70857DED"/>
    <w:rsid w:val="70894BC1"/>
    <w:rsid w:val="70F00356"/>
    <w:rsid w:val="723914F7"/>
    <w:rsid w:val="73477823"/>
    <w:rsid w:val="75C140BD"/>
    <w:rsid w:val="7A8B6668"/>
    <w:rsid w:val="7A903C7E"/>
    <w:rsid w:val="7B312348"/>
    <w:rsid w:val="7B65510B"/>
    <w:rsid w:val="7BB04544"/>
    <w:rsid w:val="7CF130FA"/>
    <w:rsid w:val="7E8827F1"/>
    <w:rsid w:val="7FC659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5">
    <w:name w:val="Body Text"/>
    <w:basedOn w:val="1"/>
    <w:qFormat/>
    <w:uiPriority w:val="0"/>
    <w:pPr>
      <w:spacing w:before="93" w:beforeLines="30"/>
    </w:pPr>
    <w:rPr>
      <w:rFonts w:ascii="仿宋_GB2312" w:eastAsia="仿宋_GB2312"/>
      <w:sz w:val="3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0">
    <w:name w:val="page number"/>
    <w:basedOn w:val="9"/>
    <w:qFormat/>
    <w:uiPriority w:val="0"/>
  </w:style>
  <w:style w:type="character" w:styleId="11">
    <w:name w:val="line number"/>
    <w:basedOn w:val="9"/>
    <w:qFormat/>
    <w:uiPriority w:val="0"/>
    <w:rPr>
      <w:rFonts w:hint="default"/>
      <w:sz w:val="22"/>
    </w:rPr>
  </w:style>
  <w:style w:type="character" w:styleId="12">
    <w:name w:val="Hyperlink"/>
    <w:basedOn w:val="9"/>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4315</Words>
  <Characters>4714</Characters>
  <Lines>0</Lines>
  <Paragraphs>0</Paragraphs>
  <TotalTime>82</TotalTime>
  <ScaleCrop>false</ScaleCrop>
  <LinksUpToDate>false</LinksUpToDate>
  <CharactersWithSpaces>4798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2024-04-10T07:01:41Z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36578FCE885D4989BF8AD9D8893D8A4A</vt:lpwstr>
  </property>
</Properties>
</file>