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eastAsia="方正小标宋简体"/>
          <w:sz w:val="72"/>
          <w:szCs w:val="72"/>
        </w:rPr>
      </w:pPr>
      <w:bookmarkStart w:id="0" w:name="_Toc15396597"/>
      <w:bookmarkStart w:id="1" w:name="_Toc15377193"/>
      <w:bookmarkStart w:id="2" w:name="_Toc15306267"/>
      <w:bookmarkStart w:id="3" w:name="_Toc15378441"/>
      <w:bookmarkStart w:id="4" w:name="_Toc15396475"/>
      <w:bookmarkStart w:id="5" w:name="_Toc15377425"/>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bookmarkEnd w:id="0"/>
    <w:bookmarkEnd w:id="1"/>
    <w:bookmarkEnd w:id="2"/>
    <w:bookmarkEnd w:id="3"/>
    <w:bookmarkEnd w:id="4"/>
    <w:bookmarkEnd w:id="5"/>
    <w:p>
      <w:pPr>
        <w:pStyle w:val="15"/>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18"/>
          <w:rFonts w:hint="eastAsia" w:ascii="方正小标宋简体" w:hAnsi="方正小标宋简体" w:eastAsia="方正小标宋简体" w:cs="方正小标宋简体"/>
          <w:sz w:val="44"/>
          <w:szCs w:val="44"/>
          <w:shd w:val="clear" w:color="auto" w:fill="FFFFFF"/>
        </w:rPr>
        <w:t>202</w:t>
      </w:r>
      <w:r>
        <w:rPr>
          <w:rStyle w:val="18"/>
          <w:rFonts w:hint="eastAsia" w:ascii="方正小标宋简体" w:hAnsi="方正小标宋简体" w:eastAsia="方正小标宋简体" w:cs="方正小标宋简体"/>
          <w:sz w:val="44"/>
          <w:szCs w:val="44"/>
          <w:shd w:val="clear" w:color="auto" w:fill="FFFFFF"/>
          <w:lang w:val="en-US" w:eastAsia="zh-CN"/>
        </w:rPr>
        <w:t>2</w:t>
      </w:r>
      <w:r>
        <w:rPr>
          <w:rStyle w:val="18"/>
          <w:rFonts w:hint="eastAsia" w:ascii="方正小标宋简体" w:hAnsi="方正小标宋简体" w:eastAsia="方正小标宋简体" w:cs="方正小标宋简体"/>
          <w:sz w:val="44"/>
          <w:szCs w:val="44"/>
          <w:shd w:val="clear" w:color="auto" w:fill="FFFFFF"/>
        </w:rPr>
        <w:t>年度</w:t>
      </w:r>
    </w:p>
    <w:p>
      <w:pPr>
        <w:pStyle w:val="15"/>
        <w:keepNext w:val="0"/>
        <w:keepLines w:val="0"/>
        <w:widowControl/>
        <w:suppressLineNumbers w:val="0"/>
        <w:ind w:left="0" w:right="75"/>
        <w:jc w:val="center"/>
        <w:rPr>
          <w:rStyle w:val="18"/>
          <w:rFonts w:hint="eastAsia" w:ascii="方正小标宋简体" w:hAnsi="方正小标宋简体" w:eastAsia="方正小标宋简体" w:cs="方正小标宋简体"/>
          <w:sz w:val="44"/>
          <w:szCs w:val="44"/>
          <w:shd w:val="clear" w:color="auto" w:fill="FFFFFF"/>
          <w:lang w:eastAsia="zh-CN"/>
        </w:rPr>
      </w:pPr>
      <w:r>
        <w:rPr>
          <w:rStyle w:val="18"/>
          <w:rFonts w:hint="eastAsia" w:ascii="方正小标宋简体" w:hAnsi="方正小标宋简体" w:eastAsia="方正小标宋简体" w:cs="方正小标宋简体"/>
          <w:sz w:val="44"/>
          <w:szCs w:val="44"/>
          <w:shd w:val="clear" w:color="auto" w:fill="FFFFFF"/>
        </w:rPr>
        <w:t>红原县人民代表大会常务委员会办公</w:t>
      </w:r>
      <w:r>
        <w:rPr>
          <w:rStyle w:val="18"/>
          <w:rFonts w:hint="eastAsia" w:ascii="方正小标宋简体" w:hAnsi="方正小标宋简体" w:eastAsia="方正小标宋简体" w:cs="方正小标宋简体"/>
          <w:sz w:val="44"/>
          <w:szCs w:val="44"/>
          <w:shd w:val="clear" w:color="auto" w:fill="FFFFFF"/>
          <w:lang w:eastAsia="zh-CN"/>
        </w:rPr>
        <w:t>室</w:t>
      </w:r>
    </w:p>
    <w:p>
      <w:pPr>
        <w:pStyle w:val="15"/>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18"/>
          <w:rFonts w:hint="eastAsia" w:ascii="方正小标宋简体" w:hAnsi="方正小标宋简体" w:eastAsia="方正小标宋简体" w:cs="方正小标宋简体"/>
          <w:sz w:val="44"/>
          <w:szCs w:val="44"/>
          <w:shd w:val="clear" w:color="auto" w:fill="FFFFFF"/>
        </w:rPr>
        <w:t>部门决算</w:t>
      </w:r>
      <w:r>
        <w:rPr>
          <w:rStyle w:val="18"/>
          <w:rFonts w:hint="eastAsia" w:ascii="方正小标宋简体" w:hAnsi="方正小标宋简体" w:eastAsia="方正小标宋简体" w:cs="方正小标宋简体"/>
          <w:sz w:val="44"/>
          <w:szCs w:val="44"/>
          <w:shd w:val="clear" w:color="auto" w:fill="FFFFFF"/>
          <w:lang w:eastAsia="zh-CN"/>
        </w:rPr>
        <w:t>公开编制说明</w:t>
      </w: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pStyle w:val="8"/>
        <w:rPr>
          <w:rFonts w:ascii="方正小标宋简体" w:eastAsia="方正小标宋简体"/>
          <w:sz w:val="36"/>
          <w:szCs w:val="36"/>
        </w:rPr>
      </w:pPr>
    </w:p>
    <w:p>
      <w:pPr>
        <w:pStyle w:val="9"/>
        <w:rPr>
          <w:rFonts w:ascii="方正小标宋简体" w:eastAsia="方正小标宋简体"/>
          <w:sz w:val="36"/>
          <w:szCs w:val="36"/>
        </w:rPr>
      </w:pPr>
    </w:p>
    <w:p>
      <w:pPr>
        <w:pStyle w:val="9"/>
        <w:rPr>
          <w:rFonts w:ascii="方正小标宋简体" w:eastAsia="方正小标宋简体"/>
          <w:sz w:val="36"/>
          <w:szCs w:val="36"/>
        </w:rPr>
      </w:pPr>
    </w:p>
    <w:p>
      <w:pPr>
        <w:pStyle w:val="15"/>
        <w:keepNext w:val="0"/>
        <w:keepLines w:val="0"/>
        <w:widowControl/>
        <w:suppressLineNumbers w:val="0"/>
        <w:ind w:left="0" w:right="75"/>
        <w:jc w:val="left"/>
      </w:pPr>
      <w:r>
        <w:rPr>
          <w:sz w:val="24"/>
          <w:szCs w:val="24"/>
          <w:shd w:val="clear" w:color="auto" w:fill="FFFFFF"/>
        </w:rPr>
        <w:t>保密审查情况：已审查，内容审定</w:t>
      </w:r>
    </w:p>
    <w:p>
      <w:pPr>
        <w:pStyle w:val="15"/>
        <w:keepNext w:val="0"/>
        <w:keepLines w:val="0"/>
        <w:widowControl/>
        <w:suppressLineNumbers w:val="0"/>
        <w:ind w:left="0" w:right="75"/>
        <w:jc w:val="left"/>
        <w:rPr>
          <w:rStyle w:val="18"/>
          <w:sz w:val="30"/>
          <w:szCs w:val="30"/>
          <w:shd w:val="clear" w:color="auto" w:fill="FFFFFF"/>
        </w:rPr>
        <w:sectPr>
          <w:pgSz w:w="11906" w:h="16838"/>
          <w:pgMar w:top="1440" w:right="1800" w:bottom="1440" w:left="1800" w:header="851" w:footer="992" w:gutter="0"/>
          <w:cols w:space="720" w:num="1"/>
          <w:docGrid w:type="lines" w:linePitch="312" w:charSpace="0"/>
        </w:sectPr>
      </w:pPr>
      <w:r>
        <w:rPr>
          <w:sz w:val="24"/>
          <w:szCs w:val="24"/>
          <w:shd w:val="clear" w:color="auto" w:fill="FFFFFF"/>
        </w:rPr>
        <w:t>部门主要负责人审签情况：已审签，同意对外公开</w:t>
      </w:r>
    </w:p>
    <w:p>
      <w:pPr>
        <w:widowControl/>
        <w:jc w:val="center"/>
        <w:rPr>
          <w:rFonts w:ascii="黑体" w:eastAsia="黑体"/>
          <w:sz w:val="48"/>
          <w:szCs w:val="48"/>
        </w:rPr>
      </w:pPr>
      <w:r>
        <w:rPr>
          <w:rFonts w:hint="eastAsia" w:ascii="黑体" w:eastAsia="黑体"/>
          <w:sz w:val="48"/>
          <w:szCs w:val="48"/>
        </w:rPr>
        <w:t>目录</w:t>
      </w:r>
    </w:p>
    <w:p>
      <w:pPr>
        <w:widowControl/>
        <w:jc w:val="center"/>
        <w:rPr>
          <w:rFonts w:ascii="黑体" w:eastAsia="黑体" w:cs="Arial"/>
          <w:sz w:val="28"/>
          <w:szCs w:val="28"/>
        </w:rPr>
      </w:pPr>
    </w:p>
    <w:p>
      <w:pPr>
        <w:pStyle w:val="13"/>
      </w:pPr>
      <w:r>
        <w:rPr>
          <w:rFonts w:hint="eastAsia"/>
        </w:rPr>
        <w:t>公开时间：2023年</w:t>
      </w:r>
      <w:r>
        <w:rPr>
          <w:rFonts w:hint="eastAsia"/>
          <w:lang w:val="en-US" w:eastAsia="zh-CN"/>
        </w:rPr>
        <w:t>10</w:t>
      </w:r>
      <w:r>
        <w:rPr>
          <w:rFonts w:hint="eastAsia"/>
        </w:rPr>
        <w:t>月</w:t>
      </w:r>
      <w:r>
        <w:rPr>
          <w:rFonts w:hint="eastAsia"/>
          <w:lang w:val="en-US" w:eastAsia="zh-CN"/>
        </w:rPr>
        <w:t>22</w:t>
      </w:r>
      <w:r>
        <w:rPr>
          <w:rFonts w:hint="eastAsia"/>
        </w:rPr>
        <w:t>日</w:t>
      </w:r>
    </w:p>
    <w:p/>
    <w:sdt>
      <w:sdtPr>
        <w:rPr>
          <w:rFonts w:ascii="宋体" w:hAnsi="宋体" w:eastAsia="宋体" w:cs="Times New Roman"/>
          <w:kern w:val="2"/>
          <w:sz w:val="21"/>
          <w:szCs w:val="24"/>
          <w:lang w:val="en-US" w:eastAsia="zh-CN" w:bidi="ar-SA"/>
        </w:rPr>
        <w:id w:val="147451071"/>
        <w15:color w:val="DBDBDB"/>
        <w:docPartObj>
          <w:docPartGallery w:val="Table of Contents"/>
          <w:docPartUnique/>
        </w:docPartObj>
      </w:sdtPr>
      <w:sdtEndPr>
        <w:rPr>
          <w:b/>
          <w:color w:val="auto"/>
        </w:rPr>
      </w:sdtEndPr>
      <w:sdtContent>
        <w:p>
          <w:pPr>
            <w:spacing w:before="0" w:beforeLines="0" w:after="0" w:afterLines="0" w:line="240" w:lineRule="auto"/>
            <w:ind w:left="0" w:leftChars="0" w:right="0" w:rightChars="0" w:firstLine="0" w:firstLineChars="0"/>
            <w:jc w:val="center"/>
          </w:pPr>
          <w:bookmarkStart w:id="6" w:name="_Toc15396599"/>
          <w:bookmarkStart w:id="7" w:name="_Toc15377196"/>
        </w:p>
        <w:p>
          <w:pPr>
            <w:pStyle w:val="13"/>
            <w:tabs>
              <w:tab w:val="right" w:leader="dot" w:pos="8306"/>
              <w:tab w:val="clear" w:pos="8296"/>
            </w:tabs>
            <w:rPr>
              <w:rFonts w:hint="eastAsia" w:ascii="仿宋_GB2312" w:hAnsi="仿宋_GB2312" w:eastAsia="仿宋_GB2312" w:cs="仿宋_GB2312"/>
              <w:sz w:val="30"/>
              <w:szCs w:val="30"/>
            </w:rPr>
          </w:pPr>
          <w:r>
            <w:rPr>
              <w:color w:val="auto"/>
            </w:rPr>
            <w:fldChar w:fldCharType="begin"/>
          </w:r>
          <w:r>
            <w:rPr>
              <w:color w:val="auto"/>
            </w:rPr>
            <w:instrText xml:space="preserve">TOC \o "1-2" \h \u </w:instrText>
          </w:r>
          <w:r>
            <w:rPr>
              <w:color w:val="auto"/>
            </w:rPr>
            <w:fldChar w:fldCharType="separate"/>
          </w: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_Toc10305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 xml:space="preserve">第一部分 </w:t>
          </w:r>
          <w:r>
            <w:rPr>
              <w:rFonts w:hint="eastAsia" w:ascii="仿宋_GB2312" w:hAnsi="仿宋_GB2312" w:eastAsia="仿宋_GB2312" w:cs="仿宋_GB2312"/>
              <w:bCs w:val="0"/>
              <w:sz w:val="30"/>
              <w:szCs w:val="30"/>
            </w:rPr>
            <w:t>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_Toc10305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_Toc5949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bCs/>
              <w:sz w:val="30"/>
              <w:szCs w:val="30"/>
            </w:rPr>
            <w:t>一、 部门职责</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_Toc5949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_Toc6464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bCs/>
              <w:sz w:val="30"/>
              <w:szCs w:val="30"/>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_Toc6464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_Toc4287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第二部分 2022年度</w:t>
          </w:r>
          <w:r>
            <w:rPr>
              <w:rFonts w:hint="eastAsia" w:ascii="仿宋_GB2312" w:hAnsi="仿宋_GB2312" w:eastAsia="仿宋_GB2312" w:cs="仿宋_GB2312"/>
              <w:bCs/>
              <w:sz w:val="30"/>
              <w:szCs w:val="30"/>
            </w:rPr>
            <w:t>部门决算情况说明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_Toc4287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_Toc12888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一、 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_Toc12888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_Toc29497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二、 收入决算情况说明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_Toc29497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_Toc17859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三、 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_Toc17859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_Toc18206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四、财政拨款收入支出决算总体情况说明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_Toc18206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_Toc29964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五、一般公共预算财政拨款支出决算情况</w:t>
          </w:r>
          <w:bookmarkStart w:id="151" w:name="_GoBack"/>
          <w:bookmarkEnd w:id="151"/>
          <w:r>
            <w:rPr>
              <w:rFonts w:hint="eastAsia" w:ascii="仿宋_GB2312" w:hAnsi="仿宋_GB2312" w:eastAsia="仿宋_GB2312" w:cs="仿宋_GB2312"/>
              <w:sz w:val="30"/>
              <w:szCs w:val="30"/>
            </w:rPr>
            <w:t>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_Toc29964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_Toc29471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六、一般公共预算财政拨款基本支出决算情况说明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_Toc29471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_Toc16831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七、财政拨款“三公”经费支出决算情况说明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_Toc16831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_Toc6663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八、政府性基金预算支出决算情况说明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_Toc6663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_Toc10406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九、 国有资本经营预算支出决算情况说明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_Toc10406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_Toc19090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十、 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_Toc19090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_Toc32480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第三部分 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_Toc32480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_Toc2545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第四部分 附件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_Toc2545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13"/>
            <w:tabs>
              <w:tab w:val="right" w:leader="dot" w:pos="8306"/>
              <w:tab w:val="clear" w:pos="8296"/>
            </w:tabs>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_Toc63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第五部分 附表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_Toc63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44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rPr>
              <w:color w:val="auto"/>
            </w:rPr>
          </w:pPr>
          <w:r>
            <w:rPr>
              <w:color w:val="auto"/>
            </w:rPr>
            <w:fldChar w:fldCharType="end"/>
          </w:r>
        </w:p>
      </w:sdtContent>
    </w:sdt>
    <w:p>
      <w:pPr>
        <w:pStyle w:val="3"/>
        <w:jc w:val="center"/>
        <w:rPr>
          <w:rStyle w:val="20"/>
          <w:rFonts w:ascii="黑体" w:eastAsia="黑体"/>
          <w:b/>
          <w:bCs w:val="0"/>
        </w:rPr>
      </w:pPr>
      <w:bookmarkStart w:id="8" w:name="_Toc10305"/>
      <w:r>
        <w:rPr>
          <w:rFonts w:hint="eastAsia" w:ascii="黑体" w:eastAsia="黑体"/>
          <w:b w:val="0"/>
        </w:rPr>
        <w:t xml:space="preserve">第一部分 </w:t>
      </w:r>
      <w:r>
        <w:rPr>
          <w:rStyle w:val="20"/>
          <w:rFonts w:hint="eastAsia" w:ascii="黑体" w:eastAsia="黑体"/>
          <w:b w:val="0"/>
          <w:bCs w:val="0"/>
        </w:rPr>
        <w:t>部门概况</w:t>
      </w:r>
      <w:bookmarkEnd w:id="6"/>
      <w:bookmarkEnd w:id="7"/>
      <w:bookmarkEnd w:id="8"/>
    </w:p>
    <w:p>
      <w:pPr>
        <w:widowControl/>
        <w:jc w:val="left"/>
        <w:rPr>
          <w:rFonts w:ascii="黑体" w:eastAsia="黑体"/>
          <w:sz w:val="32"/>
          <w:szCs w:val="32"/>
        </w:rPr>
      </w:pPr>
    </w:p>
    <w:p>
      <w:pPr>
        <w:pStyle w:val="4"/>
        <w:numPr>
          <w:ilvl w:val="0"/>
          <w:numId w:val="1"/>
        </w:numPr>
        <w:rPr>
          <w:rFonts w:hint="eastAsia" w:ascii="黑体" w:eastAsia="黑体"/>
          <w:b w:val="0"/>
          <w:bCs/>
        </w:rPr>
      </w:pPr>
      <w:bookmarkStart w:id="9" w:name="_Toc5949"/>
      <w:r>
        <w:rPr>
          <w:rFonts w:hint="eastAsia" w:ascii="黑体" w:eastAsia="黑体"/>
          <w:b w:val="0"/>
          <w:bCs/>
        </w:rPr>
        <w:t>部门职责</w:t>
      </w:r>
      <w:bookmarkEnd w:id="9"/>
    </w:p>
    <w:p>
      <w:pPr>
        <w:pStyle w:val="15"/>
        <w:keepNext w:val="0"/>
        <w:keepLines w:val="0"/>
        <w:pageBreakBefore w:val="0"/>
        <w:widowControl/>
        <w:numPr>
          <w:ilvl w:val="0"/>
          <w:numId w:val="2"/>
        </w:numPr>
        <w:suppressLineNumbers w:val="0"/>
        <w:kinsoku/>
        <w:wordWrap/>
        <w:overflowPunct/>
        <w:topLinePunct w:val="0"/>
        <w:autoSpaceDE/>
        <w:autoSpaceDN/>
        <w:bidi w:val="0"/>
        <w:adjustRightInd/>
        <w:snapToGrid/>
        <w:spacing w:line="576" w:lineRule="exact"/>
        <w:ind w:left="0" w:right="75"/>
        <w:textAlignment w:val="auto"/>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主要职能。</w:t>
      </w:r>
    </w:p>
    <w:p>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right="75" w:rightChars="0"/>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1.综合办公室主要职能</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根据主任会议安排，承担代表大会会议、常委会议、主任会议及其他会议的筹备和会务工作。起草代表大会、常委会、主任会议的有关通知、总结、计划、决议、决定、纪要、报告等文件，编写《公报》、《人大工作简报》，组织人大工作的宣传及新闻报道和组织人大机构内部的政治学习。负责内外协调，承担有关接待工作，负责文书档案、工资福利、机关财务、机关人事管理和后勤服务、车辆管理、财产管理。办理常委会领导同志交办的其他事项。 </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2.人大常委会财政经济预算和农业农村城乡环境保护委员会主要职能</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（1）为县人大常委会审议财政经济方面的各种报告，开展初审工作并提出意见，草拟县人大常委会会议相应的审议意见。</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  （2）根据常委会议和主任会议安排，承担对财政、经济方面的执法检查、代表视察和代表评议的牵头工作。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  （3）按照对口联系范围，经常联系财政和其他经济管理部门，开展调查研究工作，印发有关调查报告。</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（4）承办上级人大对口的专门委员会发来的法律法规征求意见的整理上报工作。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（5）办理本工作委员会全部文书档案工作。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（6）承担领导交办的其他工作。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3.县人大常委会法制监察司法和民族宗教外事委员会主要职能</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（1）为县人大常委会会议，审议政法方面的各种工作报告，开展初审，提出意见，草拟县人大常委会会议的相应审议意见。</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（2）根据常委会议及主任会议安排，承担对政法和司法机关，以及法制建设执法检查、代表视察和代表评议的牵头工作。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（3）按照对口联系范围经常对公、检、法、司等部门，开展调查研究工作，印发有关电查报告。</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（4）承办上级人大对口专门委员会发来的法律法规征求意见和整理上报工作。  </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（5）办理本工作委员会的全部文书档案工作。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（6）承担领导交办的其他工作。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4.县人大常委会教育科学文化卫生和社会建设委员会主要职能</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（1）为县人大常委会审议教育、科学、文化、卫生、民族宗教等方面的各种报告，开展初审工作，提出初审意见，草拟常委会会议相应的审议意见。</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（2）根据常委会议和主任会议安排，承担对教育、科技、文化、卫生、民族、宗教等方面的执法检查、代表视察和代表评议的牵头工作。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（3）按照对口联系范围，经常联系教育、科技、文化、卫生、民族、宗教等部门，开展调查研究工作，印发调查报告。</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  （4）承办上级对口专门委员会发来的法律法规征求意见和整理上报工作。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（5）办理本工作委员会的全部文书档案工作。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（6）承担领导交办的其他工作。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5.县人大常委人事代表工作委员会主要职能</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  （1）办理人民代表大会及其常务委员会人事任免的具体工作。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  （2）加强同县委、组织部、纪委、上级人大常委会对口部门、乡镇党委、本级“一府两院”的人事监察部门、政工机构和信访部门的配合与联系。</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（3）搞好对县人大常委会任命的国家机关工作人员的述职评议工作。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（4）承担换届选举方面的具体工作和由上面交办的人民代表大会制度和人大工作方面的法律、法规的征求意见，整理上报工作。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（5）做好代表联系，办理代表议案建议、批评和意见，办理人民群众的来信来访工作。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（6）承担县人大常委会代表资格审查委员会的有关具体工作和指导乡、镇人大及其主席团的工作。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6.预算联网中心主要职能</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负责全县预算及相关预算执行相关数据的监督等管理工作。</w:t>
      </w:r>
    </w:p>
    <w:p>
      <w:pPr>
        <w:pStyle w:val="15"/>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（二）202</w:t>
      </w:r>
      <w:r>
        <w:rPr>
          <w:rFonts w:hint="eastAsia" w:ascii="楷体_GB2312" w:hAnsi="楷体_GB2312" w:eastAsia="楷体_GB2312" w:cs="楷体_GB2312"/>
          <w:b/>
          <w:bCs/>
          <w:sz w:val="32"/>
          <w:szCs w:val="32"/>
          <w:shd w:val="clear" w:color="auto" w:fill="FFFFFF"/>
          <w:lang w:val="en-US" w:eastAsia="zh-CN"/>
        </w:rPr>
        <w:t>2</w:t>
      </w:r>
      <w:r>
        <w:rPr>
          <w:rFonts w:hint="eastAsia" w:ascii="楷体_GB2312" w:hAnsi="楷体_GB2312" w:eastAsia="楷体_GB2312" w:cs="楷体_GB2312"/>
          <w:b/>
          <w:bCs/>
          <w:sz w:val="32"/>
          <w:szCs w:val="32"/>
          <w:shd w:val="clear" w:color="auto" w:fill="FFFFFF"/>
        </w:rPr>
        <w:t>年重点工作完成情况。</w:t>
      </w:r>
    </w:p>
    <w:p>
      <w:pPr>
        <w:pStyle w:val="15"/>
        <w:keepNext w:val="0"/>
        <w:keepLines w:val="0"/>
        <w:widowControl/>
        <w:suppressLineNumbers w:val="0"/>
        <w:ind w:left="0" w:right="75" w:firstLine="643" w:firstLineChars="200"/>
        <w:rPr>
          <w:rFonts w:hint="eastAsia" w:ascii="仿宋_GB2312" w:hAnsi="仿宋_GB2312" w:eastAsia="仿宋_GB2312" w:cs="仿宋_GB2312"/>
          <w:b w:val="0"/>
          <w:bCs w:val="0"/>
          <w:i w:val="0"/>
          <w:caps w:val="0"/>
          <w:color w:val="000000"/>
          <w:spacing w:val="0"/>
          <w:sz w:val="32"/>
          <w:szCs w:val="32"/>
          <w:shd w:val="clear" w:color="auto" w:fill="FFFFFF"/>
          <w:lang w:eastAsia="zh-CN"/>
        </w:rPr>
      </w:pPr>
      <w:r>
        <w:rPr>
          <w:rFonts w:hint="eastAsia" w:ascii="仿宋_GB2312" w:hAnsi="仿宋_GB2312" w:eastAsia="仿宋_GB2312" w:cs="仿宋_GB2312"/>
          <w:b/>
          <w:bCs/>
          <w:i w:val="0"/>
          <w:caps w:val="0"/>
          <w:color w:val="000000"/>
          <w:spacing w:val="0"/>
          <w:sz w:val="32"/>
          <w:szCs w:val="32"/>
          <w:shd w:val="clear" w:color="auto" w:fill="FFFFFF"/>
          <w:lang w:val="en-US" w:eastAsia="zh-CN"/>
        </w:rPr>
        <w:t>1.</w:t>
      </w:r>
      <w:r>
        <w:rPr>
          <w:rFonts w:hint="eastAsia" w:ascii="仿宋_GB2312" w:hAnsi="仿宋_GB2312" w:eastAsia="仿宋_GB2312" w:cs="仿宋_GB2312"/>
          <w:b/>
          <w:bCs/>
          <w:i w:val="0"/>
          <w:caps w:val="0"/>
          <w:color w:val="000000"/>
          <w:spacing w:val="0"/>
          <w:sz w:val="32"/>
          <w:szCs w:val="32"/>
          <w:shd w:val="clear" w:color="auto" w:fill="FFFFFF"/>
          <w:lang w:eastAsia="zh-CN"/>
        </w:rPr>
        <w:t>认真做好讨论决定重大事项工作。</w:t>
      </w:r>
      <w:r>
        <w:rPr>
          <w:rFonts w:hint="eastAsia" w:ascii="仿宋_GB2312" w:hAnsi="仿宋_GB2312" w:eastAsia="仿宋_GB2312" w:cs="仿宋_GB2312"/>
          <w:b w:val="0"/>
          <w:bCs w:val="0"/>
          <w:i w:val="0"/>
          <w:caps w:val="0"/>
          <w:color w:val="000000"/>
          <w:spacing w:val="0"/>
          <w:sz w:val="32"/>
          <w:szCs w:val="32"/>
          <w:shd w:val="clear" w:color="auto" w:fill="FFFFFF"/>
          <w:lang w:eastAsia="zh-CN"/>
        </w:rPr>
        <w:t>按照科学化、民主化、法治化要求，完善讨论决定工作运行机制，事前及时请示、事中做好沟通、事后强化执行。听取审议县人民政府关于盘活2021年及以前年度财政存量资金、2021年财政决算、2022年上半年预算执行情况、2022年上半年国民经济和社会发展计划执行、2021年度县级财政预算执行和其他财政收支审计情况的报告，审查批准了2022年部门预算编制情况的报告、2022年财政预算中期调整方案。</w:t>
      </w:r>
    </w:p>
    <w:p>
      <w:pPr>
        <w:pStyle w:val="1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outlineLvl w:val="9"/>
        <w:rPr>
          <w:rFonts w:hint="eastAsia" w:ascii="仿宋_GB2312" w:hAnsi="仿宋_GB2312" w:eastAsia="仿宋_GB2312" w:cs="仿宋_GB2312"/>
          <w:b w:val="0"/>
          <w:bCs w:val="0"/>
          <w:i w:val="0"/>
          <w:caps w:val="0"/>
          <w:color w:val="000000"/>
          <w:spacing w:val="0"/>
          <w:sz w:val="32"/>
          <w:szCs w:val="32"/>
          <w:shd w:val="clear" w:color="auto" w:fill="FFFFFF"/>
          <w:lang w:val="en-US" w:eastAsia="zh-CN"/>
        </w:rPr>
      </w:pPr>
      <w:r>
        <w:rPr>
          <w:rFonts w:hint="eastAsia" w:ascii="仿宋_GB2312" w:hAnsi="仿宋_GB2312" w:eastAsia="仿宋_GB2312" w:cs="仿宋_GB2312"/>
          <w:b/>
          <w:bCs/>
          <w:i w:val="0"/>
          <w:caps w:val="0"/>
          <w:color w:val="000000"/>
          <w:spacing w:val="0"/>
          <w:sz w:val="32"/>
          <w:szCs w:val="32"/>
          <w:shd w:val="clear" w:color="auto" w:fill="FFFFFF"/>
          <w:lang w:val="en-US" w:eastAsia="zh-CN"/>
        </w:rPr>
        <w:t>2.</w:t>
      </w:r>
      <w:r>
        <w:rPr>
          <w:rFonts w:hint="eastAsia" w:ascii="仿宋_GB2312" w:hAnsi="仿宋_GB2312" w:eastAsia="仿宋_GB2312" w:cs="仿宋_GB2312"/>
          <w:b/>
          <w:bCs/>
          <w:i w:val="0"/>
          <w:caps w:val="0"/>
          <w:color w:val="000000"/>
          <w:spacing w:val="0"/>
          <w:sz w:val="32"/>
          <w:szCs w:val="32"/>
          <w:shd w:val="clear" w:color="auto" w:fill="FFFFFF"/>
          <w:lang w:eastAsia="zh-CN"/>
        </w:rPr>
        <w:t>切实做好人事任免等工作。</w:t>
      </w:r>
      <w:r>
        <w:rPr>
          <w:rFonts w:hint="eastAsia" w:ascii="仿宋_GB2312" w:hAnsi="仿宋_GB2312" w:eastAsia="仿宋_GB2312" w:cs="仿宋_GB2312"/>
          <w:b w:val="0"/>
          <w:bCs w:val="0"/>
          <w:i w:val="0"/>
          <w:caps w:val="0"/>
          <w:color w:val="000000"/>
          <w:spacing w:val="0"/>
          <w:sz w:val="32"/>
          <w:szCs w:val="32"/>
          <w:shd w:val="clear" w:color="auto" w:fill="FFFFFF"/>
          <w:lang w:eastAsia="zh-CN"/>
        </w:rPr>
        <w:t>坚持党管干部原则与依法行使任免权相统一，认真审议任免案，充分讨论，增强思想共识，全力支持机构改革、全力支持县委人事安排决策。</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认真履行宪法和法律赋予的各项职责，听取审议专项报告17项，开展专题调研11次，任免国家机关工作人员59人次，组织宪法宣誓2批29人次，作出决议决定19项，以“钉钉子”精神推动决议决定贯彻执行。</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ascii="仿宋_GB2312" w:hAnsi="仿宋_GB2312" w:eastAsia="仿宋_GB2312" w:cs="仿宋_GB2312"/>
          <w:b w:val="0"/>
          <w:bCs/>
          <w:color w:val="000000"/>
          <w:kern w:val="0"/>
          <w:sz w:val="32"/>
          <w:szCs w:val="32"/>
          <w:shd w:val="clear" w:color="auto" w:fill="FFFFFF"/>
          <w:lang w:val="en-US" w:eastAsia="zh-CN" w:bidi="ar"/>
        </w:rPr>
      </w:pPr>
      <w:r>
        <w:rPr>
          <w:rFonts w:hint="eastAsia" w:ascii="方正楷体简体" w:hAnsi="方正楷体简体" w:eastAsia="方正楷体简体" w:cs="方正楷体简体"/>
          <w:b/>
          <w:bCs/>
          <w:color w:val="000000"/>
          <w:kern w:val="0"/>
          <w:sz w:val="32"/>
          <w:szCs w:val="32"/>
          <w:shd w:val="clear" w:color="auto" w:fill="FFFFFF"/>
          <w:lang w:val="en-US" w:eastAsia="zh-CN" w:bidi="ar"/>
        </w:rPr>
        <w:t>3.聚焦计划和财政预决算审查监督。</w:t>
      </w:r>
      <w:r>
        <w:rPr>
          <w:rFonts w:hint="eastAsia" w:ascii="仿宋_GB2312" w:hAnsi="仿宋_GB2312" w:eastAsia="仿宋_GB2312" w:cs="仿宋_GB2312"/>
          <w:b w:val="0"/>
          <w:bCs/>
          <w:color w:val="000000"/>
          <w:kern w:val="0"/>
          <w:sz w:val="32"/>
          <w:szCs w:val="32"/>
          <w:shd w:val="clear" w:color="auto" w:fill="FFFFFF"/>
          <w:lang w:val="en-US" w:eastAsia="zh-CN" w:bidi="ar"/>
        </w:rPr>
        <w:t>听取审议县人民政府关于盘活2021年及以前年度财政存量资金、2021年财政决算、2022年上半年预算执行情况、2022年上半年国民经济和社会发展计划执行、2021年度县级财政预算执行和其他财政收支审计情况的报告，审查批准了2022年部门预算编制情况的报告、2022年财政预算中期调整方案，要求县人民政府按照常委会依法作出的审议意见和决议认真予以落实，切实维护预算执行的严肃性，保持经济和社会各项事业全面发展。听取和审议全民所有自然资源资产清查工作情况的报告，推动自然资源资产更好服务发展。</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ascii="仿宋_GB2312" w:hAnsi="仿宋_GB2312" w:eastAsia="仿宋_GB2312" w:cs="仿宋_GB2312"/>
          <w:color w:val="000000"/>
          <w:sz w:val="32"/>
          <w:szCs w:val="32"/>
        </w:rPr>
      </w:pPr>
      <w:r>
        <w:rPr>
          <w:rFonts w:hint="eastAsia" w:ascii="方正楷体简体" w:hAnsi="方正楷体简体" w:eastAsia="方正楷体简体" w:cs="方正楷体简体"/>
          <w:b/>
          <w:bCs/>
          <w:color w:val="000000"/>
          <w:kern w:val="0"/>
          <w:sz w:val="32"/>
          <w:szCs w:val="32"/>
          <w:shd w:val="clear" w:color="auto" w:fill="FFFFFF"/>
          <w:lang w:val="en-US" w:eastAsia="zh-CN" w:bidi="ar"/>
        </w:rPr>
        <w:t>4.聚焦重点项目建设开展监督。</w:t>
      </w:r>
      <w:r>
        <w:rPr>
          <w:rFonts w:hint="eastAsia" w:ascii="仿宋_GB2312" w:hAnsi="仿宋_GB2312" w:eastAsia="仿宋_GB2312" w:cs="仿宋_GB2312"/>
          <w:b w:val="0"/>
          <w:bCs w:val="0"/>
          <w:color w:val="000000"/>
          <w:kern w:val="0"/>
          <w:sz w:val="32"/>
          <w:szCs w:val="32"/>
          <w:shd w:val="clear" w:color="auto" w:fill="FFFFFF"/>
          <w:lang w:val="en-US" w:eastAsia="zh-CN" w:bidi="ar"/>
        </w:rPr>
        <w:t>组织州、县人大代表对动物无害化技术处理工程项目、城区集中供暖建设项目（二期）等6个重点项目开展了专题视察，提出强化工作落实、隐患排查、问题整改、加快建设进度、规范项目管理等意见建议，并形成专题视察报告呈报县委，得到了县委主要领导肯定性批示。听取和审议县人民政府关于2022年度重点项目推进情况的报告，有力推动了全县重点项目建设进程</w:t>
      </w:r>
      <w:r>
        <w:rPr>
          <w:rFonts w:hint="eastAsia" w:ascii="仿宋_GB2312" w:hAnsi="仿宋_GB2312" w:eastAsia="仿宋_GB2312" w:cs="仿宋_GB2312"/>
          <w:color w:val="000000"/>
          <w:sz w:val="32"/>
          <w:szCs w:val="32"/>
        </w:rPr>
        <w:t>。</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50" w:lineRule="exact"/>
        <w:ind w:firstLine="643" w:firstLineChars="200"/>
        <w:jc w:val="both"/>
        <w:textAlignment w:val="auto"/>
        <w:outlineLvl w:val="9"/>
        <w:rPr>
          <w:rFonts w:hint="eastAsia" w:ascii="楷体_GB2312" w:hAnsi="楷体_GB2312" w:eastAsia="楷体_GB2312" w:cs="楷体_GB2312"/>
          <w:b/>
          <w:color w:val="000000"/>
          <w:spacing w:val="0"/>
          <w:sz w:val="32"/>
          <w:lang w:val="en-US" w:eastAsia="zh-CN"/>
        </w:rPr>
      </w:pPr>
      <w:r>
        <w:rPr>
          <w:rFonts w:hint="eastAsia" w:ascii="方正楷体简体" w:hAnsi="方正楷体简体" w:eastAsia="方正楷体简体" w:cs="方正楷体简体"/>
          <w:b/>
          <w:bCs/>
          <w:color w:val="000000"/>
          <w:kern w:val="0"/>
          <w:sz w:val="32"/>
          <w:szCs w:val="32"/>
          <w:shd w:val="clear" w:color="auto" w:fill="FFFFFF"/>
          <w:lang w:val="en-US" w:eastAsia="zh-CN" w:bidi="ar"/>
        </w:rPr>
        <w:t>5.聚焦民生保障开展监督。</w:t>
      </w:r>
      <w:r>
        <w:rPr>
          <w:rFonts w:hint="eastAsia" w:ascii="仿宋_GB2312" w:hAnsi="仿宋_GB2312" w:eastAsia="仿宋_GB2312" w:cs="仿宋_GB2312"/>
          <w:b w:val="0"/>
          <w:bCs w:val="0"/>
          <w:i w:val="0"/>
          <w:caps w:val="0"/>
          <w:snapToGrid w:val="0"/>
          <w:color w:val="000000"/>
          <w:spacing w:val="0"/>
          <w:kern w:val="56"/>
          <w:sz w:val="32"/>
          <w:szCs w:val="32"/>
          <w:shd w:val="clear" w:color="auto" w:fill="FFFFFF"/>
          <w:lang w:val="en-US" w:eastAsia="zh-CN"/>
        </w:rPr>
        <w:t>听取和审议县人民政府关于县退役军人事务工作开展情况、县域内景区景点运营和管理情况、就业促进和技能培训情况等</w:t>
      </w:r>
      <w:r>
        <w:rPr>
          <w:rFonts w:hint="eastAsia" w:ascii="仿宋_GB2312" w:hAnsi="仿宋_GB2312" w:eastAsia="仿宋_GB2312" w:cs="仿宋_GB2312"/>
          <w:b w:val="0"/>
          <w:bCs w:val="0"/>
          <w:i w:val="0"/>
          <w:caps w:val="0"/>
          <w:snapToGrid w:val="0"/>
          <w:color w:val="000000"/>
          <w:spacing w:val="0"/>
          <w:kern w:val="56"/>
          <w:sz w:val="32"/>
          <w:szCs w:val="32"/>
          <w:u w:val="none"/>
          <w:shd w:val="clear" w:color="auto" w:fill="FFFFFF"/>
          <w:lang w:val="en-US" w:eastAsia="zh-CN"/>
        </w:rPr>
        <w:t>5</w:t>
      </w:r>
      <w:r>
        <w:rPr>
          <w:rFonts w:hint="eastAsia" w:ascii="仿宋_GB2312" w:hAnsi="仿宋_GB2312" w:eastAsia="仿宋_GB2312" w:cs="仿宋_GB2312"/>
          <w:b w:val="0"/>
          <w:bCs w:val="0"/>
          <w:i w:val="0"/>
          <w:caps w:val="0"/>
          <w:snapToGrid w:val="0"/>
          <w:color w:val="000000"/>
          <w:spacing w:val="0"/>
          <w:kern w:val="56"/>
          <w:sz w:val="32"/>
          <w:szCs w:val="32"/>
          <w:shd w:val="clear" w:color="auto" w:fill="FFFFFF"/>
          <w:lang w:val="en-US" w:eastAsia="zh-CN"/>
        </w:rPr>
        <w:t>个专项工作报告，</w:t>
      </w:r>
      <w:r>
        <w:rPr>
          <w:rFonts w:hint="eastAsia" w:ascii="仿宋_GB2312" w:hAnsi="仿宋_GB2312" w:eastAsia="仿宋_GB2312" w:cs="仿宋_GB2312"/>
          <w:color w:val="000000"/>
          <w:spacing w:val="0"/>
          <w:sz w:val="32"/>
          <w:szCs w:val="32"/>
        </w:rPr>
        <w:t>提出针对性较强的审议意见</w:t>
      </w:r>
      <w:r>
        <w:rPr>
          <w:rFonts w:hint="eastAsia" w:ascii="仿宋_GB2312" w:hAnsi="仿宋_GB2312" w:eastAsia="仿宋_GB2312" w:cs="仿宋_GB2312"/>
          <w:color w:val="000000" w:themeColor="text1"/>
          <w:spacing w:val="0"/>
          <w:sz w:val="32"/>
          <w:szCs w:val="32"/>
          <w:lang w:val="en-US" w:eastAsia="zh-CN"/>
        </w:rPr>
        <w:t>17</w:t>
      </w:r>
      <w:r>
        <w:rPr>
          <w:rFonts w:hint="eastAsia" w:ascii="仿宋_GB2312" w:hAnsi="仿宋_GB2312" w:eastAsia="仿宋_GB2312" w:cs="仿宋_GB2312"/>
          <w:color w:val="000000"/>
          <w:spacing w:val="0"/>
          <w:sz w:val="32"/>
          <w:szCs w:val="32"/>
        </w:rPr>
        <w:t>条，督促县政府要不断提高公共服务水平，</w:t>
      </w:r>
      <w:r>
        <w:rPr>
          <w:rFonts w:hint="eastAsia" w:ascii="仿宋_GB2312" w:hAnsi="仿宋_GB2312" w:eastAsia="仿宋_GB2312" w:cs="仿宋_GB2312"/>
          <w:b w:val="0"/>
          <w:bCs w:val="0"/>
          <w:i w:val="0"/>
          <w:caps w:val="0"/>
          <w:snapToGrid w:val="0"/>
          <w:color w:val="000000"/>
          <w:spacing w:val="0"/>
          <w:kern w:val="56"/>
          <w:sz w:val="32"/>
          <w:szCs w:val="32"/>
          <w:shd w:val="clear" w:color="auto" w:fill="FFFFFF"/>
          <w:lang w:val="en-US" w:eastAsia="zh-CN"/>
        </w:rPr>
        <w:t>不断完善服务保障体系，倾力倾情做好服务保障工作，</w:t>
      </w:r>
      <w:r>
        <w:rPr>
          <w:rFonts w:hint="eastAsia" w:ascii="仿宋_GB2312" w:hAnsi="仿宋_GB2312" w:eastAsia="仿宋_GB2312" w:cs="仿宋_GB2312"/>
          <w:color w:val="000000"/>
          <w:spacing w:val="0"/>
          <w:sz w:val="32"/>
          <w:szCs w:val="32"/>
        </w:rPr>
        <w:t>让人民群众共享改革发展成果。</w:t>
      </w:r>
      <w:r>
        <w:rPr>
          <w:rFonts w:hint="eastAsia" w:ascii="仿宋_GB2312" w:hAnsi="黑体" w:eastAsia="仿宋_GB2312" w:cs="宋体"/>
          <w:color w:val="000000"/>
          <w:spacing w:val="0"/>
          <w:kern w:val="0"/>
          <w:sz w:val="32"/>
          <w:szCs w:val="32"/>
          <w:lang w:val="en-US" w:eastAsia="zh-CN"/>
        </w:rPr>
        <w:t>围绕“五馆一站”</w:t>
      </w:r>
      <w:r>
        <w:rPr>
          <w:rFonts w:hint="eastAsia" w:ascii="汉仪书宋二S" w:hAnsi="汉仪书宋二S" w:eastAsia="汉仪书宋二S" w:cs="汉仪书宋二S"/>
          <w:color w:val="000000"/>
          <w:spacing w:val="0"/>
          <w:kern w:val="0"/>
          <w:sz w:val="32"/>
          <w:szCs w:val="32"/>
          <w:vertAlign w:val="superscript"/>
          <w:lang w:val="en-US" w:eastAsia="zh-CN"/>
        </w:rPr>
        <w:t>①</w:t>
      </w:r>
      <w:r>
        <w:rPr>
          <w:rFonts w:hint="eastAsia" w:ascii="仿宋_GB2312" w:hAnsi="黑体" w:eastAsia="仿宋_GB2312" w:cs="宋体"/>
          <w:color w:val="000000"/>
          <w:spacing w:val="0"/>
          <w:kern w:val="0"/>
          <w:sz w:val="32"/>
          <w:szCs w:val="32"/>
          <w:lang w:val="en-US" w:eastAsia="zh-CN"/>
        </w:rPr>
        <w:t>免费开放、提高养老金待遇、2022年农村通信基础设施能力提升等民生实事项目开展</w:t>
      </w:r>
      <w:r>
        <w:rPr>
          <w:rFonts w:hint="eastAsia" w:ascii="仿宋_GB2312" w:hAnsi="仿宋_GB2312" w:eastAsia="仿宋_GB2312" w:cs="仿宋_GB2312"/>
          <w:color w:val="000000"/>
          <w:spacing w:val="0"/>
          <w:sz w:val="32"/>
          <w:szCs w:val="32"/>
          <w:lang w:val="en-US" w:eastAsia="zh-CN"/>
        </w:rPr>
        <w:t>专项监督，</w:t>
      </w:r>
      <w:r>
        <w:rPr>
          <w:rFonts w:hint="eastAsia" w:ascii="仿宋_GB2312" w:hAnsi="仿宋_GB2312" w:eastAsia="仿宋_GB2312" w:cs="仿宋_GB2312"/>
          <w:color w:val="000000"/>
          <w:spacing w:val="0"/>
          <w:sz w:val="32"/>
          <w:szCs w:val="32"/>
          <w:lang w:eastAsia="zh-CN"/>
        </w:rPr>
        <w:t>提出</w:t>
      </w:r>
      <w:r>
        <w:rPr>
          <w:rFonts w:hint="eastAsia" w:ascii="仿宋_GB2312" w:hAnsi="仿宋_GB2312" w:eastAsia="仿宋_GB2312" w:cs="仿宋_GB2312"/>
          <w:color w:val="000000"/>
          <w:spacing w:val="0"/>
          <w:sz w:val="32"/>
          <w:szCs w:val="32"/>
          <w:lang w:val="en-US" w:eastAsia="zh-CN"/>
        </w:rPr>
        <w:t>15条意见建议，</w:t>
      </w:r>
      <w:r>
        <w:rPr>
          <w:rFonts w:hint="eastAsia" w:ascii="仿宋_GB2312" w:hAnsi="仿宋_GB2312" w:eastAsia="仿宋_GB2312" w:cs="仿宋_GB2312"/>
          <w:color w:val="000000"/>
          <w:spacing w:val="0"/>
          <w:sz w:val="32"/>
          <w:szCs w:val="32"/>
        </w:rPr>
        <w:t>督促</w:t>
      </w:r>
      <w:r>
        <w:rPr>
          <w:rFonts w:hint="eastAsia" w:ascii="仿宋_GB2312" w:hAnsi="仿宋_GB2312" w:eastAsia="仿宋_GB2312" w:cs="仿宋_GB2312"/>
          <w:color w:val="000000"/>
          <w:spacing w:val="0"/>
          <w:sz w:val="32"/>
          <w:szCs w:val="32"/>
          <w:lang w:eastAsia="zh-CN"/>
        </w:rPr>
        <w:t>县人民政府</w:t>
      </w:r>
      <w:r>
        <w:rPr>
          <w:rFonts w:hint="eastAsia" w:ascii="仿宋_GB2312" w:hAnsi="仿宋_GB2312" w:eastAsia="仿宋_GB2312" w:cs="仿宋_GB2312"/>
          <w:color w:val="000000"/>
          <w:spacing w:val="0"/>
          <w:sz w:val="32"/>
          <w:szCs w:val="32"/>
        </w:rPr>
        <w:t>强化工作落实</w:t>
      </w:r>
      <w:r>
        <w:rPr>
          <w:rFonts w:hint="eastAsia" w:ascii="仿宋_GB2312" w:hAnsi="仿宋_GB2312" w:eastAsia="仿宋_GB2312" w:cs="仿宋_GB2312"/>
          <w:color w:val="000000"/>
          <w:spacing w:val="0"/>
          <w:sz w:val="32"/>
          <w:szCs w:val="32"/>
          <w:lang w:eastAsia="zh-CN"/>
        </w:rPr>
        <w:t>，</w:t>
      </w:r>
      <w:r>
        <w:rPr>
          <w:rFonts w:hint="eastAsia" w:ascii="仿宋_GB2312" w:hAnsi="仿宋_GB2312" w:eastAsia="仿宋_GB2312" w:cs="仿宋_GB2312"/>
          <w:color w:val="000000"/>
          <w:spacing w:val="0"/>
          <w:sz w:val="32"/>
          <w:szCs w:val="32"/>
          <w:lang w:val="en-US" w:eastAsia="zh-CN"/>
        </w:rPr>
        <w:t>让人民群众的获得感成色更足、幸福感更可持续、安全感更有保障。</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50" w:lineRule="exact"/>
        <w:ind w:firstLine="643" w:firstLineChars="200"/>
        <w:jc w:val="both"/>
        <w:textAlignment w:val="auto"/>
        <w:outlineLvl w:val="9"/>
        <w:rPr>
          <w:rFonts w:hint="eastAsia" w:ascii="仿宋_GB2312" w:hAnsi="仿宋_GB2312" w:eastAsia="仿宋_GB2312" w:cs="仿宋_GB2312"/>
          <w:b w:val="0"/>
          <w:bCs w:val="0"/>
          <w:i w:val="0"/>
          <w:caps w:val="0"/>
          <w:color w:val="000000"/>
          <w:spacing w:val="0"/>
          <w:sz w:val="32"/>
          <w:szCs w:val="32"/>
          <w:lang w:val="en-US" w:eastAsia="zh-CN"/>
        </w:rPr>
      </w:pPr>
      <w:r>
        <w:rPr>
          <w:rFonts w:hint="eastAsia" w:ascii="方正楷体简体" w:hAnsi="方正楷体简体" w:eastAsia="方正楷体简体" w:cs="方正楷体简体"/>
          <w:b/>
          <w:bCs/>
          <w:i w:val="0"/>
          <w:caps w:val="0"/>
          <w:color w:val="000000"/>
          <w:spacing w:val="0"/>
          <w:sz w:val="32"/>
          <w:szCs w:val="32"/>
          <w:lang w:val="en-US" w:eastAsia="zh-CN"/>
        </w:rPr>
        <w:t>6.</w:t>
      </w:r>
      <w:r>
        <w:rPr>
          <w:rFonts w:hint="eastAsia" w:ascii="楷体_GB2312" w:hAnsi="楷体_GB2312" w:eastAsia="楷体_GB2312" w:cs="楷体_GB2312"/>
          <w:b/>
          <w:bCs/>
          <w:i w:val="0"/>
          <w:caps w:val="0"/>
          <w:color w:val="000000"/>
          <w:spacing w:val="0"/>
          <w:sz w:val="32"/>
          <w:szCs w:val="32"/>
          <w:lang w:val="en-US" w:eastAsia="zh-CN"/>
        </w:rPr>
        <w:t>抓业务培训，履职能力进一步提升。</w:t>
      </w:r>
      <w:r>
        <w:rPr>
          <w:rFonts w:hint="eastAsia" w:ascii="仿宋_GB2312" w:hAnsi="仿宋_GB2312" w:eastAsia="仿宋_GB2312" w:cs="仿宋_GB2312"/>
          <w:b w:val="0"/>
          <w:bCs w:val="0"/>
          <w:i w:val="0"/>
          <w:caps w:val="0"/>
          <w:color w:val="000000"/>
          <w:spacing w:val="0"/>
          <w:sz w:val="32"/>
          <w:szCs w:val="32"/>
          <w:lang w:val="en-US" w:eastAsia="zh-CN"/>
        </w:rPr>
        <w:t>着力突出提升代表政治素质、履职素质和专业素质，通过采取专题培训、以会代训、调研考察等形式，多层次、多渠道组织代表纵向学习、横向交流。一年来，举办县本级代表培训班2期，参加上级人大举办的培训班3期，参训代表183人次，增强了代表依法履职意识，代表政治理论素养、工作业务水平和依法履职能力得到有力提升。邀请县人大代表20余人次列席县人大常委会会议，进一步畅通代表知政渠道，保障代表知情权、参与权和监督权。</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50" w:lineRule="exact"/>
        <w:ind w:firstLine="643" w:firstLineChars="200"/>
        <w:jc w:val="both"/>
        <w:textAlignment w:val="auto"/>
        <w:outlineLvl w:val="9"/>
        <w:rPr>
          <w:rFonts w:hint="eastAsia" w:ascii="方正楷体简体" w:hAnsi="方正楷体简体" w:eastAsia="方正楷体简体" w:cs="方正楷体简体"/>
          <w:b/>
          <w:bCs/>
          <w:i w:val="0"/>
          <w:caps w:val="0"/>
          <w:color w:val="000000"/>
          <w:spacing w:val="0"/>
          <w:sz w:val="32"/>
          <w:szCs w:val="32"/>
          <w:lang w:val="en-US" w:eastAsia="zh-CN"/>
        </w:rPr>
      </w:pPr>
      <w:r>
        <w:rPr>
          <w:rFonts w:hint="eastAsia" w:ascii="方正楷体简体" w:hAnsi="方正楷体简体" w:eastAsia="方正楷体简体" w:cs="方正楷体简体"/>
          <w:b/>
          <w:bCs/>
          <w:i w:val="0"/>
          <w:caps w:val="0"/>
          <w:color w:val="000000"/>
          <w:spacing w:val="0"/>
          <w:sz w:val="32"/>
          <w:szCs w:val="32"/>
          <w:lang w:val="en-US" w:eastAsia="zh-CN"/>
        </w:rPr>
        <w:t>7.抓平台建设，履职基础进一步夯实。</w:t>
      </w:r>
      <w:r>
        <w:rPr>
          <w:rFonts w:hint="eastAsia" w:ascii="仿宋_GB2312" w:hAnsi="仿宋_GB2312" w:eastAsia="仿宋_GB2312" w:cs="仿宋_GB2312"/>
          <w:b w:val="0"/>
          <w:bCs w:val="0"/>
          <w:i w:val="0"/>
          <w:caps w:val="0"/>
          <w:color w:val="000000"/>
          <w:spacing w:val="0"/>
          <w:sz w:val="32"/>
          <w:szCs w:val="32"/>
          <w:lang w:val="en-US" w:eastAsia="zh-CN"/>
        </w:rPr>
        <w:t>为着力推进代表联络站建设规范化、活动常态化、作用最大化，充分发挥好人大代表的主体作用，投入12万元对10个乡镇代表联络站和代表联络总站进行提升改造，规范和细化了代表联系群众的具体内容、方式方法、工作保障等内容，为代表联系群众提供了制度支撑。各级代表进站开展活动1200余次，联系接待选民600余人次，持续开展人大代表向原选区选民述职活动300余人次，密切了代表与选民之间的联系。</w:t>
      </w:r>
      <w:r>
        <w:rPr>
          <w:rFonts w:hint="eastAsia" w:ascii="仿宋_GB2312" w:hAnsi="仿宋_GB2312" w:eastAsia="仿宋_GB2312" w:cs="仿宋_GB2312"/>
          <w:b w:val="0"/>
          <w:bCs w:val="0"/>
          <w:color w:val="000000" w:themeColor="text1"/>
          <w:spacing w:val="0"/>
          <w:kern w:val="0"/>
          <w:sz w:val="32"/>
          <w:szCs w:val="32"/>
          <w:shd w:val="clear" w:color="auto" w:fill="FFFFFF"/>
          <w:lang w:val="en-US" w:eastAsia="zh-CN" w:bidi="ar-SA"/>
        </w:rPr>
        <w:t xml:space="preserve">“11.26”疫情发生后，面对复杂严峻防控形势，各级人大代表闻令而动、向疫而行，充分发扬不怕疲劳，舍小家为大家，奋战抗疫一线，开展往来人员核查登记、值班值守、宣传劝导等工作，以实际行动展现人大代表的责任担当。 </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50" w:lineRule="exact"/>
        <w:ind w:left="0" w:firstLine="643" w:firstLineChars="200"/>
        <w:jc w:val="both"/>
        <w:textAlignment w:val="auto"/>
        <w:outlineLvl w:val="9"/>
        <w:rPr>
          <w:rFonts w:hint="eastAsia" w:ascii="方正楷体简体" w:hAnsi="方正楷体简体" w:eastAsia="方正楷体简体" w:cs="方正楷体简体"/>
          <w:b/>
          <w:bCs/>
          <w:sz w:val="32"/>
          <w:szCs w:val="32"/>
          <w:lang w:eastAsia="zh-CN"/>
        </w:rPr>
      </w:pPr>
      <w:r>
        <w:rPr>
          <w:rFonts w:hint="eastAsia" w:ascii="楷体_GB2312" w:hAnsi="楷体_GB2312" w:eastAsia="楷体_GB2312" w:cs="楷体_GB2312"/>
          <w:b/>
          <w:bCs/>
          <w:i w:val="0"/>
          <w:caps w:val="0"/>
          <w:color w:val="000000"/>
          <w:spacing w:val="0"/>
          <w:sz w:val="32"/>
          <w:szCs w:val="32"/>
          <w:shd w:val="clear" w:color="auto" w:fill="FFFFFF"/>
          <w:lang w:val="en-US" w:eastAsia="zh-CN"/>
        </w:rPr>
        <w:t>8.</w:t>
      </w:r>
      <w:r>
        <w:rPr>
          <w:rFonts w:hint="eastAsia" w:ascii="方正楷体简体" w:hAnsi="方正楷体简体" w:eastAsia="方正楷体简体" w:cs="方正楷体简体"/>
          <w:b/>
          <w:bCs/>
          <w:i w:val="0"/>
          <w:caps w:val="0"/>
          <w:color w:val="000000"/>
          <w:spacing w:val="0"/>
          <w:sz w:val="32"/>
          <w:szCs w:val="32"/>
          <w:lang w:val="en-US" w:eastAsia="zh-CN"/>
        </w:rPr>
        <w:t>抓建议办理，履职成效进一步凸显。</w:t>
      </w:r>
      <w:r>
        <w:rPr>
          <w:rFonts w:hint="eastAsia" w:ascii="仿宋_GB2312" w:hAnsi="仿宋_GB2312" w:eastAsia="仿宋_GB2312" w:cs="仿宋_GB2312"/>
          <w:b w:val="0"/>
          <w:bCs w:val="0"/>
          <w:i w:val="0"/>
          <w:caps w:val="0"/>
          <w:color w:val="000000"/>
          <w:spacing w:val="0"/>
          <w:sz w:val="32"/>
          <w:szCs w:val="32"/>
          <w:lang w:val="en-US" w:eastAsia="zh-CN"/>
        </w:rPr>
        <w:t>将</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县十</w:t>
      </w:r>
      <w:r>
        <w:rPr>
          <w:rFonts w:hint="eastAsia" w:ascii="仿宋_GB2312" w:hAnsi="仿宋_GB2312" w:eastAsia="仿宋_GB2312" w:cs="仿宋_GB2312"/>
          <w:b w:val="0"/>
          <w:i w:val="0"/>
          <w:caps w:val="0"/>
          <w:snapToGrid w:val="0"/>
          <w:color w:val="000000"/>
          <w:spacing w:val="0"/>
          <w:kern w:val="56"/>
          <w:sz w:val="32"/>
          <w:szCs w:val="32"/>
          <w:shd w:val="clear" w:color="auto" w:fill="FFFFFF"/>
          <w:lang w:val="en-US" w:eastAsia="zh-CN"/>
        </w:rPr>
        <w:t>五</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届人大</w:t>
      </w:r>
      <w:r>
        <w:rPr>
          <w:rFonts w:hint="eastAsia" w:ascii="仿宋_GB2312" w:hAnsi="仿宋_GB2312" w:eastAsia="仿宋_GB2312" w:cs="仿宋_GB2312"/>
          <w:b w:val="0"/>
          <w:i w:val="0"/>
          <w:caps w:val="0"/>
          <w:snapToGrid w:val="0"/>
          <w:color w:val="000000"/>
          <w:spacing w:val="0"/>
          <w:kern w:val="56"/>
          <w:sz w:val="32"/>
          <w:szCs w:val="32"/>
          <w:shd w:val="clear" w:color="auto" w:fill="FFFFFF"/>
          <w:lang w:val="en-US" w:eastAsia="zh-CN"/>
        </w:rPr>
        <w:t>一次</w:t>
      </w:r>
      <w:r>
        <w:rPr>
          <w:rFonts w:hint="eastAsia" w:ascii="仿宋_GB2312" w:hAnsi="仿宋_GB2312" w:eastAsia="仿宋_GB2312" w:cs="仿宋_GB2312"/>
          <w:b w:val="0"/>
          <w:i w:val="0"/>
          <w:caps w:val="0"/>
          <w:snapToGrid w:val="0"/>
          <w:color w:val="000000"/>
          <w:spacing w:val="0"/>
          <w:kern w:val="56"/>
          <w:sz w:val="32"/>
          <w:szCs w:val="32"/>
          <w:shd w:val="clear" w:color="auto" w:fill="FFFFFF"/>
        </w:rPr>
        <w:t>会议代表</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提出的</w:t>
      </w:r>
      <w:r>
        <w:rPr>
          <w:rFonts w:hint="eastAsia" w:ascii="仿宋_GB2312" w:hAnsi="仿宋_GB2312" w:eastAsia="仿宋_GB2312" w:cs="仿宋_GB2312"/>
          <w:b w:val="0"/>
          <w:i w:val="0"/>
          <w:caps w:val="0"/>
          <w:snapToGrid w:val="0"/>
          <w:color w:val="000000"/>
          <w:spacing w:val="0"/>
          <w:kern w:val="56"/>
          <w:sz w:val="32"/>
          <w:szCs w:val="32"/>
          <w:shd w:val="clear" w:color="auto" w:fill="FFFFFF"/>
          <w:lang w:val="en-US" w:eastAsia="zh-CN"/>
        </w:rPr>
        <w:t>101</w:t>
      </w:r>
      <w:r>
        <w:rPr>
          <w:rFonts w:hint="eastAsia" w:ascii="仿宋_GB2312" w:hAnsi="仿宋_GB2312" w:eastAsia="仿宋_GB2312" w:cs="仿宋_GB2312"/>
          <w:b w:val="0"/>
          <w:i w:val="0"/>
          <w:caps w:val="0"/>
          <w:snapToGrid w:val="0"/>
          <w:color w:val="000000"/>
          <w:spacing w:val="0"/>
          <w:kern w:val="56"/>
          <w:sz w:val="32"/>
          <w:szCs w:val="32"/>
          <w:shd w:val="clear" w:color="auto" w:fill="FFFFFF"/>
        </w:rPr>
        <w:t>件建议</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，交</w:t>
      </w:r>
      <w:r>
        <w:rPr>
          <w:rFonts w:hint="eastAsia" w:ascii="仿宋_GB2312" w:hAnsi="仿宋_GB2312" w:eastAsia="仿宋_GB2312" w:cs="仿宋_GB2312"/>
          <w:b w:val="0"/>
          <w:i w:val="0"/>
          <w:caps w:val="0"/>
          <w:snapToGrid w:val="0"/>
          <w:color w:val="000000"/>
          <w:spacing w:val="0"/>
          <w:kern w:val="56"/>
          <w:sz w:val="32"/>
          <w:szCs w:val="32"/>
          <w:u w:val="none"/>
          <w:shd w:val="clear" w:color="auto" w:fill="FFFFFF"/>
          <w:lang w:val="en-US" w:eastAsia="zh-CN"/>
        </w:rPr>
        <w:t>35</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个单位、部门和组织办理，</w:t>
      </w:r>
      <w:r>
        <w:rPr>
          <w:rFonts w:hint="eastAsia" w:ascii="仿宋_GB2312" w:hAnsi="仿宋_GB2312" w:eastAsia="仿宋_GB2312" w:cs="仿宋_GB2312"/>
          <w:i w:val="0"/>
          <w:iCs w:val="0"/>
          <w:caps w:val="0"/>
          <w:color w:val="000000"/>
          <w:spacing w:val="0"/>
          <w:kern w:val="2"/>
          <w:sz w:val="32"/>
          <w:szCs w:val="32"/>
          <w:shd w:val="clear" w:color="auto" w:fill="FFFFFF"/>
          <w:lang w:val="en-US" w:eastAsia="zh-CN" w:bidi="ar-SA"/>
        </w:rPr>
        <w:t>各承办单位按照“办前先访、办中走访、办后回访”的方式，抓实代表建议办理工作。</w:t>
      </w:r>
      <w:r>
        <w:rPr>
          <w:rFonts w:hint="eastAsia" w:ascii="仿宋_GB2312" w:hAnsi="仿宋_GB2312" w:eastAsia="仿宋_GB2312" w:cs="仿宋_GB2312"/>
          <w:color w:val="000000"/>
          <w:spacing w:val="0"/>
          <w:sz w:val="32"/>
          <w:szCs w:val="32"/>
          <w:lang w:val="en-US" w:eastAsia="zh-CN"/>
        </w:rPr>
        <w:t>101件代表建议意见中，已经解决的53  件，占53％；正在解决和列入规划的34件，占33.6％；因政策或目前条件限制未能解决并已向代表解释沟通的14件，占13.4％；满意率、基本满意率达100%。</w:t>
      </w:r>
    </w:p>
    <w:p>
      <w:pPr>
        <w:pStyle w:val="4"/>
        <w:pageBreakBefore w:val="0"/>
        <w:widowControl w:val="0"/>
        <w:kinsoku/>
        <w:wordWrap/>
        <w:overflowPunct/>
        <w:topLinePunct w:val="0"/>
        <w:autoSpaceDE/>
        <w:autoSpaceDN/>
        <w:bidi w:val="0"/>
        <w:spacing w:line="576" w:lineRule="exact"/>
        <w:textAlignment w:val="auto"/>
        <w:rPr>
          <w:rStyle w:val="21"/>
          <w:b w:val="0"/>
          <w:bCs/>
        </w:rPr>
      </w:pPr>
      <w:bookmarkStart w:id="10" w:name="_Toc15377200"/>
      <w:bookmarkStart w:id="11" w:name="_Toc15396601"/>
      <w:bookmarkStart w:id="12" w:name="_Toc6464"/>
      <w:r>
        <w:rPr>
          <w:rFonts w:hint="eastAsia" w:ascii="黑体" w:eastAsia="黑体"/>
          <w:b w:val="0"/>
          <w:bCs/>
        </w:rPr>
        <w:t>二、机</w:t>
      </w:r>
      <w:r>
        <w:rPr>
          <w:rStyle w:val="21"/>
          <w:rFonts w:hint="eastAsia" w:ascii="黑体" w:eastAsia="黑体"/>
          <w:b w:val="0"/>
          <w:bCs/>
        </w:rPr>
        <w:t>构设置</w:t>
      </w:r>
      <w:bookmarkEnd w:id="10"/>
      <w:bookmarkEnd w:id="11"/>
      <w:bookmarkEnd w:id="12"/>
    </w:p>
    <w:p>
      <w:pPr>
        <w:ind w:firstLine="800" w:firstLineChars="250"/>
        <w:rPr>
          <w:rFonts w:hint="eastAsia"/>
          <w:sz w:val="32"/>
          <w:szCs w:val="32"/>
        </w:rPr>
      </w:pPr>
      <w:r>
        <w:rPr>
          <w:rFonts w:hint="eastAsia" w:ascii="仿宋_GB2312" w:hAnsi="仿宋_GB2312" w:eastAsia="仿宋_GB2312" w:cs="仿宋_GB2312"/>
          <w:sz w:val="32"/>
          <w:szCs w:val="32"/>
          <w:lang w:eastAsia="zh-CN"/>
        </w:rPr>
        <w:t>红原县</w:t>
      </w:r>
      <w:r>
        <w:rPr>
          <w:rFonts w:hint="eastAsia" w:ascii="仿宋_GB2312" w:hAnsi="仿宋_GB2312" w:eastAsia="仿宋_GB2312" w:cs="仿宋_GB2312"/>
          <w:sz w:val="32"/>
          <w:szCs w:val="32"/>
        </w:rPr>
        <w:t>人大常委会办公室下属二级预算单位</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个，其中</w:t>
      </w:r>
      <w:r>
        <w:rPr>
          <w:rFonts w:hint="eastAsia" w:ascii="仿宋_GB2312" w:hAnsi="仿宋_GB2312" w:eastAsia="仿宋_GB2312" w:cs="仿宋_GB2312"/>
          <w:sz w:val="32"/>
          <w:szCs w:val="32"/>
          <w:lang w:eastAsia="zh-CN"/>
        </w:rPr>
        <w:t>全额拨款</w:t>
      </w:r>
      <w:r>
        <w:rPr>
          <w:rFonts w:hint="eastAsia" w:ascii="仿宋_GB2312" w:hAnsi="仿宋_GB2312" w:eastAsia="仿宋_GB2312" w:cs="仿宋_GB2312"/>
          <w:sz w:val="32"/>
          <w:szCs w:val="32"/>
        </w:rPr>
        <w:t>行政单位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（红原县人民代表大会常委委员会办公室本级）</w:t>
      </w:r>
      <w:r>
        <w:rPr>
          <w:rFonts w:hint="eastAsia" w:ascii="仿宋_GB2312" w:hAnsi="仿宋_GB2312" w:eastAsia="仿宋_GB2312" w:cs="仿宋_GB2312"/>
          <w:sz w:val="32"/>
          <w:szCs w:val="32"/>
        </w:rPr>
        <w:t>，人大常委会办公室内设办公室、法制监察司法和民族宗教外事委员会、财政经济预算和农业农村城乡环境保护委员会、教育科学文化卫生和社会建设委员会及人事代表工作委员会“四委一室”</w:t>
      </w:r>
      <w:r>
        <w:rPr>
          <w:rFonts w:hint="eastAsia" w:ascii="仿宋_GB2312" w:hAnsi="仿宋_GB2312" w:eastAsia="仿宋_GB2312" w:cs="仿宋_GB2312"/>
          <w:sz w:val="32"/>
          <w:szCs w:val="32"/>
          <w:lang w:eastAsia="zh-CN"/>
        </w:rPr>
        <w:t>；全额拨款股级</w:t>
      </w:r>
      <w:r>
        <w:rPr>
          <w:rFonts w:hint="eastAsia" w:ascii="仿宋_GB2312" w:hAnsi="仿宋_GB2312" w:eastAsia="仿宋_GB2312" w:cs="仿宋_GB2312"/>
          <w:sz w:val="32"/>
          <w:szCs w:val="32"/>
        </w:rPr>
        <w:t>事业单位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（红原县人大预算联网服务中心）</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2022</w:t>
      </w:r>
      <w:r>
        <w:rPr>
          <w:rFonts w:hint="eastAsia" w:ascii="仿宋_GB2312" w:hAnsi="仿宋_GB2312" w:eastAsia="仿宋_GB2312" w:cs="仿宋_GB2312"/>
          <w:bCs/>
          <w:sz w:val="32"/>
          <w:szCs w:val="32"/>
        </w:rPr>
        <w:t>年底我单位共有</w:t>
      </w:r>
      <w:r>
        <w:rPr>
          <w:rFonts w:hint="eastAsia" w:ascii="仿宋_GB2312" w:hAnsi="仿宋_GB2312" w:eastAsia="仿宋_GB2312" w:cs="仿宋_GB2312"/>
          <w:sz w:val="32"/>
          <w:szCs w:val="32"/>
        </w:rPr>
        <w:t>在职</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，非参公事业人员</w:t>
      </w:r>
      <w:r>
        <w:rPr>
          <w:rFonts w:hint="eastAsia" w:ascii="仿宋_GB2312" w:hAnsi="仿宋_GB2312" w:eastAsia="仿宋_GB2312" w:cs="仿宋_GB2312"/>
          <w:sz w:val="32"/>
          <w:szCs w:val="32"/>
          <w:lang w:val="en-US" w:eastAsia="zh-CN"/>
        </w:rPr>
        <w:t>1人</w:t>
      </w:r>
      <w:r>
        <w:rPr>
          <w:rFonts w:hint="eastAsia" w:ascii="仿宋_GB2312" w:hAnsi="仿宋_GB2312" w:eastAsia="仿宋_GB2312" w:cs="仿宋_GB2312"/>
          <w:sz w:val="32"/>
          <w:szCs w:val="32"/>
        </w:rPr>
        <w:t>。</w:t>
      </w:r>
    </w:p>
    <w:p>
      <w:pPr>
        <w:pStyle w:val="6"/>
        <w:adjustRightInd w:val="0"/>
        <w:snapToGrid w:val="0"/>
        <w:spacing w:beforeLines="0" w:line="600" w:lineRule="exact"/>
        <w:ind w:firstLine="668" w:firstLineChars="20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w:t>
      </w:r>
      <w:r>
        <w:rPr>
          <w:rFonts w:hint="eastAsia" w:ascii="仿宋_GB2312" w:hAnsi="仿宋_GB2312" w:eastAsia="仿宋_GB2312" w:cs="仿宋_GB2312"/>
          <w:sz w:val="32"/>
          <w:szCs w:val="32"/>
          <w:lang w:eastAsia="zh-CN"/>
        </w:rPr>
        <w:t>红原县</w:t>
      </w:r>
      <w:r>
        <w:rPr>
          <w:rFonts w:hint="eastAsia" w:ascii="仿宋_GB2312" w:hAnsi="仿宋_GB2312" w:eastAsia="仿宋_GB2312" w:cs="仿宋_GB2312"/>
          <w:sz w:val="32"/>
          <w:szCs w:val="32"/>
        </w:rPr>
        <w:t>人大常委会办公室2022年度部门决算编制范围的二级预算单位包括：</w:t>
      </w:r>
    </w:p>
    <w:p>
      <w:pPr>
        <w:pStyle w:val="6"/>
        <w:numPr>
          <w:ilvl w:val="0"/>
          <w:numId w:val="0"/>
        </w:numPr>
        <w:adjustRightInd w:val="0"/>
        <w:snapToGrid w:val="0"/>
        <w:spacing w:beforeLines="0" w:line="600" w:lineRule="exact"/>
        <w:ind w:left="672" w:leftChars="0"/>
        <w:outlineLvl w:val="2"/>
        <w:rPr>
          <w:rFonts w:hint="eastAsia" w:ascii="仿宋_GB2312" w:hAnsi="仿宋_GB2312" w:eastAsia="仿宋_GB2312" w:cs="仿宋_GB2312"/>
          <w:sz w:val="32"/>
          <w:szCs w:val="32"/>
        </w:rPr>
      </w:pPr>
      <w:bookmarkStart w:id="13" w:name="_Toc15377202"/>
      <w:bookmarkStart w:id="14" w:name="_Toc15378449"/>
      <w:bookmarkStart w:id="15" w:name="_Toc15377433"/>
      <w:bookmarkStart w:id="16" w:name="_Toc15306276"/>
      <w:r>
        <w:rPr>
          <w:rFonts w:hint="eastAsia" w:hAnsi="仿宋_GB2312" w:cs="仿宋_GB2312"/>
          <w:sz w:val="32"/>
          <w:szCs w:val="32"/>
          <w:lang w:val="en-US" w:eastAsia="zh-CN"/>
        </w:rPr>
        <w:t>1.</w:t>
      </w:r>
      <w:r>
        <w:rPr>
          <w:rFonts w:hint="eastAsia" w:ascii="仿宋_GB2312" w:hAnsi="仿宋_GB2312" w:eastAsia="仿宋_GB2312" w:cs="仿宋_GB2312"/>
          <w:sz w:val="32"/>
          <w:szCs w:val="32"/>
          <w:lang w:eastAsia="zh-CN"/>
        </w:rPr>
        <w:t>红原县人民代表大会常委委员会办公室本级</w:t>
      </w:r>
    </w:p>
    <w:bookmarkEnd w:id="13"/>
    <w:bookmarkEnd w:id="14"/>
    <w:bookmarkEnd w:id="15"/>
    <w:bookmarkEnd w:id="16"/>
    <w:p>
      <w:pPr>
        <w:widowControl/>
        <w:ind w:firstLine="640" w:firstLineChars="200"/>
        <w:jc w:val="left"/>
        <w:rPr>
          <w:rFonts w:ascii="仿宋" w:eastAsia="仿宋"/>
          <w:kern w:val="0"/>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红原县人大预算联网服务中心</w:t>
      </w:r>
      <w:r>
        <w:rPr>
          <w:rFonts w:ascii="仿宋" w:eastAsia="仿宋"/>
          <w:sz w:val="32"/>
          <w:szCs w:val="32"/>
        </w:rPr>
        <w:br w:type="page"/>
      </w:r>
    </w:p>
    <w:p>
      <w:pPr>
        <w:pStyle w:val="3"/>
        <w:ind w:right="440"/>
        <w:jc w:val="center"/>
        <w:rPr>
          <w:rStyle w:val="20"/>
          <w:rFonts w:ascii="黑体" w:eastAsia="黑体"/>
          <w:b w:val="0"/>
          <w:bCs/>
        </w:rPr>
      </w:pPr>
      <w:bookmarkStart w:id="17" w:name="_Toc15377204"/>
      <w:bookmarkStart w:id="18" w:name="_Toc15396602"/>
      <w:bookmarkStart w:id="19" w:name="_Toc4287"/>
      <w:r>
        <w:rPr>
          <w:rFonts w:hint="eastAsia" w:ascii="黑体" w:eastAsia="黑体"/>
          <w:b w:val="0"/>
        </w:rPr>
        <w:t>第二部分 2022年度</w:t>
      </w:r>
      <w:r>
        <w:rPr>
          <w:rStyle w:val="20"/>
          <w:rFonts w:hint="eastAsia" w:ascii="黑体" w:eastAsia="黑体"/>
          <w:b w:val="0"/>
          <w:bCs/>
        </w:rPr>
        <w:t>部门决算情况说明</w:t>
      </w:r>
      <w:bookmarkEnd w:id="17"/>
      <w:bookmarkEnd w:id="18"/>
      <w:bookmarkEnd w:id="19"/>
    </w:p>
    <w:p/>
    <w:p>
      <w:pPr>
        <w:pStyle w:val="27"/>
        <w:numPr>
          <w:ilvl w:val="0"/>
          <w:numId w:val="3"/>
        </w:numPr>
        <w:spacing w:line="600" w:lineRule="exact"/>
        <w:ind w:firstLineChars="0"/>
        <w:outlineLvl w:val="1"/>
        <w:rPr>
          <w:rStyle w:val="21"/>
          <w:rFonts w:ascii="黑体" w:eastAsia="黑体"/>
          <w:b w:val="0"/>
        </w:rPr>
      </w:pPr>
      <w:bookmarkStart w:id="20" w:name="_Toc15396603"/>
      <w:bookmarkStart w:id="21" w:name="_Toc15377205"/>
      <w:bookmarkStart w:id="22" w:name="_Toc12888"/>
      <w:r>
        <w:rPr>
          <w:rFonts w:hint="eastAsia" w:ascii="黑体" w:eastAsia="黑体"/>
          <w:sz w:val="32"/>
          <w:szCs w:val="32"/>
        </w:rPr>
        <w:t>收</w:t>
      </w:r>
      <w:r>
        <w:rPr>
          <w:rStyle w:val="21"/>
          <w:rFonts w:hint="eastAsia" w:ascii="黑体" w:eastAsia="黑体"/>
          <w:b w:val="0"/>
        </w:rPr>
        <w:t>入支出决算总体情况说明</w:t>
      </w:r>
      <w:bookmarkEnd w:id="20"/>
      <w:bookmarkEnd w:id="21"/>
      <w:bookmarkEnd w:id="22"/>
    </w:p>
    <w:p>
      <w:pPr>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年度收入</w:t>
      </w:r>
      <w:r>
        <w:rPr>
          <w:rFonts w:hint="eastAsia" w:ascii="仿宋_GB2312" w:hAnsi="仿宋_GB2312" w:eastAsia="仿宋_GB2312" w:cs="仿宋_GB2312"/>
          <w:sz w:val="32"/>
          <w:szCs w:val="32"/>
          <w:lang w:val="en-US" w:eastAsia="zh-CN"/>
        </w:rPr>
        <w:t>1012.77</w:t>
      </w:r>
      <w:r>
        <w:rPr>
          <w:rFonts w:hint="eastAsia" w:ascii="仿宋_GB2312" w:hAnsi="仿宋_GB2312" w:eastAsia="仿宋_GB2312" w:cs="仿宋_GB2312"/>
          <w:sz w:val="32"/>
          <w:szCs w:val="32"/>
        </w:rPr>
        <w:t>万元，支出</w:t>
      </w:r>
      <w:r>
        <w:rPr>
          <w:rFonts w:hint="eastAsia" w:ascii="仿宋_GB2312" w:hAnsi="仿宋_GB2312" w:eastAsia="仿宋_GB2312" w:cs="仿宋_GB2312"/>
          <w:sz w:val="32"/>
          <w:szCs w:val="32"/>
          <w:lang w:val="en-US" w:eastAsia="zh-CN"/>
        </w:rPr>
        <w:t>1008.94</w:t>
      </w:r>
      <w:r>
        <w:rPr>
          <w:rFonts w:hint="eastAsia" w:ascii="仿宋_GB2312" w:hAnsi="仿宋_GB2312" w:eastAsia="仿宋_GB2312" w:cs="仿宋_GB2312"/>
          <w:sz w:val="32"/>
          <w:szCs w:val="32"/>
        </w:rPr>
        <w:t>万元，动用上年结转结余资金</w:t>
      </w:r>
      <w:r>
        <w:rPr>
          <w:rFonts w:hint="eastAsia" w:ascii="仿宋_GB2312" w:hAnsi="仿宋_GB2312" w:eastAsia="仿宋_GB2312" w:cs="仿宋_GB2312"/>
          <w:sz w:val="32"/>
          <w:szCs w:val="32"/>
          <w:lang w:val="en-US" w:eastAsia="zh-CN"/>
        </w:rPr>
        <w:t>2.82</w:t>
      </w:r>
      <w:r>
        <w:rPr>
          <w:rFonts w:hint="eastAsia" w:ascii="仿宋_GB2312" w:hAnsi="仿宋_GB2312" w:eastAsia="仿宋_GB2312" w:cs="仿宋_GB2312"/>
          <w:sz w:val="32"/>
          <w:szCs w:val="32"/>
        </w:rPr>
        <w:t>万元。年末结转202</w:t>
      </w:r>
      <w:r>
        <w:rPr>
          <w:rFonts w:hint="eastAsia" w:ascii="仿宋_GB2312" w:hAnsi="仿宋_GB2312" w:eastAsia="仿宋_GB2312" w:cs="仿宋_GB2312"/>
          <w:sz w:val="32"/>
          <w:szCs w:val="32"/>
          <w:lang w:val="en-US" w:eastAsia="zh-CN"/>
        </w:rPr>
        <w:t>1及2022</w:t>
      </w:r>
      <w:r>
        <w:rPr>
          <w:rFonts w:hint="eastAsia" w:ascii="仿宋_GB2312" w:hAnsi="仿宋_GB2312" w:eastAsia="仿宋_GB2312" w:cs="仿宋_GB2312"/>
          <w:sz w:val="32"/>
          <w:szCs w:val="32"/>
        </w:rPr>
        <w:t>年12月底州人大转入代表活动经费</w:t>
      </w:r>
      <w:r>
        <w:rPr>
          <w:rFonts w:hint="eastAsia" w:ascii="仿宋_GB2312" w:hAnsi="仿宋_GB2312" w:eastAsia="仿宋_GB2312" w:cs="仿宋_GB2312"/>
          <w:sz w:val="32"/>
          <w:szCs w:val="32"/>
          <w:lang w:val="en-US" w:eastAsia="zh-CN"/>
        </w:rPr>
        <w:t>6.64</w:t>
      </w:r>
      <w:r>
        <w:rPr>
          <w:rFonts w:hint="eastAsia" w:ascii="仿宋_GB2312" w:hAnsi="仿宋_GB2312" w:eastAsia="仿宋_GB2312" w:cs="仿宋_GB2312"/>
          <w:sz w:val="32"/>
          <w:szCs w:val="32"/>
        </w:rPr>
        <w:t>万元。资金与202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年相比，收入增加了</w:t>
      </w:r>
      <w:r>
        <w:rPr>
          <w:rFonts w:hint="eastAsia" w:ascii="仿宋_GB2312" w:hAnsi="仿宋_GB2312" w:eastAsia="仿宋_GB2312" w:cs="仿宋_GB2312"/>
          <w:sz w:val="32"/>
          <w:szCs w:val="32"/>
          <w:lang w:val="en-US" w:eastAsia="zh-CN"/>
        </w:rPr>
        <w:t>42.67</w:t>
      </w:r>
      <w:r>
        <w:rPr>
          <w:rFonts w:hint="eastAsia" w:ascii="仿宋_GB2312" w:hAnsi="仿宋_GB2312" w:eastAsia="仿宋_GB2312" w:cs="仿宋_GB2312"/>
          <w:sz w:val="32"/>
          <w:szCs w:val="32"/>
        </w:rPr>
        <w:t>万元，上升了</w:t>
      </w: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rPr>
        <w:t>%，支出增加了</w:t>
      </w:r>
      <w:r>
        <w:rPr>
          <w:rFonts w:hint="eastAsia" w:ascii="仿宋_GB2312" w:hAnsi="仿宋_GB2312" w:eastAsia="仿宋_GB2312" w:cs="仿宋_GB2312"/>
          <w:sz w:val="32"/>
          <w:szCs w:val="32"/>
          <w:lang w:val="en-US" w:eastAsia="zh-CN"/>
        </w:rPr>
        <w:t>38.69</w:t>
      </w:r>
      <w:r>
        <w:rPr>
          <w:rFonts w:hint="eastAsia" w:ascii="仿宋_GB2312" w:hAnsi="仿宋_GB2312" w:eastAsia="仿宋_GB2312" w:cs="仿宋_GB2312"/>
          <w:sz w:val="32"/>
          <w:szCs w:val="32"/>
        </w:rPr>
        <w:t>万元，上升</w:t>
      </w:r>
      <w:r>
        <w:rPr>
          <w:rFonts w:hint="eastAsia" w:ascii="仿宋_GB2312" w:hAnsi="仿宋_GB2312" w:eastAsia="仿宋_GB2312" w:cs="仿宋_GB2312"/>
          <w:sz w:val="32"/>
          <w:szCs w:val="32"/>
          <w:lang w:val="en-US" w:eastAsia="zh-CN"/>
        </w:rPr>
        <w:t>3.98</w:t>
      </w:r>
      <w:r>
        <w:rPr>
          <w:rFonts w:hint="eastAsia" w:ascii="仿宋_GB2312" w:hAnsi="仿宋_GB2312" w:eastAsia="仿宋_GB2312" w:cs="仿宋_GB2312"/>
          <w:sz w:val="32"/>
          <w:szCs w:val="32"/>
        </w:rPr>
        <w:t>%。收入支出均增加主要原因：</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lang w:val="en-US" w:eastAsia="zh-CN"/>
        </w:rPr>
        <w:t>2022年我单位支付县乡人大代表换届选举工作经费29.3万元，2021年无该项支出</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解决代表联络站提升改造经费</w:t>
      </w:r>
      <w:r>
        <w:rPr>
          <w:rFonts w:hint="eastAsia" w:ascii="仿宋_GB2312" w:hAnsi="仿宋_GB2312" w:eastAsia="仿宋_GB2312" w:cs="仿宋_GB2312"/>
          <w:sz w:val="32"/>
          <w:szCs w:val="32"/>
          <w:lang w:val="en-US" w:eastAsia="zh-CN"/>
        </w:rPr>
        <w:t>12万元，2021年无该项支出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lang w:val="en-US" w:eastAsia="zh-CN"/>
        </w:rPr>
        <w:t>2022年川U0181U大修产生大修费用7万元，2021年无该项支出；</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2022年我办退休去世2人，发放抚恤金54.14万元，比上年增加22.14万元；</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lang w:val="en-US" w:eastAsia="zh-CN"/>
        </w:rPr>
        <w:t>2022年发放退休一次性补贴16.04万元，同比</w:t>
      </w:r>
      <w:r>
        <w:rPr>
          <w:rFonts w:hint="eastAsia" w:ascii="仿宋_GB2312" w:hAnsi="仿宋_GB2312" w:eastAsia="仿宋_GB2312" w:cs="仿宋_GB2312"/>
          <w:sz w:val="32"/>
          <w:szCs w:val="32"/>
          <w:lang w:eastAsia="zh-CN"/>
        </w:rPr>
        <w:t>上年增加</w:t>
      </w:r>
      <w:r>
        <w:rPr>
          <w:rFonts w:hint="eastAsia" w:ascii="仿宋_GB2312" w:hAnsi="仿宋_GB2312" w:eastAsia="仿宋_GB2312" w:cs="仿宋_GB2312"/>
          <w:sz w:val="32"/>
          <w:szCs w:val="32"/>
          <w:lang w:val="en-US" w:eastAsia="zh-CN"/>
        </w:rPr>
        <w:t>2.28万元；</w:t>
      </w:r>
      <w:r>
        <w:rPr>
          <w:rFonts w:hint="eastAsia" w:ascii="仿宋_GB2312" w:hAnsi="仿宋_GB2312" w:eastAsia="仿宋_GB2312" w:cs="仿宋_GB2312"/>
          <w:b/>
          <w:bCs/>
          <w:sz w:val="32"/>
          <w:szCs w:val="32"/>
          <w:lang w:val="en-US" w:eastAsia="zh-CN"/>
        </w:rPr>
        <w:t>六是</w:t>
      </w:r>
      <w:r>
        <w:rPr>
          <w:rFonts w:hint="eastAsia" w:ascii="仿宋_GB2312" w:hAnsi="仿宋_GB2312" w:eastAsia="仿宋_GB2312" w:cs="仿宋_GB2312"/>
          <w:sz w:val="32"/>
          <w:szCs w:val="32"/>
          <w:lang w:val="en-US" w:eastAsia="zh-CN"/>
        </w:rPr>
        <w:t>每年的工资、保险、公积金的变动。</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（图1：收、支决算总计变动情况图）（柱状图）</w:t>
      </w:r>
    </w:p>
    <w:p>
      <w:pPr>
        <w:pStyle w:val="8"/>
        <w:jc w:val="both"/>
        <w:rPr>
          <w:rFonts w:ascii="仿宋_GB2312" w:eastAsia="仿宋_GB2312"/>
          <w:sz w:val="32"/>
          <w:szCs w:val="32"/>
        </w:rPr>
      </w:pPr>
      <w:r>
        <w:rPr>
          <w:rFonts w:hint="eastAsia" w:ascii="仿宋" w:eastAsia="仿宋"/>
          <w:sz w:val="32"/>
          <w:szCs w:val="32"/>
          <w:lang w:eastAsia="zh-CN"/>
        </w:rPr>
        <w:drawing>
          <wp:inline distT="0" distB="0" distL="114300" distR="114300">
            <wp:extent cx="4452620" cy="2129155"/>
            <wp:effectExtent l="4445" t="4445" r="19685" b="1905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7"/>
        <w:numPr>
          <w:ilvl w:val="0"/>
          <w:numId w:val="3"/>
        </w:numPr>
        <w:spacing w:line="600" w:lineRule="exact"/>
        <w:ind w:firstLineChars="0"/>
        <w:outlineLvl w:val="1"/>
        <w:rPr>
          <w:rStyle w:val="21"/>
          <w:rFonts w:ascii="黑体" w:eastAsia="黑体"/>
          <w:b w:val="0"/>
        </w:rPr>
      </w:pPr>
      <w:bookmarkStart w:id="23" w:name="_Toc15377206"/>
      <w:bookmarkStart w:id="24" w:name="_Toc15396604"/>
      <w:bookmarkStart w:id="25" w:name="_Toc29497"/>
      <w:r>
        <w:rPr>
          <w:rFonts w:hint="eastAsia" w:ascii="黑体" w:eastAsia="黑体"/>
          <w:sz w:val="32"/>
          <w:szCs w:val="32"/>
        </w:rPr>
        <w:t>收</w:t>
      </w:r>
      <w:r>
        <w:rPr>
          <w:rStyle w:val="21"/>
          <w:rFonts w:hint="eastAsia" w:ascii="黑体" w:eastAsia="黑体"/>
          <w:b w:val="0"/>
        </w:rPr>
        <w:t>入决算情况说明</w:t>
      </w:r>
      <w:bookmarkEnd w:id="23"/>
      <w:bookmarkEnd w:id="24"/>
      <w:bookmarkEnd w:id="25"/>
    </w:p>
    <w:p>
      <w:pPr>
        <w:pStyle w:val="15"/>
        <w:keepNext w:val="0"/>
        <w:keepLines w:val="0"/>
        <w:widowControl/>
        <w:numPr>
          <w:ilvl w:val="0"/>
          <w:numId w:val="0"/>
        </w:numPr>
        <w:suppressLineNumbers w:val="0"/>
        <w:shd w:val="clear" w:color="auto" w:fill="auto"/>
        <w:ind w:right="75" w:righ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2022年本年收入合计</w:t>
      </w:r>
      <w:r>
        <w:rPr>
          <w:rFonts w:hint="eastAsia" w:ascii="仿宋_GB2312" w:hAnsi="仿宋_GB2312" w:eastAsia="仿宋_GB2312" w:cs="仿宋_GB2312"/>
          <w:sz w:val="32"/>
          <w:szCs w:val="32"/>
          <w:lang w:val="en-US" w:eastAsia="zh-CN"/>
        </w:rPr>
        <w:t>1012.77</w:t>
      </w:r>
      <w:r>
        <w:rPr>
          <w:rFonts w:hint="eastAsia" w:ascii="仿宋_GB2312" w:hAnsi="仿宋_GB2312" w:eastAsia="仿宋_GB2312" w:cs="仿宋_GB2312"/>
          <w:sz w:val="32"/>
          <w:szCs w:val="32"/>
        </w:rPr>
        <w:t>万元，其中：一般公共预算财政拨款收入1008.82万元，占</w:t>
      </w:r>
      <w:r>
        <w:rPr>
          <w:rFonts w:hint="eastAsia" w:ascii="仿宋_GB2312" w:hAnsi="仿宋_GB2312" w:eastAsia="仿宋_GB2312" w:cs="仿宋_GB2312"/>
          <w:sz w:val="32"/>
          <w:szCs w:val="32"/>
          <w:lang w:val="en-US" w:eastAsia="zh-CN"/>
        </w:rPr>
        <w:t>99.61</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3.95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0.39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lang w:val="en-US" w:eastAsia="zh-CN"/>
        </w:rPr>
        <w:t>为年底州人大转入代表活动经费</w:t>
      </w:r>
      <w:r>
        <w:rPr>
          <w:rFonts w:hint="eastAsia" w:ascii="仿宋_GB2312" w:hAnsi="仿宋_GB2312" w:eastAsia="仿宋_GB2312" w:cs="仿宋_GB2312"/>
          <w:color w:val="000000"/>
          <w:sz w:val="32"/>
          <w:szCs w:val="32"/>
          <w:lang w:eastAsia="zh-CN"/>
        </w:rPr>
        <w:t>；无</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国有资本经营预算财政拨款收入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上级补助收入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经营收入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附属单位上缴收入</w:t>
      </w:r>
      <w:r>
        <w:rPr>
          <w:rFonts w:hint="eastAsia" w:ascii="仿宋_GB2312" w:hAnsi="仿宋_GB2312" w:eastAsia="仿宋_GB2312" w:cs="仿宋_GB2312"/>
          <w:sz w:val="32"/>
          <w:szCs w:val="32"/>
          <w:lang w:val="en-US" w:eastAsia="zh-CN"/>
        </w:rPr>
        <w:t>。</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（图2：收入决算结构图）（饼状图）</w:t>
      </w:r>
    </w:p>
    <w:p>
      <w:p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drawing>
          <wp:anchor distT="0" distB="0" distL="114300" distR="114300" simplePos="0" relativeHeight="251659264" behindDoc="1" locked="0" layoutInCell="1" allowOverlap="1">
            <wp:simplePos x="0" y="0"/>
            <wp:positionH relativeFrom="column">
              <wp:posOffset>521970</wp:posOffset>
            </wp:positionH>
            <wp:positionV relativeFrom="paragraph">
              <wp:posOffset>513715</wp:posOffset>
            </wp:positionV>
            <wp:extent cx="4563110" cy="2463165"/>
            <wp:effectExtent l="4445" t="4445" r="23495" b="46990"/>
            <wp:wrapTight wrapText="bothSides">
              <wp:wrapPolygon>
                <wp:start x="-21" y="-39"/>
                <wp:lineTo x="-21" y="21511"/>
                <wp:lineTo x="21531" y="21511"/>
                <wp:lineTo x="21531" y="-39"/>
                <wp:lineTo x="-21" y="-39"/>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9"/>
      </w:pPr>
    </w:p>
    <w:p>
      <w:pPr>
        <w:pStyle w:val="27"/>
        <w:numPr>
          <w:ilvl w:val="0"/>
          <w:numId w:val="3"/>
        </w:numPr>
        <w:spacing w:line="600" w:lineRule="exact"/>
        <w:ind w:firstLineChars="0"/>
        <w:outlineLvl w:val="1"/>
        <w:rPr>
          <w:rStyle w:val="21"/>
          <w:rFonts w:ascii="黑体" w:eastAsia="黑体"/>
          <w:b w:val="0"/>
        </w:rPr>
      </w:pPr>
      <w:bookmarkStart w:id="26" w:name="_Toc15377207"/>
      <w:bookmarkStart w:id="27" w:name="_Toc15396605"/>
      <w:bookmarkStart w:id="28" w:name="_Toc17859"/>
      <w:r>
        <w:rPr>
          <w:rFonts w:hint="eastAsia" w:ascii="黑体" w:eastAsia="黑体"/>
          <w:sz w:val="32"/>
          <w:szCs w:val="32"/>
        </w:rPr>
        <w:t>支</w:t>
      </w:r>
      <w:r>
        <w:rPr>
          <w:rStyle w:val="21"/>
          <w:rFonts w:hint="eastAsia" w:ascii="黑体" w:eastAsia="黑体"/>
          <w:b w:val="0"/>
        </w:rPr>
        <w:t>出决算情况说明</w:t>
      </w:r>
      <w:bookmarkEnd w:id="26"/>
      <w:bookmarkEnd w:id="27"/>
      <w:bookmarkEnd w:id="28"/>
    </w:p>
    <w:p>
      <w:pPr>
        <w:spacing w:line="600" w:lineRule="exact"/>
        <w:ind w:firstLine="640" w:firstLineChars="200"/>
        <w:outlineLvl w:val="1"/>
        <w:rPr>
          <w:rFonts w:hint="eastAsia" w:ascii="仿宋_GB2312" w:hAnsi="仿宋_GB2312" w:eastAsia="仿宋_GB2312" w:cs="仿宋_GB2312"/>
          <w:sz w:val="32"/>
          <w:szCs w:val="32"/>
          <w:lang w:eastAsia="zh-CN"/>
        </w:rPr>
      </w:pPr>
      <w:bookmarkStart w:id="29" w:name="_Toc7068"/>
      <w:bookmarkStart w:id="30" w:name="_Toc15375"/>
      <w:r>
        <w:rPr>
          <w:rFonts w:hint="eastAsia" w:ascii="仿宋_GB2312" w:hAnsi="仿宋_GB2312" w:eastAsia="仿宋_GB2312" w:cs="仿宋_GB2312"/>
          <w:sz w:val="32"/>
          <w:szCs w:val="32"/>
        </w:rPr>
        <w:t>2022年本年支出合计</w:t>
      </w:r>
      <w:r>
        <w:rPr>
          <w:rFonts w:hint="eastAsia" w:ascii="仿宋_GB2312" w:hAnsi="仿宋_GB2312" w:eastAsia="仿宋_GB2312" w:cs="仿宋_GB2312"/>
          <w:sz w:val="32"/>
          <w:szCs w:val="32"/>
          <w:lang w:val="en-US" w:eastAsia="zh-CN"/>
        </w:rPr>
        <w:t>1008.94</w:t>
      </w:r>
      <w:r>
        <w:rPr>
          <w:rFonts w:hint="eastAsia" w:ascii="仿宋_GB2312" w:hAnsi="仿宋_GB2312" w:eastAsia="仿宋_GB2312" w:cs="仿宋_GB2312"/>
          <w:sz w:val="32"/>
          <w:szCs w:val="32"/>
        </w:rPr>
        <w:t>万元，其中：基本支出881.41万元，占</w:t>
      </w:r>
      <w:r>
        <w:rPr>
          <w:rFonts w:hint="eastAsia" w:ascii="仿宋_GB2312" w:hAnsi="仿宋_GB2312" w:eastAsia="仿宋_GB2312" w:cs="仿宋_GB2312"/>
          <w:sz w:val="32"/>
          <w:szCs w:val="32"/>
          <w:lang w:val="en-US" w:eastAsia="zh-CN"/>
        </w:rPr>
        <w:t>87.36</w:t>
      </w:r>
      <w:r>
        <w:rPr>
          <w:rFonts w:hint="eastAsia" w:ascii="仿宋_GB2312" w:hAnsi="仿宋_GB2312" w:eastAsia="仿宋_GB2312" w:cs="仿宋_GB2312"/>
          <w:sz w:val="32"/>
          <w:szCs w:val="32"/>
        </w:rPr>
        <w:t>%；项目支出127.53万元，占</w:t>
      </w:r>
      <w:r>
        <w:rPr>
          <w:rFonts w:hint="eastAsia" w:ascii="仿宋_GB2312" w:hAnsi="仿宋_GB2312" w:eastAsia="仿宋_GB2312" w:cs="仿宋_GB2312"/>
          <w:sz w:val="32"/>
          <w:szCs w:val="32"/>
          <w:lang w:val="en-US" w:eastAsia="zh-CN"/>
        </w:rPr>
        <w:t>12.64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经营支出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sz w:val="32"/>
          <w:szCs w:val="32"/>
          <w:lang w:eastAsia="zh-CN"/>
        </w:rPr>
        <w:t>等支出。</w:t>
      </w:r>
      <w:bookmarkEnd w:id="29"/>
      <w:bookmarkEnd w:id="30"/>
    </w:p>
    <w:p>
      <w:pPr>
        <w:spacing w:line="600" w:lineRule="exact"/>
        <w:ind w:firstLine="640"/>
        <w:rPr>
          <w:rFonts w:hint="eastAsia" w:ascii="仿宋_GB2312" w:hAnsi="仿宋_GB2312" w:eastAsia="仿宋_GB2312" w:cs="仿宋_GB2312"/>
          <w:sz w:val="32"/>
          <w:szCs w:val="32"/>
          <w:shd w:val="pct10" w:color="auto" w:fill="FFFFFF"/>
        </w:rPr>
      </w:pPr>
    </w:p>
    <w:p>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（图3：支出决算结构图）（饼状图）</w:t>
      </w:r>
    </w:p>
    <w:p>
      <w:pPr>
        <w:pStyle w:val="8"/>
        <w:rPr>
          <w:rFonts w:ascii="仿宋_GB2312" w:eastAsia="仿宋_GB2312"/>
          <w:sz w:val="32"/>
          <w:szCs w:val="32"/>
        </w:rPr>
      </w:pPr>
      <w:r>
        <w:rPr>
          <w:rFonts w:hint="eastAsia" w:ascii="仿宋_GB2312" w:eastAsia="仿宋_GB2312"/>
          <w:sz w:val="32"/>
          <w:szCs w:val="32"/>
          <w:lang w:eastAsia="zh-CN"/>
        </w:rPr>
        <w:drawing>
          <wp:anchor distT="0" distB="0" distL="114300" distR="114300" simplePos="0" relativeHeight="251660288" behindDoc="1" locked="0" layoutInCell="1" allowOverlap="1">
            <wp:simplePos x="0" y="0"/>
            <wp:positionH relativeFrom="column">
              <wp:posOffset>147955</wp:posOffset>
            </wp:positionH>
            <wp:positionV relativeFrom="paragraph">
              <wp:posOffset>334645</wp:posOffset>
            </wp:positionV>
            <wp:extent cx="4756150" cy="2473325"/>
            <wp:effectExtent l="4445" t="5080" r="20955" b="17145"/>
            <wp:wrapTight wrapText="bothSides">
              <wp:wrapPolygon>
                <wp:start x="-20" y="-44"/>
                <wp:lineTo x="-20" y="21417"/>
                <wp:lineTo x="21522" y="21417"/>
                <wp:lineTo x="21522" y="-44"/>
                <wp:lineTo x="-20" y="-44"/>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9"/>
      </w:pPr>
    </w:p>
    <w:p>
      <w:pPr>
        <w:spacing w:line="600" w:lineRule="exact"/>
        <w:ind w:firstLine="640" w:firstLineChars="200"/>
        <w:outlineLvl w:val="1"/>
        <w:rPr>
          <w:rStyle w:val="21"/>
          <w:rFonts w:ascii="黑体" w:eastAsia="黑体"/>
          <w:b w:val="0"/>
        </w:rPr>
      </w:pPr>
      <w:bookmarkStart w:id="31" w:name="_Toc15377208"/>
      <w:bookmarkStart w:id="32" w:name="_Toc15396606"/>
      <w:bookmarkStart w:id="33" w:name="_Toc18206"/>
      <w:r>
        <w:rPr>
          <w:rFonts w:hint="eastAsia" w:ascii="黑体" w:eastAsia="黑体"/>
          <w:sz w:val="32"/>
          <w:szCs w:val="32"/>
        </w:rPr>
        <w:t>四、财</w:t>
      </w:r>
      <w:r>
        <w:rPr>
          <w:rStyle w:val="21"/>
          <w:rFonts w:hint="eastAsia" w:ascii="黑体" w:eastAsia="黑体"/>
          <w:b w:val="0"/>
        </w:rPr>
        <w:t>政拨款收入支出决算总体情况说明</w:t>
      </w:r>
      <w:bookmarkEnd w:id="31"/>
      <w:bookmarkEnd w:id="32"/>
      <w:bookmarkEnd w:id="33"/>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年度收入</w:t>
      </w:r>
      <w:r>
        <w:rPr>
          <w:rFonts w:hint="eastAsia" w:ascii="仿宋_GB2312" w:hAnsi="仿宋_GB2312" w:eastAsia="仿宋_GB2312" w:cs="仿宋_GB2312"/>
          <w:sz w:val="32"/>
          <w:szCs w:val="32"/>
          <w:lang w:val="en-US" w:eastAsia="zh-CN"/>
        </w:rPr>
        <w:t>1008.82</w:t>
      </w:r>
      <w:r>
        <w:rPr>
          <w:rFonts w:hint="eastAsia" w:ascii="仿宋_GB2312" w:hAnsi="仿宋_GB2312" w:eastAsia="仿宋_GB2312" w:cs="仿宋_GB2312"/>
          <w:sz w:val="32"/>
          <w:szCs w:val="32"/>
        </w:rPr>
        <w:t>万元，支出</w:t>
      </w:r>
      <w:r>
        <w:rPr>
          <w:rFonts w:hint="eastAsia" w:ascii="仿宋_GB2312" w:hAnsi="仿宋_GB2312" w:eastAsia="仿宋_GB2312" w:cs="仿宋_GB2312"/>
          <w:sz w:val="32"/>
          <w:szCs w:val="32"/>
          <w:lang w:val="en-US" w:eastAsia="zh-CN"/>
        </w:rPr>
        <w:t>1008.82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资金与202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年相比，收入增加了</w:t>
      </w:r>
      <w:r>
        <w:rPr>
          <w:rFonts w:hint="eastAsia" w:ascii="仿宋_GB2312" w:hAnsi="仿宋_GB2312" w:eastAsia="仿宋_GB2312" w:cs="仿宋_GB2312"/>
          <w:sz w:val="32"/>
          <w:szCs w:val="32"/>
          <w:lang w:val="en-US" w:eastAsia="zh-CN"/>
        </w:rPr>
        <w:t>42.38</w:t>
      </w:r>
      <w:r>
        <w:rPr>
          <w:rFonts w:hint="eastAsia" w:ascii="仿宋_GB2312" w:hAnsi="仿宋_GB2312" w:eastAsia="仿宋_GB2312" w:cs="仿宋_GB2312"/>
          <w:sz w:val="32"/>
          <w:szCs w:val="32"/>
        </w:rPr>
        <w:t>万元，上升了</w:t>
      </w:r>
      <w:r>
        <w:rPr>
          <w:rFonts w:hint="eastAsia" w:ascii="仿宋_GB2312" w:hAnsi="仿宋_GB2312" w:eastAsia="仿宋_GB2312" w:cs="仿宋_GB2312"/>
          <w:sz w:val="32"/>
          <w:szCs w:val="32"/>
          <w:lang w:val="en-US" w:eastAsia="zh-CN"/>
        </w:rPr>
        <w:t>4.38</w:t>
      </w:r>
      <w:r>
        <w:rPr>
          <w:rFonts w:hint="eastAsia" w:ascii="仿宋_GB2312" w:hAnsi="仿宋_GB2312" w:eastAsia="仿宋_GB2312" w:cs="仿宋_GB2312"/>
          <w:sz w:val="32"/>
          <w:szCs w:val="32"/>
        </w:rPr>
        <w:t>%，支出增加了</w:t>
      </w:r>
      <w:r>
        <w:rPr>
          <w:rFonts w:hint="eastAsia" w:ascii="仿宋_GB2312" w:hAnsi="仿宋_GB2312" w:eastAsia="仿宋_GB2312" w:cs="仿宋_GB2312"/>
          <w:sz w:val="32"/>
          <w:szCs w:val="32"/>
          <w:lang w:val="en-US" w:eastAsia="zh-CN"/>
        </w:rPr>
        <w:t>42.38</w:t>
      </w:r>
      <w:r>
        <w:rPr>
          <w:rFonts w:hint="eastAsia" w:ascii="仿宋_GB2312" w:hAnsi="仿宋_GB2312" w:eastAsia="仿宋_GB2312" w:cs="仿宋_GB2312"/>
          <w:sz w:val="32"/>
          <w:szCs w:val="32"/>
        </w:rPr>
        <w:t>万元，上升</w:t>
      </w:r>
      <w:r>
        <w:rPr>
          <w:rFonts w:hint="eastAsia" w:ascii="仿宋_GB2312" w:hAnsi="仿宋_GB2312" w:eastAsia="仿宋_GB2312" w:cs="仿宋_GB2312"/>
          <w:sz w:val="32"/>
          <w:szCs w:val="32"/>
          <w:lang w:val="en-US" w:eastAsia="zh-CN"/>
        </w:rPr>
        <w:t>4.38</w:t>
      </w:r>
      <w:r>
        <w:rPr>
          <w:rFonts w:hint="eastAsia" w:ascii="仿宋_GB2312" w:hAnsi="仿宋_GB2312" w:eastAsia="仿宋_GB2312" w:cs="仿宋_GB2312"/>
          <w:sz w:val="32"/>
          <w:szCs w:val="32"/>
        </w:rPr>
        <w:t>%。收入支出均增加主要原因：</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lang w:val="en-US" w:eastAsia="zh-CN"/>
        </w:rPr>
        <w:t>2022年我单位支付县乡人大代表换届选举工作经费29.3万元，2021年无该项支出</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解决代表联络站提升改造经费</w:t>
      </w:r>
      <w:r>
        <w:rPr>
          <w:rFonts w:hint="eastAsia" w:ascii="仿宋_GB2312" w:hAnsi="仿宋_GB2312" w:eastAsia="仿宋_GB2312" w:cs="仿宋_GB2312"/>
          <w:sz w:val="32"/>
          <w:szCs w:val="32"/>
          <w:lang w:val="en-US" w:eastAsia="zh-CN"/>
        </w:rPr>
        <w:t>12万元，2021年无该项支出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lang w:val="en-US" w:eastAsia="zh-CN"/>
        </w:rPr>
        <w:t>2022年川U0181U大修产生大修费用7万元，2021年无该项支出；</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2022年我办退休去世2人，发放抚恤金54.14万元，比上年增加22.14万元；</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lang w:val="en-US" w:eastAsia="zh-CN"/>
        </w:rPr>
        <w:t>2022年发放退休一次性补贴16.04万元，同比</w:t>
      </w:r>
      <w:r>
        <w:rPr>
          <w:rFonts w:hint="eastAsia" w:ascii="仿宋_GB2312" w:hAnsi="仿宋_GB2312" w:eastAsia="仿宋_GB2312" w:cs="仿宋_GB2312"/>
          <w:sz w:val="32"/>
          <w:szCs w:val="32"/>
          <w:lang w:eastAsia="zh-CN"/>
        </w:rPr>
        <w:t>上年增加</w:t>
      </w:r>
      <w:r>
        <w:rPr>
          <w:rFonts w:hint="eastAsia" w:ascii="仿宋_GB2312" w:hAnsi="仿宋_GB2312" w:eastAsia="仿宋_GB2312" w:cs="仿宋_GB2312"/>
          <w:sz w:val="32"/>
          <w:szCs w:val="32"/>
          <w:lang w:val="en-US" w:eastAsia="zh-CN"/>
        </w:rPr>
        <w:t>2.28万元；</w:t>
      </w:r>
      <w:r>
        <w:rPr>
          <w:rFonts w:hint="eastAsia" w:ascii="仿宋_GB2312" w:hAnsi="仿宋_GB2312" w:eastAsia="仿宋_GB2312" w:cs="仿宋_GB2312"/>
          <w:b/>
          <w:bCs/>
          <w:sz w:val="32"/>
          <w:szCs w:val="32"/>
          <w:lang w:val="en-US" w:eastAsia="zh-CN"/>
        </w:rPr>
        <w:t>六是</w:t>
      </w:r>
      <w:r>
        <w:rPr>
          <w:rFonts w:hint="eastAsia" w:ascii="仿宋_GB2312" w:hAnsi="仿宋_GB2312" w:eastAsia="仿宋_GB2312" w:cs="仿宋_GB2312"/>
          <w:sz w:val="32"/>
          <w:szCs w:val="32"/>
          <w:lang w:val="en-US" w:eastAsia="zh-CN"/>
        </w:rPr>
        <w:t>每年的工资、保险、公积金的变动。</w:t>
      </w: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（图4：财政拨款收、支决算总计变动情况）（柱状图）</w:t>
      </w:r>
    </w:p>
    <w:p>
      <w:pPr>
        <w:pStyle w:val="8"/>
        <w:rPr>
          <w:rFonts w:hint="eastAsia" w:ascii="仿宋" w:eastAsia="仿宋"/>
          <w:sz w:val="32"/>
          <w:szCs w:val="32"/>
        </w:rPr>
      </w:pPr>
    </w:p>
    <w:p>
      <w:pPr>
        <w:pStyle w:val="9"/>
        <w:rPr>
          <w:rFonts w:hint="eastAsia" w:eastAsia="仿宋"/>
          <w:lang w:eastAsia="zh-CN"/>
        </w:rPr>
      </w:pPr>
      <w:r>
        <w:rPr>
          <w:rFonts w:hint="eastAsia" w:eastAsia="仿宋"/>
          <w:lang w:eastAsia="zh-CN"/>
        </w:rPr>
        <w:drawing>
          <wp:inline distT="0" distB="0" distL="114300" distR="114300">
            <wp:extent cx="4979035" cy="3212465"/>
            <wp:effectExtent l="4445" t="4445" r="7620" b="2159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rPr>
          <w:rFonts w:ascii="仿宋" w:eastAsia="仿宋"/>
          <w:b/>
          <w:sz w:val="32"/>
          <w:szCs w:val="32"/>
        </w:rPr>
      </w:pPr>
    </w:p>
    <w:p>
      <w:pPr>
        <w:spacing w:line="600" w:lineRule="exact"/>
        <w:ind w:firstLine="640" w:firstLineChars="200"/>
        <w:outlineLvl w:val="1"/>
        <w:rPr>
          <w:rStyle w:val="21"/>
          <w:rFonts w:ascii="黑体" w:eastAsia="黑体"/>
          <w:b w:val="0"/>
        </w:rPr>
      </w:pPr>
      <w:bookmarkStart w:id="34" w:name="_Toc15396607"/>
      <w:bookmarkStart w:id="35" w:name="_Toc15377209"/>
      <w:bookmarkStart w:id="36" w:name="_Toc29964"/>
      <w:r>
        <w:rPr>
          <w:rFonts w:hint="eastAsia" w:ascii="黑体" w:eastAsia="黑体"/>
          <w:sz w:val="32"/>
          <w:szCs w:val="32"/>
        </w:rPr>
        <w:t>五、</w:t>
      </w:r>
      <w:r>
        <w:rPr>
          <w:rFonts w:hint="eastAsia" w:ascii="黑体" w:eastAsia="黑体"/>
          <w:b/>
          <w:sz w:val="32"/>
          <w:szCs w:val="32"/>
        </w:rPr>
        <w:t>一</w:t>
      </w:r>
      <w:r>
        <w:rPr>
          <w:rStyle w:val="21"/>
          <w:rFonts w:hint="eastAsia" w:ascii="黑体" w:eastAsia="黑体"/>
          <w:b w:val="0"/>
        </w:rPr>
        <w:t>般公共预算财政拨款支出决算情况说明</w:t>
      </w:r>
      <w:bookmarkEnd w:id="34"/>
      <w:bookmarkEnd w:id="35"/>
      <w:bookmarkEnd w:id="36"/>
    </w:p>
    <w:p>
      <w:pPr>
        <w:spacing w:line="600" w:lineRule="exact"/>
        <w:ind w:firstLine="643" w:firstLineChars="200"/>
        <w:outlineLvl w:val="2"/>
        <w:rPr>
          <w:rFonts w:ascii="仿宋" w:eastAsia="仿宋"/>
          <w:b/>
          <w:sz w:val="32"/>
          <w:szCs w:val="32"/>
        </w:rPr>
      </w:pPr>
      <w:bookmarkStart w:id="37" w:name="_Toc15377210"/>
      <w:r>
        <w:rPr>
          <w:rFonts w:hint="eastAsia" w:ascii="仿宋" w:eastAsia="仿宋"/>
          <w:b/>
          <w:sz w:val="32"/>
          <w:szCs w:val="32"/>
        </w:rPr>
        <w:t>（一）一般公共预算财政拨款支出决算总体情况</w:t>
      </w:r>
      <w:bookmarkEnd w:id="37"/>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2022年一般公共预算财政拨款支出</w:t>
      </w:r>
      <w:r>
        <w:rPr>
          <w:rFonts w:hint="eastAsia" w:ascii="仿宋_GB2312" w:hAnsi="仿宋_GB2312" w:eastAsia="仿宋_GB2312" w:cs="仿宋_GB2312"/>
          <w:sz w:val="32"/>
          <w:szCs w:val="32"/>
          <w:lang w:val="en-US" w:eastAsia="zh-CN"/>
        </w:rPr>
        <w:t>1008.82</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99.99</w:t>
      </w:r>
      <w:r>
        <w:rPr>
          <w:rFonts w:hint="eastAsia" w:ascii="仿宋_GB2312" w:hAnsi="仿宋_GB2312" w:eastAsia="仿宋_GB2312" w:cs="仿宋_GB2312"/>
          <w:sz w:val="32"/>
          <w:szCs w:val="32"/>
        </w:rPr>
        <w:t>%。与2021年相比，一般公共预算财政拨款支出增加</w:t>
      </w:r>
      <w:r>
        <w:rPr>
          <w:rFonts w:hint="eastAsia" w:ascii="仿宋_GB2312" w:hAnsi="仿宋_GB2312" w:eastAsia="仿宋_GB2312" w:cs="仿宋_GB2312"/>
          <w:sz w:val="32"/>
          <w:szCs w:val="32"/>
          <w:lang w:val="en-US" w:eastAsia="zh-CN"/>
        </w:rPr>
        <w:t>42.38</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4.38</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lang w:val="en-US" w:eastAsia="zh-CN"/>
        </w:rPr>
        <w:t>2022年我单位支付县乡人大代表换届选举工作经费29.3万元，2021年无该项支出</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解决代表联络站提升改造经费</w:t>
      </w:r>
      <w:r>
        <w:rPr>
          <w:rFonts w:hint="eastAsia" w:ascii="仿宋_GB2312" w:hAnsi="仿宋_GB2312" w:eastAsia="仿宋_GB2312" w:cs="仿宋_GB2312"/>
          <w:sz w:val="32"/>
          <w:szCs w:val="32"/>
          <w:lang w:val="en-US" w:eastAsia="zh-CN"/>
        </w:rPr>
        <w:t>12万元，2021年无该项支出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lang w:val="en-US" w:eastAsia="zh-CN"/>
        </w:rPr>
        <w:t>2022年川U0181U大修产生大修费用7万元，2021年无该项支出；</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2022年我办退休去世2人，发放抚恤金54.14万元，比上年增加22.14万元；</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lang w:val="en-US" w:eastAsia="zh-CN"/>
        </w:rPr>
        <w:t>2022年发放退休一次性补贴16.04万元，同比</w:t>
      </w:r>
      <w:r>
        <w:rPr>
          <w:rFonts w:hint="eastAsia" w:ascii="仿宋_GB2312" w:hAnsi="仿宋_GB2312" w:eastAsia="仿宋_GB2312" w:cs="仿宋_GB2312"/>
          <w:sz w:val="32"/>
          <w:szCs w:val="32"/>
          <w:lang w:eastAsia="zh-CN"/>
        </w:rPr>
        <w:t>上年增加</w:t>
      </w:r>
      <w:r>
        <w:rPr>
          <w:rFonts w:hint="eastAsia" w:ascii="仿宋_GB2312" w:hAnsi="仿宋_GB2312" w:eastAsia="仿宋_GB2312" w:cs="仿宋_GB2312"/>
          <w:sz w:val="32"/>
          <w:szCs w:val="32"/>
          <w:lang w:val="en-US" w:eastAsia="zh-CN"/>
        </w:rPr>
        <w:t>2.28万元；</w:t>
      </w:r>
      <w:r>
        <w:rPr>
          <w:rFonts w:hint="eastAsia" w:ascii="仿宋_GB2312" w:hAnsi="仿宋_GB2312" w:eastAsia="仿宋_GB2312" w:cs="仿宋_GB2312"/>
          <w:b/>
          <w:bCs/>
          <w:sz w:val="32"/>
          <w:szCs w:val="32"/>
          <w:lang w:val="en-US" w:eastAsia="zh-CN"/>
        </w:rPr>
        <w:t>六是</w:t>
      </w:r>
      <w:r>
        <w:rPr>
          <w:rFonts w:hint="eastAsia" w:ascii="仿宋_GB2312" w:hAnsi="仿宋_GB2312" w:eastAsia="仿宋_GB2312" w:cs="仿宋_GB2312"/>
          <w:sz w:val="32"/>
          <w:szCs w:val="32"/>
          <w:lang w:val="en-US" w:eastAsia="zh-CN"/>
        </w:rPr>
        <w:t>每年的工资、保险、公积金的变动。</w:t>
      </w: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（图5：一般公共预算财政拨款支出决算变动情况）（柱状图）</w:t>
      </w:r>
    </w:p>
    <w:p>
      <w:pPr>
        <w:pStyle w:val="8"/>
        <w:rPr>
          <w:rFonts w:hint="eastAsia" w:ascii="仿宋" w:eastAsia="仿宋"/>
          <w:sz w:val="32"/>
          <w:szCs w:val="32"/>
        </w:rPr>
      </w:pPr>
      <w:r>
        <w:rPr>
          <w:rFonts w:hint="eastAsia" w:eastAsia="仿宋"/>
          <w:lang w:eastAsia="zh-CN"/>
        </w:rPr>
        <w:drawing>
          <wp:inline distT="0" distB="0" distL="114300" distR="114300">
            <wp:extent cx="4685665" cy="2878455"/>
            <wp:effectExtent l="4445" t="4445" r="15240" b="1270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rPr>
          <w:rFonts w:ascii="仿宋" w:eastAsia="仿宋"/>
          <w:sz w:val="32"/>
          <w:szCs w:val="32"/>
        </w:rPr>
      </w:pPr>
    </w:p>
    <w:p>
      <w:pPr>
        <w:spacing w:line="600" w:lineRule="exact"/>
        <w:ind w:firstLine="643" w:firstLineChars="200"/>
        <w:outlineLvl w:val="2"/>
        <w:rPr>
          <w:rFonts w:ascii="仿宋" w:eastAsia="仿宋"/>
          <w:b/>
          <w:sz w:val="32"/>
          <w:szCs w:val="32"/>
        </w:rPr>
      </w:pPr>
      <w:bookmarkStart w:id="38" w:name="_Toc15377211"/>
      <w:r>
        <w:rPr>
          <w:rFonts w:hint="eastAsia" w:ascii="仿宋" w:eastAsia="仿宋"/>
          <w:b/>
          <w:sz w:val="32"/>
          <w:szCs w:val="32"/>
        </w:rPr>
        <w:t>（二）一般公共预算财政拨款支出决算结构情况</w:t>
      </w:r>
      <w:bookmarkEnd w:id="38"/>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2022年一般公共预算财政拨款支出</w:t>
      </w:r>
      <w:r>
        <w:rPr>
          <w:rFonts w:hint="eastAsia" w:ascii="仿宋_GB2312" w:hAnsi="仿宋_GB2312" w:eastAsia="仿宋_GB2312" w:cs="仿宋_GB2312"/>
          <w:sz w:val="32"/>
          <w:szCs w:val="32"/>
          <w:lang w:val="en-US" w:eastAsia="zh-CN"/>
        </w:rPr>
        <w:t>1008.82</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sz w:val="32"/>
          <w:szCs w:val="32"/>
        </w:rPr>
        <w:t>一般公共服务</w:t>
      </w:r>
      <w:r>
        <w:rPr>
          <w:rFonts w:hint="eastAsia" w:ascii="仿宋_GB2312" w:hAnsi="仿宋_GB2312" w:eastAsia="仿宋_GB2312" w:cs="仿宋_GB2312"/>
          <w:b/>
          <w:bCs/>
          <w:sz w:val="32"/>
          <w:szCs w:val="32"/>
        </w:rPr>
        <w:t>支出</w:t>
      </w:r>
      <w:r>
        <w:rPr>
          <w:rFonts w:hint="eastAsia" w:ascii="仿宋_GB2312" w:hAnsi="仿宋_GB2312" w:eastAsia="仿宋_GB2312" w:cs="仿宋_GB2312"/>
          <w:sz w:val="32"/>
          <w:szCs w:val="32"/>
          <w:lang w:val="en-US" w:eastAsia="zh-CN"/>
        </w:rPr>
        <w:t>820.92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81.37</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社会保障和就业</w:t>
      </w:r>
      <w:r>
        <w:rPr>
          <w:rFonts w:hint="eastAsia" w:ascii="仿宋_GB2312" w:hAnsi="仿宋_GB2312" w:eastAsia="仿宋_GB2312" w:cs="仿宋_GB2312"/>
          <w:b/>
          <w:bCs/>
          <w:sz w:val="32"/>
          <w:szCs w:val="32"/>
        </w:rPr>
        <w:t>支出</w:t>
      </w:r>
      <w:r>
        <w:rPr>
          <w:rFonts w:hint="eastAsia" w:ascii="仿宋_GB2312" w:hAnsi="仿宋_GB2312" w:eastAsia="仿宋_GB2312" w:cs="仿宋_GB2312"/>
          <w:sz w:val="32"/>
          <w:szCs w:val="32"/>
          <w:lang w:val="en-US" w:eastAsia="zh-CN"/>
        </w:rPr>
        <w:t>93.93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9.31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w:t>
      </w:r>
      <w:r>
        <w:rPr>
          <w:rFonts w:hint="eastAsia" w:ascii="仿宋_GB2312" w:hAnsi="仿宋_GB2312" w:eastAsia="仿宋_GB2312" w:cs="仿宋_GB2312"/>
          <w:sz w:val="32"/>
          <w:szCs w:val="32"/>
          <w:lang w:val="en-US" w:eastAsia="zh-CN"/>
        </w:rPr>
        <w:t>43.1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4.27</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sz w:val="32"/>
          <w:szCs w:val="32"/>
          <w:lang w:val="en-US" w:eastAsia="zh-CN"/>
        </w:rPr>
        <w:t>50.87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5.05</w:t>
      </w:r>
      <w:r>
        <w:rPr>
          <w:rFonts w:hint="eastAsia" w:ascii="仿宋_GB2312" w:hAnsi="仿宋_GB2312" w:eastAsia="仿宋_GB2312" w:cs="仿宋_GB2312"/>
          <w:sz w:val="32"/>
          <w:szCs w:val="32"/>
        </w:rPr>
        <w:t>%。</w:t>
      </w:r>
    </w:p>
    <w:p>
      <w:pPr>
        <w:pStyle w:val="8"/>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（图6：一般公共预算财政拨款支出决算结构）（饼状图）</w:t>
      </w:r>
    </w:p>
    <w:p>
      <w:pPr>
        <w:pStyle w:val="9"/>
        <w:rPr>
          <w:rFonts w:hint="eastAsia"/>
          <w:lang w:eastAsia="zh-CN"/>
        </w:rPr>
      </w:pPr>
    </w:p>
    <w:p>
      <w:pPr>
        <w:pStyle w:val="9"/>
        <w:rPr>
          <w:rFonts w:hint="eastAsia"/>
          <w:lang w:eastAsia="zh-CN"/>
        </w:rPr>
      </w:pPr>
      <w:r>
        <w:rPr>
          <w:rFonts w:hint="eastAsia" w:ascii="仿宋" w:eastAsia="仿宋"/>
          <w:sz w:val="32"/>
          <w:szCs w:val="32"/>
          <w:lang w:eastAsia="zh-CN"/>
        </w:rPr>
        <w:drawing>
          <wp:anchor distT="0" distB="0" distL="114300" distR="114300" simplePos="0" relativeHeight="251661312" behindDoc="1" locked="0" layoutInCell="1" allowOverlap="1">
            <wp:simplePos x="0" y="0"/>
            <wp:positionH relativeFrom="column">
              <wp:posOffset>298450</wp:posOffset>
            </wp:positionH>
            <wp:positionV relativeFrom="paragraph">
              <wp:posOffset>128270</wp:posOffset>
            </wp:positionV>
            <wp:extent cx="4858385" cy="2411730"/>
            <wp:effectExtent l="4445" t="5080" r="13970" b="21590"/>
            <wp:wrapTight wrapText="bothSides">
              <wp:wrapPolygon>
                <wp:start x="-20" y="-45"/>
                <wp:lineTo x="-20" y="21452"/>
                <wp:lineTo x="21577" y="21452"/>
                <wp:lineTo x="21577" y="-45"/>
                <wp:lineTo x="-20" y="-45"/>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9"/>
        <w:rPr>
          <w:rFonts w:hint="eastAsia"/>
          <w:lang w:eastAsia="zh-CN"/>
        </w:rPr>
      </w:pPr>
    </w:p>
    <w:p>
      <w:pPr>
        <w:pStyle w:val="9"/>
        <w:rPr>
          <w:rFonts w:hint="eastAsia"/>
          <w:lang w:eastAsia="zh-CN"/>
        </w:rPr>
      </w:pPr>
    </w:p>
    <w:p>
      <w:pPr>
        <w:spacing w:line="600" w:lineRule="exact"/>
        <w:outlineLvl w:val="9"/>
        <w:rPr>
          <w:rFonts w:hint="eastAsia" w:ascii="仿宋" w:eastAsia="仿宋"/>
          <w:b/>
          <w:sz w:val="32"/>
          <w:szCs w:val="32"/>
        </w:rPr>
      </w:pPr>
      <w:bookmarkStart w:id="39" w:name="_Toc15377212"/>
    </w:p>
    <w:p>
      <w:pPr>
        <w:pStyle w:val="8"/>
        <w:rPr>
          <w:rFonts w:hint="eastAsia"/>
        </w:rPr>
      </w:pPr>
    </w:p>
    <w:p>
      <w:pPr>
        <w:spacing w:line="600" w:lineRule="exact"/>
        <w:ind w:firstLine="643" w:firstLineChars="200"/>
        <w:outlineLvl w:val="2"/>
        <w:rPr>
          <w:rFonts w:ascii="仿宋" w:eastAsia="仿宋"/>
          <w:b/>
          <w:sz w:val="32"/>
          <w:szCs w:val="32"/>
        </w:rPr>
      </w:pPr>
      <w:r>
        <w:rPr>
          <w:rFonts w:hint="eastAsia" w:ascii="仿宋" w:eastAsia="仿宋"/>
          <w:b/>
          <w:sz w:val="32"/>
          <w:szCs w:val="32"/>
        </w:rPr>
        <w:t>（三）一般公共预算财政拨款支出决算具体情况</w:t>
      </w:r>
      <w:bookmarkEnd w:id="39"/>
    </w:p>
    <w:p>
      <w:pPr>
        <w:spacing w:line="600" w:lineRule="exact"/>
        <w:ind w:firstLine="643" w:firstLineChars="200"/>
        <w:outlineLvl w:val="2"/>
        <w:rPr>
          <w:rFonts w:hint="eastAsia" w:ascii="仿宋_GB2312" w:hAnsi="仿宋_GB2312" w:eastAsia="仿宋_GB2312" w:cs="仿宋_GB2312"/>
          <w:sz w:val="32"/>
          <w:szCs w:val="32"/>
        </w:rPr>
      </w:pPr>
      <w:bookmarkStart w:id="40" w:name="_Toc15377213"/>
      <w:bookmarkStart w:id="41" w:name="_Toc15378460"/>
      <w:bookmarkStart w:id="42" w:name="_Toc15377444"/>
      <w:r>
        <w:rPr>
          <w:rFonts w:hint="eastAsia" w:ascii="仿宋_GB2312" w:hAnsi="仿宋_GB2312" w:eastAsia="仿宋_GB2312" w:cs="仿宋_GB2312"/>
          <w:b/>
          <w:sz w:val="32"/>
          <w:szCs w:val="32"/>
        </w:rPr>
        <w:t>2022年一般公共预算支出决算数为</w:t>
      </w:r>
      <w:r>
        <w:rPr>
          <w:rFonts w:hint="eastAsia" w:ascii="仿宋_GB2312" w:hAnsi="仿宋_GB2312" w:eastAsia="仿宋_GB2312" w:cs="仿宋_GB2312"/>
          <w:b/>
          <w:sz w:val="32"/>
          <w:szCs w:val="32"/>
          <w:lang w:val="en-US" w:eastAsia="zh-CN"/>
        </w:rPr>
        <w:t>1008.82</w:t>
      </w:r>
      <w:r>
        <w:rPr>
          <w:rFonts w:hint="eastAsia" w:ascii="仿宋_GB2312" w:hAnsi="仿宋_GB2312" w:eastAsia="仿宋_GB2312" w:cs="仿宋_GB2312"/>
          <w:sz w:val="32"/>
          <w:szCs w:val="32"/>
        </w:rPr>
        <w:t>，</w:t>
      </w:r>
      <w:r>
        <w:rPr>
          <w:rStyle w:val="18"/>
          <w:rFonts w:hint="eastAsia" w:ascii="仿宋_GB2312" w:hAnsi="仿宋_GB2312" w:eastAsia="仿宋_GB2312" w:cs="仿宋_GB2312"/>
          <w:bCs/>
          <w:sz w:val="32"/>
          <w:szCs w:val="32"/>
        </w:rPr>
        <w:t>完成预算</w:t>
      </w:r>
      <w:r>
        <w:rPr>
          <w:rStyle w:val="18"/>
          <w:rFonts w:hint="eastAsia" w:ascii="仿宋_GB2312" w:hAnsi="仿宋_GB2312" w:eastAsia="仿宋_GB2312" w:cs="仿宋_GB2312"/>
          <w:bCs/>
          <w:sz w:val="32"/>
          <w:szCs w:val="32"/>
          <w:lang w:val="en-US" w:eastAsia="zh-CN"/>
        </w:rPr>
        <w:t>100</w:t>
      </w:r>
      <w:r>
        <w:rPr>
          <w:rStyle w:val="18"/>
          <w:rFonts w:hint="eastAsia" w:ascii="仿宋_GB2312" w:hAnsi="仿宋_GB2312" w:eastAsia="仿宋_GB2312" w:cs="仿宋_GB2312"/>
          <w:bCs/>
          <w:sz w:val="32"/>
          <w:szCs w:val="32"/>
        </w:rPr>
        <w:t>%。其中：</w:t>
      </w:r>
      <w:bookmarkEnd w:id="40"/>
      <w:bookmarkEnd w:id="41"/>
      <w:bookmarkEnd w:id="42"/>
    </w:p>
    <w:p>
      <w:pPr>
        <w:numPr>
          <w:ilvl w:val="0"/>
          <w:numId w:val="4"/>
        </w:numPr>
        <w:spacing w:line="600" w:lineRule="exact"/>
        <w:ind w:firstLine="643" w:firstLineChars="200"/>
        <w:rPr>
          <w:rStyle w:val="18"/>
          <w:rFonts w:hint="eastAsia" w:ascii="仿宋_GB2312" w:hAnsi="仿宋_GB2312" w:eastAsia="仿宋_GB2312" w:cs="仿宋_GB2312"/>
          <w:b w:val="0"/>
          <w:bCs/>
          <w:sz w:val="32"/>
          <w:szCs w:val="32"/>
          <w:lang w:val="en-US" w:eastAsia="zh-CN"/>
        </w:rPr>
      </w:pPr>
      <w:r>
        <w:rPr>
          <w:rStyle w:val="18"/>
          <w:rFonts w:hint="eastAsia" w:ascii="仿宋_GB2312" w:hAnsi="仿宋_GB2312" w:eastAsia="仿宋_GB2312" w:cs="仿宋_GB2312"/>
          <w:bCs/>
          <w:sz w:val="32"/>
          <w:szCs w:val="32"/>
        </w:rPr>
        <w:t>一般公共服务</w:t>
      </w:r>
      <w:r>
        <w:rPr>
          <w:rStyle w:val="18"/>
          <w:rFonts w:hint="eastAsia" w:ascii="仿宋_GB2312" w:hAnsi="仿宋_GB2312" w:eastAsia="仿宋_GB2312" w:cs="仿宋_GB2312"/>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2010101</w:t>
      </w:r>
      <w:r>
        <w:rPr>
          <w:rStyle w:val="18"/>
          <w:rFonts w:hint="eastAsia" w:ascii="仿宋_GB2312" w:hAnsi="仿宋_GB2312" w:eastAsia="仿宋_GB2312" w:cs="仿宋_GB2312"/>
          <w:b w:val="0"/>
          <w:bCs/>
          <w:sz w:val="32"/>
          <w:szCs w:val="32"/>
          <w:lang w:val="en-US" w:eastAsia="zh-CN"/>
        </w:rPr>
        <w:t>-行政运行</w:t>
      </w:r>
      <w:r>
        <w:rPr>
          <w:rStyle w:val="18"/>
          <w:rFonts w:hint="eastAsia" w:ascii="仿宋_GB2312" w:hAnsi="仿宋_GB2312" w:eastAsia="仿宋_GB2312" w:cs="仿宋_GB2312"/>
          <w:b w:val="0"/>
          <w:bCs/>
          <w:sz w:val="32"/>
          <w:szCs w:val="32"/>
        </w:rPr>
        <w:t>支出决算为687.85万元，完</w:t>
      </w:r>
      <w:r>
        <w:rPr>
          <w:rStyle w:val="18"/>
          <w:rFonts w:hint="eastAsia" w:ascii="仿宋_GB2312" w:hAnsi="仿宋_GB2312" w:eastAsia="仿宋_GB2312" w:cs="仿宋_GB2312"/>
          <w:b w:val="0"/>
          <w:bCs/>
          <w:sz w:val="32"/>
          <w:szCs w:val="32"/>
          <w:lang w:val="en-US" w:eastAsia="zh-CN"/>
        </w:rPr>
        <w:t>成预算100%，主要用于开支日常公用经费及人员经费；2010102-一般行政管理事务支出决算为38.89万元，完成预算100%，主要用于专项公用经费；2010104</w:t>
      </w:r>
      <w:r>
        <w:rPr>
          <w:rStyle w:val="18"/>
          <w:rFonts w:hint="eastAsia" w:ascii="仿宋_GB2312" w:hAnsi="仿宋_GB2312" w:eastAsia="仿宋_GB2312" w:cs="仿宋_GB2312"/>
          <w:b w:val="0"/>
          <w:bCs/>
          <w:sz w:val="32"/>
          <w:szCs w:val="32"/>
          <w:lang w:val="en-US" w:eastAsia="zh-CN"/>
        </w:rPr>
        <w:tab/>
      </w:r>
      <w:r>
        <w:rPr>
          <w:rStyle w:val="18"/>
          <w:rFonts w:hint="eastAsia" w:ascii="仿宋_GB2312" w:hAnsi="仿宋_GB2312" w:eastAsia="仿宋_GB2312" w:cs="仿宋_GB2312"/>
          <w:b w:val="0"/>
          <w:bCs/>
          <w:sz w:val="32"/>
          <w:szCs w:val="32"/>
          <w:lang w:val="en-US" w:eastAsia="zh-CN"/>
        </w:rPr>
        <w:t>-人大会议支出决算为30万元，完成预算100%，主要用于召开人代会、常委会相关印刷费，办公费等；2010107-人大代表履职能力提升支出决算为7.52万元，完成预算100%，主要用于代表履职产生的培训费及代表履职能力提升相关的后勤保障开支；2010108-代表工作支出决算为51万元，完成预算100%，主要用于2022年代表换届选举，代表培训等开支；2010150</w:t>
      </w:r>
      <w:r>
        <w:rPr>
          <w:rStyle w:val="18"/>
          <w:rFonts w:hint="eastAsia" w:ascii="仿宋_GB2312" w:hAnsi="仿宋_GB2312" w:eastAsia="仿宋_GB2312" w:cs="仿宋_GB2312"/>
          <w:b w:val="0"/>
          <w:bCs/>
          <w:sz w:val="32"/>
          <w:szCs w:val="32"/>
          <w:lang w:val="en-US" w:eastAsia="zh-CN"/>
        </w:rPr>
        <w:tab/>
      </w:r>
      <w:r>
        <w:rPr>
          <w:rStyle w:val="18"/>
          <w:rFonts w:hint="eastAsia" w:ascii="仿宋_GB2312" w:hAnsi="仿宋_GB2312" w:eastAsia="仿宋_GB2312" w:cs="仿宋_GB2312"/>
          <w:b w:val="0"/>
          <w:bCs/>
          <w:sz w:val="32"/>
          <w:szCs w:val="32"/>
          <w:lang w:val="en-US" w:eastAsia="zh-CN"/>
        </w:rPr>
        <w:t>-事业运行支出决算为5.66万元，完成预算100%，主要用于预算联网督查室人员经费及日常公用经费开支。</w:t>
      </w:r>
    </w:p>
    <w:p>
      <w:pPr>
        <w:numPr>
          <w:ilvl w:val="0"/>
          <w:numId w:val="0"/>
        </w:numPr>
        <w:spacing w:line="600" w:lineRule="exact"/>
        <w:ind w:firstLine="643" w:firstLineChars="200"/>
        <w:rPr>
          <w:rFonts w:hint="eastAsia" w:ascii="仿宋_GB2312" w:hAnsi="仿宋_GB2312" w:eastAsia="仿宋_GB2312" w:cs="仿宋_GB2312"/>
          <w:b/>
          <w:color w:val="000000"/>
          <w:sz w:val="32"/>
          <w:szCs w:val="32"/>
        </w:rPr>
      </w:pPr>
      <w:r>
        <w:rPr>
          <w:rStyle w:val="18"/>
          <w:rFonts w:hint="eastAsia" w:ascii="仿宋_GB2312" w:hAnsi="仿宋_GB2312" w:eastAsia="仿宋_GB2312" w:cs="仿宋_GB2312"/>
          <w:bCs/>
          <w:sz w:val="32"/>
          <w:szCs w:val="32"/>
          <w:lang w:val="en-US" w:eastAsia="zh-CN"/>
        </w:rPr>
        <w:t>2.</w:t>
      </w:r>
      <w:r>
        <w:rPr>
          <w:rStyle w:val="18"/>
          <w:rFonts w:hint="eastAsia" w:ascii="仿宋_GB2312" w:hAnsi="仿宋_GB2312" w:eastAsia="仿宋_GB2312" w:cs="仿宋_GB2312"/>
          <w:bCs/>
          <w:sz w:val="32"/>
          <w:szCs w:val="32"/>
        </w:rPr>
        <w:t>社会保障和就业</w:t>
      </w:r>
      <w:r>
        <w:rPr>
          <w:rStyle w:val="18"/>
          <w:rFonts w:hint="eastAsia" w:ascii="仿宋_GB2312" w:hAnsi="仿宋_GB2312" w:eastAsia="仿宋_GB2312" w:cs="仿宋_GB2312"/>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 xml:space="preserve"> </w:t>
      </w:r>
      <w:r>
        <w:rPr>
          <w:rStyle w:val="18"/>
          <w:rFonts w:hint="eastAsia" w:ascii="仿宋_GB2312" w:hAnsi="仿宋_GB2312" w:eastAsia="仿宋_GB2312" w:cs="仿宋_GB2312"/>
          <w:b w:val="0"/>
          <w:bCs/>
          <w:color w:val="000000"/>
          <w:sz w:val="32"/>
          <w:szCs w:val="32"/>
        </w:rPr>
        <w:t>2080505</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rPr>
        <w:t>机关事业单位基本养老保险缴费支出决算为</w:t>
      </w:r>
      <w:r>
        <w:rPr>
          <w:rStyle w:val="18"/>
          <w:rFonts w:hint="eastAsia" w:ascii="仿宋_GB2312" w:hAnsi="仿宋_GB2312" w:eastAsia="仿宋_GB2312" w:cs="仿宋_GB2312"/>
          <w:b w:val="0"/>
          <w:bCs/>
          <w:color w:val="000000"/>
          <w:sz w:val="32"/>
          <w:szCs w:val="32"/>
          <w:lang w:val="en-US" w:eastAsia="zh-CN"/>
        </w:rPr>
        <w:t>62.62</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全部用于职工缴纳养老保险单位部分；2080506</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机关事业单位职业年金缴费支出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31.31</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全部用于职工缴纳职业年金单位部分。</w:t>
      </w:r>
    </w:p>
    <w:p>
      <w:pPr>
        <w:numPr>
          <w:ilvl w:val="0"/>
          <w:numId w:val="0"/>
        </w:numPr>
        <w:spacing w:line="600" w:lineRule="exact"/>
        <w:ind w:firstLine="643" w:firstLineChars="200"/>
        <w:rPr>
          <w:rStyle w:val="18"/>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卫生健康</w:t>
      </w:r>
      <w:r>
        <w:rPr>
          <w:rFonts w:hint="eastAsia" w:ascii="仿宋_GB2312" w:hAnsi="仿宋_GB2312" w:eastAsia="仿宋_GB2312" w:cs="仿宋_GB2312"/>
          <w:b/>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color w:val="000000"/>
          <w:sz w:val="32"/>
          <w:szCs w:val="32"/>
          <w:lang w:eastAsia="zh-CN"/>
        </w:rPr>
        <w:t>2101101</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行政单位医疗支出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33.36</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，全部用于行政在职职工缴纳医疗保险单位部分；2101102</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事业单位医疗支出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0.33</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，全部用于事业在职职工缴纳医疗保险单位部分；2101103</w:t>
      </w:r>
      <w:r>
        <w:rPr>
          <w:rStyle w:val="18"/>
          <w:rFonts w:hint="eastAsia" w:ascii="仿宋_GB2312" w:hAnsi="仿宋_GB2312" w:eastAsia="仿宋_GB2312" w:cs="仿宋_GB2312"/>
          <w:b w:val="0"/>
          <w:bCs/>
          <w:color w:val="000000"/>
          <w:sz w:val="32"/>
          <w:szCs w:val="32"/>
          <w:lang w:eastAsia="zh-CN"/>
        </w:rPr>
        <w:tab/>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公务员医疗补助支出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9.35</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，全部用于行政在职职工公务员补充医保；2101199</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其他行政事业单位医疗支出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0.06</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，全部用于缴纳事业在职职工补充医保。</w:t>
      </w:r>
    </w:p>
    <w:p>
      <w:pPr>
        <w:numPr>
          <w:ilvl w:val="0"/>
          <w:numId w:val="0"/>
        </w:numPr>
        <w:spacing w:line="600" w:lineRule="exact"/>
        <w:ind w:firstLine="640" w:firstLineChars="200"/>
        <w:rPr>
          <w:rStyle w:val="18"/>
          <w:rFonts w:hint="eastAsia" w:ascii="仿宋_GB2312" w:hAnsi="仿宋_GB2312" w:eastAsia="仿宋_GB2312" w:cs="仿宋_GB2312"/>
          <w:b w:val="0"/>
          <w:bCs/>
          <w:color w:val="000000"/>
          <w:sz w:val="32"/>
          <w:szCs w:val="32"/>
          <w:lang w:eastAsia="zh-CN"/>
        </w:rPr>
      </w:pPr>
      <w:r>
        <w:rPr>
          <w:rStyle w:val="18"/>
          <w:rFonts w:hint="eastAsia" w:ascii="仿宋_GB2312" w:hAnsi="仿宋_GB2312" w:eastAsia="仿宋_GB2312" w:cs="仿宋_GB2312"/>
          <w:b w:val="0"/>
          <w:bCs/>
          <w:color w:val="000000"/>
          <w:sz w:val="32"/>
          <w:szCs w:val="32"/>
          <w:lang w:val="en-US" w:eastAsia="zh-CN"/>
        </w:rPr>
        <w:t>4.住房保障支出：2210201-住房公积金</w:t>
      </w:r>
      <w:r>
        <w:rPr>
          <w:rStyle w:val="18"/>
          <w:rFonts w:hint="eastAsia" w:ascii="仿宋_GB2312" w:hAnsi="仿宋_GB2312" w:eastAsia="仿宋_GB2312" w:cs="仿宋_GB2312"/>
          <w:b w:val="0"/>
          <w:bCs/>
          <w:color w:val="000000"/>
          <w:sz w:val="32"/>
          <w:szCs w:val="32"/>
          <w:lang w:eastAsia="zh-CN"/>
        </w:rPr>
        <w:t>支出决算为</w:t>
      </w:r>
      <w:r>
        <w:rPr>
          <w:rStyle w:val="18"/>
          <w:rFonts w:hint="eastAsia" w:ascii="仿宋_GB2312" w:hAnsi="仿宋_GB2312" w:eastAsia="仿宋_GB2312" w:cs="仿宋_GB2312"/>
          <w:b w:val="0"/>
          <w:bCs/>
          <w:color w:val="000000"/>
          <w:sz w:val="32"/>
          <w:szCs w:val="32"/>
          <w:lang w:val="en-US" w:eastAsia="zh-CN"/>
        </w:rPr>
        <w:t>50.88</w:t>
      </w:r>
      <w:r>
        <w:rPr>
          <w:rStyle w:val="18"/>
          <w:rFonts w:hint="eastAsia" w:ascii="仿宋_GB2312" w:hAnsi="仿宋_GB2312" w:eastAsia="仿宋_GB2312" w:cs="仿宋_GB2312"/>
          <w:b w:val="0"/>
          <w:bCs/>
          <w:color w:val="000000"/>
          <w:sz w:val="32"/>
          <w:szCs w:val="32"/>
          <w:lang w:eastAsia="zh-CN"/>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lang w:eastAsia="zh-CN"/>
        </w:rPr>
        <w:t>%，全部用于行政事业职工缴纳住房公积金单位部分。</w:t>
      </w:r>
    </w:p>
    <w:p>
      <w:pPr>
        <w:spacing w:line="600" w:lineRule="exact"/>
        <w:rPr>
          <w:rFonts w:ascii="仿宋" w:eastAsia="仿宋"/>
          <w:b/>
          <w:sz w:val="32"/>
          <w:szCs w:val="32"/>
        </w:rPr>
      </w:pPr>
    </w:p>
    <w:p>
      <w:pPr>
        <w:tabs>
          <w:tab w:val="right" w:pos="8306"/>
        </w:tabs>
        <w:spacing w:line="600" w:lineRule="exact"/>
        <w:ind w:firstLine="640"/>
        <w:outlineLvl w:val="1"/>
        <w:rPr>
          <w:rStyle w:val="21"/>
        </w:rPr>
      </w:pPr>
      <w:bookmarkStart w:id="43" w:name="_Toc15377214"/>
      <w:bookmarkStart w:id="44" w:name="_Toc15396608"/>
      <w:bookmarkStart w:id="45" w:name="_Toc29471"/>
      <w:r>
        <w:rPr>
          <w:rFonts w:hint="eastAsia" w:ascii="黑体" w:eastAsia="黑体"/>
          <w:sz w:val="32"/>
          <w:szCs w:val="32"/>
        </w:rPr>
        <w:t>六</w:t>
      </w:r>
      <w:r>
        <w:rPr>
          <w:rFonts w:hint="eastAsia" w:ascii="黑体" w:eastAsia="黑体"/>
          <w:b/>
          <w:sz w:val="32"/>
          <w:szCs w:val="32"/>
        </w:rPr>
        <w:t>、一</w:t>
      </w:r>
      <w:r>
        <w:rPr>
          <w:rStyle w:val="21"/>
          <w:rFonts w:hint="eastAsia" w:ascii="黑体" w:eastAsia="黑体"/>
          <w:b w:val="0"/>
        </w:rPr>
        <w:t>般公共预算财政拨款基本支出决算情况说明</w:t>
      </w:r>
      <w:bookmarkEnd w:id="43"/>
      <w:bookmarkEnd w:id="44"/>
      <w:bookmarkEnd w:id="45"/>
      <w:r>
        <w:rPr>
          <w:rStyle w:val="21"/>
          <w:rFonts w:ascii="黑体" w:eastAsia="黑体"/>
          <w:b w:val="0"/>
        </w:rPr>
        <w:tab/>
      </w:r>
    </w:p>
    <w:p>
      <w:pPr>
        <w:spacing w:line="60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2022年一般公共预算财政拨款基本支出</w:t>
      </w:r>
      <w:r>
        <w:rPr>
          <w:rFonts w:hint="eastAsia" w:ascii="仿宋_GB2312" w:hAnsi="仿宋_GB2312" w:eastAsia="仿宋_GB2312" w:cs="仿宋_GB2312"/>
          <w:sz w:val="32"/>
          <w:szCs w:val="32"/>
          <w:lang w:val="en-US" w:eastAsia="zh-CN"/>
        </w:rPr>
        <w:t>881.41</w:t>
      </w:r>
      <w:r>
        <w:rPr>
          <w:rFonts w:hint="eastAsia" w:ascii="仿宋_GB2312" w:hAnsi="仿宋_GB2312" w:eastAsia="仿宋_GB2312" w:cs="仿宋_GB2312"/>
          <w:sz w:val="32"/>
          <w:szCs w:val="32"/>
        </w:rPr>
        <w:t>万元，其中：</w:t>
      </w:r>
    </w:p>
    <w:p>
      <w:pPr>
        <w:spacing w:line="600" w:lineRule="exact"/>
        <w:ind w:firstLine="645"/>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806</w:t>
      </w:r>
      <w:r>
        <w:rPr>
          <w:rFonts w:hint="eastAsia" w:ascii="仿宋_GB2312" w:hAnsi="仿宋_GB2312" w:eastAsia="仿宋_GB2312" w:cs="仿宋_GB2312"/>
          <w:sz w:val="32"/>
          <w:szCs w:val="32"/>
        </w:rPr>
        <w:t>万元，主要包括：</w:t>
      </w:r>
      <w:r>
        <w:rPr>
          <w:rFonts w:hint="eastAsia" w:ascii="仿宋_GB2312" w:hAnsi="仿宋_GB2312" w:eastAsia="仿宋_GB2312" w:cs="仿宋_GB2312"/>
          <w:color w:val="000000"/>
          <w:sz w:val="32"/>
          <w:szCs w:val="32"/>
        </w:rPr>
        <w:t>基本工资</w:t>
      </w:r>
      <w:r>
        <w:rPr>
          <w:rFonts w:hint="eastAsia" w:ascii="仿宋_GB2312" w:hAnsi="仿宋_GB2312" w:eastAsia="仿宋_GB2312" w:cs="仿宋_GB2312"/>
          <w:color w:val="000000"/>
          <w:sz w:val="32"/>
          <w:szCs w:val="32"/>
          <w:lang w:val="en-US" w:eastAsia="zh-CN"/>
        </w:rPr>
        <w:t>149.29</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、津贴补贴</w:t>
      </w:r>
      <w:r>
        <w:rPr>
          <w:rFonts w:hint="eastAsia" w:ascii="仿宋_GB2312" w:hAnsi="仿宋_GB2312" w:eastAsia="仿宋_GB2312" w:cs="仿宋_GB2312"/>
          <w:color w:val="000000"/>
          <w:sz w:val="32"/>
          <w:szCs w:val="32"/>
          <w:lang w:val="en-US" w:eastAsia="zh-CN"/>
        </w:rPr>
        <w:t>349.21</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、奖金</w:t>
      </w:r>
      <w:r>
        <w:rPr>
          <w:rFonts w:hint="eastAsia" w:ascii="仿宋_GB2312" w:hAnsi="仿宋_GB2312" w:eastAsia="仿宋_GB2312" w:cs="仿宋_GB2312"/>
          <w:color w:val="000000"/>
          <w:sz w:val="32"/>
          <w:szCs w:val="32"/>
          <w:lang w:val="en-US" w:eastAsia="zh-CN"/>
        </w:rPr>
        <w:t>11.45</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绩效工资</w:t>
      </w:r>
      <w:r>
        <w:rPr>
          <w:rFonts w:hint="eastAsia" w:ascii="仿宋_GB2312" w:hAnsi="仿宋_GB2312" w:eastAsia="仿宋_GB2312" w:cs="仿宋_GB2312"/>
          <w:color w:val="000000"/>
          <w:sz w:val="32"/>
          <w:szCs w:val="32"/>
          <w:lang w:val="en-US" w:eastAsia="zh-CN"/>
        </w:rPr>
        <w:t>0.98万元、</w:t>
      </w:r>
      <w:r>
        <w:rPr>
          <w:rFonts w:hint="eastAsia" w:ascii="仿宋_GB2312" w:hAnsi="仿宋_GB2312" w:eastAsia="仿宋_GB2312" w:cs="仿宋_GB2312"/>
          <w:color w:val="000000"/>
          <w:sz w:val="32"/>
          <w:szCs w:val="32"/>
        </w:rPr>
        <w:t>机关事业单位基本养老保险缴费</w:t>
      </w:r>
      <w:r>
        <w:rPr>
          <w:rFonts w:hint="eastAsia" w:ascii="仿宋_GB2312" w:hAnsi="仿宋_GB2312" w:eastAsia="仿宋_GB2312" w:cs="仿宋_GB2312"/>
          <w:color w:val="000000"/>
          <w:sz w:val="32"/>
          <w:szCs w:val="32"/>
          <w:lang w:val="en-US" w:eastAsia="zh-CN"/>
        </w:rPr>
        <w:t>62.62</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、职业年金缴费</w:t>
      </w:r>
      <w:r>
        <w:rPr>
          <w:rFonts w:hint="eastAsia" w:ascii="仿宋_GB2312" w:hAnsi="仿宋_GB2312" w:eastAsia="仿宋_GB2312" w:cs="仿宋_GB2312"/>
          <w:color w:val="000000"/>
          <w:sz w:val="32"/>
          <w:szCs w:val="32"/>
          <w:lang w:val="en-US" w:eastAsia="zh-CN"/>
        </w:rPr>
        <w:t>31.31</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5.63</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、职工基本医疗保险缴</w:t>
      </w:r>
      <w:r>
        <w:rPr>
          <w:rFonts w:hint="eastAsia" w:ascii="仿宋_GB2312" w:hAnsi="仿宋_GB2312" w:eastAsia="仿宋_GB2312" w:cs="仿宋_GB2312"/>
          <w:color w:val="000000"/>
          <w:sz w:val="32"/>
          <w:szCs w:val="32"/>
          <w:lang w:val="en-US" w:eastAsia="zh-CN"/>
        </w:rPr>
        <w:t>33.68</w:t>
      </w:r>
      <w:r>
        <w:rPr>
          <w:rFonts w:hint="eastAsia" w:ascii="仿宋_GB2312" w:hAnsi="仿宋_GB2312" w:eastAsia="仿宋_GB2312" w:cs="仿宋_GB2312"/>
          <w:color w:val="000000"/>
          <w:sz w:val="32"/>
          <w:szCs w:val="32"/>
          <w:lang w:eastAsia="zh-CN"/>
        </w:rPr>
        <w:t>万元、公务员医疗补助缴费</w:t>
      </w:r>
      <w:r>
        <w:rPr>
          <w:rFonts w:hint="eastAsia" w:ascii="仿宋_GB2312" w:hAnsi="仿宋_GB2312" w:eastAsia="仿宋_GB2312" w:cs="仿宋_GB2312"/>
          <w:color w:val="000000"/>
          <w:sz w:val="32"/>
          <w:szCs w:val="32"/>
          <w:lang w:val="en-US" w:eastAsia="zh-CN"/>
        </w:rPr>
        <w:t>9.41</w:t>
      </w:r>
      <w:r>
        <w:rPr>
          <w:rFonts w:hint="eastAsia" w:ascii="仿宋_GB2312" w:hAnsi="仿宋_GB2312" w:eastAsia="仿宋_GB2312" w:cs="仿宋_GB2312"/>
          <w:color w:val="000000"/>
          <w:sz w:val="32"/>
          <w:szCs w:val="32"/>
          <w:lang w:eastAsia="zh-CN"/>
        </w:rPr>
        <w:t>万元、住房公积金</w:t>
      </w:r>
      <w:r>
        <w:rPr>
          <w:rFonts w:hint="eastAsia" w:ascii="仿宋_GB2312" w:hAnsi="仿宋_GB2312" w:eastAsia="仿宋_GB2312" w:cs="仿宋_GB2312"/>
          <w:color w:val="000000"/>
          <w:sz w:val="32"/>
          <w:szCs w:val="32"/>
          <w:lang w:val="en-US" w:eastAsia="zh-CN"/>
        </w:rPr>
        <w:t>50.88</w:t>
      </w:r>
      <w:r>
        <w:rPr>
          <w:rFonts w:hint="eastAsia" w:ascii="仿宋_GB2312" w:hAnsi="仿宋_GB2312" w:eastAsia="仿宋_GB2312" w:cs="仿宋_GB2312"/>
          <w:color w:val="000000"/>
          <w:sz w:val="32"/>
          <w:szCs w:val="32"/>
          <w:lang w:eastAsia="zh-CN"/>
        </w:rPr>
        <w:t>万元、抚恤金</w:t>
      </w:r>
      <w:r>
        <w:rPr>
          <w:rFonts w:hint="eastAsia" w:ascii="仿宋_GB2312" w:hAnsi="仿宋_GB2312" w:eastAsia="仿宋_GB2312" w:cs="仿宋_GB2312"/>
          <w:color w:val="000000"/>
          <w:sz w:val="32"/>
          <w:szCs w:val="32"/>
          <w:lang w:val="en-US" w:eastAsia="zh-CN"/>
        </w:rPr>
        <w:t>54.13万元，生活补助45.76万元，医疗费补助1.64万元，奖励金0.01万元。</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75.41</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sz w:val="32"/>
          <w:szCs w:val="32"/>
        </w:rPr>
        <w:t>包括：办公费</w:t>
      </w:r>
      <w:r>
        <w:rPr>
          <w:rFonts w:hint="eastAsia" w:ascii="仿宋_GB2312" w:hAnsi="仿宋_GB2312" w:eastAsia="仿宋_GB2312" w:cs="仿宋_GB2312"/>
          <w:color w:val="000000"/>
          <w:sz w:val="32"/>
          <w:szCs w:val="32"/>
          <w:lang w:val="en-US" w:eastAsia="zh-CN"/>
        </w:rPr>
        <w:t>18.46</w:t>
      </w:r>
      <w:r>
        <w:rPr>
          <w:rFonts w:hint="eastAsia" w:ascii="仿宋_GB2312" w:hAnsi="仿宋_GB2312" w:eastAsia="仿宋_GB2312" w:cs="仿宋_GB2312"/>
          <w:color w:val="000000"/>
          <w:sz w:val="32"/>
          <w:szCs w:val="32"/>
          <w:lang w:eastAsia="zh-CN"/>
        </w:rPr>
        <w:t>万元、印刷费</w:t>
      </w:r>
      <w:r>
        <w:rPr>
          <w:rFonts w:hint="eastAsia" w:ascii="仿宋_GB2312" w:hAnsi="仿宋_GB2312" w:eastAsia="仿宋_GB2312" w:cs="仿宋_GB2312"/>
          <w:color w:val="000000"/>
          <w:sz w:val="32"/>
          <w:szCs w:val="32"/>
          <w:lang w:val="en-US" w:eastAsia="zh-CN"/>
        </w:rPr>
        <w:t>1.53万元、手续费0.09万元、</w:t>
      </w:r>
      <w:r>
        <w:rPr>
          <w:rFonts w:hint="eastAsia" w:ascii="仿宋_GB2312" w:hAnsi="仿宋_GB2312" w:eastAsia="仿宋_GB2312" w:cs="仿宋_GB2312"/>
          <w:color w:val="000000"/>
          <w:sz w:val="32"/>
          <w:szCs w:val="32"/>
          <w:lang w:eastAsia="zh-CN"/>
        </w:rPr>
        <w:t>水费</w:t>
      </w:r>
      <w:r>
        <w:rPr>
          <w:rFonts w:hint="eastAsia" w:ascii="仿宋_GB2312" w:hAnsi="仿宋_GB2312" w:eastAsia="仿宋_GB2312" w:cs="仿宋_GB2312"/>
          <w:color w:val="000000"/>
          <w:sz w:val="32"/>
          <w:szCs w:val="32"/>
          <w:lang w:val="en-US" w:eastAsia="zh-CN"/>
        </w:rPr>
        <w:t>0.4万元，</w:t>
      </w:r>
      <w:r>
        <w:rPr>
          <w:rFonts w:hint="eastAsia" w:ascii="仿宋_GB2312" w:hAnsi="仿宋_GB2312" w:eastAsia="仿宋_GB2312" w:cs="仿宋_GB2312"/>
          <w:color w:val="000000"/>
          <w:sz w:val="32"/>
          <w:szCs w:val="32"/>
          <w:lang w:eastAsia="zh-CN"/>
        </w:rPr>
        <w:t>邮电费</w:t>
      </w:r>
      <w:r>
        <w:rPr>
          <w:rFonts w:hint="eastAsia" w:ascii="仿宋_GB2312" w:hAnsi="仿宋_GB2312" w:eastAsia="仿宋_GB2312" w:cs="仿宋_GB2312"/>
          <w:color w:val="000000"/>
          <w:sz w:val="32"/>
          <w:szCs w:val="32"/>
          <w:lang w:val="en-US" w:eastAsia="zh-CN"/>
        </w:rPr>
        <w:t>3.5</w:t>
      </w:r>
      <w:r>
        <w:rPr>
          <w:rFonts w:hint="eastAsia" w:ascii="仿宋_GB2312" w:hAnsi="仿宋_GB2312" w:eastAsia="仿宋_GB2312" w:cs="仿宋_GB2312"/>
          <w:color w:val="000000"/>
          <w:sz w:val="32"/>
          <w:szCs w:val="32"/>
          <w:lang w:eastAsia="zh-CN"/>
        </w:rPr>
        <w:t>万元、取暖费</w:t>
      </w:r>
      <w:r>
        <w:rPr>
          <w:rFonts w:hint="eastAsia" w:ascii="仿宋_GB2312" w:hAnsi="仿宋_GB2312" w:eastAsia="仿宋_GB2312" w:cs="仿宋_GB2312"/>
          <w:color w:val="000000"/>
          <w:sz w:val="32"/>
          <w:szCs w:val="32"/>
          <w:lang w:val="en-US" w:eastAsia="zh-CN"/>
        </w:rPr>
        <w:t>2.38万元、</w:t>
      </w:r>
      <w:r>
        <w:rPr>
          <w:rFonts w:hint="eastAsia" w:ascii="仿宋_GB2312" w:hAnsi="仿宋_GB2312" w:eastAsia="仿宋_GB2312" w:cs="仿宋_GB2312"/>
          <w:color w:val="000000"/>
          <w:sz w:val="32"/>
          <w:szCs w:val="32"/>
          <w:lang w:eastAsia="zh-CN"/>
        </w:rPr>
        <w:t>差旅费</w:t>
      </w:r>
      <w:r>
        <w:rPr>
          <w:rFonts w:hint="eastAsia" w:ascii="仿宋_GB2312" w:hAnsi="仿宋_GB2312" w:eastAsia="仿宋_GB2312" w:cs="仿宋_GB2312"/>
          <w:color w:val="000000"/>
          <w:sz w:val="32"/>
          <w:szCs w:val="32"/>
          <w:lang w:val="en-US" w:eastAsia="zh-CN"/>
        </w:rPr>
        <w:t>10.01</w:t>
      </w:r>
      <w:r>
        <w:rPr>
          <w:rFonts w:hint="eastAsia" w:ascii="仿宋_GB2312" w:hAnsi="仿宋_GB2312" w:eastAsia="仿宋_GB2312" w:cs="仿宋_GB2312"/>
          <w:color w:val="000000"/>
          <w:sz w:val="32"/>
          <w:szCs w:val="32"/>
          <w:lang w:eastAsia="zh-CN"/>
        </w:rPr>
        <w:t>万元、维修维护</w:t>
      </w:r>
      <w:r>
        <w:rPr>
          <w:rFonts w:hint="eastAsia" w:ascii="仿宋_GB2312" w:hAnsi="仿宋_GB2312" w:eastAsia="仿宋_GB2312" w:cs="仿宋_GB2312"/>
          <w:color w:val="000000"/>
          <w:sz w:val="32"/>
          <w:szCs w:val="32"/>
          <w:lang w:val="en-US" w:eastAsia="zh-CN"/>
        </w:rPr>
        <w:t>1.25万元、会议费0.39万元、</w:t>
      </w:r>
      <w:r>
        <w:rPr>
          <w:rFonts w:hint="eastAsia" w:ascii="仿宋_GB2312" w:hAnsi="仿宋_GB2312" w:eastAsia="仿宋_GB2312" w:cs="仿宋_GB2312"/>
          <w:color w:val="000000"/>
          <w:sz w:val="32"/>
          <w:szCs w:val="32"/>
          <w:lang w:eastAsia="zh-CN"/>
        </w:rPr>
        <w:t>培训费</w:t>
      </w:r>
      <w:r>
        <w:rPr>
          <w:rFonts w:hint="eastAsia" w:ascii="仿宋_GB2312" w:hAnsi="仿宋_GB2312" w:eastAsia="仿宋_GB2312" w:cs="仿宋_GB2312"/>
          <w:color w:val="000000"/>
          <w:sz w:val="32"/>
          <w:szCs w:val="32"/>
          <w:lang w:val="en-US" w:eastAsia="zh-CN"/>
        </w:rPr>
        <w:t>0.48</w:t>
      </w:r>
      <w:r>
        <w:rPr>
          <w:rFonts w:hint="eastAsia" w:ascii="仿宋_GB2312" w:hAnsi="仿宋_GB2312" w:eastAsia="仿宋_GB2312" w:cs="仿宋_GB2312"/>
          <w:color w:val="000000"/>
          <w:sz w:val="32"/>
          <w:szCs w:val="32"/>
          <w:lang w:eastAsia="zh-CN"/>
        </w:rPr>
        <w:t>万元、工会经费</w:t>
      </w:r>
      <w:r>
        <w:rPr>
          <w:rFonts w:hint="eastAsia" w:ascii="仿宋_GB2312" w:hAnsi="仿宋_GB2312" w:eastAsia="仿宋_GB2312" w:cs="仿宋_GB2312"/>
          <w:color w:val="000000"/>
          <w:sz w:val="32"/>
          <w:szCs w:val="32"/>
          <w:lang w:val="en-US" w:eastAsia="zh-CN"/>
        </w:rPr>
        <w:t>4.23万元、</w:t>
      </w:r>
      <w:r>
        <w:rPr>
          <w:rFonts w:hint="eastAsia" w:ascii="仿宋_GB2312" w:hAnsi="仿宋_GB2312" w:eastAsia="仿宋_GB2312" w:cs="仿宋_GB2312"/>
          <w:color w:val="000000"/>
          <w:sz w:val="32"/>
          <w:szCs w:val="32"/>
          <w:lang w:eastAsia="zh-CN"/>
        </w:rPr>
        <w:t>公务用车运行维护费</w:t>
      </w:r>
      <w:r>
        <w:rPr>
          <w:rFonts w:hint="eastAsia" w:ascii="仿宋_GB2312" w:hAnsi="仿宋_GB2312" w:eastAsia="仿宋_GB2312" w:cs="仿宋_GB2312"/>
          <w:color w:val="000000"/>
          <w:sz w:val="32"/>
          <w:szCs w:val="32"/>
          <w:lang w:val="en-US" w:eastAsia="zh-CN"/>
        </w:rPr>
        <w:t>31.09</w:t>
      </w:r>
      <w:r>
        <w:rPr>
          <w:rFonts w:hint="eastAsia" w:ascii="仿宋_GB2312" w:hAnsi="仿宋_GB2312" w:eastAsia="仿宋_GB2312" w:cs="仿宋_GB2312"/>
          <w:color w:val="000000"/>
          <w:sz w:val="32"/>
          <w:szCs w:val="32"/>
          <w:lang w:eastAsia="zh-CN"/>
        </w:rPr>
        <w:t>万元、办公设备购置</w:t>
      </w:r>
      <w:r>
        <w:rPr>
          <w:rFonts w:hint="eastAsia" w:ascii="仿宋_GB2312" w:hAnsi="仿宋_GB2312" w:eastAsia="仿宋_GB2312" w:cs="仿宋_GB2312"/>
          <w:color w:val="000000"/>
          <w:sz w:val="32"/>
          <w:szCs w:val="32"/>
          <w:lang w:val="en-US" w:eastAsia="zh-CN"/>
        </w:rPr>
        <w:t>1.6万元</w:t>
      </w:r>
      <w:r>
        <w:rPr>
          <w:rFonts w:hint="eastAsia" w:ascii="仿宋_GB2312" w:hAnsi="仿宋_GB2312" w:eastAsia="仿宋_GB2312" w:cs="仿宋_GB2312"/>
          <w:color w:val="000000"/>
          <w:sz w:val="32"/>
          <w:szCs w:val="32"/>
          <w:lang w:eastAsia="zh-CN"/>
        </w:rPr>
        <w:t>。</w:t>
      </w:r>
    </w:p>
    <w:p>
      <w:pPr>
        <w:pStyle w:val="8"/>
      </w:pPr>
    </w:p>
    <w:p>
      <w:pPr>
        <w:spacing w:line="600" w:lineRule="exact"/>
        <w:ind w:firstLine="640"/>
        <w:outlineLvl w:val="1"/>
        <w:rPr>
          <w:rStyle w:val="21"/>
          <w:rFonts w:ascii="黑体" w:eastAsia="黑体"/>
          <w:b w:val="0"/>
        </w:rPr>
      </w:pPr>
      <w:bookmarkStart w:id="46" w:name="_Toc15396609"/>
      <w:bookmarkStart w:id="47" w:name="_Toc15377215"/>
      <w:bookmarkStart w:id="48" w:name="_Toc16831"/>
      <w:r>
        <w:rPr>
          <w:rFonts w:hint="eastAsia" w:ascii="黑体" w:eastAsia="黑体"/>
          <w:sz w:val="32"/>
          <w:szCs w:val="32"/>
        </w:rPr>
        <w:t>七、</w:t>
      </w:r>
      <w:r>
        <w:rPr>
          <w:rStyle w:val="21"/>
          <w:rFonts w:hint="eastAsia" w:ascii="黑体" w:eastAsia="黑体"/>
          <w:b w:val="0"/>
        </w:rPr>
        <w:t>财政拨款</w:t>
      </w:r>
      <w:r>
        <w:rPr>
          <w:rStyle w:val="21"/>
          <w:rFonts w:hint="eastAsia" w:ascii="黑体" w:eastAsia="黑体"/>
        </w:rPr>
        <w:t>“</w:t>
      </w:r>
      <w:r>
        <w:rPr>
          <w:rStyle w:val="21"/>
          <w:rFonts w:hint="eastAsia" w:ascii="黑体" w:eastAsia="黑体"/>
          <w:b w:val="0"/>
        </w:rPr>
        <w:t>三公”经费支出决算情况说明</w:t>
      </w:r>
      <w:bookmarkEnd w:id="46"/>
      <w:bookmarkEnd w:id="47"/>
      <w:bookmarkEnd w:id="48"/>
    </w:p>
    <w:p>
      <w:pPr>
        <w:spacing w:line="600" w:lineRule="exact"/>
        <w:ind w:firstLine="640"/>
        <w:outlineLvl w:val="2"/>
        <w:rPr>
          <w:rFonts w:hint="eastAsia" w:ascii="仿宋_GB2312" w:hAnsi="仿宋_GB2312" w:eastAsia="仿宋_GB2312" w:cs="仿宋_GB2312"/>
          <w:b/>
          <w:sz w:val="32"/>
          <w:szCs w:val="32"/>
        </w:rPr>
      </w:pPr>
      <w:bookmarkStart w:id="49" w:name="_Toc15377216"/>
      <w:r>
        <w:rPr>
          <w:rFonts w:hint="eastAsia" w:ascii="仿宋_GB2312" w:hAnsi="仿宋_GB2312" w:eastAsia="仿宋_GB2312" w:cs="仿宋_GB2312"/>
          <w:b/>
          <w:sz w:val="32"/>
          <w:szCs w:val="32"/>
        </w:rPr>
        <w:t>（一）“三公”经费财政拨款支出决算总体情况说明</w:t>
      </w:r>
      <w:bookmarkEnd w:id="49"/>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2022年“三公”经费财政拨款支出决算为</w:t>
      </w:r>
      <w:r>
        <w:rPr>
          <w:rFonts w:hint="eastAsia" w:ascii="仿宋_GB2312" w:hAnsi="仿宋_GB2312" w:eastAsia="仿宋_GB2312" w:cs="仿宋_GB2312"/>
          <w:sz w:val="32"/>
          <w:szCs w:val="32"/>
          <w:lang w:val="en-US" w:eastAsia="zh-CN"/>
        </w:rPr>
        <w:t>41.6</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%，较上年减少</w:t>
      </w:r>
      <w:r>
        <w:rPr>
          <w:rFonts w:hint="eastAsia" w:ascii="仿宋_GB2312" w:hAnsi="仿宋_GB2312" w:eastAsia="仿宋_GB2312" w:cs="仿宋_GB2312"/>
          <w:sz w:val="32"/>
          <w:szCs w:val="32"/>
          <w:lang w:val="en-US" w:eastAsia="zh-CN"/>
        </w:rPr>
        <w:t>57.38</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57.97</w:t>
      </w:r>
      <w:r>
        <w:rPr>
          <w:rFonts w:hint="eastAsia" w:ascii="仿宋_GB2312" w:hAnsi="仿宋_GB2312" w:eastAsia="仿宋_GB2312" w:cs="仿宋_GB2312"/>
          <w:sz w:val="32"/>
          <w:szCs w:val="32"/>
        </w:rPr>
        <w:t>%。</w:t>
      </w:r>
    </w:p>
    <w:p>
      <w:pPr>
        <w:spacing w:line="600" w:lineRule="exact"/>
        <w:ind w:firstLine="640"/>
        <w:outlineLvl w:val="2"/>
        <w:rPr>
          <w:rFonts w:hint="eastAsia" w:ascii="仿宋_GB2312" w:hAnsi="仿宋_GB2312" w:eastAsia="仿宋_GB2312" w:cs="仿宋_GB2312"/>
          <w:b/>
          <w:sz w:val="32"/>
          <w:szCs w:val="32"/>
        </w:rPr>
      </w:pPr>
      <w:bookmarkStart w:id="50" w:name="_Toc15377217"/>
      <w:r>
        <w:rPr>
          <w:rFonts w:hint="eastAsia" w:ascii="仿宋_GB2312" w:hAnsi="仿宋_GB2312" w:eastAsia="仿宋_GB2312" w:cs="仿宋_GB2312"/>
          <w:b/>
          <w:sz w:val="32"/>
          <w:szCs w:val="32"/>
        </w:rPr>
        <w:t>（二）“三公”经费财政拨款支出决算具体情况说明</w:t>
      </w:r>
      <w:bookmarkEnd w:id="50"/>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40.23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96.71</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1.37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3.29</w:t>
      </w:r>
      <w:r>
        <w:rPr>
          <w:rFonts w:hint="eastAsia" w:ascii="仿宋_GB2312" w:hAnsi="仿宋_GB2312" w:eastAsia="仿宋_GB2312" w:cs="仿宋_GB2312"/>
          <w:sz w:val="32"/>
          <w:szCs w:val="32"/>
        </w:rPr>
        <w:t>%。具体情况如下：</w:t>
      </w:r>
    </w:p>
    <w:p>
      <w:pPr>
        <w:spacing w:line="600" w:lineRule="exact"/>
        <w:ind w:firstLine="640"/>
        <w:rPr>
          <w:rFonts w:hint="eastAsia" w:ascii="仿宋" w:eastAsia="仿宋"/>
          <w:sz w:val="32"/>
          <w:szCs w:val="32"/>
        </w:rPr>
      </w:pPr>
      <w:r>
        <w:rPr>
          <w:rFonts w:hint="eastAsia" w:ascii="仿宋_GB2312" w:hAnsi="仿宋_GB2312" w:eastAsia="仿宋_GB2312" w:cs="仿宋_GB2312"/>
          <w:sz w:val="32"/>
          <w:szCs w:val="32"/>
        </w:rPr>
        <w:t>（图7：“三公”经费财政拨款支出结构）（饼状</w:t>
      </w:r>
      <w:r>
        <w:rPr>
          <w:rFonts w:hint="eastAsia" w:ascii="仿宋" w:eastAsia="仿宋"/>
          <w:sz w:val="32"/>
          <w:szCs w:val="32"/>
        </w:rPr>
        <w:t>图）</w:t>
      </w:r>
    </w:p>
    <w:p>
      <w:pPr>
        <w:pStyle w:val="9"/>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4817110" cy="2473325"/>
            <wp:effectExtent l="4445" t="4445" r="17145" b="1778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_GB2312" w:eastAsia="仿宋_GB2312"/>
          <w:b/>
          <w:sz w:val="32"/>
          <w:szCs w:val="32"/>
        </w:rPr>
      </w:pPr>
    </w:p>
    <w:p>
      <w:pPr>
        <w:spacing w:line="600"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1.因公出国（境）经费支出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全年安排因公出国（境）团组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人。因公出国（境）支出决算</w:t>
      </w:r>
      <w:r>
        <w:rPr>
          <w:rFonts w:hint="eastAsia" w:ascii="仿宋_GB2312" w:hAnsi="仿宋_GB2312" w:eastAsia="仿宋_GB2312" w:cs="仿宋_GB2312"/>
          <w:sz w:val="32"/>
          <w:szCs w:val="32"/>
          <w:lang w:eastAsia="zh-CN"/>
        </w:rPr>
        <w:t>与上年持平</w:t>
      </w:r>
      <w:r>
        <w:rPr>
          <w:rFonts w:hint="eastAsia" w:ascii="仿宋_GB2312" w:hAnsi="仿宋_GB2312" w:eastAsia="仿宋_GB2312" w:cs="仿宋_GB2312"/>
          <w:sz w:val="32"/>
          <w:szCs w:val="32"/>
        </w:rPr>
        <w:t>。</w:t>
      </w:r>
    </w:p>
    <w:p>
      <w:pPr>
        <w:spacing w:line="600"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2.公务用车购置及运行维护费支出</w:t>
      </w:r>
      <w:r>
        <w:rPr>
          <w:rFonts w:hint="eastAsia" w:ascii="仿宋_GB2312" w:hAnsi="仿宋_GB2312" w:eastAsia="仿宋_GB2312" w:cs="仿宋_GB2312"/>
          <w:sz w:val="32"/>
          <w:szCs w:val="32"/>
          <w:lang w:val="en-US" w:eastAsia="zh-CN"/>
        </w:rPr>
        <w:t>40.23</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公务用车购置及运行维护费支出决算比2021年减少</w:t>
      </w:r>
      <w:r>
        <w:rPr>
          <w:rFonts w:hint="eastAsia" w:ascii="仿宋_GB2312" w:hAnsi="仿宋_GB2312" w:eastAsia="仿宋_GB2312" w:cs="仿宋_GB2312"/>
          <w:sz w:val="32"/>
          <w:szCs w:val="32"/>
          <w:lang w:val="en-US" w:eastAsia="zh-CN"/>
        </w:rPr>
        <w:t>53.86</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57.24</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2021年11月购买越野车一辆，2022年无该购车支出</w:t>
      </w:r>
      <w:r>
        <w:rPr>
          <w:rFonts w:hint="eastAsia" w:ascii="仿宋_GB2312" w:hAnsi="仿宋_GB2312" w:eastAsia="仿宋_GB2312" w:cs="仿宋_GB2312"/>
          <w:sz w:val="32"/>
          <w:szCs w:val="32"/>
        </w:rPr>
        <w:t>。</w:t>
      </w:r>
    </w:p>
    <w:p>
      <w:pPr>
        <w:spacing w:line="600" w:lineRule="exact"/>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其中：</w:t>
      </w:r>
      <w:r>
        <w:rPr>
          <w:rFonts w:hint="eastAsia" w:ascii="仿宋_GB2312" w:hAnsi="仿宋_GB2312" w:eastAsia="仿宋_GB2312" w:cs="仿宋_GB2312"/>
          <w:b/>
          <w:sz w:val="32"/>
          <w:szCs w:val="32"/>
        </w:rPr>
        <w:t>公务用车购置支出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万元。全年</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更新购置公务用车。</w:t>
      </w:r>
    </w:p>
    <w:p>
      <w:pPr>
        <w:spacing w:line="600" w:lineRule="exact"/>
        <w:ind w:firstLine="64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sz w:val="32"/>
          <w:szCs w:val="32"/>
        </w:rPr>
        <w:t>公务用车运行维护费支出</w:t>
      </w:r>
      <w:r>
        <w:rPr>
          <w:rFonts w:hint="eastAsia" w:ascii="仿宋_GB2312" w:hAnsi="仿宋_GB2312" w:eastAsia="仿宋_GB2312" w:cs="仿宋_GB2312"/>
          <w:sz w:val="32"/>
          <w:szCs w:val="32"/>
          <w:lang w:val="en-US" w:eastAsia="zh-CN"/>
        </w:rPr>
        <w:t>40.23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主要用于</w:t>
      </w:r>
      <w:r>
        <w:rPr>
          <w:rFonts w:hint="eastAsia" w:ascii="仿宋_GB2312" w:hAnsi="仿宋_GB2312" w:eastAsia="仿宋_GB2312" w:cs="仿宋_GB2312"/>
          <w:color w:val="000000"/>
          <w:sz w:val="32"/>
          <w:szCs w:val="32"/>
          <w:lang w:eastAsia="zh-CN"/>
        </w:rPr>
        <w:t>人大工作出差、开展脱贫攻坚工作下乡等所需的公务用车燃料费、维修费、过路过桥费、保险费等支出。</w:t>
      </w:r>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3.公务接待费支出</w:t>
      </w:r>
      <w:r>
        <w:rPr>
          <w:rFonts w:hint="eastAsia" w:ascii="仿宋_GB2312" w:hAnsi="仿宋_GB2312" w:eastAsia="仿宋_GB2312" w:cs="仿宋_GB2312"/>
          <w:sz w:val="32"/>
          <w:szCs w:val="32"/>
          <w:lang w:val="en-US" w:eastAsia="zh-CN"/>
        </w:rPr>
        <w:t>1.37</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公务接待费支出决算比2021年减少</w:t>
      </w:r>
      <w:r>
        <w:rPr>
          <w:rFonts w:hint="eastAsia" w:ascii="仿宋_GB2312" w:hAnsi="仿宋_GB2312" w:eastAsia="仿宋_GB2312" w:cs="仿宋_GB2312"/>
          <w:sz w:val="32"/>
          <w:szCs w:val="32"/>
          <w:lang w:val="en-US" w:eastAsia="zh-CN"/>
        </w:rPr>
        <w:t>3.52</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71.98</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2022年疫情静态管理及厉行节约减少不必要的开支</w:t>
      </w:r>
      <w:r>
        <w:rPr>
          <w:rFonts w:hint="eastAsia" w:ascii="仿宋_GB2312" w:hAnsi="仿宋_GB2312" w:eastAsia="仿宋_GB2312" w:cs="仿宋_GB2312"/>
          <w:sz w:val="32"/>
          <w:szCs w:val="32"/>
        </w:rPr>
        <w:t>。其中：</w:t>
      </w:r>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国内公务接待支出</w:t>
      </w:r>
      <w:r>
        <w:rPr>
          <w:rFonts w:hint="eastAsia" w:ascii="仿宋_GB2312" w:hAnsi="仿宋_GB2312" w:eastAsia="仿宋_GB2312" w:cs="仿宋_GB2312"/>
          <w:sz w:val="32"/>
          <w:szCs w:val="32"/>
          <w:lang w:val="en-US" w:eastAsia="zh-CN"/>
        </w:rPr>
        <w:t>1.37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主要用于接待上级部门及各县执行公务、开展业务活动、调研等开支的餐费</w:t>
      </w:r>
      <w:r>
        <w:rPr>
          <w:rFonts w:hint="eastAsia" w:ascii="仿宋_GB2312" w:hAnsi="仿宋_GB2312" w:eastAsia="仿宋_GB2312" w:cs="仿宋_GB2312"/>
          <w:sz w:val="32"/>
          <w:szCs w:val="32"/>
        </w:rPr>
        <w:t>。国内公务接待</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145</w:t>
      </w:r>
      <w:r>
        <w:rPr>
          <w:rFonts w:hint="eastAsia" w:ascii="仿宋_GB2312" w:hAnsi="仿宋_GB2312" w:eastAsia="仿宋_GB2312" w:cs="仿宋_GB2312"/>
          <w:sz w:val="32"/>
          <w:szCs w:val="32"/>
        </w:rPr>
        <w:t>人次（不包括陪同人员），共计支出</w:t>
      </w:r>
      <w:r>
        <w:rPr>
          <w:rFonts w:hint="eastAsia" w:ascii="仿宋_GB2312" w:hAnsi="仿宋_GB2312" w:eastAsia="仿宋_GB2312" w:cs="仿宋_GB2312"/>
          <w:sz w:val="32"/>
          <w:szCs w:val="32"/>
          <w:lang w:val="en-US" w:eastAsia="zh-CN"/>
        </w:rPr>
        <w:t>1.37</w:t>
      </w:r>
      <w:r>
        <w:rPr>
          <w:rFonts w:hint="eastAsia" w:ascii="仿宋_GB2312" w:hAnsi="仿宋_GB2312" w:eastAsia="仿宋_GB2312" w:cs="仿宋_GB2312"/>
          <w:sz w:val="32"/>
          <w:szCs w:val="32"/>
        </w:rPr>
        <w:t>万元，具体内容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w:t>
      </w:r>
      <w:r>
        <w:rPr>
          <w:rFonts w:hint="eastAsia" w:ascii="仿宋_GB2312" w:hAnsi="仿宋_GB2312" w:eastAsia="仿宋_GB2312" w:cs="仿宋_GB2312"/>
          <w:sz w:val="32"/>
          <w:szCs w:val="32"/>
          <w:lang w:val="en-US" w:eastAsia="zh-CN"/>
        </w:rPr>
        <w:t>接待州级及各县来我县考察调研畜牧业高质量发展，“一馆两家一中心”，“四个机关”建设，对口援建回访，代表联络站建设，代表特色活动及代表建议办理等工作。在考察调研过程中相互交流相关工作经验取长补短，让我县代表不出县的情况下开阔了眼界，同时学习了其他县先进工作经验，为我县进一步做好人大相关工作奠定了坚实的基础。</w:t>
      </w:r>
    </w:p>
    <w:p>
      <w:pPr>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外事接待支出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万元，外事接待</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人次（不包括陪同人员），共计支出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spacing w:line="600" w:lineRule="exact"/>
        <w:ind w:firstLine="640"/>
        <w:outlineLvl w:val="9"/>
        <w:rPr>
          <w:rFonts w:hint="eastAsia" w:ascii="仿宋_GB2312" w:hAnsi="仿宋_GB2312" w:eastAsia="仿宋_GB2312" w:cs="仿宋_GB2312"/>
          <w:sz w:val="32"/>
          <w:szCs w:val="32"/>
        </w:rPr>
      </w:pPr>
      <w:bookmarkStart w:id="51" w:name="_Toc15396610"/>
      <w:bookmarkStart w:id="52" w:name="_Toc15377218"/>
    </w:p>
    <w:p>
      <w:pPr>
        <w:spacing w:line="600" w:lineRule="exact"/>
        <w:ind w:firstLine="640"/>
        <w:outlineLvl w:val="1"/>
        <w:rPr>
          <w:rStyle w:val="21"/>
          <w:rFonts w:ascii="黑体" w:eastAsia="黑体"/>
        </w:rPr>
      </w:pPr>
      <w:bookmarkStart w:id="53" w:name="_Toc6663"/>
      <w:r>
        <w:rPr>
          <w:rFonts w:hint="eastAsia" w:ascii="黑体" w:eastAsia="黑体"/>
          <w:sz w:val="32"/>
          <w:szCs w:val="32"/>
        </w:rPr>
        <w:t>八、</w:t>
      </w:r>
      <w:r>
        <w:rPr>
          <w:rStyle w:val="21"/>
          <w:rFonts w:hint="eastAsia" w:ascii="黑体" w:eastAsia="黑体"/>
          <w:b w:val="0"/>
        </w:rPr>
        <w:t>政府性基金预算支出决算情况说明</w:t>
      </w:r>
      <w:bookmarkEnd w:id="51"/>
      <w:bookmarkEnd w:id="52"/>
      <w:bookmarkEnd w:id="53"/>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p>
    <w:p>
      <w:pPr>
        <w:numPr>
          <w:ilvl w:val="0"/>
          <w:numId w:val="5"/>
        </w:numPr>
        <w:spacing w:line="600" w:lineRule="exact"/>
        <w:ind w:firstLine="640"/>
        <w:outlineLvl w:val="1"/>
        <w:rPr>
          <w:rStyle w:val="21"/>
          <w:rFonts w:ascii="黑体" w:eastAsia="黑体"/>
          <w:b w:val="0"/>
        </w:rPr>
      </w:pPr>
      <w:bookmarkStart w:id="54" w:name="_Toc15396611"/>
      <w:bookmarkStart w:id="55" w:name="_Toc15377219"/>
      <w:bookmarkStart w:id="56" w:name="_Toc10406"/>
      <w:r>
        <w:rPr>
          <w:rStyle w:val="21"/>
          <w:rFonts w:hint="eastAsia" w:ascii="黑体" w:eastAsia="黑体"/>
          <w:b w:val="0"/>
        </w:rPr>
        <w:t>国有资本经营预算支出决算情况说明</w:t>
      </w:r>
      <w:bookmarkEnd w:id="54"/>
      <w:bookmarkEnd w:id="55"/>
      <w:bookmarkEnd w:id="56"/>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580" w:lineRule="exact"/>
        <w:jc w:val="center"/>
        <w:rPr>
          <w:rFonts w:ascii="方正小标宋简体" w:eastAsia="方正小标宋简体" w:cs="方正小标宋简体"/>
          <w:sz w:val="44"/>
          <w:szCs w:val="44"/>
        </w:rPr>
      </w:pPr>
    </w:p>
    <w:p>
      <w:pPr>
        <w:numPr>
          <w:ilvl w:val="0"/>
          <w:numId w:val="5"/>
        </w:numPr>
        <w:spacing w:line="600" w:lineRule="exact"/>
        <w:ind w:firstLine="640"/>
        <w:outlineLvl w:val="1"/>
        <w:rPr>
          <w:rStyle w:val="21"/>
          <w:rFonts w:ascii="黑体" w:eastAsia="黑体"/>
          <w:b w:val="0"/>
        </w:rPr>
      </w:pPr>
      <w:bookmarkStart w:id="57" w:name="_Toc15396612"/>
      <w:bookmarkStart w:id="58" w:name="_Toc15377221"/>
      <w:bookmarkStart w:id="59" w:name="_Toc19090"/>
      <w:r>
        <w:rPr>
          <w:rStyle w:val="21"/>
          <w:rFonts w:hint="eastAsia" w:ascii="黑体" w:eastAsia="黑体"/>
          <w:b w:val="0"/>
        </w:rPr>
        <w:t>其他重要事项的情况说明</w:t>
      </w:r>
      <w:bookmarkEnd w:id="57"/>
      <w:bookmarkEnd w:id="58"/>
      <w:bookmarkEnd w:id="59"/>
    </w:p>
    <w:p>
      <w:pPr>
        <w:spacing w:line="600" w:lineRule="exact"/>
        <w:ind w:firstLine="643" w:firstLineChars="200"/>
        <w:outlineLvl w:val="2"/>
        <w:rPr>
          <w:rFonts w:ascii="仿宋" w:eastAsia="仿宋"/>
          <w:sz w:val="32"/>
          <w:szCs w:val="32"/>
        </w:rPr>
      </w:pPr>
      <w:bookmarkStart w:id="60" w:name="_Toc15377222"/>
      <w:r>
        <w:rPr>
          <w:rFonts w:hint="eastAsia" w:ascii="仿宋" w:eastAsia="仿宋"/>
          <w:b/>
          <w:sz w:val="32"/>
          <w:szCs w:val="32"/>
        </w:rPr>
        <w:t>（一）机关运行经费支出情况</w:t>
      </w:r>
      <w:bookmarkEnd w:id="60"/>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eastAsia="仿宋_GB2312"/>
          <w:sz w:val="32"/>
          <w:szCs w:val="32"/>
          <w:lang w:eastAsia="zh-CN"/>
        </w:rPr>
        <w:t>红原县人大办</w:t>
      </w:r>
      <w:r>
        <w:rPr>
          <w:rFonts w:hint="eastAsia" w:ascii="仿宋_GB2312" w:eastAsia="仿宋_GB2312"/>
          <w:sz w:val="32"/>
          <w:szCs w:val="32"/>
        </w:rPr>
        <w:t>机关运行经费支出</w:t>
      </w:r>
      <w:r>
        <w:rPr>
          <w:rFonts w:hint="eastAsia" w:ascii="仿宋_GB2312" w:eastAsia="仿宋_GB2312"/>
          <w:sz w:val="32"/>
          <w:szCs w:val="32"/>
          <w:lang w:val="en-US" w:eastAsia="zh-CN"/>
        </w:rPr>
        <w:t>75.41</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21年增加</w:t>
      </w:r>
      <w:r>
        <w:rPr>
          <w:rFonts w:hint="eastAsia" w:ascii="仿宋_GB2312" w:eastAsia="仿宋_GB2312"/>
          <w:sz w:val="32"/>
          <w:szCs w:val="32"/>
          <w:lang w:val="en-US" w:eastAsia="zh-CN"/>
        </w:rPr>
        <w:t>10.21</w:t>
      </w:r>
      <w:r>
        <w:rPr>
          <w:rFonts w:hint="eastAsia" w:ascii="仿宋_GB2312" w:eastAsia="仿宋_GB2312"/>
          <w:sz w:val="32"/>
          <w:szCs w:val="32"/>
        </w:rPr>
        <w:t>万元，增长</w:t>
      </w:r>
      <w:r>
        <w:rPr>
          <w:rFonts w:hint="eastAsia" w:ascii="仿宋_GB2312" w:eastAsia="仿宋_GB2312"/>
          <w:sz w:val="32"/>
          <w:szCs w:val="32"/>
          <w:lang w:val="en-US" w:eastAsia="zh-CN"/>
        </w:rPr>
        <w:t>15.66</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w:t>
      </w:r>
      <w:r>
        <w:rPr>
          <w:rFonts w:hint="eastAsia" w:ascii="仿宋_GB2312" w:eastAsia="仿宋_GB2312"/>
          <w:b/>
          <w:bCs/>
          <w:sz w:val="32"/>
          <w:szCs w:val="32"/>
          <w:lang w:eastAsia="zh-CN"/>
        </w:rPr>
        <w:t>一是</w:t>
      </w:r>
      <w:r>
        <w:rPr>
          <w:rFonts w:hint="eastAsia" w:ascii="仿宋_GB2312" w:eastAsia="仿宋_GB2312"/>
          <w:sz w:val="32"/>
          <w:szCs w:val="32"/>
          <w:lang w:val="en-US" w:eastAsia="zh-CN"/>
        </w:rPr>
        <w:t>2022年川U0181U大修产生大修费用7万元；</w:t>
      </w:r>
      <w:r>
        <w:rPr>
          <w:rFonts w:hint="eastAsia" w:ascii="仿宋_GB2312" w:eastAsia="仿宋_GB2312"/>
          <w:b/>
          <w:bCs/>
          <w:sz w:val="32"/>
          <w:szCs w:val="32"/>
          <w:lang w:val="en-US" w:eastAsia="zh-CN"/>
        </w:rPr>
        <w:t>二是</w:t>
      </w:r>
      <w:r>
        <w:rPr>
          <w:rFonts w:hint="eastAsia" w:ascii="仿宋_GB2312" w:eastAsia="仿宋_GB2312"/>
          <w:sz w:val="32"/>
          <w:szCs w:val="32"/>
          <w:lang w:val="en-US" w:eastAsia="zh-CN"/>
        </w:rPr>
        <w:t>2022年工会经费支出4.23万元纳入人大决算编报，2021年该工会经费支出由县总工会纳入其决算编报</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61" w:name="_Toc15377223"/>
      <w:r>
        <w:rPr>
          <w:rFonts w:hint="eastAsia" w:ascii="仿宋" w:eastAsia="仿宋"/>
          <w:b/>
          <w:sz w:val="32"/>
          <w:szCs w:val="32"/>
        </w:rPr>
        <w:t>（二）政府采购支出情况</w:t>
      </w:r>
      <w:bookmarkEnd w:id="61"/>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eastAsia="仿宋_GB2312"/>
          <w:sz w:val="32"/>
          <w:szCs w:val="32"/>
          <w:lang w:eastAsia="zh-CN"/>
        </w:rPr>
        <w:t>人大办</w:t>
      </w:r>
      <w:r>
        <w:rPr>
          <w:rFonts w:hint="eastAsia" w:ascii="仿宋_GB2312" w:eastAsia="仿宋_GB2312"/>
          <w:sz w:val="32"/>
          <w:szCs w:val="32"/>
        </w:rPr>
        <w:t>政府采购支出总额</w:t>
      </w:r>
      <w:r>
        <w:rPr>
          <w:rFonts w:hint="eastAsia" w:ascii="仿宋_GB2312" w:eastAsia="仿宋_GB2312"/>
          <w:sz w:val="32"/>
          <w:szCs w:val="32"/>
          <w:lang w:val="en-US" w:eastAsia="zh-CN"/>
        </w:rPr>
        <w:t>2.64</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2.64</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全部</w:t>
      </w:r>
      <w:r>
        <w:rPr>
          <w:rFonts w:hint="eastAsia" w:ascii="仿宋_GB2312" w:eastAsia="仿宋_GB2312"/>
          <w:sz w:val="32"/>
          <w:szCs w:val="32"/>
        </w:rPr>
        <w:t>用于</w:t>
      </w:r>
      <w:r>
        <w:rPr>
          <w:rFonts w:hint="eastAsia" w:ascii="仿宋_GB2312" w:eastAsia="仿宋_GB2312"/>
          <w:sz w:val="32"/>
          <w:szCs w:val="32"/>
          <w:lang w:eastAsia="zh-CN"/>
        </w:rPr>
        <w:t>购置两台国产彩打机，一台国产电脑及一台电脑显示屏</w:t>
      </w:r>
      <w:r>
        <w:rPr>
          <w:rFonts w:hint="eastAsia" w:ascii="仿宋_GB2312" w:eastAsia="仿宋_GB2312"/>
          <w:sz w:val="32"/>
          <w:szCs w:val="32"/>
        </w:rPr>
        <w:t>。授予中小企业合同金额</w:t>
      </w:r>
      <w:r>
        <w:rPr>
          <w:rFonts w:hint="eastAsia" w:ascii="仿宋_GB2312" w:eastAsia="仿宋_GB2312"/>
          <w:sz w:val="32"/>
          <w:szCs w:val="32"/>
          <w:lang w:val="en-US" w:eastAsia="zh-CN"/>
        </w:rPr>
        <w:t>2.64</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2.64</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62" w:name="_Toc15377224"/>
      <w:r>
        <w:rPr>
          <w:rFonts w:hint="eastAsia" w:ascii="仿宋" w:eastAsia="仿宋"/>
          <w:b/>
          <w:sz w:val="32"/>
          <w:szCs w:val="32"/>
        </w:rPr>
        <w:t>（三）国有资产占有使用情况</w:t>
      </w:r>
      <w:bookmarkEnd w:id="62"/>
    </w:p>
    <w:p>
      <w:pPr>
        <w:pStyle w:val="15"/>
        <w:keepNext w:val="0"/>
        <w:keepLines w:val="0"/>
        <w:widowControl/>
        <w:numPr>
          <w:ilvl w:val="0"/>
          <w:numId w:val="0"/>
        </w:numPr>
        <w:suppressLineNumbers w:val="0"/>
        <w:shd w:val="clear" w:color="auto" w:fill="auto"/>
        <w:ind w:leftChars="0" w:right="75" w:rightChars="0" w:firstLine="640" w:firstLineChars="200"/>
        <w:rPr>
          <w:rStyle w:val="18"/>
          <w:rFonts w:hint="eastAsia" w:ascii="仿宋_GB2312" w:hAnsi="仿宋_GB2312" w:eastAsia="仿宋_GB2312" w:cs="仿宋_GB2312"/>
          <w:sz w:val="32"/>
          <w:szCs w:val="32"/>
          <w:shd w:val="clear" w:color="auto" w:fill="FFFFFF"/>
          <w:lang w:val="en-US" w:eastAsia="zh-CN"/>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我单位</w:t>
      </w:r>
      <w:r>
        <w:rPr>
          <w:rFonts w:hint="eastAsia" w:ascii="仿宋_GB2312" w:eastAsia="仿宋_GB2312"/>
          <w:sz w:val="32"/>
          <w:szCs w:val="32"/>
        </w:rPr>
        <w:t>共有车辆</w:t>
      </w:r>
      <w:r>
        <w:rPr>
          <w:rFonts w:hint="eastAsia" w:ascii="仿宋_GB2312" w:eastAsia="仿宋_GB2312"/>
          <w:sz w:val="32"/>
          <w:szCs w:val="32"/>
          <w:lang w:val="en-US" w:eastAsia="zh-CN"/>
        </w:rPr>
        <w:t>4</w:t>
      </w:r>
      <w:r>
        <w:rPr>
          <w:rFonts w:hint="eastAsia" w:ascii="仿宋_GB2312" w:eastAsia="仿宋_GB2312"/>
          <w:sz w:val="32"/>
          <w:szCs w:val="32"/>
        </w:rPr>
        <w:t>辆</w:t>
      </w:r>
      <w:r>
        <w:rPr>
          <w:rFonts w:hint="eastAsia" w:ascii="仿宋_GB2312" w:eastAsia="仿宋_GB2312"/>
          <w:sz w:val="32"/>
          <w:szCs w:val="32"/>
          <w:lang w:eastAsia="zh-CN"/>
        </w:rPr>
        <w:t>，全部为应急保障用车</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r>
        <w:rPr>
          <w:rFonts w:hint="eastAsia" w:ascii="仿宋_GB2312" w:eastAsia="仿宋_GB2312"/>
          <w:sz w:val="32"/>
          <w:szCs w:val="32"/>
          <w:lang w:eastAsia="zh-CN"/>
        </w:rPr>
        <w:t>截止年底</w:t>
      </w:r>
      <w:r>
        <w:rPr>
          <w:rFonts w:hint="eastAsia" w:ascii="仿宋_GB2312" w:eastAsia="仿宋_GB2312"/>
          <w:sz w:val="32"/>
          <w:szCs w:val="32"/>
        </w:rPr>
        <w:t>共有</w:t>
      </w:r>
      <w:r>
        <w:rPr>
          <w:rFonts w:hint="eastAsia" w:ascii="仿宋_GB2312" w:eastAsia="仿宋_GB2312"/>
          <w:sz w:val="32"/>
          <w:szCs w:val="32"/>
          <w:lang w:eastAsia="zh-CN"/>
        </w:rPr>
        <w:t>资产</w:t>
      </w:r>
      <w:r>
        <w:rPr>
          <w:rFonts w:hint="eastAsia" w:ascii="仿宋_GB2312" w:eastAsia="仿宋_GB2312"/>
          <w:sz w:val="32"/>
          <w:szCs w:val="32"/>
          <w:lang w:val="en-US" w:eastAsia="zh-CN"/>
        </w:rPr>
        <w:t>387.18万元</w:t>
      </w:r>
      <w:r>
        <w:rPr>
          <w:rFonts w:hint="eastAsia" w:ascii="仿宋_GB2312" w:eastAsia="仿宋_GB2312"/>
          <w:color w:val="000000"/>
          <w:sz w:val="32"/>
          <w:szCs w:val="32"/>
        </w:rPr>
        <w:t>（账面原值，下同）</w:t>
      </w:r>
      <w:r>
        <w:rPr>
          <w:rFonts w:hint="eastAsia" w:ascii="仿宋_GB2312" w:eastAsia="仿宋_GB2312"/>
          <w:sz w:val="32"/>
          <w:szCs w:val="32"/>
          <w:lang w:val="en-US" w:eastAsia="zh-CN"/>
        </w:rPr>
        <w:t>，其中固定资产386.19万元，占比99.74%，无形资产0.99万元，占比0.26%。</w:t>
      </w:r>
      <w:r>
        <w:rPr>
          <w:rFonts w:hint="eastAsia" w:ascii="仿宋_GB2312" w:eastAsia="仿宋_GB2312"/>
          <w:color w:val="000000"/>
          <w:sz w:val="32"/>
          <w:szCs w:val="32"/>
        </w:rPr>
        <w:t>从资产类别分析，配置土地、房屋及构筑物</w:t>
      </w:r>
      <w:r>
        <w:rPr>
          <w:rFonts w:hint="eastAsia" w:ascii="仿宋_GB2312" w:eastAsia="仿宋_GB2312"/>
          <w:color w:val="000000"/>
          <w:sz w:val="32"/>
          <w:szCs w:val="32"/>
          <w:lang w:val="en-US" w:eastAsia="zh-CN"/>
        </w:rPr>
        <w:t>32.5</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8.39</w:t>
      </w:r>
      <w:r>
        <w:rPr>
          <w:rFonts w:hint="eastAsia" w:ascii="仿宋_GB2312" w:eastAsia="仿宋_GB2312"/>
          <w:color w:val="000000"/>
          <w:sz w:val="32"/>
          <w:szCs w:val="32"/>
        </w:rPr>
        <w:t>%； 配置通用设备</w:t>
      </w:r>
      <w:r>
        <w:rPr>
          <w:rFonts w:hint="eastAsia" w:ascii="仿宋_GB2312" w:eastAsia="仿宋_GB2312"/>
          <w:color w:val="000000"/>
          <w:sz w:val="32"/>
          <w:szCs w:val="32"/>
          <w:lang w:val="en-US" w:eastAsia="zh-CN"/>
        </w:rPr>
        <w:t>330.62</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85.39</w:t>
      </w:r>
      <w:r>
        <w:rPr>
          <w:rFonts w:hint="eastAsia" w:ascii="仿宋_GB2312" w:eastAsia="仿宋_GB2312"/>
          <w:color w:val="000000"/>
          <w:sz w:val="32"/>
          <w:szCs w:val="32"/>
        </w:rPr>
        <w:t>% ； 配置家具、用具、装具及动植物</w:t>
      </w:r>
      <w:r>
        <w:rPr>
          <w:rFonts w:hint="eastAsia" w:ascii="仿宋_GB2312" w:eastAsia="仿宋_GB2312"/>
          <w:color w:val="000000"/>
          <w:sz w:val="32"/>
          <w:szCs w:val="32"/>
          <w:lang w:val="en-US" w:eastAsia="zh-CN"/>
        </w:rPr>
        <w:t>23.07</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5.96</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，无形资产</w:t>
      </w:r>
      <w:r>
        <w:rPr>
          <w:rFonts w:hint="eastAsia" w:ascii="仿宋_GB2312" w:eastAsia="仿宋_GB2312"/>
          <w:color w:val="000000"/>
          <w:sz w:val="32"/>
          <w:szCs w:val="32"/>
          <w:lang w:val="en-US" w:eastAsia="zh-CN"/>
        </w:rPr>
        <w:t>0.99万元，占比0.26%</w:t>
      </w:r>
      <w:r>
        <w:rPr>
          <w:rFonts w:hint="eastAsia" w:ascii="仿宋_GB2312" w:eastAsia="仿宋_GB2312"/>
          <w:color w:val="000000"/>
          <w:sz w:val="32"/>
          <w:szCs w:val="32"/>
        </w:rPr>
        <w:t>。</w:t>
      </w:r>
    </w:p>
    <w:p>
      <w:pPr>
        <w:pStyle w:val="15"/>
        <w:keepNext w:val="0"/>
        <w:keepLines w:val="0"/>
        <w:widowControl/>
        <w:numPr>
          <w:ilvl w:val="0"/>
          <w:numId w:val="0"/>
        </w:numPr>
        <w:suppressLineNumbers w:val="0"/>
        <w:shd w:val="clear" w:color="auto" w:fill="auto"/>
        <w:ind w:left="420" w:leftChars="0" w:right="75" w:rightChars="0"/>
        <w:rPr>
          <w:rStyle w:val="18"/>
          <w:rFonts w:hint="eastAsia" w:ascii="仿宋_GB2312" w:hAnsi="仿宋_GB2312" w:eastAsia="仿宋_GB2312" w:cs="仿宋_GB2312"/>
          <w:sz w:val="32"/>
          <w:szCs w:val="32"/>
          <w:shd w:val="clear" w:color="auto" w:fill="FFFFFF"/>
          <w:lang w:val="en-US" w:eastAsia="zh-CN"/>
        </w:rPr>
      </w:pPr>
      <w:r>
        <w:rPr>
          <w:rStyle w:val="18"/>
          <w:rFonts w:hint="eastAsia" w:ascii="仿宋_GB2312" w:hAnsi="仿宋_GB2312" w:eastAsia="仿宋_GB2312" w:cs="仿宋_GB2312"/>
          <w:sz w:val="32"/>
          <w:szCs w:val="32"/>
          <w:shd w:val="clear" w:color="auto" w:fill="FFFFFF"/>
          <w:lang w:val="en-US" w:eastAsia="zh-CN"/>
        </w:rPr>
        <w:t>（四）由养老保险机构发放养老金的退休人员</w:t>
      </w:r>
    </w:p>
    <w:p>
      <w:pPr>
        <w:pStyle w:val="8"/>
        <w:numPr>
          <w:ilvl w:val="0"/>
          <w:numId w:val="0"/>
        </w:numPr>
        <w:ind w:firstLine="640" w:firstLineChars="200"/>
        <w:rPr>
          <w:rFonts w:ascii="仿宋_GB2312" w:eastAsia="仿宋_GB2312"/>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w:t>
      </w:r>
      <w:r>
        <w:rPr>
          <w:rFonts w:hint="eastAsia"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本单位由养老保险机构发放养老金的退休人员</w:t>
      </w:r>
      <w:r>
        <w:rPr>
          <w:rFonts w:hint="eastAsia" w:eastAsia="仿宋_GB2312"/>
          <w:color w:val="000000"/>
          <w:sz w:val="32"/>
          <w:szCs w:val="32"/>
          <w:lang w:val="en-US" w:eastAsia="zh-CN"/>
        </w:rPr>
        <w:t>26</w:t>
      </w:r>
      <w:r>
        <w:rPr>
          <w:rFonts w:hint="eastAsia" w:ascii="仿宋_GB2312" w:eastAsia="仿宋_GB2312"/>
          <w:color w:val="000000"/>
          <w:sz w:val="32"/>
          <w:szCs w:val="32"/>
          <w:lang w:val="en-US" w:eastAsia="zh-CN"/>
        </w:rPr>
        <w:t>人，较上年新增</w:t>
      </w:r>
      <w:r>
        <w:rPr>
          <w:rFonts w:hint="eastAsia" w:eastAsia="仿宋_GB2312"/>
          <w:color w:val="000000"/>
          <w:sz w:val="32"/>
          <w:szCs w:val="32"/>
          <w:lang w:val="en-US" w:eastAsia="zh-CN"/>
        </w:rPr>
        <w:t>2</w:t>
      </w:r>
      <w:r>
        <w:rPr>
          <w:rFonts w:hint="eastAsia" w:ascii="仿宋_GB2312" w:eastAsia="仿宋_GB2312"/>
          <w:color w:val="000000"/>
          <w:sz w:val="32"/>
          <w:szCs w:val="32"/>
          <w:lang w:val="en-US" w:eastAsia="zh-CN"/>
        </w:rPr>
        <w:t>人。</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w:t>
      </w:r>
      <w:r>
        <w:rPr>
          <w:rFonts w:hint="eastAsia" w:ascii="仿宋" w:eastAsia="仿宋"/>
          <w:b/>
          <w:sz w:val="32"/>
          <w:szCs w:val="32"/>
          <w:lang w:eastAsia="zh-CN"/>
        </w:rPr>
        <w:t>五</w:t>
      </w:r>
      <w:r>
        <w:rPr>
          <w:rFonts w:hint="eastAsia" w:ascii="仿宋" w:eastAsia="仿宋"/>
          <w:b/>
          <w:sz w:val="32"/>
          <w:szCs w:val="32"/>
        </w:rPr>
        <w:t>）预算绩效管理情况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人大代表专项、人大会议专项及人大代表履职能力提升3个专项预算</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本部门按要求对2</w:t>
      </w:r>
      <w:r>
        <w:rPr>
          <w:rFonts w:hint="eastAsia" w:ascii="仿宋_GB2312" w:hAnsi="仿宋_GB2312" w:eastAsia="仿宋_GB2312" w:cs="仿宋_GB2312"/>
          <w:sz w:val="32"/>
          <w:szCs w:val="32"/>
          <w:lang w:val="en-US" w:eastAsia="zh-CN"/>
        </w:rPr>
        <w:t>021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3个项目完成情况良好，严格按照本单位制定的目标绩效管理制度来开展绩效管理工作，项目资金为专项经费的，全部用于专项工2022年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numPr>
          <w:ilvl w:val="0"/>
          <w:numId w:val="0"/>
        </w:numPr>
        <w:spacing w:line="580" w:lineRule="exact"/>
        <w:ind w:firstLine="320" w:firstLineChars="100"/>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lang w:val="en-US" w:eastAsia="zh-CN"/>
        </w:rPr>
        <w:t>1.</w:t>
      </w:r>
      <w:r>
        <w:rPr>
          <w:rFonts w:hint="eastAsia" w:ascii="楷体_GB2312" w:hAnsi="楷体_GB2312" w:eastAsia="楷体_GB2312" w:cs="楷体_GB2312"/>
          <w:color w:val="auto"/>
          <w:sz w:val="32"/>
          <w:szCs w:val="32"/>
          <w:highlight w:val="none"/>
        </w:rPr>
        <w:t>项目绩效目标完成情况。</w:t>
      </w:r>
      <w:r>
        <w:rPr>
          <w:rFonts w:hint="eastAsia" w:ascii="楷体_GB2312" w:hAnsi="楷体_GB2312" w:eastAsia="楷体_GB2312" w:cs="楷体_GB2312"/>
          <w:color w:val="FF0000"/>
          <w:sz w:val="32"/>
          <w:szCs w:val="32"/>
          <w:highlight w:val="none"/>
        </w:rPr>
        <w:br w:type="textWrapping"/>
      </w:r>
      <w:r>
        <w:rPr>
          <w:rFonts w:hint="eastAsia" w:ascii="仿宋_GB2312" w:hAnsi="仿宋_GB2312" w:eastAsia="仿宋_GB2312" w:cs="仿宋_GB2312"/>
          <w:color w:val="FF0000"/>
          <w:sz w:val="32"/>
          <w:szCs w:val="32"/>
          <w:highlight w:val="none"/>
        </w:rPr>
        <w:t xml:space="preserve">    </w:t>
      </w:r>
      <w:r>
        <w:rPr>
          <w:rFonts w:hint="eastAsia" w:ascii="仿宋_GB2312" w:hAnsi="仿宋_GB2312" w:eastAsia="仿宋_GB2312" w:cs="仿宋_GB2312"/>
          <w:color w:val="auto"/>
          <w:sz w:val="32"/>
          <w:szCs w:val="32"/>
          <w:highlight w:val="none"/>
        </w:rPr>
        <w:t>本部门在20</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年度部门决算中反映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“人大会议专项”及“人大代表履职能力提升专项”及“专项办公费”3</w:t>
      </w:r>
      <w:r>
        <w:rPr>
          <w:rFonts w:hint="eastAsia" w:ascii="仿宋_GB2312" w:hAnsi="仿宋_GB2312" w:eastAsia="仿宋_GB2312" w:cs="仿宋_GB2312"/>
          <w:color w:val="auto"/>
          <w:sz w:val="32"/>
          <w:szCs w:val="32"/>
          <w:highlight w:val="none"/>
        </w:rPr>
        <w:t>个项目绩效目标实际完成情况。</w:t>
      </w:r>
    </w:p>
    <w:p>
      <w:pPr>
        <w:numPr>
          <w:ilvl w:val="0"/>
          <w:numId w:val="0"/>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人大会议</w:t>
      </w:r>
      <w:r>
        <w:rPr>
          <w:rFonts w:hint="eastAsia" w:ascii="仿宋_GB2312" w:hAnsi="仿宋_GB2312" w:eastAsia="仿宋_GB2312" w:cs="仿宋_GB2312"/>
          <w:color w:val="auto"/>
          <w:sz w:val="32"/>
          <w:szCs w:val="32"/>
          <w:highlight w:val="none"/>
        </w:rPr>
        <w:t>项目绩效目</w:t>
      </w:r>
      <w:r>
        <w:rPr>
          <w:rFonts w:hint="eastAsia" w:ascii="仿宋_GB2312" w:hAnsi="仿宋_GB2312" w:eastAsia="仿宋_GB2312" w:cs="仿宋_GB2312"/>
          <w:color w:val="auto"/>
          <w:sz w:val="32"/>
          <w:szCs w:val="32"/>
        </w:rPr>
        <w:t>标完成情况</w:t>
      </w:r>
      <w:r>
        <w:rPr>
          <w:rFonts w:hint="eastAsia" w:ascii="仿宋_GB2312" w:hAnsi="仿宋_GB2312" w:eastAsia="仿宋_GB2312" w:cs="仿宋_GB2312"/>
          <w:sz w:val="32"/>
          <w:szCs w:val="32"/>
        </w:rPr>
        <w:t>综述。项目全年预算数</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2022年两会及常委会的顺利召开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lang w:val="en-US" w:eastAsia="zh-CN"/>
        </w:rPr>
        <w:t>2021年支出执行基础上，细化预算编制，提高了预算编制的精准性。</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代表履职能力提升</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58.64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58.64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有效保障了代表换届、履职能力提升培训，代表视察、调研等工作，提高了代表的履职能力和参与感。</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预算编制还不够精准，下一步将根据上一年支出执行情况结合实际细化预算编制，提高预算编制的精准性。</w:t>
      </w:r>
    </w:p>
    <w:p>
      <w:pPr>
        <w:numPr>
          <w:ilvl w:val="0"/>
          <w:numId w:val="0"/>
        </w:num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人大专项办公费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38.89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38.89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，为人大常委会调研、开展人大事务等专项工作做好了后勤服务保障工作，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预算编制经济科目不够精准，后续将提高相关业务人员业务素养，加强学习，争取预算根据精准细化。</w:t>
      </w: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737"/>
        <w:gridCol w:w="853"/>
        <w:gridCol w:w="82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22</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13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82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人大会议</w:t>
            </w:r>
          </w:p>
        </w:tc>
      </w:tr>
      <w:tr>
        <w:tblPrEx>
          <w:tblCellMar>
            <w:top w:w="0" w:type="dxa"/>
            <w:left w:w="0" w:type="dxa"/>
            <w:bottom w:w="0" w:type="dxa"/>
            <w:right w:w="0" w:type="dxa"/>
          </w:tblCellMar>
        </w:tblPrEx>
        <w:trPr>
          <w:trHeight w:val="276" w:hRule="atLeast"/>
        </w:trPr>
        <w:tc>
          <w:tcPr>
            <w:tcW w:w="213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82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74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30万元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30万元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74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30万元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30万元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74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定期召开常委会、主任会议，听取和审议“一府两院”专项报告，依法进行人事任免，</w:t>
            </w:r>
            <w:r>
              <w:rPr>
                <w:rFonts w:hint="eastAsia" w:ascii="宋体" w:hAnsi="宋体" w:eastAsia="宋体" w:cs="宋体"/>
                <w:b w:val="0"/>
                <w:i w:val="0"/>
                <w:caps w:val="0"/>
                <w:snapToGrid w:val="0"/>
                <w:color w:val="000000"/>
                <w:spacing w:val="0"/>
                <w:kern w:val="56"/>
                <w:sz w:val="24"/>
                <w:szCs w:val="24"/>
                <w:shd w:val="clear" w:color="auto" w:fill="FFFFFF"/>
              </w:rPr>
              <w:t>形成了步调一致、共谋发展的强大合力。</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eastAsia="宋体" w:cs="宋体"/>
                <w:color w:val="000000"/>
                <w:sz w:val="24"/>
                <w:lang w:val="en-US" w:eastAsia="zh-CN"/>
              </w:rPr>
              <w:t>坚持党管干部原则与依法行使任免权相统一，认真审议任免案，充分讨论，增强思想共识，全力支持机构改革、</w:t>
            </w:r>
            <w:r>
              <w:rPr>
                <w:rFonts w:hint="eastAsia" w:ascii="宋体" w:hAnsi="宋体" w:eastAsia="宋体" w:cs="宋体"/>
                <w:color w:val="000000"/>
                <w:sz w:val="24"/>
                <w:lang w:val="en-US" w:eastAsia="zh-CN"/>
              </w:rPr>
              <w:t>全力支持县委人事安排决策。2022年来，听取审议专项报告17项，开展专题调研11次，任免国家机关工作人员59人次，组织宪法宣誓2批29人次，作出决议决定19项，以“钉钉子”精神推动决议决定贯彻执行。</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2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73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85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auto"/>
                <w:sz w:val="20"/>
                <w:szCs w:val="20"/>
                <w:lang w:eastAsia="zh-CN"/>
              </w:rPr>
            </w:pPr>
            <w:r>
              <w:rPr>
                <w:rFonts w:hint="eastAsia" w:ascii="宋体" w:hAnsi="宋体" w:cs="宋体"/>
                <w:color w:val="auto"/>
                <w:sz w:val="20"/>
                <w:szCs w:val="20"/>
                <w:lang w:eastAsia="zh-CN"/>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auto"/>
                <w:sz w:val="20"/>
                <w:szCs w:val="20"/>
                <w:lang w:val="en-US" w:eastAsia="zh-CN"/>
              </w:rPr>
            </w:pPr>
            <w:r>
              <w:rPr>
                <w:rFonts w:hint="eastAsia" w:ascii="宋体" w:hAnsi="宋体" w:cs="宋体"/>
                <w:color w:val="auto"/>
                <w:sz w:val="20"/>
                <w:szCs w:val="20"/>
                <w:lang w:eastAsia="zh-CN"/>
              </w:rPr>
              <w:t>完成</w:t>
            </w:r>
            <w:r>
              <w:rPr>
                <w:rFonts w:hint="eastAsia" w:ascii="宋体" w:hAnsi="宋体" w:cs="宋体"/>
                <w:color w:val="auto"/>
                <w:sz w:val="20"/>
                <w:szCs w:val="20"/>
                <w:lang w:val="en-US" w:eastAsia="zh-CN"/>
              </w:rPr>
              <w:t>1</w:t>
            </w:r>
            <w:r>
              <w:rPr>
                <w:rFonts w:hint="eastAsia" w:ascii="宋体" w:hAnsi="宋体" w:cs="宋体"/>
                <w:color w:val="auto"/>
                <w:sz w:val="20"/>
                <w:szCs w:val="20"/>
                <w:lang w:eastAsia="zh-CN"/>
              </w:rPr>
              <w:t>次人代会</w:t>
            </w:r>
            <w:r>
              <w:rPr>
                <w:rFonts w:hint="eastAsia" w:ascii="宋体" w:hAnsi="宋体" w:cs="宋体"/>
                <w:color w:val="auto"/>
                <w:sz w:val="20"/>
                <w:szCs w:val="20"/>
                <w:lang w:val="en-US" w:eastAsia="zh-CN"/>
              </w:rPr>
              <w:t>,8次常委会的召开</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auto"/>
                <w:sz w:val="20"/>
                <w:szCs w:val="20"/>
                <w:lang w:val="en-US" w:eastAsia="zh-CN"/>
              </w:rPr>
            </w:pPr>
            <w:r>
              <w:rPr>
                <w:rFonts w:hint="eastAsia" w:ascii="宋体" w:hAnsi="宋体" w:cs="宋体"/>
                <w:color w:val="auto"/>
                <w:sz w:val="20"/>
                <w:szCs w:val="20"/>
                <w:lang w:eastAsia="zh-CN"/>
              </w:rPr>
              <w:t>坚持党管干部原则与依法行使任免权相统一，认真审议任免案，充分讨论，增强思想共识，全力支持机构改革、全力支持县委人事安排决策。认真履行宪法和法律赋予的各项职责，听取审议专项报告17项，开展专题调研11次，任免国家机关工作人员59人次，组织宪法宣誓2批29人次，作出决议决定19项，以“钉钉子”精神推动决议决定贯彻执行。</w:t>
            </w:r>
            <w:r>
              <w:rPr>
                <w:rFonts w:hint="eastAsia" w:ascii="宋体" w:hAnsi="宋体" w:cs="宋体"/>
                <w:color w:val="auto"/>
                <w:sz w:val="20"/>
                <w:szCs w:val="20"/>
                <w:lang w:val="en-US" w:eastAsia="zh-CN"/>
              </w:rPr>
              <w:t>202</w:t>
            </w:r>
            <w:r>
              <w:rPr>
                <w:rFonts w:hint="eastAsia" w:ascii="宋体" w:hAnsi="宋体" w:cs="宋体"/>
                <w:color w:val="auto"/>
                <w:sz w:val="20"/>
                <w:szCs w:val="20"/>
                <w:highlight w:val="none"/>
                <w:lang w:val="en-US" w:eastAsia="zh-CN"/>
              </w:rPr>
              <w:t>2年全年召开人代会1次，</w:t>
            </w:r>
            <w:r>
              <w:rPr>
                <w:rFonts w:hint="eastAsia" w:ascii="宋体" w:hAnsi="宋体" w:cs="宋体"/>
                <w:color w:val="auto"/>
                <w:sz w:val="20"/>
                <w:szCs w:val="20"/>
                <w:highlight w:val="none"/>
                <w:lang w:val="en-US" w:eastAsia="zh-CN"/>
              </w:rPr>
              <w:t>常委会8次</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已制定按照相关文件执行</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853"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2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2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73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85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每次会议后</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每次会议后</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73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85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代表作为我县经济发展的参谋，提出了有效合理的意见建议。</w:t>
            </w: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切实履行人代会议程，听取和审查“一府两院”报告，促进“一府两院”依法行政、公正司法，切实维护人民群众合法权益和社会稳定。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切实履行人代会议程，听取和审查“一府两院”报告，促进“一府两院”依法行政、公正司法，切实维护人民群众合法权益和社会稳定。</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督促相关部门做好环境保护相关工作</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听取和审议县人民政府关于环境状况和环境保护目标完成情况专项报告，督促县人民政府要围绕碧水、蓝天、净土、清废四大行动，聚焦突出生态环境问题治理，努力推动污染防治从攻坚突破向拓展提升转变；紧盯中央、省、州生态环境督察反馈问题整改工作坚决打好督察整改攻坚战，配合省、州人大常委会开展《阿坝藏族羌族自治州湿地保护条例》立法调研。</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人大常委会把办理代表建议作为支持和保障代表依法履职的重要环节来抓，按照会议交办、现场督办、重点督办、跟踪督办等方式，及时交办县十五届人大一会议的101件代表建议，内容涉及生态环保、经济建设、社会事业、文化旅游、社会治理、基础设施建设等。截止2022年10月30日，101件建议承办相关部门已全部答复</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85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rPr>
          <w:rFonts w:ascii="Calibri" w:hAnsi="Calibri"/>
        </w:rPr>
      </w:pP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22</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代表履职能力提升</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58.64万元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58.64万元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58.52万元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58.52万元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kern w:val="0"/>
                <w:sz w:val="24"/>
                <w:lang w:bidi="ar"/>
              </w:rPr>
              <w:t>0</w:t>
            </w:r>
            <w:r>
              <w:rPr>
                <w:rFonts w:hint="eastAsia" w:ascii="宋体" w:hAnsi="宋体" w:cs="宋体"/>
                <w:color w:val="000000"/>
                <w:kern w:val="0"/>
                <w:sz w:val="24"/>
                <w:lang w:val="en-US" w:eastAsia="zh-CN" w:bidi="ar"/>
              </w:rPr>
              <w:t>.12</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0.12</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通过对人大代表的各方面培训及参与专题调研来提高人大代表的履职能力。</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2022年举办代表履职能力提升培训班一期，通过对人大代表的各方面培训提高了人大代表的履职能力；组织基层代表外出学习考察一次，通过观摩学习相关县人大的先进工作经验，提高了代表履职能力；支付代表换届选举工作经费，同时人大办为代表调研考察等做好了后勤服务保障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2022年</w:t>
            </w:r>
            <w:r>
              <w:rPr>
                <w:rFonts w:hint="eastAsia" w:ascii="宋体" w:hAnsi="宋体" w:eastAsia="宋体" w:cs="宋体"/>
                <w:color w:val="000000"/>
                <w:sz w:val="20"/>
                <w:szCs w:val="20"/>
                <w:lang w:val="en-US" w:eastAsia="zh-CN"/>
              </w:rPr>
              <w:t>举办代表履职能力提升培训班一期，组织基层代表外出学习考察一次，按时组</w:t>
            </w:r>
            <w:r>
              <w:rPr>
                <w:rFonts w:hint="eastAsia" w:ascii="宋体" w:hAnsi="宋体" w:cs="宋体"/>
                <w:color w:val="000000"/>
                <w:sz w:val="20"/>
                <w:szCs w:val="20"/>
                <w:lang w:val="en-US" w:eastAsia="zh-CN"/>
              </w:rPr>
              <w:t>织代表参加上级部门相关培训、调研及会议，支付代表换届选举工作经费</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2022年</w:t>
            </w:r>
            <w:r>
              <w:rPr>
                <w:rFonts w:hint="eastAsia" w:ascii="宋体" w:hAnsi="宋体" w:eastAsia="宋体" w:cs="宋体"/>
                <w:color w:val="000000"/>
                <w:sz w:val="20"/>
                <w:szCs w:val="20"/>
                <w:lang w:val="en-US" w:eastAsia="zh-CN"/>
              </w:rPr>
              <w:t>举办代表履职能力提升培训班一期</w:t>
            </w:r>
            <w:r>
              <w:rPr>
                <w:rFonts w:hint="eastAsia" w:ascii="宋体" w:hAnsi="宋体" w:cs="宋体"/>
                <w:color w:val="000000"/>
                <w:sz w:val="24"/>
                <w:lang w:val="en-US" w:eastAsia="zh-CN"/>
              </w:rPr>
              <w:t>，</w:t>
            </w:r>
            <w:r>
              <w:rPr>
                <w:rFonts w:hint="eastAsia" w:ascii="宋体" w:hAnsi="宋体" w:eastAsia="宋体" w:cs="宋体"/>
                <w:color w:val="000000"/>
                <w:sz w:val="20"/>
                <w:szCs w:val="20"/>
                <w:lang w:val="en-US" w:eastAsia="zh-CN"/>
              </w:rPr>
              <w:t>组织基层代表外出学习考察一次，</w:t>
            </w:r>
            <w:r>
              <w:rPr>
                <w:rFonts w:hint="eastAsia" w:ascii="宋体" w:hAnsi="宋体" w:cs="宋体"/>
                <w:color w:val="000000"/>
                <w:sz w:val="20"/>
                <w:szCs w:val="20"/>
                <w:lang w:val="en-US" w:eastAsia="zh-CN"/>
              </w:rPr>
              <w:t>按时组织代表参加上级部门相关培训、调研及会议，完成代表换届选举工作经费的支付</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每次培训或调研后</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每次培训或调研后</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提高代表素质及履职能力，促进我县经济发展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通过代表培训及调研提高了代表履职能力，为红原县经济社会发展更好的出谋划策。</w:t>
            </w: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通过培训及调研，认清自己的权利和义务，懂得如何行好自己的职责</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w:t>
            </w:r>
            <w:r>
              <w:rPr>
                <w:rFonts w:hint="eastAsia" w:ascii="宋体" w:hAnsi="宋体" w:cs="宋体"/>
                <w:color w:val="000000"/>
                <w:sz w:val="20"/>
                <w:szCs w:val="20"/>
                <w:lang w:val="en-US" w:eastAsia="zh-CN"/>
              </w:rPr>
              <w:t>2022年</w:t>
            </w:r>
            <w:r>
              <w:rPr>
                <w:rFonts w:hint="eastAsia" w:ascii="宋体" w:hAnsi="宋体" w:cs="宋体"/>
                <w:color w:val="000000"/>
                <w:sz w:val="20"/>
                <w:szCs w:val="20"/>
                <w:lang w:eastAsia="zh-CN"/>
              </w:rPr>
              <w:t>培训及调研，学习了相关工作方法，先进县的代表工作方面的经验，提高了代表自身工作能力，为更好的履行代表工作打好了坚实的基础。</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通过培训及调研，县</w:t>
            </w:r>
            <w:r>
              <w:rPr>
                <w:rFonts w:hint="eastAsia" w:ascii="宋体" w:hAnsi="宋体" w:cs="宋体"/>
                <w:color w:val="000000"/>
                <w:sz w:val="20"/>
                <w:szCs w:val="20"/>
              </w:rPr>
              <w:t>人大代表提出了城乡建设生态环境保护</w:t>
            </w:r>
            <w:r>
              <w:rPr>
                <w:rFonts w:hint="eastAsia" w:ascii="宋体" w:hAnsi="宋体" w:cs="宋体"/>
                <w:color w:val="000000"/>
                <w:sz w:val="20"/>
                <w:szCs w:val="20"/>
                <w:lang w:eastAsia="zh-CN"/>
              </w:rPr>
              <w:t>，卫生事业发展</w:t>
            </w:r>
            <w:r>
              <w:rPr>
                <w:rFonts w:hint="eastAsia" w:ascii="宋体" w:hAnsi="宋体" w:cs="宋体"/>
                <w:color w:val="000000"/>
                <w:sz w:val="20"/>
                <w:szCs w:val="20"/>
              </w:rPr>
              <w:t>方面的建议。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val="en-US" w:eastAsia="zh-CN"/>
              </w:rPr>
              <w:t>2022年</w:t>
            </w:r>
            <w:r>
              <w:rPr>
                <w:rFonts w:hint="eastAsia" w:ascii="宋体" w:hAnsi="宋体" w:cs="宋体"/>
                <w:color w:val="000000"/>
                <w:sz w:val="20"/>
                <w:szCs w:val="20"/>
                <w:lang w:eastAsia="zh-CN"/>
              </w:rPr>
              <w:t>通过培训及调研，提升了代表自身工作能力，为提出高质量意见建议奠定了基础。</w:t>
            </w:r>
            <w:r>
              <w:rPr>
                <w:rFonts w:hint="eastAsia" w:ascii="宋体" w:hAnsi="宋体" w:cs="宋体"/>
                <w:color w:val="000000"/>
                <w:sz w:val="20"/>
                <w:szCs w:val="20"/>
                <w:lang w:val="en-US" w:eastAsia="zh-CN"/>
              </w:rPr>
              <w:t>2022年代表外出</w:t>
            </w:r>
            <w:r>
              <w:rPr>
                <w:rFonts w:hint="eastAsia" w:ascii="宋体" w:hAnsi="宋体" w:cs="宋体"/>
                <w:color w:val="000000"/>
                <w:sz w:val="20"/>
                <w:szCs w:val="20"/>
                <w:lang w:eastAsia="zh-CN"/>
              </w:rPr>
              <w:t>学习考察了先进县在城市垃圾处理方面的先进经验，为我县城市垃圾处理建设及改进等提供了借鉴。</w:t>
            </w:r>
            <w:r>
              <w:rPr>
                <w:rFonts w:hint="eastAsia" w:ascii="宋体" w:hAnsi="宋体" w:cs="宋体"/>
                <w:color w:val="000000"/>
                <w:sz w:val="20"/>
                <w:szCs w:val="20"/>
                <w:lang w:eastAsia="zh-CN"/>
              </w:rPr>
              <w:t>配合省、州人大常委会开展《阿坝藏族羌族自治州湿地保护条例》立法调研。</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val="en-US" w:eastAsia="zh-CN"/>
              </w:rPr>
              <w:t>2022年</w:t>
            </w:r>
            <w:r>
              <w:rPr>
                <w:rFonts w:hint="eastAsia" w:ascii="宋体" w:hAnsi="宋体" w:cs="宋体"/>
                <w:color w:val="000000"/>
                <w:sz w:val="20"/>
                <w:szCs w:val="20"/>
                <w:lang w:eastAsia="zh-CN"/>
              </w:rPr>
              <w:t>通过培训及调研，提升了代表自身工作能力，为提出高质量意见建议奠定了基础。</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spacing w:line="580" w:lineRule="exact"/>
        <w:ind w:left="630"/>
        <w:rPr>
          <w:rFonts w:ascii="仿宋_GB2312" w:hAnsi="仿宋_GB2312" w:eastAsia="仿宋_GB2312" w:cs="仿宋_GB2312"/>
          <w:sz w:val="32"/>
          <w:szCs w:val="32"/>
        </w:rPr>
      </w:pP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22</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 xml:space="preserve">  人大专项办公费</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38.89万元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38.89万元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38.89万元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38.89万元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采购预算联网督查室相关设备，全面完成预算联网督查室的建设</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2022年较好的保障了人大常委会调研、开展人大事务等专项工作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20</w:t>
            </w:r>
            <w:r>
              <w:rPr>
                <w:rFonts w:hint="eastAsia" w:ascii="宋体" w:hAnsi="宋体" w:cs="宋体"/>
                <w:color w:val="000000"/>
                <w:sz w:val="20"/>
                <w:szCs w:val="20"/>
                <w:lang w:val="en-US" w:eastAsia="zh-CN"/>
              </w:rPr>
              <w:t>22</w:t>
            </w:r>
            <w:r>
              <w:rPr>
                <w:rFonts w:hint="eastAsia" w:ascii="宋体" w:hAnsi="宋体" w:cs="宋体"/>
                <w:color w:val="000000"/>
                <w:sz w:val="20"/>
                <w:szCs w:val="20"/>
                <w:lang w:eastAsia="zh-CN"/>
              </w:rPr>
              <w:t>年做好人大常委会调研、开展人大事务等专项工作的保障工作</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20</w:t>
            </w:r>
            <w:r>
              <w:rPr>
                <w:rFonts w:hint="eastAsia" w:ascii="宋体" w:hAnsi="宋体" w:cs="宋体"/>
                <w:color w:val="000000"/>
                <w:sz w:val="20"/>
                <w:szCs w:val="20"/>
                <w:lang w:val="en-US" w:eastAsia="zh-CN"/>
              </w:rPr>
              <w:t>22</w:t>
            </w:r>
            <w:r>
              <w:rPr>
                <w:rFonts w:hint="eastAsia" w:ascii="宋体" w:hAnsi="宋体" w:cs="宋体"/>
                <w:color w:val="000000"/>
                <w:sz w:val="20"/>
                <w:szCs w:val="20"/>
                <w:lang w:eastAsia="zh-CN"/>
              </w:rPr>
              <w:t>年较好的保障了人大常委会调研、开展人大事务等专项工作，圆满的完成了代表联络站提升改造，代表视察调研、培训等工作。</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根据合同要求进度拨付</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根据合同要求进度拨付</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有效履行人大监督职责</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通过对人大培训，调研等人大事务工作的有限保障，实现人大代表能力提升，为我县经济发展提高有价值的意见建议，同时通过代表监督对财政资金使用实现了全过程的监督，</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auto"/>
                <w:sz w:val="20"/>
                <w:szCs w:val="20"/>
                <w:highlight w:val="none"/>
                <w:lang w:val="en-US"/>
              </w:rPr>
            </w:pPr>
            <w:r>
              <w:rPr>
                <w:rFonts w:hint="eastAsia" w:ascii="宋体" w:hAnsi="宋体" w:cs="宋体"/>
                <w:color w:val="auto"/>
                <w:sz w:val="20"/>
                <w:szCs w:val="20"/>
                <w:highlight w:val="none"/>
                <w:lang w:val="en-US" w:eastAsia="zh-CN"/>
              </w:rPr>
              <w:t>一是通过代表培训及考察调研学习等提升了代表履职能力，为我县经济社会发展提供更好的参谋作用；二是2022年通过对民生重点项目等的监督，实现对资金的有效监督。</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lang w:eastAsia="zh-CN"/>
              </w:rPr>
              <w:t>通过监督有效实现了对环保资金的监督，确保环保资金用到实处，同时代表提出对生态环境保护方面的建议意见</w:t>
            </w:r>
            <w:r>
              <w:rPr>
                <w:rFonts w:hint="eastAsia" w:ascii="宋体" w:hAnsi="宋体" w:cs="宋体"/>
                <w:color w:val="auto"/>
                <w:sz w:val="20"/>
                <w:szCs w:val="20"/>
                <w:highlight w:val="none"/>
              </w:rPr>
              <w:t>。</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000000"/>
                <w:sz w:val="20"/>
                <w:szCs w:val="20"/>
                <w:lang w:val="en-US" w:eastAsia="zh-CN"/>
              </w:rPr>
              <w:t>2022年</w:t>
            </w:r>
            <w:r>
              <w:rPr>
                <w:rFonts w:hint="eastAsia" w:ascii="宋体" w:hAnsi="宋体" w:cs="宋体"/>
                <w:color w:val="000000"/>
                <w:sz w:val="20"/>
                <w:szCs w:val="20"/>
                <w:lang w:eastAsia="zh-CN"/>
              </w:rPr>
              <w:t>通过培训及调研，提升了代表自身工作能力，为提出高质量意见建议奠定了基础。</w:t>
            </w:r>
            <w:r>
              <w:rPr>
                <w:rFonts w:hint="eastAsia" w:ascii="宋体" w:hAnsi="宋体" w:cs="宋体"/>
                <w:color w:val="000000"/>
                <w:sz w:val="20"/>
                <w:szCs w:val="20"/>
                <w:lang w:val="en-US" w:eastAsia="zh-CN"/>
              </w:rPr>
              <w:t>2022年代表外出</w:t>
            </w:r>
            <w:r>
              <w:rPr>
                <w:rFonts w:hint="eastAsia" w:ascii="宋体" w:hAnsi="宋体" w:cs="宋体"/>
                <w:color w:val="000000"/>
                <w:sz w:val="20"/>
                <w:szCs w:val="20"/>
                <w:lang w:eastAsia="zh-CN"/>
              </w:rPr>
              <w:t>学习考察了先进县在城市垃圾处理方面的先进经验，为我县城市垃圾处理建设及改进等提供了借鉴。</w:t>
            </w:r>
            <w:r>
              <w:rPr>
                <w:rFonts w:hint="eastAsia" w:ascii="宋体" w:hAnsi="宋体" w:cs="宋体"/>
                <w:color w:val="000000"/>
                <w:sz w:val="20"/>
                <w:szCs w:val="20"/>
                <w:lang w:eastAsia="zh-CN"/>
              </w:rPr>
              <w:t>配合省、州人大常委会开展《阿坝藏族羌族自治州湿地保护条例》立法调研。</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为</w:t>
            </w:r>
            <w:r>
              <w:rPr>
                <w:rFonts w:hint="eastAsia" w:ascii="宋体" w:hAnsi="宋体" w:cs="宋体"/>
                <w:color w:val="auto"/>
                <w:sz w:val="20"/>
                <w:szCs w:val="20"/>
                <w:highlight w:val="none"/>
                <w:lang w:eastAsia="zh-CN"/>
              </w:rPr>
              <w:t>县</w:t>
            </w:r>
            <w:r>
              <w:rPr>
                <w:rFonts w:hint="eastAsia" w:ascii="宋体" w:hAnsi="宋体" w:cs="宋体"/>
                <w:color w:val="auto"/>
                <w:sz w:val="20"/>
                <w:szCs w:val="20"/>
                <w:highlight w:val="none"/>
              </w:rPr>
              <w:t>委</w:t>
            </w:r>
            <w:r>
              <w:rPr>
                <w:rFonts w:hint="eastAsia" w:ascii="宋体" w:hAnsi="宋体" w:cs="宋体"/>
                <w:color w:val="auto"/>
                <w:sz w:val="20"/>
                <w:szCs w:val="20"/>
                <w:highlight w:val="none"/>
                <w:lang w:eastAsia="zh-CN"/>
              </w:rPr>
              <w:t>县</w:t>
            </w:r>
            <w:r>
              <w:rPr>
                <w:rFonts w:hint="eastAsia" w:ascii="宋体" w:hAnsi="宋体" w:cs="宋体"/>
                <w:color w:val="auto"/>
                <w:sz w:val="20"/>
                <w:szCs w:val="20"/>
                <w:highlight w:val="none"/>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000000"/>
                <w:sz w:val="20"/>
                <w:szCs w:val="20"/>
                <w:lang w:val="en-US" w:eastAsia="zh-CN"/>
              </w:rPr>
              <w:t>2022年</w:t>
            </w:r>
            <w:r>
              <w:rPr>
                <w:rFonts w:hint="eastAsia" w:ascii="宋体" w:hAnsi="宋体" w:cs="宋体"/>
                <w:color w:val="000000"/>
                <w:sz w:val="20"/>
                <w:szCs w:val="20"/>
                <w:lang w:eastAsia="zh-CN"/>
              </w:rPr>
              <w:t>通过培训及调研，提升了代表自身工作能力，</w:t>
            </w:r>
            <w:r>
              <w:rPr>
                <w:rFonts w:hint="eastAsia" w:ascii="宋体" w:hAnsi="宋体" w:cs="宋体"/>
                <w:color w:val="auto"/>
                <w:sz w:val="20"/>
                <w:szCs w:val="20"/>
                <w:highlight w:val="none"/>
              </w:rPr>
              <w:t>为</w:t>
            </w:r>
            <w:r>
              <w:rPr>
                <w:rFonts w:hint="eastAsia" w:ascii="宋体" w:hAnsi="宋体" w:cs="宋体"/>
                <w:color w:val="auto"/>
                <w:sz w:val="20"/>
                <w:szCs w:val="20"/>
                <w:highlight w:val="none"/>
                <w:lang w:eastAsia="zh-CN"/>
              </w:rPr>
              <w:t>县</w:t>
            </w:r>
            <w:r>
              <w:rPr>
                <w:rFonts w:hint="eastAsia" w:ascii="宋体" w:hAnsi="宋体" w:cs="宋体"/>
                <w:color w:val="auto"/>
                <w:sz w:val="20"/>
                <w:szCs w:val="20"/>
                <w:highlight w:val="none"/>
              </w:rPr>
              <w:t>委</w:t>
            </w:r>
            <w:r>
              <w:rPr>
                <w:rFonts w:hint="eastAsia" w:ascii="宋体" w:hAnsi="宋体" w:cs="宋体"/>
                <w:color w:val="auto"/>
                <w:sz w:val="20"/>
                <w:szCs w:val="20"/>
                <w:highlight w:val="none"/>
                <w:lang w:eastAsia="zh-CN"/>
              </w:rPr>
              <w:t>县</w:t>
            </w:r>
            <w:r>
              <w:rPr>
                <w:rFonts w:hint="eastAsia" w:ascii="宋体" w:hAnsi="宋体" w:cs="宋体"/>
                <w:color w:val="auto"/>
                <w:sz w:val="20"/>
                <w:szCs w:val="20"/>
                <w:highlight w:val="none"/>
              </w:rPr>
              <w:t>政府重大决策提供</w:t>
            </w:r>
            <w:r>
              <w:rPr>
                <w:rFonts w:hint="eastAsia" w:ascii="宋体" w:hAnsi="宋体" w:cs="宋体"/>
                <w:color w:val="auto"/>
                <w:sz w:val="20"/>
                <w:szCs w:val="20"/>
                <w:highlight w:val="none"/>
                <w:lang w:eastAsia="zh-CN"/>
              </w:rPr>
              <w:t>了好的</w:t>
            </w:r>
            <w:r>
              <w:rPr>
                <w:rFonts w:hint="eastAsia" w:ascii="宋体" w:hAnsi="宋体" w:cs="宋体"/>
                <w:color w:val="auto"/>
                <w:sz w:val="20"/>
                <w:szCs w:val="20"/>
                <w:highlight w:val="none"/>
              </w:rPr>
              <w:t>意见建议</w:t>
            </w:r>
            <w:r>
              <w:rPr>
                <w:rFonts w:hint="eastAsia" w:ascii="宋体" w:hAnsi="宋体" w:cs="宋体"/>
                <w:color w:val="auto"/>
                <w:sz w:val="20"/>
                <w:szCs w:val="20"/>
                <w:highlight w:val="none"/>
                <w:lang w:eastAsia="zh-CN"/>
              </w:rPr>
              <w:t>。</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整体支出得分</w:t>
      </w:r>
      <w:r>
        <w:rPr>
          <w:rFonts w:hint="eastAsia" w:ascii="仿宋_GB2312" w:hAnsi="仿宋_GB2312" w:eastAsia="仿宋_GB2312" w:cs="仿宋_GB2312"/>
          <w:sz w:val="32"/>
          <w:szCs w:val="32"/>
          <w:lang w:val="en-US" w:eastAsia="zh-CN"/>
        </w:rPr>
        <w:t>95.8分，</w:t>
      </w:r>
      <w:r>
        <w:rPr>
          <w:rFonts w:hint="eastAsia" w:ascii="仿宋_GB2312" w:hAnsi="仿宋_GB2312" w:eastAsia="仿宋_GB2312" w:cs="仿宋_GB2312"/>
          <w:sz w:val="32"/>
          <w:szCs w:val="32"/>
          <w:lang w:eastAsia="zh-CN"/>
        </w:rPr>
        <w:t>情况良好，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红原县人大常委会办公室2022年部门整体支出绩效报告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详</w:t>
      </w:r>
      <w:r>
        <w:rPr>
          <w:rFonts w:hint="eastAsia" w:ascii="仿宋_GB2312" w:hAnsi="仿宋_GB2312" w:eastAsia="仿宋_GB2312" w:cs="仿宋_GB2312"/>
          <w:sz w:val="32"/>
          <w:szCs w:val="32"/>
        </w:rPr>
        <w:t>见附件。</w:t>
      </w:r>
    </w:p>
    <w:p>
      <w:pPr>
        <w:pStyle w:val="8"/>
        <w:rPr>
          <w:rFonts w:hint="eastAsia" w:ascii="仿宋_GB2312" w:hAnsi="仿宋_GB2312" w:eastAsia="仿宋_GB2312" w:cs="仿宋_GB2312"/>
          <w:sz w:val="32"/>
          <w:szCs w:val="32"/>
        </w:rPr>
      </w:pPr>
    </w:p>
    <w:p>
      <w:pPr>
        <w:pStyle w:val="9"/>
        <w:rPr>
          <w:rFonts w:hint="eastAsia" w:ascii="仿宋_GB2312" w:hAnsi="仿宋_GB2312" w:eastAsia="仿宋_GB2312" w:cs="仿宋_GB2312"/>
          <w:sz w:val="32"/>
          <w:szCs w:val="32"/>
        </w:rPr>
      </w:pPr>
    </w:p>
    <w:p>
      <w:pPr>
        <w:pStyle w:val="9"/>
        <w:rPr>
          <w:rFonts w:hint="eastAsia" w:ascii="仿宋_GB2312" w:hAnsi="仿宋_GB2312" w:eastAsia="仿宋_GB2312" w:cs="仿宋_GB2312"/>
          <w:sz w:val="32"/>
          <w:szCs w:val="32"/>
        </w:rPr>
      </w:pPr>
    </w:p>
    <w:p>
      <w:pPr>
        <w:pStyle w:val="9"/>
        <w:rPr>
          <w:rFonts w:hint="eastAsia" w:ascii="仿宋_GB2312" w:hAnsi="仿宋_GB2312" w:eastAsia="仿宋_GB2312" w:cs="仿宋_GB2312"/>
          <w:sz w:val="32"/>
          <w:szCs w:val="32"/>
        </w:rPr>
      </w:pPr>
    </w:p>
    <w:p>
      <w:pPr>
        <w:pStyle w:val="9"/>
        <w:rPr>
          <w:rFonts w:hint="eastAsia" w:ascii="仿宋_GB2312" w:hAnsi="仿宋_GB2312" w:eastAsia="仿宋_GB2312" w:cs="仿宋_GB2312"/>
          <w:sz w:val="32"/>
          <w:szCs w:val="32"/>
        </w:rPr>
      </w:pPr>
    </w:p>
    <w:p>
      <w:pPr>
        <w:pStyle w:val="9"/>
        <w:rPr>
          <w:rFonts w:hint="eastAsia" w:ascii="仿宋_GB2312" w:hAnsi="仿宋_GB2312" w:eastAsia="仿宋_GB2312" w:cs="仿宋_GB2312"/>
          <w:sz w:val="32"/>
          <w:szCs w:val="32"/>
        </w:rPr>
      </w:pPr>
    </w:p>
    <w:p>
      <w:pPr>
        <w:pStyle w:val="9"/>
        <w:rPr>
          <w:rFonts w:hint="eastAsia" w:ascii="仿宋_GB2312" w:hAnsi="仿宋_GB2312" w:eastAsia="仿宋_GB2312" w:cs="仿宋_GB2312"/>
          <w:sz w:val="32"/>
          <w:szCs w:val="32"/>
        </w:rPr>
      </w:pPr>
    </w:p>
    <w:p>
      <w:pPr>
        <w:pStyle w:val="9"/>
        <w:rPr>
          <w:rFonts w:hint="eastAsia" w:ascii="仿宋_GB2312" w:hAnsi="仿宋_GB2312" w:eastAsia="仿宋_GB2312" w:cs="仿宋_GB2312"/>
          <w:sz w:val="32"/>
          <w:szCs w:val="32"/>
        </w:rPr>
      </w:pPr>
    </w:p>
    <w:p>
      <w:pPr>
        <w:pStyle w:val="9"/>
        <w:rPr>
          <w:rFonts w:hint="eastAsia" w:ascii="仿宋_GB2312" w:hAnsi="仿宋_GB2312" w:eastAsia="仿宋_GB2312" w:cs="仿宋_GB2312"/>
          <w:sz w:val="32"/>
          <w:szCs w:val="32"/>
        </w:rPr>
      </w:pPr>
    </w:p>
    <w:p>
      <w:pPr>
        <w:pStyle w:val="9"/>
        <w:rPr>
          <w:rFonts w:hint="eastAsia" w:ascii="仿宋_GB2312" w:hAnsi="仿宋_GB2312" w:eastAsia="仿宋_GB2312" w:cs="仿宋_GB2312"/>
          <w:sz w:val="32"/>
          <w:szCs w:val="32"/>
        </w:rPr>
      </w:pPr>
    </w:p>
    <w:p>
      <w:pPr>
        <w:widowControl/>
        <w:ind w:firstLine="643" w:firstLineChars="200"/>
        <w:jc w:val="left"/>
        <w:rPr>
          <w:rFonts w:ascii="仿宋_GB2312" w:eastAsia="仿宋_GB2312"/>
          <w:b/>
          <w:sz w:val="32"/>
          <w:szCs w:val="32"/>
        </w:rPr>
      </w:pPr>
    </w:p>
    <w:p>
      <w:pPr>
        <w:numPr>
          <w:ilvl w:val="0"/>
          <w:numId w:val="6"/>
        </w:numPr>
        <w:spacing w:line="600" w:lineRule="exact"/>
        <w:ind w:firstLine="660" w:firstLineChars="150"/>
        <w:jc w:val="center"/>
        <w:outlineLvl w:val="0"/>
        <w:rPr>
          <w:rStyle w:val="20"/>
          <w:rFonts w:ascii="黑体" w:eastAsia="黑体"/>
          <w:b w:val="0"/>
        </w:rPr>
      </w:pPr>
      <w:bookmarkStart w:id="63" w:name="_Toc15396613"/>
      <w:bookmarkStart w:id="64" w:name="_Toc15377225"/>
      <w:bookmarkStart w:id="65" w:name="_Toc32480"/>
      <w:r>
        <w:rPr>
          <w:rFonts w:hint="eastAsia" w:ascii="黑体" w:eastAsia="黑体"/>
          <w:sz w:val="44"/>
          <w:szCs w:val="44"/>
        </w:rPr>
        <w:t>名</w:t>
      </w:r>
      <w:r>
        <w:rPr>
          <w:rStyle w:val="20"/>
          <w:rFonts w:hint="eastAsia" w:ascii="黑体" w:eastAsia="黑体"/>
          <w:b w:val="0"/>
        </w:rPr>
        <w:t>词解释</w:t>
      </w:r>
      <w:bookmarkEnd w:id="63"/>
      <w:bookmarkEnd w:id="64"/>
      <w:bookmarkEnd w:id="65"/>
    </w:p>
    <w:p>
      <w:pPr>
        <w:spacing w:line="600" w:lineRule="exact"/>
        <w:jc w:val="left"/>
        <w:rPr>
          <w:rFonts w:ascii="宋体"/>
          <w:b/>
          <w:sz w:val="44"/>
          <w:szCs w:val="44"/>
        </w:rPr>
      </w:pPr>
    </w:p>
    <w:p>
      <w:pPr>
        <w:numPr>
          <w:ilvl w:val="0"/>
          <w:numId w:val="7"/>
        </w:numPr>
        <w:spacing w:line="600" w:lineRule="exact"/>
        <w:jc w:val="center"/>
        <w:outlineLvl w:val="0"/>
        <w:rPr>
          <w:rFonts w:hint="eastAsia" w:ascii="仿宋_GB2312" w:eastAsia="仿宋_GB2312"/>
          <w:color w:val="auto"/>
          <w:sz w:val="32"/>
          <w:szCs w:val="32"/>
        </w:rPr>
      </w:pPr>
      <w:bookmarkStart w:id="66" w:name="_Toc27029"/>
      <w:bookmarkStart w:id="67" w:name="_Toc18803"/>
      <w:bookmarkStart w:id="68" w:name="_Toc15377226"/>
      <w:r>
        <w:rPr>
          <w:rFonts w:hint="eastAsia" w:ascii="仿宋_GB2312" w:eastAsia="仿宋_GB2312"/>
          <w:color w:val="auto"/>
          <w:sz w:val="32"/>
          <w:szCs w:val="32"/>
        </w:rPr>
        <w:t>财政拨款收入：指单位从同级财政部门取得的财政预算资</w:t>
      </w:r>
      <w:bookmarkEnd w:id="66"/>
      <w:bookmarkEnd w:id="67"/>
    </w:p>
    <w:p>
      <w:pPr>
        <w:numPr>
          <w:numId w:val="0"/>
        </w:numPr>
        <w:spacing w:line="600" w:lineRule="exact"/>
        <w:jc w:val="both"/>
        <w:outlineLvl w:val="0"/>
        <w:rPr>
          <w:rFonts w:hint="eastAsia" w:ascii="仿宋_GB2312" w:eastAsia="仿宋_GB2312"/>
          <w:color w:val="auto"/>
          <w:sz w:val="32"/>
          <w:szCs w:val="32"/>
        </w:rPr>
      </w:pPr>
      <w:bookmarkStart w:id="69" w:name="_Toc704"/>
      <w:bookmarkStart w:id="70" w:name="_Toc21049"/>
      <w:r>
        <w:rPr>
          <w:rFonts w:hint="eastAsia" w:ascii="仿宋_GB2312" w:eastAsia="仿宋_GB2312"/>
          <w:color w:val="auto"/>
          <w:sz w:val="32"/>
          <w:szCs w:val="32"/>
        </w:rPr>
        <w:t>金。</w:t>
      </w:r>
      <w:bookmarkEnd w:id="69"/>
      <w:bookmarkEnd w:id="70"/>
    </w:p>
    <w:p>
      <w:pPr>
        <w:spacing w:line="600" w:lineRule="exact"/>
        <w:jc w:val="both"/>
        <w:outlineLvl w:val="0"/>
        <w:rPr>
          <w:rFonts w:hint="eastAsia" w:ascii="仿宋_GB2312" w:eastAsia="仿宋_GB2312"/>
          <w:color w:val="auto"/>
          <w:sz w:val="32"/>
          <w:szCs w:val="32"/>
        </w:rPr>
      </w:pPr>
      <w:bookmarkStart w:id="71" w:name="_Toc16486"/>
      <w:bookmarkStart w:id="72" w:name="_Toc24986"/>
      <w:r>
        <w:rPr>
          <w:rFonts w:hint="eastAsia" w:ascii="仿宋_GB2312" w:eastAsia="仿宋_GB2312"/>
          <w:color w:val="auto"/>
          <w:sz w:val="32"/>
          <w:szCs w:val="32"/>
        </w:rPr>
        <w:t>2.其他收入：指单位取得的除上述收入以外的各项收入。</w:t>
      </w:r>
      <w:bookmarkEnd w:id="71"/>
      <w:bookmarkEnd w:id="72"/>
      <w:r>
        <w:rPr>
          <w:rFonts w:hint="eastAsia" w:ascii="仿宋_GB2312" w:eastAsia="仿宋_GB2312"/>
          <w:color w:val="auto"/>
          <w:sz w:val="32"/>
          <w:szCs w:val="32"/>
        </w:rPr>
        <w:t xml:space="preserve"> </w:t>
      </w:r>
    </w:p>
    <w:p>
      <w:pPr>
        <w:spacing w:line="600" w:lineRule="exact"/>
        <w:jc w:val="center"/>
        <w:outlineLvl w:val="0"/>
        <w:rPr>
          <w:rFonts w:hint="eastAsia" w:ascii="仿宋_GB2312" w:eastAsia="仿宋_GB2312"/>
          <w:color w:val="auto"/>
          <w:sz w:val="32"/>
          <w:szCs w:val="32"/>
        </w:rPr>
      </w:pPr>
      <w:bookmarkStart w:id="73" w:name="_Toc13744"/>
      <w:bookmarkStart w:id="74" w:name="_Toc19661"/>
      <w:r>
        <w:rPr>
          <w:rFonts w:hint="eastAsia" w:ascii="仿宋_GB2312" w:eastAsia="仿宋_GB2312"/>
          <w:color w:val="auto"/>
          <w:sz w:val="32"/>
          <w:szCs w:val="32"/>
        </w:rPr>
        <w:t>3.年初结转和结余：指以前年度尚未完成、结转到本年按有</w:t>
      </w:r>
      <w:bookmarkEnd w:id="73"/>
      <w:bookmarkEnd w:id="74"/>
    </w:p>
    <w:p>
      <w:pPr>
        <w:spacing w:line="600" w:lineRule="exact"/>
        <w:jc w:val="both"/>
        <w:outlineLvl w:val="0"/>
        <w:rPr>
          <w:rFonts w:hint="eastAsia" w:ascii="仿宋_GB2312" w:eastAsia="仿宋_GB2312"/>
          <w:color w:val="auto"/>
          <w:sz w:val="32"/>
          <w:szCs w:val="32"/>
        </w:rPr>
      </w:pPr>
      <w:bookmarkStart w:id="75" w:name="_Toc11790"/>
      <w:bookmarkStart w:id="76" w:name="_Toc15327"/>
      <w:r>
        <w:rPr>
          <w:rFonts w:hint="eastAsia" w:ascii="仿宋_GB2312" w:eastAsia="仿宋_GB2312"/>
          <w:color w:val="auto"/>
          <w:sz w:val="32"/>
          <w:szCs w:val="32"/>
        </w:rPr>
        <w:t>关规定继续使用的资金。</w:t>
      </w:r>
      <w:bookmarkEnd w:id="75"/>
      <w:bookmarkEnd w:id="76"/>
      <w:r>
        <w:rPr>
          <w:rFonts w:hint="eastAsia" w:ascii="仿宋_GB2312" w:eastAsia="仿宋_GB2312"/>
          <w:color w:val="auto"/>
          <w:sz w:val="32"/>
          <w:szCs w:val="32"/>
        </w:rPr>
        <w:t xml:space="preserve"> </w:t>
      </w:r>
    </w:p>
    <w:p>
      <w:pPr>
        <w:spacing w:line="600" w:lineRule="exact"/>
        <w:jc w:val="center"/>
        <w:outlineLvl w:val="0"/>
        <w:rPr>
          <w:rFonts w:hint="eastAsia" w:ascii="仿宋_GB2312" w:eastAsia="仿宋_GB2312"/>
          <w:color w:val="auto"/>
          <w:sz w:val="32"/>
          <w:szCs w:val="32"/>
        </w:rPr>
      </w:pPr>
      <w:bookmarkStart w:id="77" w:name="_Toc21359"/>
      <w:bookmarkStart w:id="78" w:name="_Toc9882"/>
      <w:r>
        <w:rPr>
          <w:rFonts w:hint="eastAsia" w:ascii="仿宋_GB2312" w:eastAsia="仿宋_GB2312"/>
          <w:color w:val="auto"/>
          <w:sz w:val="32"/>
          <w:szCs w:val="32"/>
        </w:rPr>
        <w:t>4、年末结转和结余：指单位按有关规定结转到下年或以后</w:t>
      </w:r>
      <w:bookmarkEnd w:id="77"/>
      <w:bookmarkEnd w:id="78"/>
    </w:p>
    <w:p>
      <w:pPr>
        <w:spacing w:line="600" w:lineRule="exact"/>
        <w:jc w:val="both"/>
        <w:outlineLvl w:val="0"/>
        <w:rPr>
          <w:rFonts w:hint="eastAsia" w:ascii="仿宋_GB2312" w:eastAsia="仿宋_GB2312"/>
          <w:color w:val="auto"/>
          <w:sz w:val="32"/>
          <w:szCs w:val="32"/>
        </w:rPr>
      </w:pPr>
      <w:bookmarkStart w:id="79" w:name="_Toc12873"/>
      <w:bookmarkStart w:id="80" w:name="_Toc8387"/>
      <w:r>
        <w:rPr>
          <w:rFonts w:hint="eastAsia" w:ascii="仿宋_GB2312" w:eastAsia="仿宋_GB2312"/>
          <w:color w:val="auto"/>
          <w:sz w:val="32"/>
          <w:szCs w:val="32"/>
        </w:rPr>
        <w:t>年度继续使用的资金。</w:t>
      </w:r>
      <w:bookmarkEnd w:id="79"/>
      <w:bookmarkEnd w:id="80"/>
    </w:p>
    <w:p>
      <w:pPr>
        <w:numPr>
          <w:ilvl w:val="0"/>
          <w:numId w:val="8"/>
        </w:numPr>
        <w:spacing w:line="600" w:lineRule="exact"/>
        <w:jc w:val="center"/>
        <w:outlineLvl w:val="0"/>
        <w:rPr>
          <w:rFonts w:hint="eastAsia" w:ascii="仿宋_GB2312" w:eastAsia="仿宋_GB2312"/>
          <w:color w:val="auto"/>
          <w:sz w:val="32"/>
          <w:szCs w:val="32"/>
          <w:lang w:val="en-US" w:eastAsia="zh-CN"/>
        </w:rPr>
      </w:pPr>
      <w:bookmarkStart w:id="81" w:name="_Toc31094"/>
      <w:bookmarkStart w:id="82" w:name="_Toc7344"/>
      <w:r>
        <w:rPr>
          <w:rFonts w:hint="eastAsia" w:ascii="仿宋_GB2312" w:eastAsia="仿宋_GB2312"/>
          <w:color w:val="auto"/>
          <w:sz w:val="32"/>
          <w:szCs w:val="32"/>
        </w:rPr>
        <w:t>一般公共服务：2010101指人大行政运行，反映人员经费与日常公用经费的支出。2010104指人大会议，反映县人大召开人民代表大会等专门会议的支出。</w:t>
      </w:r>
      <w:r>
        <w:rPr>
          <w:rFonts w:hint="eastAsia" w:ascii="仿宋_GB2312" w:eastAsia="仿宋_GB2312"/>
          <w:color w:val="auto"/>
          <w:sz w:val="32"/>
          <w:szCs w:val="32"/>
          <w:lang w:val="en-US" w:eastAsia="zh-CN"/>
        </w:rPr>
        <w:t>2010107指人大代表履职能力提升，反映各级人大为提高代表履职能力所发生的</w:t>
      </w:r>
      <w:bookmarkEnd w:id="81"/>
      <w:bookmarkEnd w:id="82"/>
    </w:p>
    <w:p>
      <w:pPr>
        <w:numPr>
          <w:numId w:val="0"/>
        </w:numPr>
        <w:spacing w:line="600" w:lineRule="exact"/>
        <w:jc w:val="both"/>
        <w:outlineLvl w:val="0"/>
        <w:rPr>
          <w:rFonts w:hint="default" w:ascii="仿宋_GB2312" w:eastAsia="仿宋_GB2312"/>
          <w:color w:val="auto"/>
          <w:sz w:val="32"/>
          <w:szCs w:val="32"/>
          <w:lang w:val="en-US" w:eastAsia="zh-CN"/>
        </w:rPr>
      </w:pPr>
      <w:bookmarkStart w:id="83" w:name="_Toc18095"/>
      <w:bookmarkStart w:id="84" w:name="_Toc23901"/>
      <w:r>
        <w:rPr>
          <w:rFonts w:hint="eastAsia" w:ascii="仿宋_GB2312" w:eastAsia="仿宋_GB2312"/>
          <w:color w:val="auto"/>
          <w:sz w:val="32"/>
          <w:szCs w:val="32"/>
          <w:lang w:val="en-US" w:eastAsia="zh-CN"/>
        </w:rPr>
        <w:t>各项支出。</w:t>
      </w:r>
      <w:r>
        <w:rPr>
          <w:rFonts w:hint="eastAsia" w:ascii="仿宋_GB2312" w:eastAsia="仿宋_GB2312"/>
          <w:color w:val="auto"/>
          <w:sz w:val="32"/>
          <w:szCs w:val="32"/>
        </w:rPr>
        <w:t>2010108指代表工作，反映人大代表各类视察等方面的支出。</w:t>
      </w:r>
      <w:r>
        <w:rPr>
          <w:rFonts w:hint="eastAsia" w:ascii="仿宋_GB2312" w:eastAsia="仿宋_GB2312"/>
          <w:color w:val="auto"/>
          <w:sz w:val="32"/>
          <w:szCs w:val="32"/>
          <w:lang w:val="en-US" w:eastAsia="zh-CN"/>
        </w:rPr>
        <w:t>2100150指事业运行，反映人大事业机构产生的人员经费及公用经费。</w:t>
      </w:r>
      <w:bookmarkEnd w:id="83"/>
      <w:bookmarkEnd w:id="84"/>
    </w:p>
    <w:p>
      <w:pPr>
        <w:spacing w:line="600" w:lineRule="exact"/>
        <w:jc w:val="center"/>
        <w:outlineLvl w:val="0"/>
        <w:rPr>
          <w:rFonts w:hint="eastAsia" w:ascii="仿宋_GB2312" w:eastAsia="仿宋_GB2312"/>
          <w:color w:val="auto"/>
          <w:sz w:val="32"/>
          <w:szCs w:val="32"/>
        </w:rPr>
      </w:pPr>
      <w:bookmarkStart w:id="85" w:name="_Toc19703"/>
      <w:bookmarkStart w:id="86" w:name="_Toc25321"/>
      <w:r>
        <w:rPr>
          <w:rFonts w:hint="eastAsia" w:ascii="仿宋_GB2312" w:eastAsia="仿宋_GB2312"/>
          <w:color w:val="auto"/>
          <w:sz w:val="32"/>
          <w:szCs w:val="32"/>
        </w:rPr>
        <w:t>6.社会保障和就业：2080505指机关事业单位基本养老保险缴费支出。2080506指机关事业单位职业年金缴费支出。</w:t>
      </w:r>
      <w:bookmarkEnd w:id="85"/>
      <w:bookmarkEnd w:id="86"/>
    </w:p>
    <w:p>
      <w:pPr>
        <w:spacing w:line="600" w:lineRule="exact"/>
        <w:jc w:val="both"/>
        <w:outlineLvl w:val="0"/>
        <w:rPr>
          <w:rFonts w:hint="default" w:ascii="仿宋_GB2312" w:eastAsia="仿宋_GB2312"/>
          <w:color w:val="auto"/>
          <w:sz w:val="32"/>
          <w:szCs w:val="32"/>
          <w:lang w:val="en-US" w:eastAsia="zh-CN"/>
        </w:rPr>
      </w:pPr>
      <w:bookmarkStart w:id="87" w:name="_Toc11709"/>
      <w:bookmarkStart w:id="88" w:name="_Toc3261"/>
      <w:r>
        <w:rPr>
          <w:rFonts w:hint="eastAsia" w:ascii="仿宋_GB2312" w:eastAsia="仿宋_GB2312"/>
          <w:color w:val="auto"/>
          <w:sz w:val="32"/>
          <w:szCs w:val="32"/>
        </w:rPr>
        <w:t>7.医疗卫生与计划生育：2101101指行政单位医疗</w:t>
      </w:r>
      <w:r>
        <w:rPr>
          <w:rFonts w:hint="eastAsia" w:ascii="仿宋_GB2312" w:eastAsia="仿宋_GB2312"/>
          <w:color w:val="auto"/>
          <w:sz w:val="32"/>
          <w:szCs w:val="32"/>
          <w:lang w:eastAsia="zh-CN"/>
        </w:rPr>
        <w:t>保险</w:t>
      </w:r>
      <w:r>
        <w:rPr>
          <w:rFonts w:hint="eastAsia" w:ascii="仿宋_GB2312" w:eastAsia="仿宋_GB2312"/>
          <w:color w:val="auto"/>
          <w:sz w:val="32"/>
          <w:szCs w:val="32"/>
        </w:rPr>
        <w:t>支出。</w:t>
      </w:r>
      <w:r>
        <w:rPr>
          <w:rFonts w:hint="eastAsia" w:ascii="仿宋_GB2312" w:eastAsia="仿宋_GB2312"/>
          <w:color w:val="auto"/>
          <w:sz w:val="32"/>
          <w:szCs w:val="32"/>
          <w:lang w:val="en-US" w:eastAsia="zh-CN"/>
        </w:rPr>
        <w:t>2101102指事业单位医疗保险支出。</w:t>
      </w:r>
      <w:r>
        <w:rPr>
          <w:rFonts w:hint="eastAsia" w:ascii="仿宋_GB2312" w:eastAsia="仿宋_GB2312"/>
          <w:color w:val="auto"/>
          <w:sz w:val="32"/>
          <w:szCs w:val="32"/>
        </w:rPr>
        <w:t>2101103指公务员医疗补助。</w:t>
      </w:r>
      <w:r>
        <w:rPr>
          <w:rFonts w:hint="eastAsia" w:ascii="仿宋_GB2312" w:eastAsia="仿宋_GB2312"/>
          <w:color w:val="auto"/>
          <w:sz w:val="32"/>
          <w:szCs w:val="32"/>
          <w:lang w:val="en-US" w:eastAsia="zh-CN"/>
        </w:rPr>
        <w:t>2101199指其他行政事业单位医疗支出，反映事业单位职工补充医保。</w:t>
      </w:r>
      <w:bookmarkEnd w:id="87"/>
      <w:bookmarkEnd w:id="88"/>
    </w:p>
    <w:p>
      <w:pPr>
        <w:spacing w:line="600" w:lineRule="exact"/>
        <w:jc w:val="both"/>
        <w:outlineLvl w:val="0"/>
        <w:rPr>
          <w:rFonts w:hint="eastAsia" w:ascii="仿宋_GB2312" w:eastAsia="仿宋_GB2312"/>
          <w:color w:val="auto"/>
          <w:sz w:val="32"/>
          <w:szCs w:val="32"/>
        </w:rPr>
      </w:pPr>
      <w:bookmarkStart w:id="89" w:name="_Toc14400"/>
      <w:bookmarkStart w:id="90" w:name="_Toc27720"/>
      <w:r>
        <w:rPr>
          <w:rFonts w:hint="eastAsia" w:ascii="仿宋_GB2312" w:eastAsia="仿宋_GB2312"/>
          <w:color w:val="auto"/>
          <w:sz w:val="32"/>
          <w:szCs w:val="32"/>
        </w:rPr>
        <w:t>8.住房保障：2210201指住房公积金。</w:t>
      </w:r>
      <w:bookmarkEnd w:id="89"/>
      <w:bookmarkEnd w:id="90"/>
    </w:p>
    <w:p>
      <w:pPr>
        <w:spacing w:line="600" w:lineRule="exact"/>
        <w:jc w:val="center"/>
        <w:outlineLvl w:val="0"/>
        <w:rPr>
          <w:rFonts w:hint="eastAsia" w:ascii="仿宋_GB2312" w:eastAsia="仿宋_GB2312"/>
          <w:color w:val="auto"/>
          <w:sz w:val="32"/>
          <w:szCs w:val="32"/>
        </w:rPr>
      </w:pPr>
      <w:bookmarkStart w:id="91" w:name="_Toc15140"/>
      <w:bookmarkStart w:id="92" w:name="_Toc20801"/>
      <w:r>
        <w:rPr>
          <w:rFonts w:hint="eastAsia" w:ascii="仿宋_GB2312" w:eastAsia="仿宋_GB2312"/>
          <w:color w:val="auto"/>
          <w:sz w:val="32"/>
          <w:szCs w:val="32"/>
        </w:rPr>
        <w:t>9.基本支出：指为保障机构正常运转、完成日常工作任务而</w:t>
      </w:r>
      <w:bookmarkEnd w:id="91"/>
      <w:bookmarkEnd w:id="92"/>
    </w:p>
    <w:p>
      <w:pPr>
        <w:spacing w:line="600" w:lineRule="exact"/>
        <w:jc w:val="both"/>
        <w:outlineLvl w:val="0"/>
        <w:rPr>
          <w:rFonts w:hint="eastAsia" w:ascii="仿宋_GB2312" w:eastAsia="仿宋_GB2312"/>
          <w:color w:val="auto"/>
          <w:sz w:val="32"/>
          <w:szCs w:val="32"/>
        </w:rPr>
      </w:pPr>
      <w:bookmarkStart w:id="93" w:name="_Toc4186"/>
      <w:bookmarkStart w:id="94" w:name="_Toc1908"/>
      <w:r>
        <w:rPr>
          <w:rFonts w:hint="eastAsia" w:ascii="仿宋_GB2312" w:eastAsia="仿宋_GB2312"/>
          <w:color w:val="auto"/>
          <w:sz w:val="32"/>
          <w:szCs w:val="32"/>
        </w:rPr>
        <w:t>发生的人员支出和公用支出。</w:t>
      </w:r>
      <w:bookmarkEnd w:id="93"/>
      <w:bookmarkEnd w:id="94"/>
    </w:p>
    <w:p>
      <w:pPr>
        <w:spacing w:line="600" w:lineRule="exact"/>
        <w:jc w:val="center"/>
        <w:outlineLvl w:val="0"/>
        <w:rPr>
          <w:rFonts w:hint="eastAsia" w:ascii="仿宋_GB2312" w:eastAsia="仿宋_GB2312"/>
          <w:color w:val="auto"/>
          <w:sz w:val="32"/>
          <w:szCs w:val="32"/>
        </w:rPr>
      </w:pPr>
      <w:bookmarkStart w:id="95" w:name="_Toc26501"/>
      <w:bookmarkStart w:id="96" w:name="_Toc9649"/>
      <w:r>
        <w:rPr>
          <w:rFonts w:hint="eastAsia" w:ascii="仿宋_GB2312" w:eastAsia="仿宋_GB2312"/>
          <w:color w:val="auto"/>
          <w:sz w:val="32"/>
          <w:szCs w:val="32"/>
        </w:rPr>
        <w:t>10.项目支出：指在基本支出之外为完成特定行政任务和事</w:t>
      </w:r>
      <w:bookmarkEnd w:id="95"/>
      <w:bookmarkEnd w:id="96"/>
    </w:p>
    <w:p>
      <w:pPr>
        <w:spacing w:line="600" w:lineRule="exact"/>
        <w:jc w:val="both"/>
        <w:outlineLvl w:val="0"/>
        <w:rPr>
          <w:rFonts w:hint="eastAsia" w:ascii="仿宋_GB2312" w:eastAsia="仿宋_GB2312"/>
          <w:color w:val="auto"/>
          <w:sz w:val="32"/>
          <w:szCs w:val="32"/>
        </w:rPr>
      </w:pPr>
      <w:bookmarkStart w:id="97" w:name="_Toc19535"/>
      <w:bookmarkStart w:id="98" w:name="_Toc30698"/>
      <w:r>
        <w:rPr>
          <w:rFonts w:hint="eastAsia" w:ascii="仿宋_GB2312" w:eastAsia="仿宋_GB2312"/>
          <w:color w:val="auto"/>
          <w:sz w:val="32"/>
          <w:szCs w:val="32"/>
        </w:rPr>
        <w:t>业发展目标所发生的支出。</w:t>
      </w:r>
      <w:bookmarkEnd w:id="97"/>
      <w:bookmarkEnd w:id="98"/>
      <w:r>
        <w:rPr>
          <w:rFonts w:hint="eastAsia" w:ascii="仿宋_GB2312" w:eastAsia="仿宋_GB2312"/>
          <w:color w:val="auto"/>
          <w:sz w:val="32"/>
          <w:szCs w:val="32"/>
        </w:rPr>
        <w:t xml:space="preserve"> </w:t>
      </w:r>
    </w:p>
    <w:p>
      <w:pPr>
        <w:spacing w:line="600" w:lineRule="exact"/>
        <w:jc w:val="center"/>
        <w:outlineLvl w:val="0"/>
        <w:rPr>
          <w:rFonts w:hint="eastAsia" w:ascii="仿宋_GB2312" w:eastAsia="仿宋_GB2312"/>
          <w:color w:val="auto"/>
          <w:sz w:val="32"/>
          <w:szCs w:val="32"/>
        </w:rPr>
      </w:pPr>
      <w:bookmarkStart w:id="99" w:name="_Toc21244"/>
      <w:bookmarkStart w:id="100" w:name="_Toc27678"/>
      <w:r>
        <w:rPr>
          <w:rFonts w:hint="eastAsia" w:ascii="仿宋_GB2312" w:eastAsia="仿宋_GB2312"/>
          <w:color w:val="auto"/>
          <w:sz w:val="32"/>
          <w:szCs w:val="32"/>
        </w:rPr>
        <w:t>11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w:t>
      </w:r>
      <w:bookmarkEnd w:id="99"/>
      <w:bookmarkEnd w:id="100"/>
    </w:p>
    <w:p>
      <w:pPr>
        <w:spacing w:line="600" w:lineRule="exact"/>
        <w:jc w:val="both"/>
        <w:outlineLvl w:val="0"/>
        <w:rPr>
          <w:rFonts w:hint="eastAsia" w:ascii="仿宋_GB2312" w:eastAsia="仿宋_GB2312"/>
          <w:color w:val="auto"/>
          <w:sz w:val="32"/>
          <w:szCs w:val="32"/>
        </w:rPr>
      </w:pPr>
      <w:bookmarkStart w:id="101" w:name="_Toc1029"/>
      <w:bookmarkStart w:id="102" w:name="_Toc14809"/>
      <w:r>
        <w:rPr>
          <w:rFonts w:hint="eastAsia" w:ascii="仿宋_GB2312" w:eastAsia="仿宋_GB2312"/>
          <w:color w:val="auto"/>
          <w:sz w:val="32"/>
          <w:szCs w:val="32"/>
        </w:rPr>
        <w:t>外宾接待）支出。</w:t>
      </w:r>
      <w:bookmarkEnd w:id="101"/>
      <w:bookmarkEnd w:id="102"/>
    </w:p>
    <w:p>
      <w:pPr>
        <w:spacing w:line="600" w:lineRule="exact"/>
        <w:jc w:val="center"/>
        <w:outlineLvl w:val="0"/>
        <w:rPr>
          <w:rFonts w:hint="eastAsia" w:ascii="仿宋_GB2312" w:eastAsia="仿宋_GB2312"/>
          <w:color w:val="auto"/>
          <w:sz w:val="32"/>
          <w:szCs w:val="32"/>
        </w:rPr>
      </w:pPr>
      <w:bookmarkStart w:id="103" w:name="_Toc13615"/>
      <w:bookmarkStart w:id="104" w:name="_Toc20693"/>
      <w:r>
        <w:rPr>
          <w:rFonts w:hint="eastAsia" w:ascii="仿宋_GB2312" w:eastAsia="仿宋_GB2312"/>
          <w:color w:val="auto"/>
          <w:sz w:val="32"/>
          <w:szCs w:val="32"/>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w:t>
      </w:r>
      <w:bookmarkEnd w:id="103"/>
      <w:bookmarkEnd w:id="104"/>
    </w:p>
    <w:p>
      <w:pPr>
        <w:spacing w:line="600" w:lineRule="exact"/>
        <w:jc w:val="both"/>
        <w:outlineLvl w:val="0"/>
        <w:rPr>
          <w:rFonts w:hint="eastAsia" w:ascii="仿宋_GB2312" w:eastAsia="仿宋_GB2312"/>
          <w:color w:val="auto"/>
          <w:sz w:val="32"/>
          <w:szCs w:val="32"/>
        </w:rPr>
      </w:pPr>
      <w:bookmarkStart w:id="105" w:name="_Toc23183"/>
      <w:bookmarkStart w:id="106" w:name="_Toc19910"/>
      <w:r>
        <w:rPr>
          <w:rFonts w:hint="eastAsia" w:ascii="仿宋_GB2312" w:eastAsia="仿宋_GB2312"/>
          <w:color w:val="auto"/>
          <w:sz w:val="32"/>
          <w:szCs w:val="32"/>
        </w:rPr>
        <w:t>其他费用。</w:t>
      </w:r>
      <w:bookmarkEnd w:id="105"/>
      <w:bookmarkEnd w:id="106"/>
    </w:p>
    <w:p>
      <w:pPr>
        <w:spacing w:line="600" w:lineRule="exact"/>
        <w:jc w:val="center"/>
        <w:outlineLvl w:val="0"/>
        <w:rPr>
          <w:rStyle w:val="20"/>
          <w:rFonts w:ascii="黑体" w:eastAsia="黑体"/>
          <w:b w:val="0"/>
        </w:rPr>
      </w:pPr>
      <w:r>
        <w:rPr>
          <w:rFonts w:ascii="宋体"/>
          <w:b/>
          <w:sz w:val="44"/>
          <w:szCs w:val="44"/>
        </w:rPr>
        <w:br w:type="page"/>
      </w:r>
      <w:bookmarkStart w:id="107" w:name="_Toc15396614"/>
      <w:bookmarkStart w:id="108" w:name="_Toc2545"/>
      <w:r>
        <w:rPr>
          <w:rFonts w:hint="eastAsia" w:ascii="黑体" w:eastAsia="黑体"/>
          <w:sz w:val="44"/>
          <w:szCs w:val="44"/>
        </w:rPr>
        <w:t>第</w:t>
      </w:r>
      <w:r>
        <w:rPr>
          <w:rStyle w:val="20"/>
          <w:rFonts w:hint="eastAsia" w:ascii="黑体" w:eastAsia="黑体"/>
          <w:b w:val="0"/>
        </w:rPr>
        <w:t>四部分 附件</w:t>
      </w:r>
      <w:bookmarkEnd w:id="107"/>
      <w:bookmarkEnd w:id="108"/>
    </w:p>
    <w:p>
      <w:pPr>
        <w:spacing w:line="572" w:lineRule="exact"/>
        <w:jc w:val="left"/>
        <w:outlineLvl w:val="0"/>
        <w:rPr>
          <w:rFonts w:ascii="方正小标宋简体" w:eastAsia="方正小标宋简体" w:cs="方正小标宋简体"/>
          <w:sz w:val="44"/>
          <w:szCs w:val="44"/>
        </w:rPr>
      </w:pPr>
      <w:bookmarkStart w:id="109" w:name="_Toc4715"/>
      <w:r>
        <w:rPr>
          <w:rFonts w:hint="eastAsia" w:ascii="黑体" w:eastAsia="黑体" w:cs="黑体"/>
          <w:sz w:val="32"/>
          <w:szCs w:val="32"/>
        </w:rPr>
        <w:t>附件</w:t>
      </w:r>
      <w:bookmarkEnd w:id="109"/>
    </w:p>
    <w:p>
      <w:pPr>
        <w:widowControl/>
        <w:spacing w:line="560" w:lineRule="exact"/>
        <w:contextualSpacing/>
        <w:jc w:val="center"/>
        <w:rPr>
          <w:rFonts w:hint="eastAsia" w:ascii="宋体"/>
          <w:b/>
          <w:sz w:val="32"/>
          <w:szCs w:val="32"/>
          <w:shd w:val="clear" w:color="auto" w:fill="FFFFFF"/>
        </w:rPr>
      </w:pPr>
      <w:r>
        <w:rPr>
          <w:rFonts w:hint="eastAsia" w:ascii="宋体"/>
          <w:b/>
          <w:sz w:val="32"/>
          <w:szCs w:val="32"/>
          <w:shd w:val="clear" w:color="auto" w:fill="FFFFFF"/>
        </w:rPr>
        <w:t>红原县人大常委会办公室</w:t>
      </w:r>
    </w:p>
    <w:p>
      <w:pPr>
        <w:widowControl/>
        <w:spacing w:line="560" w:lineRule="exact"/>
        <w:contextualSpacing/>
        <w:jc w:val="center"/>
        <w:rPr>
          <w:rFonts w:hint="eastAsia" w:ascii="宋体"/>
          <w:b/>
          <w:sz w:val="32"/>
          <w:szCs w:val="32"/>
          <w:shd w:val="clear" w:color="auto" w:fill="FFFFFF"/>
        </w:rPr>
      </w:pPr>
      <w:r>
        <w:rPr>
          <w:rFonts w:hint="eastAsia" w:ascii="宋体"/>
          <w:b/>
          <w:sz w:val="32"/>
          <w:szCs w:val="32"/>
          <w:shd w:val="clear" w:color="auto" w:fill="FFFFFF"/>
        </w:rPr>
        <w:t>2022年部门整体支出绩效报告</w:t>
      </w:r>
    </w:p>
    <w:p>
      <w:pPr>
        <w:widowControl/>
        <w:spacing w:line="560" w:lineRule="exact"/>
        <w:contextualSpacing/>
        <w:jc w:val="center"/>
        <w:rPr>
          <w:rFonts w:hint="eastAsia" w:ascii="仿宋_GB2312" w:eastAsia="仿宋_GB2312" w:cs="仿宋_GB2312"/>
          <w:sz w:val="32"/>
          <w:szCs w:val="32"/>
          <w:shd w:val="clear" w:color="auto" w:fill="FFFFFF"/>
        </w:rPr>
      </w:pPr>
      <w:r>
        <w:rPr>
          <w:rFonts w:hint="eastAsia" w:ascii="仿宋_GB2312" w:eastAsia="仿宋_GB2312" w:cs="仿宋_GB2312"/>
          <w:sz w:val="32"/>
          <w:szCs w:val="32"/>
          <w:shd w:val="clear" w:color="auto" w:fill="FFFFFF"/>
        </w:rPr>
        <w:t>（报告范围包括机关和下属单位）</w:t>
      </w:r>
    </w:p>
    <w:p>
      <w:pPr>
        <w:pStyle w:val="8"/>
        <w:rPr>
          <w:rFonts w:hint="eastAsia" w:ascii="仿宋_GB2312" w:hAnsi="仿宋_GB2312" w:eastAsia="仿宋_GB2312" w:cs="仿宋_GB2312"/>
          <w:b/>
          <w:bCs/>
          <w:sz w:val="32"/>
          <w:szCs w:val="32"/>
        </w:rPr>
      </w:pPr>
    </w:p>
    <w:p>
      <w:pPr>
        <w:widowControl/>
        <w:jc w:val="left"/>
        <w:rPr>
          <w:rFonts w:hint="eastAsia" w:ascii="黑体" w:hAnsi="黑体" w:eastAsia="黑体" w:cs="黑体"/>
          <w:b/>
          <w:bCs/>
          <w:kern w:val="0"/>
          <w:sz w:val="32"/>
          <w:szCs w:val="32"/>
          <w:shd w:val="clear" w:color="auto" w:fill="FFFFFF"/>
        </w:rPr>
      </w:pPr>
      <w:r>
        <w:rPr>
          <w:rFonts w:hint="eastAsia" w:ascii="黑体" w:hAnsi="黑体" w:eastAsia="黑体" w:cs="黑体"/>
          <w:b/>
          <w:bCs/>
          <w:kern w:val="0"/>
          <w:sz w:val="32"/>
          <w:szCs w:val="32"/>
          <w:shd w:val="clear" w:color="auto" w:fill="FFFFFF"/>
        </w:rPr>
        <w:t>一、部门（单位）概况</w:t>
      </w:r>
    </w:p>
    <w:p>
      <w:pPr>
        <w:widowControl/>
        <w:jc w:val="left"/>
        <w:rPr>
          <w:rFonts w:hint="eastAsia"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（一）机构组成。</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县人大常委会机关为独立核算全额拨款行政单位，共设机构6个，即：综合办公室、人事代表工作委员会、法制监察司法和民族宗教外事委员会、财政经济预算和农业农村城乡环境保护委员会、教育科学文化卫生和社会建设委员会、预算联网服务中心（股级事业单位）；办公室下设两个股级机构，即行政股和秘书股。</w:t>
      </w:r>
    </w:p>
    <w:p>
      <w:pPr>
        <w:widowControl/>
        <w:jc w:val="left"/>
        <w:rPr>
          <w:rFonts w:hint="eastAsia"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（二）机构职能。</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1.综合办公室主要职能</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 xml:space="preserve">     根据主任会议安排，承担代表大会会议、常委会议、主任会议及其他会议的筹备和会务工作。起草代表大会、常委会、主任会议的有关通知、总结、计划、决议、决定、纪要、报告等文件，编写《公报》、《人大工作简报》，组织人大工作的宣传及新闻报道和组织人大机构内部的政治学习。负责内外协调，承担有关接待工作，负责文书档案、工资福利、机关财务、机关人事管理和后勤服务、车辆管理、财产管理。办理常委会领导同志交办的其他事项。 </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2.人大常委会财政经济预算和农业农村城乡环境保护委员会</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（1）为县人大常委会审议财政经济方面的各种报告，开展初审工作并提出意见，草拟县人大常委会会议相应的审议意见。</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（2）根据常委会议和主任会议安排，承担对财政、经济方面的执法检查、代表视察和代表评议的牵头工作。</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（3）按照对口联系范围，经常联系财政和其他经济管理部门，开展调查研究工作，印发有关调查报告。</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（4）承办上级人大对口的专门委员会发来的法律法规征求意见的整理上报工作。</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（5）办理本工作委员会全部文书档案工作。</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（6）承担领导交办的其他工作。</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3.县人大常委会法制监察司法和民族宗教外事委员会</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（1）为县人大常委会会议，审议政法方面的各种工作报告，开展初审，提出意见，草拟县人大常委会会议的相应审议意见。</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（2）根据常委会议及主任会议安排，承担对政法和司法机关，以及法制建设执法检查、代表视察和代表评议的牵头工作。</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（3）按照对口联系范围经常对公、检、法、司等部门，开展调查研究工作，印发有关电查报告。</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 xml:space="preserve">（4）承办上级人大对口专门委员会发来的法律法规征求意见和整理上报工作。  </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（5）办理本工作委员会的全部文书档案工作。</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（6）承担领导交办的其他工作。</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4.县人大常委会教育科学文化卫生和社会建设委员会</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（1）为县人大常委会审议教育、科学、文化、卫生、民族宗教等方面的各种报告，开展初审工作，提出初审意见，草拟常委会会议相应的审议意见。</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（2）根据常委会议和主任会议安排，承担对教育、科技、文化、卫生、民族、宗教等方面的执法检查、代表视察和代表评议的牵头工作。</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（3）按照对口联系范围，经常联系教育、科技、文化、卫生、民族、宗教等部门，开展调查研究工作，印发调查报告。</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（4）承办上级对口专门委员会发来的法律法规征求意见和整理上报工作。</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（5）办理本工作委员会的全部文书档案工作。</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（6）承担领导交办的其他工作。</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5.县人大常委人事代表工作委员会</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（1）办理人民代表大会及其常务委员会人事任免的具体工作。</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 xml:space="preserve"> （2）加强同县委、组织部、纪委、上级人大常委会对口部门、乡镇党委、本级“一府两院”的人事监察部门、政工机构和信访部门的配合与联系。</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（3）搞好对县人大常委会任命的国家机关工作人员的述职评议工作。</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（4）承担换届选举方面的具体工作和由上面交办的人民代表大会制度和人大工作方面的法律、法规的征求意见，整理上报工作。</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（5）做好代表联系，办理代表议案建议、批评和意见，办理人民群众的来信来访工作。</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（6）承担县人大常委会代表资格审查委员会的有关具体工作和指导乡、镇人大及其主席团的工作。</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6.预算联网中心</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负责全县预算及相关预算执行相关数据的监督及管理等工作。</w:t>
      </w:r>
    </w:p>
    <w:p>
      <w:pPr>
        <w:widowControl/>
        <w:jc w:val="left"/>
        <w:rPr>
          <w:rFonts w:hint="eastAsia"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（三）人员概况。</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本单位截止2022年底共有在职职工24人，其中公务员19人，行政工勤4人，事业管理人员1人。比上年减少2人，减少原因是22年退休3人，调走2人，新调入3人。</w:t>
      </w:r>
    </w:p>
    <w:p>
      <w:pPr>
        <w:widowControl/>
        <w:jc w:val="left"/>
        <w:rPr>
          <w:rFonts w:hint="eastAsia" w:ascii="黑体" w:hAnsi="黑体" w:eastAsia="黑体" w:cs="黑体"/>
          <w:b/>
          <w:bCs/>
          <w:kern w:val="0"/>
          <w:sz w:val="32"/>
          <w:szCs w:val="32"/>
          <w:shd w:val="clear" w:color="auto" w:fill="FFFFFF"/>
        </w:rPr>
      </w:pPr>
      <w:r>
        <w:rPr>
          <w:rFonts w:hint="eastAsia" w:ascii="黑体" w:hAnsi="黑体" w:eastAsia="黑体" w:cs="黑体"/>
          <w:b/>
          <w:bCs/>
          <w:kern w:val="0"/>
          <w:sz w:val="32"/>
          <w:szCs w:val="32"/>
          <w:shd w:val="clear" w:color="auto" w:fill="FFFFFF"/>
        </w:rPr>
        <w:t>二、部门财政资金收支情况</w:t>
      </w:r>
    </w:p>
    <w:p>
      <w:pPr>
        <w:widowControl/>
        <w:jc w:val="left"/>
        <w:rPr>
          <w:rFonts w:hint="eastAsia"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（一）部门财政资金收入情况</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2022年度财政拨款收入总计1008.82 万元（其中：一般公共服务支出820.92万元，主要为人员工资、体检费、工伤失业保险、会议费、差旅费、印刷费、培训费、公务用车运行维护费等；社会保障和就业支出93.93万元，主要为单位部分各项保险；医疗卫生与计划生育支出43.09万元，全部为单位部分医疗保险、公务员医疗补助；住房保障支出50.88万元，全部为单位部分住房公积金）。与2021年相比，收入增加了42.38万元，上升了4.38%，主要变动原因是22年支付换届人代会及两次培训会相关开支及保险基数调整。</w:t>
      </w:r>
    </w:p>
    <w:p>
      <w:pPr>
        <w:widowControl/>
        <w:jc w:val="left"/>
        <w:rPr>
          <w:rFonts w:hint="eastAsia"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（二）部门财政资金支出情况</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2022年度财政拨款支出1008.82万元，与2021年相比，支出增加了42.38万元，上升了4.38%，主要变动原因是22年支付换届人代会及两次培训会相关开支及保险基数调整。其中：一般公共服务支出820.92万元，主要为人员工资、体检费、工伤失业保险、会议费、差旅费、印刷费、培训费、公务用车运行维护费等；社会保障和就业支出93.93万元，主要为单位部分各项保险；医疗卫生与计划生育支出43.09万元，全部为单位部分医疗保险、公务员医疗补助；住房保障支出50.88万元，全部为单位部分住房公积金。</w:t>
      </w:r>
    </w:p>
    <w:p>
      <w:pPr>
        <w:widowControl/>
        <w:jc w:val="left"/>
        <w:rPr>
          <w:rFonts w:hint="eastAsia" w:ascii="黑体" w:hAnsi="黑体" w:eastAsia="黑体" w:cs="黑体"/>
          <w:b/>
          <w:bCs/>
          <w:kern w:val="0"/>
          <w:sz w:val="32"/>
          <w:szCs w:val="32"/>
          <w:shd w:val="clear" w:color="auto" w:fill="FFFFFF"/>
        </w:rPr>
      </w:pPr>
      <w:r>
        <w:rPr>
          <w:rFonts w:hint="eastAsia" w:ascii="黑体" w:hAnsi="黑体" w:eastAsia="黑体" w:cs="黑体"/>
          <w:b/>
          <w:bCs/>
          <w:kern w:val="0"/>
          <w:sz w:val="32"/>
          <w:szCs w:val="32"/>
          <w:shd w:val="clear" w:color="auto" w:fill="FFFFFF"/>
        </w:rPr>
        <w:t>三、部门整体预算绩效管理情况</w:t>
      </w:r>
    </w:p>
    <w:p>
      <w:pPr>
        <w:widowControl/>
        <w:jc w:val="left"/>
        <w:rPr>
          <w:rFonts w:hint="eastAsia"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（一）部门预算管理</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红原县人大常委会办公室预算编制严格按照《预算法》相关规定，结合全县预算编制口径，结合我单位实际情况编制，主要用于保障我单位正常运转、完成日常工作任务以及红原县人大事务发展相关工作而编制，预算编制目标明确。其中根据我单位职能职责编制三项专项部门预算，一是人大专项办公费预算，主要用于补充我单位开展人大专项工作产生的办公费、差旅费、油费等，2022</w:t>
      </w:r>
      <w:r>
        <w:rPr>
          <w:rFonts w:hint="eastAsia" w:ascii="仿宋_GB2312" w:hAnsi="仿宋_GB2312" w:eastAsia="仿宋_GB2312" w:cs="仿宋_GB2312"/>
          <w:kern w:val="0"/>
          <w:sz w:val="32"/>
          <w:szCs w:val="32"/>
          <w:shd w:val="clear" w:color="auto" w:fill="FFFFFF"/>
          <w:lang w:eastAsia="zh-CN"/>
        </w:rPr>
        <w:t>年全年</w:t>
      </w:r>
      <w:r>
        <w:rPr>
          <w:rFonts w:hint="eastAsia" w:ascii="仿宋_GB2312" w:hAnsi="仿宋_GB2312" w:eastAsia="仿宋_GB2312" w:cs="仿宋_GB2312"/>
          <w:kern w:val="0"/>
          <w:sz w:val="32"/>
          <w:szCs w:val="32"/>
          <w:shd w:val="clear" w:color="auto" w:fill="FFFFFF"/>
        </w:rPr>
        <w:t>预算</w:t>
      </w:r>
      <w:r>
        <w:rPr>
          <w:rFonts w:hint="eastAsia" w:ascii="仿宋_GB2312" w:hAnsi="仿宋_GB2312" w:eastAsia="仿宋_GB2312" w:cs="仿宋_GB2312"/>
          <w:kern w:val="0"/>
          <w:sz w:val="32"/>
          <w:szCs w:val="32"/>
          <w:shd w:val="clear" w:color="auto" w:fill="FFFFFF"/>
          <w:lang w:val="en-US" w:eastAsia="zh-CN"/>
        </w:rPr>
        <w:t>38.89</w:t>
      </w:r>
      <w:r>
        <w:rPr>
          <w:rFonts w:hint="eastAsia" w:ascii="仿宋_GB2312" w:hAnsi="仿宋_GB2312" w:eastAsia="仿宋_GB2312" w:cs="仿宋_GB2312"/>
          <w:kern w:val="0"/>
          <w:sz w:val="32"/>
          <w:szCs w:val="32"/>
          <w:shd w:val="clear" w:color="auto" w:fill="FFFFFF"/>
        </w:rPr>
        <w:t>万元，年底执行</w:t>
      </w:r>
      <w:r>
        <w:rPr>
          <w:rFonts w:hint="eastAsia" w:ascii="仿宋_GB2312" w:hAnsi="仿宋_GB2312" w:eastAsia="仿宋_GB2312" w:cs="仿宋_GB2312"/>
          <w:kern w:val="0"/>
          <w:sz w:val="32"/>
          <w:szCs w:val="32"/>
          <w:shd w:val="clear" w:color="auto" w:fill="FFFFFF"/>
          <w:lang w:val="en-US" w:eastAsia="zh-CN"/>
        </w:rPr>
        <w:t>38.89</w:t>
      </w:r>
      <w:r>
        <w:rPr>
          <w:rFonts w:hint="eastAsia" w:ascii="仿宋_GB2312" w:hAnsi="仿宋_GB2312" w:eastAsia="仿宋_GB2312" w:cs="仿宋_GB2312"/>
          <w:kern w:val="0"/>
          <w:sz w:val="32"/>
          <w:szCs w:val="32"/>
          <w:shd w:val="clear" w:color="auto" w:fill="FFFFFF"/>
        </w:rPr>
        <w:t>万元，执行率</w:t>
      </w:r>
      <w:r>
        <w:rPr>
          <w:rFonts w:hint="eastAsia" w:ascii="仿宋_GB2312" w:hAnsi="仿宋_GB2312" w:eastAsia="仿宋_GB2312" w:cs="仿宋_GB2312"/>
          <w:kern w:val="0"/>
          <w:sz w:val="32"/>
          <w:szCs w:val="32"/>
          <w:shd w:val="clear" w:color="auto" w:fill="FFFFFF"/>
          <w:lang w:val="en-US" w:eastAsia="zh-CN"/>
        </w:rPr>
        <w:t>100</w:t>
      </w:r>
      <w:r>
        <w:rPr>
          <w:rFonts w:hint="eastAsia" w:ascii="仿宋_GB2312" w:hAnsi="仿宋_GB2312" w:eastAsia="仿宋_GB2312" w:cs="仿宋_GB2312"/>
          <w:kern w:val="0"/>
          <w:sz w:val="32"/>
          <w:szCs w:val="32"/>
          <w:shd w:val="clear" w:color="auto" w:fill="FFFFFF"/>
        </w:rPr>
        <w:t>%；二是人大会议，主要用于我单位每年的常委会及人代会产生的印刷，代表食宿费用，会议用品费用等会议开支，2022年</w:t>
      </w:r>
      <w:r>
        <w:rPr>
          <w:rFonts w:hint="eastAsia" w:ascii="仿宋_GB2312" w:hAnsi="仿宋_GB2312" w:eastAsia="仿宋_GB2312" w:cs="仿宋_GB2312"/>
          <w:kern w:val="0"/>
          <w:sz w:val="32"/>
          <w:szCs w:val="32"/>
          <w:shd w:val="clear" w:color="auto" w:fill="FFFFFF"/>
          <w:lang w:eastAsia="zh-CN"/>
        </w:rPr>
        <w:t>全年</w:t>
      </w:r>
      <w:r>
        <w:rPr>
          <w:rFonts w:hint="eastAsia" w:ascii="仿宋_GB2312" w:hAnsi="仿宋_GB2312" w:eastAsia="仿宋_GB2312" w:cs="仿宋_GB2312"/>
          <w:kern w:val="0"/>
          <w:sz w:val="32"/>
          <w:szCs w:val="32"/>
          <w:shd w:val="clear" w:color="auto" w:fill="FFFFFF"/>
        </w:rPr>
        <w:t>预算30万元，年底执行30万元，执行率100%。三是代表视察及履职能力提升专项经费，主要用于我县各级人大代表参加培训、调研、视察等开支的差旅费，办公费及县人大开展代表履职相关工作产生的公务用车运行维护费等开支，2022年</w:t>
      </w:r>
      <w:r>
        <w:rPr>
          <w:rFonts w:hint="eastAsia" w:ascii="仿宋_GB2312" w:hAnsi="仿宋_GB2312" w:eastAsia="仿宋_GB2312" w:cs="仿宋_GB2312"/>
          <w:kern w:val="0"/>
          <w:sz w:val="32"/>
          <w:szCs w:val="32"/>
          <w:shd w:val="clear" w:color="auto" w:fill="FFFFFF"/>
          <w:lang w:eastAsia="zh-CN"/>
        </w:rPr>
        <w:t>全年</w:t>
      </w:r>
      <w:r>
        <w:rPr>
          <w:rFonts w:hint="eastAsia" w:ascii="仿宋_GB2312" w:hAnsi="仿宋_GB2312" w:eastAsia="仿宋_GB2312" w:cs="仿宋_GB2312"/>
          <w:kern w:val="0"/>
          <w:sz w:val="32"/>
          <w:szCs w:val="32"/>
          <w:shd w:val="clear" w:color="auto" w:fill="FFFFFF"/>
        </w:rPr>
        <w:t>预算</w:t>
      </w:r>
      <w:r>
        <w:rPr>
          <w:rFonts w:hint="eastAsia" w:ascii="仿宋_GB2312" w:hAnsi="仿宋_GB2312" w:eastAsia="仿宋_GB2312" w:cs="仿宋_GB2312"/>
          <w:kern w:val="0"/>
          <w:sz w:val="32"/>
          <w:szCs w:val="32"/>
          <w:shd w:val="clear" w:color="auto" w:fill="FFFFFF"/>
          <w:lang w:val="en-US" w:eastAsia="zh-CN"/>
        </w:rPr>
        <w:t>58.64</w:t>
      </w:r>
      <w:r>
        <w:rPr>
          <w:rFonts w:hint="eastAsia" w:ascii="仿宋_GB2312" w:hAnsi="仿宋_GB2312" w:eastAsia="仿宋_GB2312" w:cs="仿宋_GB2312"/>
          <w:kern w:val="0"/>
          <w:sz w:val="32"/>
          <w:szCs w:val="32"/>
          <w:shd w:val="clear" w:color="auto" w:fill="FFFFFF"/>
        </w:rPr>
        <w:t>万元，年底执行</w:t>
      </w:r>
      <w:r>
        <w:rPr>
          <w:rFonts w:hint="eastAsia" w:ascii="仿宋_GB2312" w:hAnsi="仿宋_GB2312" w:eastAsia="仿宋_GB2312" w:cs="仿宋_GB2312"/>
          <w:kern w:val="0"/>
          <w:sz w:val="32"/>
          <w:szCs w:val="32"/>
          <w:shd w:val="clear" w:color="auto" w:fill="FFFFFF"/>
          <w:lang w:val="en-US" w:eastAsia="zh-CN"/>
        </w:rPr>
        <w:t>58.64</w:t>
      </w:r>
      <w:r>
        <w:rPr>
          <w:rFonts w:hint="eastAsia" w:ascii="仿宋_GB2312" w:hAnsi="仿宋_GB2312" w:eastAsia="仿宋_GB2312" w:cs="仿宋_GB2312"/>
          <w:kern w:val="0"/>
          <w:sz w:val="32"/>
          <w:szCs w:val="32"/>
          <w:shd w:val="clear" w:color="auto" w:fill="FFFFFF"/>
        </w:rPr>
        <w:t>万元，执行率100%。该三项经费我办均严格按照专项经费开支范围审核拨付资金。2022年我办预算支出无违规记录。</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2022年绩效目标执行率均达</w:t>
      </w:r>
      <w:r>
        <w:rPr>
          <w:rFonts w:hint="eastAsia" w:ascii="仿宋_GB2312" w:hAnsi="仿宋_GB2312" w:eastAsia="仿宋_GB2312" w:cs="仿宋_GB2312"/>
          <w:kern w:val="0"/>
          <w:sz w:val="32"/>
          <w:szCs w:val="32"/>
          <w:shd w:val="clear" w:color="auto" w:fill="FFFFFF"/>
          <w:lang w:val="en-US" w:eastAsia="zh-CN"/>
        </w:rPr>
        <w:t>95</w:t>
      </w:r>
      <w:r>
        <w:rPr>
          <w:rFonts w:hint="eastAsia" w:ascii="仿宋_GB2312" w:hAnsi="仿宋_GB2312" w:eastAsia="仿宋_GB2312" w:cs="仿宋_GB2312"/>
          <w:kern w:val="0"/>
          <w:sz w:val="32"/>
          <w:szCs w:val="32"/>
          <w:shd w:val="clear" w:color="auto" w:fill="FFFFFF"/>
        </w:rPr>
        <w:t>%及以上完成度较好，2023年我单位及时公开部门预算，绩效报告等，对预算编制进一步细化。</w:t>
      </w:r>
    </w:p>
    <w:p>
      <w:pPr>
        <w:widowControl/>
        <w:jc w:val="left"/>
        <w:rPr>
          <w:rFonts w:hint="eastAsia" w:ascii="仿宋_GB2312" w:hAnsi="仿宋_GB2312" w:eastAsia="仿宋_GB2312" w:cs="仿宋_GB2312"/>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（二）三公经费执行管理情况。</w:t>
      </w:r>
      <w:r>
        <w:rPr>
          <w:rFonts w:hint="eastAsia" w:ascii="仿宋_GB2312" w:hAnsi="仿宋_GB2312" w:eastAsia="仿宋_GB2312" w:cs="仿宋_GB2312"/>
          <w:kern w:val="0"/>
          <w:sz w:val="32"/>
          <w:szCs w:val="32"/>
          <w:shd w:val="clear" w:color="auto" w:fill="FFFFFF"/>
        </w:rPr>
        <w:tab/>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1.因公出国(境)经费</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2022年因公出国(境)费0.00元，因公出国(境) 0人，与上年持平。</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2.公务接待费</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2022年公务接待费1.37万元。公务接待费支出决算比2021年决算减少3.52万元。主要原因为22年厉性节约及疫情影响减少了县与县之间的交流调研，本年度我们将严格执行“八项规定、六项禁令”，结合本年度工作需要，减少不必要的开支，严格审批管理接待费。</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3.公务用车购置及运行维护费</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2022年公务用车购置及运行维护费40.23万元。其中：</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公务用车购置支出0万元（含税）。</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公务用车运行维护费支出40.23万元。主要用于人大机关因公出差、下乡调研等所需的公务用车燃料费、维修费、过路过桥费、保险费等支出。</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公务用车购置及运行维护费支出40.23万元,完成预算100%。公务用车购置及运行维护费支出决算比2021年减少53.86万元，下降57.24%。主要原因是2021年新购置越野车一辆，2022年无该项开支。</w:t>
      </w:r>
    </w:p>
    <w:p>
      <w:pPr>
        <w:widowControl/>
        <w:jc w:val="left"/>
        <w:rPr>
          <w:rFonts w:hint="eastAsia"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（三）综合管理情况。</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1.资产管理</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2.单位内控管理</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3.部门预算管理</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 xml:space="preserve">严格按照综合预算原则。统一编制、统一管理、统筹安排资金，将单位所有安排的各项支出纳入综合预算，确保预算全面、真实反映单位实际的收支情况，使所有收支活动纳入预算管理与监督的范围。    </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4.绩效管理</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我单位领导高度重视绩效评价工作，成立了绩效评价工作领导小组，采取座谈等方式听取相关情况，检查基本支出、专项办公费、会议费等支出有关账目，收集整理相关资料，并对资料进行分析，形成评价结论。</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（1）部门预算严格按照上级部门预算编制通知和有关要求，结合单位具体工作及县级相关规定编制，按时完成基础、项目报送工作，单位预算按时在红原县门户网站公开。</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（2）严格执行支出预算，“三公经费”本着节约、高效的原则严格控制支出。</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 xml:space="preserve">（3）认真开展部门绩效评价工作，绩效评价规章制度逐渐健全;严格按照相关法律、法规进行会计核算，严格资金管理，专款专用，资金拨付严格按相关程序报批后支付。认真开展部门整体绩效评价工作，绩效评价工作正逐步完善。    </w:t>
      </w:r>
    </w:p>
    <w:p>
      <w:pPr>
        <w:widowControl/>
        <w:jc w:val="left"/>
        <w:rPr>
          <w:rFonts w:hint="eastAsia"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（四）整体绩效。</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通过整体绩效自评，反映本部门能按照人大相关职责要求有效履行职责，圆满完成了人大各项工作任务，绩效评价结果为优，各级人大代表及相关部门等对县人大办的各项工作满意度较高。</w:t>
      </w:r>
    </w:p>
    <w:p>
      <w:pPr>
        <w:widowControl/>
        <w:jc w:val="left"/>
        <w:rPr>
          <w:rFonts w:hint="eastAsia"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（五）结果应用情况</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2022年我单位从收支执行，三公经费管理，预算管理，绩效管理等方面进行了详尽部门自评、22年预算绩效目标，项目预算绩效目标等均进行了公开，评价结果较好，对部门预算编制不够精准细化的问题将在后续工作中逐步改进。</w:t>
      </w:r>
    </w:p>
    <w:p>
      <w:pPr>
        <w:widowControl/>
        <w:jc w:val="left"/>
        <w:rPr>
          <w:rFonts w:hint="eastAsia" w:ascii="黑体" w:hAnsi="黑体" w:eastAsia="黑体" w:cs="黑体"/>
          <w:b/>
          <w:bCs/>
          <w:kern w:val="0"/>
          <w:sz w:val="32"/>
          <w:szCs w:val="32"/>
          <w:shd w:val="clear" w:color="auto" w:fill="FFFFFF"/>
        </w:rPr>
      </w:pPr>
      <w:r>
        <w:rPr>
          <w:rFonts w:hint="eastAsia" w:ascii="黑体" w:hAnsi="黑体" w:eastAsia="黑体" w:cs="黑体"/>
          <w:b/>
          <w:bCs/>
          <w:kern w:val="0"/>
          <w:sz w:val="32"/>
          <w:szCs w:val="32"/>
          <w:shd w:val="clear" w:color="auto" w:fill="FFFFFF"/>
        </w:rPr>
        <w:t>四、评价结论及建议</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（一）评价结论。</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根据《红原县部门支出绩效评价指标体系》自查得分95.8分，总体评价较好。</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（二）存在问题。</w:t>
      </w:r>
    </w:p>
    <w:p>
      <w:pPr>
        <w:widowControl/>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由于财政支出的多样性和复杂性，绩效评价指标体系设置难度大，即使可以量化，但实际操作中很多项目间缺乏可比性且指标本身也在逐步变化，需要逐步完善。</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 xml:space="preserve">   存在的问题:在平时工作推进过程中，还应加强绩效管理，进一步细化管理，预算编制还需更加精准。</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（二）改进建议。</w:t>
      </w:r>
    </w:p>
    <w:p>
      <w:pPr>
        <w:widowControl/>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1.通过各种途径加强绩效管理学习，科学合理编制预算，严格执行预算。</w:t>
      </w:r>
    </w:p>
    <w:p>
      <w:pPr>
        <w:widowControl/>
        <w:jc w:val="left"/>
        <w:rPr>
          <w:rStyle w:val="20"/>
          <w:rFonts w:ascii="黑体" w:eastAsia="黑体"/>
          <w:b w:val="0"/>
        </w:rPr>
      </w:pPr>
      <w:r>
        <w:rPr>
          <w:rFonts w:hint="eastAsia" w:ascii="仿宋_GB2312" w:hAnsi="仿宋_GB2312" w:eastAsia="仿宋_GB2312" w:cs="仿宋_GB2312"/>
          <w:kern w:val="0"/>
          <w:sz w:val="32"/>
          <w:szCs w:val="32"/>
          <w:shd w:val="clear" w:color="auto" w:fill="FFFFFF"/>
        </w:rPr>
        <w:t>2.规范账务处理，提高财务信息质量。</w:t>
      </w:r>
      <w:r>
        <w:rPr>
          <w:rStyle w:val="20"/>
          <w:rFonts w:ascii="黑体" w:eastAsia="黑体"/>
          <w:b w:val="0"/>
        </w:rPr>
        <w:br w:type="page"/>
      </w:r>
    </w:p>
    <w:p>
      <w:pPr>
        <w:spacing w:line="600" w:lineRule="exact"/>
        <w:jc w:val="center"/>
        <w:outlineLvl w:val="0"/>
        <w:rPr>
          <w:rFonts w:ascii="仿宋" w:eastAsia="仿宋"/>
        </w:rPr>
      </w:pPr>
      <w:bookmarkStart w:id="110" w:name="_Toc15396618"/>
      <w:bookmarkStart w:id="111" w:name="_Toc63"/>
      <w:r>
        <w:rPr>
          <w:rFonts w:hint="eastAsia" w:ascii="黑体" w:eastAsia="黑体"/>
          <w:sz w:val="44"/>
          <w:szCs w:val="44"/>
        </w:rPr>
        <w:t>第</w:t>
      </w:r>
      <w:r>
        <w:rPr>
          <w:rStyle w:val="20"/>
          <w:rFonts w:hint="eastAsia" w:ascii="黑体" w:eastAsia="黑体"/>
          <w:b w:val="0"/>
        </w:rPr>
        <w:t>五部分 附表</w:t>
      </w:r>
      <w:bookmarkEnd w:id="68"/>
      <w:bookmarkEnd w:id="110"/>
      <w:bookmarkEnd w:id="111"/>
      <w:bookmarkStart w:id="112" w:name="_Toc15396619"/>
    </w:p>
    <w:p>
      <w:pPr>
        <w:pStyle w:val="4"/>
        <w:rPr>
          <w:rFonts w:ascii="仿宋" w:eastAsia="仿宋"/>
        </w:rPr>
      </w:pPr>
      <w:bookmarkStart w:id="113" w:name="_Toc7114"/>
      <w:bookmarkStart w:id="114" w:name="_Toc9836"/>
      <w:r>
        <w:rPr>
          <w:rFonts w:hint="eastAsia" w:ascii="仿宋" w:eastAsia="仿宋"/>
          <w:b w:val="0"/>
        </w:rPr>
        <w:t>一、收</w:t>
      </w:r>
      <w:r>
        <w:rPr>
          <w:rStyle w:val="21"/>
          <w:rFonts w:hint="eastAsia" w:ascii="仿宋" w:eastAsia="仿宋"/>
          <w:b w:val="0"/>
          <w:bCs w:val="0"/>
        </w:rPr>
        <w:t>入支出决算总表</w:t>
      </w:r>
      <w:bookmarkEnd w:id="112"/>
      <w:bookmarkEnd w:id="113"/>
      <w:bookmarkEnd w:id="114"/>
    </w:p>
    <w:p>
      <w:pPr>
        <w:pStyle w:val="4"/>
        <w:rPr>
          <w:rFonts w:ascii="仿宋" w:eastAsia="仿宋"/>
        </w:rPr>
      </w:pPr>
      <w:bookmarkStart w:id="115" w:name="_Toc15396620"/>
      <w:bookmarkStart w:id="116" w:name="_Toc31850"/>
      <w:bookmarkStart w:id="117" w:name="_Toc5275"/>
      <w:r>
        <w:rPr>
          <w:rFonts w:hint="eastAsia" w:ascii="仿宋" w:eastAsia="仿宋"/>
          <w:b w:val="0"/>
        </w:rPr>
        <w:t>二、收</w:t>
      </w:r>
      <w:r>
        <w:rPr>
          <w:rStyle w:val="21"/>
          <w:rFonts w:hint="eastAsia" w:ascii="仿宋" w:eastAsia="仿宋"/>
          <w:b w:val="0"/>
          <w:bCs w:val="0"/>
        </w:rPr>
        <w:t>入决算表</w:t>
      </w:r>
      <w:bookmarkEnd w:id="115"/>
      <w:bookmarkEnd w:id="116"/>
      <w:bookmarkEnd w:id="117"/>
    </w:p>
    <w:p>
      <w:pPr>
        <w:pStyle w:val="4"/>
        <w:rPr>
          <w:rFonts w:ascii="仿宋" w:eastAsia="仿宋"/>
        </w:rPr>
      </w:pPr>
      <w:bookmarkStart w:id="118" w:name="_Toc15396621"/>
      <w:bookmarkStart w:id="119" w:name="_Toc15012"/>
      <w:bookmarkStart w:id="120" w:name="_Toc22743"/>
      <w:r>
        <w:rPr>
          <w:rStyle w:val="21"/>
          <w:rFonts w:hint="eastAsia" w:ascii="仿宋" w:eastAsia="仿宋"/>
          <w:b w:val="0"/>
          <w:bCs w:val="0"/>
        </w:rPr>
        <w:t>三、</w:t>
      </w:r>
      <w:r>
        <w:rPr>
          <w:rFonts w:hint="eastAsia" w:ascii="仿宋" w:eastAsia="仿宋"/>
          <w:b w:val="0"/>
        </w:rPr>
        <w:t>支</w:t>
      </w:r>
      <w:r>
        <w:rPr>
          <w:rStyle w:val="21"/>
          <w:rFonts w:hint="eastAsia" w:ascii="仿宋" w:eastAsia="仿宋"/>
          <w:b w:val="0"/>
          <w:bCs w:val="0"/>
        </w:rPr>
        <w:t>出决算表</w:t>
      </w:r>
      <w:bookmarkEnd w:id="118"/>
      <w:bookmarkEnd w:id="119"/>
      <w:bookmarkEnd w:id="120"/>
    </w:p>
    <w:p>
      <w:pPr>
        <w:pStyle w:val="4"/>
        <w:rPr>
          <w:rFonts w:ascii="仿宋" w:eastAsia="仿宋"/>
          <w:b w:val="0"/>
        </w:rPr>
      </w:pPr>
      <w:bookmarkStart w:id="121" w:name="_Toc15396622"/>
      <w:bookmarkStart w:id="122" w:name="_Toc2325"/>
      <w:bookmarkStart w:id="123" w:name="_Toc3319"/>
      <w:r>
        <w:rPr>
          <w:rStyle w:val="21"/>
          <w:rFonts w:hint="eastAsia" w:ascii="仿宋" w:eastAsia="仿宋"/>
          <w:b w:val="0"/>
          <w:bCs w:val="0"/>
        </w:rPr>
        <w:t>四、</w:t>
      </w:r>
      <w:r>
        <w:rPr>
          <w:rFonts w:hint="eastAsia" w:ascii="仿宋" w:eastAsia="仿宋"/>
          <w:b w:val="0"/>
        </w:rPr>
        <w:t>财</w:t>
      </w:r>
      <w:r>
        <w:rPr>
          <w:rStyle w:val="21"/>
          <w:rFonts w:hint="eastAsia" w:ascii="仿宋" w:eastAsia="仿宋"/>
          <w:b w:val="0"/>
          <w:bCs w:val="0"/>
        </w:rPr>
        <w:t>政拨款收入支出决算总表</w:t>
      </w:r>
      <w:bookmarkEnd w:id="121"/>
      <w:bookmarkEnd w:id="122"/>
      <w:bookmarkEnd w:id="123"/>
    </w:p>
    <w:p>
      <w:pPr>
        <w:pStyle w:val="4"/>
        <w:rPr>
          <w:rStyle w:val="21"/>
          <w:rFonts w:ascii="仿宋" w:eastAsia="仿宋"/>
          <w:b w:val="0"/>
          <w:bCs w:val="0"/>
        </w:rPr>
      </w:pPr>
      <w:bookmarkStart w:id="124" w:name="_Toc15396623"/>
      <w:bookmarkStart w:id="125" w:name="_Toc17946"/>
      <w:bookmarkStart w:id="126" w:name="_Toc9871"/>
      <w:r>
        <w:rPr>
          <w:rStyle w:val="21"/>
          <w:rFonts w:hint="eastAsia" w:ascii="仿宋" w:eastAsia="仿宋"/>
          <w:b w:val="0"/>
          <w:bCs w:val="0"/>
        </w:rPr>
        <w:t>五、</w:t>
      </w:r>
      <w:r>
        <w:rPr>
          <w:rFonts w:hint="eastAsia" w:ascii="仿宋" w:eastAsia="仿宋"/>
          <w:b w:val="0"/>
        </w:rPr>
        <w:t>财</w:t>
      </w:r>
      <w:r>
        <w:rPr>
          <w:rStyle w:val="21"/>
          <w:rFonts w:hint="eastAsia" w:ascii="仿宋" w:eastAsia="仿宋"/>
          <w:b w:val="0"/>
          <w:bCs w:val="0"/>
        </w:rPr>
        <w:t>政拨款支出决算明细表</w:t>
      </w:r>
      <w:bookmarkEnd w:id="124"/>
      <w:bookmarkEnd w:id="125"/>
      <w:bookmarkEnd w:id="126"/>
      <w:bookmarkStart w:id="127" w:name="_Toc15396624"/>
    </w:p>
    <w:p>
      <w:pPr>
        <w:pStyle w:val="4"/>
        <w:rPr>
          <w:rFonts w:ascii="仿宋" w:eastAsia="仿宋"/>
        </w:rPr>
      </w:pPr>
      <w:bookmarkStart w:id="128" w:name="_Toc2800"/>
      <w:bookmarkStart w:id="129" w:name="_Toc20117"/>
      <w:r>
        <w:rPr>
          <w:rStyle w:val="21"/>
          <w:rFonts w:hint="eastAsia" w:ascii="仿宋" w:eastAsia="仿宋"/>
          <w:b w:val="0"/>
          <w:bCs w:val="0"/>
        </w:rPr>
        <w:t>六、</w:t>
      </w:r>
      <w:r>
        <w:rPr>
          <w:rFonts w:hint="eastAsia" w:ascii="仿宋" w:eastAsia="仿宋"/>
          <w:b w:val="0"/>
        </w:rPr>
        <w:t>一</w:t>
      </w:r>
      <w:r>
        <w:rPr>
          <w:rStyle w:val="21"/>
          <w:rFonts w:hint="eastAsia" w:ascii="仿宋" w:eastAsia="仿宋"/>
          <w:b w:val="0"/>
          <w:bCs w:val="0"/>
        </w:rPr>
        <w:t>般公共预算财政拨款支出决算表</w:t>
      </w:r>
      <w:bookmarkEnd w:id="127"/>
      <w:bookmarkEnd w:id="128"/>
      <w:bookmarkEnd w:id="129"/>
    </w:p>
    <w:p>
      <w:pPr>
        <w:pStyle w:val="4"/>
        <w:rPr>
          <w:rFonts w:ascii="仿宋" w:eastAsia="仿宋"/>
        </w:rPr>
      </w:pPr>
      <w:bookmarkStart w:id="130" w:name="_Toc15396625"/>
      <w:bookmarkStart w:id="131" w:name="_Toc10733"/>
      <w:bookmarkStart w:id="132" w:name="_Toc29704"/>
      <w:r>
        <w:rPr>
          <w:rStyle w:val="21"/>
          <w:rFonts w:hint="eastAsia" w:ascii="仿宋" w:eastAsia="仿宋"/>
          <w:b w:val="0"/>
          <w:bCs w:val="0"/>
        </w:rPr>
        <w:t>七、</w:t>
      </w:r>
      <w:r>
        <w:rPr>
          <w:rFonts w:hint="eastAsia" w:ascii="仿宋" w:eastAsia="仿宋"/>
          <w:b w:val="0"/>
        </w:rPr>
        <w:t>一</w:t>
      </w:r>
      <w:r>
        <w:rPr>
          <w:rStyle w:val="21"/>
          <w:rFonts w:hint="eastAsia" w:ascii="仿宋" w:eastAsia="仿宋"/>
          <w:b w:val="0"/>
          <w:bCs w:val="0"/>
        </w:rPr>
        <w:t>般公共预算财政拨款支出决算明细表</w:t>
      </w:r>
      <w:bookmarkEnd w:id="130"/>
      <w:bookmarkEnd w:id="131"/>
      <w:bookmarkEnd w:id="132"/>
    </w:p>
    <w:p>
      <w:pPr>
        <w:pStyle w:val="4"/>
        <w:rPr>
          <w:rFonts w:ascii="仿宋" w:eastAsia="仿宋"/>
        </w:rPr>
      </w:pPr>
      <w:bookmarkStart w:id="133" w:name="_Toc15396626"/>
      <w:bookmarkStart w:id="134" w:name="_Toc8432"/>
      <w:bookmarkStart w:id="135" w:name="_Toc30543"/>
      <w:r>
        <w:rPr>
          <w:rStyle w:val="21"/>
          <w:rFonts w:hint="eastAsia" w:ascii="仿宋" w:eastAsia="仿宋"/>
          <w:b w:val="0"/>
          <w:bCs w:val="0"/>
        </w:rPr>
        <w:t>八、</w:t>
      </w:r>
      <w:r>
        <w:rPr>
          <w:rFonts w:hint="eastAsia" w:ascii="仿宋" w:eastAsia="仿宋"/>
          <w:b w:val="0"/>
        </w:rPr>
        <w:t>一</w:t>
      </w:r>
      <w:r>
        <w:rPr>
          <w:rStyle w:val="21"/>
          <w:rFonts w:hint="eastAsia" w:ascii="仿宋" w:eastAsia="仿宋"/>
          <w:b w:val="0"/>
          <w:bCs w:val="0"/>
        </w:rPr>
        <w:t>般公共预算财政拨款基本支出决算表</w:t>
      </w:r>
      <w:bookmarkEnd w:id="133"/>
      <w:bookmarkEnd w:id="134"/>
      <w:bookmarkEnd w:id="135"/>
    </w:p>
    <w:p>
      <w:pPr>
        <w:pStyle w:val="4"/>
        <w:rPr>
          <w:rFonts w:ascii="仿宋" w:eastAsia="仿宋"/>
        </w:rPr>
      </w:pPr>
      <w:bookmarkStart w:id="136" w:name="_Toc15396627"/>
      <w:bookmarkStart w:id="137" w:name="_Toc10916"/>
      <w:bookmarkStart w:id="138" w:name="_Toc28168"/>
      <w:r>
        <w:rPr>
          <w:rStyle w:val="21"/>
          <w:rFonts w:hint="eastAsia" w:ascii="仿宋" w:eastAsia="仿宋"/>
          <w:b w:val="0"/>
          <w:bCs w:val="0"/>
        </w:rPr>
        <w:t>九、</w:t>
      </w:r>
      <w:r>
        <w:rPr>
          <w:rFonts w:hint="eastAsia" w:ascii="仿宋" w:eastAsia="仿宋"/>
          <w:b w:val="0"/>
        </w:rPr>
        <w:t>一</w:t>
      </w:r>
      <w:r>
        <w:rPr>
          <w:rStyle w:val="21"/>
          <w:rFonts w:hint="eastAsia" w:ascii="仿宋" w:eastAsia="仿宋"/>
          <w:b w:val="0"/>
          <w:bCs w:val="0"/>
        </w:rPr>
        <w:t>般公共预算财政拨款项目支出决算表</w:t>
      </w:r>
      <w:bookmarkEnd w:id="136"/>
      <w:bookmarkEnd w:id="137"/>
      <w:bookmarkEnd w:id="138"/>
    </w:p>
    <w:p>
      <w:pPr>
        <w:pStyle w:val="4"/>
        <w:rPr>
          <w:rFonts w:ascii="仿宋" w:eastAsia="仿宋"/>
        </w:rPr>
      </w:pPr>
      <w:bookmarkStart w:id="139" w:name="_Toc15396628"/>
      <w:bookmarkStart w:id="140" w:name="_Toc16699"/>
      <w:bookmarkStart w:id="141" w:name="_Toc13791"/>
      <w:r>
        <w:rPr>
          <w:rStyle w:val="21"/>
          <w:rFonts w:hint="eastAsia" w:ascii="仿宋" w:eastAsia="仿宋"/>
          <w:b w:val="0"/>
          <w:bCs w:val="0"/>
        </w:rPr>
        <w:t>十、</w:t>
      </w:r>
      <w:bookmarkEnd w:id="139"/>
      <w:r>
        <w:rPr>
          <w:rFonts w:hint="eastAsia" w:ascii="仿宋" w:eastAsia="仿宋"/>
          <w:b w:val="0"/>
        </w:rPr>
        <w:t>政</w:t>
      </w:r>
      <w:r>
        <w:rPr>
          <w:rStyle w:val="21"/>
          <w:rFonts w:hint="eastAsia" w:ascii="仿宋" w:eastAsia="仿宋"/>
          <w:b w:val="0"/>
          <w:bCs w:val="0"/>
        </w:rPr>
        <w:t>府性基金预算财政拨款收入支出决算表</w:t>
      </w:r>
      <w:bookmarkEnd w:id="140"/>
      <w:bookmarkEnd w:id="141"/>
    </w:p>
    <w:p>
      <w:pPr>
        <w:pStyle w:val="4"/>
        <w:rPr>
          <w:rFonts w:ascii="仿宋" w:eastAsia="仿宋"/>
        </w:rPr>
      </w:pPr>
      <w:bookmarkStart w:id="142" w:name="_Toc15396629"/>
      <w:bookmarkStart w:id="143" w:name="_Toc8848"/>
      <w:bookmarkStart w:id="144" w:name="_Toc4423"/>
      <w:r>
        <w:rPr>
          <w:rStyle w:val="21"/>
          <w:rFonts w:hint="eastAsia" w:ascii="仿宋" w:eastAsia="仿宋"/>
          <w:b w:val="0"/>
          <w:bCs w:val="0"/>
        </w:rPr>
        <w:t>十一、</w:t>
      </w:r>
      <w:bookmarkEnd w:id="142"/>
      <w:r>
        <w:rPr>
          <w:rFonts w:hint="eastAsia" w:ascii="仿宋" w:eastAsia="仿宋"/>
          <w:b w:val="0"/>
        </w:rPr>
        <w:t>国</w:t>
      </w:r>
      <w:r>
        <w:rPr>
          <w:rStyle w:val="21"/>
          <w:rFonts w:hint="eastAsia" w:ascii="仿宋" w:eastAsia="仿宋"/>
          <w:b w:val="0"/>
          <w:bCs w:val="0"/>
        </w:rPr>
        <w:t>有资本经营预算财政拨款收入支出决算表</w:t>
      </w:r>
      <w:bookmarkEnd w:id="143"/>
      <w:bookmarkEnd w:id="144"/>
    </w:p>
    <w:p>
      <w:pPr>
        <w:pStyle w:val="4"/>
        <w:rPr>
          <w:rFonts w:ascii="仿宋" w:eastAsia="仿宋"/>
        </w:rPr>
      </w:pPr>
      <w:bookmarkStart w:id="145" w:name="_Toc15396630"/>
      <w:bookmarkStart w:id="146" w:name="_Toc3767"/>
      <w:bookmarkStart w:id="147" w:name="_Toc375"/>
      <w:r>
        <w:rPr>
          <w:rStyle w:val="21"/>
          <w:rFonts w:hint="eastAsia" w:ascii="仿宋" w:eastAsia="仿宋"/>
          <w:b w:val="0"/>
          <w:bCs w:val="0"/>
        </w:rPr>
        <w:t>十二、</w:t>
      </w:r>
      <w:bookmarkEnd w:id="145"/>
      <w:r>
        <w:rPr>
          <w:rStyle w:val="21"/>
          <w:rFonts w:hint="eastAsia" w:ascii="仿宋" w:eastAsia="仿宋"/>
          <w:b w:val="0"/>
          <w:bCs w:val="0"/>
        </w:rPr>
        <w:t>国有资本经营预算财政拨款支出决算表</w:t>
      </w:r>
      <w:bookmarkEnd w:id="146"/>
      <w:bookmarkEnd w:id="147"/>
    </w:p>
    <w:p>
      <w:pPr>
        <w:pStyle w:val="4"/>
        <w:rPr>
          <w:rFonts w:eastAsia="仿宋"/>
        </w:rPr>
      </w:pPr>
      <w:bookmarkStart w:id="148" w:name="_Toc15396631"/>
      <w:bookmarkStart w:id="149" w:name="_Toc23427"/>
      <w:bookmarkStart w:id="150" w:name="_Toc6173"/>
      <w:r>
        <w:rPr>
          <w:rStyle w:val="21"/>
          <w:rFonts w:hint="eastAsia" w:ascii="仿宋" w:eastAsia="仿宋"/>
          <w:b w:val="0"/>
          <w:bCs w:val="0"/>
        </w:rPr>
        <w:t>十三、</w:t>
      </w:r>
      <w:bookmarkEnd w:id="148"/>
      <w:r>
        <w:rPr>
          <w:rStyle w:val="21"/>
          <w:rFonts w:hint="eastAsia" w:ascii="仿宋" w:eastAsia="仿宋"/>
          <w:b w:val="0"/>
          <w:bCs w:val="0"/>
        </w:rPr>
        <w:t>财政拨款“三公”经费支出决算表</w:t>
      </w:r>
      <w:bookmarkEnd w:id="149"/>
      <w:bookmarkEnd w:id="150"/>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panose1 w:val="03000509000000000000"/>
    <w:charset w:val="86"/>
    <w:family w:val="auto"/>
    <w:pitch w:val="default"/>
    <w:sig w:usb0="00000001" w:usb1="080E0000" w:usb2="00000000" w:usb3="00000000" w:csb0="00040000" w:csb1="00000000"/>
  </w:font>
  <w:font w:name="汉仪书宋二S">
    <w:altName w:val="方正书宋_GBK"/>
    <w:panose1 w:val="00000000000000000000"/>
    <w:charset w:val="00"/>
    <w:family w:val="auto"/>
    <w:pitch w:val="default"/>
    <w:sig w:usb0="00000000" w:usb1="00000000" w:usb2="00000000" w:usb3="00000000" w:csb0="00000000" w:csb1="00000000"/>
  </w:font>
  <w:font w:name="方正书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616354"/>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47E0C"/>
    <w:multiLevelType w:val="singleLevel"/>
    <w:tmpl w:val="8B847E0C"/>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3">
    <w:nsid w:val="E6B5C037"/>
    <w:multiLevelType w:val="singleLevel"/>
    <w:tmpl w:val="E6B5C037"/>
    <w:lvl w:ilvl="0" w:tentative="0">
      <w:start w:val="1"/>
      <w:numFmt w:val="decimal"/>
      <w:lvlText w:val="%1."/>
      <w:lvlJc w:val="left"/>
      <w:pPr>
        <w:tabs>
          <w:tab w:val="left" w:pos="312"/>
        </w:tabs>
      </w:pPr>
    </w:lvl>
  </w:abstractNum>
  <w:abstractNum w:abstractNumId="4">
    <w:nsid w:val="EACD8409"/>
    <w:multiLevelType w:val="singleLevel"/>
    <w:tmpl w:val="EACD8409"/>
    <w:lvl w:ilvl="0" w:tentative="0">
      <w:start w:val="5"/>
      <w:numFmt w:val="decimal"/>
      <w:lvlText w:val="%1."/>
      <w:lvlJc w:val="left"/>
      <w:pPr>
        <w:tabs>
          <w:tab w:val="left" w:pos="312"/>
        </w:tabs>
      </w:p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355685C0"/>
    <w:multiLevelType w:val="singleLevel"/>
    <w:tmpl w:val="355685C0"/>
    <w:lvl w:ilvl="0" w:tentative="0">
      <w:start w:val="1"/>
      <w:numFmt w:val="chineseCounting"/>
      <w:suff w:val="nothing"/>
      <w:lvlText w:val="（%1）"/>
      <w:lvlJc w:val="left"/>
      <w:rPr>
        <w:rFonts w:hint="eastAsia"/>
      </w:rPr>
    </w:lvl>
  </w:abstractNum>
  <w:abstractNum w:abstractNumId="7">
    <w:nsid w:val="4B5E5050"/>
    <w:multiLevelType w:val="singleLevel"/>
    <w:tmpl w:val="4B5E5050"/>
    <w:lvl w:ilvl="0" w:tentative="0">
      <w:start w:val="1"/>
      <w:numFmt w:val="chineseCounting"/>
      <w:suff w:val="nothing"/>
      <w:lvlText w:val="%1、"/>
      <w:lvlJc w:val="left"/>
      <w:rPr>
        <w:rFonts w:hint="eastAsia"/>
      </w:rPr>
    </w:lvl>
  </w:abstractNum>
  <w:num w:numId="1">
    <w:abstractNumId w:val="7"/>
  </w:num>
  <w:num w:numId="2">
    <w:abstractNumId w:val="6"/>
  </w:num>
  <w:num w:numId="3">
    <w:abstractNumId w:val="5"/>
  </w:num>
  <w:num w:numId="4">
    <w:abstractNumId w:val="0"/>
  </w:num>
  <w:num w:numId="5">
    <w:abstractNumId w:val="1"/>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BiOWIxN2FhMzAxNzRiNWJjMzA1YWY4MTVjNzk1NDcifQ=="/>
  </w:docVars>
  <w:rsids>
    <w:rsidRoot w:val="005346C9"/>
    <w:rsid w:val="002C1B69"/>
    <w:rsid w:val="005346C9"/>
    <w:rsid w:val="007C6D18"/>
    <w:rsid w:val="00F1191B"/>
    <w:rsid w:val="02810A7C"/>
    <w:rsid w:val="02A824AD"/>
    <w:rsid w:val="02C16A01"/>
    <w:rsid w:val="02F072F1"/>
    <w:rsid w:val="0305345B"/>
    <w:rsid w:val="04522421"/>
    <w:rsid w:val="04966BE4"/>
    <w:rsid w:val="05253F5F"/>
    <w:rsid w:val="081128A2"/>
    <w:rsid w:val="08E07D65"/>
    <w:rsid w:val="09C13E54"/>
    <w:rsid w:val="0A281ACE"/>
    <w:rsid w:val="0AEF5D5B"/>
    <w:rsid w:val="0B81081E"/>
    <w:rsid w:val="0C272694"/>
    <w:rsid w:val="0CA912FB"/>
    <w:rsid w:val="0CF602B9"/>
    <w:rsid w:val="0E4D5CB6"/>
    <w:rsid w:val="0E632100"/>
    <w:rsid w:val="0F2033CB"/>
    <w:rsid w:val="106B4B1A"/>
    <w:rsid w:val="106D2640"/>
    <w:rsid w:val="10900A00"/>
    <w:rsid w:val="114E0781"/>
    <w:rsid w:val="116352D6"/>
    <w:rsid w:val="116E3A5D"/>
    <w:rsid w:val="11B36B4A"/>
    <w:rsid w:val="122A4C8C"/>
    <w:rsid w:val="12A6008B"/>
    <w:rsid w:val="12EA7589"/>
    <w:rsid w:val="133E02C4"/>
    <w:rsid w:val="144E60BD"/>
    <w:rsid w:val="149B0E8A"/>
    <w:rsid w:val="15121A08"/>
    <w:rsid w:val="19151713"/>
    <w:rsid w:val="196F1358"/>
    <w:rsid w:val="1A0758B3"/>
    <w:rsid w:val="1BD16179"/>
    <w:rsid w:val="1BF965F2"/>
    <w:rsid w:val="1C6012AB"/>
    <w:rsid w:val="1D0C6A66"/>
    <w:rsid w:val="1D234B0A"/>
    <w:rsid w:val="1E2F362A"/>
    <w:rsid w:val="1ECB3486"/>
    <w:rsid w:val="1EEE287B"/>
    <w:rsid w:val="207F70B2"/>
    <w:rsid w:val="217F6677"/>
    <w:rsid w:val="21B856E5"/>
    <w:rsid w:val="223C144D"/>
    <w:rsid w:val="243E6375"/>
    <w:rsid w:val="25693679"/>
    <w:rsid w:val="25FB1098"/>
    <w:rsid w:val="260C30F7"/>
    <w:rsid w:val="27B54BA0"/>
    <w:rsid w:val="2AA077A9"/>
    <w:rsid w:val="2AFA0B1C"/>
    <w:rsid w:val="2B8266EC"/>
    <w:rsid w:val="2BF233C5"/>
    <w:rsid w:val="2BFB4ED7"/>
    <w:rsid w:val="2C025EDA"/>
    <w:rsid w:val="2C351E0C"/>
    <w:rsid w:val="2C3F4B36"/>
    <w:rsid w:val="2C8608B9"/>
    <w:rsid w:val="2D855015"/>
    <w:rsid w:val="2F0B5447"/>
    <w:rsid w:val="2FC11C09"/>
    <w:rsid w:val="2FEC353D"/>
    <w:rsid w:val="31CD6F8B"/>
    <w:rsid w:val="31D16A7B"/>
    <w:rsid w:val="31F40390"/>
    <w:rsid w:val="32015C68"/>
    <w:rsid w:val="32A44717"/>
    <w:rsid w:val="32F0738F"/>
    <w:rsid w:val="33920C6F"/>
    <w:rsid w:val="346C2A8B"/>
    <w:rsid w:val="35037A49"/>
    <w:rsid w:val="35B430FE"/>
    <w:rsid w:val="36A22794"/>
    <w:rsid w:val="36E93C13"/>
    <w:rsid w:val="370D7188"/>
    <w:rsid w:val="37203D70"/>
    <w:rsid w:val="38417D8A"/>
    <w:rsid w:val="384229D7"/>
    <w:rsid w:val="38896E55"/>
    <w:rsid w:val="38EE3768"/>
    <w:rsid w:val="38F452F3"/>
    <w:rsid w:val="39B27192"/>
    <w:rsid w:val="39DB3B32"/>
    <w:rsid w:val="3A72247D"/>
    <w:rsid w:val="3B313DD8"/>
    <w:rsid w:val="3C1D667F"/>
    <w:rsid w:val="3CF211DC"/>
    <w:rsid w:val="3F1A6CC0"/>
    <w:rsid w:val="40464190"/>
    <w:rsid w:val="41FD0E53"/>
    <w:rsid w:val="42122365"/>
    <w:rsid w:val="42A74A51"/>
    <w:rsid w:val="42FE4D96"/>
    <w:rsid w:val="439F7ECC"/>
    <w:rsid w:val="43DD305D"/>
    <w:rsid w:val="44911445"/>
    <w:rsid w:val="45326705"/>
    <w:rsid w:val="45523641"/>
    <w:rsid w:val="45EC57D9"/>
    <w:rsid w:val="470E79D1"/>
    <w:rsid w:val="47F46BC7"/>
    <w:rsid w:val="49634005"/>
    <w:rsid w:val="49DF11B1"/>
    <w:rsid w:val="4AC00FE3"/>
    <w:rsid w:val="4ACA3C0F"/>
    <w:rsid w:val="4C5D11DF"/>
    <w:rsid w:val="4D1A3604"/>
    <w:rsid w:val="4D7F6F33"/>
    <w:rsid w:val="4E4837C9"/>
    <w:rsid w:val="4ECC5CC5"/>
    <w:rsid w:val="50B0566A"/>
    <w:rsid w:val="50CA7228"/>
    <w:rsid w:val="53CF5879"/>
    <w:rsid w:val="53D845EF"/>
    <w:rsid w:val="544B0D60"/>
    <w:rsid w:val="5527753F"/>
    <w:rsid w:val="55E95CE9"/>
    <w:rsid w:val="58577395"/>
    <w:rsid w:val="595349E6"/>
    <w:rsid w:val="59D32AE1"/>
    <w:rsid w:val="5A3A17F8"/>
    <w:rsid w:val="5A5654C0"/>
    <w:rsid w:val="5A673AE1"/>
    <w:rsid w:val="5A9D6525"/>
    <w:rsid w:val="5ADA7E9F"/>
    <w:rsid w:val="5AFC4F25"/>
    <w:rsid w:val="5B490B80"/>
    <w:rsid w:val="5B6F3FE4"/>
    <w:rsid w:val="5B77068B"/>
    <w:rsid w:val="5BA65138"/>
    <w:rsid w:val="5C0D1BAE"/>
    <w:rsid w:val="5CD94CAE"/>
    <w:rsid w:val="5D5F6439"/>
    <w:rsid w:val="5EC92704"/>
    <w:rsid w:val="5EE27322"/>
    <w:rsid w:val="5F357D99"/>
    <w:rsid w:val="61954B1F"/>
    <w:rsid w:val="62314848"/>
    <w:rsid w:val="62E0626E"/>
    <w:rsid w:val="63A3408B"/>
    <w:rsid w:val="650773BA"/>
    <w:rsid w:val="657F5D22"/>
    <w:rsid w:val="65B61F12"/>
    <w:rsid w:val="66E2751B"/>
    <w:rsid w:val="67343515"/>
    <w:rsid w:val="691049E1"/>
    <w:rsid w:val="695452C0"/>
    <w:rsid w:val="69AA5C34"/>
    <w:rsid w:val="6BE7241B"/>
    <w:rsid w:val="6CEF6A2B"/>
    <w:rsid w:val="6D81111B"/>
    <w:rsid w:val="6DE85FD7"/>
    <w:rsid w:val="6E166FE8"/>
    <w:rsid w:val="6E1A4B6F"/>
    <w:rsid w:val="6E5354E0"/>
    <w:rsid w:val="6E612268"/>
    <w:rsid w:val="6FC7611F"/>
    <w:rsid w:val="70C858DB"/>
    <w:rsid w:val="70F829D5"/>
    <w:rsid w:val="7194581F"/>
    <w:rsid w:val="71E73B2D"/>
    <w:rsid w:val="73055389"/>
    <w:rsid w:val="736B3932"/>
    <w:rsid w:val="736C0702"/>
    <w:rsid w:val="73EC25BF"/>
    <w:rsid w:val="74DB737D"/>
    <w:rsid w:val="75BA7A8F"/>
    <w:rsid w:val="76982FF6"/>
    <w:rsid w:val="785250C1"/>
    <w:rsid w:val="787F19EA"/>
    <w:rsid w:val="78D67AA0"/>
    <w:rsid w:val="795B3AF3"/>
    <w:rsid w:val="79780B57"/>
    <w:rsid w:val="7981755F"/>
    <w:rsid w:val="7ADB75EF"/>
    <w:rsid w:val="7B570946"/>
    <w:rsid w:val="7D380D29"/>
    <w:rsid w:val="7D71005D"/>
    <w:rsid w:val="7D853AE4"/>
    <w:rsid w:val="7DF32EA2"/>
    <w:rsid w:val="7E775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uiPriority w:val="0"/>
    <w:pPr>
      <w:keepNext/>
      <w:keepLines/>
      <w:spacing w:before="340" w:after="330" w:line="578" w:lineRule="auto"/>
      <w:outlineLvl w:val="0"/>
    </w:pPr>
    <w:rPr>
      <w:b/>
      <w:bCs/>
      <w:kern w:val="44"/>
      <w:sz w:val="44"/>
      <w:szCs w:val="44"/>
    </w:rPr>
  </w:style>
  <w:style w:type="paragraph" w:styleId="4">
    <w:name w:val="heading 2"/>
    <w:basedOn w:val="1"/>
    <w:next w:val="1"/>
    <w:link w:val="21"/>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uiPriority w:val="0"/>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rFonts w:ascii="Calibri" w:hAnsi="Calibri"/>
      <w:kern w:val="0"/>
      <w:sz w:val="18"/>
      <w:szCs w:val="18"/>
    </w:rPr>
  </w:style>
  <w:style w:type="paragraph" w:styleId="6">
    <w:name w:val="Body Text"/>
    <w:basedOn w:val="1"/>
    <w:qFormat/>
    <w:uiPriority w:val="0"/>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hAnsi="仿宋_GB2312"/>
      <w:szCs w:val="32"/>
    </w:rPr>
  </w:style>
  <w:style w:type="paragraph" w:styleId="8">
    <w:name w:val="Body Text First Indent 2"/>
    <w:basedOn w:val="7"/>
    <w:next w:val="9"/>
    <w:qFormat/>
    <w:uiPriority w:val="0"/>
    <w:pPr>
      <w:ind w:firstLine="200" w:firstLineChars="200"/>
    </w:pPr>
  </w:style>
  <w:style w:type="paragraph" w:styleId="9">
    <w:name w:val="Plain Text"/>
    <w:basedOn w:val="1"/>
    <w:unhideWhenUsed/>
    <w:qFormat/>
    <w:uiPriority w:val="99"/>
    <w:rPr>
      <w:rFonts w:ascii="宋体" w:hAnsi="Courier New"/>
    </w:r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8">
    <w:name w:val="Strong"/>
    <w:basedOn w:val="17"/>
    <w:uiPriority w:val="0"/>
    <w:rPr>
      <w:b/>
    </w:rPr>
  </w:style>
  <w:style w:type="character" w:styleId="19">
    <w:name w:val="Hyperlink"/>
    <w:basedOn w:val="17"/>
    <w:uiPriority w:val="0"/>
    <w:rPr>
      <w:color w:val="0000FF"/>
      <w:u w:val="single"/>
    </w:rPr>
  </w:style>
  <w:style w:type="character" w:customStyle="1" w:styleId="20">
    <w:name w:val="标题 1 Char"/>
    <w:basedOn w:val="17"/>
    <w:link w:val="3"/>
    <w:uiPriority w:val="0"/>
    <w:rPr>
      <w:rFonts w:ascii="Times New Roman" w:hAnsi="Times New Roman" w:eastAsia="宋体" w:cs="Times New Roman"/>
      <w:b/>
      <w:bCs/>
      <w:kern w:val="44"/>
      <w:sz w:val="44"/>
      <w:szCs w:val="44"/>
      <w:lang w:val="en-US" w:eastAsia="zh-CN" w:bidi="ar-SA"/>
    </w:rPr>
  </w:style>
  <w:style w:type="character" w:customStyle="1" w:styleId="21">
    <w:name w:val="标题 2 Char"/>
    <w:basedOn w:val="17"/>
    <w:link w:val="4"/>
    <w:uiPriority w:val="0"/>
    <w:rPr>
      <w:rFonts w:ascii="Cambria" w:hAnsi="Cambria" w:eastAsia="宋体" w:cs="Times New Roman"/>
      <w:b/>
      <w:bCs/>
      <w:kern w:val="2"/>
      <w:sz w:val="32"/>
      <w:szCs w:val="32"/>
      <w:lang w:val="en-US" w:eastAsia="zh-CN" w:bidi="ar-SA"/>
    </w:rPr>
  </w:style>
  <w:style w:type="paragraph" w:customStyle="1" w:styleId="22">
    <w:name w:val="标题 5（有编号）（绿盟科技）"/>
    <w:next w:val="1"/>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7"/>
    <w:uiPriority w:val="0"/>
    <w:rPr>
      <w:rFonts w:ascii="Times New Roman" w:hAnsi="Times New Roman"/>
      <w:sz w:val="18"/>
      <w:szCs w:val="18"/>
    </w:rPr>
  </w:style>
  <w:style w:type="character" w:customStyle="1" w:styleId="24">
    <w:name w:val="Footer Char"/>
    <w:basedOn w:val="17"/>
    <w:uiPriority w:val="0"/>
    <w:rPr>
      <w:rFonts w:ascii="Times New Roman" w:hAnsi="Times New Roman"/>
      <w:sz w:val="18"/>
      <w:szCs w:val="18"/>
    </w:rPr>
  </w:style>
  <w:style w:type="character" w:customStyle="1" w:styleId="25">
    <w:name w:val="Body Text Char"/>
    <w:basedOn w:val="17"/>
    <w:uiPriority w:val="0"/>
    <w:rPr>
      <w:rFonts w:ascii="Times New Roman" w:hAnsi="Times New Roman"/>
      <w:szCs w:val="24"/>
    </w:rPr>
  </w:style>
  <w:style w:type="paragraph" w:customStyle="1" w:styleId="26">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uiPriority w:val="0"/>
    <w:pPr>
      <w:ind w:firstLine="200" w:firstLineChars="200"/>
    </w:pPr>
  </w:style>
  <w:style w:type="paragraph" w:customStyle="1" w:styleId="28">
    <w:name w:val="TOC 标题1"/>
    <w:basedOn w:val="3"/>
    <w:next w:val="1"/>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TOC 标题2"/>
    <w:basedOn w:val="3"/>
    <w:next w:val="1"/>
    <w:uiPriority w:val="0"/>
    <w:pPr>
      <w:widowControl/>
      <w:spacing w:before="480" w:after="0" w:line="276" w:lineRule="auto"/>
      <w:jc w:val="left"/>
      <w:outlineLvl w:val="9"/>
    </w:pPr>
    <w:rPr>
      <w:rFonts w:ascii="Cambria" w:hAnsi="Cambria"/>
      <w:color w:val="376092"/>
      <w:kern w:val="0"/>
      <w:sz w:val="28"/>
      <w:szCs w:val="28"/>
    </w:rPr>
  </w:style>
  <w:style w:type="paragraph" w:customStyle="1" w:styleId="30">
    <w:name w:val="四号正文"/>
    <w:basedOn w:val="1"/>
    <w:uiPriority w:val="0"/>
    <w:pPr>
      <w:spacing w:line="360" w:lineRule="auto"/>
    </w:pPr>
    <w:rPr>
      <w:rFonts w:ascii="??" w:hAnsi="??"/>
      <w:color w:val="000000"/>
      <w:kern w:val="0"/>
      <w:sz w:val="28"/>
      <w:szCs w:val="21"/>
      <w:lang w:val="zh-CN"/>
    </w:rPr>
  </w:style>
  <w:style w:type="paragraph" w:customStyle="1" w:styleId="31">
    <w:name w:val="WPSOffice手动目录 1"/>
    <w:uiPriority w:val="0"/>
    <w:pPr>
      <w:ind w:leftChars="0"/>
    </w:pPr>
    <w:rPr>
      <w:sz w:val="20"/>
      <w:szCs w:val="20"/>
    </w:rPr>
  </w:style>
  <w:style w:type="paragraph" w:customStyle="1" w:styleId="32">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收入支出上下年对比变动图</a:t>
            </a:r>
          </a:p>
        </c:rich>
      </c:tx>
      <c:layout/>
      <c:overlay val="0"/>
      <c:spPr>
        <a:noFill/>
        <a:ln>
          <a:noFill/>
        </a:ln>
        <a:effectLst/>
      </c:spPr>
    </c:title>
    <c:autoTitleDeleted val="0"/>
    <c:plotArea>
      <c:layout>
        <c:manualLayout>
          <c:layoutTarget val="inner"/>
          <c:xMode val="edge"/>
          <c:yMode val="edge"/>
          <c:x val="0.044575"/>
          <c:y val="0.124333333333333"/>
          <c:w val="0.927925"/>
          <c:h val="0.716566666666667"/>
        </c:manualLayout>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970.1</c:v>
                </c:pt>
                <c:pt idx="1">
                  <c:v>970.25</c:v>
                </c:pt>
              </c:numCache>
            </c:numRef>
          </c:val>
        </c:ser>
        <c:ser>
          <c:idx val="1"/>
          <c:order val="1"/>
          <c:tx>
            <c:strRef>
              <c:f>Sheet1!$C$1</c:f>
              <c:strCache>
                <c:ptCount val="1"/>
                <c:pt idx="0">
                  <c:v>2022年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1012.77</c:v>
                </c:pt>
                <c:pt idx="1">
                  <c:v>1008.94</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54894390"/>
        <c:axId val="793065595"/>
      </c:barChart>
      <c:catAx>
        <c:axId val="15489439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3065595"/>
        <c:crosses val="autoZero"/>
        <c:auto val="1"/>
        <c:lblAlgn val="ctr"/>
        <c:lblOffset val="100"/>
        <c:noMultiLvlLbl val="0"/>
      </c:catAx>
      <c:valAx>
        <c:axId val="7930655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489439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收入构成图</a:t>
            </a:r>
          </a:p>
        </c:rich>
      </c:tx>
      <c:layout/>
      <c:overlay val="0"/>
      <c:spPr>
        <a:noFill/>
        <a:ln>
          <a:noFill/>
        </a:ln>
        <a:effectLst/>
      </c:spPr>
    </c:title>
    <c:autoTitleDeleted val="0"/>
    <c:plotArea>
      <c:layout/>
      <c:pieChart>
        <c:varyColors val="1"/>
        <c:ser>
          <c:idx val="0"/>
          <c:order val="0"/>
          <c:tx>
            <c:strRef>
              <c:f>Sheet1!$B$1</c:f>
              <c:strCache>
                <c:ptCount val="1"/>
                <c:pt idx="0">
                  <c:v>收入组成情况图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一般公共预算财政拨款收入</c:v>
                </c:pt>
                <c:pt idx="1">
                  <c:v>其他收入</c:v>
                </c:pt>
              </c:strCache>
            </c:strRef>
          </c:cat>
          <c:val>
            <c:numRef>
              <c:f>Sheet1!$B$2:$B$3</c:f>
              <c:numCache>
                <c:formatCode>General</c:formatCode>
                <c:ptCount val="2"/>
                <c:pt idx="0">
                  <c:v>1008.82</c:v>
                </c:pt>
                <c:pt idx="1">
                  <c:v>3.95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909375"/>
          <c:y val="0.1455"/>
          <c:w val="0.570625"/>
          <c:h val="0.760833333333333"/>
        </c:manualLayout>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881.41</c:v>
                </c:pt>
                <c:pt idx="1">
                  <c:v>127.53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财政拨款收支上下年变动图</a:t>
            </a:r>
          </a:p>
        </c:rich>
      </c:tx>
      <c:layout/>
      <c:overlay val="0"/>
      <c:spPr>
        <a:noFill/>
        <a:ln>
          <a:noFill/>
        </a:ln>
        <a:effectLst/>
      </c:spPr>
    </c:title>
    <c:autoTitleDeleted val="0"/>
    <c:plotArea>
      <c:layout>
        <c:manualLayout>
          <c:layoutTarget val="inner"/>
          <c:xMode val="edge"/>
          <c:yMode val="edge"/>
          <c:x val="0.028575"/>
          <c:y val="0.121666666666667"/>
          <c:w val="0.927925"/>
          <c:h val="0.716566666666667"/>
        </c:manualLayout>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Sheet1!$A$2:$A$3</c:f>
              <c:strCache>
                <c:ptCount val="2"/>
                <c:pt idx="0">
                  <c:v>财政拨款收入</c:v>
                </c:pt>
                <c:pt idx="1">
                  <c:v>财政拨款支出</c:v>
                </c:pt>
              </c:strCache>
            </c:strRef>
          </c:cat>
          <c:val>
            <c:numRef>
              <c:f>Sheet1!$B$2:$B$3</c:f>
              <c:numCache>
                <c:formatCode>General</c:formatCode>
                <c:ptCount val="2"/>
                <c:pt idx="0">
                  <c:v>966.44</c:v>
                </c:pt>
                <c:pt idx="1">
                  <c:v>966.44</c:v>
                </c:pt>
              </c:numCache>
            </c:numRef>
          </c:val>
        </c:ser>
        <c:ser>
          <c:idx val="1"/>
          <c:order val="1"/>
          <c:tx>
            <c:strRef>
              <c:f>Sheet1!$C$1</c:f>
              <c:strCache>
                <c:ptCount val="1"/>
                <c:pt idx="0">
                  <c:v>2022年</c:v>
                </c:pt>
              </c:strCache>
            </c:strRef>
          </c:tx>
          <c:spPr>
            <a:solidFill>
              <a:schemeClr val="accent2"/>
            </a:solidFill>
            <a:ln>
              <a:noFill/>
            </a:ln>
            <a:effectLst/>
          </c:spPr>
          <c:invertIfNegative val="0"/>
          <c:dLbls>
            <c:delete val="1"/>
          </c:dLbls>
          <c:cat>
            <c:strRef>
              <c:f>Sheet1!$A$2:$A$3</c:f>
              <c:strCache>
                <c:ptCount val="2"/>
                <c:pt idx="0">
                  <c:v>财政拨款收入</c:v>
                </c:pt>
                <c:pt idx="1">
                  <c:v>财政拨款支出</c:v>
                </c:pt>
              </c:strCache>
            </c:strRef>
          </c:cat>
          <c:val>
            <c:numRef>
              <c:f>Sheet1!$C$2:$C$3</c:f>
              <c:numCache>
                <c:formatCode>General</c:formatCode>
                <c:ptCount val="2"/>
                <c:pt idx="0">
                  <c:v>1008.82</c:v>
                </c:pt>
                <c:pt idx="1">
                  <c:v>1008.82</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财政拨款收入</c:v>
                </c:pt>
                <c:pt idx="1">
                  <c:v>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573380026"/>
        <c:axId val="60706055"/>
      </c:barChart>
      <c:catAx>
        <c:axId val="5733800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706055"/>
        <c:crosses val="autoZero"/>
        <c:auto val="1"/>
        <c:lblAlgn val="ctr"/>
        <c:lblOffset val="100"/>
        <c:noMultiLvlLbl val="0"/>
      </c:catAx>
      <c:valAx>
        <c:axId val="60706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3380026"/>
        <c:crosses val="autoZero"/>
        <c:crossBetween val="between"/>
      </c:valAx>
      <c:spPr>
        <a:noFill/>
        <a:ln>
          <a:noFill/>
        </a:ln>
        <a:effectLst/>
      </c:spPr>
    </c:plotArea>
    <c:legend>
      <c:legendPos val="b"/>
      <c:legendEntry>
        <c:idx val="2"/>
        <c:delete val="1"/>
      </c:legendEntry>
      <c:layout>
        <c:manualLayout>
          <c:xMode val="edge"/>
          <c:yMode val="edge"/>
          <c:x val="0.3541875"/>
          <c:y val="0.92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一般公共预算财政拨款支出上下年变动图</a:t>
            </a:r>
          </a:p>
        </c:rich>
      </c:tx>
      <c:layout/>
      <c:overlay val="0"/>
      <c:spPr>
        <a:noFill/>
        <a:ln>
          <a:noFill/>
        </a:ln>
        <a:effectLst/>
      </c:spPr>
    </c:title>
    <c:autoTitleDeleted val="0"/>
    <c:plotArea>
      <c:layout>
        <c:manualLayout>
          <c:layoutTarget val="inner"/>
          <c:xMode val="edge"/>
          <c:yMode val="edge"/>
          <c:x val="0.028575"/>
          <c:y val="0.121666666666667"/>
          <c:w val="0.927925"/>
          <c:h val="0.716566666666667"/>
        </c:manualLayout>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c:f>
              <c:strCache>
                <c:ptCount val="1"/>
                <c:pt idx="0">
                  <c:v>一般公共预算财政拨款支出</c:v>
                </c:pt>
              </c:strCache>
            </c:strRef>
          </c:cat>
          <c:val>
            <c:numRef>
              <c:f>Sheet1!$B$2</c:f>
              <c:numCache>
                <c:formatCode>General</c:formatCode>
                <c:ptCount val="1"/>
                <c:pt idx="0">
                  <c:v>966.44</c:v>
                </c:pt>
              </c:numCache>
            </c:numRef>
          </c:val>
        </c:ser>
        <c:ser>
          <c:idx val="1"/>
          <c:order val="1"/>
          <c:tx>
            <c:strRef>
              <c:f>Sheet1!$C$1</c:f>
              <c:strCache>
                <c:ptCount val="1"/>
                <c:pt idx="0">
                  <c:v>2022年</c:v>
                </c:pt>
              </c:strCache>
            </c:strRef>
          </c:tx>
          <c:spPr>
            <a:solidFill>
              <a:schemeClr val="accent2"/>
            </a:solidFill>
            <a:ln>
              <a:noFill/>
            </a:ln>
            <a:effectLst/>
          </c:spPr>
          <c:invertIfNegative val="0"/>
          <c:dLbls>
            <c:delete val="1"/>
          </c:dLbls>
          <c:cat>
            <c:strRef>
              <c:f>Sheet1!$A$2</c:f>
              <c:strCache>
                <c:ptCount val="1"/>
                <c:pt idx="0">
                  <c:v>一般公共预算财政拨款支出</c:v>
                </c:pt>
              </c:strCache>
            </c:strRef>
          </c:cat>
          <c:val>
            <c:numRef>
              <c:f>Sheet1!$C$2</c:f>
              <c:numCache>
                <c:formatCode>General</c:formatCode>
                <c:ptCount val="1"/>
                <c:pt idx="0">
                  <c:v>1008.82</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573380026"/>
        <c:axId val="60706055"/>
      </c:barChart>
      <c:catAx>
        <c:axId val="5733800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706055"/>
        <c:crosses val="autoZero"/>
        <c:auto val="1"/>
        <c:lblAlgn val="ctr"/>
        <c:lblOffset val="100"/>
        <c:noMultiLvlLbl val="0"/>
      </c:catAx>
      <c:valAx>
        <c:axId val="60706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3380026"/>
        <c:crosses val="autoZero"/>
        <c:crossBetween val="between"/>
      </c:valAx>
      <c:spPr>
        <a:noFill/>
        <a:ln>
          <a:noFill/>
        </a:ln>
        <a:effectLst/>
      </c:spPr>
    </c:plotArea>
    <c:legend>
      <c:legendPos val="b"/>
      <c:legendEntry>
        <c:idx val="2"/>
        <c:delete val="1"/>
      </c:legendEntry>
      <c:layout>
        <c:manualLayout>
          <c:xMode val="edge"/>
          <c:yMode val="edge"/>
          <c:x val="0.3541875"/>
          <c:y val="0.92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一般公共预算财政拨款支出构成图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820.92</c:v>
                </c:pt>
                <c:pt idx="1">
                  <c:v>93.93</c:v>
                </c:pt>
                <c:pt idx="2">
                  <c:v>43.1</c:v>
                </c:pt>
                <c:pt idx="3">
                  <c:v>50.87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财政拨款“三公经费”支出构成图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c:v>
                </c:pt>
                <c:pt idx="1">
                  <c:v>公务用车购置及运行维护费支出</c:v>
                </c:pt>
                <c:pt idx="2">
                  <c:v>公务接待</c:v>
                </c:pt>
              </c:strCache>
            </c:strRef>
          </c:cat>
          <c:val>
            <c:numRef>
              <c:f>Sheet1!$B$2:$B$4</c:f>
              <c:numCache>
                <c:formatCode>General</c:formatCode>
                <c:ptCount val="3"/>
                <c:pt idx="0">
                  <c:v>0</c:v>
                </c:pt>
                <c:pt idx="1">
                  <c:v>40.23</c:v>
                </c:pt>
                <c:pt idx="2">
                  <c:v>1.37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45</Pages>
  <Words>18731</Words>
  <Characters>20387</Characters>
  <Lines>58</Lines>
  <Paragraphs>16</Paragraphs>
  <TotalTime>5</TotalTime>
  <ScaleCrop>false</ScaleCrop>
  <LinksUpToDate>false</LinksUpToDate>
  <CharactersWithSpaces>22741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2023-10-19T09:34:24Z</cp:lastPrinted>
  <dcterms:modified xsi:type="dcterms:W3CDTF">2023-10-19T09:35:13Z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EEBB459259A34692A3BE4F4236310D61</vt:lpwstr>
  </property>
</Properties>
</file>