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红原县人大常委会办公室</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3</w:t>
      </w:r>
      <w:r>
        <w:rPr>
          <w:rFonts w:hint="eastAsia" w:ascii="方正小标宋简体" w:hAnsi="方正小标宋简体" w:eastAsia="方正小标宋简体" w:cs="方正小标宋简体"/>
          <w:b w:val="0"/>
          <w:bCs/>
          <w:sz w:val="44"/>
          <w:szCs w:val="44"/>
        </w:rPr>
        <w:t>年部门预算编制的说明</w:t>
      </w:r>
    </w:p>
    <w:p>
      <w:pPr>
        <w:pStyle w:val="5"/>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7"/>
        <w:keepNext w:val="0"/>
        <w:keepLines w:val="0"/>
        <w:widowControl/>
        <w:suppressLineNumbers w:val="0"/>
        <w:ind w:left="0" w:right="75"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rPr>
        <w:t>负责做好本级人民代表大会、常委会会议、主任会议、党组会议以及其他有关会议各种文件的起草、</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"https://www.baidu.com/s?wd=%E4%BC%9A%E8%AE%AE%E8%AE%B0%E5%BD%95&amp;tn=SE_PcZhidaonwhc_ngpagmjz&amp;rsv_dl=gh_pc_zhidao"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会议记录</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和会务工作。对会议决定的事项负责办理落实，并及时报告反馈。</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2.</w:t>
      </w:r>
      <w:r>
        <w:rPr>
          <w:rFonts w:hint="eastAsia" w:ascii="仿宋_GB2312" w:hAnsi="仿宋_GB2312" w:eastAsia="仿宋_GB2312" w:cs="仿宋_GB2312"/>
          <w:sz w:val="32"/>
          <w:szCs w:val="32"/>
          <w:shd w:val="clear" w:color="auto" w:fill="FFFFFF"/>
        </w:rPr>
        <w:t>负责做好本级</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"https://www.baidu.com/s?wd=%E4%BA%BA%E5%A4%A7%E5%B8%B8%E5%A7%94%E4%BC%9A&amp;tn=SE_PcZhidaonwhc_ngpagmjz&amp;rsv_dl=gh_pc_zhidao"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人大常委会</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日常文件材料的起草以及</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"https://www.baidu.com/s?wd=%E3%80%8A%E4%BC%9A%E5%88%8A%E3%80%8B&amp;tn=SE_PcZhidaonwhc_ngpagmjz&amp;rsv_dl=gh_pc_zhidao"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《会刊》</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"https://www.baidu.com/s?wd=%E3%80%8A%E6%B1%87%E7%BC%96%E3%80%8B&amp;tn=SE_PcZhidaonwhc_ngpagmjz&amp;rsv_dl=gh_pc_zhidao"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《汇编》</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的编辑、校对、分发工作。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3.</w:t>
      </w:r>
      <w:r>
        <w:rPr>
          <w:rFonts w:hint="eastAsia" w:ascii="仿宋_GB2312" w:hAnsi="仿宋_GB2312" w:eastAsia="仿宋_GB2312" w:cs="仿宋_GB2312"/>
          <w:sz w:val="32"/>
          <w:szCs w:val="32"/>
          <w:shd w:val="clear" w:color="auto" w:fill="FFFFFF"/>
        </w:rPr>
        <w:t>负责做好上一级人代会期间本级代表团的服务工作；负责做好兄弟人大来参观、交流的</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"https://www.baidu.com/s?wd=%E6%8E%A5%E5%BE%85%E5%B7%A5%E4%BD%9C&amp;tn=SE_PcZhidaonwhc_ngpagmjz&amp;rsv_dl=gh_pc_zhidao"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接待工作</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，以及上级人大代表来我辖区开展视察、检查、调查活动的接待和服务工作。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4.</w:t>
      </w:r>
      <w:r>
        <w:rPr>
          <w:rFonts w:hint="eastAsia" w:ascii="仿宋_GB2312" w:hAnsi="仿宋_GB2312" w:eastAsia="仿宋_GB2312" w:cs="仿宋_GB2312"/>
          <w:sz w:val="32"/>
          <w:szCs w:val="32"/>
          <w:shd w:val="clear" w:color="auto" w:fill="FFFFFF"/>
        </w:rPr>
        <w:t>负责做好本级人大机关的行政、财务、财产管理和日常事务工作，做好</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"https://www.baidu.com/s?wd=%E7%A6%BB%E9%80%80%E4%BC%91%E4%BA%BA%E5%91%98&amp;tn=SE_PcZhidaonwhc_ngpagmjz&amp;rsv_dl=gh_pc_zhidao"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离退休人员</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的服务工作．</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5.</w:t>
      </w:r>
      <w:r>
        <w:rPr>
          <w:rFonts w:hint="eastAsia" w:ascii="仿宋_GB2312" w:hAnsi="仿宋_GB2312" w:eastAsia="仿宋_GB2312" w:cs="仿宋_GB2312"/>
          <w:sz w:val="32"/>
          <w:szCs w:val="32"/>
          <w:shd w:val="clear" w:color="auto" w:fill="FFFFFF"/>
        </w:rPr>
        <w:t>负责本级人大常委会印鉴管理和机关的文电、机要、保密、档案、文印等工作。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lang w:val="en-US" w:eastAsia="zh-CN"/>
        </w:rPr>
        <w:t xml:space="preserve"> </w:t>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6.</w:t>
      </w:r>
      <w:r>
        <w:rPr>
          <w:rFonts w:hint="eastAsia" w:ascii="仿宋_GB2312" w:hAnsi="仿宋_GB2312" w:eastAsia="仿宋_GB2312" w:cs="仿宋_GB2312"/>
          <w:sz w:val="32"/>
          <w:szCs w:val="32"/>
          <w:shd w:val="clear" w:color="auto" w:fill="FFFFFF"/>
        </w:rPr>
        <w:t>负责做好本级人大系统的通讯报道工作。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7.</w:t>
      </w:r>
      <w:r>
        <w:rPr>
          <w:rFonts w:hint="eastAsia" w:ascii="仿宋_GB2312" w:hAnsi="仿宋_GB2312" w:eastAsia="仿宋_GB2312" w:cs="仿宋_GB2312"/>
          <w:sz w:val="32"/>
          <w:szCs w:val="32"/>
          <w:shd w:val="clear" w:color="auto" w:fill="FFFFFF"/>
        </w:rPr>
        <w:t>负责协调人大常委会各工作机构之间的工作关系，以及与其他部门之间的关系，牵头或组织机关内部业务学习和政治学习；负责搞好与“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”办公室的横向联系，积极做好区人大常委会与“</w:t>
      </w:r>
      <w:r>
        <w:rPr>
          <w:rFonts w:hint="eastAsia" w:ascii="仿宋_GB2312" w:hAnsi="仿宋_GB2312" w:eastAsia="仿宋_GB2312" w:cs="仿宋_GB2312"/>
          <w:sz w:val="32"/>
          <w:szCs w:val="32"/>
          <w:shd w:val="clear" w:color="auto" w:fill="FFFFFF"/>
        </w:rPr>
        <w:fldChar w:fldCharType="begin"/>
      </w:r>
      <w:r>
        <w:rPr>
          <w:rFonts w:hint="eastAsia" w:ascii="仿宋_GB2312" w:hAnsi="仿宋_GB2312" w:eastAsia="仿宋_GB2312" w:cs="仿宋_GB2312"/>
          <w:sz w:val="32"/>
          <w:szCs w:val="32"/>
          <w:shd w:val="clear" w:color="auto" w:fill="FFFFFF"/>
        </w:rPr>
        <w:instrText xml:space="preserve"> HYPERLINK "https://www.baidu.com/s?wd=%E4%B8%80%E5%BA%9C%E4%B8%A4%E9%99%A2&amp;tn=SE_PcZhidaonwhc_ngpagmjz&amp;rsv_dl=gh_pc_zhidao" \t "https://zhidao.baidu.com/question/_blank" </w:instrText>
      </w:r>
      <w:r>
        <w:rPr>
          <w:rFonts w:hint="eastAsia" w:ascii="仿宋_GB2312" w:hAnsi="仿宋_GB2312" w:eastAsia="仿宋_GB2312" w:cs="仿宋_GB2312"/>
          <w:sz w:val="32"/>
          <w:szCs w:val="32"/>
          <w:shd w:val="clear" w:color="auto" w:fill="FFFFFF"/>
        </w:rPr>
        <w:fldChar w:fldCharType="separate"/>
      </w:r>
      <w:r>
        <w:rPr>
          <w:rStyle w:val="12"/>
          <w:rFonts w:hint="eastAsia" w:ascii="仿宋_GB2312" w:hAnsi="仿宋_GB2312" w:eastAsia="仿宋_GB2312" w:cs="仿宋_GB2312"/>
          <w:color w:val="auto"/>
          <w:sz w:val="32"/>
          <w:szCs w:val="32"/>
          <w:u w:val="none"/>
          <w:shd w:val="clear" w:color="auto" w:fill="FFFFFF"/>
        </w:rPr>
        <w:t>一府两院</w:t>
      </w:r>
      <w:r>
        <w:rPr>
          <w:rFonts w:hint="eastAsia" w:ascii="仿宋_GB2312" w:hAnsi="仿宋_GB2312" w:eastAsia="仿宋_GB2312" w:cs="仿宋_GB2312"/>
          <w:sz w:val="32"/>
          <w:szCs w:val="32"/>
          <w:shd w:val="clear" w:color="auto" w:fill="FFFFFF"/>
        </w:rPr>
        <w:fldChar w:fldCharType="end"/>
      </w:r>
      <w:r>
        <w:rPr>
          <w:rFonts w:hint="eastAsia" w:ascii="仿宋_GB2312" w:hAnsi="仿宋_GB2312" w:eastAsia="仿宋_GB2312" w:cs="仿宋_GB2312"/>
          <w:sz w:val="32"/>
          <w:szCs w:val="32"/>
          <w:shd w:val="clear" w:color="auto" w:fill="FFFFFF"/>
        </w:rPr>
        <w:t>”联席会议的准备工作和有关事宜；负责搞好同上一级人大常委会各工作委(室)及下级人大及常委员的工作联系。</w:t>
      </w:r>
    </w:p>
    <w:p>
      <w:pPr>
        <w:snapToGrid w:val="0"/>
        <w:spacing w:line="56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8.</w:t>
      </w:r>
      <w:r>
        <w:rPr>
          <w:rFonts w:hint="eastAsia" w:ascii="仿宋_GB2312" w:hAnsi="仿宋_GB2312" w:eastAsia="仿宋_GB2312" w:cs="仿宋_GB2312"/>
          <w:sz w:val="32"/>
          <w:szCs w:val="32"/>
          <w:shd w:val="clear" w:color="auto" w:fill="FFFFFF"/>
        </w:rPr>
        <w:t>负责做好情况的上呈下达，为领导决策及时提供信息，当好领导的参谋助手。</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9.</w:t>
      </w:r>
      <w:r>
        <w:rPr>
          <w:rFonts w:hint="eastAsia" w:ascii="仿宋_GB2312" w:hAnsi="仿宋_GB2312" w:eastAsia="仿宋_GB2312" w:cs="仿宋_GB2312"/>
          <w:sz w:val="32"/>
          <w:szCs w:val="32"/>
          <w:shd w:val="clear" w:color="auto" w:fill="FFFFFF"/>
        </w:rPr>
        <w:t>协助做好人大代表和人民群众的来信来访和办理工作，做好人大常委会组织的代表活动的后勤服务工作。</w:t>
      </w:r>
      <w:r>
        <w:rPr>
          <w:rFonts w:hint="eastAsia" w:ascii="仿宋_GB2312" w:hAnsi="仿宋_GB2312" w:eastAsia="仿宋_GB2312" w:cs="仿宋_GB2312"/>
          <w:sz w:val="32"/>
          <w:szCs w:val="32"/>
          <w:shd w:val="clear" w:color="auto" w:fill="FFFFFF"/>
        </w:rPr>
        <w:br w:type="textWrapping"/>
      </w:r>
      <w:r>
        <w:rPr>
          <w:rFonts w:hint="eastAsia" w:ascii="仿宋_GB2312" w:hAnsi="仿宋_GB2312" w:eastAsia="仿宋_GB2312" w:cs="仿宋_GB2312"/>
          <w:sz w:val="32"/>
          <w:szCs w:val="32"/>
          <w:shd w:val="clear" w:color="auto" w:fill="FFFFFF"/>
        </w:rPr>
        <w:t>　　</w:t>
      </w:r>
      <w:r>
        <w:rPr>
          <w:rFonts w:hint="eastAsia" w:ascii="仿宋_GB2312" w:hAnsi="仿宋_GB2312" w:eastAsia="仿宋_GB2312" w:cs="仿宋_GB2312"/>
          <w:sz w:val="32"/>
          <w:szCs w:val="32"/>
          <w:shd w:val="clear" w:color="auto" w:fill="FFFFFF"/>
          <w:lang w:val="en-US" w:eastAsia="zh-CN"/>
        </w:rPr>
        <w:t>10.</w:t>
      </w:r>
      <w:r>
        <w:rPr>
          <w:rFonts w:hint="eastAsia" w:ascii="仿宋_GB2312" w:hAnsi="仿宋_GB2312" w:eastAsia="仿宋_GB2312" w:cs="仿宋_GB2312"/>
          <w:sz w:val="32"/>
          <w:szCs w:val="32"/>
          <w:shd w:val="clear" w:color="auto" w:fill="FFFFFF"/>
        </w:rPr>
        <w:t>负责建立健全各项规章制度，加强办公室自身建设，提高全办人员的政治素质和业务素质，提高办公室的整体素质和办事效率。</w:t>
      </w:r>
    </w:p>
    <w:p>
      <w:pPr>
        <w:snapToGrid w:val="0"/>
        <w:spacing w:line="560" w:lineRule="exact"/>
        <w:ind w:firstLine="640" w:firstLineChars="200"/>
        <w:rPr>
          <w:rFonts w:hint="eastAsia" w:ascii="楷体_GB2312" w:hAnsi="楷体_GB2312" w:eastAsia="楷体_GB2312" w:cs="楷体_GB2312"/>
          <w:b/>
          <w:bCs w:val="0"/>
          <w:sz w:val="32"/>
          <w:szCs w:val="32"/>
          <w:lang w:eastAsia="zh-CN"/>
        </w:rPr>
      </w:pPr>
      <w:r>
        <w:rPr>
          <w:rFonts w:hint="eastAsia" w:ascii="仿宋_GB2312" w:hAnsi="仿宋_GB2312" w:eastAsia="仿宋_GB2312" w:cs="仿宋_GB2312"/>
          <w:sz w:val="32"/>
          <w:szCs w:val="32"/>
          <w:shd w:val="clear" w:color="auto" w:fill="FFFFFF"/>
          <w:lang w:val="en-US" w:eastAsia="zh-CN"/>
        </w:rPr>
        <w:t>11.</w:t>
      </w:r>
      <w:r>
        <w:rPr>
          <w:rFonts w:hint="eastAsia" w:ascii="仿宋_GB2312" w:hAnsi="仿宋_GB2312" w:eastAsia="仿宋_GB2312" w:cs="仿宋_GB2312"/>
          <w:sz w:val="32"/>
          <w:szCs w:val="32"/>
          <w:shd w:val="clear" w:color="auto" w:fill="FFFFFF"/>
        </w:rPr>
        <w:t>负责办理常委会、主任会议及常委会领导部署、安排的各项工作</w:t>
      </w:r>
      <w:r>
        <w:rPr>
          <w:rFonts w:hint="eastAsia" w:ascii="仿宋_GB2312" w:hAnsi="仿宋_GB2312" w:eastAsia="仿宋_GB2312" w:cs="仿宋_GB2312"/>
          <w:sz w:val="32"/>
          <w:szCs w:val="32"/>
          <w:shd w:val="clear" w:color="auto" w:fill="FFFFFF"/>
          <w:lang w:val="en-US" w:eastAsia="zh-CN"/>
        </w:rPr>
        <w:t>.</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3</w:t>
      </w:r>
      <w:r>
        <w:rPr>
          <w:rFonts w:hint="eastAsia" w:ascii="楷体_GB2312" w:hAnsi="楷体_GB2312" w:eastAsia="楷体_GB2312" w:cs="楷体_GB2312"/>
          <w:b/>
          <w:bCs w:val="0"/>
          <w:sz w:val="32"/>
          <w:szCs w:val="32"/>
          <w:lang w:eastAsia="zh-CN"/>
        </w:rPr>
        <w:t>年重点工作任务</w:t>
      </w:r>
    </w:p>
    <w:p>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lang w:eastAsia="zh-CN"/>
        </w:rPr>
        <w:t>202</w:t>
      </w:r>
      <w:r>
        <w:rPr>
          <w:rFonts w:hint="eastAsia"/>
          <w:bCs/>
          <w:sz w:val="32"/>
          <w:szCs w:val="32"/>
          <w:lang w:val="en-US" w:eastAsia="zh-CN"/>
        </w:rPr>
        <w:t>3</w:t>
      </w:r>
      <w:r>
        <w:rPr>
          <w:rFonts w:hint="eastAsia"/>
          <w:bCs/>
          <w:sz w:val="32"/>
          <w:szCs w:val="32"/>
        </w:rPr>
        <w:t>年重点工作任务介绍</w:t>
      </w:r>
    </w:p>
    <w:p>
      <w:pPr>
        <w:keepNext w:val="0"/>
        <w:keepLines w:val="0"/>
        <w:pageBreakBefore w:val="0"/>
        <w:widowControl w:val="0"/>
        <w:numPr>
          <w:ilvl w:val="0"/>
          <w:numId w:val="0"/>
        </w:numPr>
        <w:pBdr>
          <w:bottom w:val="single" w:color="FFFFFF" w:sz="4" w:space="29"/>
        </w:pBdr>
        <w:kinsoku/>
        <w:wordWrap/>
        <w:overflowPunct w:val="0"/>
        <w:topLinePunct/>
        <w:autoSpaceDE w:val="0"/>
        <w:autoSpaceDN w:val="0"/>
        <w:bidi w:val="0"/>
        <w:adjustRightInd w:val="0"/>
        <w:snapToGrid w:val="0"/>
        <w:spacing w:after="0" w:line="560" w:lineRule="exact"/>
        <w:ind w:left="0" w:leftChars="0" w:firstLine="643" w:firstLineChars="200"/>
        <w:jc w:val="both"/>
        <w:textAlignment w:val="auto"/>
        <w:outlineLvl w:val="9"/>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pPr>
      <w:r>
        <w:rPr>
          <w:rFonts w:hint="eastAsia" w:ascii="楷体_GB2312" w:hAnsi="楷体_GB2312" w:eastAsia="楷体_GB2312" w:cs="楷体_GB2312"/>
          <w:b/>
          <w:bCs/>
          <w:i w:val="0"/>
          <w:caps w:val="0"/>
          <w:color w:val="000000" w:themeColor="text1"/>
          <w:spacing w:val="0"/>
          <w:sz w:val="32"/>
          <w:szCs w:val="32"/>
          <w:shd w:val="clear" w:color="auto" w:fill="FFFFFF"/>
          <w:lang w:val="en-US" w:eastAsia="zh-CN"/>
          <w14:textFill>
            <w14:solidFill>
              <w14:schemeClr w14:val="tx1"/>
            </w14:solidFill>
          </w14:textFill>
        </w:rPr>
        <w:t>1</w:t>
      </w:r>
      <w:r>
        <w:rPr>
          <w:rFonts w:hint="eastAsia" w:ascii="楷体_GB2312" w:hAnsi="楷体_GB2312" w:eastAsia="楷体_GB2312" w:cs="楷体_GB2312"/>
          <w:b/>
          <w:bCs/>
          <w:i w:val="0"/>
          <w:caps w:val="0"/>
          <w:color w:val="000000" w:themeColor="text1"/>
          <w:spacing w:val="0"/>
          <w:sz w:val="32"/>
          <w:szCs w:val="32"/>
          <w:shd w:val="clear" w:color="auto" w:fill="FFFFFF"/>
          <w14:textFill>
            <w14:solidFill>
              <w14:schemeClr w14:val="tx1"/>
            </w14:solidFill>
          </w14:textFill>
        </w:rPr>
        <w:t>.</w:t>
      </w:r>
      <w:r>
        <w:rPr>
          <w:rFonts w:hint="eastAsia" w:ascii="楷体_GB2312" w:hAnsi="楷体_GB2312" w:eastAsia="楷体_GB2312" w:cs="楷体_GB2312"/>
          <w:b/>
          <w:bCs/>
          <w:i w:val="0"/>
          <w:caps w:val="0"/>
          <w:color w:val="000000" w:themeColor="text1"/>
          <w:spacing w:val="0"/>
          <w:sz w:val="32"/>
          <w:szCs w:val="32"/>
          <w:shd w:val="clear" w:color="auto" w:fill="FFFFFF"/>
          <w:lang w:eastAsia="zh-CN"/>
          <w14:textFill>
            <w14:solidFill>
              <w14:schemeClr w14:val="tx1"/>
            </w14:solidFill>
          </w14:textFill>
        </w:rPr>
        <w:t>围绕预决算</w:t>
      </w:r>
      <w:r>
        <w:rPr>
          <w:rFonts w:hint="eastAsia" w:ascii="楷体_GB2312" w:hAnsi="楷体_GB2312" w:eastAsia="楷体_GB2312" w:cs="楷体_GB2312"/>
          <w:b/>
          <w:bCs/>
          <w:i w:val="0"/>
          <w:caps w:val="0"/>
          <w:color w:val="000000" w:themeColor="text1"/>
          <w:spacing w:val="0"/>
          <w:sz w:val="32"/>
          <w:szCs w:val="32"/>
          <w:shd w:val="clear" w:color="auto" w:fill="FFFFFF"/>
          <w:lang w:val="en-US" w:eastAsia="zh-CN"/>
          <w14:textFill>
            <w14:solidFill>
              <w14:schemeClr w14:val="tx1"/>
            </w14:solidFill>
          </w14:textFill>
        </w:rPr>
        <w:t>审查监督</w:t>
      </w:r>
      <w:r>
        <w:rPr>
          <w:rFonts w:hint="eastAsia" w:ascii="楷体_GB2312" w:hAnsi="楷体_GB2312" w:eastAsia="楷体_GB2312" w:cs="楷体_GB2312"/>
          <w:b/>
          <w:bCs/>
          <w:i w:val="0"/>
          <w:caps w:val="0"/>
          <w:color w:val="000000" w:themeColor="text1"/>
          <w:spacing w:val="0"/>
          <w:sz w:val="32"/>
          <w:szCs w:val="32"/>
          <w:shd w:val="clear" w:color="auto" w:fill="FFFFFF"/>
          <w:lang w:eastAsia="zh-CN"/>
          <w14:textFill>
            <w14:solidFill>
              <w14:schemeClr w14:val="tx1"/>
            </w14:solidFill>
          </w14:textFill>
        </w:rPr>
        <w:t>和国有资产管理监督</w:t>
      </w:r>
      <w:r>
        <w:rPr>
          <w:rFonts w:hint="eastAsia" w:ascii="楷体_GB2312" w:hAnsi="楷体_GB2312" w:eastAsia="楷体_GB2312" w:cs="楷体_GB2312"/>
          <w:b/>
          <w:bCs/>
          <w:i w:val="0"/>
          <w:caps w:val="0"/>
          <w:color w:val="000000" w:themeColor="text1"/>
          <w:spacing w:val="0"/>
          <w:sz w:val="32"/>
          <w:szCs w:val="32"/>
          <w:shd w:val="clear" w:color="auto" w:fill="FFFFFF"/>
          <w:lang w:val="en-US" w:eastAsia="zh-CN"/>
          <w14:textFill>
            <w14:solidFill>
              <w14:schemeClr w14:val="tx1"/>
            </w14:solidFill>
          </w14:textFill>
        </w:rPr>
        <w:t>工作</w:t>
      </w:r>
      <w:r>
        <w:rPr>
          <w:rFonts w:hint="eastAsia" w:ascii="楷体_GB2312" w:hAnsi="楷体_GB2312" w:eastAsia="楷体_GB2312" w:cs="楷体_GB2312"/>
          <w:b/>
          <w:bCs/>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听取和审议</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20</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22</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年</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财政</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决算</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情况和</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2023年上半年财政预算执行情况</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2023年部门预算编制情况报告、</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20</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22</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年县级预算执行和其他财政收支情况的审计</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的</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报告</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2</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02</w:t>
      </w:r>
      <w:r>
        <w:rPr>
          <w:rFonts w:hint="eastAsia" w:ascii="仿宋_GB2312" w:hAnsi="仿宋_GB2312" w:eastAsia="仿宋_GB2312" w:cs="仿宋_GB2312"/>
          <w:i w:val="0"/>
          <w:caps w:val="0"/>
          <w:color w:val="000000" w:themeColor="text1"/>
          <w:spacing w:val="0"/>
          <w:sz w:val="32"/>
          <w:szCs w:val="32"/>
          <w:shd w:val="clear" w:color="auto" w:fill="FFFFFF"/>
          <w:lang w:val="en-US" w:eastAsia="zh-CN"/>
          <w14:textFill>
            <w14:solidFill>
              <w14:schemeClr w14:val="tx1"/>
            </w14:solidFill>
          </w14:textFill>
        </w:rPr>
        <w:t>3</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年</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上半年</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国民经济和社会发展计划的报告</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、关于2022年县级预算执行和其他财政收支审计查出问题整改情况的报告。</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从编制、执行、决算、审计等方面对财政预决算进行全口径、全过程审查监督，推动全县经济社会高质量发展</w:t>
      </w:r>
      <w:r>
        <w:rPr>
          <w:rFonts w:hint="eastAsia" w:ascii="仿宋_GB2312" w:hAnsi="仿宋_GB2312" w:eastAsia="仿宋_GB2312" w:cs="仿宋_GB2312"/>
          <w:i w:val="0"/>
          <w:caps w:val="0"/>
          <w:color w:val="000000" w:themeColor="text1"/>
          <w:spacing w:val="0"/>
          <w:sz w:val="32"/>
          <w:szCs w:val="32"/>
          <w:shd w:val="clear" w:color="auto" w:fill="FFFFFF"/>
          <w:lang w:eastAsia="zh-CN"/>
          <w14:textFill>
            <w14:solidFill>
              <w14:schemeClr w14:val="tx1"/>
            </w14:solidFill>
          </w14:textFill>
        </w:rPr>
        <w:t>。深化国有资产管理监督，听取和审议红原县人民政府关于国有资产管理情况的报告，提高国有资产使用效益，更好地发挥国有资产在服务经济社会发展等方面的重要作用。</w:t>
      </w:r>
    </w:p>
    <w:p>
      <w:pPr>
        <w:keepNext w:val="0"/>
        <w:keepLines w:val="0"/>
        <w:pageBreakBefore w:val="0"/>
        <w:widowControl w:val="0"/>
        <w:numPr>
          <w:ilvl w:val="0"/>
          <w:numId w:val="0"/>
        </w:numPr>
        <w:pBdr>
          <w:bottom w:val="single" w:color="FFFFFF" w:sz="4" w:space="29"/>
        </w:pBdr>
        <w:kinsoku/>
        <w:wordWrap/>
        <w:overflowPunct w:val="0"/>
        <w:topLinePunct/>
        <w:autoSpaceDE w:val="0"/>
        <w:autoSpaceDN w:val="0"/>
        <w:bidi w:val="0"/>
        <w:adjustRightInd w:val="0"/>
        <w:snapToGrid w:val="0"/>
        <w:spacing w:after="0" w:line="560" w:lineRule="exact"/>
        <w:ind w:left="0" w:leftChars="0" w:firstLine="643" w:firstLineChars="200"/>
        <w:jc w:val="both"/>
        <w:textAlignment w:val="auto"/>
        <w:outlineLvl w:val="9"/>
        <w:rPr>
          <w:rFonts w:hint="eastAsia" w:ascii="仿宋_GB2312" w:hAnsi="仿宋_GB2312" w:eastAsia="仿宋_GB2312" w:cs="仿宋_GB2312"/>
          <w:b w:val="0"/>
          <w:bCs w:val="0"/>
          <w:i w:val="0"/>
          <w:caps w:val="0"/>
          <w:color w:val="000000" w:themeColor="text1"/>
          <w:spacing w:val="0"/>
          <w:sz w:val="32"/>
          <w:szCs w:val="32"/>
          <w:shd w:val="clear" w:color="auto" w:fill="FFFFFF"/>
          <w:lang w:val="en-US" w:eastAsia="zh-CN"/>
          <w14:textFill>
            <w14:solidFill>
              <w14:schemeClr w14:val="tx1"/>
            </w14:solidFill>
          </w14:textFill>
        </w:rPr>
      </w:pPr>
      <w:r>
        <w:rPr>
          <w:rFonts w:hint="eastAsia" w:ascii="楷体_GB2312" w:hAnsi="楷体_GB2312" w:eastAsia="楷体_GB2312" w:cs="楷体_GB2312"/>
          <w:b/>
          <w:bCs/>
          <w:i w:val="0"/>
          <w:caps w:val="0"/>
          <w:color w:val="000000" w:themeColor="text1"/>
          <w:spacing w:val="0"/>
          <w:sz w:val="32"/>
          <w:szCs w:val="32"/>
          <w:shd w:val="clear" w:color="auto" w:fill="FFFFFF"/>
          <w:lang w:val="en-US" w:eastAsia="zh-CN"/>
          <w14:textFill>
            <w14:solidFill>
              <w14:schemeClr w14:val="tx1"/>
            </w14:solidFill>
          </w14:textFill>
        </w:rPr>
        <w:t>2.</w:t>
      </w:r>
      <w:r>
        <w:rPr>
          <w:rFonts w:hint="eastAsia" w:ascii="楷体_GB2312" w:hAnsi="楷体_GB2312" w:eastAsia="楷体_GB2312" w:cs="楷体_GB2312"/>
          <w:b/>
          <w:bCs/>
          <w:color w:val="000000" w:themeColor="text1"/>
          <w:sz w:val="32"/>
          <w:szCs w:val="32"/>
          <w:u w:val="none"/>
          <w:lang w:eastAsia="zh-CN"/>
          <w14:textFill>
            <w14:solidFill>
              <w14:schemeClr w14:val="tx1"/>
            </w14:solidFill>
          </w14:textFill>
        </w:rPr>
        <w:t>围绕保障</w:t>
      </w:r>
      <w:r>
        <w:rPr>
          <w:rFonts w:hint="eastAsia" w:ascii="楷体_GB2312" w:hAnsi="楷体_GB2312" w:eastAsia="楷体_GB2312" w:cs="楷体_GB2312"/>
          <w:b/>
          <w:bCs/>
          <w:color w:val="000000" w:themeColor="text1"/>
          <w:sz w:val="32"/>
          <w:szCs w:val="32"/>
          <w:u w:val="none"/>
          <w:lang w:val="en-US" w:eastAsia="zh-CN"/>
          <w14:textFill>
            <w14:solidFill>
              <w14:schemeClr w14:val="tx1"/>
            </w14:solidFill>
          </w14:textFill>
        </w:rPr>
        <w:t>增进</w:t>
      </w:r>
      <w:r>
        <w:rPr>
          <w:rFonts w:hint="eastAsia" w:ascii="楷体_GB2312" w:hAnsi="楷体_GB2312" w:eastAsia="楷体_GB2312" w:cs="楷体_GB2312"/>
          <w:b/>
          <w:bCs/>
          <w:color w:val="000000" w:themeColor="text1"/>
          <w:sz w:val="32"/>
          <w:szCs w:val="32"/>
          <w:u w:val="none"/>
          <w14:textFill>
            <w14:solidFill>
              <w14:schemeClr w14:val="tx1"/>
            </w14:solidFill>
          </w14:textFill>
        </w:rPr>
        <w:t>民生</w:t>
      </w:r>
      <w:r>
        <w:rPr>
          <w:rFonts w:hint="eastAsia" w:ascii="楷体_GB2312" w:hAnsi="楷体_GB2312" w:eastAsia="楷体_GB2312" w:cs="楷体_GB2312"/>
          <w:b/>
          <w:bCs/>
          <w:color w:val="000000" w:themeColor="text1"/>
          <w:sz w:val="32"/>
          <w:szCs w:val="32"/>
          <w:u w:val="none"/>
          <w:lang w:val="en-US" w:eastAsia="zh-CN"/>
          <w14:textFill>
            <w14:solidFill>
              <w14:schemeClr w14:val="tx1"/>
            </w14:solidFill>
          </w14:textFill>
        </w:rPr>
        <w:t>福祉</w:t>
      </w:r>
      <w:r>
        <w:rPr>
          <w:rFonts w:hint="eastAsia" w:ascii="楷体_GB2312" w:hAnsi="楷体_GB2312" w:eastAsia="楷体_GB2312" w:cs="楷体_GB2312"/>
          <w:b/>
          <w:bCs/>
          <w:color w:val="000000" w:themeColor="text1"/>
          <w:sz w:val="32"/>
          <w:szCs w:val="32"/>
          <w:u w:val="none"/>
          <w:lang w:eastAsia="zh-CN"/>
          <w14:textFill>
            <w14:solidFill>
              <w14:schemeClr w14:val="tx1"/>
            </w14:solidFill>
          </w14:textFill>
        </w:rPr>
        <w:t>开展</w:t>
      </w:r>
      <w:r>
        <w:rPr>
          <w:rFonts w:hint="eastAsia" w:ascii="楷体_GB2312" w:hAnsi="楷体_GB2312" w:eastAsia="楷体_GB2312" w:cs="楷体_GB2312"/>
          <w:b/>
          <w:bCs/>
          <w:color w:val="000000" w:themeColor="text1"/>
          <w:sz w:val="32"/>
          <w:szCs w:val="32"/>
          <w:u w:val="none"/>
          <w14:textFill>
            <w14:solidFill>
              <w14:schemeClr w14:val="tx1"/>
            </w14:solidFill>
          </w14:textFill>
        </w:rPr>
        <w:t>监督</w:t>
      </w:r>
      <w:r>
        <w:rPr>
          <w:rFonts w:hint="eastAsia" w:ascii="楷体_GB2312" w:hAnsi="楷体_GB2312" w:eastAsia="楷体_GB2312" w:cs="楷体_GB2312"/>
          <w:b/>
          <w:bCs/>
          <w:color w:val="000000" w:themeColor="text1"/>
          <w:sz w:val="32"/>
          <w:szCs w:val="32"/>
          <w:u w:val="none"/>
          <w:lang w:eastAsia="zh-CN"/>
          <w14:textFill>
            <w14:solidFill>
              <w14:schemeClr w14:val="tx1"/>
            </w14:solidFill>
          </w14:textFill>
        </w:rPr>
        <w:t>。</w:t>
      </w:r>
      <w:r>
        <w:rPr>
          <w:rFonts w:hint="eastAsia" w:ascii="楷体_GB2312" w:hAnsi="楷体_GB2312" w:eastAsia="楷体_GB2312" w:cs="楷体_GB2312"/>
          <w:b/>
          <w:bCs/>
          <w:color w:val="000000" w:themeColor="text1"/>
          <w:sz w:val="32"/>
          <w:szCs w:val="32"/>
          <w:u w:val="none"/>
          <w:lang w:val="en-US" w:eastAsia="zh-CN"/>
          <w14:textFill>
            <w14:solidFill>
              <w14:schemeClr w14:val="tx1"/>
            </w14:solidFill>
          </w14:textFill>
        </w:rPr>
        <w:t>聚焦高质量发展，</w:t>
      </w:r>
      <w:r>
        <w:rPr>
          <w:rFonts w:hint="eastAsia" w:ascii="仿宋_GB2312" w:hAnsi="仿宋_GB2312" w:eastAsia="仿宋_GB2312" w:cs="仿宋_GB2312"/>
          <w:b w:val="0"/>
          <w:bCs w:val="0"/>
          <w:i w:val="0"/>
          <w:caps w:val="0"/>
          <w:color w:val="000000" w:themeColor="text1"/>
          <w:spacing w:val="0"/>
          <w:sz w:val="32"/>
          <w:szCs w:val="32"/>
          <w:shd w:val="clear" w:color="auto" w:fill="FFFFFF"/>
          <w:lang w:val="en-US" w:eastAsia="zh-CN"/>
          <w14:textFill>
            <w14:solidFill>
              <w14:schemeClr w14:val="tx1"/>
            </w14:solidFill>
          </w14:textFill>
        </w:rPr>
        <w:t>听取和审议红原县人民政府关于“十四五”规划中期完成情况、关于国家现代农业示范区建设情况等报告。</w:t>
      </w:r>
      <w:r>
        <w:rPr>
          <w:rFonts w:hint="eastAsia" w:ascii="仿宋_GB2312" w:hAnsi="仿宋_GB2312" w:eastAsia="仿宋_GB2312" w:cs="仿宋_GB2312"/>
          <w:b/>
          <w:bCs/>
          <w:i w:val="0"/>
          <w:caps w:val="0"/>
          <w:color w:val="000000" w:themeColor="text1"/>
          <w:spacing w:val="0"/>
          <w:sz w:val="32"/>
          <w:szCs w:val="32"/>
          <w:shd w:val="clear" w:color="auto" w:fill="FFFFFF"/>
          <w:lang w:val="en-US" w:eastAsia="zh-CN"/>
          <w14:textFill>
            <w14:solidFill>
              <w14:schemeClr w14:val="tx1"/>
            </w14:solidFill>
          </w14:textFill>
        </w:rPr>
        <w:t>聚焦热点难点，</w:t>
      </w:r>
      <w:r>
        <w:rPr>
          <w:rFonts w:hint="eastAsia" w:ascii="仿宋_GB2312" w:hAnsi="仿宋_GB2312" w:eastAsia="仿宋_GB2312" w:cs="仿宋_GB2312"/>
          <w:b w:val="0"/>
          <w:bCs w:val="0"/>
          <w:i w:val="0"/>
          <w:caps w:val="0"/>
          <w:color w:val="000000" w:themeColor="text1"/>
          <w:spacing w:val="0"/>
          <w:sz w:val="32"/>
          <w:szCs w:val="32"/>
          <w:shd w:val="clear" w:color="auto" w:fill="FFFFFF"/>
          <w:lang w:val="en-US" w:eastAsia="zh-CN"/>
          <w14:textFill>
            <w14:solidFill>
              <w14:schemeClr w14:val="tx1"/>
            </w14:solidFill>
          </w14:textFill>
        </w:rPr>
        <w:t>听取和审议县人民政府关于红原县寄宿制学校学生管理情况、关于红原县藏医药事业发展情况、关于红原县重度残疾人参保资助情况等报告。</w:t>
      </w:r>
      <w:r>
        <w:rPr>
          <w:rFonts w:hint="eastAsia" w:ascii="仿宋_GB2312" w:hAnsi="仿宋_GB2312" w:eastAsia="仿宋_GB2312" w:cs="仿宋_GB2312"/>
          <w:b/>
          <w:bCs/>
          <w:i w:val="0"/>
          <w:caps w:val="0"/>
          <w:color w:val="000000" w:themeColor="text1"/>
          <w:spacing w:val="0"/>
          <w:sz w:val="32"/>
          <w:szCs w:val="32"/>
          <w:shd w:val="clear" w:color="auto" w:fill="FFFFFF"/>
          <w:lang w:val="en-US" w:eastAsia="zh-CN"/>
          <w14:textFill>
            <w14:solidFill>
              <w14:schemeClr w14:val="tx1"/>
            </w14:solidFill>
          </w14:textFill>
        </w:rPr>
        <w:t>聚焦社会领域，</w:t>
      </w:r>
      <w:r>
        <w:rPr>
          <w:rFonts w:hint="eastAsia" w:ascii="仿宋_GB2312" w:hAnsi="仿宋_GB2312" w:eastAsia="仿宋_GB2312" w:cs="仿宋_GB2312"/>
          <w:b w:val="0"/>
          <w:bCs w:val="0"/>
          <w:i w:val="0"/>
          <w:caps w:val="0"/>
          <w:color w:val="000000" w:themeColor="text1"/>
          <w:spacing w:val="0"/>
          <w:sz w:val="32"/>
          <w:szCs w:val="32"/>
          <w:shd w:val="clear" w:color="auto" w:fill="FFFFFF"/>
          <w:lang w:val="en-US" w:eastAsia="zh-CN"/>
          <w14:textFill>
            <w14:solidFill>
              <w14:schemeClr w14:val="tx1"/>
            </w14:solidFill>
          </w14:textFill>
        </w:rPr>
        <w:t>听取和审议县人民政府关于全县民族宗教工作开展情况的报告。</w:t>
      </w:r>
      <w:r>
        <w:rPr>
          <w:rFonts w:hint="eastAsia" w:ascii="仿宋_GB2312" w:hAnsi="仿宋_GB2312" w:eastAsia="仿宋_GB2312" w:cs="仿宋_GB2312"/>
          <w:b/>
          <w:bCs/>
          <w:i w:val="0"/>
          <w:caps w:val="0"/>
          <w:color w:val="000000" w:themeColor="text1"/>
          <w:spacing w:val="0"/>
          <w:sz w:val="32"/>
          <w:szCs w:val="32"/>
          <w:shd w:val="clear" w:color="auto" w:fill="FFFFFF"/>
          <w:lang w:val="en-US" w:eastAsia="zh-CN"/>
          <w14:textFill>
            <w14:solidFill>
              <w14:schemeClr w14:val="tx1"/>
            </w14:solidFill>
          </w14:textFill>
        </w:rPr>
        <w:t>聚焦民生领域，</w:t>
      </w:r>
      <w:r>
        <w:rPr>
          <w:rFonts w:hint="eastAsia" w:ascii="仿宋_GB2312" w:hAnsi="仿宋_GB2312" w:eastAsia="仿宋_GB2312" w:cs="仿宋_GB2312"/>
          <w:b w:val="0"/>
          <w:bCs w:val="0"/>
          <w:i w:val="0"/>
          <w:caps w:val="0"/>
          <w:color w:val="000000" w:themeColor="text1"/>
          <w:spacing w:val="0"/>
          <w:sz w:val="32"/>
          <w:szCs w:val="32"/>
          <w:shd w:val="clear" w:color="auto" w:fill="FFFFFF"/>
          <w:lang w:val="en-US" w:eastAsia="zh-CN"/>
          <w14:textFill>
            <w14:solidFill>
              <w14:schemeClr w14:val="tx1"/>
            </w14:solidFill>
          </w14:textFill>
        </w:rPr>
        <w:t>按照《阿坝州人大常委会民生实事项目跟踪监督办法》，继续开展民生实事项目跟踪监督。</w:t>
      </w:r>
      <w:r>
        <w:rPr>
          <w:rFonts w:hint="eastAsia" w:ascii="仿宋_GB2312" w:hAnsi="仿宋_GB2312" w:eastAsia="仿宋_GB2312" w:cs="仿宋_GB2312"/>
          <w:b/>
          <w:bCs/>
          <w:i w:val="0"/>
          <w:caps w:val="0"/>
          <w:color w:val="000000" w:themeColor="text1"/>
          <w:spacing w:val="0"/>
          <w:sz w:val="32"/>
          <w:szCs w:val="32"/>
          <w:shd w:val="clear" w:color="auto" w:fill="FFFFFF"/>
          <w:lang w:val="en-US" w:eastAsia="zh-CN"/>
          <w14:textFill>
            <w14:solidFill>
              <w14:schemeClr w14:val="tx1"/>
            </w14:solidFill>
          </w14:textFill>
        </w:rPr>
        <w:t>聚焦项目建设，</w:t>
      </w:r>
      <w:r>
        <w:rPr>
          <w:rFonts w:hint="eastAsia" w:ascii="仿宋_GB2312" w:hAnsi="仿宋_GB2312" w:eastAsia="仿宋_GB2312" w:cs="仿宋_GB2312"/>
          <w:b w:val="0"/>
          <w:bCs w:val="0"/>
          <w:i w:val="0"/>
          <w:caps w:val="0"/>
          <w:color w:val="000000" w:themeColor="text1"/>
          <w:spacing w:val="0"/>
          <w:sz w:val="32"/>
          <w:szCs w:val="32"/>
          <w:shd w:val="clear" w:color="auto" w:fill="FFFFFF"/>
          <w:lang w:val="en-US" w:eastAsia="zh-CN"/>
          <w14:textFill>
            <w14:solidFill>
              <w14:schemeClr w14:val="tx1"/>
            </w14:solidFill>
          </w14:textFill>
        </w:rPr>
        <w:t>听取和审议红原县人民政府2023年重点项目推进情况的报告。</w:t>
      </w:r>
      <w:r>
        <w:rPr>
          <w:rFonts w:hint="eastAsia" w:ascii="仿宋_GB2312" w:hAnsi="仿宋_GB2312" w:eastAsia="仿宋_GB2312" w:cs="仿宋_GB2312"/>
          <w:b/>
          <w:bCs/>
          <w:i w:val="0"/>
          <w:iCs w:val="0"/>
          <w:caps w:val="0"/>
          <w:color w:val="000000" w:themeColor="text1"/>
          <w:spacing w:val="0"/>
          <w:sz w:val="32"/>
          <w:szCs w:val="32"/>
          <w:shd w:val="clear" w:color="auto" w:fill="FFFFFF"/>
          <w:lang w:val="en-US" w:eastAsia="zh-CN"/>
          <w14:textFill>
            <w14:solidFill>
              <w14:schemeClr w14:val="tx1"/>
            </w14:solidFill>
          </w14:textFill>
        </w:rPr>
        <w:t>聚焦生态环保，</w:t>
      </w:r>
      <w:r>
        <w:rPr>
          <w:rFonts w:hint="eastAsia" w:ascii="仿宋_GB2312" w:hAnsi="仿宋_GB2312" w:eastAsia="仿宋_GB2312" w:cs="仿宋_GB2312"/>
          <w:b w:val="0"/>
          <w:bCs w:val="0"/>
          <w:i w:val="0"/>
          <w:caps w:val="0"/>
          <w:color w:val="000000" w:themeColor="text1"/>
          <w:spacing w:val="0"/>
          <w:sz w:val="32"/>
          <w:szCs w:val="32"/>
          <w:shd w:val="clear" w:color="auto" w:fill="FFFFFF"/>
          <w:lang w:val="en-US" w:eastAsia="zh-CN"/>
          <w14:textFill>
            <w14:solidFill>
              <w14:schemeClr w14:val="tx1"/>
            </w14:solidFill>
          </w14:textFill>
        </w:rPr>
        <w:t>听取和审议红原县人民政府关于2022年度环境状况和环境保护目标完成情况的报告，加强长江黄河上游生态保护治理和高质量发展监督，积极参与阿坝“环保世纪行”宣传活动。</w:t>
      </w:r>
    </w:p>
    <w:p>
      <w:pPr>
        <w:keepNext w:val="0"/>
        <w:keepLines w:val="0"/>
        <w:pageBreakBefore w:val="0"/>
        <w:widowControl w:val="0"/>
        <w:numPr>
          <w:ilvl w:val="0"/>
          <w:numId w:val="0"/>
        </w:numPr>
        <w:pBdr>
          <w:bottom w:val="single" w:color="FFFFFF" w:sz="4" w:space="29"/>
        </w:pBdr>
        <w:kinsoku/>
        <w:wordWrap/>
        <w:overflowPunct w:val="0"/>
        <w:topLinePunct/>
        <w:autoSpaceDE w:val="0"/>
        <w:autoSpaceDN w:val="0"/>
        <w:bidi w:val="0"/>
        <w:adjustRightInd w:val="0"/>
        <w:snapToGrid w:val="0"/>
        <w:spacing w:after="0" w:line="560" w:lineRule="exact"/>
        <w:ind w:left="0" w:leftChars="0" w:firstLine="643" w:firstLineChars="200"/>
        <w:jc w:val="both"/>
        <w:textAlignment w:val="auto"/>
        <w:outlineLvl w:val="9"/>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pPr>
      <w:r>
        <w:rPr>
          <w:rFonts w:hint="eastAsia" w:ascii="楷体_GB2312" w:hAnsi="楷体_GB2312" w:eastAsia="楷体_GB2312" w:cs="楷体_GB2312"/>
          <w:b/>
          <w:bCs/>
          <w:i w:val="0"/>
          <w:caps w:val="0"/>
          <w:color w:val="000000" w:themeColor="text1"/>
          <w:spacing w:val="0"/>
          <w:sz w:val="32"/>
          <w:szCs w:val="32"/>
          <w:shd w:val="clear" w:color="auto" w:fill="FFFFFF"/>
          <w:lang w:val="en-US" w:eastAsia="zh-CN"/>
          <w14:textFill>
            <w14:solidFill>
              <w14:schemeClr w14:val="tx1"/>
            </w14:solidFill>
          </w14:textFill>
        </w:rPr>
        <w:t>3.</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围绕</w:t>
      </w:r>
      <w:r>
        <w:rPr>
          <w:rFonts w:hint="eastAsia" w:ascii="楷体_GB2312" w:hAnsi="楷体_GB2312" w:eastAsia="楷体_GB2312" w:cs="楷体_GB2312"/>
          <w:b/>
          <w:bCs/>
          <w:color w:val="000000" w:themeColor="text1"/>
          <w:sz w:val="32"/>
          <w:szCs w:val="32"/>
          <w14:textFill>
            <w14:solidFill>
              <w14:schemeClr w14:val="tx1"/>
            </w14:solidFill>
          </w14:textFill>
        </w:rPr>
        <w:t>行政执法和司法工作</w:t>
      </w:r>
      <w:r>
        <w:rPr>
          <w:rFonts w:hint="eastAsia" w:ascii="楷体_GB2312" w:hAnsi="楷体_GB2312" w:eastAsia="楷体_GB2312" w:cs="楷体_GB2312"/>
          <w:b/>
          <w:bCs/>
          <w:color w:val="000000" w:themeColor="text1"/>
          <w:sz w:val="32"/>
          <w:szCs w:val="32"/>
          <w:lang w:eastAsia="zh-CN"/>
          <w14:textFill>
            <w14:solidFill>
              <w14:schemeClr w14:val="tx1"/>
            </w14:solidFill>
          </w14:textFill>
        </w:rPr>
        <w:t>开展</w:t>
      </w:r>
      <w:r>
        <w:rPr>
          <w:rFonts w:hint="eastAsia" w:ascii="楷体_GB2312" w:hAnsi="楷体_GB2312" w:eastAsia="楷体_GB2312" w:cs="楷体_GB2312"/>
          <w:b/>
          <w:bCs/>
          <w:color w:val="000000" w:themeColor="text1"/>
          <w:sz w:val="32"/>
          <w:szCs w:val="32"/>
          <w14:textFill>
            <w14:solidFill>
              <w14:schemeClr w14:val="tx1"/>
            </w14:solidFill>
          </w14:textFill>
        </w:rPr>
        <w:t>监督</w:t>
      </w:r>
      <w:r>
        <w:rPr>
          <w:rFonts w:hint="eastAsia" w:ascii="仿宋_GB2312" w:hAnsi="仿宋_GB2312" w:eastAsia="仿宋_GB2312" w:cs="仿宋_GB2312"/>
          <w:color w:val="000000" w:themeColor="text1"/>
          <w:sz w:val="32"/>
          <w:szCs w:val="32"/>
          <w:lang w:eastAsia="zh-CN"/>
          <w14:textFill>
            <w14:solidFill>
              <w14:schemeClr w14:val="tx1"/>
            </w14:solidFill>
          </w14:textFill>
        </w:rPr>
        <w:t>。听取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和审议</w:t>
      </w:r>
      <w:r>
        <w:rPr>
          <w:rFonts w:hint="eastAsia" w:ascii="仿宋_GB2312" w:hAnsi="仿宋_GB2312" w:eastAsia="仿宋_GB2312" w:cs="仿宋_GB2312"/>
          <w:color w:val="000000" w:themeColor="text1"/>
          <w:sz w:val="32"/>
          <w:szCs w:val="32"/>
          <w:lang w:eastAsia="zh-CN"/>
          <w14:textFill>
            <w14:solidFill>
              <w14:schemeClr w14:val="tx1"/>
            </w14:solidFill>
          </w14:textFill>
        </w:rPr>
        <w:t>县人民政府关于法治政府建设情况、县人民检察院关于民事行政检察工作情况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等</w:t>
      </w:r>
      <w:r>
        <w:rPr>
          <w:rFonts w:hint="eastAsia" w:ascii="仿宋_GB2312" w:hAnsi="仿宋_GB2312" w:eastAsia="仿宋_GB2312" w:cs="仿宋_GB2312"/>
          <w:color w:val="000000" w:themeColor="text1"/>
          <w:sz w:val="32"/>
          <w:szCs w:val="32"/>
          <w:lang w:eastAsia="zh-CN"/>
          <w14:textFill>
            <w14:solidFill>
              <w14:schemeClr w14:val="tx1"/>
            </w14:solidFill>
          </w14:textFill>
        </w:rPr>
        <w:t>报告</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shd w:val="clear" w:color="auto" w:fill="FFFFFF"/>
          <w14:textFill>
            <w14:solidFill>
              <w14:schemeClr w14:val="tx1"/>
            </w14:solidFill>
          </w14:textFill>
        </w:rPr>
        <w:t>进一步提高来信来访办理工作规范化水平，加强对群众来信来访集中反映问题的分析研究，更好地服务于常委会监督工作。确保司法公正高效，提高运用法治方式深化改革、推动发展、化解矛盾、维护稳定、应对风险的能力。</w:t>
      </w:r>
    </w:p>
    <w:p>
      <w:pPr>
        <w:keepNext w:val="0"/>
        <w:keepLines w:val="0"/>
        <w:pageBreakBefore w:val="0"/>
        <w:widowControl w:val="0"/>
        <w:numPr>
          <w:ilvl w:val="0"/>
          <w:numId w:val="0"/>
        </w:numPr>
        <w:pBdr>
          <w:bottom w:val="single" w:color="FFFFFF" w:sz="4" w:space="29"/>
        </w:pBdr>
        <w:kinsoku/>
        <w:wordWrap/>
        <w:overflowPunct w:val="0"/>
        <w:topLinePunct/>
        <w:autoSpaceDE w:val="0"/>
        <w:autoSpaceDN w:val="0"/>
        <w:bidi w:val="0"/>
        <w:adjustRightInd w:val="0"/>
        <w:snapToGrid w:val="0"/>
        <w:spacing w:after="0" w:line="560" w:lineRule="exact"/>
        <w:ind w:left="0" w:leftChars="0" w:firstLine="643" w:firstLineChars="200"/>
        <w:jc w:val="both"/>
        <w:textAlignment w:val="auto"/>
        <w:outlineLvl w:val="9"/>
        <w:rPr>
          <w:rFonts w:hint="default" w:ascii="楷体_GB2312" w:hAnsi="楷体_GB2312" w:eastAsia="楷体_GB2312" w:cs="楷体_GB2312"/>
          <w:b/>
          <w:bCs/>
          <w:i w:val="0"/>
          <w:caps w:val="0"/>
          <w:color w:val="000000" w:themeColor="text1"/>
          <w:spacing w:val="0"/>
          <w:sz w:val="32"/>
          <w:szCs w:val="32"/>
          <w:shd w:val="clear" w:color="auto" w:fill="FFFFFF"/>
          <w:lang w:val="en-US" w:eastAsia="zh-CN"/>
          <w14:textFill>
            <w14:solidFill>
              <w14:schemeClr w14:val="tx1"/>
            </w14:solidFill>
          </w14:textFill>
        </w:rPr>
      </w:pPr>
      <w:r>
        <w:rPr>
          <w:rFonts w:hint="eastAsia" w:ascii="楷体_GB2312" w:hAnsi="楷体_GB2312" w:eastAsia="楷体_GB2312" w:cs="楷体_GB2312"/>
          <w:b/>
          <w:bCs/>
          <w:i w:val="0"/>
          <w:caps w:val="0"/>
          <w:color w:val="000000" w:themeColor="text1"/>
          <w:spacing w:val="0"/>
          <w:sz w:val="32"/>
          <w:szCs w:val="32"/>
          <w:shd w:val="clear" w:fill="FFFFFF"/>
          <w:lang w:val="en-US" w:eastAsia="zh-CN"/>
          <w14:textFill>
            <w14:solidFill>
              <w14:schemeClr w14:val="tx1"/>
            </w14:solidFill>
          </w14:textFill>
        </w:rPr>
        <w:t>4.</w:t>
      </w:r>
      <w:r>
        <w:rPr>
          <w:rFonts w:hint="eastAsia" w:ascii="楷体_GB2312" w:hAnsi="楷体_GB2312" w:eastAsia="楷体_GB2312" w:cs="楷体_GB2312"/>
          <w:b/>
          <w:bCs/>
          <w:i w:val="0"/>
          <w:caps w:val="0"/>
          <w:color w:val="000000" w:themeColor="text1"/>
          <w:spacing w:val="0"/>
          <w:sz w:val="32"/>
          <w:szCs w:val="32"/>
          <w:shd w:val="clear" w:fill="FFFFFF"/>
          <w14:textFill>
            <w14:solidFill>
              <w14:schemeClr w14:val="tx1"/>
            </w14:solidFill>
          </w14:textFill>
        </w:rPr>
        <w:t>扎实开展执法检查</w:t>
      </w:r>
      <w:r>
        <w:rPr>
          <w:rFonts w:hint="eastAsia" w:ascii="楷体_GB2312" w:hAnsi="楷体_GB2312" w:eastAsia="楷体_GB2312" w:cs="楷体_GB2312"/>
          <w:b/>
          <w:bCs/>
          <w:i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b w:val="0"/>
          <w:bCs w:val="0"/>
          <w:i w:val="0"/>
          <w:caps w:val="0"/>
          <w:color w:val="000000" w:themeColor="text1"/>
          <w:spacing w:val="0"/>
          <w:sz w:val="32"/>
          <w:szCs w:val="32"/>
          <w:shd w:val="clear" w:color="auto" w:fill="FFFFFF"/>
          <w:lang w:val="en-US" w:eastAsia="zh-CN"/>
          <w14:textFill>
            <w14:solidFill>
              <w14:schemeClr w14:val="tx1"/>
            </w14:solidFill>
          </w14:textFill>
        </w:rPr>
        <w:t>开展《阿坝藏族羌族自治州湿地保护条例》《阿坝藏族羌族自治州森林草原防灭火条例》的贯彻实施情况执法检查。</w:t>
      </w:r>
    </w:p>
    <w:p>
      <w:pPr>
        <w:keepNext w:val="0"/>
        <w:keepLines w:val="0"/>
        <w:pageBreakBefore w:val="0"/>
        <w:widowControl w:val="0"/>
        <w:numPr>
          <w:ilvl w:val="0"/>
          <w:numId w:val="0"/>
        </w:numPr>
        <w:pBdr>
          <w:bottom w:val="single" w:color="FFFFFF" w:sz="4" w:space="29"/>
        </w:pBdr>
        <w:kinsoku/>
        <w:wordWrap/>
        <w:overflowPunct w:val="0"/>
        <w:topLinePunct/>
        <w:autoSpaceDE w:val="0"/>
        <w:autoSpaceDN w:val="0"/>
        <w:bidi w:val="0"/>
        <w:adjustRightInd w:val="0"/>
        <w:snapToGrid w:val="0"/>
        <w:spacing w:after="0" w:line="560" w:lineRule="exact"/>
        <w:ind w:left="0" w:leftChars="0" w:firstLine="643" w:firstLineChars="200"/>
        <w:jc w:val="both"/>
        <w:textAlignment w:val="auto"/>
        <w:outlineLvl w:val="9"/>
        <w:rPr>
          <w:rFonts w:hint="eastAsia" w:ascii="仿宋_GB2312" w:hAnsi="仿宋_GB2312" w:eastAsia="仿宋_GB2312" w:cs="仿宋_GB2312"/>
          <w:caps w:val="0"/>
          <w:color w:val="000000"/>
          <w:spacing w:val="0"/>
          <w:sz w:val="32"/>
          <w:szCs w:val="32"/>
        </w:rPr>
      </w:pPr>
      <w:r>
        <w:rPr>
          <w:rFonts w:hint="eastAsia" w:ascii="楷体_GB2312" w:hAnsi="楷体_GB2312" w:eastAsia="楷体_GB2312" w:cs="楷体_GB2312"/>
          <w:b/>
          <w:bCs/>
          <w:caps w:val="0"/>
          <w:color w:val="000000" w:themeColor="text1"/>
          <w:spacing w:val="0"/>
          <w:sz w:val="32"/>
          <w:szCs w:val="32"/>
          <w:lang w:val="en-US" w:eastAsia="zh-CN"/>
          <w14:textFill>
            <w14:solidFill>
              <w14:schemeClr w14:val="tx1"/>
            </w14:solidFill>
          </w14:textFill>
        </w:rPr>
        <w:t>5.</w:t>
      </w:r>
      <w:r>
        <w:rPr>
          <w:rFonts w:hint="eastAsia" w:ascii="楷体_GB2312" w:hAnsi="楷体_GB2312" w:eastAsia="楷体_GB2312" w:cs="楷体_GB2312"/>
          <w:b/>
          <w:bCs/>
          <w:caps w:val="0"/>
          <w:color w:val="000000" w:themeColor="text1"/>
          <w:spacing w:val="0"/>
          <w:sz w:val="32"/>
          <w:szCs w:val="32"/>
          <w14:textFill>
            <w14:solidFill>
              <w14:schemeClr w14:val="tx1"/>
            </w14:solidFill>
          </w14:textFill>
        </w:rPr>
        <w:t>注重改进监督方式。</w:t>
      </w:r>
      <w:r>
        <w:rPr>
          <w:rFonts w:hint="eastAsia" w:ascii="仿宋_GB2312" w:hAnsi="仿宋_GB2312" w:eastAsia="仿宋_GB2312" w:cs="仿宋_GB2312"/>
          <w:b w:val="0"/>
          <w:bCs w:val="0"/>
          <w:caps w:val="0"/>
          <w:color w:val="000000" w:themeColor="text1"/>
          <w:spacing w:val="0"/>
          <w:sz w:val="32"/>
          <w:szCs w:val="32"/>
          <w:lang w:eastAsia="zh-CN"/>
          <w14:textFill>
            <w14:solidFill>
              <w14:schemeClr w14:val="tx1"/>
            </w14:solidFill>
          </w14:textFill>
        </w:rPr>
        <w:t>积极</w:t>
      </w:r>
      <w:r>
        <w:rPr>
          <w:rFonts w:hint="eastAsia" w:ascii="仿宋_GB2312" w:hAnsi="仿宋_GB2312" w:eastAsia="仿宋_GB2312" w:cs="仿宋_GB2312"/>
          <w:caps w:val="0"/>
          <w:color w:val="000000" w:themeColor="text1"/>
          <w:spacing w:val="0"/>
          <w:sz w:val="32"/>
          <w:szCs w:val="32"/>
          <w:lang w:eastAsia="zh-CN"/>
          <w14:textFill>
            <w14:solidFill>
              <w14:schemeClr w14:val="tx1"/>
            </w14:solidFill>
          </w14:textFill>
        </w:rPr>
        <w:t>探索开展</w:t>
      </w:r>
      <w:r>
        <w:rPr>
          <w:rFonts w:hint="eastAsia" w:ascii="仿宋_GB2312" w:hAnsi="仿宋_GB2312" w:eastAsia="仿宋_GB2312" w:cs="仿宋_GB2312"/>
          <w:caps w:val="0"/>
          <w:color w:val="000000" w:themeColor="text1"/>
          <w:spacing w:val="0"/>
          <w:sz w:val="32"/>
          <w:szCs w:val="32"/>
          <w14:textFill>
            <w14:solidFill>
              <w14:schemeClr w14:val="tx1"/>
            </w14:solidFill>
          </w14:textFill>
        </w:rPr>
        <w:t>工作评议，将着力点放在督促评议意见落实上。加大</w:t>
      </w:r>
      <w:r>
        <w:rPr>
          <w:rFonts w:hint="eastAsia" w:ascii="仿宋_GB2312" w:hAnsi="仿宋_GB2312" w:eastAsia="仿宋_GB2312" w:cs="仿宋_GB2312"/>
          <w:caps w:val="0"/>
          <w:color w:val="000000" w:themeColor="text1"/>
          <w:spacing w:val="0"/>
          <w:sz w:val="32"/>
          <w:szCs w:val="32"/>
          <w:lang w:eastAsia="zh-CN"/>
          <w14:textFill>
            <w14:solidFill>
              <w14:schemeClr w14:val="tx1"/>
            </w14:solidFill>
          </w14:textFill>
        </w:rPr>
        <w:t>专项工作报告</w:t>
      </w:r>
      <w:r>
        <w:rPr>
          <w:rFonts w:hint="eastAsia" w:ascii="仿宋_GB2312" w:hAnsi="仿宋_GB2312" w:eastAsia="仿宋_GB2312" w:cs="仿宋_GB2312"/>
          <w:caps w:val="0"/>
          <w:color w:val="000000" w:themeColor="text1"/>
          <w:spacing w:val="0"/>
          <w:sz w:val="32"/>
          <w:szCs w:val="32"/>
          <w14:textFill>
            <w14:solidFill>
              <w14:schemeClr w14:val="tx1"/>
            </w14:solidFill>
          </w14:textFill>
        </w:rPr>
        <w:t>审议意见跟踪督办力度，</w:t>
      </w:r>
      <w:r>
        <w:rPr>
          <w:rFonts w:hint="eastAsia" w:ascii="仿宋_GB2312" w:hAnsi="仿宋_GB2312" w:eastAsia="仿宋_GB2312" w:cs="仿宋_GB2312"/>
          <w:caps w:val="0"/>
          <w:color w:val="000000" w:themeColor="text1"/>
          <w:spacing w:val="0"/>
          <w:sz w:val="32"/>
          <w:szCs w:val="32"/>
          <w:lang w:eastAsia="zh-CN"/>
          <w14:textFill>
            <w14:solidFill>
              <w14:schemeClr w14:val="tx1"/>
            </w14:solidFill>
          </w14:textFill>
        </w:rPr>
        <w:t>适时听取专项工作报告审议意见落实情况的报告，</w:t>
      </w:r>
      <w:r>
        <w:rPr>
          <w:rFonts w:hint="eastAsia" w:ascii="仿宋_GB2312" w:hAnsi="仿宋_GB2312" w:eastAsia="仿宋_GB2312" w:cs="仿宋_GB2312"/>
          <w:caps w:val="0"/>
          <w:color w:val="000000" w:themeColor="text1"/>
          <w:spacing w:val="0"/>
          <w:sz w:val="32"/>
          <w:szCs w:val="32"/>
          <w14:textFill>
            <w14:solidFill>
              <w14:schemeClr w14:val="tx1"/>
            </w14:solidFill>
          </w14:textFill>
        </w:rPr>
        <w:t>对落实情</w:t>
      </w:r>
      <w:r>
        <w:rPr>
          <w:rFonts w:hint="eastAsia" w:ascii="仿宋_GB2312" w:hAnsi="仿宋_GB2312" w:eastAsia="仿宋_GB2312" w:cs="仿宋_GB2312"/>
          <w:caps w:val="0"/>
          <w:color w:val="000000"/>
          <w:spacing w:val="0"/>
          <w:sz w:val="32"/>
          <w:szCs w:val="32"/>
        </w:rPr>
        <w:t>况进行满意度测评，力促落地见效。</w:t>
      </w:r>
    </w:p>
    <w:p>
      <w:pPr>
        <w:keepNext w:val="0"/>
        <w:keepLines w:val="0"/>
        <w:pageBreakBefore w:val="0"/>
        <w:widowControl w:val="0"/>
        <w:numPr>
          <w:ilvl w:val="0"/>
          <w:numId w:val="0"/>
        </w:numPr>
        <w:pBdr>
          <w:bottom w:val="single" w:color="FFFFFF" w:sz="4" w:space="29"/>
        </w:pBdr>
        <w:kinsoku/>
        <w:wordWrap/>
        <w:overflowPunct w:val="0"/>
        <w:topLinePunct/>
        <w:autoSpaceDE w:val="0"/>
        <w:autoSpaceDN w:val="0"/>
        <w:bidi w:val="0"/>
        <w:adjustRightInd w:val="0"/>
        <w:snapToGrid w:val="0"/>
        <w:spacing w:after="0" w:line="560" w:lineRule="exact"/>
        <w:ind w:left="0" w:leftChars="0" w:firstLine="643" w:firstLineChars="200"/>
        <w:jc w:val="both"/>
        <w:textAlignment w:val="auto"/>
        <w:outlineLvl w:val="9"/>
        <w:rPr>
          <w:rFonts w:hint="eastAsia" w:ascii="仿宋_GB2312" w:hAnsi="仿宋_GB2312" w:eastAsia="仿宋_GB2312" w:cs="仿宋_GB2312"/>
          <w:b w:val="0"/>
          <w:bCs w:val="0"/>
          <w:i w:val="0"/>
          <w:caps w:val="0"/>
          <w:color w:val="000000"/>
          <w:spacing w:val="0"/>
          <w:sz w:val="32"/>
          <w:szCs w:val="32"/>
          <w:shd w:val="clear" w:color="auto" w:fill="FFFFFF"/>
          <w:lang w:val="en-US" w:eastAsia="zh-CN"/>
        </w:rPr>
      </w:pPr>
      <w:r>
        <w:rPr>
          <w:rFonts w:hint="eastAsia" w:ascii="楷体_GB2312" w:hAnsi="楷体_GB2312" w:eastAsia="楷体_GB2312" w:cs="楷体_GB2312"/>
          <w:b/>
          <w:bCs/>
          <w:caps w:val="0"/>
          <w:color w:val="000000"/>
          <w:spacing w:val="0"/>
          <w:sz w:val="32"/>
          <w:szCs w:val="32"/>
          <w:lang w:val="en-US" w:eastAsia="zh-CN"/>
        </w:rPr>
        <w:t>6.依法行使好重大事项决定权。</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围绕全县中心大局，以改革发展需要和人民群众期盼为己任，对涉及人民群众切身利益、全县经济和社会发展的重大事项，有计划地开展调研视察，及时作出决议决定。加强对决议决定贯彻落实情况的监督，推动全面落实。</w:t>
      </w:r>
    </w:p>
    <w:p>
      <w:pPr>
        <w:keepNext w:val="0"/>
        <w:keepLines w:val="0"/>
        <w:pageBreakBefore w:val="0"/>
        <w:widowControl w:val="0"/>
        <w:numPr>
          <w:ilvl w:val="0"/>
          <w:numId w:val="0"/>
        </w:numPr>
        <w:pBdr>
          <w:bottom w:val="single" w:color="FFFFFF" w:sz="4" w:space="29"/>
        </w:pBdr>
        <w:kinsoku/>
        <w:wordWrap/>
        <w:overflowPunct w:val="0"/>
        <w:topLinePunct/>
        <w:autoSpaceDE w:val="0"/>
        <w:autoSpaceDN w:val="0"/>
        <w:bidi w:val="0"/>
        <w:adjustRightInd w:val="0"/>
        <w:snapToGrid w:val="0"/>
        <w:spacing w:after="0" w:line="560" w:lineRule="exact"/>
        <w:ind w:left="0" w:leftChars="0" w:firstLine="643" w:firstLineChars="200"/>
        <w:jc w:val="both"/>
        <w:textAlignment w:val="auto"/>
        <w:outlineLvl w:val="9"/>
        <w:rPr>
          <w:rFonts w:hint="eastAsia" w:ascii="仿宋_GB2312" w:hAnsi="仿宋_GB2312" w:eastAsia="仿宋_GB2312" w:cs="仿宋_GB2312"/>
          <w:b w:val="0"/>
          <w:bCs w:val="0"/>
          <w:i w:val="0"/>
          <w:caps w:val="0"/>
          <w:color w:val="000000"/>
          <w:spacing w:val="0"/>
          <w:sz w:val="32"/>
          <w:szCs w:val="32"/>
          <w:shd w:val="clear" w:color="auto" w:fill="FFFFFF"/>
          <w:lang w:val="en-US" w:eastAsia="zh-CN"/>
        </w:rPr>
      </w:pPr>
      <w:r>
        <w:rPr>
          <w:rFonts w:hint="eastAsia" w:ascii="楷体_GB2312" w:hAnsi="楷体_GB2312" w:eastAsia="楷体_GB2312" w:cs="楷体_GB2312"/>
          <w:b/>
          <w:bCs/>
          <w:caps w:val="0"/>
          <w:color w:val="000000"/>
          <w:spacing w:val="0"/>
          <w:sz w:val="32"/>
          <w:szCs w:val="32"/>
          <w:lang w:val="en-US" w:eastAsia="zh-CN"/>
        </w:rPr>
        <w:t>7.依法行使好人事任免权。</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坚持党管干部与依法任免干部有机统一，认真落实县委人事安排意图，完善工作机制，严格任免程序，依法做好人事任免各项工作。坚持任前法律知识考试、表态发言、颁发任命书等制度，依法组织常委会新任命的国家机关工作人员进行宪法宣誓，不断增强干部的法治意识、责任意识和担当意识。制定出台《红原县人民代表大会常务委员会任命政府工作部门工作人员履职评议实施细则》，切实加强任后监督，年内对县人大常委会任命的27个政府组成部门主要负责人履职情况开展评议。</w:t>
      </w:r>
    </w:p>
    <w:p>
      <w:pPr>
        <w:keepNext w:val="0"/>
        <w:keepLines w:val="0"/>
        <w:pageBreakBefore w:val="0"/>
        <w:widowControl w:val="0"/>
        <w:numPr>
          <w:ilvl w:val="0"/>
          <w:numId w:val="0"/>
        </w:numPr>
        <w:pBdr>
          <w:bottom w:val="single" w:color="FFFFFF" w:sz="4" w:space="29"/>
        </w:pBdr>
        <w:kinsoku/>
        <w:wordWrap/>
        <w:overflowPunct w:val="0"/>
        <w:topLinePunct/>
        <w:autoSpaceDE w:val="0"/>
        <w:autoSpaceDN w:val="0"/>
        <w:bidi w:val="0"/>
        <w:adjustRightInd w:val="0"/>
        <w:snapToGrid w:val="0"/>
        <w:spacing w:after="0" w:line="560" w:lineRule="exact"/>
        <w:ind w:left="0" w:leftChars="0" w:firstLine="643" w:firstLineChars="200"/>
        <w:jc w:val="both"/>
        <w:textAlignment w:val="auto"/>
        <w:outlineLvl w:val="9"/>
        <w:rPr>
          <w:rFonts w:hint="eastAsia" w:ascii="仿宋_GB2312" w:hAnsi="仿宋_GB2312" w:eastAsia="仿宋_GB2312" w:cs="仿宋_GB2312"/>
          <w:i w:val="0"/>
          <w:caps w:val="0"/>
          <w:color w:val="000000"/>
          <w:spacing w:val="0"/>
          <w:sz w:val="32"/>
          <w:szCs w:val="32"/>
          <w:shd w:val="clear" w:color="auto" w:fill="FFFFFF"/>
        </w:rPr>
      </w:pPr>
      <w:r>
        <w:rPr>
          <w:rFonts w:hint="eastAsia" w:ascii="楷体_GB2312" w:hAnsi="楷体_GB2312" w:eastAsia="楷体_GB2312" w:cs="楷体_GB2312"/>
          <w:b/>
          <w:bCs/>
          <w:i w:val="0"/>
          <w:caps w:val="0"/>
          <w:color w:val="000000"/>
          <w:spacing w:val="0"/>
          <w:sz w:val="32"/>
          <w:szCs w:val="32"/>
          <w:shd w:val="clear" w:color="auto" w:fill="FFFFFF"/>
          <w:lang w:val="en-US" w:eastAsia="zh-CN"/>
        </w:rPr>
        <w:t>8</w:t>
      </w:r>
      <w:r>
        <w:rPr>
          <w:rFonts w:hint="eastAsia" w:ascii="楷体_GB2312" w:hAnsi="楷体_GB2312" w:eastAsia="楷体_GB2312" w:cs="楷体_GB2312"/>
          <w:b/>
          <w:bCs/>
          <w:i w:val="0"/>
          <w:caps w:val="0"/>
          <w:color w:val="000000"/>
          <w:spacing w:val="0"/>
          <w:sz w:val="32"/>
          <w:szCs w:val="32"/>
          <w:shd w:val="clear" w:color="auto" w:fill="FFFFFF"/>
        </w:rPr>
        <w:t>.</w:t>
      </w:r>
      <w:r>
        <w:rPr>
          <w:rFonts w:hint="eastAsia" w:ascii="楷体_GB2312" w:hAnsi="楷体_GB2312" w:eastAsia="楷体_GB2312" w:cs="楷体_GB2312"/>
          <w:b/>
          <w:bCs/>
          <w:i w:val="0"/>
          <w:caps w:val="0"/>
          <w:color w:val="000000"/>
          <w:spacing w:val="0"/>
          <w:sz w:val="32"/>
          <w:szCs w:val="32"/>
          <w:shd w:val="clear" w:color="auto" w:fill="FFFFFF"/>
          <w:lang w:eastAsia="zh-CN"/>
        </w:rPr>
        <w:t>提高</w:t>
      </w:r>
      <w:r>
        <w:rPr>
          <w:rFonts w:hint="eastAsia" w:ascii="楷体_GB2312" w:hAnsi="楷体_GB2312" w:eastAsia="楷体_GB2312" w:cs="楷体_GB2312"/>
          <w:b/>
          <w:bCs/>
          <w:i w:val="0"/>
          <w:caps w:val="0"/>
          <w:color w:val="000000"/>
          <w:spacing w:val="0"/>
          <w:sz w:val="32"/>
          <w:szCs w:val="32"/>
          <w:shd w:val="clear" w:color="auto" w:fill="FFFFFF"/>
        </w:rPr>
        <w:t>议案建议办理的质量和效率。</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全面推行多层次督办机制，实行常委会主任会议成员牵头督办，人代工委统筹督办，其他各专工委对口督办，人大代表专题督办，确保件件有着落、事事有回音。</w:t>
      </w:r>
      <w:r>
        <w:rPr>
          <w:rFonts w:hint="eastAsia" w:ascii="仿宋_GB2312" w:hAnsi="仿宋_GB2312" w:eastAsia="仿宋_GB2312" w:cs="仿宋_GB2312"/>
          <w:color w:val="000000" w:themeColor="text1"/>
          <w:sz w:val="32"/>
          <w:szCs w:val="32"/>
          <w:lang w:eastAsia="zh-CN"/>
          <w14:textFill>
            <w14:solidFill>
              <w14:schemeClr w14:val="tx1"/>
            </w14:solidFill>
          </w14:textFill>
        </w:rPr>
        <w:t>适时听取和审议红原县人民政府关于第十五届人民代表大会第</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color w:val="000000" w:themeColor="text1"/>
          <w:sz w:val="32"/>
          <w:szCs w:val="32"/>
          <w:lang w:eastAsia="zh-CN"/>
          <w14:textFill>
            <w14:solidFill>
              <w14:schemeClr w14:val="tx1"/>
            </w14:solidFill>
          </w14:textFill>
        </w:rPr>
        <w:t>次会议代表建议意见办理情况的报告，</w:t>
      </w:r>
      <w:r>
        <w:rPr>
          <w:rFonts w:hint="eastAsia" w:ascii="仿宋_GB2312" w:hAnsi="仿宋_GB2312" w:eastAsia="仿宋_GB2312" w:cs="仿宋_GB2312"/>
          <w:color w:val="000000" w:themeColor="text1"/>
          <w:sz w:val="32"/>
          <w:szCs w:val="32"/>
          <w14:textFill>
            <w14:solidFill>
              <w14:schemeClr w14:val="tx1"/>
            </w14:solidFill>
          </w14:textFill>
        </w:rPr>
        <w:t>进一步完善督办方式，切实提高办理质量。</w:t>
      </w:r>
      <w:r>
        <w:rPr>
          <w:rFonts w:hint="eastAsia" w:ascii="仿宋_GB2312" w:hAnsi="仿宋_GB2312" w:eastAsia="仿宋_GB2312" w:cs="仿宋_GB2312"/>
          <w:i w:val="0"/>
          <w:caps w:val="0"/>
          <w:color w:val="000000"/>
          <w:spacing w:val="0"/>
          <w:sz w:val="32"/>
          <w:szCs w:val="32"/>
          <w:shd w:val="clear" w:color="auto" w:fill="FFFFFF"/>
        </w:rPr>
        <w:t>组织开展优秀代表议案、建议评选活动，激励先进，以点带面，推动议案建议办理工作水平持续提升。</w:t>
      </w:r>
    </w:p>
    <w:p>
      <w:pPr>
        <w:keepNext w:val="0"/>
        <w:keepLines w:val="0"/>
        <w:pageBreakBefore w:val="0"/>
        <w:widowControl w:val="0"/>
        <w:numPr>
          <w:ilvl w:val="0"/>
          <w:numId w:val="0"/>
        </w:numPr>
        <w:pBdr>
          <w:bottom w:val="single" w:color="FFFFFF" w:sz="4" w:space="29"/>
        </w:pBdr>
        <w:kinsoku/>
        <w:wordWrap/>
        <w:overflowPunct w:val="0"/>
        <w:topLinePunct/>
        <w:autoSpaceDE w:val="0"/>
        <w:autoSpaceDN w:val="0"/>
        <w:bidi w:val="0"/>
        <w:adjustRightInd w:val="0"/>
        <w:snapToGrid w:val="0"/>
        <w:spacing w:after="0" w:line="560" w:lineRule="exact"/>
        <w:ind w:left="0" w:leftChars="0" w:firstLine="643" w:firstLineChars="200"/>
        <w:jc w:val="both"/>
        <w:textAlignment w:val="auto"/>
        <w:outlineLvl w:val="9"/>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i w:val="0"/>
          <w:caps w:val="0"/>
          <w:color w:val="000000"/>
          <w:spacing w:val="0"/>
          <w:sz w:val="32"/>
          <w:szCs w:val="32"/>
          <w:shd w:val="clear" w:color="auto" w:fill="FFFFFF"/>
          <w:lang w:val="en-US" w:eastAsia="zh-CN"/>
        </w:rPr>
        <w:t>9.</w:t>
      </w:r>
      <w:r>
        <w:rPr>
          <w:rFonts w:hint="eastAsia" w:ascii="楷体_GB2312" w:hAnsi="楷体_GB2312" w:eastAsia="楷体_GB2312" w:cs="楷体_GB2312"/>
          <w:b/>
          <w:bCs/>
          <w:sz w:val="32"/>
          <w:szCs w:val="32"/>
          <w:lang w:val="en-US" w:eastAsia="zh-CN"/>
        </w:rPr>
        <w:t>激发代表更好发挥作用。</w:t>
      </w:r>
      <w:r>
        <w:rPr>
          <w:rFonts w:hint="eastAsia" w:ascii="仿宋_GB2312" w:hAnsi="仿宋_GB2312" w:eastAsia="仿宋_GB2312" w:cs="仿宋_GB2312"/>
          <w:color w:val="000000" w:themeColor="text1"/>
          <w:sz w:val="32"/>
          <w:szCs w:val="32"/>
          <w:lang w:eastAsia="zh-CN"/>
          <w14:textFill>
            <w14:solidFill>
              <w14:schemeClr w14:val="tx1"/>
            </w14:solidFill>
          </w14:textFill>
        </w:rPr>
        <w:t>为贯彻落实党的二十大对发展全过程人民民主、保障人民当家作主作出的部署，充分发挥人大代表主体作用，推进全过程人民民主，</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制定出台《关于充分发挥人大代表主体作用推进全过程人民民主的实施意见》。积极组织各级人大代表集中回选区访选民和群众活动，持续开展重点项目建设监督和“我为群众办实事--人大代表在行动”活动。规范化开展代表“亮身份、明职责、守承诺、作表率”活动。代表立足本职亮身份，让人民群众日常看得见、找得到。结合特长强服务，切实开展志愿服务活动，让人民群众遇事好商量、办事真管用。同时，对标“守承诺、作表率”，实施“三看三比”，即看立足本职，比谁在本领域、本行业建功立业本领强；看联系群众，比谁接待走访群众、化解矛盾解决问题好；看建言献策，比谁提出的针对性、建设性意见建议质量高。充分发挥阿坝智慧人大线上平台的作用，充分运用代表履职、代表积分、家站管理等功能模块，实现传达精神更及时、代表履职更高效、联系群众“零距离”、掌握动态更全面、管理代表更科学。规范运用代表联络站线下平台，以“五个有”提升硬件配套（即有固定场所、有统一标牌、有必要设施、有固定制度、有台账资料）、“四公开”接受选民监督（即公开代表信息、公开工作制度、公开年度计划、公开接待信息）、“三到位”强化组织管理（人员配备到位、服务保障到位、经费支持到位）、“五定期”力推活动常态化（定期学习交流、定期组织活动、定期接待选民、定期处理意见、定期述职评议），</w:t>
      </w:r>
      <w:r>
        <w:rPr>
          <w:rFonts w:hint="eastAsia" w:ascii="仿宋_GB2312" w:hAnsi="仿宋_GB2312" w:eastAsia="仿宋_GB2312" w:cs="仿宋_GB2312"/>
          <w:b w:val="0"/>
          <w:bCs w:val="0"/>
          <w:i w:val="0"/>
          <w:caps w:val="0"/>
          <w:color w:val="000000" w:themeColor="text1"/>
          <w:spacing w:val="0"/>
          <w:kern w:val="0"/>
          <w:sz w:val="32"/>
          <w:szCs w:val="32"/>
          <w:shd w:val="clear" w:fill="FFFFFF"/>
          <w:lang w:val="en-US" w:eastAsia="zh-CN" w:bidi="ar"/>
          <w14:textFill>
            <w14:solidFill>
              <w14:schemeClr w14:val="tx1"/>
            </w14:solidFill>
          </w14:textFill>
        </w:rPr>
        <w:t>切实把代表联络站打造成提高代表素质能力的“加油站”、促进代表日常履职的“监督站”、发挥特长优势的“议事站”、推动各项工作的“助力站”、密切联系群众的“连心站”，整体推进</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代表联络站高标准建设、高质量管理、规范高效运行。进一步完善代表列席常委会会议及参加专题调研、执法检查、视察、评议等活动的机制，扩大代表对常委会活动的参与。健全代表履职激励约束机制，完善代表履职登记制度，推进代表履职档案规范化建设。</w:t>
      </w:r>
    </w:p>
    <w:p>
      <w:pPr>
        <w:keepNext w:val="0"/>
        <w:keepLines w:val="0"/>
        <w:pageBreakBefore w:val="0"/>
        <w:widowControl w:val="0"/>
        <w:numPr>
          <w:ilvl w:val="0"/>
          <w:numId w:val="0"/>
        </w:numPr>
        <w:pBdr>
          <w:bottom w:val="single" w:color="FFFFFF" w:sz="4" w:space="29"/>
        </w:pBdr>
        <w:kinsoku/>
        <w:wordWrap/>
        <w:overflowPunct w:val="0"/>
        <w:topLinePunct/>
        <w:autoSpaceDE w:val="0"/>
        <w:autoSpaceDN w:val="0"/>
        <w:bidi w:val="0"/>
        <w:adjustRightInd w:val="0"/>
        <w:snapToGrid w:val="0"/>
        <w:spacing w:after="0" w:line="560" w:lineRule="exact"/>
        <w:ind w:left="0" w:leftChars="0" w:firstLine="643" w:firstLineChars="200"/>
        <w:jc w:val="both"/>
        <w:textAlignment w:val="auto"/>
        <w:outlineLvl w:val="9"/>
        <w:rPr>
          <w:rFonts w:hint="eastAsia" w:ascii="仿宋_GB2312" w:hAnsi="仿宋_GB2312" w:eastAsia="仿宋_GB2312" w:cs="仿宋_GB2312"/>
          <w:i w:val="0"/>
          <w:caps w:val="0"/>
          <w:color w:val="000000"/>
          <w:spacing w:val="0"/>
          <w:sz w:val="32"/>
          <w:szCs w:val="32"/>
          <w:shd w:val="clear" w:color="auto" w:fill="FFFFFF"/>
          <w:lang w:eastAsia="zh-CN"/>
        </w:rPr>
      </w:pPr>
      <w:r>
        <w:rPr>
          <w:rFonts w:hint="eastAsia" w:ascii="楷体_GB2312" w:hAnsi="楷体_GB2312" w:eastAsia="楷体_GB2312" w:cs="楷体_GB2312"/>
          <w:b/>
          <w:bCs/>
          <w:i w:val="0"/>
          <w:caps w:val="0"/>
          <w:color w:val="000000"/>
          <w:spacing w:val="0"/>
          <w:sz w:val="32"/>
          <w:szCs w:val="32"/>
          <w:shd w:val="clear" w:color="auto" w:fill="FFFFFF"/>
          <w:lang w:val="en-US" w:eastAsia="zh-CN"/>
        </w:rPr>
        <w:t>10.做实代表培训工作。</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着力突出提升代表政治素质、履职素质和专业素质，依托浙江省东西帮扶、</w:t>
      </w:r>
      <w:r>
        <w:rPr>
          <w:rFonts w:hint="eastAsia" w:ascii="仿宋_GB2312" w:hAnsi="仿宋_GB2312" w:eastAsia="仿宋_GB2312" w:cs="仿宋_GB2312"/>
          <w:sz w:val="32"/>
          <w:szCs w:val="32"/>
        </w:rPr>
        <w:t>绵阳市对口援助</w:t>
      </w:r>
      <w:r>
        <w:rPr>
          <w:rFonts w:hint="eastAsia" w:ascii="仿宋_GB2312" w:hAnsi="仿宋_GB2312" w:eastAsia="仿宋_GB2312" w:cs="仿宋_GB2312"/>
          <w:sz w:val="32"/>
          <w:szCs w:val="32"/>
          <w:lang w:eastAsia="zh-CN"/>
        </w:rPr>
        <w:t>的有利资源，</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有计划有步骤地做好人大代表培训工作。将举办2期县乡人大代表、常委会组成人员履职培训班，促进代表履职能力水平整体提升</w:t>
      </w:r>
      <w:r>
        <w:rPr>
          <w:rFonts w:hint="eastAsia" w:ascii="仿宋_GB2312" w:hAnsi="仿宋_GB2312" w:eastAsia="仿宋_GB2312" w:cs="仿宋_GB2312"/>
          <w:i w:val="0"/>
          <w:caps w:val="0"/>
          <w:color w:val="000000"/>
          <w:spacing w:val="0"/>
          <w:sz w:val="32"/>
          <w:szCs w:val="32"/>
          <w:shd w:val="clear" w:color="auto" w:fill="FFFFFF"/>
          <w:lang w:eastAsia="zh-CN"/>
        </w:rPr>
        <w:t>。</w:t>
      </w:r>
    </w:p>
    <w:p>
      <w:pPr>
        <w:keepNext w:val="0"/>
        <w:keepLines w:val="0"/>
        <w:pageBreakBefore w:val="0"/>
        <w:widowControl w:val="0"/>
        <w:numPr>
          <w:ilvl w:val="0"/>
          <w:numId w:val="0"/>
        </w:numPr>
        <w:pBdr>
          <w:bottom w:val="single" w:color="FFFFFF" w:sz="4" w:space="29"/>
        </w:pBdr>
        <w:kinsoku/>
        <w:wordWrap/>
        <w:overflowPunct w:val="0"/>
        <w:topLinePunct/>
        <w:autoSpaceDE w:val="0"/>
        <w:autoSpaceDN w:val="0"/>
        <w:bidi w:val="0"/>
        <w:adjustRightInd w:val="0"/>
        <w:snapToGrid w:val="0"/>
        <w:spacing w:after="0" w:line="560" w:lineRule="exact"/>
        <w:ind w:left="0" w:leftChars="0" w:firstLine="643" w:firstLineChars="200"/>
        <w:jc w:val="both"/>
        <w:textAlignment w:val="auto"/>
        <w:outlineLvl w:val="9"/>
        <w:rPr>
          <w:rFonts w:hint="eastAsia" w:ascii="仿宋_GB2312" w:hAnsi="仿宋_GB2312" w:eastAsia="仿宋_GB2312" w:cs="仿宋_GB2312"/>
          <w:b w:val="0"/>
          <w:bCs/>
          <w:i w:val="0"/>
          <w:iCs w:val="0"/>
          <w:color w:val="000000"/>
          <w:spacing w:val="0"/>
          <w:kern w:val="21"/>
          <w:sz w:val="32"/>
          <w:szCs w:val="32"/>
          <w:lang w:eastAsia="zh-CN"/>
        </w:rPr>
      </w:pPr>
      <w:r>
        <w:rPr>
          <w:rFonts w:hint="eastAsia" w:ascii="楷体_GB2312" w:hAnsi="楷体_GB2312" w:eastAsia="楷体_GB2312" w:cs="楷体_GB2312"/>
          <w:b/>
          <w:bCs/>
          <w:i w:val="0"/>
          <w:caps w:val="0"/>
          <w:color w:val="000000"/>
          <w:spacing w:val="0"/>
          <w:sz w:val="32"/>
          <w:szCs w:val="32"/>
          <w:shd w:val="clear" w:color="auto" w:fill="FFFFFF"/>
          <w:lang w:val="en-US" w:eastAsia="zh-CN"/>
        </w:rPr>
        <w:t>11</w:t>
      </w:r>
      <w:r>
        <w:rPr>
          <w:rFonts w:hint="eastAsia" w:ascii="楷体_GB2312" w:hAnsi="楷体_GB2312" w:eastAsia="楷体_GB2312" w:cs="楷体_GB2312"/>
          <w:b/>
          <w:bCs/>
          <w:i w:val="0"/>
          <w:caps w:val="0"/>
          <w:color w:val="000000"/>
          <w:spacing w:val="0"/>
          <w:sz w:val="32"/>
          <w:szCs w:val="32"/>
          <w:shd w:val="clear" w:color="auto" w:fill="FFFFFF"/>
        </w:rPr>
        <w:t>.加强对</w:t>
      </w:r>
      <w:r>
        <w:rPr>
          <w:rFonts w:hint="eastAsia" w:ascii="楷体_GB2312" w:hAnsi="楷体_GB2312" w:eastAsia="楷体_GB2312" w:cs="楷体_GB2312"/>
          <w:b/>
          <w:bCs/>
          <w:i w:val="0"/>
          <w:caps w:val="0"/>
          <w:color w:val="000000"/>
          <w:spacing w:val="0"/>
          <w:sz w:val="32"/>
          <w:szCs w:val="32"/>
          <w:shd w:val="clear" w:color="auto" w:fill="FFFFFF"/>
          <w:lang w:eastAsia="zh-CN"/>
        </w:rPr>
        <w:t>乡</w:t>
      </w:r>
      <w:r>
        <w:rPr>
          <w:rFonts w:hint="eastAsia" w:ascii="楷体_GB2312" w:hAnsi="楷体_GB2312" w:eastAsia="楷体_GB2312" w:cs="楷体_GB2312"/>
          <w:b/>
          <w:bCs/>
          <w:i w:val="0"/>
          <w:caps w:val="0"/>
          <w:color w:val="000000"/>
          <w:spacing w:val="0"/>
          <w:sz w:val="32"/>
          <w:szCs w:val="32"/>
          <w:shd w:val="clear" w:color="auto" w:fill="FFFFFF"/>
        </w:rPr>
        <w:t>镇人大工作的指导。</w:t>
      </w:r>
      <w:r>
        <w:rPr>
          <w:rFonts w:hint="eastAsia" w:ascii="仿宋_GB2312" w:hAnsi="仿宋_GB2312" w:eastAsia="仿宋_GB2312" w:cs="仿宋_GB2312"/>
          <w:b w:val="0"/>
          <w:bCs w:val="0"/>
          <w:i w:val="0"/>
          <w:caps w:val="0"/>
          <w:color w:val="000000"/>
          <w:spacing w:val="0"/>
          <w:sz w:val="32"/>
          <w:szCs w:val="32"/>
          <w:shd w:val="clear" w:color="auto" w:fill="FFFFFF"/>
          <w:lang w:eastAsia="zh-CN"/>
        </w:rPr>
        <w:t>继续实行</w:t>
      </w:r>
      <w:r>
        <w:rPr>
          <w:rFonts w:hint="eastAsia" w:ascii="仿宋_GB2312" w:hAnsi="仿宋_GB2312" w:eastAsia="仿宋_GB2312" w:cs="仿宋_GB2312"/>
          <w:b w:val="0"/>
          <w:bCs w:val="0"/>
          <w:i w:val="0"/>
          <w:iCs w:val="0"/>
          <w:color w:val="000000"/>
          <w:spacing w:val="0"/>
          <w:kern w:val="21"/>
          <w:sz w:val="32"/>
          <w:szCs w:val="32"/>
        </w:rPr>
        <w:t>常委会领导分片联系乡镇人大、邀请人大主席列席常委会会议等制度</w:t>
      </w:r>
      <w:r>
        <w:rPr>
          <w:rFonts w:hint="eastAsia" w:ascii="仿宋_GB2312" w:hAnsi="仿宋_GB2312" w:eastAsia="仿宋_GB2312" w:cs="仿宋_GB2312"/>
          <w:b w:val="0"/>
          <w:bCs/>
          <w:i w:val="0"/>
          <w:iCs w:val="0"/>
          <w:color w:val="000000"/>
          <w:spacing w:val="0"/>
          <w:kern w:val="21"/>
          <w:sz w:val="32"/>
          <w:szCs w:val="32"/>
        </w:rPr>
        <w:t>，加强对乡镇人大工作的日常联系和指导</w:t>
      </w:r>
      <w:r>
        <w:rPr>
          <w:rFonts w:hint="eastAsia" w:ascii="仿宋_GB2312" w:hAnsi="仿宋_GB2312" w:eastAsia="仿宋_GB2312" w:cs="仿宋_GB2312"/>
          <w:b w:val="0"/>
          <w:bCs/>
          <w:i w:val="0"/>
          <w:iCs w:val="0"/>
          <w:color w:val="000000"/>
          <w:spacing w:val="0"/>
          <w:kern w:val="21"/>
          <w:sz w:val="32"/>
          <w:szCs w:val="32"/>
          <w:lang w:eastAsia="zh-CN"/>
        </w:rPr>
        <w:t>。</w:t>
      </w:r>
    </w:p>
    <w:p>
      <w:pPr>
        <w:keepNext w:val="0"/>
        <w:keepLines w:val="0"/>
        <w:pageBreakBefore w:val="0"/>
        <w:widowControl w:val="0"/>
        <w:numPr>
          <w:ilvl w:val="0"/>
          <w:numId w:val="0"/>
        </w:numPr>
        <w:pBdr>
          <w:bottom w:val="single" w:color="FFFFFF" w:sz="4" w:space="29"/>
        </w:pBdr>
        <w:kinsoku/>
        <w:wordWrap/>
        <w:overflowPunct w:val="0"/>
        <w:topLinePunct/>
        <w:autoSpaceDE w:val="0"/>
        <w:autoSpaceDN w:val="0"/>
        <w:bidi w:val="0"/>
        <w:adjustRightInd w:val="0"/>
        <w:snapToGrid w:val="0"/>
        <w:spacing w:line="560" w:lineRule="exact"/>
        <w:ind w:left="0" w:leftChars="0" w:firstLine="643" w:firstLineChars="200"/>
        <w:jc w:val="both"/>
        <w:textAlignment w:val="auto"/>
        <w:outlineLvl w:val="9"/>
        <w:rPr>
          <w:rFonts w:hint="eastAsia" w:ascii="仿宋_GB2312" w:hAnsi="仿宋_GB2312" w:eastAsia="仿宋_GB2312" w:cs="仿宋_GB2312"/>
          <w:b w:val="0"/>
          <w:bCs w:val="0"/>
          <w:color w:val="000000"/>
          <w:spacing w:val="0"/>
          <w:sz w:val="32"/>
          <w:szCs w:val="32"/>
          <w:lang w:val="zh-CN" w:eastAsia="zh-CN"/>
        </w:rPr>
      </w:pPr>
      <w:r>
        <w:rPr>
          <w:rFonts w:hint="eastAsia" w:ascii="楷体_GB2312" w:hAnsi="楷体_GB2312" w:eastAsia="楷体_GB2312" w:cs="楷体_GB2312"/>
          <w:b/>
          <w:bCs/>
          <w:color w:val="000000"/>
          <w:sz w:val="32"/>
          <w:szCs w:val="32"/>
          <w:lang w:val="en-US" w:eastAsia="zh-CN"/>
        </w:rPr>
        <w:t>12</w:t>
      </w:r>
      <w:r>
        <w:rPr>
          <w:rFonts w:hint="eastAsia" w:ascii="楷体_GB2312" w:hAnsi="楷体_GB2312" w:eastAsia="楷体_GB2312" w:cs="楷体_GB2312"/>
          <w:b/>
          <w:bCs/>
          <w:color w:val="000000"/>
          <w:sz w:val="32"/>
          <w:szCs w:val="32"/>
        </w:rPr>
        <w:t>.</w:t>
      </w:r>
      <w:r>
        <w:rPr>
          <w:rFonts w:hint="eastAsia" w:ascii="楷体_GB2312" w:hAnsi="楷体_GB2312" w:eastAsia="楷体_GB2312" w:cs="楷体_GB2312"/>
          <w:b/>
          <w:bCs/>
          <w:color w:val="000000"/>
          <w:sz w:val="32"/>
          <w:szCs w:val="32"/>
          <w:lang w:eastAsia="zh-CN"/>
        </w:rPr>
        <w:t>不断加强履职能力建设</w:t>
      </w:r>
      <w:r>
        <w:rPr>
          <w:rFonts w:hint="eastAsia" w:ascii="楷体_GB2312" w:hAnsi="楷体_GB2312" w:eastAsia="楷体_GB2312" w:cs="楷体_GB2312"/>
          <w:b/>
          <w:bCs/>
          <w:color w:val="000000"/>
          <w:sz w:val="32"/>
          <w:szCs w:val="32"/>
        </w:rPr>
        <w:t>。</w:t>
      </w:r>
      <w:r>
        <w:rPr>
          <w:rFonts w:hint="eastAsia" w:ascii="仿宋_GB2312" w:hAnsi="仿宋_GB2312" w:eastAsia="仿宋_GB2312" w:cs="仿宋_GB2312"/>
          <w:b w:val="0"/>
          <w:bCs w:val="0"/>
          <w:color w:val="000000"/>
          <w:sz w:val="32"/>
          <w:szCs w:val="32"/>
          <w:lang w:eastAsia="zh-CN"/>
        </w:rPr>
        <w:t>健全组织制度和工作制度，严格执行常委会议事规则，贯彻落实民主集中制，推进人大常委会各项工作更加规范有序。切实加强常委会委员履职能力建设，强化委员责任担当，发挥委员主体作用。进一步</w:t>
      </w:r>
      <w:r>
        <w:rPr>
          <w:rFonts w:hint="eastAsia" w:ascii="仿宋_GB2312" w:hAnsi="仿宋_GB2312" w:eastAsia="仿宋_GB2312" w:cs="仿宋_GB2312"/>
          <w:b w:val="0"/>
          <w:bCs w:val="0"/>
          <w:color w:val="000000"/>
          <w:spacing w:val="0"/>
          <w:sz w:val="32"/>
          <w:szCs w:val="32"/>
          <w:lang w:val="zh-CN" w:eastAsia="zh-CN"/>
        </w:rPr>
        <w:t>加强各专门委员会建设，建立健全专委会议事规则，做好“专”字文章，充分发挥专门委员会的作用。</w:t>
      </w:r>
    </w:p>
    <w:p>
      <w:pPr>
        <w:keepNext w:val="0"/>
        <w:keepLines w:val="0"/>
        <w:pageBreakBefore w:val="0"/>
        <w:widowControl w:val="0"/>
        <w:numPr>
          <w:ilvl w:val="0"/>
          <w:numId w:val="0"/>
        </w:numPr>
        <w:pBdr>
          <w:bottom w:val="single" w:color="FFFFFF" w:sz="4" w:space="29"/>
        </w:pBdr>
        <w:kinsoku/>
        <w:wordWrap/>
        <w:overflowPunct w:val="0"/>
        <w:topLinePunct/>
        <w:autoSpaceDE w:val="0"/>
        <w:autoSpaceDN w:val="0"/>
        <w:bidi w:val="0"/>
        <w:adjustRightInd w:val="0"/>
        <w:snapToGrid w:val="0"/>
        <w:spacing w:after="0" w:line="560" w:lineRule="exact"/>
        <w:ind w:left="0" w:leftChars="0" w:firstLine="643" w:firstLineChars="200"/>
        <w:jc w:val="both"/>
        <w:textAlignment w:val="auto"/>
        <w:outlineLvl w:val="9"/>
        <w:rPr>
          <w:rFonts w:hint="eastAsia" w:ascii="楷体_GB2312" w:hAnsi="楷体_GB2312" w:eastAsia="楷体_GB2312" w:cs="楷体_GB2312"/>
          <w:b/>
          <w:bCs/>
          <w:i w:val="0"/>
          <w:caps w:val="0"/>
          <w:color w:val="000000"/>
          <w:spacing w:val="0"/>
          <w:sz w:val="32"/>
          <w:szCs w:val="32"/>
          <w:shd w:val="clear" w:color="auto" w:fill="FFFFFF"/>
        </w:rPr>
      </w:pPr>
      <w:r>
        <w:rPr>
          <w:rFonts w:hint="eastAsia" w:ascii="楷体_GB2312" w:hAnsi="楷体_GB2312" w:eastAsia="楷体_GB2312" w:cs="楷体_GB2312"/>
          <w:b/>
          <w:bCs/>
          <w:i w:val="0"/>
          <w:caps w:val="0"/>
          <w:color w:val="000000"/>
          <w:spacing w:val="0"/>
          <w:sz w:val="32"/>
          <w:szCs w:val="32"/>
          <w:shd w:val="clear" w:color="auto" w:fill="FFFFFF"/>
          <w:lang w:val="en-US" w:eastAsia="zh-CN"/>
        </w:rPr>
        <w:t>13</w:t>
      </w:r>
      <w:r>
        <w:rPr>
          <w:rFonts w:hint="eastAsia" w:ascii="楷体_GB2312" w:hAnsi="楷体_GB2312" w:eastAsia="楷体_GB2312" w:cs="楷体_GB2312"/>
          <w:b/>
          <w:bCs/>
          <w:i w:val="0"/>
          <w:caps w:val="0"/>
          <w:color w:val="000000"/>
          <w:spacing w:val="0"/>
          <w:sz w:val="32"/>
          <w:szCs w:val="32"/>
          <w:shd w:val="clear" w:color="auto" w:fill="FFFFFF"/>
        </w:rPr>
        <w:t>.加强人大工作宣传。</w:t>
      </w:r>
      <w:r>
        <w:rPr>
          <w:rFonts w:hint="eastAsia" w:ascii="仿宋_GB2312" w:hAnsi="仿宋_GB2312" w:eastAsia="仿宋_GB2312" w:cs="仿宋_GB2312"/>
          <w:b w:val="0"/>
          <w:bCs w:val="0"/>
          <w:i w:val="0"/>
          <w:caps w:val="0"/>
          <w:color w:val="000000"/>
          <w:spacing w:val="0"/>
          <w:sz w:val="32"/>
          <w:szCs w:val="32"/>
          <w:shd w:val="clear" w:color="auto" w:fill="FFFFFF"/>
        </w:rPr>
        <w:t>坚持正确的舆论导向，加强对人大制度、人大工作的宣传，努力营造人大依法履职的良好社会氛围。鼓励人大干部踊跃采写稿件，讲</w:t>
      </w:r>
      <w:r>
        <w:rPr>
          <w:rFonts w:hint="eastAsia" w:ascii="仿宋_GB2312" w:hAnsi="仿宋_GB2312" w:eastAsia="仿宋_GB2312" w:cs="仿宋_GB2312"/>
          <w:b w:val="0"/>
          <w:bCs w:val="0"/>
          <w:i w:val="0"/>
          <w:caps w:val="0"/>
          <w:color w:val="000000"/>
          <w:spacing w:val="0"/>
          <w:sz w:val="32"/>
          <w:szCs w:val="32"/>
          <w:shd w:val="clear" w:color="auto" w:fill="FFFFFF"/>
          <w:lang w:eastAsia="zh-CN"/>
        </w:rPr>
        <w:t>好红原</w:t>
      </w:r>
      <w:r>
        <w:rPr>
          <w:rFonts w:hint="eastAsia" w:ascii="仿宋_GB2312" w:hAnsi="仿宋_GB2312" w:eastAsia="仿宋_GB2312" w:cs="仿宋_GB2312"/>
          <w:b w:val="0"/>
          <w:bCs w:val="0"/>
          <w:i w:val="0"/>
          <w:caps w:val="0"/>
          <w:color w:val="000000"/>
          <w:spacing w:val="0"/>
          <w:sz w:val="32"/>
          <w:szCs w:val="32"/>
          <w:shd w:val="clear" w:color="auto" w:fill="FFFFFF"/>
        </w:rPr>
        <w:t>人大故事、展现代表风采。   </w:t>
      </w:r>
      <w:r>
        <w:rPr>
          <w:rFonts w:hint="eastAsia" w:ascii="楷体_GB2312" w:hAnsi="楷体_GB2312" w:eastAsia="楷体_GB2312" w:cs="楷体_GB2312"/>
          <w:b/>
          <w:bCs/>
          <w:i w:val="0"/>
          <w:caps w:val="0"/>
          <w:color w:val="000000"/>
          <w:spacing w:val="0"/>
          <w:sz w:val="32"/>
          <w:szCs w:val="32"/>
          <w:shd w:val="clear" w:color="auto" w:fill="FFFFFF"/>
        </w:rPr>
        <w:t> </w:t>
      </w:r>
    </w:p>
    <w:p>
      <w:pPr>
        <w:keepNext w:val="0"/>
        <w:keepLines w:val="0"/>
        <w:pageBreakBefore w:val="0"/>
        <w:widowControl w:val="0"/>
        <w:numPr>
          <w:ilvl w:val="0"/>
          <w:numId w:val="0"/>
        </w:numPr>
        <w:pBdr>
          <w:bottom w:val="single" w:color="FFFFFF" w:sz="4" w:space="29"/>
        </w:pBdr>
        <w:kinsoku/>
        <w:wordWrap/>
        <w:overflowPunct w:val="0"/>
        <w:topLinePunct/>
        <w:autoSpaceDE w:val="0"/>
        <w:autoSpaceDN w:val="0"/>
        <w:bidi w:val="0"/>
        <w:adjustRightInd w:val="0"/>
        <w:snapToGrid w:val="0"/>
        <w:spacing w:after="0" w:line="560" w:lineRule="exact"/>
        <w:ind w:left="0" w:leftChars="0" w:firstLine="643" w:firstLineChars="200"/>
        <w:jc w:val="both"/>
        <w:textAlignment w:val="auto"/>
        <w:outlineLvl w:val="9"/>
        <w:rPr>
          <w:rFonts w:hint="eastAsia"/>
          <w:lang w:val="en-US" w:eastAsia="zh-CN"/>
        </w:rPr>
      </w:pPr>
      <w:r>
        <w:rPr>
          <w:rFonts w:hint="eastAsia" w:ascii="楷体_GB2312" w:hAnsi="楷体_GB2312" w:eastAsia="楷体_GB2312" w:cs="楷体_GB2312"/>
          <w:b/>
          <w:bCs/>
          <w:i w:val="0"/>
          <w:caps w:val="0"/>
          <w:color w:val="000000"/>
          <w:spacing w:val="0"/>
          <w:sz w:val="32"/>
          <w:szCs w:val="32"/>
          <w:shd w:val="clear" w:color="auto" w:fill="FFFFFF"/>
          <w:lang w:val="en-US" w:eastAsia="zh-CN"/>
        </w:rPr>
        <w:t>14.</w:t>
      </w:r>
      <w:r>
        <w:rPr>
          <w:rFonts w:hint="eastAsia" w:ascii="楷体_GB2312" w:hAnsi="楷体_GB2312" w:eastAsia="楷体_GB2312" w:cs="楷体_GB2312"/>
          <w:b/>
          <w:bCs/>
          <w:i w:val="0"/>
          <w:caps w:val="0"/>
          <w:color w:val="000000"/>
          <w:spacing w:val="0"/>
          <w:sz w:val="32"/>
          <w:szCs w:val="32"/>
          <w:shd w:val="clear" w:color="auto" w:fill="FFFFFF"/>
        </w:rPr>
        <w:t>强化上下联系和交流。</w:t>
      </w:r>
      <w:r>
        <w:rPr>
          <w:rFonts w:hint="eastAsia" w:ascii="仿宋_GB2312" w:hAnsi="仿宋_GB2312" w:eastAsia="仿宋_GB2312" w:cs="仿宋_GB2312"/>
          <w:b w:val="0"/>
          <w:bCs w:val="0"/>
          <w:i w:val="0"/>
          <w:caps w:val="0"/>
          <w:color w:val="000000"/>
          <w:spacing w:val="0"/>
          <w:sz w:val="32"/>
          <w:szCs w:val="32"/>
          <w:shd w:val="clear" w:color="auto" w:fill="FFFFFF"/>
        </w:rPr>
        <w:t>密切与上级人大常委会的工作联系，自觉接受指导和监督，配合做好各项调研和检查工作。加强与</w:t>
      </w:r>
      <w:r>
        <w:rPr>
          <w:rFonts w:hint="eastAsia" w:ascii="仿宋_GB2312" w:hAnsi="仿宋_GB2312" w:eastAsia="仿宋_GB2312" w:cs="仿宋_GB2312"/>
          <w:b w:val="0"/>
          <w:bCs w:val="0"/>
          <w:i w:val="0"/>
          <w:caps w:val="0"/>
          <w:color w:val="000000"/>
          <w:spacing w:val="0"/>
          <w:sz w:val="32"/>
          <w:szCs w:val="32"/>
          <w:shd w:val="clear" w:color="auto" w:fill="FFFFFF"/>
          <w:lang w:eastAsia="zh-CN"/>
        </w:rPr>
        <w:t>“</w:t>
      </w:r>
      <w:r>
        <w:rPr>
          <w:rFonts w:hint="eastAsia" w:ascii="仿宋_GB2312" w:hAnsi="仿宋_GB2312" w:eastAsia="仿宋_GB2312" w:cs="仿宋_GB2312"/>
          <w:b w:val="0"/>
          <w:bCs w:val="0"/>
          <w:i w:val="0"/>
          <w:caps w:val="0"/>
          <w:color w:val="000000"/>
          <w:spacing w:val="0"/>
          <w:sz w:val="32"/>
          <w:szCs w:val="32"/>
          <w:shd w:val="clear" w:color="auto" w:fill="FFFFFF"/>
        </w:rPr>
        <w:t>一府一委两院</w:t>
      </w:r>
      <w:r>
        <w:rPr>
          <w:rFonts w:hint="eastAsia" w:ascii="仿宋_GB2312" w:hAnsi="仿宋_GB2312" w:eastAsia="仿宋_GB2312" w:cs="仿宋_GB2312"/>
          <w:b w:val="0"/>
          <w:bCs w:val="0"/>
          <w:i w:val="0"/>
          <w:caps w:val="0"/>
          <w:color w:val="000000"/>
          <w:spacing w:val="0"/>
          <w:sz w:val="32"/>
          <w:szCs w:val="32"/>
          <w:shd w:val="clear" w:color="auto" w:fill="FFFFFF"/>
          <w:lang w:eastAsia="zh-CN"/>
        </w:rPr>
        <w:t>”</w:t>
      </w:r>
      <w:r>
        <w:rPr>
          <w:rFonts w:hint="eastAsia" w:ascii="仿宋_GB2312" w:hAnsi="仿宋_GB2312" w:eastAsia="仿宋_GB2312" w:cs="仿宋_GB2312"/>
          <w:b w:val="0"/>
          <w:bCs w:val="0"/>
          <w:i w:val="0"/>
          <w:caps w:val="0"/>
          <w:color w:val="000000"/>
          <w:spacing w:val="0"/>
          <w:sz w:val="32"/>
          <w:szCs w:val="32"/>
          <w:shd w:val="clear" w:color="auto" w:fill="FFFFFF"/>
        </w:rPr>
        <w:t>的工作沟通，进一步密切与兄弟县（</w:t>
      </w:r>
      <w:r>
        <w:rPr>
          <w:rFonts w:hint="eastAsia" w:ascii="仿宋_GB2312" w:hAnsi="仿宋_GB2312" w:eastAsia="仿宋_GB2312" w:cs="仿宋_GB2312"/>
          <w:b w:val="0"/>
          <w:bCs w:val="0"/>
          <w:i w:val="0"/>
          <w:caps w:val="0"/>
          <w:color w:val="000000"/>
          <w:spacing w:val="0"/>
          <w:sz w:val="32"/>
          <w:szCs w:val="32"/>
          <w:shd w:val="clear" w:color="auto" w:fill="FFFFFF"/>
          <w:lang w:eastAsia="zh-CN"/>
        </w:rPr>
        <w:t>市</w:t>
      </w:r>
      <w:r>
        <w:rPr>
          <w:rFonts w:hint="eastAsia" w:ascii="仿宋_GB2312" w:hAnsi="仿宋_GB2312" w:eastAsia="仿宋_GB2312" w:cs="仿宋_GB2312"/>
          <w:b w:val="0"/>
          <w:bCs w:val="0"/>
          <w:i w:val="0"/>
          <w:caps w:val="0"/>
          <w:color w:val="000000"/>
          <w:spacing w:val="0"/>
          <w:sz w:val="32"/>
          <w:szCs w:val="32"/>
          <w:shd w:val="clear" w:color="auto" w:fill="FFFFFF"/>
        </w:rPr>
        <w:t>）人大的联系和交流。</w:t>
      </w:r>
      <w:r>
        <w:rPr>
          <w:rFonts w:hint="eastAsia" w:ascii="仿宋_GB2312" w:hAnsi="仿宋_GB2312" w:eastAsia="仿宋_GB2312" w:cs="仿宋_GB2312"/>
          <w:b w:val="0"/>
          <w:bCs w:val="0"/>
          <w:i w:val="0"/>
          <w:caps w:val="0"/>
          <w:color w:val="000000"/>
          <w:spacing w:val="0"/>
          <w:sz w:val="32"/>
          <w:szCs w:val="32"/>
          <w:shd w:val="clear" w:color="auto" w:fill="FFFFFF"/>
          <w:lang w:eastAsia="zh-CN"/>
        </w:rPr>
        <w:t>为学习借鉴先进经验，组织部分州县乡人大代表赴省外学习考察</w:t>
      </w:r>
      <w:r>
        <w:rPr>
          <w:rFonts w:hint="eastAsia" w:ascii="仿宋_GB2312" w:hAnsi="仿宋_GB2312" w:eastAsia="仿宋_GB2312" w:cs="仿宋_GB2312"/>
          <w:b w:val="0"/>
          <w:bCs w:val="0"/>
          <w:i w:val="0"/>
          <w:caps w:val="0"/>
          <w:color w:val="000000"/>
          <w:spacing w:val="0"/>
          <w:sz w:val="32"/>
          <w:szCs w:val="32"/>
          <w:shd w:val="clear" w:color="auto" w:fill="FFFFFF"/>
          <w:lang w:val="en-US" w:eastAsia="zh-CN"/>
        </w:rPr>
        <w:t>2次。</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keepNext w:val="0"/>
        <w:keepLines w:val="0"/>
        <w:pageBreakBefore w:val="0"/>
        <w:widowControl w:val="0"/>
        <w:numPr>
          <w:ilvl w:val="0"/>
          <w:numId w:val="0"/>
        </w:numPr>
        <w:pBdr>
          <w:bottom w:val="single" w:color="FFFFFF" w:sz="4" w:space="29"/>
        </w:pBdr>
        <w:kinsoku/>
        <w:wordWrap/>
        <w:overflowPunct/>
        <w:topLinePunct w:val="0"/>
        <w:autoSpaceDE/>
        <w:autoSpaceDN/>
        <w:bidi w:val="0"/>
        <w:adjustRightInd w:val="0"/>
        <w:snapToGrid w:val="0"/>
        <w:spacing w:after="0" w:line="560" w:lineRule="exact"/>
        <w:ind w:firstLine="640" w:firstLineChars="200"/>
        <w:jc w:val="both"/>
        <w:textAlignment w:val="auto"/>
        <w:outlineLvl w:val="9"/>
        <w:rPr>
          <w:rFonts w:hint="default"/>
          <w:sz w:val="32"/>
          <w:szCs w:val="32"/>
          <w:lang w:val="en-US"/>
        </w:rPr>
      </w:pPr>
      <w:r>
        <w:rPr>
          <w:rFonts w:hint="eastAsia" w:ascii="仿宋_GB2312" w:hAnsi="仿宋" w:eastAsia="仿宋_GB2312"/>
          <w:sz w:val="32"/>
          <w:szCs w:val="32"/>
        </w:rPr>
        <w:t>人大常委会办公室内设办公室、</w:t>
      </w:r>
      <w:r>
        <w:rPr>
          <w:rFonts w:hint="eastAsia" w:ascii="仿宋_GB2312" w:hAnsi="仿宋" w:eastAsia="仿宋_GB2312"/>
          <w:sz w:val="32"/>
          <w:szCs w:val="32"/>
          <w:lang w:val="en-US" w:eastAsia="zh-CN"/>
        </w:rPr>
        <w:t>法监司和民宗外事委</w:t>
      </w:r>
      <w:r>
        <w:rPr>
          <w:rFonts w:hint="eastAsia" w:ascii="仿宋_GB2312" w:hAnsi="仿宋" w:eastAsia="仿宋_GB2312"/>
          <w:sz w:val="32"/>
          <w:szCs w:val="32"/>
        </w:rPr>
        <w:t>、财经</w:t>
      </w:r>
      <w:r>
        <w:rPr>
          <w:rFonts w:hint="eastAsia" w:ascii="仿宋_GB2312" w:hAnsi="仿宋" w:eastAsia="仿宋_GB2312"/>
          <w:sz w:val="32"/>
          <w:szCs w:val="32"/>
          <w:lang w:val="en-US" w:eastAsia="zh-CN"/>
        </w:rPr>
        <w:t>农环</w:t>
      </w:r>
      <w:r>
        <w:rPr>
          <w:rFonts w:hint="eastAsia" w:ascii="仿宋_GB2312" w:hAnsi="仿宋" w:eastAsia="仿宋_GB2312"/>
          <w:sz w:val="32"/>
          <w:szCs w:val="32"/>
        </w:rPr>
        <w:t>委、教科文卫</w:t>
      </w:r>
      <w:r>
        <w:rPr>
          <w:rFonts w:hint="eastAsia" w:ascii="仿宋_GB2312" w:hAnsi="仿宋" w:eastAsia="仿宋_GB2312"/>
          <w:sz w:val="32"/>
          <w:szCs w:val="32"/>
          <w:lang w:val="en-US" w:eastAsia="zh-CN"/>
        </w:rPr>
        <w:t>和社建</w:t>
      </w:r>
      <w:r>
        <w:rPr>
          <w:rFonts w:hint="eastAsia" w:ascii="仿宋_GB2312" w:hAnsi="仿宋" w:eastAsia="仿宋_GB2312"/>
          <w:sz w:val="32"/>
          <w:szCs w:val="32"/>
        </w:rPr>
        <w:t>委及人代工委“四委一室”</w:t>
      </w:r>
      <w:r>
        <w:rPr>
          <w:rFonts w:hint="eastAsia" w:ascii="仿宋_GB2312" w:hAnsi="仿宋" w:eastAsia="仿宋_GB2312"/>
          <w:sz w:val="32"/>
          <w:szCs w:val="32"/>
          <w:lang w:val="en-US" w:eastAsia="zh-CN"/>
        </w:rPr>
        <w:t>，下设二级股级事业单位人大预算联网服务中心，</w:t>
      </w:r>
      <w:r>
        <w:rPr>
          <w:rFonts w:hint="eastAsia" w:ascii="仿宋_GB2312" w:hAnsi="仿宋_GB2312" w:eastAsia="仿宋_GB2312" w:cs="仿宋_GB2312"/>
          <w:color w:val="333333"/>
          <w:sz w:val="32"/>
          <w:szCs w:val="32"/>
          <w:shd w:val="clear" w:color="auto" w:fill="FFFFFF"/>
        </w:rPr>
        <w:t>我</w:t>
      </w:r>
      <w:r>
        <w:rPr>
          <w:rFonts w:hint="eastAsia" w:ascii="仿宋_GB2312" w:hAnsi="仿宋_GB2312" w:eastAsia="仿宋_GB2312" w:cs="仿宋_GB2312"/>
          <w:color w:val="333333"/>
          <w:sz w:val="32"/>
          <w:szCs w:val="32"/>
          <w:shd w:val="clear" w:color="auto" w:fill="FFFFFF"/>
          <w:lang w:eastAsia="zh-CN"/>
        </w:rPr>
        <w:t>单位</w:t>
      </w:r>
      <w:r>
        <w:rPr>
          <w:rFonts w:hint="eastAsia" w:ascii="仿宋_GB2312" w:hAnsi="仿宋_GB2312" w:eastAsia="仿宋_GB2312" w:cs="仿宋_GB2312"/>
          <w:color w:val="333333"/>
          <w:sz w:val="32"/>
          <w:szCs w:val="32"/>
          <w:shd w:val="clear" w:color="auto" w:fill="FFFFFF"/>
        </w:rPr>
        <w:t>为独立核算全额拨款行政单位</w:t>
      </w:r>
      <w:r>
        <w:rPr>
          <w:rFonts w:hint="eastAsia" w:ascii="仿宋_GB2312" w:hAnsi="仿宋_GB2312" w:eastAsia="仿宋_GB2312" w:cs="仿宋_GB2312"/>
          <w:color w:val="333333"/>
          <w:sz w:val="32"/>
          <w:szCs w:val="32"/>
          <w:shd w:val="clear" w:color="auto" w:fill="FFFFFF"/>
          <w:lang w:eastAsia="zh-CN"/>
        </w:rPr>
        <w:t>。截止</w:t>
      </w:r>
      <w:r>
        <w:rPr>
          <w:rFonts w:hint="eastAsia" w:ascii="仿宋_GB2312" w:hAnsi="仿宋_GB2312" w:eastAsia="仿宋_GB2312" w:cs="仿宋_GB2312"/>
          <w:color w:val="333333"/>
          <w:sz w:val="32"/>
          <w:szCs w:val="32"/>
          <w:shd w:val="clear" w:color="auto" w:fill="FFFFFF"/>
          <w:lang w:val="en-US" w:eastAsia="zh-CN"/>
        </w:rPr>
        <w:t>2022年底我办共有在职人员24人，其中公务员19人，行政工勤4人，事业管理人员1人。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红原县人大办</w:t>
      </w:r>
      <w:r>
        <w:rPr>
          <w:rFonts w:hint="eastAsia" w:ascii="仿宋_GB2312" w:eastAsia="仿宋_GB2312"/>
          <w:sz w:val="32"/>
          <w:szCs w:val="32"/>
        </w:rPr>
        <w:t>收入预算总额为</w:t>
      </w:r>
      <w:r>
        <w:rPr>
          <w:rFonts w:hint="eastAsia" w:ascii="仿宋_GB2312" w:eastAsia="仿宋_GB2312"/>
          <w:sz w:val="32"/>
          <w:szCs w:val="32"/>
          <w:lang w:val="en-US" w:eastAsia="zh-CN"/>
        </w:rPr>
        <w:t>842.29</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842.29</w:t>
      </w:r>
      <w:r>
        <w:rPr>
          <w:rFonts w:hint="eastAsia" w:ascii="仿宋_GB2312" w:eastAsia="仿宋_GB2312"/>
          <w:sz w:val="32"/>
          <w:szCs w:val="32"/>
        </w:rPr>
        <w:t>万元。相应安排支出预算</w:t>
      </w:r>
      <w:r>
        <w:rPr>
          <w:rFonts w:hint="eastAsia" w:ascii="仿宋_GB2312" w:eastAsia="仿宋_GB2312"/>
          <w:sz w:val="32"/>
          <w:szCs w:val="32"/>
          <w:lang w:val="en-US" w:eastAsia="zh-CN"/>
        </w:rPr>
        <w:t>842.29</w:t>
      </w:r>
      <w:r>
        <w:rPr>
          <w:rFonts w:hint="eastAsia" w:ascii="仿宋_GB2312" w:eastAsia="仿宋_GB2312"/>
          <w:sz w:val="32"/>
          <w:szCs w:val="32"/>
        </w:rPr>
        <w:t>万元，</w:t>
      </w:r>
      <w:r>
        <w:rPr>
          <w:rFonts w:hint="eastAsia" w:ascii="仿宋_GB2312" w:eastAsia="仿宋_GB2312"/>
          <w:sz w:val="32"/>
          <w:szCs w:val="32"/>
          <w:lang w:eastAsia="zh-CN"/>
        </w:rPr>
        <w:t>基本支出</w:t>
      </w:r>
      <w:r>
        <w:rPr>
          <w:rFonts w:hint="eastAsia" w:ascii="仿宋_GB2312" w:eastAsia="仿宋_GB2312"/>
          <w:sz w:val="32"/>
          <w:szCs w:val="32"/>
          <w:lang w:val="en-US" w:eastAsia="zh-CN"/>
        </w:rPr>
        <w:t>755.29万元，项目支出87万元，</w:t>
      </w:r>
      <w:r>
        <w:rPr>
          <w:rFonts w:hint="eastAsia" w:ascii="仿宋_GB2312" w:eastAsia="仿宋_GB2312"/>
          <w:sz w:val="32"/>
          <w:szCs w:val="32"/>
        </w:rPr>
        <w:t>其中：一般公共服务</w:t>
      </w:r>
      <w:r>
        <w:rPr>
          <w:rFonts w:hint="eastAsia" w:ascii="仿宋_GB2312" w:eastAsia="仿宋_GB2312"/>
          <w:sz w:val="32"/>
          <w:szCs w:val="32"/>
          <w:lang w:val="en-US" w:eastAsia="zh-CN"/>
        </w:rPr>
        <w:t>647.61</w:t>
      </w:r>
      <w:r>
        <w:rPr>
          <w:rFonts w:hint="eastAsia" w:ascii="仿宋_GB2312" w:eastAsia="仿宋_GB2312"/>
          <w:sz w:val="32"/>
          <w:szCs w:val="32"/>
        </w:rPr>
        <w:t>万元，社会保障和就业</w:t>
      </w:r>
      <w:r>
        <w:rPr>
          <w:rFonts w:hint="eastAsia" w:ascii="仿宋_GB2312" w:eastAsia="仿宋_GB2312"/>
          <w:sz w:val="32"/>
          <w:szCs w:val="32"/>
          <w:lang w:val="en-US" w:eastAsia="zh-CN"/>
        </w:rPr>
        <w:t>100.74</w:t>
      </w:r>
      <w:r>
        <w:rPr>
          <w:rFonts w:hint="eastAsia" w:ascii="仿宋_GB2312" w:eastAsia="仿宋_GB2312"/>
          <w:sz w:val="32"/>
          <w:szCs w:val="32"/>
        </w:rPr>
        <w:t>万元，医疗卫生</w:t>
      </w:r>
      <w:r>
        <w:rPr>
          <w:rFonts w:hint="eastAsia" w:ascii="仿宋_GB2312" w:eastAsia="仿宋_GB2312"/>
          <w:sz w:val="32"/>
          <w:szCs w:val="32"/>
          <w:lang w:val="en-US" w:eastAsia="zh-CN"/>
        </w:rPr>
        <w:t>38.56</w:t>
      </w:r>
      <w:r>
        <w:rPr>
          <w:rFonts w:hint="eastAsia" w:ascii="仿宋_GB2312" w:eastAsia="仿宋_GB2312"/>
          <w:sz w:val="32"/>
          <w:szCs w:val="32"/>
        </w:rPr>
        <w:t>万元，住房保障支出</w:t>
      </w:r>
      <w:r>
        <w:rPr>
          <w:rFonts w:hint="eastAsia" w:ascii="仿宋_GB2312" w:eastAsia="仿宋_GB2312"/>
          <w:sz w:val="32"/>
          <w:szCs w:val="32"/>
          <w:lang w:val="en-US" w:eastAsia="zh-CN"/>
        </w:rPr>
        <w:t>55.38</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红原县人大办</w:t>
      </w:r>
      <w:r>
        <w:rPr>
          <w:rFonts w:hint="eastAsia" w:ascii="仿宋_GB2312" w:eastAsia="仿宋_GB2312"/>
          <w:sz w:val="32"/>
          <w:szCs w:val="32"/>
        </w:rPr>
        <w:t>预算安排支出主要用于保障该部门</w:t>
      </w:r>
      <w:r>
        <w:rPr>
          <w:rFonts w:hint="eastAsia" w:ascii="仿宋_GB2312" w:eastAsia="仿宋_GB2312"/>
          <w:sz w:val="32"/>
          <w:szCs w:val="32"/>
          <w:lang w:eastAsia="zh-CN"/>
        </w:rPr>
        <w:t>及下属</w:t>
      </w:r>
      <w:r>
        <w:rPr>
          <w:rFonts w:hint="eastAsia" w:ascii="仿宋_GB2312" w:eastAsia="仿宋_GB2312"/>
          <w:sz w:val="32"/>
          <w:szCs w:val="32"/>
        </w:rPr>
        <w:t>机构正常运转、完成日常工作任务以及承担</w:t>
      </w:r>
      <w:r>
        <w:rPr>
          <w:rFonts w:hint="eastAsia" w:ascii="仿宋_GB2312" w:eastAsia="仿宋_GB2312"/>
          <w:sz w:val="32"/>
          <w:szCs w:val="32"/>
          <w:lang w:eastAsia="zh-CN"/>
        </w:rPr>
        <w:t>人大</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基本支出</w:t>
      </w:r>
      <w:r>
        <w:rPr>
          <w:rFonts w:hint="eastAsia" w:ascii="仿宋_GB2312" w:eastAsia="仿宋_GB2312"/>
          <w:sz w:val="32"/>
          <w:szCs w:val="32"/>
          <w:lang w:val="en-US" w:eastAsia="zh-CN"/>
        </w:rPr>
        <w:t>755.29</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698.43万元，机关运行经费56.86万元，其中：办公费11.9万元，手续费0.2万元，水费0.5万元，电费2万元，邮电费5万元，取暖费2.38万元，差旅费1万元，维修维护费1.4万元，劳务费3.78万元，公务接待费0.46万元，工会经费5.04万元，公务用车运行维护费</w:t>
      </w:r>
      <w:r>
        <w:rPr>
          <w:rFonts w:hint="eastAsia" w:ascii="仿宋_GB2312" w:eastAsia="仿宋_GB2312"/>
          <w:sz w:val="32"/>
          <w:szCs w:val="32"/>
        </w:rPr>
        <w:t>23.20</w:t>
      </w:r>
      <w:r>
        <w:rPr>
          <w:rFonts w:hint="eastAsia" w:ascii="仿宋_GB2312" w:eastAsia="仿宋_GB2312"/>
          <w:sz w:val="32"/>
          <w:szCs w:val="32"/>
          <w:lang w:val="en-US" w:eastAsia="zh-CN"/>
        </w:rPr>
        <w:t>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（一）2010101</w:t>
      </w:r>
      <w:r>
        <w:rPr>
          <w:rFonts w:hint="eastAsia" w:ascii="仿宋_GB2312" w:eastAsia="仿宋_GB2312"/>
          <w:sz w:val="32"/>
          <w:szCs w:val="32"/>
          <w:lang w:val="en-US" w:eastAsia="zh-CN"/>
        </w:rPr>
        <w:t>-</w:t>
      </w:r>
      <w:r>
        <w:rPr>
          <w:rFonts w:hint="eastAsia" w:ascii="仿宋_GB2312" w:eastAsia="仿宋_GB2312"/>
          <w:sz w:val="32"/>
          <w:szCs w:val="32"/>
        </w:rPr>
        <w:t>行政运行</w:t>
      </w:r>
      <w:r>
        <w:rPr>
          <w:rFonts w:hint="eastAsia" w:ascii="仿宋_GB2312" w:eastAsia="仿宋_GB2312"/>
          <w:sz w:val="32"/>
          <w:szCs w:val="32"/>
          <w:lang w:val="en-US" w:eastAsia="zh-CN"/>
        </w:rPr>
        <w:t>545.16</w:t>
      </w:r>
      <w:r>
        <w:rPr>
          <w:rFonts w:hint="eastAsia" w:ascii="仿宋_GB2312" w:eastAsia="仿宋_GB2312"/>
          <w:sz w:val="32"/>
          <w:szCs w:val="32"/>
          <w:lang w:eastAsia="zh-CN"/>
        </w:rPr>
        <w:t>万元</w:t>
      </w:r>
      <w:r>
        <w:rPr>
          <w:rFonts w:hint="eastAsia" w:ascii="仿宋_GB2312" w:eastAsia="仿宋_GB2312"/>
          <w:sz w:val="32"/>
          <w:szCs w:val="32"/>
        </w:rPr>
        <w:t>，主要用于</w:t>
      </w:r>
      <w:r>
        <w:rPr>
          <w:rFonts w:hint="eastAsia" w:ascii="仿宋_GB2312" w:eastAsia="仿宋_GB2312"/>
          <w:sz w:val="32"/>
          <w:szCs w:val="32"/>
          <w:lang w:eastAsia="zh-CN"/>
        </w:rPr>
        <w:t>行政</w:t>
      </w:r>
      <w:r>
        <w:rPr>
          <w:rFonts w:hint="eastAsia" w:ascii="仿宋_GB2312" w:eastAsia="仿宋_GB2312"/>
          <w:sz w:val="32"/>
          <w:szCs w:val="32"/>
        </w:rPr>
        <w:t>单位人员工资</w:t>
      </w:r>
      <w:r>
        <w:rPr>
          <w:rFonts w:hint="eastAsia" w:ascii="仿宋_GB2312" w:eastAsia="仿宋_GB2312"/>
          <w:sz w:val="32"/>
          <w:szCs w:val="32"/>
          <w:lang w:eastAsia="zh-CN"/>
        </w:rPr>
        <w:t>、个人部分保险</w:t>
      </w:r>
      <w:r>
        <w:rPr>
          <w:rFonts w:hint="eastAsia" w:ascii="仿宋_GB2312" w:eastAsia="仿宋_GB2312"/>
          <w:sz w:val="32"/>
          <w:szCs w:val="32"/>
        </w:rPr>
        <w:t>、日常运转</w:t>
      </w:r>
      <w:r>
        <w:rPr>
          <w:rFonts w:hint="eastAsia" w:ascii="仿宋_GB2312" w:eastAsia="仿宋_GB2312"/>
          <w:sz w:val="32"/>
          <w:szCs w:val="32"/>
          <w:lang w:eastAsia="zh-CN"/>
        </w:rPr>
        <w:t>等</w:t>
      </w:r>
      <w:r>
        <w:rPr>
          <w:rFonts w:hint="eastAsia" w:ascii="仿宋_GB2312" w:eastAsia="仿宋_GB2312"/>
          <w:sz w:val="32"/>
          <w:szCs w:val="32"/>
        </w:rPr>
        <w:t>支出</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lang w:eastAsia="zh-CN"/>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）20101</w:t>
      </w:r>
      <w:r>
        <w:rPr>
          <w:rFonts w:hint="eastAsia" w:ascii="仿宋_GB2312" w:eastAsia="仿宋_GB2312"/>
          <w:sz w:val="32"/>
          <w:szCs w:val="32"/>
          <w:lang w:val="en-US" w:eastAsia="zh-CN"/>
        </w:rPr>
        <w:t>50-</w:t>
      </w:r>
      <w:r>
        <w:rPr>
          <w:rFonts w:hint="eastAsia" w:ascii="仿宋_GB2312" w:eastAsia="仿宋_GB2312"/>
          <w:sz w:val="32"/>
          <w:szCs w:val="32"/>
          <w:lang w:eastAsia="zh-CN"/>
        </w:rPr>
        <w:t>事业</w:t>
      </w:r>
      <w:r>
        <w:rPr>
          <w:rFonts w:hint="eastAsia" w:ascii="仿宋_GB2312" w:eastAsia="仿宋_GB2312"/>
          <w:sz w:val="32"/>
          <w:szCs w:val="32"/>
        </w:rPr>
        <w:t>运行</w:t>
      </w:r>
      <w:r>
        <w:rPr>
          <w:rFonts w:hint="eastAsia" w:ascii="仿宋_GB2312" w:eastAsia="仿宋_GB2312"/>
          <w:sz w:val="32"/>
          <w:szCs w:val="32"/>
          <w:lang w:val="en-US" w:eastAsia="zh-CN"/>
        </w:rPr>
        <w:t>15.45</w:t>
      </w:r>
      <w:r>
        <w:rPr>
          <w:rFonts w:hint="eastAsia" w:ascii="仿宋_GB2312" w:eastAsia="仿宋_GB2312"/>
          <w:sz w:val="32"/>
          <w:szCs w:val="32"/>
          <w:lang w:eastAsia="zh-CN"/>
        </w:rPr>
        <w:t>万元</w:t>
      </w:r>
      <w:r>
        <w:rPr>
          <w:rFonts w:hint="eastAsia" w:ascii="仿宋_GB2312" w:eastAsia="仿宋_GB2312"/>
          <w:sz w:val="32"/>
          <w:szCs w:val="32"/>
        </w:rPr>
        <w:t>，主要用于</w:t>
      </w:r>
      <w:r>
        <w:rPr>
          <w:rFonts w:hint="eastAsia" w:ascii="仿宋_GB2312" w:eastAsia="仿宋_GB2312"/>
          <w:sz w:val="32"/>
          <w:szCs w:val="32"/>
          <w:lang w:eastAsia="zh-CN"/>
        </w:rPr>
        <w:t>事业</w:t>
      </w:r>
      <w:r>
        <w:rPr>
          <w:rFonts w:hint="eastAsia" w:ascii="仿宋_GB2312" w:eastAsia="仿宋_GB2312"/>
          <w:sz w:val="32"/>
          <w:szCs w:val="32"/>
        </w:rPr>
        <w:t>单位人员工资</w:t>
      </w:r>
      <w:r>
        <w:rPr>
          <w:rFonts w:hint="eastAsia" w:ascii="仿宋_GB2312" w:eastAsia="仿宋_GB2312"/>
          <w:sz w:val="32"/>
          <w:szCs w:val="32"/>
          <w:lang w:eastAsia="zh-CN"/>
        </w:rPr>
        <w:t>、个人部分保险</w:t>
      </w:r>
      <w:r>
        <w:rPr>
          <w:rFonts w:hint="eastAsia" w:ascii="仿宋_GB2312" w:eastAsia="仿宋_GB2312"/>
          <w:sz w:val="32"/>
          <w:szCs w:val="32"/>
        </w:rPr>
        <w:t>、日常运转</w:t>
      </w:r>
      <w:r>
        <w:rPr>
          <w:rFonts w:hint="eastAsia" w:ascii="仿宋_GB2312" w:eastAsia="仿宋_GB2312"/>
          <w:sz w:val="32"/>
          <w:szCs w:val="32"/>
          <w:lang w:eastAsia="zh-CN"/>
        </w:rPr>
        <w:t>等</w:t>
      </w:r>
      <w:r>
        <w:rPr>
          <w:rFonts w:hint="eastAsia" w:ascii="仿宋_GB2312" w:eastAsia="仿宋_GB2312"/>
          <w:sz w:val="32"/>
          <w:szCs w:val="32"/>
        </w:rPr>
        <w:t>支出</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（三）2010102</w:t>
      </w:r>
      <w:r>
        <w:rPr>
          <w:rFonts w:hint="eastAsia" w:ascii="仿宋_GB2312" w:eastAsia="仿宋_GB2312"/>
          <w:sz w:val="32"/>
          <w:szCs w:val="32"/>
          <w:lang w:val="en-US" w:eastAsia="zh-CN"/>
        </w:rPr>
        <w:t>-</w:t>
      </w:r>
      <w:r>
        <w:rPr>
          <w:rFonts w:hint="eastAsia" w:ascii="仿宋_GB2312" w:eastAsia="仿宋_GB2312"/>
          <w:sz w:val="32"/>
          <w:szCs w:val="32"/>
          <w:lang w:eastAsia="zh-CN"/>
        </w:rPr>
        <w:t>一般行政管理事务20万元，为人大专项办公费，主要用于人大调研等工作开展费用，车辆保障、出差等费用；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（四）2010104</w:t>
      </w:r>
      <w:r>
        <w:rPr>
          <w:rFonts w:hint="eastAsia" w:ascii="仿宋_GB2312" w:eastAsia="仿宋_GB2312"/>
          <w:sz w:val="32"/>
          <w:szCs w:val="32"/>
          <w:lang w:val="en-US" w:eastAsia="zh-CN"/>
        </w:rPr>
        <w:t>-</w:t>
      </w:r>
      <w:r>
        <w:rPr>
          <w:rFonts w:hint="eastAsia" w:ascii="仿宋_GB2312" w:eastAsia="仿宋_GB2312"/>
          <w:sz w:val="32"/>
          <w:szCs w:val="32"/>
          <w:lang w:eastAsia="zh-CN"/>
        </w:rPr>
        <w:t>人大会议30.00万元，主要用于人大常委会及人代会的住宿费、伙食费、会议室及会议通讯线路租金、交通费、文件印刷费等支出；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（五）2010107</w:t>
      </w:r>
      <w:r>
        <w:rPr>
          <w:rFonts w:hint="eastAsia" w:ascii="仿宋_GB2312" w:eastAsia="仿宋_GB2312"/>
          <w:sz w:val="32"/>
          <w:szCs w:val="32"/>
          <w:lang w:val="en-US" w:eastAsia="zh-CN"/>
        </w:rPr>
        <w:t>-</w:t>
      </w:r>
      <w:r>
        <w:rPr>
          <w:rFonts w:hint="eastAsia" w:ascii="仿宋_GB2312" w:eastAsia="仿宋_GB2312"/>
          <w:sz w:val="32"/>
          <w:szCs w:val="32"/>
          <w:lang w:eastAsia="zh-CN"/>
        </w:rPr>
        <w:t>人大代表履职能力提升</w:t>
      </w:r>
      <w:r>
        <w:rPr>
          <w:rFonts w:hint="eastAsia" w:ascii="仿宋_GB2312" w:eastAsia="仿宋_GB2312"/>
          <w:sz w:val="32"/>
          <w:szCs w:val="32"/>
          <w:lang w:val="en-US" w:eastAsia="zh-CN"/>
        </w:rPr>
        <w:t>27.1</w:t>
      </w:r>
      <w:r>
        <w:rPr>
          <w:rFonts w:hint="eastAsia" w:ascii="仿宋_GB2312" w:eastAsia="仿宋_GB2312"/>
          <w:sz w:val="32"/>
          <w:szCs w:val="32"/>
          <w:lang w:eastAsia="zh-CN"/>
        </w:rPr>
        <w:t>万元，主要州、县人大代表履职培训及调研考察等相关工作支出；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eastAsia="zh-CN"/>
        </w:rPr>
        <w:t>（六）</w:t>
      </w:r>
      <w:r>
        <w:rPr>
          <w:rFonts w:hint="eastAsia" w:ascii="仿宋_GB2312" w:eastAsia="仿宋_GB2312"/>
          <w:sz w:val="32"/>
          <w:szCs w:val="32"/>
          <w:lang w:val="en-US" w:eastAsia="zh-CN"/>
        </w:rPr>
        <w:t>2010108-代表工作9.9万元，主要用于开展代表活动相关开支。</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（七）2080505</w:t>
      </w:r>
      <w:r>
        <w:rPr>
          <w:rFonts w:hint="eastAsia" w:ascii="仿宋_GB2312" w:eastAsia="仿宋_GB2312"/>
          <w:sz w:val="32"/>
          <w:szCs w:val="32"/>
          <w:lang w:val="en-US" w:eastAsia="zh-CN"/>
        </w:rPr>
        <w:t>-</w:t>
      </w:r>
      <w:r>
        <w:rPr>
          <w:rFonts w:hint="eastAsia"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67.16</w:t>
      </w:r>
      <w:r>
        <w:rPr>
          <w:rFonts w:hint="eastAsia" w:ascii="仿宋_GB2312" w:eastAsia="仿宋_GB2312"/>
          <w:sz w:val="32"/>
          <w:szCs w:val="32"/>
          <w:lang w:eastAsia="zh-CN"/>
        </w:rPr>
        <w:t>万元，全部用于行政及事业在职职工缴纳单位部分养老保险；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（八）2080506-机关事业单位职业年金缴费支出33.58万元，全部用于</w:t>
      </w:r>
      <w:r>
        <w:rPr>
          <w:rFonts w:hint="eastAsia" w:ascii="仿宋_GB2312" w:eastAsia="仿宋_GB2312"/>
          <w:sz w:val="32"/>
          <w:szCs w:val="32"/>
          <w:lang w:eastAsia="zh-CN"/>
        </w:rPr>
        <w:t>行政及事业</w:t>
      </w:r>
      <w:r>
        <w:rPr>
          <w:rFonts w:hint="eastAsia" w:ascii="仿宋_GB2312" w:eastAsia="仿宋_GB2312"/>
          <w:sz w:val="32"/>
          <w:szCs w:val="32"/>
          <w:lang w:val="en-US" w:eastAsia="zh-CN"/>
        </w:rPr>
        <w:t>在职职工缴纳单位部分职业年金；</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（九）2101101-行政单位医疗28.56万元，全部用于缴纳行政在职职工单位部分医疗保险；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lang w:val="en-US" w:eastAsia="zh-CN"/>
        </w:rPr>
      </w:pPr>
      <w:r>
        <w:rPr>
          <w:rFonts w:hint="eastAsia" w:ascii="仿宋_GB2312" w:eastAsia="仿宋_GB2312"/>
          <w:sz w:val="32"/>
          <w:szCs w:val="32"/>
          <w:lang w:val="en-US" w:eastAsia="zh-CN"/>
        </w:rPr>
        <w:t>（十）2101102-事业单位医疗0.82万元，全部用于缴纳事业在职职工单位部分医疗保险；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（十一）2101103-公务员医疗补助支出9万元，全部用于缴纳行政在职职工公务员医疗保险；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lang w:val="en-US" w:eastAsia="zh-CN"/>
        </w:rPr>
      </w:pPr>
      <w:r>
        <w:rPr>
          <w:rFonts w:hint="eastAsia" w:ascii="仿宋_GB2312" w:eastAsia="仿宋_GB2312"/>
          <w:sz w:val="32"/>
          <w:szCs w:val="32"/>
          <w:lang w:val="en-US" w:eastAsia="zh-CN"/>
        </w:rPr>
        <w:t xml:space="preserve"> （十二）2101199-其他行政事业单位医疗支出0.18万元，全部用于缴纳事业在职职工公务员医疗保险；</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（十三）2210201-住房公积金支出55.38万元，全部用于缴纳行政及事业在职职工单位部分住房公积金。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842.29万元较上年度预算693.63万元增加了148.66万元，增长21.43%，其中基本运行经费预算755.29万元，占全部总预算的89.67%，较上年606.63万元增加了148.66万元，增长了24.51%，增长主要原因是2023年预算职工工资性支出增加（奖励性绩效70%预算进入工资）及2022年底养老保险及职业年金缴费基数调整导致支出增加；专项业务工作经费预算87万元，占总预算的10.33%，与上年预算持平。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三公经费预算安排支出为37.7万元，其中：出国费0万元，与上年持平，主要原因为2023年根据县上初步安排，我单位无因公出国安排；公车购置费0元，与上年持平；公务用车维护费支出32.7万元，与上年持平，主要原因严格执行“八项规定、六项禁令”；二是将有关委室的工作有机地结合起来，减少不必要的资源浪费；公务接待费5万元，较上年度预算减少1.08万元，主要原因为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2023年度安排采购预算6.66万元，主要用于</w:t>
      </w:r>
      <w:r>
        <w:rPr>
          <w:rFonts w:hint="eastAsia" w:ascii="仿宋_GB2312" w:eastAsia="仿宋_GB2312"/>
          <w:sz w:val="32"/>
          <w:szCs w:val="32"/>
          <w:lang w:eastAsia="zh-CN"/>
        </w:rPr>
        <w:t>采购办公桌椅、沙发，更换库房及</w:t>
      </w:r>
      <w:r>
        <w:rPr>
          <w:rFonts w:hint="eastAsia" w:ascii="仿宋_GB2312" w:eastAsia="仿宋_GB2312"/>
          <w:sz w:val="32"/>
          <w:szCs w:val="32"/>
          <w:lang w:val="en-US" w:eastAsia="zh-CN"/>
        </w:rPr>
        <w:t>310办公室防盗门，</w:t>
      </w:r>
      <w:r>
        <w:rPr>
          <w:rFonts w:hint="eastAsia" w:ascii="仿宋_GB2312" w:eastAsia="仿宋_GB2312"/>
          <w:sz w:val="32"/>
          <w:szCs w:val="32"/>
          <w:lang w:eastAsia="zh-CN"/>
        </w:rPr>
        <w:t>标准化档案室建设等，</w:t>
      </w:r>
      <w:r>
        <w:rPr>
          <w:rFonts w:hint="eastAsia" w:ascii="仿宋_GB2312" w:eastAsia="仿宋_GB2312"/>
          <w:sz w:val="32"/>
          <w:szCs w:val="32"/>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pStyle w:val="4"/>
        <w:numPr>
          <w:ilvl w:val="0"/>
          <w:numId w:val="0"/>
        </w:num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截止2022年底，实际共有固定资产价值原值386.19万</w:t>
      </w:r>
    </w:p>
    <w:p>
      <w:pPr>
        <w:pStyle w:val="4"/>
        <w:numPr>
          <w:ilvl w:val="0"/>
          <w:numId w:val="0"/>
        </w:numPr>
        <w:rPr>
          <w:rFonts w:hint="eastAsia" w:ascii="仿宋_GB2312" w:eastAsia="仿宋_GB2312"/>
          <w:sz w:val="32"/>
          <w:szCs w:val="32"/>
          <w:lang w:val="en-US" w:eastAsia="zh-CN"/>
        </w:rPr>
      </w:pPr>
      <w:r>
        <w:rPr>
          <w:rFonts w:hint="eastAsia" w:ascii="仿宋_GB2312" w:eastAsia="仿宋_GB2312"/>
          <w:sz w:val="32"/>
          <w:szCs w:val="32"/>
          <w:lang w:eastAsia="zh-CN"/>
        </w:rPr>
        <w:t>元：其中：公务用车</w:t>
      </w:r>
      <w:r>
        <w:rPr>
          <w:rFonts w:hint="eastAsia" w:ascii="仿宋_GB2312" w:eastAsia="仿宋_GB2312"/>
          <w:sz w:val="32"/>
          <w:szCs w:val="32"/>
          <w:lang w:val="en-US" w:eastAsia="zh-CN"/>
        </w:rPr>
        <w:t>4辆价值256.88万</w:t>
      </w:r>
      <w:r>
        <w:rPr>
          <w:rFonts w:hint="eastAsia" w:ascii="仿宋_GB2312" w:eastAsia="仿宋_GB2312"/>
          <w:sz w:val="32"/>
          <w:szCs w:val="32"/>
          <w:lang w:eastAsia="zh-CN"/>
        </w:rPr>
        <w:t>元；房屋</w:t>
      </w:r>
      <w:r>
        <w:rPr>
          <w:rFonts w:hint="eastAsia" w:ascii="仿宋_GB2312" w:eastAsia="仿宋_GB2312"/>
          <w:sz w:val="32"/>
          <w:szCs w:val="32"/>
          <w:lang w:val="en-US" w:eastAsia="zh-CN"/>
        </w:rPr>
        <w:t>1702.29平方米，价值32.5万元</w:t>
      </w:r>
      <w:r>
        <w:rPr>
          <w:rFonts w:hint="eastAsia" w:ascii="仿宋_GB2312" w:eastAsia="仿宋_GB2312"/>
          <w:sz w:val="32"/>
          <w:szCs w:val="32"/>
          <w:lang w:eastAsia="zh-CN"/>
        </w:rPr>
        <w:t>，其他通用设备</w:t>
      </w:r>
      <w:r>
        <w:rPr>
          <w:rFonts w:hint="eastAsia" w:ascii="仿宋_GB2312" w:eastAsia="仿宋_GB2312"/>
          <w:sz w:val="32"/>
          <w:szCs w:val="32"/>
          <w:lang w:val="en-US" w:eastAsia="zh-CN"/>
        </w:rPr>
        <w:t>价值73.74万元，家具用具23.07万元。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2023年我单位项目支出按要求编制了事前绩效目标，并上传了事前绩效评估报告，从项目完成、项目效益、满意度等方面做了测评，具体情况详见附表6.</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1596" w:leftChars="76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表2-1.财政拨款支出预算表（部门经济分类科目）表3.一般公共预算支出预算表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表3-1.一般公共预算基本支出预算表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表3-2.一般公共预算项目支出预算表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表3-3.一般公共预算“三公”经费支出预算表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表4.政府性基金支出预算表(空表)</w:t>
      </w:r>
    </w:p>
    <w:p>
      <w:pPr>
        <w:pStyle w:val="2"/>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表4-1.政府性基金预算“三公”经费支出预算表(空表)</w:t>
      </w:r>
    </w:p>
    <w:p>
      <w:pPr>
        <w:pStyle w:val="4"/>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表5.国有资本经营预算支出预算表(空表)</w:t>
      </w:r>
    </w:p>
    <w:p>
      <w:pPr>
        <w:pStyle w:val="4"/>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表6.项目支出绩效目标表</w:t>
      </w:r>
    </w:p>
    <w:p>
      <w:pPr>
        <w:pStyle w:val="4"/>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表7.整体支出绩效目标表</w:t>
      </w:r>
      <w:bookmarkStart w:id="0" w:name="_GoBack"/>
      <w:bookmarkEnd w:id="0"/>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0"/>
      </w:rPr>
    </w:pPr>
    <w:r>
      <w:fldChar w:fldCharType="begin"/>
    </w:r>
    <w:r>
      <w:rPr>
        <w:rStyle w:val="10"/>
      </w:rPr>
      <w:instrText xml:space="preserve">PAGE  </w:instrText>
    </w:r>
    <w:r>
      <w:fldChar w:fldCharType="separate"/>
    </w:r>
    <w:r>
      <w:rPr>
        <w:rStyle w:val="10"/>
      </w:rPr>
      <w:t>2</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0"/>
      </w:rPr>
    </w:pPr>
    <w:r>
      <w:fldChar w:fldCharType="begin"/>
    </w:r>
    <w:r>
      <w:rPr>
        <w:rStyle w:val="10"/>
      </w:rPr>
      <w:instrText xml:space="preserve">PAGE  </w:instrTex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OWIxN2FhMzAxNzRiNWJjMzA1YWY4MTVjNzk1NDcifQ=="/>
  </w:docVars>
  <w:rsids>
    <w:rsidRoot w:val="00172A27"/>
    <w:rsid w:val="0227311A"/>
    <w:rsid w:val="039823BA"/>
    <w:rsid w:val="05981C3A"/>
    <w:rsid w:val="067A7CBC"/>
    <w:rsid w:val="09121D09"/>
    <w:rsid w:val="09293162"/>
    <w:rsid w:val="098670BB"/>
    <w:rsid w:val="0A00497C"/>
    <w:rsid w:val="0A1F3070"/>
    <w:rsid w:val="0A691330"/>
    <w:rsid w:val="0AF12517"/>
    <w:rsid w:val="0CF47246"/>
    <w:rsid w:val="0D8D4779"/>
    <w:rsid w:val="0E59261A"/>
    <w:rsid w:val="10B92046"/>
    <w:rsid w:val="14665D24"/>
    <w:rsid w:val="150507F9"/>
    <w:rsid w:val="15355203"/>
    <w:rsid w:val="18870CA9"/>
    <w:rsid w:val="18E90CD1"/>
    <w:rsid w:val="194D289E"/>
    <w:rsid w:val="1C8B457A"/>
    <w:rsid w:val="1CD37CCF"/>
    <w:rsid w:val="1D0E6F59"/>
    <w:rsid w:val="1DDD6B91"/>
    <w:rsid w:val="1EA21A14"/>
    <w:rsid w:val="1FAE4192"/>
    <w:rsid w:val="1FC3227C"/>
    <w:rsid w:val="23862A4B"/>
    <w:rsid w:val="26600825"/>
    <w:rsid w:val="272F507E"/>
    <w:rsid w:val="27E93AAD"/>
    <w:rsid w:val="28AF655E"/>
    <w:rsid w:val="29121599"/>
    <w:rsid w:val="2D241839"/>
    <w:rsid w:val="2D7E5A35"/>
    <w:rsid w:val="2DBA5C97"/>
    <w:rsid w:val="2E020414"/>
    <w:rsid w:val="2F270E7E"/>
    <w:rsid w:val="2FFE2E5D"/>
    <w:rsid w:val="3112096E"/>
    <w:rsid w:val="3275301D"/>
    <w:rsid w:val="341E3ACD"/>
    <w:rsid w:val="352367C0"/>
    <w:rsid w:val="3609630C"/>
    <w:rsid w:val="37135440"/>
    <w:rsid w:val="3AF07A76"/>
    <w:rsid w:val="3C09394B"/>
    <w:rsid w:val="3C2E6878"/>
    <w:rsid w:val="3D533494"/>
    <w:rsid w:val="3D830794"/>
    <w:rsid w:val="3E115F7A"/>
    <w:rsid w:val="3E2C192B"/>
    <w:rsid w:val="408829FA"/>
    <w:rsid w:val="41C14C68"/>
    <w:rsid w:val="424B1F31"/>
    <w:rsid w:val="43266BC4"/>
    <w:rsid w:val="43742DB5"/>
    <w:rsid w:val="44DE2F1A"/>
    <w:rsid w:val="465025E9"/>
    <w:rsid w:val="47F70466"/>
    <w:rsid w:val="494055D5"/>
    <w:rsid w:val="4C3B4458"/>
    <w:rsid w:val="4D616AAD"/>
    <w:rsid w:val="51257DF2"/>
    <w:rsid w:val="5333338C"/>
    <w:rsid w:val="54715195"/>
    <w:rsid w:val="54DE4E87"/>
    <w:rsid w:val="555E53B0"/>
    <w:rsid w:val="569951D6"/>
    <w:rsid w:val="56F015BA"/>
    <w:rsid w:val="56F94885"/>
    <w:rsid w:val="57D577DD"/>
    <w:rsid w:val="5BEE2A2D"/>
    <w:rsid w:val="5D6D6DA8"/>
    <w:rsid w:val="5D6F2B20"/>
    <w:rsid w:val="5D7E22DD"/>
    <w:rsid w:val="5E1C257C"/>
    <w:rsid w:val="5F8E3006"/>
    <w:rsid w:val="5F9D3125"/>
    <w:rsid w:val="609B1E7E"/>
    <w:rsid w:val="62856942"/>
    <w:rsid w:val="62D96C8E"/>
    <w:rsid w:val="62F622DD"/>
    <w:rsid w:val="636966A0"/>
    <w:rsid w:val="670175BB"/>
    <w:rsid w:val="678B49FB"/>
    <w:rsid w:val="694677C3"/>
    <w:rsid w:val="6B3E7FD6"/>
    <w:rsid w:val="6CCB713F"/>
    <w:rsid w:val="6D9E2C3B"/>
    <w:rsid w:val="6FBF4B32"/>
    <w:rsid w:val="701632CF"/>
    <w:rsid w:val="70894BC1"/>
    <w:rsid w:val="70F00356"/>
    <w:rsid w:val="723914F7"/>
    <w:rsid w:val="73477823"/>
    <w:rsid w:val="78ED4FCA"/>
    <w:rsid w:val="7A903C7E"/>
    <w:rsid w:val="7B312348"/>
    <w:rsid w:val="7B65510B"/>
    <w:rsid w:val="7BB04544"/>
    <w:rsid w:val="7CF130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4">
    <w:name w:val="Plain Text"/>
    <w:basedOn w:val="1"/>
    <w:unhideWhenUsed/>
    <w:qFormat/>
    <w:uiPriority w:val="99"/>
    <w:rPr>
      <w:rFonts w:ascii="宋体" w:hAnsi="Courier New"/>
    </w:rPr>
  </w:style>
  <w:style w:type="paragraph" w:styleId="5">
    <w:name w:val="Body Text"/>
    <w:basedOn w:val="1"/>
    <w:qFormat/>
    <w:uiPriority w:val="0"/>
    <w:pPr>
      <w:spacing w:before="93" w:beforeLines="30"/>
    </w:pPr>
    <w:rPr>
      <w:rFonts w:ascii="仿宋_GB2312" w:eastAsia="仿宋_GB2312"/>
      <w:sz w:val="3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0">
    <w:name w:val="page number"/>
    <w:basedOn w:val="9"/>
    <w:qFormat/>
    <w:uiPriority w:val="0"/>
  </w:style>
  <w:style w:type="character" w:styleId="11">
    <w:name w:val="line number"/>
    <w:basedOn w:val="9"/>
    <w:qFormat/>
    <w:uiPriority w:val="0"/>
    <w:rPr>
      <w:rFonts w:hint="default"/>
      <w:sz w:val="22"/>
    </w:rPr>
  </w:style>
  <w:style w:type="character" w:styleId="12">
    <w:name w:val="Hyperlink"/>
    <w:basedOn w:val="9"/>
    <w:qFormat/>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5671</Words>
  <Characters>6103</Characters>
  <Lines>0</Lines>
  <Paragraphs>0</Paragraphs>
  <TotalTime>0</TotalTime>
  <ScaleCrop>false</ScaleCrop>
  <LinksUpToDate>false</LinksUpToDate>
  <CharactersWithSpaces>6192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dcterms:modified xsi:type="dcterms:W3CDTF">2024-08-23T02:59:32Z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36578FCE885D4989BF8AD9D8893D8A4A</vt:lpwstr>
  </property>
</Properties>
</file>