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keepNext w:val="0"/>
        <w:keepLines w:val="0"/>
        <w:widowControl/>
        <w:suppressLineNumbers w:val="0"/>
        <w:ind w:left="0" w:right="75"/>
        <w:jc w:val="center"/>
        <w:rPr>
          <w:rFonts w:hint="eastAsia" w:ascii="方正小标宋简体" w:hAnsi="方正小标宋简体" w:eastAsia="方正小标宋简体" w:cs="方正小标宋简体"/>
          <w:sz w:val="44"/>
          <w:szCs w:val="44"/>
        </w:rPr>
      </w:pPr>
      <w:r>
        <w:rPr>
          <w:rStyle w:val="13"/>
          <w:rFonts w:hint="eastAsia" w:ascii="方正小标宋简体" w:hAnsi="方正小标宋简体" w:eastAsia="方正小标宋简体" w:cs="方正小标宋简体"/>
          <w:sz w:val="44"/>
          <w:szCs w:val="44"/>
          <w:shd w:val="clear" w:color="auto" w:fill="FFFFFF"/>
        </w:rPr>
        <w:t>202</w:t>
      </w:r>
      <w:r>
        <w:rPr>
          <w:rStyle w:val="13"/>
          <w:rFonts w:hint="eastAsia" w:ascii="方正小标宋简体" w:hAnsi="方正小标宋简体" w:eastAsia="方正小标宋简体" w:cs="方正小标宋简体"/>
          <w:sz w:val="44"/>
          <w:szCs w:val="44"/>
          <w:shd w:val="clear" w:color="auto" w:fill="FFFFFF"/>
          <w:lang w:val="en-US" w:eastAsia="zh-CN"/>
        </w:rPr>
        <w:t>1</w:t>
      </w:r>
      <w:r>
        <w:rPr>
          <w:rStyle w:val="13"/>
          <w:rFonts w:hint="eastAsia" w:ascii="方正小标宋简体" w:hAnsi="方正小标宋简体" w:eastAsia="方正小标宋简体" w:cs="方正小标宋简体"/>
          <w:sz w:val="44"/>
          <w:szCs w:val="44"/>
          <w:shd w:val="clear" w:color="auto" w:fill="FFFFFF"/>
        </w:rPr>
        <w:t>年度</w:t>
      </w:r>
    </w:p>
    <w:p>
      <w:pPr>
        <w:pStyle w:val="10"/>
        <w:keepNext w:val="0"/>
        <w:keepLines w:val="0"/>
        <w:widowControl/>
        <w:suppressLineNumbers w:val="0"/>
        <w:ind w:left="0" w:right="75"/>
        <w:jc w:val="center"/>
        <w:rPr>
          <w:rStyle w:val="13"/>
          <w:rFonts w:hint="eastAsia" w:ascii="方正小标宋简体" w:hAnsi="方正小标宋简体" w:eastAsia="方正小标宋简体" w:cs="方正小标宋简体"/>
          <w:sz w:val="44"/>
          <w:szCs w:val="44"/>
          <w:shd w:val="clear" w:color="auto" w:fill="FFFFFF"/>
          <w:lang w:eastAsia="zh-CN"/>
        </w:rPr>
      </w:pPr>
      <w:r>
        <w:rPr>
          <w:rStyle w:val="13"/>
          <w:rFonts w:hint="eastAsia" w:ascii="方正小标宋简体" w:hAnsi="方正小标宋简体" w:eastAsia="方正小标宋简体" w:cs="方正小标宋简体"/>
          <w:sz w:val="44"/>
          <w:szCs w:val="44"/>
          <w:shd w:val="clear" w:color="auto" w:fill="FFFFFF"/>
        </w:rPr>
        <w:t>红原县人民代表大会常务委员会办公</w:t>
      </w:r>
      <w:r>
        <w:rPr>
          <w:rStyle w:val="13"/>
          <w:rFonts w:hint="eastAsia" w:ascii="方正小标宋简体" w:hAnsi="方正小标宋简体" w:eastAsia="方正小标宋简体" w:cs="方正小标宋简体"/>
          <w:sz w:val="44"/>
          <w:szCs w:val="44"/>
          <w:shd w:val="clear" w:color="auto" w:fill="FFFFFF"/>
          <w:lang w:eastAsia="zh-CN"/>
        </w:rPr>
        <w:t>室</w:t>
      </w:r>
    </w:p>
    <w:p>
      <w:pPr>
        <w:pStyle w:val="10"/>
        <w:keepNext w:val="0"/>
        <w:keepLines w:val="0"/>
        <w:widowControl/>
        <w:suppressLineNumbers w:val="0"/>
        <w:ind w:left="0" w:right="75"/>
        <w:jc w:val="center"/>
        <w:rPr>
          <w:rFonts w:hint="eastAsia" w:ascii="方正小标宋简体" w:hAnsi="方正小标宋简体" w:eastAsia="方正小标宋简体" w:cs="方正小标宋简体"/>
          <w:sz w:val="44"/>
          <w:szCs w:val="44"/>
          <w:lang w:eastAsia="zh-CN"/>
        </w:rPr>
      </w:pPr>
      <w:r>
        <w:rPr>
          <w:rStyle w:val="13"/>
          <w:rFonts w:hint="eastAsia" w:ascii="方正小标宋简体" w:hAnsi="方正小标宋简体" w:eastAsia="方正小标宋简体" w:cs="方正小标宋简体"/>
          <w:sz w:val="44"/>
          <w:szCs w:val="44"/>
          <w:shd w:val="clear" w:color="auto" w:fill="FFFFFF"/>
        </w:rPr>
        <w:t>部门决算</w:t>
      </w:r>
      <w:r>
        <w:rPr>
          <w:rStyle w:val="13"/>
          <w:rFonts w:hint="eastAsia" w:ascii="方正小标宋简体" w:hAnsi="方正小标宋简体" w:eastAsia="方正小标宋简体" w:cs="方正小标宋简体"/>
          <w:sz w:val="44"/>
          <w:szCs w:val="44"/>
          <w:shd w:val="clear" w:color="auto" w:fill="FFFFFF"/>
          <w:lang w:eastAsia="zh-CN"/>
        </w:rPr>
        <w:t>公开编制说明</w:t>
      </w:r>
    </w:p>
    <w:p>
      <w:pPr>
        <w:pStyle w:val="10"/>
        <w:keepNext w:val="0"/>
        <w:keepLines w:val="0"/>
        <w:widowControl/>
        <w:suppressLineNumbers w:val="0"/>
        <w:ind w:left="0" w:right="75"/>
        <w:jc w:val="left"/>
        <w:rPr>
          <w:sz w:val="24"/>
          <w:szCs w:val="24"/>
          <w:shd w:val="clear" w:color="auto" w:fill="FFFFFF"/>
        </w:rPr>
      </w:pPr>
    </w:p>
    <w:p>
      <w:pPr>
        <w:pStyle w:val="10"/>
        <w:keepNext w:val="0"/>
        <w:keepLines w:val="0"/>
        <w:widowControl/>
        <w:suppressLineNumbers w:val="0"/>
        <w:ind w:left="0" w:right="75"/>
        <w:jc w:val="left"/>
        <w:rPr>
          <w:sz w:val="24"/>
          <w:szCs w:val="24"/>
          <w:shd w:val="clear" w:color="auto" w:fill="FFFFFF"/>
        </w:rPr>
      </w:pPr>
    </w:p>
    <w:p>
      <w:pPr>
        <w:pStyle w:val="10"/>
        <w:keepNext w:val="0"/>
        <w:keepLines w:val="0"/>
        <w:widowControl/>
        <w:suppressLineNumbers w:val="0"/>
        <w:ind w:left="0" w:right="75"/>
        <w:jc w:val="left"/>
        <w:rPr>
          <w:sz w:val="24"/>
          <w:szCs w:val="24"/>
          <w:shd w:val="clear" w:color="auto" w:fill="FFFFFF"/>
        </w:rPr>
      </w:pPr>
    </w:p>
    <w:p>
      <w:pPr>
        <w:pStyle w:val="10"/>
        <w:keepNext w:val="0"/>
        <w:keepLines w:val="0"/>
        <w:widowControl/>
        <w:suppressLineNumbers w:val="0"/>
        <w:ind w:left="0" w:right="75"/>
        <w:jc w:val="left"/>
        <w:rPr>
          <w:sz w:val="24"/>
          <w:szCs w:val="24"/>
          <w:shd w:val="clear" w:color="auto" w:fill="FFFFFF"/>
        </w:rPr>
      </w:pPr>
    </w:p>
    <w:p>
      <w:pPr>
        <w:pStyle w:val="10"/>
        <w:keepNext w:val="0"/>
        <w:keepLines w:val="0"/>
        <w:widowControl/>
        <w:suppressLineNumbers w:val="0"/>
        <w:ind w:left="0" w:right="75"/>
        <w:jc w:val="left"/>
        <w:rPr>
          <w:sz w:val="24"/>
          <w:szCs w:val="24"/>
          <w:shd w:val="clear" w:color="auto" w:fill="FFFFFF"/>
        </w:rPr>
      </w:pPr>
    </w:p>
    <w:p>
      <w:pPr>
        <w:pStyle w:val="10"/>
        <w:keepNext w:val="0"/>
        <w:keepLines w:val="0"/>
        <w:widowControl/>
        <w:suppressLineNumbers w:val="0"/>
        <w:ind w:left="0" w:right="75"/>
        <w:jc w:val="left"/>
        <w:rPr>
          <w:sz w:val="24"/>
          <w:szCs w:val="24"/>
          <w:shd w:val="clear" w:color="auto" w:fill="FFFFFF"/>
        </w:rPr>
      </w:pPr>
    </w:p>
    <w:p>
      <w:pPr>
        <w:pStyle w:val="10"/>
        <w:keepNext w:val="0"/>
        <w:keepLines w:val="0"/>
        <w:widowControl/>
        <w:suppressLineNumbers w:val="0"/>
        <w:ind w:left="0" w:right="75"/>
        <w:jc w:val="left"/>
        <w:rPr>
          <w:sz w:val="24"/>
          <w:szCs w:val="24"/>
          <w:shd w:val="clear" w:color="auto" w:fill="FFFFFF"/>
        </w:rPr>
      </w:pPr>
    </w:p>
    <w:p>
      <w:pPr>
        <w:pStyle w:val="10"/>
        <w:keepNext w:val="0"/>
        <w:keepLines w:val="0"/>
        <w:widowControl/>
        <w:suppressLineNumbers w:val="0"/>
        <w:ind w:left="0" w:right="75"/>
        <w:jc w:val="left"/>
        <w:rPr>
          <w:sz w:val="24"/>
          <w:szCs w:val="24"/>
          <w:shd w:val="clear" w:color="auto" w:fill="FFFFFF"/>
        </w:rPr>
      </w:pPr>
    </w:p>
    <w:p>
      <w:pPr>
        <w:pStyle w:val="10"/>
        <w:keepNext w:val="0"/>
        <w:keepLines w:val="0"/>
        <w:widowControl/>
        <w:suppressLineNumbers w:val="0"/>
        <w:ind w:left="0" w:right="75"/>
        <w:jc w:val="left"/>
        <w:rPr>
          <w:sz w:val="24"/>
          <w:szCs w:val="24"/>
          <w:shd w:val="clear" w:color="auto" w:fill="FFFFFF"/>
        </w:rPr>
      </w:pPr>
    </w:p>
    <w:p>
      <w:pPr>
        <w:pStyle w:val="10"/>
        <w:keepNext w:val="0"/>
        <w:keepLines w:val="0"/>
        <w:widowControl/>
        <w:suppressLineNumbers w:val="0"/>
        <w:ind w:left="0" w:right="75"/>
        <w:jc w:val="left"/>
        <w:rPr>
          <w:sz w:val="24"/>
          <w:szCs w:val="24"/>
          <w:shd w:val="clear" w:color="auto" w:fill="FFFFFF"/>
        </w:rPr>
      </w:pPr>
    </w:p>
    <w:p>
      <w:pPr>
        <w:pStyle w:val="10"/>
        <w:keepNext w:val="0"/>
        <w:keepLines w:val="0"/>
        <w:widowControl/>
        <w:suppressLineNumbers w:val="0"/>
        <w:ind w:left="0" w:right="75"/>
        <w:jc w:val="left"/>
        <w:rPr>
          <w:sz w:val="24"/>
          <w:szCs w:val="24"/>
          <w:shd w:val="clear" w:color="auto" w:fill="FFFFFF"/>
        </w:rPr>
      </w:pPr>
    </w:p>
    <w:p>
      <w:pPr>
        <w:pStyle w:val="10"/>
        <w:keepNext w:val="0"/>
        <w:keepLines w:val="0"/>
        <w:widowControl/>
        <w:suppressLineNumbers w:val="0"/>
        <w:ind w:left="0" w:right="75"/>
        <w:jc w:val="left"/>
        <w:rPr>
          <w:sz w:val="24"/>
          <w:szCs w:val="24"/>
          <w:shd w:val="clear" w:color="auto" w:fill="FFFFFF"/>
        </w:rPr>
      </w:pPr>
    </w:p>
    <w:p>
      <w:pPr>
        <w:pStyle w:val="10"/>
        <w:keepNext w:val="0"/>
        <w:keepLines w:val="0"/>
        <w:widowControl/>
        <w:suppressLineNumbers w:val="0"/>
        <w:ind w:left="0" w:right="75"/>
        <w:jc w:val="left"/>
        <w:rPr>
          <w:sz w:val="24"/>
          <w:szCs w:val="24"/>
          <w:shd w:val="clear" w:color="auto" w:fill="FFFFFF"/>
        </w:rPr>
      </w:pPr>
    </w:p>
    <w:p>
      <w:pPr>
        <w:pStyle w:val="10"/>
        <w:keepNext w:val="0"/>
        <w:keepLines w:val="0"/>
        <w:widowControl/>
        <w:suppressLineNumbers w:val="0"/>
        <w:ind w:left="0" w:right="75"/>
        <w:jc w:val="left"/>
        <w:rPr>
          <w:sz w:val="24"/>
          <w:szCs w:val="24"/>
          <w:shd w:val="clear" w:color="auto" w:fill="FFFFFF"/>
        </w:rPr>
      </w:pPr>
    </w:p>
    <w:p>
      <w:pPr>
        <w:pStyle w:val="10"/>
        <w:keepNext w:val="0"/>
        <w:keepLines w:val="0"/>
        <w:widowControl/>
        <w:suppressLineNumbers w:val="0"/>
        <w:ind w:left="0" w:right="75"/>
        <w:jc w:val="left"/>
        <w:rPr>
          <w:sz w:val="24"/>
          <w:szCs w:val="24"/>
          <w:shd w:val="clear" w:color="auto" w:fill="FFFFFF"/>
        </w:rPr>
      </w:pPr>
    </w:p>
    <w:p>
      <w:pPr>
        <w:pStyle w:val="10"/>
        <w:keepNext w:val="0"/>
        <w:keepLines w:val="0"/>
        <w:widowControl/>
        <w:suppressLineNumbers w:val="0"/>
        <w:ind w:left="0" w:right="75"/>
        <w:jc w:val="left"/>
      </w:pPr>
      <w:r>
        <w:rPr>
          <w:sz w:val="24"/>
          <w:szCs w:val="24"/>
          <w:shd w:val="clear" w:color="auto" w:fill="FFFFFF"/>
        </w:rPr>
        <w:t>保密审查情况：已审查，内容审定</w:t>
      </w:r>
    </w:p>
    <w:p>
      <w:pPr>
        <w:pStyle w:val="10"/>
        <w:keepNext w:val="0"/>
        <w:keepLines w:val="0"/>
        <w:widowControl/>
        <w:suppressLineNumbers w:val="0"/>
        <w:ind w:left="0" w:right="75"/>
        <w:jc w:val="left"/>
      </w:pPr>
      <w:r>
        <w:rPr>
          <w:sz w:val="24"/>
          <w:szCs w:val="24"/>
          <w:shd w:val="clear" w:color="auto" w:fill="FFFFFF"/>
        </w:rPr>
        <w:t>部门主要负责人审签情况：已审签，同意对外公开</w:t>
      </w:r>
    </w:p>
    <w:p>
      <w:pPr>
        <w:pStyle w:val="10"/>
        <w:keepNext w:val="0"/>
        <w:keepLines w:val="0"/>
        <w:widowControl/>
        <w:suppressLineNumbers w:val="0"/>
        <w:ind w:left="0" w:right="75"/>
        <w:jc w:val="both"/>
        <w:rPr>
          <w:rStyle w:val="13"/>
          <w:sz w:val="30"/>
          <w:szCs w:val="30"/>
          <w:shd w:val="clear" w:color="auto" w:fill="FFFFFF"/>
        </w:rPr>
        <w:sectPr>
          <w:pgSz w:w="11906" w:h="16838"/>
          <w:pgMar w:top="1440" w:right="1800" w:bottom="1440" w:left="1800" w:header="851" w:footer="992" w:gutter="0"/>
          <w:cols w:space="720" w:num="1"/>
          <w:docGrid w:type="lines" w:linePitch="312" w:charSpace="0"/>
        </w:sectPr>
      </w:pPr>
    </w:p>
    <w:p>
      <w:pPr>
        <w:pStyle w:val="10"/>
        <w:keepNext w:val="0"/>
        <w:keepLines w:val="0"/>
        <w:widowControl/>
        <w:suppressLineNumbers w:val="0"/>
        <w:ind w:left="0" w:right="75"/>
        <w:jc w:val="center"/>
      </w:pPr>
      <w:r>
        <w:rPr>
          <w:rStyle w:val="13"/>
          <w:sz w:val="30"/>
          <w:szCs w:val="30"/>
          <w:shd w:val="clear" w:color="auto" w:fill="FFFFFF"/>
        </w:rPr>
        <w:t>目 录</w:t>
      </w:r>
    </w:p>
    <w:p>
      <w:pPr>
        <w:pStyle w:val="10"/>
        <w:keepNext w:val="0"/>
        <w:keepLines w:val="0"/>
        <w:widowControl/>
        <w:suppressLineNumbers w:val="0"/>
        <w:ind w:left="0" w:right="75"/>
        <w:jc w:val="center"/>
        <w:rPr>
          <w:rFonts w:hint="eastAsia"/>
        </w:rPr>
      </w:pPr>
      <w:r>
        <w:rPr>
          <w:sz w:val="24"/>
          <w:szCs w:val="24"/>
          <w:shd w:val="clear" w:color="auto" w:fill="FFFFFF"/>
        </w:rPr>
        <w:t xml:space="preserve">公开时间：2021年 </w:t>
      </w:r>
      <w:r>
        <w:rPr>
          <w:rFonts w:hint="eastAsia"/>
          <w:sz w:val="24"/>
          <w:szCs w:val="24"/>
          <w:shd w:val="clear" w:color="auto" w:fill="FFFFFF"/>
          <w:lang w:val="en-US" w:eastAsia="zh-CN"/>
        </w:rPr>
        <w:t>12</w:t>
      </w:r>
      <w:r>
        <w:rPr>
          <w:sz w:val="24"/>
          <w:szCs w:val="24"/>
          <w:shd w:val="clear" w:color="auto" w:fill="FFFFFF"/>
        </w:rPr>
        <w:t>月</w:t>
      </w:r>
      <w:r>
        <w:rPr>
          <w:rFonts w:hint="eastAsia"/>
          <w:sz w:val="24"/>
          <w:szCs w:val="24"/>
          <w:shd w:val="clear" w:color="auto" w:fill="FFFFFF"/>
          <w:lang w:val="en-US" w:eastAsia="zh-CN"/>
        </w:rPr>
        <w:t>7</w:t>
      </w:r>
      <w:r>
        <w:rPr>
          <w:sz w:val="24"/>
          <w:szCs w:val="24"/>
          <w:shd w:val="clear" w:color="auto" w:fill="FFFFFF"/>
        </w:rPr>
        <w:t>日</w:t>
      </w:r>
    </w:p>
    <w:sdt>
      <w:sdtPr>
        <w:rPr>
          <w:rFonts w:ascii="宋体" w:hAnsi="宋体" w:eastAsia="宋体" w:cs="Times New Roman"/>
          <w:kern w:val="2"/>
          <w:sz w:val="21"/>
          <w:szCs w:val="24"/>
          <w:lang w:val="en-US" w:eastAsia="zh-CN" w:bidi="ar-SA"/>
        </w:rPr>
        <w:id w:val="147458493"/>
        <w15:color w:val="DBDBDB"/>
        <w:docPartObj>
          <w:docPartGallery w:val="Table of Contents"/>
          <w:docPartUnique/>
        </w:docPartObj>
      </w:sdtPr>
      <w:sdtEndPr>
        <w:rPr>
          <w:rFonts w:ascii="宋体" w:hAnsi="宋体" w:eastAsia="宋体" w:cs="Times New Roman"/>
          <w:kern w:val="2"/>
          <w:sz w:val="21"/>
          <w:szCs w:val="24"/>
          <w:lang w:val="en-US" w:eastAsia="zh-CN" w:bidi="ar-SA"/>
        </w:rPr>
      </w:sdtEndPr>
      <w:sdtContent>
        <w:p>
          <w:pPr>
            <w:spacing w:before="0" w:beforeLines="0" w:after="0" w:afterLines="0" w:line="240" w:lineRule="auto"/>
            <w:ind w:left="0" w:leftChars="0" w:right="0" w:rightChars="0" w:firstLine="0" w:firstLineChars="0"/>
            <w:jc w:val="center"/>
          </w:pPr>
        </w:p>
        <w:p>
          <w:pPr>
            <w:pStyle w:val="8"/>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TOC \o "1-3" \h \u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_Toc27360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第一部分 部门概况</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_Toc27360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2</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pPr>
            <w:pStyle w:val="9"/>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_Toc14224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一、基本职能及主要工作</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_Toc14224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2</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pPr>
            <w:pStyle w:val="9"/>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_Toc10295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二、机构设置</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_Toc10295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7</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pPr>
            <w:pStyle w:val="8"/>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_Toc6796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第二部分 202</w:t>
          </w:r>
          <w:r>
            <w:rPr>
              <w:rFonts w:hint="eastAsia" w:ascii="仿宋_GB2312" w:hAnsi="仿宋_GB2312" w:eastAsia="仿宋_GB2312" w:cs="仿宋_GB2312"/>
              <w:sz w:val="30"/>
              <w:szCs w:val="30"/>
              <w:shd w:val="clear" w:color="auto" w:fill="FFFFFF"/>
              <w:lang w:val="en-US" w:eastAsia="zh-CN"/>
            </w:rPr>
            <w:t>1</w:t>
          </w:r>
          <w:r>
            <w:rPr>
              <w:rFonts w:hint="eastAsia" w:ascii="仿宋_GB2312" w:hAnsi="仿宋_GB2312" w:eastAsia="仿宋_GB2312" w:cs="仿宋_GB2312"/>
              <w:sz w:val="30"/>
              <w:szCs w:val="30"/>
              <w:shd w:val="clear" w:color="auto" w:fill="FFFFFF"/>
            </w:rPr>
            <w:t>年度部门决算情况说明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_Toc6796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7</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pPr>
            <w:pStyle w:val="9"/>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_Toc23902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一、 收入支出决算总体情况说明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_Toc23902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7</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pPr>
            <w:pStyle w:val="9"/>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_Toc21346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lang w:eastAsia="zh-CN"/>
            </w:rPr>
            <w:t xml:space="preserve">二、 </w:t>
          </w:r>
          <w:r>
            <w:rPr>
              <w:rFonts w:hint="eastAsia" w:ascii="仿宋_GB2312" w:hAnsi="仿宋_GB2312" w:eastAsia="仿宋_GB2312" w:cs="仿宋_GB2312"/>
              <w:sz w:val="30"/>
              <w:szCs w:val="30"/>
              <w:shd w:val="clear" w:color="auto" w:fill="FFFFFF"/>
            </w:rPr>
            <w:t>收入决算情况说明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_Toc21346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8</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pPr>
            <w:pStyle w:val="9"/>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_Toc21019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fill="FFFFFF"/>
            </w:rPr>
            <w:t xml:space="preserve">三、 </w:t>
          </w:r>
          <w:r>
            <w:rPr>
              <w:rFonts w:hint="eastAsia" w:ascii="仿宋_GB2312" w:hAnsi="仿宋_GB2312" w:eastAsia="仿宋_GB2312" w:cs="仿宋_GB2312"/>
              <w:sz w:val="30"/>
              <w:szCs w:val="30"/>
              <w:shd w:val="clear" w:color="auto" w:fill="FFFFFF"/>
            </w:rPr>
            <w:t>支出决算情况说明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_Toc21019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9</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pPr>
            <w:pStyle w:val="9"/>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_Toc7956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fill="FFFFFF"/>
            </w:rPr>
            <w:t xml:space="preserve">四、 </w:t>
          </w:r>
          <w:r>
            <w:rPr>
              <w:rFonts w:hint="eastAsia" w:ascii="仿宋_GB2312" w:hAnsi="仿宋_GB2312" w:eastAsia="仿宋_GB2312" w:cs="仿宋_GB2312"/>
              <w:sz w:val="30"/>
              <w:szCs w:val="30"/>
              <w:shd w:val="clear" w:color="auto" w:fill="FFFFFF"/>
            </w:rPr>
            <w:t>财政拨款收入支出决算总体情况说明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_Toc7956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9</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pPr>
            <w:pStyle w:val="9"/>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_Toc23149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五、一般公共预算财政拨款支出决算情况说明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_Toc23149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10</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pPr>
            <w:pStyle w:val="9"/>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_Toc2180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lang w:eastAsia="zh-CN"/>
            </w:rPr>
            <w:t>六、</w:t>
          </w:r>
          <w:r>
            <w:rPr>
              <w:rFonts w:hint="eastAsia" w:ascii="仿宋_GB2312" w:hAnsi="仿宋_GB2312" w:eastAsia="仿宋_GB2312" w:cs="仿宋_GB2312"/>
              <w:sz w:val="30"/>
              <w:szCs w:val="30"/>
              <w:shd w:val="clear" w:color="auto" w:fill="FFFFFF"/>
            </w:rPr>
            <w:t>一般公共预算财政拨款基本支出决算情况说明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_Toc2180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13</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pPr>
            <w:pStyle w:val="9"/>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_Toc18699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七、“三公”经费财政拨款支出决算情况说明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_Toc18699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13</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pPr>
            <w:pStyle w:val="9"/>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_Toc9599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fill="FFFFFF"/>
            </w:rPr>
            <w:t xml:space="preserve">八、 </w:t>
          </w:r>
          <w:r>
            <w:rPr>
              <w:rFonts w:hint="eastAsia" w:ascii="仿宋_GB2312" w:hAnsi="仿宋_GB2312" w:eastAsia="仿宋_GB2312" w:cs="仿宋_GB2312"/>
              <w:sz w:val="30"/>
              <w:szCs w:val="30"/>
              <w:shd w:val="clear" w:color="auto" w:fill="FFFFFF"/>
            </w:rPr>
            <w:t>政府性基金预算支出决算情况说明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_Toc9599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16</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pPr>
            <w:pStyle w:val="9"/>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_Toc31416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fill="FFFFFF"/>
            </w:rPr>
            <w:t xml:space="preserve">九、 </w:t>
          </w:r>
          <w:r>
            <w:rPr>
              <w:rFonts w:hint="eastAsia" w:ascii="仿宋_GB2312" w:hAnsi="仿宋_GB2312" w:eastAsia="仿宋_GB2312" w:cs="仿宋_GB2312"/>
              <w:sz w:val="30"/>
              <w:szCs w:val="30"/>
              <w:shd w:val="clear" w:color="auto" w:fill="FFFFFF"/>
            </w:rPr>
            <w:t>国有资本经营预算支出决算情况说明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_Toc31416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16</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pPr>
            <w:pStyle w:val="9"/>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_Toc11587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十、其他重要事项的情况说明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_Toc11587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16</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pPr>
            <w:pStyle w:val="8"/>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_Toc26931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fill="FFFFFF"/>
            </w:rPr>
            <w:t xml:space="preserve">第三部分 </w:t>
          </w:r>
          <w:r>
            <w:rPr>
              <w:rFonts w:hint="eastAsia" w:ascii="仿宋_GB2312" w:hAnsi="仿宋_GB2312" w:eastAsia="仿宋_GB2312" w:cs="仿宋_GB2312"/>
              <w:sz w:val="30"/>
              <w:szCs w:val="30"/>
              <w:shd w:val="clear" w:color="auto" w:fill="FFFFFF"/>
            </w:rPr>
            <w:t>名词解释</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_Toc26931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28</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pPr>
            <w:pStyle w:val="8"/>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_Toc15389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第四部分 附件</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_Toc15389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30</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pPr>
            <w:pStyle w:val="9"/>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_Toc27357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附件</w:t>
          </w:r>
          <w:r>
            <w:rPr>
              <w:rFonts w:hint="eastAsia" w:ascii="仿宋_GB2312" w:hAnsi="仿宋_GB2312" w:eastAsia="仿宋_GB2312" w:cs="仿宋_GB2312"/>
              <w:sz w:val="30"/>
              <w:szCs w:val="30"/>
              <w:shd w:val="clear" w:color="auto" w:fill="FFFFFF"/>
              <w:lang w:val="en-US" w:eastAsia="zh-CN"/>
            </w:rPr>
            <w:t>1</w:t>
          </w:r>
          <w:r>
            <w:rPr>
              <w:rFonts w:hint="eastAsia" w:ascii="仿宋_GB2312" w:hAnsi="仿宋_GB2312" w:eastAsia="仿宋_GB2312" w:cs="仿宋_GB2312"/>
              <w:sz w:val="30"/>
              <w:szCs w:val="30"/>
              <w:shd w:val="clear" w:color="auto" w:fill="FFFFFF"/>
              <w:lang w:eastAsia="zh-CN"/>
            </w:rPr>
            <w:t>：红原县人大办202</w:t>
          </w:r>
          <w:r>
            <w:rPr>
              <w:rFonts w:hint="eastAsia" w:ascii="仿宋_GB2312" w:hAnsi="仿宋_GB2312" w:eastAsia="仿宋_GB2312" w:cs="仿宋_GB2312"/>
              <w:sz w:val="30"/>
              <w:szCs w:val="30"/>
              <w:shd w:val="clear" w:color="auto" w:fill="FFFFFF"/>
              <w:lang w:val="en-US" w:eastAsia="zh-CN"/>
            </w:rPr>
            <w:t>1</w:t>
          </w:r>
          <w:r>
            <w:rPr>
              <w:rFonts w:hint="eastAsia" w:ascii="仿宋_GB2312" w:hAnsi="仿宋_GB2312" w:eastAsia="仿宋_GB2312" w:cs="仿宋_GB2312"/>
              <w:sz w:val="30"/>
              <w:szCs w:val="30"/>
              <w:shd w:val="clear" w:color="auto" w:fill="FFFFFF"/>
              <w:lang w:eastAsia="zh-CN"/>
            </w:rPr>
            <w:t>年部门整体支出绩效评价报告</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_Toc27357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30</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pPr>
            <w:pStyle w:val="8"/>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_Toc29972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第五部分 附表</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_Toc29972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37</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r>
            <w:rPr>
              <w:rFonts w:hint="eastAsia" w:ascii="仿宋_GB2312" w:hAnsi="仿宋_GB2312" w:eastAsia="仿宋_GB2312" w:cs="仿宋_GB2312"/>
              <w:sz w:val="30"/>
              <w:szCs w:val="30"/>
            </w:rPr>
            <w:fldChar w:fldCharType="end"/>
          </w:r>
        </w:p>
      </w:sdtContent>
    </w:sdt>
    <w:p>
      <w:pPr>
        <w:pStyle w:val="10"/>
        <w:keepNext w:val="0"/>
        <w:keepLines w:val="0"/>
        <w:widowControl/>
        <w:suppressLineNumbers w:val="0"/>
        <w:ind w:left="0" w:right="75"/>
        <w:jc w:val="center"/>
        <w:outlineLvl w:val="0"/>
        <w:rPr>
          <w:rFonts w:hint="eastAsia" w:ascii="黑体" w:hAnsi="黑体" w:eastAsia="黑体" w:cs="黑体"/>
          <w:sz w:val="44"/>
          <w:szCs w:val="44"/>
        </w:rPr>
      </w:pPr>
      <w:bookmarkStart w:id="0" w:name="_Toc27360"/>
      <w:r>
        <w:rPr>
          <w:rFonts w:hint="eastAsia" w:ascii="黑体" w:hAnsi="黑体" w:eastAsia="黑体" w:cs="黑体"/>
          <w:sz w:val="44"/>
          <w:szCs w:val="44"/>
          <w:shd w:val="clear" w:color="auto" w:fill="FFFFFF"/>
        </w:rPr>
        <w:t>第一部分 部门概况</w:t>
      </w:r>
      <w:bookmarkEnd w:id="0"/>
    </w:p>
    <w:p>
      <w:pPr>
        <w:pStyle w:val="10"/>
        <w:keepNext w:val="0"/>
        <w:keepLines w:val="0"/>
        <w:widowControl/>
        <w:suppressLineNumbers w:val="0"/>
        <w:ind w:left="0" w:right="75"/>
        <w:outlineLvl w:val="1"/>
        <w:rPr>
          <w:rFonts w:hint="eastAsia" w:ascii="黑体" w:hAnsi="黑体" w:eastAsia="黑体" w:cs="黑体"/>
          <w:sz w:val="32"/>
          <w:szCs w:val="32"/>
        </w:rPr>
      </w:pPr>
      <w:bookmarkStart w:id="1" w:name="_Toc14224"/>
      <w:r>
        <w:rPr>
          <w:rFonts w:hint="eastAsia" w:ascii="黑体" w:hAnsi="黑体" w:eastAsia="黑体" w:cs="黑体"/>
          <w:sz w:val="32"/>
          <w:szCs w:val="32"/>
          <w:shd w:val="clear" w:color="auto" w:fill="FFFFFF"/>
        </w:rPr>
        <w:t>一、基本职能及主要工作</w:t>
      </w:r>
      <w:bookmarkEnd w:id="1"/>
    </w:p>
    <w:p>
      <w:pPr>
        <w:pStyle w:val="10"/>
        <w:keepNext w:val="0"/>
        <w:keepLines w:val="0"/>
        <w:widowControl/>
        <w:suppressLineNumbers w:val="0"/>
        <w:ind w:left="0" w:right="75"/>
        <w:rPr>
          <w:rFonts w:hint="eastAsia" w:ascii="楷体_GB2312" w:hAnsi="楷体_GB2312" w:eastAsia="楷体_GB2312" w:cs="楷体_GB2312"/>
          <w:b/>
          <w:bCs/>
          <w:sz w:val="32"/>
          <w:szCs w:val="32"/>
          <w:shd w:val="clear" w:color="auto" w:fill="FFFFFF"/>
        </w:rPr>
      </w:pPr>
      <w:r>
        <w:rPr>
          <w:rFonts w:hint="eastAsia" w:ascii="楷体_GB2312" w:hAnsi="楷体_GB2312" w:eastAsia="楷体_GB2312" w:cs="楷体_GB2312"/>
          <w:b/>
          <w:bCs/>
          <w:sz w:val="32"/>
          <w:szCs w:val="32"/>
          <w:shd w:val="clear" w:color="auto" w:fill="FFFFFF"/>
        </w:rPr>
        <w:t>（一）主要职能。</w:t>
      </w:r>
    </w:p>
    <w:p>
      <w:pPr>
        <w:pStyle w:val="10"/>
        <w:keepNext w:val="0"/>
        <w:keepLines w:val="0"/>
        <w:widowControl/>
        <w:suppressLineNumbers w:val="0"/>
        <w:ind w:left="0" w:right="75"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lang w:val="en-US" w:eastAsia="zh-CN"/>
        </w:rPr>
        <w:t>1.</w:t>
      </w:r>
      <w:r>
        <w:rPr>
          <w:rFonts w:hint="eastAsia" w:ascii="仿宋_GB2312" w:hAnsi="仿宋_GB2312" w:eastAsia="仿宋_GB2312" w:cs="仿宋_GB2312"/>
          <w:sz w:val="32"/>
          <w:szCs w:val="32"/>
          <w:shd w:val="clear" w:color="auto" w:fill="FFFFFF"/>
        </w:rPr>
        <w:t>负责做好本级人民代表大会、常委会会议、主任会议、党组会议以及其他有关会议各种文件的起草、</w:t>
      </w:r>
      <w:r>
        <w:rPr>
          <w:rFonts w:hint="eastAsia" w:ascii="仿宋_GB2312" w:hAnsi="仿宋_GB2312" w:eastAsia="仿宋_GB2312" w:cs="仿宋_GB2312"/>
          <w:sz w:val="32"/>
          <w:szCs w:val="32"/>
          <w:shd w:val="clear" w:color="auto" w:fill="FFFFFF"/>
        </w:rPr>
        <w:fldChar w:fldCharType="begin"/>
      </w:r>
      <w:r>
        <w:rPr>
          <w:rFonts w:hint="eastAsia" w:ascii="仿宋_GB2312" w:hAnsi="仿宋_GB2312" w:eastAsia="仿宋_GB2312" w:cs="仿宋_GB2312"/>
          <w:sz w:val="32"/>
          <w:szCs w:val="32"/>
          <w:shd w:val="clear" w:color="auto" w:fill="FFFFFF"/>
        </w:rPr>
        <w:instrText xml:space="preserve"> HYPERLINK "https://www.baidu.com/s?wd=%E4%BC%9A%E8%AE%AE%E8%AE%B0%E5%BD%95&amp;tn=SE_PcZhidaonwhc_ngpagmjz&amp;rsv_dl=gh_pc_zhidao" \t "https://zhidao.baidu.com/question/_blank" </w:instrText>
      </w:r>
      <w:r>
        <w:rPr>
          <w:rFonts w:hint="eastAsia" w:ascii="仿宋_GB2312" w:hAnsi="仿宋_GB2312" w:eastAsia="仿宋_GB2312" w:cs="仿宋_GB2312"/>
          <w:sz w:val="32"/>
          <w:szCs w:val="32"/>
          <w:shd w:val="clear" w:color="auto" w:fill="FFFFFF"/>
        </w:rPr>
        <w:fldChar w:fldCharType="separate"/>
      </w:r>
      <w:r>
        <w:rPr>
          <w:rStyle w:val="14"/>
          <w:rFonts w:hint="eastAsia" w:ascii="仿宋_GB2312" w:hAnsi="仿宋_GB2312" w:eastAsia="仿宋_GB2312" w:cs="仿宋_GB2312"/>
          <w:color w:val="auto"/>
          <w:sz w:val="32"/>
          <w:szCs w:val="32"/>
          <w:u w:val="none"/>
          <w:shd w:val="clear" w:color="auto" w:fill="FFFFFF"/>
        </w:rPr>
        <w:t>会议记录</w:t>
      </w:r>
      <w:r>
        <w:rPr>
          <w:rFonts w:hint="eastAsia" w:ascii="仿宋_GB2312" w:hAnsi="仿宋_GB2312" w:eastAsia="仿宋_GB2312" w:cs="仿宋_GB2312"/>
          <w:sz w:val="32"/>
          <w:szCs w:val="32"/>
          <w:shd w:val="clear" w:color="auto" w:fill="FFFFFF"/>
        </w:rPr>
        <w:fldChar w:fldCharType="end"/>
      </w:r>
      <w:r>
        <w:rPr>
          <w:rFonts w:hint="eastAsia" w:ascii="仿宋_GB2312" w:hAnsi="仿宋_GB2312" w:eastAsia="仿宋_GB2312" w:cs="仿宋_GB2312"/>
          <w:sz w:val="32"/>
          <w:szCs w:val="32"/>
          <w:shd w:val="clear" w:color="auto" w:fill="FFFFFF"/>
        </w:rPr>
        <w:t>和会务工作。对会议决定的事项负责办理落实，并及时报告反馈。</w:t>
      </w:r>
      <w:r>
        <w:rPr>
          <w:rFonts w:hint="eastAsia" w:ascii="仿宋_GB2312" w:hAnsi="仿宋_GB2312" w:eastAsia="仿宋_GB2312" w:cs="仿宋_GB2312"/>
          <w:sz w:val="32"/>
          <w:szCs w:val="32"/>
          <w:shd w:val="clear" w:color="auto" w:fill="FFFFFF"/>
        </w:rPr>
        <w:br w:type="textWrapping"/>
      </w:r>
      <w:r>
        <w:rPr>
          <w:rFonts w:hint="eastAsia" w:ascii="仿宋_GB2312" w:hAnsi="仿宋_GB2312" w:eastAsia="仿宋_GB2312" w:cs="仿宋_GB2312"/>
          <w:sz w:val="32"/>
          <w:szCs w:val="32"/>
          <w:shd w:val="clear" w:color="auto" w:fill="FFFFFF"/>
        </w:rPr>
        <w:t>　</w:t>
      </w:r>
      <w:r>
        <w:rPr>
          <w:rFonts w:hint="eastAsia" w:ascii="仿宋_GB2312" w:hAnsi="仿宋_GB2312" w:eastAsia="仿宋_GB2312" w:cs="仿宋_GB2312"/>
          <w:sz w:val="32"/>
          <w:szCs w:val="32"/>
          <w:shd w:val="clear" w:color="auto" w:fill="FFFFFF"/>
          <w:lang w:val="en-US" w:eastAsia="zh-CN"/>
        </w:rPr>
        <w:t xml:space="preserve"> 2.</w:t>
      </w:r>
      <w:r>
        <w:rPr>
          <w:rFonts w:hint="eastAsia" w:ascii="仿宋_GB2312" w:hAnsi="仿宋_GB2312" w:eastAsia="仿宋_GB2312" w:cs="仿宋_GB2312"/>
          <w:sz w:val="32"/>
          <w:szCs w:val="32"/>
          <w:shd w:val="clear" w:color="auto" w:fill="FFFFFF"/>
        </w:rPr>
        <w:t>负责做好本级</w:t>
      </w:r>
      <w:r>
        <w:rPr>
          <w:rFonts w:hint="eastAsia" w:ascii="仿宋_GB2312" w:hAnsi="仿宋_GB2312" w:eastAsia="仿宋_GB2312" w:cs="仿宋_GB2312"/>
          <w:sz w:val="32"/>
          <w:szCs w:val="32"/>
          <w:shd w:val="clear" w:color="auto" w:fill="FFFFFF"/>
        </w:rPr>
        <w:fldChar w:fldCharType="begin"/>
      </w:r>
      <w:r>
        <w:rPr>
          <w:rFonts w:hint="eastAsia" w:ascii="仿宋_GB2312" w:hAnsi="仿宋_GB2312" w:eastAsia="仿宋_GB2312" w:cs="仿宋_GB2312"/>
          <w:sz w:val="32"/>
          <w:szCs w:val="32"/>
          <w:shd w:val="clear" w:color="auto" w:fill="FFFFFF"/>
        </w:rPr>
        <w:instrText xml:space="preserve"> HYPERLINK "https://www.baidu.com/s?wd=%E4%BA%BA%E5%A4%A7%E5%B8%B8%E5%A7%94%E4%BC%9A&amp;tn=SE_PcZhidaonwhc_ngpagmjz&amp;rsv_dl=gh_pc_zhidao" \t "https://zhidao.baidu.com/question/_blank" </w:instrText>
      </w:r>
      <w:r>
        <w:rPr>
          <w:rFonts w:hint="eastAsia" w:ascii="仿宋_GB2312" w:hAnsi="仿宋_GB2312" w:eastAsia="仿宋_GB2312" w:cs="仿宋_GB2312"/>
          <w:sz w:val="32"/>
          <w:szCs w:val="32"/>
          <w:shd w:val="clear" w:color="auto" w:fill="FFFFFF"/>
        </w:rPr>
        <w:fldChar w:fldCharType="separate"/>
      </w:r>
      <w:r>
        <w:rPr>
          <w:rStyle w:val="14"/>
          <w:rFonts w:hint="eastAsia" w:ascii="仿宋_GB2312" w:hAnsi="仿宋_GB2312" w:eastAsia="仿宋_GB2312" w:cs="仿宋_GB2312"/>
          <w:color w:val="auto"/>
          <w:sz w:val="32"/>
          <w:szCs w:val="32"/>
          <w:u w:val="none"/>
          <w:shd w:val="clear" w:color="auto" w:fill="FFFFFF"/>
        </w:rPr>
        <w:t>人大常委会</w:t>
      </w:r>
      <w:r>
        <w:rPr>
          <w:rFonts w:hint="eastAsia" w:ascii="仿宋_GB2312" w:hAnsi="仿宋_GB2312" w:eastAsia="仿宋_GB2312" w:cs="仿宋_GB2312"/>
          <w:sz w:val="32"/>
          <w:szCs w:val="32"/>
          <w:shd w:val="clear" w:color="auto" w:fill="FFFFFF"/>
        </w:rPr>
        <w:fldChar w:fldCharType="end"/>
      </w:r>
      <w:r>
        <w:rPr>
          <w:rFonts w:hint="eastAsia" w:ascii="仿宋_GB2312" w:hAnsi="仿宋_GB2312" w:eastAsia="仿宋_GB2312" w:cs="仿宋_GB2312"/>
          <w:sz w:val="32"/>
          <w:szCs w:val="32"/>
          <w:shd w:val="clear" w:color="auto" w:fill="FFFFFF"/>
        </w:rPr>
        <w:t>日常文件材料的起草以及</w:t>
      </w:r>
      <w:r>
        <w:rPr>
          <w:rFonts w:hint="eastAsia" w:ascii="仿宋_GB2312" w:hAnsi="仿宋_GB2312" w:eastAsia="仿宋_GB2312" w:cs="仿宋_GB2312"/>
          <w:sz w:val="32"/>
          <w:szCs w:val="32"/>
          <w:shd w:val="clear" w:color="auto" w:fill="FFFFFF"/>
        </w:rPr>
        <w:fldChar w:fldCharType="begin"/>
      </w:r>
      <w:r>
        <w:rPr>
          <w:rFonts w:hint="eastAsia" w:ascii="仿宋_GB2312" w:hAnsi="仿宋_GB2312" w:eastAsia="仿宋_GB2312" w:cs="仿宋_GB2312"/>
          <w:sz w:val="32"/>
          <w:szCs w:val="32"/>
          <w:shd w:val="clear" w:color="auto" w:fill="FFFFFF"/>
        </w:rPr>
        <w:instrText xml:space="preserve"> HYPERLINK "https://www.baidu.com/s?wd=%E3%80%8A%E4%BC%9A%E5%88%8A%E3%80%8B&amp;tn=SE_PcZhidaonwhc_ngpagmjz&amp;rsv_dl=gh_pc_zhidao" \t "https://zhidao.baidu.com/question/_blank" </w:instrText>
      </w:r>
      <w:r>
        <w:rPr>
          <w:rFonts w:hint="eastAsia" w:ascii="仿宋_GB2312" w:hAnsi="仿宋_GB2312" w:eastAsia="仿宋_GB2312" w:cs="仿宋_GB2312"/>
          <w:sz w:val="32"/>
          <w:szCs w:val="32"/>
          <w:shd w:val="clear" w:color="auto" w:fill="FFFFFF"/>
        </w:rPr>
        <w:fldChar w:fldCharType="separate"/>
      </w:r>
      <w:r>
        <w:rPr>
          <w:rStyle w:val="14"/>
          <w:rFonts w:hint="eastAsia" w:ascii="仿宋_GB2312" w:hAnsi="仿宋_GB2312" w:eastAsia="仿宋_GB2312" w:cs="仿宋_GB2312"/>
          <w:color w:val="auto"/>
          <w:sz w:val="32"/>
          <w:szCs w:val="32"/>
          <w:u w:val="none"/>
          <w:shd w:val="clear" w:color="auto" w:fill="FFFFFF"/>
        </w:rPr>
        <w:t>《会刊》</w:t>
      </w:r>
      <w:r>
        <w:rPr>
          <w:rFonts w:hint="eastAsia" w:ascii="仿宋_GB2312" w:hAnsi="仿宋_GB2312" w:eastAsia="仿宋_GB2312" w:cs="仿宋_GB2312"/>
          <w:sz w:val="32"/>
          <w:szCs w:val="32"/>
          <w:shd w:val="clear" w:color="auto" w:fill="FFFFFF"/>
        </w:rPr>
        <w:fldChar w:fldCharType="end"/>
      </w:r>
      <w:r>
        <w:rPr>
          <w:rFonts w:hint="eastAsia" w:ascii="仿宋_GB2312" w:hAnsi="仿宋_GB2312" w:eastAsia="仿宋_GB2312" w:cs="仿宋_GB2312"/>
          <w:sz w:val="32"/>
          <w:szCs w:val="32"/>
          <w:shd w:val="clear" w:color="auto" w:fill="FFFFFF"/>
        </w:rPr>
        <w:t>、</w:t>
      </w:r>
      <w:r>
        <w:rPr>
          <w:rFonts w:hint="eastAsia" w:ascii="仿宋_GB2312" w:hAnsi="仿宋_GB2312" w:eastAsia="仿宋_GB2312" w:cs="仿宋_GB2312"/>
          <w:sz w:val="32"/>
          <w:szCs w:val="32"/>
          <w:shd w:val="clear" w:color="auto" w:fill="FFFFFF"/>
        </w:rPr>
        <w:fldChar w:fldCharType="begin"/>
      </w:r>
      <w:r>
        <w:rPr>
          <w:rFonts w:hint="eastAsia" w:ascii="仿宋_GB2312" w:hAnsi="仿宋_GB2312" w:eastAsia="仿宋_GB2312" w:cs="仿宋_GB2312"/>
          <w:sz w:val="32"/>
          <w:szCs w:val="32"/>
          <w:shd w:val="clear" w:color="auto" w:fill="FFFFFF"/>
        </w:rPr>
        <w:instrText xml:space="preserve"> HYPERLINK "https://www.baidu.com/s?wd=%E3%80%8A%E6%B1%87%E7%BC%96%E3%80%8B&amp;tn=SE_PcZhidaonwhc_ngpagmjz&amp;rsv_dl=gh_pc_zhidao" \t "https://zhidao.baidu.com/question/_blank" </w:instrText>
      </w:r>
      <w:r>
        <w:rPr>
          <w:rFonts w:hint="eastAsia" w:ascii="仿宋_GB2312" w:hAnsi="仿宋_GB2312" w:eastAsia="仿宋_GB2312" w:cs="仿宋_GB2312"/>
          <w:sz w:val="32"/>
          <w:szCs w:val="32"/>
          <w:shd w:val="clear" w:color="auto" w:fill="FFFFFF"/>
        </w:rPr>
        <w:fldChar w:fldCharType="separate"/>
      </w:r>
      <w:r>
        <w:rPr>
          <w:rStyle w:val="14"/>
          <w:rFonts w:hint="eastAsia" w:ascii="仿宋_GB2312" w:hAnsi="仿宋_GB2312" w:eastAsia="仿宋_GB2312" w:cs="仿宋_GB2312"/>
          <w:color w:val="auto"/>
          <w:sz w:val="32"/>
          <w:szCs w:val="32"/>
          <w:u w:val="none"/>
          <w:shd w:val="clear" w:color="auto" w:fill="FFFFFF"/>
        </w:rPr>
        <w:t>《汇编》</w:t>
      </w:r>
      <w:r>
        <w:rPr>
          <w:rFonts w:hint="eastAsia" w:ascii="仿宋_GB2312" w:hAnsi="仿宋_GB2312" w:eastAsia="仿宋_GB2312" w:cs="仿宋_GB2312"/>
          <w:sz w:val="32"/>
          <w:szCs w:val="32"/>
          <w:shd w:val="clear" w:color="auto" w:fill="FFFFFF"/>
        </w:rPr>
        <w:fldChar w:fldCharType="end"/>
      </w:r>
      <w:r>
        <w:rPr>
          <w:rFonts w:hint="eastAsia" w:ascii="仿宋_GB2312" w:hAnsi="仿宋_GB2312" w:eastAsia="仿宋_GB2312" w:cs="仿宋_GB2312"/>
          <w:sz w:val="32"/>
          <w:szCs w:val="32"/>
          <w:shd w:val="clear" w:color="auto" w:fill="FFFFFF"/>
        </w:rPr>
        <w:t>的编辑、校对、分发工作。</w:t>
      </w:r>
      <w:r>
        <w:rPr>
          <w:rFonts w:hint="eastAsia" w:ascii="仿宋_GB2312" w:hAnsi="仿宋_GB2312" w:eastAsia="仿宋_GB2312" w:cs="仿宋_GB2312"/>
          <w:sz w:val="32"/>
          <w:szCs w:val="32"/>
          <w:shd w:val="clear" w:color="auto" w:fill="FFFFFF"/>
        </w:rPr>
        <w:br w:type="textWrapping"/>
      </w:r>
      <w:r>
        <w:rPr>
          <w:rFonts w:hint="eastAsia" w:ascii="仿宋_GB2312" w:hAnsi="仿宋_GB2312" w:eastAsia="仿宋_GB2312" w:cs="仿宋_GB2312"/>
          <w:sz w:val="32"/>
          <w:szCs w:val="32"/>
          <w:shd w:val="clear" w:color="auto" w:fill="FFFFFF"/>
        </w:rPr>
        <w:t>　</w:t>
      </w:r>
      <w:r>
        <w:rPr>
          <w:rFonts w:hint="eastAsia" w:ascii="仿宋_GB2312" w:hAnsi="仿宋_GB2312" w:eastAsia="仿宋_GB2312" w:cs="仿宋_GB2312"/>
          <w:sz w:val="32"/>
          <w:szCs w:val="32"/>
          <w:shd w:val="clear" w:color="auto" w:fill="FFFFFF"/>
          <w:lang w:val="en-US" w:eastAsia="zh-CN"/>
        </w:rPr>
        <w:t xml:space="preserve"> 3.</w:t>
      </w:r>
      <w:r>
        <w:rPr>
          <w:rFonts w:hint="eastAsia" w:ascii="仿宋_GB2312" w:hAnsi="仿宋_GB2312" w:eastAsia="仿宋_GB2312" w:cs="仿宋_GB2312"/>
          <w:sz w:val="32"/>
          <w:szCs w:val="32"/>
          <w:shd w:val="clear" w:color="auto" w:fill="FFFFFF"/>
        </w:rPr>
        <w:t>负责做好上一级人代会期间本级代表团的服务工作；负责做好兄弟人大来参观、交流的</w:t>
      </w:r>
      <w:r>
        <w:rPr>
          <w:rFonts w:hint="eastAsia" w:ascii="仿宋_GB2312" w:hAnsi="仿宋_GB2312" w:eastAsia="仿宋_GB2312" w:cs="仿宋_GB2312"/>
          <w:sz w:val="32"/>
          <w:szCs w:val="32"/>
          <w:shd w:val="clear" w:color="auto" w:fill="FFFFFF"/>
        </w:rPr>
        <w:fldChar w:fldCharType="begin"/>
      </w:r>
      <w:r>
        <w:rPr>
          <w:rFonts w:hint="eastAsia" w:ascii="仿宋_GB2312" w:hAnsi="仿宋_GB2312" w:eastAsia="仿宋_GB2312" w:cs="仿宋_GB2312"/>
          <w:sz w:val="32"/>
          <w:szCs w:val="32"/>
          <w:shd w:val="clear" w:color="auto" w:fill="FFFFFF"/>
        </w:rPr>
        <w:instrText xml:space="preserve"> HYPERLINK "https://www.baidu.com/s?wd=%E6%8E%A5%E5%BE%85%E5%B7%A5%E4%BD%9C&amp;tn=SE_PcZhidaonwhc_ngpagmjz&amp;rsv_dl=gh_pc_zhidao" \t "https://zhidao.baidu.com/question/_blank" </w:instrText>
      </w:r>
      <w:r>
        <w:rPr>
          <w:rFonts w:hint="eastAsia" w:ascii="仿宋_GB2312" w:hAnsi="仿宋_GB2312" w:eastAsia="仿宋_GB2312" w:cs="仿宋_GB2312"/>
          <w:sz w:val="32"/>
          <w:szCs w:val="32"/>
          <w:shd w:val="clear" w:color="auto" w:fill="FFFFFF"/>
        </w:rPr>
        <w:fldChar w:fldCharType="separate"/>
      </w:r>
      <w:r>
        <w:rPr>
          <w:rStyle w:val="14"/>
          <w:rFonts w:hint="eastAsia" w:ascii="仿宋_GB2312" w:hAnsi="仿宋_GB2312" w:eastAsia="仿宋_GB2312" w:cs="仿宋_GB2312"/>
          <w:color w:val="auto"/>
          <w:sz w:val="32"/>
          <w:szCs w:val="32"/>
          <w:u w:val="none"/>
          <w:shd w:val="clear" w:color="auto" w:fill="FFFFFF"/>
        </w:rPr>
        <w:t>接待工作</w:t>
      </w:r>
      <w:r>
        <w:rPr>
          <w:rFonts w:hint="eastAsia" w:ascii="仿宋_GB2312" w:hAnsi="仿宋_GB2312" w:eastAsia="仿宋_GB2312" w:cs="仿宋_GB2312"/>
          <w:sz w:val="32"/>
          <w:szCs w:val="32"/>
          <w:shd w:val="clear" w:color="auto" w:fill="FFFFFF"/>
        </w:rPr>
        <w:fldChar w:fldCharType="end"/>
      </w:r>
      <w:r>
        <w:rPr>
          <w:rFonts w:hint="eastAsia" w:ascii="仿宋_GB2312" w:hAnsi="仿宋_GB2312" w:eastAsia="仿宋_GB2312" w:cs="仿宋_GB2312"/>
          <w:sz w:val="32"/>
          <w:szCs w:val="32"/>
          <w:shd w:val="clear" w:color="auto" w:fill="FFFFFF"/>
        </w:rPr>
        <w:t>，以及上级人大代表来我辖区开展视察、检查、调查活动的接待和服务工作。</w:t>
      </w:r>
    </w:p>
    <w:p>
      <w:pPr>
        <w:snapToGrid w:val="0"/>
        <w:spacing w:line="560" w:lineRule="exact"/>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lang w:val="en-US" w:eastAsia="zh-CN"/>
        </w:rPr>
        <w:t>4.</w:t>
      </w:r>
      <w:r>
        <w:rPr>
          <w:rFonts w:hint="eastAsia" w:ascii="仿宋_GB2312" w:hAnsi="仿宋_GB2312" w:eastAsia="仿宋_GB2312" w:cs="仿宋_GB2312"/>
          <w:sz w:val="32"/>
          <w:szCs w:val="32"/>
          <w:shd w:val="clear" w:color="auto" w:fill="FFFFFF"/>
        </w:rPr>
        <w:t>负责做好本级人大机关的行政、财务、财产管理和日常事务工作，做好</w:t>
      </w:r>
      <w:r>
        <w:rPr>
          <w:rFonts w:hint="eastAsia" w:ascii="仿宋_GB2312" w:hAnsi="仿宋_GB2312" w:eastAsia="仿宋_GB2312" w:cs="仿宋_GB2312"/>
          <w:sz w:val="32"/>
          <w:szCs w:val="32"/>
          <w:shd w:val="clear" w:color="auto" w:fill="FFFFFF"/>
        </w:rPr>
        <w:fldChar w:fldCharType="begin"/>
      </w:r>
      <w:r>
        <w:rPr>
          <w:rFonts w:hint="eastAsia" w:ascii="仿宋_GB2312" w:hAnsi="仿宋_GB2312" w:eastAsia="仿宋_GB2312" w:cs="仿宋_GB2312"/>
          <w:sz w:val="32"/>
          <w:szCs w:val="32"/>
          <w:shd w:val="clear" w:color="auto" w:fill="FFFFFF"/>
        </w:rPr>
        <w:instrText xml:space="preserve"> HYPERLINK "https://www.baidu.com/s?wd=%E7%A6%BB%E9%80%80%E4%BC%91%E4%BA%BA%E5%91%98&amp;tn=SE_PcZhidaonwhc_ngpagmjz&amp;rsv_dl=gh_pc_zhidao" \t "https://zhidao.baidu.com/question/_blank" </w:instrText>
      </w:r>
      <w:r>
        <w:rPr>
          <w:rFonts w:hint="eastAsia" w:ascii="仿宋_GB2312" w:hAnsi="仿宋_GB2312" w:eastAsia="仿宋_GB2312" w:cs="仿宋_GB2312"/>
          <w:sz w:val="32"/>
          <w:szCs w:val="32"/>
          <w:shd w:val="clear" w:color="auto" w:fill="FFFFFF"/>
        </w:rPr>
        <w:fldChar w:fldCharType="separate"/>
      </w:r>
      <w:r>
        <w:rPr>
          <w:rStyle w:val="14"/>
          <w:rFonts w:hint="eastAsia" w:ascii="仿宋_GB2312" w:hAnsi="仿宋_GB2312" w:eastAsia="仿宋_GB2312" w:cs="仿宋_GB2312"/>
          <w:color w:val="auto"/>
          <w:sz w:val="32"/>
          <w:szCs w:val="32"/>
          <w:u w:val="none"/>
          <w:shd w:val="clear" w:color="auto" w:fill="FFFFFF"/>
        </w:rPr>
        <w:t>离退休人员</w:t>
      </w:r>
      <w:r>
        <w:rPr>
          <w:rFonts w:hint="eastAsia" w:ascii="仿宋_GB2312" w:hAnsi="仿宋_GB2312" w:eastAsia="仿宋_GB2312" w:cs="仿宋_GB2312"/>
          <w:sz w:val="32"/>
          <w:szCs w:val="32"/>
          <w:shd w:val="clear" w:color="auto" w:fill="FFFFFF"/>
        </w:rPr>
        <w:fldChar w:fldCharType="end"/>
      </w:r>
      <w:r>
        <w:rPr>
          <w:rFonts w:hint="eastAsia" w:ascii="仿宋_GB2312" w:hAnsi="仿宋_GB2312" w:eastAsia="仿宋_GB2312" w:cs="仿宋_GB2312"/>
          <w:sz w:val="32"/>
          <w:szCs w:val="32"/>
          <w:shd w:val="clear" w:color="auto" w:fill="FFFFFF"/>
        </w:rPr>
        <w:t>的服务工作．</w:t>
      </w:r>
    </w:p>
    <w:p>
      <w:pPr>
        <w:snapToGrid w:val="0"/>
        <w:spacing w:line="560" w:lineRule="exact"/>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lang w:val="en-US" w:eastAsia="zh-CN"/>
        </w:rPr>
        <w:t>5.</w:t>
      </w:r>
      <w:r>
        <w:rPr>
          <w:rFonts w:hint="eastAsia" w:ascii="仿宋_GB2312" w:hAnsi="仿宋_GB2312" w:eastAsia="仿宋_GB2312" w:cs="仿宋_GB2312"/>
          <w:sz w:val="32"/>
          <w:szCs w:val="32"/>
          <w:shd w:val="clear" w:color="auto" w:fill="FFFFFF"/>
        </w:rPr>
        <w:t>负责本级人大常委会印鉴管理和机关的文电、机要、保密、档案、文印等工作。</w:t>
      </w:r>
      <w:r>
        <w:rPr>
          <w:rFonts w:hint="eastAsia" w:ascii="仿宋_GB2312" w:hAnsi="仿宋_GB2312" w:eastAsia="仿宋_GB2312" w:cs="仿宋_GB2312"/>
          <w:sz w:val="32"/>
          <w:szCs w:val="32"/>
          <w:shd w:val="clear" w:color="auto" w:fill="FFFFFF"/>
        </w:rPr>
        <w:br w:type="textWrapping"/>
      </w:r>
      <w:r>
        <w:rPr>
          <w:rFonts w:hint="eastAsia" w:ascii="仿宋_GB2312" w:hAnsi="仿宋_GB2312" w:eastAsia="仿宋_GB2312" w:cs="仿宋_GB2312"/>
          <w:sz w:val="32"/>
          <w:szCs w:val="32"/>
          <w:shd w:val="clear" w:color="auto" w:fill="FFFFFF"/>
          <w:lang w:val="en-US" w:eastAsia="zh-CN"/>
        </w:rPr>
        <w:t xml:space="preserve">   6.</w:t>
      </w:r>
      <w:r>
        <w:rPr>
          <w:rFonts w:hint="eastAsia" w:ascii="仿宋_GB2312" w:hAnsi="仿宋_GB2312" w:eastAsia="仿宋_GB2312" w:cs="仿宋_GB2312"/>
          <w:sz w:val="32"/>
          <w:szCs w:val="32"/>
          <w:shd w:val="clear" w:color="auto" w:fill="FFFFFF"/>
        </w:rPr>
        <w:t>负责做好本级人大系统的通讯报道工作。</w:t>
      </w:r>
      <w:r>
        <w:rPr>
          <w:rFonts w:hint="eastAsia" w:ascii="仿宋_GB2312" w:hAnsi="仿宋_GB2312" w:eastAsia="仿宋_GB2312" w:cs="仿宋_GB2312"/>
          <w:sz w:val="32"/>
          <w:szCs w:val="32"/>
          <w:shd w:val="clear" w:color="auto" w:fill="FFFFFF"/>
        </w:rPr>
        <w:br w:type="textWrapping"/>
      </w:r>
      <w:r>
        <w:rPr>
          <w:rFonts w:hint="eastAsia" w:ascii="仿宋_GB2312" w:hAnsi="仿宋_GB2312" w:eastAsia="仿宋_GB2312" w:cs="仿宋_GB2312"/>
          <w:sz w:val="32"/>
          <w:szCs w:val="32"/>
          <w:shd w:val="clear" w:color="auto" w:fill="FFFFFF"/>
          <w:lang w:val="en-US" w:eastAsia="zh-CN"/>
        </w:rPr>
        <w:t xml:space="preserve">   7.</w:t>
      </w:r>
      <w:r>
        <w:rPr>
          <w:rFonts w:hint="eastAsia" w:ascii="仿宋_GB2312" w:hAnsi="仿宋_GB2312" w:eastAsia="仿宋_GB2312" w:cs="仿宋_GB2312"/>
          <w:sz w:val="32"/>
          <w:szCs w:val="32"/>
          <w:shd w:val="clear" w:color="auto" w:fill="FFFFFF"/>
        </w:rPr>
        <w:t>负责协调人大常委会各工作机构之间的工作关系，以及与其他部门之间的关系，牵头或组织机关内部业务学习和政治学习；负责搞好与“</w:t>
      </w:r>
      <w:r>
        <w:rPr>
          <w:rFonts w:hint="eastAsia" w:ascii="仿宋_GB2312" w:hAnsi="仿宋_GB2312" w:eastAsia="仿宋_GB2312" w:cs="仿宋_GB2312"/>
          <w:sz w:val="32"/>
          <w:szCs w:val="32"/>
          <w:shd w:val="clear" w:color="auto" w:fill="FFFFFF"/>
        </w:rPr>
        <w:fldChar w:fldCharType="begin"/>
      </w:r>
      <w:r>
        <w:rPr>
          <w:rFonts w:hint="eastAsia" w:ascii="仿宋_GB2312" w:hAnsi="仿宋_GB2312" w:eastAsia="仿宋_GB2312" w:cs="仿宋_GB2312"/>
          <w:sz w:val="32"/>
          <w:szCs w:val="32"/>
          <w:shd w:val="clear" w:color="auto" w:fill="FFFFFF"/>
        </w:rPr>
        <w:instrText xml:space="preserve"> HYPERLINK "https://www.baidu.com/s?wd=%E4%B8%80%E5%BA%9C%E4%B8%A4%E9%99%A2&amp;tn=SE_PcZhidaonwhc_ngpagmjz&amp;rsv_dl=gh_pc_zhidao" \t "https://zhidao.baidu.com/question/_blank" </w:instrText>
      </w:r>
      <w:r>
        <w:rPr>
          <w:rFonts w:hint="eastAsia" w:ascii="仿宋_GB2312" w:hAnsi="仿宋_GB2312" w:eastAsia="仿宋_GB2312" w:cs="仿宋_GB2312"/>
          <w:sz w:val="32"/>
          <w:szCs w:val="32"/>
          <w:shd w:val="clear" w:color="auto" w:fill="FFFFFF"/>
        </w:rPr>
        <w:fldChar w:fldCharType="separate"/>
      </w:r>
      <w:r>
        <w:rPr>
          <w:rStyle w:val="14"/>
          <w:rFonts w:hint="eastAsia" w:ascii="仿宋_GB2312" w:hAnsi="仿宋_GB2312" w:eastAsia="仿宋_GB2312" w:cs="仿宋_GB2312"/>
          <w:color w:val="auto"/>
          <w:sz w:val="32"/>
          <w:szCs w:val="32"/>
          <w:u w:val="none"/>
          <w:shd w:val="clear" w:color="auto" w:fill="FFFFFF"/>
        </w:rPr>
        <w:t>一府两院</w:t>
      </w:r>
      <w:r>
        <w:rPr>
          <w:rFonts w:hint="eastAsia" w:ascii="仿宋_GB2312" w:hAnsi="仿宋_GB2312" w:eastAsia="仿宋_GB2312" w:cs="仿宋_GB2312"/>
          <w:sz w:val="32"/>
          <w:szCs w:val="32"/>
          <w:shd w:val="clear" w:color="auto" w:fill="FFFFFF"/>
        </w:rPr>
        <w:fldChar w:fldCharType="end"/>
      </w:r>
      <w:r>
        <w:rPr>
          <w:rFonts w:hint="eastAsia" w:ascii="仿宋_GB2312" w:hAnsi="仿宋_GB2312" w:eastAsia="仿宋_GB2312" w:cs="仿宋_GB2312"/>
          <w:sz w:val="32"/>
          <w:szCs w:val="32"/>
          <w:shd w:val="clear" w:color="auto" w:fill="FFFFFF"/>
        </w:rPr>
        <w:t>”办公室的横向联系，积极做好区人大常委会与“</w:t>
      </w:r>
      <w:r>
        <w:rPr>
          <w:rFonts w:hint="eastAsia" w:ascii="仿宋_GB2312" w:hAnsi="仿宋_GB2312" w:eastAsia="仿宋_GB2312" w:cs="仿宋_GB2312"/>
          <w:sz w:val="32"/>
          <w:szCs w:val="32"/>
          <w:shd w:val="clear" w:color="auto" w:fill="FFFFFF"/>
        </w:rPr>
        <w:fldChar w:fldCharType="begin"/>
      </w:r>
      <w:r>
        <w:rPr>
          <w:rFonts w:hint="eastAsia" w:ascii="仿宋_GB2312" w:hAnsi="仿宋_GB2312" w:eastAsia="仿宋_GB2312" w:cs="仿宋_GB2312"/>
          <w:sz w:val="32"/>
          <w:szCs w:val="32"/>
          <w:shd w:val="clear" w:color="auto" w:fill="FFFFFF"/>
        </w:rPr>
        <w:instrText xml:space="preserve"> HYPERLINK "https://www.baidu.com/s?wd=%E4%B8%80%E5%BA%9C%E4%B8%A4%E9%99%A2&amp;tn=SE_PcZhidaonwhc_ngpagmjz&amp;rsv_dl=gh_pc_zhidao" \t "https://zhidao.baidu.com/question/_blank" </w:instrText>
      </w:r>
      <w:r>
        <w:rPr>
          <w:rFonts w:hint="eastAsia" w:ascii="仿宋_GB2312" w:hAnsi="仿宋_GB2312" w:eastAsia="仿宋_GB2312" w:cs="仿宋_GB2312"/>
          <w:sz w:val="32"/>
          <w:szCs w:val="32"/>
          <w:shd w:val="clear" w:color="auto" w:fill="FFFFFF"/>
        </w:rPr>
        <w:fldChar w:fldCharType="separate"/>
      </w:r>
      <w:r>
        <w:rPr>
          <w:rStyle w:val="14"/>
          <w:rFonts w:hint="eastAsia" w:ascii="仿宋_GB2312" w:hAnsi="仿宋_GB2312" w:eastAsia="仿宋_GB2312" w:cs="仿宋_GB2312"/>
          <w:color w:val="auto"/>
          <w:sz w:val="32"/>
          <w:szCs w:val="32"/>
          <w:u w:val="none"/>
          <w:shd w:val="clear" w:color="auto" w:fill="FFFFFF"/>
        </w:rPr>
        <w:t>一府两院</w:t>
      </w:r>
      <w:r>
        <w:rPr>
          <w:rFonts w:hint="eastAsia" w:ascii="仿宋_GB2312" w:hAnsi="仿宋_GB2312" w:eastAsia="仿宋_GB2312" w:cs="仿宋_GB2312"/>
          <w:sz w:val="32"/>
          <w:szCs w:val="32"/>
          <w:shd w:val="clear" w:color="auto" w:fill="FFFFFF"/>
        </w:rPr>
        <w:fldChar w:fldCharType="end"/>
      </w:r>
      <w:r>
        <w:rPr>
          <w:rFonts w:hint="eastAsia" w:ascii="仿宋_GB2312" w:hAnsi="仿宋_GB2312" w:eastAsia="仿宋_GB2312" w:cs="仿宋_GB2312"/>
          <w:sz w:val="32"/>
          <w:szCs w:val="32"/>
          <w:shd w:val="clear" w:color="auto" w:fill="FFFFFF"/>
        </w:rPr>
        <w:t>”联席会议的准备工作和有关事宜；负责搞好同上一级人大常委会各工作委(室)及下级人大及常委员的工作联系。</w:t>
      </w:r>
    </w:p>
    <w:p>
      <w:pPr>
        <w:snapToGrid w:val="0"/>
        <w:spacing w:line="560" w:lineRule="exact"/>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lang w:val="en-US" w:eastAsia="zh-CN"/>
        </w:rPr>
        <w:t>8.</w:t>
      </w:r>
      <w:r>
        <w:rPr>
          <w:rFonts w:hint="eastAsia" w:ascii="仿宋_GB2312" w:hAnsi="仿宋_GB2312" w:eastAsia="仿宋_GB2312" w:cs="仿宋_GB2312"/>
          <w:sz w:val="32"/>
          <w:szCs w:val="32"/>
          <w:shd w:val="clear" w:color="auto" w:fill="FFFFFF"/>
        </w:rPr>
        <w:t>负责做好情况的上呈下达，为领导决策及时提供信息，当好领导的参谋助手。</w:t>
      </w:r>
      <w:r>
        <w:rPr>
          <w:rFonts w:hint="eastAsia" w:ascii="仿宋_GB2312" w:hAnsi="仿宋_GB2312" w:eastAsia="仿宋_GB2312" w:cs="仿宋_GB2312"/>
          <w:sz w:val="32"/>
          <w:szCs w:val="32"/>
          <w:shd w:val="clear" w:color="auto" w:fill="FFFFFF"/>
        </w:rPr>
        <w:br w:type="textWrapping"/>
      </w:r>
      <w:r>
        <w:rPr>
          <w:rFonts w:hint="eastAsia" w:ascii="仿宋_GB2312" w:hAnsi="仿宋_GB2312" w:eastAsia="仿宋_GB2312" w:cs="仿宋_GB2312"/>
          <w:sz w:val="32"/>
          <w:szCs w:val="32"/>
          <w:shd w:val="clear" w:color="auto" w:fill="FFFFFF"/>
          <w:lang w:val="en-US" w:eastAsia="zh-CN"/>
        </w:rPr>
        <w:t xml:space="preserve">    9.</w:t>
      </w:r>
      <w:r>
        <w:rPr>
          <w:rFonts w:hint="eastAsia" w:ascii="仿宋_GB2312" w:hAnsi="仿宋_GB2312" w:eastAsia="仿宋_GB2312" w:cs="仿宋_GB2312"/>
          <w:sz w:val="32"/>
          <w:szCs w:val="32"/>
          <w:shd w:val="clear" w:color="auto" w:fill="FFFFFF"/>
        </w:rPr>
        <w:t>协助做好人大代表和人民群众的来信来访和办理工作，做好人大常委会组织的代表活动的后勤服务工作。</w:t>
      </w:r>
      <w:r>
        <w:rPr>
          <w:rFonts w:hint="eastAsia" w:ascii="仿宋_GB2312" w:hAnsi="仿宋_GB2312" w:eastAsia="仿宋_GB2312" w:cs="仿宋_GB2312"/>
          <w:sz w:val="32"/>
          <w:szCs w:val="32"/>
          <w:shd w:val="clear" w:color="auto" w:fill="FFFFFF"/>
        </w:rPr>
        <w:br w:type="textWrapping"/>
      </w:r>
      <w:r>
        <w:rPr>
          <w:rFonts w:hint="eastAsia" w:ascii="仿宋_GB2312" w:hAnsi="仿宋_GB2312" w:eastAsia="仿宋_GB2312" w:cs="仿宋_GB2312"/>
          <w:sz w:val="32"/>
          <w:szCs w:val="32"/>
          <w:shd w:val="clear" w:color="auto" w:fill="FFFFFF"/>
        </w:rPr>
        <w:t>　　</w:t>
      </w:r>
      <w:r>
        <w:rPr>
          <w:rFonts w:hint="eastAsia" w:ascii="仿宋_GB2312" w:hAnsi="仿宋_GB2312" w:eastAsia="仿宋_GB2312" w:cs="仿宋_GB2312"/>
          <w:sz w:val="32"/>
          <w:szCs w:val="32"/>
          <w:shd w:val="clear" w:color="auto" w:fill="FFFFFF"/>
          <w:lang w:val="en-US" w:eastAsia="zh-CN"/>
        </w:rPr>
        <w:t>10.</w:t>
      </w:r>
      <w:r>
        <w:rPr>
          <w:rFonts w:hint="eastAsia" w:ascii="仿宋_GB2312" w:hAnsi="仿宋_GB2312" w:eastAsia="仿宋_GB2312" w:cs="仿宋_GB2312"/>
          <w:sz w:val="32"/>
          <w:szCs w:val="32"/>
          <w:shd w:val="clear" w:color="auto" w:fill="FFFFFF"/>
        </w:rPr>
        <w:t>负责建立健全各项规章制度，加强办公室自身建设，提高全办人员的政治素质和业务素质，提高办公室的整体素质和办事效率。</w:t>
      </w:r>
    </w:p>
    <w:p>
      <w:pPr>
        <w:snapToGrid w:val="0"/>
        <w:spacing w:line="560" w:lineRule="exact"/>
        <w:ind w:firstLine="640" w:firstLineChars="200"/>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11.</w:t>
      </w:r>
      <w:r>
        <w:rPr>
          <w:rFonts w:hint="eastAsia" w:ascii="仿宋_GB2312" w:hAnsi="仿宋_GB2312" w:eastAsia="仿宋_GB2312" w:cs="仿宋_GB2312"/>
          <w:sz w:val="32"/>
          <w:szCs w:val="32"/>
          <w:shd w:val="clear" w:color="auto" w:fill="FFFFFF"/>
        </w:rPr>
        <w:t>负责办理常委会、主任会议及常委会领导部署、安排的各项工作</w:t>
      </w:r>
      <w:r>
        <w:rPr>
          <w:rFonts w:hint="eastAsia" w:ascii="仿宋_GB2312" w:hAnsi="仿宋_GB2312" w:eastAsia="仿宋_GB2312" w:cs="仿宋_GB2312"/>
          <w:sz w:val="32"/>
          <w:szCs w:val="32"/>
          <w:shd w:val="clear" w:color="auto" w:fill="FFFFFF"/>
          <w:lang w:val="en-US" w:eastAsia="zh-CN"/>
        </w:rPr>
        <w:t>.</w:t>
      </w:r>
    </w:p>
    <w:p>
      <w:pPr>
        <w:pStyle w:val="10"/>
        <w:keepNext w:val="0"/>
        <w:keepLines w:val="0"/>
        <w:widowControl/>
        <w:suppressLineNumbers w:val="0"/>
        <w:ind w:left="0" w:right="75"/>
        <w:rPr>
          <w:rFonts w:hint="eastAsia" w:ascii="楷体_GB2312" w:hAnsi="楷体_GB2312" w:eastAsia="楷体_GB2312" w:cs="楷体_GB2312"/>
          <w:b/>
          <w:bCs/>
          <w:sz w:val="32"/>
          <w:szCs w:val="32"/>
          <w:shd w:val="clear" w:color="auto" w:fill="FFFFFF"/>
        </w:rPr>
      </w:pPr>
      <w:r>
        <w:rPr>
          <w:rFonts w:hint="eastAsia" w:ascii="楷体_GB2312" w:hAnsi="楷体_GB2312" w:eastAsia="楷体_GB2312" w:cs="楷体_GB2312"/>
          <w:b/>
          <w:bCs/>
          <w:sz w:val="32"/>
          <w:szCs w:val="32"/>
          <w:shd w:val="clear" w:color="auto" w:fill="FFFFFF"/>
        </w:rPr>
        <w:t>（二）202</w:t>
      </w:r>
      <w:r>
        <w:rPr>
          <w:rFonts w:hint="eastAsia" w:ascii="楷体_GB2312" w:hAnsi="楷体_GB2312" w:eastAsia="楷体_GB2312" w:cs="楷体_GB2312"/>
          <w:b/>
          <w:bCs/>
          <w:sz w:val="32"/>
          <w:szCs w:val="32"/>
          <w:shd w:val="clear" w:color="auto" w:fill="FFFFFF"/>
          <w:lang w:val="en-US" w:eastAsia="zh-CN"/>
        </w:rPr>
        <w:t>1</w:t>
      </w:r>
      <w:r>
        <w:rPr>
          <w:rFonts w:hint="eastAsia" w:ascii="楷体_GB2312" w:hAnsi="楷体_GB2312" w:eastAsia="楷体_GB2312" w:cs="楷体_GB2312"/>
          <w:b/>
          <w:bCs/>
          <w:sz w:val="32"/>
          <w:szCs w:val="32"/>
          <w:shd w:val="clear" w:color="auto" w:fill="FFFFFF"/>
        </w:rPr>
        <w:t>年重点工作完成情况。</w:t>
      </w:r>
    </w:p>
    <w:p>
      <w:pPr>
        <w:keepNext w:val="0"/>
        <w:keepLines w:val="0"/>
        <w:pageBreakBefore w:val="0"/>
        <w:widowControl w:val="0"/>
        <w:pBdr>
          <w:bottom w:val="single" w:color="FFFFFF" w:sz="4" w:space="29"/>
        </w:pBdr>
        <w:kinsoku/>
        <w:wordWrap/>
        <w:overflowPunct/>
        <w:topLinePunct w:val="0"/>
        <w:autoSpaceDE/>
        <w:autoSpaceDN/>
        <w:bidi w:val="0"/>
        <w:adjustRightInd w:val="0"/>
        <w:snapToGrid w:val="0"/>
        <w:spacing w:line="560" w:lineRule="exact"/>
        <w:ind w:firstLine="643" w:firstLineChars="200"/>
        <w:textAlignment w:val="auto"/>
        <w:rPr>
          <w:rFonts w:hint="eastAsia" w:ascii="仿宋" w:hAnsi="仿宋" w:eastAsia="仿宋" w:cs="仿宋"/>
          <w:snapToGrid w:val="0"/>
          <w:color w:val="000000"/>
          <w:kern w:val="56"/>
          <w:sz w:val="32"/>
          <w:szCs w:val="32"/>
          <w:shd w:val="clear" w:color="auto" w:fill="FFFFFF"/>
        </w:rPr>
      </w:pPr>
      <w:r>
        <w:rPr>
          <w:rFonts w:hint="eastAsia" w:ascii="楷体" w:hAnsi="楷体" w:eastAsia="楷体" w:cs="楷体"/>
          <w:b/>
          <w:color w:val="000000"/>
          <w:kern w:val="0"/>
          <w:sz w:val="32"/>
          <w:szCs w:val="32"/>
          <w:shd w:val="clear" w:color="auto" w:fill="FFFFFF"/>
          <w:lang w:val="en-US" w:eastAsia="zh-CN"/>
        </w:rPr>
        <w:t>1.</w:t>
      </w:r>
      <w:r>
        <w:rPr>
          <w:rFonts w:hint="eastAsia" w:ascii="楷体" w:hAnsi="楷体" w:eastAsia="楷体" w:cs="楷体"/>
          <w:b/>
          <w:color w:val="000000"/>
          <w:kern w:val="0"/>
          <w:sz w:val="32"/>
          <w:szCs w:val="32"/>
          <w:shd w:val="clear" w:color="auto" w:fill="FFFFFF"/>
        </w:rPr>
        <w:t>常态开展会前学法。</w:t>
      </w:r>
      <w:r>
        <w:rPr>
          <w:rFonts w:hint="eastAsia" w:ascii="仿宋" w:hAnsi="仿宋" w:eastAsia="仿宋" w:cs="仿宋"/>
          <w:snapToGrid w:val="0"/>
          <w:color w:val="000000"/>
          <w:kern w:val="56"/>
          <w:sz w:val="32"/>
          <w:szCs w:val="32"/>
          <w:shd w:val="clear" w:color="auto" w:fill="FFFFFF"/>
        </w:rPr>
        <w:t>坚持县人大常委会例会学法制度，组织人大常委会组成人员学习《代表法》《组织法》《宪法修正案》《四川省宪法宣誓制度实施办法》《中华人民共和国民法典》等法律法规和常委会工作制度，</w:t>
      </w:r>
      <w:r>
        <w:rPr>
          <w:rFonts w:hint="eastAsia" w:ascii="仿宋_GB2312" w:hAnsi="仿宋_GB2312" w:eastAsia="仿宋_GB2312" w:cs="仿宋_GB2312"/>
          <w:b w:val="0"/>
          <w:bCs w:val="0"/>
          <w:i w:val="0"/>
          <w:caps w:val="0"/>
          <w:color w:val="000000"/>
          <w:spacing w:val="0"/>
          <w:sz w:val="32"/>
          <w:szCs w:val="32"/>
          <w:shd w:val="clear" w:color="auto" w:fill="FFFFFF"/>
          <w:lang w:val="en-US" w:eastAsia="zh-CN"/>
        </w:rPr>
        <w:t>坚持学思用贯通、知信行统一，强化“四个意识” ,坚定“四个自信”，落实“两个维护”，在重要思想统领下谋划好监督、决定、代表等人大各项工作的新思路新举措，推动红原人大工作发展。</w:t>
      </w:r>
    </w:p>
    <w:p>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after="0" w:line="560" w:lineRule="exact"/>
        <w:ind w:left="0" w:firstLine="643" w:firstLineChars="200"/>
        <w:jc w:val="both"/>
        <w:textAlignment w:val="auto"/>
        <w:outlineLvl w:val="9"/>
        <w:rPr>
          <w:rFonts w:hint="eastAsia" w:ascii="仿宋_GB2312" w:hAnsi="仿宋_GB2312" w:eastAsia="仿宋_GB2312" w:cs="仿宋_GB2312"/>
          <w:i w:val="0"/>
          <w:caps w:val="0"/>
          <w:color w:val="000000"/>
          <w:spacing w:val="0"/>
          <w:sz w:val="32"/>
          <w:szCs w:val="32"/>
          <w:shd w:val="clear" w:color="auto" w:fill="FFFFFF"/>
        </w:rPr>
      </w:pPr>
      <w:r>
        <w:rPr>
          <w:rFonts w:hint="eastAsia" w:ascii="楷体_GB2312" w:hAnsi="楷体_GB2312" w:eastAsia="楷体_GB2312" w:cs="楷体_GB2312"/>
          <w:b/>
          <w:bCs/>
          <w:color w:val="000000"/>
          <w:sz w:val="32"/>
          <w:szCs w:val="32"/>
          <w:lang w:val="en-US" w:eastAsia="zh-CN"/>
        </w:rPr>
        <w:t>2.</w:t>
      </w:r>
      <w:r>
        <w:rPr>
          <w:rFonts w:hint="eastAsia" w:ascii="楷体_GB2312" w:hAnsi="楷体_GB2312" w:eastAsia="楷体_GB2312" w:cs="楷体_GB2312"/>
          <w:b/>
          <w:bCs/>
          <w:color w:val="000000"/>
          <w:sz w:val="32"/>
          <w:szCs w:val="32"/>
        </w:rPr>
        <w:t>加强对行政执法和司法工作的监督</w:t>
      </w:r>
      <w:r>
        <w:rPr>
          <w:rFonts w:hint="eastAsia" w:ascii="仿宋_GB2312" w:hAnsi="仿宋_GB2312" w:eastAsia="仿宋_GB2312" w:cs="仿宋_GB2312"/>
          <w:color w:val="000000"/>
          <w:sz w:val="32"/>
          <w:szCs w:val="32"/>
          <w:lang w:eastAsia="zh-CN"/>
        </w:rPr>
        <w:t>。听取审议县人民政府关于法治政府建设情况、</w:t>
      </w:r>
      <w:r>
        <w:rPr>
          <w:rFonts w:hint="eastAsia" w:ascii="仿宋_GB2312" w:hAnsi="仿宋_GB2312" w:eastAsia="仿宋_GB2312" w:cs="仿宋_GB2312"/>
          <w:color w:val="000000"/>
          <w:sz w:val="32"/>
          <w:szCs w:val="32"/>
          <w:lang w:val="en-US" w:eastAsia="zh-CN"/>
        </w:rPr>
        <w:t>县人民法院关于单亲母亲权益保障工作开展情况、县人民检察院关于未成年人检察工作开展情况等</w:t>
      </w:r>
      <w:r>
        <w:rPr>
          <w:rFonts w:hint="eastAsia" w:ascii="仿宋_GB2312" w:hAnsi="仿宋_GB2312" w:eastAsia="仿宋_GB2312" w:cs="仿宋_GB2312"/>
          <w:color w:val="000000"/>
          <w:sz w:val="32"/>
          <w:szCs w:val="32"/>
          <w:lang w:eastAsia="zh-CN"/>
        </w:rPr>
        <w:t>报告</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i w:val="0"/>
          <w:caps w:val="0"/>
          <w:color w:val="000000"/>
          <w:spacing w:val="0"/>
          <w:sz w:val="32"/>
          <w:szCs w:val="32"/>
          <w:shd w:val="clear" w:color="auto" w:fill="FFFFFF"/>
        </w:rPr>
        <w:t>加强规范性文件备案审查，进一步提升发现问题、推动解决问题的能力，提高备案审查质量；进一步提高来信来访办理工作规范化水平，加强对群众来信来访集中反映问题的分析研究，更好地服务于常委会监督工作。确保司法公正高效，提高运用法治方式深化改革、推动发展、化解矛盾、维护稳定、应对风险的能力。</w:t>
      </w:r>
    </w:p>
    <w:p>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line="560" w:lineRule="exact"/>
        <w:ind w:firstLine="643" w:firstLineChars="200"/>
        <w:jc w:val="both"/>
        <w:textAlignment w:val="auto"/>
        <w:outlineLvl w:val="9"/>
        <w:rPr>
          <w:rFonts w:hint="eastAsia" w:ascii="仿宋_GB2312" w:eastAsia="仿宋_GB2312"/>
          <w:sz w:val="32"/>
        </w:rPr>
      </w:pPr>
      <w:r>
        <w:rPr>
          <w:rFonts w:hint="eastAsia" w:ascii="方正楷体简体" w:hAnsi="方正楷体简体" w:eastAsia="方正楷体简体" w:cs="方正楷体简体"/>
          <w:b/>
          <w:bCs/>
          <w:color w:val="000000"/>
          <w:kern w:val="0"/>
          <w:sz w:val="32"/>
          <w:szCs w:val="32"/>
          <w:shd w:val="clear" w:color="auto" w:fill="FFFFFF"/>
          <w:lang w:val="en-US" w:eastAsia="zh-CN" w:bidi="ar"/>
        </w:rPr>
        <w:t>3.聚焦计划和财政预决算审查监督。</w:t>
      </w:r>
      <w:r>
        <w:rPr>
          <w:rFonts w:hint="eastAsia" w:ascii="仿宋_GB2312" w:hAnsi="仿宋_GB2312" w:eastAsia="仿宋_GB2312" w:cs="仿宋_GB2312"/>
          <w:b w:val="0"/>
          <w:bCs/>
          <w:color w:val="000000"/>
          <w:kern w:val="0"/>
          <w:sz w:val="32"/>
          <w:szCs w:val="32"/>
          <w:shd w:val="clear" w:color="auto" w:fill="FFFFFF"/>
          <w:lang w:val="en-US" w:eastAsia="zh-CN" w:bidi="ar"/>
        </w:rPr>
        <w:t>听取了县人民政府关于</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年上半年国民经济社会发展计划执行情况、</w:t>
      </w:r>
      <w:r>
        <w:rPr>
          <w:rFonts w:hint="eastAsia" w:ascii="仿宋_GB2312" w:hAnsi="仿宋_GB2312" w:eastAsia="仿宋_GB2312" w:cs="仿宋_GB2312"/>
          <w:b w:val="0"/>
          <w:bCs w:val="0"/>
          <w:color w:val="000000"/>
          <w:w w:val="100"/>
          <w:sz w:val="32"/>
          <w:szCs w:val="32"/>
          <w:lang w:val="en-US" w:eastAsia="zh-CN"/>
        </w:rPr>
        <w:t>2020年财政决算情况和2021年上半年财政预算执行情况、2020年度县级财政执行和其他财政收支审计情况等报告，</w:t>
      </w:r>
      <w:r>
        <w:rPr>
          <w:rFonts w:hint="eastAsia" w:ascii="仿宋_GB2312" w:eastAsia="仿宋_GB2312"/>
          <w:sz w:val="32"/>
        </w:rPr>
        <w:t>要求</w:t>
      </w:r>
      <w:r>
        <w:rPr>
          <w:rFonts w:hint="eastAsia" w:ascii="仿宋_GB2312" w:eastAsia="仿宋_GB2312"/>
          <w:sz w:val="32"/>
          <w:lang w:eastAsia="zh-CN"/>
        </w:rPr>
        <w:t>县人民政府</w:t>
      </w:r>
      <w:r>
        <w:rPr>
          <w:rFonts w:hint="eastAsia" w:ascii="仿宋_GB2312" w:eastAsia="仿宋_GB2312"/>
          <w:sz w:val="32"/>
        </w:rPr>
        <w:t>按照常委会依法作出的审议意见和决议认真予以落实，切实维护预算执行的严肃性，保持经济和社会各项事业全面发展</w:t>
      </w:r>
    </w:p>
    <w:p>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line="560" w:lineRule="exact"/>
        <w:ind w:firstLine="643" w:firstLineChars="200"/>
        <w:jc w:val="both"/>
        <w:textAlignment w:val="auto"/>
        <w:outlineLvl w:val="9"/>
        <w:rPr>
          <w:rFonts w:hint="eastAsia" w:ascii="仿宋_GB2312" w:hAnsi="仿宋_GB2312" w:eastAsia="仿宋_GB2312" w:cs="仿宋_GB2312"/>
          <w:color w:val="000000"/>
          <w:sz w:val="32"/>
          <w:szCs w:val="32"/>
        </w:rPr>
      </w:pPr>
      <w:r>
        <w:rPr>
          <w:rFonts w:hint="eastAsia" w:ascii="方正楷体简体" w:hAnsi="方正楷体简体" w:eastAsia="方正楷体简体" w:cs="方正楷体简体"/>
          <w:b/>
          <w:bCs/>
          <w:color w:val="000000"/>
          <w:kern w:val="0"/>
          <w:sz w:val="32"/>
          <w:szCs w:val="32"/>
          <w:shd w:val="clear" w:color="auto" w:fill="FFFFFF"/>
          <w:lang w:val="en-US" w:eastAsia="zh-CN" w:bidi="ar"/>
        </w:rPr>
        <w:t>4.聚焦重点项目建设开展监督。</w:t>
      </w:r>
      <w:r>
        <w:rPr>
          <w:rFonts w:hint="eastAsia" w:ascii="仿宋_GB2312" w:hAnsi="仿宋_GB2312" w:eastAsia="仿宋_GB2312" w:cs="仿宋_GB2312"/>
          <w:b w:val="0"/>
          <w:i w:val="0"/>
          <w:caps w:val="0"/>
          <w:snapToGrid w:val="0"/>
          <w:color w:val="000000"/>
          <w:spacing w:val="0"/>
          <w:kern w:val="56"/>
          <w:sz w:val="32"/>
          <w:szCs w:val="32"/>
          <w:shd w:val="clear" w:color="auto" w:fill="FFFFFF"/>
          <w:lang w:val="en-US" w:eastAsia="zh-CN"/>
        </w:rPr>
        <w:t>组织</w:t>
      </w:r>
      <w:r>
        <w:rPr>
          <w:rFonts w:hint="eastAsia" w:ascii="仿宋_GB2312" w:hAnsi="仿宋_GB2312" w:eastAsia="仿宋_GB2312" w:cs="仿宋_GB2312"/>
          <w:b w:val="0"/>
          <w:i w:val="0"/>
          <w:caps w:val="0"/>
          <w:snapToGrid w:val="0"/>
          <w:color w:val="000000"/>
          <w:spacing w:val="0"/>
          <w:kern w:val="56"/>
          <w:sz w:val="32"/>
          <w:szCs w:val="32"/>
          <w:shd w:val="clear" w:color="auto" w:fill="FFFFFF"/>
        </w:rPr>
        <w:t>人大代表</w:t>
      </w:r>
      <w:r>
        <w:rPr>
          <w:rFonts w:hint="eastAsia" w:ascii="仿宋_GB2312" w:hAnsi="黑体" w:eastAsia="仿宋_GB2312" w:cs="宋体"/>
          <w:color w:val="000000"/>
          <w:kern w:val="0"/>
          <w:sz w:val="32"/>
          <w:szCs w:val="32"/>
        </w:rPr>
        <w:t>围绕</w:t>
      </w:r>
      <w:r>
        <w:rPr>
          <w:rFonts w:hint="eastAsia" w:ascii="仿宋_GB2312" w:hAnsi="仿宋" w:eastAsia="仿宋_GB2312" w:cs="仿宋"/>
          <w:color w:val="000000"/>
          <w:sz w:val="32"/>
          <w:szCs w:val="32"/>
          <w:shd w:val="clear" w:color="auto" w:fill="FFFFFF"/>
        </w:rPr>
        <w:t>红原县全域旅游景观节点打造及基础设施提升改造项目</w:t>
      </w:r>
      <w:r>
        <w:rPr>
          <w:rFonts w:hint="eastAsia" w:ascii="仿宋_GB2312" w:hAnsi="仿宋" w:eastAsia="仿宋_GB2312" w:cs="仿宋"/>
          <w:color w:val="000000"/>
          <w:sz w:val="32"/>
          <w:szCs w:val="32"/>
          <w:shd w:val="clear" w:color="auto" w:fill="FFFFFF"/>
          <w:lang w:eastAsia="zh-CN"/>
        </w:rPr>
        <w:t>、</w:t>
      </w:r>
      <w:r>
        <w:rPr>
          <w:rFonts w:hint="eastAsia" w:ascii="仿宋_GB2312" w:hAnsi="仿宋" w:eastAsia="仿宋_GB2312" w:cs="仿宋"/>
          <w:color w:val="000000"/>
          <w:sz w:val="32"/>
          <w:szCs w:val="32"/>
          <w:shd w:val="clear" w:color="auto" w:fill="FFFFFF"/>
        </w:rPr>
        <w:t>邛溪镇热坤村旅游扶贫示范村打造项目</w:t>
      </w:r>
      <w:r>
        <w:rPr>
          <w:rFonts w:hint="eastAsia" w:ascii="仿宋_GB2312" w:hAnsi="仿宋" w:eastAsia="仿宋_GB2312" w:cs="仿宋"/>
          <w:color w:val="000000"/>
          <w:sz w:val="32"/>
          <w:szCs w:val="32"/>
          <w:shd w:val="clear" w:color="auto" w:fill="FFFFFF"/>
          <w:lang w:eastAsia="zh-CN"/>
        </w:rPr>
        <w:t>、</w:t>
      </w:r>
      <w:r>
        <w:rPr>
          <w:rFonts w:hint="eastAsia" w:ascii="仿宋_GB2312" w:hAnsi="仿宋" w:eastAsia="仿宋_GB2312" w:cs="仿宋"/>
          <w:color w:val="000000"/>
          <w:sz w:val="32"/>
          <w:szCs w:val="32"/>
          <w:shd w:val="clear" w:color="auto" w:fill="FFFFFF"/>
        </w:rPr>
        <w:t>月亮湾景区游客中心提升改造</w:t>
      </w:r>
      <w:r>
        <w:rPr>
          <w:rFonts w:hint="eastAsia" w:ascii="仿宋_GB2312" w:hAnsi="仿宋" w:eastAsia="仿宋_GB2312" w:cs="仿宋"/>
          <w:color w:val="000000"/>
          <w:sz w:val="32"/>
          <w:szCs w:val="32"/>
          <w:shd w:val="clear" w:color="auto" w:fill="FFFFFF"/>
          <w:lang w:eastAsia="zh-CN"/>
        </w:rPr>
        <w:t>、</w:t>
      </w:r>
      <w:r>
        <w:rPr>
          <w:rFonts w:hint="eastAsia" w:ascii="仿宋_GB2312" w:hAnsi="仿宋" w:eastAsia="仿宋_GB2312" w:cs="仿宋"/>
          <w:color w:val="000000"/>
          <w:sz w:val="32"/>
          <w:szCs w:val="32"/>
          <w:shd w:val="clear" w:color="auto" w:fill="FFFFFF"/>
        </w:rPr>
        <w:t>红原县瑞庆东路、银珠东西路市政道路改扩建项目</w:t>
      </w:r>
      <w:r>
        <w:rPr>
          <w:rFonts w:hint="eastAsia" w:ascii="仿宋_GB2312" w:hAnsi="仿宋" w:eastAsia="仿宋_GB2312" w:cs="仿宋"/>
          <w:color w:val="000000"/>
          <w:sz w:val="32"/>
          <w:szCs w:val="32"/>
          <w:shd w:val="clear" w:color="auto" w:fill="FFFFFF"/>
          <w:lang w:eastAsia="zh-CN"/>
        </w:rPr>
        <w:t>、</w:t>
      </w:r>
      <w:r>
        <w:rPr>
          <w:rFonts w:hint="eastAsia" w:ascii="仿宋_GB2312" w:hAnsi="仿宋" w:eastAsia="仿宋_GB2312" w:cs="仿宋"/>
          <w:color w:val="000000"/>
          <w:sz w:val="32"/>
          <w:szCs w:val="32"/>
          <w:shd w:val="clear" w:color="auto" w:fill="FFFFFF"/>
        </w:rPr>
        <w:t>红原县桑青路、滨河路市政基础设施提升改造项目</w:t>
      </w:r>
      <w:r>
        <w:rPr>
          <w:rFonts w:hint="eastAsia" w:ascii="仿宋_GB2312" w:hAnsi="黑体" w:eastAsia="仿宋_GB2312" w:cs="宋体"/>
          <w:color w:val="000000"/>
          <w:kern w:val="0"/>
          <w:sz w:val="32"/>
          <w:szCs w:val="32"/>
        </w:rPr>
        <w:t>等</w:t>
      </w:r>
      <w:r>
        <w:rPr>
          <w:rFonts w:hint="eastAsia" w:ascii="仿宋_GB2312" w:hAnsi="黑体" w:eastAsia="仿宋_GB2312" w:cs="宋体"/>
          <w:color w:val="000000"/>
          <w:kern w:val="0"/>
          <w:sz w:val="32"/>
          <w:szCs w:val="32"/>
          <w:lang w:val="en-US" w:eastAsia="zh-CN"/>
        </w:rPr>
        <w:t>14个文旅发展大会项目</w:t>
      </w:r>
      <w:r>
        <w:rPr>
          <w:rFonts w:hint="eastAsia" w:ascii="仿宋_GB2312" w:hAnsi="黑体" w:eastAsia="仿宋_GB2312" w:cs="宋体"/>
          <w:color w:val="000000"/>
          <w:kern w:val="0"/>
          <w:sz w:val="32"/>
          <w:szCs w:val="32"/>
        </w:rPr>
        <w:t>开展跟踪监督</w:t>
      </w:r>
      <w:r>
        <w:rPr>
          <w:rFonts w:hint="eastAsia" w:ascii="仿宋_GB2312" w:hAnsi="黑体" w:eastAsia="仿宋_GB2312" w:cs="宋体"/>
          <w:color w:val="000000"/>
          <w:kern w:val="0"/>
          <w:sz w:val="32"/>
          <w:szCs w:val="32"/>
          <w:lang w:eastAsia="zh-CN"/>
        </w:rPr>
        <w:t>，</w:t>
      </w:r>
      <w:r>
        <w:rPr>
          <w:rFonts w:hint="eastAsia" w:ascii="仿宋_GB2312" w:hAnsi="黑体" w:eastAsia="仿宋_GB2312" w:cs="宋体"/>
          <w:color w:val="000000"/>
          <w:kern w:val="0"/>
          <w:sz w:val="32"/>
          <w:szCs w:val="32"/>
          <w:lang w:val="en-US" w:eastAsia="zh-CN"/>
        </w:rPr>
        <w:t>围绕农村义务教育学校学生营养改善计划项目、"2021年度农村综合改革转移支付资金支持村集体经济发展项目、"实施整村推进农村“厕所革命”、乡村休闲旅游建设、就业促进和技能培训项目等开展专项监督，并</w:t>
      </w:r>
      <w:r>
        <w:rPr>
          <w:rFonts w:hint="eastAsia" w:ascii="仿宋_GB2312" w:eastAsia="仿宋_GB2312"/>
          <w:color w:val="000000"/>
          <w:sz w:val="32"/>
          <w:lang w:eastAsia="zh-CN"/>
        </w:rPr>
        <w:t>提出</w:t>
      </w:r>
      <w:r>
        <w:rPr>
          <w:rFonts w:hint="eastAsia" w:ascii="仿宋_GB2312" w:eastAsia="仿宋_GB2312"/>
          <w:color w:val="000000"/>
          <w:sz w:val="32"/>
          <w:lang w:val="en-US" w:eastAsia="zh-CN"/>
        </w:rPr>
        <w:t>20余条意见建议，</w:t>
      </w:r>
      <w:r>
        <w:rPr>
          <w:rFonts w:hint="eastAsia" w:ascii="仿宋_GB2312" w:hAnsi="仿宋_GB2312" w:eastAsia="仿宋_GB2312" w:cs="仿宋_GB2312"/>
          <w:b w:val="0"/>
          <w:i w:val="0"/>
          <w:caps w:val="0"/>
          <w:snapToGrid w:val="0"/>
          <w:color w:val="000000"/>
          <w:spacing w:val="0"/>
          <w:kern w:val="56"/>
          <w:sz w:val="32"/>
          <w:szCs w:val="32"/>
          <w:shd w:val="clear" w:color="auto" w:fill="FFFFFF"/>
        </w:rPr>
        <w:t>督促</w:t>
      </w:r>
      <w:r>
        <w:rPr>
          <w:rFonts w:hint="eastAsia" w:ascii="仿宋_GB2312" w:hAnsi="仿宋_GB2312" w:eastAsia="仿宋_GB2312" w:cs="仿宋_GB2312"/>
          <w:b w:val="0"/>
          <w:i w:val="0"/>
          <w:caps w:val="0"/>
          <w:snapToGrid w:val="0"/>
          <w:color w:val="000000"/>
          <w:spacing w:val="0"/>
          <w:kern w:val="56"/>
          <w:sz w:val="32"/>
          <w:szCs w:val="32"/>
          <w:shd w:val="clear" w:color="auto" w:fill="FFFFFF"/>
          <w:lang w:eastAsia="zh-CN"/>
        </w:rPr>
        <w:t>县人民政府</w:t>
      </w:r>
      <w:r>
        <w:rPr>
          <w:rFonts w:hint="eastAsia" w:ascii="仿宋_GB2312" w:hAnsi="仿宋_GB2312" w:eastAsia="仿宋_GB2312" w:cs="仿宋_GB2312"/>
          <w:b w:val="0"/>
          <w:i w:val="0"/>
          <w:caps w:val="0"/>
          <w:snapToGrid w:val="0"/>
          <w:color w:val="000000"/>
          <w:spacing w:val="0"/>
          <w:kern w:val="56"/>
          <w:sz w:val="32"/>
          <w:szCs w:val="32"/>
          <w:shd w:val="clear" w:color="auto" w:fill="FFFFFF"/>
        </w:rPr>
        <w:t>强化工作落实、加快建设进度、规范项目管理，促进重大项目实施，助推经济社会发展</w:t>
      </w:r>
      <w:r>
        <w:rPr>
          <w:rFonts w:hint="eastAsia" w:ascii="仿宋_GB2312" w:hAnsi="仿宋_GB2312" w:eastAsia="仿宋_GB2312" w:cs="仿宋_GB2312"/>
          <w:color w:val="000000"/>
          <w:sz w:val="32"/>
          <w:szCs w:val="32"/>
        </w:rPr>
        <w:t>。</w:t>
      </w:r>
    </w:p>
    <w:p>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line="560" w:lineRule="exact"/>
        <w:ind w:firstLine="643" w:firstLineChars="200"/>
        <w:jc w:val="both"/>
        <w:textAlignment w:val="auto"/>
        <w:outlineLvl w:val="9"/>
        <w:rPr>
          <w:rFonts w:hint="eastAsia" w:ascii="仿宋_GB2312" w:hAnsi="仿宋_GB2312" w:eastAsia="仿宋_GB2312" w:cs="仿宋_GB2312"/>
          <w:bCs/>
          <w:color w:val="000000"/>
          <w:sz w:val="32"/>
          <w:szCs w:val="32"/>
          <w:shd w:val="clear" w:color="auto" w:fill="FFFFFF"/>
        </w:rPr>
      </w:pPr>
      <w:r>
        <w:rPr>
          <w:rFonts w:hint="eastAsia" w:ascii="方正楷体简体" w:hAnsi="方正楷体简体" w:eastAsia="方正楷体简体" w:cs="方正楷体简体"/>
          <w:b/>
          <w:bCs/>
          <w:color w:val="000000"/>
          <w:kern w:val="0"/>
          <w:sz w:val="32"/>
          <w:szCs w:val="32"/>
          <w:shd w:val="clear" w:color="auto" w:fill="FFFFFF"/>
          <w:lang w:val="en-US" w:eastAsia="zh-CN" w:bidi="ar"/>
        </w:rPr>
        <w:t>5.聚焦生态环境保护开展监督。</w:t>
      </w:r>
      <w:r>
        <w:rPr>
          <w:rFonts w:hint="eastAsia" w:ascii="仿宋_GB2312" w:eastAsia="仿宋_GB2312"/>
          <w:color w:val="000000"/>
          <w:sz w:val="32"/>
          <w:szCs w:val="32"/>
          <w:shd w:val="clear" w:color="auto" w:fill="FFFFFF"/>
        </w:rPr>
        <w:t>听取和审议</w:t>
      </w:r>
      <w:r>
        <w:rPr>
          <w:rFonts w:hint="eastAsia" w:ascii="仿宋_GB2312" w:hAnsi="仿宋_GB2312" w:eastAsia="仿宋_GB2312" w:cs="仿宋_GB2312"/>
          <w:color w:val="000000"/>
          <w:sz w:val="32"/>
          <w:szCs w:val="32"/>
        </w:rPr>
        <w:t>县</w:t>
      </w:r>
      <w:r>
        <w:rPr>
          <w:rFonts w:hint="eastAsia" w:ascii="仿宋_GB2312" w:hAnsi="仿宋_GB2312" w:eastAsia="仿宋_GB2312" w:cs="仿宋_GB2312"/>
          <w:color w:val="000000"/>
          <w:sz w:val="32"/>
          <w:szCs w:val="32"/>
          <w:lang w:eastAsia="zh-CN"/>
        </w:rPr>
        <w:t>人民</w:t>
      </w:r>
      <w:r>
        <w:rPr>
          <w:rFonts w:hint="eastAsia" w:ascii="仿宋_GB2312" w:hAnsi="仿宋_GB2312" w:eastAsia="仿宋_GB2312" w:cs="仿宋_GB2312"/>
          <w:color w:val="000000"/>
          <w:sz w:val="32"/>
          <w:szCs w:val="32"/>
        </w:rPr>
        <w:t>政府关于</w:t>
      </w:r>
      <w:r>
        <w:rPr>
          <w:rFonts w:hint="eastAsia" w:ascii="仿宋_GB2312" w:hAnsi="仿宋_GB2312" w:eastAsia="仿宋_GB2312" w:cs="仿宋_GB2312"/>
          <w:b w:val="0"/>
          <w:i w:val="0"/>
          <w:caps w:val="0"/>
          <w:snapToGrid w:val="0"/>
          <w:color w:val="000000"/>
          <w:spacing w:val="0"/>
          <w:kern w:val="56"/>
          <w:sz w:val="32"/>
          <w:szCs w:val="32"/>
          <w:shd w:val="clear" w:color="auto" w:fill="FFFFFF"/>
          <w:lang w:eastAsia="zh-CN"/>
        </w:rPr>
        <w:t>环境状况和环境保护目标完成情况</w:t>
      </w:r>
      <w:r>
        <w:rPr>
          <w:rFonts w:hint="eastAsia" w:ascii="仿宋_GB2312" w:hAnsi="仿宋_GB2312" w:eastAsia="仿宋_GB2312" w:cs="仿宋_GB2312"/>
          <w:color w:val="000000"/>
          <w:kern w:val="0"/>
          <w:sz w:val="32"/>
          <w:szCs w:val="32"/>
        </w:rPr>
        <w:t>专项报告</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b w:val="0"/>
          <w:i w:val="0"/>
          <w:caps w:val="0"/>
          <w:snapToGrid w:val="0"/>
          <w:color w:val="000000"/>
          <w:spacing w:val="0"/>
          <w:kern w:val="56"/>
          <w:sz w:val="32"/>
          <w:szCs w:val="32"/>
          <w:shd w:val="clear" w:color="auto" w:fill="FFFFFF"/>
          <w:lang w:eastAsia="zh-CN"/>
        </w:rPr>
        <w:t>督促县人民政府</w:t>
      </w:r>
      <w:r>
        <w:rPr>
          <w:rFonts w:hint="eastAsia" w:ascii="仿宋_GB2312" w:hAnsi="仿宋_GB2312" w:eastAsia="仿宋_GB2312" w:cs="仿宋_GB2312"/>
          <w:color w:val="000000"/>
          <w:sz w:val="32"/>
          <w:szCs w:val="32"/>
        </w:rPr>
        <w:t>要</w:t>
      </w:r>
      <w:r>
        <w:rPr>
          <w:rFonts w:hint="eastAsia" w:ascii="仿宋_GB2312" w:hAnsi="仿宋_GB2312" w:eastAsia="仿宋_GB2312" w:cs="仿宋_GB2312"/>
          <w:color w:val="000000"/>
          <w:kern w:val="0"/>
          <w:sz w:val="32"/>
          <w:szCs w:val="32"/>
          <w:shd w:val="clear" w:color="auto" w:fill="FFFFFF"/>
          <w:lang w:bidi="ar"/>
        </w:rPr>
        <w:t>加大投资，着力抓好生态环保重点项目建设</w:t>
      </w:r>
      <w:r>
        <w:rPr>
          <w:rFonts w:hint="eastAsia" w:ascii="仿宋_GB2312" w:hAnsi="仿宋_GB2312" w:eastAsia="仿宋_GB2312" w:cs="仿宋_GB2312"/>
          <w:color w:val="000000"/>
          <w:kern w:val="0"/>
          <w:sz w:val="32"/>
          <w:szCs w:val="32"/>
          <w:shd w:val="clear" w:color="auto" w:fill="FFFFFF"/>
          <w:lang w:eastAsia="zh-CN" w:bidi="ar"/>
        </w:rPr>
        <w:t>。</w:t>
      </w:r>
      <w:r>
        <w:rPr>
          <w:rFonts w:hint="eastAsia" w:ascii="仿宋_GB2312" w:hAnsi="仿宋_GB2312" w:eastAsia="仿宋_GB2312" w:cs="仿宋_GB2312"/>
          <w:color w:val="000000"/>
          <w:kern w:val="0"/>
          <w:sz w:val="32"/>
          <w:szCs w:val="32"/>
          <w:shd w:val="clear" w:color="auto" w:fill="FFFFFF"/>
          <w:lang w:bidi="ar"/>
        </w:rPr>
        <w:t>深入开展环境保护大检查大整改</w:t>
      </w:r>
      <w:r>
        <w:rPr>
          <w:rFonts w:hint="eastAsia" w:ascii="仿宋_GB2312" w:hAnsi="Helvetica" w:eastAsia="仿宋_GB2312"/>
          <w:color w:val="000000"/>
          <w:sz w:val="32"/>
          <w:szCs w:val="32"/>
          <w:shd w:val="clear" w:color="auto" w:fill="FFFFFF"/>
        </w:rPr>
        <w:t>，</w:t>
      </w:r>
      <w:r>
        <w:rPr>
          <w:rFonts w:hint="eastAsia" w:ascii="仿宋_GB2312" w:hAnsi="仿宋_GB2312" w:eastAsia="仿宋_GB2312" w:cs="仿宋_GB2312"/>
          <w:bCs/>
          <w:color w:val="000000"/>
          <w:sz w:val="32"/>
          <w:szCs w:val="32"/>
          <w:shd w:val="clear" w:color="auto" w:fill="FFFFFF"/>
        </w:rPr>
        <w:t>加强生态环境执法，加大野生动植物特别是黄河鱼的保护力度，严厉打击各类环境违法犯罪行为。</w:t>
      </w:r>
    </w:p>
    <w:p>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line="560" w:lineRule="exact"/>
        <w:ind w:firstLine="643" w:firstLineChars="200"/>
        <w:jc w:val="both"/>
        <w:textAlignment w:val="auto"/>
        <w:outlineLvl w:val="9"/>
        <w:rPr>
          <w:rFonts w:hint="eastAsia" w:ascii="仿宋_GB2312" w:hAnsi="仿宋_GB2312" w:eastAsia="仿宋_GB2312" w:cs="仿宋_GB2312"/>
          <w:color w:val="000000"/>
          <w:sz w:val="32"/>
          <w:szCs w:val="32"/>
        </w:rPr>
      </w:pPr>
      <w:r>
        <w:rPr>
          <w:rFonts w:hint="eastAsia" w:ascii="方正楷体简体" w:hAnsi="方正楷体简体" w:eastAsia="方正楷体简体" w:cs="方正楷体简体"/>
          <w:b/>
          <w:bCs/>
          <w:color w:val="000000"/>
          <w:kern w:val="0"/>
          <w:sz w:val="32"/>
          <w:szCs w:val="32"/>
          <w:shd w:val="clear" w:color="auto" w:fill="FFFFFF"/>
          <w:lang w:val="en-US" w:eastAsia="zh-CN" w:bidi="ar"/>
        </w:rPr>
        <w:t>6.聚焦民生保障开展监督。</w:t>
      </w:r>
      <w:r>
        <w:rPr>
          <w:rFonts w:hint="eastAsia" w:ascii="仿宋_GB2312" w:hAnsi="仿宋_GB2312" w:eastAsia="仿宋_GB2312" w:cs="仿宋_GB2312"/>
          <w:b w:val="0"/>
          <w:bCs w:val="0"/>
          <w:i w:val="0"/>
          <w:caps w:val="0"/>
          <w:snapToGrid w:val="0"/>
          <w:color w:val="000000"/>
          <w:spacing w:val="0"/>
          <w:kern w:val="56"/>
          <w:sz w:val="32"/>
          <w:szCs w:val="32"/>
          <w:shd w:val="clear" w:color="auto" w:fill="FFFFFF"/>
          <w:lang w:val="en-US" w:eastAsia="zh-CN"/>
        </w:rPr>
        <w:t>听取和审议了县人民政府关于红原县州县广播电视节目覆盖项目实施情况、关于红原县2021年重点项目推进情况等专项报告，</w:t>
      </w:r>
      <w:r>
        <w:rPr>
          <w:rFonts w:hint="eastAsia" w:ascii="仿宋_GB2312" w:hAnsi="仿宋_GB2312" w:eastAsia="仿宋_GB2312" w:cs="仿宋_GB2312"/>
          <w:color w:val="000000"/>
          <w:sz w:val="32"/>
          <w:szCs w:val="32"/>
        </w:rPr>
        <w:t>提出针对性较强的审议意见</w:t>
      </w:r>
      <w:r>
        <w:rPr>
          <w:rFonts w:hint="eastAsia" w:ascii="仿宋_GB2312" w:hAnsi="仿宋_GB2312" w:eastAsia="仿宋_GB2312" w:cs="仿宋_GB2312"/>
          <w:color w:val="000000"/>
          <w:sz w:val="32"/>
          <w:szCs w:val="32"/>
          <w:lang w:val="en-US" w:eastAsia="zh-CN"/>
        </w:rPr>
        <w:t>12</w:t>
      </w:r>
      <w:r>
        <w:rPr>
          <w:rFonts w:hint="eastAsia" w:ascii="仿宋_GB2312" w:hAnsi="仿宋_GB2312" w:eastAsia="仿宋_GB2312" w:cs="仿宋_GB2312"/>
          <w:color w:val="000000"/>
          <w:sz w:val="32"/>
          <w:szCs w:val="32"/>
        </w:rPr>
        <w:t>条，督促</w:t>
      </w:r>
      <w:r>
        <w:rPr>
          <w:rFonts w:hint="eastAsia" w:ascii="仿宋_GB2312" w:hAnsi="仿宋_GB2312" w:eastAsia="仿宋_GB2312" w:cs="仿宋_GB2312"/>
          <w:color w:val="000000"/>
          <w:sz w:val="32"/>
          <w:szCs w:val="32"/>
          <w:lang w:eastAsia="zh-CN"/>
        </w:rPr>
        <w:t>县人民政府要</w:t>
      </w:r>
      <w:r>
        <w:rPr>
          <w:rFonts w:hint="eastAsia" w:ascii="仿宋_GB2312" w:eastAsia="仿宋_GB2312"/>
          <w:color w:val="000000"/>
          <w:sz w:val="32"/>
          <w:szCs w:val="32"/>
        </w:rPr>
        <w:t>落实</w:t>
      </w:r>
      <w:r>
        <w:rPr>
          <w:rFonts w:hint="eastAsia" w:ascii="仿宋_GB2312" w:eastAsia="仿宋_GB2312"/>
          <w:color w:val="000000"/>
          <w:sz w:val="32"/>
          <w:szCs w:val="32"/>
          <w:lang w:eastAsia="zh-CN"/>
        </w:rPr>
        <w:t>好</w:t>
      </w:r>
      <w:r>
        <w:rPr>
          <w:rFonts w:hint="eastAsia" w:ascii="仿宋_GB2312" w:eastAsia="仿宋_GB2312"/>
          <w:color w:val="000000"/>
          <w:sz w:val="32"/>
          <w:szCs w:val="32"/>
        </w:rPr>
        <w:t>惠农支农强农政策，</w:t>
      </w:r>
      <w:r>
        <w:rPr>
          <w:rFonts w:hint="eastAsia" w:ascii="仿宋_GB2312" w:hAnsi="仿宋_GB2312" w:eastAsia="仿宋_GB2312" w:cs="仿宋_GB2312"/>
          <w:color w:val="000000"/>
          <w:sz w:val="32"/>
          <w:szCs w:val="32"/>
        </w:rPr>
        <w:t>办好民生实事，不断提高公共服务水平，努力让人民群众共享改革发展成果。</w:t>
      </w:r>
    </w:p>
    <w:p>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line="560" w:lineRule="exact"/>
        <w:ind w:firstLine="643" w:firstLineChars="200"/>
        <w:jc w:val="both"/>
        <w:textAlignment w:val="auto"/>
        <w:outlineLvl w:val="9"/>
        <w:rPr>
          <w:rFonts w:hint="eastAsia" w:ascii="仿宋_GB2312" w:hAnsi="仿宋_GB2312" w:eastAsia="仿宋_GB2312" w:cs="仿宋_GB2312"/>
          <w:b w:val="0"/>
          <w:bCs w:val="0"/>
          <w:i w:val="0"/>
          <w:caps w:val="0"/>
          <w:color w:val="000000"/>
          <w:spacing w:val="0"/>
          <w:sz w:val="32"/>
          <w:szCs w:val="32"/>
          <w:u w:val="none"/>
          <w:shd w:val="clear" w:color="auto" w:fill="FFFFFF"/>
          <w:lang w:eastAsia="zh-CN"/>
        </w:rPr>
      </w:pPr>
      <w:r>
        <w:rPr>
          <w:rFonts w:hint="eastAsia" w:ascii="楷体_GB2312" w:hAnsi="楷体_GB2312" w:eastAsia="楷体_GB2312" w:cs="楷体_GB2312"/>
          <w:b/>
          <w:bCs/>
          <w:i w:val="0"/>
          <w:caps w:val="0"/>
          <w:color w:val="000000"/>
          <w:spacing w:val="0"/>
          <w:sz w:val="32"/>
          <w:szCs w:val="32"/>
          <w:u w:val="none"/>
          <w:shd w:val="clear" w:color="auto" w:fill="FFFFFF"/>
          <w:lang w:val="en-US" w:eastAsia="zh-CN"/>
        </w:rPr>
        <w:t>7.</w:t>
      </w:r>
      <w:r>
        <w:rPr>
          <w:rFonts w:hint="eastAsia" w:ascii="楷体_GB2312" w:hAnsi="楷体_GB2312" w:eastAsia="楷体_GB2312" w:cs="楷体_GB2312"/>
          <w:b/>
          <w:bCs/>
          <w:i w:val="0"/>
          <w:caps w:val="0"/>
          <w:color w:val="000000"/>
          <w:spacing w:val="0"/>
          <w:sz w:val="32"/>
          <w:szCs w:val="32"/>
          <w:u w:val="none"/>
          <w:shd w:val="clear" w:color="auto" w:fill="FFFFFF"/>
          <w:lang w:eastAsia="zh-CN"/>
        </w:rPr>
        <w:t>主动配合上级人大开展工作。</w:t>
      </w:r>
      <w:r>
        <w:rPr>
          <w:rFonts w:hint="eastAsia" w:ascii="仿宋_GB2312" w:hAnsi="仿宋_GB2312" w:eastAsia="仿宋_GB2312" w:cs="仿宋_GB2312"/>
          <w:b w:val="0"/>
          <w:bCs w:val="0"/>
          <w:i w:val="0"/>
          <w:caps w:val="0"/>
          <w:color w:val="000000"/>
          <w:spacing w:val="0"/>
          <w:sz w:val="32"/>
          <w:szCs w:val="32"/>
          <w:u w:val="none"/>
          <w:shd w:val="clear" w:color="auto" w:fill="FFFFFF"/>
          <w:lang w:eastAsia="zh-CN"/>
        </w:rPr>
        <w:t>一年来，积极配合全国、省、州人大常委会对《四川省黄河流域生态环境保护条例》</w:t>
      </w:r>
      <w:r>
        <w:rPr>
          <w:rFonts w:hint="eastAsia" w:ascii="仿宋_GB2312" w:eastAsia="仿宋_GB2312"/>
          <w:color w:val="000000"/>
          <w:sz w:val="32"/>
          <w:szCs w:val="32"/>
          <w:shd w:val="clear" w:color="auto" w:fill="FFFFFF"/>
          <w:lang w:val="en-US" w:eastAsia="zh-CN"/>
        </w:rPr>
        <w:t>、森林草原防灭火、电力立法</w:t>
      </w:r>
      <w:r>
        <w:rPr>
          <w:rFonts w:hint="eastAsia" w:ascii="仿宋_GB2312" w:hAnsi="仿宋_GB2312" w:eastAsia="仿宋_GB2312" w:cs="仿宋_GB2312"/>
          <w:b w:val="0"/>
          <w:bCs w:val="0"/>
          <w:i w:val="0"/>
          <w:caps w:val="0"/>
          <w:color w:val="000000"/>
          <w:spacing w:val="0"/>
          <w:sz w:val="32"/>
          <w:szCs w:val="32"/>
          <w:u w:val="none"/>
          <w:shd w:val="clear" w:color="auto" w:fill="FFFFFF"/>
          <w:lang w:eastAsia="zh-CN"/>
        </w:rPr>
        <w:t>等</w:t>
      </w:r>
      <w:r>
        <w:rPr>
          <w:rFonts w:hint="eastAsia" w:ascii="仿宋_GB2312" w:hAnsi="仿宋_GB2312" w:eastAsia="仿宋_GB2312" w:cs="仿宋_GB2312"/>
          <w:b w:val="0"/>
          <w:bCs w:val="0"/>
          <w:i w:val="0"/>
          <w:caps w:val="0"/>
          <w:color w:val="000000"/>
          <w:spacing w:val="0"/>
          <w:sz w:val="32"/>
          <w:szCs w:val="32"/>
          <w:u w:val="none"/>
          <w:shd w:val="clear" w:color="auto" w:fill="FFFFFF"/>
          <w:lang w:val="en-US" w:eastAsia="zh-CN"/>
        </w:rPr>
        <w:t>7</w:t>
      </w:r>
      <w:r>
        <w:rPr>
          <w:rFonts w:hint="eastAsia" w:ascii="仿宋_GB2312" w:hAnsi="仿宋_GB2312" w:eastAsia="仿宋_GB2312" w:cs="仿宋_GB2312"/>
          <w:b w:val="0"/>
          <w:bCs w:val="0"/>
          <w:i w:val="0"/>
          <w:caps w:val="0"/>
          <w:color w:val="000000"/>
          <w:spacing w:val="0"/>
          <w:sz w:val="32"/>
          <w:szCs w:val="32"/>
          <w:u w:val="none"/>
          <w:shd w:val="clear" w:color="auto" w:fill="FFFFFF"/>
          <w:lang w:eastAsia="zh-CN"/>
        </w:rPr>
        <w:t>项工作进行了专题调研</w:t>
      </w:r>
      <w:r>
        <w:rPr>
          <w:rFonts w:hint="eastAsia" w:ascii="仿宋_GB2312" w:hAnsi="仿宋_GB2312" w:eastAsia="仿宋_GB2312" w:cs="仿宋_GB2312"/>
          <w:b w:val="0"/>
          <w:bCs w:val="0"/>
          <w:i w:val="0"/>
          <w:caps w:val="0"/>
          <w:color w:val="000000"/>
          <w:spacing w:val="0"/>
          <w:sz w:val="32"/>
          <w:szCs w:val="32"/>
          <w:u w:val="none"/>
          <w:shd w:val="clear" w:color="auto" w:fill="FFFFFF"/>
          <w:lang w:val="en-US" w:eastAsia="zh-CN"/>
        </w:rPr>
        <w:t>和</w:t>
      </w:r>
      <w:r>
        <w:rPr>
          <w:rFonts w:hint="eastAsia" w:ascii="仿宋_GB2312" w:hAnsi="仿宋_GB2312" w:eastAsia="仿宋_GB2312" w:cs="仿宋_GB2312"/>
          <w:b w:val="0"/>
          <w:bCs w:val="0"/>
          <w:i w:val="0"/>
          <w:caps w:val="0"/>
          <w:color w:val="000000"/>
          <w:spacing w:val="0"/>
          <w:sz w:val="32"/>
          <w:szCs w:val="32"/>
          <w:u w:val="none"/>
          <w:shd w:val="clear" w:color="auto" w:fill="FFFFFF"/>
          <w:lang w:eastAsia="zh-CN"/>
        </w:rPr>
        <w:t>执法检查推动了相关法律法规在我县的贯彻实施。</w:t>
      </w:r>
    </w:p>
    <w:p>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line="560" w:lineRule="exact"/>
        <w:ind w:firstLine="643" w:firstLineChars="200"/>
        <w:jc w:val="both"/>
        <w:textAlignment w:val="auto"/>
        <w:outlineLvl w:val="9"/>
        <w:rPr>
          <w:rFonts w:hint="eastAsia" w:ascii="仿宋_GB2312" w:hAnsi="仿宋_GB2312" w:eastAsia="仿宋_GB2312" w:cs="仿宋_GB2312"/>
          <w:color w:val="000000"/>
          <w:sz w:val="32"/>
          <w:szCs w:val="32"/>
          <w:lang w:val="en-US" w:eastAsia="zh-CN"/>
        </w:rPr>
      </w:pPr>
      <w:r>
        <w:rPr>
          <w:rFonts w:hint="eastAsia" w:ascii="方正楷体简体" w:hAnsi="方正楷体简体" w:eastAsia="方正楷体简体" w:cs="方正楷体简体"/>
          <w:b/>
          <w:bCs/>
          <w:i w:val="0"/>
          <w:caps w:val="0"/>
          <w:color w:val="000000"/>
          <w:spacing w:val="0"/>
          <w:sz w:val="32"/>
          <w:szCs w:val="32"/>
          <w:lang w:val="en-US" w:eastAsia="zh-CN"/>
        </w:rPr>
        <w:t>8.不断加强代表建议办理。</w:t>
      </w:r>
      <w:r>
        <w:rPr>
          <w:rFonts w:hint="eastAsia" w:ascii="仿宋_GB2312" w:hAnsi="仿宋_GB2312" w:eastAsia="仿宋_GB2312" w:cs="仿宋_GB2312"/>
          <w:b w:val="0"/>
          <w:bCs w:val="0"/>
          <w:color w:val="000000"/>
          <w:kern w:val="0"/>
          <w:sz w:val="32"/>
          <w:szCs w:val="32"/>
          <w:shd w:val="clear" w:color="auto" w:fill="FFFFFF"/>
          <w:lang w:val="en-US" w:eastAsia="zh-CN" w:bidi="ar"/>
        </w:rPr>
        <w:t>按照</w:t>
      </w:r>
      <w:r>
        <w:rPr>
          <w:rFonts w:hint="eastAsia" w:ascii="仿宋_GB2312" w:hAnsi="仿宋_GB2312" w:eastAsia="仿宋_GB2312" w:cs="仿宋_GB2312"/>
          <w:b w:val="0"/>
          <w:bCs w:val="0"/>
          <w:i w:val="0"/>
          <w:caps w:val="0"/>
          <w:color w:val="000000"/>
          <w:spacing w:val="0"/>
          <w:kern w:val="0"/>
          <w:sz w:val="32"/>
          <w:szCs w:val="32"/>
          <w:shd w:val="clear" w:color="auto" w:fill="FFFFFF"/>
          <w:lang w:val="en-US" w:eastAsia="zh-CN" w:bidi="ar"/>
        </w:rPr>
        <w:t>会议交办、现场督办、重点督办、跟踪督办等方式，</w:t>
      </w:r>
      <w:r>
        <w:rPr>
          <w:rFonts w:hint="eastAsia" w:ascii="仿宋_GB2312" w:hAnsi="仿宋_GB2312" w:eastAsia="仿宋_GB2312" w:cs="仿宋_GB2312"/>
          <w:b w:val="0"/>
          <w:i w:val="0"/>
          <w:caps w:val="0"/>
          <w:snapToGrid w:val="0"/>
          <w:color w:val="000000"/>
          <w:spacing w:val="0"/>
          <w:kern w:val="56"/>
          <w:sz w:val="32"/>
          <w:szCs w:val="32"/>
          <w:shd w:val="clear" w:color="auto" w:fill="FFFFFF"/>
        </w:rPr>
        <w:t>及时交办县十</w:t>
      </w:r>
      <w:r>
        <w:rPr>
          <w:rFonts w:hint="eastAsia" w:ascii="仿宋_GB2312" w:hAnsi="仿宋_GB2312" w:eastAsia="仿宋_GB2312" w:cs="仿宋_GB2312"/>
          <w:b w:val="0"/>
          <w:i w:val="0"/>
          <w:caps w:val="0"/>
          <w:snapToGrid w:val="0"/>
          <w:color w:val="000000"/>
          <w:spacing w:val="0"/>
          <w:kern w:val="56"/>
          <w:sz w:val="32"/>
          <w:szCs w:val="32"/>
          <w:shd w:val="clear" w:color="auto" w:fill="FFFFFF"/>
          <w:lang w:eastAsia="zh-CN"/>
        </w:rPr>
        <w:t>四</w:t>
      </w:r>
      <w:r>
        <w:rPr>
          <w:rFonts w:hint="eastAsia" w:ascii="仿宋_GB2312" w:hAnsi="仿宋_GB2312" w:eastAsia="仿宋_GB2312" w:cs="仿宋_GB2312"/>
          <w:b w:val="0"/>
          <w:i w:val="0"/>
          <w:caps w:val="0"/>
          <w:snapToGrid w:val="0"/>
          <w:color w:val="000000"/>
          <w:spacing w:val="0"/>
          <w:kern w:val="56"/>
          <w:sz w:val="32"/>
          <w:szCs w:val="32"/>
          <w:shd w:val="clear" w:color="auto" w:fill="FFFFFF"/>
        </w:rPr>
        <w:t>届人大</w:t>
      </w:r>
      <w:r>
        <w:rPr>
          <w:rFonts w:hint="eastAsia" w:ascii="仿宋_GB2312" w:hAnsi="仿宋_GB2312" w:eastAsia="仿宋_GB2312" w:cs="仿宋_GB2312"/>
          <w:b w:val="0"/>
          <w:i w:val="0"/>
          <w:caps w:val="0"/>
          <w:snapToGrid w:val="0"/>
          <w:color w:val="000000"/>
          <w:spacing w:val="0"/>
          <w:kern w:val="56"/>
          <w:sz w:val="32"/>
          <w:szCs w:val="32"/>
          <w:shd w:val="clear" w:color="auto" w:fill="FFFFFF"/>
          <w:lang w:val="en-US" w:eastAsia="zh-CN"/>
        </w:rPr>
        <w:t>五</w:t>
      </w:r>
      <w:r>
        <w:rPr>
          <w:rFonts w:hint="eastAsia" w:ascii="仿宋_GB2312" w:hAnsi="仿宋_GB2312" w:eastAsia="仿宋_GB2312" w:cs="仿宋_GB2312"/>
          <w:b w:val="0"/>
          <w:i w:val="0"/>
          <w:caps w:val="0"/>
          <w:snapToGrid w:val="0"/>
          <w:color w:val="000000"/>
          <w:spacing w:val="0"/>
          <w:kern w:val="56"/>
          <w:sz w:val="32"/>
          <w:szCs w:val="32"/>
          <w:shd w:val="clear" w:color="auto" w:fill="FFFFFF"/>
        </w:rPr>
        <w:t>次会议的</w:t>
      </w:r>
      <w:r>
        <w:rPr>
          <w:rFonts w:hint="eastAsia" w:ascii="仿宋_GB2312" w:hAnsi="仿宋_GB2312" w:eastAsia="仿宋_GB2312" w:cs="仿宋_GB2312"/>
          <w:b w:val="0"/>
          <w:i w:val="0"/>
          <w:caps w:val="0"/>
          <w:snapToGrid w:val="0"/>
          <w:color w:val="000000"/>
          <w:spacing w:val="0"/>
          <w:kern w:val="56"/>
          <w:sz w:val="32"/>
          <w:szCs w:val="32"/>
          <w:shd w:val="clear" w:color="auto" w:fill="FFFFFF"/>
          <w:lang w:val="en-US" w:eastAsia="zh-CN"/>
        </w:rPr>
        <w:t>112</w:t>
      </w:r>
      <w:r>
        <w:rPr>
          <w:rFonts w:hint="eastAsia" w:ascii="仿宋_GB2312" w:hAnsi="仿宋_GB2312" w:eastAsia="仿宋_GB2312" w:cs="仿宋_GB2312"/>
          <w:b w:val="0"/>
          <w:i w:val="0"/>
          <w:caps w:val="0"/>
          <w:snapToGrid w:val="0"/>
          <w:color w:val="000000"/>
          <w:spacing w:val="0"/>
          <w:kern w:val="56"/>
          <w:sz w:val="32"/>
          <w:szCs w:val="32"/>
          <w:shd w:val="clear" w:color="auto" w:fill="FFFFFF"/>
        </w:rPr>
        <w:t>件代表建议</w:t>
      </w:r>
      <w:r>
        <w:rPr>
          <w:rFonts w:hint="eastAsia" w:ascii="仿宋_GB2312" w:hAnsi="仿宋_GB2312" w:eastAsia="仿宋_GB2312" w:cs="仿宋_GB2312"/>
          <w:color w:val="000000"/>
          <w:sz w:val="32"/>
          <w:szCs w:val="32"/>
          <w:lang w:val="en-US" w:eastAsia="zh-CN"/>
        </w:rPr>
        <w:t>，内容涉及生态环保、经济建设、社会事业、文化旅游、社会治理、基础设施建设等。截止2021年9月30日，县政府及相关部门承办的97件建议已全部答复。从办理答复的情况来看，已得到解决52件，占53.6%；正在解决31件，占32%；列入规划解决14件，占14.4％。代表对建议的答复，满意率占99%。第一次答复时不满意的3件，退回承办单位重新办理，经面对面的沟通答复后，代表表示满意。</w:t>
      </w:r>
    </w:p>
    <w:p>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after="0" w:line="560" w:lineRule="exact"/>
        <w:ind w:left="0" w:firstLine="643" w:firstLineChars="200"/>
        <w:jc w:val="both"/>
        <w:textAlignment w:val="auto"/>
        <w:outlineLvl w:val="9"/>
        <w:rPr>
          <w:rFonts w:hint="eastAsia" w:ascii="方正楷体_GBK" w:hAnsi="方正楷体_GBK" w:eastAsia="方正楷体_GBK" w:cs="方正楷体_GBK"/>
          <w:b/>
          <w:bCs/>
          <w:i w:val="0"/>
          <w:caps w:val="0"/>
          <w:color w:val="000000"/>
          <w:spacing w:val="0"/>
          <w:sz w:val="32"/>
          <w:szCs w:val="32"/>
          <w:lang w:val="en-US" w:eastAsia="zh-CN"/>
        </w:rPr>
      </w:pPr>
      <w:r>
        <w:rPr>
          <w:rFonts w:hint="eastAsia" w:ascii="楷体_GB2312" w:hAnsi="楷体_GB2312" w:eastAsia="楷体_GB2312" w:cs="楷体_GB2312"/>
          <w:b/>
          <w:bCs/>
          <w:i w:val="0"/>
          <w:caps w:val="0"/>
          <w:color w:val="000000"/>
          <w:spacing w:val="0"/>
          <w:sz w:val="32"/>
          <w:szCs w:val="32"/>
          <w:shd w:val="clear" w:color="auto" w:fill="FFFFFF"/>
          <w:lang w:val="en-US" w:eastAsia="zh-CN"/>
        </w:rPr>
        <w:t>9.</w:t>
      </w:r>
      <w:r>
        <w:rPr>
          <w:rFonts w:hint="eastAsia" w:ascii="楷体_GB2312" w:hAnsi="楷体_GB2312" w:eastAsia="楷体_GB2312" w:cs="楷体_GB2312"/>
          <w:b/>
          <w:bCs/>
          <w:i w:val="0"/>
          <w:caps w:val="0"/>
          <w:color w:val="000000"/>
          <w:spacing w:val="0"/>
          <w:sz w:val="32"/>
          <w:szCs w:val="32"/>
          <w:shd w:val="clear" w:color="auto" w:fill="FFFFFF"/>
        </w:rPr>
        <w:t>充分发挥履职平台作用。</w:t>
      </w:r>
      <w:r>
        <w:rPr>
          <w:rFonts w:hint="eastAsia" w:ascii="仿宋_GB2312" w:hAnsi="仿宋_GB2312" w:eastAsia="仿宋_GB2312" w:cs="仿宋_GB2312"/>
          <w:b w:val="0"/>
          <w:bCs w:val="0"/>
          <w:i w:val="0"/>
          <w:caps w:val="0"/>
          <w:color w:val="000000"/>
          <w:spacing w:val="0"/>
          <w:sz w:val="32"/>
          <w:szCs w:val="32"/>
          <w:shd w:val="clear" w:color="auto" w:fill="FFFFFF"/>
        </w:rPr>
        <w:t>落实好</w:t>
      </w:r>
      <w:r>
        <w:rPr>
          <w:rFonts w:hint="eastAsia" w:ascii="仿宋_GB2312" w:hAnsi="仿宋_GB2312" w:eastAsia="仿宋_GB2312" w:cs="仿宋_GB2312"/>
          <w:b w:val="0"/>
          <w:bCs w:val="0"/>
          <w:i w:val="0"/>
          <w:caps w:val="0"/>
          <w:color w:val="000000"/>
          <w:spacing w:val="0"/>
          <w:sz w:val="32"/>
          <w:szCs w:val="32"/>
          <w:shd w:val="clear" w:color="auto" w:fill="FFFFFF"/>
          <w:lang w:eastAsia="zh-CN"/>
        </w:rPr>
        <w:t>省、州</w:t>
      </w:r>
      <w:r>
        <w:rPr>
          <w:rFonts w:hint="eastAsia" w:ascii="仿宋_GB2312" w:hAnsi="仿宋_GB2312" w:eastAsia="仿宋_GB2312" w:cs="仿宋_GB2312"/>
          <w:b w:val="0"/>
          <w:bCs w:val="0"/>
          <w:i w:val="0"/>
          <w:caps w:val="0"/>
          <w:color w:val="000000"/>
          <w:spacing w:val="0"/>
          <w:sz w:val="32"/>
          <w:szCs w:val="32"/>
          <w:shd w:val="clear" w:color="auto" w:fill="FFFFFF"/>
        </w:rPr>
        <w:t>人大常委会的工作部署，扎实</w:t>
      </w:r>
      <w:r>
        <w:rPr>
          <w:rFonts w:hint="eastAsia" w:ascii="仿宋_GB2312" w:hAnsi="仿宋_GB2312" w:eastAsia="仿宋_GB2312" w:cs="仿宋_GB2312"/>
          <w:b w:val="0"/>
          <w:bCs w:val="0"/>
          <w:i w:val="0"/>
          <w:caps w:val="0"/>
          <w:color w:val="000000"/>
          <w:spacing w:val="0"/>
          <w:sz w:val="32"/>
          <w:szCs w:val="32"/>
          <w:shd w:val="clear" w:color="auto" w:fill="FFFFFF"/>
          <w:lang w:eastAsia="zh-CN"/>
        </w:rPr>
        <w:t>开展代表小组活动，</w:t>
      </w:r>
      <w:r>
        <w:rPr>
          <w:rFonts w:hint="eastAsia" w:ascii="仿宋_GB2312" w:hAnsi="仿宋_GB2312" w:eastAsia="仿宋_GB2312" w:cs="仿宋_GB2312"/>
          <w:b w:val="0"/>
          <w:bCs w:val="0"/>
          <w:i w:val="0"/>
          <w:caps w:val="0"/>
          <w:color w:val="000000"/>
          <w:spacing w:val="0"/>
          <w:sz w:val="32"/>
          <w:szCs w:val="32"/>
          <w:shd w:val="clear" w:color="auto" w:fill="FFFFFF"/>
        </w:rPr>
        <w:t>足额保障人大代表履职活动经费，加强代表同代表的联系，丰富联系内容，拓展联系方式，推进人大代表更紧密地联系群众。以</w:t>
      </w:r>
      <w:r>
        <w:rPr>
          <w:rFonts w:hint="eastAsia" w:ascii="仿宋_GB2312" w:hAnsi="仿宋_GB2312" w:eastAsia="仿宋_GB2312" w:cs="仿宋_GB2312"/>
          <w:b w:val="0"/>
          <w:bCs w:val="0"/>
          <w:i w:val="0"/>
          <w:caps w:val="0"/>
          <w:color w:val="000000"/>
          <w:spacing w:val="0"/>
          <w:sz w:val="32"/>
          <w:szCs w:val="32"/>
          <w:shd w:val="clear" w:color="auto" w:fill="FFFFFF"/>
          <w:lang w:eastAsia="zh-CN"/>
        </w:rPr>
        <w:t>乡镇人大</w:t>
      </w:r>
      <w:r>
        <w:rPr>
          <w:rFonts w:hint="eastAsia" w:ascii="仿宋_GB2312" w:hAnsi="仿宋_GB2312" w:eastAsia="仿宋_GB2312" w:cs="仿宋_GB2312"/>
          <w:b w:val="0"/>
          <w:bCs w:val="0"/>
          <w:i w:val="0"/>
          <w:caps w:val="0"/>
          <w:color w:val="000000"/>
          <w:spacing w:val="0"/>
          <w:sz w:val="32"/>
          <w:szCs w:val="32"/>
          <w:shd w:val="clear" w:color="auto" w:fill="FFFFFF"/>
        </w:rPr>
        <w:t>代表联络站为平台，</w:t>
      </w:r>
      <w:r>
        <w:rPr>
          <w:rFonts w:hint="eastAsia" w:ascii="仿宋_GB2312" w:hAnsi="仿宋_GB2312" w:eastAsia="仿宋_GB2312" w:cs="仿宋_GB2312"/>
          <w:b w:val="0"/>
          <w:bCs w:val="0"/>
          <w:i w:val="0"/>
          <w:caps w:val="0"/>
          <w:color w:val="000000"/>
          <w:spacing w:val="0"/>
          <w:sz w:val="32"/>
          <w:szCs w:val="32"/>
          <w:shd w:val="clear" w:color="auto" w:fill="FFFFFF"/>
          <w:lang w:eastAsia="zh-CN"/>
        </w:rPr>
        <w:t>扎实开展“我为群众办实事</w:t>
      </w:r>
      <w:r>
        <w:rPr>
          <w:rFonts w:hint="eastAsia" w:ascii="仿宋_GB2312" w:hAnsi="仿宋_GB2312" w:eastAsia="仿宋_GB2312" w:cs="仿宋_GB2312"/>
          <w:b w:val="0"/>
          <w:bCs w:val="0"/>
          <w:i w:val="0"/>
          <w:caps w:val="0"/>
          <w:color w:val="000000"/>
          <w:spacing w:val="0"/>
          <w:sz w:val="32"/>
          <w:szCs w:val="32"/>
          <w:shd w:val="clear" w:color="auto" w:fill="FFFFFF"/>
          <w:lang w:val="en-US" w:eastAsia="zh-CN"/>
        </w:rPr>
        <w:t>--人大代表在行动</w:t>
      </w:r>
      <w:r>
        <w:rPr>
          <w:rFonts w:hint="eastAsia" w:ascii="仿宋_GB2312" w:hAnsi="仿宋_GB2312" w:eastAsia="仿宋_GB2312" w:cs="仿宋_GB2312"/>
          <w:b w:val="0"/>
          <w:bCs w:val="0"/>
          <w:i w:val="0"/>
          <w:caps w:val="0"/>
          <w:color w:val="000000"/>
          <w:spacing w:val="0"/>
          <w:sz w:val="32"/>
          <w:szCs w:val="32"/>
          <w:shd w:val="clear" w:color="auto" w:fill="FFFFFF"/>
          <w:lang w:eastAsia="zh-CN"/>
        </w:rPr>
        <w:t>”活动，</w:t>
      </w:r>
      <w:r>
        <w:rPr>
          <w:rFonts w:hint="eastAsia" w:ascii="仿宋_GB2312" w:hAnsi="仿宋_GB2312" w:eastAsia="仿宋_GB2312" w:cs="仿宋_GB2312"/>
          <w:b w:val="0"/>
          <w:bCs w:val="0"/>
          <w:i w:val="0"/>
          <w:caps w:val="0"/>
          <w:color w:val="000000"/>
          <w:spacing w:val="0"/>
          <w:sz w:val="32"/>
          <w:szCs w:val="32"/>
          <w:shd w:val="clear" w:color="auto" w:fill="FFFFFF"/>
        </w:rPr>
        <w:t>组织好各级人大代表开展主题活动，丰富闭会期间代表活动的内容和方式，提升代表服务保障和监督管理水平，为各级人大代表发挥履职作用提供便利和保障。</w:t>
      </w:r>
    </w:p>
    <w:p>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after="0" w:line="560" w:lineRule="exact"/>
        <w:ind w:left="0" w:firstLine="643" w:firstLineChars="200"/>
        <w:jc w:val="both"/>
        <w:textAlignment w:val="auto"/>
        <w:outlineLvl w:val="9"/>
        <w:rPr>
          <w:rFonts w:hint="eastAsia" w:ascii="仿宋_GB2312" w:hAnsi="仿宋_GB2312" w:eastAsia="仿宋_GB2312" w:cs="仿宋_GB2312"/>
          <w:b w:val="0"/>
          <w:bCs w:val="0"/>
          <w:i w:val="0"/>
          <w:caps w:val="0"/>
          <w:color w:val="000000"/>
          <w:spacing w:val="15"/>
          <w:sz w:val="32"/>
          <w:szCs w:val="32"/>
          <w:shd w:val="clear" w:color="auto" w:fill="FFFFFF"/>
          <w:lang w:eastAsia="zh-CN"/>
        </w:rPr>
      </w:pPr>
      <w:r>
        <w:rPr>
          <w:rFonts w:hint="eastAsia" w:ascii="方正楷体简体" w:hAnsi="方正楷体简体" w:eastAsia="方正楷体简体" w:cs="方正楷体简体"/>
          <w:b/>
          <w:bCs/>
          <w:i w:val="0"/>
          <w:caps w:val="0"/>
          <w:color w:val="000000"/>
          <w:spacing w:val="0"/>
          <w:sz w:val="32"/>
          <w:szCs w:val="32"/>
          <w:lang w:val="en-US" w:eastAsia="zh-CN"/>
        </w:rPr>
        <w:t>10.狠抓乡镇代表能力提升。</w:t>
      </w:r>
      <w:r>
        <w:rPr>
          <w:rFonts w:hint="eastAsia" w:ascii="仿宋_GB2312" w:hAnsi="仿宋_GB2312" w:eastAsia="仿宋_GB2312" w:cs="仿宋_GB2312"/>
          <w:b w:val="0"/>
          <w:bCs w:val="0"/>
          <w:i w:val="0"/>
          <w:caps w:val="0"/>
          <w:color w:val="000000"/>
          <w:spacing w:val="0"/>
          <w:sz w:val="32"/>
          <w:szCs w:val="32"/>
          <w:shd w:val="clear" w:color="auto" w:fill="FFFFFF"/>
          <w:lang w:val="en-US" w:eastAsia="zh-CN"/>
        </w:rPr>
        <w:t>着力突出提升代表政治素质、履职素质和专业素质，依托浙江省东西帮扶、</w:t>
      </w:r>
      <w:r>
        <w:rPr>
          <w:rFonts w:hint="eastAsia" w:ascii="仿宋_GB2312" w:hAnsi="仿宋_GB2312" w:eastAsia="仿宋_GB2312" w:cs="仿宋_GB2312"/>
          <w:sz w:val="32"/>
          <w:szCs w:val="32"/>
        </w:rPr>
        <w:t>绵阳市对口援助</w:t>
      </w:r>
      <w:r>
        <w:rPr>
          <w:rFonts w:hint="eastAsia" w:ascii="仿宋_GB2312" w:hAnsi="仿宋_GB2312" w:eastAsia="仿宋_GB2312" w:cs="仿宋_GB2312"/>
          <w:sz w:val="32"/>
          <w:szCs w:val="32"/>
          <w:lang w:eastAsia="zh-CN"/>
        </w:rPr>
        <w:t>的有利资源，</w:t>
      </w:r>
      <w:r>
        <w:rPr>
          <w:rFonts w:hint="eastAsia" w:ascii="仿宋_GB2312" w:hAnsi="仿宋_GB2312" w:eastAsia="仿宋_GB2312" w:cs="仿宋_GB2312"/>
          <w:b w:val="0"/>
          <w:bCs w:val="0"/>
          <w:i w:val="0"/>
          <w:caps w:val="0"/>
          <w:color w:val="000000"/>
          <w:spacing w:val="0"/>
          <w:sz w:val="32"/>
          <w:szCs w:val="32"/>
          <w:shd w:val="clear" w:color="auto" w:fill="FFFFFF"/>
          <w:lang w:val="en-US" w:eastAsia="zh-CN"/>
        </w:rPr>
        <w:t>有计划有步骤地做好了人大代表培训工作。组织举办县人大常委会组成人员暨乡镇人大主席培训班，促进代表履职能力水平整体提升。</w:t>
      </w:r>
      <w:r>
        <w:rPr>
          <w:rFonts w:hint="eastAsia" w:ascii="仿宋_GB2312" w:hAnsi="仿宋_GB2312" w:eastAsia="仿宋_GB2312" w:cs="仿宋_GB2312"/>
          <w:sz w:val="32"/>
          <w:szCs w:val="32"/>
          <w:lang w:eastAsia="zh-CN"/>
        </w:rPr>
        <w:t>充分发挥与</w:t>
      </w:r>
      <w:r>
        <w:rPr>
          <w:rFonts w:hint="eastAsia" w:ascii="仿宋_GB2312" w:hAnsi="仿宋_GB2312" w:eastAsia="仿宋_GB2312" w:cs="仿宋_GB2312"/>
          <w:b w:val="0"/>
          <w:bCs w:val="0"/>
          <w:color w:val="000000"/>
          <w:sz w:val="32"/>
          <w:szCs w:val="32"/>
          <w:lang w:eastAsia="zh-CN"/>
        </w:rPr>
        <w:t>平阳、永嘉、苍南、龙港、三台、盐亭等县（市）签订的《缔结友好人大意向书》的作用，建立</w:t>
      </w:r>
      <w:r>
        <w:rPr>
          <w:rFonts w:hint="eastAsia" w:ascii="仿宋_GB2312" w:hAnsi="仿宋_GB2312" w:eastAsia="仿宋_GB2312" w:cs="仿宋_GB2312"/>
          <w:i w:val="0"/>
          <w:caps w:val="0"/>
          <w:color w:val="000000"/>
          <w:spacing w:val="0"/>
          <w:sz w:val="32"/>
          <w:szCs w:val="32"/>
          <w:shd w:val="clear" w:color="auto" w:fill="FFFFFF"/>
          <w:lang w:eastAsia="zh-CN"/>
        </w:rPr>
        <w:t>更加</w:t>
      </w:r>
      <w:r>
        <w:rPr>
          <w:rFonts w:hint="eastAsia" w:ascii="仿宋_GB2312" w:hAnsi="仿宋_GB2312" w:eastAsia="仿宋_GB2312" w:cs="仿宋_GB2312"/>
          <w:i w:val="0"/>
          <w:caps w:val="0"/>
          <w:color w:val="000000"/>
          <w:spacing w:val="0"/>
          <w:sz w:val="32"/>
          <w:szCs w:val="32"/>
          <w:shd w:val="clear" w:color="auto" w:fill="FFFFFF"/>
        </w:rPr>
        <w:t>良好的</w:t>
      </w:r>
      <w:r>
        <w:rPr>
          <w:rFonts w:hint="eastAsia" w:ascii="仿宋_GB2312" w:hAnsi="仿宋_GB2312" w:eastAsia="仿宋_GB2312" w:cs="仿宋_GB2312"/>
          <w:i w:val="0"/>
          <w:caps w:val="0"/>
          <w:color w:val="000000"/>
          <w:spacing w:val="0"/>
          <w:sz w:val="32"/>
          <w:szCs w:val="32"/>
          <w:shd w:val="clear" w:color="auto" w:fill="FFFFFF"/>
          <w:lang w:eastAsia="zh-CN"/>
        </w:rPr>
        <w:t>人大</w:t>
      </w:r>
      <w:r>
        <w:rPr>
          <w:rFonts w:hint="eastAsia" w:ascii="仿宋_GB2312" w:hAnsi="仿宋_GB2312" w:eastAsia="仿宋_GB2312" w:cs="仿宋_GB2312"/>
          <w:i w:val="0"/>
          <w:caps w:val="0"/>
          <w:color w:val="000000"/>
          <w:spacing w:val="0"/>
          <w:sz w:val="32"/>
          <w:szCs w:val="32"/>
          <w:shd w:val="clear" w:color="auto" w:fill="FFFFFF"/>
        </w:rPr>
        <w:t>工作交流机制</w:t>
      </w:r>
      <w:r>
        <w:rPr>
          <w:rFonts w:hint="eastAsia" w:ascii="仿宋_GB2312" w:hAnsi="仿宋_GB2312" w:eastAsia="仿宋_GB2312" w:cs="仿宋_GB2312"/>
          <w:i w:val="0"/>
          <w:caps w:val="0"/>
          <w:color w:val="000000"/>
          <w:spacing w:val="0"/>
          <w:sz w:val="32"/>
          <w:szCs w:val="32"/>
          <w:shd w:val="clear" w:color="auto" w:fill="FFFFFF"/>
          <w:lang w:eastAsia="zh-CN"/>
        </w:rPr>
        <w:t>。</w:t>
      </w:r>
    </w:p>
    <w:p>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line="560" w:lineRule="exact"/>
        <w:ind w:leftChars="0" w:firstLine="643" w:firstLineChars="200"/>
        <w:jc w:val="both"/>
        <w:textAlignment w:val="auto"/>
        <w:outlineLvl w:val="9"/>
        <w:rPr>
          <w:rFonts w:hint="eastAsia" w:ascii="楷体_GB2312" w:hAnsi="楷体_GB2312" w:eastAsia="楷体_GB2312" w:cs="楷体_GB2312"/>
          <w:b/>
          <w:bCs/>
          <w:sz w:val="32"/>
          <w:szCs w:val="32"/>
          <w:shd w:val="clear" w:color="auto" w:fill="FFFFFF"/>
        </w:rPr>
      </w:pPr>
      <w:r>
        <w:rPr>
          <w:rFonts w:hint="eastAsia" w:ascii="方正楷体简体" w:hAnsi="方正楷体简体" w:eastAsia="方正楷体简体" w:cs="方正楷体简体"/>
          <w:b/>
          <w:bCs/>
          <w:sz w:val="32"/>
          <w:szCs w:val="32"/>
          <w:lang w:val="en-US" w:eastAsia="zh-CN"/>
        </w:rPr>
        <w:t>11.</w:t>
      </w:r>
      <w:r>
        <w:rPr>
          <w:rFonts w:hint="eastAsia" w:ascii="方正楷体简体" w:hAnsi="方正楷体简体" w:eastAsia="方正楷体简体" w:cs="方正楷体简体"/>
          <w:b/>
          <w:bCs/>
          <w:color w:val="000000"/>
          <w:kern w:val="0"/>
          <w:sz w:val="32"/>
          <w:szCs w:val="32"/>
          <w:shd w:val="clear" w:color="auto" w:fill="FFFFFF"/>
          <w:lang w:val="en-US" w:eastAsia="zh-CN" w:bidi="ar"/>
        </w:rPr>
        <w:t>加强乡镇人大工作指导</w:t>
      </w:r>
      <w:r>
        <w:rPr>
          <w:rFonts w:hint="eastAsia" w:ascii="方正楷体简体" w:hAnsi="方正楷体简体" w:eastAsia="方正楷体简体" w:cs="方正楷体简体"/>
          <w:b/>
          <w:bCs w:val="0"/>
          <w:color w:val="000000"/>
          <w:kern w:val="0"/>
          <w:sz w:val="32"/>
          <w:szCs w:val="32"/>
          <w:shd w:val="clear" w:color="auto" w:fill="FFFFFF"/>
          <w:lang w:val="en-US" w:eastAsia="zh-CN" w:bidi="ar"/>
        </w:rPr>
        <w:t>。</w:t>
      </w:r>
      <w:r>
        <w:rPr>
          <w:rFonts w:hint="eastAsia" w:ascii="仿宋_GB2312" w:hAnsi="仿宋_GB2312" w:eastAsia="仿宋_GB2312" w:cs="仿宋_GB2312"/>
          <w:b w:val="0"/>
          <w:bCs/>
          <w:color w:val="000000"/>
          <w:kern w:val="0"/>
          <w:sz w:val="32"/>
          <w:szCs w:val="32"/>
          <w:shd w:val="clear" w:color="auto" w:fill="FFFFFF"/>
          <w:lang w:val="en-US" w:eastAsia="zh-CN" w:bidi="ar"/>
        </w:rPr>
        <w:t>坚持常委会领导分片联系乡镇人大、邀请人大主席列席常委会会议等制度，加强对乡镇人大工作的日常联系和指导。</w:t>
      </w:r>
      <w:r>
        <w:rPr>
          <w:rFonts w:hint="eastAsia" w:ascii="仿宋_GB2312" w:hAnsi="仿宋_GB2312" w:eastAsia="仿宋_GB2312" w:cs="仿宋_GB2312"/>
          <w:b w:val="0"/>
          <w:bCs/>
          <w:sz w:val="32"/>
          <w:szCs w:val="32"/>
          <w:lang w:eastAsia="zh-CN"/>
        </w:rPr>
        <w:t>在</w:t>
      </w:r>
      <w:r>
        <w:rPr>
          <w:rFonts w:hint="eastAsia" w:ascii="仿宋_GB2312" w:hAnsi="仿宋_GB2312" w:eastAsia="仿宋_GB2312" w:cs="仿宋_GB2312"/>
          <w:sz w:val="32"/>
          <w:szCs w:val="32"/>
          <w:lang w:eastAsia="zh-CN"/>
        </w:rPr>
        <w:t>县人大常委会指导和支持下,每个乡镇都积极组织代表开展视察、检查、调查、评议等活动,代表们积极建言献策,有效促进了乡镇工作的顺利开展。</w:t>
      </w:r>
    </w:p>
    <w:p>
      <w:pPr>
        <w:pStyle w:val="10"/>
        <w:keepNext w:val="0"/>
        <w:keepLines w:val="0"/>
        <w:widowControl/>
        <w:suppressLineNumbers w:val="0"/>
        <w:ind w:left="0" w:right="75"/>
        <w:outlineLvl w:val="1"/>
        <w:rPr>
          <w:rFonts w:hint="eastAsia" w:ascii="黑体" w:hAnsi="黑体" w:eastAsia="黑体" w:cs="黑体"/>
          <w:sz w:val="32"/>
          <w:szCs w:val="32"/>
        </w:rPr>
      </w:pPr>
      <w:bookmarkStart w:id="2" w:name="_Toc10295"/>
      <w:r>
        <w:rPr>
          <w:rFonts w:hint="eastAsia" w:ascii="黑体" w:hAnsi="黑体" w:eastAsia="黑体" w:cs="黑体"/>
          <w:sz w:val="32"/>
          <w:szCs w:val="32"/>
          <w:shd w:val="clear" w:color="auto" w:fill="FFFFFF"/>
        </w:rPr>
        <w:t>二、机构设置</w:t>
      </w:r>
      <w:bookmarkEnd w:id="2"/>
    </w:p>
    <w:p>
      <w:pPr>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为独立核算全额拨款行政单位。人大常委会办公室内设办公室、法制工委、财经工委、教科文卫工委及人代工委“四委一室”。</w:t>
      </w:r>
    </w:p>
    <w:p>
      <w:pPr>
        <w:widowControl/>
        <w:ind w:firstLine="640" w:firstLineChars="200"/>
        <w:jc w:val="left"/>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bCs/>
          <w:sz w:val="32"/>
          <w:szCs w:val="32"/>
        </w:rPr>
        <w:t>截止</w:t>
      </w:r>
      <w:r>
        <w:rPr>
          <w:rFonts w:hint="eastAsia" w:ascii="仿宋_GB2312" w:hAnsi="仿宋_GB2312" w:eastAsia="仿宋_GB2312" w:cs="仿宋_GB2312"/>
          <w:bCs/>
          <w:sz w:val="32"/>
          <w:szCs w:val="32"/>
          <w:lang w:val="en-US" w:eastAsia="zh-CN"/>
        </w:rPr>
        <w:t>2021</w:t>
      </w:r>
      <w:r>
        <w:rPr>
          <w:rFonts w:hint="eastAsia" w:ascii="仿宋_GB2312" w:hAnsi="仿宋_GB2312" w:eastAsia="仿宋_GB2312" w:cs="仿宋_GB2312"/>
          <w:bCs/>
          <w:sz w:val="32"/>
          <w:szCs w:val="32"/>
        </w:rPr>
        <w:t>年底我单位共有编制</w:t>
      </w:r>
      <w:r>
        <w:rPr>
          <w:rFonts w:hint="eastAsia" w:ascii="仿宋_GB2312" w:hAnsi="仿宋_GB2312" w:eastAsia="仿宋_GB2312" w:cs="仿宋_GB2312"/>
          <w:bCs/>
          <w:sz w:val="32"/>
          <w:szCs w:val="32"/>
          <w:lang w:val="en-US" w:eastAsia="zh-CN"/>
        </w:rPr>
        <w:t>21</w:t>
      </w:r>
      <w:r>
        <w:rPr>
          <w:rFonts w:hint="eastAsia" w:ascii="仿宋_GB2312" w:hAnsi="仿宋_GB2312" w:eastAsia="仿宋_GB2312" w:cs="仿宋_GB2312"/>
          <w:bCs/>
          <w:sz w:val="32"/>
          <w:szCs w:val="32"/>
        </w:rPr>
        <w:t>个，其中公务员编制</w:t>
      </w:r>
      <w:r>
        <w:rPr>
          <w:rFonts w:hint="eastAsia" w:ascii="仿宋_GB2312" w:hAnsi="仿宋_GB2312" w:eastAsia="仿宋_GB2312" w:cs="仿宋_GB2312"/>
          <w:bCs/>
          <w:sz w:val="32"/>
          <w:szCs w:val="32"/>
          <w:lang w:val="en-US" w:eastAsia="zh-CN"/>
        </w:rPr>
        <w:t>17</w:t>
      </w:r>
      <w:r>
        <w:rPr>
          <w:rFonts w:hint="eastAsia" w:ascii="仿宋_GB2312" w:hAnsi="仿宋_GB2312" w:eastAsia="仿宋_GB2312" w:cs="仿宋_GB2312"/>
          <w:bCs/>
          <w:sz w:val="32"/>
          <w:szCs w:val="32"/>
        </w:rPr>
        <w:t>个，</w:t>
      </w:r>
      <w:r>
        <w:rPr>
          <w:rFonts w:hint="eastAsia" w:ascii="仿宋_GB2312" w:hAnsi="仿宋_GB2312" w:eastAsia="仿宋_GB2312" w:cs="仿宋_GB2312"/>
          <w:bCs/>
          <w:sz w:val="32"/>
          <w:szCs w:val="32"/>
          <w:lang w:eastAsia="zh-CN"/>
        </w:rPr>
        <w:t>机关</w:t>
      </w:r>
      <w:r>
        <w:rPr>
          <w:rFonts w:hint="eastAsia" w:ascii="仿宋_GB2312" w:hAnsi="仿宋_GB2312" w:eastAsia="仿宋_GB2312" w:cs="仿宋_GB2312"/>
          <w:bCs/>
          <w:sz w:val="32"/>
          <w:szCs w:val="32"/>
        </w:rPr>
        <w:t>工勤编制4个，</w:t>
      </w:r>
      <w:r>
        <w:rPr>
          <w:rFonts w:hint="eastAsia" w:ascii="仿宋_GB2312" w:hAnsi="仿宋_GB2312" w:eastAsia="仿宋_GB2312" w:cs="仿宋_GB2312"/>
          <w:bCs/>
          <w:sz w:val="32"/>
          <w:szCs w:val="32"/>
          <w:lang w:eastAsia="zh-CN"/>
        </w:rPr>
        <w:t>年底</w:t>
      </w:r>
      <w:r>
        <w:rPr>
          <w:rFonts w:hint="eastAsia" w:ascii="仿宋_GB2312" w:hAnsi="仿宋_GB2312" w:eastAsia="仿宋_GB2312" w:cs="仿宋_GB2312"/>
          <w:sz w:val="32"/>
          <w:szCs w:val="32"/>
        </w:rPr>
        <w:t>在职</w:t>
      </w:r>
      <w:r>
        <w:rPr>
          <w:rFonts w:hint="eastAsia" w:ascii="仿宋_GB2312" w:hAnsi="仿宋_GB2312" w:eastAsia="仿宋_GB2312" w:cs="仿宋_GB2312"/>
          <w:sz w:val="32"/>
          <w:szCs w:val="32"/>
          <w:lang w:val="en-US" w:eastAsia="zh-CN"/>
        </w:rPr>
        <w:t>26</w:t>
      </w:r>
      <w:r>
        <w:rPr>
          <w:rFonts w:hint="eastAsia" w:ascii="仿宋_GB2312" w:hAnsi="仿宋_GB2312" w:eastAsia="仿宋_GB2312" w:cs="仿宋_GB2312"/>
          <w:sz w:val="32"/>
          <w:szCs w:val="32"/>
        </w:rPr>
        <w:t>人，其中公务员</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人，行政工勤</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人。2</w:t>
      </w:r>
      <w:r>
        <w:rPr>
          <w:rFonts w:hint="eastAsia" w:ascii="仿宋_GB2312" w:hAnsi="仿宋_GB2312" w:eastAsia="仿宋_GB2312" w:cs="仿宋_GB2312"/>
          <w:sz w:val="32"/>
          <w:szCs w:val="32"/>
          <w:lang w:val="en-US" w:eastAsia="zh-CN"/>
        </w:rPr>
        <w:t>021</w:t>
      </w:r>
      <w:r>
        <w:rPr>
          <w:rFonts w:hint="eastAsia" w:ascii="仿宋_GB2312" w:hAnsi="仿宋_GB2312" w:eastAsia="仿宋_GB2312" w:cs="仿宋_GB2312"/>
          <w:sz w:val="32"/>
          <w:szCs w:val="32"/>
        </w:rPr>
        <w:t>年度部门决算编制范围</w:t>
      </w: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color w:val="000000"/>
          <w:sz w:val="32"/>
          <w:szCs w:val="32"/>
          <w:lang w:eastAsia="zh-CN"/>
        </w:rPr>
        <w:t>个，为红原县人大常委会办公室，</w:t>
      </w:r>
      <w:r>
        <w:rPr>
          <w:rFonts w:hint="eastAsia" w:ascii="仿宋_GB2312" w:hAnsi="仿宋_GB2312" w:eastAsia="仿宋_GB2312" w:cs="仿宋_GB2312"/>
          <w:color w:val="000000"/>
          <w:sz w:val="32"/>
          <w:szCs w:val="32"/>
          <w:lang w:val="en-US" w:eastAsia="zh-CN"/>
        </w:rPr>
        <w:t>21年底新成立二级事业单位预算联网服务中心，该单位未纳入21年决算编报范围</w:t>
      </w:r>
      <w:r>
        <w:rPr>
          <w:rFonts w:hint="eastAsia" w:ascii="仿宋_GB2312" w:hAnsi="仿宋_GB2312" w:eastAsia="仿宋_GB2312" w:cs="仿宋_GB2312"/>
          <w:color w:val="000000"/>
          <w:sz w:val="32"/>
          <w:szCs w:val="32"/>
          <w:lang w:eastAsia="zh-CN"/>
        </w:rPr>
        <w:t>。</w:t>
      </w:r>
    </w:p>
    <w:p>
      <w:pPr>
        <w:pStyle w:val="10"/>
        <w:keepNext w:val="0"/>
        <w:keepLines w:val="0"/>
        <w:widowControl/>
        <w:suppressLineNumbers w:val="0"/>
        <w:ind w:right="75"/>
        <w:jc w:val="center"/>
        <w:outlineLvl w:val="0"/>
        <w:rPr>
          <w:rFonts w:hint="eastAsia" w:ascii="黑体" w:hAnsi="黑体" w:eastAsia="黑体" w:cs="黑体"/>
          <w:sz w:val="44"/>
          <w:szCs w:val="44"/>
        </w:rPr>
      </w:pPr>
      <w:bookmarkStart w:id="3" w:name="_Toc6796"/>
      <w:r>
        <w:rPr>
          <w:rFonts w:hint="eastAsia" w:ascii="黑体" w:hAnsi="黑体" w:eastAsia="黑体" w:cs="黑体"/>
          <w:sz w:val="44"/>
          <w:szCs w:val="44"/>
          <w:shd w:val="clear" w:color="auto" w:fill="FFFFFF"/>
        </w:rPr>
        <w:t>第二部分 202</w:t>
      </w:r>
      <w:r>
        <w:rPr>
          <w:rFonts w:hint="eastAsia" w:ascii="黑体" w:hAnsi="黑体" w:eastAsia="黑体" w:cs="黑体"/>
          <w:sz w:val="44"/>
          <w:szCs w:val="44"/>
          <w:shd w:val="clear" w:color="auto" w:fill="FFFFFF"/>
          <w:lang w:val="en-US" w:eastAsia="zh-CN"/>
        </w:rPr>
        <w:t>1</w:t>
      </w:r>
      <w:r>
        <w:rPr>
          <w:rFonts w:hint="eastAsia" w:ascii="黑体" w:hAnsi="黑体" w:eastAsia="黑体" w:cs="黑体"/>
          <w:sz w:val="44"/>
          <w:szCs w:val="44"/>
          <w:shd w:val="clear" w:color="auto" w:fill="FFFFFF"/>
        </w:rPr>
        <w:t>年度部门决算情况说明</w:t>
      </w:r>
      <w:bookmarkEnd w:id="3"/>
    </w:p>
    <w:p>
      <w:pPr>
        <w:pStyle w:val="10"/>
        <w:keepNext w:val="0"/>
        <w:keepLines w:val="0"/>
        <w:widowControl/>
        <w:suppressLineNumbers w:val="0"/>
        <w:ind w:left="0" w:right="75"/>
        <w:outlineLvl w:val="1"/>
        <w:rPr>
          <w:rFonts w:hint="eastAsia" w:ascii="黑体" w:hAnsi="黑体" w:eastAsia="黑体" w:cs="黑体"/>
          <w:sz w:val="32"/>
          <w:szCs w:val="32"/>
          <w:shd w:val="clear" w:color="auto" w:fill="FFFFFF"/>
        </w:rPr>
      </w:pPr>
      <w:bookmarkStart w:id="4" w:name="_Toc23902"/>
      <w:r>
        <w:rPr>
          <w:rFonts w:hint="eastAsia" w:ascii="黑体" w:hAnsi="黑体" w:eastAsia="黑体" w:cs="黑体"/>
          <w:sz w:val="32"/>
          <w:szCs w:val="32"/>
          <w:shd w:val="clear" w:color="auto" w:fill="FFFFFF"/>
        </w:rPr>
        <w:t>一、 收入支出决算总体情况说明</w:t>
      </w:r>
      <w:bookmarkEnd w:id="4"/>
    </w:p>
    <w:p>
      <w:pPr>
        <w:pStyle w:val="10"/>
        <w:keepNext w:val="0"/>
        <w:keepLines w:val="0"/>
        <w:widowControl/>
        <w:suppressLineNumbers w:val="0"/>
        <w:ind w:left="0" w:right="75" w:firstLine="640" w:firstLineChars="200"/>
        <w:rPr>
          <w:rFonts w:hint="eastAsia" w:ascii="仿宋" w:hAnsi="仿宋" w:eastAsia="仿宋"/>
          <w:color w:val="000000"/>
          <w:sz w:val="32"/>
          <w:szCs w:val="32"/>
        </w:rPr>
      </w:pPr>
      <w:r>
        <w:rPr>
          <w:rFonts w:hint="eastAsia" w:ascii="黑体" w:hAnsi="黑体" w:eastAsia="黑体" w:cs="黑体"/>
          <w:sz w:val="32"/>
          <w:szCs w:val="32"/>
          <w:shd w:val="clear" w:color="auto" w:fill="FFFFFF"/>
          <w:lang w:val="en-US" w:eastAsia="zh-CN"/>
        </w:rPr>
        <w:t xml:space="preserve"> </w:t>
      </w:r>
      <w:r>
        <w:rPr>
          <w:rFonts w:hint="eastAsia" w:ascii="仿宋" w:hAnsi="仿宋" w:eastAsia="仿宋"/>
          <w:color w:val="000000"/>
          <w:sz w:val="32"/>
          <w:szCs w:val="32"/>
        </w:rPr>
        <w:t>20</w:t>
      </w:r>
      <w:r>
        <w:rPr>
          <w:rFonts w:hint="eastAsia" w:ascii="仿宋" w:hAnsi="仿宋" w:eastAsia="仿宋"/>
          <w:color w:val="000000"/>
          <w:sz w:val="32"/>
          <w:szCs w:val="32"/>
          <w:lang w:val="en-US" w:eastAsia="zh-CN"/>
        </w:rPr>
        <w:t>21</w:t>
      </w:r>
      <w:r>
        <w:rPr>
          <w:rFonts w:hint="eastAsia" w:ascii="仿宋" w:hAnsi="仿宋" w:eastAsia="仿宋"/>
          <w:color w:val="000000"/>
          <w:sz w:val="32"/>
          <w:szCs w:val="32"/>
        </w:rPr>
        <w:t>年度收入</w:t>
      </w:r>
      <w:r>
        <w:rPr>
          <w:rFonts w:hint="eastAsia" w:ascii="仿宋" w:hAnsi="仿宋" w:eastAsia="仿宋"/>
          <w:color w:val="000000"/>
          <w:sz w:val="32"/>
          <w:szCs w:val="32"/>
          <w:lang w:val="en-US" w:eastAsia="zh-CN"/>
        </w:rPr>
        <w:t>970.1</w:t>
      </w:r>
      <w:r>
        <w:rPr>
          <w:rFonts w:hint="eastAsia" w:ascii="仿宋" w:hAnsi="仿宋" w:eastAsia="仿宋"/>
          <w:color w:val="000000"/>
          <w:sz w:val="32"/>
          <w:szCs w:val="32"/>
        </w:rPr>
        <w:t>万元，支出</w:t>
      </w:r>
      <w:r>
        <w:rPr>
          <w:rFonts w:hint="eastAsia" w:ascii="仿宋" w:hAnsi="仿宋" w:eastAsia="仿宋"/>
          <w:color w:val="000000"/>
          <w:sz w:val="32"/>
          <w:szCs w:val="32"/>
          <w:lang w:val="en-US" w:eastAsia="zh-CN"/>
        </w:rPr>
        <w:t>970.25</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，动用上年结转结余资金</w:t>
      </w:r>
      <w:r>
        <w:rPr>
          <w:rFonts w:hint="eastAsia" w:ascii="仿宋" w:hAnsi="仿宋" w:eastAsia="仿宋"/>
          <w:color w:val="000000"/>
          <w:sz w:val="32"/>
          <w:szCs w:val="32"/>
          <w:lang w:val="en-US" w:eastAsia="zh-CN"/>
        </w:rPr>
        <w:t>2.97万元。年末结转2021年12月底州人大转入代表活动经费2.82万元。资金</w:t>
      </w:r>
      <w:r>
        <w:rPr>
          <w:rFonts w:hint="eastAsia" w:ascii="仿宋" w:hAnsi="仿宋" w:eastAsia="仿宋"/>
          <w:color w:val="000000"/>
          <w:sz w:val="32"/>
          <w:szCs w:val="32"/>
        </w:rPr>
        <w:t>与20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年相比，收入</w:t>
      </w:r>
      <w:r>
        <w:rPr>
          <w:rFonts w:hint="eastAsia" w:ascii="仿宋" w:hAnsi="仿宋" w:eastAsia="仿宋"/>
          <w:color w:val="000000"/>
          <w:sz w:val="32"/>
          <w:szCs w:val="32"/>
          <w:lang w:eastAsia="zh-CN"/>
        </w:rPr>
        <w:t>增加</w:t>
      </w:r>
      <w:r>
        <w:rPr>
          <w:rFonts w:hint="eastAsia" w:ascii="仿宋" w:hAnsi="仿宋" w:eastAsia="仿宋"/>
          <w:color w:val="000000"/>
          <w:sz w:val="32"/>
          <w:szCs w:val="32"/>
        </w:rPr>
        <w:t>了</w:t>
      </w:r>
      <w:r>
        <w:rPr>
          <w:rFonts w:hint="eastAsia" w:ascii="仿宋" w:hAnsi="仿宋" w:eastAsia="仿宋"/>
          <w:color w:val="000000"/>
          <w:sz w:val="32"/>
          <w:szCs w:val="32"/>
          <w:lang w:val="en-US" w:eastAsia="zh-CN"/>
        </w:rPr>
        <w:t>253.46</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上升</w:t>
      </w:r>
      <w:r>
        <w:rPr>
          <w:rFonts w:hint="eastAsia" w:ascii="仿宋" w:hAnsi="仿宋" w:eastAsia="仿宋"/>
          <w:color w:val="000000"/>
          <w:sz w:val="32"/>
          <w:szCs w:val="32"/>
        </w:rPr>
        <w:t>了</w:t>
      </w:r>
      <w:r>
        <w:rPr>
          <w:rFonts w:hint="eastAsia" w:ascii="仿宋" w:hAnsi="仿宋" w:eastAsia="仿宋"/>
          <w:color w:val="000000"/>
          <w:sz w:val="32"/>
          <w:szCs w:val="32"/>
          <w:lang w:val="en-US" w:eastAsia="zh-CN"/>
        </w:rPr>
        <w:t>35.36</w:t>
      </w:r>
      <w:r>
        <w:rPr>
          <w:rFonts w:hint="eastAsia" w:ascii="仿宋" w:hAnsi="仿宋" w:eastAsia="仿宋"/>
          <w:color w:val="000000"/>
          <w:sz w:val="32"/>
          <w:szCs w:val="32"/>
        </w:rPr>
        <w:t>%</w:t>
      </w:r>
      <w:r>
        <w:rPr>
          <w:rFonts w:hint="eastAsia" w:ascii="仿宋" w:hAnsi="仿宋" w:eastAsia="仿宋"/>
          <w:color w:val="000000"/>
          <w:sz w:val="32"/>
          <w:szCs w:val="32"/>
          <w:lang w:eastAsia="zh-CN"/>
        </w:rPr>
        <w:t>，</w:t>
      </w:r>
      <w:r>
        <w:rPr>
          <w:rFonts w:hint="eastAsia" w:ascii="仿宋" w:hAnsi="仿宋" w:eastAsia="仿宋"/>
          <w:color w:val="000000"/>
          <w:sz w:val="32"/>
          <w:szCs w:val="32"/>
        </w:rPr>
        <w:t>支出</w:t>
      </w:r>
      <w:r>
        <w:rPr>
          <w:rFonts w:hint="eastAsia" w:ascii="仿宋" w:hAnsi="仿宋" w:eastAsia="仿宋"/>
          <w:color w:val="000000"/>
          <w:sz w:val="32"/>
          <w:szCs w:val="32"/>
          <w:lang w:eastAsia="zh-CN"/>
        </w:rPr>
        <w:t>增加了</w:t>
      </w:r>
      <w:r>
        <w:rPr>
          <w:rFonts w:hint="eastAsia" w:ascii="仿宋" w:hAnsi="仿宋" w:eastAsia="仿宋"/>
          <w:color w:val="000000"/>
          <w:sz w:val="32"/>
          <w:szCs w:val="32"/>
          <w:lang w:val="en-US" w:eastAsia="zh-CN"/>
        </w:rPr>
        <w:t>166.57</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上升</w:t>
      </w:r>
      <w:r>
        <w:rPr>
          <w:rFonts w:hint="eastAsia" w:ascii="仿宋" w:hAnsi="仿宋" w:eastAsia="仿宋"/>
          <w:color w:val="000000"/>
          <w:sz w:val="32"/>
          <w:szCs w:val="32"/>
          <w:lang w:val="en-US" w:eastAsia="zh-CN"/>
        </w:rPr>
        <w:t>20.73</w:t>
      </w:r>
      <w:r>
        <w:rPr>
          <w:rFonts w:hint="eastAsia" w:ascii="仿宋" w:hAnsi="仿宋" w:eastAsia="仿宋"/>
          <w:color w:val="000000"/>
          <w:sz w:val="32"/>
          <w:szCs w:val="32"/>
        </w:rPr>
        <w:t>%。</w:t>
      </w:r>
      <w:r>
        <w:rPr>
          <w:rFonts w:hint="eastAsia" w:ascii="仿宋" w:hAnsi="仿宋" w:eastAsia="仿宋"/>
          <w:color w:val="000000"/>
          <w:sz w:val="32"/>
          <w:szCs w:val="32"/>
          <w:lang w:eastAsia="zh-CN"/>
        </w:rPr>
        <w:t>收入支出均增加主要原因：</w:t>
      </w:r>
      <w:r>
        <w:rPr>
          <w:rFonts w:hint="eastAsia" w:ascii="仿宋" w:hAnsi="仿宋" w:eastAsia="仿宋"/>
          <w:b/>
          <w:bCs/>
          <w:color w:val="000000"/>
          <w:sz w:val="32"/>
          <w:szCs w:val="32"/>
          <w:lang w:eastAsia="zh-CN"/>
        </w:rPr>
        <w:t>一是</w:t>
      </w:r>
      <w:r>
        <w:rPr>
          <w:rFonts w:hint="eastAsia" w:ascii="仿宋" w:hAnsi="仿宋" w:eastAsia="仿宋"/>
          <w:color w:val="000000"/>
          <w:sz w:val="32"/>
          <w:szCs w:val="32"/>
          <w:lang w:val="en-US" w:eastAsia="zh-CN"/>
        </w:rPr>
        <w:t>2021年11月我办根据州公车办批复，按照相关流程采购越野车一辆，购车款及税费64.4万元，2020年无该项目支出；</w:t>
      </w:r>
      <w:r>
        <w:rPr>
          <w:rFonts w:hint="eastAsia" w:ascii="仿宋" w:hAnsi="仿宋" w:eastAsia="仿宋"/>
          <w:b/>
          <w:bCs/>
          <w:color w:val="000000"/>
          <w:sz w:val="32"/>
          <w:szCs w:val="32"/>
          <w:lang w:val="en-US" w:eastAsia="zh-CN"/>
        </w:rPr>
        <w:t>二是</w:t>
      </w:r>
      <w:r>
        <w:rPr>
          <w:rFonts w:hint="eastAsia" w:ascii="仿宋" w:hAnsi="仿宋" w:eastAsia="仿宋"/>
          <w:color w:val="000000"/>
          <w:sz w:val="32"/>
          <w:szCs w:val="32"/>
          <w:lang w:val="en-US" w:eastAsia="zh-CN"/>
        </w:rPr>
        <w:t>21年发放的20年目标奖较20年发放19年目标奖高。</w:t>
      </w: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jc w:val="center"/>
        <w:rPr>
          <w:rFonts w:hint="eastAsia"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：收、支决算变动情况图）（柱状图）</w:t>
      </w:r>
    </w:p>
    <w:p>
      <w:pPr>
        <w:pStyle w:val="2"/>
        <w:rPr>
          <w:rFonts w:hint="default" w:ascii="仿宋" w:hAnsi="仿宋" w:eastAsia="仿宋"/>
          <w:color w:val="000000"/>
          <w:sz w:val="32"/>
          <w:szCs w:val="32"/>
          <w:lang w:val="en-US" w:eastAsia="zh-CN"/>
        </w:rPr>
      </w:pPr>
      <w:r>
        <w:rPr>
          <w:rFonts w:hint="default" w:ascii="仿宋" w:hAnsi="仿宋" w:eastAsia="仿宋"/>
          <w:color w:val="000000"/>
          <w:sz w:val="32"/>
          <w:szCs w:val="32"/>
          <w:lang w:val="en-US" w:eastAsia="zh-CN"/>
        </w:rPr>
        <w:drawing>
          <wp:inline distT="0" distB="0" distL="114300" distR="114300">
            <wp:extent cx="5080000" cy="3070225"/>
            <wp:effectExtent l="4445" t="4445" r="20955" b="1143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Pr>
        <w:pStyle w:val="10"/>
        <w:keepNext w:val="0"/>
        <w:keepLines w:val="0"/>
        <w:widowControl/>
        <w:numPr>
          <w:ilvl w:val="0"/>
          <w:numId w:val="1"/>
        </w:numPr>
        <w:suppressLineNumbers w:val="0"/>
        <w:shd w:val="clear" w:color="auto" w:fill="auto"/>
        <w:ind w:left="0" w:right="75"/>
        <w:jc w:val="left"/>
        <w:outlineLvl w:val="1"/>
        <w:rPr>
          <w:rFonts w:hint="eastAsia" w:ascii="仿宋" w:hAnsi="仿宋" w:eastAsia="仿宋"/>
          <w:color w:val="000000"/>
          <w:sz w:val="32"/>
          <w:szCs w:val="32"/>
          <w:lang w:eastAsia="zh-CN"/>
        </w:rPr>
      </w:pPr>
      <w:bookmarkStart w:id="5" w:name="_Toc21346"/>
      <w:r>
        <w:rPr>
          <w:rFonts w:hint="eastAsia" w:ascii="黑体" w:hAnsi="黑体" w:eastAsia="黑体" w:cs="黑体"/>
          <w:sz w:val="32"/>
          <w:szCs w:val="32"/>
          <w:shd w:val="clear" w:color="auto" w:fill="FFFFFF"/>
        </w:rPr>
        <w:t>收入决算情况说明</w:t>
      </w:r>
      <w:bookmarkEnd w:id="5"/>
    </w:p>
    <w:p>
      <w:pPr>
        <w:pStyle w:val="10"/>
        <w:keepNext w:val="0"/>
        <w:keepLines w:val="0"/>
        <w:widowControl/>
        <w:numPr>
          <w:ilvl w:val="0"/>
          <w:numId w:val="0"/>
        </w:numPr>
        <w:suppressLineNumbers w:val="0"/>
        <w:shd w:val="clear" w:color="auto" w:fill="auto"/>
        <w:ind w:right="75" w:rightChars="0" w:firstLine="640" w:firstLineChars="200"/>
        <w:jc w:val="left"/>
        <w:rPr>
          <w:rFonts w:hint="eastAsia" w:ascii="仿宋" w:hAnsi="仿宋" w:eastAsia="仿宋"/>
          <w:color w:val="000000"/>
          <w:sz w:val="32"/>
          <w:szCs w:val="32"/>
          <w:lang w:eastAsia="zh-CN"/>
        </w:rPr>
      </w:pPr>
      <w:r>
        <w:rPr>
          <w:rFonts w:ascii="仿宋" w:hAnsi="仿宋" w:eastAsia="仿宋"/>
          <w:color w:val="000000"/>
          <w:sz w:val="32"/>
          <w:szCs w:val="32"/>
        </w:rPr>
        <w:t>20</w:t>
      </w:r>
      <w:r>
        <w:rPr>
          <w:rFonts w:hint="eastAsia" w:ascii="仿宋" w:hAnsi="仿宋" w:eastAsia="仿宋"/>
          <w:color w:val="000000"/>
          <w:sz w:val="32"/>
          <w:szCs w:val="32"/>
          <w:lang w:val="en-US" w:eastAsia="zh-CN"/>
        </w:rPr>
        <w:t>21</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970.1</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其中一般公共财政拨款收入</w:t>
      </w:r>
      <w:r>
        <w:rPr>
          <w:rFonts w:hint="eastAsia" w:ascii="仿宋" w:hAnsi="仿宋" w:eastAsia="仿宋"/>
          <w:color w:val="000000"/>
          <w:sz w:val="32"/>
          <w:szCs w:val="32"/>
          <w:lang w:val="en-US" w:eastAsia="zh-CN"/>
        </w:rPr>
        <w:t>966.44万元，其他收入3.66万元，为年底州人大转入代表活动经费</w:t>
      </w:r>
      <w:r>
        <w:rPr>
          <w:rFonts w:hint="eastAsia" w:ascii="仿宋" w:hAnsi="仿宋" w:eastAsia="仿宋"/>
          <w:color w:val="000000"/>
          <w:sz w:val="32"/>
          <w:szCs w:val="32"/>
          <w:lang w:eastAsia="zh-CN"/>
        </w:rPr>
        <w:t>。</w:t>
      </w: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（图2：收入决算结构图）（饼状图）</w:t>
      </w:r>
    </w:p>
    <w:p>
      <w:pPr>
        <w:pStyle w:val="10"/>
        <w:keepNext w:val="0"/>
        <w:keepLines w:val="0"/>
        <w:widowControl/>
        <w:numPr>
          <w:ilvl w:val="0"/>
          <w:numId w:val="0"/>
        </w:numPr>
        <w:suppressLineNumbers w:val="0"/>
        <w:shd w:val="clear" w:color="auto" w:fill="auto"/>
        <w:ind w:right="75" w:rightChars="0" w:firstLine="640" w:firstLineChars="200"/>
        <w:jc w:val="left"/>
        <w:rPr>
          <w:rFonts w:hint="eastAsia" w:ascii="黑体" w:hAnsi="黑体" w:eastAsia="黑体" w:cs="黑体"/>
          <w:sz w:val="32"/>
          <w:szCs w:val="32"/>
          <w:shd w:val="clear" w:color="auto" w:fill="FFFFFF"/>
        </w:rPr>
      </w:pPr>
      <w:r>
        <w:rPr>
          <w:rFonts w:hint="eastAsia" w:ascii="仿宋" w:hAnsi="仿宋" w:eastAsia="仿宋"/>
          <w:color w:val="000000"/>
          <w:sz w:val="32"/>
          <w:szCs w:val="32"/>
          <w:lang w:eastAsia="zh-CN"/>
        </w:rPr>
        <w:object>
          <v:shape id="_x0000_i1025" o:spt="75" type="#_x0000_t75" style="height:0.05pt;width:0.05pt;" o:ole="t" filled="f" stroked="f" coordsize="21600,21600">
            <v:path/>
            <v:fill on="f" focussize="0,0"/>
            <v:stroke on="f"/>
            <v:imagedata o:title=""/>
            <o:lock v:ext="edit" aspectratio="t"/>
            <w10:wrap type="none"/>
            <w10:anchorlock/>
          </v:shape>
          <o:OLEObject Type="Embed" ProgID="Excel.Chart.8" ShapeID="_x0000_i1025" DrawAspect="Content" ObjectID="_1468075725" r:id="rId6">
            <o:LockedField>false</o:LockedField>
          </o:OLEObject>
        </w:object>
      </w:r>
      <w:r>
        <w:rPr>
          <w:rFonts w:hint="eastAsia" w:ascii="仿宋" w:hAnsi="仿宋" w:eastAsia="仿宋"/>
          <w:color w:val="000000"/>
          <w:sz w:val="32"/>
          <w:szCs w:val="32"/>
          <w:lang w:eastAsia="zh-CN"/>
        </w:rPr>
        <w:object>
          <v:shape id="_x0000_i1026" o:spt="75" type="#_x0000_t75" style="height:0.05pt;width:0.05pt;" o:ole="t" filled="f" stroked="f" coordsize="21600,21600">
            <v:path/>
            <v:fill on="f" focussize="0,0"/>
            <v:stroke on="f"/>
            <v:imagedata o:title=""/>
            <o:lock v:ext="edit" aspectratio="t"/>
            <w10:wrap type="none"/>
            <w10:anchorlock/>
          </v:shape>
          <o:OLEObject Type="Embed" ProgID="Excel.Chart.8" ShapeID="_x0000_i1026" DrawAspect="Content" ObjectID="_1468075726" r:id="rId7">
            <o:LockedField>false</o:LockedField>
          </o:OLEObject>
        </w:object>
      </w:r>
      <w:r>
        <w:rPr>
          <w:rFonts w:hint="eastAsia" w:ascii="仿宋" w:hAnsi="仿宋" w:eastAsia="仿宋"/>
          <w:color w:val="000000"/>
          <w:sz w:val="32"/>
          <w:szCs w:val="32"/>
          <w:lang w:eastAsia="zh-CN"/>
        </w:rPr>
        <w:drawing>
          <wp:inline distT="0" distB="0" distL="114300" distR="114300">
            <wp:extent cx="4670425" cy="2008505"/>
            <wp:effectExtent l="4445" t="4445" r="11430" b="635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10"/>
        <w:keepNext w:val="0"/>
        <w:keepLines w:val="0"/>
        <w:widowControl/>
        <w:numPr>
          <w:ilvl w:val="0"/>
          <w:numId w:val="1"/>
        </w:numPr>
        <w:suppressLineNumbers w:val="0"/>
        <w:shd w:val="clear" w:color="auto" w:fill="auto"/>
        <w:ind w:left="0" w:leftChars="0" w:right="75" w:firstLine="0" w:firstLineChars="0"/>
        <w:jc w:val="left"/>
        <w:outlineLvl w:val="1"/>
        <w:rPr>
          <w:rFonts w:hint="eastAsia" w:ascii="黑体" w:hAnsi="黑体" w:eastAsia="黑体" w:cs="黑体"/>
          <w:sz w:val="32"/>
          <w:szCs w:val="32"/>
          <w:shd w:val="clear" w:color="auto" w:fill="FFFFFF"/>
        </w:rPr>
      </w:pPr>
      <w:bookmarkStart w:id="6" w:name="_Toc21019"/>
      <w:r>
        <w:rPr>
          <w:rFonts w:hint="eastAsia" w:ascii="黑体" w:hAnsi="黑体" w:eastAsia="黑体" w:cs="黑体"/>
          <w:sz w:val="32"/>
          <w:szCs w:val="32"/>
          <w:shd w:val="clear" w:color="auto" w:fill="FFFFFF"/>
        </w:rPr>
        <w:t>支出决算情况说明</w:t>
      </w:r>
      <w:bookmarkEnd w:id="6"/>
    </w:p>
    <w:p>
      <w:pPr>
        <w:pStyle w:val="10"/>
        <w:keepNext w:val="0"/>
        <w:keepLines w:val="0"/>
        <w:widowControl/>
        <w:suppressLineNumbers w:val="0"/>
        <w:shd w:val="clear" w:color="auto" w:fill="auto"/>
        <w:ind w:left="0" w:right="75" w:firstLine="640" w:firstLineChars="200"/>
        <w:rPr>
          <w:rFonts w:hint="eastAsia" w:ascii="仿宋" w:hAnsi="仿宋" w:eastAsia="仿宋"/>
          <w:color w:val="000000"/>
          <w:sz w:val="32"/>
          <w:szCs w:val="32"/>
        </w:rPr>
      </w:pPr>
      <w:r>
        <w:rPr>
          <w:rFonts w:hint="eastAsia" w:ascii="仿宋" w:hAnsi="仿宋" w:eastAsia="仿宋"/>
          <w:color w:val="000000"/>
          <w:sz w:val="32"/>
          <w:szCs w:val="32"/>
        </w:rPr>
        <w:t>2021年本年支出合计970.25万元，其中：基本支出815.46万元，占84.05%；项目支出154.79万元，占15.95%；上缴上级支出0.00万元，占0.00%；经营支出0.00万元，占经营支出0.00万元，占 0.00%；对附属单位补助支出0.00万元，占0.00%</w:t>
      </w:r>
    </w:p>
    <w:p>
      <w:pPr>
        <w:pStyle w:val="10"/>
        <w:keepNext w:val="0"/>
        <w:keepLines w:val="0"/>
        <w:widowControl/>
        <w:suppressLineNumbers w:val="0"/>
        <w:shd w:val="clear" w:color="auto" w:fill="auto"/>
        <w:ind w:left="0" w:right="75" w:firstLine="640" w:firstLineChars="200"/>
        <w:rPr>
          <w:rFonts w:hint="eastAsia" w:ascii="仿宋" w:hAnsi="仿宋" w:eastAsia="仿宋"/>
          <w:color w:val="000000"/>
          <w:sz w:val="32"/>
          <w:szCs w:val="32"/>
        </w:rPr>
      </w:pPr>
      <w:r>
        <w:rPr>
          <w:rFonts w:hint="eastAsia" w:ascii="仿宋" w:hAnsi="仿宋" w:eastAsia="仿宋"/>
          <w:color w:val="000000"/>
          <w:sz w:val="32"/>
          <w:szCs w:val="32"/>
        </w:rPr>
        <w:t>（图3：支出决算结构图）（饼状图）</w:t>
      </w:r>
    </w:p>
    <w:p>
      <w:pPr>
        <w:pStyle w:val="10"/>
        <w:keepNext w:val="0"/>
        <w:keepLines w:val="0"/>
        <w:widowControl/>
        <w:suppressLineNumbers w:val="0"/>
        <w:shd w:val="clear" w:color="auto" w:fill="auto"/>
        <w:ind w:left="0" w:right="75" w:firstLine="640" w:firstLineChars="200"/>
        <w:rPr>
          <w:rFonts w:hint="eastAsia" w:ascii="仿宋" w:hAnsi="仿宋" w:eastAsia="仿宋"/>
          <w:color w:val="000000"/>
          <w:sz w:val="32"/>
          <w:szCs w:val="32"/>
        </w:rPr>
      </w:pPr>
      <w:r>
        <w:rPr>
          <w:rFonts w:hint="eastAsia" w:ascii="仿宋" w:hAnsi="仿宋" w:eastAsia="仿宋"/>
          <w:color w:val="000000"/>
          <w:sz w:val="32"/>
          <w:szCs w:val="32"/>
          <w:lang w:eastAsia="zh-CN"/>
        </w:rPr>
        <w:drawing>
          <wp:inline distT="0" distB="0" distL="114300" distR="114300">
            <wp:extent cx="5080000" cy="2918460"/>
            <wp:effectExtent l="4445" t="4445" r="20955" b="10795"/>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10"/>
        <w:keepNext w:val="0"/>
        <w:keepLines w:val="0"/>
        <w:widowControl/>
        <w:numPr>
          <w:ilvl w:val="0"/>
          <w:numId w:val="1"/>
        </w:numPr>
        <w:suppressLineNumbers w:val="0"/>
        <w:shd w:val="clear" w:color="auto" w:fill="auto"/>
        <w:ind w:left="0" w:leftChars="0" w:right="75" w:firstLine="0" w:firstLineChars="0"/>
        <w:jc w:val="left"/>
        <w:outlineLvl w:val="1"/>
        <w:rPr>
          <w:rFonts w:hint="eastAsia" w:ascii="黑体" w:hAnsi="黑体" w:eastAsia="黑体" w:cs="黑体"/>
          <w:sz w:val="32"/>
          <w:szCs w:val="32"/>
          <w:shd w:val="clear" w:color="auto" w:fill="FFFFFF"/>
        </w:rPr>
      </w:pPr>
      <w:bookmarkStart w:id="7" w:name="_Toc7956"/>
      <w:r>
        <w:rPr>
          <w:rFonts w:hint="eastAsia" w:ascii="黑体" w:hAnsi="黑体" w:eastAsia="黑体" w:cs="黑体"/>
          <w:sz w:val="32"/>
          <w:szCs w:val="32"/>
          <w:shd w:val="clear" w:color="auto" w:fill="FFFFFF"/>
        </w:rPr>
        <w:t>财政拨款收入支出决算总体情况说明</w:t>
      </w:r>
      <w:bookmarkEnd w:id="7"/>
    </w:p>
    <w:p>
      <w:pPr>
        <w:pStyle w:val="10"/>
        <w:keepNext w:val="0"/>
        <w:keepLines w:val="0"/>
        <w:widowControl/>
        <w:suppressLineNumbers w:val="0"/>
        <w:ind w:left="0" w:right="75"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sz w:val="32"/>
          <w:szCs w:val="32"/>
          <w:lang w:val="en-US" w:eastAsia="zh-CN"/>
        </w:rPr>
        <w:t>2021</w:t>
      </w:r>
      <w:r>
        <w:rPr>
          <w:rFonts w:hint="eastAsia" w:ascii="仿宋" w:hAnsi="仿宋" w:eastAsia="仿宋"/>
          <w:color w:val="000000"/>
          <w:sz w:val="32"/>
          <w:szCs w:val="32"/>
        </w:rPr>
        <w:t>年度收入</w:t>
      </w:r>
      <w:r>
        <w:rPr>
          <w:rFonts w:hint="eastAsia" w:ascii="仿宋" w:hAnsi="仿宋" w:eastAsia="仿宋"/>
          <w:color w:val="000000"/>
          <w:sz w:val="32"/>
          <w:szCs w:val="32"/>
          <w:lang w:val="en-US" w:eastAsia="zh-CN"/>
        </w:rPr>
        <w:t>966.44</w:t>
      </w:r>
      <w:r>
        <w:rPr>
          <w:rFonts w:hint="eastAsia" w:ascii="仿宋" w:hAnsi="仿宋" w:eastAsia="仿宋"/>
          <w:color w:val="000000"/>
          <w:sz w:val="32"/>
          <w:szCs w:val="32"/>
        </w:rPr>
        <w:t>万元，支出</w:t>
      </w:r>
      <w:r>
        <w:rPr>
          <w:rFonts w:hint="eastAsia" w:ascii="仿宋" w:hAnsi="仿宋" w:eastAsia="仿宋"/>
          <w:color w:val="000000"/>
          <w:sz w:val="32"/>
          <w:szCs w:val="32"/>
          <w:lang w:val="en-US" w:eastAsia="zh-CN"/>
        </w:rPr>
        <w:t>966.44</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与2</w:t>
      </w:r>
      <w:r>
        <w:rPr>
          <w:rFonts w:hint="eastAsia" w:ascii="仿宋" w:hAnsi="仿宋" w:eastAsia="仿宋"/>
          <w:color w:val="000000"/>
          <w:sz w:val="32"/>
          <w:szCs w:val="32"/>
          <w:lang w:val="en-US" w:eastAsia="zh-CN"/>
        </w:rPr>
        <w:t>020</w:t>
      </w:r>
      <w:r>
        <w:rPr>
          <w:rFonts w:hint="eastAsia" w:ascii="仿宋" w:hAnsi="仿宋" w:eastAsia="仿宋"/>
          <w:color w:val="000000"/>
          <w:sz w:val="32"/>
          <w:szCs w:val="32"/>
        </w:rPr>
        <w:t>年相比，</w:t>
      </w:r>
      <w:r>
        <w:rPr>
          <w:rFonts w:hint="eastAsia" w:ascii="仿宋" w:hAnsi="仿宋" w:eastAsia="仿宋"/>
          <w:color w:val="000000"/>
          <w:sz w:val="32"/>
          <w:szCs w:val="32"/>
          <w:lang w:eastAsia="zh-CN"/>
        </w:rPr>
        <w:t>收入增加了</w:t>
      </w:r>
      <w:r>
        <w:rPr>
          <w:rFonts w:hint="eastAsia" w:ascii="仿宋" w:hAnsi="仿宋" w:eastAsia="仿宋"/>
          <w:color w:val="000000"/>
          <w:sz w:val="32"/>
          <w:szCs w:val="32"/>
          <w:lang w:val="en-US" w:eastAsia="zh-CN"/>
        </w:rPr>
        <w:t>253.76</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上升了</w:t>
      </w:r>
      <w:r>
        <w:rPr>
          <w:rFonts w:hint="eastAsia" w:ascii="仿宋" w:hAnsi="仿宋" w:eastAsia="仿宋"/>
          <w:color w:val="000000"/>
          <w:sz w:val="32"/>
          <w:szCs w:val="32"/>
          <w:lang w:val="en-US" w:eastAsia="zh-CN"/>
        </w:rPr>
        <w:t>35.60</w:t>
      </w:r>
      <w:r>
        <w:rPr>
          <w:rFonts w:hint="eastAsia" w:ascii="仿宋" w:hAnsi="仿宋" w:eastAsia="仿宋"/>
          <w:color w:val="000000"/>
          <w:sz w:val="32"/>
          <w:szCs w:val="32"/>
        </w:rPr>
        <w:t>%。</w:t>
      </w:r>
      <w:r>
        <w:rPr>
          <w:rFonts w:hint="eastAsia" w:ascii="仿宋" w:hAnsi="仿宋" w:eastAsia="仿宋"/>
          <w:color w:val="000000"/>
          <w:sz w:val="32"/>
          <w:szCs w:val="32"/>
          <w:lang w:eastAsia="zh-CN"/>
        </w:rPr>
        <w:t>支出增加</w:t>
      </w:r>
      <w:r>
        <w:rPr>
          <w:rFonts w:hint="eastAsia" w:ascii="仿宋" w:hAnsi="仿宋" w:eastAsia="仿宋"/>
          <w:color w:val="000000"/>
          <w:sz w:val="32"/>
          <w:szCs w:val="32"/>
          <w:lang w:val="en-US" w:eastAsia="zh-CN"/>
        </w:rPr>
        <w:t>169.57万元，</w:t>
      </w:r>
      <w:r>
        <w:rPr>
          <w:rFonts w:hint="eastAsia" w:ascii="仿宋" w:hAnsi="仿宋" w:eastAsia="仿宋"/>
          <w:color w:val="000000"/>
          <w:sz w:val="32"/>
          <w:szCs w:val="32"/>
          <w:lang w:eastAsia="zh-CN"/>
        </w:rPr>
        <w:t>上升了</w:t>
      </w:r>
      <w:r>
        <w:rPr>
          <w:rFonts w:hint="eastAsia" w:ascii="仿宋" w:hAnsi="仿宋" w:eastAsia="仿宋"/>
          <w:color w:val="000000"/>
          <w:sz w:val="32"/>
          <w:szCs w:val="32"/>
          <w:lang w:val="en-US" w:eastAsia="zh-CN"/>
        </w:rPr>
        <w:t>21.28</w:t>
      </w:r>
      <w:r>
        <w:rPr>
          <w:rFonts w:hint="eastAsia" w:ascii="仿宋" w:hAnsi="仿宋" w:eastAsia="仿宋"/>
          <w:color w:val="000000"/>
          <w:sz w:val="32"/>
          <w:szCs w:val="32"/>
        </w:rPr>
        <w:t>%</w:t>
      </w:r>
      <w:r>
        <w:rPr>
          <w:rFonts w:hint="eastAsia" w:ascii="仿宋" w:hAnsi="仿宋" w:eastAsia="仿宋"/>
          <w:color w:val="000000"/>
          <w:sz w:val="32"/>
          <w:szCs w:val="32"/>
          <w:lang w:eastAsia="zh-CN"/>
        </w:rPr>
        <w:t>，收入支出均增加主要原因：</w:t>
      </w:r>
      <w:r>
        <w:rPr>
          <w:rFonts w:hint="eastAsia" w:ascii="仿宋" w:hAnsi="仿宋" w:eastAsia="仿宋"/>
          <w:b/>
          <w:bCs/>
          <w:color w:val="000000"/>
          <w:sz w:val="32"/>
          <w:szCs w:val="32"/>
          <w:lang w:eastAsia="zh-CN"/>
        </w:rPr>
        <w:t>一是</w:t>
      </w:r>
      <w:r>
        <w:rPr>
          <w:rFonts w:hint="eastAsia" w:ascii="仿宋" w:hAnsi="仿宋" w:eastAsia="仿宋"/>
          <w:color w:val="000000"/>
          <w:sz w:val="32"/>
          <w:szCs w:val="32"/>
          <w:lang w:val="en-US" w:eastAsia="zh-CN"/>
        </w:rPr>
        <w:t>2021年11月我办根据州公车办批复，按照相关流程采购越野车一辆，购车款及税费64.4万元，2020年无该项目支出；</w:t>
      </w:r>
      <w:r>
        <w:rPr>
          <w:rFonts w:hint="eastAsia" w:ascii="仿宋" w:hAnsi="仿宋" w:eastAsia="仿宋"/>
          <w:b/>
          <w:bCs/>
          <w:color w:val="000000"/>
          <w:sz w:val="32"/>
          <w:szCs w:val="32"/>
          <w:lang w:val="en-US" w:eastAsia="zh-CN"/>
        </w:rPr>
        <w:t>二是</w:t>
      </w:r>
      <w:r>
        <w:rPr>
          <w:rFonts w:hint="eastAsia" w:ascii="仿宋" w:hAnsi="仿宋" w:eastAsia="仿宋"/>
          <w:color w:val="000000"/>
          <w:sz w:val="32"/>
          <w:szCs w:val="32"/>
          <w:lang w:val="en-US" w:eastAsia="zh-CN"/>
        </w:rPr>
        <w:t>21年发放的20年目标奖较20年发放19年目标奖高。</w:t>
      </w: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（图4：财政拨款收、支决算总计变动情况）（柱状图）</w:t>
      </w:r>
    </w:p>
    <w:p>
      <w:pPr>
        <w:pStyle w:val="10"/>
        <w:keepNext w:val="0"/>
        <w:keepLines w:val="0"/>
        <w:widowControl/>
        <w:numPr>
          <w:ilvl w:val="0"/>
          <w:numId w:val="0"/>
        </w:numPr>
        <w:suppressLineNumbers w:val="0"/>
        <w:shd w:val="clear" w:color="auto" w:fill="auto"/>
        <w:ind w:leftChars="0" w:right="75" w:rightChars="0"/>
        <w:jc w:val="left"/>
        <w:rPr>
          <w:rFonts w:hint="eastAsia" w:ascii="黑体" w:hAnsi="黑体" w:eastAsia="黑体" w:cs="黑体"/>
          <w:sz w:val="32"/>
          <w:szCs w:val="32"/>
          <w:shd w:val="clear" w:color="auto" w:fill="FFFFFF"/>
          <w:lang w:eastAsia="zh-CN"/>
        </w:rPr>
      </w:pPr>
      <w:r>
        <w:rPr>
          <w:rFonts w:hint="eastAsia" w:ascii="黑体" w:hAnsi="黑体" w:eastAsia="黑体" w:cs="黑体"/>
          <w:sz w:val="32"/>
          <w:szCs w:val="32"/>
          <w:shd w:val="clear" w:color="auto" w:fill="FFFFFF"/>
          <w:lang w:eastAsia="zh-CN"/>
        </w:rPr>
        <w:drawing>
          <wp:inline distT="0" distB="0" distL="114300" distR="114300">
            <wp:extent cx="5080000" cy="2628900"/>
            <wp:effectExtent l="4445" t="4445" r="20955" b="1460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pStyle w:val="10"/>
        <w:keepNext w:val="0"/>
        <w:keepLines w:val="0"/>
        <w:widowControl/>
        <w:suppressLineNumbers w:val="0"/>
        <w:shd w:val="clear" w:color="auto" w:fill="auto"/>
        <w:ind w:left="0" w:right="75"/>
        <w:jc w:val="left"/>
        <w:outlineLvl w:val="1"/>
        <w:rPr>
          <w:rFonts w:hint="eastAsia" w:ascii="黑体" w:hAnsi="黑体" w:eastAsia="黑体" w:cs="黑体"/>
          <w:sz w:val="32"/>
          <w:szCs w:val="32"/>
          <w:shd w:val="clear" w:color="auto" w:fill="FFFFFF"/>
        </w:rPr>
      </w:pPr>
      <w:bookmarkStart w:id="8" w:name="_Toc23149"/>
      <w:r>
        <w:rPr>
          <w:rFonts w:hint="eastAsia" w:ascii="黑体" w:hAnsi="黑体" w:eastAsia="黑体" w:cs="黑体"/>
          <w:sz w:val="32"/>
          <w:szCs w:val="32"/>
          <w:shd w:val="clear" w:color="auto" w:fill="FFFFFF"/>
        </w:rPr>
        <w:t>五、一般公共预算财政拨款支出决算情况说明</w:t>
      </w:r>
      <w:bookmarkEnd w:id="8"/>
    </w:p>
    <w:p>
      <w:pPr>
        <w:pStyle w:val="10"/>
        <w:keepNext w:val="0"/>
        <w:keepLines w:val="0"/>
        <w:widowControl/>
        <w:suppressLineNumbers w:val="0"/>
        <w:ind w:left="0" w:right="75"/>
        <w:rPr>
          <w:rStyle w:val="13"/>
          <w:rFonts w:hint="eastAsia" w:ascii="仿宋_GB2312" w:hAnsi="仿宋_GB2312" w:eastAsia="仿宋_GB2312" w:cs="仿宋_GB2312"/>
          <w:sz w:val="32"/>
          <w:szCs w:val="32"/>
          <w:shd w:val="clear" w:color="auto" w:fill="FFFFFF"/>
        </w:rPr>
      </w:pPr>
      <w:r>
        <w:rPr>
          <w:rStyle w:val="13"/>
          <w:rFonts w:hint="eastAsia" w:ascii="仿宋_GB2312" w:hAnsi="仿宋_GB2312" w:eastAsia="仿宋_GB2312" w:cs="仿宋_GB2312"/>
          <w:sz w:val="32"/>
          <w:szCs w:val="32"/>
          <w:shd w:val="clear" w:color="auto" w:fill="FFFFFF"/>
        </w:rPr>
        <w:t>（一）一般公共预算财政拨款支出决算总体情况</w:t>
      </w:r>
    </w:p>
    <w:p>
      <w:pPr>
        <w:pStyle w:val="10"/>
        <w:keepNext w:val="0"/>
        <w:keepLines w:val="0"/>
        <w:widowControl/>
        <w:suppressLineNumbers w:val="0"/>
        <w:ind w:left="0" w:right="75" w:firstLine="640" w:firstLineChars="200"/>
        <w:rPr>
          <w:rFonts w:hint="eastAsia" w:ascii="仿宋" w:hAnsi="仿宋" w:eastAsia="仿宋"/>
          <w:color w:val="000000"/>
          <w:sz w:val="32"/>
          <w:szCs w:val="32"/>
        </w:rPr>
      </w:pPr>
      <w:r>
        <w:rPr>
          <w:rFonts w:hint="eastAsia" w:ascii="仿宋" w:hAnsi="仿宋" w:eastAsia="仿宋"/>
          <w:color w:val="000000"/>
          <w:sz w:val="32"/>
          <w:szCs w:val="32"/>
          <w:lang w:val="en-US" w:eastAsia="zh-CN"/>
        </w:rPr>
        <w:t>2021</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966.44</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99.62</w:t>
      </w:r>
      <w:r>
        <w:rPr>
          <w:rFonts w:ascii="仿宋" w:hAnsi="仿宋" w:eastAsia="仿宋"/>
          <w:color w:val="000000"/>
          <w:sz w:val="32"/>
          <w:szCs w:val="32"/>
        </w:rPr>
        <w:t>%</w:t>
      </w:r>
      <w:r>
        <w:rPr>
          <w:rFonts w:hint="eastAsia" w:ascii="仿宋" w:hAnsi="仿宋" w:eastAsia="仿宋"/>
          <w:color w:val="000000"/>
          <w:sz w:val="32"/>
          <w:szCs w:val="32"/>
        </w:rPr>
        <w:t>。与2</w:t>
      </w:r>
      <w:r>
        <w:rPr>
          <w:rFonts w:hint="eastAsia" w:ascii="仿宋" w:hAnsi="仿宋" w:eastAsia="仿宋"/>
          <w:color w:val="000000"/>
          <w:sz w:val="32"/>
          <w:szCs w:val="32"/>
          <w:lang w:val="en-US" w:eastAsia="zh-CN"/>
        </w:rPr>
        <w:t>020</w:t>
      </w:r>
      <w:r>
        <w:rPr>
          <w:rFonts w:hint="eastAsia" w:ascii="仿宋" w:hAnsi="仿宋" w:eastAsia="仿宋"/>
          <w:color w:val="000000"/>
          <w:sz w:val="32"/>
          <w:szCs w:val="32"/>
        </w:rPr>
        <w:t>年相比，</w:t>
      </w:r>
      <w:r>
        <w:rPr>
          <w:rFonts w:hint="eastAsia" w:ascii="仿宋" w:hAnsi="仿宋" w:eastAsia="仿宋"/>
          <w:color w:val="000000"/>
          <w:sz w:val="32"/>
          <w:szCs w:val="32"/>
          <w:lang w:eastAsia="zh-CN"/>
        </w:rPr>
        <w:t>收入增加了</w:t>
      </w:r>
      <w:r>
        <w:rPr>
          <w:rFonts w:hint="eastAsia" w:ascii="仿宋" w:hAnsi="仿宋" w:eastAsia="仿宋"/>
          <w:color w:val="000000"/>
          <w:sz w:val="32"/>
          <w:szCs w:val="32"/>
          <w:lang w:val="en-US" w:eastAsia="zh-CN"/>
        </w:rPr>
        <w:t>253.76</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上升了</w:t>
      </w:r>
      <w:r>
        <w:rPr>
          <w:rFonts w:hint="eastAsia" w:ascii="仿宋" w:hAnsi="仿宋" w:eastAsia="仿宋"/>
          <w:color w:val="000000"/>
          <w:sz w:val="32"/>
          <w:szCs w:val="32"/>
          <w:lang w:val="en-US" w:eastAsia="zh-CN"/>
        </w:rPr>
        <w:t>35.60</w:t>
      </w:r>
      <w:r>
        <w:rPr>
          <w:rFonts w:hint="eastAsia" w:ascii="仿宋" w:hAnsi="仿宋" w:eastAsia="仿宋"/>
          <w:color w:val="000000"/>
          <w:sz w:val="32"/>
          <w:szCs w:val="32"/>
        </w:rPr>
        <w:t>%。</w:t>
      </w:r>
      <w:r>
        <w:rPr>
          <w:rFonts w:hint="eastAsia" w:ascii="仿宋" w:hAnsi="仿宋" w:eastAsia="仿宋"/>
          <w:color w:val="000000"/>
          <w:sz w:val="32"/>
          <w:szCs w:val="32"/>
          <w:lang w:eastAsia="zh-CN"/>
        </w:rPr>
        <w:t>增加主要原因：</w:t>
      </w:r>
      <w:r>
        <w:rPr>
          <w:rFonts w:hint="eastAsia" w:ascii="仿宋" w:hAnsi="仿宋" w:eastAsia="仿宋"/>
          <w:b/>
          <w:bCs/>
          <w:color w:val="000000"/>
          <w:sz w:val="32"/>
          <w:szCs w:val="32"/>
          <w:lang w:eastAsia="zh-CN"/>
        </w:rPr>
        <w:t>一是</w:t>
      </w:r>
      <w:r>
        <w:rPr>
          <w:rFonts w:hint="eastAsia" w:ascii="仿宋" w:hAnsi="仿宋" w:eastAsia="仿宋"/>
          <w:color w:val="000000"/>
          <w:sz w:val="32"/>
          <w:szCs w:val="32"/>
          <w:lang w:val="en-US" w:eastAsia="zh-CN"/>
        </w:rPr>
        <w:t>2021年11月我办根据州公车办批复，按照相关流程采购越野车一辆，购车款及税费64.4万元，2020年无该项目支出；</w:t>
      </w:r>
      <w:r>
        <w:rPr>
          <w:rFonts w:hint="eastAsia" w:ascii="仿宋" w:hAnsi="仿宋" w:eastAsia="仿宋"/>
          <w:b/>
          <w:bCs/>
          <w:color w:val="000000"/>
          <w:sz w:val="32"/>
          <w:szCs w:val="32"/>
          <w:lang w:val="en-US" w:eastAsia="zh-CN"/>
        </w:rPr>
        <w:t>二是</w:t>
      </w:r>
      <w:r>
        <w:rPr>
          <w:rFonts w:hint="eastAsia" w:ascii="仿宋" w:hAnsi="仿宋" w:eastAsia="仿宋"/>
          <w:color w:val="000000"/>
          <w:sz w:val="32"/>
          <w:szCs w:val="32"/>
          <w:lang w:val="en-US" w:eastAsia="zh-CN"/>
        </w:rPr>
        <w:t>21年发放的20年目标奖较20年发放19年目标奖高。</w:t>
      </w:r>
    </w:p>
    <w:p>
      <w:pPr>
        <w:spacing w:line="600" w:lineRule="exact"/>
        <w:rPr>
          <w:rFonts w:hint="eastAsia" w:ascii="仿宋" w:hAnsi="仿宋" w:eastAsia="仿宋"/>
          <w:color w:val="000000" w:themeColor="text1"/>
          <w:sz w:val="32"/>
          <w:szCs w:val="32"/>
          <w:lang w:eastAsia="zh-CN"/>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（图5：一般公共预算财政拨款支出决算变动情况）（柱状</w:t>
      </w:r>
      <w:r>
        <w:rPr>
          <w:rFonts w:hint="eastAsia" w:ascii="仿宋" w:hAnsi="仿宋" w:eastAsia="仿宋"/>
          <w:color w:val="000000" w:themeColor="text1"/>
          <w:sz w:val="32"/>
          <w:szCs w:val="32"/>
          <w:lang w:eastAsia="zh-CN"/>
          <w14:textFill>
            <w14:solidFill>
              <w14:schemeClr w14:val="tx1"/>
            </w14:solidFill>
          </w14:textFill>
        </w:rPr>
        <w:t>图）</w:t>
      </w:r>
    </w:p>
    <w:p>
      <w:pPr>
        <w:pStyle w:val="2"/>
        <w:rPr>
          <w:rFonts w:hint="eastAsia" w:ascii="仿宋" w:hAnsi="仿宋" w:eastAsia="仿宋"/>
          <w:color w:val="000000" w:themeColor="text1"/>
          <w:sz w:val="32"/>
          <w:szCs w:val="32"/>
          <w:lang w:eastAsia="zh-CN"/>
          <w14:textFill>
            <w14:solidFill>
              <w14:schemeClr w14:val="tx1"/>
            </w14:solidFill>
          </w14:textFill>
        </w:rPr>
      </w:pPr>
      <w:r>
        <w:rPr>
          <w:rFonts w:hint="eastAsia" w:ascii="仿宋" w:hAnsi="仿宋" w:eastAsia="仿宋"/>
          <w:color w:val="000000" w:themeColor="text1"/>
          <w:sz w:val="32"/>
          <w:szCs w:val="32"/>
          <w:lang w:eastAsia="zh-CN"/>
          <w14:textFill>
            <w14:solidFill>
              <w14:schemeClr w14:val="tx1"/>
            </w14:solidFill>
          </w14:textFill>
        </w:rPr>
        <w:drawing>
          <wp:inline distT="0" distB="0" distL="114300" distR="114300">
            <wp:extent cx="5080000" cy="2581275"/>
            <wp:effectExtent l="4445" t="4445" r="20955" b="508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pStyle w:val="10"/>
        <w:keepNext w:val="0"/>
        <w:keepLines w:val="0"/>
        <w:widowControl/>
        <w:numPr>
          <w:ilvl w:val="0"/>
          <w:numId w:val="2"/>
        </w:numPr>
        <w:suppressLineNumbers w:val="0"/>
        <w:ind w:left="0" w:right="75"/>
        <w:rPr>
          <w:rStyle w:val="13"/>
          <w:rFonts w:hint="eastAsia" w:ascii="仿宋_GB2312" w:hAnsi="仿宋_GB2312" w:eastAsia="仿宋_GB2312" w:cs="仿宋_GB2312"/>
          <w:sz w:val="32"/>
          <w:szCs w:val="32"/>
          <w:shd w:val="clear" w:color="auto" w:fill="FFFFFF"/>
        </w:rPr>
      </w:pPr>
      <w:r>
        <w:rPr>
          <w:rStyle w:val="13"/>
          <w:rFonts w:hint="eastAsia" w:ascii="仿宋_GB2312" w:hAnsi="仿宋_GB2312" w:eastAsia="仿宋_GB2312" w:cs="仿宋_GB2312"/>
          <w:sz w:val="32"/>
          <w:szCs w:val="32"/>
          <w:shd w:val="clear" w:color="auto" w:fill="FFFFFF"/>
        </w:rPr>
        <w:t>一般公共预算财政拨款支出决算结构情况</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0" w:afterAutospacing="0"/>
        <w:ind w:left="0" w:right="76" w:firstLine="640" w:firstLineChars="200"/>
        <w:jc w:val="left"/>
        <w:rPr>
          <w:rStyle w:val="13"/>
          <w:rFonts w:hint="default" w:ascii="仿宋" w:hAnsi="仿宋" w:eastAsia="仿宋" w:cs="Times New Roman"/>
          <w:b w:val="0"/>
          <w:bCs/>
          <w:color w:val="000000"/>
          <w:kern w:val="2"/>
          <w:sz w:val="32"/>
          <w:szCs w:val="32"/>
          <w:shd w:val="clear"/>
          <w:lang w:val="en-US" w:eastAsia="zh-CN" w:bidi="ar-SA"/>
        </w:rPr>
      </w:pPr>
      <w:r>
        <w:rPr>
          <w:rStyle w:val="13"/>
          <w:rFonts w:hint="default" w:ascii="仿宋" w:hAnsi="仿宋" w:eastAsia="仿宋" w:cs="Times New Roman"/>
          <w:b w:val="0"/>
          <w:bCs/>
          <w:color w:val="000000"/>
          <w:kern w:val="2"/>
          <w:sz w:val="32"/>
          <w:szCs w:val="32"/>
          <w:shd w:val="clear"/>
          <w:lang w:val="en-US" w:eastAsia="zh-CN" w:bidi="ar-SA"/>
        </w:rPr>
        <w:t>2021年一般公共预算财政拨款支出966.44万元，主要用于以下方面:一般公共服务（类）支出800.05万元，占82.78%；社会保障和就业（类）支出80.64万元，占8.34%；卫生健康支出34.50万元，占3.5</w:t>
      </w:r>
      <w:r>
        <w:rPr>
          <w:rStyle w:val="13"/>
          <w:rFonts w:hint="eastAsia" w:ascii="仿宋" w:hAnsi="仿宋" w:eastAsia="仿宋" w:cs="Times New Roman"/>
          <w:b w:val="0"/>
          <w:bCs/>
          <w:color w:val="000000"/>
          <w:kern w:val="2"/>
          <w:sz w:val="32"/>
          <w:szCs w:val="32"/>
          <w:shd w:val="clear"/>
          <w:lang w:val="en-US" w:eastAsia="zh-CN" w:bidi="ar-SA"/>
        </w:rPr>
        <w:t>8</w:t>
      </w:r>
      <w:r>
        <w:rPr>
          <w:rStyle w:val="13"/>
          <w:rFonts w:hint="default" w:ascii="仿宋" w:hAnsi="仿宋" w:eastAsia="仿宋" w:cs="Times New Roman"/>
          <w:b w:val="0"/>
          <w:bCs/>
          <w:color w:val="000000"/>
          <w:kern w:val="2"/>
          <w:sz w:val="32"/>
          <w:szCs w:val="32"/>
          <w:shd w:val="clear"/>
          <w:lang w:val="en-US" w:eastAsia="zh-CN" w:bidi="ar-SA"/>
        </w:rPr>
        <w:t>%；住房保障支出51.25万元，占5.30%。</w:t>
      </w:r>
    </w:p>
    <w:p>
      <w:pPr>
        <w:pStyle w:val="10"/>
        <w:keepNext w:val="0"/>
        <w:keepLines w:val="0"/>
        <w:widowControl/>
        <w:numPr>
          <w:ilvl w:val="0"/>
          <w:numId w:val="0"/>
        </w:numPr>
        <w:suppressLineNumbers w:val="0"/>
        <w:ind w:right="75" w:rightChars="0"/>
        <w:rPr>
          <w:rStyle w:val="13"/>
          <w:rFonts w:hint="eastAsia" w:ascii="仿宋_GB2312" w:hAnsi="仿宋_GB2312" w:eastAsia="仿宋" w:cs="仿宋_GB2312"/>
          <w:sz w:val="32"/>
          <w:szCs w:val="32"/>
          <w:shd w:val="clear" w:color="auto" w:fill="FFFFFF"/>
          <w:lang w:eastAsia="zh-CN"/>
        </w:rPr>
      </w:pPr>
      <w:r>
        <w:rPr>
          <w:rFonts w:hint="eastAsia" w:ascii="仿宋" w:hAnsi="仿宋" w:eastAsia="仿宋"/>
          <w:color w:val="000000"/>
          <w:sz w:val="32"/>
          <w:szCs w:val="32"/>
          <w:lang w:eastAsia="zh-CN"/>
        </w:rPr>
        <w:drawing>
          <wp:anchor distT="0" distB="0" distL="114300" distR="114300" simplePos="0" relativeHeight="251663360" behindDoc="1" locked="0" layoutInCell="1" allowOverlap="1">
            <wp:simplePos x="0" y="0"/>
            <wp:positionH relativeFrom="column">
              <wp:posOffset>344170</wp:posOffset>
            </wp:positionH>
            <wp:positionV relativeFrom="paragraph">
              <wp:posOffset>627380</wp:posOffset>
            </wp:positionV>
            <wp:extent cx="4765040" cy="2182495"/>
            <wp:effectExtent l="4445" t="4445" r="12065" b="22860"/>
            <wp:wrapTight wrapText="bothSides">
              <wp:wrapPolygon>
                <wp:start x="-20" y="-44"/>
                <wp:lineTo x="-20" y="21449"/>
                <wp:lineTo x="21568" y="21449"/>
                <wp:lineTo x="21568" y="-44"/>
                <wp:lineTo x="-20" y="-44"/>
              </wp:wrapPolygon>
            </wp:wrapTight>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hint="eastAsia" w:ascii="仿宋" w:hAnsi="仿宋" w:eastAsia="仿宋"/>
          <w:color w:val="000000"/>
          <w:sz w:val="32"/>
          <w:szCs w:val="32"/>
        </w:rPr>
        <w:t>（图6：一般公共预算财政拨款支出决算结构</w:t>
      </w:r>
      <w:r>
        <w:rPr>
          <w:rFonts w:hint="eastAsia" w:ascii="仿宋" w:hAnsi="仿宋" w:eastAsia="仿宋"/>
          <w:color w:val="000000"/>
          <w:sz w:val="32"/>
          <w:szCs w:val="32"/>
          <w:lang w:eastAsia="zh-CN"/>
        </w:rPr>
        <w:t>图</w:t>
      </w:r>
      <w:r>
        <w:rPr>
          <w:rFonts w:hint="eastAsia" w:ascii="仿宋" w:hAnsi="仿宋" w:eastAsia="仿宋"/>
          <w:color w:val="000000"/>
          <w:sz w:val="32"/>
          <w:szCs w:val="32"/>
        </w:rPr>
        <w:t>（饼状</w:t>
      </w:r>
      <w:r>
        <w:rPr>
          <w:rFonts w:hint="eastAsia" w:ascii="仿宋" w:hAnsi="仿宋" w:eastAsia="仿宋"/>
          <w:color w:val="000000"/>
          <w:sz w:val="32"/>
          <w:szCs w:val="32"/>
          <w:lang w:eastAsia="zh-CN"/>
        </w:rPr>
        <w:t>图）</w:t>
      </w:r>
    </w:p>
    <w:p>
      <w:pPr>
        <w:pStyle w:val="10"/>
        <w:keepNext w:val="0"/>
        <w:keepLines w:val="0"/>
        <w:widowControl/>
        <w:numPr>
          <w:ilvl w:val="0"/>
          <w:numId w:val="2"/>
        </w:numPr>
        <w:suppressLineNumbers w:val="0"/>
        <w:ind w:left="0" w:leftChars="0" w:right="75" w:firstLine="0" w:firstLineChars="0"/>
        <w:rPr>
          <w:rStyle w:val="13"/>
          <w:rFonts w:hint="eastAsia" w:ascii="仿宋_GB2312" w:hAnsi="仿宋_GB2312" w:eastAsia="仿宋_GB2312" w:cs="仿宋_GB2312"/>
          <w:sz w:val="32"/>
          <w:szCs w:val="32"/>
          <w:shd w:val="clear" w:color="auto" w:fill="FFFFFF"/>
        </w:rPr>
      </w:pPr>
      <w:r>
        <w:rPr>
          <w:rStyle w:val="13"/>
          <w:rFonts w:hint="eastAsia" w:ascii="仿宋_GB2312" w:hAnsi="仿宋_GB2312" w:eastAsia="仿宋_GB2312" w:cs="仿宋_GB2312"/>
          <w:sz w:val="32"/>
          <w:szCs w:val="32"/>
          <w:shd w:val="clear" w:color="auto" w:fill="FFFFFF"/>
        </w:rPr>
        <w:t>一般公共预算财政拨款支出决算具体情况</w:t>
      </w:r>
    </w:p>
    <w:p>
      <w:pPr>
        <w:spacing w:line="600" w:lineRule="exact"/>
        <w:ind w:firstLine="643" w:firstLineChars="200"/>
        <w:outlineLvl w:val="9"/>
        <w:rPr>
          <w:rFonts w:ascii="仿宋" w:hAnsi="仿宋" w:eastAsia="仿宋"/>
          <w:color w:val="FF0000"/>
          <w:sz w:val="32"/>
          <w:szCs w:val="32"/>
        </w:rPr>
      </w:pPr>
      <w:bookmarkStart w:id="9" w:name="_Toc15377213"/>
      <w:bookmarkStart w:id="10" w:name="_Toc15378460"/>
      <w:bookmarkStart w:id="11" w:name="_Toc15377444"/>
      <w:r>
        <w:rPr>
          <w:rFonts w:hint="eastAsia" w:ascii="仿宋" w:hAnsi="仿宋" w:eastAsia="仿宋"/>
          <w:b/>
          <w:color w:val="000000" w:themeColor="text1"/>
          <w:sz w:val="32"/>
          <w:szCs w:val="32"/>
          <w14:textFill>
            <w14:solidFill>
              <w14:schemeClr w14:val="tx1"/>
            </w14:solidFill>
          </w14:textFill>
        </w:rPr>
        <w:t>20</w:t>
      </w:r>
      <w:r>
        <w:rPr>
          <w:rFonts w:hint="eastAsia" w:ascii="仿宋" w:hAnsi="仿宋" w:eastAsia="仿宋"/>
          <w:b/>
          <w:color w:val="000000" w:themeColor="text1"/>
          <w:sz w:val="32"/>
          <w:szCs w:val="32"/>
          <w:lang w:val="en-US" w:eastAsia="zh-CN"/>
          <w14:textFill>
            <w14:solidFill>
              <w14:schemeClr w14:val="tx1"/>
            </w14:solidFill>
          </w14:textFill>
        </w:rPr>
        <w:t>21</w:t>
      </w:r>
      <w:r>
        <w:rPr>
          <w:rFonts w:hint="eastAsia" w:ascii="仿宋" w:hAnsi="仿宋" w:eastAsia="仿宋"/>
          <w:b/>
          <w:color w:val="000000" w:themeColor="text1"/>
          <w:sz w:val="32"/>
          <w:szCs w:val="32"/>
          <w14:textFill>
            <w14:solidFill>
              <w14:schemeClr w14:val="tx1"/>
            </w14:solidFill>
          </w14:textFill>
        </w:rPr>
        <w:t>年</w:t>
      </w:r>
      <w:r>
        <w:rPr>
          <w:rFonts w:hint="eastAsia" w:ascii="仿宋" w:hAnsi="仿宋" w:eastAsia="仿宋"/>
          <w:b/>
          <w:color w:val="000000" w:themeColor="text1"/>
          <w:sz w:val="32"/>
          <w:szCs w:val="32"/>
          <w:lang w:eastAsia="zh-CN"/>
          <w14:textFill>
            <w14:solidFill>
              <w14:schemeClr w14:val="tx1"/>
            </w14:solidFill>
          </w14:textFill>
        </w:rPr>
        <w:t>一</w:t>
      </w:r>
      <w:r>
        <w:rPr>
          <w:rFonts w:hint="eastAsia" w:ascii="仿宋" w:hAnsi="仿宋" w:eastAsia="仿宋"/>
          <w:b/>
          <w:color w:val="000000" w:themeColor="text1"/>
          <w:sz w:val="32"/>
          <w:szCs w:val="32"/>
          <w14:textFill>
            <w14:solidFill>
              <w14:schemeClr w14:val="tx1"/>
            </w14:solidFill>
          </w14:textFill>
        </w:rPr>
        <w:t>般公共预算支出决算数为</w:t>
      </w:r>
      <w:r>
        <w:rPr>
          <w:rFonts w:hint="eastAsia" w:ascii="仿宋" w:hAnsi="仿宋" w:eastAsia="仿宋"/>
          <w:b/>
          <w:color w:val="000000" w:themeColor="text1"/>
          <w:sz w:val="32"/>
          <w:szCs w:val="32"/>
          <w:lang w:val="en-US" w:eastAsia="zh-CN"/>
          <w14:textFill>
            <w14:solidFill>
              <w14:schemeClr w14:val="tx1"/>
            </w14:solidFill>
          </w14:textFill>
        </w:rPr>
        <w:t>966.44</w:t>
      </w:r>
      <w:r>
        <w:rPr>
          <w:rFonts w:hint="eastAsia" w:ascii="仿宋" w:hAnsi="仿宋" w:eastAsia="仿宋"/>
          <w:b/>
          <w:color w:val="000000" w:themeColor="text1"/>
          <w:sz w:val="32"/>
          <w:szCs w:val="32"/>
          <w:lang w:eastAsia="zh-CN"/>
          <w14:textFill>
            <w14:solidFill>
              <w14:schemeClr w14:val="tx1"/>
            </w14:solidFill>
          </w14:textFill>
        </w:rPr>
        <w:t>万元</w:t>
      </w:r>
      <w:r>
        <w:rPr>
          <w:rFonts w:hint="eastAsia" w:ascii="仿宋" w:hAnsi="仿宋" w:eastAsia="仿宋"/>
          <w:color w:val="000000" w:themeColor="text1"/>
          <w:sz w:val="32"/>
          <w:szCs w:val="32"/>
          <w14:textFill>
            <w14:solidFill>
              <w14:schemeClr w14:val="tx1"/>
            </w14:solidFill>
          </w14:textFill>
        </w:rPr>
        <w:t>，</w:t>
      </w:r>
      <w:r>
        <w:rPr>
          <w:rStyle w:val="13"/>
          <w:rFonts w:hint="eastAsia" w:ascii="仿宋" w:hAnsi="仿宋" w:eastAsia="仿宋"/>
          <w:bCs/>
          <w:color w:val="000000" w:themeColor="text1"/>
          <w:sz w:val="32"/>
          <w:szCs w:val="32"/>
          <w14:textFill>
            <w14:solidFill>
              <w14:schemeClr w14:val="tx1"/>
            </w14:solidFill>
          </w14:textFill>
        </w:rPr>
        <w:t>完成</w:t>
      </w:r>
      <w:r>
        <w:rPr>
          <w:rStyle w:val="13"/>
          <w:rFonts w:hint="eastAsia" w:ascii="仿宋" w:hAnsi="仿宋" w:eastAsia="仿宋"/>
          <w:bCs/>
          <w:color w:val="000000"/>
          <w:sz w:val="32"/>
          <w:szCs w:val="32"/>
        </w:rPr>
        <w:t>预算</w:t>
      </w:r>
      <w:r>
        <w:rPr>
          <w:rStyle w:val="13"/>
          <w:rFonts w:hint="eastAsia" w:ascii="仿宋" w:hAnsi="仿宋" w:eastAsia="仿宋"/>
          <w:bCs/>
          <w:color w:val="000000"/>
          <w:sz w:val="32"/>
          <w:szCs w:val="32"/>
          <w:lang w:val="en-US" w:eastAsia="zh-CN"/>
        </w:rPr>
        <w:t>100</w:t>
      </w:r>
      <w:r>
        <w:rPr>
          <w:rStyle w:val="13"/>
          <w:rFonts w:ascii="仿宋" w:hAnsi="仿宋" w:eastAsia="仿宋"/>
          <w:bCs/>
          <w:color w:val="000000"/>
          <w:sz w:val="32"/>
          <w:szCs w:val="32"/>
        </w:rPr>
        <w:t>%</w:t>
      </w:r>
      <w:r>
        <w:rPr>
          <w:rStyle w:val="13"/>
          <w:rFonts w:hint="eastAsia" w:ascii="仿宋" w:hAnsi="仿宋" w:eastAsia="仿宋"/>
          <w:bCs/>
          <w:color w:val="000000"/>
          <w:sz w:val="32"/>
          <w:szCs w:val="32"/>
        </w:rPr>
        <w:t>。其中：</w:t>
      </w:r>
      <w:bookmarkEnd w:id="9"/>
      <w:bookmarkEnd w:id="10"/>
      <w:bookmarkEnd w:id="11"/>
    </w:p>
    <w:p>
      <w:pPr>
        <w:numPr>
          <w:ilvl w:val="0"/>
          <w:numId w:val="3"/>
        </w:numPr>
        <w:spacing w:line="600" w:lineRule="exact"/>
        <w:ind w:left="0" w:leftChars="0" w:firstLine="643" w:firstLineChars="200"/>
        <w:rPr>
          <w:rFonts w:ascii="仿宋" w:hAnsi="仿宋" w:eastAsia="仿宋"/>
          <w:b/>
          <w:color w:val="000000"/>
          <w:sz w:val="32"/>
          <w:szCs w:val="32"/>
        </w:rPr>
      </w:pPr>
      <w:r>
        <w:rPr>
          <w:rStyle w:val="13"/>
          <w:rFonts w:hint="eastAsia" w:ascii="仿宋" w:hAnsi="仿宋" w:eastAsia="仿宋"/>
          <w:bCs/>
          <w:color w:val="000000"/>
          <w:sz w:val="32"/>
          <w:szCs w:val="32"/>
        </w:rPr>
        <w:t>一般公共服务</w:t>
      </w:r>
      <w:r>
        <w:rPr>
          <w:rStyle w:val="13"/>
          <w:rFonts w:ascii="仿宋" w:hAnsi="仿宋" w:eastAsia="仿宋"/>
          <w:bCs/>
          <w:color w:val="000000"/>
          <w:sz w:val="32"/>
          <w:szCs w:val="32"/>
        </w:rPr>
        <w:t>:</w:t>
      </w:r>
      <w:r>
        <w:rPr>
          <w:rStyle w:val="13"/>
          <w:rFonts w:ascii="仿宋" w:hAnsi="仿宋" w:eastAsia="仿宋"/>
          <w:b w:val="0"/>
          <w:bCs/>
          <w:color w:val="000000"/>
          <w:sz w:val="32"/>
          <w:szCs w:val="32"/>
        </w:rPr>
        <w:t xml:space="preserve"> </w:t>
      </w:r>
      <w:r>
        <w:rPr>
          <w:rStyle w:val="13"/>
          <w:rFonts w:hint="eastAsia" w:ascii="仿宋" w:hAnsi="仿宋" w:eastAsia="仿宋"/>
          <w:b w:val="0"/>
          <w:bCs/>
          <w:color w:val="000000"/>
          <w:sz w:val="32"/>
          <w:szCs w:val="32"/>
        </w:rPr>
        <w:t>2010101</w:t>
      </w:r>
      <w:r>
        <w:rPr>
          <w:rStyle w:val="13"/>
          <w:rFonts w:hint="eastAsia" w:ascii="仿宋" w:hAnsi="仿宋" w:eastAsia="仿宋"/>
          <w:b w:val="0"/>
          <w:bCs/>
          <w:color w:val="000000"/>
          <w:sz w:val="32"/>
          <w:szCs w:val="32"/>
          <w:lang w:val="en-US" w:eastAsia="zh-CN"/>
        </w:rPr>
        <w:t>-</w:t>
      </w:r>
      <w:r>
        <w:rPr>
          <w:rStyle w:val="13"/>
          <w:rFonts w:hint="eastAsia" w:ascii="仿宋" w:hAnsi="仿宋" w:eastAsia="仿宋"/>
          <w:b w:val="0"/>
          <w:bCs/>
          <w:color w:val="000000"/>
          <w:sz w:val="32"/>
          <w:szCs w:val="32"/>
        </w:rPr>
        <w:t>行政运行支出决算为</w:t>
      </w:r>
      <w:r>
        <w:rPr>
          <w:rStyle w:val="13"/>
          <w:rFonts w:hint="eastAsia" w:ascii="仿宋" w:hAnsi="仿宋" w:eastAsia="仿宋"/>
          <w:b w:val="0"/>
          <w:bCs/>
          <w:color w:val="000000"/>
          <w:sz w:val="32"/>
          <w:szCs w:val="32"/>
          <w:lang w:val="en-US" w:eastAsia="zh-CN"/>
        </w:rPr>
        <w:t>649.07</w:t>
      </w:r>
      <w:r>
        <w:rPr>
          <w:rStyle w:val="13"/>
          <w:rFonts w:hint="eastAsia" w:ascii="仿宋" w:hAnsi="仿宋" w:eastAsia="仿宋"/>
          <w:b w:val="0"/>
          <w:bCs/>
          <w:color w:val="000000"/>
          <w:sz w:val="32"/>
          <w:szCs w:val="32"/>
        </w:rPr>
        <w:t>万元，完成预算</w:t>
      </w:r>
      <w:r>
        <w:rPr>
          <w:rStyle w:val="13"/>
          <w:rFonts w:hint="eastAsia" w:ascii="仿宋" w:hAnsi="仿宋" w:eastAsia="仿宋"/>
          <w:b w:val="0"/>
          <w:bCs/>
          <w:color w:val="000000"/>
          <w:sz w:val="32"/>
          <w:szCs w:val="32"/>
          <w:lang w:val="en-US" w:eastAsia="zh-CN"/>
        </w:rPr>
        <w:t>100</w:t>
      </w:r>
      <w:r>
        <w:rPr>
          <w:rStyle w:val="13"/>
          <w:rFonts w:ascii="仿宋" w:hAnsi="仿宋" w:eastAsia="仿宋"/>
          <w:b w:val="0"/>
          <w:bCs/>
          <w:color w:val="000000"/>
          <w:sz w:val="32"/>
          <w:szCs w:val="32"/>
        </w:rPr>
        <w:t>%</w:t>
      </w:r>
      <w:r>
        <w:rPr>
          <w:rStyle w:val="13"/>
          <w:rFonts w:hint="eastAsia" w:ascii="仿宋" w:hAnsi="仿宋" w:eastAsia="仿宋"/>
          <w:b w:val="0"/>
          <w:bCs/>
          <w:color w:val="000000"/>
          <w:sz w:val="32"/>
          <w:szCs w:val="32"/>
          <w:lang w:eastAsia="zh-CN"/>
        </w:rPr>
        <w:t>，主要用于开支日常公用经费及人员经费；2010102</w:t>
      </w:r>
      <w:r>
        <w:rPr>
          <w:rStyle w:val="13"/>
          <w:rFonts w:hint="eastAsia" w:ascii="仿宋" w:hAnsi="仿宋" w:eastAsia="仿宋"/>
          <w:b w:val="0"/>
          <w:bCs/>
          <w:color w:val="000000"/>
          <w:sz w:val="32"/>
          <w:szCs w:val="32"/>
          <w:lang w:val="en-US" w:eastAsia="zh-CN"/>
        </w:rPr>
        <w:t>-</w:t>
      </w:r>
      <w:r>
        <w:rPr>
          <w:rStyle w:val="13"/>
          <w:rFonts w:hint="eastAsia" w:ascii="仿宋" w:hAnsi="仿宋" w:eastAsia="仿宋"/>
          <w:b w:val="0"/>
          <w:bCs/>
          <w:color w:val="000000"/>
          <w:sz w:val="32"/>
          <w:szCs w:val="32"/>
          <w:lang w:eastAsia="zh-CN"/>
        </w:rPr>
        <w:t>一般行政管理事务</w:t>
      </w:r>
      <w:r>
        <w:rPr>
          <w:rStyle w:val="13"/>
          <w:rFonts w:hint="eastAsia" w:ascii="仿宋" w:hAnsi="仿宋" w:eastAsia="仿宋"/>
          <w:b w:val="0"/>
          <w:bCs/>
          <w:color w:val="000000"/>
          <w:sz w:val="32"/>
          <w:szCs w:val="32"/>
        </w:rPr>
        <w:t>支出决算为</w:t>
      </w:r>
      <w:r>
        <w:rPr>
          <w:rStyle w:val="13"/>
          <w:rFonts w:hint="eastAsia" w:ascii="仿宋" w:hAnsi="仿宋" w:eastAsia="仿宋"/>
          <w:b w:val="0"/>
          <w:bCs/>
          <w:color w:val="000000"/>
          <w:sz w:val="32"/>
          <w:szCs w:val="32"/>
          <w:lang w:val="en-US" w:eastAsia="zh-CN"/>
        </w:rPr>
        <w:t>84.31</w:t>
      </w:r>
      <w:r>
        <w:rPr>
          <w:rStyle w:val="13"/>
          <w:rFonts w:hint="eastAsia" w:ascii="仿宋" w:hAnsi="仿宋" w:eastAsia="仿宋"/>
          <w:b w:val="0"/>
          <w:bCs/>
          <w:color w:val="000000"/>
          <w:sz w:val="32"/>
          <w:szCs w:val="32"/>
        </w:rPr>
        <w:t>万元，完成预算</w:t>
      </w:r>
      <w:r>
        <w:rPr>
          <w:rStyle w:val="13"/>
          <w:rFonts w:hint="eastAsia" w:ascii="仿宋" w:hAnsi="仿宋" w:eastAsia="仿宋"/>
          <w:b w:val="0"/>
          <w:bCs/>
          <w:color w:val="000000"/>
          <w:sz w:val="32"/>
          <w:szCs w:val="32"/>
          <w:lang w:val="en-US" w:eastAsia="zh-CN"/>
        </w:rPr>
        <w:t>100</w:t>
      </w:r>
      <w:r>
        <w:rPr>
          <w:rStyle w:val="13"/>
          <w:rFonts w:ascii="仿宋" w:hAnsi="仿宋" w:eastAsia="仿宋"/>
          <w:b w:val="0"/>
          <w:bCs/>
          <w:color w:val="000000"/>
          <w:sz w:val="32"/>
          <w:szCs w:val="32"/>
        </w:rPr>
        <w:t>%</w:t>
      </w:r>
      <w:r>
        <w:rPr>
          <w:rStyle w:val="13"/>
          <w:rFonts w:hint="eastAsia" w:ascii="仿宋" w:hAnsi="仿宋" w:eastAsia="仿宋"/>
          <w:b w:val="0"/>
          <w:bCs/>
          <w:color w:val="000000"/>
          <w:sz w:val="32"/>
          <w:szCs w:val="32"/>
          <w:lang w:eastAsia="zh-CN"/>
        </w:rPr>
        <w:t>，主要用于专项公用经费；2010104</w:t>
      </w:r>
      <w:r>
        <w:rPr>
          <w:rStyle w:val="13"/>
          <w:rFonts w:hint="eastAsia" w:ascii="仿宋" w:hAnsi="仿宋" w:eastAsia="仿宋"/>
          <w:b w:val="0"/>
          <w:bCs/>
          <w:color w:val="000000"/>
          <w:sz w:val="32"/>
          <w:szCs w:val="32"/>
          <w:lang w:eastAsia="zh-CN"/>
        </w:rPr>
        <w:tab/>
      </w:r>
      <w:r>
        <w:rPr>
          <w:rStyle w:val="13"/>
          <w:rFonts w:hint="eastAsia" w:ascii="仿宋" w:hAnsi="仿宋" w:eastAsia="仿宋"/>
          <w:b w:val="0"/>
          <w:bCs/>
          <w:color w:val="000000"/>
          <w:sz w:val="32"/>
          <w:szCs w:val="32"/>
          <w:lang w:val="en-US" w:eastAsia="zh-CN"/>
        </w:rPr>
        <w:t>-</w:t>
      </w:r>
      <w:r>
        <w:rPr>
          <w:rStyle w:val="13"/>
          <w:rFonts w:hint="eastAsia" w:ascii="仿宋" w:hAnsi="仿宋" w:eastAsia="仿宋"/>
          <w:b w:val="0"/>
          <w:bCs/>
          <w:color w:val="000000"/>
          <w:sz w:val="32"/>
          <w:szCs w:val="32"/>
          <w:lang w:eastAsia="zh-CN"/>
        </w:rPr>
        <w:t>人大会议</w:t>
      </w:r>
      <w:r>
        <w:rPr>
          <w:rStyle w:val="13"/>
          <w:rFonts w:hint="eastAsia" w:ascii="仿宋" w:hAnsi="仿宋" w:eastAsia="仿宋"/>
          <w:b w:val="0"/>
          <w:bCs/>
          <w:color w:val="000000"/>
          <w:sz w:val="32"/>
          <w:szCs w:val="32"/>
        </w:rPr>
        <w:t>支出决算为</w:t>
      </w:r>
      <w:r>
        <w:rPr>
          <w:rStyle w:val="13"/>
          <w:rFonts w:hint="eastAsia" w:ascii="仿宋" w:hAnsi="仿宋" w:eastAsia="仿宋"/>
          <w:b w:val="0"/>
          <w:bCs/>
          <w:color w:val="000000"/>
          <w:sz w:val="32"/>
          <w:szCs w:val="32"/>
          <w:lang w:val="en-US" w:eastAsia="zh-CN"/>
        </w:rPr>
        <w:t>29.83</w:t>
      </w:r>
      <w:r>
        <w:rPr>
          <w:rStyle w:val="13"/>
          <w:rFonts w:hint="eastAsia" w:ascii="仿宋" w:hAnsi="仿宋" w:eastAsia="仿宋"/>
          <w:b w:val="0"/>
          <w:bCs/>
          <w:color w:val="000000"/>
          <w:sz w:val="32"/>
          <w:szCs w:val="32"/>
        </w:rPr>
        <w:t>万元，完成预算</w:t>
      </w:r>
      <w:r>
        <w:rPr>
          <w:rStyle w:val="13"/>
          <w:rFonts w:hint="eastAsia" w:ascii="仿宋" w:hAnsi="仿宋" w:eastAsia="仿宋"/>
          <w:b w:val="0"/>
          <w:bCs/>
          <w:color w:val="000000"/>
          <w:sz w:val="32"/>
          <w:szCs w:val="32"/>
          <w:lang w:val="en-US" w:eastAsia="zh-CN"/>
        </w:rPr>
        <w:t>100</w:t>
      </w:r>
      <w:r>
        <w:rPr>
          <w:rStyle w:val="13"/>
          <w:rFonts w:ascii="仿宋" w:hAnsi="仿宋" w:eastAsia="仿宋"/>
          <w:b w:val="0"/>
          <w:bCs/>
          <w:color w:val="000000"/>
          <w:sz w:val="32"/>
          <w:szCs w:val="32"/>
        </w:rPr>
        <w:t>%</w:t>
      </w:r>
      <w:r>
        <w:rPr>
          <w:rStyle w:val="13"/>
          <w:rFonts w:hint="eastAsia" w:ascii="仿宋" w:hAnsi="仿宋" w:eastAsia="仿宋"/>
          <w:b w:val="0"/>
          <w:bCs/>
          <w:color w:val="000000"/>
          <w:sz w:val="32"/>
          <w:szCs w:val="32"/>
          <w:lang w:eastAsia="zh-CN"/>
        </w:rPr>
        <w:t>，主要用于召开人代会相关印刷费，办公费等；2010107</w:t>
      </w:r>
      <w:r>
        <w:rPr>
          <w:rStyle w:val="13"/>
          <w:rFonts w:hint="eastAsia" w:ascii="仿宋" w:hAnsi="仿宋" w:eastAsia="仿宋"/>
          <w:b w:val="0"/>
          <w:bCs/>
          <w:color w:val="000000"/>
          <w:sz w:val="32"/>
          <w:szCs w:val="32"/>
          <w:lang w:val="en-US" w:eastAsia="zh-CN"/>
        </w:rPr>
        <w:t>-</w:t>
      </w:r>
      <w:r>
        <w:rPr>
          <w:rStyle w:val="13"/>
          <w:rFonts w:hint="eastAsia" w:ascii="仿宋" w:hAnsi="仿宋" w:eastAsia="仿宋"/>
          <w:b w:val="0"/>
          <w:bCs/>
          <w:color w:val="000000"/>
          <w:sz w:val="32"/>
          <w:szCs w:val="32"/>
          <w:lang w:eastAsia="zh-CN"/>
        </w:rPr>
        <w:t>人大代表履职能力提升</w:t>
      </w:r>
      <w:r>
        <w:rPr>
          <w:rStyle w:val="13"/>
          <w:rFonts w:hint="eastAsia" w:ascii="仿宋" w:hAnsi="仿宋" w:eastAsia="仿宋"/>
          <w:b w:val="0"/>
          <w:bCs/>
          <w:color w:val="000000"/>
          <w:sz w:val="32"/>
          <w:szCs w:val="32"/>
        </w:rPr>
        <w:t>支出决算为</w:t>
      </w:r>
      <w:r>
        <w:rPr>
          <w:rStyle w:val="13"/>
          <w:rFonts w:hint="eastAsia" w:ascii="仿宋" w:hAnsi="仿宋" w:eastAsia="仿宋"/>
          <w:b w:val="0"/>
          <w:bCs/>
          <w:color w:val="000000"/>
          <w:sz w:val="32"/>
          <w:szCs w:val="32"/>
          <w:lang w:val="en-US" w:eastAsia="zh-CN"/>
        </w:rPr>
        <w:t>36.84</w:t>
      </w:r>
      <w:r>
        <w:rPr>
          <w:rStyle w:val="13"/>
          <w:rFonts w:hint="eastAsia" w:ascii="仿宋" w:hAnsi="仿宋" w:eastAsia="仿宋"/>
          <w:b w:val="0"/>
          <w:bCs/>
          <w:color w:val="000000"/>
          <w:sz w:val="32"/>
          <w:szCs w:val="32"/>
        </w:rPr>
        <w:t>万元，完成预算</w:t>
      </w:r>
      <w:r>
        <w:rPr>
          <w:rStyle w:val="13"/>
          <w:rFonts w:hint="eastAsia" w:ascii="仿宋" w:hAnsi="仿宋" w:eastAsia="仿宋"/>
          <w:b w:val="0"/>
          <w:bCs/>
          <w:color w:val="000000"/>
          <w:sz w:val="32"/>
          <w:szCs w:val="32"/>
          <w:lang w:val="en-US" w:eastAsia="zh-CN"/>
        </w:rPr>
        <w:t>100</w:t>
      </w:r>
      <w:r>
        <w:rPr>
          <w:rStyle w:val="13"/>
          <w:rFonts w:ascii="仿宋" w:hAnsi="仿宋" w:eastAsia="仿宋"/>
          <w:b w:val="0"/>
          <w:bCs/>
          <w:color w:val="000000"/>
          <w:sz w:val="32"/>
          <w:szCs w:val="32"/>
        </w:rPr>
        <w:t>%</w:t>
      </w:r>
      <w:r>
        <w:rPr>
          <w:rStyle w:val="13"/>
          <w:rFonts w:hint="eastAsia" w:ascii="仿宋" w:hAnsi="仿宋" w:eastAsia="仿宋"/>
          <w:b w:val="0"/>
          <w:bCs/>
          <w:color w:val="000000"/>
          <w:sz w:val="32"/>
          <w:szCs w:val="32"/>
          <w:lang w:eastAsia="zh-CN"/>
        </w:rPr>
        <w:t>，主要用于代表履职产生的培训费及代表视察相关印刷费，公务用车运行维护费等开支；</w:t>
      </w:r>
    </w:p>
    <w:p>
      <w:pPr>
        <w:numPr>
          <w:ilvl w:val="0"/>
          <w:numId w:val="3"/>
        </w:numPr>
        <w:spacing w:line="600" w:lineRule="exact"/>
        <w:ind w:left="0" w:leftChars="0" w:firstLine="643" w:firstLineChars="200"/>
        <w:rPr>
          <w:rFonts w:ascii="仿宋" w:hAnsi="仿宋" w:eastAsia="仿宋"/>
          <w:b/>
          <w:color w:val="000000"/>
          <w:sz w:val="32"/>
          <w:szCs w:val="32"/>
        </w:rPr>
      </w:pPr>
      <w:r>
        <w:rPr>
          <w:rStyle w:val="13"/>
          <w:rFonts w:hint="eastAsia" w:ascii="仿宋" w:hAnsi="仿宋" w:eastAsia="仿宋"/>
          <w:bCs/>
          <w:color w:val="000000"/>
          <w:sz w:val="32"/>
          <w:szCs w:val="32"/>
        </w:rPr>
        <w:t>社会保障和就业</w:t>
      </w:r>
      <w:r>
        <w:rPr>
          <w:rStyle w:val="13"/>
          <w:rFonts w:ascii="仿宋" w:hAnsi="仿宋" w:eastAsia="仿宋"/>
          <w:bCs/>
          <w:color w:val="000000"/>
          <w:sz w:val="32"/>
          <w:szCs w:val="32"/>
        </w:rPr>
        <w:t>:</w:t>
      </w:r>
      <w:r>
        <w:rPr>
          <w:rStyle w:val="13"/>
          <w:rFonts w:ascii="仿宋" w:hAnsi="仿宋" w:eastAsia="仿宋"/>
          <w:b w:val="0"/>
          <w:bCs/>
          <w:color w:val="000000"/>
          <w:sz w:val="32"/>
          <w:szCs w:val="32"/>
        </w:rPr>
        <w:t xml:space="preserve"> </w:t>
      </w:r>
      <w:r>
        <w:rPr>
          <w:rStyle w:val="13"/>
          <w:rFonts w:hint="eastAsia" w:ascii="仿宋" w:hAnsi="仿宋" w:eastAsia="仿宋"/>
          <w:b w:val="0"/>
          <w:bCs/>
          <w:color w:val="000000"/>
          <w:sz w:val="32"/>
          <w:szCs w:val="32"/>
        </w:rPr>
        <w:t>2080505</w:t>
      </w:r>
      <w:r>
        <w:rPr>
          <w:rStyle w:val="13"/>
          <w:rFonts w:hint="eastAsia" w:ascii="仿宋" w:hAnsi="仿宋" w:eastAsia="仿宋"/>
          <w:b w:val="0"/>
          <w:bCs/>
          <w:color w:val="000000"/>
          <w:sz w:val="32"/>
          <w:szCs w:val="32"/>
          <w:lang w:val="en-US" w:eastAsia="zh-CN"/>
        </w:rPr>
        <w:t>-</w:t>
      </w:r>
      <w:r>
        <w:rPr>
          <w:rStyle w:val="13"/>
          <w:rFonts w:hint="eastAsia" w:ascii="仿宋" w:hAnsi="仿宋" w:eastAsia="仿宋"/>
          <w:b w:val="0"/>
          <w:bCs/>
          <w:color w:val="000000"/>
          <w:sz w:val="32"/>
          <w:szCs w:val="32"/>
        </w:rPr>
        <w:t>机关事业单位基本养老保险缴费支出决算为</w:t>
      </w:r>
      <w:r>
        <w:rPr>
          <w:rStyle w:val="13"/>
          <w:rFonts w:hint="eastAsia" w:ascii="仿宋" w:hAnsi="仿宋" w:eastAsia="仿宋"/>
          <w:b w:val="0"/>
          <w:bCs/>
          <w:color w:val="000000"/>
          <w:sz w:val="32"/>
          <w:szCs w:val="32"/>
          <w:lang w:val="en-US" w:eastAsia="zh-CN"/>
        </w:rPr>
        <w:t>53.76</w:t>
      </w:r>
      <w:r>
        <w:rPr>
          <w:rStyle w:val="13"/>
          <w:rFonts w:hint="eastAsia" w:ascii="仿宋" w:hAnsi="仿宋" w:eastAsia="仿宋"/>
          <w:b w:val="0"/>
          <w:bCs/>
          <w:color w:val="000000"/>
          <w:sz w:val="32"/>
          <w:szCs w:val="32"/>
        </w:rPr>
        <w:t>万元，完成预算</w:t>
      </w:r>
      <w:r>
        <w:rPr>
          <w:rStyle w:val="13"/>
          <w:rFonts w:hint="eastAsia" w:ascii="仿宋" w:hAnsi="仿宋" w:eastAsia="仿宋"/>
          <w:b w:val="0"/>
          <w:bCs/>
          <w:color w:val="000000"/>
          <w:sz w:val="32"/>
          <w:szCs w:val="32"/>
          <w:lang w:val="en-US" w:eastAsia="zh-CN"/>
        </w:rPr>
        <w:t>100</w:t>
      </w:r>
      <w:r>
        <w:rPr>
          <w:rStyle w:val="13"/>
          <w:rFonts w:ascii="仿宋" w:hAnsi="仿宋" w:eastAsia="仿宋"/>
          <w:b w:val="0"/>
          <w:bCs/>
          <w:color w:val="000000"/>
          <w:sz w:val="32"/>
          <w:szCs w:val="32"/>
        </w:rPr>
        <w:t>%</w:t>
      </w:r>
      <w:r>
        <w:rPr>
          <w:rStyle w:val="13"/>
          <w:rFonts w:hint="eastAsia" w:ascii="仿宋" w:hAnsi="仿宋" w:eastAsia="仿宋"/>
          <w:b w:val="0"/>
          <w:bCs/>
          <w:color w:val="000000"/>
          <w:sz w:val="32"/>
          <w:szCs w:val="32"/>
        </w:rPr>
        <w:t>，</w:t>
      </w:r>
      <w:r>
        <w:rPr>
          <w:rStyle w:val="13"/>
          <w:rFonts w:hint="eastAsia" w:ascii="仿宋" w:hAnsi="仿宋" w:eastAsia="仿宋"/>
          <w:b w:val="0"/>
          <w:bCs/>
          <w:color w:val="000000"/>
          <w:sz w:val="32"/>
          <w:szCs w:val="32"/>
          <w:lang w:eastAsia="zh-CN"/>
        </w:rPr>
        <w:t>全部用于职工缴纳养老保险单位部分；2080506</w:t>
      </w:r>
      <w:r>
        <w:rPr>
          <w:rStyle w:val="13"/>
          <w:rFonts w:hint="eastAsia" w:ascii="仿宋" w:hAnsi="仿宋" w:eastAsia="仿宋"/>
          <w:b w:val="0"/>
          <w:bCs/>
          <w:color w:val="000000"/>
          <w:sz w:val="32"/>
          <w:szCs w:val="32"/>
          <w:lang w:val="en-US" w:eastAsia="zh-CN"/>
        </w:rPr>
        <w:t>-</w:t>
      </w:r>
      <w:r>
        <w:rPr>
          <w:rStyle w:val="13"/>
          <w:rFonts w:hint="eastAsia" w:ascii="仿宋" w:hAnsi="仿宋" w:eastAsia="仿宋"/>
          <w:b w:val="0"/>
          <w:bCs/>
          <w:color w:val="000000"/>
          <w:sz w:val="32"/>
          <w:szCs w:val="32"/>
          <w:lang w:eastAsia="zh-CN"/>
        </w:rPr>
        <w:t>机关事业单位职业年金缴费支出</w:t>
      </w:r>
      <w:r>
        <w:rPr>
          <w:rStyle w:val="13"/>
          <w:rFonts w:hint="eastAsia" w:ascii="仿宋" w:hAnsi="仿宋" w:eastAsia="仿宋"/>
          <w:b w:val="0"/>
          <w:bCs/>
          <w:color w:val="000000"/>
          <w:sz w:val="32"/>
          <w:szCs w:val="32"/>
        </w:rPr>
        <w:t>决算为</w:t>
      </w:r>
      <w:r>
        <w:rPr>
          <w:rStyle w:val="13"/>
          <w:rFonts w:hint="eastAsia" w:ascii="仿宋" w:hAnsi="仿宋" w:eastAsia="仿宋"/>
          <w:b w:val="0"/>
          <w:bCs/>
          <w:color w:val="000000"/>
          <w:sz w:val="32"/>
          <w:szCs w:val="32"/>
          <w:lang w:val="en-US" w:eastAsia="zh-CN"/>
        </w:rPr>
        <w:t>26.88</w:t>
      </w:r>
      <w:r>
        <w:rPr>
          <w:rStyle w:val="13"/>
          <w:rFonts w:hint="eastAsia" w:ascii="仿宋" w:hAnsi="仿宋" w:eastAsia="仿宋"/>
          <w:b w:val="0"/>
          <w:bCs/>
          <w:color w:val="000000"/>
          <w:sz w:val="32"/>
          <w:szCs w:val="32"/>
        </w:rPr>
        <w:t>万元，完成预算</w:t>
      </w:r>
      <w:r>
        <w:rPr>
          <w:rStyle w:val="13"/>
          <w:rFonts w:hint="eastAsia" w:ascii="仿宋" w:hAnsi="仿宋" w:eastAsia="仿宋"/>
          <w:b w:val="0"/>
          <w:bCs/>
          <w:color w:val="000000"/>
          <w:sz w:val="32"/>
          <w:szCs w:val="32"/>
          <w:lang w:val="en-US" w:eastAsia="zh-CN"/>
        </w:rPr>
        <w:t>100</w:t>
      </w:r>
      <w:r>
        <w:rPr>
          <w:rStyle w:val="13"/>
          <w:rFonts w:ascii="仿宋" w:hAnsi="仿宋" w:eastAsia="仿宋"/>
          <w:b w:val="0"/>
          <w:bCs/>
          <w:color w:val="000000"/>
          <w:sz w:val="32"/>
          <w:szCs w:val="32"/>
        </w:rPr>
        <w:t>%</w:t>
      </w:r>
      <w:r>
        <w:rPr>
          <w:rStyle w:val="13"/>
          <w:rFonts w:hint="eastAsia" w:ascii="仿宋" w:hAnsi="仿宋" w:eastAsia="仿宋"/>
          <w:b w:val="0"/>
          <w:bCs/>
          <w:color w:val="000000"/>
          <w:sz w:val="32"/>
          <w:szCs w:val="32"/>
        </w:rPr>
        <w:t>，</w:t>
      </w:r>
      <w:r>
        <w:rPr>
          <w:rStyle w:val="13"/>
          <w:rFonts w:hint="eastAsia" w:ascii="仿宋" w:hAnsi="仿宋" w:eastAsia="仿宋"/>
          <w:b w:val="0"/>
          <w:bCs/>
          <w:color w:val="000000"/>
          <w:sz w:val="32"/>
          <w:szCs w:val="32"/>
          <w:lang w:eastAsia="zh-CN"/>
        </w:rPr>
        <w:t>全部用于职工缴纳职业年金单位部分。</w:t>
      </w:r>
    </w:p>
    <w:p>
      <w:pPr>
        <w:numPr>
          <w:ilvl w:val="0"/>
          <w:numId w:val="3"/>
        </w:numPr>
        <w:spacing w:line="600" w:lineRule="exact"/>
        <w:ind w:left="0" w:leftChars="0" w:firstLine="643" w:firstLineChars="200"/>
        <w:rPr>
          <w:rFonts w:ascii="仿宋" w:hAnsi="仿宋" w:eastAsia="仿宋"/>
          <w:b/>
          <w:color w:val="000000"/>
          <w:sz w:val="32"/>
          <w:szCs w:val="32"/>
        </w:rPr>
      </w:pPr>
      <w:r>
        <w:rPr>
          <w:rFonts w:hint="eastAsia" w:ascii="仿宋" w:hAnsi="仿宋" w:eastAsia="仿宋"/>
          <w:b/>
          <w:bCs/>
          <w:color w:val="000000" w:themeColor="text1"/>
          <w:sz w:val="32"/>
          <w:szCs w:val="32"/>
          <w14:textFill>
            <w14:solidFill>
              <w14:schemeClr w14:val="tx1"/>
            </w14:solidFill>
          </w14:textFill>
        </w:rPr>
        <w:t>卫生健康</w:t>
      </w:r>
      <w:r>
        <w:rPr>
          <w:rStyle w:val="13"/>
          <w:rFonts w:ascii="仿宋" w:hAnsi="仿宋" w:eastAsia="仿宋"/>
          <w:bCs/>
          <w:color w:val="000000"/>
          <w:sz w:val="32"/>
          <w:szCs w:val="32"/>
        </w:rPr>
        <w:t>:</w:t>
      </w:r>
      <w:r>
        <w:rPr>
          <w:rStyle w:val="13"/>
          <w:rFonts w:hint="eastAsia" w:ascii="仿宋" w:hAnsi="仿宋" w:eastAsia="仿宋"/>
          <w:b w:val="0"/>
          <w:bCs/>
          <w:color w:val="000000"/>
          <w:sz w:val="32"/>
          <w:szCs w:val="32"/>
          <w:lang w:eastAsia="zh-CN"/>
        </w:rPr>
        <w:t>2101101</w:t>
      </w:r>
      <w:r>
        <w:rPr>
          <w:rStyle w:val="13"/>
          <w:rFonts w:hint="eastAsia" w:ascii="仿宋" w:hAnsi="仿宋" w:eastAsia="仿宋"/>
          <w:b w:val="0"/>
          <w:bCs/>
          <w:color w:val="000000"/>
          <w:sz w:val="32"/>
          <w:szCs w:val="32"/>
          <w:lang w:val="en-US" w:eastAsia="zh-CN"/>
        </w:rPr>
        <w:t>-</w:t>
      </w:r>
      <w:r>
        <w:rPr>
          <w:rStyle w:val="13"/>
          <w:rFonts w:hint="eastAsia" w:ascii="仿宋" w:hAnsi="仿宋" w:eastAsia="仿宋"/>
          <w:b w:val="0"/>
          <w:bCs/>
          <w:color w:val="000000"/>
          <w:sz w:val="32"/>
          <w:szCs w:val="32"/>
          <w:lang w:eastAsia="zh-CN"/>
        </w:rPr>
        <w:t>行政单位医疗支出</w:t>
      </w:r>
      <w:r>
        <w:rPr>
          <w:rStyle w:val="13"/>
          <w:rFonts w:hint="eastAsia" w:ascii="仿宋" w:hAnsi="仿宋" w:eastAsia="仿宋"/>
          <w:b w:val="0"/>
          <w:bCs/>
          <w:color w:val="000000"/>
          <w:sz w:val="32"/>
          <w:szCs w:val="32"/>
        </w:rPr>
        <w:t>决算为</w:t>
      </w:r>
      <w:r>
        <w:rPr>
          <w:rStyle w:val="13"/>
          <w:rFonts w:hint="eastAsia" w:ascii="仿宋" w:hAnsi="仿宋" w:eastAsia="仿宋"/>
          <w:b w:val="0"/>
          <w:bCs/>
          <w:color w:val="000000"/>
          <w:sz w:val="32"/>
          <w:szCs w:val="32"/>
          <w:lang w:val="en-US" w:eastAsia="zh-CN"/>
        </w:rPr>
        <w:t>25.35</w:t>
      </w:r>
      <w:r>
        <w:rPr>
          <w:rStyle w:val="13"/>
          <w:rFonts w:hint="eastAsia" w:ascii="仿宋" w:hAnsi="仿宋" w:eastAsia="仿宋"/>
          <w:b w:val="0"/>
          <w:bCs/>
          <w:color w:val="000000"/>
          <w:sz w:val="32"/>
          <w:szCs w:val="32"/>
        </w:rPr>
        <w:t>万元，完成预算</w:t>
      </w:r>
      <w:r>
        <w:rPr>
          <w:rStyle w:val="13"/>
          <w:rFonts w:hint="eastAsia" w:ascii="仿宋" w:hAnsi="仿宋" w:eastAsia="仿宋"/>
          <w:b w:val="0"/>
          <w:bCs/>
          <w:color w:val="000000"/>
          <w:sz w:val="32"/>
          <w:szCs w:val="32"/>
          <w:lang w:val="en-US" w:eastAsia="zh-CN"/>
        </w:rPr>
        <w:t>100</w:t>
      </w:r>
      <w:r>
        <w:rPr>
          <w:rStyle w:val="13"/>
          <w:rFonts w:ascii="仿宋" w:hAnsi="仿宋" w:eastAsia="仿宋"/>
          <w:b w:val="0"/>
          <w:bCs/>
          <w:color w:val="000000"/>
          <w:sz w:val="32"/>
          <w:szCs w:val="32"/>
        </w:rPr>
        <w:t>%</w:t>
      </w:r>
      <w:r>
        <w:rPr>
          <w:rStyle w:val="13"/>
          <w:rFonts w:hint="eastAsia" w:ascii="仿宋" w:hAnsi="仿宋" w:eastAsia="仿宋"/>
          <w:b w:val="0"/>
          <w:bCs/>
          <w:color w:val="000000"/>
          <w:sz w:val="32"/>
          <w:szCs w:val="32"/>
          <w:lang w:eastAsia="zh-CN"/>
        </w:rPr>
        <w:t>，全部用于职工缴纳医疗保险单位部分；2101103</w:t>
      </w:r>
      <w:r>
        <w:rPr>
          <w:rStyle w:val="13"/>
          <w:rFonts w:hint="eastAsia" w:ascii="仿宋" w:hAnsi="仿宋" w:eastAsia="仿宋"/>
          <w:b w:val="0"/>
          <w:bCs/>
          <w:color w:val="000000"/>
          <w:sz w:val="32"/>
          <w:szCs w:val="32"/>
          <w:lang w:eastAsia="zh-CN"/>
        </w:rPr>
        <w:tab/>
      </w:r>
      <w:r>
        <w:rPr>
          <w:rStyle w:val="13"/>
          <w:rFonts w:hint="eastAsia" w:ascii="仿宋" w:hAnsi="仿宋" w:eastAsia="仿宋"/>
          <w:b w:val="0"/>
          <w:bCs/>
          <w:color w:val="000000"/>
          <w:sz w:val="32"/>
          <w:szCs w:val="32"/>
          <w:lang w:val="en-US" w:eastAsia="zh-CN"/>
        </w:rPr>
        <w:t>-</w:t>
      </w:r>
      <w:r>
        <w:rPr>
          <w:rStyle w:val="13"/>
          <w:rFonts w:hint="eastAsia" w:ascii="仿宋" w:hAnsi="仿宋" w:eastAsia="仿宋"/>
          <w:b w:val="0"/>
          <w:bCs/>
          <w:color w:val="000000"/>
          <w:sz w:val="32"/>
          <w:szCs w:val="32"/>
          <w:lang w:eastAsia="zh-CN"/>
        </w:rPr>
        <w:t>公务员医疗补助支出</w:t>
      </w:r>
      <w:r>
        <w:rPr>
          <w:rStyle w:val="13"/>
          <w:rFonts w:hint="eastAsia" w:ascii="仿宋" w:hAnsi="仿宋" w:eastAsia="仿宋"/>
          <w:b w:val="0"/>
          <w:bCs/>
          <w:color w:val="000000"/>
          <w:sz w:val="32"/>
          <w:szCs w:val="32"/>
        </w:rPr>
        <w:t>决算为</w:t>
      </w:r>
      <w:r>
        <w:rPr>
          <w:rStyle w:val="13"/>
          <w:rFonts w:hint="eastAsia" w:ascii="仿宋" w:hAnsi="仿宋" w:eastAsia="仿宋"/>
          <w:b w:val="0"/>
          <w:bCs/>
          <w:color w:val="000000"/>
          <w:sz w:val="32"/>
          <w:szCs w:val="32"/>
          <w:lang w:val="en-US" w:eastAsia="zh-CN"/>
        </w:rPr>
        <w:t>9.15</w:t>
      </w:r>
      <w:r>
        <w:rPr>
          <w:rStyle w:val="13"/>
          <w:rFonts w:hint="eastAsia" w:ascii="仿宋" w:hAnsi="仿宋" w:eastAsia="仿宋"/>
          <w:b w:val="0"/>
          <w:bCs/>
          <w:color w:val="000000"/>
          <w:sz w:val="32"/>
          <w:szCs w:val="32"/>
        </w:rPr>
        <w:t>万元，完成预算</w:t>
      </w:r>
      <w:r>
        <w:rPr>
          <w:rStyle w:val="13"/>
          <w:rFonts w:hint="eastAsia" w:ascii="仿宋" w:hAnsi="仿宋" w:eastAsia="仿宋"/>
          <w:b w:val="0"/>
          <w:bCs/>
          <w:color w:val="000000"/>
          <w:sz w:val="32"/>
          <w:szCs w:val="32"/>
          <w:lang w:val="en-US" w:eastAsia="zh-CN"/>
        </w:rPr>
        <w:t>100</w:t>
      </w:r>
      <w:r>
        <w:rPr>
          <w:rStyle w:val="13"/>
          <w:rFonts w:ascii="仿宋" w:hAnsi="仿宋" w:eastAsia="仿宋"/>
          <w:b w:val="0"/>
          <w:bCs/>
          <w:color w:val="000000"/>
          <w:sz w:val="32"/>
          <w:szCs w:val="32"/>
        </w:rPr>
        <w:t>%</w:t>
      </w:r>
      <w:r>
        <w:rPr>
          <w:rStyle w:val="13"/>
          <w:rFonts w:hint="eastAsia" w:ascii="仿宋" w:hAnsi="仿宋" w:eastAsia="仿宋"/>
          <w:b w:val="0"/>
          <w:bCs/>
          <w:color w:val="000000"/>
          <w:sz w:val="32"/>
          <w:szCs w:val="32"/>
          <w:lang w:eastAsia="zh-CN"/>
        </w:rPr>
        <w:t>，全部用于职工公务员补充医保。</w:t>
      </w:r>
    </w:p>
    <w:p>
      <w:pPr>
        <w:numPr>
          <w:ilvl w:val="0"/>
          <w:numId w:val="3"/>
        </w:numPr>
        <w:tabs>
          <w:tab w:val="clear" w:pos="312"/>
        </w:tabs>
        <w:spacing w:line="600" w:lineRule="exact"/>
        <w:ind w:left="0" w:leftChars="0" w:firstLine="643" w:firstLineChars="200"/>
        <w:rPr>
          <w:rStyle w:val="13"/>
          <w:rFonts w:hint="eastAsia" w:ascii="仿宋_GB2312" w:hAnsi="仿宋_GB2312" w:eastAsia="仿宋_GB2312" w:cs="仿宋_GB2312"/>
          <w:sz w:val="32"/>
          <w:szCs w:val="32"/>
          <w:shd w:val="clear" w:color="auto" w:fill="FFFFFF"/>
        </w:rPr>
      </w:pPr>
      <w:r>
        <w:rPr>
          <w:rFonts w:hint="eastAsia" w:ascii="仿宋" w:hAnsi="仿宋" w:eastAsia="仿宋"/>
          <w:b/>
          <w:color w:val="000000"/>
          <w:sz w:val="32"/>
          <w:szCs w:val="32"/>
          <w:lang w:val="en-US" w:eastAsia="zh-CN"/>
        </w:rPr>
        <w:t>住房保障支出：</w:t>
      </w:r>
      <w:r>
        <w:rPr>
          <w:rStyle w:val="13"/>
          <w:rFonts w:hint="eastAsia" w:ascii="仿宋" w:hAnsi="仿宋" w:eastAsia="仿宋"/>
          <w:b w:val="0"/>
          <w:bCs/>
          <w:color w:val="000000"/>
          <w:sz w:val="32"/>
          <w:szCs w:val="32"/>
          <w:lang w:val="en-US" w:eastAsia="zh-CN"/>
        </w:rPr>
        <w:t>2210201-住房公积金</w:t>
      </w:r>
      <w:r>
        <w:rPr>
          <w:rStyle w:val="13"/>
          <w:rFonts w:hint="eastAsia" w:ascii="仿宋" w:hAnsi="仿宋" w:eastAsia="仿宋"/>
          <w:b w:val="0"/>
          <w:bCs/>
          <w:color w:val="000000"/>
          <w:sz w:val="32"/>
          <w:szCs w:val="32"/>
          <w:lang w:eastAsia="zh-CN"/>
        </w:rPr>
        <w:t>支出决</w:t>
      </w:r>
      <w:r>
        <w:rPr>
          <w:rStyle w:val="13"/>
          <w:rFonts w:hint="eastAsia" w:ascii="仿宋" w:hAnsi="仿宋" w:eastAsia="仿宋"/>
          <w:b w:val="0"/>
          <w:bCs/>
          <w:color w:val="000000"/>
          <w:sz w:val="32"/>
          <w:szCs w:val="32"/>
        </w:rPr>
        <w:t>算为</w:t>
      </w:r>
      <w:r>
        <w:rPr>
          <w:rStyle w:val="13"/>
          <w:rFonts w:hint="eastAsia" w:ascii="仿宋" w:hAnsi="仿宋" w:eastAsia="仿宋"/>
          <w:b w:val="0"/>
          <w:bCs/>
          <w:color w:val="000000"/>
          <w:sz w:val="32"/>
          <w:szCs w:val="32"/>
          <w:lang w:val="en-US" w:eastAsia="zh-CN"/>
        </w:rPr>
        <w:t>51.25</w:t>
      </w:r>
      <w:r>
        <w:rPr>
          <w:rStyle w:val="13"/>
          <w:rFonts w:hint="eastAsia" w:ascii="仿宋" w:hAnsi="仿宋" w:eastAsia="仿宋"/>
          <w:b w:val="0"/>
          <w:bCs/>
          <w:color w:val="000000"/>
          <w:sz w:val="32"/>
          <w:szCs w:val="32"/>
        </w:rPr>
        <w:t>万元，完成预算</w:t>
      </w:r>
      <w:r>
        <w:rPr>
          <w:rStyle w:val="13"/>
          <w:rFonts w:hint="eastAsia" w:ascii="仿宋" w:hAnsi="仿宋" w:eastAsia="仿宋"/>
          <w:b w:val="0"/>
          <w:bCs/>
          <w:color w:val="000000"/>
          <w:sz w:val="32"/>
          <w:szCs w:val="32"/>
          <w:lang w:val="en-US" w:eastAsia="zh-CN"/>
        </w:rPr>
        <w:t>100</w:t>
      </w:r>
      <w:r>
        <w:rPr>
          <w:rStyle w:val="13"/>
          <w:rFonts w:ascii="仿宋" w:hAnsi="仿宋" w:eastAsia="仿宋"/>
          <w:b w:val="0"/>
          <w:bCs/>
          <w:color w:val="000000"/>
          <w:sz w:val="32"/>
          <w:szCs w:val="32"/>
        </w:rPr>
        <w:t>%</w:t>
      </w:r>
      <w:r>
        <w:rPr>
          <w:rStyle w:val="13"/>
          <w:rFonts w:hint="eastAsia" w:ascii="仿宋" w:hAnsi="仿宋" w:eastAsia="仿宋"/>
          <w:b w:val="0"/>
          <w:bCs/>
          <w:color w:val="000000"/>
          <w:sz w:val="32"/>
          <w:szCs w:val="32"/>
          <w:lang w:eastAsia="zh-CN"/>
        </w:rPr>
        <w:t>，全部用于职工缴纳住房公积金单位部分。</w:t>
      </w:r>
    </w:p>
    <w:p>
      <w:pPr>
        <w:pStyle w:val="10"/>
        <w:keepNext w:val="0"/>
        <w:keepLines w:val="0"/>
        <w:widowControl/>
        <w:numPr>
          <w:ilvl w:val="0"/>
          <w:numId w:val="0"/>
        </w:numPr>
        <w:suppressLineNumbers w:val="0"/>
        <w:shd w:val="clear" w:color="auto" w:fill="auto"/>
        <w:ind w:leftChars="0" w:right="75" w:rightChars="0"/>
        <w:jc w:val="left"/>
        <w:outlineLvl w:val="1"/>
        <w:rPr>
          <w:rFonts w:hint="eastAsia" w:ascii="黑体" w:hAnsi="黑体" w:eastAsia="黑体" w:cs="黑体"/>
          <w:sz w:val="32"/>
          <w:szCs w:val="32"/>
          <w:shd w:val="clear" w:color="auto" w:fill="FFFFFF"/>
        </w:rPr>
      </w:pPr>
      <w:bookmarkStart w:id="12" w:name="_Toc2180"/>
      <w:r>
        <w:rPr>
          <w:rFonts w:hint="eastAsia" w:ascii="黑体" w:hAnsi="黑体" w:eastAsia="黑体" w:cs="黑体"/>
          <w:sz w:val="32"/>
          <w:szCs w:val="32"/>
          <w:shd w:val="clear" w:color="auto" w:fill="FFFFFF"/>
          <w:lang w:eastAsia="zh-CN"/>
        </w:rPr>
        <w:t>六、</w:t>
      </w:r>
      <w:r>
        <w:rPr>
          <w:rFonts w:hint="eastAsia" w:ascii="黑体" w:hAnsi="黑体" w:eastAsia="黑体" w:cs="黑体"/>
          <w:sz w:val="32"/>
          <w:szCs w:val="32"/>
          <w:shd w:val="clear" w:color="auto" w:fill="FFFFFF"/>
        </w:rPr>
        <w:t>一般公共预算财政拨款基本支出决算情况说明</w:t>
      </w:r>
      <w:bookmarkEnd w:id="12"/>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lang w:val="en-US" w:eastAsia="zh-CN"/>
        </w:rPr>
        <w:t>2021</w:t>
      </w:r>
      <w:r>
        <w:rPr>
          <w:rFonts w:hint="eastAsia" w:ascii="仿宋" w:hAnsi="仿宋" w:eastAsia="仿宋"/>
          <w:color w:val="000000"/>
          <w:sz w:val="32"/>
          <w:szCs w:val="32"/>
        </w:rPr>
        <w:t>年一般公共预算财政拨款基本支出</w:t>
      </w:r>
      <w:r>
        <w:rPr>
          <w:rFonts w:hint="eastAsia" w:ascii="仿宋" w:hAnsi="仿宋" w:eastAsia="仿宋"/>
          <w:color w:val="000000"/>
          <w:sz w:val="32"/>
          <w:szCs w:val="32"/>
          <w:lang w:val="en-US" w:eastAsia="zh-CN"/>
        </w:rPr>
        <w:t>815.46</w:t>
      </w:r>
      <w:r>
        <w:rPr>
          <w:rFonts w:hint="eastAsia" w:ascii="仿宋" w:hAnsi="仿宋" w:eastAsia="仿宋"/>
          <w:color w:val="000000"/>
          <w:sz w:val="32"/>
          <w:szCs w:val="32"/>
        </w:rPr>
        <w:t>万元，其中：</w:t>
      </w:r>
    </w:p>
    <w:p>
      <w:pPr>
        <w:spacing w:line="600" w:lineRule="exact"/>
        <w:ind w:firstLine="645"/>
        <w:rPr>
          <w:rFonts w:hint="eastAsia" w:ascii="黑体" w:hAnsi="黑体" w:eastAsia="黑体" w:cs="黑体"/>
          <w:sz w:val="32"/>
          <w:szCs w:val="32"/>
          <w:shd w:val="clear" w:color="auto" w:fill="FFFFFF"/>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750.26</w:t>
      </w:r>
      <w:r>
        <w:rPr>
          <w:rFonts w:hint="eastAsia" w:ascii="仿宋" w:hAnsi="仿宋" w:eastAsia="仿宋"/>
          <w:color w:val="000000"/>
          <w:sz w:val="32"/>
          <w:szCs w:val="32"/>
        </w:rPr>
        <w:t>万元，包括：基本工资</w:t>
      </w:r>
      <w:r>
        <w:rPr>
          <w:rFonts w:hint="eastAsia" w:ascii="仿宋" w:hAnsi="仿宋" w:eastAsia="仿宋"/>
          <w:color w:val="000000"/>
          <w:sz w:val="32"/>
          <w:szCs w:val="32"/>
          <w:lang w:val="en-US" w:eastAsia="zh-CN"/>
        </w:rPr>
        <w:t>138.15</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、津贴补贴</w:t>
      </w:r>
      <w:r>
        <w:rPr>
          <w:rFonts w:hint="eastAsia" w:ascii="仿宋" w:hAnsi="仿宋" w:eastAsia="仿宋"/>
          <w:color w:val="000000"/>
          <w:sz w:val="32"/>
          <w:szCs w:val="32"/>
          <w:lang w:val="en-US" w:eastAsia="zh-CN"/>
        </w:rPr>
        <w:t>339.69</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、奖金</w:t>
      </w:r>
      <w:r>
        <w:rPr>
          <w:rFonts w:hint="eastAsia" w:ascii="仿宋" w:hAnsi="仿宋" w:eastAsia="仿宋"/>
          <w:color w:val="000000"/>
          <w:sz w:val="32"/>
          <w:szCs w:val="32"/>
          <w:lang w:val="en-US" w:eastAsia="zh-CN"/>
        </w:rPr>
        <w:t>19.53</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、机关事业单位基本养老保险缴费</w:t>
      </w:r>
      <w:r>
        <w:rPr>
          <w:rFonts w:hint="eastAsia" w:ascii="仿宋" w:hAnsi="仿宋" w:eastAsia="仿宋"/>
          <w:color w:val="000000"/>
          <w:sz w:val="32"/>
          <w:szCs w:val="32"/>
          <w:lang w:val="en-US" w:eastAsia="zh-CN"/>
        </w:rPr>
        <w:t>53.76</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、职业年金缴费</w:t>
      </w:r>
      <w:r>
        <w:rPr>
          <w:rFonts w:hint="eastAsia" w:ascii="仿宋" w:hAnsi="仿宋" w:eastAsia="仿宋"/>
          <w:color w:val="000000"/>
          <w:sz w:val="32"/>
          <w:szCs w:val="32"/>
          <w:lang w:val="en-US" w:eastAsia="zh-CN"/>
        </w:rPr>
        <w:t>26.88</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、其他社会保障缴费</w:t>
      </w:r>
      <w:r>
        <w:rPr>
          <w:rFonts w:hint="eastAsia" w:ascii="仿宋" w:hAnsi="仿宋" w:eastAsia="仿宋"/>
          <w:color w:val="000000"/>
          <w:sz w:val="32"/>
          <w:szCs w:val="32"/>
          <w:lang w:val="en-US" w:eastAsia="zh-CN"/>
        </w:rPr>
        <w:t>5.82</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、职工基本医疗保险缴费</w:t>
      </w:r>
      <w:r>
        <w:rPr>
          <w:rFonts w:hint="eastAsia" w:ascii="仿宋" w:hAnsi="仿宋" w:eastAsia="仿宋"/>
          <w:color w:val="000000"/>
          <w:sz w:val="32"/>
          <w:szCs w:val="32"/>
          <w:lang w:val="en-US" w:eastAsia="zh-CN"/>
        </w:rPr>
        <w:t>25.35</w:t>
      </w:r>
      <w:r>
        <w:rPr>
          <w:rFonts w:hint="eastAsia" w:ascii="仿宋" w:hAnsi="仿宋" w:eastAsia="仿宋"/>
          <w:color w:val="000000"/>
          <w:sz w:val="32"/>
          <w:szCs w:val="32"/>
          <w:lang w:eastAsia="zh-CN"/>
        </w:rPr>
        <w:t>万元、公务员医疗补助缴费</w:t>
      </w:r>
      <w:r>
        <w:rPr>
          <w:rFonts w:hint="eastAsia" w:ascii="仿宋" w:hAnsi="仿宋" w:eastAsia="仿宋"/>
          <w:color w:val="000000"/>
          <w:sz w:val="32"/>
          <w:szCs w:val="32"/>
          <w:lang w:val="en-US" w:eastAsia="zh-CN"/>
        </w:rPr>
        <w:t>9.15</w:t>
      </w:r>
      <w:r>
        <w:rPr>
          <w:rFonts w:hint="eastAsia" w:ascii="仿宋" w:hAnsi="仿宋" w:eastAsia="仿宋"/>
          <w:color w:val="000000"/>
          <w:sz w:val="32"/>
          <w:szCs w:val="32"/>
          <w:lang w:eastAsia="zh-CN"/>
        </w:rPr>
        <w:t>万元、住房公积金</w:t>
      </w:r>
      <w:r>
        <w:rPr>
          <w:rFonts w:hint="eastAsia" w:ascii="仿宋" w:hAnsi="仿宋" w:eastAsia="仿宋"/>
          <w:color w:val="000000"/>
          <w:sz w:val="32"/>
          <w:szCs w:val="32"/>
          <w:lang w:val="en-US" w:eastAsia="zh-CN"/>
        </w:rPr>
        <w:t>51.25</w:t>
      </w:r>
      <w:r>
        <w:rPr>
          <w:rFonts w:hint="eastAsia" w:ascii="仿宋" w:hAnsi="仿宋" w:eastAsia="仿宋"/>
          <w:color w:val="000000"/>
          <w:sz w:val="32"/>
          <w:szCs w:val="32"/>
          <w:lang w:eastAsia="zh-CN"/>
        </w:rPr>
        <w:t>万元、医疗费</w:t>
      </w:r>
      <w:r>
        <w:rPr>
          <w:rFonts w:hint="eastAsia" w:ascii="仿宋" w:hAnsi="仿宋" w:eastAsia="仿宋"/>
          <w:color w:val="000000"/>
          <w:sz w:val="32"/>
          <w:szCs w:val="32"/>
          <w:lang w:val="en-US" w:eastAsia="zh-CN"/>
        </w:rPr>
        <w:t>1.82</w:t>
      </w:r>
      <w:r>
        <w:rPr>
          <w:rFonts w:hint="eastAsia" w:ascii="仿宋" w:hAnsi="仿宋" w:eastAsia="仿宋"/>
          <w:color w:val="000000"/>
          <w:sz w:val="32"/>
          <w:szCs w:val="32"/>
          <w:lang w:eastAsia="zh-CN"/>
        </w:rPr>
        <w:t>万元、奖励金0.01万元，抚恤金</w:t>
      </w:r>
      <w:r>
        <w:rPr>
          <w:rFonts w:hint="eastAsia" w:ascii="仿宋" w:hAnsi="仿宋" w:eastAsia="仿宋"/>
          <w:color w:val="000000"/>
          <w:sz w:val="32"/>
          <w:szCs w:val="32"/>
          <w:lang w:val="en-US" w:eastAsia="zh-CN"/>
        </w:rPr>
        <w:t>32.03万元，生活补助44.59万元，医疗费补助2.22万元，奖励金0.01万元。</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65.2</w:t>
      </w:r>
      <w:r>
        <w:rPr>
          <w:rFonts w:hint="eastAsia" w:ascii="仿宋" w:hAnsi="仿宋" w:eastAsia="仿宋"/>
          <w:color w:val="000000"/>
          <w:sz w:val="32"/>
          <w:szCs w:val="32"/>
        </w:rPr>
        <w:t>万元，包括：办公费</w:t>
      </w:r>
      <w:r>
        <w:rPr>
          <w:rFonts w:hint="eastAsia" w:ascii="仿宋" w:hAnsi="仿宋" w:eastAsia="仿宋"/>
          <w:color w:val="000000"/>
          <w:sz w:val="32"/>
          <w:szCs w:val="32"/>
          <w:lang w:val="en-US" w:eastAsia="zh-CN"/>
        </w:rPr>
        <w:t>24.39</w:t>
      </w:r>
      <w:r>
        <w:rPr>
          <w:rFonts w:hint="eastAsia" w:ascii="仿宋" w:hAnsi="仿宋" w:eastAsia="仿宋"/>
          <w:color w:val="000000"/>
          <w:sz w:val="32"/>
          <w:szCs w:val="32"/>
          <w:lang w:eastAsia="zh-CN"/>
        </w:rPr>
        <w:t>万元、水费</w:t>
      </w:r>
      <w:r>
        <w:rPr>
          <w:rFonts w:hint="eastAsia" w:ascii="仿宋" w:hAnsi="仿宋" w:eastAsia="仿宋"/>
          <w:color w:val="000000"/>
          <w:sz w:val="32"/>
          <w:szCs w:val="32"/>
          <w:lang w:val="en-US" w:eastAsia="zh-CN"/>
        </w:rPr>
        <w:t>0.22万元，</w:t>
      </w:r>
      <w:r>
        <w:rPr>
          <w:rFonts w:hint="eastAsia" w:ascii="仿宋" w:hAnsi="仿宋" w:eastAsia="仿宋"/>
          <w:color w:val="000000"/>
          <w:sz w:val="32"/>
          <w:szCs w:val="32"/>
          <w:lang w:eastAsia="zh-CN"/>
        </w:rPr>
        <w:t>邮电费</w:t>
      </w:r>
      <w:r>
        <w:rPr>
          <w:rFonts w:hint="eastAsia" w:ascii="仿宋" w:hAnsi="仿宋" w:eastAsia="仿宋"/>
          <w:color w:val="000000"/>
          <w:sz w:val="32"/>
          <w:szCs w:val="32"/>
          <w:lang w:val="en-US" w:eastAsia="zh-CN"/>
        </w:rPr>
        <w:t>9.81</w:t>
      </w:r>
      <w:r>
        <w:rPr>
          <w:rFonts w:hint="eastAsia" w:ascii="仿宋" w:hAnsi="仿宋" w:eastAsia="仿宋"/>
          <w:color w:val="000000"/>
          <w:sz w:val="32"/>
          <w:szCs w:val="32"/>
          <w:lang w:eastAsia="zh-CN"/>
        </w:rPr>
        <w:t>万元、差旅费</w:t>
      </w:r>
      <w:r>
        <w:rPr>
          <w:rFonts w:hint="eastAsia" w:ascii="仿宋" w:hAnsi="仿宋" w:eastAsia="仿宋"/>
          <w:color w:val="000000"/>
          <w:sz w:val="32"/>
          <w:szCs w:val="32"/>
          <w:lang w:val="en-US" w:eastAsia="zh-CN"/>
        </w:rPr>
        <w:t>4.91</w:t>
      </w:r>
      <w:r>
        <w:rPr>
          <w:rFonts w:hint="eastAsia" w:ascii="仿宋" w:hAnsi="仿宋" w:eastAsia="仿宋"/>
          <w:color w:val="000000"/>
          <w:sz w:val="32"/>
          <w:szCs w:val="32"/>
          <w:lang w:eastAsia="zh-CN"/>
        </w:rPr>
        <w:t>万元、培训费</w:t>
      </w:r>
      <w:r>
        <w:rPr>
          <w:rFonts w:hint="eastAsia" w:ascii="仿宋" w:hAnsi="仿宋" w:eastAsia="仿宋"/>
          <w:color w:val="000000"/>
          <w:sz w:val="32"/>
          <w:szCs w:val="32"/>
          <w:lang w:val="en-US" w:eastAsia="zh-CN"/>
        </w:rPr>
        <w:t>1.92</w:t>
      </w:r>
      <w:r>
        <w:rPr>
          <w:rFonts w:hint="eastAsia" w:ascii="仿宋" w:hAnsi="仿宋" w:eastAsia="仿宋"/>
          <w:color w:val="000000"/>
          <w:sz w:val="32"/>
          <w:szCs w:val="32"/>
          <w:lang w:eastAsia="zh-CN"/>
        </w:rPr>
        <w:t>万元、公务用车运行维护费</w:t>
      </w:r>
      <w:r>
        <w:rPr>
          <w:rFonts w:hint="eastAsia" w:ascii="仿宋" w:hAnsi="仿宋" w:eastAsia="仿宋"/>
          <w:color w:val="000000"/>
          <w:sz w:val="32"/>
          <w:szCs w:val="32"/>
          <w:lang w:val="en-US" w:eastAsia="zh-CN"/>
        </w:rPr>
        <w:t>23.95</w:t>
      </w:r>
      <w:r>
        <w:rPr>
          <w:rFonts w:hint="eastAsia" w:ascii="仿宋" w:hAnsi="仿宋" w:eastAsia="仿宋"/>
          <w:color w:val="000000"/>
          <w:sz w:val="32"/>
          <w:szCs w:val="32"/>
          <w:lang w:eastAsia="zh-CN"/>
        </w:rPr>
        <w:t>万元、。</w:t>
      </w:r>
    </w:p>
    <w:p>
      <w:pPr>
        <w:pStyle w:val="10"/>
        <w:keepNext w:val="0"/>
        <w:keepLines w:val="0"/>
        <w:widowControl/>
        <w:suppressLineNumbers w:val="0"/>
        <w:shd w:val="clear" w:color="auto" w:fill="auto"/>
        <w:ind w:left="0" w:right="75"/>
        <w:jc w:val="left"/>
        <w:outlineLvl w:val="1"/>
        <w:rPr>
          <w:rFonts w:hint="eastAsia" w:ascii="黑体" w:hAnsi="黑体" w:eastAsia="黑体" w:cs="黑体"/>
          <w:sz w:val="32"/>
          <w:szCs w:val="32"/>
          <w:shd w:val="clear" w:color="auto" w:fill="FFFFFF"/>
        </w:rPr>
      </w:pPr>
      <w:bookmarkStart w:id="13" w:name="_Toc18699"/>
      <w:r>
        <w:rPr>
          <w:rFonts w:hint="eastAsia" w:ascii="黑体" w:hAnsi="黑体" w:eastAsia="黑体" w:cs="黑体"/>
          <w:sz w:val="32"/>
          <w:szCs w:val="32"/>
          <w:shd w:val="clear" w:color="auto" w:fill="FFFFFF"/>
        </w:rPr>
        <w:t>七、“三公”经费财政拨款支出决算情况说明</w:t>
      </w:r>
      <w:bookmarkEnd w:id="13"/>
    </w:p>
    <w:p>
      <w:pPr>
        <w:pStyle w:val="10"/>
        <w:keepNext w:val="0"/>
        <w:keepLines w:val="0"/>
        <w:widowControl/>
        <w:suppressLineNumbers w:val="0"/>
        <w:ind w:left="0" w:right="75"/>
        <w:rPr>
          <w:rStyle w:val="13"/>
          <w:rFonts w:hint="eastAsia" w:ascii="仿宋_GB2312" w:hAnsi="仿宋_GB2312" w:eastAsia="仿宋_GB2312" w:cs="仿宋_GB2312"/>
          <w:sz w:val="32"/>
          <w:szCs w:val="32"/>
          <w:shd w:val="clear" w:color="auto" w:fill="FFFFFF"/>
        </w:rPr>
      </w:pPr>
      <w:r>
        <w:rPr>
          <w:rStyle w:val="13"/>
          <w:rFonts w:hint="eastAsia" w:ascii="仿宋_GB2312" w:hAnsi="仿宋_GB2312" w:eastAsia="仿宋_GB2312" w:cs="仿宋_GB2312"/>
          <w:sz w:val="32"/>
          <w:szCs w:val="32"/>
          <w:shd w:val="clear" w:color="auto" w:fill="FFFFFF"/>
        </w:rPr>
        <w:t>（一）“三公”经费财政拨款支出决算总体情况说明</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lang w:val="en-US" w:eastAsia="zh-CN"/>
        </w:rPr>
        <w:t>2021</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98.98</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w:t>
      </w:r>
    </w:p>
    <w:p>
      <w:pPr>
        <w:pStyle w:val="10"/>
        <w:keepNext w:val="0"/>
        <w:keepLines w:val="0"/>
        <w:widowControl/>
        <w:suppressLineNumbers w:val="0"/>
        <w:ind w:left="0" w:right="75"/>
        <w:rPr>
          <w:rStyle w:val="13"/>
          <w:rFonts w:hint="eastAsia" w:ascii="仿宋_GB2312" w:hAnsi="仿宋_GB2312" w:eastAsia="仿宋_GB2312" w:cs="仿宋_GB2312"/>
          <w:sz w:val="32"/>
          <w:szCs w:val="32"/>
          <w:shd w:val="clear" w:color="auto" w:fill="FFFFFF"/>
        </w:rPr>
      </w:pPr>
    </w:p>
    <w:p>
      <w:pPr>
        <w:pStyle w:val="10"/>
        <w:keepNext w:val="0"/>
        <w:keepLines w:val="0"/>
        <w:widowControl/>
        <w:numPr>
          <w:ilvl w:val="0"/>
          <w:numId w:val="4"/>
        </w:numPr>
        <w:suppressLineNumbers w:val="0"/>
        <w:ind w:left="0" w:right="75"/>
        <w:rPr>
          <w:rStyle w:val="13"/>
          <w:rFonts w:hint="eastAsia" w:ascii="仿宋_GB2312" w:hAnsi="仿宋_GB2312" w:eastAsia="仿宋_GB2312" w:cs="仿宋_GB2312"/>
          <w:sz w:val="32"/>
          <w:szCs w:val="32"/>
          <w:shd w:val="clear" w:color="auto" w:fill="FFFFFF"/>
        </w:rPr>
      </w:pPr>
      <w:r>
        <w:rPr>
          <w:rStyle w:val="13"/>
          <w:rFonts w:hint="eastAsia" w:ascii="仿宋_GB2312" w:hAnsi="仿宋_GB2312" w:eastAsia="仿宋_GB2312" w:cs="仿宋_GB2312"/>
          <w:sz w:val="32"/>
          <w:szCs w:val="32"/>
          <w:shd w:val="clear" w:color="auto" w:fill="FFFFFF"/>
        </w:rPr>
        <w:t>“三公”经费财政拨款支出决算具体情况说明</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2</w:t>
      </w:r>
      <w:r>
        <w:rPr>
          <w:rFonts w:hint="eastAsia" w:ascii="仿宋" w:hAnsi="仿宋" w:eastAsia="仿宋"/>
          <w:color w:val="000000"/>
          <w:sz w:val="32"/>
          <w:szCs w:val="32"/>
          <w:lang w:val="en-US" w:eastAsia="zh-CN"/>
        </w:rPr>
        <w:t>021</w:t>
      </w:r>
      <w:r>
        <w:rPr>
          <w:rFonts w:hint="eastAsia" w:ascii="仿宋" w:hAnsi="仿宋" w:eastAsia="仿宋"/>
          <w:color w:val="000000"/>
          <w:sz w:val="32"/>
          <w:szCs w:val="32"/>
        </w:rPr>
        <w:t>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94.09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95.06</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4.89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4.94</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hint="eastAsia" w:ascii="仿宋" w:hAnsi="仿宋" w:eastAsia="仿宋"/>
          <w:color w:val="000000"/>
          <w:sz w:val="32"/>
          <w:szCs w:val="32"/>
        </w:rPr>
      </w:pPr>
      <w:r>
        <w:rPr>
          <w:rFonts w:hint="eastAsia" w:ascii="仿宋" w:hAnsi="仿宋" w:eastAsia="仿宋"/>
          <w:color w:val="000000"/>
          <w:sz w:val="32"/>
          <w:szCs w:val="32"/>
        </w:rPr>
        <w:t>（图7：“三公”经费财政拨款支出结构）（饼状图）</w:t>
      </w:r>
    </w:p>
    <w:p>
      <w:pPr>
        <w:pStyle w:val="10"/>
        <w:keepNext w:val="0"/>
        <w:keepLines w:val="0"/>
        <w:widowControl/>
        <w:numPr>
          <w:ilvl w:val="0"/>
          <w:numId w:val="0"/>
        </w:numPr>
        <w:suppressLineNumbers w:val="0"/>
        <w:ind w:right="75" w:rightChars="0"/>
        <w:rPr>
          <w:rStyle w:val="13"/>
          <w:rFonts w:hint="eastAsia" w:ascii="仿宋_GB2312" w:hAnsi="仿宋_GB2312" w:eastAsia="仿宋_GB2312" w:cs="仿宋_GB2312"/>
          <w:sz w:val="32"/>
          <w:szCs w:val="32"/>
          <w:shd w:val="clear" w:color="auto" w:fill="FFFFFF"/>
          <w:lang w:eastAsia="zh-CN"/>
        </w:rPr>
      </w:pPr>
      <w:r>
        <w:rPr>
          <w:rStyle w:val="13"/>
          <w:rFonts w:hint="eastAsia" w:ascii="仿宋_GB2312" w:hAnsi="仿宋_GB2312" w:eastAsia="仿宋_GB2312" w:cs="仿宋_GB2312"/>
          <w:sz w:val="32"/>
          <w:szCs w:val="32"/>
          <w:shd w:val="clear" w:color="auto" w:fill="FFFFFF"/>
          <w:lang w:eastAsia="zh-CN"/>
        </w:rPr>
        <w:drawing>
          <wp:inline distT="0" distB="0" distL="114300" distR="114300">
            <wp:extent cx="5080000" cy="2305050"/>
            <wp:effectExtent l="4445" t="4445" r="20955" b="1460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numPr>
          <w:ilvl w:val="0"/>
          <w:numId w:val="0"/>
        </w:numPr>
        <w:spacing w:line="600" w:lineRule="exact"/>
        <w:ind w:firstLine="643" w:firstLineChars="200"/>
        <w:rPr>
          <w:rFonts w:hint="eastAsia" w:ascii="仿宋_GB2312" w:hAnsi="仿宋_GB2312" w:eastAsia="仿宋_GB2312" w:cs="仿宋_GB2312"/>
          <w:color w:val="000000"/>
          <w:sz w:val="32"/>
          <w:szCs w:val="32"/>
          <w:lang w:eastAsia="zh-CN"/>
        </w:rPr>
      </w:pPr>
      <w:r>
        <w:rPr>
          <w:rFonts w:hint="eastAsia" w:ascii="仿宋_GB2312" w:eastAsia="仿宋_GB2312"/>
          <w:b/>
          <w:color w:val="000000"/>
          <w:sz w:val="32"/>
          <w:szCs w:val="32"/>
          <w:lang w:val="en-US" w:eastAsia="zh-CN"/>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3"/>
          <w:rFonts w:hint="eastAsia" w:ascii="仿宋" w:hAnsi="仿宋" w:eastAsia="仿宋"/>
          <w:b w:val="0"/>
          <w:bCs/>
          <w:color w:val="000000"/>
          <w:sz w:val="32"/>
          <w:szCs w:val="32"/>
        </w:rPr>
        <w:t>完成预算</w:t>
      </w:r>
      <w:r>
        <w:rPr>
          <w:rStyle w:val="13"/>
          <w:rFonts w:hint="eastAsia" w:ascii="仿宋" w:hAnsi="仿宋" w:eastAsia="仿宋"/>
          <w:b w:val="0"/>
          <w:bCs/>
          <w:color w:val="000000"/>
          <w:sz w:val="32"/>
          <w:szCs w:val="32"/>
          <w:lang w:val="en-US" w:eastAsia="zh-CN"/>
        </w:rPr>
        <w:t>0</w:t>
      </w:r>
      <w:r>
        <w:rPr>
          <w:rStyle w:val="13"/>
          <w:rFonts w:ascii="仿宋" w:hAnsi="仿宋" w:eastAsia="仿宋"/>
          <w:b w:val="0"/>
          <w:bCs/>
          <w:color w:val="000000"/>
          <w:sz w:val="32"/>
          <w:szCs w:val="32"/>
        </w:rPr>
        <w:t>%</w:t>
      </w:r>
      <w:r>
        <w:rPr>
          <w:rStyle w:val="13"/>
          <w:rFonts w:hint="eastAsia" w:ascii="仿宋" w:hAnsi="仿宋" w:eastAsia="仿宋"/>
          <w:b w:val="0"/>
          <w:bCs/>
          <w:color w:val="000000"/>
          <w:sz w:val="32"/>
          <w:szCs w:val="32"/>
        </w:rPr>
        <w:t>。</w:t>
      </w:r>
      <w:r>
        <w:rPr>
          <w:rFonts w:hint="eastAsia" w:ascii="仿宋_GB2312" w:eastAsia="仿宋_GB2312"/>
          <w:color w:val="000000"/>
          <w:sz w:val="32"/>
          <w:szCs w:val="32"/>
        </w:rPr>
        <w:t>全年安排因公出</w:t>
      </w:r>
      <w:r>
        <w:rPr>
          <w:rFonts w:hint="eastAsia" w:ascii="仿宋_GB2312" w:hAnsi="仿宋_GB2312" w:eastAsia="仿宋_GB2312" w:cs="仿宋_GB2312"/>
          <w:color w:val="000000"/>
          <w:sz w:val="32"/>
          <w:szCs w:val="32"/>
        </w:rPr>
        <w:t>国（境）团组</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次，出国（境）</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人。因公出国（境）支出决算</w:t>
      </w:r>
      <w:r>
        <w:rPr>
          <w:rFonts w:hint="eastAsia" w:ascii="仿宋_GB2312" w:hAnsi="仿宋_GB2312" w:eastAsia="仿宋_GB2312" w:cs="仿宋_GB2312"/>
          <w:color w:val="000000"/>
          <w:sz w:val="32"/>
          <w:szCs w:val="32"/>
          <w:lang w:eastAsia="zh-CN"/>
        </w:rPr>
        <w:t>与</w:t>
      </w:r>
      <w:r>
        <w:rPr>
          <w:rFonts w:hint="eastAsia" w:ascii="仿宋_GB2312" w:hAnsi="仿宋_GB2312" w:eastAsia="仿宋_GB2312" w:cs="仿宋_GB2312"/>
          <w:color w:val="000000"/>
          <w:sz w:val="32"/>
          <w:szCs w:val="32"/>
          <w:lang w:val="en-US" w:eastAsia="zh-CN"/>
        </w:rPr>
        <w:t>2020</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eastAsia="zh-CN"/>
        </w:rPr>
        <w:t>持平。</w:t>
      </w:r>
    </w:p>
    <w:p>
      <w:pPr>
        <w:numPr>
          <w:ilvl w:val="0"/>
          <w:numId w:val="0"/>
        </w:numPr>
        <w:spacing w:line="600" w:lineRule="exact"/>
        <w:ind w:firstLine="643" w:firstLineChars="200"/>
        <w:rPr>
          <w:rFonts w:hint="eastAsia" w:ascii="仿宋_GB2312" w:hAnsi="仿宋_GB2312" w:eastAsia="仿宋_GB2312" w:cs="仿宋_GB2312"/>
          <w:b/>
          <w:color w:val="000000"/>
          <w:sz w:val="32"/>
          <w:szCs w:val="32"/>
          <w:lang w:val="en-US"/>
        </w:rPr>
      </w:pPr>
      <w:r>
        <w:rPr>
          <w:rFonts w:hint="eastAsia" w:ascii="仿宋_GB2312" w:hAnsi="仿宋_GB2312" w:eastAsia="仿宋_GB2312" w:cs="仿宋_GB2312"/>
          <w:b/>
          <w:color w:val="000000"/>
          <w:sz w:val="32"/>
          <w:szCs w:val="32"/>
          <w:lang w:val="en-US" w:eastAsia="zh-CN"/>
        </w:rPr>
        <w:t>2.</w:t>
      </w:r>
      <w:r>
        <w:rPr>
          <w:rFonts w:hint="eastAsia" w:ascii="仿宋_GB2312" w:hAnsi="仿宋_GB2312" w:eastAsia="仿宋_GB2312" w:cs="仿宋_GB2312"/>
          <w:b/>
          <w:color w:val="000000"/>
          <w:sz w:val="32"/>
          <w:szCs w:val="32"/>
        </w:rPr>
        <w:t>公务用车购置及运行维护费支出</w:t>
      </w:r>
      <w:r>
        <w:rPr>
          <w:rFonts w:hint="eastAsia" w:ascii="仿宋_GB2312" w:hAnsi="仿宋_GB2312" w:eastAsia="仿宋_GB2312" w:cs="仿宋_GB2312"/>
          <w:b/>
          <w:color w:val="000000"/>
          <w:sz w:val="32"/>
          <w:szCs w:val="32"/>
          <w:lang w:val="en-US" w:eastAsia="zh-CN"/>
        </w:rPr>
        <w:t>94.09</w:t>
      </w:r>
      <w:r>
        <w:rPr>
          <w:rFonts w:hint="eastAsia" w:ascii="仿宋_GB2312" w:hAnsi="仿宋_GB2312" w:eastAsia="仿宋_GB2312" w:cs="仿宋_GB2312"/>
          <w:color w:val="000000"/>
          <w:sz w:val="32"/>
          <w:szCs w:val="32"/>
        </w:rPr>
        <w:t>万元,</w:t>
      </w:r>
      <w:r>
        <w:rPr>
          <w:rStyle w:val="13"/>
          <w:rFonts w:hint="eastAsia" w:ascii="仿宋_GB2312" w:hAnsi="仿宋_GB2312" w:eastAsia="仿宋_GB2312" w:cs="仿宋_GB2312"/>
          <w:b w:val="0"/>
          <w:bCs/>
          <w:color w:val="000000"/>
          <w:sz w:val="32"/>
          <w:szCs w:val="32"/>
        </w:rPr>
        <w:t>完成预算</w:t>
      </w:r>
      <w:r>
        <w:rPr>
          <w:rStyle w:val="13"/>
          <w:rFonts w:hint="eastAsia" w:ascii="仿宋_GB2312" w:hAnsi="仿宋_GB2312" w:eastAsia="仿宋_GB2312" w:cs="仿宋_GB2312"/>
          <w:b w:val="0"/>
          <w:bCs/>
          <w:color w:val="000000"/>
          <w:sz w:val="32"/>
          <w:szCs w:val="32"/>
          <w:lang w:val="en-US" w:eastAsia="zh-CN"/>
        </w:rPr>
        <w:t>100</w:t>
      </w:r>
      <w:r>
        <w:rPr>
          <w:rStyle w:val="13"/>
          <w:rFonts w:hint="eastAsia" w:ascii="仿宋_GB2312" w:hAnsi="仿宋_GB2312" w:eastAsia="仿宋_GB2312" w:cs="仿宋_GB2312"/>
          <w:b w:val="0"/>
          <w:bCs/>
          <w:color w:val="000000"/>
          <w:sz w:val="32"/>
          <w:szCs w:val="32"/>
        </w:rPr>
        <w:t>%。</w:t>
      </w:r>
      <w:r>
        <w:rPr>
          <w:rFonts w:hint="eastAsia" w:ascii="仿宋_GB2312" w:hAnsi="仿宋_GB2312" w:eastAsia="仿宋_GB2312" w:cs="仿宋_GB2312"/>
          <w:color w:val="000000"/>
          <w:sz w:val="32"/>
          <w:szCs w:val="32"/>
        </w:rPr>
        <w:t>公务用车购置及运行维护费支出决算比</w:t>
      </w:r>
      <w:r>
        <w:rPr>
          <w:rFonts w:hint="eastAsia" w:ascii="仿宋_GB2312" w:hAnsi="仿宋_GB2312" w:eastAsia="仿宋_GB2312" w:cs="仿宋_GB2312"/>
          <w:color w:val="000000"/>
          <w:sz w:val="32"/>
          <w:szCs w:val="32"/>
          <w:lang w:val="en-US" w:eastAsia="zh-CN"/>
        </w:rPr>
        <w:t>2020</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eastAsia="zh-CN"/>
        </w:rPr>
        <w:t>增加</w:t>
      </w:r>
      <w:r>
        <w:rPr>
          <w:rFonts w:hint="eastAsia" w:ascii="仿宋_GB2312" w:hAnsi="仿宋_GB2312" w:eastAsia="仿宋_GB2312" w:cs="仿宋_GB2312"/>
          <w:color w:val="000000"/>
          <w:sz w:val="32"/>
          <w:szCs w:val="32"/>
          <w:lang w:val="en-US" w:eastAsia="zh-CN"/>
        </w:rPr>
        <w:t>58.73</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上升</w:t>
      </w:r>
      <w:r>
        <w:rPr>
          <w:rFonts w:hint="eastAsia" w:ascii="仿宋_GB2312" w:hAnsi="仿宋_GB2312" w:eastAsia="仿宋_GB2312" w:cs="仿宋_GB2312"/>
          <w:color w:val="000000"/>
          <w:sz w:val="32"/>
          <w:szCs w:val="32"/>
          <w:lang w:val="en-US" w:eastAsia="zh-CN"/>
        </w:rPr>
        <w:t>166.09</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其中购置费增加</w:t>
      </w:r>
      <w:r>
        <w:rPr>
          <w:rFonts w:hint="eastAsia" w:ascii="仿宋_GB2312" w:hAnsi="仿宋_GB2312" w:eastAsia="仿宋_GB2312" w:cs="仿宋_GB2312"/>
          <w:color w:val="000000"/>
          <w:sz w:val="32"/>
          <w:szCs w:val="32"/>
          <w:lang w:val="en-US" w:eastAsia="zh-CN"/>
        </w:rPr>
        <w:t>64.4万元为2021年11月我办根据州公车办批复，按照相关流程采购越野车一辆，购车款及税费64.4万元，2020年无该项目支出</w:t>
      </w:r>
      <w:r>
        <w:rPr>
          <w:rFonts w:hint="eastAsia" w:ascii="仿宋_GB2312" w:hAnsi="仿宋_GB2312" w:eastAsia="仿宋_GB2312" w:cs="仿宋_GB2312"/>
          <w:color w:val="000000"/>
          <w:sz w:val="32"/>
          <w:szCs w:val="32"/>
          <w:lang w:eastAsia="zh-CN"/>
        </w:rPr>
        <w:t>。公务用车运行维护费减少</w:t>
      </w:r>
      <w:r>
        <w:rPr>
          <w:rFonts w:hint="eastAsia" w:ascii="仿宋_GB2312" w:hAnsi="仿宋_GB2312" w:eastAsia="仿宋_GB2312" w:cs="仿宋_GB2312"/>
          <w:color w:val="000000"/>
          <w:sz w:val="32"/>
          <w:szCs w:val="32"/>
          <w:lang w:val="en-US" w:eastAsia="zh-CN"/>
        </w:rPr>
        <w:t>5.66万元，下降16%，下降原因是厉行节约，减少不必要的开支。</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64.4</w:t>
      </w:r>
      <w:r>
        <w:rPr>
          <w:rFonts w:hint="eastAsia" w:ascii="仿宋_GB2312" w:eastAsia="仿宋_GB2312"/>
          <w:color w:val="000000"/>
          <w:sz w:val="32"/>
          <w:szCs w:val="32"/>
        </w:rPr>
        <w:t>万元。</w:t>
      </w:r>
      <w:r>
        <w:rPr>
          <w:rFonts w:hint="eastAsia" w:ascii="仿宋_GB2312" w:hAnsi="仿宋_GB2312" w:eastAsia="仿宋_GB2312" w:cs="仿宋_GB2312"/>
          <w:color w:val="000000"/>
          <w:sz w:val="32"/>
          <w:szCs w:val="32"/>
          <w:lang w:val="en-US" w:eastAsia="zh-CN"/>
        </w:rPr>
        <w:t>2021年11月我办根据州公车办批复，按照相关流程采购越野车一辆</w:t>
      </w:r>
      <w:r>
        <w:rPr>
          <w:rFonts w:hint="eastAsia" w:ascii="仿宋_GB2312" w:eastAsia="仿宋_GB2312"/>
          <w:color w:val="000000"/>
          <w:sz w:val="32"/>
          <w:szCs w:val="32"/>
          <w:lang w:eastAsia="zh-CN"/>
        </w:rPr>
        <w:t>。</w:t>
      </w:r>
    </w:p>
    <w:p>
      <w:pPr>
        <w:spacing w:line="600" w:lineRule="exact"/>
        <w:ind w:firstLine="640"/>
        <w:rPr>
          <w:rFonts w:hint="eastAsia" w:ascii="仿宋_GB2312" w:hAnsi="仿宋_GB2312" w:eastAsia="仿宋_GB2312" w:cs="仿宋_GB2312"/>
          <w:color w:val="000000"/>
          <w:sz w:val="32"/>
          <w:szCs w:val="32"/>
          <w:lang w:eastAsia="zh-CN"/>
        </w:rPr>
      </w:pPr>
      <w:r>
        <w:rPr>
          <w:rFonts w:hint="eastAsia" w:ascii="仿宋_GB2312" w:eastAsia="仿宋_GB2312"/>
          <w:b/>
          <w:color w:val="000000"/>
          <w:sz w:val="32"/>
          <w:szCs w:val="32"/>
        </w:rPr>
        <w:t>公务用车运行维护费支出</w:t>
      </w:r>
      <w:r>
        <w:rPr>
          <w:rFonts w:hint="eastAsia" w:ascii="仿宋_GB2312" w:hAnsi="仿宋_GB2312" w:eastAsia="仿宋_GB2312" w:cs="仿宋_GB2312"/>
          <w:color w:val="000000"/>
          <w:sz w:val="32"/>
          <w:szCs w:val="32"/>
          <w:lang w:val="en-US" w:eastAsia="zh-CN"/>
        </w:rPr>
        <w:t>29.7</w:t>
      </w:r>
      <w:r>
        <w:rPr>
          <w:rFonts w:hint="eastAsia" w:ascii="仿宋_GB2312" w:hAnsi="仿宋_GB2312" w:eastAsia="仿宋_GB2312" w:cs="仿宋_GB2312"/>
          <w:color w:val="000000"/>
          <w:sz w:val="32"/>
          <w:szCs w:val="32"/>
          <w:lang w:eastAsia="zh-CN"/>
        </w:rPr>
        <w:t>万元。</w:t>
      </w:r>
      <w:r>
        <w:rPr>
          <w:rFonts w:hint="eastAsia" w:ascii="仿宋_GB2312" w:hAnsi="仿宋_GB2312" w:eastAsia="仿宋_GB2312" w:cs="仿宋_GB2312"/>
          <w:color w:val="000000"/>
          <w:sz w:val="32"/>
          <w:szCs w:val="32"/>
          <w:lang w:eastAsia="zh-CN"/>
        </w:rPr>
        <w:t>减少</w:t>
      </w:r>
      <w:r>
        <w:rPr>
          <w:rFonts w:hint="eastAsia" w:ascii="仿宋_GB2312" w:hAnsi="仿宋_GB2312" w:eastAsia="仿宋_GB2312" w:cs="仿宋_GB2312"/>
          <w:color w:val="000000"/>
          <w:sz w:val="32"/>
          <w:szCs w:val="32"/>
          <w:lang w:val="en-US" w:eastAsia="zh-CN"/>
        </w:rPr>
        <w:t>5.66万元，下降16%，</w:t>
      </w:r>
      <w:r>
        <w:rPr>
          <w:rFonts w:hint="eastAsia" w:ascii="仿宋_GB2312" w:hAnsi="仿宋_GB2312" w:eastAsia="仿宋_GB2312" w:cs="仿宋_GB2312"/>
          <w:color w:val="000000"/>
          <w:sz w:val="32"/>
          <w:szCs w:val="32"/>
          <w:lang w:eastAsia="zh-CN"/>
        </w:rPr>
        <w:t>主要用于人大工作出差、开展脱贫攻坚工作下乡等所需的公务用车燃料费、维修费、过路过桥费、保险费等支出。</w:t>
      </w:r>
    </w:p>
    <w:p>
      <w:pPr>
        <w:numPr>
          <w:ilvl w:val="0"/>
          <w:numId w:val="0"/>
        </w:numPr>
        <w:spacing w:line="600" w:lineRule="exact"/>
        <w:ind w:firstLine="643" w:firstLineChars="200"/>
        <w:rPr>
          <w:rFonts w:hint="default" w:ascii="仿宋_GB2312" w:eastAsia="仿宋_GB2312"/>
          <w:color w:val="auto"/>
          <w:sz w:val="32"/>
          <w:szCs w:val="32"/>
          <w:lang w:val="en-US"/>
        </w:rPr>
      </w:pPr>
      <w:r>
        <w:rPr>
          <w:rFonts w:hint="eastAsia" w:ascii="仿宋_GB2312" w:eastAsia="仿宋_GB2312"/>
          <w:b/>
          <w:color w:val="000000"/>
          <w:sz w:val="32"/>
          <w:szCs w:val="32"/>
          <w:lang w:val="en-US" w:eastAsia="zh-CN"/>
        </w:rPr>
        <w:t>3.</w:t>
      </w:r>
      <w:r>
        <w:rPr>
          <w:rFonts w:hint="eastAsia" w:ascii="仿宋_GB2312" w:eastAsia="仿宋_GB2312"/>
          <w:b/>
          <w:color w:val="000000"/>
          <w:sz w:val="32"/>
          <w:szCs w:val="32"/>
        </w:rPr>
        <w:t>公务接待费支出</w:t>
      </w:r>
      <w:r>
        <w:rPr>
          <w:rFonts w:hint="eastAsia" w:ascii="仿宋_GB2312" w:hAnsi="仿宋_GB2312" w:eastAsia="仿宋_GB2312" w:cs="仿宋_GB2312"/>
          <w:color w:val="000000"/>
          <w:sz w:val="32"/>
          <w:szCs w:val="32"/>
          <w:lang w:val="en-US" w:eastAsia="zh-CN"/>
        </w:rPr>
        <w:t>4.89</w:t>
      </w:r>
      <w:r>
        <w:rPr>
          <w:rFonts w:hint="eastAsia" w:ascii="仿宋_GB2312" w:hAnsi="仿宋_GB2312" w:eastAsia="仿宋_GB2312" w:cs="仿宋_GB2312"/>
          <w:color w:val="000000"/>
          <w:sz w:val="32"/>
          <w:szCs w:val="32"/>
        </w:rPr>
        <w:t>万元，</w:t>
      </w:r>
      <w:r>
        <w:rPr>
          <w:rStyle w:val="13"/>
          <w:rFonts w:hint="eastAsia" w:ascii="仿宋_GB2312" w:hAnsi="仿宋_GB2312" w:eastAsia="仿宋_GB2312" w:cs="仿宋_GB2312"/>
          <w:b w:val="0"/>
          <w:bCs/>
          <w:color w:val="000000"/>
          <w:sz w:val="32"/>
          <w:szCs w:val="32"/>
        </w:rPr>
        <w:t>完成预算</w:t>
      </w:r>
      <w:r>
        <w:rPr>
          <w:rStyle w:val="13"/>
          <w:rFonts w:hint="eastAsia" w:ascii="仿宋_GB2312" w:hAnsi="仿宋_GB2312" w:eastAsia="仿宋_GB2312" w:cs="仿宋_GB2312"/>
          <w:b w:val="0"/>
          <w:bCs/>
          <w:color w:val="000000"/>
          <w:sz w:val="32"/>
          <w:szCs w:val="32"/>
          <w:lang w:val="en-US" w:eastAsia="zh-CN"/>
        </w:rPr>
        <w:t>100</w:t>
      </w:r>
      <w:r>
        <w:rPr>
          <w:rStyle w:val="13"/>
          <w:rFonts w:hint="eastAsia" w:ascii="仿宋_GB2312" w:hAnsi="仿宋_GB2312" w:eastAsia="仿宋_GB2312" w:cs="仿宋_GB2312"/>
          <w:b w:val="0"/>
          <w:bCs/>
          <w:color w:val="000000"/>
          <w:sz w:val="32"/>
          <w:szCs w:val="32"/>
        </w:rPr>
        <w:t>%。</w:t>
      </w:r>
      <w:r>
        <w:rPr>
          <w:rFonts w:hint="eastAsia" w:ascii="仿宋_GB2312" w:hAnsi="仿宋_GB2312" w:eastAsia="仿宋_GB2312" w:cs="仿宋_GB2312"/>
          <w:color w:val="000000"/>
          <w:sz w:val="32"/>
          <w:szCs w:val="32"/>
        </w:rPr>
        <w:t>公务接待费支出决算比</w:t>
      </w:r>
      <w:r>
        <w:rPr>
          <w:rFonts w:hint="eastAsia" w:ascii="仿宋_GB2312" w:hAnsi="仿宋_GB2312" w:eastAsia="仿宋_GB2312" w:cs="仿宋_GB2312"/>
          <w:color w:val="000000"/>
          <w:sz w:val="32"/>
          <w:szCs w:val="32"/>
          <w:lang w:val="en-US" w:eastAsia="zh-CN"/>
        </w:rPr>
        <w:t>2020</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eastAsia="zh-CN"/>
        </w:rPr>
        <w:t>减少</w:t>
      </w:r>
      <w:r>
        <w:rPr>
          <w:rFonts w:hint="eastAsia" w:ascii="仿宋_GB2312" w:hAnsi="仿宋_GB2312" w:eastAsia="仿宋_GB2312" w:cs="仿宋_GB2312"/>
          <w:color w:val="000000"/>
          <w:sz w:val="32"/>
          <w:szCs w:val="32"/>
          <w:lang w:val="en-US" w:eastAsia="zh-CN"/>
        </w:rPr>
        <w:t>1.19</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下降</w:t>
      </w:r>
      <w:r>
        <w:rPr>
          <w:rFonts w:hint="eastAsia" w:ascii="仿宋_GB2312" w:hAnsi="仿宋_GB2312" w:eastAsia="仿宋_GB2312" w:cs="仿宋_GB2312"/>
          <w:color w:val="000000"/>
          <w:sz w:val="32"/>
          <w:szCs w:val="32"/>
          <w:lang w:val="en-US" w:eastAsia="zh-CN"/>
        </w:rPr>
        <w:t>19.57</w:t>
      </w:r>
      <w:r>
        <w:rPr>
          <w:rFonts w:hint="eastAsia" w:ascii="仿宋_GB2312" w:hAnsi="仿宋_GB2312" w:eastAsia="仿宋_GB2312" w:cs="仿宋_GB2312"/>
          <w:color w:val="000000"/>
          <w:sz w:val="32"/>
          <w:szCs w:val="32"/>
        </w:rPr>
        <w:t>。主要原</w:t>
      </w:r>
      <w:r>
        <w:rPr>
          <w:rFonts w:hint="eastAsia" w:ascii="仿宋_GB2312" w:hAnsi="仿宋_GB2312" w:eastAsia="仿宋_GB2312" w:cs="仿宋_GB2312"/>
          <w:color w:val="000000"/>
          <w:sz w:val="32"/>
          <w:szCs w:val="32"/>
          <w:lang w:eastAsia="zh-CN"/>
        </w:rPr>
        <w:t>因</w:t>
      </w:r>
      <w:r>
        <w:rPr>
          <w:rFonts w:hint="eastAsia" w:ascii="仿宋_GB2312" w:hAnsi="仿宋_GB2312" w:eastAsia="仿宋_GB2312" w:cs="仿宋_GB2312"/>
          <w:sz w:val="32"/>
          <w:szCs w:val="32"/>
          <w:lang w:val="en-US" w:eastAsia="zh-CN"/>
        </w:rPr>
        <w:t>是严格执行“八项规定、六项禁令”，严格规范管理接待，减少不必要的接待开支。</w:t>
      </w:r>
    </w:p>
    <w:p>
      <w:pPr>
        <w:numPr>
          <w:ilvl w:val="0"/>
          <w:numId w:val="0"/>
        </w:numPr>
        <w:spacing w:line="600" w:lineRule="exact"/>
        <w:ind w:firstLine="643" w:firstLineChars="200"/>
        <w:rPr>
          <w:rFonts w:hint="default" w:ascii="仿宋_GB2312" w:hAnsi="仿宋_GB2312" w:eastAsia="仿宋_GB2312" w:cs="仿宋_GB2312"/>
          <w:sz w:val="32"/>
          <w:szCs w:val="32"/>
          <w:lang w:val="en-US" w:eastAsia="zh-CN"/>
        </w:rPr>
      </w:pPr>
      <w:r>
        <w:rPr>
          <w:rFonts w:hint="eastAsia" w:ascii="仿宋" w:hAnsi="仿宋" w:eastAsia="仿宋"/>
          <w:b/>
          <w:color w:val="auto"/>
          <w:sz w:val="32"/>
          <w:szCs w:val="32"/>
        </w:rPr>
        <w:t>国内公务接待支出</w:t>
      </w:r>
      <w:r>
        <w:rPr>
          <w:rFonts w:hint="eastAsia" w:ascii="仿宋_GB2312" w:hAnsi="仿宋_GB2312" w:eastAsia="仿宋_GB2312" w:cs="仿宋_GB2312"/>
          <w:sz w:val="32"/>
          <w:szCs w:val="32"/>
          <w:lang w:val="en-US" w:eastAsia="zh-CN"/>
        </w:rPr>
        <w:t>4.89万元，主要用于接待上级部门及各县执行公务、开展业务活动、调研等开支的餐费。2021年国内公务接待19批次，500人次（不包括陪同人员），共计支出4.89万元，具体内容包括：接待各县来我县考察调研乡村振兴，代表联络站减少，环境保护等，在考察调研过程中相互交流相关工作经验取长补短，让我县代表不出县的情况下开阔了眼界，同时学习了其他县先进工作经验，为我县进一步做好人大相关工作奠定了坚实的基础。</w:t>
      </w:r>
    </w:p>
    <w:p>
      <w:pPr>
        <w:spacing w:line="600" w:lineRule="exact"/>
        <w:ind w:firstLine="643" w:firstLineChars="200"/>
        <w:rPr>
          <w:rStyle w:val="13"/>
          <w:rFonts w:hint="eastAsia" w:ascii="仿宋_GB2312" w:hAnsi="仿宋_GB2312" w:eastAsia="仿宋_GB2312" w:cs="仿宋_GB2312"/>
          <w:sz w:val="32"/>
          <w:szCs w:val="32"/>
          <w:shd w:val="clear" w:color="auto" w:fill="FFFFFF"/>
          <w:lang w:eastAsia="zh-CN"/>
        </w:rPr>
      </w:pPr>
      <w:r>
        <w:rPr>
          <w:rFonts w:hint="eastAsia" w:ascii="仿宋" w:hAnsi="仿宋" w:eastAsia="仿宋"/>
          <w:b/>
          <w:color w:val="000000"/>
          <w:sz w:val="32"/>
          <w:szCs w:val="32"/>
        </w:rPr>
        <w:t>外事接待支出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14:textFill>
            <w14:solidFill>
              <w14:schemeClr w14:val="tx1"/>
            </w14:solidFill>
          </w14:textFill>
        </w:rPr>
        <w:t>，外事接待</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批次，</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人，共计支出</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万元</w:t>
      </w:r>
      <w:r>
        <w:rPr>
          <w:rFonts w:hint="eastAsia" w:ascii="仿宋_GB2312" w:eastAsia="仿宋_GB2312"/>
          <w:color w:val="000000" w:themeColor="text1"/>
          <w:sz w:val="32"/>
          <w:szCs w:val="32"/>
          <w:lang w:eastAsia="zh-CN"/>
          <w14:textFill>
            <w14:solidFill>
              <w14:schemeClr w14:val="tx1"/>
            </w14:solidFill>
          </w14:textFill>
        </w:rPr>
        <w:t>。</w:t>
      </w:r>
    </w:p>
    <w:p>
      <w:pPr>
        <w:pStyle w:val="10"/>
        <w:keepNext w:val="0"/>
        <w:keepLines w:val="0"/>
        <w:widowControl/>
        <w:numPr>
          <w:ilvl w:val="0"/>
          <w:numId w:val="5"/>
        </w:numPr>
        <w:suppressLineNumbers w:val="0"/>
        <w:shd w:val="clear" w:color="auto" w:fill="auto"/>
        <w:ind w:left="0" w:right="75"/>
        <w:jc w:val="left"/>
        <w:outlineLvl w:val="1"/>
        <w:rPr>
          <w:rFonts w:hint="eastAsia" w:ascii="黑体" w:hAnsi="黑体" w:eastAsia="黑体" w:cs="黑体"/>
          <w:sz w:val="32"/>
          <w:szCs w:val="32"/>
          <w:shd w:val="clear" w:color="auto" w:fill="FFFFFF"/>
        </w:rPr>
      </w:pPr>
      <w:bookmarkStart w:id="14" w:name="_Toc9599"/>
      <w:r>
        <w:rPr>
          <w:rFonts w:hint="eastAsia" w:ascii="黑体" w:hAnsi="黑体" w:eastAsia="黑体" w:cs="黑体"/>
          <w:sz w:val="32"/>
          <w:szCs w:val="32"/>
          <w:shd w:val="clear" w:color="auto" w:fill="FFFFFF"/>
        </w:rPr>
        <w:t>政府性基金预算支出决算情况说明</w:t>
      </w:r>
      <w:bookmarkEnd w:id="14"/>
    </w:p>
    <w:p>
      <w:pPr>
        <w:spacing w:line="600" w:lineRule="exact"/>
        <w:ind w:firstLine="640" w:firstLineChars="200"/>
        <w:rPr>
          <w:rFonts w:hint="eastAsia" w:ascii="黑体" w:hAnsi="黑体" w:eastAsia="仿宋_GB2312" w:cs="黑体"/>
          <w:sz w:val="32"/>
          <w:szCs w:val="32"/>
          <w:shd w:val="clear" w:color="auto" w:fill="FFFFFF"/>
          <w:lang w:eastAsia="zh-CN"/>
        </w:rPr>
      </w:pP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pStyle w:val="10"/>
        <w:keepNext w:val="0"/>
        <w:keepLines w:val="0"/>
        <w:widowControl/>
        <w:numPr>
          <w:ilvl w:val="0"/>
          <w:numId w:val="5"/>
        </w:numPr>
        <w:suppressLineNumbers w:val="0"/>
        <w:shd w:val="clear" w:color="auto" w:fill="auto"/>
        <w:ind w:left="0" w:leftChars="0" w:right="75" w:firstLine="0" w:firstLineChars="0"/>
        <w:jc w:val="left"/>
        <w:outlineLvl w:val="1"/>
        <w:rPr>
          <w:rFonts w:hint="eastAsia" w:ascii="黑体" w:hAnsi="黑体" w:eastAsia="黑体" w:cs="黑体"/>
          <w:sz w:val="32"/>
          <w:szCs w:val="32"/>
          <w:shd w:val="clear" w:color="auto" w:fill="FFFFFF"/>
        </w:rPr>
      </w:pPr>
      <w:bookmarkStart w:id="15" w:name="_Toc31416"/>
      <w:r>
        <w:rPr>
          <w:rFonts w:hint="eastAsia" w:ascii="黑体" w:hAnsi="黑体" w:eastAsia="黑体" w:cs="黑体"/>
          <w:sz w:val="32"/>
          <w:szCs w:val="32"/>
          <w:shd w:val="clear" w:color="auto" w:fill="FFFFFF"/>
        </w:rPr>
        <w:t>国有资本经营预算支出决算情况说明</w:t>
      </w:r>
      <w:bookmarkEnd w:id="15"/>
    </w:p>
    <w:p>
      <w:pPr>
        <w:spacing w:line="600" w:lineRule="exact"/>
        <w:ind w:firstLine="640"/>
        <w:rPr>
          <w:rFonts w:hint="eastAsia" w:ascii="黑体" w:hAnsi="黑体" w:eastAsia="黑体" w:cs="黑体"/>
          <w:sz w:val="32"/>
          <w:szCs w:val="32"/>
          <w:shd w:val="clear" w:color="auto" w:fill="FFFFFF"/>
        </w:rPr>
      </w:pP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pStyle w:val="10"/>
        <w:keepNext w:val="0"/>
        <w:keepLines w:val="0"/>
        <w:widowControl/>
        <w:suppressLineNumbers w:val="0"/>
        <w:shd w:val="clear" w:color="auto" w:fill="auto"/>
        <w:ind w:left="0" w:right="75"/>
        <w:jc w:val="left"/>
        <w:outlineLvl w:val="1"/>
        <w:rPr>
          <w:rFonts w:hint="eastAsia" w:ascii="黑体" w:hAnsi="黑体" w:eastAsia="黑体" w:cs="黑体"/>
          <w:sz w:val="32"/>
          <w:szCs w:val="32"/>
          <w:shd w:val="clear" w:color="auto" w:fill="FFFFFF"/>
        </w:rPr>
      </w:pPr>
      <w:bookmarkStart w:id="16" w:name="_Toc11587"/>
      <w:r>
        <w:rPr>
          <w:rFonts w:hint="eastAsia" w:ascii="黑体" w:hAnsi="黑体" w:eastAsia="黑体" w:cs="黑体"/>
          <w:sz w:val="32"/>
          <w:szCs w:val="32"/>
          <w:shd w:val="clear" w:color="auto" w:fill="FFFFFF"/>
        </w:rPr>
        <w:t>十、其他重要事项的情况说明</w:t>
      </w:r>
      <w:bookmarkEnd w:id="16"/>
    </w:p>
    <w:p>
      <w:pPr>
        <w:pStyle w:val="10"/>
        <w:keepNext w:val="0"/>
        <w:keepLines w:val="0"/>
        <w:widowControl/>
        <w:suppressLineNumbers w:val="0"/>
        <w:ind w:left="0" w:right="75"/>
        <w:rPr>
          <w:rStyle w:val="13"/>
          <w:rFonts w:hint="eastAsia" w:ascii="仿宋_GB2312" w:hAnsi="仿宋_GB2312" w:eastAsia="仿宋_GB2312" w:cs="仿宋_GB2312"/>
          <w:sz w:val="32"/>
          <w:szCs w:val="32"/>
          <w:shd w:val="clear" w:color="auto" w:fill="FFFFFF"/>
        </w:rPr>
      </w:pPr>
      <w:r>
        <w:rPr>
          <w:rStyle w:val="13"/>
          <w:rFonts w:hint="eastAsia" w:ascii="仿宋_GB2312" w:hAnsi="仿宋_GB2312" w:eastAsia="仿宋_GB2312" w:cs="仿宋_GB2312"/>
          <w:sz w:val="32"/>
          <w:szCs w:val="32"/>
          <w:shd w:val="clear" w:color="auto" w:fill="FFFFFF"/>
        </w:rPr>
        <w:t>（一）机关运行经费支出情况</w:t>
      </w:r>
    </w:p>
    <w:p>
      <w:pPr>
        <w:pStyle w:val="10"/>
        <w:keepNext w:val="0"/>
        <w:keepLines w:val="0"/>
        <w:widowControl/>
        <w:suppressLineNumbers w:val="0"/>
        <w:ind w:left="0" w:right="75" w:firstLine="640" w:firstLineChars="200"/>
        <w:rPr>
          <w:rStyle w:val="13"/>
          <w:rFonts w:hint="default" w:ascii="仿宋_GB2312" w:hAnsi="仿宋_GB2312" w:eastAsia="仿宋_GB2312" w:cs="仿宋_GB2312"/>
          <w:sz w:val="32"/>
          <w:szCs w:val="32"/>
          <w:shd w:val="clear" w:color="auto" w:fill="FFFFFF"/>
          <w:lang w:val="en-US"/>
        </w:rPr>
      </w:pP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w:t>
      </w:r>
      <w:r>
        <w:rPr>
          <w:rFonts w:hint="eastAsia" w:ascii="仿宋_GB2312" w:eastAsia="仿宋_GB2312"/>
          <w:color w:val="000000"/>
          <w:sz w:val="32"/>
          <w:szCs w:val="32"/>
          <w:lang w:eastAsia="zh-CN"/>
        </w:rPr>
        <w:t>人大</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65.2</w:t>
      </w:r>
      <w:r>
        <w:rPr>
          <w:rFonts w:hint="eastAsia" w:ascii="仿宋_GB2312" w:eastAsia="仿宋_GB2312"/>
          <w:color w:val="000000"/>
          <w:sz w:val="32"/>
          <w:szCs w:val="32"/>
        </w:rPr>
        <w:t>万元，比</w:t>
      </w:r>
      <w:r>
        <w:rPr>
          <w:rFonts w:hint="eastAsia" w:ascii="仿宋_GB2312" w:eastAsia="仿宋_GB2312"/>
          <w:color w:val="000000"/>
          <w:sz w:val="32"/>
          <w:szCs w:val="32"/>
          <w:lang w:val="en-US" w:eastAsia="zh-CN"/>
        </w:rPr>
        <w:t>2020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0.62</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上升</w:t>
      </w:r>
      <w:r>
        <w:rPr>
          <w:rFonts w:hint="eastAsia" w:ascii="仿宋_GB2312" w:eastAsia="仿宋_GB2312"/>
          <w:color w:val="000000"/>
          <w:sz w:val="32"/>
          <w:szCs w:val="32"/>
          <w:lang w:val="en-US" w:eastAsia="zh-CN"/>
        </w:rPr>
        <w:t>0.96</w:t>
      </w:r>
      <w:r>
        <w:rPr>
          <w:rFonts w:ascii="仿宋_GB2312" w:eastAsia="仿宋_GB2312"/>
          <w:color w:val="000000"/>
          <w:sz w:val="32"/>
          <w:szCs w:val="32"/>
        </w:rPr>
        <w:t>%</w:t>
      </w:r>
      <w:r>
        <w:rPr>
          <w:rFonts w:hint="eastAsia" w:ascii="仿宋_GB2312" w:eastAsia="仿宋_GB2312"/>
          <w:color w:val="000000"/>
          <w:sz w:val="32"/>
          <w:szCs w:val="32"/>
          <w:lang w:eastAsia="zh-CN"/>
        </w:rPr>
        <w:t>，与上年基本持平</w:t>
      </w:r>
      <w:r>
        <w:rPr>
          <w:rFonts w:hint="eastAsia" w:ascii="仿宋_GB2312" w:hAnsi="仿宋_GB2312" w:eastAsia="仿宋_GB2312" w:cs="仿宋_GB2312"/>
          <w:b w:val="0"/>
          <w:bCs w:val="0"/>
          <w:color w:val="000000"/>
          <w:sz w:val="32"/>
          <w:szCs w:val="32"/>
          <w:lang w:val="en-US" w:eastAsia="zh-CN"/>
        </w:rPr>
        <w:t>。</w:t>
      </w:r>
    </w:p>
    <w:p>
      <w:pPr>
        <w:pStyle w:val="10"/>
        <w:keepNext w:val="0"/>
        <w:keepLines w:val="0"/>
        <w:widowControl/>
        <w:numPr>
          <w:ilvl w:val="0"/>
          <w:numId w:val="0"/>
        </w:numPr>
        <w:suppressLineNumbers w:val="0"/>
        <w:ind w:leftChars="0" w:right="75" w:rightChars="0"/>
        <w:rPr>
          <w:rStyle w:val="13"/>
          <w:rFonts w:hint="eastAsia" w:ascii="仿宋_GB2312" w:hAnsi="仿宋_GB2312" w:eastAsia="仿宋_GB2312" w:cs="仿宋_GB2312"/>
          <w:sz w:val="32"/>
          <w:szCs w:val="32"/>
          <w:shd w:val="clear" w:color="auto" w:fill="FFFFFF"/>
        </w:rPr>
      </w:pPr>
      <w:r>
        <w:rPr>
          <w:rStyle w:val="13"/>
          <w:rFonts w:hint="eastAsia" w:ascii="仿宋_GB2312" w:hAnsi="仿宋_GB2312" w:eastAsia="仿宋_GB2312" w:cs="仿宋_GB2312"/>
          <w:sz w:val="32"/>
          <w:szCs w:val="32"/>
          <w:shd w:val="clear" w:color="auto" w:fill="FFFFFF"/>
          <w:lang w:eastAsia="zh-CN"/>
        </w:rPr>
        <w:t>（二）</w:t>
      </w:r>
      <w:r>
        <w:rPr>
          <w:rStyle w:val="13"/>
          <w:rFonts w:hint="eastAsia" w:ascii="仿宋_GB2312" w:hAnsi="仿宋_GB2312" w:eastAsia="仿宋_GB2312" w:cs="仿宋_GB2312"/>
          <w:sz w:val="32"/>
          <w:szCs w:val="32"/>
          <w:shd w:val="clear" w:color="auto" w:fill="FFFFFF"/>
        </w:rPr>
        <w:t>政府采购支出情况</w:t>
      </w:r>
    </w:p>
    <w:p>
      <w:pPr>
        <w:spacing w:line="600" w:lineRule="exact"/>
        <w:ind w:firstLine="640" w:firstLineChars="200"/>
        <w:rPr>
          <w:rStyle w:val="13"/>
          <w:rFonts w:hint="eastAsia" w:ascii="仿宋_GB2312" w:hAnsi="仿宋_GB2312" w:eastAsia="仿宋_GB2312" w:cs="仿宋_GB2312"/>
          <w:sz w:val="32"/>
          <w:szCs w:val="32"/>
          <w:shd w:val="clear" w:color="auto" w:fill="FFFFFF"/>
        </w:rPr>
      </w:pPr>
      <w:r>
        <w:rPr>
          <w:rFonts w:hint="eastAsia" w:ascii="仿宋_GB2312" w:eastAsia="仿宋_GB2312"/>
          <w:color w:val="000000"/>
          <w:sz w:val="32"/>
          <w:szCs w:val="32"/>
          <w:lang w:val="en-US" w:eastAsia="zh-CN"/>
        </w:rPr>
        <w:t>2021</w:t>
      </w:r>
      <w:r>
        <w:rPr>
          <w:rFonts w:hint="eastAsia" w:ascii="仿宋_GB2312" w:eastAsia="仿宋_GB2312"/>
          <w:color w:val="000000"/>
          <w:sz w:val="32"/>
          <w:szCs w:val="32"/>
        </w:rPr>
        <w:t>年，</w:t>
      </w:r>
      <w:r>
        <w:rPr>
          <w:rFonts w:hint="eastAsia" w:ascii="仿宋_GB2312" w:eastAsia="仿宋_GB2312"/>
          <w:color w:val="000000"/>
          <w:sz w:val="32"/>
          <w:szCs w:val="32"/>
          <w:lang w:eastAsia="zh-CN"/>
        </w:rPr>
        <w:t>人大</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59.16</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59.16</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支付越野车一辆，</w:t>
      </w:r>
      <w:r>
        <w:rPr>
          <w:rFonts w:hint="eastAsia" w:ascii="仿宋_GB2312" w:eastAsia="仿宋_GB2312"/>
          <w:color w:val="000000"/>
          <w:sz w:val="32"/>
          <w:szCs w:val="32"/>
        </w:rPr>
        <w:t>授予中小企业合同金额</w:t>
      </w:r>
      <w:r>
        <w:rPr>
          <w:rFonts w:hint="eastAsia" w:ascii="仿宋_GB2312" w:eastAsia="仿宋_GB2312"/>
          <w:color w:val="000000"/>
          <w:sz w:val="32"/>
          <w:szCs w:val="32"/>
          <w:lang w:val="en-US" w:eastAsia="zh-CN"/>
        </w:rPr>
        <w:t>59.16</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100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59.16</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100</w:t>
      </w:r>
      <w:r>
        <w:rPr>
          <w:rFonts w:ascii="仿宋_GB2312" w:eastAsia="仿宋_GB2312"/>
          <w:color w:val="000000"/>
          <w:sz w:val="32"/>
          <w:szCs w:val="32"/>
        </w:rPr>
        <w:t>%</w:t>
      </w:r>
      <w:r>
        <w:rPr>
          <w:rFonts w:hint="eastAsia" w:ascii="仿宋_GB2312" w:eastAsia="仿宋_GB2312"/>
          <w:color w:val="000000"/>
          <w:sz w:val="32"/>
          <w:szCs w:val="32"/>
        </w:rPr>
        <w:t>。</w:t>
      </w:r>
    </w:p>
    <w:p>
      <w:pPr>
        <w:pStyle w:val="10"/>
        <w:keepNext w:val="0"/>
        <w:keepLines w:val="0"/>
        <w:widowControl/>
        <w:numPr>
          <w:ilvl w:val="0"/>
          <w:numId w:val="4"/>
        </w:numPr>
        <w:suppressLineNumbers w:val="0"/>
        <w:ind w:left="0" w:leftChars="0" w:right="75" w:firstLine="0" w:firstLineChars="0"/>
        <w:rPr>
          <w:rStyle w:val="13"/>
          <w:rFonts w:hint="eastAsia" w:ascii="仿宋_GB2312" w:hAnsi="仿宋_GB2312" w:eastAsia="仿宋_GB2312" w:cs="仿宋_GB2312"/>
          <w:sz w:val="32"/>
          <w:szCs w:val="32"/>
          <w:shd w:val="clear" w:color="auto" w:fill="FFFFFF"/>
        </w:rPr>
      </w:pPr>
      <w:r>
        <w:rPr>
          <w:rStyle w:val="13"/>
          <w:rFonts w:hint="eastAsia" w:ascii="仿宋_GB2312" w:hAnsi="仿宋_GB2312" w:eastAsia="仿宋_GB2312" w:cs="仿宋_GB2312"/>
          <w:sz w:val="32"/>
          <w:szCs w:val="32"/>
          <w:shd w:val="clear" w:color="auto" w:fill="FFFFFF"/>
        </w:rPr>
        <w:t>国有资产占有使用情况</w:t>
      </w:r>
    </w:p>
    <w:p>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截至20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年12月31日，</w:t>
      </w:r>
      <w:r>
        <w:rPr>
          <w:rFonts w:hint="eastAsia" w:ascii="仿宋_GB2312" w:eastAsia="仿宋_GB2312"/>
          <w:color w:val="000000"/>
          <w:sz w:val="32"/>
          <w:szCs w:val="32"/>
          <w:lang w:eastAsia="zh-CN"/>
        </w:rPr>
        <w:t>红原县人大</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val="en-US" w:eastAsia="zh-CN"/>
        </w:rPr>
        <w:t>.</w:t>
      </w:r>
      <w:r>
        <w:rPr>
          <w:rFonts w:hint="eastAsia" w:ascii="仿宋_GB2312" w:eastAsia="仿宋_GB2312"/>
          <w:color w:val="000000"/>
          <w:sz w:val="32"/>
          <w:szCs w:val="32"/>
        </w:rPr>
        <w:t>单价50万元以上通用设备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台（套），单价100万元以上专用设备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年度，我单位配置固定资产</w:t>
      </w:r>
      <w:r>
        <w:rPr>
          <w:rFonts w:hint="eastAsia" w:ascii="仿宋_GB2312" w:eastAsia="仿宋_GB2312"/>
          <w:color w:val="000000"/>
          <w:sz w:val="32"/>
          <w:szCs w:val="32"/>
          <w:lang w:val="en-US" w:eastAsia="zh-CN"/>
        </w:rPr>
        <w:t>378.49</w:t>
      </w:r>
      <w:r>
        <w:rPr>
          <w:rFonts w:hint="eastAsia" w:ascii="仿宋_GB2312" w:eastAsia="仿宋_GB2312"/>
          <w:color w:val="000000"/>
          <w:sz w:val="32"/>
          <w:szCs w:val="32"/>
        </w:rPr>
        <w:t>万元（账面原值，下同）。从资产类别分析，配置土地、房屋及构筑物</w:t>
      </w:r>
      <w:r>
        <w:rPr>
          <w:rFonts w:hint="eastAsia" w:ascii="仿宋_GB2312" w:eastAsia="仿宋_GB2312"/>
          <w:color w:val="000000"/>
          <w:sz w:val="32"/>
          <w:szCs w:val="32"/>
          <w:lang w:val="en-US" w:eastAsia="zh-CN"/>
        </w:rPr>
        <w:t>32.5</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8.59</w:t>
      </w:r>
      <w:r>
        <w:rPr>
          <w:rFonts w:hint="eastAsia" w:ascii="仿宋_GB2312" w:eastAsia="仿宋_GB2312"/>
          <w:color w:val="000000"/>
          <w:sz w:val="32"/>
          <w:szCs w:val="32"/>
        </w:rPr>
        <w:t>%； 配置通用设备</w:t>
      </w:r>
      <w:r>
        <w:rPr>
          <w:rFonts w:hint="eastAsia" w:ascii="仿宋_GB2312" w:eastAsia="仿宋_GB2312"/>
          <w:color w:val="000000"/>
          <w:sz w:val="32"/>
          <w:szCs w:val="32"/>
          <w:lang w:val="en-US" w:eastAsia="zh-CN"/>
        </w:rPr>
        <w:t>324.36</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85.7</w:t>
      </w:r>
      <w:r>
        <w:rPr>
          <w:rFonts w:hint="eastAsia" w:ascii="仿宋_GB2312" w:eastAsia="仿宋_GB2312"/>
          <w:color w:val="000000"/>
          <w:sz w:val="32"/>
          <w:szCs w:val="32"/>
        </w:rPr>
        <w:t>% ； 配置家具、用具、装具及动植物</w:t>
      </w:r>
      <w:r>
        <w:rPr>
          <w:rFonts w:hint="eastAsia" w:ascii="仿宋_GB2312" w:eastAsia="仿宋_GB2312"/>
          <w:color w:val="000000"/>
          <w:sz w:val="32"/>
          <w:szCs w:val="32"/>
          <w:lang w:val="en-US" w:eastAsia="zh-CN"/>
        </w:rPr>
        <w:t>21.63</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5.71</w:t>
      </w:r>
      <w:r>
        <w:rPr>
          <w:rFonts w:hint="eastAsia" w:ascii="仿宋_GB2312" w:eastAsia="仿宋_GB2312"/>
          <w:color w:val="000000"/>
          <w:sz w:val="32"/>
          <w:szCs w:val="32"/>
        </w:rPr>
        <w:t>% 。</w:t>
      </w:r>
    </w:p>
    <w:p>
      <w:pPr>
        <w:pStyle w:val="10"/>
        <w:keepNext w:val="0"/>
        <w:keepLines w:val="0"/>
        <w:widowControl/>
        <w:numPr>
          <w:ilvl w:val="0"/>
          <w:numId w:val="4"/>
        </w:numPr>
        <w:suppressLineNumbers w:val="0"/>
        <w:shd w:val="clear" w:color="auto" w:fill="auto"/>
        <w:ind w:left="0" w:leftChars="0" w:right="75" w:firstLine="0" w:firstLineChars="0"/>
        <w:rPr>
          <w:rStyle w:val="13"/>
          <w:rFonts w:hint="eastAsia" w:ascii="仿宋_GB2312" w:hAnsi="仿宋_GB2312" w:eastAsia="仿宋_GB2312" w:cs="仿宋_GB2312"/>
          <w:sz w:val="32"/>
          <w:szCs w:val="32"/>
          <w:shd w:val="clear" w:color="auto" w:fill="FFFFFF"/>
          <w:lang w:val="en-US" w:eastAsia="zh-CN"/>
        </w:rPr>
      </w:pPr>
      <w:r>
        <w:rPr>
          <w:rStyle w:val="13"/>
          <w:rFonts w:hint="eastAsia" w:ascii="仿宋_GB2312" w:hAnsi="仿宋_GB2312" w:eastAsia="仿宋_GB2312" w:cs="仿宋_GB2312"/>
          <w:sz w:val="32"/>
          <w:szCs w:val="32"/>
          <w:shd w:val="clear" w:color="auto" w:fill="FFFFFF"/>
          <w:lang w:val="en-US" w:eastAsia="zh-CN"/>
        </w:rPr>
        <w:t>由养老保险机构发放养老金的退休人员</w:t>
      </w:r>
    </w:p>
    <w:p>
      <w:pPr>
        <w:pStyle w:val="2"/>
        <w:numPr>
          <w:ilvl w:val="0"/>
          <w:numId w:val="0"/>
        </w:numPr>
        <w:ind w:firstLine="640" w:firstLineChars="200"/>
        <w:rPr>
          <w:rFonts w:hint="eastAsia"/>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本单位由养老保险机构发放养老金的退休人员24人，较上年新增1人。</w:t>
      </w:r>
    </w:p>
    <w:p>
      <w:pPr>
        <w:pStyle w:val="10"/>
        <w:keepNext w:val="0"/>
        <w:keepLines w:val="0"/>
        <w:widowControl/>
        <w:numPr>
          <w:ilvl w:val="0"/>
          <w:numId w:val="4"/>
        </w:numPr>
        <w:suppressLineNumbers w:val="0"/>
        <w:ind w:left="0" w:leftChars="0" w:right="75" w:firstLine="0" w:firstLineChars="0"/>
        <w:rPr>
          <w:rStyle w:val="13"/>
          <w:rFonts w:hint="eastAsia" w:ascii="仿宋_GB2312" w:hAnsi="仿宋_GB2312" w:eastAsia="仿宋_GB2312" w:cs="仿宋_GB2312"/>
          <w:sz w:val="32"/>
          <w:szCs w:val="32"/>
          <w:shd w:val="clear" w:color="auto" w:fill="FFFFFF"/>
        </w:rPr>
      </w:pPr>
      <w:r>
        <w:rPr>
          <w:rStyle w:val="13"/>
          <w:rFonts w:hint="eastAsia" w:ascii="仿宋_GB2312" w:hAnsi="仿宋_GB2312" w:eastAsia="仿宋_GB2312" w:cs="仿宋_GB2312"/>
          <w:sz w:val="32"/>
          <w:szCs w:val="32"/>
          <w:shd w:val="clear" w:color="auto" w:fill="FFFFFF"/>
        </w:rPr>
        <w:t>预算绩效管理情况。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w:t>
      </w:r>
      <w:r>
        <w:rPr>
          <w:rFonts w:hint="eastAsia" w:ascii="仿宋_GB2312" w:hAnsi="仿宋_GB2312" w:eastAsia="仿宋_GB2312" w:cs="仿宋_GB2312"/>
          <w:sz w:val="32"/>
          <w:szCs w:val="32"/>
          <w:lang w:val="en-US" w:eastAsia="zh-CN"/>
        </w:rPr>
        <w:t>人大代表专项、人大会议专项及人大代表履职能力提升3个</w:t>
      </w:r>
      <w:r>
        <w:rPr>
          <w:rFonts w:hint="eastAsia" w:ascii="仿宋_GB2312" w:hAnsi="仿宋_GB2312" w:eastAsia="仿宋_GB2312" w:cs="仿宋_GB2312"/>
          <w:sz w:val="32"/>
          <w:szCs w:val="32"/>
        </w:rPr>
        <w:t>项目开展了预算事前绩效评估，对</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个项目开展了绩效目标完成情况自评。</w:t>
      </w:r>
    </w:p>
    <w:p>
      <w:pPr>
        <w:spacing w:line="58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本部门按要求对2</w:t>
      </w:r>
      <w:r>
        <w:rPr>
          <w:rFonts w:hint="eastAsia" w:ascii="仿宋_GB2312" w:hAnsi="仿宋_GB2312" w:eastAsia="仿宋_GB2312" w:cs="仿宋_GB2312"/>
          <w:sz w:val="32"/>
          <w:szCs w:val="32"/>
          <w:lang w:val="en-US" w:eastAsia="zh-CN"/>
        </w:rPr>
        <w:t>021</w:t>
      </w:r>
      <w:r>
        <w:rPr>
          <w:rFonts w:hint="eastAsia" w:ascii="仿宋_GB2312" w:hAnsi="仿宋_GB2312" w:eastAsia="仿宋_GB2312" w:cs="仿宋_GB2312"/>
          <w:sz w:val="32"/>
          <w:szCs w:val="32"/>
        </w:rPr>
        <w:t>年部门整体支出开展绩效自评，从评价情况来看</w:t>
      </w:r>
      <w:r>
        <w:rPr>
          <w:rFonts w:hint="eastAsia" w:ascii="仿宋_GB2312" w:hAnsi="仿宋_GB2312" w:eastAsia="仿宋_GB2312" w:cs="仿宋_GB2312"/>
          <w:sz w:val="32"/>
          <w:szCs w:val="32"/>
          <w:lang w:eastAsia="zh-CN"/>
        </w:rPr>
        <w:t>本单位</w:t>
      </w:r>
      <w:r>
        <w:rPr>
          <w:rFonts w:hint="eastAsia" w:ascii="仿宋_GB2312" w:hAnsi="仿宋_GB2312" w:eastAsia="仿宋_GB2312" w:cs="仿宋_GB2312"/>
          <w:sz w:val="32"/>
          <w:szCs w:val="32"/>
          <w:lang w:val="en-US" w:eastAsia="zh-CN"/>
        </w:rPr>
        <w:t>3个项目完成情况良好，严格按照本单位制定的目标绩效管理制度来开展绩效管理工作，项目资金为专项经费的，全部用于专项工作。整体工作开展良好经费全部按照相关管理办法使用。2021年</w:t>
      </w:r>
      <w:r>
        <w:rPr>
          <w:rFonts w:hint="eastAsia" w:ascii="仿宋_GB2312" w:hAnsi="仿宋_GB2312" w:eastAsia="仿宋_GB2312" w:cs="仿宋_GB2312"/>
          <w:sz w:val="32"/>
          <w:szCs w:val="32"/>
          <w:shd w:val="clear" w:color="auto" w:fill="FFFFFF"/>
        </w:rPr>
        <w:t>本部门未组织开展项目支出</w:t>
      </w:r>
      <w:r>
        <w:rPr>
          <w:rFonts w:hint="eastAsia" w:ascii="仿宋_GB2312" w:hAnsi="仿宋_GB2312" w:eastAsia="仿宋_GB2312" w:cs="仿宋_GB2312"/>
          <w:sz w:val="32"/>
          <w:szCs w:val="32"/>
          <w:shd w:val="clear" w:color="auto" w:fill="FFFFFF"/>
          <w:lang w:eastAsia="zh-CN"/>
        </w:rPr>
        <w:t>事后</w:t>
      </w:r>
      <w:r>
        <w:rPr>
          <w:rFonts w:hint="eastAsia" w:ascii="仿宋_GB2312" w:hAnsi="仿宋_GB2312" w:eastAsia="仿宋_GB2312" w:cs="仿宋_GB2312"/>
          <w:sz w:val="32"/>
          <w:szCs w:val="32"/>
          <w:shd w:val="clear" w:color="auto" w:fill="FFFFFF"/>
        </w:rPr>
        <w:t>绩效评价</w:t>
      </w:r>
      <w:r>
        <w:rPr>
          <w:rFonts w:hint="eastAsia" w:ascii="仿宋_GB2312" w:hAnsi="仿宋_GB2312" w:eastAsia="仿宋_GB2312" w:cs="仿宋_GB2312"/>
          <w:sz w:val="32"/>
          <w:szCs w:val="32"/>
          <w:shd w:val="clear" w:color="auto" w:fill="FFFFFF"/>
          <w:lang w:eastAsia="zh-CN"/>
        </w:rPr>
        <w:t>。</w:t>
      </w:r>
    </w:p>
    <w:p>
      <w:pPr>
        <w:numPr>
          <w:ilvl w:val="0"/>
          <w:numId w:val="6"/>
        </w:numPr>
        <w:spacing w:line="580" w:lineRule="exact"/>
        <w:ind w:firstLine="640" w:firstLineChars="200"/>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项目绩效目标完成情况。</w:t>
      </w:r>
      <w:r>
        <w:rPr>
          <w:rFonts w:hint="eastAsia" w:ascii="楷体_GB2312" w:hAnsi="楷体_GB2312" w:eastAsia="楷体_GB2312" w:cs="楷体_GB2312"/>
          <w:sz w:val="32"/>
          <w:szCs w:val="32"/>
        </w:rPr>
        <w:br w:type="textWrapping"/>
      </w:r>
      <w:r>
        <w:rPr>
          <w:rFonts w:hint="eastAsia" w:ascii="仿宋_GB2312" w:hAnsi="仿宋_GB2312" w:eastAsia="仿宋_GB2312" w:cs="仿宋_GB2312"/>
          <w:sz w:val="32"/>
          <w:szCs w:val="32"/>
        </w:rPr>
        <w:t xml:space="preserve">    本部门在20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年度部门决算中反映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人大代表专项”、“人大会议专项”及“人大监督”</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个项目绩效目标实际完成情况。</w:t>
      </w:r>
    </w:p>
    <w:p>
      <w:pPr>
        <w:numPr>
          <w:ilvl w:val="0"/>
          <w:numId w:val="0"/>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人大会议</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29.83</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99.43</w:t>
      </w:r>
      <w:r>
        <w:rPr>
          <w:rFonts w:hint="eastAsia" w:ascii="仿宋_GB2312" w:hAnsi="仿宋_GB2312" w:eastAsia="仿宋_GB2312" w:cs="仿宋_GB2312"/>
          <w:sz w:val="32"/>
          <w:szCs w:val="32"/>
        </w:rPr>
        <w:t>%。通过项目实施，保障了</w:t>
      </w:r>
      <w:r>
        <w:rPr>
          <w:rFonts w:hint="eastAsia" w:ascii="仿宋_GB2312" w:hAnsi="仿宋_GB2312" w:eastAsia="仿宋_GB2312" w:cs="仿宋_GB2312"/>
          <w:sz w:val="32"/>
          <w:szCs w:val="32"/>
          <w:lang w:val="en-US" w:eastAsia="zh-CN"/>
        </w:rPr>
        <w:t>2021年两会的顺利召开和常委会平时开展的会议和有关会议工作的经费保障</w:t>
      </w:r>
      <w:r>
        <w:rPr>
          <w:rFonts w:hint="eastAsia" w:ascii="仿宋_GB2312" w:hAnsi="仿宋_GB2312" w:eastAsia="仿宋_GB2312" w:cs="仿宋_GB2312"/>
          <w:sz w:val="32"/>
          <w:szCs w:val="32"/>
        </w:rPr>
        <w:t>，发现的主要问题：</w:t>
      </w:r>
      <w:r>
        <w:rPr>
          <w:rFonts w:hint="eastAsia" w:ascii="仿宋_GB2312" w:hAnsi="仿宋_GB2312" w:eastAsia="仿宋_GB2312" w:cs="仿宋_GB2312"/>
          <w:sz w:val="32"/>
          <w:szCs w:val="32"/>
          <w:lang w:eastAsia="zh-CN"/>
        </w:rPr>
        <w:t>预算经济科目编制还不太精准</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eastAsia="zh-CN"/>
        </w:rPr>
        <w:t>：提高预算编制的精准度。</w:t>
      </w:r>
    </w:p>
    <w:p>
      <w:pPr>
        <w:numPr>
          <w:ilvl w:val="0"/>
          <w:numId w:val="0"/>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代表履职能力提升</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37</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36.84</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99.56</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通过对人大代表的履职能力培训，参与项目调研来综合提高代表的履职能力和参与感</w:t>
      </w:r>
      <w:r>
        <w:rPr>
          <w:rFonts w:hint="eastAsia" w:ascii="仿宋_GB2312" w:hAnsi="仿宋_GB2312" w:eastAsia="仿宋_GB2312" w:cs="仿宋_GB2312"/>
          <w:sz w:val="32"/>
          <w:szCs w:val="32"/>
        </w:rPr>
        <w:t>，发现的主要问题：</w:t>
      </w:r>
      <w:r>
        <w:rPr>
          <w:rFonts w:hint="eastAsia" w:ascii="仿宋_GB2312" w:hAnsi="仿宋_GB2312" w:eastAsia="仿宋_GB2312" w:cs="仿宋_GB2312"/>
          <w:sz w:val="32"/>
          <w:szCs w:val="32"/>
          <w:lang w:eastAsia="zh-CN"/>
        </w:rPr>
        <w:t>一部分代表在履职能力方面还有待加强</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eastAsia="zh-CN"/>
        </w:rPr>
        <w:t>继续提高人大代表的履职能力。</w:t>
      </w:r>
    </w:p>
    <w:p>
      <w:pPr>
        <w:numPr>
          <w:ilvl w:val="0"/>
          <w:numId w:val="0"/>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人大专项办公费</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19.92</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99.6</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为人大常委会调研、开展人大事务等专项工作做好了后勤服务保障工作，</w:t>
      </w:r>
      <w:r>
        <w:rPr>
          <w:rFonts w:hint="eastAsia" w:ascii="仿宋_GB2312" w:hAnsi="仿宋_GB2312" w:eastAsia="仿宋_GB2312" w:cs="仿宋_GB2312"/>
          <w:sz w:val="32"/>
          <w:szCs w:val="32"/>
        </w:rPr>
        <w:t>发现的主要问题：</w:t>
      </w:r>
      <w:r>
        <w:rPr>
          <w:rFonts w:hint="eastAsia" w:ascii="仿宋_GB2312" w:hAnsi="仿宋_GB2312" w:eastAsia="仿宋_GB2312" w:cs="仿宋_GB2312"/>
          <w:sz w:val="32"/>
          <w:szCs w:val="32"/>
          <w:lang w:eastAsia="zh-CN"/>
        </w:rPr>
        <w:t>预算编制经济科目不够精准，后续将提高相关业务人员业务素养，加强学习，争取预算根据精准细化。</w:t>
      </w:r>
    </w:p>
    <w:tbl>
      <w:tblPr>
        <w:tblStyle w:val="11"/>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005"/>
        <w:gridCol w:w="825"/>
        <w:gridCol w:w="765"/>
        <w:gridCol w:w="825"/>
        <w:gridCol w:w="1800"/>
        <w:gridCol w:w="1935"/>
        <w:gridCol w:w="2415"/>
      </w:tblGrid>
      <w:tr>
        <w:tblPrEx>
          <w:tblLayout w:type="fixed"/>
          <w:tblCellMar>
            <w:top w:w="0" w:type="dxa"/>
            <w:left w:w="0" w:type="dxa"/>
            <w:bottom w:w="0" w:type="dxa"/>
            <w:right w:w="0" w:type="dxa"/>
          </w:tblCellMar>
        </w:tblPrEx>
        <w:trPr>
          <w:trHeight w:val="1034" w:hRule="atLeast"/>
        </w:trPr>
        <w:tc>
          <w:tcPr>
            <w:tcW w:w="9960" w:type="dxa"/>
            <w:gridSpan w:val="8"/>
            <w:tcMar>
              <w:top w:w="15" w:type="dxa"/>
              <w:left w:w="15" w:type="dxa"/>
              <w:bottom w:w="0" w:type="dxa"/>
              <w:right w:w="15" w:type="dxa"/>
            </w:tcMar>
            <w:vAlign w:val="center"/>
          </w:tcPr>
          <w:p>
            <w:pPr>
              <w:pStyle w:val="15"/>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lang w:bidi="ar"/>
              </w:rPr>
              <w:t>项目支出绩效目标完成情况表</w:t>
            </w:r>
            <w:r>
              <w:rPr>
                <w:rFonts w:hint="eastAsia" w:ascii="宋体" w:hAnsi="宋体" w:cs="宋体"/>
                <w:b/>
                <w:bCs/>
                <w:color w:val="000000"/>
                <w:kern w:val="0"/>
                <w:sz w:val="36"/>
                <w:szCs w:val="36"/>
                <w:lang w:bidi="ar"/>
              </w:rPr>
              <w:br w:type="textWrapping"/>
            </w:r>
            <w:r>
              <w:rPr>
                <w:rFonts w:hint="eastAsia" w:ascii="宋体" w:hAnsi="宋体" w:cs="宋体"/>
                <w:color w:val="000000"/>
                <w:kern w:val="0"/>
                <w:sz w:val="36"/>
                <w:szCs w:val="36"/>
                <w:lang w:bidi="ar"/>
              </w:rPr>
              <w:t>(20</w:t>
            </w:r>
            <w:r>
              <w:rPr>
                <w:rFonts w:hint="eastAsia" w:ascii="宋体" w:hAnsi="宋体" w:cs="宋体"/>
                <w:color w:val="000000"/>
                <w:kern w:val="0"/>
                <w:sz w:val="36"/>
                <w:szCs w:val="36"/>
                <w:lang w:val="en-US" w:eastAsia="zh-CN" w:bidi="ar"/>
              </w:rPr>
              <w:t>21</w:t>
            </w:r>
            <w:r>
              <w:rPr>
                <w:rFonts w:hint="eastAsia" w:ascii="宋体" w:hAnsi="宋体" w:cs="宋体"/>
                <w:color w:val="000000"/>
                <w:kern w:val="0"/>
                <w:sz w:val="36"/>
                <w:szCs w:val="36"/>
                <w:lang w:bidi="ar"/>
              </w:rPr>
              <w:t>年度)</w:t>
            </w:r>
          </w:p>
        </w:tc>
      </w:tr>
      <w:tr>
        <w:tblPrEx>
          <w:tblLayout w:type="fixed"/>
          <w:tblCellMar>
            <w:top w:w="0" w:type="dxa"/>
            <w:left w:w="0" w:type="dxa"/>
            <w:bottom w:w="0" w:type="dxa"/>
            <w:right w:w="0" w:type="dxa"/>
          </w:tblCellMar>
        </w:tblPrEx>
        <w:trPr>
          <w:trHeight w:val="276" w:hRule="atLeast"/>
        </w:trPr>
        <w:tc>
          <w:tcPr>
            <w:tcW w:w="22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项目名称</w:t>
            </w:r>
          </w:p>
        </w:tc>
        <w:tc>
          <w:tcPr>
            <w:tcW w:w="7740"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人大会议</w:t>
            </w:r>
          </w:p>
        </w:tc>
      </w:tr>
      <w:tr>
        <w:tblPrEx>
          <w:tblLayout w:type="fixed"/>
          <w:tblCellMar>
            <w:top w:w="0" w:type="dxa"/>
            <w:left w:w="0" w:type="dxa"/>
            <w:bottom w:w="0" w:type="dxa"/>
            <w:right w:w="0" w:type="dxa"/>
          </w:tblCellMar>
        </w:tblPrEx>
        <w:trPr>
          <w:trHeight w:val="276" w:hRule="atLeast"/>
        </w:trPr>
        <w:tc>
          <w:tcPr>
            <w:tcW w:w="22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预算单位</w:t>
            </w:r>
          </w:p>
        </w:tc>
        <w:tc>
          <w:tcPr>
            <w:tcW w:w="7740"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红原县人大常委会办公室</w:t>
            </w:r>
          </w:p>
        </w:tc>
      </w:tr>
      <w:tr>
        <w:tblPrEx>
          <w:tblLayout w:type="fixed"/>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预算执行情况(万元)</w:t>
            </w: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预算数:</w:t>
            </w:r>
          </w:p>
        </w:tc>
        <w:tc>
          <w:tcPr>
            <w:tcW w:w="76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30万元</w:t>
            </w:r>
          </w:p>
        </w:tc>
        <w:tc>
          <w:tcPr>
            <w:tcW w:w="456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执行数:</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29.83万元</w:t>
            </w:r>
          </w:p>
        </w:tc>
      </w:tr>
      <w:tr>
        <w:tblPrEx>
          <w:tblLayout w:type="fixed"/>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76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30万元</w:t>
            </w:r>
          </w:p>
        </w:tc>
        <w:tc>
          <w:tcPr>
            <w:tcW w:w="456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29.83万元</w:t>
            </w:r>
          </w:p>
        </w:tc>
      </w:tr>
      <w:tr>
        <w:tblPrEx>
          <w:tblLayout w:type="fixed"/>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76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0</w:t>
            </w:r>
          </w:p>
        </w:tc>
        <w:tc>
          <w:tcPr>
            <w:tcW w:w="456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p>
        </w:tc>
      </w:tr>
      <w:tr>
        <w:tblPrEx>
          <w:tblLayout w:type="fixed"/>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年度目标完成情况</w:t>
            </w:r>
          </w:p>
        </w:tc>
        <w:tc>
          <w:tcPr>
            <w:tcW w:w="259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预期目标</w:t>
            </w:r>
          </w:p>
        </w:tc>
        <w:tc>
          <w:tcPr>
            <w:tcW w:w="6975"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实际完成目标</w:t>
            </w:r>
          </w:p>
        </w:tc>
      </w:tr>
      <w:tr>
        <w:tblPrEx>
          <w:tblLayout w:type="fixed"/>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59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定期召开常委会、主任会议，听取和审议“一府两院”专项报告，依法进行人事任免，</w:t>
            </w:r>
            <w:r>
              <w:rPr>
                <w:rFonts w:hint="eastAsia" w:ascii="宋体" w:hAnsi="宋体" w:eastAsia="宋体" w:cs="宋体"/>
                <w:b w:val="0"/>
                <w:i w:val="0"/>
                <w:caps w:val="0"/>
                <w:snapToGrid w:val="0"/>
                <w:color w:val="000000"/>
                <w:spacing w:val="0"/>
                <w:kern w:val="56"/>
                <w:sz w:val="24"/>
                <w:szCs w:val="24"/>
                <w:shd w:val="clear" w:color="auto" w:fill="FFFFFF"/>
              </w:rPr>
              <w:t>形成了步调一致、共谋发展的强大合力。</w:t>
            </w:r>
          </w:p>
        </w:tc>
        <w:tc>
          <w:tcPr>
            <w:tcW w:w="6975"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eastAsia="宋体" w:cs="宋体"/>
                <w:color w:val="000000"/>
                <w:sz w:val="24"/>
                <w:lang w:val="en-US" w:eastAsia="zh-CN"/>
              </w:rPr>
              <w:t>坚持党管干部原则与依法行使任免权相统一，认真审议任免案，充分讨论，增强思想共识，全力支持机构改革、全力支持县委人事安排决策。半年来，依法任免国家机关工作人员52人次，其中：决定任命27人次、任命3人次、决定免去20人次、免去2人次。严格执行任前法律知识考试制度，组织宪法宣誓2批29人次，切实增强了任命人员的宪法意识、责任意识、公仆意识和人大意识。</w:t>
            </w:r>
          </w:p>
        </w:tc>
      </w:tr>
      <w:tr>
        <w:tblPrEx>
          <w:tblLayout w:type="fixed"/>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0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一级指标</w:t>
            </w:r>
          </w:p>
        </w:tc>
        <w:tc>
          <w:tcPr>
            <w:tcW w:w="8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二级指标</w:t>
            </w:r>
          </w:p>
        </w:tc>
        <w:tc>
          <w:tcPr>
            <w:tcW w:w="76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三级指标</w:t>
            </w:r>
          </w:p>
        </w:tc>
        <w:tc>
          <w:tcPr>
            <w:tcW w:w="2625" w:type="dxa"/>
            <w:gridSpan w:val="2"/>
            <w:tcBorders>
              <w:top w:val="single" w:color="000000"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指标评价内容</w:t>
            </w:r>
          </w:p>
        </w:tc>
        <w:tc>
          <w:tcPr>
            <w:tcW w:w="1935" w:type="dxa"/>
            <w:tcBorders>
              <w:top w:val="single" w:color="000000"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预期指标值(包含数字及文字描述)</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实际完成指标值(包含数字及文字描述)</w:t>
            </w:r>
          </w:p>
        </w:tc>
      </w:tr>
      <w:tr>
        <w:tblPrEx>
          <w:tblLayout w:type="fixed"/>
          <w:tblCellMar>
            <w:top w:w="0" w:type="dxa"/>
            <w:left w:w="0" w:type="dxa"/>
            <w:bottom w:w="0" w:type="dxa"/>
            <w:right w:w="0" w:type="dxa"/>
          </w:tblCellMar>
        </w:tblPrEx>
        <w:trPr>
          <w:trHeight w:val="76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kern w:val="0"/>
                <w:sz w:val="24"/>
                <w:lang w:eastAsia="zh-CN" w:bidi="ar"/>
              </w:rPr>
              <w:t>项目决策</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绩效目标</w:t>
            </w:r>
          </w:p>
        </w:tc>
        <w:tc>
          <w:tcPr>
            <w:tcW w:w="76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目标内容</w:t>
            </w:r>
          </w:p>
        </w:tc>
        <w:tc>
          <w:tcPr>
            <w:tcW w:w="262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auto"/>
                <w:sz w:val="20"/>
                <w:szCs w:val="20"/>
                <w:lang w:eastAsia="zh-CN"/>
              </w:rPr>
            </w:pPr>
            <w:r>
              <w:rPr>
                <w:rFonts w:hint="eastAsia" w:ascii="宋体" w:hAnsi="宋体" w:cs="宋体"/>
                <w:color w:val="auto"/>
                <w:sz w:val="20"/>
                <w:szCs w:val="20"/>
                <w:lang w:eastAsia="zh-CN"/>
              </w:rPr>
              <w:t>项目预期提供的产品、服务、效益或其他目标明确,即绩效目标实际明确个数/应当明确个数×100%</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auto"/>
                <w:sz w:val="20"/>
                <w:szCs w:val="20"/>
                <w:lang w:val="en-US" w:eastAsia="zh-CN"/>
              </w:rPr>
            </w:pPr>
            <w:r>
              <w:rPr>
                <w:rFonts w:hint="eastAsia" w:ascii="宋体" w:hAnsi="宋体" w:cs="宋体"/>
                <w:color w:val="auto"/>
                <w:sz w:val="20"/>
                <w:szCs w:val="20"/>
                <w:lang w:eastAsia="zh-CN"/>
              </w:rPr>
              <w:t>完</w:t>
            </w:r>
            <w:r>
              <w:rPr>
                <w:rFonts w:hint="eastAsia" w:ascii="宋体" w:hAnsi="宋体" w:cs="宋体"/>
                <w:color w:val="auto"/>
                <w:sz w:val="20"/>
                <w:szCs w:val="20"/>
                <w:lang w:eastAsia="zh-CN"/>
              </w:rPr>
              <w:t>成</w:t>
            </w:r>
            <w:r>
              <w:rPr>
                <w:rFonts w:hint="eastAsia" w:ascii="宋体" w:hAnsi="宋体" w:cs="宋体"/>
                <w:color w:val="auto"/>
                <w:sz w:val="20"/>
                <w:szCs w:val="20"/>
                <w:lang w:val="en-US" w:eastAsia="zh-CN"/>
              </w:rPr>
              <w:t>1</w:t>
            </w:r>
            <w:r>
              <w:rPr>
                <w:rFonts w:hint="eastAsia" w:ascii="宋体" w:hAnsi="宋体" w:cs="宋体"/>
                <w:color w:val="auto"/>
                <w:sz w:val="20"/>
                <w:szCs w:val="20"/>
                <w:lang w:eastAsia="zh-CN"/>
              </w:rPr>
              <w:t>次人代会</w:t>
            </w:r>
            <w:r>
              <w:rPr>
                <w:rFonts w:hint="eastAsia" w:ascii="宋体" w:hAnsi="宋体" w:cs="宋体"/>
                <w:color w:val="auto"/>
                <w:sz w:val="20"/>
                <w:szCs w:val="20"/>
                <w:lang w:val="en-US" w:eastAsia="zh-CN"/>
              </w:rPr>
              <w:t>,15次常委会</w:t>
            </w:r>
            <w:bookmarkStart w:id="21" w:name="_GoBack"/>
            <w:bookmarkEnd w:id="21"/>
            <w:r>
              <w:rPr>
                <w:rFonts w:hint="eastAsia" w:ascii="宋体" w:hAnsi="宋体" w:cs="宋体"/>
                <w:color w:val="auto"/>
                <w:sz w:val="20"/>
                <w:szCs w:val="20"/>
                <w:lang w:val="en-US" w:eastAsia="zh-CN"/>
              </w:rPr>
              <w:t>的召开</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auto"/>
                <w:sz w:val="20"/>
                <w:szCs w:val="20"/>
                <w:lang w:val="en-US" w:eastAsia="zh-CN"/>
              </w:rPr>
            </w:pPr>
            <w:r>
              <w:rPr>
                <w:rFonts w:hint="eastAsia" w:ascii="宋体" w:hAnsi="宋体" w:cs="宋体"/>
                <w:color w:val="auto"/>
                <w:sz w:val="20"/>
                <w:szCs w:val="20"/>
                <w:lang w:eastAsia="zh-CN"/>
              </w:rPr>
              <w:t>坚持党管干部原则与依法行使任免权相统一，认真审议任免案，充分讨论，增强思想共识，全力支持机构改革、全力支持县委人事安排决策。半年来，依法任免国家机关工作人员52人次，其中：决定任命27人次、任命3人次、决定免去20人次、免去2人次。严格执行任前法律知识考试制度，组织宪法宣誓2批29人次，切实增强了任命人员的宪法意识、责任意识、公仆意识和人大意识。</w:t>
            </w:r>
          </w:p>
        </w:tc>
      </w:tr>
      <w:tr>
        <w:tblPrEx>
          <w:tblLayout w:type="fixed"/>
          <w:tblCellMar>
            <w:top w:w="0" w:type="dxa"/>
            <w:left w:w="0" w:type="dxa"/>
            <w:bottom w:w="0" w:type="dxa"/>
            <w:right w:w="0" w:type="dxa"/>
          </w:tblCellMar>
        </w:tblPrEx>
        <w:trPr>
          <w:trHeight w:val="81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进度计划</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cs="宋体" w:asciiTheme="minorEastAsia" w:hAnsiTheme="minorEastAsia" w:eastAsiaTheme="minorEastAsia"/>
                <w:color w:val="000000"/>
                <w:kern w:val="0"/>
                <w:sz w:val="20"/>
                <w:szCs w:val="20"/>
              </w:rPr>
              <w:t>项目计划实施进度明确</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一年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按计划完成</w:t>
            </w:r>
          </w:p>
        </w:tc>
      </w:tr>
      <w:tr>
        <w:tblPrEx>
          <w:tblLayout w:type="fixed"/>
          <w:tblCellMar>
            <w:top w:w="0" w:type="dxa"/>
            <w:left w:w="0" w:type="dxa"/>
            <w:bottom w:w="0" w:type="dxa"/>
            <w:right w:w="0" w:type="dxa"/>
          </w:tblCellMar>
        </w:tblPrEx>
        <w:trPr>
          <w:trHeight w:val="118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目标匹配</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cs="宋体" w:asciiTheme="minorEastAsia" w:hAnsiTheme="minorEastAsia" w:eastAsiaTheme="minorEastAsia"/>
                <w:color w:val="000000"/>
                <w:kern w:val="0"/>
                <w:sz w:val="20"/>
                <w:szCs w:val="20"/>
              </w:rPr>
              <w:t>绩效目标设定符合实际需求的抽样项目点个数/抽样项目点总数×100%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val="en-US" w:eastAsia="zh-CN"/>
              </w:rPr>
            </w:pPr>
            <w:r>
              <w:rPr>
                <w:rFonts w:hint="eastAsia" w:ascii="宋体" w:hAnsi="宋体" w:cs="宋体"/>
                <w:color w:val="000000"/>
                <w:sz w:val="20"/>
                <w:szCs w:val="20"/>
                <w:lang w:val="en-US" w:eastAsia="zh-CN"/>
              </w:rPr>
              <w:t>1</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val="en-US" w:eastAsia="zh-CN"/>
              </w:rPr>
            </w:pPr>
            <w:r>
              <w:rPr>
                <w:rFonts w:hint="eastAsia" w:ascii="宋体" w:hAnsi="宋体" w:cs="宋体"/>
                <w:color w:val="000000"/>
                <w:sz w:val="20"/>
                <w:szCs w:val="20"/>
                <w:lang w:val="en-US" w:eastAsia="zh-CN"/>
              </w:rPr>
              <w:t>1</w:t>
            </w:r>
          </w:p>
        </w:tc>
      </w:tr>
      <w:tr>
        <w:tblPrEx>
          <w:tblLayout w:type="fixed"/>
          <w:tblCellMar>
            <w:top w:w="0" w:type="dxa"/>
            <w:left w:w="0" w:type="dxa"/>
            <w:bottom w:w="0" w:type="dxa"/>
            <w:right w:w="0" w:type="dxa"/>
          </w:tblCellMar>
        </w:tblPrEx>
        <w:trPr>
          <w:trHeight w:val="80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决策依据</w:t>
            </w: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政策依据</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项目符合党中央、国务院和省委、省政府决策部署；符合当前经济社会发展需要</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符合</w:t>
            </w:r>
          </w:p>
        </w:tc>
      </w:tr>
      <w:tr>
        <w:tblPrEx>
          <w:tblLayout w:type="fixed"/>
          <w:tblCellMar>
            <w:top w:w="0" w:type="dxa"/>
            <w:left w:w="0" w:type="dxa"/>
            <w:bottom w:w="0" w:type="dxa"/>
            <w:right w:w="0" w:type="dxa"/>
          </w:tblCellMar>
        </w:tblPrEx>
        <w:trPr>
          <w:trHeight w:val="83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实施规划</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连续性项目根据需要制定中长期实施规划</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已制定</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已制定</w:t>
            </w:r>
          </w:p>
        </w:tc>
      </w:tr>
      <w:tr>
        <w:tblPrEx>
          <w:tblLayout w:type="fixed"/>
          <w:tblCellMar>
            <w:top w:w="0" w:type="dxa"/>
            <w:left w:w="0" w:type="dxa"/>
            <w:bottom w:w="0" w:type="dxa"/>
            <w:right w:w="0" w:type="dxa"/>
          </w:tblCellMar>
        </w:tblPrEx>
        <w:trPr>
          <w:trHeight w:val="2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实施规划符合实际，并根据情况变化适时调整</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Layout w:type="fixed"/>
          <w:tblCellMar>
            <w:top w:w="0" w:type="dxa"/>
            <w:left w:w="0" w:type="dxa"/>
            <w:bottom w:w="0" w:type="dxa"/>
            <w:right w:w="0" w:type="dxa"/>
          </w:tblCellMar>
        </w:tblPrEx>
        <w:trPr>
          <w:trHeight w:val="52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管理制度</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制定项目资金管理办法</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项目资金管理办法</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已制定按照相关文件执行</w:t>
            </w:r>
          </w:p>
        </w:tc>
      </w:tr>
      <w:tr>
        <w:tblPrEx>
          <w:tblLayout w:type="fixed"/>
          <w:tblCellMar>
            <w:top w:w="0" w:type="dxa"/>
            <w:left w:w="0" w:type="dxa"/>
            <w:bottom w:w="0" w:type="dxa"/>
            <w:right w:w="0" w:type="dxa"/>
          </w:tblCellMar>
        </w:tblPrEx>
        <w:trPr>
          <w:trHeight w:val="65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项目资金分配决策程序明确</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Layout w:type="fixed"/>
          <w:tblCellMar>
            <w:top w:w="0" w:type="dxa"/>
            <w:left w:w="0" w:type="dxa"/>
            <w:bottom w:w="0" w:type="dxa"/>
            <w:right w:w="0" w:type="dxa"/>
          </w:tblCellMar>
        </w:tblPrEx>
        <w:trPr>
          <w:trHeight w:val="61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资金分配</w:t>
            </w:r>
          </w:p>
        </w:tc>
        <w:tc>
          <w:tcPr>
            <w:tcW w:w="76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分配方法</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资金分配方法是否科学合理</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Layout w:type="fixed"/>
          <w:tblCellMar>
            <w:top w:w="0" w:type="dxa"/>
            <w:left w:w="0" w:type="dxa"/>
            <w:bottom w:w="0" w:type="dxa"/>
            <w:right w:w="0" w:type="dxa"/>
          </w:tblCellMar>
        </w:tblPrEx>
        <w:trPr>
          <w:trHeight w:val="57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分配过程</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分配过程符合相关规定</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Layout w:type="fixed"/>
          <w:tblCellMar>
            <w:top w:w="0" w:type="dxa"/>
            <w:left w:w="0" w:type="dxa"/>
            <w:bottom w:w="0" w:type="dxa"/>
            <w:right w:w="0" w:type="dxa"/>
          </w:tblCellMar>
        </w:tblPrEx>
        <w:trPr>
          <w:trHeight w:val="7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分配结果</w:t>
            </w: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审核把关</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符合申报条件的抽样项目点个数/抽样项目点总数×100%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1个</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1个</w:t>
            </w:r>
          </w:p>
        </w:tc>
      </w:tr>
      <w:tr>
        <w:tblPrEx>
          <w:tblLayout w:type="fixed"/>
          <w:tblCellMar>
            <w:top w:w="0" w:type="dxa"/>
            <w:left w:w="0" w:type="dxa"/>
            <w:bottom w:w="0" w:type="dxa"/>
            <w:right w:w="0" w:type="dxa"/>
          </w:tblCellMar>
        </w:tblPrEx>
        <w:trPr>
          <w:trHeight w:val="78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资金集中</w:t>
            </w:r>
          </w:p>
        </w:tc>
        <w:tc>
          <w:tcPr>
            <w:tcW w:w="825" w:type="dxa"/>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lang w:eastAsia="zh-CN"/>
              </w:rPr>
            </w:pPr>
            <w:r>
              <w:rPr>
                <w:rFonts w:hint="eastAsia" w:cs="宋体" w:asciiTheme="minorEastAsia" w:hAnsiTheme="minorEastAsia" w:eastAsiaTheme="minorEastAsia"/>
                <w:color w:val="000000"/>
                <w:kern w:val="0"/>
                <w:sz w:val="20"/>
                <w:szCs w:val="20"/>
                <w:lang w:eastAsia="zh-CN"/>
              </w:rPr>
              <w:t>集中</w:t>
            </w:r>
          </w:p>
        </w:tc>
        <w:tc>
          <w:tcPr>
            <w:tcW w:w="180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财政资金占项目资金总额比重较小项目个数/项目总数×100%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100%</w:t>
            </w:r>
          </w:p>
        </w:tc>
      </w:tr>
      <w:tr>
        <w:tblPrEx>
          <w:tblLayout w:type="fixed"/>
          <w:tblCellMar>
            <w:top w:w="0" w:type="dxa"/>
            <w:left w:w="0" w:type="dxa"/>
            <w:bottom w:w="0" w:type="dxa"/>
            <w:right w:w="0" w:type="dxa"/>
          </w:tblCellMar>
        </w:tblPrEx>
        <w:trPr>
          <w:trHeight w:val="33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（均衡）</w:t>
            </w:r>
          </w:p>
        </w:tc>
        <w:tc>
          <w:tcPr>
            <w:tcW w:w="825" w:type="dxa"/>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lang w:eastAsia="zh-CN"/>
              </w:rPr>
            </w:pPr>
            <w:r>
              <w:rPr>
                <w:rFonts w:hint="eastAsia" w:cs="宋体" w:asciiTheme="minorEastAsia" w:hAnsiTheme="minorEastAsia" w:eastAsiaTheme="minorEastAsia"/>
                <w:color w:val="000000"/>
                <w:kern w:val="0"/>
                <w:sz w:val="20"/>
                <w:szCs w:val="20"/>
                <w:lang w:eastAsia="zh-CN"/>
              </w:rPr>
              <w:t>均衡</w:t>
            </w:r>
          </w:p>
        </w:tc>
        <w:tc>
          <w:tcPr>
            <w:tcW w:w="1800" w:type="dxa"/>
            <w:tcBorders>
              <w:top w:val="single" w:color="auto" w:sz="4" w:space="0"/>
              <w:left w:val="single" w:color="auto"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按实际分配结果选择客观因素测算验证资金分配方法制定、分配要素设定、基础数据应用、测算依据选取等是否科学合理</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Layout w:type="fixed"/>
          <w:tblCellMar>
            <w:top w:w="0" w:type="dxa"/>
            <w:left w:w="0" w:type="dxa"/>
            <w:bottom w:w="0" w:type="dxa"/>
            <w:right w:w="0" w:type="dxa"/>
          </w:tblCellMar>
        </w:tblPrEx>
        <w:trPr>
          <w:trHeight w:val="70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kern w:val="0"/>
                <w:sz w:val="24"/>
                <w:lang w:eastAsia="zh-CN" w:bidi="ar"/>
              </w:rPr>
              <w:t>项目管理</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资金到位</w:t>
            </w:r>
          </w:p>
        </w:tc>
        <w:tc>
          <w:tcPr>
            <w:tcW w:w="76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分配时效</w:t>
            </w:r>
          </w:p>
        </w:tc>
        <w:tc>
          <w:tcPr>
            <w:tcW w:w="262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县级主管部门按规定及时分配资金</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Layout w:type="fixed"/>
          <w:tblCellMar>
            <w:top w:w="0" w:type="dxa"/>
            <w:left w:w="0" w:type="dxa"/>
            <w:bottom w:w="0" w:type="dxa"/>
            <w:right w:w="0" w:type="dxa"/>
          </w:tblCellMar>
        </w:tblPrEx>
        <w:trPr>
          <w:trHeight w:val="47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资金拨付</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按规定及时拨付资金</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每次会议后</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both"/>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每次会议后</w:t>
            </w:r>
          </w:p>
        </w:tc>
      </w:tr>
      <w:tr>
        <w:tblPrEx>
          <w:tblLayout w:type="fixed"/>
          <w:tblCellMar>
            <w:top w:w="0" w:type="dxa"/>
            <w:left w:w="0" w:type="dxa"/>
            <w:bottom w:w="0" w:type="dxa"/>
            <w:right w:w="0" w:type="dxa"/>
          </w:tblCellMar>
        </w:tblPrEx>
        <w:trPr>
          <w:trHeight w:val="42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资金管理</w:t>
            </w: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使用范围</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资金使用是否合规</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Layout w:type="fixed"/>
          <w:tblCellMar>
            <w:top w:w="0" w:type="dxa"/>
            <w:left w:w="0" w:type="dxa"/>
            <w:bottom w:w="0" w:type="dxa"/>
            <w:right w:w="0" w:type="dxa"/>
          </w:tblCellMar>
        </w:tblPrEx>
        <w:trPr>
          <w:trHeight w:val="86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支付依据</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资金支付依据符合规定，即支付依旧合规资金量/资金总量×100%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Layout w:type="fixed"/>
          <w:tblCellMar>
            <w:top w:w="0" w:type="dxa"/>
            <w:left w:w="0" w:type="dxa"/>
            <w:bottom w:w="0" w:type="dxa"/>
            <w:right w:w="0" w:type="dxa"/>
          </w:tblCellMar>
        </w:tblPrEx>
        <w:trPr>
          <w:trHeight w:val="98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开支标准</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资金开支标准符合规定，即开支标准合规资金量/资金总量×100%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Layout w:type="fixed"/>
          <w:tblCellMar>
            <w:top w:w="0" w:type="dxa"/>
            <w:left w:w="0" w:type="dxa"/>
            <w:bottom w:w="0" w:type="dxa"/>
            <w:right w:w="0" w:type="dxa"/>
          </w:tblCellMar>
        </w:tblPrEx>
        <w:trPr>
          <w:trHeight w:val="47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财务管理</w:t>
            </w: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财务制度</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财务制度健全，管理规范</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Layout w:type="fixed"/>
          <w:tblCellMar>
            <w:top w:w="0" w:type="dxa"/>
            <w:left w:w="0" w:type="dxa"/>
            <w:bottom w:w="0" w:type="dxa"/>
            <w:right w:w="0" w:type="dxa"/>
          </w:tblCellMar>
        </w:tblPrEx>
        <w:trPr>
          <w:trHeight w:val="68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会计核算</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会计核算规范</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Layout w:type="fixed"/>
          <w:tblCellMar>
            <w:top w:w="0" w:type="dxa"/>
            <w:left w:w="0" w:type="dxa"/>
            <w:bottom w:w="0" w:type="dxa"/>
            <w:right w:w="0" w:type="dxa"/>
          </w:tblCellMar>
        </w:tblPrEx>
        <w:trPr>
          <w:trHeight w:val="56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组织实施</w:t>
            </w: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项目调整</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项目调整严格履行相关手续</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r>
      <w:tr>
        <w:tblPrEx>
          <w:tblLayout w:type="fixed"/>
          <w:tblCellMar>
            <w:top w:w="0" w:type="dxa"/>
            <w:left w:w="0" w:type="dxa"/>
            <w:bottom w:w="0" w:type="dxa"/>
            <w:right w:w="0" w:type="dxa"/>
          </w:tblCellMar>
        </w:tblPrEx>
        <w:trPr>
          <w:trHeight w:val="48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投资变更</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项目投资变更额/项目总投入×100%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r>
      <w:tr>
        <w:tblPrEx>
          <w:tblLayout w:type="fixed"/>
          <w:tblCellMar>
            <w:top w:w="0" w:type="dxa"/>
            <w:left w:w="0" w:type="dxa"/>
            <w:bottom w:w="0" w:type="dxa"/>
            <w:right w:w="0" w:type="dxa"/>
          </w:tblCellMar>
        </w:tblPrEx>
        <w:trPr>
          <w:trHeight w:val="47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制度执行</w:t>
            </w:r>
          </w:p>
        </w:tc>
        <w:tc>
          <w:tcPr>
            <w:tcW w:w="2625" w:type="dxa"/>
            <w:gridSpan w:val="2"/>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严格执行项目有关制度规定</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Layout w:type="fixed"/>
          <w:tblCellMar>
            <w:top w:w="0" w:type="dxa"/>
            <w:left w:w="0" w:type="dxa"/>
            <w:bottom w:w="0" w:type="dxa"/>
            <w:right w:w="0" w:type="dxa"/>
          </w:tblCellMar>
        </w:tblPrEx>
        <w:trPr>
          <w:trHeight w:val="43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kern w:val="0"/>
                <w:sz w:val="24"/>
                <w:lang w:eastAsia="zh-CN" w:bidi="ar"/>
              </w:rPr>
              <w:t>项目绩效</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项目完成</w:t>
            </w:r>
          </w:p>
        </w:tc>
        <w:tc>
          <w:tcPr>
            <w:tcW w:w="76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完成数量</w:t>
            </w:r>
          </w:p>
        </w:tc>
        <w:tc>
          <w:tcPr>
            <w:tcW w:w="262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实际完成任务量/绩效目标设定任务量×100%</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Layout w:type="fixed"/>
          <w:tblCellMar>
            <w:top w:w="0" w:type="dxa"/>
            <w:left w:w="0" w:type="dxa"/>
            <w:bottom w:w="0" w:type="dxa"/>
            <w:right w:w="0" w:type="dxa"/>
          </w:tblCellMar>
        </w:tblPrEx>
        <w:trPr>
          <w:trHeight w:val="54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完成质量</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符合绩效目标设定的验收标准，达到行业基准水平</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Layout w:type="fixed"/>
          <w:tblCellMar>
            <w:top w:w="0" w:type="dxa"/>
            <w:left w:w="0" w:type="dxa"/>
            <w:bottom w:w="0" w:type="dxa"/>
            <w:right w:w="0" w:type="dxa"/>
          </w:tblCellMar>
        </w:tblPrEx>
        <w:trPr>
          <w:trHeight w:val="3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完成时效</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（实际完成时间-绩效目标设定完成时间）/绩效目标设定完成时间×100%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Layout w:type="fixed"/>
          <w:tblCellMar>
            <w:top w:w="0" w:type="dxa"/>
            <w:left w:w="0" w:type="dxa"/>
            <w:bottom w:w="0" w:type="dxa"/>
            <w:right w:w="0" w:type="dxa"/>
          </w:tblCellMar>
        </w:tblPrEx>
        <w:trPr>
          <w:trHeight w:val="24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完成成本</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（实际完成成本-预计完成成本）/预计完成成本×100%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Layout w:type="fixed"/>
          <w:tblCellMar>
            <w:top w:w="0" w:type="dxa"/>
            <w:left w:w="0" w:type="dxa"/>
            <w:bottom w:w="0" w:type="dxa"/>
            <w:right w:w="0" w:type="dxa"/>
          </w:tblCellMar>
        </w:tblPrEx>
        <w:trPr>
          <w:trHeight w:val="2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项目效益</w:t>
            </w: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经济效益</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反映相关产出对经济社会发展带来的影响和效果，根据项目实际细化具体指标。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促进我县经济发展</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增强</w:t>
            </w:r>
          </w:p>
        </w:tc>
      </w:tr>
      <w:tr>
        <w:tblPrEx>
          <w:tblLayout w:type="fixed"/>
          <w:tblCellMar>
            <w:top w:w="0" w:type="dxa"/>
            <w:left w:w="0" w:type="dxa"/>
            <w:bottom w:w="0" w:type="dxa"/>
            <w:right w:w="0" w:type="dxa"/>
          </w:tblCellMar>
        </w:tblPrEx>
        <w:trPr>
          <w:trHeight w:val="51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社会效益</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反映相关产出对社会发展带来的影响和效果，根据项目实际细化具体指标。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切实履行人代会议程，听取和审查“一府两院”报告，促进“一府两院”依法行政、公正司法，切实维护人民群众合法权益和社会稳定。</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切实履行人代会议程，听取和审查“一府两院”报告，促进“一府两院”依法行政、公正司法，切实维护人民群众合法权益和社会稳定。</w:t>
            </w:r>
          </w:p>
        </w:tc>
      </w:tr>
      <w:tr>
        <w:tblPrEx>
          <w:tblLayout w:type="fixed"/>
          <w:tblCellMar>
            <w:top w:w="0" w:type="dxa"/>
            <w:left w:w="0" w:type="dxa"/>
            <w:bottom w:w="0" w:type="dxa"/>
            <w:right w:w="0" w:type="dxa"/>
          </w:tblCellMar>
        </w:tblPrEx>
        <w:trPr>
          <w:trHeight w:val="56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生态效益</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反映相关产出对自然环境带来的影响和效果，根据项目实际细化具体指标。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lang w:eastAsia="zh-CN"/>
              </w:rPr>
              <w:t>县</w:t>
            </w:r>
            <w:r>
              <w:rPr>
                <w:rFonts w:hint="eastAsia" w:ascii="宋体" w:hAnsi="宋体" w:cs="宋体"/>
                <w:color w:val="000000"/>
                <w:sz w:val="20"/>
                <w:szCs w:val="20"/>
              </w:rPr>
              <w:t>人大代表提出了城乡建设生态环境保护方面的建议。</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lang w:eastAsia="zh-CN"/>
              </w:rPr>
              <w:t>县</w:t>
            </w:r>
            <w:r>
              <w:rPr>
                <w:rFonts w:hint="eastAsia" w:ascii="宋体" w:hAnsi="宋体" w:cs="宋体"/>
                <w:color w:val="000000"/>
                <w:sz w:val="20"/>
                <w:szCs w:val="20"/>
              </w:rPr>
              <w:t>人大代表提出了城乡建设生态环境保护方面的建议。</w:t>
            </w:r>
          </w:p>
        </w:tc>
      </w:tr>
      <w:tr>
        <w:tblPrEx>
          <w:tblLayout w:type="fixed"/>
          <w:tblCellMar>
            <w:top w:w="0" w:type="dxa"/>
            <w:left w:w="0" w:type="dxa"/>
            <w:bottom w:w="0" w:type="dxa"/>
            <w:right w:w="0" w:type="dxa"/>
          </w:tblCellMar>
        </w:tblPrEx>
        <w:trPr>
          <w:trHeight w:val="49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可持续效益</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反映相关产出带来影响的可持续期限，根据项目实际细化具体指标。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为</w:t>
            </w:r>
            <w:r>
              <w:rPr>
                <w:rFonts w:hint="eastAsia" w:ascii="宋体" w:hAnsi="宋体" w:cs="宋体"/>
                <w:color w:val="000000"/>
                <w:sz w:val="20"/>
                <w:szCs w:val="20"/>
                <w:lang w:eastAsia="zh-CN"/>
              </w:rPr>
              <w:t>县</w:t>
            </w:r>
            <w:r>
              <w:rPr>
                <w:rFonts w:hint="eastAsia" w:ascii="宋体" w:hAnsi="宋体" w:cs="宋体"/>
                <w:color w:val="000000"/>
                <w:sz w:val="20"/>
                <w:szCs w:val="20"/>
              </w:rPr>
              <w:t>委</w:t>
            </w:r>
            <w:r>
              <w:rPr>
                <w:rFonts w:hint="eastAsia" w:ascii="宋体" w:hAnsi="宋体" w:cs="宋体"/>
                <w:color w:val="000000"/>
                <w:sz w:val="20"/>
                <w:szCs w:val="20"/>
                <w:lang w:eastAsia="zh-CN"/>
              </w:rPr>
              <w:t>县</w:t>
            </w:r>
            <w:r>
              <w:rPr>
                <w:rFonts w:hint="eastAsia" w:ascii="宋体" w:hAnsi="宋体" w:cs="宋体"/>
                <w:color w:val="000000"/>
                <w:sz w:val="20"/>
                <w:szCs w:val="20"/>
              </w:rPr>
              <w:t>政府重大决策提供意见建议</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为</w:t>
            </w:r>
            <w:r>
              <w:rPr>
                <w:rFonts w:hint="eastAsia" w:ascii="宋体" w:hAnsi="宋体" w:cs="宋体"/>
                <w:color w:val="000000"/>
                <w:sz w:val="20"/>
                <w:szCs w:val="20"/>
                <w:lang w:eastAsia="zh-CN"/>
              </w:rPr>
              <w:t>县</w:t>
            </w:r>
            <w:r>
              <w:rPr>
                <w:rFonts w:hint="eastAsia" w:ascii="宋体" w:hAnsi="宋体" w:cs="宋体"/>
                <w:color w:val="000000"/>
                <w:sz w:val="20"/>
                <w:szCs w:val="20"/>
              </w:rPr>
              <w:t>委</w:t>
            </w:r>
            <w:r>
              <w:rPr>
                <w:rFonts w:hint="eastAsia" w:ascii="宋体" w:hAnsi="宋体" w:cs="宋体"/>
                <w:color w:val="000000"/>
                <w:sz w:val="20"/>
                <w:szCs w:val="20"/>
                <w:lang w:eastAsia="zh-CN"/>
              </w:rPr>
              <w:t>县</w:t>
            </w:r>
            <w:r>
              <w:rPr>
                <w:rFonts w:hint="eastAsia" w:ascii="宋体" w:hAnsi="宋体" w:cs="宋体"/>
                <w:color w:val="000000"/>
                <w:sz w:val="20"/>
                <w:szCs w:val="20"/>
              </w:rPr>
              <w:t>政府重大决策提供意见建议</w:t>
            </w:r>
          </w:p>
        </w:tc>
      </w:tr>
      <w:tr>
        <w:tblPrEx>
          <w:tblLayout w:type="fixed"/>
          <w:tblCellMar>
            <w:top w:w="0" w:type="dxa"/>
            <w:left w:w="0" w:type="dxa"/>
            <w:bottom w:w="0" w:type="dxa"/>
            <w:right w:w="0" w:type="dxa"/>
          </w:tblCellMar>
        </w:tblPrEx>
        <w:trPr>
          <w:trHeight w:val="11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满意度</w:t>
            </w:r>
          </w:p>
        </w:tc>
        <w:tc>
          <w:tcPr>
            <w:tcW w:w="76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服务对象满意度</w:t>
            </w:r>
          </w:p>
        </w:tc>
        <w:tc>
          <w:tcPr>
            <w:tcW w:w="2625" w:type="dxa"/>
            <w:gridSpan w:val="2"/>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反映服务对象或项目受益人对相关产出及其影响的认可程度，根据项目实际细化具体指标。</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bl>
    <w:p>
      <w:pPr>
        <w:rPr>
          <w:rFonts w:ascii="Calibri" w:hAnsi="Calibri"/>
        </w:rPr>
      </w:pPr>
    </w:p>
    <w:tbl>
      <w:tblPr>
        <w:tblStyle w:val="11"/>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005"/>
        <w:gridCol w:w="825"/>
        <w:gridCol w:w="705"/>
        <w:gridCol w:w="885"/>
        <w:gridCol w:w="1800"/>
        <w:gridCol w:w="1935"/>
        <w:gridCol w:w="2415"/>
      </w:tblGrid>
      <w:tr>
        <w:tblPrEx>
          <w:tblLayout w:type="fixed"/>
          <w:tblCellMar>
            <w:top w:w="0" w:type="dxa"/>
            <w:left w:w="0" w:type="dxa"/>
            <w:bottom w:w="0" w:type="dxa"/>
            <w:right w:w="0" w:type="dxa"/>
          </w:tblCellMar>
        </w:tblPrEx>
        <w:trPr>
          <w:trHeight w:val="1034" w:hRule="atLeast"/>
        </w:trPr>
        <w:tc>
          <w:tcPr>
            <w:tcW w:w="9960" w:type="dxa"/>
            <w:gridSpan w:val="8"/>
            <w:tcMar>
              <w:top w:w="15" w:type="dxa"/>
              <w:left w:w="15" w:type="dxa"/>
              <w:bottom w:w="0" w:type="dxa"/>
              <w:right w:w="15" w:type="dxa"/>
            </w:tcMar>
            <w:vAlign w:val="center"/>
          </w:tcPr>
          <w:p>
            <w:pPr>
              <w:pStyle w:val="15"/>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lang w:bidi="ar"/>
              </w:rPr>
              <w:t>项目支出绩效目标完成情况表</w:t>
            </w:r>
            <w:r>
              <w:rPr>
                <w:rFonts w:hint="eastAsia" w:ascii="宋体" w:hAnsi="宋体" w:cs="宋体"/>
                <w:b/>
                <w:bCs/>
                <w:color w:val="000000"/>
                <w:kern w:val="0"/>
                <w:sz w:val="36"/>
                <w:szCs w:val="36"/>
                <w:lang w:bidi="ar"/>
              </w:rPr>
              <w:br w:type="textWrapping"/>
            </w:r>
            <w:r>
              <w:rPr>
                <w:rFonts w:hint="eastAsia" w:ascii="宋体" w:hAnsi="宋体" w:cs="宋体"/>
                <w:color w:val="000000"/>
                <w:kern w:val="0"/>
                <w:sz w:val="36"/>
                <w:szCs w:val="36"/>
                <w:lang w:bidi="ar"/>
              </w:rPr>
              <w:t>(20</w:t>
            </w:r>
            <w:r>
              <w:rPr>
                <w:rFonts w:hint="eastAsia" w:ascii="宋体" w:hAnsi="宋体" w:cs="宋体"/>
                <w:color w:val="000000"/>
                <w:kern w:val="0"/>
                <w:sz w:val="36"/>
                <w:szCs w:val="36"/>
                <w:lang w:val="en-US" w:eastAsia="zh-CN" w:bidi="ar"/>
              </w:rPr>
              <w:t>21</w:t>
            </w:r>
            <w:r>
              <w:rPr>
                <w:rFonts w:hint="eastAsia" w:ascii="宋体" w:hAnsi="宋体" w:cs="宋体"/>
                <w:color w:val="000000"/>
                <w:kern w:val="0"/>
                <w:sz w:val="36"/>
                <w:szCs w:val="36"/>
                <w:lang w:bidi="ar"/>
              </w:rPr>
              <w:t>年度)</w:t>
            </w:r>
          </w:p>
        </w:tc>
      </w:tr>
      <w:tr>
        <w:tblPrEx>
          <w:tblLayout w:type="fixed"/>
          <w:tblCellMar>
            <w:top w:w="0" w:type="dxa"/>
            <w:left w:w="0" w:type="dxa"/>
            <w:bottom w:w="0" w:type="dxa"/>
            <w:right w:w="0" w:type="dxa"/>
          </w:tblCellMar>
        </w:tblPrEx>
        <w:trPr>
          <w:trHeight w:val="276" w:hRule="atLeast"/>
        </w:trPr>
        <w:tc>
          <w:tcPr>
            <w:tcW w:w="22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项目名称</w:t>
            </w:r>
          </w:p>
        </w:tc>
        <w:tc>
          <w:tcPr>
            <w:tcW w:w="7740"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代表履职能力提升</w:t>
            </w:r>
          </w:p>
        </w:tc>
      </w:tr>
      <w:tr>
        <w:tblPrEx>
          <w:tblLayout w:type="fixed"/>
          <w:tblCellMar>
            <w:top w:w="0" w:type="dxa"/>
            <w:left w:w="0" w:type="dxa"/>
            <w:bottom w:w="0" w:type="dxa"/>
            <w:right w:w="0" w:type="dxa"/>
          </w:tblCellMar>
        </w:tblPrEx>
        <w:trPr>
          <w:trHeight w:val="276" w:hRule="atLeast"/>
        </w:trPr>
        <w:tc>
          <w:tcPr>
            <w:tcW w:w="22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预算单位</w:t>
            </w:r>
          </w:p>
        </w:tc>
        <w:tc>
          <w:tcPr>
            <w:tcW w:w="7740"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红原县人大常委会办公室</w:t>
            </w:r>
          </w:p>
        </w:tc>
      </w:tr>
      <w:tr>
        <w:tblPrEx>
          <w:tblLayout w:type="fixed"/>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预算执行情况(万元)</w:t>
            </w: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预算数:</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37万元</w:t>
            </w:r>
          </w:p>
        </w:tc>
        <w:tc>
          <w:tcPr>
            <w:tcW w:w="46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执行数:</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36.84万元</w:t>
            </w:r>
          </w:p>
        </w:tc>
      </w:tr>
      <w:tr>
        <w:tblPrEx>
          <w:tblLayout w:type="fixed"/>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37万元</w:t>
            </w:r>
          </w:p>
        </w:tc>
        <w:tc>
          <w:tcPr>
            <w:tcW w:w="46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36.84万元</w:t>
            </w:r>
          </w:p>
        </w:tc>
      </w:tr>
      <w:tr>
        <w:tblPrEx>
          <w:tblLayout w:type="fixed"/>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0</w:t>
            </w:r>
          </w:p>
        </w:tc>
        <w:tc>
          <w:tcPr>
            <w:tcW w:w="46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p>
        </w:tc>
      </w:tr>
      <w:tr>
        <w:tblPrEx>
          <w:tblLayout w:type="fixed"/>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年度目标完成情况</w:t>
            </w:r>
          </w:p>
        </w:tc>
        <w:tc>
          <w:tcPr>
            <w:tcW w:w="253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预期目标</w:t>
            </w:r>
          </w:p>
        </w:tc>
        <w:tc>
          <w:tcPr>
            <w:tcW w:w="7035"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实际完成目标</w:t>
            </w:r>
          </w:p>
        </w:tc>
      </w:tr>
      <w:tr>
        <w:tblPrEx>
          <w:tblLayout w:type="fixed"/>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53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通过对人大代表的各方面培训及参与专题调研来提高人大代表的履职能力。</w:t>
            </w:r>
          </w:p>
        </w:tc>
        <w:tc>
          <w:tcPr>
            <w:tcW w:w="7035"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2021年举办代表初任培训班一期，通过对人大代表的各方面培训及参与专题调研来提高人大代表的履职能力。为代表调研考察等做好了服务保障工作。</w:t>
            </w:r>
          </w:p>
        </w:tc>
      </w:tr>
      <w:tr>
        <w:tblPrEx>
          <w:tblLayout w:type="fixed"/>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0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一级指标</w:t>
            </w:r>
          </w:p>
        </w:tc>
        <w:tc>
          <w:tcPr>
            <w:tcW w:w="8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二级指标</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三级指标</w:t>
            </w:r>
          </w:p>
        </w:tc>
        <w:tc>
          <w:tcPr>
            <w:tcW w:w="2685" w:type="dxa"/>
            <w:gridSpan w:val="2"/>
            <w:tcBorders>
              <w:top w:val="single" w:color="000000"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指标评价内容</w:t>
            </w:r>
          </w:p>
        </w:tc>
        <w:tc>
          <w:tcPr>
            <w:tcW w:w="1935" w:type="dxa"/>
            <w:tcBorders>
              <w:top w:val="single" w:color="000000"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预期指标值(包含数字及文字描述)</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实际完成指标值(包含数字及文字描述)</w:t>
            </w:r>
          </w:p>
        </w:tc>
      </w:tr>
      <w:tr>
        <w:tblPrEx>
          <w:tblLayout w:type="fixed"/>
          <w:tblCellMar>
            <w:top w:w="0" w:type="dxa"/>
            <w:left w:w="0" w:type="dxa"/>
            <w:bottom w:w="0" w:type="dxa"/>
            <w:right w:w="0" w:type="dxa"/>
          </w:tblCellMar>
        </w:tblPrEx>
        <w:trPr>
          <w:trHeight w:val="76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kern w:val="0"/>
                <w:sz w:val="24"/>
                <w:lang w:eastAsia="zh-CN" w:bidi="ar"/>
              </w:rPr>
              <w:t>项目决策</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绩效目标</w:t>
            </w:r>
          </w:p>
        </w:tc>
        <w:tc>
          <w:tcPr>
            <w:tcW w:w="70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目标内容</w:t>
            </w:r>
          </w:p>
        </w:tc>
        <w:tc>
          <w:tcPr>
            <w:tcW w:w="268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0"/>
                <w:szCs w:val="20"/>
              </w:rPr>
              <w:t>项目预期提供的产品、服务、效益或其他目标明确,即绩效目标实际明确个数/应当明确个数×100%</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2021年</w:t>
            </w:r>
            <w:r>
              <w:rPr>
                <w:rFonts w:hint="eastAsia" w:ascii="宋体" w:hAnsi="宋体" w:cs="宋体"/>
                <w:color w:val="000000"/>
                <w:sz w:val="24"/>
                <w:lang w:val="en-US" w:eastAsia="zh-CN"/>
              </w:rPr>
              <w:t>举办代表初任培训班一期</w:t>
            </w:r>
            <w:r>
              <w:rPr>
                <w:rFonts w:hint="eastAsia" w:ascii="宋体" w:hAnsi="宋体" w:cs="宋体"/>
                <w:color w:val="000000"/>
                <w:sz w:val="20"/>
                <w:szCs w:val="20"/>
                <w:lang w:val="en-US" w:eastAsia="zh-CN"/>
              </w:rPr>
              <w:t>，按时组织代表参加上级部门相关培训、调研及会议</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2021年</w:t>
            </w:r>
            <w:r>
              <w:rPr>
                <w:rFonts w:hint="eastAsia" w:ascii="宋体" w:hAnsi="宋体" w:cs="宋体"/>
                <w:color w:val="000000"/>
                <w:sz w:val="24"/>
                <w:lang w:val="en-US" w:eastAsia="zh-CN"/>
              </w:rPr>
              <w:t>举办代表初任培训班一期，</w:t>
            </w:r>
            <w:r>
              <w:rPr>
                <w:rFonts w:hint="eastAsia" w:ascii="宋体" w:hAnsi="宋体" w:cs="宋体"/>
                <w:color w:val="000000"/>
                <w:sz w:val="20"/>
                <w:szCs w:val="20"/>
                <w:lang w:val="en-US" w:eastAsia="zh-CN"/>
              </w:rPr>
              <w:t>按时组织代表参加上级部门相关培训、调研及会议</w:t>
            </w:r>
          </w:p>
        </w:tc>
      </w:tr>
      <w:tr>
        <w:tblPrEx>
          <w:tblLayout w:type="fixed"/>
          <w:tblCellMar>
            <w:top w:w="0" w:type="dxa"/>
            <w:left w:w="0" w:type="dxa"/>
            <w:bottom w:w="0" w:type="dxa"/>
            <w:right w:w="0" w:type="dxa"/>
          </w:tblCellMar>
        </w:tblPrEx>
        <w:trPr>
          <w:trHeight w:val="81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进度计划</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cs="宋体" w:asciiTheme="minorEastAsia" w:hAnsiTheme="minorEastAsia" w:eastAsiaTheme="minorEastAsia"/>
                <w:color w:val="000000"/>
                <w:kern w:val="0"/>
                <w:sz w:val="20"/>
                <w:szCs w:val="20"/>
              </w:rPr>
              <w:t>项目计划实施进度明确</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一年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按计划完成</w:t>
            </w:r>
          </w:p>
        </w:tc>
      </w:tr>
      <w:tr>
        <w:tblPrEx>
          <w:tblLayout w:type="fixed"/>
          <w:tblCellMar>
            <w:top w:w="0" w:type="dxa"/>
            <w:left w:w="0" w:type="dxa"/>
            <w:bottom w:w="0" w:type="dxa"/>
            <w:right w:w="0" w:type="dxa"/>
          </w:tblCellMar>
        </w:tblPrEx>
        <w:trPr>
          <w:trHeight w:val="118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目标匹配</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cs="宋体" w:asciiTheme="minorEastAsia" w:hAnsiTheme="minorEastAsia" w:eastAsiaTheme="minorEastAsia"/>
                <w:color w:val="000000"/>
                <w:kern w:val="0"/>
                <w:sz w:val="20"/>
                <w:szCs w:val="20"/>
              </w:rPr>
              <w:t>绩效目标设定符合实际需求的抽样项目点个数/抽样项目点总数×100%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val="en-US" w:eastAsia="zh-CN"/>
              </w:rPr>
            </w:pPr>
            <w:r>
              <w:rPr>
                <w:rFonts w:hint="eastAsia" w:ascii="宋体" w:hAnsi="宋体" w:cs="宋体"/>
                <w:color w:val="000000"/>
                <w:sz w:val="20"/>
                <w:szCs w:val="20"/>
                <w:lang w:val="en-US" w:eastAsia="zh-CN"/>
              </w:rPr>
              <w:t>1</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val="en-US" w:eastAsia="zh-CN"/>
              </w:rPr>
            </w:pPr>
            <w:r>
              <w:rPr>
                <w:rFonts w:hint="eastAsia" w:ascii="宋体" w:hAnsi="宋体" w:cs="宋体"/>
                <w:color w:val="000000"/>
                <w:sz w:val="20"/>
                <w:szCs w:val="20"/>
                <w:lang w:val="en-US" w:eastAsia="zh-CN"/>
              </w:rPr>
              <w:t>1</w:t>
            </w:r>
          </w:p>
        </w:tc>
      </w:tr>
      <w:tr>
        <w:tblPrEx>
          <w:tblLayout w:type="fixed"/>
          <w:tblCellMar>
            <w:top w:w="0" w:type="dxa"/>
            <w:left w:w="0" w:type="dxa"/>
            <w:bottom w:w="0" w:type="dxa"/>
            <w:right w:w="0" w:type="dxa"/>
          </w:tblCellMar>
        </w:tblPrEx>
        <w:trPr>
          <w:trHeight w:val="80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决策依据</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政策依据</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项目符合党中央、国务院和省委、省政府决策部署；符合当前经济社会发展需要</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符合</w:t>
            </w:r>
          </w:p>
        </w:tc>
      </w:tr>
      <w:tr>
        <w:tblPrEx>
          <w:tblLayout w:type="fixed"/>
          <w:tblCellMar>
            <w:top w:w="0" w:type="dxa"/>
            <w:left w:w="0" w:type="dxa"/>
            <w:bottom w:w="0" w:type="dxa"/>
            <w:right w:w="0" w:type="dxa"/>
          </w:tblCellMar>
        </w:tblPrEx>
        <w:trPr>
          <w:trHeight w:val="83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实施规划</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连续性项目根据需要制定中长期实施规划</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已制定</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已制定</w:t>
            </w:r>
          </w:p>
        </w:tc>
      </w:tr>
      <w:tr>
        <w:tblPrEx>
          <w:tblLayout w:type="fixed"/>
          <w:tblCellMar>
            <w:top w:w="0" w:type="dxa"/>
            <w:left w:w="0" w:type="dxa"/>
            <w:bottom w:w="0" w:type="dxa"/>
            <w:right w:w="0" w:type="dxa"/>
          </w:tblCellMar>
        </w:tblPrEx>
        <w:trPr>
          <w:trHeight w:val="2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实施规划符合实际，并根据情况变化适时调整</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Layout w:type="fixed"/>
          <w:tblCellMar>
            <w:top w:w="0" w:type="dxa"/>
            <w:left w:w="0" w:type="dxa"/>
            <w:bottom w:w="0" w:type="dxa"/>
            <w:right w:w="0" w:type="dxa"/>
          </w:tblCellMar>
        </w:tblPrEx>
        <w:trPr>
          <w:trHeight w:val="52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管理制度</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制定项目资金管理办法</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项目资金管理办法</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已制定</w:t>
            </w:r>
          </w:p>
        </w:tc>
      </w:tr>
      <w:tr>
        <w:tblPrEx>
          <w:tblLayout w:type="fixed"/>
          <w:tblCellMar>
            <w:top w:w="0" w:type="dxa"/>
            <w:left w:w="0" w:type="dxa"/>
            <w:bottom w:w="0" w:type="dxa"/>
            <w:right w:w="0" w:type="dxa"/>
          </w:tblCellMar>
        </w:tblPrEx>
        <w:trPr>
          <w:trHeight w:val="65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项目资金分配决策程序明确</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Layout w:type="fixed"/>
          <w:tblCellMar>
            <w:top w:w="0" w:type="dxa"/>
            <w:left w:w="0" w:type="dxa"/>
            <w:bottom w:w="0" w:type="dxa"/>
            <w:right w:w="0" w:type="dxa"/>
          </w:tblCellMar>
        </w:tblPrEx>
        <w:trPr>
          <w:trHeight w:val="61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资金分配</w:t>
            </w:r>
          </w:p>
        </w:tc>
        <w:tc>
          <w:tcPr>
            <w:tcW w:w="70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分配方法</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资金分配方法是否科学合理</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Layout w:type="fixed"/>
          <w:tblCellMar>
            <w:top w:w="0" w:type="dxa"/>
            <w:left w:w="0" w:type="dxa"/>
            <w:bottom w:w="0" w:type="dxa"/>
            <w:right w:w="0" w:type="dxa"/>
          </w:tblCellMar>
        </w:tblPrEx>
        <w:trPr>
          <w:trHeight w:val="57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分配过程</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分配过程符合相关规定</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Layout w:type="fixed"/>
          <w:tblCellMar>
            <w:top w:w="0" w:type="dxa"/>
            <w:left w:w="0" w:type="dxa"/>
            <w:bottom w:w="0" w:type="dxa"/>
            <w:right w:w="0" w:type="dxa"/>
          </w:tblCellMar>
        </w:tblPrEx>
        <w:trPr>
          <w:trHeight w:val="7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分配结果</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审核把关</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符合申报条件的抽样项目点个数/抽样项目点总数×100%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1个</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1个</w:t>
            </w:r>
          </w:p>
        </w:tc>
      </w:tr>
      <w:tr>
        <w:tblPrEx>
          <w:tblLayout w:type="fixed"/>
          <w:tblCellMar>
            <w:top w:w="0" w:type="dxa"/>
            <w:left w:w="0" w:type="dxa"/>
            <w:bottom w:w="0" w:type="dxa"/>
            <w:right w:w="0" w:type="dxa"/>
          </w:tblCellMar>
        </w:tblPrEx>
        <w:trPr>
          <w:trHeight w:val="78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资金集中</w:t>
            </w:r>
          </w:p>
        </w:tc>
        <w:tc>
          <w:tcPr>
            <w:tcW w:w="885" w:type="dxa"/>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lang w:eastAsia="zh-CN"/>
              </w:rPr>
            </w:pPr>
            <w:r>
              <w:rPr>
                <w:rFonts w:hint="eastAsia" w:cs="宋体" w:asciiTheme="minorEastAsia" w:hAnsiTheme="minorEastAsia" w:eastAsiaTheme="minorEastAsia"/>
                <w:color w:val="000000"/>
                <w:kern w:val="0"/>
                <w:sz w:val="20"/>
                <w:szCs w:val="20"/>
                <w:lang w:eastAsia="zh-CN"/>
              </w:rPr>
              <w:t>集中</w:t>
            </w:r>
          </w:p>
        </w:tc>
        <w:tc>
          <w:tcPr>
            <w:tcW w:w="180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财政资金占项目资金总额比重较小项目个数/项目总数×100%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100%</w:t>
            </w:r>
          </w:p>
        </w:tc>
      </w:tr>
      <w:tr>
        <w:tblPrEx>
          <w:tblLayout w:type="fixed"/>
          <w:tblCellMar>
            <w:top w:w="0" w:type="dxa"/>
            <w:left w:w="0" w:type="dxa"/>
            <w:bottom w:w="0" w:type="dxa"/>
            <w:right w:w="0" w:type="dxa"/>
          </w:tblCellMar>
        </w:tblPrEx>
        <w:trPr>
          <w:trHeight w:val="33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（均衡）</w:t>
            </w:r>
          </w:p>
        </w:tc>
        <w:tc>
          <w:tcPr>
            <w:tcW w:w="885" w:type="dxa"/>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lang w:eastAsia="zh-CN"/>
              </w:rPr>
            </w:pPr>
            <w:r>
              <w:rPr>
                <w:rFonts w:hint="eastAsia" w:cs="宋体" w:asciiTheme="minorEastAsia" w:hAnsiTheme="minorEastAsia" w:eastAsiaTheme="minorEastAsia"/>
                <w:color w:val="000000"/>
                <w:kern w:val="0"/>
                <w:sz w:val="20"/>
                <w:szCs w:val="20"/>
                <w:lang w:eastAsia="zh-CN"/>
              </w:rPr>
              <w:t>均衡</w:t>
            </w:r>
          </w:p>
        </w:tc>
        <w:tc>
          <w:tcPr>
            <w:tcW w:w="1800" w:type="dxa"/>
            <w:tcBorders>
              <w:top w:val="single" w:color="auto" w:sz="4" w:space="0"/>
              <w:left w:val="single" w:color="auto"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按实际分配结果选择客观因素测算验证资金分配方法制定、分配要素设定、基础数据应用、测算依据选取等是否科学合理</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Layout w:type="fixed"/>
          <w:tblCellMar>
            <w:top w:w="0" w:type="dxa"/>
            <w:left w:w="0" w:type="dxa"/>
            <w:bottom w:w="0" w:type="dxa"/>
            <w:right w:w="0" w:type="dxa"/>
          </w:tblCellMar>
        </w:tblPrEx>
        <w:trPr>
          <w:trHeight w:val="70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kern w:val="0"/>
                <w:sz w:val="24"/>
                <w:lang w:eastAsia="zh-CN" w:bidi="ar"/>
              </w:rPr>
              <w:t>项目管理</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资金到位</w:t>
            </w:r>
          </w:p>
        </w:tc>
        <w:tc>
          <w:tcPr>
            <w:tcW w:w="70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分配时效</w:t>
            </w:r>
          </w:p>
        </w:tc>
        <w:tc>
          <w:tcPr>
            <w:tcW w:w="268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县级主管部门按规定及时分配资金</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Layout w:type="fixed"/>
          <w:tblCellMar>
            <w:top w:w="0" w:type="dxa"/>
            <w:left w:w="0" w:type="dxa"/>
            <w:bottom w:w="0" w:type="dxa"/>
            <w:right w:w="0" w:type="dxa"/>
          </w:tblCellMar>
        </w:tblPrEx>
        <w:trPr>
          <w:trHeight w:val="47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资金拨付</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按规定及时拨付资金</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每次培训后</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both"/>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每次培训后</w:t>
            </w:r>
          </w:p>
        </w:tc>
      </w:tr>
      <w:tr>
        <w:tblPrEx>
          <w:tblLayout w:type="fixed"/>
          <w:tblCellMar>
            <w:top w:w="0" w:type="dxa"/>
            <w:left w:w="0" w:type="dxa"/>
            <w:bottom w:w="0" w:type="dxa"/>
            <w:right w:w="0" w:type="dxa"/>
          </w:tblCellMar>
        </w:tblPrEx>
        <w:trPr>
          <w:trHeight w:val="42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资金管理</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使用范围</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资金使用是否合规</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Layout w:type="fixed"/>
          <w:tblCellMar>
            <w:top w:w="0" w:type="dxa"/>
            <w:left w:w="0" w:type="dxa"/>
            <w:bottom w:w="0" w:type="dxa"/>
            <w:right w:w="0" w:type="dxa"/>
          </w:tblCellMar>
        </w:tblPrEx>
        <w:trPr>
          <w:trHeight w:val="86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支付依据</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资金支付依据符合规定，即支付依旧合规资金量/资金总量×100%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Layout w:type="fixed"/>
          <w:tblCellMar>
            <w:top w:w="0" w:type="dxa"/>
            <w:left w:w="0" w:type="dxa"/>
            <w:bottom w:w="0" w:type="dxa"/>
            <w:right w:w="0" w:type="dxa"/>
          </w:tblCellMar>
        </w:tblPrEx>
        <w:trPr>
          <w:trHeight w:val="98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开支标准</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资金开支标准符合规定，即开支标准合规资金量/资金总量×100%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Layout w:type="fixed"/>
          <w:tblCellMar>
            <w:top w:w="0" w:type="dxa"/>
            <w:left w:w="0" w:type="dxa"/>
            <w:bottom w:w="0" w:type="dxa"/>
            <w:right w:w="0" w:type="dxa"/>
          </w:tblCellMar>
        </w:tblPrEx>
        <w:trPr>
          <w:trHeight w:val="47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财务管理</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财务制度</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财务制度健全，管理规范</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Layout w:type="fixed"/>
          <w:tblCellMar>
            <w:top w:w="0" w:type="dxa"/>
            <w:left w:w="0" w:type="dxa"/>
            <w:bottom w:w="0" w:type="dxa"/>
            <w:right w:w="0" w:type="dxa"/>
          </w:tblCellMar>
        </w:tblPrEx>
        <w:trPr>
          <w:trHeight w:val="68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会计核算</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会计核算规范</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Layout w:type="fixed"/>
          <w:tblCellMar>
            <w:top w:w="0" w:type="dxa"/>
            <w:left w:w="0" w:type="dxa"/>
            <w:bottom w:w="0" w:type="dxa"/>
            <w:right w:w="0" w:type="dxa"/>
          </w:tblCellMar>
        </w:tblPrEx>
        <w:trPr>
          <w:trHeight w:val="56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组织实施</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项目调整</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项目调整严格履行相关手续</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r>
      <w:tr>
        <w:tblPrEx>
          <w:tblLayout w:type="fixed"/>
          <w:tblCellMar>
            <w:top w:w="0" w:type="dxa"/>
            <w:left w:w="0" w:type="dxa"/>
            <w:bottom w:w="0" w:type="dxa"/>
            <w:right w:w="0" w:type="dxa"/>
          </w:tblCellMar>
        </w:tblPrEx>
        <w:trPr>
          <w:trHeight w:val="48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投资变更</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项目投资变更额/项目总投入×100%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r>
      <w:tr>
        <w:tblPrEx>
          <w:tblLayout w:type="fixed"/>
          <w:tblCellMar>
            <w:top w:w="0" w:type="dxa"/>
            <w:left w:w="0" w:type="dxa"/>
            <w:bottom w:w="0" w:type="dxa"/>
            <w:right w:w="0" w:type="dxa"/>
          </w:tblCellMar>
        </w:tblPrEx>
        <w:trPr>
          <w:trHeight w:val="47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制度执行</w:t>
            </w:r>
          </w:p>
        </w:tc>
        <w:tc>
          <w:tcPr>
            <w:tcW w:w="2685" w:type="dxa"/>
            <w:gridSpan w:val="2"/>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严格执行项目有关制度规定</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Layout w:type="fixed"/>
          <w:tblCellMar>
            <w:top w:w="0" w:type="dxa"/>
            <w:left w:w="0" w:type="dxa"/>
            <w:bottom w:w="0" w:type="dxa"/>
            <w:right w:w="0" w:type="dxa"/>
          </w:tblCellMar>
        </w:tblPrEx>
        <w:trPr>
          <w:trHeight w:val="43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kern w:val="0"/>
                <w:sz w:val="24"/>
                <w:lang w:eastAsia="zh-CN" w:bidi="ar"/>
              </w:rPr>
              <w:t>项目绩效</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项目完成</w:t>
            </w:r>
          </w:p>
        </w:tc>
        <w:tc>
          <w:tcPr>
            <w:tcW w:w="70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完成数量</w:t>
            </w:r>
          </w:p>
        </w:tc>
        <w:tc>
          <w:tcPr>
            <w:tcW w:w="268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实际完成任务量/绩效目标设定任务量×100%</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Layout w:type="fixed"/>
          <w:tblCellMar>
            <w:top w:w="0" w:type="dxa"/>
            <w:left w:w="0" w:type="dxa"/>
            <w:bottom w:w="0" w:type="dxa"/>
            <w:right w:w="0" w:type="dxa"/>
          </w:tblCellMar>
        </w:tblPrEx>
        <w:trPr>
          <w:trHeight w:val="54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完成质量</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符合绩效目标设定的验收标准，达到行业基准水平</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Layout w:type="fixed"/>
          <w:tblCellMar>
            <w:top w:w="0" w:type="dxa"/>
            <w:left w:w="0" w:type="dxa"/>
            <w:bottom w:w="0" w:type="dxa"/>
            <w:right w:w="0" w:type="dxa"/>
          </w:tblCellMar>
        </w:tblPrEx>
        <w:trPr>
          <w:trHeight w:val="3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完成时效</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（实际完成时间-绩效目标设定完成时间）/绩效目标设定完成时间×100%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Layout w:type="fixed"/>
          <w:tblCellMar>
            <w:top w:w="0" w:type="dxa"/>
            <w:left w:w="0" w:type="dxa"/>
            <w:bottom w:w="0" w:type="dxa"/>
            <w:right w:w="0" w:type="dxa"/>
          </w:tblCellMar>
        </w:tblPrEx>
        <w:trPr>
          <w:trHeight w:val="24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完成成本</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（实际完成成本-预计完成成本）/预计完成成本×100%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Layout w:type="fixed"/>
          <w:tblCellMar>
            <w:top w:w="0" w:type="dxa"/>
            <w:left w:w="0" w:type="dxa"/>
            <w:bottom w:w="0" w:type="dxa"/>
            <w:right w:w="0" w:type="dxa"/>
          </w:tblCellMar>
        </w:tblPrEx>
        <w:trPr>
          <w:trHeight w:val="2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项目效益</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经济效益</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反映相关产出对经济社会发展带来的影响和效果，根据项目实际细化具体指标。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提高代表素质，促进我县经济发展</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有所提高</w:t>
            </w:r>
          </w:p>
        </w:tc>
      </w:tr>
      <w:tr>
        <w:tblPrEx>
          <w:tblLayout w:type="fixed"/>
          <w:tblCellMar>
            <w:top w:w="0" w:type="dxa"/>
            <w:left w:w="0" w:type="dxa"/>
            <w:bottom w:w="0" w:type="dxa"/>
            <w:right w:w="0" w:type="dxa"/>
          </w:tblCellMar>
        </w:tblPrEx>
        <w:trPr>
          <w:trHeight w:val="51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社会效益</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反映相关产出对社会发展带来的影响和效果，根据项目实际细化具体指标。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通过培训及调研，认清自己的权利和义务，懂得如何行好自己的职责</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lang w:eastAsia="zh-CN"/>
              </w:rPr>
              <w:t>通过培训及调研，认清自己的权利和义务，懂得如何行好自己的职责</w:t>
            </w:r>
          </w:p>
        </w:tc>
      </w:tr>
      <w:tr>
        <w:tblPrEx>
          <w:tblLayout w:type="fixed"/>
          <w:tblCellMar>
            <w:top w:w="0" w:type="dxa"/>
            <w:left w:w="0" w:type="dxa"/>
            <w:bottom w:w="0" w:type="dxa"/>
            <w:right w:w="0" w:type="dxa"/>
          </w:tblCellMar>
        </w:tblPrEx>
        <w:trPr>
          <w:trHeight w:val="56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生态效益</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反映相关产出对自然环境带来的影响和效果，根据项目实际细化具体指标。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lang w:eastAsia="zh-CN"/>
              </w:rPr>
              <w:t>通过培训及调研，县</w:t>
            </w:r>
            <w:r>
              <w:rPr>
                <w:rFonts w:hint="eastAsia" w:ascii="宋体" w:hAnsi="宋体" w:cs="宋体"/>
                <w:color w:val="000000"/>
                <w:sz w:val="20"/>
                <w:szCs w:val="20"/>
              </w:rPr>
              <w:t>人大代表提出了城乡建设生态环境保护</w:t>
            </w:r>
            <w:r>
              <w:rPr>
                <w:rFonts w:hint="eastAsia" w:ascii="宋体" w:hAnsi="宋体" w:cs="宋体"/>
                <w:color w:val="000000"/>
                <w:sz w:val="20"/>
                <w:szCs w:val="20"/>
                <w:lang w:eastAsia="zh-CN"/>
              </w:rPr>
              <w:t>，卫生事业发展</w:t>
            </w:r>
            <w:r>
              <w:rPr>
                <w:rFonts w:hint="eastAsia" w:ascii="宋体" w:hAnsi="宋体" w:cs="宋体"/>
                <w:color w:val="000000"/>
                <w:sz w:val="20"/>
                <w:szCs w:val="20"/>
              </w:rPr>
              <w:t>方面的建议。</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lang w:eastAsia="zh-CN"/>
              </w:rPr>
              <w:t>通过培训及调研，县</w:t>
            </w:r>
            <w:r>
              <w:rPr>
                <w:rFonts w:hint="eastAsia" w:ascii="宋体" w:hAnsi="宋体" w:cs="宋体"/>
                <w:color w:val="000000"/>
                <w:sz w:val="20"/>
                <w:szCs w:val="20"/>
              </w:rPr>
              <w:t>人大代表提出了城乡建设生态环境保护</w:t>
            </w:r>
            <w:r>
              <w:rPr>
                <w:rFonts w:hint="eastAsia" w:ascii="宋体" w:hAnsi="宋体" w:cs="宋体"/>
                <w:color w:val="000000"/>
                <w:sz w:val="20"/>
                <w:szCs w:val="20"/>
                <w:lang w:eastAsia="zh-CN"/>
              </w:rPr>
              <w:t>，卫生事业发展</w:t>
            </w:r>
            <w:r>
              <w:rPr>
                <w:rFonts w:hint="eastAsia" w:ascii="宋体" w:hAnsi="宋体" w:cs="宋体"/>
                <w:color w:val="000000"/>
                <w:sz w:val="20"/>
                <w:szCs w:val="20"/>
              </w:rPr>
              <w:t>方面的建议。</w:t>
            </w:r>
          </w:p>
        </w:tc>
      </w:tr>
      <w:tr>
        <w:tblPrEx>
          <w:tblLayout w:type="fixed"/>
          <w:tblCellMar>
            <w:top w:w="0" w:type="dxa"/>
            <w:left w:w="0" w:type="dxa"/>
            <w:bottom w:w="0" w:type="dxa"/>
            <w:right w:w="0" w:type="dxa"/>
          </w:tblCellMar>
        </w:tblPrEx>
        <w:trPr>
          <w:trHeight w:val="49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可持续效益</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反映相关产出带来影响的可持续期限，根据项目实际细化具体指标。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为</w:t>
            </w:r>
            <w:r>
              <w:rPr>
                <w:rFonts w:hint="eastAsia" w:ascii="宋体" w:hAnsi="宋体" w:cs="宋体"/>
                <w:color w:val="000000"/>
                <w:sz w:val="20"/>
                <w:szCs w:val="20"/>
                <w:lang w:eastAsia="zh-CN"/>
              </w:rPr>
              <w:t>县</w:t>
            </w:r>
            <w:r>
              <w:rPr>
                <w:rFonts w:hint="eastAsia" w:ascii="宋体" w:hAnsi="宋体" w:cs="宋体"/>
                <w:color w:val="000000"/>
                <w:sz w:val="20"/>
                <w:szCs w:val="20"/>
              </w:rPr>
              <w:t>委</w:t>
            </w:r>
            <w:r>
              <w:rPr>
                <w:rFonts w:hint="eastAsia" w:ascii="宋体" w:hAnsi="宋体" w:cs="宋体"/>
                <w:color w:val="000000"/>
                <w:sz w:val="20"/>
                <w:szCs w:val="20"/>
                <w:lang w:eastAsia="zh-CN"/>
              </w:rPr>
              <w:t>县</w:t>
            </w:r>
            <w:r>
              <w:rPr>
                <w:rFonts w:hint="eastAsia" w:ascii="宋体" w:hAnsi="宋体" w:cs="宋体"/>
                <w:color w:val="000000"/>
                <w:sz w:val="20"/>
                <w:szCs w:val="20"/>
              </w:rPr>
              <w:t>政府重大决策提供意见建议</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为</w:t>
            </w:r>
            <w:r>
              <w:rPr>
                <w:rFonts w:hint="eastAsia" w:ascii="宋体" w:hAnsi="宋体" w:cs="宋体"/>
                <w:color w:val="000000"/>
                <w:sz w:val="20"/>
                <w:szCs w:val="20"/>
                <w:lang w:eastAsia="zh-CN"/>
              </w:rPr>
              <w:t>县</w:t>
            </w:r>
            <w:r>
              <w:rPr>
                <w:rFonts w:hint="eastAsia" w:ascii="宋体" w:hAnsi="宋体" w:cs="宋体"/>
                <w:color w:val="000000"/>
                <w:sz w:val="20"/>
                <w:szCs w:val="20"/>
              </w:rPr>
              <w:t>委</w:t>
            </w:r>
            <w:r>
              <w:rPr>
                <w:rFonts w:hint="eastAsia" w:ascii="宋体" w:hAnsi="宋体" w:cs="宋体"/>
                <w:color w:val="000000"/>
                <w:sz w:val="20"/>
                <w:szCs w:val="20"/>
                <w:lang w:eastAsia="zh-CN"/>
              </w:rPr>
              <w:t>县</w:t>
            </w:r>
            <w:r>
              <w:rPr>
                <w:rFonts w:hint="eastAsia" w:ascii="宋体" w:hAnsi="宋体" w:cs="宋体"/>
                <w:color w:val="000000"/>
                <w:sz w:val="20"/>
                <w:szCs w:val="20"/>
              </w:rPr>
              <w:t>政府重大决策提供意见建议</w:t>
            </w:r>
          </w:p>
        </w:tc>
      </w:tr>
      <w:tr>
        <w:tblPrEx>
          <w:tblLayout w:type="fixed"/>
          <w:tblCellMar>
            <w:top w:w="0" w:type="dxa"/>
            <w:left w:w="0" w:type="dxa"/>
            <w:bottom w:w="0" w:type="dxa"/>
            <w:right w:w="0" w:type="dxa"/>
          </w:tblCellMar>
        </w:tblPrEx>
        <w:trPr>
          <w:trHeight w:val="11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满意度</w:t>
            </w:r>
          </w:p>
        </w:tc>
        <w:tc>
          <w:tcPr>
            <w:tcW w:w="70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服务对象满意度</w:t>
            </w:r>
          </w:p>
        </w:tc>
        <w:tc>
          <w:tcPr>
            <w:tcW w:w="2685" w:type="dxa"/>
            <w:gridSpan w:val="2"/>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反映服务对象或项目受益人对相关产出及其影响的认可程度，根据项目实际细化具体指标。</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bl>
    <w:p>
      <w:pPr>
        <w:spacing w:line="580" w:lineRule="exact"/>
        <w:ind w:left="630"/>
        <w:rPr>
          <w:rFonts w:ascii="仿宋_GB2312" w:hAnsi="仿宋_GB2312" w:eastAsia="仿宋_GB2312" w:cs="仿宋_GB2312"/>
          <w:sz w:val="32"/>
          <w:szCs w:val="32"/>
        </w:rPr>
      </w:pPr>
    </w:p>
    <w:tbl>
      <w:tblPr>
        <w:tblStyle w:val="11"/>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005"/>
        <w:gridCol w:w="825"/>
        <w:gridCol w:w="705"/>
        <w:gridCol w:w="885"/>
        <w:gridCol w:w="1800"/>
        <w:gridCol w:w="1935"/>
        <w:gridCol w:w="2415"/>
      </w:tblGrid>
      <w:tr>
        <w:tblPrEx>
          <w:tblLayout w:type="fixed"/>
          <w:tblCellMar>
            <w:top w:w="0" w:type="dxa"/>
            <w:left w:w="0" w:type="dxa"/>
            <w:bottom w:w="0" w:type="dxa"/>
            <w:right w:w="0" w:type="dxa"/>
          </w:tblCellMar>
        </w:tblPrEx>
        <w:trPr>
          <w:trHeight w:val="1034" w:hRule="atLeast"/>
        </w:trPr>
        <w:tc>
          <w:tcPr>
            <w:tcW w:w="9960" w:type="dxa"/>
            <w:gridSpan w:val="8"/>
            <w:tcMar>
              <w:top w:w="15" w:type="dxa"/>
              <w:left w:w="15" w:type="dxa"/>
              <w:bottom w:w="0" w:type="dxa"/>
              <w:right w:w="15" w:type="dxa"/>
            </w:tcMar>
            <w:vAlign w:val="center"/>
          </w:tcPr>
          <w:p>
            <w:pPr>
              <w:pStyle w:val="15"/>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lang w:bidi="ar"/>
              </w:rPr>
              <w:t>项目支出绩效目标完成情况表</w:t>
            </w:r>
            <w:r>
              <w:rPr>
                <w:rFonts w:hint="eastAsia" w:ascii="宋体" w:hAnsi="宋体" w:cs="宋体"/>
                <w:b/>
                <w:bCs/>
                <w:color w:val="000000"/>
                <w:kern w:val="0"/>
                <w:sz w:val="36"/>
                <w:szCs w:val="36"/>
                <w:lang w:bidi="ar"/>
              </w:rPr>
              <w:br w:type="textWrapping"/>
            </w:r>
            <w:r>
              <w:rPr>
                <w:rFonts w:hint="eastAsia" w:ascii="宋体" w:hAnsi="宋体" w:cs="宋体"/>
                <w:color w:val="000000"/>
                <w:kern w:val="0"/>
                <w:sz w:val="36"/>
                <w:szCs w:val="36"/>
                <w:lang w:bidi="ar"/>
              </w:rPr>
              <w:t>(20</w:t>
            </w:r>
            <w:r>
              <w:rPr>
                <w:rFonts w:hint="eastAsia" w:ascii="宋体" w:hAnsi="宋体" w:cs="宋体"/>
                <w:color w:val="000000"/>
                <w:kern w:val="0"/>
                <w:sz w:val="36"/>
                <w:szCs w:val="36"/>
                <w:lang w:val="en-US" w:eastAsia="zh-CN" w:bidi="ar"/>
              </w:rPr>
              <w:t>21</w:t>
            </w:r>
            <w:r>
              <w:rPr>
                <w:rFonts w:hint="eastAsia" w:ascii="宋体" w:hAnsi="宋体" w:cs="宋体"/>
                <w:color w:val="000000"/>
                <w:kern w:val="0"/>
                <w:sz w:val="36"/>
                <w:szCs w:val="36"/>
                <w:lang w:bidi="ar"/>
              </w:rPr>
              <w:t>年度)</w:t>
            </w:r>
          </w:p>
        </w:tc>
      </w:tr>
      <w:tr>
        <w:tblPrEx>
          <w:tblLayout w:type="fixed"/>
          <w:tblCellMar>
            <w:top w:w="0" w:type="dxa"/>
            <w:left w:w="0" w:type="dxa"/>
            <w:bottom w:w="0" w:type="dxa"/>
            <w:right w:w="0" w:type="dxa"/>
          </w:tblCellMar>
        </w:tblPrEx>
        <w:trPr>
          <w:trHeight w:val="276" w:hRule="atLeast"/>
        </w:trPr>
        <w:tc>
          <w:tcPr>
            <w:tcW w:w="22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项目名称</w:t>
            </w:r>
          </w:p>
        </w:tc>
        <w:tc>
          <w:tcPr>
            <w:tcW w:w="7740"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 xml:space="preserve">  人大专项办公费</w:t>
            </w:r>
          </w:p>
        </w:tc>
      </w:tr>
      <w:tr>
        <w:tblPrEx>
          <w:tblLayout w:type="fixed"/>
          <w:tblCellMar>
            <w:top w:w="0" w:type="dxa"/>
            <w:left w:w="0" w:type="dxa"/>
            <w:bottom w:w="0" w:type="dxa"/>
            <w:right w:w="0" w:type="dxa"/>
          </w:tblCellMar>
        </w:tblPrEx>
        <w:trPr>
          <w:trHeight w:val="276" w:hRule="atLeast"/>
        </w:trPr>
        <w:tc>
          <w:tcPr>
            <w:tcW w:w="22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预算单位</w:t>
            </w:r>
          </w:p>
        </w:tc>
        <w:tc>
          <w:tcPr>
            <w:tcW w:w="7740"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红原县人大常委会办公室</w:t>
            </w:r>
          </w:p>
        </w:tc>
      </w:tr>
      <w:tr>
        <w:tblPrEx>
          <w:tblLayout w:type="fixed"/>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预算执行情况(万元)</w:t>
            </w: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预算数:</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20万元</w:t>
            </w:r>
          </w:p>
        </w:tc>
        <w:tc>
          <w:tcPr>
            <w:tcW w:w="46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执行数:</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19.92万元</w:t>
            </w:r>
          </w:p>
        </w:tc>
      </w:tr>
      <w:tr>
        <w:tblPrEx>
          <w:tblLayout w:type="fixed"/>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20万元</w:t>
            </w:r>
          </w:p>
        </w:tc>
        <w:tc>
          <w:tcPr>
            <w:tcW w:w="46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19.92万元</w:t>
            </w:r>
          </w:p>
        </w:tc>
      </w:tr>
      <w:tr>
        <w:tblPrEx>
          <w:tblLayout w:type="fixed"/>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0</w:t>
            </w:r>
          </w:p>
        </w:tc>
        <w:tc>
          <w:tcPr>
            <w:tcW w:w="46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p>
        </w:tc>
      </w:tr>
      <w:tr>
        <w:tblPrEx>
          <w:tblLayout w:type="fixed"/>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年度目标完成情况</w:t>
            </w:r>
          </w:p>
        </w:tc>
        <w:tc>
          <w:tcPr>
            <w:tcW w:w="253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预期目标</w:t>
            </w:r>
          </w:p>
        </w:tc>
        <w:tc>
          <w:tcPr>
            <w:tcW w:w="7035"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实际完成目标</w:t>
            </w:r>
          </w:p>
        </w:tc>
      </w:tr>
      <w:tr>
        <w:tblPrEx>
          <w:tblLayout w:type="fixed"/>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53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采购预算联网督查室相关设备，全面完成预算联网督查室的建设</w:t>
            </w:r>
          </w:p>
        </w:tc>
        <w:tc>
          <w:tcPr>
            <w:tcW w:w="7035"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2021年较好的保障了人大常委会调研、开展人大事务等专项工作</w:t>
            </w:r>
          </w:p>
        </w:tc>
      </w:tr>
      <w:tr>
        <w:tblPrEx>
          <w:tblLayout w:type="fixed"/>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0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一级指标</w:t>
            </w:r>
          </w:p>
        </w:tc>
        <w:tc>
          <w:tcPr>
            <w:tcW w:w="8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二级指标</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三级指标</w:t>
            </w:r>
          </w:p>
        </w:tc>
        <w:tc>
          <w:tcPr>
            <w:tcW w:w="2685" w:type="dxa"/>
            <w:gridSpan w:val="2"/>
            <w:tcBorders>
              <w:top w:val="single" w:color="000000"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指标评价内容</w:t>
            </w:r>
          </w:p>
        </w:tc>
        <w:tc>
          <w:tcPr>
            <w:tcW w:w="1935" w:type="dxa"/>
            <w:tcBorders>
              <w:top w:val="single" w:color="000000"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预期指标值(包含数字及文字描述)</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实际完成指标值(包含数字及文字描述)</w:t>
            </w:r>
          </w:p>
        </w:tc>
      </w:tr>
      <w:tr>
        <w:tblPrEx>
          <w:tblLayout w:type="fixed"/>
          <w:tblCellMar>
            <w:top w:w="0" w:type="dxa"/>
            <w:left w:w="0" w:type="dxa"/>
            <w:bottom w:w="0" w:type="dxa"/>
            <w:right w:w="0" w:type="dxa"/>
          </w:tblCellMar>
        </w:tblPrEx>
        <w:trPr>
          <w:trHeight w:val="76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kern w:val="0"/>
                <w:sz w:val="24"/>
                <w:lang w:eastAsia="zh-CN" w:bidi="ar"/>
              </w:rPr>
              <w:t>项目决策</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绩效目标</w:t>
            </w:r>
          </w:p>
        </w:tc>
        <w:tc>
          <w:tcPr>
            <w:tcW w:w="70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目标内容</w:t>
            </w:r>
          </w:p>
        </w:tc>
        <w:tc>
          <w:tcPr>
            <w:tcW w:w="268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0"/>
                <w:szCs w:val="20"/>
              </w:rPr>
              <w:t>项目预期提供的产品、服务、效益或其他目标明确,即绩效目标实际明确个数/应当明确个数×100%</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eastAsia="zh-CN"/>
              </w:rPr>
              <w:t>20</w:t>
            </w:r>
            <w:r>
              <w:rPr>
                <w:rFonts w:hint="eastAsia" w:ascii="宋体" w:hAnsi="宋体" w:cs="宋体"/>
                <w:color w:val="000000"/>
                <w:sz w:val="20"/>
                <w:szCs w:val="20"/>
                <w:lang w:val="en-US" w:eastAsia="zh-CN"/>
              </w:rPr>
              <w:t>21</w:t>
            </w:r>
            <w:r>
              <w:rPr>
                <w:rFonts w:hint="eastAsia" w:ascii="宋体" w:hAnsi="宋体" w:cs="宋体"/>
                <w:color w:val="000000"/>
                <w:sz w:val="20"/>
                <w:szCs w:val="20"/>
                <w:lang w:eastAsia="zh-CN"/>
              </w:rPr>
              <w:t>年较好的保障了人大常委会调研、开展人大事务等专项工作</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eastAsia="zh-CN"/>
              </w:rPr>
              <w:t>20</w:t>
            </w:r>
            <w:r>
              <w:rPr>
                <w:rFonts w:hint="eastAsia" w:ascii="宋体" w:hAnsi="宋体" w:cs="宋体"/>
                <w:color w:val="000000"/>
                <w:sz w:val="20"/>
                <w:szCs w:val="20"/>
                <w:lang w:val="en-US" w:eastAsia="zh-CN"/>
              </w:rPr>
              <w:t>21</w:t>
            </w:r>
            <w:r>
              <w:rPr>
                <w:rFonts w:hint="eastAsia" w:ascii="宋体" w:hAnsi="宋体" w:cs="宋体"/>
                <w:color w:val="000000"/>
                <w:sz w:val="20"/>
                <w:szCs w:val="20"/>
                <w:lang w:eastAsia="zh-CN"/>
              </w:rPr>
              <w:t>年较好的保障了人大常委会调研、开展人大事务等专项工作</w:t>
            </w:r>
          </w:p>
        </w:tc>
      </w:tr>
      <w:tr>
        <w:tblPrEx>
          <w:tblLayout w:type="fixed"/>
          <w:tblCellMar>
            <w:top w:w="0" w:type="dxa"/>
            <w:left w:w="0" w:type="dxa"/>
            <w:bottom w:w="0" w:type="dxa"/>
            <w:right w:w="0" w:type="dxa"/>
          </w:tblCellMar>
        </w:tblPrEx>
        <w:trPr>
          <w:trHeight w:val="81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进度计划</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cs="宋体" w:asciiTheme="minorEastAsia" w:hAnsiTheme="minorEastAsia" w:eastAsiaTheme="minorEastAsia"/>
                <w:color w:val="000000"/>
                <w:kern w:val="0"/>
                <w:sz w:val="20"/>
                <w:szCs w:val="20"/>
              </w:rPr>
              <w:t>项目计划实施进度明确</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一年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按计划完成</w:t>
            </w:r>
          </w:p>
        </w:tc>
      </w:tr>
      <w:tr>
        <w:tblPrEx>
          <w:tblLayout w:type="fixed"/>
          <w:tblCellMar>
            <w:top w:w="0" w:type="dxa"/>
            <w:left w:w="0" w:type="dxa"/>
            <w:bottom w:w="0" w:type="dxa"/>
            <w:right w:w="0" w:type="dxa"/>
          </w:tblCellMar>
        </w:tblPrEx>
        <w:trPr>
          <w:trHeight w:val="118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目标匹配</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cs="宋体" w:asciiTheme="minorEastAsia" w:hAnsiTheme="minorEastAsia" w:eastAsiaTheme="minorEastAsia"/>
                <w:color w:val="000000"/>
                <w:kern w:val="0"/>
                <w:sz w:val="20"/>
                <w:szCs w:val="20"/>
              </w:rPr>
              <w:t>绩效目标设定符合实际需求的抽样项目点个数/抽样项目点总数×100%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val="en-US" w:eastAsia="zh-CN"/>
              </w:rPr>
            </w:pPr>
            <w:r>
              <w:rPr>
                <w:rFonts w:hint="eastAsia" w:ascii="宋体" w:hAnsi="宋体" w:cs="宋体"/>
                <w:color w:val="000000"/>
                <w:sz w:val="20"/>
                <w:szCs w:val="20"/>
                <w:lang w:val="en-US" w:eastAsia="zh-CN"/>
              </w:rPr>
              <w:t>1</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val="en-US" w:eastAsia="zh-CN"/>
              </w:rPr>
            </w:pPr>
            <w:r>
              <w:rPr>
                <w:rFonts w:hint="eastAsia" w:ascii="宋体" w:hAnsi="宋体" w:cs="宋体"/>
                <w:color w:val="000000"/>
                <w:sz w:val="20"/>
                <w:szCs w:val="20"/>
                <w:lang w:val="en-US" w:eastAsia="zh-CN"/>
              </w:rPr>
              <w:t>1</w:t>
            </w:r>
          </w:p>
        </w:tc>
      </w:tr>
      <w:tr>
        <w:tblPrEx>
          <w:tblLayout w:type="fixed"/>
          <w:tblCellMar>
            <w:top w:w="0" w:type="dxa"/>
            <w:left w:w="0" w:type="dxa"/>
            <w:bottom w:w="0" w:type="dxa"/>
            <w:right w:w="0" w:type="dxa"/>
          </w:tblCellMar>
        </w:tblPrEx>
        <w:trPr>
          <w:trHeight w:val="80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决策依据</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政策依据</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项目符合党中央、国务院和省委、省政府决策部署；符合当前经济社会发展需要</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符合</w:t>
            </w:r>
          </w:p>
        </w:tc>
      </w:tr>
      <w:tr>
        <w:tblPrEx>
          <w:tblLayout w:type="fixed"/>
          <w:tblCellMar>
            <w:top w:w="0" w:type="dxa"/>
            <w:left w:w="0" w:type="dxa"/>
            <w:bottom w:w="0" w:type="dxa"/>
            <w:right w:w="0" w:type="dxa"/>
          </w:tblCellMar>
        </w:tblPrEx>
        <w:trPr>
          <w:trHeight w:val="83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实施规划</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连续性项目根据需要制定中长期实施规划</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已制定</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已制定</w:t>
            </w:r>
          </w:p>
        </w:tc>
      </w:tr>
      <w:tr>
        <w:tblPrEx>
          <w:tblLayout w:type="fixed"/>
          <w:tblCellMar>
            <w:top w:w="0" w:type="dxa"/>
            <w:left w:w="0" w:type="dxa"/>
            <w:bottom w:w="0" w:type="dxa"/>
            <w:right w:w="0" w:type="dxa"/>
          </w:tblCellMar>
        </w:tblPrEx>
        <w:trPr>
          <w:trHeight w:val="2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实施规划符合实际，并根据情况变化适时调整</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Layout w:type="fixed"/>
          <w:tblCellMar>
            <w:top w:w="0" w:type="dxa"/>
            <w:left w:w="0" w:type="dxa"/>
            <w:bottom w:w="0" w:type="dxa"/>
            <w:right w:w="0" w:type="dxa"/>
          </w:tblCellMar>
        </w:tblPrEx>
        <w:trPr>
          <w:trHeight w:val="52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管理制度</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制定项目资金管理办法</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项目资金管理办法</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已制定</w:t>
            </w:r>
          </w:p>
        </w:tc>
      </w:tr>
      <w:tr>
        <w:tblPrEx>
          <w:tblLayout w:type="fixed"/>
          <w:tblCellMar>
            <w:top w:w="0" w:type="dxa"/>
            <w:left w:w="0" w:type="dxa"/>
            <w:bottom w:w="0" w:type="dxa"/>
            <w:right w:w="0" w:type="dxa"/>
          </w:tblCellMar>
        </w:tblPrEx>
        <w:trPr>
          <w:trHeight w:val="65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项目资金分配决策程序明确</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Layout w:type="fixed"/>
          <w:tblCellMar>
            <w:top w:w="0" w:type="dxa"/>
            <w:left w:w="0" w:type="dxa"/>
            <w:bottom w:w="0" w:type="dxa"/>
            <w:right w:w="0" w:type="dxa"/>
          </w:tblCellMar>
        </w:tblPrEx>
        <w:trPr>
          <w:trHeight w:val="61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资金分配</w:t>
            </w:r>
          </w:p>
        </w:tc>
        <w:tc>
          <w:tcPr>
            <w:tcW w:w="70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分配方法</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资金分配方法是否科学合理</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Layout w:type="fixed"/>
          <w:tblCellMar>
            <w:top w:w="0" w:type="dxa"/>
            <w:left w:w="0" w:type="dxa"/>
            <w:bottom w:w="0" w:type="dxa"/>
            <w:right w:w="0" w:type="dxa"/>
          </w:tblCellMar>
        </w:tblPrEx>
        <w:trPr>
          <w:trHeight w:val="57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分配过程</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分配过程符合相关规定</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Layout w:type="fixed"/>
          <w:tblCellMar>
            <w:top w:w="0" w:type="dxa"/>
            <w:left w:w="0" w:type="dxa"/>
            <w:bottom w:w="0" w:type="dxa"/>
            <w:right w:w="0" w:type="dxa"/>
          </w:tblCellMar>
        </w:tblPrEx>
        <w:trPr>
          <w:trHeight w:val="7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分配结果</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审核把关</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符合申报条件的抽样项目点个数/抽样项目点总数×100%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1个</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1个</w:t>
            </w:r>
          </w:p>
        </w:tc>
      </w:tr>
      <w:tr>
        <w:tblPrEx>
          <w:tblLayout w:type="fixed"/>
          <w:tblCellMar>
            <w:top w:w="0" w:type="dxa"/>
            <w:left w:w="0" w:type="dxa"/>
            <w:bottom w:w="0" w:type="dxa"/>
            <w:right w:w="0" w:type="dxa"/>
          </w:tblCellMar>
        </w:tblPrEx>
        <w:trPr>
          <w:trHeight w:val="78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资金集中</w:t>
            </w:r>
          </w:p>
        </w:tc>
        <w:tc>
          <w:tcPr>
            <w:tcW w:w="885" w:type="dxa"/>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lang w:eastAsia="zh-CN"/>
              </w:rPr>
            </w:pPr>
            <w:r>
              <w:rPr>
                <w:rFonts w:hint="eastAsia" w:cs="宋体" w:asciiTheme="minorEastAsia" w:hAnsiTheme="minorEastAsia" w:eastAsiaTheme="minorEastAsia"/>
                <w:color w:val="000000"/>
                <w:kern w:val="0"/>
                <w:sz w:val="20"/>
                <w:szCs w:val="20"/>
                <w:lang w:eastAsia="zh-CN"/>
              </w:rPr>
              <w:t>集中</w:t>
            </w:r>
          </w:p>
        </w:tc>
        <w:tc>
          <w:tcPr>
            <w:tcW w:w="180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财政资金占项目资金总额比重较小项目个数/项目总数×100%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100%</w:t>
            </w:r>
          </w:p>
        </w:tc>
      </w:tr>
      <w:tr>
        <w:tblPrEx>
          <w:tblLayout w:type="fixed"/>
          <w:tblCellMar>
            <w:top w:w="0" w:type="dxa"/>
            <w:left w:w="0" w:type="dxa"/>
            <w:bottom w:w="0" w:type="dxa"/>
            <w:right w:w="0" w:type="dxa"/>
          </w:tblCellMar>
        </w:tblPrEx>
        <w:trPr>
          <w:trHeight w:val="33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（均衡）</w:t>
            </w:r>
          </w:p>
        </w:tc>
        <w:tc>
          <w:tcPr>
            <w:tcW w:w="885" w:type="dxa"/>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lang w:eastAsia="zh-CN"/>
              </w:rPr>
            </w:pPr>
            <w:r>
              <w:rPr>
                <w:rFonts w:hint="eastAsia" w:cs="宋体" w:asciiTheme="minorEastAsia" w:hAnsiTheme="minorEastAsia" w:eastAsiaTheme="minorEastAsia"/>
                <w:color w:val="000000"/>
                <w:kern w:val="0"/>
                <w:sz w:val="20"/>
                <w:szCs w:val="20"/>
                <w:lang w:eastAsia="zh-CN"/>
              </w:rPr>
              <w:t>均衡</w:t>
            </w:r>
          </w:p>
        </w:tc>
        <w:tc>
          <w:tcPr>
            <w:tcW w:w="1800" w:type="dxa"/>
            <w:tcBorders>
              <w:top w:val="single" w:color="auto" w:sz="4" w:space="0"/>
              <w:left w:val="single" w:color="auto"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按实际分配结果选择客观因素测算验证资金分配方法制定、分配要素设定、基础数据应用、测算依据选取等是否科学合理</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Layout w:type="fixed"/>
          <w:tblCellMar>
            <w:top w:w="0" w:type="dxa"/>
            <w:left w:w="0" w:type="dxa"/>
            <w:bottom w:w="0" w:type="dxa"/>
            <w:right w:w="0" w:type="dxa"/>
          </w:tblCellMar>
        </w:tblPrEx>
        <w:trPr>
          <w:trHeight w:val="70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kern w:val="0"/>
                <w:sz w:val="24"/>
                <w:lang w:eastAsia="zh-CN" w:bidi="ar"/>
              </w:rPr>
              <w:t>项目管理</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资金到位</w:t>
            </w:r>
          </w:p>
        </w:tc>
        <w:tc>
          <w:tcPr>
            <w:tcW w:w="70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分配时效</w:t>
            </w:r>
          </w:p>
        </w:tc>
        <w:tc>
          <w:tcPr>
            <w:tcW w:w="268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县级主管部门按规定及时分配资金</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Layout w:type="fixed"/>
          <w:tblCellMar>
            <w:top w:w="0" w:type="dxa"/>
            <w:left w:w="0" w:type="dxa"/>
            <w:bottom w:w="0" w:type="dxa"/>
            <w:right w:w="0" w:type="dxa"/>
          </w:tblCellMar>
        </w:tblPrEx>
        <w:trPr>
          <w:trHeight w:val="47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资金拨付</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按规定及时拨付资金</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根据合同要求进度拨付</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both"/>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根据合同要求进度拨付</w:t>
            </w:r>
          </w:p>
        </w:tc>
      </w:tr>
      <w:tr>
        <w:tblPrEx>
          <w:tblLayout w:type="fixed"/>
          <w:tblCellMar>
            <w:top w:w="0" w:type="dxa"/>
            <w:left w:w="0" w:type="dxa"/>
            <w:bottom w:w="0" w:type="dxa"/>
            <w:right w:w="0" w:type="dxa"/>
          </w:tblCellMar>
        </w:tblPrEx>
        <w:trPr>
          <w:trHeight w:val="42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资金管理</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使用范围</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资金使用是否合规</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Layout w:type="fixed"/>
          <w:tblCellMar>
            <w:top w:w="0" w:type="dxa"/>
            <w:left w:w="0" w:type="dxa"/>
            <w:bottom w:w="0" w:type="dxa"/>
            <w:right w:w="0" w:type="dxa"/>
          </w:tblCellMar>
        </w:tblPrEx>
        <w:trPr>
          <w:trHeight w:val="86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支付依据</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资金支付依据符合规定，即支付依旧合规资金量/资金总量×100%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Layout w:type="fixed"/>
          <w:tblCellMar>
            <w:top w:w="0" w:type="dxa"/>
            <w:left w:w="0" w:type="dxa"/>
            <w:bottom w:w="0" w:type="dxa"/>
            <w:right w:w="0" w:type="dxa"/>
          </w:tblCellMar>
        </w:tblPrEx>
        <w:trPr>
          <w:trHeight w:val="98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开支标准</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资金开支标准符合规定，即开支标准合规资金量/资金总量×100%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Layout w:type="fixed"/>
          <w:tblCellMar>
            <w:top w:w="0" w:type="dxa"/>
            <w:left w:w="0" w:type="dxa"/>
            <w:bottom w:w="0" w:type="dxa"/>
            <w:right w:w="0" w:type="dxa"/>
          </w:tblCellMar>
        </w:tblPrEx>
        <w:trPr>
          <w:trHeight w:val="47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财务管理</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财务制度</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财务制度健全，管理规范</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Layout w:type="fixed"/>
          <w:tblCellMar>
            <w:top w:w="0" w:type="dxa"/>
            <w:left w:w="0" w:type="dxa"/>
            <w:bottom w:w="0" w:type="dxa"/>
            <w:right w:w="0" w:type="dxa"/>
          </w:tblCellMar>
        </w:tblPrEx>
        <w:trPr>
          <w:trHeight w:val="68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会计核算</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会计核算规范</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Layout w:type="fixed"/>
          <w:tblCellMar>
            <w:top w:w="0" w:type="dxa"/>
            <w:left w:w="0" w:type="dxa"/>
            <w:bottom w:w="0" w:type="dxa"/>
            <w:right w:w="0" w:type="dxa"/>
          </w:tblCellMar>
        </w:tblPrEx>
        <w:trPr>
          <w:trHeight w:val="56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组织实施</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项目调整</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项目调整严格履行相关手续</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r>
      <w:tr>
        <w:tblPrEx>
          <w:tblLayout w:type="fixed"/>
          <w:tblCellMar>
            <w:top w:w="0" w:type="dxa"/>
            <w:left w:w="0" w:type="dxa"/>
            <w:bottom w:w="0" w:type="dxa"/>
            <w:right w:w="0" w:type="dxa"/>
          </w:tblCellMar>
        </w:tblPrEx>
        <w:trPr>
          <w:trHeight w:val="48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投资变更</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项目投资变更额/项目总投入×100%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r>
      <w:tr>
        <w:tblPrEx>
          <w:tblLayout w:type="fixed"/>
          <w:tblCellMar>
            <w:top w:w="0" w:type="dxa"/>
            <w:left w:w="0" w:type="dxa"/>
            <w:bottom w:w="0" w:type="dxa"/>
            <w:right w:w="0" w:type="dxa"/>
          </w:tblCellMar>
        </w:tblPrEx>
        <w:trPr>
          <w:trHeight w:val="47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制度执行</w:t>
            </w:r>
          </w:p>
        </w:tc>
        <w:tc>
          <w:tcPr>
            <w:tcW w:w="2685" w:type="dxa"/>
            <w:gridSpan w:val="2"/>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严格执行项目有关制度规定</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Layout w:type="fixed"/>
          <w:tblCellMar>
            <w:top w:w="0" w:type="dxa"/>
            <w:left w:w="0" w:type="dxa"/>
            <w:bottom w:w="0" w:type="dxa"/>
            <w:right w:w="0" w:type="dxa"/>
          </w:tblCellMar>
        </w:tblPrEx>
        <w:trPr>
          <w:trHeight w:val="43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kern w:val="0"/>
                <w:sz w:val="24"/>
                <w:lang w:eastAsia="zh-CN" w:bidi="ar"/>
              </w:rPr>
              <w:t>项目绩效</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项目完成</w:t>
            </w:r>
          </w:p>
        </w:tc>
        <w:tc>
          <w:tcPr>
            <w:tcW w:w="70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完成数量</w:t>
            </w:r>
          </w:p>
        </w:tc>
        <w:tc>
          <w:tcPr>
            <w:tcW w:w="268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实际完成任务量/绩效目标设定任务量×100%</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Layout w:type="fixed"/>
          <w:tblCellMar>
            <w:top w:w="0" w:type="dxa"/>
            <w:left w:w="0" w:type="dxa"/>
            <w:bottom w:w="0" w:type="dxa"/>
            <w:right w:w="0" w:type="dxa"/>
          </w:tblCellMar>
        </w:tblPrEx>
        <w:trPr>
          <w:trHeight w:val="54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完成质量</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符合绩效目标设定的验收标准，达到行业基准水平</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Layout w:type="fixed"/>
          <w:tblCellMar>
            <w:top w:w="0" w:type="dxa"/>
            <w:left w:w="0" w:type="dxa"/>
            <w:bottom w:w="0" w:type="dxa"/>
            <w:right w:w="0" w:type="dxa"/>
          </w:tblCellMar>
        </w:tblPrEx>
        <w:trPr>
          <w:trHeight w:val="3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完成时效</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（实际完成时间-绩效目标设定完成时间）/绩效目标设定完成时间×100%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Layout w:type="fixed"/>
          <w:tblCellMar>
            <w:top w:w="0" w:type="dxa"/>
            <w:left w:w="0" w:type="dxa"/>
            <w:bottom w:w="0" w:type="dxa"/>
            <w:right w:w="0" w:type="dxa"/>
          </w:tblCellMar>
        </w:tblPrEx>
        <w:trPr>
          <w:trHeight w:val="24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完成成本</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（实际完成成本-预计完成成本）/预计完成成本×100%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Layout w:type="fixed"/>
          <w:tblCellMar>
            <w:top w:w="0" w:type="dxa"/>
            <w:left w:w="0" w:type="dxa"/>
            <w:bottom w:w="0" w:type="dxa"/>
            <w:right w:w="0" w:type="dxa"/>
          </w:tblCellMar>
        </w:tblPrEx>
        <w:trPr>
          <w:trHeight w:val="2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项目效益</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经济效益</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反映相关产出对经济社会发展带来的影响和效果，根据项目实际细化具体指标。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有效履行人大监督职责</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val="en-US" w:eastAsia="zh-CN"/>
              </w:rPr>
              <w:t>2021年投入使用实现全面监督</w:t>
            </w:r>
          </w:p>
        </w:tc>
      </w:tr>
      <w:tr>
        <w:tblPrEx>
          <w:tblLayout w:type="fixed"/>
          <w:tblCellMar>
            <w:top w:w="0" w:type="dxa"/>
            <w:left w:w="0" w:type="dxa"/>
            <w:bottom w:w="0" w:type="dxa"/>
            <w:right w:w="0" w:type="dxa"/>
          </w:tblCellMar>
        </w:tblPrEx>
        <w:trPr>
          <w:trHeight w:val="51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社会效益</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反映相关产出对社会发展带来的影响和效果，根据项目实际细化具体指标。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通过预算联网督查室建设，有效实现人大监督职责，为全县经济环境社会发展做好监督工作</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lang w:val="en-US" w:eastAsia="zh-CN"/>
              </w:rPr>
              <w:t>2021年投入使用实现全面监督</w:t>
            </w:r>
          </w:p>
        </w:tc>
      </w:tr>
      <w:tr>
        <w:tblPrEx>
          <w:tblLayout w:type="fixed"/>
          <w:tblCellMar>
            <w:top w:w="0" w:type="dxa"/>
            <w:left w:w="0" w:type="dxa"/>
            <w:bottom w:w="0" w:type="dxa"/>
            <w:right w:w="0" w:type="dxa"/>
          </w:tblCellMar>
        </w:tblPrEx>
        <w:trPr>
          <w:trHeight w:val="56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生态效益</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反映相关产出对自然环境带来的影响和效果，根据项目实际细化具体指标。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lang w:eastAsia="zh-CN"/>
              </w:rPr>
              <w:t>通过监督有效实现了对环保资金的监督，确保环保资金用到实处</w:t>
            </w:r>
            <w:r>
              <w:rPr>
                <w:rFonts w:hint="eastAsia" w:ascii="宋体" w:hAnsi="宋体" w:cs="宋体"/>
                <w:color w:val="000000"/>
                <w:sz w:val="20"/>
                <w:szCs w:val="20"/>
              </w:rPr>
              <w:t>。</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lang w:eastAsia="zh-CN"/>
              </w:rPr>
              <w:t>促进了相关环保资金的有效合理使用</w:t>
            </w:r>
          </w:p>
        </w:tc>
      </w:tr>
      <w:tr>
        <w:tblPrEx>
          <w:tblLayout w:type="fixed"/>
          <w:tblCellMar>
            <w:top w:w="0" w:type="dxa"/>
            <w:left w:w="0" w:type="dxa"/>
            <w:bottom w:w="0" w:type="dxa"/>
            <w:right w:w="0" w:type="dxa"/>
          </w:tblCellMar>
        </w:tblPrEx>
        <w:trPr>
          <w:trHeight w:val="49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可持续效益</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反映相关产出带来影响的可持续期限，根据项目实际细化具体指标。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为</w:t>
            </w:r>
            <w:r>
              <w:rPr>
                <w:rFonts w:hint="eastAsia" w:ascii="宋体" w:hAnsi="宋体" w:cs="宋体"/>
                <w:color w:val="000000"/>
                <w:sz w:val="20"/>
                <w:szCs w:val="20"/>
                <w:lang w:eastAsia="zh-CN"/>
              </w:rPr>
              <w:t>县</w:t>
            </w:r>
            <w:r>
              <w:rPr>
                <w:rFonts w:hint="eastAsia" w:ascii="宋体" w:hAnsi="宋体" w:cs="宋体"/>
                <w:color w:val="000000"/>
                <w:sz w:val="20"/>
                <w:szCs w:val="20"/>
              </w:rPr>
              <w:t>委</w:t>
            </w:r>
            <w:r>
              <w:rPr>
                <w:rFonts w:hint="eastAsia" w:ascii="宋体" w:hAnsi="宋体" w:cs="宋体"/>
                <w:color w:val="000000"/>
                <w:sz w:val="20"/>
                <w:szCs w:val="20"/>
                <w:lang w:eastAsia="zh-CN"/>
              </w:rPr>
              <w:t>县</w:t>
            </w:r>
            <w:r>
              <w:rPr>
                <w:rFonts w:hint="eastAsia" w:ascii="宋体" w:hAnsi="宋体" w:cs="宋体"/>
                <w:color w:val="000000"/>
                <w:sz w:val="20"/>
                <w:szCs w:val="20"/>
              </w:rPr>
              <w:t>政府重大决策提供意见建议</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为</w:t>
            </w:r>
            <w:r>
              <w:rPr>
                <w:rFonts w:hint="eastAsia" w:ascii="宋体" w:hAnsi="宋体" w:cs="宋体"/>
                <w:color w:val="000000"/>
                <w:sz w:val="20"/>
                <w:szCs w:val="20"/>
                <w:lang w:eastAsia="zh-CN"/>
              </w:rPr>
              <w:t>县</w:t>
            </w:r>
            <w:r>
              <w:rPr>
                <w:rFonts w:hint="eastAsia" w:ascii="宋体" w:hAnsi="宋体" w:cs="宋体"/>
                <w:color w:val="000000"/>
                <w:sz w:val="20"/>
                <w:szCs w:val="20"/>
              </w:rPr>
              <w:t>委</w:t>
            </w:r>
            <w:r>
              <w:rPr>
                <w:rFonts w:hint="eastAsia" w:ascii="宋体" w:hAnsi="宋体" w:cs="宋体"/>
                <w:color w:val="000000"/>
                <w:sz w:val="20"/>
                <w:szCs w:val="20"/>
                <w:lang w:eastAsia="zh-CN"/>
              </w:rPr>
              <w:t>县</w:t>
            </w:r>
            <w:r>
              <w:rPr>
                <w:rFonts w:hint="eastAsia" w:ascii="宋体" w:hAnsi="宋体" w:cs="宋体"/>
                <w:color w:val="000000"/>
                <w:sz w:val="20"/>
                <w:szCs w:val="20"/>
              </w:rPr>
              <w:t>政府重大决策提供意见建议</w:t>
            </w:r>
          </w:p>
        </w:tc>
      </w:tr>
      <w:tr>
        <w:tblPrEx>
          <w:tblLayout w:type="fixed"/>
          <w:tblCellMar>
            <w:top w:w="0" w:type="dxa"/>
            <w:left w:w="0" w:type="dxa"/>
            <w:bottom w:w="0" w:type="dxa"/>
            <w:right w:w="0" w:type="dxa"/>
          </w:tblCellMar>
        </w:tblPrEx>
        <w:trPr>
          <w:trHeight w:val="11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满意度</w:t>
            </w:r>
          </w:p>
        </w:tc>
        <w:tc>
          <w:tcPr>
            <w:tcW w:w="70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服务对象满意度</w:t>
            </w:r>
          </w:p>
        </w:tc>
        <w:tc>
          <w:tcPr>
            <w:tcW w:w="2685" w:type="dxa"/>
            <w:gridSpan w:val="2"/>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反映服务对象或项目受益人对相关产出及其影响的认可程度，根据项目实际细化具体指标。</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bl>
    <w:p>
      <w:pPr>
        <w:spacing w:line="580" w:lineRule="exact"/>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年部门整体支出绩效评价情况开展自评，</w:t>
      </w:r>
      <w:r>
        <w:rPr>
          <w:rFonts w:hint="eastAsia" w:ascii="仿宋_GB2312" w:hAnsi="仿宋_GB2312" w:eastAsia="仿宋_GB2312" w:cs="仿宋_GB2312"/>
          <w:sz w:val="32"/>
          <w:szCs w:val="32"/>
          <w:lang w:eastAsia="zh-CN"/>
        </w:rPr>
        <w:t>整体支出情况良好</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红原县人大常委会办公室</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年部门整体支出绩效评价报告》</w:t>
      </w:r>
      <w:r>
        <w:rPr>
          <w:rFonts w:hint="eastAsia" w:ascii="仿宋_GB2312" w:hAnsi="仿宋_GB2312" w:eastAsia="仿宋_GB2312" w:cs="仿宋_GB2312"/>
          <w:sz w:val="32"/>
          <w:szCs w:val="32"/>
          <w:lang w:eastAsia="zh-CN"/>
        </w:rPr>
        <w:t>详</w:t>
      </w:r>
      <w:r>
        <w:rPr>
          <w:rFonts w:hint="eastAsia" w:ascii="仿宋_GB2312" w:hAnsi="仿宋_GB2312" w:eastAsia="仿宋_GB2312" w:cs="仿宋_GB2312"/>
          <w:sz w:val="32"/>
          <w:szCs w:val="32"/>
        </w:rPr>
        <w:t>见附件。</w:t>
      </w:r>
    </w:p>
    <w:p>
      <w:pPr>
        <w:pStyle w:val="10"/>
        <w:keepNext w:val="0"/>
        <w:keepLines w:val="0"/>
        <w:widowControl/>
        <w:numPr>
          <w:ilvl w:val="0"/>
          <w:numId w:val="0"/>
        </w:numPr>
        <w:suppressLineNumbers w:val="0"/>
        <w:ind w:leftChars="0" w:right="75" w:rightChars="0"/>
        <w:rPr>
          <w:rStyle w:val="13"/>
          <w:rFonts w:hint="eastAsia" w:ascii="仿宋_GB2312" w:hAnsi="仿宋_GB2312" w:eastAsia="仿宋_GB2312" w:cs="仿宋_GB2312"/>
          <w:sz w:val="32"/>
          <w:szCs w:val="32"/>
          <w:shd w:val="clear" w:color="auto" w:fill="FFFFFF"/>
        </w:rPr>
      </w:pPr>
    </w:p>
    <w:p>
      <w:pPr>
        <w:pStyle w:val="10"/>
        <w:keepNext w:val="0"/>
        <w:keepLines w:val="0"/>
        <w:widowControl/>
        <w:numPr>
          <w:ilvl w:val="0"/>
          <w:numId w:val="7"/>
        </w:numPr>
        <w:suppressLineNumbers w:val="0"/>
        <w:ind w:left="0" w:right="75"/>
        <w:jc w:val="center"/>
        <w:outlineLvl w:val="0"/>
        <w:rPr>
          <w:rFonts w:hint="eastAsia" w:ascii="黑体" w:hAnsi="黑体" w:eastAsia="黑体" w:cs="黑体"/>
          <w:sz w:val="44"/>
          <w:szCs w:val="44"/>
          <w:shd w:val="clear" w:color="auto" w:fill="FFFFFF"/>
        </w:rPr>
      </w:pPr>
      <w:bookmarkStart w:id="17" w:name="_Toc26931"/>
      <w:r>
        <w:rPr>
          <w:rFonts w:hint="eastAsia" w:ascii="黑体" w:hAnsi="黑体" w:eastAsia="黑体" w:cs="黑体"/>
          <w:sz w:val="44"/>
          <w:szCs w:val="44"/>
          <w:shd w:val="clear" w:color="auto" w:fill="FFFFFF"/>
        </w:rPr>
        <w:t>名词解释</w:t>
      </w:r>
      <w:bookmarkEnd w:id="17"/>
    </w:p>
    <w:p>
      <w:pPr>
        <w:pStyle w:val="16"/>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16"/>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w:t>
      </w:r>
      <w:r>
        <w:rPr>
          <w:rFonts w:ascii="仿宋_GB2312" w:eastAsia="仿宋_GB2312"/>
          <w:sz w:val="32"/>
          <w:szCs w:val="32"/>
        </w:rPr>
        <w:t>.</w:t>
      </w:r>
      <w:r>
        <w:rPr>
          <w:rFonts w:hint="eastAsia" w:ascii="仿宋_GB2312" w:eastAsia="仿宋_GB2312"/>
          <w:sz w:val="32"/>
          <w:szCs w:val="32"/>
        </w:rPr>
        <w:t>其他收入：指单位取得的除上述收入以外的各项收入。</w:t>
      </w:r>
      <w:r>
        <w:rPr>
          <w:rFonts w:ascii="仿宋_GB2312" w:eastAsia="仿宋_GB2312"/>
          <w:sz w:val="32"/>
          <w:szCs w:val="32"/>
        </w:rPr>
        <w:t xml:space="preserve"> </w:t>
      </w:r>
    </w:p>
    <w:p>
      <w:pPr>
        <w:pStyle w:val="16"/>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3</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16"/>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、年末结转和结余：指单位按有关规定结转到下年或以后年度继续使用的资金。</w:t>
      </w:r>
    </w:p>
    <w:p>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5</w:t>
      </w:r>
      <w:r>
        <w:rPr>
          <w:rFonts w:ascii="仿宋_GB2312" w:eastAsia="仿宋_GB2312"/>
          <w:color w:val="000000"/>
          <w:sz w:val="32"/>
          <w:szCs w:val="32"/>
        </w:rPr>
        <w:t>.</w:t>
      </w:r>
      <w:r>
        <w:rPr>
          <w:rFonts w:hint="eastAsia" w:ascii="仿宋_GB2312" w:eastAsia="仿宋_GB2312"/>
          <w:color w:val="000000"/>
          <w:sz w:val="32"/>
          <w:szCs w:val="32"/>
        </w:rPr>
        <w:t>一般公共服务：</w:t>
      </w:r>
      <w:r>
        <w:rPr>
          <w:rFonts w:hint="eastAsia" w:ascii="仿宋_GB2312" w:eastAsia="仿宋_GB2312"/>
          <w:color w:val="000000"/>
          <w:sz w:val="32"/>
          <w:szCs w:val="32"/>
          <w:lang w:val="en-US" w:eastAsia="zh-CN"/>
        </w:rPr>
        <w:t>2010101</w:t>
      </w:r>
      <w:r>
        <w:rPr>
          <w:rFonts w:hint="eastAsia" w:ascii="仿宋_GB2312" w:eastAsia="仿宋_GB2312"/>
          <w:color w:val="000000"/>
          <w:sz w:val="32"/>
          <w:szCs w:val="32"/>
        </w:rPr>
        <w:t>指</w:t>
      </w:r>
      <w:r>
        <w:rPr>
          <w:rFonts w:hint="eastAsia" w:ascii="仿宋_GB2312" w:eastAsia="仿宋_GB2312"/>
          <w:color w:val="000000"/>
          <w:sz w:val="32"/>
          <w:szCs w:val="32"/>
          <w:lang w:eastAsia="zh-CN"/>
        </w:rPr>
        <w:t>人大行政运行，反映人员经费与日常公用经费的支出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2010104指人大会议，反映县人大召开人民代表大会等专门会议的支出。2010108指代表工作，反映人大代表各类视察等方面的支出。</w:t>
      </w:r>
    </w:p>
    <w:p>
      <w:pPr>
        <w:numPr>
          <w:ilvl w:val="0"/>
          <w:numId w:val="0"/>
        </w:numPr>
        <w:ind w:firstLine="640" w:firstLineChars="200"/>
        <w:rPr>
          <w:rFonts w:hint="default" w:ascii="仿宋_GB2312" w:eastAsia="仿宋_GB2312"/>
          <w:color w:val="000000"/>
          <w:sz w:val="32"/>
          <w:szCs w:val="32"/>
          <w:lang w:val="en-US" w:eastAsia="zh-CN"/>
        </w:rPr>
      </w:pP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社会保障和就业</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2080505</w:t>
      </w:r>
      <w:r>
        <w:rPr>
          <w:rFonts w:hint="eastAsia" w:ascii="仿宋_GB2312" w:eastAsia="仿宋_GB2312"/>
          <w:color w:val="000000"/>
          <w:sz w:val="32"/>
          <w:szCs w:val="32"/>
        </w:rPr>
        <w:t>指</w:t>
      </w:r>
      <w:r>
        <w:rPr>
          <w:rFonts w:hint="eastAsia" w:ascii="仿宋_GB2312" w:eastAsia="仿宋_GB2312"/>
          <w:color w:val="000000"/>
          <w:sz w:val="32"/>
          <w:szCs w:val="32"/>
          <w:lang w:eastAsia="zh-CN"/>
        </w:rPr>
        <w:t>机关事业单位基本养老保险缴费支出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2080506指机关事业单位职业年金缴费支出。</w:t>
      </w:r>
    </w:p>
    <w:p>
      <w:pPr>
        <w:numPr>
          <w:ilvl w:val="0"/>
          <w:numId w:val="0"/>
        </w:numPr>
        <w:ind w:firstLine="640" w:firstLineChars="200"/>
        <w:rPr>
          <w:rFonts w:hint="default" w:ascii="仿宋_GB2312" w:eastAsia="仿宋_GB2312"/>
          <w:color w:val="000000"/>
          <w:sz w:val="32"/>
          <w:szCs w:val="32"/>
          <w:lang w:val="en-US" w:eastAsia="zh-CN"/>
        </w:rPr>
      </w:pPr>
      <w:r>
        <w:rPr>
          <w:rFonts w:hint="eastAsia" w:ascii="仿宋_GB2312" w:eastAsia="仿宋_GB2312"/>
          <w:color w:val="000000"/>
          <w:sz w:val="32"/>
          <w:szCs w:val="32"/>
          <w:lang w:val="en-US" w:eastAsia="zh-CN"/>
        </w:rPr>
        <w:t>7.</w:t>
      </w:r>
      <w:r>
        <w:rPr>
          <w:rFonts w:hint="eastAsia" w:ascii="仿宋_GB2312" w:eastAsia="仿宋_GB2312"/>
          <w:color w:val="000000"/>
          <w:sz w:val="32"/>
          <w:szCs w:val="32"/>
        </w:rPr>
        <w:t>医疗卫生与计划生育：</w:t>
      </w:r>
      <w:r>
        <w:rPr>
          <w:rFonts w:hint="eastAsia" w:ascii="仿宋_GB2312" w:eastAsia="仿宋_GB2312"/>
          <w:color w:val="000000"/>
          <w:sz w:val="32"/>
          <w:szCs w:val="32"/>
          <w:lang w:val="en-US" w:eastAsia="zh-CN"/>
        </w:rPr>
        <w:t>2101101</w:t>
      </w:r>
      <w:r>
        <w:rPr>
          <w:rFonts w:hint="eastAsia" w:ascii="仿宋_GB2312" w:eastAsia="仿宋_GB2312"/>
          <w:color w:val="000000"/>
          <w:sz w:val="32"/>
          <w:szCs w:val="32"/>
        </w:rPr>
        <w:t>指</w:t>
      </w:r>
      <w:r>
        <w:rPr>
          <w:rFonts w:hint="eastAsia" w:ascii="仿宋_GB2312" w:eastAsia="仿宋_GB2312"/>
          <w:color w:val="000000"/>
          <w:sz w:val="32"/>
          <w:szCs w:val="32"/>
          <w:lang w:eastAsia="zh-CN"/>
        </w:rPr>
        <w:t>行政单位医疗支出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2101103指公务员医疗补助。</w:t>
      </w:r>
    </w:p>
    <w:p>
      <w:pPr>
        <w:ind w:firstLine="640" w:firstLineChars="200"/>
        <w:rPr>
          <w:rFonts w:ascii="仿宋" w:hAnsi="仿宋" w:eastAsia="仿宋"/>
          <w:b/>
          <w:color w:val="000000"/>
          <w:sz w:val="32"/>
          <w:szCs w:val="32"/>
        </w:rPr>
      </w:pP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住房保障</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2210201</w:t>
      </w:r>
      <w:r>
        <w:rPr>
          <w:rFonts w:hint="eastAsia" w:ascii="仿宋_GB2312" w:eastAsia="仿宋_GB2312"/>
          <w:color w:val="000000"/>
          <w:sz w:val="32"/>
          <w:szCs w:val="32"/>
        </w:rPr>
        <w:t>指</w:t>
      </w:r>
      <w:r>
        <w:rPr>
          <w:rFonts w:hint="eastAsia" w:ascii="仿宋_GB2312" w:eastAsia="仿宋_GB2312"/>
          <w:color w:val="000000"/>
          <w:sz w:val="32"/>
          <w:szCs w:val="32"/>
          <w:lang w:eastAsia="zh-CN"/>
        </w:rPr>
        <w:t>住房公积金</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10.</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16"/>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11.</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10"/>
        <w:keepNext w:val="0"/>
        <w:keepLines w:val="0"/>
        <w:widowControl/>
        <w:numPr>
          <w:ilvl w:val="0"/>
          <w:numId w:val="0"/>
        </w:numPr>
        <w:suppressLineNumbers w:val="0"/>
        <w:shd w:val="clear" w:color="auto" w:fill="auto"/>
        <w:spacing w:before="100" w:beforeAutospacing="1" w:after="100" w:afterAutospacing="1"/>
        <w:ind w:right="75" w:rightChars="0"/>
        <w:jc w:val="both"/>
        <w:rPr>
          <w:rFonts w:hint="eastAsia" w:ascii="黑体" w:hAnsi="黑体" w:eastAsia="黑体" w:cs="黑体"/>
          <w:sz w:val="44"/>
          <w:szCs w:val="44"/>
          <w:shd w:val="clear" w:color="auto" w:fill="FFFFFF"/>
        </w:rPr>
      </w:pPr>
      <w:r>
        <w:rPr>
          <w:rFonts w:hint="eastAsia" w:ascii="仿宋_GB2312" w:eastAsia="仿宋_GB2312"/>
          <w:sz w:val="32"/>
          <w:szCs w:val="32"/>
          <w:lang w:val="en-US" w:eastAsia="zh-CN"/>
        </w:rPr>
        <w:t>12.</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ascii="宋体"/>
          <w:b/>
          <w:color w:val="000000"/>
          <w:sz w:val="44"/>
          <w:szCs w:val="44"/>
        </w:rPr>
        <w:br w:type="page"/>
      </w:r>
    </w:p>
    <w:p>
      <w:pPr>
        <w:pStyle w:val="10"/>
        <w:keepNext w:val="0"/>
        <w:keepLines w:val="0"/>
        <w:widowControl/>
        <w:suppressLineNumbers w:val="0"/>
        <w:ind w:left="0" w:right="75"/>
        <w:jc w:val="center"/>
        <w:outlineLvl w:val="0"/>
        <w:rPr>
          <w:rFonts w:hint="eastAsia" w:ascii="黑体" w:hAnsi="黑体" w:eastAsia="黑体" w:cs="黑体"/>
          <w:sz w:val="44"/>
          <w:szCs w:val="44"/>
        </w:rPr>
      </w:pPr>
      <w:bookmarkStart w:id="18" w:name="_Toc15389"/>
      <w:r>
        <w:rPr>
          <w:rFonts w:hint="eastAsia" w:ascii="黑体" w:hAnsi="黑体" w:eastAsia="黑体" w:cs="黑体"/>
          <w:sz w:val="44"/>
          <w:szCs w:val="44"/>
          <w:shd w:val="clear" w:color="auto" w:fill="FFFFFF"/>
        </w:rPr>
        <w:t>第四部分 附件</w:t>
      </w:r>
      <w:bookmarkEnd w:id="18"/>
    </w:p>
    <w:p>
      <w:pPr>
        <w:pStyle w:val="10"/>
        <w:keepNext w:val="0"/>
        <w:keepLines w:val="0"/>
        <w:widowControl/>
        <w:suppressLineNumbers w:val="0"/>
        <w:ind w:left="0" w:right="75"/>
        <w:outlineLvl w:val="1"/>
        <w:rPr>
          <w:rFonts w:hint="default"/>
          <w:lang w:val="en-US" w:eastAsia="zh-CN"/>
        </w:rPr>
      </w:pPr>
      <w:bookmarkStart w:id="19" w:name="_Toc27357"/>
      <w:r>
        <w:rPr>
          <w:rFonts w:hint="eastAsia" w:ascii="仿宋_GB2312" w:hAnsi="仿宋_GB2312" w:eastAsia="仿宋_GB2312" w:cs="仿宋_GB2312"/>
          <w:sz w:val="32"/>
          <w:szCs w:val="32"/>
          <w:shd w:val="clear" w:color="auto" w:fill="FFFFFF"/>
        </w:rPr>
        <w:t>附件</w:t>
      </w:r>
      <w:r>
        <w:rPr>
          <w:rFonts w:hint="eastAsia" w:ascii="仿宋_GB2312" w:hAnsi="仿宋_GB2312" w:eastAsia="仿宋_GB2312" w:cs="仿宋_GB2312"/>
          <w:sz w:val="32"/>
          <w:szCs w:val="32"/>
          <w:shd w:val="clear" w:color="auto" w:fill="FFFFFF"/>
          <w:lang w:val="en-US" w:eastAsia="zh-CN"/>
        </w:rPr>
        <w:t>1</w:t>
      </w:r>
      <w:r>
        <w:rPr>
          <w:rFonts w:hint="eastAsia" w:ascii="仿宋_GB2312" w:hAnsi="仿宋_GB2312" w:eastAsia="仿宋_GB2312" w:cs="仿宋_GB2312"/>
          <w:sz w:val="32"/>
          <w:szCs w:val="32"/>
          <w:shd w:val="clear" w:color="auto" w:fill="FFFFFF"/>
          <w:lang w:eastAsia="zh-CN"/>
        </w:rPr>
        <w:t>：红原县人大办202</w:t>
      </w:r>
      <w:r>
        <w:rPr>
          <w:rFonts w:hint="eastAsia" w:ascii="仿宋_GB2312" w:hAnsi="仿宋_GB2312" w:eastAsia="仿宋_GB2312" w:cs="仿宋_GB2312"/>
          <w:sz w:val="32"/>
          <w:szCs w:val="32"/>
          <w:shd w:val="clear" w:color="auto" w:fill="FFFFFF"/>
          <w:lang w:val="en-US" w:eastAsia="zh-CN"/>
        </w:rPr>
        <w:t>1</w:t>
      </w:r>
      <w:r>
        <w:rPr>
          <w:rFonts w:hint="eastAsia" w:ascii="仿宋_GB2312" w:hAnsi="仿宋_GB2312" w:eastAsia="仿宋_GB2312" w:cs="仿宋_GB2312"/>
          <w:sz w:val="32"/>
          <w:szCs w:val="32"/>
          <w:shd w:val="clear" w:color="auto" w:fill="FFFFFF"/>
          <w:lang w:eastAsia="zh-CN"/>
        </w:rPr>
        <w:t>年部门整体支出绩效评价报告</w:t>
      </w:r>
      <w:bookmarkEnd w:id="19"/>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方正小标宋简体" w:hAnsi="方正小标宋简体" w:eastAsia="方正小标宋简体" w:cs="方正小标宋简体"/>
          <w:b w:val="0"/>
          <w:bCs w:val="0"/>
          <w:color w:val="000000"/>
          <w:sz w:val="32"/>
          <w:szCs w:val="32"/>
          <w:lang w:val="en-US" w:eastAsia="zh-CN"/>
        </w:rPr>
      </w:pPr>
      <w:r>
        <w:rPr>
          <w:rFonts w:hint="eastAsia" w:ascii="方正小标宋简体" w:hAnsi="方正小标宋简体" w:eastAsia="方正小标宋简体" w:cs="方正小标宋简体"/>
          <w:b w:val="0"/>
          <w:bCs w:val="0"/>
          <w:color w:val="000000"/>
          <w:sz w:val="32"/>
          <w:szCs w:val="32"/>
          <w:lang w:val="en-US" w:eastAsia="zh-CN"/>
        </w:rPr>
        <w:t>红原县人大办2021年部门整体支出绩效报告</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3" w:firstLineChars="200"/>
        <w:textAlignment w:val="auto"/>
        <w:outlineLvl w:val="9"/>
        <w:rPr>
          <w:rFonts w:hint="eastAsia" w:ascii="仿宋_GB2312" w:hAnsi="仿宋_GB2312" w:eastAsia="仿宋_GB2312" w:cs="仿宋_GB2312"/>
          <w:b/>
          <w:bCs/>
          <w:color w:val="000000"/>
          <w:sz w:val="32"/>
          <w:szCs w:val="32"/>
          <w:lang w:val="zh-CN" w:eastAsia="zh-CN"/>
        </w:rPr>
      </w:pPr>
      <w:r>
        <w:rPr>
          <w:rFonts w:hint="eastAsia" w:ascii="仿宋_GB2312" w:hAnsi="仿宋_GB2312" w:eastAsia="仿宋_GB2312" w:cs="仿宋_GB2312"/>
          <w:b/>
          <w:bCs/>
          <w:color w:val="000000"/>
          <w:sz w:val="32"/>
          <w:szCs w:val="32"/>
          <w:lang w:val="en-US" w:eastAsia="zh-CN"/>
        </w:rPr>
        <w:t>一、</w:t>
      </w:r>
      <w:r>
        <w:rPr>
          <w:rFonts w:hint="eastAsia" w:ascii="仿宋_GB2312" w:hAnsi="仿宋_GB2312" w:eastAsia="仿宋_GB2312" w:cs="仿宋_GB2312"/>
          <w:b/>
          <w:bCs/>
          <w:color w:val="000000"/>
          <w:sz w:val="32"/>
          <w:szCs w:val="32"/>
          <w:lang w:val="zh-CN" w:eastAsia="zh-CN"/>
        </w:rPr>
        <w:t>部门（单位）概况</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3" w:firstLineChars="200"/>
        <w:textAlignment w:val="auto"/>
        <w:outlineLvl w:val="9"/>
        <w:rPr>
          <w:rFonts w:hint="eastAsia" w:ascii="仿宋_GB2312" w:hAnsi="仿宋_GB2312" w:eastAsia="仿宋_GB2312" w:cs="仿宋_GB2312"/>
          <w:b/>
          <w:bCs/>
          <w:color w:val="000000"/>
          <w:sz w:val="32"/>
          <w:szCs w:val="32"/>
          <w:lang w:val="zh-CN" w:eastAsia="zh-CN"/>
        </w:rPr>
      </w:pPr>
      <w:r>
        <w:rPr>
          <w:rFonts w:hint="eastAsia" w:ascii="仿宋_GB2312" w:hAnsi="仿宋_GB2312" w:eastAsia="仿宋_GB2312" w:cs="仿宋_GB2312"/>
          <w:b/>
          <w:bCs/>
          <w:color w:val="000000"/>
          <w:sz w:val="32"/>
          <w:szCs w:val="32"/>
          <w:lang w:val="zh-CN" w:eastAsia="zh-CN"/>
        </w:rPr>
        <w:t>（一）机构组成。</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en-US" w:eastAsia="zh-CN"/>
        </w:rPr>
        <w:t>县人大常委会机关为独立核算全额拨款行政单位，共设机构五个，即：综合办公室、人事代表工作委员会、法制工作委员会、财政经济工作委员会、教育科学文化卫生工作委员会、办公室下设两个股级机构，即行政股和秘书股。</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3" w:firstLineChars="200"/>
        <w:textAlignment w:val="auto"/>
        <w:outlineLvl w:val="9"/>
        <w:rPr>
          <w:rFonts w:hint="eastAsia" w:ascii="仿宋_GB2312" w:hAnsi="仿宋_GB2312" w:eastAsia="仿宋_GB2312" w:cs="仿宋_GB2312"/>
          <w:b/>
          <w:bCs/>
          <w:color w:val="000000"/>
          <w:sz w:val="32"/>
          <w:szCs w:val="32"/>
          <w:lang w:val="zh-CN" w:eastAsia="zh-CN"/>
        </w:rPr>
      </w:pPr>
      <w:r>
        <w:rPr>
          <w:rFonts w:hint="eastAsia" w:ascii="仿宋_GB2312" w:hAnsi="仿宋_GB2312" w:eastAsia="仿宋_GB2312" w:cs="仿宋_GB2312"/>
          <w:b/>
          <w:bCs/>
          <w:color w:val="000000"/>
          <w:sz w:val="32"/>
          <w:szCs w:val="32"/>
          <w:lang w:val="zh-CN" w:eastAsia="zh-CN"/>
        </w:rPr>
        <w:t>（二）机构职能。</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zh-CN" w:eastAsia="zh-CN"/>
        </w:rPr>
        <w:t>1</w:t>
      </w:r>
      <w:r>
        <w:rPr>
          <w:rFonts w:hint="eastAsia" w:ascii="仿宋_GB2312" w:hAnsi="仿宋_GB2312" w:eastAsia="仿宋_GB2312" w:cs="仿宋_GB2312"/>
          <w:b w:val="0"/>
          <w:bCs w:val="0"/>
          <w:color w:val="000000"/>
          <w:sz w:val="32"/>
          <w:szCs w:val="32"/>
          <w:lang w:val="en-US" w:eastAsia="zh-CN"/>
        </w:rPr>
        <w:t>.</w:t>
      </w:r>
      <w:r>
        <w:rPr>
          <w:rFonts w:hint="eastAsia" w:ascii="仿宋_GB2312" w:hAnsi="仿宋_GB2312" w:eastAsia="仿宋_GB2312" w:cs="仿宋_GB2312"/>
          <w:b w:val="0"/>
          <w:bCs w:val="0"/>
          <w:color w:val="000000"/>
          <w:sz w:val="32"/>
          <w:szCs w:val="32"/>
          <w:lang w:val="zh-CN" w:eastAsia="zh-CN"/>
        </w:rPr>
        <w:t>综合办公室主要职能</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zh-CN" w:eastAsia="zh-CN"/>
        </w:rPr>
        <w:t xml:space="preserve">     根据主任会议安排，承担代表大会会议、常委会议、主任会议及其他会议的筹备和会务工作。起草代表大会、常委会、主任会议的有关通知、总结、计划、决议、决定、纪要、报告等文件，编写《公报》、《人大工作简报》，组织人大工作的宣传及新闻报道和组织人大机构内部的政治学习。负责内外协调，承担有关接待工作，负责文书档案、工资福利、机关财务、机关人事管理和后勤服务、车辆管理、财产管理。办理常委会领导同志交办的其他事项。 </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zh-CN" w:eastAsia="zh-CN"/>
        </w:rPr>
        <w:t>2</w:t>
      </w:r>
      <w:r>
        <w:rPr>
          <w:rFonts w:hint="eastAsia" w:ascii="仿宋_GB2312" w:hAnsi="仿宋_GB2312" w:eastAsia="仿宋_GB2312" w:cs="仿宋_GB2312"/>
          <w:b w:val="0"/>
          <w:bCs w:val="0"/>
          <w:color w:val="000000"/>
          <w:sz w:val="32"/>
          <w:szCs w:val="32"/>
          <w:lang w:val="en-US" w:eastAsia="zh-CN"/>
        </w:rPr>
        <w:t>.</w:t>
      </w:r>
      <w:r>
        <w:rPr>
          <w:rFonts w:hint="eastAsia" w:ascii="仿宋_GB2312" w:hAnsi="仿宋_GB2312" w:eastAsia="仿宋_GB2312" w:cs="仿宋_GB2312"/>
          <w:b w:val="0"/>
          <w:bCs w:val="0"/>
          <w:color w:val="000000"/>
          <w:sz w:val="32"/>
          <w:szCs w:val="32"/>
          <w:lang w:val="zh-CN" w:eastAsia="zh-CN"/>
        </w:rPr>
        <w:t>人大常委会财政经济预算和农业农村城乡环境保护委员会</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zh-CN" w:eastAsia="zh-CN"/>
        </w:rPr>
        <w:t>（1）为县人大常委会审议财政经济方面的各种报告，开展初审工作并提出意见，草拟县人大常委会会议相应的审议意见。</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zh-CN" w:eastAsia="zh-CN"/>
        </w:rPr>
        <w:t xml:space="preserve">  （2）根据常委会议和主任会议安排，承担对财政、经济方面的执法检查、代表视察和代表评议的牵头工作。</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zh-CN" w:eastAsia="zh-CN"/>
        </w:rPr>
        <w:t xml:space="preserve">  （3）按照对口联系范围，经常联系财政和其他经济管理部门，开展调查研究工作，印发有关调查报告。</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zh-CN" w:eastAsia="zh-CN"/>
        </w:rPr>
        <w:t>(4)承办上级人大对口的专门委员会发来的法律法规征求意见的整理上报工作。</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zh-CN" w:eastAsia="zh-CN"/>
        </w:rPr>
        <w:t>（</w:t>
      </w:r>
      <w:r>
        <w:rPr>
          <w:rFonts w:hint="eastAsia" w:ascii="仿宋_GB2312" w:hAnsi="仿宋_GB2312" w:eastAsia="仿宋_GB2312" w:cs="仿宋_GB2312"/>
          <w:b w:val="0"/>
          <w:bCs w:val="0"/>
          <w:color w:val="000000"/>
          <w:sz w:val="32"/>
          <w:szCs w:val="32"/>
          <w:lang w:val="en-US" w:eastAsia="zh-CN"/>
        </w:rPr>
        <w:t>5</w:t>
      </w:r>
      <w:r>
        <w:rPr>
          <w:rFonts w:hint="eastAsia" w:ascii="仿宋_GB2312" w:hAnsi="仿宋_GB2312" w:eastAsia="仿宋_GB2312" w:cs="仿宋_GB2312"/>
          <w:b w:val="0"/>
          <w:bCs w:val="0"/>
          <w:color w:val="000000"/>
          <w:sz w:val="32"/>
          <w:szCs w:val="32"/>
          <w:lang w:val="zh-CN" w:eastAsia="zh-CN"/>
        </w:rPr>
        <w:t>）办理本工作委员会全部文书档案工作。</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zh-CN" w:eastAsia="zh-CN"/>
        </w:rPr>
        <w:t>（</w:t>
      </w:r>
      <w:r>
        <w:rPr>
          <w:rFonts w:hint="eastAsia" w:ascii="仿宋_GB2312" w:hAnsi="仿宋_GB2312" w:eastAsia="仿宋_GB2312" w:cs="仿宋_GB2312"/>
          <w:b w:val="0"/>
          <w:bCs w:val="0"/>
          <w:color w:val="000000"/>
          <w:sz w:val="32"/>
          <w:szCs w:val="32"/>
          <w:lang w:val="en-US" w:eastAsia="zh-CN"/>
        </w:rPr>
        <w:t>6</w:t>
      </w:r>
      <w:r>
        <w:rPr>
          <w:rFonts w:hint="eastAsia" w:ascii="仿宋_GB2312" w:hAnsi="仿宋_GB2312" w:eastAsia="仿宋_GB2312" w:cs="仿宋_GB2312"/>
          <w:b w:val="0"/>
          <w:bCs w:val="0"/>
          <w:color w:val="000000"/>
          <w:sz w:val="32"/>
          <w:szCs w:val="32"/>
          <w:lang w:val="zh-CN" w:eastAsia="zh-CN"/>
        </w:rPr>
        <w:t>）承担领导交办的其他工作。</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en-US" w:eastAsia="zh-CN"/>
        </w:rPr>
        <w:t>3.</w:t>
      </w:r>
      <w:r>
        <w:rPr>
          <w:rFonts w:hint="eastAsia" w:ascii="仿宋_GB2312" w:hAnsi="仿宋_GB2312" w:eastAsia="仿宋_GB2312" w:cs="仿宋_GB2312"/>
          <w:b w:val="0"/>
          <w:bCs w:val="0"/>
          <w:color w:val="000000"/>
          <w:sz w:val="32"/>
          <w:szCs w:val="32"/>
          <w:lang w:val="zh-CN" w:eastAsia="zh-CN"/>
        </w:rPr>
        <w:t>县人大常委会法制监察司法和民族宗教外事委员会</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zh-CN" w:eastAsia="zh-CN"/>
        </w:rPr>
        <w:t>（1）为县人大常委会会议，审议政法方面的各种工作报告，开展初审，提出意见，草拟县人大常委会会议的相应审议意见。</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zh-CN" w:eastAsia="zh-CN"/>
        </w:rPr>
        <w:t>（2）根据常委会议及主任会议安排，承担对政法和司法机关，以及法制建设执法检查、代表视察和代表评议的牵头工作。</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zh-CN" w:eastAsia="zh-CN"/>
        </w:rPr>
        <w:t>（3）按照对口联系范围经常对公、检、法、司等部门，开展调查研究工作，印发有关电查报告。</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zh-CN" w:eastAsia="zh-CN"/>
        </w:rPr>
        <w:t xml:space="preserve">（4）承办上级人大对口专门委员会发来的法律法规征求意见和整理上报工作。  </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zh-CN" w:eastAsia="zh-CN"/>
        </w:rPr>
        <w:t>（</w:t>
      </w:r>
      <w:r>
        <w:rPr>
          <w:rFonts w:hint="eastAsia" w:ascii="仿宋_GB2312" w:hAnsi="仿宋_GB2312" w:eastAsia="仿宋_GB2312" w:cs="仿宋_GB2312"/>
          <w:b w:val="0"/>
          <w:bCs w:val="0"/>
          <w:color w:val="000000"/>
          <w:sz w:val="32"/>
          <w:szCs w:val="32"/>
          <w:lang w:val="en-US" w:eastAsia="zh-CN"/>
        </w:rPr>
        <w:t>5</w:t>
      </w:r>
      <w:r>
        <w:rPr>
          <w:rFonts w:hint="eastAsia" w:ascii="仿宋_GB2312" w:hAnsi="仿宋_GB2312" w:eastAsia="仿宋_GB2312" w:cs="仿宋_GB2312"/>
          <w:b w:val="0"/>
          <w:bCs w:val="0"/>
          <w:color w:val="000000"/>
          <w:sz w:val="32"/>
          <w:szCs w:val="32"/>
          <w:lang w:val="zh-CN" w:eastAsia="zh-CN"/>
        </w:rPr>
        <w:t>）办理本工作委员会的全部文书档案工作。</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zh-CN" w:eastAsia="zh-CN"/>
        </w:rPr>
        <w:t>（</w:t>
      </w:r>
      <w:r>
        <w:rPr>
          <w:rFonts w:hint="eastAsia" w:ascii="仿宋_GB2312" w:hAnsi="仿宋_GB2312" w:eastAsia="仿宋_GB2312" w:cs="仿宋_GB2312"/>
          <w:b w:val="0"/>
          <w:bCs w:val="0"/>
          <w:color w:val="000000"/>
          <w:sz w:val="32"/>
          <w:szCs w:val="32"/>
          <w:lang w:val="en-US" w:eastAsia="zh-CN"/>
        </w:rPr>
        <w:t>6</w:t>
      </w:r>
      <w:r>
        <w:rPr>
          <w:rFonts w:hint="eastAsia" w:ascii="仿宋_GB2312" w:hAnsi="仿宋_GB2312" w:eastAsia="仿宋_GB2312" w:cs="仿宋_GB2312"/>
          <w:b w:val="0"/>
          <w:bCs w:val="0"/>
          <w:color w:val="000000"/>
          <w:sz w:val="32"/>
          <w:szCs w:val="32"/>
          <w:lang w:val="zh-CN" w:eastAsia="zh-CN"/>
        </w:rPr>
        <w:t>）承担领导交办的其他工作。</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en-US" w:eastAsia="zh-CN"/>
        </w:rPr>
        <w:t>4.县</w:t>
      </w:r>
      <w:r>
        <w:rPr>
          <w:rFonts w:hint="eastAsia" w:ascii="仿宋_GB2312" w:hAnsi="仿宋_GB2312" w:eastAsia="仿宋_GB2312" w:cs="仿宋_GB2312"/>
          <w:b w:val="0"/>
          <w:bCs w:val="0"/>
          <w:color w:val="000000"/>
          <w:sz w:val="32"/>
          <w:szCs w:val="32"/>
          <w:lang w:val="zh-CN" w:eastAsia="zh-CN"/>
        </w:rPr>
        <w:t>人大常委会教育科学文化卫生和社会建设委员会</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zh-CN" w:eastAsia="zh-CN"/>
        </w:rPr>
        <w:t>（1）为县人大常委会审议教育、科学、文化、卫生、民族宗教等方面的各种报告，开展初审工作，提出初审意见，草拟常委会会议相应的审议意见。</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zh-CN" w:eastAsia="zh-CN"/>
        </w:rPr>
        <w:t>（2）根据常委会议和主任会议安排，承担对教育、科技、文化、卫生、民族、宗教等方面的执法检查、代表视察和代表评议的牵头工作。</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zh-CN" w:eastAsia="zh-CN"/>
        </w:rPr>
        <w:t>（3）按照对口联系范围，经常联系教育、科技、文化、卫生、民族、宗教等部门，开展调查研究工作，印发调查报告。</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zh-CN" w:eastAsia="zh-CN"/>
        </w:rPr>
        <w:t xml:space="preserve"> （4）承办上级对口专门委员会发来的法律法规征求意见和整理上报工作。</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zh-CN" w:eastAsia="zh-CN"/>
        </w:rPr>
        <w:t>（</w:t>
      </w:r>
      <w:r>
        <w:rPr>
          <w:rFonts w:hint="eastAsia" w:ascii="仿宋_GB2312" w:hAnsi="仿宋_GB2312" w:eastAsia="仿宋_GB2312" w:cs="仿宋_GB2312"/>
          <w:b w:val="0"/>
          <w:bCs w:val="0"/>
          <w:color w:val="000000"/>
          <w:sz w:val="32"/>
          <w:szCs w:val="32"/>
          <w:lang w:val="en-US" w:eastAsia="zh-CN"/>
        </w:rPr>
        <w:t>5</w:t>
      </w:r>
      <w:r>
        <w:rPr>
          <w:rFonts w:hint="eastAsia" w:ascii="仿宋_GB2312" w:hAnsi="仿宋_GB2312" w:eastAsia="仿宋_GB2312" w:cs="仿宋_GB2312"/>
          <w:b w:val="0"/>
          <w:bCs w:val="0"/>
          <w:color w:val="000000"/>
          <w:sz w:val="32"/>
          <w:szCs w:val="32"/>
          <w:lang w:val="zh-CN" w:eastAsia="zh-CN"/>
        </w:rPr>
        <w:t>）办理本工作委员会的全部文书档案工作。</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zh-CN" w:eastAsia="zh-CN"/>
        </w:rPr>
        <w:t>（</w:t>
      </w:r>
      <w:r>
        <w:rPr>
          <w:rFonts w:hint="eastAsia" w:ascii="仿宋_GB2312" w:hAnsi="仿宋_GB2312" w:eastAsia="仿宋_GB2312" w:cs="仿宋_GB2312"/>
          <w:b w:val="0"/>
          <w:bCs w:val="0"/>
          <w:color w:val="000000"/>
          <w:sz w:val="32"/>
          <w:szCs w:val="32"/>
          <w:lang w:val="en-US" w:eastAsia="zh-CN"/>
        </w:rPr>
        <w:t>6</w:t>
      </w:r>
      <w:r>
        <w:rPr>
          <w:rFonts w:hint="eastAsia" w:ascii="仿宋_GB2312" w:hAnsi="仿宋_GB2312" w:eastAsia="仿宋_GB2312" w:cs="仿宋_GB2312"/>
          <w:b w:val="0"/>
          <w:bCs w:val="0"/>
          <w:color w:val="000000"/>
          <w:sz w:val="32"/>
          <w:szCs w:val="32"/>
          <w:lang w:val="zh-CN" w:eastAsia="zh-CN"/>
        </w:rPr>
        <w:t>）承担领导交办的其他工作。</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en-US" w:eastAsia="zh-CN"/>
        </w:rPr>
        <w:t>5.县</w:t>
      </w:r>
      <w:r>
        <w:rPr>
          <w:rFonts w:hint="eastAsia" w:ascii="仿宋_GB2312" w:hAnsi="仿宋_GB2312" w:eastAsia="仿宋_GB2312" w:cs="仿宋_GB2312"/>
          <w:b w:val="0"/>
          <w:bCs w:val="0"/>
          <w:color w:val="000000"/>
          <w:sz w:val="32"/>
          <w:szCs w:val="32"/>
          <w:lang w:val="zh-CN" w:eastAsia="zh-CN"/>
        </w:rPr>
        <w:t>人大常委人事代表工作委员会</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zh-CN" w:eastAsia="zh-CN"/>
        </w:rPr>
        <w:t xml:space="preserve">    （1）办理人民代表大会及其常务委员会人事任免的具体工作。</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zh-CN" w:eastAsia="zh-CN"/>
        </w:rPr>
        <w:t xml:space="preserve">    （2）加强同县委、组织部、纪委、上级人大常委会对口部门、乡镇党委、本级“一府两院”的人事监察部门、政工机构和信访部门的配合与联系。</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zh-CN" w:eastAsia="zh-CN"/>
        </w:rPr>
        <w:t>（3）搞好对县人大常委会任命的国家机关工作人员的述职评议工作。</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zh-CN" w:eastAsia="zh-CN"/>
        </w:rPr>
        <w:t>（4）承担换届选举方面的具体工作和由上面交办的人民代表大会制度和人大工作方面的法律、法规的征求意见，整理上报工作。</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zh-CN" w:eastAsia="zh-CN"/>
        </w:rPr>
        <w:t>（</w:t>
      </w:r>
      <w:r>
        <w:rPr>
          <w:rFonts w:hint="eastAsia" w:ascii="仿宋_GB2312" w:hAnsi="仿宋_GB2312" w:eastAsia="仿宋_GB2312" w:cs="仿宋_GB2312"/>
          <w:b w:val="0"/>
          <w:bCs w:val="0"/>
          <w:color w:val="000000"/>
          <w:sz w:val="32"/>
          <w:szCs w:val="32"/>
          <w:lang w:val="en-US" w:eastAsia="zh-CN"/>
        </w:rPr>
        <w:t>5</w:t>
      </w:r>
      <w:r>
        <w:rPr>
          <w:rFonts w:hint="eastAsia" w:ascii="仿宋_GB2312" w:hAnsi="仿宋_GB2312" w:eastAsia="仿宋_GB2312" w:cs="仿宋_GB2312"/>
          <w:b w:val="0"/>
          <w:bCs w:val="0"/>
          <w:color w:val="000000"/>
          <w:sz w:val="32"/>
          <w:szCs w:val="32"/>
          <w:lang w:val="zh-CN" w:eastAsia="zh-CN"/>
        </w:rPr>
        <w:t>）做好代表联系，办理代表议案建议、批评和意见，办理人民群众的来信来访工作。</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zh-CN" w:eastAsia="zh-CN"/>
        </w:rPr>
        <w:t>（</w:t>
      </w:r>
      <w:r>
        <w:rPr>
          <w:rFonts w:hint="eastAsia" w:ascii="仿宋_GB2312" w:hAnsi="仿宋_GB2312" w:eastAsia="仿宋_GB2312" w:cs="仿宋_GB2312"/>
          <w:b w:val="0"/>
          <w:bCs w:val="0"/>
          <w:color w:val="000000"/>
          <w:sz w:val="32"/>
          <w:szCs w:val="32"/>
          <w:lang w:val="en-US" w:eastAsia="zh-CN"/>
        </w:rPr>
        <w:t>6</w:t>
      </w:r>
      <w:r>
        <w:rPr>
          <w:rFonts w:hint="eastAsia" w:ascii="仿宋_GB2312" w:hAnsi="仿宋_GB2312" w:eastAsia="仿宋_GB2312" w:cs="仿宋_GB2312"/>
          <w:b w:val="0"/>
          <w:bCs w:val="0"/>
          <w:color w:val="000000"/>
          <w:sz w:val="32"/>
          <w:szCs w:val="32"/>
          <w:lang w:val="zh-CN" w:eastAsia="zh-CN"/>
        </w:rPr>
        <w:t>）承担县人大常委会代表资格审查委员会的有关具体工作和指导乡、镇人大及其主席团的工作。</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6.预算联网中心</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负责全县预算及相关预算执行相关数据的监督等管理</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zh-CN" w:eastAsia="zh-CN"/>
        </w:rPr>
        <w:t>（三）人员概况。</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default"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zh-CN" w:eastAsia="zh-CN"/>
        </w:rPr>
        <w:t>本单位截止</w:t>
      </w:r>
      <w:r>
        <w:rPr>
          <w:rFonts w:hint="eastAsia" w:ascii="仿宋_GB2312" w:hAnsi="仿宋_GB2312" w:eastAsia="仿宋_GB2312" w:cs="仿宋_GB2312"/>
          <w:b w:val="0"/>
          <w:bCs w:val="0"/>
          <w:color w:val="000000"/>
          <w:sz w:val="32"/>
          <w:szCs w:val="32"/>
          <w:lang w:val="en-US" w:eastAsia="zh-CN"/>
        </w:rPr>
        <w:t>2021年底共有在职职工26人，其中公务员21人，行政工勤5人，比上年减少1人，减少原因是21年退休1人。</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3" w:firstLineChars="200"/>
        <w:textAlignment w:val="auto"/>
        <w:outlineLvl w:val="9"/>
        <w:rPr>
          <w:rFonts w:hint="eastAsia"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二、部门财政资金收支情况</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3" w:firstLineChars="200"/>
        <w:textAlignment w:val="auto"/>
        <w:outlineLvl w:val="9"/>
        <w:rPr>
          <w:rFonts w:hint="eastAsia" w:ascii="仿宋_GB2312" w:hAnsi="仿宋_GB2312" w:eastAsia="仿宋_GB2312" w:cs="仿宋_GB2312"/>
          <w:b/>
          <w:bCs/>
          <w:color w:val="000000"/>
          <w:sz w:val="32"/>
          <w:szCs w:val="32"/>
          <w:lang w:val="zh-CN" w:eastAsia="zh-CN"/>
        </w:rPr>
      </w:pPr>
      <w:r>
        <w:rPr>
          <w:rFonts w:hint="eastAsia" w:ascii="仿宋_GB2312" w:hAnsi="仿宋_GB2312" w:eastAsia="仿宋_GB2312" w:cs="仿宋_GB2312"/>
          <w:b/>
          <w:bCs/>
          <w:color w:val="000000"/>
          <w:sz w:val="32"/>
          <w:szCs w:val="32"/>
          <w:lang w:val="zh-CN" w:eastAsia="zh-CN"/>
        </w:rPr>
        <w:t>（一）部门财政资金收入情况。</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2021年度财政拨款收入总计966.44万元（其中：一般公共服务支出800.05万元，主要为人员工资、体检费、工伤失业保险、会议费、差旅费、印刷费、培训费、公务用车运行维护费等；社会保障和就业支出80.64万元，主要为各项保险；医疗卫生与计划生育支出34.5万元，全部为医疗保险、公务员医疗补助；住房保障支出51.25万元，全部为住房公积金）。与2020年相比，收入增加了169.57万元，上升了21.28%，主要变动原因是2021年新增购买越野车一辆价值59.16万元及20年目标奖基数调整导致。</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zh-CN" w:eastAsia="zh-CN"/>
        </w:rPr>
        <w:t>部门财政资金支出情况。</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default"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2021年度财政拨款支出966.44万元，其中：一般公共服务支出800.05万元，主要为人员工资、体检费、工伤失业保险、会议费、差旅费、印刷费、培训费、公务用车运行维护费等；社会保障和就业支出80.64万元，主要为各项保险；医疗卫生与计划生育支出34.5万元，全部为医疗保险、公务员医疗补助；住房保障支出51.25万元，全部为住房公积金。与2020年相比，收入增加了169.57万元，上升了21.28%，主要变动原因是2021年新增购买越野车一辆价值59.16万元及20年目标奖基数调整导致。</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3" w:firstLineChars="200"/>
        <w:textAlignment w:val="auto"/>
        <w:outlineLvl w:val="9"/>
        <w:rPr>
          <w:rFonts w:hint="eastAsia"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三、部门财政支出管理情况</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3" w:firstLineChars="200"/>
        <w:textAlignment w:val="auto"/>
        <w:outlineLvl w:val="9"/>
        <w:rPr>
          <w:rFonts w:hint="eastAsia" w:ascii="仿宋_GB2312" w:hAnsi="仿宋_GB2312" w:eastAsia="仿宋_GB2312" w:cs="仿宋_GB2312"/>
          <w:b/>
          <w:bCs/>
          <w:color w:val="000000"/>
          <w:sz w:val="32"/>
          <w:szCs w:val="32"/>
          <w:lang w:val="zh-CN" w:eastAsia="zh-CN"/>
        </w:rPr>
      </w:pPr>
      <w:r>
        <w:rPr>
          <w:rFonts w:hint="eastAsia" w:ascii="仿宋_GB2312" w:hAnsi="仿宋_GB2312" w:eastAsia="仿宋_GB2312" w:cs="仿宋_GB2312"/>
          <w:b/>
          <w:bCs/>
          <w:color w:val="000000"/>
          <w:sz w:val="32"/>
          <w:szCs w:val="32"/>
          <w:lang w:val="zh-CN" w:eastAsia="zh-CN"/>
        </w:rPr>
        <w:t>（一）预算编制情况。</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红原县人大常委会办公室预算编制严格按照《预算法》相关规定，结合全县预算编制口径，结合我单位实际情况，主要用于保障该机构正常运转、完成日常工作任务以及红原县人大事务发展相关工作而编制。</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基本支出，是用于保障红原县人大办正常运转的日常支出，包括基本工资、津贴补贴等人员经费以及办公费、印刷费、水电费、培训费、会议费、人大代表视察费等日常公用经费。</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default"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2021年绩效目标执行率96%以上完成度较好，2021年我单位及时公开部门预算，决算绩效报告等，对预算编制进一步细化。</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3" w:firstLineChars="200"/>
        <w:textAlignment w:val="auto"/>
        <w:outlineLvl w:val="9"/>
        <w:rPr>
          <w:rFonts w:hint="eastAsia" w:ascii="仿宋_GB2312" w:hAnsi="仿宋_GB2312" w:eastAsia="仿宋_GB2312" w:cs="仿宋_GB2312"/>
          <w:b/>
          <w:bCs/>
          <w:color w:val="000000"/>
          <w:sz w:val="32"/>
          <w:szCs w:val="32"/>
          <w:lang w:val="zh-CN" w:eastAsia="zh-CN"/>
        </w:rPr>
      </w:pPr>
      <w:r>
        <w:rPr>
          <w:rFonts w:hint="eastAsia" w:ascii="仿宋_GB2312" w:hAnsi="仿宋_GB2312" w:eastAsia="仿宋_GB2312" w:cs="仿宋_GB2312"/>
          <w:b/>
          <w:bCs/>
          <w:color w:val="000000"/>
          <w:sz w:val="32"/>
          <w:szCs w:val="32"/>
          <w:lang w:val="zh-CN" w:eastAsia="zh-CN"/>
        </w:rPr>
        <w:t>（二）执行管理情况。</w:t>
      </w:r>
      <w:r>
        <w:rPr>
          <w:rFonts w:hint="eastAsia" w:ascii="仿宋_GB2312" w:hAnsi="仿宋_GB2312" w:eastAsia="仿宋_GB2312" w:cs="仿宋_GB2312"/>
          <w:b/>
          <w:bCs/>
          <w:color w:val="000000"/>
          <w:sz w:val="32"/>
          <w:szCs w:val="32"/>
          <w:lang w:val="zh-CN" w:eastAsia="zh-CN"/>
        </w:rPr>
        <w:tab/>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3" w:firstLineChars="200"/>
        <w:textAlignment w:val="auto"/>
        <w:outlineLvl w:val="9"/>
        <w:rPr>
          <w:rFonts w:hint="eastAsia"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1.因公出国(境)经费</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2021年因公出国(境)费0.00元，因公出国(境) 0人，与上年持平。</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3" w:firstLineChars="200"/>
        <w:textAlignment w:val="auto"/>
        <w:outlineLvl w:val="9"/>
        <w:rPr>
          <w:rFonts w:hint="eastAsia"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2.公务接待费</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2021年公务接待费4.89万元。公务接待费支出决算比2020年决算减少1.19万元。主要原因为21年厉行节约及疫情影响减少了县与县之间的交流调研，本年度我们将严格执行“八项规定、六项禁令”，结合本年度工作需要，减少不必要的开支，严格审批管理接待费。</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3" w:firstLineChars="200"/>
        <w:textAlignment w:val="auto"/>
        <w:outlineLvl w:val="9"/>
        <w:rPr>
          <w:rFonts w:hint="eastAsia"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3.公务用车购置及运行维护费</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2021年公务用车购置及运行维护费94.09万元。其中：</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公务用车购置支出64.4万元（含税）。</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公务用车运行维护费支出29.7万元。主要用于人大机关因公出差、下乡调研等所需的公务用车燃料费、维修费、过路过桥费、保险费等支出。</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公务用车购置及运行维护费支出94.09万元,完成预算100%。公务用车购置及运行维护费支出决算比2020年增加58.73万元，上升166.09。主要原因是2021年新购置越野车一辆。</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3" w:firstLineChars="200"/>
        <w:textAlignment w:val="auto"/>
        <w:outlineLvl w:val="9"/>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bCs/>
          <w:color w:val="000000"/>
          <w:sz w:val="32"/>
          <w:szCs w:val="32"/>
          <w:lang w:val="zh-CN" w:eastAsia="zh-CN"/>
        </w:rPr>
        <w:t>（三）综合管理情况</w:t>
      </w:r>
      <w:r>
        <w:rPr>
          <w:rFonts w:hint="eastAsia" w:ascii="仿宋_GB2312" w:hAnsi="仿宋_GB2312" w:eastAsia="仿宋_GB2312" w:cs="仿宋_GB2312"/>
          <w:b w:val="0"/>
          <w:bCs w:val="0"/>
          <w:color w:val="000000"/>
          <w:sz w:val="32"/>
          <w:szCs w:val="32"/>
          <w:lang w:val="zh-CN" w:eastAsia="zh-CN"/>
        </w:rPr>
        <w:t>。</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en-US" w:eastAsia="zh-CN"/>
        </w:rPr>
        <w:t>根据《会计法》《预算法》、《行政单位会计制》等法律和财政部及其省财政厅有关财务规章的规定，明确了单位经费审批权限及程序，经费预算、核算管理、资产购置与处置、财务监督等相关规定。按规定对本单位财务信息依法进行公开。</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3" w:firstLineChars="200"/>
        <w:textAlignment w:val="auto"/>
        <w:outlineLvl w:val="9"/>
        <w:rPr>
          <w:rFonts w:hint="eastAsia"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1.资产管理</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 xml:space="preserve">由于现在的日常工作已逐步普及办公自动化，加快了办公设备淘汰更新，这就需要对固定资产进行年年清查盘点，使固定资产清查工作经常化、常态化，更好的从源头上对单位固定资产进行监控和管理。 </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3" w:firstLineChars="200"/>
        <w:textAlignment w:val="auto"/>
        <w:outlineLvl w:val="9"/>
        <w:rPr>
          <w:rFonts w:hint="eastAsia"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2.单位内控管理</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在财务管理过程中逐步建立健全财务管理制度、财务核算制度、财务报销制度等，严格按照《行政单位会计制度》和《行政单位财务规则》的规定设置会计科目，建立了科学有效的会计核算方式，各项经济活动均真实、合法、准确、及时的反应在会计账目上，建立健全内部控制制度，积极配合财政部门开展预算、决算考评工作。</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3" w:firstLineChars="200"/>
        <w:textAlignment w:val="auto"/>
        <w:outlineLvl w:val="9"/>
        <w:rPr>
          <w:rFonts w:hint="eastAsia"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3.部门预算管理</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 xml:space="preserve">严格按照综合预算原则。统一编制、统一管理、统筹安排资金，将单位所有安排的各项支出纳入综合预算，确保预算全面、真实反映单位实际的收支情况，使所有收支活动纳入预算管理与监督的范围。    </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3" w:firstLineChars="200"/>
        <w:textAlignment w:val="auto"/>
        <w:outlineLvl w:val="9"/>
        <w:rPr>
          <w:rFonts w:hint="default"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4.</w:t>
      </w:r>
      <w:r>
        <w:rPr>
          <w:rFonts w:hint="eastAsia" w:ascii="仿宋_GB2312" w:hAnsi="仿宋_GB2312" w:eastAsia="仿宋_GB2312" w:cs="仿宋_GB2312"/>
          <w:b/>
          <w:bCs/>
          <w:color w:val="000000"/>
          <w:sz w:val="32"/>
          <w:szCs w:val="32"/>
          <w:lang w:val="zh-CN" w:eastAsia="zh-CN"/>
        </w:rPr>
        <w:t>绩效管理</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en-US" w:eastAsia="zh-CN"/>
        </w:rPr>
        <w:t>我单位领导高度重视绩效评价工作，成立了绩效评价工作领导小组，采取座谈等方式听取相关情况，检查基本支出、专项办公费、会议费等支出有关账目，收集整理相关资料，并对资料进行分析，形成评价结论。</w:t>
      </w:r>
      <w:r>
        <w:rPr>
          <w:rFonts w:hint="eastAsia" w:ascii="仿宋_GB2312" w:hAnsi="仿宋_GB2312" w:eastAsia="仿宋_GB2312" w:cs="仿宋_GB2312"/>
          <w:b w:val="0"/>
          <w:bCs w:val="0"/>
          <w:color w:val="000000"/>
          <w:sz w:val="32"/>
          <w:szCs w:val="32"/>
          <w:lang w:val="en-US" w:eastAsia="zh-CN"/>
        </w:rPr>
        <w:br w:type="textWrapping"/>
      </w:r>
      <w:r>
        <w:rPr>
          <w:rFonts w:hint="eastAsia" w:ascii="仿宋_GB2312" w:hAnsi="仿宋_GB2312" w:eastAsia="仿宋_GB2312" w:cs="仿宋_GB2312"/>
          <w:b w:val="0"/>
          <w:bCs w:val="0"/>
          <w:color w:val="000000"/>
          <w:sz w:val="32"/>
          <w:szCs w:val="32"/>
          <w:lang w:val="en-US" w:eastAsia="zh-CN"/>
        </w:rPr>
        <w:t xml:space="preserve">    （1）部门预算严格按照上级部门预算编制通知和有关要求，结合单位具体工作及县级相关规定编制，按时完成基础、项目报送工作，单位预算按时在红原县门户网站公开。</w:t>
      </w:r>
      <w:r>
        <w:rPr>
          <w:rFonts w:hint="eastAsia" w:ascii="仿宋_GB2312" w:hAnsi="仿宋_GB2312" w:eastAsia="仿宋_GB2312" w:cs="仿宋_GB2312"/>
          <w:b w:val="0"/>
          <w:bCs w:val="0"/>
          <w:color w:val="000000"/>
          <w:sz w:val="32"/>
          <w:szCs w:val="32"/>
          <w:lang w:val="en-US" w:eastAsia="zh-CN"/>
        </w:rPr>
        <w:br w:type="textWrapping"/>
      </w:r>
      <w:r>
        <w:rPr>
          <w:rFonts w:hint="eastAsia" w:ascii="仿宋_GB2312" w:hAnsi="仿宋_GB2312" w:eastAsia="仿宋_GB2312" w:cs="仿宋_GB2312"/>
          <w:b w:val="0"/>
          <w:bCs w:val="0"/>
          <w:color w:val="000000"/>
          <w:sz w:val="32"/>
          <w:szCs w:val="32"/>
          <w:lang w:val="en-US" w:eastAsia="zh-CN"/>
        </w:rPr>
        <w:t xml:space="preserve">   （2）严格执行支出预算，“三公经费”本着节约、高效的原则严格控制支出。</w:t>
      </w:r>
      <w:r>
        <w:rPr>
          <w:rFonts w:hint="eastAsia" w:ascii="仿宋_GB2312" w:hAnsi="仿宋_GB2312" w:eastAsia="仿宋_GB2312" w:cs="仿宋_GB2312"/>
          <w:b w:val="0"/>
          <w:bCs w:val="0"/>
          <w:color w:val="000000"/>
          <w:sz w:val="32"/>
          <w:szCs w:val="32"/>
          <w:lang w:val="en-US" w:eastAsia="zh-CN"/>
        </w:rPr>
        <w:br w:type="textWrapping"/>
      </w:r>
      <w:r>
        <w:rPr>
          <w:rFonts w:hint="eastAsia" w:ascii="仿宋_GB2312" w:hAnsi="仿宋_GB2312" w:eastAsia="仿宋_GB2312" w:cs="仿宋_GB2312"/>
          <w:b w:val="0"/>
          <w:bCs w:val="0"/>
          <w:color w:val="000000"/>
          <w:sz w:val="32"/>
          <w:szCs w:val="32"/>
          <w:lang w:val="en-US" w:eastAsia="zh-CN"/>
        </w:rPr>
        <w:t xml:space="preserve">   （3）认真开展部门绩效评价工作，绩效评价规章制度逐渐健全;严格按照相关法律、法规进行会计核算，严格资金管理，专款专用，资金拨付严格按相关程序报批后支付。认真开展部门整体绩效评价工作，绩效评价工作正逐步完善。    </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3" w:firstLineChars="200"/>
        <w:textAlignment w:val="auto"/>
        <w:outlineLvl w:val="9"/>
        <w:rPr>
          <w:rFonts w:hint="eastAsia" w:ascii="仿宋_GB2312" w:hAnsi="仿宋_GB2312" w:eastAsia="仿宋_GB2312" w:cs="仿宋_GB2312"/>
          <w:b/>
          <w:bCs/>
          <w:color w:val="000000"/>
          <w:sz w:val="32"/>
          <w:szCs w:val="32"/>
          <w:lang w:val="zh-CN" w:eastAsia="zh-CN"/>
        </w:rPr>
      </w:pPr>
      <w:r>
        <w:rPr>
          <w:rFonts w:hint="eastAsia" w:ascii="仿宋_GB2312" w:hAnsi="仿宋_GB2312" w:eastAsia="仿宋_GB2312" w:cs="仿宋_GB2312"/>
          <w:b/>
          <w:bCs/>
          <w:color w:val="000000"/>
          <w:sz w:val="32"/>
          <w:szCs w:val="32"/>
          <w:lang w:val="zh-CN" w:eastAsia="zh-CN"/>
        </w:rPr>
        <w:t>（四）整体绩效。</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zh-CN" w:eastAsia="zh-CN"/>
        </w:rPr>
        <w:t>通过整体绩效自评，反映本部门能按照人大相关职责要求有效履行职责，圆满完成了人大各项工作任务，绩效评价结果为优，各级人大代表及相关部门等对县人大办的各项工作满意度较高。</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3" w:firstLineChars="200"/>
        <w:textAlignment w:val="auto"/>
        <w:outlineLvl w:val="9"/>
        <w:rPr>
          <w:rFonts w:hint="eastAsia" w:ascii="仿宋_GB2312" w:hAnsi="仿宋_GB2312" w:eastAsia="仿宋_GB2312" w:cs="仿宋_GB2312"/>
          <w:b/>
          <w:bCs/>
          <w:color w:val="000000"/>
          <w:sz w:val="32"/>
          <w:szCs w:val="32"/>
          <w:lang w:val="zh-CN" w:eastAsia="zh-CN"/>
        </w:rPr>
      </w:pPr>
      <w:r>
        <w:rPr>
          <w:rFonts w:hint="eastAsia" w:ascii="仿宋_GB2312" w:hAnsi="仿宋_GB2312" w:eastAsia="仿宋_GB2312" w:cs="仿宋_GB2312"/>
          <w:b/>
          <w:bCs/>
          <w:color w:val="000000"/>
          <w:sz w:val="32"/>
          <w:szCs w:val="32"/>
          <w:lang w:val="zh-CN" w:eastAsia="zh-CN"/>
        </w:rPr>
        <w:t>（五）结果应用情况</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en-US" w:eastAsia="zh-CN"/>
        </w:rPr>
        <w:t>2021年我单位从收支执行，三公经费管理，预算管理，绩效管理等方面进行了详尽</w:t>
      </w:r>
      <w:r>
        <w:rPr>
          <w:rFonts w:hint="eastAsia" w:ascii="仿宋_GB2312" w:hAnsi="仿宋_GB2312" w:eastAsia="仿宋_GB2312" w:cs="仿宋_GB2312"/>
          <w:b w:val="0"/>
          <w:bCs w:val="0"/>
          <w:color w:val="000000"/>
          <w:sz w:val="32"/>
          <w:szCs w:val="32"/>
          <w:lang w:val="zh-CN" w:eastAsia="zh-CN"/>
        </w:rPr>
        <w:t>部门自评、</w:t>
      </w:r>
      <w:r>
        <w:rPr>
          <w:rFonts w:hint="eastAsia" w:ascii="仿宋_GB2312" w:hAnsi="仿宋_GB2312" w:eastAsia="仿宋_GB2312" w:cs="仿宋_GB2312"/>
          <w:b w:val="0"/>
          <w:bCs w:val="0"/>
          <w:color w:val="000000"/>
          <w:sz w:val="32"/>
          <w:szCs w:val="32"/>
          <w:lang w:val="en-US" w:eastAsia="zh-CN"/>
        </w:rPr>
        <w:t>21年预算绩效目标，项目预算绩效目标等均进行了公开，评价结果较好，对部门预算编制不够精准细化的问题将在后续工作中逐步改进。</w:t>
      </w:r>
    </w:p>
    <w:p>
      <w:pPr>
        <w:keepNext w:val="0"/>
        <w:keepLines w:val="0"/>
        <w:pageBreakBefore w:val="0"/>
        <w:widowControl/>
        <w:kinsoku/>
        <w:wordWrap/>
        <w:overflowPunct/>
        <w:topLinePunct w:val="0"/>
        <w:autoSpaceDE/>
        <w:autoSpaceDN/>
        <w:bidi w:val="0"/>
        <w:adjustRightInd w:val="0"/>
        <w:snapToGrid w:val="0"/>
        <w:spacing w:line="500" w:lineRule="exact"/>
        <w:jc w:val="left"/>
        <w:textAlignment w:val="auto"/>
        <w:rPr>
          <w:rFonts w:ascii="黑体" w:hAnsi="宋体" w:eastAsia="黑体" w:cs="宋体"/>
          <w:color w:val="000000"/>
          <w:kern w:val="0"/>
        </w:rPr>
      </w:pPr>
      <w:r>
        <w:rPr>
          <w:rFonts w:hint="eastAsia" w:ascii="黑体" w:hAnsi="宋体" w:eastAsia="黑体" w:cs="宋体"/>
          <w:color w:val="000000"/>
          <w:kern w:val="0"/>
        </w:rPr>
        <w:t>四、评价结论及建议</w:t>
      </w:r>
    </w:p>
    <w:p>
      <w:pPr>
        <w:keepNext w:val="0"/>
        <w:keepLines w:val="0"/>
        <w:pageBreakBefore w:val="0"/>
        <w:widowControl/>
        <w:kinsoku/>
        <w:wordWrap/>
        <w:overflowPunct/>
        <w:topLinePunct w:val="0"/>
        <w:autoSpaceDE/>
        <w:autoSpaceDN/>
        <w:bidi w:val="0"/>
        <w:adjustRightInd w:val="0"/>
        <w:snapToGrid w:val="0"/>
        <w:spacing w:line="500" w:lineRule="exact"/>
        <w:ind w:firstLine="720"/>
        <w:jc w:val="left"/>
        <w:textAlignment w:val="auto"/>
        <w:rPr>
          <w:rFonts w:hint="eastAsia"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zh-CN"/>
        </w:rPr>
        <w:t>（一）评价结论。</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en-US" w:eastAsia="zh-CN"/>
        </w:rPr>
        <w:t>根据《红原县部门支出绩效评价指标体系》自查的分96分，总体评价较好。</w:t>
      </w:r>
    </w:p>
    <w:p>
      <w:pPr>
        <w:keepNext w:val="0"/>
        <w:keepLines w:val="0"/>
        <w:pageBreakBefore w:val="0"/>
        <w:widowControl/>
        <w:numPr>
          <w:ilvl w:val="0"/>
          <w:numId w:val="0"/>
        </w:numPr>
        <w:kinsoku/>
        <w:wordWrap/>
        <w:overflowPunct/>
        <w:topLinePunct w:val="0"/>
        <w:autoSpaceDE/>
        <w:autoSpaceDN/>
        <w:bidi w:val="0"/>
        <w:adjustRightInd w:val="0"/>
        <w:snapToGrid w:val="0"/>
        <w:spacing w:line="500" w:lineRule="exact"/>
        <w:ind w:left="720" w:leftChars="0"/>
        <w:jc w:val="left"/>
        <w:textAlignment w:val="auto"/>
        <w:rPr>
          <w:rFonts w:hint="eastAsia"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zh-CN"/>
        </w:rPr>
        <w:t>（二）存在问题。</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en-US" w:eastAsia="zh-CN"/>
        </w:rPr>
        <w:t>由于财政支出的多样性和复杂性，绩效评价指标体系设置难度大，即使可以量化，但实际操作中很多项目间缺乏可比性且指标本身也在逐步变化，需要逐步完善。</w:t>
      </w:r>
      <w:r>
        <w:rPr>
          <w:rFonts w:hint="eastAsia" w:ascii="仿宋_GB2312" w:hAnsi="仿宋_GB2312" w:eastAsia="仿宋_GB2312" w:cs="仿宋_GB2312"/>
          <w:b w:val="0"/>
          <w:bCs w:val="0"/>
          <w:color w:val="000000"/>
          <w:sz w:val="32"/>
          <w:szCs w:val="32"/>
          <w:lang w:val="en-US" w:eastAsia="zh-CN"/>
        </w:rPr>
        <w:br w:type="textWrapping"/>
      </w:r>
      <w:r>
        <w:rPr>
          <w:rFonts w:hint="eastAsia" w:ascii="仿宋_GB2312" w:hAnsi="仿宋_GB2312" w:eastAsia="仿宋_GB2312" w:cs="仿宋_GB2312"/>
          <w:b w:val="0"/>
          <w:bCs w:val="0"/>
          <w:color w:val="000000"/>
          <w:sz w:val="32"/>
          <w:szCs w:val="32"/>
          <w:lang w:val="en-US" w:eastAsia="zh-CN"/>
        </w:rPr>
        <w:t xml:space="preserve">   存在的问题:在平时工作推进过程中，缺乏技术人员进行专业指导及培训，工作推进存在一定困难，预算编制还需更加精准。</w:t>
      </w:r>
    </w:p>
    <w:p>
      <w:pPr>
        <w:keepNext w:val="0"/>
        <w:keepLines w:val="0"/>
        <w:pageBreakBefore w:val="0"/>
        <w:widowControl/>
        <w:numPr>
          <w:ilvl w:val="0"/>
          <w:numId w:val="0"/>
        </w:numPr>
        <w:kinsoku/>
        <w:wordWrap/>
        <w:overflowPunct/>
        <w:topLinePunct w:val="0"/>
        <w:autoSpaceDE/>
        <w:autoSpaceDN/>
        <w:bidi w:val="0"/>
        <w:adjustRightInd w:val="0"/>
        <w:snapToGrid w:val="0"/>
        <w:spacing w:line="500" w:lineRule="exact"/>
        <w:ind w:left="720" w:leftChars="0"/>
        <w:jc w:val="left"/>
        <w:textAlignment w:val="auto"/>
        <w:rPr>
          <w:rFonts w:hint="eastAsia"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zh-CN"/>
        </w:rPr>
        <w:t>（三）改进建议。</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1.通过各种途径加强绩效管理学习，科学合理编制预算，严格执行预算。</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2.规范账务处理，提高财务信息质量。</w:t>
      </w:r>
    </w:p>
    <w:p>
      <w:pPr>
        <w:pStyle w:val="10"/>
        <w:keepNext w:val="0"/>
        <w:keepLines w:val="0"/>
        <w:widowControl/>
        <w:suppressLineNumbers w:val="0"/>
        <w:ind w:left="0" w:right="75"/>
        <w:jc w:val="center"/>
        <w:rPr>
          <w:rFonts w:hint="eastAsia" w:ascii="黑体" w:hAnsi="黑体" w:eastAsia="黑体" w:cs="黑体"/>
          <w:sz w:val="44"/>
          <w:szCs w:val="44"/>
          <w:shd w:val="clear" w:color="auto" w:fill="FFFFFF"/>
        </w:rPr>
      </w:pPr>
    </w:p>
    <w:p>
      <w:pPr>
        <w:pStyle w:val="10"/>
        <w:keepNext w:val="0"/>
        <w:keepLines w:val="0"/>
        <w:widowControl/>
        <w:suppressLineNumbers w:val="0"/>
        <w:ind w:left="0" w:right="75"/>
        <w:jc w:val="center"/>
        <w:outlineLvl w:val="0"/>
        <w:rPr>
          <w:rFonts w:hint="eastAsia" w:ascii="黑体" w:hAnsi="黑体" w:eastAsia="黑体" w:cs="黑体"/>
          <w:sz w:val="44"/>
          <w:szCs w:val="44"/>
        </w:rPr>
      </w:pPr>
      <w:bookmarkStart w:id="20" w:name="_Toc29972"/>
      <w:r>
        <w:rPr>
          <w:rFonts w:hint="eastAsia" w:ascii="黑体" w:hAnsi="黑体" w:eastAsia="黑体" w:cs="黑体"/>
          <w:sz w:val="44"/>
          <w:szCs w:val="44"/>
          <w:shd w:val="clear" w:color="auto" w:fill="FFFFFF"/>
        </w:rPr>
        <w:t>第五部分 附表</w:t>
      </w:r>
      <w:bookmarkEnd w:id="20"/>
    </w:p>
    <w:p>
      <w:pPr>
        <w:pStyle w:val="10"/>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一、收入支出决算总表</w:t>
      </w:r>
    </w:p>
    <w:p>
      <w:pPr>
        <w:pStyle w:val="10"/>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二、收入决算表</w:t>
      </w:r>
    </w:p>
    <w:p>
      <w:pPr>
        <w:pStyle w:val="10"/>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三、支出决算表</w:t>
      </w:r>
    </w:p>
    <w:p>
      <w:pPr>
        <w:pStyle w:val="10"/>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四、财政拨款收入支出决算总表</w:t>
      </w:r>
    </w:p>
    <w:p>
      <w:pPr>
        <w:pStyle w:val="10"/>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五、财政拨款支出决算明细表</w:t>
      </w:r>
    </w:p>
    <w:p>
      <w:pPr>
        <w:pStyle w:val="10"/>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六、一般公共预算财政拨款支出决算表</w:t>
      </w:r>
    </w:p>
    <w:p>
      <w:pPr>
        <w:pStyle w:val="10"/>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七、一般公共预算财政拨款支出决算明细表</w:t>
      </w:r>
    </w:p>
    <w:p>
      <w:pPr>
        <w:pStyle w:val="10"/>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八、一般公共预算财政拨款基本支出决算表</w:t>
      </w:r>
    </w:p>
    <w:p>
      <w:pPr>
        <w:pStyle w:val="10"/>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九、一般公共预算财政拨款项目支出决算表</w:t>
      </w:r>
    </w:p>
    <w:p>
      <w:pPr>
        <w:pStyle w:val="10"/>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十、一般公共预算财政拨款“三公”经费支出决算表</w:t>
      </w:r>
    </w:p>
    <w:p>
      <w:pPr>
        <w:pStyle w:val="10"/>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十一、政府性基金预算财政拨款收入支出决算表</w:t>
      </w:r>
    </w:p>
    <w:p>
      <w:pPr>
        <w:pStyle w:val="10"/>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十二、政府性基金预算财政拨款“三公”经费支出决算表</w:t>
      </w:r>
    </w:p>
    <w:p>
      <w:pPr>
        <w:pStyle w:val="10"/>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十三、国有资本经营预算财政拨款收入支出决算表</w:t>
      </w:r>
    </w:p>
    <w:p>
      <w:pPr>
        <w:pStyle w:val="10"/>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十四、国有资本经营预算财政拨款支出决算表</w:t>
      </w:r>
    </w:p>
    <w:p/>
    <w:sectPr>
      <w:footerReference r:id="rId3" w:type="default"/>
      <w:pgSz w:w="11906" w:h="16838"/>
      <w:pgMar w:top="1440" w:right="1800" w:bottom="1440" w:left="1800"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楷体简体">
    <w:panose1 w:val="03000509000000000000"/>
    <w:charset w:val="86"/>
    <w:family w:val="auto"/>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方正楷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R1yZaEwIAABMEAAAOAAAAAAAAAAEA&#10;IAAAAB8BAABkcnMvZTJvRG9jLnhtbFBLBQYAAAAABgAGAFkBAACkBQAAAAA=&#10;">
              <v:fill on="f" focussize="0,0"/>
              <v:stroke on="f" weight="0.5pt"/>
              <v:imagedata o:title=""/>
              <o:lock v:ext="edit" aspectratio="f"/>
              <v:textbox inset="0mm,0mm,0mm,0mm" style="mso-fit-shape-to-text:t;">
                <w:txbxContent>
                  <w:p>
                    <w:pPr>
                      <w:pStyle w:val="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16B91D5"/>
    <w:multiLevelType w:val="singleLevel"/>
    <w:tmpl w:val="916B91D5"/>
    <w:lvl w:ilvl="0" w:tentative="0">
      <w:start w:val="3"/>
      <w:numFmt w:val="chineseCounting"/>
      <w:suff w:val="space"/>
      <w:lvlText w:val="第%1部分"/>
      <w:lvlJc w:val="left"/>
      <w:rPr>
        <w:rFonts w:hint="eastAsia"/>
      </w:rPr>
    </w:lvl>
  </w:abstractNum>
  <w:abstractNum w:abstractNumId="1">
    <w:nsid w:val="1A9BF496"/>
    <w:multiLevelType w:val="singleLevel"/>
    <w:tmpl w:val="1A9BF496"/>
    <w:lvl w:ilvl="0" w:tentative="0">
      <w:start w:val="2"/>
      <w:numFmt w:val="chineseCounting"/>
      <w:suff w:val="space"/>
      <w:lvlText w:val="%1、"/>
      <w:lvlJc w:val="left"/>
      <w:rPr>
        <w:rFonts w:hint="eastAsia"/>
      </w:rPr>
    </w:lvl>
  </w:abstractNum>
  <w:abstractNum w:abstractNumId="2">
    <w:nsid w:val="3F606127"/>
    <w:multiLevelType w:val="singleLevel"/>
    <w:tmpl w:val="3F606127"/>
    <w:lvl w:ilvl="0" w:tentative="0">
      <w:start w:val="8"/>
      <w:numFmt w:val="chineseCounting"/>
      <w:suff w:val="nothing"/>
      <w:lvlText w:val="%1、"/>
      <w:lvlJc w:val="left"/>
      <w:rPr>
        <w:rFonts w:hint="eastAsia"/>
      </w:rPr>
    </w:lvl>
  </w:abstractNum>
  <w:abstractNum w:abstractNumId="3">
    <w:nsid w:val="5708D7AD"/>
    <w:multiLevelType w:val="singleLevel"/>
    <w:tmpl w:val="5708D7AD"/>
    <w:lvl w:ilvl="0" w:tentative="0">
      <w:start w:val="2"/>
      <w:numFmt w:val="chineseCounting"/>
      <w:suff w:val="nothing"/>
      <w:lvlText w:val="（%1）"/>
      <w:lvlJc w:val="left"/>
      <w:rPr>
        <w:rFonts w:hint="eastAsia"/>
      </w:rPr>
    </w:lvl>
  </w:abstractNum>
  <w:abstractNum w:abstractNumId="4">
    <w:nsid w:val="5F819D8E"/>
    <w:multiLevelType w:val="singleLevel"/>
    <w:tmpl w:val="5F819D8E"/>
    <w:lvl w:ilvl="0" w:tentative="0">
      <w:start w:val="1"/>
      <w:numFmt w:val="decimal"/>
      <w:lvlText w:val="%1."/>
      <w:lvlJc w:val="left"/>
      <w:pPr>
        <w:tabs>
          <w:tab w:val="left" w:pos="312"/>
        </w:tabs>
      </w:pPr>
    </w:lvl>
  </w:abstractNum>
  <w:abstractNum w:abstractNumId="5">
    <w:nsid w:val="5F81B4ED"/>
    <w:multiLevelType w:val="singleLevel"/>
    <w:tmpl w:val="5F81B4ED"/>
    <w:lvl w:ilvl="0" w:tentative="0">
      <w:start w:val="1"/>
      <w:numFmt w:val="decimal"/>
      <w:lvlText w:val="%1."/>
      <w:lvlJc w:val="left"/>
      <w:pPr>
        <w:tabs>
          <w:tab w:val="left" w:pos="312"/>
        </w:tabs>
      </w:pPr>
    </w:lvl>
  </w:abstractNum>
  <w:abstractNum w:abstractNumId="6">
    <w:nsid w:val="7AAC1CBD"/>
    <w:multiLevelType w:val="singleLevel"/>
    <w:tmpl w:val="7AAC1CBD"/>
    <w:lvl w:ilvl="0" w:tentative="0">
      <w:start w:val="2"/>
      <w:numFmt w:val="chineseCounting"/>
      <w:suff w:val="nothing"/>
      <w:lvlText w:val="（%1）"/>
      <w:lvlJc w:val="left"/>
      <w:rPr>
        <w:rFonts w:hint="eastAsia"/>
      </w:rPr>
    </w:lvl>
  </w:abstractNum>
  <w:num w:numId="1">
    <w:abstractNumId w:val="1"/>
  </w:num>
  <w:num w:numId="2">
    <w:abstractNumId w:val="6"/>
  </w:num>
  <w:num w:numId="3">
    <w:abstractNumId w:val="4"/>
  </w:num>
  <w:num w:numId="4">
    <w:abstractNumId w:val="3"/>
  </w:num>
  <w:num w:numId="5">
    <w:abstractNumId w:val="2"/>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82313"/>
    <w:rsid w:val="00BF0852"/>
    <w:rsid w:val="01AB3A4C"/>
    <w:rsid w:val="01D82154"/>
    <w:rsid w:val="020502B8"/>
    <w:rsid w:val="02346274"/>
    <w:rsid w:val="02537415"/>
    <w:rsid w:val="028316E6"/>
    <w:rsid w:val="03B10B2C"/>
    <w:rsid w:val="03E52A27"/>
    <w:rsid w:val="051E63A0"/>
    <w:rsid w:val="05253159"/>
    <w:rsid w:val="0536478E"/>
    <w:rsid w:val="05C6221A"/>
    <w:rsid w:val="05CA37E6"/>
    <w:rsid w:val="05DE2065"/>
    <w:rsid w:val="060415DA"/>
    <w:rsid w:val="061D2498"/>
    <w:rsid w:val="062705AF"/>
    <w:rsid w:val="0648585F"/>
    <w:rsid w:val="067611B1"/>
    <w:rsid w:val="06A51A29"/>
    <w:rsid w:val="06DF2C3C"/>
    <w:rsid w:val="073716F3"/>
    <w:rsid w:val="077C0152"/>
    <w:rsid w:val="07A66CD3"/>
    <w:rsid w:val="07AB12F0"/>
    <w:rsid w:val="07CC79AF"/>
    <w:rsid w:val="07E05898"/>
    <w:rsid w:val="08D266EA"/>
    <w:rsid w:val="08E5531C"/>
    <w:rsid w:val="09201BFE"/>
    <w:rsid w:val="094712F2"/>
    <w:rsid w:val="0958647E"/>
    <w:rsid w:val="0963660A"/>
    <w:rsid w:val="09A4358F"/>
    <w:rsid w:val="09BF4822"/>
    <w:rsid w:val="09DA3F82"/>
    <w:rsid w:val="0A0B0C2D"/>
    <w:rsid w:val="0A1A2BF9"/>
    <w:rsid w:val="0B6775DA"/>
    <w:rsid w:val="0BE72A8C"/>
    <w:rsid w:val="0C1C28F1"/>
    <w:rsid w:val="0C5533EE"/>
    <w:rsid w:val="0C7557E1"/>
    <w:rsid w:val="0CE63DEF"/>
    <w:rsid w:val="0D5709C4"/>
    <w:rsid w:val="0DA32FF9"/>
    <w:rsid w:val="0E016246"/>
    <w:rsid w:val="0EEF2024"/>
    <w:rsid w:val="0F396866"/>
    <w:rsid w:val="0F547819"/>
    <w:rsid w:val="0F763753"/>
    <w:rsid w:val="0FBD1976"/>
    <w:rsid w:val="0FF22613"/>
    <w:rsid w:val="110E5233"/>
    <w:rsid w:val="11142387"/>
    <w:rsid w:val="112A1720"/>
    <w:rsid w:val="118E4E05"/>
    <w:rsid w:val="119A0988"/>
    <w:rsid w:val="12474DC8"/>
    <w:rsid w:val="134D5D4F"/>
    <w:rsid w:val="137E4D53"/>
    <w:rsid w:val="13F47D19"/>
    <w:rsid w:val="1444516F"/>
    <w:rsid w:val="14886F81"/>
    <w:rsid w:val="14B70C97"/>
    <w:rsid w:val="14B82E87"/>
    <w:rsid w:val="14C217F5"/>
    <w:rsid w:val="14E24DF8"/>
    <w:rsid w:val="15922051"/>
    <w:rsid w:val="16103683"/>
    <w:rsid w:val="16316871"/>
    <w:rsid w:val="168B7E06"/>
    <w:rsid w:val="177E08EB"/>
    <w:rsid w:val="178664AD"/>
    <w:rsid w:val="178819C8"/>
    <w:rsid w:val="179E22FC"/>
    <w:rsid w:val="17A25E76"/>
    <w:rsid w:val="17AE4B25"/>
    <w:rsid w:val="18212609"/>
    <w:rsid w:val="183068D9"/>
    <w:rsid w:val="18D93743"/>
    <w:rsid w:val="19E524F1"/>
    <w:rsid w:val="19F3214F"/>
    <w:rsid w:val="19F76004"/>
    <w:rsid w:val="1A1664F5"/>
    <w:rsid w:val="1A4E5F71"/>
    <w:rsid w:val="1AA22996"/>
    <w:rsid w:val="1B3E1A8A"/>
    <w:rsid w:val="1BEB2F32"/>
    <w:rsid w:val="1BEF4D2F"/>
    <w:rsid w:val="1C48338F"/>
    <w:rsid w:val="1D207523"/>
    <w:rsid w:val="1D5303AD"/>
    <w:rsid w:val="1D5D797F"/>
    <w:rsid w:val="1D8F2651"/>
    <w:rsid w:val="1DA21552"/>
    <w:rsid w:val="1EE82024"/>
    <w:rsid w:val="1FE7137A"/>
    <w:rsid w:val="1FF54367"/>
    <w:rsid w:val="20583D8E"/>
    <w:rsid w:val="20726215"/>
    <w:rsid w:val="20C1152C"/>
    <w:rsid w:val="210A7163"/>
    <w:rsid w:val="211C0ADF"/>
    <w:rsid w:val="21792825"/>
    <w:rsid w:val="222B40B1"/>
    <w:rsid w:val="224A43EF"/>
    <w:rsid w:val="22AC0362"/>
    <w:rsid w:val="233B7821"/>
    <w:rsid w:val="24007643"/>
    <w:rsid w:val="241755C0"/>
    <w:rsid w:val="246837AC"/>
    <w:rsid w:val="24EB4C10"/>
    <w:rsid w:val="2519214E"/>
    <w:rsid w:val="258520EB"/>
    <w:rsid w:val="258B34CC"/>
    <w:rsid w:val="25913412"/>
    <w:rsid w:val="25DE3EBC"/>
    <w:rsid w:val="25FA1985"/>
    <w:rsid w:val="262E222F"/>
    <w:rsid w:val="2637183E"/>
    <w:rsid w:val="26451A73"/>
    <w:rsid w:val="26710BB7"/>
    <w:rsid w:val="26BF635F"/>
    <w:rsid w:val="26C575ED"/>
    <w:rsid w:val="26E518CB"/>
    <w:rsid w:val="2790625B"/>
    <w:rsid w:val="282C4404"/>
    <w:rsid w:val="28716A14"/>
    <w:rsid w:val="28C55AD9"/>
    <w:rsid w:val="28D241CA"/>
    <w:rsid w:val="296D1C1C"/>
    <w:rsid w:val="297A12B6"/>
    <w:rsid w:val="29DE6E95"/>
    <w:rsid w:val="29E8073E"/>
    <w:rsid w:val="2AD0333C"/>
    <w:rsid w:val="2B4D0B0B"/>
    <w:rsid w:val="2BDD0703"/>
    <w:rsid w:val="2C255858"/>
    <w:rsid w:val="2C3C0AA3"/>
    <w:rsid w:val="2C515C43"/>
    <w:rsid w:val="2C625793"/>
    <w:rsid w:val="2C685E12"/>
    <w:rsid w:val="2C687D7E"/>
    <w:rsid w:val="2C962229"/>
    <w:rsid w:val="2D1202A0"/>
    <w:rsid w:val="2D7660A9"/>
    <w:rsid w:val="2D966C65"/>
    <w:rsid w:val="2DBB4CD6"/>
    <w:rsid w:val="2DF35DE3"/>
    <w:rsid w:val="2E216696"/>
    <w:rsid w:val="2ED35FEE"/>
    <w:rsid w:val="300155EC"/>
    <w:rsid w:val="30B32B6A"/>
    <w:rsid w:val="311C73A5"/>
    <w:rsid w:val="31BF2947"/>
    <w:rsid w:val="32310A70"/>
    <w:rsid w:val="340D57A7"/>
    <w:rsid w:val="34666631"/>
    <w:rsid w:val="34D825DC"/>
    <w:rsid w:val="35897E51"/>
    <w:rsid w:val="359840AF"/>
    <w:rsid w:val="35B725AC"/>
    <w:rsid w:val="36974F61"/>
    <w:rsid w:val="36EE35C7"/>
    <w:rsid w:val="370A6D37"/>
    <w:rsid w:val="372A5155"/>
    <w:rsid w:val="37B620D9"/>
    <w:rsid w:val="380B19D2"/>
    <w:rsid w:val="38BA0F7B"/>
    <w:rsid w:val="38EF74E5"/>
    <w:rsid w:val="39236D35"/>
    <w:rsid w:val="3A2D0421"/>
    <w:rsid w:val="3A6D6A8B"/>
    <w:rsid w:val="3BB04D60"/>
    <w:rsid w:val="3BED2C50"/>
    <w:rsid w:val="3BFC3FDB"/>
    <w:rsid w:val="3C013AEF"/>
    <w:rsid w:val="3CCA6242"/>
    <w:rsid w:val="3D317CFB"/>
    <w:rsid w:val="3D333223"/>
    <w:rsid w:val="3E6C046F"/>
    <w:rsid w:val="3E8B7104"/>
    <w:rsid w:val="3ED0469E"/>
    <w:rsid w:val="3F2B07ED"/>
    <w:rsid w:val="3FFC5AEC"/>
    <w:rsid w:val="40207691"/>
    <w:rsid w:val="40670939"/>
    <w:rsid w:val="40B94C7A"/>
    <w:rsid w:val="40C946F8"/>
    <w:rsid w:val="413D21FB"/>
    <w:rsid w:val="41CF3D80"/>
    <w:rsid w:val="420E53DF"/>
    <w:rsid w:val="425759EC"/>
    <w:rsid w:val="426129D8"/>
    <w:rsid w:val="429066C1"/>
    <w:rsid w:val="42FE1BA9"/>
    <w:rsid w:val="43476B48"/>
    <w:rsid w:val="43573315"/>
    <w:rsid w:val="43907DB5"/>
    <w:rsid w:val="4392081E"/>
    <w:rsid w:val="439D249C"/>
    <w:rsid w:val="43C52E54"/>
    <w:rsid w:val="441735B8"/>
    <w:rsid w:val="442268FD"/>
    <w:rsid w:val="445F11C3"/>
    <w:rsid w:val="445F5F22"/>
    <w:rsid w:val="44D01669"/>
    <w:rsid w:val="44F2368F"/>
    <w:rsid w:val="458601C6"/>
    <w:rsid w:val="45CE4A1B"/>
    <w:rsid w:val="45E246F4"/>
    <w:rsid w:val="461B7925"/>
    <w:rsid w:val="461D0212"/>
    <w:rsid w:val="463C07F3"/>
    <w:rsid w:val="464756DB"/>
    <w:rsid w:val="4692052E"/>
    <w:rsid w:val="46C0506A"/>
    <w:rsid w:val="470B61AF"/>
    <w:rsid w:val="471A7CA7"/>
    <w:rsid w:val="47621D3C"/>
    <w:rsid w:val="476E1465"/>
    <w:rsid w:val="47777BC1"/>
    <w:rsid w:val="479122C3"/>
    <w:rsid w:val="481F5071"/>
    <w:rsid w:val="483B44C3"/>
    <w:rsid w:val="48C53338"/>
    <w:rsid w:val="4910453A"/>
    <w:rsid w:val="491D45E4"/>
    <w:rsid w:val="49FA5C62"/>
    <w:rsid w:val="4A374A77"/>
    <w:rsid w:val="4C791821"/>
    <w:rsid w:val="4D901930"/>
    <w:rsid w:val="4D9C1311"/>
    <w:rsid w:val="4DA13EFC"/>
    <w:rsid w:val="4DAA0ACB"/>
    <w:rsid w:val="4DCD369E"/>
    <w:rsid w:val="4E207F77"/>
    <w:rsid w:val="4E405E86"/>
    <w:rsid w:val="4F1C2BA7"/>
    <w:rsid w:val="4F717B9B"/>
    <w:rsid w:val="4F7E44A1"/>
    <w:rsid w:val="4FBD66D2"/>
    <w:rsid w:val="4FDE0035"/>
    <w:rsid w:val="503043E2"/>
    <w:rsid w:val="5050382B"/>
    <w:rsid w:val="506D097D"/>
    <w:rsid w:val="51DE596C"/>
    <w:rsid w:val="520668F0"/>
    <w:rsid w:val="52AE51FA"/>
    <w:rsid w:val="52CC2690"/>
    <w:rsid w:val="53143CF9"/>
    <w:rsid w:val="531F0D11"/>
    <w:rsid w:val="53322DCA"/>
    <w:rsid w:val="542F1EBF"/>
    <w:rsid w:val="545F1FF7"/>
    <w:rsid w:val="54657E0D"/>
    <w:rsid w:val="547E70F1"/>
    <w:rsid w:val="54D10F28"/>
    <w:rsid w:val="550305C3"/>
    <w:rsid w:val="55D83CEB"/>
    <w:rsid w:val="56CC5979"/>
    <w:rsid w:val="57034B85"/>
    <w:rsid w:val="57472184"/>
    <w:rsid w:val="589E16F5"/>
    <w:rsid w:val="589F63B4"/>
    <w:rsid w:val="59905774"/>
    <w:rsid w:val="599E59E1"/>
    <w:rsid w:val="59C82306"/>
    <w:rsid w:val="59E1598B"/>
    <w:rsid w:val="5A07397F"/>
    <w:rsid w:val="5AE561D2"/>
    <w:rsid w:val="5B0315D4"/>
    <w:rsid w:val="5B0E5F58"/>
    <w:rsid w:val="5B180F7F"/>
    <w:rsid w:val="5C510837"/>
    <w:rsid w:val="5D8B09FB"/>
    <w:rsid w:val="5E9B4D4C"/>
    <w:rsid w:val="5EE14150"/>
    <w:rsid w:val="5F584AF9"/>
    <w:rsid w:val="5F592FD8"/>
    <w:rsid w:val="601D7135"/>
    <w:rsid w:val="60594271"/>
    <w:rsid w:val="60FD6A51"/>
    <w:rsid w:val="621F016F"/>
    <w:rsid w:val="62641897"/>
    <w:rsid w:val="63143D27"/>
    <w:rsid w:val="6363707C"/>
    <w:rsid w:val="639D589A"/>
    <w:rsid w:val="63A25134"/>
    <w:rsid w:val="63E45B69"/>
    <w:rsid w:val="63F41951"/>
    <w:rsid w:val="64BF65EF"/>
    <w:rsid w:val="64DD2406"/>
    <w:rsid w:val="65565234"/>
    <w:rsid w:val="66360F04"/>
    <w:rsid w:val="663E3F8E"/>
    <w:rsid w:val="66534FCB"/>
    <w:rsid w:val="67224A18"/>
    <w:rsid w:val="67E64DE1"/>
    <w:rsid w:val="681158B8"/>
    <w:rsid w:val="681E547B"/>
    <w:rsid w:val="6826003B"/>
    <w:rsid w:val="684A0535"/>
    <w:rsid w:val="685D50B9"/>
    <w:rsid w:val="68604028"/>
    <w:rsid w:val="6877527C"/>
    <w:rsid w:val="687C5B03"/>
    <w:rsid w:val="68BA38D2"/>
    <w:rsid w:val="68F84508"/>
    <w:rsid w:val="691A3E13"/>
    <w:rsid w:val="69400176"/>
    <w:rsid w:val="69597AAC"/>
    <w:rsid w:val="69B25200"/>
    <w:rsid w:val="69C21C8E"/>
    <w:rsid w:val="69F651A9"/>
    <w:rsid w:val="6A400F1A"/>
    <w:rsid w:val="6A557958"/>
    <w:rsid w:val="6A6A5E6B"/>
    <w:rsid w:val="6A8D6A74"/>
    <w:rsid w:val="6AA1155F"/>
    <w:rsid w:val="6AF16947"/>
    <w:rsid w:val="6B2973E9"/>
    <w:rsid w:val="6BB460E2"/>
    <w:rsid w:val="6BEB4471"/>
    <w:rsid w:val="6C164FA6"/>
    <w:rsid w:val="6C311483"/>
    <w:rsid w:val="6C4130FD"/>
    <w:rsid w:val="6C4B028D"/>
    <w:rsid w:val="6C95291B"/>
    <w:rsid w:val="6C9B7DB3"/>
    <w:rsid w:val="6CAB2D78"/>
    <w:rsid w:val="6DAA7E7A"/>
    <w:rsid w:val="6E750E3C"/>
    <w:rsid w:val="6E915828"/>
    <w:rsid w:val="6F1A5A2C"/>
    <w:rsid w:val="6F3C54D1"/>
    <w:rsid w:val="6FBC358D"/>
    <w:rsid w:val="7037710B"/>
    <w:rsid w:val="70743667"/>
    <w:rsid w:val="707849CA"/>
    <w:rsid w:val="70A54C4E"/>
    <w:rsid w:val="70A76EDF"/>
    <w:rsid w:val="70AD3EBF"/>
    <w:rsid w:val="70C43920"/>
    <w:rsid w:val="70F53323"/>
    <w:rsid w:val="70F66CB4"/>
    <w:rsid w:val="71785460"/>
    <w:rsid w:val="71D33F8D"/>
    <w:rsid w:val="71ED3EDE"/>
    <w:rsid w:val="72133397"/>
    <w:rsid w:val="725B06D5"/>
    <w:rsid w:val="73133219"/>
    <w:rsid w:val="73AB6FCB"/>
    <w:rsid w:val="73B63B41"/>
    <w:rsid w:val="73BC27AF"/>
    <w:rsid w:val="73FD0A4F"/>
    <w:rsid w:val="74F37794"/>
    <w:rsid w:val="756E6B34"/>
    <w:rsid w:val="75F82DC6"/>
    <w:rsid w:val="76A5521A"/>
    <w:rsid w:val="76E23986"/>
    <w:rsid w:val="770A5A76"/>
    <w:rsid w:val="775E62AF"/>
    <w:rsid w:val="779A2B2D"/>
    <w:rsid w:val="77D906E2"/>
    <w:rsid w:val="77DF6BBA"/>
    <w:rsid w:val="782920CD"/>
    <w:rsid w:val="78415904"/>
    <w:rsid w:val="784B3700"/>
    <w:rsid w:val="78B20FFE"/>
    <w:rsid w:val="78C5681C"/>
    <w:rsid w:val="799034D8"/>
    <w:rsid w:val="79997DD2"/>
    <w:rsid w:val="79A807A2"/>
    <w:rsid w:val="79C95DCF"/>
    <w:rsid w:val="79D00547"/>
    <w:rsid w:val="79FA0E27"/>
    <w:rsid w:val="79FA5671"/>
    <w:rsid w:val="79FD5E30"/>
    <w:rsid w:val="7A320CF1"/>
    <w:rsid w:val="7B772498"/>
    <w:rsid w:val="7BAB5164"/>
    <w:rsid w:val="7BAD01C9"/>
    <w:rsid w:val="7BC66859"/>
    <w:rsid w:val="7BE81934"/>
    <w:rsid w:val="7C08172E"/>
    <w:rsid w:val="7C3B6AD3"/>
    <w:rsid w:val="7C3D2061"/>
    <w:rsid w:val="7C3E4691"/>
    <w:rsid w:val="7C7846C0"/>
    <w:rsid w:val="7C956391"/>
    <w:rsid w:val="7D4B4B42"/>
    <w:rsid w:val="7D4E6070"/>
    <w:rsid w:val="7D6C38B7"/>
    <w:rsid w:val="7D747F20"/>
    <w:rsid w:val="7DAA0228"/>
    <w:rsid w:val="7E044AA8"/>
    <w:rsid w:val="7E3B1311"/>
    <w:rsid w:val="7ED12811"/>
    <w:rsid w:val="7EDD18F9"/>
    <w:rsid w:val="7EE07871"/>
    <w:rsid w:val="7F6D495A"/>
    <w:rsid w:val="7F814722"/>
    <w:rsid w:val="7F9D04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6"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5">
    <w:name w:val="heading 2"/>
    <w:basedOn w:val="1"/>
    <w:next w:val="1"/>
    <w:unhideWhenUsed/>
    <w:qFormat/>
    <w:uiPriority w:val="0"/>
    <w:pPr>
      <w:shd w:val="clear" w:color="auto" w:fill="auto"/>
      <w:spacing w:before="100" w:beforeAutospacing="1" w:after="100" w:afterAutospacing="1"/>
      <w:jc w:val="left"/>
    </w:pPr>
    <w:rPr>
      <w:rFonts w:hint="eastAsia" w:ascii="宋体" w:hAnsi="宋体" w:eastAsia="宋体" w:cs="宋体"/>
      <w:b/>
      <w:kern w:val="0"/>
      <w:sz w:val="36"/>
      <w:szCs w:val="36"/>
      <w:shd w:val="clear" w:color="auto" w:fill="auto"/>
      <w:lang w:val="en-US" w:eastAsia="zh-CN" w:bidi="ar"/>
    </w:rPr>
  </w:style>
  <w:style w:type="character" w:default="1" w:styleId="12">
    <w:name w:val="Default Paragraph Font"/>
    <w:semiHidden/>
    <w:uiPriority w:val="0"/>
  </w:style>
  <w:style w:type="table" w:default="1" w:styleId="11">
    <w:name w:val="Normal Table"/>
    <w:semiHidden/>
    <w:uiPriority w:val="0"/>
    <w:tblPr>
      <w:tblLayout w:type="fixed"/>
      <w:tblCellMar>
        <w:top w:w="0" w:type="dxa"/>
        <w:left w:w="108" w:type="dxa"/>
        <w:bottom w:w="0" w:type="dxa"/>
        <w:right w:w="108" w:type="dxa"/>
      </w:tblCellMar>
    </w:tblPr>
  </w:style>
  <w:style w:type="paragraph" w:styleId="2">
    <w:name w:val="Body Text First Indent 2"/>
    <w:basedOn w:val="3"/>
    <w:next w:val="4"/>
    <w:qFormat/>
    <w:uiPriority w:val="0"/>
    <w:pPr>
      <w:ind w:firstLine="420" w:firstLineChars="200"/>
    </w:pPr>
  </w:style>
  <w:style w:type="paragraph" w:styleId="3">
    <w:name w:val="Body Text Indent"/>
    <w:basedOn w:val="1"/>
    <w:next w:val="2"/>
    <w:qFormat/>
    <w:uiPriority w:val="6"/>
    <w:pPr>
      <w:ind w:firstLine="567"/>
      <w:jc w:val="both"/>
    </w:pPr>
    <w:rPr>
      <w:kern w:val="1"/>
      <w:sz w:val="28"/>
    </w:rPr>
  </w:style>
  <w:style w:type="paragraph" w:styleId="4">
    <w:name w:val="Plain Text"/>
    <w:basedOn w:val="1"/>
    <w:unhideWhenUsed/>
    <w:qFormat/>
    <w:uiPriority w:val="99"/>
    <w:rPr>
      <w:rFonts w:ascii="宋体" w:hAnsi="Courier New"/>
    </w:rPr>
  </w:style>
  <w:style w:type="paragraph" w:styleId="6">
    <w:name w:val="footer"/>
    <w:basedOn w:val="1"/>
    <w:uiPriority w:val="0"/>
    <w:pPr>
      <w:tabs>
        <w:tab w:val="center" w:pos="4153"/>
        <w:tab w:val="right" w:pos="8306"/>
      </w:tabs>
      <w:snapToGrid w:val="0"/>
      <w:jc w:val="left"/>
    </w:pPr>
    <w:rPr>
      <w:sz w:val="18"/>
    </w:rPr>
  </w:style>
  <w:style w:type="paragraph" w:styleId="7">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9">
    <w:name w:val="toc 2"/>
    <w:basedOn w:val="1"/>
    <w:next w:val="1"/>
    <w:unhideWhenUsed/>
    <w:qFormat/>
    <w:uiPriority w:val="39"/>
    <w:pPr>
      <w:tabs>
        <w:tab w:val="right" w:leader="dot" w:pos="8296"/>
      </w:tabs>
      <w:ind w:left="420" w:leftChars="200"/>
    </w:pPr>
  </w:style>
  <w:style w:type="paragraph" w:styleId="10">
    <w:name w:val="Normal (Web)"/>
    <w:basedOn w:val="1"/>
    <w:qFormat/>
    <w:uiPriority w:val="0"/>
    <w:pPr>
      <w:shd w:val="clear" w:color="auto" w:fill="auto"/>
      <w:spacing w:before="100" w:beforeAutospacing="1" w:after="100" w:afterAutospacing="1"/>
      <w:ind w:left="0" w:right="0"/>
      <w:jc w:val="left"/>
    </w:pPr>
    <w:rPr>
      <w:kern w:val="0"/>
      <w:sz w:val="24"/>
      <w:shd w:val="clear" w:color="auto" w:fill="auto"/>
      <w:lang w:val="en-US" w:eastAsia="zh-CN" w:bidi="ar"/>
    </w:rPr>
  </w:style>
  <w:style w:type="character" w:styleId="13">
    <w:name w:val="Strong"/>
    <w:basedOn w:val="12"/>
    <w:qFormat/>
    <w:uiPriority w:val="0"/>
    <w:rPr>
      <w:b/>
    </w:rPr>
  </w:style>
  <w:style w:type="character" w:styleId="14">
    <w:name w:val="Hyperlink"/>
    <w:basedOn w:val="12"/>
    <w:qFormat/>
    <w:uiPriority w:val="0"/>
    <w:rPr>
      <w:color w:val="0000FF"/>
      <w:u w:val="none"/>
    </w:rPr>
  </w:style>
  <w:style w:type="paragraph" w:styleId="15">
    <w:name w:val="List Paragraph"/>
    <w:basedOn w:val="1"/>
    <w:qFormat/>
    <w:uiPriority w:val="34"/>
    <w:pPr>
      <w:ind w:firstLine="420" w:firstLineChars="200"/>
    </w:pPr>
  </w:style>
  <w:style w:type="paragraph" w:customStyle="1" w:styleId="1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17">
    <w:name w:val="No Spacing"/>
    <w:qFormat/>
    <w:uiPriority w:val="0"/>
    <w:pPr>
      <w:ind w:firstLine="200" w:firstLineChars="200"/>
    </w:pPr>
    <w:rPr>
      <w:rFonts w:ascii="Times New Roman" w:hAnsi="Times New Roman" w:eastAsia="仿宋_GB2312" w:cs="Times New Roman"/>
      <w:sz w:val="30"/>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oleObject" Target="embeddings/oleObject2.bin"/><Relationship Id="rId6" Type="http://schemas.openxmlformats.org/officeDocument/2006/relationships/oleObject" Target="embeddings/oleObject1.bin"/><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chart" Target="charts/chart7.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收入支出上下年对比图</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delete val="1"/>
          </c:dLbls>
          <c:cat>
            <c:strRef>
              <c:f>Sheet1!$A$2:$A$3</c:f>
              <c:strCache>
                <c:ptCount val="2"/>
                <c:pt idx="0">
                  <c:v>2021年</c:v>
                </c:pt>
                <c:pt idx="1">
                  <c:v>2020年</c:v>
                </c:pt>
              </c:strCache>
            </c:strRef>
          </c:cat>
          <c:val>
            <c:numRef>
              <c:f>Sheet1!$B$2:$B$3</c:f>
              <c:numCache>
                <c:formatCode>General</c:formatCode>
                <c:ptCount val="2"/>
                <c:pt idx="0">
                  <c:v>970.1</c:v>
                </c:pt>
                <c:pt idx="1">
                  <c:v>716.64</c:v>
                </c:pt>
              </c:numCache>
            </c:numRef>
          </c:val>
        </c:ser>
        <c:ser>
          <c:idx val="1"/>
          <c:order val="1"/>
          <c:tx>
            <c:strRef>
              <c:f>Sheet1!$C$1</c:f>
              <c:strCache>
                <c:ptCount val="1"/>
                <c:pt idx="0">
                  <c:v>支出</c:v>
                </c:pt>
              </c:strCache>
            </c:strRef>
          </c:tx>
          <c:spPr>
            <a:solidFill>
              <a:schemeClr val="accent2"/>
            </a:solidFill>
            <a:ln>
              <a:noFill/>
            </a:ln>
            <a:effectLst/>
          </c:spPr>
          <c:invertIfNegative val="0"/>
          <c:dLbls>
            <c:delete val="1"/>
          </c:dLbls>
          <c:cat>
            <c:strRef>
              <c:f>Sheet1!$A$2:$A$3</c:f>
              <c:strCache>
                <c:ptCount val="2"/>
                <c:pt idx="0">
                  <c:v>2021年</c:v>
                </c:pt>
                <c:pt idx="1">
                  <c:v>2020年</c:v>
                </c:pt>
              </c:strCache>
            </c:strRef>
          </c:cat>
          <c:val>
            <c:numRef>
              <c:f>Sheet1!$C$2:$C$3</c:f>
              <c:numCache>
                <c:formatCode>General</c:formatCode>
                <c:ptCount val="2"/>
                <c:pt idx="0">
                  <c:v>970.25</c:v>
                </c:pt>
                <c:pt idx="1">
                  <c:v>803.68</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2021年</c:v>
                </c:pt>
                <c:pt idx="1">
                  <c:v>2020年</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571021406"/>
        <c:axId val="744813058"/>
      </c:barChart>
      <c:catAx>
        <c:axId val="57102140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44813058"/>
        <c:crosses val="autoZero"/>
        <c:auto val="1"/>
        <c:lblAlgn val="ctr"/>
        <c:lblOffset val="100"/>
        <c:noMultiLvlLbl val="0"/>
      </c:catAx>
      <c:valAx>
        <c:axId val="74481305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71021406"/>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收入组成结构图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elete val="1"/>
          </c:dLbls>
          <c:cat>
            <c:strRef>
              <c:f>Sheet1!$A$2:$A$3</c:f>
              <c:strCache>
                <c:ptCount val="2"/>
                <c:pt idx="0">
                  <c:v>一般公共财政拨款</c:v>
                </c:pt>
                <c:pt idx="1">
                  <c:v>其他收入</c:v>
                </c:pt>
              </c:strCache>
            </c:strRef>
          </c:cat>
          <c:val>
            <c:numRef>
              <c:f>Sheet1!$B$2:$B$3</c:f>
              <c:numCache>
                <c:formatCode>General</c:formatCode>
                <c:ptCount val="2"/>
                <c:pt idx="0">
                  <c:v>966.44</c:v>
                </c:pt>
                <c:pt idx="1">
                  <c:v>3.66</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支出构成</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elete val="1"/>
          </c:dLbls>
          <c:cat>
            <c:strRef>
              <c:f>Sheet1!$A$2:$A$3</c:f>
              <c:strCache>
                <c:ptCount val="2"/>
                <c:pt idx="0">
                  <c:v>基本支出</c:v>
                </c:pt>
                <c:pt idx="1">
                  <c:v>项目支出</c:v>
                </c:pt>
              </c:strCache>
            </c:strRef>
          </c:cat>
          <c:val>
            <c:numRef>
              <c:f>Sheet1!$B$2:$B$3</c:f>
              <c:numCache>
                <c:formatCode>General</c:formatCode>
                <c:ptCount val="2"/>
                <c:pt idx="0">
                  <c:v>815.46</c:v>
                </c:pt>
                <c:pt idx="1">
                  <c:v>154.79</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altLang="en-US"/>
              <a:t>财政拨款收支上下年变化图</a:t>
            </a:r>
            <a:endParaRPr altLang="en-US"/>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2020年</c:v>
                </c:pt>
              </c:strCache>
            </c:strRef>
          </c:tx>
          <c:spPr>
            <a:solidFill>
              <a:schemeClr val="accent1"/>
            </a:solidFill>
            <a:ln>
              <a:noFill/>
            </a:ln>
            <a:effectLst/>
          </c:spPr>
          <c:invertIfNegative val="0"/>
          <c:dLbls>
            <c:delete val="1"/>
          </c:dLbls>
          <c:cat>
            <c:strRef>
              <c:f>Sheet1!$A$2:$A$3</c:f>
              <c:strCache>
                <c:ptCount val="2"/>
                <c:pt idx="0">
                  <c:v>财政拨款收入</c:v>
                </c:pt>
                <c:pt idx="1">
                  <c:v>财政拨款支出</c:v>
                </c:pt>
              </c:strCache>
            </c:strRef>
          </c:cat>
          <c:val>
            <c:numRef>
              <c:f>Sheet1!$B$2:$B$3</c:f>
              <c:numCache>
                <c:formatCode>General</c:formatCode>
                <c:ptCount val="2"/>
                <c:pt idx="0">
                  <c:v>712.68</c:v>
                </c:pt>
                <c:pt idx="1">
                  <c:v>796.88</c:v>
                </c:pt>
              </c:numCache>
            </c:numRef>
          </c:val>
        </c:ser>
        <c:ser>
          <c:idx val="1"/>
          <c:order val="1"/>
          <c:tx>
            <c:strRef>
              <c:f>Sheet1!$C$1</c:f>
              <c:strCache>
                <c:ptCount val="1"/>
                <c:pt idx="0">
                  <c:v>2021年</c:v>
                </c:pt>
              </c:strCache>
            </c:strRef>
          </c:tx>
          <c:spPr>
            <a:solidFill>
              <a:schemeClr val="accent2"/>
            </a:solidFill>
            <a:ln>
              <a:noFill/>
            </a:ln>
            <a:effectLst/>
          </c:spPr>
          <c:invertIfNegative val="0"/>
          <c:dLbls>
            <c:delete val="1"/>
          </c:dLbls>
          <c:cat>
            <c:strRef>
              <c:f>Sheet1!$A$2:$A$3</c:f>
              <c:strCache>
                <c:ptCount val="2"/>
                <c:pt idx="0">
                  <c:v>财政拨款收入</c:v>
                </c:pt>
                <c:pt idx="1">
                  <c:v>财政拨款支出</c:v>
                </c:pt>
              </c:strCache>
            </c:strRef>
          </c:cat>
          <c:val>
            <c:numRef>
              <c:f>Sheet1!$C$2:$C$3</c:f>
              <c:numCache>
                <c:formatCode>General</c:formatCode>
                <c:ptCount val="2"/>
                <c:pt idx="0">
                  <c:v>966.44</c:v>
                </c:pt>
                <c:pt idx="1">
                  <c:v>966.44</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财政拨款收入</c:v>
                </c:pt>
                <c:pt idx="1">
                  <c:v>财政拨款支出</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615094216"/>
        <c:axId val="912299255"/>
      </c:barChart>
      <c:catAx>
        <c:axId val="61509421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12299255"/>
        <c:crosses val="autoZero"/>
        <c:auto val="1"/>
        <c:lblAlgn val="ctr"/>
        <c:lblOffset val="100"/>
        <c:noMultiLvlLbl val="0"/>
      </c:catAx>
      <c:valAx>
        <c:axId val="9122992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15094216"/>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altLang="en-US"/>
              <a:t>一般公共财政拨款支出决算上下年变动图</a:t>
            </a:r>
            <a:endParaRPr altLang="en-US"/>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2020年</c:v>
                </c:pt>
              </c:strCache>
            </c:strRef>
          </c:tx>
          <c:spPr>
            <a:solidFill>
              <a:schemeClr val="accent1"/>
            </a:solidFill>
            <a:ln>
              <a:noFill/>
            </a:ln>
            <a:effectLst/>
          </c:spPr>
          <c:invertIfNegative val="0"/>
          <c:dLbls>
            <c:delete val="1"/>
          </c:dLbls>
          <c:cat>
            <c:strRef>
              <c:f>Sheet1!$A$2</c:f>
              <c:strCache>
                <c:ptCount val="1"/>
                <c:pt idx="0">
                  <c:v>一般公共财政拨款支出</c:v>
                </c:pt>
              </c:strCache>
            </c:strRef>
          </c:cat>
          <c:val>
            <c:numRef>
              <c:f>Sheet1!$B$2</c:f>
              <c:numCache>
                <c:formatCode>General</c:formatCode>
                <c:ptCount val="1"/>
                <c:pt idx="0">
                  <c:v>796.87</c:v>
                </c:pt>
              </c:numCache>
            </c:numRef>
          </c:val>
        </c:ser>
        <c:ser>
          <c:idx val="1"/>
          <c:order val="1"/>
          <c:tx>
            <c:strRef>
              <c:f>Sheet1!$C$1</c:f>
              <c:strCache>
                <c:ptCount val="1"/>
                <c:pt idx="0">
                  <c:v>2021年</c:v>
                </c:pt>
              </c:strCache>
            </c:strRef>
          </c:tx>
          <c:spPr>
            <a:solidFill>
              <a:schemeClr val="accent2"/>
            </a:solidFill>
            <a:ln>
              <a:noFill/>
            </a:ln>
            <a:effectLst/>
          </c:spPr>
          <c:invertIfNegative val="0"/>
          <c:dLbls>
            <c:delete val="1"/>
          </c:dLbls>
          <c:cat>
            <c:strRef>
              <c:f>Sheet1!$A$2</c:f>
              <c:strCache>
                <c:ptCount val="1"/>
                <c:pt idx="0">
                  <c:v>一般公共财政拨款支出</c:v>
                </c:pt>
              </c:strCache>
            </c:strRef>
          </c:cat>
          <c:val>
            <c:numRef>
              <c:f>Sheet1!$C$2</c:f>
              <c:numCache>
                <c:formatCode>General</c:formatCode>
                <c:ptCount val="1"/>
                <c:pt idx="0">
                  <c:v>966.44</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c:f>
              <c:strCache>
                <c:ptCount val="1"/>
                <c:pt idx="0">
                  <c:v>一般公共财政拨款支出</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685493246"/>
        <c:axId val="342343358"/>
      </c:barChart>
      <c:catAx>
        <c:axId val="68549324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42343358"/>
        <c:crosses val="autoZero"/>
        <c:auto val="1"/>
        <c:lblAlgn val="ctr"/>
        <c:lblOffset val="100"/>
        <c:noMultiLvlLbl val="0"/>
      </c:catAx>
      <c:valAx>
        <c:axId val="34234335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85493246"/>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46002132196162"/>
          <c:y val="0.0698283386674425"/>
        </c:manualLayout>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一般公共财政拨款支出结构图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一般公共服务支出</c:v>
                </c:pt>
                <c:pt idx="1">
                  <c:v>社会保障和就业支出</c:v>
                </c:pt>
                <c:pt idx="2">
                  <c:v>住房保障支出</c:v>
                </c:pt>
                <c:pt idx="3">
                  <c:v>卫生健康支出</c:v>
                </c:pt>
              </c:strCache>
            </c:strRef>
          </c:cat>
          <c:val>
            <c:numRef>
              <c:f>Sheet1!$B$2:$B$5</c:f>
              <c:numCache>
                <c:formatCode>General</c:formatCode>
                <c:ptCount val="4"/>
                <c:pt idx="0">
                  <c:v>800.05</c:v>
                </c:pt>
                <c:pt idx="1">
                  <c:v>80.64</c:v>
                </c:pt>
                <c:pt idx="2">
                  <c:v>51.25</c:v>
                </c:pt>
                <c:pt idx="3">
                  <c:v>34.5</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三公经费财政拨款支出结构图</a:t>
            </a:r>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elete val="1"/>
          </c:dLbls>
          <c:cat>
            <c:strRef>
              <c:f>Sheet1!$A$2:$A$4</c:f>
              <c:strCache>
                <c:ptCount val="3"/>
                <c:pt idx="0">
                  <c:v>因公出国</c:v>
                </c:pt>
                <c:pt idx="1">
                  <c:v>公务用车运行维护费</c:v>
                </c:pt>
                <c:pt idx="2">
                  <c:v>公务接待费</c:v>
                </c:pt>
              </c:strCache>
            </c:strRef>
          </c:cat>
          <c:val>
            <c:numRef>
              <c:f>Sheet1!$B$2:$B$4</c:f>
              <c:numCache>
                <c:formatCode>General</c:formatCode>
                <c:ptCount val="3"/>
                <c:pt idx="0">
                  <c:v>0</c:v>
                </c:pt>
                <c:pt idx="1">
                  <c:v>94.09</c:v>
                </c:pt>
                <c:pt idx="2">
                  <c:v>4.89</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2022-12-06T02:03:59Z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ies>
</file>