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4241"/>
      <w:bookmarkStart w:id="2" w:name="_Toc15396475"/>
      <w:bookmarkStart w:id="3" w:name="_Toc15377425"/>
      <w:bookmarkStart w:id="4" w:name="_Toc15378441"/>
      <w:bookmarkStart w:id="5" w:name="_Toc15377193"/>
      <w:bookmarkStart w:id="6" w:name="_Toc15396597"/>
      <w:bookmarkStart w:id="7" w:name="_Toc29046"/>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8442"/>
      <w:bookmarkStart w:id="9" w:name="_Toc15396598"/>
      <w:bookmarkStart w:id="10" w:name="_Toc15306268"/>
      <w:bookmarkStart w:id="11" w:name="_Toc15377194"/>
      <w:bookmarkStart w:id="12" w:name="_Toc15377426"/>
      <w:bookmarkStart w:id="13" w:name="_Toc15396476"/>
      <w:bookmarkStart w:id="14" w:name="_Toc1013"/>
      <w:bookmarkStart w:id="15" w:name="_Toc8453"/>
      <w:r>
        <w:rPr>
          <w:rFonts w:hint="eastAsia" w:ascii="方正小标宋简体" w:hAnsi="宋体" w:eastAsia="方正小标宋简体"/>
          <w:color w:val="000000"/>
          <w:sz w:val="72"/>
          <w:szCs w:val="72"/>
          <w:lang w:eastAsia="zh-CN"/>
        </w:rPr>
        <w:t>红原县人大常委会办公室</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r>
        <w:rPr>
          <w:rFonts w:hint="eastAsia" w:ascii="方正小标宋简体" w:hAnsi="宋体" w:eastAsia="方正小标宋简体"/>
          <w:color w:val="000000"/>
          <w:sz w:val="72"/>
          <w:szCs w:val="72"/>
          <w:lang w:eastAsia="zh-CN"/>
        </w:rPr>
        <w:t>公开编制说明</w:t>
      </w:r>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bookmarkStart w:id="110" w:name="_GoBack"/>
      <w:bookmarkEnd w:id="110"/>
    </w:p>
    <w:p>
      <w:pPr>
        <w:pStyle w:val="13"/>
        <w:rPr>
          <w:rFonts w:hint="eastAsia" w:ascii="仿宋_GB2312" w:hAnsi="仿宋_GB2312" w:eastAsia="仿宋_GB2312" w:cs="仿宋_GB2312"/>
          <w:sz w:val="30"/>
          <w:szCs w:val="30"/>
        </w:rPr>
      </w:pPr>
      <w:bookmarkStart w:id="16" w:name="_Toc15377196"/>
      <w:r>
        <w:rPr>
          <w:rStyle w:val="18"/>
          <w:rFonts w:hint="eastAsia" w:ascii="仿宋_GB2312" w:hAnsi="仿宋_GB2312" w:eastAsia="仿宋_GB2312" w:cs="仿宋_GB2312"/>
          <w:kern w:val="2"/>
          <w:sz w:val="30"/>
          <w:szCs w:val="30"/>
          <w:lang w:val="en-US" w:eastAsia="zh-CN" w:bidi="ar-SA"/>
        </w:rPr>
        <w:fldChar w:fldCharType="begin"/>
      </w:r>
      <w:r>
        <w:rPr>
          <w:rStyle w:val="18"/>
          <w:rFonts w:hint="eastAsia" w:ascii="仿宋_GB2312" w:hAnsi="仿宋_GB2312" w:eastAsia="仿宋_GB2312" w:cs="仿宋_GB2312"/>
          <w:kern w:val="2"/>
          <w:sz w:val="30"/>
          <w:szCs w:val="30"/>
          <w:lang w:val="en-US" w:eastAsia="zh-CN" w:bidi="ar-SA"/>
        </w:rPr>
        <w:instrText xml:space="preserve"> HYPERLINK \l "_Toc15396599" </w:instrText>
      </w:r>
      <w:r>
        <w:rPr>
          <w:rStyle w:val="18"/>
          <w:rFonts w:hint="eastAsia" w:ascii="仿宋_GB2312" w:hAnsi="仿宋_GB2312" w:eastAsia="仿宋_GB2312" w:cs="仿宋_GB2312"/>
          <w:kern w:val="2"/>
          <w:sz w:val="30"/>
          <w:szCs w:val="30"/>
          <w:lang w:val="en-US" w:eastAsia="zh-CN" w:bidi="ar-SA"/>
        </w:rPr>
        <w:fldChar w:fldCharType="separate"/>
      </w:r>
      <w:r>
        <w:rPr>
          <w:rStyle w:val="18"/>
          <w:rFonts w:hint="eastAsia" w:ascii="仿宋_GB2312" w:hAnsi="仿宋_GB2312" w:eastAsia="仿宋_GB2312" w:cs="仿宋_GB2312"/>
          <w:kern w:val="2"/>
          <w:sz w:val="30"/>
          <w:szCs w:val="30"/>
          <w:lang w:val="en-US" w:eastAsia="zh-CN" w:bidi="ar-SA"/>
        </w:rPr>
        <w:fldChar w:fldCharType="begin"/>
      </w:r>
      <w:r>
        <w:rPr>
          <w:rStyle w:val="18"/>
          <w:rFonts w:hint="eastAsia" w:ascii="仿宋_GB2312" w:hAnsi="仿宋_GB2312" w:eastAsia="仿宋_GB2312" w:cs="仿宋_GB2312"/>
          <w:kern w:val="2"/>
          <w:sz w:val="30"/>
          <w:szCs w:val="30"/>
          <w:lang w:val="en-US" w:eastAsia="zh-CN" w:bidi="ar-SA"/>
        </w:rPr>
        <w:instrText xml:space="preserve">TOC \o "1-2" \h \u </w:instrText>
      </w:r>
      <w:r>
        <w:rPr>
          <w:rStyle w:val="18"/>
          <w:rFonts w:hint="eastAsia" w:ascii="仿宋_GB2312" w:hAnsi="仿宋_GB2312" w:eastAsia="仿宋_GB2312" w:cs="仿宋_GB2312"/>
          <w:kern w:val="2"/>
          <w:sz w:val="30"/>
          <w:szCs w:val="30"/>
          <w:lang w:val="en-US" w:eastAsia="zh-CN" w:bidi="ar-SA"/>
        </w:rPr>
        <w:fldChar w:fldCharType="separate"/>
      </w:r>
    </w:p>
    <w:p>
      <w:pPr>
        <w:pStyle w:val="12"/>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_Toc9023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 xml:space="preserve">第一部分 </w:t>
      </w:r>
      <w:r>
        <w:rPr>
          <w:rFonts w:hint="eastAsia" w:ascii="仿宋_GB2312" w:hAnsi="仿宋_GB2312" w:eastAsia="仿宋_GB2312" w:cs="仿宋_GB2312"/>
          <w:bCs w:val="0"/>
          <w:sz w:val="30"/>
          <w:szCs w:val="30"/>
        </w:rPr>
        <w:t>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_Toc9023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_Toc20367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一、基</w:t>
      </w:r>
      <w:r>
        <w:rPr>
          <w:rFonts w:hint="eastAsia" w:ascii="仿宋_GB2312" w:hAnsi="仿宋_GB2312" w:eastAsia="仿宋_GB2312" w:cs="仿宋_GB2312"/>
          <w:bCs w:val="0"/>
          <w:sz w:val="30"/>
          <w:szCs w:val="30"/>
        </w:rPr>
        <w:t>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_Toc20367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_Toc10003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二、机</w:t>
      </w:r>
      <w:r>
        <w:rPr>
          <w:rFonts w:hint="eastAsia" w:ascii="仿宋_GB2312" w:hAnsi="仿宋_GB2312" w:eastAsia="仿宋_GB2312" w:cs="仿宋_GB2312"/>
          <w:bCs w:val="0"/>
          <w:sz w:val="30"/>
          <w:szCs w:val="30"/>
        </w:rPr>
        <w:t>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_Toc10003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2"/>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_Toc27357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 xml:space="preserve">第二部分 </w:t>
      </w:r>
      <w:r>
        <w:rPr>
          <w:rFonts w:hint="eastAsia" w:ascii="仿宋_GB2312" w:hAnsi="仿宋_GB2312" w:eastAsia="仿宋_GB2312" w:cs="仿宋_GB2312"/>
          <w:bCs w:val="0"/>
          <w:sz w:val="30"/>
          <w:szCs w:val="30"/>
        </w:rPr>
        <w:t>2019年度部门决算情况说明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_Toc24948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_Toc24948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_Toc5373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_Toc5373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_Toc23780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_Toc23780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_Toc23658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_Toc23658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_Toc1300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_Toc1300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_Toc25587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_Toc6769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_Toc6769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_Toc9361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_Toc9361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_Toc18581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_Toc18581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_Toc29642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_Toc29642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_Toc20759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十、</w:t>
      </w:r>
      <w:r>
        <w:rPr>
          <w:rFonts w:hint="eastAsia" w:ascii="仿宋_GB2312" w:hAnsi="仿宋_GB2312" w:eastAsia="仿宋_GB2312" w:cs="仿宋_GB2312"/>
          <w:sz w:val="30"/>
          <w:szCs w:val="30"/>
          <w:lang w:val="en-US" w:eastAsia="zh-CN"/>
        </w:rPr>
        <w:t>预算绩效情况说明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_Toc20759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2"/>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_Toc28253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_Toc28253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_Toc16693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bCs w:val="0"/>
          <w:sz w:val="30"/>
          <w:szCs w:val="30"/>
        </w:rPr>
        <w:t>附件1</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_Toc16693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_Toc10785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bCs w:val="0"/>
          <w:sz w:val="30"/>
          <w:szCs w:val="30"/>
        </w:rPr>
        <w:t>附件2</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_Toc10785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2"/>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 HYPERLINK \l _Toc26290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_Toc26290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kern w:val="2"/>
          <w:sz w:val="30"/>
          <w:szCs w:val="30"/>
          <w:lang w:val="en-US" w:eastAsia="zh-CN" w:bidi="ar-SA"/>
        </w:rPr>
        <w:fldChar w:fldCharType="end"/>
      </w:r>
    </w:p>
    <w:p>
      <w:pPr>
        <w:pStyle w:val="13"/>
        <w:tabs>
          <w:tab w:val="right" w:leader="dot" w:pos="8306"/>
          <w:tab w:val="clear" w:pos="8296"/>
        </w:tabs>
        <w:rPr>
          <w:rFonts w:hint="eastAsia" w:ascii="仿宋_GB2312" w:hAnsi="仿宋_GB2312" w:eastAsia="仿宋_GB2312" w:cs="仿宋_GB2312"/>
          <w:sz w:val="30"/>
          <w:szCs w:val="30"/>
        </w:rPr>
      </w:pPr>
    </w:p>
    <w:p>
      <w:pPr>
        <w:pStyle w:val="13"/>
        <w:tabs>
          <w:tab w:val="right" w:leader="dot" w:pos="8306"/>
          <w:tab w:val="clear" w:pos="8296"/>
        </w:tabs>
        <w:rPr>
          <w:rFonts w:hint="eastAsia" w:ascii="仿宋_GB2312" w:hAnsi="仿宋_GB2312" w:eastAsia="仿宋_GB2312" w:cs="仿宋_GB2312"/>
          <w:sz w:val="30"/>
          <w:szCs w:val="30"/>
        </w:rPr>
      </w:pPr>
    </w:p>
    <w:p>
      <w:pPr>
        <w:pStyle w:val="13"/>
        <w:rPr>
          <w:rStyle w:val="18"/>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fldChar w:fldCharType="end"/>
      </w:r>
      <w:r>
        <w:rPr>
          <w:rStyle w:val="18"/>
          <w:rFonts w:hint="eastAsia" w:ascii="仿宋_GB2312" w:hAnsi="仿宋_GB2312" w:eastAsia="仿宋_GB2312" w:cs="仿宋_GB2312"/>
          <w:kern w:val="2"/>
          <w:sz w:val="30"/>
          <w:szCs w:val="30"/>
          <w:lang w:val="en-US" w:eastAsia="zh-CN" w:bidi="ar-SA"/>
        </w:rPr>
        <w:fldChar w:fldCharType="end"/>
      </w:r>
      <w:bookmarkStart w:id="17" w:name="_Toc9023"/>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rPr>
          <w:rFonts w:hint="eastAsia" w:ascii="黑体" w:hAnsi="黑体" w:eastAsia="黑体"/>
          <w:b w:val="0"/>
        </w:rPr>
      </w:pPr>
    </w:p>
    <w:p>
      <w:pPr>
        <w:pStyle w:val="13"/>
        <w:jc w:val="center"/>
        <w:rPr>
          <w:rStyle w:val="26"/>
          <w:rFonts w:ascii="黑体" w:hAnsi="黑体" w:eastAsia="黑体"/>
          <w:b/>
          <w:bCs w:val="0"/>
        </w:rPr>
      </w:pPr>
      <w:r>
        <w:rPr>
          <w:rFonts w:hint="eastAsia" w:ascii="黑体" w:hAnsi="黑体" w:eastAsia="黑体"/>
          <w:b w:val="0"/>
          <w:sz w:val="44"/>
          <w:szCs w:val="44"/>
        </w:rPr>
        <w:t>第一部分</w:t>
      </w:r>
      <w:r>
        <w:rPr>
          <w:rFonts w:hint="eastAsia" w:ascii="黑体" w:hAnsi="黑体" w:eastAsia="黑体"/>
          <w:b w:val="0"/>
        </w:rPr>
        <w:t xml:space="preserve"> </w:t>
      </w:r>
      <w:r>
        <w:rPr>
          <w:rStyle w:val="26"/>
          <w:rFonts w:hint="eastAsia" w:ascii="黑体" w:hAnsi="黑体" w:eastAsia="黑体"/>
          <w:b w:val="0"/>
          <w:bCs w:val="0"/>
        </w:rPr>
        <w:t>部门概况</w:t>
      </w:r>
      <w:bookmarkEnd w:id="16"/>
      <w:bookmarkEnd w:id="17"/>
    </w:p>
    <w:p>
      <w:pPr>
        <w:widowControl/>
        <w:jc w:val="left"/>
        <w:rPr>
          <w:rFonts w:ascii="黑体" w:eastAsia="黑体"/>
          <w:color w:val="000000"/>
          <w:sz w:val="32"/>
          <w:szCs w:val="32"/>
        </w:rPr>
      </w:pPr>
    </w:p>
    <w:p>
      <w:pPr>
        <w:pStyle w:val="5"/>
        <w:rPr>
          <w:rStyle w:val="27"/>
          <w:rFonts w:ascii="仿宋" w:hAnsi="仿宋" w:eastAsia="仿宋"/>
          <w:b w:val="0"/>
          <w:bCs w:val="0"/>
        </w:rPr>
      </w:pPr>
      <w:bookmarkStart w:id="18" w:name="_Toc20367"/>
      <w:bookmarkStart w:id="19" w:name="_Toc15377197"/>
      <w:bookmarkStart w:id="20"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8"/>
      <w:bookmarkEnd w:id="19"/>
      <w:bookmarkEnd w:id="20"/>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1" w:name="_Toc15377199"/>
      <w:bookmarkStart w:id="22" w:name="_Toc15378446"/>
      <w:r>
        <w:rPr>
          <w:rFonts w:hint="eastAsia" w:ascii="仿宋" w:hAnsi="仿宋" w:eastAsia="仿宋"/>
          <w:bCs/>
          <w:color w:val="000000"/>
          <w:sz w:val="32"/>
          <w:szCs w:val="32"/>
        </w:rPr>
        <w:t>（一）主要职能。</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（2）负责做好本级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（3）负责做好上一级人代会期间本级代表团的服务工作；负责做好兄弟人大来参观、交流的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（6）负责做好本级人大系统的通讯报道工作。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（7）负责协调人大常委会各工作机构之间的工作关系，以及与其他部门之间的关系，牵头或组织机关内部业务学习和政治学习；负责搞好与“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7"/>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”联席会议的准备工作和有关事宜；负责搞好同上一级人大常委会各工作委(室)及下级人大及常委员的工作联系。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（9）协助做好人大代表和人民群众的来信来访和办理工作，做好人大常委会组织的代表活动的后勤服务工作。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（10）负责建立健全各项规章制度，加强办公室自身建设，提高全办人员的政治素质和业务素质，提高办公室的整体素质和办事效率。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仿宋" w:hAnsi="仿宋" w:eastAsia="仿宋"/>
          <w:bCs/>
          <w:color w:val="000000"/>
          <w:sz w:val="32"/>
          <w:szCs w:val="32"/>
        </w:rPr>
      </w:pPr>
      <w:r>
        <w:rPr>
          <w:rFonts w:hint="eastAsia" w:ascii="仿宋_GB2312" w:hAnsi="仿宋_GB2312" w:eastAsia="仿宋_GB2312" w:cs="仿宋_GB2312"/>
          <w:sz w:val="32"/>
          <w:szCs w:val="32"/>
          <w:shd w:val="clear" w:color="auto" w:fill="FFFFFF"/>
        </w:rPr>
        <w:t>（11）负责办理常委会、主任会议及常委会领导部署、安排的各项工作。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（二）2019年重点工作完成情况。</w:t>
      </w:r>
      <w:bookmarkEnd w:id="21"/>
      <w:bookmarkEnd w:id="22"/>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红原县人大常委会</w:t>
      </w:r>
      <w:r>
        <w:rPr>
          <w:rFonts w:hint="eastAsia" w:ascii="仿宋_GB2312" w:hAnsi="仿宋_GB2312" w:eastAsia="仿宋_GB2312" w:cs="仿宋_GB2312"/>
          <w:color w:val="000000"/>
          <w:kern w:val="0"/>
          <w:sz w:val="32"/>
          <w:szCs w:val="32"/>
        </w:rPr>
        <w:t>办公室在</w:t>
      </w:r>
      <w:r>
        <w:rPr>
          <w:rFonts w:hint="eastAsia" w:ascii="仿宋_GB2312" w:hAnsi="仿宋_GB2312" w:eastAsia="仿宋_GB2312" w:cs="仿宋_GB2312"/>
          <w:color w:val="000000"/>
          <w:kern w:val="0"/>
          <w:sz w:val="32"/>
          <w:szCs w:val="32"/>
          <w:lang w:eastAsia="zh-CN"/>
        </w:rPr>
        <w:t>县</w:t>
      </w:r>
      <w:r>
        <w:rPr>
          <w:rFonts w:hint="eastAsia" w:ascii="仿宋_GB2312" w:hAnsi="仿宋_GB2312" w:eastAsia="仿宋_GB2312" w:cs="仿宋_GB2312"/>
          <w:color w:val="000000"/>
          <w:kern w:val="0"/>
          <w:sz w:val="32"/>
          <w:szCs w:val="32"/>
        </w:rPr>
        <w:t>人大常委会的正确领导下，在各委室的大力支持下，紧紧围绕常委会年初确定的工作目标，认真履行服务、参谋和协调的职能作用，较好的为常委会依法履行职权和机关有序运转提供服务和保障。</w:t>
      </w:r>
    </w:p>
    <w:p>
      <w:pPr>
        <w:pStyle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高度关注经济健康运行。</w:t>
      </w:r>
      <w:r>
        <w:rPr>
          <w:rFonts w:hint="eastAsia" w:ascii="仿宋_GB2312" w:hAnsi="仿宋_GB2312" w:eastAsia="仿宋_GB2312" w:cs="仿宋_GB2312"/>
          <w:color w:val="000000"/>
          <w:kern w:val="0"/>
          <w:sz w:val="32"/>
          <w:szCs w:val="32"/>
          <w:lang w:val="en-US" w:eastAsia="zh-CN" w:bidi="ar-SA"/>
        </w:rPr>
        <w:t>围绕“十三五”规划实施情况开展了专项调研，听取审议了“十三五”规划实施中期执行情况报告，提出了坚持问题导向、投资拉动、统筹发展、生态优先、优化营商环境、持续提升民生福祉、加强规划管理和完善实施机制等建议，着力推动“十三五”规划纲要确定的各项指标任务顺利完成。围绕财政预算执行及收支情况开展了专项调研，听取审议了2019年上半年国民经济和社会发展计划执行、2018年度县级财政预算执行和其他财政收支审计情况的报告，审查批准了2019年部门预算编制情况的报告、财政预算中期调整方案、机构改革涉改部门预算调整方案、盘活2018年及以前年度财政存量资金。</w:t>
      </w:r>
    </w:p>
    <w:p>
      <w:pPr>
        <w:pStyle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切实加强重大项目监督。</w:t>
      </w:r>
      <w:r>
        <w:rPr>
          <w:rFonts w:hint="eastAsia" w:ascii="仿宋_GB2312" w:hAnsi="仿宋_GB2312" w:eastAsia="仿宋_GB2312" w:cs="仿宋_GB2312"/>
          <w:color w:val="000000"/>
          <w:kern w:val="0"/>
          <w:sz w:val="32"/>
          <w:szCs w:val="32"/>
          <w:lang w:val="en-US" w:eastAsia="zh-CN" w:bidi="ar-SA"/>
        </w:rPr>
        <w:t>常委会组成人员、人大代表深入15个基层群众性文化活动中心、生活垃圾填埋场、市政建设等重点项目现场进行调研和视察，督促县政府强化工作落实、加快建设进度、规范项目管理，促进重大项目实施，助推经济社会发展。加强对县政府重大项目的监督，听取县政府关于重点项目建设推进情况的报告，建议县政府进一步完善重点项目推进工作机制，科学制定项目计划，积极做好新项目的谋划，力争更多的项目纳入国家和省、州项目库，切实增强经济社会发展后劲。</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推进预算联网监督工作。</w:t>
      </w:r>
      <w:r>
        <w:rPr>
          <w:rFonts w:hint="eastAsia" w:ascii="仿宋_GB2312" w:hAnsi="仿宋_GB2312" w:eastAsia="仿宋_GB2312" w:cs="仿宋_GB2312"/>
          <w:color w:val="000000"/>
          <w:kern w:val="0"/>
          <w:sz w:val="32"/>
          <w:szCs w:val="32"/>
          <w:lang w:val="en-US" w:eastAsia="zh-CN" w:bidi="ar-SA"/>
        </w:rPr>
        <w:t>认真贯彻落实全国、省、州人大关于加强人大预算审查监督工作的要求，专门设立预算联网监督工作室，购置了硬件设施设备，待州人大统一开发预算监督软件系统后组织实施。</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助力脱贫奔康彰显担当。</w:t>
      </w:r>
      <w:r>
        <w:rPr>
          <w:rFonts w:hint="eastAsia" w:ascii="仿宋_GB2312" w:hAnsi="仿宋_GB2312" w:eastAsia="仿宋_GB2312" w:cs="仿宋_GB2312"/>
          <w:color w:val="000000"/>
          <w:kern w:val="0"/>
          <w:sz w:val="32"/>
          <w:szCs w:val="32"/>
          <w:lang w:val="en-US" w:eastAsia="zh-CN" w:bidi="ar-SA"/>
        </w:rPr>
        <w:t>听取审议了县人民政府关于脱贫攻坚工作情况的报告，在产业效益、合作帮扶、推进脱贫领域作风建设、推进脱贫攻坚与乡村振兴战略有机结合等方面提出审议意见。持续开展“脱贫攻坚-人大代表再行动”活动，各级人大代表积极发挥作用，在宣传政策、反映民意、化解矛盾、带头致富等方面作出表率。常委会领导充分发挥牵头、督导、协调作用，千方百计协调解决5个联系乡镇和30户联系户的实际问题，督促弥补工作短板，确保脱贫攻坚政策措施落到实处。常委会机关7名干部经常深入到所帮扶的17户建档立卡贫困户了解情况、宣讲脱贫政策、完善帮扶台账、尽最大能力解决实际问题。常委会荣获全州2019年度“脱贫攻坚--人大代表再行动”工作优秀单位。</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积极助推乡村振兴战略。</w:t>
      </w:r>
      <w:r>
        <w:rPr>
          <w:rFonts w:hint="eastAsia" w:ascii="仿宋_GB2312" w:hAnsi="仿宋_GB2312" w:eastAsia="仿宋_GB2312" w:cs="仿宋_GB2312"/>
          <w:color w:val="000000"/>
          <w:kern w:val="0"/>
          <w:sz w:val="32"/>
          <w:szCs w:val="32"/>
          <w:lang w:val="en-US" w:eastAsia="zh-CN" w:bidi="ar-SA"/>
        </w:rPr>
        <w:t>为助推乡村振兴战略稳步实施，常委会主任会议听取《红原县乡村振兴规划（2018-2022年）》编制情况，提出县人民政府要坚持规划引领、有序推进乡村振兴，做好系统设计、科学细致绘好蓝图，坚持因地制宜、突出规划的可行性，引导广大群众积极参与等建议意见。</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助推依法行政公正司法。</w:t>
      </w:r>
      <w:r>
        <w:rPr>
          <w:rFonts w:hint="eastAsia" w:ascii="仿宋_GB2312" w:hAnsi="仿宋_GB2312" w:eastAsia="仿宋_GB2312" w:cs="仿宋_GB2312"/>
          <w:color w:val="000000"/>
          <w:kern w:val="0"/>
          <w:sz w:val="32"/>
          <w:szCs w:val="32"/>
          <w:lang w:val="en-US" w:eastAsia="zh-CN" w:bidi="ar-SA"/>
        </w:rPr>
        <w:t>围绕法治红原建设，听取审议了县人民政府关于法治政府建设情况的报告，提出了保障有力的行政执法体制，清理和规范行政执法主体，明晰职责权限，切实从源头上解决多头执法、重复执法、交叉执法问题等建议。听取审议了县人民政府关于《道路交通安全法》贯彻实施情况的报告，要求县政府要坚持宣传教育先行、增强全民道路交通安全意识，常态化严管道路交通安全，大力推进道路交通基础设施建设。听取审议了县人民法院关于司法体制改革工作情况的报告，提出了县法院要严格落实员额制法官管理、司法责任制，依法独立公正行使审判权，加强法官职业化建设等审议意见。在全州率先依法作出《红原县人大常委会关于支持检察公益诉讼工作的决议》，听取审议了县人民检察院关于公益诉讼工作报告，要求县检察院提高政治站位，深刻认识公益诉讼在保障民生、促进依法行政上的重要作用，认真研究工作措施，深入分析工作难点，扎实推进公益诉讼工作；各行政机关要主动接受和配合检察机关的法律监督，形成公益诉讼“双赢、多赢、共赢”的理念，推动公益诉讼工作深入发展。</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主动配合上级人大开展工作。</w:t>
      </w:r>
      <w:r>
        <w:rPr>
          <w:rFonts w:hint="eastAsia" w:ascii="仿宋_GB2312" w:hAnsi="仿宋_GB2312" w:eastAsia="仿宋_GB2312" w:cs="仿宋_GB2312"/>
          <w:color w:val="000000"/>
          <w:kern w:val="0"/>
          <w:sz w:val="32"/>
          <w:szCs w:val="32"/>
          <w:lang w:val="en-US" w:eastAsia="zh-CN" w:bidi="ar-SA"/>
        </w:rPr>
        <w:t>一年来，积极配合全国、省、州人大常委会对草原生态环境保护、民族团结进步创建等15项工作进行了专题调研。还配合州人大常委会开展了《四川省城乡环境综合治理条例》《中华人民共和国水土保持法》等执法调研和执法检查，推动了相关法律法规在我县的贯彻实施。</w:t>
      </w:r>
    </w:p>
    <w:p>
      <w:pPr>
        <w:pStyle w:val="7"/>
        <w:adjustRightInd w:val="0"/>
        <w:snapToGrid w:val="0"/>
        <w:spacing w:before="93" w:line="600" w:lineRule="exact"/>
        <w:ind w:firstLine="643" w:firstLineChars="20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回应社会关切，在维护群众切身利益中展现人大作为.</w:t>
      </w:r>
      <w:r>
        <w:rPr>
          <w:rFonts w:hint="eastAsia" w:ascii="仿宋_GB2312" w:hAnsi="仿宋_GB2312" w:eastAsia="仿宋_GB2312" w:cs="仿宋_GB2312"/>
          <w:color w:val="000000"/>
          <w:kern w:val="0"/>
          <w:sz w:val="32"/>
          <w:szCs w:val="32"/>
          <w:lang w:val="en-US" w:eastAsia="zh-CN" w:bidi="ar-SA"/>
        </w:rPr>
        <w:t>紧紧抓住人民群众最关心、最直接、最现实的利益问题，持续监督问效，主动回应社会关切，助力改善民生福祉，让人民群众有更多获得感、幸福感和安全感。</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聚焦教育发展。</w:t>
      </w:r>
      <w:r>
        <w:rPr>
          <w:rFonts w:hint="eastAsia" w:ascii="仿宋_GB2312" w:hAnsi="仿宋_GB2312" w:eastAsia="仿宋_GB2312" w:cs="仿宋_GB2312"/>
          <w:color w:val="000000"/>
          <w:kern w:val="0"/>
          <w:sz w:val="32"/>
          <w:szCs w:val="32"/>
          <w:lang w:val="en-US" w:eastAsia="zh-CN" w:bidi="ar-SA"/>
        </w:rPr>
        <w:t>按照县委要求，2019年7月与县政协组成联合调研组对全县教育发展情况进行了专题调研，针对师资力量有待加强、学校配套基础设施亟待解决等不足和短板，提出了进一步加强师德师风建设，加大对教师培训的投入力度，配齐幼儿园专业教师，尽快解决32所校（园）电地热供暖配套设施等建议意见，并向县委呈报专题调研报告。</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聚焦生态环境保护。</w:t>
      </w:r>
      <w:r>
        <w:rPr>
          <w:rFonts w:hint="eastAsia" w:ascii="仿宋_GB2312" w:hAnsi="仿宋_GB2312" w:eastAsia="仿宋_GB2312" w:cs="仿宋_GB2312"/>
          <w:color w:val="000000"/>
          <w:kern w:val="0"/>
          <w:sz w:val="32"/>
          <w:szCs w:val="32"/>
          <w:lang w:val="en-US" w:eastAsia="zh-CN" w:bidi="ar-SA"/>
        </w:rPr>
        <w:t>听取审议了县人民政府关于2018年度环境状况和环境保护目标完成情况的报告，针对环保基础设施建设滞后、环卫经费缺口大、保护与利用的矛盾较为突出、监管合力尚未形成等困难和问题，要求县政府加大资金投入、补齐环保短板，完善各项措施、严控环保风险，加大宣传力度、提高环保意识。按照《红原县城乡环境治乱工作实施方案》，牵头考评第一、三季度全县城乡环境整治工作。</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聚焦牲畜无害化处理。</w:t>
      </w:r>
      <w:r>
        <w:rPr>
          <w:rFonts w:hint="eastAsia" w:ascii="仿宋_GB2312" w:hAnsi="仿宋_GB2312" w:eastAsia="仿宋_GB2312" w:cs="仿宋_GB2312"/>
          <w:color w:val="000000"/>
          <w:kern w:val="0"/>
          <w:sz w:val="32"/>
          <w:szCs w:val="32"/>
          <w:lang w:val="en-US" w:eastAsia="zh-CN" w:bidi="ar-SA"/>
        </w:rPr>
        <w:t>按照县委安排，常委会与县政协组成联合调研组于2019年6月下旬赴全县各乡（镇）、村（社区）进行实地调研，采取听取汇报、座谈讨论、情况介绍、随机访谈等方式，对全县病死牲畜肉处理工作情况进行了专题监督调研，撰写了高质量的调研报告，得到县委主要领导的肯定。</w:t>
      </w:r>
    </w:p>
    <w:p>
      <w:pPr>
        <w:pStyle w:val="7"/>
        <w:adjustRightInd w:val="0"/>
        <w:snapToGrid w:val="0"/>
        <w:spacing w:before="93" w:line="600" w:lineRule="exact"/>
        <w:ind w:firstLine="675" w:firstLineChars="210"/>
        <w:outlineLvl w:val="2"/>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聚焦公共文化服务体系建设。</w:t>
      </w:r>
      <w:r>
        <w:rPr>
          <w:rFonts w:hint="eastAsia" w:ascii="仿宋_GB2312" w:hAnsi="仿宋_GB2312" w:eastAsia="仿宋_GB2312" w:cs="仿宋_GB2312"/>
          <w:color w:val="000000"/>
          <w:kern w:val="0"/>
          <w:sz w:val="32"/>
          <w:szCs w:val="32"/>
          <w:lang w:val="en-US" w:eastAsia="zh-CN" w:bidi="ar-SA"/>
        </w:rPr>
        <w:t>听取审议了县人民政府关于公共文化服务体系建设情况的报告，针对公共文化服务投入、质量、人才、机制等方面问题，提出了要结合《乡村振兴战略规划》，积极探索建立稳定增长的公共文化投入机制、深入挖掘红原县丰厚的传统历史文化资源、重视培养“9+3”干部和扎根基层的乡土文化人才等8条建议。听取审议了县人民政府关于红色文化传承与保护情况的报告，提出了全方位对红色文化资源进行研究、挖掘、整理、提炼、整合，展现独特的历史文化内涵和民俗风情魅力，大力提升红色旅游文化品位等12条建议意见。</w:t>
      </w:r>
    </w:p>
    <w:p>
      <w:pPr>
        <w:pStyle w:val="7"/>
        <w:adjustRightInd w:val="0"/>
        <w:snapToGrid w:val="0"/>
        <w:spacing w:before="93" w:line="600" w:lineRule="exact"/>
        <w:ind w:firstLine="675" w:firstLineChars="210"/>
        <w:outlineLvl w:val="2"/>
        <w:rPr>
          <w:rFonts w:hint="eastAsia" w:ascii="仿宋" w:hAnsi="仿宋" w:eastAsia="仿宋"/>
          <w:bCs/>
          <w:color w:val="FF0000"/>
          <w:sz w:val="32"/>
          <w:szCs w:val="32"/>
        </w:rPr>
      </w:pPr>
      <w:r>
        <w:rPr>
          <w:rFonts w:hint="eastAsia" w:ascii="仿宋_GB2312" w:hAnsi="仿宋_GB2312" w:eastAsia="仿宋_GB2312" w:cs="仿宋_GB2312"/>
          <w:b/>
          <w:bCs/>
          <w:color w:val="000000"/>
          <w:kern w:val="0"/>
          <w:sz w:val="32"/>
          <w:szCs w:val="32"/>
          <w:lang w:val="en-US" w:eastAsia="zh-CN" w:bidi="ar-SA"/>
        </w:rPr>
        <w:t>聚焦基层卫生服务能力。</w:t>
      </w:r>
      <w:r>
        <w:rPr>
          <w:rFonts w:hint="eastAsia" w:ascii="仿宋_GB2312" w:hAnsi="仿宋_GB2312" w:eastAsia="仿宋_GB2312" w:cs="仿宋_GB2312"/>
          <w:color w:val="000000"/>
          <w:kern w:val="0"/>
          <w:sz w:val="32"/>
          <w:szCs w:val="32"/>
          <w:lang w:val="en-US" w:eastAsia="zh-CN" w:bidi="ar-SA"/>
        </w:rPr>
        <w:t>听取审议了县人民政府关于红原县基层卫生服务能力情况的报告，针对基层卫生服务队伍建设比较薄弱、基层医疗卫生机构管理理念滞后、医疗补偿体系制度不健全等方面的短板，要求县政府强化基层卫生人才队伍建设和管理，着力解决基层卫生人员“庸懒散”和服务意识弱化等问题，加快培养和招录一批紧缺专业人才，深入推进健康红原建设。</w:t>
      </w:r>
    </w:p>
    <w:p>
      <w:pPr>
        <w:pStyle w:val="5"/>
        <w:rPr>
          <w:rStyle w:val="27"/>
          <w:b w:val="0"/>
          <w:bCs w:val="0"/>
        </w:rPr>
      </w:pPr>
      <w:bookmarkStart w:id="23" w:name="_Toc15396601"/>
      <w:bookmarkStart w:id="24" w:name="_Toc15377200"/>
      <w:bookmarkStart w:id="25" w:name="_Toc10003"/>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3"/>
      <w:bookmarkEnd w:id="24"/>
      <w:bookmarkEnd w:id="25"/>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color w:val="333333"/>
          <w:sz w:val="32"/>
          <w:szCs w:val="32"/>
          <w:shd w:val="clear" w:color="auto" w:fill="FFFFFF"/>
        </w:rPr>
        <w:t>我</w:t>
      </w:r>
      <w:r>
        <w:rPr>
          <w:rFonts w:hint="eastAsia" w:ascii="仿宋_GB2312" w:hAnsi="仿宋_GB2312" w:eastAsia="仿宋_GB2312" w:cs="仿宋_GB2312"/>
          <w:color w:val="333333"/>
          <w:sz w:val="32"/>
          <w:szCs w:val="32"/>
          <w:shd w:val="clear" w:color="auto" w:fill="FFFFFF"/>
          <w:lang w:eastAsia="zh-CN"/>
        </w:rPr>
        <w:t>单位</w:t>
      </w:r>
      <w:r>
        <w:rPr>
          <w:rFonts w:hint="eastAsia" w:ascii="仿宋_GB2312" w:hAnsi="仿宋_GB2312" w:eastAsia="仿宋_GB2312" w:cs="仿宋_GB2312"/>
          <w:color w:val="333333"/>
          <w:sz w:val="32"/>
          <w:szCs w:val="32"/>
          <w:shd w:val="clear" w:color="auto" w:fill="FFFFFF"/>
        </w:rPr>
        <w:t>为独立核算全额拨款行政单位。</w:t>
      </w:r>
      <w:r>
        <w:rPr>
          <w:rFonts w:hint="eastAsia" w:ascii="仿宋_GB2312" w:hAnsi="仿宋" w:eastAsia="仿宋_GB2312"/>
          <w:sz w:val="32"/>
          <w:szCs w:val="32"/>
        </w:rPr>
        <w:t>人大常委会办公室内设办公室、法制工委、财经工委、教科文卫工委及人代工委“四委一室”。</w:t>
      </w:r>
    </w:p>
    <w:p>
      <w:pPr>
        <w:widowControl/>
        <w:ind w:firstLine="640" w:firstLineChars="200"/>
        <w:jc w:val="left"/>
        <w:rPr>
          <w:rFonts w:hint="eastAsia" w:ascii="仿宋" w:hAnsi="仿宋" w:eastAsia="仿宋"/>
          <w:color w:val="000000"/>
          <w:sz w:val="32"/>
          <w:szCs w:val="32"/>
          <w:lang w:eastAsia="zh-CN"/>
        </w:rPr>
      </w:pPr>
      <w:r>
        <w:rPr>
          <w:rFonts w:hint="eastAsia" w:ascii="仿宋_GB2312" w:hAnsi="仿宋_GB2312" w:eastAsia="仿宋_GB2312" w:cs="仿宋_GB2312"/>
          <w:bCs/>
          <w:sz w:val="32"/>
          <w:szCs w:val="32"/>
        </w:rPr>
        <w:t>截止201</w:t>
      </w:r>
      <w:r>
        <w:rPr>
          <w:rFonts w:hint="eastAsia" w:hAnsi="仿宋_GB2312" w:cs="仿宋_GB2312"/>
          <w:bCs/>
          <w:sz w:val="32"/>
          <w:szCs w:val="32"/>
          <w:lang w:val="en-US" w:eastAsia="zh-CN"/>
        </w:rPr>
        <w:t>9</w:t>
      </w:r>
      <w:r>
        <w:rPr>
          <w:rFonts w:hint="eastAsia" w:ascii="仿宋_GB2312" w:hAnsi="仿宋_GB2312" w:eastAsia="仿宋_GB2312" w:cs="仿宋_GB2312"/>
          <w:bCs/>
          <w:sz w:val="32"/>
          <w:szCs w:val="32"/>
        </w:rPr>
        <w:t>年底我单位共有编制21个，其中公务员编制17个，行政工勤编制4个，</w:t>
      </w:r>
      <w:r>
        <w:rPr>
          <w:rFonts w:hint="eastAsia" w:ascii="仿宋_GB2312" w:hAnsi="仿宋" w:eastAsia="仿宋_GB2312"/>
          <w:sz w:val="32"/>
          <w:szCs w:val="32"/>
        </w:rPr>
        <w:t>在职2</w:t>
      </w:r>
      <w:r>
        <w:rPr>
          <w:rFonts w:hint="eastAsia" w:ascii="仿宋_GB2312" w:hAnsi="仿宋" w:eastAsia="仿宋_GB2312"/>
          <w:sz w:val="32"/>
          <w:szCs w:val="32"/>
          <w:lang w:val="en-US" w:eastAsia="zh-CN"/>
        </w:rPr>
        <w:t>6</w:t>
      </w:r>
      <w:r>
        <w:rPr>
          <w:rFonts w:hint="eastAsia" w:ascii="仿宋_GB2312" w:hAnsi="仿宋" w:eastAsia="仿宋_GB2312"/>
          <w:sz w:val="32"/>
          <w:szCs w:val="32"/>
        </w:rPr>
        <w:t>人，其中公务员</w:t>
      </w:r>
      <w:r>
        <w:rPr>
          <w:rFonts w:hint="eastAsia" w:ascii="仿宋_GB2312" w:hAnsi="仿宋" w:eastAsia="仿宋_GB2312"/>
          <w:sz w:val="32"/>
          <w:szCs w:val="32"/>
          <w:lang w:val="en-US" w:eastAsia="zh-CN"/>
        </w:rPr>
        <w:t>20</w:t>
      </w:r>
      <w:r>
        <w:rPr>
          <w:rFonts w:hint="eastAsia" w:ascii="仿宋_GB2312" w:hAnsi="仿宋" w:eastAsia="仿宋_GB2312"/>
          <w:sz w:val="32"/>
          <w:szCs w:val="32"/>
        </w:rPr>
        <w:t>人，行政工勤6人。2019年度部门决算编制范围</w:t>
      </w:r>
      <w:r>
        <w:rPr>
          <w:rFonts w:hint="eastAsia" w:ascii="仿宋_GB2312" w:hAnsi="仿宋" w:eastAsia="仿宋_GB2312"/>
          <w:sz w:val="32"/>
          <w:szCs w:val="32"/>
          <w:lang w:eastAsia="zh-CN"/>
        </w:rPr>
        <w:t>一</w:t>
      </w:r>
      <w:r>
        <w:rPr>
          <w:rFonts w:hint="eastAsia" w:ascii="仿宋" w:hAnsi="仿宋" w:eastAsia="仿宋"/>
          <w:color w:val="000000"/>
          <w:sz w:val="32"/>
          <w:szCs w:val="32"/>
          <w:lang w:eastAsia="zh-CN"/>
        </w:rPr>
        <w:t>个，为红原县人大常委会办公室，无其他二级预算单位。</w:t>
      </w:r>
    </w:p>
    <w:p>
      <w:pPr>
        <w:widowControl/>
        <w:jc w:val="left"/>
        <w:rPr>
          <w:rFonts w:hint="eastAsia" w:ascii="仿宋" w:hAnsi="仿宋" w:eastAsia="仿宋"/>
          <w:color w:val="000000"/>
          <w:sz w:val="32"/>
          <w:szCs w:val="32"/>
          <w:lang w:eastAsia="zh-CN"/>
        </w:rPr>
      </w:pPr>
    </w:p>
    <w:p>
      <w:pPr>
        <w:pStyle w:val="4"/>
        <w:ind w:right="440"/>
        <w:jc w:val="right"/>
        <w:rPr>
          <w:rStyle w:val="26"/>
          <w:rFonts w:ascii="黑体" w:hAnsi="黑体" w:eastAsia="黑体"/>
          <w:b w:val="0"/>
          <w:bCs w:val="0"/>
        </w:rPr>
      </w:pPr>
      <w:bookmarkStart w:id="26" w:name="_Toc27357"/>
      <w:bookmarkStart w:id="27" w:name="_Toc15396602"/>
      <w:bookmarkStart w:id="28"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6"/>
      <w:bookmarkEnd w:id="27"/>
      <w:bookmarkEnd w:id="28"/>
    </w:p>
    <w:p/>
    <w:p>
      <w:pPr>
        <w:pStyle w:val="25"/>
        <w:numPr>
          <w:ilvl w:val="0"/>
          <w:numId w:val="1"/>
        </w:numPr>
        <w:spacing w:line="600" w:lineRule="exact"/>
        <w:ind w:firstLineChars="0"/>
        <w:outlineLvl w:val="1"/>
        <w:rPr>
          <w:rStyle w:val="27"/>
          <w:rFonts w:ascii="黑体" w:hAnsi="黑体" w:eastAsia="黑体"/>
          <w:b w:val="0"/>
        </w:rPr>
      </w:pPr>
      <w:bookmarkStart w:id="29" w:name="_Toc15396603"/>
      <w:bookmarkStart w:id="30" w:name="_Toc15377205"/>
      <w:bookmarkStart w:id="31" w:name="_Toc24948"/>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9"/>
      <w:bookmarkEnd w:id="30"/>
      <w:bookmarkEnd w:id="31"/>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年度收入757.53万元，支出783.07万元</w:t>
      </w:r>
      <w:r>
        <w:rPr>
          <w:rFonts w:hint="eastAsia" w:ascii="仿宋" w:hAnsi="仿宋" w:eastAsia="仿宋"/>
          <w:color w:val="000000"/>
          <w:sz w:val="32"/>
          <w:szCs w:val="32"/>
          <w:lang w:eastAsia="zh-CN"/>
        </w:rPr>
        <w:t>，动用上年结转结余资金</w:t>
      </w:r>
      <w:r>
        <w:rPr>
          <w:rFonts w:hint="eastAsia" w:ascii="仿宋" w:hAnsi="仿宋" w:eastAsia="仿宋"/>
          <w:color w:val="000000"/>
          <w:sz w:val="32"/>
          <w:szCs w:val="32"/>
          <w:lang w:val="en-US" w:eastAsia="zh-CN"/>
        </w:rPr>
        <w:t>25.54万元。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37.41</w:t>
      </w:r>
      <w:r>
        <w:rPr>
          <w:rFonts w:hint="eastAsia" w:ascii="仿宋" w:hAnsi="仿宋" w:eastAsia="仿宋"/>
          <w:color w:val="000000"/>
          <w:sz w:val="32"/>
          <w:szCs w:val="32"/>
        </w:rPr>
        <w:t>万元，支出</w:t>
      </w:r>
      <w:r>
        <w:rPr>
          <w:rFonts w:hint="eastAsia" w:ascii="仿宋" w:hAnsi="仿宋" w:eastAsia="仿宋"/>
          <w:color w:val="000000"/>
          <w:sz w:val="32"/>
          <w:szCs w:val="32"/>
          <w:lang w:eastAsia="zh-CN"/>
        </w:rPr>
        <w:t>减少了</w:t>
      </w:r>
      <w:r>
        <w:rPr>
          <w:rFonts w:hint="eastAsia" w:ascii="仿宋" w:hAnsi="仿宋" w:eastAsia="仿宋"/>
          <w:color w:val="000000"/>
          <w:sz w:val="32"/>
          <w:szCs w:val="32"/>
          <w:lang w:val="en-US" w:eastAsia="zh-CN"/>
        </w:rPr>
        <w:t>20.46</w:t>
      </w:r>
      <w:r>
        <w:rPr>
          <w:rFonts w:hint="eastAsia" w:ascii="仿宋" w:hAnsi="仿宋" w:eastAsia="仿宋"/>
          <w:color w:val="000000"/>
          <w:sz w:val="32"/>
          <w:szCs w:val="32"/>
        </w:rPr>
        <w:t>万元，分别</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4.7</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2.55</w:t>
      </w:r>
      <w:r>
        <w:rPr>
          <w:rFonts w:hint="eastAsia" w:ascii="仿宋" w:hAnsi="仿宋" w:eastAsia="仿宋"/>
          <w:color w:val="000000"/>
          <w:sz w:val="32"/>
          <w:szCs w:val="32"/>
        </w:rPr>
        <w:t>%。主要变动原因一是</w:t>
      </w:r>
      <w:r>
        <w:rPr>
          <w:rFonts w:hint="eastAsia" w:ascii="仿宋" w:hAnsi="仿宋" w:eastAsia="仿宋"/>
          <w:color w:val="000000"/>
          <w:sz w:val="32"/>
          <w:szCs w:val="32"/>
          <w:lang w:eastAsia="zh-CN"/>
        </w:rPr>
        <w:t>厉行节约减少不必要的开支</w:t>
      </w:r>
      <w:r>
        <w:rPr>
          <w:rFonts w:hint="eastAsia" w:ascii="仿宋" w:hAnsi="仿宋" w:eastAsia="仿宋"/>
          <w:color w:val="000000"/>
          <w:sz w:val="32"/>
          <w:szCs w:val="32"/>
        </w:rPr>
        <w:t>，二是</w:t>
      </w:r>
      <w:r>
        <w:rPr>
          <w:rFonts w:hint="eastAsia" w:ascii="仿宋" w:hAnsi="仿宋" w:eastAsia="仿宋"/>
          <w:color w:val="000000"/>
          <w:sz w:val="32"/>
          <w:szCs w:val="32"/>
          <w:lang w:val="en-US" w:eastAsia="zh-CN"/>
        </w:rPr>
        <w:t>2018购买常委会议室表决器，2019年无该项支出</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：收、支决算变动情况图）（柱状图）</w:t>
      </w: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58240" behindDoc="1" locked="0" layoutInCell="1" allowOverlap="1">
            <wp:simplePos x="0" y="0"/>
            <wp:positionH relativeFrom="column">
              <wp:posOffset>477520</wp:posOffset>
            </wp:positionH>
            <wp:positionV relativeFrom="paragraph">
              <wp:posOffset>338455</wp:posOffset>
            </wp:positionV>
            <wp:extent cx="4537075" cy="2430780"/>
            <wp:effectExtent l="4445" t="4445" r="11430" b="22225"/>
            <wp:wrapTight wrapText="bothSides">
              <wp:wrapPolygon>
                <wp:start x="-21" y="-39"/>
                <wp:lineTo x="-21" y="21459"/>
                <wp:lineTo x="21564" y="21459"/>
                <wp:lineTo x="21564" y="-39"/>
                <wp:lineTo x="-21" y="-39"/>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32" w:name="_Toc15396604"/>
      <w:bookmarkStart w:id="33" w:name="_Toc5373"/>
      <w:bookmarkStart w:id="34"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32"/>
      <w:bookmarkEnd w:id="33"/>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9年本年收入合计757.53万元，</w:t>
      </w:r>
      <w:r>
        <w:rPr>
          <w:rFonts w:hint="eastAsia" w:ascii="仿宋" w:hAnsi="仿宋" w:eastAsia="仿宋"/>
          <w:color w:val="000000"/>
          <w:sz w:val="32"/>
          <w:szCs w:val="32"/>
          <w:lang w:eastAsia="zh-CN"/>
        </w:rPr>
        <w:t>全部为一般公共财政拨款收入。</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1" locked="0" layoutInCell="1" allowOverlap="1">
            <wp:simplePos x="0" y="0"/>
            <wp:positionH relativeFrom="column">
              <wp:posOffset>334645</wp:posOffset>
            </wp:positionH>
            <wp:positionV relativeFrom="paragraph">
              <wp:posOffset>280670</wp:posOffset>
            </wp:positionV>
            <wp:extent cx="4470400" cy="2658745"/>
            <wp:effectExtent l="4445" t="4445" r="20955" b="22860"/>
            <wp:wrapTight wrapText="bothSides">
              <wp:wrapPolygon>
                <wp:start x="-21" y="-36"/>
                <wp:lineTo x="-21" y="21476"/>
                <wp:lineTo x="21517" y="21476"/>
                <wp:lineTo x="21517" y="-36"/>
                <wp:lineTo x="-21" y="-36"/>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35" w:name="_Toc15396605"/>
      <w:bookmarkStart w:id="36" w:name="_Toc23780"/>
      <w:bookmarkStart w:id="37"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5770"/>
      <w:bookmarkStart w:id="39" w:name="_Toc9305"/>
      <w:r>
        <w:rPr>
          <w:rFonts w:ascii="仿宋" w:hAnsi="仿宋" w:eastAsia="仿宋"/>
          <w:color w:val="000000"/>
          <w:sz w:val="32"/>
          <w:szCs w:val="32"/>
        </w:rPr>
        <w:t>201</w:t>
      </w:r>
      <w:r>
        <w:rPr>
          <w:rFonts w:hint="eastAsia" w:ascii="仿宋" w:hAnsi="仿宋" w:eastAsia="仿宋"/>
          <w:color w:val="000000"/>
          <w:sz w:val="32"/>
          <w:szCs w:val="32"/>
        </w:rPr>
        <w:t>9年本年支出合计783.07万元，其中：基本支出666.75万元，占</w:t>
      </w:r>
      <w:r>
        <w:rPr>
          <w:rFonts w:hint="eastAsia" w:ascii="仿宋" w:hAnsi="仿宋" w:eastAsia="仿宋"/>
          <w:color w:val="000000"/>
          <w:sz w:val="32"/>
          <w:szCs w:val="32"/>
          <w:lang w:val="en-US" w:eastAsia="zh-CN"/>
        </w:rPr>
        <w:t>85.15</w:t>
      </w:r>
      <w:r>
        <w:rPr>
          <w:rFonts w:ascii="仿宋" w:hAnsi="仿宋" w:eastAsia="仿宋"/>
          <w:color w:val="000000"/>
          <w:sz w:val="32"/>
          <w:szCs w:val="32"/>
        </w:rPr>
        <w:t>%</w:t>
      </w:r>
      <w:r>
        <w:rPr>
          <w:rFonts w:hint="eastAsia" w:ascii="仿宋" w:hAnsi="仿宋" w:eastAsia="仿宋"/>
          <w:color w:val="000000"/>
          <w:sz w:val="32"/>
          <w:szCs w:val="32"/>
        </w:rPr>
        <w:t>；项目支出116.32万元，占</w:t>
      </w:r>
      <w:r>
        <w:rPr>
          <w:rFonts w:hint="eastAsia" w:ascii="仿宋" w:hAnsi="仿宋" w:eastAsia="仿宋"/>
          <w:color w:val="000000"/>
          <w:sz w:val="32"/>
          <w:szCs w:val="32"/>
          <w:lang w:val="en-US" w:eastAsia="zh-CN"/>
        </w:rPr>
        <w:t>14.85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bookmarkEnd w:id="38"/>
      <w:bookmarkEnd w:id="39"/>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60288" behindDoc="1" locked="0" layoutInCell="1" allowOverlap="1">
            <wp:simplePos x="0" y="0"/>
            <wp:positionH relativeFrom="column">
              <wp:posOffset>372745</wp:posOffset>
            </wp:positionH>
            <wp:positionV relativeFrom="paragraph">
              <wp:posOffset>270510</wp:posOffset>
            </wp:positionV>
            <wp:extent cx="4481195" cy="2163445"/>
            <wp:effectExtent l="4445" t="4445" r="10160" b="22860"/>
            <wp:wrapTight wrapText="bothSides">
              <wp:wrapPolygon>
                <wp:start x="-21" y="-44"/>
                <wp:lineTo x="-21" y="21448"/>
                <wp:lineTo x="21557" y="21448"/>
                <wp:lineTo x="21557" y="-44"/>
                <wp:lineTo x="-21"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40" w:name="_Toc15396606"/>
      <w:bookmarkStart w:id="41" w:name="_Toc15377208"/>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bookmarkStart w:id="42" w:name="_Toc2365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0"/>
      <w:bookmarkEnd w:id="41"/>
      <w:bookmarkEnd w:id="42"/>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年度收入757.53万元，支出779.73万元</w:t>
      </w:r>
      <w:r>
        <w:rPr>
          <w:rFonts w:hint="eastAsia" w:ascii="仿宋" w:hAnsi="仿宋" w:eastAsia="仿宋"/>
          <w:color w:val="000000"/>
          <w:sz w:val="32"/>
          <w:szCs w:val="32"/>
          <w:lang w:eastAsia="zh-CN"/>
        </w:rPr>
        <w:t>，动用上年结转结余资金</w:t>
      </w:r>
      <w:r>
        <w:rPr>
          <w:rFonts w:hint="eastAsia" w:ascii="仿宋" w:hAnsi="仿宋" w:eastAsia="仿宋"/>
          <w:color w:val="000000"/>
          <w:sz w:val="32"/>
          <w:szCs w:val="32"/>
          <w:lang w:val="en-US" w:eastAsia="zh-CN"/>
        </w:rPr>
        <w:t>22.2万元。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31.78</w:t>
      </w:r>
      <w:r>
        <w:rPr>
          <w:rFonts w:hint="eastAsia" w:ascii="仿宋" w:hAnsi="仿宋" w:eastAsia="仿宋"/>
          <w:color w:val="000000"/>
          <w:sz w:val="32"/>
          <w:szCs w:val="32"/>
        </w:rPr>
        <w:t>万元，支出</w:t>
      </w:r>
      <w:r>
        <w:rPr>
          <w:rFonts w:hint="eastAsia" w:ascii="仿宋" w:hAnsi="仿宋" w:eastAsia="仿宋"/>
          <w:color w:val="000000"/>
          <w:sz w:val="32"/>
          <w:szCs w:val="32"/>
          <w:lang w:eastAsia="zh-CN"/>
        </w:rPr>
        <w:t>减少了</w:t>
      </w:r>
      <w:r>
        <w:rPr>
          <w:rFonts w:hint="eastAsia" w:ascii="仿宋" w:hAnsi="仿宋" w:eastAsia="仿宋"/>
          <w:color w:val="000000"/>
          <w:sz w:val="32"/>
          <w:szCs w:val="32"/>
          <w:lang w:val="en-US" w:eastAsia="zh-CN"/>
        </w:rPr>
        <w:t>18.23</w:t>
      </w:r>
      <w:r>
        <w:rPr>
          <w:rFonts w:hint="eastAsia" w:ascii="仿宋" w:hAnsi="仿宋" w:eastAsia="仿宋"/>
          <w:color w:val="000000"/>
          <w:sz w:val="32"/>
          <w:szCs w:val="32"/>
        </w:rPr>
        <w:t>万元，分别</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4.03</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2.28</w:t>
      </w:r>
      <w:r>
        <w:rPr>
          <w:rFonts w:hint="eastAsia" w:ascii="仿宋" w:hAnsi="仿宋" w:eastAsia="仿宋"/>
          <w:color w:val="000000"/>
          <w:sz w:val="32"/>
          <w:szCs w:val="32"/>
        </w:rPr>
        <w:t>%。主要变动原因一是</w:t>
      </w:r>
      <w:r>
        <w:rPr>
          <w:rFonts w:hint="eastAsia" w:ascii="仿宋" w:hAnsi="仿宋" w:eastAsia="仿宋"/>
          <w:color w:val="000000"/>
          <w:sz w:val="32"/>
          <w:szCs w:val="32"/>
          <w:lang w:eastAsia="zh-CN"/>
        </w:rPr>
        <w:t>厉行节约减少不必要的开支</w:t>
      </w:r>
      <w:r>
        <w:rPr>
          <w:rFonts w:hint="eastAsia" w:ascii="仿宋" w:hAnsi="仿宋" w:eastAsia="仿宋"/>
          <w:color w:val="000000"/>
          <w:sz w:val="32"/>
          <w:szCs w:val="32"/>
        </w:rPr>
        <w:t>，二是</w:t>
      </w:r>
      <w:r>
        <w:rPr>
          <w:rFonts w:hint="eastAsia" w:ascii="仿宋" w:hAnsi="仿宋" w:eastAsia="仿宋"/>
          <w:color w:val="000000"/>
          <w:sz w:val="32"/>
          <w:szCs w:val="32"/>
          <w:lang w:val="en-US" w:eastAsia="zh-CN"/>
        </w:rPr>
        <w:t>2018购买常委会议室表决器，2019年无该项支出</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1312" behindDoc="1" locked="0" layoutInCell="1" allowOverlap="1">
            <wp:simplePos x="0" y="0"/>
            <wp:positionH relativeFrom="column">
              <wp:posOffset>500380</wp:posOffset>
            </wp:positionH>
            <wp:positionV relativeFrom="paragraph">
              <wp:posOffset>249555</wp:posOffset>
            </wp:positionV>
            <wp:extent cx="4507865" cy="2202180"/>
            <wp:effectExtent l="5080" t="4445" r="20955" b="22225"/>
            <wp:wrapTight wrapText="bothSides">
              <wp:wrapPolygon>
                <wp:start x="-24" y="-44"/>
                <wp:lineTo x="-24" y="21444"/>
                <wp:lineTo x="21518" y="21444"/>
                <wp:lineTo x="21518" y="-44"/>
                <wp:lineTo x="-24" y="-44"/>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43" w:name="_Toc15396607"/>
      <w:bookmarkStart w:id="44" w:name="_Toc15377209"/>
    </w:p>
    <w:p>
      <w:pPr>
        <w:spacing w:line="600" w:lineRule="exact"/>
        <w:ind w:firstLine="640" w:firstLineChars="200"/>
        <w:outlineLvl w:val="1"/>
        <w:rPr>
          <w:rStyle w:val="27"/>
          <w:rFonts w:ascii="黑体" w:hAnsi="黑体" w:eastAsia="黑体"/>
          <w:b w:val="0"/>
        </w:rPr>
      </w:pPr>
      <w:bookmarkStart w:id="45" w:name="_Toc1300"/>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3"/>
      <w:bookmarkEnd w:id="44"/>
      <w:bookmarkEnd w:id="45"/>
    </w:p>
    <w:p>
      <w:pPr>
        <w:spacing w:line="600" w:lineRule="exact"/>
        <w:ind w:firstLine="643" w:firstLineChars="200"/>
        <w:outlineLvl w:val="2"/>
        <w:rPr>
          <w:rFonts w:ascii="仿宋" w:hAnsi="仿宋" w:eastAsia="仿宋"/>
          <w:b/>
          <w:color w:val="000000"/>
          <w:sz w:val="32"/>
          <w:szCs w:val="32"/>
        </w:rPr>
      </w:pPr>
      <w:bookmarkStart w:id="46" w:name="_Toc15377210"/>
      <w:r>
        <w:rPr>
          <w:rFonts w:hint="eastAsia" w:ascii="仿宋" w:hAnsi="仿宋" w:eastAsia="仿宋"/>
          <w:b/>
          <w:color w:val="000000"/>
          <w:sz w:val="32"/>
          <w:szCs w:val="32"/>
        </w:rPr>
        <w:t>（一）一般公共预算财政拨款支出决算总体情况</w:t>
      </w:r>
      <w:bookmarkEnd w:id="46"/>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9年一般公共预算财政拨款支出779.73万元，占本年支出合计的</w:t>
      </w:r>
      <w:r>
        <w:rPr>
          <w:rFonts w:hint="eastAsia" w:ascii="仿宋" w:hAnsi="仿宋" w:eastAsia="仿宋"/>
          <w:color w:val="000000"/>
          <w:sz w:val="32"/>
          <w:szCs w:val="32"/>
          <w:lang w:val="en-US" w:eastAsia="zh-CN"/>
        </w:rPr>
        <w:t>99.57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18.23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2.28</w:t>
      </w:r>
      <w:r>
        <w:rPr>
          <w:rFonts w:ascii="仿宋" w:hAnsi="仿宋" w:eastAsia="仿宋"/>
          <w:color w:val="000000"/>
          <w:sz w:val="32"/>
          <w:szCs w:val="32"/>
        </w:rPr>
        <w:t>%</w:t>
      </w:r>
      <w:r>
        <w:rPr>
          <w:rFonts w:hint="eastAsia" w:ascii="仿宋" w:hAnsi="仿宋" w:eastAsia="仿宋"/>
          <w:color w:val="000000"/>
          <w:sz w:val="32"/>
          <w:szCs w:val="32"/>
        </w:rPr>
        <w:t>。主要变动原因一是</w:t>
      </w:r>
      <w:r>
        <w:rPr>
          <w:rFonts w:hint="eastAsia" w:ascii="仿宋" w:hAnsi="仿宋" w:eastAsia="仿宋"/>
          <w:color w:val="000000"/>
          <w:sz w:val="32"/>
          <w:szCs w:val="32"/>
          <w:lang w:eastAsia="zh-CN"/>
        </w:rPr>
        <w:t>厉行节约减少不必要的开支</w:t>
      </w:r>
      <w:r>
        <w:rPr>
          <w:rFonts w:hint="eastAsia" w:ascii="仿宋" w:hAnsi="仿宋" w:eastAsia="仿宋"/>
          <w:color w:val="000000"/>
          <w:sz w:val="32"/>
          <w:szCs w:val="32"/>
        </w:rPr>
        <w:t>，二是</w:t>
      </w:r>
      <w:r>
        <w:rPr>
          <w:rFonts w:hint="eastAsia" w:ascii="仿宋" w:hAnsi="仿宋" w:eastAsia="仿宋"/>
          <w:color w:val="000000"/>
          <w:sz w:val="32"/>
          <w:szCs w:val="32"/>
          <w:lang w:val="en-US" w:eastAsia="zh-CN"/>
        </w:rPr>
        <w:t>2018购买常委会议室表决器，2019年无该项支出</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2336" behindDoc="1" locked="0" layoutInCell="1" allowOverlap="1">
            <wp:simplePos x="0" y="0"/>
            <wp:positionH relativeFrom="column">
              <wp:posOffset>563245</wp:posOffset>
            </wp:positionH>
            <wp:positionV relativeFrom="paragraph">
              <wp:posOffset>747395</wp:posOffset>
            </wp:positionV>
            <wp:extent cx="4337050" cy="2962910"/>
            <wp:effectExtent l="4445" t="4445" r="20955" b="23495"/>
            <wp:wrapTight wrapText="bothSides">
              <wp:wrapPolygon>
                <wp:start x="-22" y="-32"/>
                <wp:lineTo x="-22" y="21494"/>
                <wp:lineTo x="21515" y="21494"/>
                <wp:lineTo x="21515" y="-32"/>
                <wp:lineTo x="-22" y="-32"/>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hint="eastAsia" w:ascii="仿宋" w:hAnsi="仿宋" w:eastAsia="仿宋"/>
          <w:b/>
          <w:color w:val="000000"/>
          <w:sz w:val="32"/>
          <w:szCs w:val="32"/>
        </w:rPr>
      </w:pPr>
      <w:bookmarkStart w:id="47" w:name="_Toc15377211"/>
    </w:p>
    <w:p>
      <w:pPr>
        <w:spacing w:line="600" w:lineRule="exact"/>
        <w:ind w:firstLine="643" w:firstLineChars="200"/>
        <w:outlineLvl w:val="2"/>
        <w:rPr>
          <w:rFonts w:hint="eastAsia" w:ascii="仿宋" w:hAnsi="仿宋" w:eastAsia="仿宋"/>
          <w:b/>
          <w:color w:val="000000"/>
          <w:sz w:val="32"/>
          <w:szCs w:val="32"/>
        </w:rPr>
      </w:pPr>
    </w:p>
    <w:p>
      <w:pPr>
        <w:numPr>
          <w:ilvl w:val="0"/>
          <w:numId w:val="2"/>
        </w:numPr>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rPr>
        <w:t>一般公共预算财政拨款支出决算结构情况</w:t>
      </w:r>
      <w:bookmarkEnd w:id="47"/>
    </w:p>
    <w:p>
      <w:pPr>
        <w:spacing w:line="600" w:lineRule="exact"/>
        <w:ind w:firstLine="64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政拨款支出779.73万元，主要用于以下方面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支出617.78万元，占</w:t>
      </w:r>
      <w:r>
        <w:rPr>
          <w:rFonts w:hint="eastAsia" w:ascii="仿宋" w:hAnsi="仿宋" w:eastAsia="仿宋"/>
          <w:color w:val="000000" w:themeColor="text1"/>
          <w:sz w:val="32"/>
          <w:szCs w:val="32"/>
          <w:lang w:val="en-US" w:eastAsia="zh-CN"/>
        </w:rPr>
        <w:t>79.23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支出81.79万元，占</w:t>
      </w:r>
      <w:r>
        <w:rPr>
          <w:rFonts w:hint="eastAsia" w:ascii="仿宋" w:hAnsi="仿宋" w:eastAsia="仿宋"/>
          <w:color w:val="000000" w:themeColor="text1"/>
          <w:sz w:val="32"/>
          <w:szCs w:val="32"/>
          <w:lang w:val="en-US" w:eastAsia="zh-CN"/>
        </w:rPr>
        <w:t>10.48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34.21万元，占</w:t>
      </w:r>
      <w:r>
        <w:rPr>
          <w:rFonts w:hint="eastAsia" w:ascii="仿宋" w:hAnsi="仿宋" w:eastAsia="仿宋"/>
          <w:color w:val="000000" w:themeColor="text1"/>
          <w:sz w:val="32"/>
          <w:szCs w:val="32"/>
          <w:lang w:val="en-US" w:eastAsia="zh-CN"/>
        </w:rPr>
        <w:t>4.39</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；住房保障支出45.95万元，占</w:t>
      </w:r>
      <w:r>
        <w:rPr>
          <w:rFonts w:hint="eastAsia" w:ascii="仿宋" w:hAnsi="仿宋" w:eastAsia="仿宋"/>
          <w:color w:val="000000" w:themeColor="text1"/>
          <w:sz w:val="32"/>
          <w:szCs w:val="32"/>
          <w:lang w:val="en-US" w:eastAsia="zh-CN"/>
        </w:rPr>
        <w:t>5.9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353695</wp:posOffset>
            </wp:positionH>
            <wp:positionV relativeFrom="paragraph">
              <wp:posOffset>503555</wp:posOffset>
            </wp:positionV>
            <wp:extent cx="4765040" cy="2182495"/>
            <wp:effectExtent l="4445" t="4445" r="12065" b="609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sz w:val="32"/>
          <w:szCs w:val="32"/>
        </w:rPr>
        <w:t>（图6：一般公共预算财政拨款支出决算结构）（饼状图）</w:t>
      </w:r>
      <w:bookmarkStart w:id="48" w:name="_Toc15377212"/>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8"/>
    </w:p>
    <w:p>
      <w:pPr>
        <w:spacing w:line="600" w:lineRule="exact"/>
        <w:ind w:firstLine="643" w:firstLineChars="200"/>
        <w:outlineLvl w:val="2"/>
        <w:rPr>
          <w:rFonts w:ascii="仿宋" w:hAnsi="仿宋" w:eastAsia="仿宋"/>
          <w:color w:val="FF0000"/>
          <w:sz w:val="32"/>
          <w:szCs w:val="32"/>
        </w:rPr>
      </w:pPr>
      <w:bookmarkStart w:id="49" w:name="_Toc15377213"/>
      <w:bookmarkStart w:id="50" w:name="_Toc15378460"/>
      <w:bookmarkStart w:id="51" w:name="_Toc15377444"/>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般公共预算支出决算数为779.73</w:t>
      </w:r>
      <w:r>
        <w:rPr>
          <w:rFonts w:hint="eastAsia" w:ascii="仿宋" w:hAnsi="仿宋" w:eastAsia="仿宋"/>
          <w:b/>
          <w:color w:val="000000" w:themeColor="text1"/>
          <w:sz w:val="32"/>
          <w:szCs w:val="32"/>
          <w:lang w:eastAsia="zh-CN"/>
        </w:rPr>
        <w:t>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9"/>
      <w:bookmarkEnd w:id="50"/>
      <w:bookmarkEnd w:id="51"/>
    </w:p>
    <w:p>
      <w:pPr>
        <w:numPr>
          <w:ilvl w:val="0"/>
          <w:numId w:val="3"/>
        </w:num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一般公共服务</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2010101</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rPr>
        <w:t>行政运行支出决算为501.46万元，完成预算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，主要用于开支日常公用经费及人员经费；2010102</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一般行政管理事务</w:t>
      </w:r>
      <w:r>
        <w:rPr>
          <w:rStyle w:val="16"/>
          <w:rFonts w:hint="eastAsia" w:ascii="仿宋" w:hAnsi="仿宋" w:eastAsia="仿宋"/>
          <w:b w:val="0"/>
          <w:bCs/>
          <w:color w:val="000000"/>
          <w:sz w:val="32"/>
          <w:szCs w:val="32"/>
        </w:rPr>
        <w:t>支出决算为19.39万元，完成预算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，主要用于人大会议等专项公用经费；2010104</w:t>
      </w:r>
      <w:r>
        <w:rPr>
          <w:rStyle w:val="16"/>
          <w:rFonts w:hint="eastAsia" w:ascii="仿宋" w:hAnsi="仿宋" w:eastAsia="仿宋"/>
          <w:b w:val="0"/>
          <w:bCs/>
          <w:color w:val="000000"/>
          <w:sz w:val="32"/>
          <w:szCs w:val="32"/>
          <w:lang w:eastAsia="zh-CN"/>
        </w:rPr>
        <w:tab/>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人大会议</w:t>
      </w:r>
      <w:r>
        <w:rPr>
          <w:rStyle w:val="16"/>
          <w:rFonts w:hint="eastAsia" w:ascii="仿宋" w:hAnsi="仿宋" w:eastAsia="仿宋"/>
          <w:b w:val="0"/>
          <w:bCs/>
          <w:color w:val="000000"/>
          <w:sz w:val="32"/>
          <w:szCs w:val="32"/>
        </w:rPr>
        <w:t>支出决算为29.95万元，完成预算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，主要用于召开人代会相关印刷费，办公费等；2010106</w:t>
      </w:r>
      <w:r>
        <w:rPr>
          <w:rStyle w:val="16"/>
          <w:rFonts w:hint="eastAsia" w:ascii="仿宋" w:hAnsi="仿宋" w:eastAsia="仿宋"/>
          <w:b w:val="0"/>
          <w:bCs/>
          <w:color w:val="000000"/>
          <w:sz w:val="32"/>
          <w:szCs w:val="32"/>
          <w:lang w:eastAsia="zh-CN"/>
        </w:rPr>
        <w:tab/>
      </w:r>
      <w:r>
        <w:rPr>
          <w:rStyle w:val="16"/>
          <w:rFonts w:hint="eastAsia" w:ascii="仿宋" w:hAnsi="仿宋" w:eastAsia="仿宋"/>
          <w:b w:val="0"/>
          <w:bCs/>
          <w:color w:val="000000"/>
          <w:sz w:val="32"/>
          <w:szCs w:val="32"/>
          <w:lang w:eastAsia="zh-CN"/>
        </w:rPr>
        <w:t>—人大监督</w:t>
      </w:r>
      <w:r>
        <w:rPr>
          <w:rStyle w:val="16"/>
          <w:rFonts w:hint="eastAsia" w:ascii="仿宋" w:hAnsi="仿宋" w:eastAsia="仿宋"/>
          <w:b w:val="0"/>
          <w:bCs/>
          <w:color w:val="000000"/>
          <w:sz w:val="32"/>
          <w:szCs w:val="32"/>
        </w:rPr>
        <w:t>支出决算为22.20万元，完成预算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，全部用于预算联网督查室设备采购及建设；2010107</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人大代表履职能力提升</w:t>
      </w:r>
      <w:r>
        <w:rPr>
          <w:rStyle w:val="16"/>
          <w:rFonts w:hint="eastAsia" w:ascii="仿宋" w:hAnsi="仿宋" w:eastAsia="仿宋"/>
          <w:b w:val="0"/>
          <w:bCs/>
          <w:color w:val="000000"/>
          <w:sz w:val="32"/>
          <w:szCs w:val="32"/>
        </w:rPr>
        <w:t>支出决算为9.00万元，完成预算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，主要用于代表履职产生的培训费等开支；2010108</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代表工作</w:t>
      </w:r>
      <w:r>
        <w:rPr>
          <w:rStyle w:val="16"/>
          <w:rFonts w:hint="eastAsia" w:ascii="仿宋" w:hAnsi="仿宋" w:eastAsia="仿宋"/>
          <w:b w:val="0"/>
          <w:bCs/>
          <w:color w:val="000000"/>
          <w:sz w:val="32"/>
          <w:szCs w:val="32"/>
        </w:rPr>
        <w:t>支出决算为27.97万元，完成预算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，主要用于代表视察相关印刷费，公务用车运行维护费等开支；2019999</w:t>
      </w:r>
      <w:r>
        <w:rPr>
          <w:rStyle w:val="16"/>
          <w:rFonts w:hint="eastAsia" w:ascii="仿宋" w:hAnsi="仿宋" w:eastAsia="仿宋"/>
          <w:b w:val="0"/>
          <w:bCs/>
          <w:color w:val="000000"/>
          <w:sz w:val="32"/>
          <w:szCs w:val="32"/>
          <w:lang w:eastAsia="zh-CN"/>
        </w:rPr>
        <w:tab/>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其他一般公共服务支出</w:t>
      </w:r>
      <w:r>
        <w:rPr>
          <w:rStyle w:val="16"/>
          <w:rFonts w:hint="eastAsia" w:ascii="仿宋" w:hAnsi="仿宋" w:eastAsia="仿宋"/>
          <w:b w:val="0"/>
          <w:bCs/>
          <w:color w:val="000000"/>
          <w:sz w:val="32"/>
          <w:szCs w:val="32"/>
        </w:rPr>
        <w:t>决算为7.80万元，完成预算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，主要用于其他代表工作专项经费开支。</w:t>
      </w:r>
    </w:p>
    <w:p>
      <w:pPr>
        <w:numPr>
          <w:ilvl w:val="0"/>
          <w:numId w:val="3"/>
        </w:numPr>
        <w:spacing w:line="600" w:lineRule="exact"/>
        <w:ind w:left="0" w:leftChars="0"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社会保障和就业</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2080505</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rPr>
        <w:t>机关事业单位基本养老保险缴费支出决算为56.04万元，完成预算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全部用于职工缴纳养老保险；2080506</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机关事业单位职业年金缴费支出</w:t>
      </w:r>
      <w:r>
        <w:rPr>
          <w:rStyle w:val="16"/>
          <w:rFonts w:hint="eastAsia" w:ascii="仿宋" w:hAnsi="仿宋" w:eastAsia="仿宋"/>
          <w:b w:val="0"/>
          <w:bCs/>
          <w:color w:val="000000"/>
          <w:sz w:val="32"/>
          <w:szCs w:val="32"/>
        </w:rPr>
        <w:t>决算为25.76万元，完成预算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全部用于职工缴纳职业年金。</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rPr>
        <w:t>卫生健康</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lang w:eastAsia="zh-CN"/>
        </w:rPr>
        <w:t>2101101</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行政单位医疗支出</w:t>
      </w:r>
      <w:r>
        <w:rPr>
          <w:rStyle w:val="16"/>
          <w:rFonts w:hint="eastAsia" w:ascii="仿宋" w:hAnsi="仿宋" w:eastAsia="仿宋"/>
          <w:b w:val="0"/>
          <w:bCs/>
          <w:color w:val="000000"/>
          <w:sz w:val="32"/>
          <w:szCs w:val="32"/>
        </w:rPr>
        <w:t>决算为26.92万元，完成预算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，全部用于职工缴纳医疗保险；2101103</w:t>
      </w:r>
      <w:r>
        <w:rPr>
          <w:rStyle w:val="16"/>
          <w:rFonts w:hint="eastAsia" w:ascii="仿宋" w:hAnsi="仿宋" w:eastAsia="仿宋"/>
          <w:b w:val="0"/>
          <w:bCs/>
          <w:color w:val="000000"/>
          <w:sz w:val="32"/>
          <w:szCs w:val="32"/>
          <w:lang w:eastAsia="zh-CN"/>
        </w:rPr>
        <w:tab/>
      </w:r>
      <w:r>
        <w:rPr>
          <w:rStyle w:val="16"/>
          <w:rFonts w:hint="eastAsia" w:ascii="仿宋" w:hAnsi="仿宋" w:eastAsia="仿宋"/>
          <w:b w:val="0"/>
          <w:bCs/>
          <w:color w:val="000000"/>
          <w:sz w:val="32"/>
          <w:szCs w:val="32"/>
          <w:lang w:val="en-US" w:eastAsia="zh-CN"/>
        </w:rPr>
        <w:t>-</w:t>
      </w:r>
      <w:r>
        <w:rPr>
          <w:rStyle w:val="16"/>
          <w:rFonts w:hint="eastAsia" w:ascii="仿宋" w:hAnsi="仿宋" w:eastAsia="仿宋"/>
          <w:b w:val="0"/>
          <w:bCs/>
          <w:color w:val="000000"/>
          <w:sz w:val="32"/>
          <w:szCs w:val="32"/>
          <w:lang w:eastAsia="zh-CN"/>
        </w:rPr>
        <w:t>公务员医疗补助支出</w:t>
      </w:r>
      <w:r>
        <w:rPr>
          <w:rStyle w:val="16"/>
          <w:rFonts w:hint="eastAsia" w:ascii="仿宋" w:hAnsi="仿宋" w:eastAsia="仿宋"/>
          <w:b w:val="0"/>
          <w:bCs/>
          <w:color w:val="000000"/>
          <w:sz w:val="32"/>
          <w:szCs w:val="32"/>
        </w:rPr>
        <w:t>决算为26.92万元，完成预算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，全部用于职工公务员补充医保。</w:t>
      </w:r>
    </w:p>
    <w:p>
      <w:pPr>
        <w:numPr>
          <w:ilvl w:val="0"/>
          <w:numId w:val="3"/>
        </w:numPr>
        <w:tabs>
          <w:tab w:val="clear" w:pos="312"/>
        </w:tabs>
        <w:spacing w:line="600" w:lineRule="exact"/>
        <w:ind w:left="0" w:leftChars="0" w:firstLine="643" w:firstLineChars="200"/>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住房保障支出：</w:t>
      </w:r>
      <w:r>
        <w:rPr>
          <w:rStyle w:val="16"/>
          <w:rFonts w:hint="eastAsia" w:ascii="仿宋" w:hAnsi="仿宋" w:eastAsia="仿宋"/>
          <w:b w:val="0"/>
          <w:bCs/>
          <w:color w:val="000000"/>
          <w:sz w:val="32"/>
          <w:szCs w:val="32"/>
          <w:lang w:val="en-US" w:eastAsia="zh-CN"/>
        </w:rPr>
        <w:t>2210201</w:t>
      </w:r>
      <w:r>
        <w:rPr>
          <w:rStyle w:val="16"/>
          <w:rFonts w:hint="eastAsia" w:ascii="仿宋" w:hAnsi="仿宋" w:eastAsia="仿宋"/>
          <w:b w:val="0"/>
          <w:bCs/>
          <w:color w:val="000000"/>
          <w:sz w:val="32"/>
          <w:szCs w:val="32"/>
          <w:lang w:val="en-US" w:eastAsia="zh-CN"/>
        </w:rPr>
        <w:tab/>
      </w:r>
      <w:r>
        <w:rPr>
          <w:rStyle w:val="16"/>
          <w:rFonts w:hint="eastAsia" w:ascii="仿宋" w:hAnsi="仿宋" w:eastAsia="仿宋"/>
          <w:b w:val="0"/>
          <w:bCs/>
          <w:color w:val="000000"/>
          <w:sz w:val="32"/>
          <w:szCs w:val="32"/>
          <w:lang w:val="en-US" w:eastAsia="zh-CN"/>
        </w:rPr>
        <w:t>-住房公积金</w:t>
      </w:r>
      <w:r>
        <w:rPr>
          <w:rStyle w:val="16"/>
          <w:rFonts w:hint="eastAsia" w:ascii="仿宋" w:hAnsi="仿宋" w:eastAsia="仿宋"/>
          <w:b w:val="0"/>
          <w:bCs/>
          <w:color w:val="000000"/>
          <w:sz w:val="32"/>
          <w:szCs w:val="32"/>
          <w:lang w:eastAsia="zh-CN"/>
        </w:rPr>
        <w:t>支出决</w:t>
      </w:r>
      <w:r>
        <w:rPr>
          <w:rStyle w:val="16"/>
          <w:rFonts w:hint="eastAsia" w:ascii="仿宋" w:hAnsi="仿宋" w:eastAsia="仿宋"/>
          <w:b w:val="0"/>
          <w:bCs/>
          <w:color w:val="000000"/>
          <w:sz w:val="32"/>
          <w:szCs w:val="32"/>
        </w:rPr>
        <w:t>算为45.95万元，完成预算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，全部用于职工缴纳住房公积金单位部分。</w:t>
      </w:r>
    </w:p>
    <w:p>
      <w:pPr>
        <w:tabs>
          <w:tab w:val="right" w:pos="8306"/>
        </w:tabs>
        <w:spacing w:line="600" w:lineRule="exact"/>
        <w:ind w:firstLine="640"/>
        <w:outlineLvl w:val="1"/>
        <w:rPr>
          <w:rStyle w:val="27"/>
        </w:rPr>
      </w:pPr>
      <w:bookmarkStart w:id="52" w:name="_Toc15396608"/>
      <w:bookmarkStart w:id="53" w:name="_Toc25587"/>
      <w:bookmarkStart w:id="54"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2"/>
      <w:bookmarkEnd w:id="53"/>
      <w:bookmarkEnd w:id="54"/>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9年一般公共预算财政拨款基本支出663.41万元，其中：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人员经费607.9</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万元，主要包括：基本工资133.10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、津贴补贴187.12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、奖金89.10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、机关事业单位基本养老保险缴费56.04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、职业年金缴费25.76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、其他社会保障缴费6.42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、职工基本医疗保险缴费26.92</w:t>
      </w:r>
      <w:r>
        <w:rPr>
          <w:rFonts w:hint="eastAsia" w:ascii="仿宋" w:hAnsi="仿宋" w:eastAsia="仿宋"/>
          <w:color w:val="000000"/>
          <w:sz w:val="32"/>
          <w:szCs w:val="32"/>
          <w:lang w:eastAsia="zh-CN"/>
        </w:rPr>
        <w:t>万元、公务员医疗补助缴费7.28万元、住房公积金45.95万元、医疗费1.94万元、抚恤金20.65万元、生活补助7.18万元、医疗费补助0.52万元、奖励金0.01万元。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日常公用经费55.4</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万元，主要包括：办公费7.28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、水费0.28</w:t>
      </w:r>
      <w:r>
        <w:rPr>
          <w:rFonts w:hint="eastAsia" w:ascii="仿宋" w:hAnsi="仿宋" w:eastAsia="仿宋"/>
          <w:color w:val="000000"/>
          <w:sz w:val="32"/>
          <w:szCs w:val="32"/>
          <w:lang w:eastAsia="zh-CN"/>
        </w:rPr>
        <w:t>万元、邮电费10.54万元、取暖费2.38万元、差旅费8.41万元、维修（护）费0.69万元、培训费1.65万元、公务接待费</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lang w:eastAsia="zh-CN"/>
        </w:rPr>
        <w:t>万元、公务用车运行维护费21.90万元、其他交通费用1.04万元。</w:t>
      </w:r>
    </w:p>
    <w:p>
      <w:pPr>
        <w:spacing w:line="600" w:lineRule="exact"/>
        <w:ind w:firstLine="645"/>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ind w:firstLine="640"/>
        <w:outlineLvl w:val="1"/>
        <w:rPr>
          <w:rStyle w:val="27"/>
          <w:rFonts w:ascii="黑体" w:hAnsi="黑体" w:eastAsia="黑体"/>
          <w:b w:val="0"/>
        </w:rPr>
      </w:pPr>
      <w:bookmarkStart w:id="55" w:name="_Toc15377215"/>
      <w:bookmarkStart w:id="56" w:name="_Toc15396609"/>
      <w:bookmarkStart w:id="57" w:name="_Toc67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55"/>
      <w:bookmarkEnd w:id="56"/>
      <w:bookmarkEnd w:id="57"/>
    </w:p>
    <w:p>
      <w:pPr>
        <w:spacing w:line="600" w:lineRule="exact"/>
        <w:ind w:firstLine="640"/>
        <w:outlineLvl w:val="2"/>
        <w:rPr>
          <w:rFonts w:ascii="仿宋" w:hAnsi="仿宋" w:eastAsia="仿宋"/>
          <w:b/>
          <w:color w:val="000000"/>
          <w:sz w:val="32"/>
          <w:szCs w:val="32"/>
        </w:rPr>
      </w:pPr>
      <w:bookmarkStart w:id="58" w:name="_Toc15377216"/>
      <w:r>
        <w:rPr>
          <w:rFonts w:hint="eastAsia" w:ascii="仿宋" w:hAnsi="仿宋" w:eastAsia="仿宋"/>
          <w:b/>
          <w:color w:val="000000"/>
          <w:sz w:val="32"/>
          <w:szCs w:val="32"/>
        </w:rPr>
        <w:t>（一）“三公”经费财政拨款支出决算总体情况说明</w:t>
      </w:r>
      <w:bookmarkEnd w:id="5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9年“三公”经费财政拨款支出决算为40.73万元，完成预算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59" w:name="_Toc15377217"/>
      <w:r>
        <w:rPr>
          <w:rFonts w:hint="eastAsia" w:ascii="仿宋" w:hAnsi="仿宋" w:eastAsia="仿宋"/>
          <w:b/>
          <w:color w:val="000000"/>
          <w:sz w:val="32"/>
          <w:szCs w:val="32"/>
        </w:rPr>
        <w:t>（二）“三公”经费财政拨款支出决算具体情况说明</w:t>
      </w:r>
      <w:bookmarkEnd w:id="5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；公务用车购置及运行维护费支出决算40.51万元，占</w:t>
      </w:r>
      <w:r>
        <w:rPr>
          <w:rFonts w:hint="eastAsia" w:ascii="仿宋" w:hAnsi="仿宋" w:eastAsia="仿宋"/>
          <w:color w:val="000000"/>
          <w:sz w:val="32"/>
          <w:szCs w:val="32"/>
          <w:lang w:val="en-US" w:eastAsia="zh-CN"/>
        </w:rPr>
        <w:t>99.46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382270</wp:posOffset>
            </wp:positionH>
            <wp:positionV relativeFrom="paragraph">
              <wp:posOffset>137795</wp:posOffset>
            </wp:positionV>
            <wp:extent cx="4699000" cy="2609850"/>
            <wp:effectExtent l="4445" t="4445" r="20955" b="14605"/>
            <wp:wrapTight wrapText="bothSides">
              <wp:wrapPolygon>
                <wp:start x="-20" y="-37"/>
                <wp:lineTo x="-20" y="21563"/>
                <wp:lineTo x="21521" y="21563"/>
                <wp:lineTo x="21521" y="-37"/>
                <wp:lineTo x="-20" y="-37"/>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numPr>
          <w:ilvl w:val="0"/>
          <w:numId w:val="4"/>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40.51万元,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厉行节约，减少不必要的开支。</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w:t>
      </w:r>
      <w:r>
        <w:rPr>
          <w:rFonts w:hint="eastAsia" w:ascii="仿宋_GB2312" w:eastAsia="仿宋_GB2312"/>
          <w:color w:val="000000"/>
          <w:sz w:val="32"/>
          <w:szCs w:val="32"/>
          <w:lang w:eastAsia="zh-CN"/>
        </w:rPr>
        <w:t>未新购车辆。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40.51万元。主要用于</w:t>
      </w:r>
      <w:r>
        <w:rPr>
          <w:rFonts w:hint="eastAsia" w:ascii="仿宋_GB2312" w:eastAsia="仿宋_GB2312"/>
          <w:color w:val="000000"/>
          <w:sz w:val="32"/>
          <w:szCs w:val="32"/>
          <w:lang w:eastAsia="zh-CN"/>
        </w:rPr>
        <w:t>人大工作出差、开展脱贫攻坚工作下乡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2.54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92.03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厉行节约减少了不必要的接待。</w:t>
      </w:r>
    </w:p>
    <w:p>
      <w:pPr>
        <w:spacing w:line="600" w:lineRule="exact"/>
        <w:ind w:firstLine="640"/>
        <w:rPr>
          <w:rFonts w:hint="default" w:ascii="仿宋_GB2312" w:eastAsia="仿宋_GB2312"/>
          <w:color w:val="auto"/>
          <w:sz w:val="32"/>
          <w:szCs w:val="32"/>
          <w:lang w:val="en-US"/>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0.222</w:t>
      </w:r>
      <w:r>
        <w:rPr>
          <w:rFonts w:hint="eastAsia" w:ascii="仿宋_GB2312" w:eastAsia="仿宋_GB2312"/>
          <w:color w:val="auto"/>
          <w:sz w:val="32"/>
          <w:szCs w:val="32"/>
        </w:rPr>
        <w:t>万元，</w:t>
      </w:r>
      <w:r>
        <w:rPr>
          <w:rFonts w:hint="eastAsia" w:ascii="仿宋_GB2312" w:eastAsia="仿宋_GB2312"/>
          <w:color w:val="000000"/>
          <w:sz w:val="32"/>
          <w:szCs w:val="32"/>
        </w:rPr>
        <w:t>主要用于执行公务、开展业务活动开支的交通费、住宿费、用餐费等</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0.222</w:t>
      </w:r>
      <w:r>
        <w:rPr>
          <w:rFonts w:hint="eastAsia" w:ascii="仿宋_GB2312" w:eastAsia="仿宋_GB2312"/>
          <w:color w:val="auto"/>
          <w:sz w:val="32"/>
          <w:szCs w:val="32"/>
        </w:rPr>
        <w:t>万元，具体内容包括：</w:t>
      </w:r>
      <w:r>
        <w:rPr>
          <w:rFonts w:hint="eastAsia" w:ascii="仿宋_GB2312" w:eastAsia="仿宋_GB2312"/>
          <w:color w:val="auto"/>
          <w:sz w:val="32"/>
          <w:szCs w:val="32"/>
          <w:lang w:eastAsia="zh-CN"/>
        </w:rPr>
        <w:t>参加州委组织部红原慰问支出餐费</w:t>
      </w:r>
      <w:r>
        <w:rPr>
          <w:rFonts w:hint="eastAsia" w:ascii="仿宋_GB2312" w:eastAsia="仿宋_GB2312"/>
          <w:color w:val="auto"/>
          <w:sz w:val="32"/>
          <w:szCs w:val="32"/>
          <w:lang w:val="en-US" w:eastAsia="zh-CN"/>
        </w:rPr>
        <w:t>0.0905万元；环境保护开发与利用调研餐费0.039万元；公共文化体系调研餐费0.0345万元；开展基层卫生服务能力建设调研餐费0.058万元。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60" w:name="_Toc15377218"/>
      <w:bookmarkStart w:id="61" w:name="_Toc15396610"/>
    </w:p>
    <w:p>
      <w:pPr>
        <w:spacing w:line="600" w:lineRule="exact"/>
        <w:ind w:firstLine="640"/>
        <w:outlineLvl w:val="1"/>
        <w:rPr>
          <w:rStyle w:val="27"/>
          <w:rFonts w:ascii="黑体" w:hAnsi="黑体" w:eastAsia="黑体"/>
        </w:rPr>
      </w:pPr>
      <w:bookmarkStart w:id="62" w:name="_Toc9361"/>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0"/>
      <w:bookmarkEnd w:id="61"/>
      <w:bookmarkEnd w:id="6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5"/>
        </w:numPr>
        <w:spacing w:line="600" w:lineRule="exact"/>
        <w:ind w:firstLine="640"/>
        <w:outlineLvl w:val="1"/>
        <w:rPr>
          <w:rStyle w:val="27"/>
          <w:rFonts w:ascii="黑体" w:hAnsi="黑体" w:eastAsia="黑体"/>
          <w:b w:val="0"/>
        </w:rPr>
      </w:pPr>
      <w:bookmarkStart w:id="63" w:name="_Toc15396611"/>
      <w:bookmarkStart w:id="64" w:name="_Toc18581"/>
      <w:bookmarkStart w:id="65" w:name="_Toc15377219"/>
      <w:r>
        <w:rPr>
          <w:rStyle w:val="27"/>
          <w:rFonts w:hint="eastAsia" w:ascii="黑体" w:hAnsi="黑体" w:eastAsia="黑体"/>
          <w:b w:val="0"/>
        </w:rPr>
        <w:t>国有资本经营预算支出决算情况说明</w:t>
      </w:r>
      <w:bookmarkEnd w:id="63"/>
      <w:bookmarkEnd w:id="64"/>
      <w:bookmarkEnd w:id="6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27"/>
          <w:rFonts w:ascii="黑体" w:hAnsi="黑体" w:eastAsia="黑体"/>
        </w:rPr>
      </w:pPr>
      <w:bookmarkStart w:id="66" w:name="_Toc15396612"/>
      <w:bookmarkStart w:id="67" w:name="_Toc29642"/>
      <w:bookmarkStart w:id="68"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66"/>
      <w:bookmarkEnd w:id="67"/>
      <w:bookmarkEnd w:id="68"/>
    </w:p>
    <w:p>
      <w:pPr>
        <w:spacing w:line="600" w:lineRule="exact"/>
        <w:ind w:firstLine="643" w:firstLineChars="200"/>
        <w:outlineLvl w:val="2"/>
        <w:rPr>
          <w:rFonts w:ascii="仿宋" w:hAnsi="仿宋" w:eastAsia="仿宋"/>
          <w:color w:val="000000"/>
          <w:sz w:val="32"/>
          <w:szCs w:val="32"/>
        </w:rPr>
      </w:pPr>
      <w:bookmarkStart w:id="69" w:name="_Toc15377222"/>
      <w:r>
        <w:rPr>
          <w:rFonts w:hint="eastAsia" w:ascii="仿宋" w:hAnsi="仿宋" w:eastAsia="仿宋"/>
          <w:b/>
          <w:color w:val="000000"/>
          <w:sz w:val="32"/>
          <w:szCs w:val="32"/>
        </w:rPr>
        <w:t>（一）机关运行经费支出情况</w:t>
      </w:r>
      <w:bookmarkEnd w:id="69"/>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机关运行经费支出55.43万元，比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24.51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厉行节约减少不必要的开支。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0" w:name="_Toc15377223"/>
      <w:r>
        <w:rPr>
          <w:rFonts w:hint="eastAsia" w:ascii="仿宋" w:hAnsi="仿宋" w:eastAsia="仿宋"/>
          <w:b/>
          <w:color w:val="000000"/>
          <w:sz w:val="32"/>
          <w:szCs w:val="32"/>
        </w:rPr>
        <w:t>（二）政府采购支出情况</w:t>
      </w:r>
      <w:bookmarkEnd w:id="7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政府采购支出总额22.20万元，其中：政府采购货物支出22.20万元、政府采购工程支出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预算联网督查室采购办公桌椅，相关计算机软硬件设备、文件柜等，</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22.2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22.2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1" w:name="_Toc15377224"/>
      <w:r>
        <w:rPr>
          <w:rFonts w:hint="eastAsia" w:ascii="仿宋" w:hAnsi="仿宋" w:eastAsia="仿宋"/>
          <w:b/>
          <w:color w:val="000000"/>
          <w:sz w:val="32"/>
          <w:szCs w:val="32"/>
        </w:rPr>
        <w:t>（三）国有资产占有使用情况</w:t>
      </w:r>
      <w:bookmarkEnd w:id="71"/>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红原县人大</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
        <w:numPr>
          <w:ilvl w:val="0"/>
          <w:numId w:val="6"/>
        </w:numPr>
        <w:ind w:left="480" w:leftChars="0" w:firstLine="0" w:firstLineChars="0"/>
        <w:rPr>
          <w:rFonts w:hint="eastAsia" w:ascii="仿宋" w:hAnsi="仿宋" w:eastAsia="仿宋" w:cs="Times New Roman"/>
          <w:b/>
          <w:color w:val="000000"/>
          <w:kern w:val="2"/>
          <w:sz w:val="32"/>
          <w:szCs w:val="32"/>
          <w:lang w:val="en-US" w:eastAsia="zh-CN" w:bidi="ar-SA"/>
        </w:rPr>
      </w:pPr>
      <w:r>
        <w:rPr>
          <w:rFonts w:hint="eastAsia" w:ascii="仿宋" w:hAnsi="仿宋" w:eastAsia="仿宋" w:cs="Times New Roman"/>
          <w:b/>
          <w:color w:val="000000"/>
          <w:kern w:val="2"/>
          <w:sz w:val="32"/>
          <w:szCs w:val="32"/>
          <w:lang w:val="en-US" w:eastAsia="zh-CN" w:bidi="ar-SA"/>
        </w:rPr>
        <w:t>由养老保险机构发放养老金的退休人员</w:t>
      </w:r>
    </w:p>
    <w:p>
      <w:pPr>
        <w:pStyle w:val="2"/>
        <w:numPr>
          <w:ilvl w:val="0"/>
          <w:numId w:val="0"/>
        </w:numPr>
        <w:ind w:firstLine="640" w:firstLineChars="200"/>
        <w:rPr>
          <w:rFonts w:hint="default"/>
          <w:lang w:val="en-US"/>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本单位由养老保险机构发放养老金的退休人员24人，较上年减少1人，减少为去世1名退休员工。</w:t>
      </w:r>
    </w:p>
    <w:p>
      <w:pPr>
        <w:spacing w:line="600" w:lineRule="exact"/>
        <w:ind w:firstLine="800" w:firstLineChars="250"/>
        <w:outlineLvl w:val="1"/>
        <w:rPr>
          <w:rStyle w:val="27"/>
          <w:rFonts w:hint="default" w:ascii="黑体" w:hAnsi="黑体" w:eastAsia="黑体"/>
          <w:lang w:val="en-US" w:eastAsia="zh-CN"/>
        </w:rPr>
      </w:pPr>
      <w:bookmarkStart w:id="72" w:name="_Toc20759"/>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lang w:val="en-US" w:eastAsia="zh-CN"/>
        </w:rPr>
        <w:t>预算绩效情况说明</w:t>
      </w:r>
      <w:bookmarkEnd w:id="7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人大代表专项、人大会议专项及人大监督3个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3个项目完成情况良好，严格按照本单位制定的目标绩效管理制度来开展绩效管理工作，项目资金为专项经费的，全部用于专项工作。整体工作开展良好经费全部按照相关管理办法使用。</w:t>
      </w:r>
    </w:p>
    <w:p>
      <w:pPr>
        <w:numPr>
          <w:ilvl w:val="0"/>
          <w:numId w:val="7"/>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人大代表专项”、“人大会议专项”及“人大监督”</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29.95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29.95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2019年两会的顺利召开和常委会平时开展的会议和有关会议工作的经费保障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未细化到每次召开会议的支出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：具体制定每次召开会议前的预算。</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代表工作</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27.97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27.97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通过对人大代表的履职能力培训，参与项目调研来综合提高代表的履职能力和参与感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一部分代表在履职能力方面还有待加强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继续提高人大代表的履职能力。</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人大监督</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22.2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通过对预算联网督查室的建设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为后期人大履行监督职责提供了很好的平台与物质保障，通过预算联网督查有效实现数据的统一收集，对比关联，提高人大督查工作效率。</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由于预算联网督查室刚建设好，很多相关工作还不太熟悉</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提高相关业务人员业务素养，加强学习。</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29.95万元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29.95万元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29.95万元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29.95万元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全年共召开常委会8次、主任会议16次，听取和审议“一府一委两院”专项工作报告20项，作出决议决定8项</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,8次常委会，20次主任会议的召开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全年共召开常委会8次、主任会议16次，听取和审议“一府一委两院”专项工作报告20项，作出决议决定8项</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代表工作</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27.97万元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27.97万元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27.97万元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27.97万元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通过对人大代表的各方面培训及参与专题调研来提高人大代表的履职能力。</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完成对人大代表的培训</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完成对人大代表的培训</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有所提高</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通过培训，认清自己的权利和义务，懂得如何行好自己的职责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人大代表提出了城乡建设生态环境保护方面的建议。</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人大监督</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22.2万元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22.2万元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2019年基本完成预算联网督查室的相关建设工作2020年已正式投入使用</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w:t>
            </w:r>
            <w:r>
              <w:rPr>
                <w:rFonts w:hint="eastAsia" w:ascii="宋体" w:hAnsi="宋体" w:cs="宋体"/>
                <w:color w:val="000000"/>
                <w:sz w:val="20"/>
                <w:szCs w:val="20"/>
                <w:lang w:val="en-US" w:eastAsia="zh-CN"/>
              </w:rPr>
              <w:t>预算联网督查室的相关建设</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w:t>
            </w:r>
            <w:r>
              <w:rPr>
                <w:rFonts w:hint="eastAsia" w:ascii="宋体" w:hAnsi="宋体" w:cs="宋体"/>
                <w:color w:val="000000"/>
                <w:sz w:val="20"/>
                <w:szCs w:val="20"/>
                <w:lang w:val="en-US" w:eastAsia="zh-CN"/>
              </w:rPr>
              <w:t>预算联网督查室的相关建设</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2020年投入使用实现全面监督</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通过预算联网督查室建设，有效实现人大监督职责，为全县经济环境社会发展做好监督工作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2020年投入使用实现全面监督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通过监督有效实现了对环保资金的监督，确保环保资金用到实处</w:t>
            </w:r>
            <w:r>
              <w:rPr>
                <w:rFonts w:hint="eastAsia" w:ascii="宋体" w:hAnsi="宋体" w:cs="宋体"/>
                <w:color w:val="000000"/>
                <w:sz w:val="20"/>
                <w:szCs w:val="20"/>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促进了相关环保资金的有效合理使用</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红原县人大常委会办公室</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代表工作</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红原县人大常委会办公室人大会议</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红原县人大常委会办公室代表工作</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0" w:firstLineChars="150"/>
        <w:jc w:val="center"/>
        <w:outlineLvl w:val="0"/>
        <w:rPr>
          <w:rStyle w:val="26"/>
          <w:rFonts w:ascii="黑体" w:hAnsi="黑体" w:eastAsia="黑体"/>
          <w:b w:val="0"/>
        </w:rPr>
      </w:pPr>
      <w:bookmarkStart w:id="73" w:name="_Toc28253"/>
      <w:bookmarkStart w:id="74" w:name="_Toc15396613"/>
      <w:bookmarkStart w:id="75"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73"/>
      <w:bookmarkEnd w:id="74"/>
      <w:bookmarkEnd w:id="75"/>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Style w:val="32"/>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6" w:name="_Toc15377226"/>
      <w:r>
        <w:rPr>
          <w:rFonts w:ascii="宋体"/>
          <w:b/>
          <w:color w:val="000000"/>
          <w:sz w:val="44"/>
          <w:szCs w:val="44"/>
        </w:rPr>
        <w:br w:type="page"/>
      </w:r>
      <w:bookmarkStart w:id="77" w:name="_Toc15396614"/>
      <w:r>
        <w:rPr>
          <w:rFonts w:hint="eastAsia" w:ascii="黑体" w:hAnsi="黑体" w:eastAsia="黑体"/>
          <w:color w:val="000000"/>
          <w:sz w:val="44"/>
          <w:szCs w:val="44"/>
        </w:rPr>
        <w:t>第</w:t>
      </w:r>
      <w:r>
        <w:rPr>
          <w:rStyle w:val="32"/>
          <w:rFonts w:hint="eastAsia" w:ascii="黑体" w:hAnsi="黑体" w:eastAsia="黑体"/>
          <w:b w:val="0"/>
        </w:rPr>
        <w:t>四部分 附件</w:t>
      </w:r>
      <w:bookmarkEnd w:id="77"/>
    </w:p>
    <w:p>
      <w:pPr>
        <w:pStyle w:val="5"/>
        <w:rPr>
          <w:rStyle w:val="32"/>
          <w:rFonts w:ascii="仿宋" w:hAnsi="仿宋" w:eastAsia="仿宋"/>
          <w:b w:val="0"/>
          <w:bCs w:val="0"/>
          <w:sz w:val="32"/>
          <w:szCs w:val="32"/>
        </w:rPr>
      </w:pPr>
      <w:bookmarkStart w:id="78" w:name="_Toc15396615"/>
      <w:bookmarkStart w:id="79" w:name="_Toc16693"/>
      <w:r>
        <w:rPr>
          <w:rStyle w:val="32"/>
          <w:rFonts w:hint="eastAsia" w:ascii="仿宋" w:hAnsi="仿宋" w:eastAsia="仿宋"/>
          <w:b w:val="0"/>
          <w:bCs w:val="0"/>
          <w:sz w:val="32"/>
          <w:szCs w:val="32"/>
        </w:rPr>
        <w:t>附件1</w:t>
      </w:r>
      <w:bookmarkEnd w:id="78"/>
      <w:bookmarkEnd w:id="7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b/>
          <w:bCs/>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（一）机构组成</w:t>
      </w:r>
    </w:p>
    <w:p>
      <w:pPr>
        <w:keepNext w:val="0"/>
        <w:keepLines w:val="0"/>
        <w:pageBreakBefore w:val="0"/>
        <w:widowControl w:val="0"/>
        <w:kinsoku/>
        <w:wordWrap/>
        <w:overflowPunct/>
        <w:topLinePunct w:val="0"/>
        <w:autoSpaceDE/>
        <w:autoSpaceDN/>
        <w:bidi w:val="0"/>
        <w:spacing w:line="540" w:lineRule="exact"/>
        <w:ind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w:t>
      </w:r>
    </w:p>
    <w:p>
      <w:pPr>
        <w:keepNext w:val="0"/>
        <w:keepLines w:val="0"/>
        <w:widowControl/>
        <w:numPr>
          <w:ilvl w:val="0"/>
          <w:numId w:val="9"/>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机构职能</w:t>
      </w:r>
    </w:p>
    <w:p>
      <w:pPr>
        <w:numPr>
          <w:ilvl w:val="0"/>
          <w:numId w:val="0"/>
        </w:numPr>
        <w:spacing w:line="560" w:lineRule="exact"/>
        <w:ind w:leftChars="35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1、综合办公室主要职能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2、人大常委会财经工作委员会</w:t>
      </w:r>
    </w:p>
    <w:p>
      <w:pPr>
        <w:spacing w:line="560" w:lineRule="exact"/>
        <w:ind w:firstLine="480" w:firstLineChars="15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（1）负责承办县人大及其常委会调查预算、审查预算调整方案和监督预算执行方面的具体工作。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（2）负责有关移民、环境保护、城乡建设及有关方面的执法检查、视察等组织协调工作。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（3）负责督促县人民政府及有关部门执行财政、经济、建设等方面的行政法律法规，督促上级和本级人民代表大会及其常委会决议、决定的贯彻实施。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(4)负责与发展计划委员会、经济委员会、财政局、国土资源和房屋管理局、建设委员会、交通局、商业委员会、审计局、移民局、环境保护局、统计局、安全生产监督管理局及其有关部门的工作联系。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3、人大常委会农业工作委员会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(1)负责对农村、农业、农民重大问题的调查研究。</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(2)负责有关农业和农村工作的执法检查、视察等组织协调工</w:t>
      </w:r>
    </w:p>
    <w:p>
      <w:pPr>
        <w:spacing w:line="560" w:lineRule="exact"/>
        <w:ind w:firstLine="480" w:firstLineChars="15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（3）负责督促县人民政府及有关部门执行农业和农村工作方面的行政法律法规，督促上级和本级人民代表大会及其常委会决议、决定的贯彻实施。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（4）负责与水利农机局、农业局、林业局、政府农村工作办公室及有关部门的工作联系。</w:t>
      </w:r>
    </w:p>
    <w:p>
      <w:pPr>
        <w:spacing w:line="560" w:lineRule="exact"/>
        <w:ind w:firstLine="480" w:firstLineChars="150"/>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color w:val="000000"/>
          <w:sz w:val="32"/>
          <w:szCs w:val="32"/>
          <w:shd w:val="clear" w:color="auto" w:fill="FFFFFF"/>
        </w:rPr>
        <w:t>4、县人大常委会法制工作委员会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（1）参与拟订依法治县工作规划、计划；督促、检查行政执法责任制的贯彻执行；负责规范性文件的备案、审查工作；研究答复有关法律、法规问题的询问；督促普及法律知识工作的实施。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（2）负责办理公民、法人和其他组织就司法案件向县人大及其常委会提出的申诉、控告、检举；办理市人大内司委交办或外地人大商请开县人大法制工作委员会监督的司法案件。</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（3）负责督促县人民政府及有关部门执行有关法律法规，督促上级和本级人民代表大会及其常委会决议、决定的贯彻实施。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（4）负责与县人民法院、县人民检察院、公安局、监察局、民政局、司法局及有关部门的工作联系。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5、人大常委会教科文卫工作委员会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（1）负责承办县人大及其常委会对教科文卫方面重大问题的调查研究。</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（2）负责有关教科文卫方面的执法检查、视察等组织协调工作。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（3）负责督促县人民政府及有关部门执行教科文卫方面的行政法律法规，督促上级和本级人民代表大会及其常委会决议、决定的贯彻实施。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（4）负责与教育委员会、科学技术委员会、文化广播电视局、卫生局、人口与计划生育委员会及有关部门的工作联系。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6、人大常委会人事代表工作委员会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（1）草拟有关人事任免、选举和代表联络工作方面的办法；承办提请县人大常委会任命干部的任前法律知识考试；办理代表参加县人大常委会评议工作和公民旁听县人大常委会会议的有关事宜。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（2）指导乡镇人大的组织、业务建设；指导乡镇人大代表的换届选举工作；答复乡镇人大在选举和执行有关法律法规工作中的问题。</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人大代表的联络工作，组织代表开展检查、调查和视察活动，办理代表议案、建议、批评和意见，收集、整理、总结、交流代表工作经验；承办本县的市人大代表和县人大代表的选举、补选、罢免等具体工作；承办选举县人大常委会组成人员、政府及两院负责人的工作；掌握我县的市人大代表和县人大代表的变动情况。</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（4）负责群众来信来访的登记接待工作，受理人民群众的有关申诉和控告，承办上级机关和常委会领导交办的重要信访案件，安排领导接待群众来访，综合汇总来信来访中的重大情况和普遍性问题。</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lang w:val="zh-CN" w:eastAsia="zh-CN"/>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w:t>
      </w:r>
      <w:r>
        <w:rPr>
          <w:rFonts w:hint="eastAsia" w:ascii="仿宋_GB2312" w:hAnsi="仿宋_GB2312" w:eastAsia="仿宋_GB2312" w:cs="仿宋_GB2312"/>
          <w:bCs/>
          <w:color w:val="auto"/>
          <w:sz w:val="32"/>
          <w:szCs w:val="32"/>
        </w:rPr>
        <w:t>在职</w:t>
      </w:r>
      <w:r>
        <w:rPr>
          <w:rFonts w:hint="eastAsia" w:ascii="仿宋_GB2312" w:hAnsi="仿宋_GB2312" w:eastAsia="仿宋_GB2312" w:cs="仿宋_GB2312"/>
          <w:bCs/>
          <w:color w:val="auto"/>
          <w:sz w:val="32"/>
          <w:szCs w:val="32"/>
          <w:lang w:val="en-US" w:eastAsia="zh-CN"/>
        </w:rPr>
        <w:t>26</w:t>
      </w:r>
      <w:r>
        <w:rPr>
          <w:rFonts w:hint="eastAsia" w:ascii="仿宋_GB2312" w:hAnsi="仿宋_GB2312" w:eastAsia="仿宋_GB2312" w:cs="仿宋_GB2312"/>
          <w:bCs/>
          <w:color w:val="auto"/>
          <w:sz w:val="32"/>
          <w:szCs w:val="32"/>
        </w:rPr>
        <w:t>人，其中公务员</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eastAsia="zh-CN"/>
        </w:rPr>
        <w:t>行政工勤</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仿宋_GB2312" w:hAnsi="仿宋_GB2312" w:eastAsia="仿宋_GB2312" w:cs="仿宋_GB2312"/>
          <w:b/>
          <w:bCs/>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757.53万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（其中：一般公共服务支出595.58万元，社会保障和就业支出81.79万元，医疗卫生与计划生育支出34.21万元，住房保障支出45.95万元）。</w:t>
      </w:r>
    </w:p>
    <w:p>
      <w:pPr>
        <w:keepNext w:val="0"/>
        <w:keepLines w:val="0"/>
        <w:widowControl/>
        <w:numPr>
          <w:ilvl w:val="0"/>
          <w:numId w:val="0"/>
        </w:numPr>
        <w:suppressLineNumbers w:val="0"/>
        <w:adjustRightInd w:val="0"/>
        <w:snapToGrid w:val="0"/>
        <w:spacing w:before="0" w:beforeAutospacing="0" w:after="0" w:afterAutospacing="0" w:line="480" w:lineRule="exact"/>
        <w:ind w:left="0" w:right="0" w:rightChars="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left="0" w:leftChars="0" w:right="0" w:rightChars="0" w:firstLine="720" w:firstLineChars="225"/>
        <w:jc w:val="left"/>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779.73万</w:t>
      </w:r>
      <w:r>
        <w:rPr>
          <w:rFonts w:hint="eastAsia" w:ascii="仿宋_GB2312" w:hAnsi="仿宋_GB2312" w:eastAsia="仿宋_GB2312" w:cs="仿宋_GB2312"/>
          <w:color w:val="000000"/>
          <w:sz w:val="32"/>
          <w:szCs w:val="32"/>
          <w:lang w:eastAsia="zh-CN"/>
        </w:rPr>
        <w:t>元（其中：</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617.78万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81.79万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，医疗卫生支出</w:t>
      </w:r>
      <w:r>
        <w:rPr>
          <w:rFonts w:hint="eastAsia" w:ascii="仿宋_GB2312" w:hAnsi="仿宋_GB2312" w:eastAsia="仿宋_GB2312" w:cs="仿宋_GB2312"/>
          <w:color w:val="000000"/>
          <w:sz w:val="32"/>
          <w:szCs w:val="32"/>
          <w:lang w:val="en-US" w:eastAsia="zh-CN"/>
        </w:rPr>
        <w:t>34.21万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住房保障支出45.95万元</w:t>
      </w:r>
      <w:r>
        <w:rPr>
          <w:rFonts w:hint="eastAsia" w:ascii="仿宋_GB2312" w:hAnsi="仿宋_GB2312" w:eastAsia="仿宋_GB2312" w:cs="仿宋_GB2312"/>
          <w:color w:val="000000"/>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bCs/>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eastAsia="仿宋_GB2312" w:cs="仿宋_GB2312"/>
          <w:b w:val="0"/>
          <w:bCs w:val="0"/>
          <w:color w:val="000000"/>
          <w:sz w:val="32"/>
          <w:szCs w:val="32"/>
          <w:lang w:eastAsia="zh-CN"/>
        </w:rPr>
        <w:t>人大常委会办公室</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红原县人大事务</w:t>
      </w:r>
      <w:r>
        <w:rPr>
          <w:rFonts w:hint="eastAsia" w:ascii="仿宋_GB2312" w:hAnsi="仿宋_GB2312" w:eastAsia="仿宋_GB2312" w:cs="仿宋_GB2312"/>
          <w:b w:val="0"/>
          <w:bCs w:val="0"/>
          <w:color w:val="000000"/>
          <w:sz w:val="32"/>
          <w:szCs w:val="32"/>
        </w:rPr>
        <w:t>发展相关工作而编制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eastAsia="仿宋_GB2312" w:cs="仿宋_GB2312"/>
          <w:b w:val="0"/>
          <w:bCs w:val="0"/>
          <w:color w:val="000000"/>
          <w:sz w:val="32"/>
          <w:szCs w:val="32"/>
          <w:lang w:eastAsia="zh-CN"/>
        </w:rPr>
        <w:t>红原县人大办</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培训费、会议费、人大代表视察费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0.00</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spacing w:line="600" w:lineRule="exact"/>
        <w:ind w:firstLine="640"/>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cs="仿宋_GB2312"/>
          <w:b w:val="0"/>
          <w:bCs w:val="0"/>
          <w:color w:val="000000"/>
          <w:sz w:val="32"/>
          <w:szCs w:val="32"/>
          <w:lang w:val="en-US" w:eastAsia="zh-CN"/>
        </w:rPr>
        <w:t>0.22万</w:t>
      </w:r>
      <w:r>
        <w:rPr>
          <w:rFonts w:hint="eastAsia" w:ascii="仿宋_GB2312" w:hAnsi="仿宋_GB2312" w:eastAsia="仿宋_GB2312" w:cs="仿宋_GB2312"/>
          <w:b w:val="0"/>
          <w:bCs w:val="0"/>
          <w:color w:val="000000"/>
          <w:sz w:val="32"/>
          <w:szCs w:val="32"/>
        </w:rPr>
        <w:t>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2.54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92.03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厉行节约减少了不必要的接待。</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spacing w:line="600" w:lineRule="exact"/>
        <w:ind w:firstLine="640" w:firstLineChars="200"/>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年公务用车运行维护费</w:t>
      </w:r>
      <w:r>
        <w:rPr>
          <w:rFonts w:hint="eastAsia" w:ascii="仿宋_GB2312" w:eastAsia="仿宋_GB2312"/>
          <w:color w:val="000000"/>
          <w:sz w:val="32"/>
          <w:szCs w:val="32"/>
          <w:lang w:val="en-US" w:eastAsia="zh-CN"/>
        </w:rPr>
        <w:t>40.51万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bCs/>
          <w:color w:val="000000"/>
          <w:sz w:val="32"/>
          <w:szCs w:val="32"/>
        </w:rPr>
        <w:t>公务用车购置支出</w:t>
      </w:r>
      <w:r>
        <w:rPr>
          <w:rFonts w:hint="eastAsia" w:ascii="仿宋_GB2312" w:eastAsia="仿宋_GB2312"/>
          <w:color w:val="000000"/>
          <w:sz w:val="32"/>
          <w:szCs w:val="32"/>
          <w:lang w:val="en-US" w:eastAsia="zh-CN"/>
        </w:rPr>
        <w:t>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40.51万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人大机关因公出差、下乡调研</w:t>
      </w:r>
      <w:r>
        <w:rPr>
          <w:rFonts w:hint="eastAsia" w:ascii="仿宋_GB2312" w:eastAsia="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ascii="仿宋_GB2312" w:eastAsia="仿宋_GB2312"/>
          <w:b/>
          <w:color w:val="000000"/>
          <w:sz w:val="32"/>
          <w:szCs w:val="32"/>
        </w:rPr>
      </w:pP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40.51万元,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厉行节约，减少不必要的开支。</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情况，检查基本支出、项目支出有关账目，收集整理相关资料，并对资料进行分析，形成评价结论。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1.部门预算严格按照上级部门预算编制通知和有关要求，结合单位具体工作及县级相关规定编制，按时完成基础、项目报送工作，单位预算按时在公众信息网公开。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但绩效评价规章制度还不够健全;严格按照相关法律、法规进行会计核算，严格资金管理，专款专用，资金拨付严格按相关程序报批后支付。认真开展专项预算项目绩效评价工作，在项目决策、项目完成、项目管理、项目效果中，绩效评价工作还不够完善。    </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bCs/>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（一）评价结论。</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根据《红原县部门支出绩效评价指标体系》自查的分97分，总体评价较好。</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(二)存在问题</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存在的问题:专业人才匮乏</w:t>
      </w:r>
      <w:r>
        <w:rPr>
          <w:rFonts w:hint="eastAsia" w:ascii="仿宋_GB2312" w:hAnsi="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目前，由于各</w:t>
      </w:r>
      <w:r>
        <w:rPr>
          <w:rFonts w:hint="eastAsia" w:ascii="仿宋_GB2312" w:hAnsi="仿宋_GB2312" w:cs="仿宋_GB2312"/>
          <w:b w:val="0"/>
          <w:bCs w:val="0"/>
          <w:color w:val="000000"/>
          <w:sz w:val="32"/>
          <w:szCs w:val="32"/>
          <w:lang w:val="en-US" w:eastAsia="zh-CN"/>
        </w:rPr>
        <w:t>项</w:t>
      </w:r>
      <w:r>
        <w:rPr>
          <w:rFonts w:hint="eastAsia" w:ascii="仿宋_GB2312" w:hAnsi="仿宋_GB2312" w:eastAsia="仿宋_GB2312" w:cs="仿宋_GB2312"/>
          <w:b w:val="0"/>
          <w:bCs w:val="0"/>
          <w:color w:val="000000"/>
          <w:sz w:val="32"/>
          <w:szCs w:val="32"/>
          <w:lang w:val="en-US" w:eastAsia="zh-CN"/>
        </w:rPr>
        <w:t>任务繁重，而专业人才有限，在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推进过程中，缺乏技术人员进行专业指导，工</w:t>
      </w:r>
      <w:r>
        <w:rPr>
          <w:rFonts w:hint="eastAsia" w:ascii="仿宋_GB2312" w:hAnsi="仿宋_GB2312" w:cs="仿宋_GB2312"/>
          <w:b w:val="0"/>
          <w:bCs w:val="0"/>
          <w:color w:val="000000"/>
          <w:sz w:val="32"/>
          <w:szCs w:val="32"/>
          <w:lang w:val="en-US" w:eastAsia="zh-CN"/>
        </w:rPr>
        <w:t>作</w:t>
      </w:r>
      <w:r>
        <w:rPr>
          <w:rFonts w:hint="eastAsia" w:ascii="仿宋_GB2312" w:hAnsi="仿宋_GB2312" w:eastAsia="仿宋_GB2312" w:cs="仿宋_GB2312"/>
          <w:b w:val="0"/>
          <w:bCs w:val="0"/>
          <w:color w:val="000000"/>
          <w:sz w:val="32"/>
          <w:szCs w:val="32"/>
          <w:lang w:val="en-US" w:eastAsia="zh-CN"/>
        </w:rPr>
        <w:t>推进存在一定困难。</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(三)改进建议</w:t>
      </w:r>
    </w:p>
    <w:p>
      <w:pPr>
        <w:keepNext w:val="0"/>
        <w:keepLines w:val="0"/>
        <w:pageBreakBefore w:val="0"/>
        <w:widowControl w:val="0"/>
        <w:numPr>
          <w:ilvl w:val="0"/>
          <w:numId w:val="10"/>
        </w:numPr>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0" w:firstLineChars="200"/>
        <w:textAlignment w:val="auto"/>
        <w:outlineLvl w:val="9"/>
        <w:rPr>
          <w:rStyle w:val="32"/>
          <w:rFonts w:hint="eastAsia" w:ascii="仿宋" w:hAnsi="仿宋" w:eastAsia="仿宋"/>
          <w:b w:val="0"/>
          <w:bCs w:val="0"/>
          <w:sz w:val="32"/>
          <w:szCs w:val="32"/>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pStyle w:val="5"/>
        <w:rPr>
          <w:rStyle w:val="32"/>
          <w:rFonts w:hint="eastAsia" w:ascii="仿宋" w:hAnsi="仿宋" w:eastAsia="仿宋"/>
          <w:b w:val="0"/>
          <w:bCs w:val="0"/>
          <w:sz w:val="32"/>
          <w:szCs w:val="32"/>
        </w:rPr>
      </w:pPr>
    </w:p>
    <w:p>
      <w:pPr>
        <w:rPr>
          <w:rStyle w:val="32"/>
          <w:rFonts w:hint="eastAsia" w:ascii="仿宋" w:hAnsi="仿宋" w:eastAsia="仿宋"/>
          <w:b w:val="0"/>
          <w:bCs w:val="0"/>
          <w:sz w:val="32"/>
          <w:szCs w:val="32"/>
        </w:rPr>
      </w:pPr>
    </w:p>
    <w:p>
      <w:pPr>
        <w:rPr>
          <w:rStyle w:val="32"/>
          <w:rFonts w:hint="eastAsia" w:ascii="仿宋" w:hAnsi="仿宋" w:eastAsia="仿宋"/>
          <w:b w:val="0"/>
          <w:bCs w:val="0"/>
          <w:sz w:val="32"/>
          <w:szCs w:val="32"/>
        </w:rPr>
      </w:pPr>
    </w:p>
    <w:p>
      <w:pPr>
        <w:pStyle w:val="5"/>
        <w:rPr>
          <w:rStyle w:val="32"/>
          <w:rFonts w:ascii="仿宋" w:hAnsi="仿宋" w:eastAsia="仿宋"/>
          <w:b w:val="0"/>
          <w:bCs w:val="0"/>
          <w:sz w:val="32"/>
          <w:szCs w:val="32"/>
        </w:rPr>
      </w:pPr>
      <w:bookmarkStart w:id="81" w:name="_Toc10785"/>
      <w:r>
        <w:rPr>
          <w:rStyle w:val="32"/>
          <w:rFonts w:hint="eastAsia" w:ascii="仿宋" w:hAnsi="仿宋" w:eastAsia="仿宋"/>
          <w:b w:val="0"/>
          <w:bCs w:val="0"/>
          <w:sz w:val="32"/>
          <w:szCs w:val="32"/>
        </w:rPr>
        <w:t>附件2</w:t>
      </w:r>
      <w:bookmarkEnd w:id="80"/>
      <w:bookmarkEnd w:id="81"/>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红原县人大常委会办公室项目支出绩效评价报告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人大会议</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11"/>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b w:val="0"/>
          <w:i w:val="0"/>
          <w:caps w:val="0"/>
          <w:snapToGrid w:val="0"/>
          <w:color w:val="auto"/>
          <w:spacing w:val="0"/>
          <w:kern w:val="56"/>
          <w:sz w:val="32"/>
          <w:szCs w:val="32"/>
          <w:shd w:val="clear" w:color="auto" w:fill="FFFFFF"/>
        </w:rPr>
      </w:pPr>
      <w:r>
        <w:rPr>
          <w:rFonts w:hint="eastAsia" w:ascii="仿宋_GB2312" w:hAnsi="仿宋_GB2312" w:eastAsia="仿宋_GB2312" w:cs="仿宋_GB2312"/>
          <w:color w:val="auto"/>
          <w:kern w:val="2"/>
          <w:sz w:val="32"/>
          <w:szCs w:val="21"/>
          <w:lang w:val="en-US" w:eastAsia="zh-CN" w:bidi="ar"/>
        </w:rPr>
        <w:t>2019年</w:t>
      </w:r>
      <w:r>
        <w:rPr>
          <w:rFonts w:hint="eastAsia" w:ascii="仿宋_GB2312" w:hAnsi="仿宋_GB2312" w:eastAsia="仿宋_GB2312" w:cs="仿宋_GB2312"/>
          <w:b w:val="0"/>
          <w:i w:val="0"/>
          <w:caps w:val="0"/>
          <w:snapToGrid w:val="0"/>
          <w:color w:val="auto"/>
          <w:spacing w:val="0"/>
          <w:kern w:val="56"/>
          <w:sz w:val="32"/>
          <w:szCs w:val="32"/>
          <w:shd w:val="clear" w:color="auto" w:fill="FFFFFF"/>
        </w:rPr>
        <w:t>全年共召开</w:t>
      </w:r>
      <w:r>
        <w:rPr>
          <w:rFonts w:hint="eastAsia" w:ascii="仿宋_GB2312" w:hAnsi="仿宋_GB2312" w:eastAsia="仿宋_GB2312" w:cs="仿宋_GB2312"/>
          <w:b w:val="0"/>
          <w:i w:val="0"/>
          <w:caps w:val="0"/>
          <w:snapToGrid w:val="0"/>
          <w:color w:val="auto"/>
          <w:spacing w:val="0"/>
          <w:kern w:val="56"/>
          <w:sz w:val="32"/>
          <w:szCs w:val="32"/>
          <w:shd w:val="clear" w:color="auto" w:fill="FFFFFF"/>
          <w:lang w:eastAsia="zh-CN"/>
        </w:rPr>
        <w:t>人代会两次、</w:t>
      </w:r>
      <w:r>
        <w:rPr>
          <w:rFonts w:hint="eastAsia" w:ascii="仿宋_GB2312" w:hAnsi="仿宋_GB2312" w:eastAsia="仿宋_GB2312" w:cs="仿宋_GB2312"/>
          <w:b w:val="0"/>
          <w:i w:val="0"/>
          <w:caps w:val="0"/>
          <w:snapToGrid w:val="0"/>
          <w:color w:val="auto"/>
          <w:spacing w:val="0"/>
          <w:kern w:val="56"/>
          <w:sz w:val="32"/>
          <w:szCs w:val="32"/>
          <w:shd w:val="clear" w:color="auto" w:fill="FFFFFF"/>
        </w:rPr>
        <w:t>常委会</w:t>
      </w:r>
      <w:r>
        <w:rPr>
          <w:rFonts w:hint="eastAsia" w:ascii="仿宋_GB2312" w:hAnsi="仿宋_GB2312" w:eastAsia="仿宋_GB2312" w:cs="仿宋_GB2312"/>
          <w:b w:val="0"/>
          <w:i w:val="0"/>
          <w:caps w:val="0"/>
          <w:snapToGrid w:val="0"/>
          <w:color w:val="auto"/>
          <w:spacing w:val="0"/>
          <w:kern w:val="56"/>
          <w:sz w:val="32"/>
          <w:szCs w:val="32"/>
          <w:shd w:val="clear" w:color="auto" w:fill="FFFFFF"/>
          <w:lang w:val="en-US" w:eastAsia="zh-CN"/>
        </w:rPr>
        <w:t>8</w:t>
      </w:r>
      <w:r>
        <w:rPr>
          <w:rFonts w:hint="eastAsia" w:ascii="仿宋_GB2312" w:hAnsi="仿宋_GB2312" w:eastAsia="仿宋_GB2312" w:cs="仿宋_GB2312"/>
          <w:b w:val="0"/>
          <w:i w:val="0"/>
          <w:caps w:val="0"/>
          <w:snapToGrid w:val="0"/>
          <w:color w:val="auto"/>
          <w:spacing w:val="0"/>
          <w:kern w:val="56"/>
          <w:sz w:val="32"/>
          <w:szCs w:val="32"/>
          <w:shd w:val="clear" w:color="auto" w:fill="FFFFFF"/>
        </w:rPr>
        <w:t>次、主任会议</w:t>
      </w:r>
      <w:r>
        <w:rPr>
          <w:rFonts w:hint="eastAsia" w:ascii="仿宋_GB2312" w:hAnsi="仿宋_GB2312" w:eastAsia="仿宋_GB2312" w:cs="仿宋_GB2312"/>
          <w:b w:val="0"/>
          <w:i w:val="0"/>
          <w:caps w:val="0"/>
          <w:snapToGrid w:val="0"/>
          <w:color w:val="auto"/>
          <w:spacing w:val="0"/>
          <w:kern w:val="56"/>
          <w:sz w:val="32"/>
          <w:szCs w:val="32"/>
          <w:shd w:val="clear" w:color="auto" w:fill="FFFFFF"/>
          <w:lang w:val="en-US" w:eastAsia="zh-CN"/>
        </w:rPr>
        <w:t>20</w:t>
      </w:r>
      <w:r>
        <w:rPr>
          <w:rFonts w:hint="eastAsia" w:ascii="仿宋_GB2312" w:hAnsi="仿宋_GB2312" w:eastAsia="仿宋_GB2312" w:cs="仿宋_GB2312"/>
          <w:b w:val="0"/>
          <w:i w:val="0"/>
          <w:caps w:val="0"/>
          <w:snapToGrid w:val="0"/>
          <w:color w:val="auto"/>
          <w:spacing w:val="0"/>
          <w:kern w:val="56"/>
          <w:sz w:val="32"/>
          <w:szCs w:val="32"/>
          <w:shd w:val="clear" w:color="auto" w:fill="FFFFFF"/>
        </w:rPr>
        <w:t>次，听取和审议“一府</w:t>
      </w:r>
      <w:r>
        <w:rPr>
          <w:rFonts w:hint="eastAsia" w:ascii="仿宋_GB2312" w:hAnsi="仿宋_GB2312" w:eastAsia="仿宋_GB2312" w:cs="仿宋_GB2312"/>
          <w:b w:val="0"/>
          <w:i w:val="0"/>
          <w:caps w:val="0"/>
          <w:snapToGrid w:val="0"/>
          <w:color w:val="auto"/>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auto"/>
          <w:spacing w:val="0"/>
          <w:kern w:val="56"/>
          <w:sz w:val="32"/>
          <w:szCs w:val="32"/>
          <w:shd w:val="clear" w:color="auto" w:fill="FFFFFF"/>
        </w:rPr>
        <w:t>两院”专项工作报</w:t>
      </w:r>
      <w:r>
        <w:rPr>
          <w:rFonts w:hint="eastAsia" w:ascii="仿宋_GB2312" w:hAnsi="仿宋_GB2312" w:eastAsia="仿宋_GB2312" w:cs="仿宋_GB2312"/>
          <w:b w:val="0"/>
          <w:i w:val="0"/>
          <w:caps w:val="0"/>
          <w:snapToGrid w:val="0"/>
          <w:color w:val="auto"/>
          <w:spacing w:val="0"/>
          <w:kern w:val="56"/>
          <w:sz w:val="32"/>
          <w:szCs w:val="32"/>
          <w:shd w:val="clear" w:color="auto" w:fill="FFFFFF"/>
          <w:lang w:eastAsia="zh-CN"/>
        </w:rPr>
        <w:t>告</w:t>
      </w:r>
      <w:r>
        <w:rPr>
          <w:rFonts w:hint="eastAsia" w:ascii="仿宋_GB2312" w:hAnsi="仿宋_GB2312" w:eastAsia="仿宋_GB2312" w:cs="仿宋_GB2312"/>
          <w:b w:val="0"/>
          <w:i w:val="0"/>
          <w:caps w:val="0"/>
          <w:snapToGrid w:val="0"/>
          <w:color w:val="auto"/>
          <w:spacing w:val="0"/>
          <w:kern w:val="56"/>
          <w:sz w:val="32"/>
          <w:szCs w:val="32"/>
          <w:u w:val="none"/>
          <w:shd w:val="clear" w:color="auto" w:fill="FFFFFF"/>
          <w:lang w:val="en-US" w:eastAsia="zh-CN"/>
        </w:rPr>
        <w:t>22</w:t>
      </w:r>
      <w:r>
        <w:rPr>
          <w:rFonts w:hint="eastAsia" w:ascii="仿宋_GB2312" w:hAnsi="仿宋_GB2312" w:eastAsia="仿宋_GB2312" w:cs="仿宋_GB2312"/>
          <w:b w:val="0"/>
          <w:i w:val="0"/>
          <w:caps w:val="0"/>
          <w:snapToGrid w:val="0"/>
          <w:color w:val="auto"/>
          <w:spacing w:val="0"/>
          <w:kern w:val="56"/>
          <w:sz w:val="32"/>
          <w:szCs w:val="32"/>
          <w:shd w:val="clear" w:color="auto" w:fill="FFFFFF"/>
        </w:rPr>
        <w:t>项，作出决议决定</w:t>
      </w:r>
      <w:r>
        <w:rPr>
          <w:rFonts w:hint="eastAsia" w:ascii="仿宋_GB2312" w:hAnsi="仿宋_GB2312" w:eastAsia="仿宋_GB2312" w:cs="仿宋_GB2312"/>
          <w:b w:val="0"/>
          <w:i w:val="0"/>
          <w:caps w:val="0"/>
          <w:snapToGrid w:val="0"/>
          <w:color w:val="auto"/>
          <w:spacing w:val="0"/>
          <w:kern w:val="56"/>
          <w:sz w:val="32"/>
          <w:szCs w:val="32"/>
          <w:shd w:val="clear" w:color="auto" w:fill="FFFFFF"/>
          <w:lang w:val="en-US" w:eastAsia="zh-CN"/>
        </w:rPr>
        <w:t>8</w:t>
      </w:r>
      <w:r>
        <w:rPr>
          <w:rFonts w:hint="eastAsia" w:ascii="仿宋_GB2312" w:hAnsi="仿宋_GB2312" w:eastAsia="仿宋_GB2312" w:cs="仿宋_GB2312"/>
          <w:b w:val="0"/>
          <w:i w:val="0"/>
          <w:caps w:val="0"/>
          <w:snapToGrid w:val="0"/>
          <w:color w:val="auto"/>
          <w:spacing w:val="0"/>
          <w:kern w:val="56"/>
          <w:sz w:val="32"/>
          <w:szCs w:val="32"/>
          <w:shd w:val="clear" w:color="auto" w:fill="FFFFFF"/>
        </w:rPr>
        <w:t>项，交“一府</w:t>
      </w:r>
      <w:r>
        <w:rPr>
          <w:rFonts w:hint="eastAsia" w:ascii="仿宋_GB2312" w:hAnsi="仿宋_GB2312" w:eastAsia="仿宋_GB2312" w:cs="仿宋_GB2312"/>
          <w:b w:val="0"/>
          <w:i w:val="0"/>
          <w:caps w:val="0"/>
          <w:snapToGrid w:val="0"/>
          <w:color w:val="auto"/>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auto"/>
          <w:spacing w:val="0"/>
          <w:kern w:val="56"/>
          <w:sz w:val="32"/>
          <w:szCs w:val="32"/>
          <w:shd w:val="clear" w:color="auto" w:fill="FFFFFF"/>
        </w:rPr>
        <w:t>两院”及相关部门落实，形成了步调一致、共谋发展的强大合力。</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pPr>
      <w:r>
        <w:rPr>
          <w:rFonts w:hint="eastAsia" w:ascii="仿宋_GB2312" w:hAnsi="仿宋_GB2312" w:eastAsia="仿宋_GB2312" w:cs="仿宋_GB2312"/>
          <w:sz w:val="32"/>
          <w:szCs w:val="32"/>
          <w:lang w:val="en-US" w:eastAsia="zh-CN"/>
        </w:rPr>
        <w:t>本单位依据法律进行会议的召开，</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听取和审议“一府</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两院”</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的报告，依法对人事进行任免，</w:t>
      </w:r>
      <w:r>
        <w:rPr>
          <w:rFonts w:hint="eastAsia" w:ascii="仿宋_GB2312" w:hAnsi="仿宋_GB2312" w:eastAsia="仿宋_GB2312" w:cs="仿宋_GB2312"/>
          <w:b w:val="0"/>
          <w:i w:val="0"/>
          <w:caps w:val="0"/>
          <w:snapToGrid w:val="0"/>
          <w:color w:val="000000"/>
          <w:spacing w:val="0"/>
          <w:kern w:val="56"/>
          <w:sz w:val="32"/>
          <w:szCs w:val="32"/>
          <w:shd w:val="clear" w:color="auto" w:fill="FFFFFF"/>
        </w:rPr>
        <w:t>进一步加强对经济、社会、民生和生态建设的监督，</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t>助推全县经济社会</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rPr>
        <w:t>全面高质量</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t>发展。</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张</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琪</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办公室主任</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陈</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晖</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财经工委主任</w:t>
      </w:r>
    </w:p>
    <w:p>
      <w:pPr>
        <w:adjustRightInd w:val="0"/>
        <w:snapToGrid w:val="0"/>
        <w:spacing w:line="480" w:lineRule="exact"/>
        <w:ind w:firstLine="720"/>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杨富全     办公室副主任</w:t>
      </w:r>
    </w:p>
    <w:p>
      <w:pPr>
        <w:adjustRightInd w:val="0"/>
        <w:snapToGrid w:val="0"/>
        <w:spacing w:line="480" w:lineRule="exact"/>
        <w:ind w:left="0" w:leftChars="0" w:firstLine="838" w:firstLineChars="262"/>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措白、兰英、龚利华、王岚、刘丽</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办公室设在财务室</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人大常委会办公室人大会议</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29.95</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人大会议的支出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2019年人大会议资金29.95万元已全部用于会议的支出。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2019年12月31日已全部用于人大会议的支付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adjustRightInd w:val="0"/>
        <w:snapToGrid w:val="0"/>
        <w:spacing w:line="480" w:lineRule="exact"/>
        <w:ind w:firstLine="72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pPr>
      <w:r>
        <w:rPr>
          <w:rFonts w:hint="eastAsia" w:ascii="仿宋_GB2312" w:hAnsi="仿宋_GB2312" w:eastAsia="仿宋_GB2312" w:cs="仿宋_GB2312"/>
          <w:sz w:val="32"/>
          <w:lang w:eastAsia="zh-CN"/>
        </w:rPr>
        <w:t>通过人大会议的召开，代表提出建议</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t>助推全县经济社会</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rPr>
        <w:t>全面高质量</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t>发展。</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eastAsia="zh-CN"/>
        </w:rPr>
        <w:t>通过听取和审议相关专题调研和报告，提出有效建议，促进全县财政经济、教育卫生、环境保护等事业的高质量发展。</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红原县人大常委会办公室项目支出绩效评价报告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代表工作</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11"/>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0" w:leftChars="0" w:right="0" w:rightChars="0" w:firstLine="720" w:firstLineChars="225"/>
        <w:jc w:val="left"/>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一是持续提升代表素质能力。举办了红原县基层人大代表履职培训暨“不忘初心、牢记使命”主题教育培训班，160余名州、县、乡（镇）人大代表参训。组织了11名乡镇人大主席和20名农牧民人大代表分别到省人大培训中心、浙江省温州市委党校参加履职培训。二是拓宽知情知政渠道。坚持向县人大常委会组成人员寄送《中国人大》《民主法制建设》《人民权力报》《人大公报》等学习资料，让代表知晓更多相关法律、政策信息和人大工作动态。组织5批25人次人大代表参加县政府、县扶贫开发局、县法院、县检察院召开的各种座谈会和征求意见会，让代表及时了解全县经济社会发展情况，及时围绕中心工作建言献策。三是强化代表履职保障。推进代表列席常委会会议、参加调研、执法检查等活动。全年邀请24名县人大代表列席常委会议，60余名州、县、乡人大代表参加调研、执法检查等活动。</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right="0" w:rightChars="0" w:firstLine="320" w:firstLineChars="100"/>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pPr>
      <w:r>
        <w:rPr>
          <w:rFonts w:hint="eastAsia" w:ascii="仿宋_GB2312" w:hAnsi="仿宋_GB2312" w:eastAsia="仿宋_GB2312" w:cs="仿宋_GB2312"/>
          <w:b w:val="0"/>
          <w:i w:val="0"/>
          <w:caps w:val="0"/>
          <w:snapToGrid w:val="0"/>
          <w:color w:val="000000"/>
          <w:spacing w:val="0"/>
          <w:kern w:val="56"/>
          <w:sz w:val="32"/>
          <w:szCs w:val="32"/>
          <w:shd w:val="clear" w:color="auto" w:fill="FFFFFF"/>
        </w:rPr>
        <w:t>完善人大常委会组成人员联系代表和代表联系选民、人大常委会领导接待代表等制度，进一步</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加强对乡镇人大代表联络站的指导，搭建了闭会期间人大代表密切联系人民群众、依法履行职责、充分发挥作用的新平台、主阵地</w:t>
      </w:r>
      <w:r>
        <w:rPr>
          <w:rFonts w:hint="eastAsia" w:ascii="仿宋_GB2312" w:hAnsi="仿宋_GB2312" w:eastAsia="仿宋_GB2312" w:cs="仿宋_GB2312"/>
          <w:b w:val="0"/>
          <w:i w:val="0"/>
          <w:caps w:val="0"/>
          <w:snapToGrid w:val="0"/>
          <w:color w:val="000000"/>
          <w:spacing w:val="0"/>
          <w:kern w:val="56"/>
          <w:sz w:val="32"/>
          <w:szCs w:val="32"/>
          <w:shd w:val="clear" w:color="auto" w:fill="FFFFFF"/>
        </w:rPr>
        <w:t>。邀请代表参加专题调研、集中视察、执法检查、</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法检两院第三方评估</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等活动。</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张</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琪</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办公室主任</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陈</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晖</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财经工委主任</w:t>
      </w:r>
    </w:p>
    <w:p>
      <w:pPr>
        <w:adjustRightInd w:val="0"/>
        <w:snapToGrid w:val="0"/>
        <w:spacing w:line="480" w:lineRule="exact"/>
        <w:ind w:firstLine="720"/>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杨富全     办公室副主任</w:t>
      </w:r>
    </w:p>
    <w:p>
      <w:pPr>
        <w:adjustRightInd w:val="0"/>
        <w:snapToGrid w:val="0"/>
        <w:spacing w:line="480" w:lineRule="exact"/>
        <w:ind w:left="0" w:leftChars="0" w:firstLine="838" w:firstLineChars="262"/>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措白、兰英、龚利华、王岚、刘丽</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办公室设在财务室</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人大常委会办公室代表工作</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27.97</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代表工作的支出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2019年代表工作资金27.97万元已全部用于代表工作、履职培训、参加调研的支出。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2019年12月31日已全部用于代表工作的支付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adjustRightInd w:val="0"/>
        <w:snapToGrid w:val="0"/>
        <w:spacing w:line="480" w:lineRule="exact"/>
        <w:ind w:firstLine="72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rPr>
      </w:pPr>
      <w:r>
        <w:rPr>
          <w:rFonts w:hint="eastAsia" w:ascii="仿宋_GB2312" w:hAnsi="仿宋_GB2312" w:eastAsia="仿宋_GB2312" w:cs="仿宋_GB2312"/>
          <w:b w:val="0"/>
          <w:i w:val="0"/>
          <w:caps w:val="0"/>
          <w:snapToGrid w:val="0"/>
          <w:color w:val="000000"/>
          <w:spacing w:val="0"/>
          <w:kern w:val="56"/>
          <w:sz w:val="32"/>
          <w:szCs w:val="32"/>
          <w:shd w:val="clear" w:color="auto" w:fill="FFFFFF"/>
        </w:rPr>
        <w:t>通过培训，人大代表进一步了解和掌握</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了</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人民代表大会制度、人大工作的基本知识，增强了依法履职意识，提高了代表的政治理论素养、业务水平和依法履职能力。</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组织</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常委会组成人员、</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rPr>
        <w:t>州县</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人大代表深入重点项目建设现场进行视察调研</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督促</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县人民政府</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强化工作落实、加快建设进度、规范项目管理，促进重大项目实施，助推经济社会发展。为促进</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各项事业</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平稳健康发展、推动基层民主法治建设发挥了积极作用。</w:t>
      </w: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widowControl/>
        <w:jc w:val="left"/>
        <w:rPr>
          <w:rStyle w:val="26"/>
          <w:rFonts w:ascii="黑体" w:hAnsi="黑体" w:eastAsia="黑体"/>
          <w:b w:val="0"/>
        </w:rPr>
      </w:pPr>
    </w:p>
    <w:p>
      <w:pPr>
        <w:spacing w:line="600" w:lineRule="exact"/>
        <w:jc w:val="center"/>
        <w:outlineLvl w:val="0"/>
        <w:rPr>
          <w:rStyle w:val="26"/>
          <w:rFonts w:ascii="黑体" w:hAnsi="黑体" w:eastAsia="黑体"/>
          <w:b w:val="0"/>
        </w:rPr>
      </w:pPr>
    </w:p>
    <w:p>
      <w:pPr>
        <w:spacing w:line="600" w:lineRule="exact"/>
        <w:jc w:val="center"/>
        <w:outlineLvl w:val="0"/>
        <w:rPr>
          <w:rStyle w:val="26"/>
          <w:rFonts w:ascii="黑体" w:hAnsi="黑体" w:eastAsia="黑体"/>
          <w:b w:val="0"/>
        </w:rPr>
      </w:pPr>
      <w:bookmarkStart w:id="82" w:name="_Toc15396618"/>
      <w:bookmarkStart w:id="83" w:name="_Toc26290"/>
      <w:r>
        <w:rPr>
          <w:rFonts w:hint="eastAsia" w:ascii="黑体" w:hAnsi="黑体" w:eastAsia="黑体"/>
          <w:color w:val="000000"/>
          <w:sz w:val="44"/>
          <w:szCs w:val="44"/>
        </w:rPr>
        <w:t>第</w:t>
      </w:r>
      <w:r>
        <w:rPr>
          <w:rStyle w:val="26"/>
          <w:rFonts w:hint="eastAsia" w:ascii="黑体" w:hAnsi="黑体" w:eastAsia="黑体"/>
          <w:b w:val="0"/>
        </w:rPr>
        <w:t>五部分 附表</w:t>
      </w:r>
      <w:bookmarkEnd w:id="76"/>
      <w:bookmarkEnd w:id="82"/>
      <w:bookmarkEnd w:id="83"/>
    </w:p>
    <w:p>
      <w:pPr>
        <w:spacing w:line="600" w:lineRule="exact"/>
        <w:jc w:val="center"/>
        <w:outlineLvl w:val="0"/>
        <w:rPr>
          <w:rFonts w:ascii="仿宋" w:hAnsi="仿宋" w:eastAsia="仿宋"/>
          <w:b/>
          <w:color w:val="000000"/>
          <w:sz w:val="44"/>
          <w:szCs w:val="44"/>
        </w:rPr>
      </w:pPr>
    </w:p>
    <w:p>
      <w:pPr>
        <w:pStyle w:val="5"/>
        <w:numPr>
          <w:ilvl w:val="0"/>
          <w:numId w:val="12"/>
        </w:numPr>
      </w:pPr>
      <w:bookmarkStart w:id="84" w:name="_Toc14316"/>
      <w:bookmarkStart w:id="85" w:name="_Toc15396619"/>
      <w:r>
        <w:rPr>
          <w:rFonts w:hint="eastAsia" w:ascii="仿宋" w:hAnsi="仿宋" w:eastAsia="仿宋"/>
          <w:b w:val="0"/>
          <w:color w:val="000000"/>
        </w:rPr>
        <w:t>收</w:t>
      </w:r>
      <w:r>
        <w:rPr>
          <w:rStyle w:val="27"/>
          <w:rFonts w:hint="eastAsia" w:ascii="仿宋" w:hAnsi="仿宋" w:eastAsia="仿宋"/>
          <w:b w:val="0"/>
          <w:bCs w:val="0"/>
        </w:rPr>
        <w:t>入支出决算总表</w:t>
      </w:r>
      <w:bookmarkEnd w:id="84"/>
      <w:bookmarkEnd w:id="85"/>
    </w:p>
    <w:p>
      <w:pPr>
        <w:pStyle w:val="5"/>
        <w:rPr>
          <w:rFonts w:ascii="仿宋" w:hAnsi="仿宋" w:eastAsia="仿宋"/>
          <w:color w:val="000000"/>
        </w:rPr>
      </w:pPr>
      <w:bookmarkStart w:id="86" w:name="_Toc15396620"/>
      <w:bookmarkStart w:id="87" w:name="_Toc10409"/>
      <w:r>
        <w:rPr>
          <w:rFonts w:hint="eastAsia" w:ascii="仿宋" w:hAnsi="仿宋" w:eastAsia="仿宋"/>
          <w:b w:val="0"/>
          <w:color w:val="000000"/>
        </w:rPr>
        <w:t>二、收</w:t>
      </w:r>
      <w:r>
        <w:rPr>
          <w:rStyle w:val="27"/>
          <w:rFonts w:hint="eastAsia" w:ascii="仿宋" w:hAnsi="仿宋" w:eastAsia="仿宋"/>
          <w:b w:val="0"/>
          <w:bCs w:val="0"/>
        </w:rPr>
        <w:t>入决算表</w:t>
      </w:r>
      <w:bookmarkEnd w:id="86"/>
      <w:bookmarkEnd w:id="87"/>
    </w:p>
    <w:p>
      <w:pPr>
        <w:pStyle w:val="5"/>
        <w:rPr>
          <w:rFonts w:ascii="仿宋" w:hAnsi="仿宋" w:eastAsia="仿宋"/>
          <w:color w:val="000000"/>
        </w:rPr>
      </w:pPr>
      <w:bookmarkStart w:id="88" w:name="_Toc15396621"/>
      <w:bookmarkStart w:id="89" w:name="_Toc32164"/>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88"/>
      <w:bookmarkEnd w:id="89"/>
    </w:p>
    <w:p>
      <w:pPr>
        <w:pStyle w:val="5"/>
        <w:rPr>
          <w:rFonts w:ascii="仿宋" w:hAnsi="仿宋" w:eastAsia="仿宋"/>
          <w:b w:val="0"/>
          <w:color w:val="000000"/>
        </w:rPr>
      </w:pPr>
      <w:bookmarkStart w:id="90" w:name="_Toc19406"/>
      <w:bookmarkStart w:id="91"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90"/>
      <w:bookmarkEnd w:id="91"/>
    </w:p>
    <w:p>
      <w:pPr>
        <w:pStyle w:val="5"/>
        <w:rPr>
          <w:rStyle w:val="27"/>
          <w:rFonts w:ascii="仿宋" w:hAnsi="仿宋" w:eastAsia="仿宋"/>
          <w:b w:val="0"/>
          <w:bCs w:val="0"/>
        </w:rPr>
      </w:pPr>
      <w:bookmarkStart w:id="92" w:name="_Toc15396623"/>
      <w:bookmarkStart w:id="93" w:name="_Toc29161"/>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92"/>
      <w:bookmarkEnd w:id="93"/>
      <w:bookmarkStart w:id="94" w:name="_Toc15396624"/>
    </w:p>
    <w:p>
      <w:pPr>
        <w:pStyle w:val="5"/>
        <w:rPr>
          <w:rFonts w:ascii="仿宋" w:hAnsi="仿宋" w:eastAsia="仿宋"/>
          <w:color w:val="000000"/>
        </w:rPr>
      </w:pPr>
      <w:bookmarkStart w:id="95" w:name="_Toc9728"/>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94"/>
      <w:bookmarkEnd w:id="95"/>
    </w:p>
    <w:p>
      <w:pPr>
        <w:pStyle w:val="5"/>
        <w:rPr>
          <w:rFonts w:ascii="仿宋" w:hAnsi="仿宋" w:eastAsia="仿宋"/>
          <w:color w:val="000000"/>
        </w:rPr>
      </w:pPr>
      <w:bookmarkStart w:id="96" w:name="_Toc19959"/>
      <w:bookmarkStart w:id="9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96"/>
      <w:bookmarkEnd w:id="97"/>
    </w:p>
    <w:p>
      <w:pPr>
        <w:pStyle w:val="5"/>
        <w:rPr>
          <w:rFonts w:ascii="仿宋" w:hAnsi="仿宋" w:eastAsia="仿宋"/>
          <w:color w:val="000000"/>
        </w:rPr>
      </w:pPr>
      <w:bookmarkStart w:id="98" w:name="_Toc15396626"/>
      <w:bookmarkStart w:id="99" w:name="_Toc8978"/>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98"/>
      <w:bookmarkEnd w:id="99"/>
    </w:p>
    <w:p>
      <w:pPr>
        <w:pStyle w:val="5"/>
        <w:rPr>
          <w:rFonts w:ascii="仿宋" w:hAnsi="仿宋" w:eastAsia="仿宋"/>
          <w:color w:val="000000"/>
        </w:rPr>
      </w:pPr>
      <w:bookmarkStart w:id="100" w:name="_Toc15396627"/>
      <w:bookmarkStart w:id="101" w:name="_Toc12208"/>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00"/>
      <w:bookmarkEnd w:id="101"/>
    </w:p>
    <w:p>
      <w:pPr>
        <w:pStyle w:val="5"/>
        <w:rPr>
          <w:rFonts w:ascii="仿宋" w:hAnsi="仿宋" w:eastAsia="仿宋"/>
          <w:color w:val="000000"/>
        </w:rPr>
      </w:pPr>
      <w:bookmarkStart w:id="102" w:name="_Toc15396628"/>
      <w:bookmarkStart w:id="103" w:name="_Toc1976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02"/>
      <w:bookmarkEnd w:id="103"/>
    </w:p>
    <w:p>
      <w:pPr>
        <w:pStyle w:val="5"/>
        <w:rPr>
          <w:rFonts w:ascii="仿宋" w:hAnsi="仿宋" w:eastAsia="仿宋"/>
          <w:color w:val="000000"/>
        </w:rPr>
      </w:pPr>
      <w:bookmarkStart w:id="104" w:name="_Toc15396629"/>
      <w:bookmarkStart w:id="105" w:name="_Toc13558"/>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04"/>
      <w:bookmarkEnd w:id="105"/>
    </w:p>
    <w:p>
      <w:pPr>
        <w:pStyle w:val="5"/>
        <w:rPr>
          <w:rFonts w:ascii="仿宋" w:hAnsi="仿宋" w:eastAsia="仿宋"/>
          <w:color w:val="000000"/>
        </w:rPr>
      </w:pPr>
      <w:bookmarkStart w:id="106" w:name="_Toc15396630"/>
      <w:bookmarkStart w:id="107" w:name="_Toc23922"/>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06"/>
      <w:bookmarkEnd w:id="107"/>
    </w:p>
    <w:p>
      <w:pPr>
        <w:pStyle w:val="5"/>
        <w:rPr>
          <w:rFonts w:ascii="仿宋" w:hAnsi="仿宋" w:eastAsia="仿宋"/>
          <w:color w:val="000000" w:themeColor="text1"/>
        </w:rPr>
      </w:pPr>
      <w:bookmarkStart w:id="108" w:name="_Toc15396631"/>
      <w:bookmarkStart w:id="109" w:name="_Toc8883"/>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08"/>
      <w:bookmarkEnd w:id="109"/>
    </w:p>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rPr>
            <w:rFonts w:hint="eastAsia"/>
            <w:lang w:val="en-US" w:eastAsia="zh-CN"/>
          </w:rPr>
          <w:t>0</w:t>
        </w:r>
        <w:r>
          <w:fldChar w:fldCharType="begin"/>
        </w:r>
        <w:r>
          <w:instrText xml:space="preserve">PAGE   \* MERGEFORMAT</w:instrText>
        </w:r>
        <w:r>
          <w:fldChar w:fldCharType="separate"/>
        </w:r>
        <w:r>
          <w:rPr>
            <w:lang w:val="zh-CN"/>
          </w:rPr>
          <w:t>2</w:t>
        </w:r>
        <w: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rPr>
            <w:rFonts w:hint="eastAsia"/>
            <w:lang w:val="en-US" w:eastAsia="zh-CN"/>
          </w:rPr>
          <w:t>0</w:t>
        </w:r>
        <w:r>
          <w:fldChar w:fldCharType="begin"/>
        </w:r>
        <w:r>
          <w:instrText xml:space="preserve">PAGE   \* MERGEFORMAT</w:instrText>
        </w:r>
        <w:r>
          <w:fldChar w:fldCharType="separate"/>
        </w:r>
        <w:r>
          <w:rPr>
            <w:lang w:val="zh-CN"/>
          </w:rPr>
          <w:t>2</w:t>
        </w:r>
        <w:r>
          <w:fldChar w:fldCharType="end"/>
        </w:r>
      </w:p>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0CFC18"/>
    <w:multiLevelType w:val="singleLevel"/>
    <w:tmpl w:val="850CFC18"/>
    <w:lvl w:ilvl="0" w:tentative="0">
      <w:start w:val="1"/>
      <w:numFmt w:val="decimal"/>
      <w:lvlText w:val="%1."/>
      <w:lvlJc w:val="left"/>
      <w:pPr>
        <w:tabs>
          <w:tab w:val="left" w:pos="312"/>
        </w:tabs>
      </w:pPr>
    </w:lvl>
  </w:abstractNum>
  <w:abstractNum w:abstractNumId="1">
    <w:nsid w:val="C03250A2"/>
    <w:multiLevelType w:val="singleLevel"/>
    <w:tmpl w:val="C03250A2"/>
    <w:lvl w:ilvl="0" w:tentative="0">
      <w:start w:val="4"/>
      <w:numFmt w:val="chineseCounting"/>
      <w:suff w:val="nothing"/>
      <w:lvlText w:val="（%1）"/>
      <w:lvlJc w:val="left"/>
      <w:pPr>
        <w:ind w:left="480" w:leftChars="0" w:firstLine="0" w:firstLineChars="0"/>
      </w:pPr>
      <w:rPr>
        <w:rFonts w:hint="eastAsia"/>
      </w:rPr>
    </w:lvl>
  </w:abstractNum>
  <w:abstractNum w:abstractNumId="2">
    <w:nsid w:val="C880DA2F"/>
    <w:multiLevelType w:val="singleLevel"/>
    <w:tmpl w:val="C880DA2F"/>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5F8060DB"/>
    <w:multiLevelType w:val="singleLevel"/>
    <w:tmpl w:val="5F8060DB"/>
    <w:lvl w:ilvl="0" w:tentative="0">
      <w:start w:val="2"/>
      <w:numFmt w:val="chineseCounting"/>
      <w:suff w:val="nothing"/>
      <w:lvlText w:val="（%1）"/>
      <w:lvlJc w:val="left"/>
    </w:lvl>
  </w:abstractNum>
  <w:abstractNum w:abstractNumId="7">
    <w:nsid w:val="5F819D8E"/>
    <w:multiLevelType w:val="singleLevel"/>
    <w:tmpl w:val="5F819D8E"/>
    <w:lvl w:ilvl="0" w:tentative="0">
      <w:start w:val="1"/>
      <w:numFmt w:val="decimal"/>
      <w:lvlText w:val="%1."/>
      <w:lvlJc w:val="left"/>
      <w:pPr>
        <w:tabs>
          <w:tab w:val="left" w:pos="312"/>
        </w:tabs>
      </w:pPr>
    </w:lvl>
  </w:abstractNum>
  <w:abstractNum w:abstractNumId="8">
    <w:nsid w:val="5F81AFE0"/>
    <w:multiLevelType w:val="singleLevel"/>
    <w:tmpl w:val="5F81AFE0"/>
    <w:lvl w:ilvl="0" w:tentative="0">
      <w:start w:val="1"/>
      <w:numFmt w:val="decimal"/>
      <w:lvlText w:val="%1."/>
      <w:lvlJc w:val="left"/>
      <w:pPr>
        <w:tabs>
          <w:tab w:val="left" w:pos="312"/>
        </w:tabs>
      </w:pPr>
    </w:lvl>
  </w:abstractNum>
  <w:abstractNum w:abstractNumId="9">
    <w:nsid w:val="5F81B4ED"/>
    <w:multiLevelType w:val="singleLevel"/>
    <w:tmpl w:val="5F81B4ED"/>
    <w:lvl w:ilvl="0" w:tentative="0">
      <w:start w:val="1"/>
      <w:numFmt w:val="decimal"/>
      <w:lvlText w:val="%1."/>
      <w:lvlJc w:val="left"/>
      <w:pPr>
        <w:tabs>
          <w:tab w:val="left" w:pos="312"/>
        </w:tabs>
      </w:pPr>
    </w:lvl>
  </w:abstractNum>
  <w:abstractNum w:abstractNumId="10">
    <w:nsid w:val="5F850D54"/>
    <w:multiLevelType w:val="singleLevel"/>
    <w:tmpl w:val="5F850D54"/>
    <w:lvl w:ilvl="0" w:tentative="0">
      <w:start w:val="1"/>
      <w:numFmt w:val="chineseCounting"/>
      <w:suff w:val="nothing"/>
      <w:lvlText w:val="%1、"/>
      <w:lvlJc w:val="left"/>
    </w:lvl>
  </w:abstractNum>
  <w:abstractNum w:abstractNumId="11">
    <w:nsid w:val="705D070D"/>
    <w:multiLevelType w:val="singleLevel"/>
    <w:tmpl w:val="705D070D"/>
    <w:lvl w:ilvl="0" w:tentative="0">
      <w:start w:val="1"/>
      <w:numFmt w:val="chineseCounting"/>
      <w:suff w:val="nothing"/>
      <w:lvlText w:val="%1、"/>
      <w:lvlJc w:val="left"/>
      <w:rPr>
        <w:rFonts w:hint="eastAsia"/>
      </w:rPr>
    </w:lvl>
  </w:abstractNum>
  <w:num w:numId="1">
    <w:abstractNumId w:val="5"/>
  </w:num>
  <w:num w:numId="2">
    <w:abstractNumId w:val="6"/>
  </w:num>
  <w:num w:numId="3">
    <w:abstractNumId w:val="7"/>
  </w:num>
  <w:num w:numId="4">
    <w:abstractNumId w:val="8"/>
  </w:num>
  <w:num w:numId="5">
    <w:abstractNumId w:val="3"/>
  </w:num>
  <w:num w:numId="6">
    <w:abstractNumId w:val="1"/>
  </w:num>
  <w:num w:numId="7">
    <w:abstractNumId w:val="9"/>
  </w:num>
  <w:num w:numId="8">
    <w:abstractNumId w:val="4"/>
  </w:num>
  <w:num w:numId="9">
    <w:abstractNumId w:val="2"/>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606CA"/>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973AC3"/>
    <w:rsid w:val="029E0220"/>
    <w:rsid w:val="033B5FB9"/>
    <w:rsid w:val="041C3D50"/>
    <w:rsid w:val="05963FAE"/>
    <w:rsid w:val="08327100"/>
    <w:rsid w:val="088444E9"/>
    <w:rsid w:val="0A533B0E"/>
    <w:rsid w:val="0A8142E8"/>
    <w:rsid w:val="0A8A28AF"/>
    <w:rsid w:val="0A952EE5"/>
    <w:rsid w:val="0C074E87"/>
    <w:rsid w:val="0C592AE0"/>
    <w:rsid w:val="0D590B21"/>
    <w:rsid w:val="0E17168E"/>
    <w:rsid w:val="0EA81008"/>
    <w:rsid w:val="0FCD616F"/>
    <w:rsid w:val="0FD17B3F"/>
    <w:rsid w:val="10C055FF"/>
    <w:rsid w:val="11831499"/>
    <w:rsid w:val="14E55B18"/>
    <w:rsid w:val="151C4898"/>
    <w:rsid w:val="168B6B51"/>
    <w:rsid w:val="16BB723D"/>
    <w:rsid w:val="17F033EE"/>
    <w:rsid w:val="18067896"/>
    <w:rsid w:val="18372648"/>
    <w:rsid w:val="1ADE5DDD"/>
    <w:rsid w:val="1B416757"/>
    <w:rsid w:val="1B816FB0"/>
    <w:rsid w:val="1DD7779E"/>
    <w:rsid w:val="1F346AA5"/>
    <w:rsid w:val="1F6702E0"/>
    <w:rsid w:val="1FB35564"/>
    <w:rsid w:val="20CE055F"/>
    <w:rsid w:val="217B36EE"/>
    <w:rsid w:val="240371BF"/>
    <w:rsid w:val="24686539"/>
    <w:rsid w:val="24DB4472"/>
    <w:rsid w:val="25787F93"/>
    <w:rsid w:val="25CE79AF"/>
    <w:rsid w:val="27187C43"/>
    <w:rsid w:val="28A255E0"/>
    <w:rsid w:val="28A650C7"/>
    <w:rsid w:val="28ED4B88"/>
    <w:rsid w:val="292B6FDF"/>
    <w:rsid w:val="29FD04D3"/>
    <w:rsid w:val="2A916AB0"/>
    <w:rsid w:val="2B4A2AEF"/>
    <w:rsid w:val="2C7D4D9E"/>
    <w:rsid w:val="2CCA3C04"/>
    <w:rsid w:val="2DBA2EC8"/>
    <w:rsid w:val="2DCE041E"/>
    <w:rsid w:val="2EDE06AE"/>
    <w:rsid w:val="2EEC4F86"/>
    <w:rsid w:val="2EFC3D11"/>
    <w:rsid w:val="2F423AC7"/>
    <w:rsid w:val="319F7F4E"/>
    <w:rsid w:val="33484267"/>
    <w:rsid w:val="35B9689A"/>
    <w:rsid w:val="35DA1BC2"/>
    <w:rsid w:val="38162BFB"/>
    <w:rsid w:val="38C652A9"/>
    <w:rsid w:val="3A195ECC"/>
    <w:rsid w:val="3D1C47F2"/>
    <w:rsid w:val="3EFD10D0"/>
    <w:rsid w:val="3EFD167B"/>
    <w:rsid w:val="3F0652DD"/>
    <w:rsid w:val="3FA97135"/>
    <w:rsid w:val="40054A1D"/>
    <w:rsid w:val="419C4F31"/>
    <w:rsid w:val="448B4594"/>
    <w:rsid w:val="44DE3A0D"/>
    <w:rsid w:val="451C67AE"/>
    <w:rsid w:val="45296D09"/>
    <w:rsid w:val="45F9512D"/>
    <w:rsid w:val="47180CEA"/>
    <w:rsid w:val="47EF5004"/>
    <w:rsid w:val="47F4037E"/>
    <w:rsid w:val="48EC507B"/>
    <w:rsid w:val="4A413F75"/>
    <w:rsid w:val="4ECE2238"/>
    <w:rsid w:val="4F9E7CC7"/>
    <w:rsid w:val="4FC0301B"/>
    <w:rsid w:val="50D36BE4"/>
    <w:rsid w:val="513F3C8C"/>
    <w:rsid w:val="5156606D"/>
    <w:rsid w:val="51D71E62"/>
    <w:rsid w:val="53193708"/>
    <w:rsid w:val="549F5516"/>
    <w:rsid w:val="54A84DC1"/>
    <w:rsid w:val="55AE5A6A"/>
    <w:rsid w:val="58EB2BBE"/>
    <w:rsid w:val="595A6C49"/>
    <w:rsid w:val="5B9E2724"/>
    <w:rsid w:val="5BDF2334"/>
    <w:rsid w:val="5E93251F"/>
    <w:rsid w:val="5F384282"/>
    <w:rsid w:val="607D2032"/>
    <w:rsid w:val="6089193F"/>
    <w:rsid w:val="60AA7913"/>
    <w:rsid w:val="613A3270"/>
    <w:rsid w:val="61AF089F"/>
    <w:rsid w:val="61E4784F"/>
    <w:rsid w:val="62F7511E"/>
    <w:rsid w:val="643538BB"/>
    <w:rsid w:val="64D77D29"/>
    <w:rsid w:val="664E2B82"/>
    <w:rsid w:val="66517BA2"/>
    <w:rsid w:val="6778456C"/>
    <w:rsid w:val="69032842"/>
    <w:rsid w:val="6BCB2E74"/>
    <w:rsid w:val="6C372FEB"/>
    <w:rsid w:val="6C5142C6"/>
    <w:rsid w:val="6CE455AE"/>
    <w:rsid w:val="6D41347D"/>
    <w:rsid w:val="6D56575D"/>
    <w:rsid w:val="6E6B6A74"/>
    <w:rsid w:val="6EBA3261"/>
    <w:rsid w:val="6EBB728C"/>
    <w:rsid w:val="6EBE1D63"/>
    <w:rsid w:val="6FF403BD"/>
    <w:rsid w:val="707C61CF"/>
    <w:rsid w:val="70D27328"/>
    <w:rsid w:val="71637B12"/>
    <w:rsid w:val="72612468"/>
    <w:rsid w:val="72734D90"/>
    <w:rsid w:val="73BD61C7"/>
    <w:rsid w:val="76622D77"/>
    <w:rsid w:val="76CB63A4"/>
    <w:rsid w:val="77677BEC"/>
    <w:rsid w:val="783C77E1"/>
    <w:rsid w:val="7B914C0D"/>
    <w:rsid w:val="7C4B3D80"/>
    <w:rsid w:val="7F7D76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6"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标题 1 Char"/>
    <w:basedOn w:val="15"/>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a:t>
            </a:r>
            <a:r>
              <a:rPr altLang="zh-CN"/>
              <a:t>收入支出上下年对比图</a:t>
            </a:r>
            <a:endParaRPr altLang="zh-CN"/>
          </a:p>
        </c:rich>
      </c:tx>
      <c:layout/>
      <c:overlay val="0"/>
      <c:spPr>
        <a:noFill/>
        <a:ln>
          <a:noFill/>
        </a:ln>
        <a:effectLst/>
      </c:spPr>
    </c:title>
    <c:autoTitleDeleted val="0"/>
    <c:plotArea>
      <c:layout>
        <c:manualLayout>
          <c:layoutTarget val="inner"/>
          <c:xMode val="edge"/>
          <c:yMode val="edge"/>
          <c:x val="0.104145225843339"/>
          <c:y val="0.273578880136257"/>
          <c:w val="0.891566609491138"/>
          <c:h val="0.63836491377475"/>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794.94</c:v>
                </c:pt>
                <c:pt idx="1">
                  <c:v>757.53</c:v>
                </c:pt>
                <c:pt idx="2">
                  <c:v>803.53</c:v>
                </c:pt>
                <c:pt idx="3">
                  <c:v>783.07</c:v>
                </c:pt>
              </c:numCache>
            </c:numRef>
          </c:val>
        </c:ser>
        <c:dLbls>
          <c:showLegendKey val="0"/>
          <c:showVal val="0"/>
          <c:showCatName val="0"/>
          <c:showSerName val="0"/>
          <c:showPercent val="0"/>
          <c:showBubbleSize val="0"/>
        </c:dLbls>
        <c:gapWidth val="219"/>
        <c:overlap val="-27"/>
        <c:axId val="156748437"/>
        <c:axId val="261435318"/>
      </c:barChart>
      <c:catAx>
        <c:axId val="1567484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435318"/>
        <c:crosses val="autoZero"/>
        <c:auto val="1"/>
        <c:lblAlgn val="ctr"/>
        <c:lblOffset val="100"/>
        <c:noMultiLvlLbl val="0"/>
      </c:catAx>
      <c:valAx>
        <c:axId val="26143531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48437"/>
        <c:crosses val="autoZero"/>
        <c:crossBetween val="between"/>
      </c:valAx>
      <c:spPr>
        <a:noFill/>
        <a:ln>
          <a:noFill/>
        </a:ln>
        <a:effectLst/>
      </c:spPr>
    </c:plotArea>
    <c:legend>
      <c:legendPos val="b"/>
      <c:layout>
        <c:manualLayout>
          <c:xMode val="edge"/>
          <c:yMode val="edge"/>
          <c:x val="0.795875"/>
          <c:y val="0.0591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2019年收入组成</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一般公共财政拨款收入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年支出决算结构图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666.75</c:v>
                </c:pt>
                <c:pt idx="1">
                  <c:v>116.32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年财政拨款</a:t>
            </a:r>
            <a:r>
              <a:rPr altLang="zh-CN"/>
              <a:t>收入支出上下年对比图</a:t>
            </a:r>
            <a:endParaRPr altLang="zh-CN"/>
          </a:p>
        </c:rich>
      </c:tx>
      <c:layout/>
      <c:overlay val="0"/>
      <c:spPr>
        <a:noFill/>
        <a:ln>
          <a:noFill/>
        </a:ln>
        <a:effectLst/>
      </c:spPr>
    </c:title>
    <c:autoTitleDeleted val="0"/>
    <c:plotArea>
      <c:layout>
        <c:manualLayout>
          <c:layoutTarget val="inner"/>
          <c:xMode val="edge"/>
          <c:yMode val="edge"/>
          <c:x val="0.104145225843339"/>
          <c:y val="0.273578880136257"/>
          <c:w val="0.891566609491138"/>
          <c:h val="0.63836491377475"/>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794.94</c:v>
                </c:pt>
                <c:pt idx="1">
                  <c:v>757.53</c:v>
                </c:pt>
                <c:pt idx="2">
                  <c:v>797.96</c:v>
                </c:pt>
                <c:pt idx="3">
                  <c:v>779.73</c:v>
                </c:pt>
              </c:numCache>
            </c:numRef>
          </c:val>
        </c:ser>
        <c:dLbls>
          <c:showLegendKey val="0"/>
          <c:showVal val="0"/>
          <c:showCatName val="0"/>
          <c:showSerName val="0"/>
          <c:showPercent val="0"/>
          <c:showBubbleSize val="0"/>
        </c:dLbls>
        <c:gapWidth val="219"/>
        <c:overlap val="-27"/>
        <c:axId val="156748437"/>
        <c:axId val="261435318"/>
      </c:barChart>
      <c:catAx>
        <c:axId val="1567484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435318"/>
        <c:crosses val="autoZero"/>
        <c:auto val="1"/>
        <c:lblAlgn val="ctr"/>
        <c:lblOffset val="100"/>
        <c:noMultiLvlLbl val="0"/>
      </c:catAx>
      <c:valAx>
        <c:axId val="26143531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48437"/>
        <c:crosses val="autoZero"/>
        <c:crossBetween val="between"/>
      </c:valAx>
      <c:spPr>
        <a:noFill/>
        <a:ln>
          <a:noFill/>
        </a:ln>
        <a:effectLst/>
      </c:spPr>
    </c:plotArea>
    <c:legend>
      <c:legendPos val="b"/>
      <c:layout>
        <c:manualLayout>
          <c:xMode val="edge"/>
          <c:yMode val="edge"/>
          <c:x val="0.802406204644412"/>
          <c:y val="0.1110697808535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一般公共预算财政拨款支出决算变动表</a:t>
            </a:r>
            <a:endParaRPr altLang="en-US"/>
          </a:p>
        </c:rich>
      </c:tx>
      <c:layout>
        <c:manualLayout>
          <c:xMode val="edge"/>
          <c:yMode val="edge"/>
          <c:x val="0.172620790629575"/>
          <c:y val="0.032020872865275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delete val="1"/>
          </c:dLbls>
          <c:cat>
            <c:strRef>
              <c:f>Sheet1!$A$2:$A$3</c:f>
              <c:strCache>
                <c:ptCount val="2"/>
                <c:pt idx="0">
                  <c:v>2018年一般财政拨款支出</c:v>
                </c:pt>
                <c:pt idx="1">
                  <c:v>2019年一般财政拨款支出</c:v>
                </c:pt>
              </c:strCache>
            </c:strRef>
          </c:cat>
          <c:val>
            <c:numRef>
              <c:f>Sheet1!$B$2:$B$3</c:f>
              <c:numCache>
                <c:formatCode>General</c:formatCode>
                <c:ptCount val="2"/>
                <c:pt idx="0">
                  <c:v>797.96</c:v>
                </c:pt>
                <c:pt idx="1">
                  <c:v>779.73</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2018年一般财政拨款支出</c:v>
                </c:pt>
                <c:pt idx="1">
                  <c:v>2019年一般财政拨款支出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2018年一般财政拨款支出</c:v>
                </c:pt>
                <c:pt idx="1">
                  <c:v>2019年一般财政拨款支出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16460503"/>
        <c:axId val="236579488"/>
      </c:barChart>
      <c:catAx>
        <c:axId val="4164605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579488"/>
        <c:crosses val="autoZero"/>
        <c:auto val="1"/>
        <c:lblAlgn val="ctr"/>
        <c:lblOffset val="100"/>
        <c:noMultiLvlLbl val="0"/>
      </c:catAx>
      <c:valAx>
        <c:axId val="23657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6460503"/>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743484626647145"/>
          <c:y val="0.108548689555485"/>
          <c:w val="0.25212298682284"/>
          <c:h val="0.074676772180115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617.78</c:v>
                </c:pt>
                <c:pt idx="1">
                  <c:v>81.79</c:v>
                </c:pt>
                <c:pt idx="2">
                  <c:v>45.95</c:v>
                </c:pt>
                <c:pt idx="3">
                  <c:v>34.21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manualLayout>
          <c:xMode val="edge"/>
          <c:yMode val="edge"/>
          <c:x val="0.246476868327402"/>
          <c:y val="0.0276073619631902"/>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公务用车运行维护费</c:v>
                </c:pt>
                <c:pt idx="1">
                  <c:v>公务接待费</c:v>
                </c:pt>
              </c:strCache>
            </c:strRef>
          </c:cat>
          <c:val>
            <c:numRef>
              <c:f>Sheet1!$B$2:$B$3</c:f>
              <c:numCache>
                <c:formatCode>General</c:formatCode>
                <c:ptCount val="2"/>
                <c:pt idx="0">
                  <c:v>40.51</c:v>
                </c:pt>
                <c:pt idx="1">
                  <c:v>0.22</c:v>
                </c:pt>
              </c:numCache>
            </c:numRef>
          </c:val>
        </c:ser>
        <c:ser>
          <c:idx val="1"/>
          <c:order val="1"/>
          <c:tx>
            <c:strRef>
              <c:f>Sheet1!#REF!</c:f>
              <c:strCache>
                <c:ptCount val="1"/>
                <c:pt idx="0">
                  <c:v/>
                </c:pt>
              </c:strCache>
            </c:strRef>
          </c:tx>
          <c:spPr/>
          <c:explosion val="0"/>
          <c:dPt>
            <c:idx val="0"/>
            <c:bubble3D val="0"/>
            <c:spPr>
              <a:solidFill>
                <a:schemeClr val="accent1"/>
              </a:solidFill>
              <a:ln w="19050">
                <a:solidFill>
                  <a:schemeClr val="lt1"/>
                </a:solidFill>
              </a:ln>
              <a:effectLst/>
            </c:spPr>
          </c:dPt>
          <c:dLbls>
            <c:delete val="1"/>
          </c:dLbls>
          <c:cat>
            <c:strRef>
              <c:f>Sheet1!$A$2:$A$3</c:f>
              <c:strCache>
                <c:ptCount val="2"/>
                <c:pt idx="0">
                  <c:v>公务用车运行维护费</c:v>
                </c:pt>
                <c:pt idx="1">
                  <c:v>公务接待费</c:v>
                </c:pt>
              </c:strCache>
            </c:strRef>
          </c:cat>
          <c:val>
            <c:numRef>
              <c:f>Sheet1!#REF!</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2020-11-04T10:58:49Z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