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小标宋" w:cs="Times New Roman"/>
          <w:b w:val="0"/>
          <w:bCs w:val="0"/>
          <w:sz w:val="44"/>
          <w:szCs w:val="44"/>
          <w:u w:val="none"/>
          <w:lang w:val="en-US" w:eastAsia="zh-CN"/>
        </w:rPr>
      </w:pPr>
      <w:bookmarkStart w:id="0" w:name="_GoBack"/>
      <w:r>
        <w:rPr>
          <w:rFonts w:hint="default" w:ascii="Times New Roman" w:hAnsi="Times New Roman" w:eastAsia="小标宋" w:cs="Times New Roman"/>
          <w:b w:val="0"/>
          <w:bCs w:val="0"/>
          <w:sz w:val="44"/>
          <w:szCs w:val="44"/>
          <w:u w:val="none"/>
          <w:lang w:val="en-US" w:eastAsia="zh-CN"/>
        </w:rPr>
        <w:t>红原县财政局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小标宋" w:cs="Times New Roman"/>
          <w:b w:val="0"/>
          <w:bCs w:val="0"/>
          <w:sz w:val="44"/>
          <w:szCs w:val="44"/>
          <w:u w:val="none"/>
          <w:lang w:val="en-US" w:eastAsia="zh-CN"/>
        </w:rPr>
      </w:pPr>
      <w:r>
        <w:rPr>
          <w:rFonts w:hint="default" w:ascii="Times New Roman" w:hAnsi="Times New Roman" w:eastAsia="小标宋" w:cs="Times New Roman"/>
          <w:b w:val="0"/>
          <w:bCs w:val="0"/>
          <w:sz w:val="44"/>
          <w:szCs w:val="44"/>
          <w:u w:val="none"/>
          <w:lang w:val="en-US" w:eastAsia="zh-CN"/>
        </w:rPr>
        <w:t>关于2025年预算绩效管理工作总结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小标宋" w:cs="Times New Roman"/>
          <w:b w:val="0"/>
          <w:bCs w:val="0"/>
          <w:sz w:val="44"/>
          <w:szCs w:val="44"/>
          <w:u w:val="none"/>
          <w:lang w:val="en-US" w:eastAsia="zh-CN"/>
        </w:rPr>
      </w:pPr>
      <w:r>
        <w:rPr>
          <w:rFonts w:hint="default" w:ascii="Times New Roman" w:hAnsi="Times New Roman" w:eastAsia="小标宋" w:cs="Times New Roman"/>
          <w:b w:val="0"/>
          <w:bCs w:val="0"/>
          <w:sz w:val="44"/>
          <w:szCs w:val="44"/>
          <w:u w:val="none"/>
          <w:lang w:val="en-US" w:eastAsia="zh-CN"/>
        </w:rPr>
        <w:t>及2026年工作计划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u w:val="none"/>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color w:val="auto"/>
          <w:kern w:val="0"/>
          <w:sz w:val="32"/>
          <w:szCs w:val="32"/>
          <w:highlight w:val="none"/>
          <w:u w:val="none"/>
          <w:shd w:val="clear" w:color="auto" w:fill="FFFFFF"/>
          <w:lang w:val="en-US" w:eastAsia="zh-CN"/>
        </w:rPr>
        <w:t>财政监督与绩效管理股在局党组的正确领导下和上级主管部门的指导下，严格按照省财政厅和州财政局2025年的工作部署，秉持为民、务实、清廉、开拓创新的原则，认真履行财政监督与绩效管理职责，积极组织开展预算绩效管理工作，现将2025年相关工作开展情况汇报如下。</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color w:val="auto"/>
          <w:kern w:val="0"/>
          <w:sz w:val="32"/>
          <w:szCs w:val="32"/>
          <w:highlight w:val="none"/>
          <w:u w:val="none"/>
          <w:shd w:val="clear" w:color="auto" w:fill="FFFFFF"/>
          <w:lang w:val="en-US" w:eastAsia="zh-CN"/>
        </w:rPr>
      </w:pPr>
      <w:r>
        <w:rPr>
          <w:rFonts w:hint="default" w:ascii="Times New Roman" w:hAnsi="Times New Roman" w:eastAsia="黑体" w:cs="Times New Roman"/>
          <w:color w:val="auto"/>
          <w:kern w:val="0"/>
          <w:sz w:val="32"/>
          <w:szCs w:val="32"/>
          <w:highlight w:val="none"/>
          <w:u w:val="none"/>
          <w:shd w:val="clear" w:color="auto" w:fill="FFFFFF"/>
          <w:lang w:val="en-US" w:eastAsia="zh-CN"/>
        </w:rPr>
        <w:t>一、2025年工作开展情况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楷体" w:cs="Times New Roman"/>
          <w:b/>
          <w:bCs/>
          <w:color w:val="auto"/>
          <w:kern w:val="0"/>
          <w:sz w:val="32"/>
          <w:szCs w:val="32"/>
          <w:highlight w:val="none"/>
          <w:u w:val="none"/>
          <w:shd w:val="clear" w:color="auto" w:fill="FFFFFF"/>
          <w:lang w:val="en-US" w:eastAsia="zh-CN"/>
        </w:rPr>
      </w:pPr>
      <w:r>
        <w:rPr>
          <w:rFonts w:hint="default" w:ascii="Times New Roman" w:hAnsi="Times New Roman" w:eastAsia="楷体" w:cs="Times New Roman"/>
          <w:b/>
          <w:bCs/>
          <w:color w:val="auto"/>
          <w:kern w:val="0"/>
          <w:sz w:val="32"/>
          <w:szCs w:val="32"/>
          <w:highlight w:val="none"/>
          <w:u w:val="none"/>
          <w:shd w:val="clear" w:color="auto" w:fill="FFFFFF"/>
          <w:lang w:val="en-US" w:eastAsia="zh-CN"/>
        </w:rPr>
        <w:t>（一）财政监督检查方面</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color w:val="auto"/>
          <w:kern w:val="0"/>
          <w:sz w:val="32"/>
          <w:szCs w:val="32"/>
          <w:highlight w:val="none"/>
          <w:u w:val="none"/>
          <w:shd w:val="clear" w:color="auto" w:fill="FFFFFF"/>
          <w:lang w:val="en-US" w:eastAsia="zh-CN"/>
        </w:rPr>
        <w:t>2025年，为维护财经纪律，切实履行财政部门监督职责，加大对财政管理方面综合治理力度，坚决纠正和查处各类财经违法违规行为，确保中央八项规定、省委省政府十项规定落到实处。我局周密安排、精心组织，选取36家县上单位开展财政重点监督检查，并开展内部业务股室自查工作。</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1.清理的专项范围。</w:t>
      </w:r>
      <w:r>
        <w:rPr>
          <w:rFonts w:hint="default" w:ascii="Times New Roman" w:hAnsi="Times New Roman" w:eastAsia="仿宋" w:cs="Times New Roman"/>
          <w:color w:val="auto"/>
          <w:kern w:val="0"/>
          <w:sz w:val="32"/>
          <w:szCs w:val="32"/>
          <w:highlight w:val="none"/>
          <w:u w:val="none"/>
          <w:shd w:val="clear" w:color="auto" w:fill="FFFFFF"/>
          <w:lang w:val="en-US" w:eastAsia="zh-CN"/>
        </w:rPr>
        <w:t>2025年，在全县范围内开展部门自查工作，</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一是</w:t>
      </w:r>
      <w:r>
        <w:rPr>
          <w:rFonts w:hint="default" w:ascii="Times New Roman" w:hAnsi="Times New Roman" w:eastAsia="仿宋" w:cs="Times New Roman"/>
          <w:color w:val="auto"/>
          <w:kern w:val="0"/>
          <w:sz w:val="32"/>
          <w:szCs w:val="32"/>
          <w:highlight w:val="none"/>
          <w:u w:val="none"/>
          <w:shd w:val="clear" w:color="auto" w:fill="FFFFFF"/>
          <w:lang w:val="en-US" w:eastAsia="zh-CN"/>
        </w:rPr>
        <w:t>重点选取16家县级部门，包括县政府办、县政法委、县审计局、县住建局、县疾病预防控制中心、县妇幼保健服务中心、县林草局、县退役军人事务局、县融媒体中心、经信局、科农局、团县委、县残疾人联合会、县红十字会、县公共就业和人才交流服务中心、水务局。</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二是</w:t>
      </w:r>
      <w:r>
        <w:rPr>
          <w:rFonts w:hint="default" w:ascii="Times New Roman" w:hAnsi="Times New Roman" w:eastAsia="仿宋" w:cs="Times New Roman"/>
          <w:color w:val="auto"/>
          <w:kern w:val="0"/>
          <w:sz w:val="32"/>
          <w:szCs w:val="32"/>
          <w:highlight w:val="none"/>
          <w:u w:val="none"/>
          <w:shd w:val="clear" w:color="auto" w:fill="FFFFFF"/>
          <w:lang w:val="en-US" w:eastAsia="zh-CN"/>
        </w:rPr>
        <w:t>重点选取11家乡镇卫生院，包括瓦切镇卫生院、麦洼乡卫生院、色地镇卫生院、刷经寺镇卫生院、壤口乡卫生院、江茸乡卫生院、查尔玛乡卫生院、龙日镇卫生院、安曲镇卫生院、邛溪镇卫生院、阿木乡卫生院。</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三是</w:t>
      </w:r>
      <w:r>
        <w:rPr>
          <w:rFonts w:hint="default" w:ascii="Times New Roman" w:hAnsi="Times New Roman" w:eastAsia="仿宋" w:cs="Times New Roman"/>
          <w:color w:val="auto"/>
          <w:kern w:val="0"/>
          <w:sz w:val="32"/>
          <w:szCs w:val="32"/>
          <w:highlight w:val="none"/>
          <w:u w:val="none"/>
          <w:shd w:val="clear" w:color="auto" w:fill="FFFFFF"/>
          <w:lang w:val="en-US" w:eastAsia="zh-CN"/>
        </w:rPr>
        <w:t>选取7所乡镇学校，包括龙日镇小学、刷经寺镇小学、色地镇小学、阿木乡小学、安曲镇小学、查尔玛乡小学、江茸乡小学。</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四是</w:t>
      </w:r>
      <w:r>
        <w:rPr>
          <w:rFonts w:hint="default" w:ascii="Times New Roman" w:hAnsi="Times New Roman" w:eastAsia="仿宋" w:cs="Times New Roman"/>
          <w:color w:val="auto"/>
          <w:kern w:val="0"/>
          <w:sz w:val="32"/>
          <w:szCs w:val="32"/>
          <w:highlight w:val="none"/>
          <w:u w:val="none"/>
          <w:shd w:val="clear" w:color="auto" w:fill="FFFFFF"/>
          <w:lang w:val="en-US" w:eastAsia="zh-CN"/>
        </w:rPr>
        <w:t>重点选取2家县属国有企业，县国投公司、县粮油公司。</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2.清理专项内容。</w:t>
      </w:r>
      <w:r>
        <w:rPr>
          <w:rFonts w:hint="default" w:ascii="Times New Roman" w:hAnsi="Times New Roman" w:eastAsia="仿宋" w:cs="Times New Roman"/>
          <w:color w:val="auto"/>
          <w:kern w:val="0"/>
          <w:sz w:val="32"/>
          <w:szCs w:val="32"/>
          <w:highlight w:val="none"/>
          <w:u w:val="none"/>
          <w:shd w:val="clear" w:color="auto" w:fill="FFFFFF"/>
          <w:lang w:val="en-US" w:eastAsia="zh-CN"/>
        </w:rPr>
        <w:t>根据《工作方案》重点检查2024年以来预算管理、采购管理、国有资产管理、采购管理、财务管理、内部控制管理、会计信息质量、代理记账机构执业情况、县属国有企业财务管理、预决算公开、“一卡通”津补贴管理执行情况以及其他重点领域专项检查等11个领域方面内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3.检查取得的成效。</w:t>
      </w:r>
      <w:r>
        <w:rPr>
          <w:rFonts w:hint="default" w:ascii="Times New Roman" w:hAnsi="Times New Roman" w:eastAsia="仿宋" w:cs="Times New Roman"/>
          <w:color w:val="auto"/>
          <w:kern w:val="0"/>
          <w:sz w:val="32"/>
          <w:szCs w:val="32"/>
          <w:highlight w:val="none"/>
          <w:u w:val="none"/>
          <w:shd w:val="clear" w:color="auto" w:fill="FFFFFF"/>
          <w:lang w:val="en-US" w:eastAsia="zh-CN"/>
        </w:rPr>
        <w:t>从自查情况来看，全县各部门按时开展财务自查工作，形成自查报告，充分达到自查全覆盖的效果。从重点抽查36家部门检查结果来看，暂无发现严重违反中央八项规定和财经纪律、设立“小金库”等重大情况。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楷体" w:cs="Times New Roman"/>
          <w:b/>
          <w:bCs/>
          <w:color w:val="auto"/>
          <w:kern w:val="0"/>
          <w:sz w:val="32"/>
          <w:szCs w:val="32"/>
          <w:highlight w:val="none"/>
          <w:u w:val="none"/>
          <w:shd w:val="clear" w:color="auto" w:fill="FFFFFF"/>
          <w:lang w:val="en-US" w:eastAsia="zh-CN"/>
        </w:rPr>
      </w:pPr>
      <w:r>
        <w:rPr>
          <w:rFonts w:hint="default" w:ascii="Times New Roman" w:hAnsi="Times New Roman" w:eastAsia="楷体" w:cs="Times New Roman"/>
          <w:b/>
          <w:bCs/>
          <w:color w:val="auto"/>
          <w:kern w:val="0"/>
          <w:sz w:val="32"/>
          <w:szCs w:val="32"/>
          <w:highlight w:val="none"/>
          <w:u w:val="none"/>
          <w:shd w:val="clear" w:color="auto" w:fill="FFFFFF"/>
          <w:lang w:val="en-US" w:eastAsia="zh-CN"/>
        </w:rPr>
        <w:t>（二）整改情况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color w:val="auto"/>
          <w:kern w:val="0"/>
          <w:sz w:val="32"/>
          <w:szCs w:val="32"/>
          <w:highlight w:val="none"/>
          <w:u w:val="none"/>
          <w:shd w:val="clear" w:color="auto" w:fill="FFFFFF"/>
          <w:lang w:val="en-US" w:eastAsia="zh-CN"/>
        </w:rPr>
        <w:t>已于12月8日将问题梳理汇总后形成整改通知《红原县财政局关于开展2025年度财政监督检查发现问题的整改通知》（红财〔2025〕148号）转发问题涉及单位，要求限期进行整改。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楷体" w:cs="Times New Roman"/>
          <w:b/>
          <w:bCs/>
          <w:color w:val="auto"/>
          <w:kern w:val="0"/>
          <w:sz w:val="32"/>
          <w:szCs w:val="32"/>
          <w:highlight w:val="none"/>
          <w:u w:val="none"/>
          <w:shd w:val="clear" w:color="auto" w:fill="FFFFFF"/>
          <w:lang w:val="en-US" w:eastAsia="zh-CN"/>
        </w:rPr>
      </w:pPr>
      <w:r>
        <w:rPr>
          <w:rFonts w:hint="default" w:ascii="Times New Roman" w:hAnsi="Times New Roman" w:eastAsia="楷体" w:cs="Times New Roman"/>
          <w:b/>
          <w:bCs/>
          <w:color w:val="auto"/>
          <w:kern w:val="0"/>
          <w:sz w:val="32"/>
          <w:szCs w:val="32"/>
          <w:highlight w:val="none"/>
          <w:u w:val="none"/>
          <w:shd w:val="clear" w:color="auto" w:fill="FFFFFF"/>
          <w:lang w:val="en-US" w:eastAsia="zh-CN"/>
        </w:rPr>
        <w:t>（三）绩效评价方面</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1.开展预算支出绩效评价工作。</w:t>
      </w:r>
      <w:r>
        <w:rPr>
          <w:rFonts w:hint="default" w:ascii="Times New Roman" w:hAnsi="Times New Roman" w:eastAsia="仿宋" w:cs="Times New Roman"/>
          <w:color w:val="auto"/>
          <w:kern w:val="0"/>
          <w:sz w:val="32"/>
          <w:szCs w:val="32"/>
          <w:highlight w:val="none"/>
          <w:u w:val="none"/>
          <w:shd w:val="clear" w:color="auto" w:fill="FFFFFF"/>
          <w:lang w:val="en-US" w:eastAsia="zh-CN"/>
        </w:rPr>
        <w:t>根据《红原县2025年财政预算绩效评价工作方案》，我局委托三方审计机构（北京中泽融信管理咨询有限公司）于7月常态开展2025年度预算绩效评价工作，重点评价2024年重点项目，如：财政衔接推进乡村振兴资金、国债资金及天保资金、政策性资金、卫生健康及社会保障领域资金、革命老区和黄高及政府性基金、2025年度事前绩效评估、部门预算支出绩效评价及资产绩效评价、债券资金、教科文资金、事中监控重点抽评、政府采购等项目。涉及资金总计约128115.05万元，共涉及项目92个，其中涉及事后项目支出绩效评价项目59个、政策绩效评价3个、事前绩效评估涉及项目10个、事中绩效监控涉及项目10个、部门整体及资产绩效评价涉及单位10个。</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2.开展2025年度国有资产管理绩效评价工作。</w:t>
      </w:r>
      <w:r>
        <w:rPr>
          <w:rFonts w:hint="default" w:ascii="Times New Roman" w:hAnsi="Times New Roman" w:eastAsia="仿宋" w:cs="Times New Roman"/>
          <w:color w:val="auto"/>
          <w:kern w:val="0"/>
          <w:sz w:val="32"/>
          <w:szCs w:val="32"/>
          <w:highlight w:val="none"/>
          <w:u w:val="none"/>
          <w:shd w:val="clear" w:color="auto" w:fill="FFFFFF"/>
          <w:lang w:val="en-US" w:eastAsia="zh-CN"/>
        </w:rPr>
        <w:t>采取部门自评、重点复核、综合评定的组织程序。</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3.开展2025年度绩效运行自行监控工作。</w:t>
      </w:r>
      <w:r>
        <w:rPr>
          <w:rFonts w:hint="default" w:ascii="Times New Roman" w:hAnsi="Times New Roman" w:eastAsia="仿宋" w:cs="Times New Roman"/>
          <w:color w:val="auto"/>
          <w:kern w:val="0"/>
          <w:sz w:val="32"/>
          <w:szCs w:val="32"/>
          <w:highlight w:val="none"/>
          <w:u w:val="none"/>
          <w:shd w:val="clear" w:color="auto" w:fill="FFFFFF"/>
          <w:lang w:val="en-US" w:eastAsia="zh-CN"/>
        </w:rPr>
        <w:t>要求各预算单位所有的人员类、公用经费类、其他运转类、部门项目类项目都应当纳入部门自行监控范围。</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4.开展2025年县级部门绩效自评工作。</w:t>
      </w:r>
      <w:r>
        <w:rPr>
          <w:rFonts w:hint="default" w:ascii="Times New Roman" w:hAnsi="Times New Roman" w:eastAsia="仿宋" w:cs="Times New Roman"/>
          <w:color w:val="auto"/>
          <w:kern w:val="0"/>
          <w:sz w:val="32"/>
          <w:szCs w:val="32"/>
          <w:highlight w:val="none"/>
          <w:u w:val="none"/>
          <w:shd w:val="clear" w:color="auto" w:fill="FFFFFF"/>
          <w:lang w:val="en-US" w:eastAsia="zh-CN"/>
        </w:rPr>
        <w:t>按照财政资金“谁使用，谁自评”的原则，开展好绩效自评工作。</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楷体" w:cs="Times New Roman"/>
          <w:b/>
          <w:bCs/>
          <w:color w:val="auto"/>
          <w:kern w:val="0"/>
          <w:sz w:val="32"/>
          <w:szCs w:val="32"/>
          <w:highlight w:val="none"/>
          <w:u w:val="none"/>
          <w:shd w:val="clear" w:color="auto" w:fill="FFFFFF"/>
          <w:lang w:val="en-US" w:eastAsia="zh-CN"/>
        </w:rPr>
      </w:pPr>
      <w:r>
        <w:rPr>
          <w:rFonts w:hint="default" w:ascii="Times New Roman" w:hAnsi="Times New Roman" w:eastAsia="楷体" w:cs="Times New Roman"/>
          <w:b/>
          <w:bCs/>
          <w:color w:val="auto"/>
          <w:kern w:val="0"/>
          <w:sz w:val="32"/>
          <w:szCs w:val="32"/>
          <w:highlight w:val="none"/>
          <w:u w:val="none"/>
          <w:shd w:val="clear" w:color="auto" w:fill="FFFFFF"/>
          <w:lang w:val="en-US" w:eastAsia="zh-CN"/>
        </w:rPr>
        <w:t>（四）严格管理制度，提质量增效果</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1.会计信息质量方面。</w:t>
      </w:r>
      <w:r>
        <w:rPr>
          <w:rFonts w:hint="default" w:ascii="Times New Roman" w:hAnsi="Times New Roman" w:eastAsia="仿宋" w:cs="Times New Roman"/>
          <w:color w:val="auto"/>
          <w:kern w:val="0"/>
          <w:sz w:val="32"/>
          <w:szCs w:val="32"/>
          <w:highlight w:val="none"/>
          <w:u w:val="none"/>
          <w:shd w:val="clear" w:color="auto" w:fill="FFFFFF"/>
          <w:lang w:val="en-US" w:eastAsia="zh-CN"/>
        </w:rPr>
        <w:t>加强会计档案管理。严格按照《中华人民共和国会计法》《政府会计准则制度》《会计基础工作规范》等相关规定，加强会计档案管理，在装订会计档案时，装订人、财务主管人员和保管年限等应按规定填写，确保会计档案管理责任清晰、资料保存完整规范。加强会计档案监督管理工作，定期装订，及时存档。会计档案一般应在上月终了、次月十五日前装订完毕，以免散乱丢失，查阅不便。</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2.预算绩效管理方面。</w:t>
      </w:r>
      <w:r>
        <w:rPr>
          <w:rFonts w:hint="default" w:ascii="Times New Roman" w:hAnsi="Times New Roman" w:eastAsia="仿宋" w:cs="Times New Roman"/>
          <w:color w:val="auto"/>
          <w:kern w:val="0"/>
          <w:sz w:val="32"/>
          <w:szCs w:val="32"/>
          <w:highlight w:val="none"/>
          <w:u w:val="none"/>
          <w:shd w:val="clear" w:color="auto" w:fill="FFFFFF"/>
          <w:lang w:val="en-US" w:eastAsia="zh-CN"/>
        </w:rPr>
        <w:t>提高绩效编报质量。科学设置绩效目标，细化、量化绩效指标，加强绩效目标审核，提高绩效目标编报质量。结合预期实施内容完善项目总体效益，从中概括、提炼出最能反映项目预期实现程度的关键性指标，增加并完善相应的二级、三级绩效指标。按照《省级预算绩效目标管理暂行办法》，设置完整的绩效目标，且设定绩效目标时要经过调查研究和科学论证，符合客观实际。</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3.国有资产管理执行方面。</w:t>
      </w:r>
      <w:r>
        <w:rPr>
          <w:rFonts w:hint="default" w:ascii="Times New Roman" w:hAnsi="Times New Roman" w:eastAsia="仿宋" w:cs="Times New Roman"/>
          <w:color w:val="auto"/>
          <w:kern w:val="0"/>
          <w:sz w:val="32"/>
          <w:szCs w:val="32"/>
          <w:highlight w:val="none"/>
          <w:u w:val="none"/>
          <w:shd w:val="clear" w:color="auto" w:fill="FFFFFF"/>
          <w:lang w:val="en-US" w:eastAsia="zh-CN"/>
        </w:rPr>
        <w:t>对固定资产进行定期清理，明确资产数量、型号、品牌等；落实资产管理使用人与责任人，做到责任到人，谁使用、谁维护、谁保管。建议对于新增的部分，及时建立台账；不定时对资产进行盘点，对盘盈、盘亏的情况，及时进行账务调整。</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楷体" w:cs="Times New Roman"/>
          <w:b/>
          <w:bCs/>
          <w:color w:val="auto"/>
          <w:kern w:val="0"/>
          <w:sz w:val="32"/>
          <w:szCs w:val="32"/>
          <w:highlight w:val="none"/>
          <w:u w:val="none"/>
          <w:shd w:val="clear" w:color="auto" w:fill="FFFFFF"/>
          <w:lang w:val="en-US" w:eastAsia="zh-CN"/>
        </w:rPr>
      </w:pPr>
      <w:r>
        <w:rPr>
          <w:rFonts w:hint="default" w:ascii="Times New Roman" w:hAnsi="Times New Roman" w:eastAsia="楷体" w:cs="Times New Roman"/>
          <w:b/>
          <w:bCs/>
          <w:color w:val="auto"/>
          <w:kern w:val="0"/>
          <w:sz w:val="32"/>
          <w:szCs w:val="32"/>
          <w:highlight w:val="none"/>
          <w:u w:val="none"/>
          <w:shd w:val="clear" w:color="auto" w:fill="FFFFFF"/>
          <w:lang w:val="en-US" w:eastAsia="zh-CN"/>
        </w:rPr>
        <w:t>（五）加强业务培训，提升能力建设</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bCs/>
          <w:color w:val="auto"/>
          <w:kern w:val="0"/>
          <w:sz w:val="32"/>
          <w:szCs w:val="32"/>
          <w:highlight w:val="none"/>
          <w:u w:val="none"/>
          <w:shd w:val="clear" w:color="auto" w:fill="FFFFFF"/>
          <w:lang w:val="en-US" w:eastAsia="zh-CN"/>
        </w:rPr>
        <w:t>开展2025年度全县财务人员能力提升培训。</w:t>
      </w:r>
      <w:r>
        <w:rPr>
          <w:rFonts w:hint="default" w:ascii="Times New Roman" w:hAnsi="Times New Roman" w:eastAsia="仿宋" w:cs="Times New Roman"/>
          <w:color w:val="auto"/>
          <w:kern w:val="0"/>
          <w:sz w:val="32"/>
          <w:szCs w:val="32"/>
          <w:highlight w:val="none"/>
          <w:u w:val="none"/>
          <w:shd w:val="clear" w:color="auto" w:fill="FFFFFF"/>
          <w:lang w:val="en-US" w:eastAsia="zh-CN"/>
        </w:rPr>
        <w:t>为进一步提升预算绩效管理和财会监督工作质效，持续深化“花钱必问效，无效必问责”理念，强化财政队伍建设，我局组织全县83个预算部门（单位）开展2025年度全县财务人员能力提升培训，培训人员为各预算部门（单位）财务分管领导及财务、财政工作人员共计138人参加培训。</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黑体" w:cs="Times New Roman"/>
          <w:color w:val="auto"/>
          <w:kern w:val="0"/>
          <w:sz w:val="32"/>
          <w:szCs w:val="32"/>
          <w:highlight w:val="none"/>
          <w:u w:val="none"/>
          <w:shd w:val="clear" w:color="auto" w:fill="FFFFFF"/>
          <w:lang w:val="en-US" w:eastAsia="zh-CN"/>
        </w:rPr>
      </w:pPr>
      <w:r>
        <w:rPr>
          <w:rFonts w:hint="default" w:ascii="Times New Roman" w:hAnsi="Times New Roman" w:eastAsia="黑体" w:cs="Times New Roman"/>
          <w:color w:val="auto"/>
          <w:kern w:val="0"/>
          <w:sz w:val="32"/>
          <w:szCs w:val="32"/>
          <w:highlight w:val="none"/>
          <w:u w:val="none"/>
          <w:shd w:val="clear" w:color="auto" w:fill="FFFFFF"/>
          <w:lang w:val="en-US" w:eastAsia="zh-CN"/>
        </w:rPr>
        <w:t>二、2026年工作计划</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 w:cs="Times New Roman"/>
          <w:color w:val="auto"/>
          <w:kern w:val="0"/>
          <w:sz w:val="32"/>
          <w:szCs w:val="32"/>
          <w:highlight w:val="none"/>
          <w:u w:val="none"/>
          <w:shd w:val="clear" w:color="auto" w:fill="FFFFFF"/>
          <w:lang w:val="en-US" w:eastAsia="zh-CN"/>
        </w:rPr>
      </w:pPr>
      <w:r>
        <w:rPr>
          <w:rFonts w:hint="default" w:ascii="Times New Roman" w:hAnsi="Times New Roman" w:eastAsia="仿宋" w:cs="Times New Roman"/>
          <w:b w:val="0"/>
          <w:bCs w:val="0"/>
          <w:color w:val="auto"/>
          <w:kern w:val="0"/>
          <w:sz w:val="32"/>
          <w:szCs w:val="32"/>
          <w:highlight w:val="none"/>
          <w:u w:val="none"/>
          <w:shd w:val="clear" w:color="auto" w:fill="FFFFFF"/>
          <w:lang w:val="en-US" w:eastAsia="zh-CN"/>
        </w:rPr>
        <w:t>除常态化开展好监督检查与绩效管理工作的同时，重点包括：</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一是强化绩效目标管理。</w:t>
      </w:r>
      <w:r>
        <w:rPr>
          <w:rFonts w:hint="default" w:ascii="Times New Roman" w:hAnsi="Times New Roman" w:eastAsia="仿宋" w:cs="Times New Roman"/>
          <w:color w:val="auto"/>
          <w:kern w:val="0"/>
          <w:sz w:val="32"/>
          <w:szCs w:val="32"/>
          <w:highlight w:val="none"/>
          <w:u w:val="none"/>
          <w:shd w:val="clear" w:color="auto" w:fill="FFFFFF"/>
          <w:lang w:val="en-US" w:eastAsia="zh-CN"/>
        </w:rPr>
        <w:t>组织开展绩效目标质量会审，完善绩效目标会审标准，进一步提高绩效目标编制质量。</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二是深入实施事前绩效评估。</w:t>
      </w:r>
      <w:r>
        <w:rPr>
          <w:rFonts w:hint="default" w:ascii="Times New Roman" w:hAnsi="Times New Roman" w:eastAsia="仿宋" w:cs="Times New Roman"/>
          <w:color w:val="auto"/>
          <w:kern w:val="0"/>
          <w:sz w:val="32"/>
          <w:szCs w:val="32"/>
          <w:highlight w:val="none"/>
          <w:u w:val="none"/>
          <w:shd w:val="clear" w:color="auto" w:fill="FFFFFF"/>
          <w:lang w:val="en-US" w:eastAsia="zh-CN"/>
        </w:rPr>
        <w:t>抓细抓实绩效评估工作，进一步规范预算执行阶段绩效评估和预算评审的统筹实施。</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三是深化事中绩效运行监控。</w:t>
      </w:r>
      <w:r>
        <w:rPr>
          <w:rFonts w:hint="default" w:ascii="Times New Roman" w:hAnsi="Times New Roman" w:eastAsia="仿宋" w:cs="Times New Roman"/>
          <w:color w:val="auto"/>
          <w:kern w:val="0"/>
          <w:sz w:val="32"/>
          <w:szCs w:val="32"/>
          <w:highlight w:val="none"/>
          <w:u w:val="none"/>
          <w:shd w:val="clear" w:color="auto" w:fill="FFFFFF"/>
          <w:lang w:val="en-US" w:eastAsia="zh-CN"/>
        </w:rPr>
        <w:t>督促县级预算部门（单位）高质量实施全覆盖全时段绩效运行监控，将绩效实现情况与预期目标进行比较，强化研判分析，及时纠偏纠错，并将开展进度每月在“预算管理一体化”系统进行上传更新。</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四是提升重点绩效评价质量。</w:t>
      </w:r>
      <w:r>
        <w:rPr>
          <w:rFonts w:hint="default" w:ascii="Times New Roman" w:hAnsi="Times New Roman" w:eastAsia="仿宋" w:cs="Times New Roman"/>
          <w:color w:val="auto"/>
          <w:kern w:val="0"/>
          <w:sz w:val="32"/>
          <w:szCs w:val="32"/>
          <w:highlight w:val="none"/>
          <w:u w:val="none"/>
          <w:shd w:val="clear" w:color="auto" w:fill="FFFFFF"/>
          <w:lang w:val="en-US" w:eastAsia="zh-CN"/>
        </w:rPr>
        <w:t>加强财政重点绩效评价，更加关注州委州政府、县委县政府重大决策部署贯彻落实情况，更加关注项目和资金管理制度建立健全情况。</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五是开展预算绩效管理及财会监督专题培训会。</w:t>
      </w:r>
      <w:r>
        <w:rPr>
          <w:rFonts w:hint="default" w:ascii="Times New Roman" w:hAnsi="Times New Roman" w:eastAsia="仿宋" w:cs="Times New Roman"/>
          <w:color w:val="auto"/>
          <w:kern w:val="0"/>
          <w:sz w:val="32"/>
          <w:szCs w:val="32"/>
          <w:highlight w:val="none"/>
          <w:u w:val="none"/>
          <w:shd w:val="clear" w:color="auto" w:fill="FFFFFF"/>
          <w:lang w:val="en-US" w:eastAsia="zh-CN"/>
        </w:rPr>
        <w:t>加强预算绩效与财会监督的宣传和培训工作，推动各部门牢固树立绩效、理念，增强绩效认识，落实主体责任，将绩效理念方法融入决策管理，助推经济社会高质量发展。</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六是强化信息化手段。</w:t>
      </w:r>
      <w:r>
        <w:rPr>
          <w:rFonts w:hint="default" w:ascii="Times New Roman" w:hAnsi="Times New Roman" w:eastAsia="仿宋" w:cs="Times New Roman"/>
          <w:color w:val="auto"/>
          <w:kern w:val="0"/>
          <w:sz w:val="32"/>
          <w:szCs w:val="32"/>
          <w:highlight w:val="none"/>
          <w:u w:val="none"/>
          <w:shd w:val="clear" w:color="auto" w:fill="FFFFFF"/>
          <w:lang w:val="en-US" w:eastAsia="zh-CN"/>
        </w:rPr>
        <w:t>将财政监督检查工作深入拓展到信息化建设方面，不断实现数据互联互通，确保全方位将财政监督深入到财务管理各方面。</w:t>
      </w:r>
      <w:r>
        <w:rPr>
          <w:rFonts w:hint="default" w:ascii="Times New Roman" w:hAnsi="Times New Roman" w:eastAsia="仿宋" w:cs="Times New Roman"/>
          <w:b/>
          <w:bCs/>
          <w:color w:val="auto"/>
          <w:kern w:val="0"/>
          <w:sz w:val="32"/>
          <w:szCs w:val="32"/>
          <w:highlight w:val="none"/>
          <w:u w:val="none"/>
          <w:shd w:val="clear" w:color="auto" w:fill="FFFFFF"/>
          <w:lang w:val="en-US" w:eastAsia="zh-CN"/>
        </w:rPr>
        <w:t>七是提升部门财务人员业务水平。</w:t>
      </w:r>
      <w:r>
        <w:rPr>
          <w:rFonts w:hint="default" w:ascii="Times New Roman" w:hAnsi="Times New Roman" w:eastAsia="仿宋" w:cs="Times New Roman"/>
          <w:b w:val="0"/>
          <w:bCs w:val="0"/>
          <w:color w:val="auto"/>
          <w:kern w:val="0"/>
          <w:sz w:val="32"/>
          <w:szCs w:val="32"/>
          <w:highlight w:val="none"/>
          <w:u w:val="none"/>
          <w:shd w:val="clear" w:color="auto" w:fill="FFFFFF"/>
          <w:lang w:val="en-US" w:eastAsia="zh-CN"/>
        </w:rPr>
        <w:t>组织部门（单位）财务及项目人员预算绩效业务能力提升培训，</w:t>
      </w:r>
      <w:r>
        <w:rPr>
          <w:rFonts w:hint="default" w:ascii="Times New Roman" w:hAnsi="Times New Roman" w:eastAsia="仿宋" w:cs="Times New Roman"/>
          <w:color w:val="auto"/>
          <w:kern w:val="0"/>
          <w:sz w:val="32"/>
          <w:szCs w:val="32"/>
          <w:highlight w:val="none"/>
          <w:u w:val="none"/>
          <w:shd w:val="clear" w:color="auto" w:fill="FFFFFF"/>
          <w:lang w:val="en-US" w:eastAsia="zh-CN"/>
        </w:rPr>
        <w:t>提升部门（单位）预算绩效和内部控制执行责任主体意识，有效设置预算绩效指标，规范使用财政资金的同时学习如何防范化解部门财务风险。</w:t>
      </w:r>
    </w:p>
    <w:bookmarkEnd w:id="0"/>
    <w:sectPr>
      <w:pgSz w:w="11907" w:h="16839"/>
      <w:pgMar w:top="2098" w:right="1474" w:bottom="1984" w:left="1587"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
  <w:rsids>
    <w:rsidRoot w:val="00000000"/>
    <w:rsid w:val="00CF3AFE"/>
    <w:rsid w:val="00DB635F"/>
    <w:rsid w:val="0102391C"/>
    <w:rsid w:val="018C5196"/>
    <w:rsid w:val="020A7B07"/>
    <w:rsid w:val="02B8604A"/>
    <w:rsid w:val="04DA4385"/>
    <w:rsid w:val="060B6657"/>
    <w:rsid w:val="073F1094"/>
    <w:rsid w:val="08986244"/>
    <w:rsid w:val="08F0173E"/>
    <w:rsid w:val="09CF669E"/>
    <w:rsid w:val="0A6C19BC"/>
    <w:rsid w:val="0E2C371D"/>
    <w:rsid w:val="0EB3556F"/>
    <w:rsid w:val="0FFD3984"/>
    <w:rsid w:val="103300B6"/>
    <w:rsid w:val="11C57720"/>
    <w:rsid w:val="1295102E"/>
    <w:rsid w:val="12FB6B10"/>
    <w:rsid w:val="16B42F0A"/>
    <w:rsid w:val="17E50127"/>
    <w:rsid w:val="187835B6"/>
    <w:rsid w:val="191E1EFE"/>
    <w:rsid w:val="196422B2"/>
    <w:rsid w:val="1A397E66"/>
    <w:rsid w:val="1A507645"/>
    <w:rsid w:val="1D525A01"/>
    <w:rsid w:val="1DD85D66"/>
    <w:rsid w:val="20305A3B"/>
    <w:rsid w:val="20A82847"/>
    <w:rsid w:val="22682475"/>
    <w:rsid w:val="237B2F65"/>
    <w:rsid w:val="27A72D5C"/>
    <w:rsid w:val="27B14739"/>
    <w:rsid w:val="293B7A7F"/>
    <w:rsid w:val="2AA179F6"/>
    <w:rsid w:val="2CB84403"/>
    <w:rsid w:val="2FEF31E0"/>
    <w:rsid w:val="318D596E"/>
    <w:rsid w:val="31CC67B9"/>
    <w:rsid w:val="321C0FEA"/>
    <w:rsid w:val="327B0020"/>
    <w:rsid w:val="328244B9"/>
    <w:rsid w:val="34AD310B"/>
    <w:rsid w:val="35956663"/>
    <w:rsid w:val="367F55D9"/>
    <w:rsid w:val="378D0817"/>
    <w:rsid w:val="386D69BA"/>
    <w:rsid w:val="3BA46499"/>
    <w:rsid w:val="3BCB4222"/>
    <w:rsid w:val="3ED07ECC"/>
    <w:rsid w:val="3F1A6E65"/>
    <w:rsid w:val="410815AB"/>
    <w:rsid w:val="43AE54CB"/>
    <w:rsid w:val="447A48C1"/>
    <w:rsid w:val="46B155EF"/>
    <w:rsid w:val="49903F35"/>
    <w:rsid w:val="499F12EE"/>
    <w:rsid w:val="4F2102F0"/>
    <w:rsid w:val="4F451D0A"/>
    <w:rsid w:val="4F5B0222"/>
    <w:rsid w:val="4F8E6B1B"/>
    <w:rsid w:val="50C94373"/>
    <w:rsid w:val="52C86A93"/>
    <w:rsid w:val="53B14C9E"/>
    <w:rsid w:val="54B9721F"/>
    <w:rsid w:val="562839C0"/>
    <w:rsid w:val="56617595"/>
    <w:rsid w:val="5662554A"/>
    <w:rsid w:val="57B167B0"/>
    <w:rsid w:val="58871366"/>
    <w:rsid w:val="59B55547"/>
    <w:rsid w:val="5B0C6F7F"/>
    <w:rsid w:val="5B7E41E7"/>
    <w:rsid w:val="5E643469"/>
    <w:rsid w:val="5F740895"/>
    <w:rsid w:val="60222F7B"/>
    <w:rsid w:val="614B11FA"/>
    <w:rsid w:val="615F3450"/>
    <w:rsid w:val="620C0B5A"/>
    <w:rsid w:val="63836135"/>
    <w:rsid w:val="63937D74"/>
    <w:rsid w:val="64BA1E6A"/>
    <w:rsid w:val="65317A11"/>
    <w:rsid w:val="667B00D8"/>
    <w:rsid w:val="6A2C7CCA"/>
    <w:rsid w:val="6AFA5CEC"/>
    <w:rsid w:val="6BEA55E0"/>
    <w:rsid w:val="6CDD4412"/>
    <w:rsid w:val="6D1D6AD5"/>
    <w:rsid w:val="6E6A16DB"/>
    <w:rsid w:val="71F37EB7"/>
    <w:rsid w:val="7463050B"/>
    <w:rsid w:val="77B5717D"/>
    <w:rsid w:val="78422311"/>
    <w:rsid w:val="7A314482"/>
    <w:rsid w:val="7AB676C4"/>
    <w:rsid w:val="7ADB29B3"/>
    <w:rsid w:val="7B5A3C4A"/>
    <w:rsid w:val="7CE63012"/>
    <w:rsid w:val="7D2D08EA"/>
    <w:rsid w:val="7D47775D"/>
    <w:rsid w:val="7D663A2B"/>
    <w:rsid w:val="7D9F7F1C"/>
    <w:rsid w:val="7E511F2B"/>
    <w:rsid w:val="7F117A5B"/>
    <w:rsid w:val="7F7405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仿宋_GB2312" w:hAnsi="Times New Roman" w:eastAsia="仿宋_GB2312" w:cs="Arial"/>
      <w:kern w:val="2"/>
      <w:sz w:val="32"/>
      <w:szCs w:val="32"/>
      <w:u w:val="single"/>
      <w:lang w:val="en-US" w:eastAsia="zh-CN" w:bidi="ar-SA"/>
    </w:rPr>
  </w:style>
  <w:style w:type="paragraph" w:styleId="3">
    <w:name w:val="heading 1"/>
    <w:basedOn w:val="1"/>
    <w:next w:val="1"/>
    <w:qFormat/>
    <w:uiPriority w:val="0"/>
    <w:pPr>
      <w:keepNext/>
      <w:keepLines/>
      <w:spacing w:before="340" w:after="330" w:line="578" w:lineRule="auto"/>
      <w:outlineLvl w:val="0"/>
    </w:pPr>
    <w:rPr>
      <w:b/>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Normal Indent"/>
    <w:basedOn w:val="1"/>
    <w:next w:val="1"/>
    <w:unhideWhenUsed/>
    <w:qFormat/>
    <w:uiPriority w:val="99"/>
    <w:rPr>
      <w:rFonts w:cs="仿宋_GB2312"/>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永中软件股份有限公司</Company>
  <TotalTime>0</TotalTime>
  <ScaleCrop>false</ScaleCrop>
  <LinksUpToDate>false</LinksUpToDate>
  <Application>WPS Office_10.1.0.6690_F1E327BC-269C-435d-A152-05C5408002CA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2010-09-08T14:51:00Z</dcterms:created>
  <dc:creator>user</dc:creator>
  <cp:lastModifiedBy>投资股-李仕昂</cp:lastModifiedBy>
  <dcterms:modified xsi:type="dcterms:W3CDTF">2026-02-10T08:46:57Z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