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0"/>
        <w:rPr>
          <w:rFonts w:hint="default" w:ascii="Times New Roman" w:hAnsi="Times New Roman" w:eastAsia="小标宋" w:cs="Times New Roman"/>
          <w:color w:val="000000"/>
          <w:sz w:val="44"/>
          <w:szCs w:val="44"/>
        </w:rPr>
      </w:pPr>
      <w:bookmarkStart w:id="0" w:name="_GoBack"/>
      <w:r>
        <w:rPr>
          <w:rFonts w:hint="default" w:ascii="Times New Roman" w:hAnsi="Times New Roman" w:eastAsia="小标宋" w:cs="Times New Roman"/>
          <w:color w:val="000000"/>
          <w:sz w:val="44"/>
          <w:szCs w:val="44"/>
        </w:rPr>
        <w:t>202</w:t>
      </w:r>
      <w:r>
        <w:rPr>
          <w:rFonts w:hint="default" w:ascii="Times New Roman" w:hAnsi="Times New Roman" w:eastAsia="小标宋" w:cs="Times New Roman"/>
          <w:color w:val="00000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小标宋" w:cs="Times New Roman"/>
          <w:color w:val="000000"/>
          <w:sz w:val="44"/>
          <w:szCs w:val="44"/>
        </w:rPr>
        <w:t>年</w:t>
      </w:r>
      <w:r>
        <w:rPr>
          <w:rFonts w:hint="default" w:ascii="Times New Roman" w:hAnsi="Times New Roman" w:eastAsia="小标宋" w:cs="Times New Roman"/>
          <w:color w:val="000000"/>
          <w:sz w:val="44"/>
          <w:szCs w:val="44"/>
          <w:lang w:val="en-US" w:eastAsia="zh-CN"/>
        </w:rPr>
        <w:t>红原县</w:t>
      </w:r>
      <w:r>
        <w:rPr>
          <w:rFonts w:hint="default" w:ascii="Times New Roman" w:hAnsi="Times New Roman" w:eastAsia="小标宋" w:cs="Times New Roman"/>
          <w:color w:val="000000"/>
          <w:sz w:val="44"/>
          <w:szCs w:val="44"/>
        </w:rPr>
        <w:t>税收返还和转移支付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0"/>
        <w:rPr>
          <w:rFonts w:hint="default" w:ascii="Times New Roman" w:hAnsi="Times New Roman" w:eastAsia="小标宋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小标宋" w:cs="Times New Roman"/>
          <w:color w:val="000000"/>
          <w:sz w:val="44"/>
          <w:szCs w:val="44"/>
        </w:rPr>
        <w:t>补助情况的说明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320" w:firstLineChars="1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年税收返还和转移支付补助收入预算数为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95292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万元，较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年年初预算数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减少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1741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下降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1.79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%。具体情况如下：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一、返还性收入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150"/>
        <w:textAlignment w:val="auto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年返还性收入预算数为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392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万元，与202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年预算数持平。其中：所得税基数返还收入预算数为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万元、成品油税费改革税收返还收入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54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万元、增值税税收返还收入预算数为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137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万元、消费税税收返还收入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万元、增值税“五五分享”税收返还收入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227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万元、其他税收返还收入-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55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二、一般性转移支付收入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年一般性转移支付收入预算数为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94900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较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减少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1741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下降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1.80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%，其中：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（一）体制补助收入预算数为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230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与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预算数持平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（二）均衡性转移支付支出预算数为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43233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较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增加5491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万元,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增长14.55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（三）县级基本财力保障机制奖补资金支出预算数为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8885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与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预算数持平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（四）结算补助支出预算数为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12832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较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减少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12780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下降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49.90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（五）固定数额补助收入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17589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较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减少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871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万元,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下降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4.72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（六）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重点生态功能区转移支付收入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8038万元，较2025年增加8038万元。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民族地区转移支付收入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4093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万元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，与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2025年预算数持平。</w:t>
      </w:r>
    </w:p>
    <w:bookmarkEnd w:id="0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27193"/>
    <w:rsid w:val="064128C3"/>
    <w:rsid w:val="0729200F"/>
    <w:rsid w:val="178C51DD"/>
    <w:rsid w:val="28627193"/>
    <w:rsid w:val="47473F07"/>
    <w:rsid w:val="519522D2"/>
    <w:rsid w:val="6C11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2025-06-04T14:11:00Z</dcterms:created>
  <dc:creator>scottdzwz</dc:creator>
  <cp:lastModifiedBy>投资股-李仕昂</cp:lastModifiedBy>
  <dcterms:modified xsi:type="dcterms:W3CDTF">2026-02-10T08:36:33Z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  <property fmtid="{D5CDD505-2E9C-101B-9397-08002B2CF9AE}" pid="3" name="ICV">
    <vt:lpwstr>C4DCD873BFD04BC3AC59E1562F5EC0D9_11</vt:lpwstr>
  </property>
  <property fmtid="{D5CDD505-2E9C-101B-9397-08002B2CF9AE}" pid="4" name="KSOTemplateDocerSaveRecord">
    <vt:lpwstr>eyJoZGlkIjoiOWViZGVkYzRmM2VkY2YyYzhhMDMxMjIxMzViZmVkNDYiLCJ1c2VySWQiOiI0NjQ5NjA2NjMifQ==</vt:lpwstr>
  </property>
</Properties>
</file>