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3A0E08">
      <w:pPr>
        <w:spacing w:line="640" w:lineRule="exact"/>
        <w:jc w:val="center"/>
        <w:outlineLvl w:val="0"/>
        <w:rPr>
          <w:rFonts w:ascii="方正小标宋简体" w:eastAsia="方正小标宋简体" w:cs="Times New Roman"/>
          <w:color w:val="000000"/>
          <w:sz w:val="44"/>
          <w:szCs w:val="44"/>
        </w:rPr>
      </w:pPr>
      <w:bookmarkStart w:id="0" w:name="_GoBack"/>
      <w:r>
        <w:rPr>
          <w:rFonts w:ascii="方正小标宋简体" w:eastAsia="方正小标宋简体" w:cs="方正小标宋简体"/>
          <w:color w:val="000000"/>
          <w:sz w:val="44"/>
          <w:szCs w:val="44"/>
        </w:rPr>
        <w:t>202</w:t>
      </w:r>
      <w:r>
        <w:rPr>
          <w:rFonts w:hint="eastAsia" w:ascii="方正小标宋简体" w:eastAsia="方正小标宋简体" w:cs="方正小标宋简体"/>
          <w:color w:val="000000"/>
          <w:sz w:val="44"/>
          <w:szCs w:val="44"/>
          <w:lang w:val="en-US" w:eastAsia="zh-CN"/>
        </w:rPr>
        <w:t>5</w:t>
      </w:r>
      <w:r>
        <w:rPr>
          <w:rFonts w:hint="eastAsia" w:ascii="方正小标宋简体" w:eastAsia="方正小标宋简体" w:cs="方正小标宋简体"/>
          <w:color w:val="000000"/>
          <w:sz w:val="44"/>
          <w:szCs w:val="44"/>
        </w:rPr>
        <w:t>年</w:t>
      </w:r>
      <w:r>
        <w:rPr>
          <w:rFonts w:hint="eastAsia" w:ascii="方正小标宋简体" w:eastAsia="方正小标宋简体" w:cs="方正小标宋简体"/>
          <w:color w:val="000000"/>
          <w:sz w:val="44"/>
          <w:szCs w:val="44"/>
          <w:lang w:val="en-US" w:eastAsia="zh-CN"/>
        </w:rPr>
        <w:t>红原县</w:t>
      </w:r>
      <w:r>
        <w:rPr>
          <w:rFonts w:hint="eastAsia" w:ascii="方正小标宋简体" w:eastAsia="方正小标宋简体" w:cs="方正小标宋简体"/>
          <w:color w:val="000000"/>
          <w:sz w:val="44"/>
          <w:szCs w:val="44"/>
        </w:rPr>
        <w:t>税收返还和转移支付</w:t>
      </w:r>
    </w:p>
    <w:p w14:paraId="5134E932">
      <w:pPr>
        <w:spacing w:line="640" w:lineRule="exact"/>
        <w:jc w:val="center"/>
        <w:outlineLvl w:val="0"/>
        <w:rPr>
          <w:rFonts w:ascii="方正小标宋简体" w:eastAsia="方正小标宋简体" w:cs="Times New Roman"/>
          <w:color w:val="000000"/>
          <w:sz w:val="44"/>
          <w:szCs w:val="44"/>
        </w:rPr>
      </w:pPr>
      <w:r>
        <w:rPr>
          <w:rFonts w:hint="eastAsia" w:ascii="方正小标宋简体" w:eastAsia="方正小标宋简体" w:cs="方正小标宋简体"/>
          <w:color w:val="000000"/>
          <w:sz w:val="44"/>
          <w:szCs w:val="44"/>
        </w:rPr>
        <w:t>补助情况的说明</w:t>
      </w:r>
    </w:p>
    <w:bookmarkEnd w:id="0"/>
    <w:p w14:paraId="45E463BC">
      <w:pPr>
        <w:spacing w:line="640" w:lineRule="exact"/>
        <w:ind w:firstLine="320" w:firstLineChars="100"/>
        <w:rPr>
          <w:rFonts w:ascii="仿宋_GB2312" w:eastAsia="仿宋_GB2312" w:cs="Times New Roman"/>
          <w:color w:val="000000"/>
          <w:sz w:val="32"/>
          <w:szCs w:val="32"/>
        </w:rPr>
      </w:pPr>
    </w:p>
    <w:p w14:paraId="769AEF3B">
      <w:pPr>
        <w:spacing w:line="640" w:lineRule="exact"/>
        <w:ind w:firstLine="640" w:firstLineChars="200"/>
        <w:rPr>
          <w:rFonts w:ascii="仿宋_GB2312" w:eastAsia="仿宋_GB2312" w:cs="Times New Roman"/>
          <w:b/>
          <w:bCs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2025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年税收返还和转移支付补助收入预算数为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97033</w:t>
      </w:r>
      <w:r>
        <w:rPr>
          <w:rFonts w:ascii="仿宋_GB2312" w:eastAsia="仿宋_GB2312" w:cs="仿宋_GB2312"/>
          <w:color w:val="000000"/>
          <w:sz w:val="32"/>
          <w:szCs w:val="32"/>
        </w:rPr>
        <w:t>万元，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较</w:t>
      </w:r>
      <w:r>
        <w:rPr>
          <w:rFonts w:ascii="仿宋_GB2312" w:eastAsia="仿宋_GB2312" w:cs="仿宋_GB2312"/>
          <w:color w:val="000000"/>
          <w:sz w:val="32"/>
          <w:szCs w:val="32"/>
        </w:rPr>
        <w:t>2024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年年初预算数增加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13708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万元，增长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16.45</w:t>
      </w:r>
      <w:r>
        <w:rPr>
          <w:rFonts w:ascii="仿宋_GB2312" w:eastAsia="仿宋_GB2312" w:cs="仿宋_GB2312"/>
          <w:color w:val="000000"/>
          <w:sz w:val="32"/>
          <w:szCs w:val="32"/>
        </w:rPr>
        <w:t>%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。具体情况如下：</w:t>
      </w:r>
    </w:p>
    <w:p w14:paraId="3142D941">
      <w:pPr>
        <w:pStyle w:val="4"/>
        <w:spacing w:line="640" w:lineRule="exact"/>
        <w:rPr>
          <w:rFonts w:ascii="黑体" w:eastAsia="黑体" w:cs="Times New Roman"/>
          <w:color w:val="000000"/>
          <w:sz w:val="32"/>
          <w:szCs w:val="32"/>
        </w:rPr>
      </w:pPr>
      <w:r>
        <w:rPr>
          <w:rFonts w:hint="eastAsia" w:ascii="黑体" w:eastAsia="黑体" w:cs="黑体"/>
          <w:color w:val="000000"/>
          <w:sz w:val="32"/>
          <w:szCs w:val="32"/>
        </w:rPr>
        <w:t>一、返还性收入</w:t>
      </w:r>
    </w:p>
    <w:p w14:paraId="57B6B0D4">
      <w:pPr>
        <w:spacing w:line="640" w:lineRule="exact"/>
        <w:ind w:firstLine="480" w:firstLineChars="150"/>
        <w:rPr>
          <w:rFonts w:ascii="宋体" w:cs="Times New Roman"/>
          <w:b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2025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年返还性收入预算数为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392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万元，与</w:t>
      </w:r>
      <w:r>
        <w:rPr>
          <w:rFonts w:ascii="仿宋_GB2312" w:eastAsia="仿宋_GB2312" w:cs="仿宋_GB2312"/>
          <w:color w:val="000000"/>
          <w:sz w:val="32"/>
          <w:szCs w:val="32"/>
        </w:rPr>
        <w:t>2024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年预算数持平。其中：所得税基数返还收入预算数为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28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万元、成品油税费改革税收返还收入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54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万元、增值税税收返还收入预算数为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137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万元、消费税税收返还收入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万元、增值税“五五分享”税收返还收入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227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万元、其他税收返还收入</w:t>
      </w:r>
      <w:r>
        <w:rPr>
          <w:rFonts w:ascii="仿宋_GB2312" w:eastAsia="仿宋_GB2312" w:cs="仿宋_GB2312"/>
          <w:color w:val="000000"/>
          <w:sz w:val="32"/>
          <w:szCs w:val="32"/>
        </w:rPr>
        <w:t>-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55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万元，以上项目均与</w:t>
      </w:r>
      <w:r>
        <w:rPr>
          <w:rFonts w:ascii="仿宋_GB2312" w:eastAsia="仿宋_GB2312" w:cs="仿宋_GB2312"/>
          <w:color w:val="000000"/>
          <w:sz w:val="32"/>
          <w:szCs w:val="32"/>
        </w:rPr>
        <w:t>2024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预算数持平。</w:t>
      </w:r>
    </w:p>
    <w:p w14:paraId="5D1320B3">
      <w:pPr>
        <w:spacing w:line="640" w:lineRule="exact"/>
        <w:ind w:left="640"/>
        <w:outlineLvl w:val="0"/>
        <w:rPr>
          <w:rFonts w:ascii="黑体" w:eastAsia="黑体" w:cs="Times New Roman"/>
          <w:color w:val="000000"/>
          <w:sz w:val="32"/>
          <w:szCs w:val="32"/>
        </w:rPr>
      </w:pPr>
      <w:r>
        <w:rPr>
          <w:rFonts w:hint="eastAsia" w:ascii="黑体" w:eastAsia="黑体" w:cs="黑体"/>
          <w:color w:val="000000"/>
          <w:sz w:val="32"/>
          <w:szCs w:val="32"/>
        </w:rPr>
        <w:t>二、一般性转移支付收入</w:t>
      </w:r>
    </w:p>
    <w:p w14:paraId="6171AB43">
      <w:pPr>
        <w:spacing w:line="640" w:lineRule="exact"/>
        <w:ind w:firstLine="640" w:firstLineChars="200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2025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年一般性转移支付收入预算数为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96641</w:t>
      </w:r>
      <w:r>
        <w:rPr>
          <w:rFonts w:ascii="仿宋_GB2312" w:eastAsia="仿宋_GB2312" w:cs="仿宋_GB2312"/>
          <w:color w:val="000000"/>
          <w:sz w:val="32"/>
          <w:szCs w:val="32"/>
        </w:rPr>
        <w:t>万元，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比</w:t>
      </w:r>
      <w:r>
        <w:rPr>
          <w:rFonts w:ascii="仿宋_GB2312" w:eastAsia="仿宋_GB2312" w:cs="仿宋_GB2312"/>
          <w:color w:val="000000"/>
          <w:sz w:val="32"/>
          <w:szCs w:val="32"/>
        </w:rPr>
        <w:t>2024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年增加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13708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万元，增长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16.53</w:t>
      </w:r>
      <w:r>
        <w:rPr>
          <w:rFonts w:ascii="仿宋_GB2312" w:eastAsia="仿宋_GB2312" w:cs="仿宋_GB2312"/>
          <w:color w:val="000000"/>
          <w:sz w:val="32"/>
          <w:szCs w:val="32"/>
        </w:rPr>
        <w:t>%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，</w:t>
      </w:r>
      <w:r>
        <w:rPr>
          <w:rFonts w:ascii="仿宋_GB2312" w:eastAsia="仿宋_GB2312" w:cs="仿宋_GB2312"/>
          <w:color w:val="000000"/>
          <w:sz w:val="32"/>
          <w:szCs w:val="32"/>
        </w:rPr>
        <w:t>其中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：</w:t>
      </w:r>
    </w:p>
    <w:p w14:paraId="1294FCC9">
      <w:pPr>
        <w:spacing w:line="640" w:lineRule="exact"/>
        <w:ind w:firstLine="640" w:firstLineChars="200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（一）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体制补助收入预算数为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230</w:t>
      </w:r>
      <w:r>
        <w:rPr>
          <w:rFonts w:ascii="仿宋_GB2312" w:eastAsia="仿宋_GB2312" w:cs="仿宋_GB2312"/>
          <w:color w:val="000000"/>
          <w:sz w:val="32"/>
          <w:szCs w:val="32"/>
        </w:rPr>
        <w:t>万元，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与</w:t>
      </w:r>
      <w:r>
        <w:rPr>
          <w:rFonts w:ascii="仿宋_GB2312" w:eastAsia="仿宋_GB2312" w:cs="仿宋_GB2312"/>
          <w:color w:val="000000"/>
          <w:sz w:val="32"/>
          <w:szCs w:val="32"/>
        </w:rPr>
        <w:t>2024年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预算数持平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。</w:t>
      </w:r>
    </w:p>
    <w:p w14:paraId="44CB5949">
      <w:pPr>
        <w:spacing w:line="640" w:lineRule="exact"/>
        <w:ind w:firstLine="640" w:firstLineChars="200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（二）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均衡性转移支付支出预算数为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37742</w:t>
      </w:r>
      <w:r>
        <w:rPr>
          <w:rFonts w:ascii="仿宋_GB2312" w:eastAsia="仿宋_GB2312" w:cs="仿宋_GB2312"/>
          <w:color w:val="000000"/>
          <w:sz w:val="32"/>
          <w:szCs w:val="32"/>
        </w:rPr>
        <w:t>万元，比2024年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减少970</w:t>
      </w:r>
      <w:r>
        <w:rPr>
          <w:rFonts w:ascii="仿宋_GB2312" w:eastAsia="仿宋_GB2312" w:cs="仿宋_GB2312"/>
          <w:color w:val="000000"/>
          <w:sz w:val="32"/>
          <w:szCs w:val="32"/>
        </w:rPr>
        <w:t>万元,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下降2.51</w:t>
      </w:r>
      <w:r>
        <w:rPr>
          <w:rFonts w:ascii="仿宋_GB2312" w:eastAsia="仿宋_GB2312" w:cs="仿宋_GB2312"/>
          <w:color w:val="000000"/>
          <w:sz w:val="32"/>
          <w:szCs w:val="32"/>
        </w:rPr>
        <w:t>%。</w:t>
      </w:r>
    </w:p>
    <w:p w14:paraId="6007F921">
      <w:pPr>
        <w:spacing w:line="640" w:lineRule="exact"/>
        <w:ind w:firstLine="640" w:firstLineChars="200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（三）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县级基本财力保障机制奖补资金支出预算数为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8885</w:t>
      </w:r>
      <w:r>
        <w:rPr>
          <w:rFonts w:ascii="仿宋_GB2312" w:eastAsia="仿宋_GB2312" w:cs="仿宋_GB2312"/>
          <w:color w:val="000000"/>
          <w:sz w:val="32"/>
          <w:szCs w:val="32"/>
        </w:rPr>
        <w:t>万元，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比</w:t>
      </w:r>
      <w:r>
        <w:rPr>
          <w:rFonts w:ascii="仿宋_GB2312" w:eastAsia="仿宋_GB2312" w:cs="仿宋_GB2312"/>
          <w:color w:val="000000"/>
          <w:sz w:val="32"/>
          <w:szCs w:val="32"/>
        </w:rPr>
        <w:t>2024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年</w:t>
      </w:r>
      <w:r>
        <w:rPr>
          <w:rFonts w:ascii="仿宋_GB2312" w:eastAsia="仿宋_GB2312" w:cs="仿宋_GB2312"/>
          <w:color w:val="000000"/>
          <w:sz w:val="32"/>
          <w:szCs w:val="32"/>
        </w:rPr>
        <w:t>增加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2049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万元</w:t>
      </w:r>
      <w:r>
        <w:rPr>
          <w:rFonts w:ascii="仿宋_GB2312" w:eastAsia="仿宋_GB2312" w:cs="仿宋_GB2312"/>
          <w:color w:val="000000"/>
          <w:sz w:val="32"/>
          <w:szCs w:val="32"/>
        </w:rPr>
        <w:t>，增长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29.97</w:t>
      </w:r>
      <w:r>
        <w:rPr>
          <w:rFonts w:ascii="仿宋_GB2312" w:eastAsia="仿宋_GB2312" w:cs="仿宋_GB2312"/>
          <w:color w:val="000000"/>
          <w:sz w:val="32"/>
          <w:szCs w:val="32"/>
        </w:rPr>
        <w:t>%。</w:t>
      </w:r>
    </w:p>
    <w:p w14:paraId="2A46F4E3">
      <w:pPr>
        <w:spacing w:line="640" w:lineRule="exact"/>
        <w:ind w:firstLine="640" w:firstLineChars="200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（四）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结算补助支出预算数为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25612</w:t>
      </w:r>
      <w:r>
        <w:rPr>
          <w:rFonts w:ascii="仿宋_GB2312" w:eastAsia="仿宋_GB2312" w:cs="仿宋_GB2312"/>
          <w:color w:val="000000"/>
          <w:sz w:val="32"/>
          <w:szCs w:val="32"/>
        </w:rPr>
        <w:t>万元，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比</w:t>
      </w:r>
      <w:r>
        <w:rPr>
          <w:rFonts w:ascii="仿宋_GB2312" w:eastAsia="仿宋_GB2312" w:cs="仿宋_GB2312"/>
          <w:color w:val="000000"/>
          <w:sz w:val="32"/>
          <w:szCs w:val="32"/>
        </w:rPr>
        <w:t>2024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年</w:t>
      </w:r>
      <w:r>
        <w:rPr>
          <w:rFonts w:ascii="仿宋_GB2312" w:eastAsia="仿宋_GB2312" w:cs="仿宋_GB2312"/>
          <w:color w:val="000000"/>
          <w:sz w:val="32"/>
          <w:szCs w:val="32"/>
        </w:rPr>
        <w:t>增加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8274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万元</w:t>
      </w:r>
      <w:r>
        <w:rPr>
          <w:rFonts w:ascii="仿宋_GB2312" w:eastAsia="仿宋_GB2312" w:cs="仿宋_GB2312"/>
          <w:color w:val="000000"/>
          <w:sz w:val="32"/>
          <w:szCs w:val="32"/>
        </w:rPr>
        <w:t>，增长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47.72</w:t>
      </w:r>
      <w:r>
        <w:rPr>
          <w:rFonts w:ascii="仿宋_GB2312" w:eastAsia="仿宋_GB2312" w:cs="仿宋_GB2312"/>
          <w:color w:val="000000"/>
          <w:sz w:val="32"/>
          <w:szCs w:val="32"/>
        </w:rPr>
        <w:t>%。</w:t>
      </w:r>
    </w:p>
    <w:p w14:paraId="68C6938F">
      <w:pPr>
        <w:spacing w:line="640" w:lineRule="exact"/>
        <w:ind w:firstLine="640" w:firstLineChars="200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（五）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固定数额补助收入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18460</w:t>
      </w:r>
      <w:r>
        <w:rPr>
          <w:rFonts w:ascii="仿宋_GB2312" w:eastAsia="仿宋_GB2312" w:cs="仿宋_GB2312"/>
          <w:color w:val="000000"/>
          <w:sz w:val="32"/>
          <w:szCs w:val="32"/>
        </w:rPr>
        <w:t>万元，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比</w:t>
      </w:r>
      <w:r>
        <w:rPr>
          <w:rFonts w:ascii="仿宋_GB2312" w:eastAsia="仿宋_GB2312" w:cs="仿宋_GB2312"/>
          <w:color w:val="000000"/>
          <w:sz w:val="32"/>
          <w:szCs w:val="32"/>
        </w:rPr>
        <w:t>2024年增加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9199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万元</w:t>
      </w:r>
      <w:r>
        <w:rPr>
          <w:rFonts w:ascii="仿宋_GB2312" w:eastAsia="仿宋_GB2312" w:cs="仿宋_GB2312"/>
          <w:color w:val="000000"/>
          <w:sz w:val="32"/>
          <w:szCs w:val="32"/>
        </w:rPr>
        <w:t>,增长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99.33</w:t>
      </w:r>
      <w:r>
        <w:rPr>
          <w:rFonts w:ascii="仿宋_GB2312" w:eastAsia="仿宋_GB2312" w:cs="仿宋_GB2312"/>
          <w:color w:val="000000"/>
          <w:sz w:val="32"/>
          <w:szCs w:val="32"/>
        </w:rPr>
        <w:t>%。</w:t>
      </w:r>
    </w:p>
    <w:p w14:paraId="4C6CC447">
      <w:pPr>
        <w:spacing w:line="640" w:lineRule="exact"/>
        <w:ind w:firstLine="640" w:firstLineChars="200"/>
        <w:rPr>
          <w:rFonts w:hint="default" w:asci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（六）</w:t>
      </w:r>
      <w:r>
        <w:t xml:space="preserve"> 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革命老区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转移支付收入1619万元，比2024年增加1619万元。</w:t>
      </w:r>
    </w:p>
    <w:p w14:paraId="3ACCA123">
      <w:pPr>
        <w:spacing w:line="640" w:lineRule="exact"/>
        <w:ind w:firstLine="640" w:firstLineChars="200"/>
      </w:pP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七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民族地区转移支付收入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4093</w:t>
      </w:r>
      <w:r>
        <w:rPr>
          <w:rFonts w:ascii="仿宋_GB2312" w:eastAsia="仿宋_GB2312" w:cs="仿宋_GB2312"/>
          <w:color w:val="000000"/>
          <w:sz w:val="32"/>
          <w:szCs w:val="32"/>
        </w:rPr>
        <w:t>万元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与2024年预算数持平。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627193"/>
    <w:rsid w:val="2862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2025-06-04T14:11:00Z</dcterms:created>
  <dc:creator>scottdzwz</dc:creator>
  <cp:lastModifiedBy>scottdzwz</cp:lastModifiedBy>
  <dcterms:modified xsi:type="dcterms:W3CDTF">2025-06-04T14:32:37Z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C4DCD873BFD04BC3AC59E1562F5EC0D9_11</vt:lpwstr>
  </property>
  <property fmtid="{D5CDD505-2E9C-101B-9397-08002B2CF9AE}" pid="4" name="KSOTemplateDocerSaveRecord">
    <vt:lpwstr>eyJoZGlkIjoiOWViZGVkYzRmM2VkY2YyYzhhMDMxMjIxMzViZmVkNDYiLCJ1c2VySWQiOiI0NjQ5NjA2NjMifQ==</vt:lpwstr>
  </property>
</Properties>
</file>