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红原县财政局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关于2024年预算绩效管理工作总结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及2025年工作计划</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u w:val="none"/>
          <w:lang w:val="en-US" w:eastAsia="zh-CN"/>
        </w:rPr>
      </w:pP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color w:val="auto"/>
          <w:kern w:val="0"/>
          <w:sz w:val="32"/>
          <w:szCs w:val="32"/>
          <w:highlight w:val="none"/>
          <w:u w:val="none"/>
          <w:shd w:val="clear" w:color="auto" w:fill="FFFFFF"/>
          <w:lang w:val="en-US" w:eastAsia="zh-CN"/>
        </w:rPr>
        <w:t>财政监督与绩效管理股在局党组的正确领导下和上级主管部门的指导下，</w:t>
      </w:r>
      <w:r>
        <w:rPr>
          <w:rFonts w:hint="eastAsia" w:ascii="Times New Roman" w:cs="Times New Roman"/>
          <w:color w:val="auto"/>
          <w:kern w:val="0"/>
          <w:sz w:val="32"/>
          <w:szCs w:val="32"/>
          <w:highlight w:val="none"/>
          <w:u w:val="none"/>
          <w:shd w:val="clear" w:color="auto" w:fill="FFFFFF"/>
          <w:lang w:val="en-US" w:eastAsia="zh-CN"/>
        </w:rPr>
        <w:t>严格</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按照省财政厅和州财政局2024年的工作部署，秉持为民、务实、清廉、开拓创新的原则，认真履行财政监督与绩效管理职责，积极组织开展预算绩效管理工作，现将2024年相关工作开展情况汇报如下。</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eastAsia" w:ascii="黑体" w:hAnsi="黑体" w:eastAsia="黑体" w:cs="黑体"/>
          <w:color w:val="auto"/>
          <w:kern w:val="0"/>
          <w:sz w:val="32"/>
          <w:szCs w:val="32"/>
          <w:highlight w:val="none"/>
          <w:u w:val="none"/>
          <w:shd w:val="clear" w:color="auto" w:fill="FFFFFF"/>
          <w:lang w:val="en-US" w:eastAsia="zh-CN"/>
        </w:rPr>
      </w:pPr>
      <w:r>
        <w:rPr>
          <w:rFonts w:hint="eastAsia" w:ascii="黑体" w:hAnsi="黑体" w:eastAsia="黑体" w:cs="黑体"/>
          <w:color w:val="auto"/>
          <w:kern w:val="0"/>
          <w:sz w:val="32"/>
          <w:szCs w:val="32"/>
          <w:highlight w:val="none"/>
          <w:u w:val="none"/>
          <w:shd w:val="clear" w:color="auto" w:fill="FFFFFF"/>
          <w:lang w:val="en-US" w:eastAsia="zh-CN"/>
        </w:rPr>
        <w:t>一、2024年工作开展情况</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楷体_GB2312" w:cs="Times New Roman"/>
          <w:b/>
          <w:bCs/>
          <w:color w:val="auto"/>
          <w:kern w:val="0"/>
          <w:sz w:val="32"/>
          <w:szCs w:val="32"/>
          <w:highlight w:val="none"/>
          <w:u w:val="none"/>
          <w:shd w:val="clear" w:color="auto" w:fill="FFFFFF"/>
          <w:lang w:val="en-US" w:eastAsia="zh-CN"/>
        </w:rPr>
      </w:pP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（一）财政监督检查方面</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color w:val="auto"/>
          <w:kern w:val="0"/>
          <w:sz w:val="32"/>
          <w:szCs w:val="32"/>
          <w:highlight w:val="none"/>
          <w:u w:val="none"/>
          <w:shd w:val="clear" w:color="auto" w:fill="FFFFFF"/>
          <w:lang w:val="en-US" w:eastAsia="zh-CN"/>
        </w:rPr>
        <w:t>2024年，为维护财经纪律，切实履行财政部门监督职责，加大对财政管理方面综合治理力度，坚决纠正和查处各类财经违法违规行为，确保中央八项规定、省委省政府十项规定落到实处。我局周密安排、精心组织，选取29家县上单位开展财政重点监督检查，并开展内部业务股室自查工作。</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1.清理的专项范围。</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2024年，在全县范围内开展部门自查工作，</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一是</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重点选取 15家县级部门，包括县人大</w:t>
      </w:r>
      <w:r>
        <w:rPr>
          <w:rFonts w:hint="eastAsia" w:ascii="Times New Roman" w:cs="Times New Roman"/>
          <w:color w:val="auto"/>
          <w:kern w:val="0"/>
          <w:sz w:val="32"/>
          <w:szCs w:val="32"/>
          <w:highlight w:val="none"/>
          <w:u w:val="none"/>
          <w:shd w:val="clear" w:color="auto" w:fill="FFFFFF"/>
          <w:lang w:val="en-US" w:eastAsia="zh-CN"/>
        </w:rPr>
        <w:t>办</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、县政协</w:t>
      </w:r>
      <w:r>
        <w:rPr>
          <w:rFonts w:hint="eastAsia" w:ascii="Times New Roman" w:cs="Times New Roman"/>
          <w:color w:val="auto"/>
          <w:kern w:val="0"/>
          <w:sz w:val="32"/>
          <w:szCs w:val="32"/>
          <w:highlight w:val="none"/>
          <w:u w:val="none"/>
          <w:shd w:val="clear" w:color="auto" w:fill="FFFFFF"/>
          <w:lang w:val="en-US" w:eastAsia="zh-CN"/>
        </w:rPr>
        <w:t>办</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、县民政局、县乡村振兴局、县行政审批局、县工商联、县新华书店、县科协、县发改局、县文体旅游局、县医保局、县市场监管局、县应急管理局、麦洼寺管委会、康玛尔寺管委会。</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二是</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重点选取3家乡镇，包括龙日镇人民政府、查尔玛乡人民政府、阿木乡人民政府。</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三是</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选取9所学校，包括藏文中学、双语幼儿园、邛溪镇幼儿园、城关小学、县中学、希望小学、异地育人寄宿制学校、麦洼乡小学、瓦切镇小学。</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四是</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重点选取1家县属国有企业，县国投公司。</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五是</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重点选取1家会计代理记账机构，红原县万信会计服务有限责任公司。</w:t>
      </w:r>
      <w:bookmarkStart w:id="0" w:name="_GoBack"/>
      <w:bookmarkEnd w:id="0"/>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2.清理专项内容。</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根据《工作方案》重点检查2023年以来预算管理、采购管理、国有资产管理、财务管理、内部控制管理、会计信息质量、代理记账机构执业情况、县属国有企业财务管理情况等10个领域方面内容。</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3.检查取得的成效。</w:t>
      </w:r>
      <w:r>
        <w:rPr>
          <w:rFonts w:hint="default" w:ascii="Times New Roman" w:hAnsi="Times New Roman" w:eastAsia="仿宋_GB2312" w:cs="Times New Roman"/>
          <w:color w:val="auto"/>
          <w:kern w:val="0"/>
          <w:sz w:val="32"/>
          <w:szCs w:val="32"/>
          <w:highlight w:val="none"/>
          <w:u w:val="none"/>
          <w:shd w:val="clear" w:color="auto" w:fill="FFFFFF"/>
          <w:lang w:val="en-US" w:eastAsia="zh-CN"/>
        </w:rPr>
        <w:t>从自查情况来看，全县各部门按时开展财务自查工作，形成自查报告，充分达到自查全覆盖的效果。从重点抽查29家部门检查结果来看，暂无发现严重违反中央八项规定和财经纪律、设立“小金库”等重大情况。</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楷体_GB2312" w:cs="Times New Roman"/>
          <w:b/>
          <w:bCs/>
          <w:color w:val="auto"/>
          <w:kern w:val="0"/>
          <w:sz w:val="32"/>
          <w:szCs w:val="32"/>
          <w:highlight w:val="none"/>
          <w:u w:val="none"/>
          <w:shd w:val="clear" w:color="auto" w:fill="FFFFFF"/>
          <w:lang w:val="en-US" w:eastAsia="zh-CN"/>
        </w:rPr>
      </w:pP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（二）整改情况。</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color w:val="auto"/>
          <w:kern w:val="0"/>
          <w:sz w:val="32"/>
          <w:szCs w:val="32"/>
          <w:highlight w:val="none"/>
          <w:u w:val="none"/>
          <w:shd w:val="clear" w:color="auto" w:fill="FFFFFF"/>
          <w:lang w:val="en-US" w:eastAsia="zh-CN"/>
        </w:rPr>
        <w:t>已于10月29日将问题梳理汇总后形成整改通知《红原县财政局关于开展2024年度财政监督检查发现问题的整改通知》（红财监绩〔2024〕49号）转发问题涉及单位，限期整改。</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楷体_GB2312" w:cs="Times New Roman"/>
          <w:b/>
          <w:bCs/>
          <w:color w:val="auto"/>
          <w:kern w:val="0"/>
          <w:sz w:val="32"/>
          <w:szCs w:val="32"/>
          <w:highlight w:val="none"/>
          <w:u w:val="none"/>
          <w:shd w:val="clear" w:color="auto" w:fill="FFFFFF"/>
          <w:lang w:val="en-US" w:eastAsia="zh-CN"/>
        </w:rPr>
      </w:pP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（三）</w:t>
      </w:r>
      <w:r>
        <w:rPr>
          <w:rFonts w:hint="eastAsia" w:ascii="Times New Roman" w:eastAsia="楷体_GB2312" w:cs="Times New Roman"/>
          <w:b/>
          <w:bCs/>
          <w:color w:val="auto"/>
          <w:kern w:val="0"/>
          <w:sz w:val="32"/>
          <w:szCs w:val="32"/>
          <w:highlight w:val="none"/>
          <w:u w:val="none"/>
          <w:shd w:val="clear" w:color="auto" w:fill="FFFFFF"/>
          <w:lang w:val="en-US" w:eastAsia="zh-CN"/>
        </w:rPr>
        <w:t>绩效评价方面</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cs="Times New Roman"/>
          <w:b/>
          <w:bCs/>
          <w:color w:val="auto"/>
          <w:kern w:val="0"/>
          <w:sz w:val="32"/>
          <w:szCs w:val="32"/>
          <w:highlight w:val="none"/>
          <w:u w:val="none"/>
          <w:shd w:val="clear" w:color="auto" w:fill="FFFFFF"/>
          <w:lang w:val="en-US" w:eastAsia="zh-CN"/>
        </w:rPr>
        <w:t>1.</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开展预算支出绩效评价工作。</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抽取10个重点项目开展事前绩效评估；抽取10个重点项目进行事中绩效监控；抽取10个部门进行部门整体支出绩效评价；抽取财政衔接推进乡村振兴资金、山水工程资金、政策性资金、社会保障领域资金、政府性基金、国有资本经营预算、专项债券资金、科教文资金等57个项目进行事后绩效评价。</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cs="Times New Roman"/>
          <w:b/>
          <w:bCs/>
          <w:color w:val="auto"/>
          <w:kern w:val="0"/>
          <w:sz w:val="32"/>
          <w:szCs w:val="32"/>
          <w:highlight w:val="none"/>
          <w:u w:val="none"/>
          <w:shd w:val="clear" w:color="auto" w:fill="FFFFFF"/>
          <w:lang w:val="en-US" w:eastAsia="zh-CN"/>
        </w:rPr>
        <w:t>2.</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开展2023年度国有资产管理绩效评价工作</w:t>
      </w:r>
      <w:r>
        <w:rPr>
          <w:rFonts w:hint="eastAsia" w:ascii="Times New Roman" w:cs="Times New Roman"/>
          <w:b/>
          <w:bCs/>
          <w:color w:val="auto"/>
          <w:kern w:val="0"/>
          <w:sz w:val="32"/>
          <w:szCs w:val="32"/>
          <w:highlight w:val="none"/>
          <w:u w:val="none"/>
          <w:shd w:val="clear" w:color="auto" w:fill="FFFFFF"/>
          <w:lang w:val="en-US" w:eastAsia="zh-CN"/>
        </w:rPr>
        <w:t>。</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采取部门自评、重点复核、综合评定的组织程序。</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3.开展2024年度绩效运行自行监控工作。</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要求</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各</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预算单位</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所有的人员类、公用经费类、其他运转类、部门项目类项目都应当纳入部门自行监控范围。</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cs="Times New Roman"/>
          <w:b/>
          <w:bCs/>
          <w:color w:val="auto"/>
          <w:kern w:val="0"/>
          <w:sz w:val="32"/>
          <w:szCs w:val="32"/>
          <w:highlight w:val="none"/>
          <w:u w:val="none"/>
          <w:shd w:val="clear" w:color="auto" w:fill="FFFFFF"/>
          <w:lang w:val="en-US" w:eastAsia="zh-CN"/>
        </w:rPr>
        <w:t>4.</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开展2024年县级部门绩效自评工作</w:t>
      </w:r>
      <w:r>
        <w:rPr>
          <w:rFonts w:hint="eastAsia" w:ascii="Times New Roman" w:cs="Times New Roman"/>
          <w:b/>
          <w:bCs/>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按照财政资金“谁使用，谁自评”的原则，开展</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好</w:t>
      </w:r>
      <w:r>
        <w:rPr>
          <w:rFonts w:hint="default" w:ascii="Times New Roman" w:hAnsi="Times New Roman" w:eastAsia="仿宋_GB2312" w:cs="Times New Roman"/>
          <w:color w:val="auto"/>
          <w:kern w:val="0"/>
          <w:sz w:val="32"/>
          <w:szCs w:val="32"/>
          <w:highlight w:val="none"/>
          <w:u w:val="none"/>
          <w:shd w:val="clear" w:color="auto" w:fill="FFFFFF"/>
          <w:lang w:val="en-US" w:eastAsia="zh-CN"/>
        </w:rPr>
        <w:t>绩效自评工作</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楷体_GB2312" w:cs="Times New Roman"/>
          <w:b/>
          <w:bCs/>
          <w:color w:val="auto"/>
          <w:kern w:val="0"/>
          <w:sz w:val="32"/>
          <w:szCs w:val="32"/>
          <w:highlight w:val="none"/>
          <w:u w:val="none"/>
          <w:shd w:val="clear" w:color="auto" w:fill="FFFFFF"/>
          <w:lang w:val="en-US" w:eastAsia="zh-CN"/>
        </w:rPr>
      </w:pP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w:t>
      </w:r>
      <w:r>
        <w:rPr>
          <w:rFonts w:hint="eastAsia" w:ascii="Times New Roman" w:eastAsia="楷体_GB2312" w:cs="Times New Roman"/>
          <w:b/>
          <w:bCs/>
          <w:color w:val="auto"/>
          <w:kern w:val="0"/>
          <w:sz w:val="32"/>
          <w:szCs w:val="32"/>
          <w:highlight w:val="none"/>
          <w:u w:val="none"/>
          <w:shd w:val="clear" w:color="auto" w:fill="FFFFFF"/>
          <w:lang w:val="en-US" w:eastAsia="zh-CN"/>
        </w:rPr>
        <w:t>四</w:t>
      </w: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）严格管理制度，提质量增效果。</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1.</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会计信息质量方面。</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加强会计档案管理。严格按照《中华人民共和国会计法》《政府会计准则制度》《会计基础工作规范》等相关规定，加强会计档案管理，在装订会计档案时，装订人、财务主管人员和保管年限等应按规定填写，确保会计档案管理责任清晰、资料保存完整规范。加强会计档案监督管理工作，定期装订，及时存档。会计档案一般应在上月终了、次月十五日前装订完毕，以免散乱丢失，查阅不便。</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2.</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预算绩效管理方面。</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提高绩效编报质量。科学设置绩效目标，细化、量化绩效指标，加强绩效目标审核，提高绩效目标编报质量。结合预期实施内容完善项目总体效益，从中概括、提炼出最能反映项目预期实现程度的关键性指标，增加并完善相应的二级、三级绩效指标。按照《省级预算绩效目标管理暂行办法》，设置完整的绩效目标，且设定绩效目标时要经过调查研究和科学论证，符合客观实际。</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3.</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国有资产管理执行方面。</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对固定资产进行定期清理，明确资产数量、型号、品牌等；落实资产管理使用人与责任人，做到责任到人，谁使用、谁维护、谁保管。建议对于新增的部分，及时建立台账；不定时对资产进行盘点，对盘盈、盘亏的情况，及时进行账务调整。</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楷体_GB2312" w:cs="Times New Roman"/>
          <w:b/>
          <w:bCs/>
          <w:color w:val="auto"/>
          <w:kern w:val="0"/>
          <w:sz w:val="32"/>
          <w:szCs w:val="32"/>
          <w:highlight w:val="none"/>
          <w:u w:val="none"/>
          <w:shd w:val="clear" w:color="auto" w:fill="FFFFFF"/>
          <w:lang w:val="en-US" w:eastAsia="zh-CN"/>
        </w:rPr>
      </w:pP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w:t>
      </w:r>
      <w:r>
        <w:rPr>
          <w:rFonts w:hint="eastAsia" w:ascii="Times New Roman" w:eastAsia="楷体_GB2312" w:cs="Times New Roman"/>
          <w:b/>
          <w:bCs/>
          <w:color w:val="auto"/>
          <w:kern w:val="0"/>
          <w:sz w:val="32"/>
          <w:szCs w:val="32"/>
          <w:highlight w:val="none"/>
          <w:u w:val="none"/>
          <w:shd w:val="clear" w:color="auto" w:fill="FFFFFF"/>
          <w:lang w:val="en-US" w:eastAsia="zh-CN"/>
        </w:rPr>
        <w:t>五</w:t>
      </w:r>
      <w:r>
        <w:rPr>
          <w:rFonts w:hint="eastAsia" w:ascii="Times New Roman" w:hAnsi="Times New Roman" w:eastAsia="楷体_GB2312" w:cs="Times New Roman"/>
          <w:b/>
          <w:bCs/>
          <w:color w:val="auto"/>
          <w:kern w:val="0"/>
          <w:sz w:val="32"/>
          <w:szCs w:val="32"/>
          <w:highlight w:val="none"/>
          <w:u w:val="none"/>
          <w:shd w:val="clear" w:color="auto" w:fill="FFFFFF"/>
          <w:lang w:val="en-US" w:eastAsia="zh-CN"/>
        </w:rPr>
        <w:t>）加强业务培训，提升能力建设。</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开展2024年度全县财务人员能力提升培训。</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为进一步提升预算绩效管理和财会监督工作质效，持续深化“花钱必问效，无效必问责”理念，强化财政队伍建设，我局组织开展2024年度全县财务人员能力提升培训，全县预算部门（单位）财务分管领导、财政干部共计126人参加培训。</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eastAsia" w:ascii="黑体" w:hAnsi="黑体" w:eastAsia="黑体" w:cs="黑体"/>
          <w:color w:val="auto"/>
          <w:kern w:val="0"/>
          <w:sz w:val="32"/>
          <w:szCs w:val="32"/>
          <w:highlight w:val="none"/>
          <w:u w:val="none"/>
          <w:shd w:val="clear" w:color="auto" w:fill="FFFFFF"/>
          <w:lang w:val="en-US" w:eastAsia="zh-CN"/>
        </w:rPr>
      </w:pPr>
      <w:r>
        <w:rPr>
          <w:rFonts w:hint="eastAsia" w:ascii="黑体" w:hAnsi="黑体" w:eastAsia="黑体" w:cs="黑体"/>
          <w:color w:val="auto"/>
          <w:kern w:val="0"/>
          <w:sz w:val="32"/>
          <w:szCs w:val="32"/>
          <w:highlight w:val="none"/>
          <w:u w:val="none"/>
          <w:shd w:val="clear" w:color="auto" w:fill="FFFFFF"/>
          <w:lang w:val="en-US" w:eastAsia="zh-CN"/>
        </w:rPr>
        <w:t>二、2025年工作计划</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3" w:firstLineChars="200"/>
        <w:textAlignment w:val="auto"/>
        <w:rPr>
          <w:rFonts w:hint="eastAsia" w:ascii="Times New Roman" w:hAnsi="Times New Roman" w:eastAsia="仿宋_GB2312" w:cs="Times New Roman"/>
          <w:color w:val="auto"/>
          <w:kern w:val="0"/>
          <w:sz w:val="32"/>
          <w:szCs w:val="32"/>
          <w:highlight w:val="none"/>
          <w:u w:val="none"/>
          <w:shd w:val="clear" w:color="auto" w:fill="FFFFFF"/>
          <w:lang w:val="en-US" w:eastAsia="zh-CN"/>
        </w:rPr>
      </w:pP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一是</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强化绩效目标</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管理</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组织开展绩效目标质量会审，完善绩效目标会审标准，进一步提高绩效目标编制质量。</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二是</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深入实施事前绩效评估。</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抓细抓实绩效评估工作，进一步规范预算执行阶段绩效评估和预算评审的统筹实施。</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三是</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深化事中绩效运行监控。</w:t>
      </w:r>
      <w:r>
        <w:rPr>
          <w:rFonts w:hint="default" w:ascii="Times New Roman" w:hAnsi="Times New Roman" w:eastAsia="仿宋_GB2312" w:cs="Times New Roman"/>
          <w:color w:val="auto"/>
          <w:kern w:val="0"/>
          <w:sz w:val="32"/>
          <w:szCs w:val="32"/>
          <w:highlight w:val="none"/>
          <w:u w:val="none"/>
          <w:shd w:val="clear" w:color="auto" w:fill="FFFFFF"/>
          <w:lang w:val="en-US" w:eastAsia="zh-CN"/>
        </w:rPr>
        <w:t>督促</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县</w:t>
      </w:r>
      <w:r>
        <w:rPr>
          <w:rFonts w:hint="default" w:ascii="Times New Roman" w:hAnsi="Times New Roman" w:eastAsia="仿宋_GB2312" w:cs="Times New Roman"/>
          <w:color w:val="auto"/>
          <w:kern w:val="0"/>
          <w:sz w:val="32"/>
          <w:szCs w:val="32"/>
          <w:highlight w:val="none"/>
          <w:u w:val="none"/>
          <w:shd w:val="clear" w:color="auto" w:fill="FFFFFF"/>
          <w:lang w:val="en-US" w:eastAsia="zh-CN"/>
        </w:rPr>
        <w:t>级</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预算</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部门</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（单位）</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高质量实施全覆盖全时段绩效运行监控，将绩效实现情况与预期目标进行比较，强化研判分析，及时纠偏纠错</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，并将开展进度每月在“预算管理一体化”系统进行上传更新</w:t>
      </w:r>
      <w:r>
        <w:rPr>
          <w:rFonts w:hint="default" w:ascii="Times New Roman" w:hAnsi="Times New Roman" w:eastAsia="仿宋_GB2312" w:cs="Times New Roman"/>
          <w:color w:val="auto"/>
          <w:kern w:val="0"/>
          <w:sz w:val="32"/>
          <w:szCs w:val="32"/>
          <w:highlight w:val="none"/>
          <w:u w:val="none"/>
          <w:shd w:val="clear" w:color="auto" w:fill="FFFFFF"/>
          <w:lang w:val="en-US" w:eastAsia="zh-CN"/>
        </w:rPr>
        <w:t>。</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四是</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提升重点绩效评价质量。</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加强财政重点绩效评价，更加关注</w:t>
      </w:r>
      <w:r>
        <w:rPr>
          <w:rFonts w:hint="eastAsia" w:ascii="Times New Roman" w:cs="Times New Roman"/>
          <w:color w:val="auto"/>
          <w:kern w:val="0"/>
          <w:sz w:val="32"/>
          <w:szCs w:val="32"/>
          <w:highlight w:val="none"/>
          <w:u w:val="none"/>
          <w:shd w:val="clear" w:color="auto" w:fill="FFFFFF"/>
          <w:lang w:val="en-US" w:eastAsia="zh-CN"/>
        </w:rPr>
        <w:t>州委州政府、</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县</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委</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县</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政府重大决策部署贯彻落实情况，更加关注项目和资金管理制度建立健全情况。</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五是</w:t>
      </w:r>
      <w:r>
        <w:rPr>
          <w:rFonts w:hint="default" w:ascii="Times New Roman" w:hAnsi="Times New Roman" w:eastAsia="仿宋_GB2312" w:cs="Times New Roman"/>
          <w:b/>
          <w:bCs/>
          <w:color w:val="auto"/>
          <w:kern w:val="0"/>
          <w:sz w:val="32"/>
          <w:szCs w:val="32"/>
          <w:highlight w:val="none"/>
          <w:u w:val="none"/>
          <w:shd w:val="clear" w:color="auto" w:fill="FFFFFF"/>
          <w:lang w:val="en-US" w:eastAsia="zh-CN"/>
        </w:rPr>
        <w:t>开展预算绩效管理及财会监督专题培训会。</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加强预算绩效与财会监督的宣传和培训工作，推动各部门牢固树立绩效、理念，增强绩效认识，落实主体责任，将绩效理念方法融入决策管理，助推经济社会高质量发展</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六是强化信息化手段。</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将财政监督检查工作深入拓展到信息化建设方面，不断实现数据互联互通，确保全方位将财政监督深入到财务管理各方面。</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七是</w:t>
      </w:r>
      <w:r>
        <w:rPr>
          <w:rFonts w:hint="eastAsia" w:ascii="Times New Roman" w:cs="Times New Roman"/>
          <w:b/>
          <w:bCs/>
          <w:color w:val="auto"/>
          <w:kern w:val="0"/>
          <w:sz w:val="32"/>
          <w:szCs w:val="32"/>
          <w:highlight w:val="none"/>
          <w:u w:val="none"/>
          <w:shd w:val="clear" w:color="auto" w:fill="FFFFFF"/>
          <w:lang w:val="en-US" w:eastAsia="zh-CN"/>
        </w:rPr>
        <w:t>提升</w:t>
      </w:r>
      <w:r>
        <w:rPr>
          <w:rFonts w:hint="eastAsia" w:ascii="Times New Roman" w:hAnsi="Times New Roman" w:eastAsia="仿宋_GB2312" w:cs="Times New Roman"/>
          <w:b/>
          <w:bCs/>
          <w:color w:val="auto"/>
          <w:kern w:val="0"/>
          <w:sz w:val="32"/>
          <w:szCs w:val="32"/>
          <w:highlight w:val="none"/>
          <w:u w:val="none"/>
          <w:shd w:val="clear" w:color="auto" w:fill="FFFFFF"/>
          <w:lang w:val="en-US" w:eastAsia="zh-CN"/>
        </w:rPr>
        <w:t>部门财务人员业务水平。</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提升部门内部控制责任主体意识，防范化解部门财务风险。</w:t>
      </w: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p>
    <w:p>
      <w:pPr>
        <w:keepNext w:val="0"/>
        <w:keepLines w:val="0"/>
        <w:pageBreakBefore w:val="0"/>
        <w:numPr>
          <w:ilvl w:val="0"/>
          <w:numId w:val="0"/>
        </w:numPr>
        <w:shd w:val="clear" w:color="auto" w:fill="auto"/>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p>
    <w:sectPr>
      <w:pgSz w:w="11907" w:h="16839"/>
      <w:pgMar w:top="1440" w:right="1800" w:bottom="1440" w:left="1800"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
  <w:rsids>
    <w:rsidRoot w:val="00000000"/>
    <w:rsid w:val="0102391C"/>
    <w:rsid w:val="018C5196"/>
    <w:rsid w:val="020A7B07"/>
    <w:rsid w:val="02B8604A"/>
    <w:rsid w:val="073F1094"/>
    <w:rsid w:val="0EB3556F"/>
    <w:rsid w:val="0FFD3984"/>
    <w:rsid w:val="11C57720"/>
    <w:rsid w:val="12FB6B10"/>
    <w:rsid w:val="191E1EFE"/>
    <w:rsid w:val="1D525A01"/>
    <w:rsid w:val="1DD85D66"/>
    <w:rsid w:val="237B2F65"/>
    <w:rsid w:val="27B14739"/>
    <w:rsid w:val="2CB84403"/>
    <w:rsid w:val="2FEF31E0"/>
    <w:rsid w:val="31CC67B9"/>
    <w:rsid w:val="327B0020"/>
    <w:rsid w:val="328244B9"/>
    <w:rsid w:val="386D69BA"/>
    <w:rsid w:val="3BA46499"/>
    <w:rsid w:val="499F12EE"/>
    <w:rsid w:val="52C86A93"/>
    <w:rsid w:val="5662554A"/>
    <w:rsid w:val="57B167B0"/>
    <w:rsid w:val="59B55547"/>
    <w:rsid w:val="614B11FA"/>
    <w:rsid w:val="620C0B5A"/>
    <w:rsid w:val="63836135"/>
    <w:rsid w:val="63937D74"/>
    <w:rsid w:val="65317A11"/>
    <w:rsid w:val="6AFA5CEC"/>
    <w:rsid w:val="77B5717D"/>
    <w:rsid w:val="7ADB29B3"/>
    <w:rsid w:val="7B5A3C4A"/>
    <w:rsid w:val="7D663A2B"/>
    <w:rsid w:val="7D9F7F1C"/>
    <w:rsid w:val="7E511F2B"/>
    <w:rsid w:val="7F7405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仿宋_GB2312" w:hAnsi="Times New Roman" w:eastAsia="仿宋_GB2312" w:cs="Arial"/>
      <w:kern w:val="2"/>
      <w:sz w:val="32"/>
      <w:szCs w:val="32"/>
      <w:u w:val="single"/>
      <w:lang w:val="en-US" w:eastAsia="zh-CN" w:bidi="ar-SA"/>
    </w:rPr>
  </w:style>
  <w:style w:type="paragraph" w:styleId="3">
    <w:name w:val="heading 1"/>
    <w:basedOn w:val="1"/>
    <w:next w:val="1"/>
    <w:qFormat/>
    <w:uiPriority w:val="0"/>
    <w:pPr>
      <w:keepNext/>
      <w:keepLines/>
      <w:spacing w:before="340" w:after="330" w:line="578" w:lineRule="auto"/>
      <w:outlineLvl w:val="0"/>
    </w:pPr>
    <w:rPr>
      <w:b/>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Normal Indent"/>
    <w:basedOn w:val="1"/>
    <w:next w:val="1"/>
    <w:unhideWhenUsed/>
    <w:qFormat/>
    <w:uiPriority w:val="99"/>
    <w:rPr>
      <w:rFonts w:cs="仿宋_GB2312"/>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永中软件股份有限公司</Company>
  <TotalTime>7</TotalTime>
  <ScaleCrop>false</ScaleCrop>
  <LinksUpToDate>false</LinksUpToDate>
  <Application>WPS Office_11.1.0.8919_F1E327BC-269C-435d-A152-05C5408002CA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2010-09-08T14:51:00Z</dcterms:created>
  <dc:creator>user</dc:creator>
  <cp:lastModifiedBy>Administrator</cp:lastModifiedBy>
  <dcterms:modified xsi:type="dcterms:W3CDTF">2025-06-04T09:58:12Z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ies>
</file>