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center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红原</w:t>
      </w:r>
      <w:r>
        <w:rPr>
          <w:rFonts w:hint="eastAsia" w:ascii="宋体" w:hAnsi="宋体" w:eastAsia="宋体" w:cs="宋体"/>
          <w:b/>
          <w:sz w:val="32"/>
          <w:szCs w:val="32"/>
        </w:rPr>
        <w:t>县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2023</w:t>
      </w:r>
      <w:r>
        <w:rPr>
          <w:rFonts w:hint="eastAsia" w:ascii="宋体" w:hAnsi="宋体" w:eastAsia="宋体" w:cs="宋体"/>
          <w:b/>
          <w:sz w:val="32"/>
          <w:szCs w:val="32"/>
        </w:rPr>
        <w:t>年年初预算转移支付情况说明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cs="宋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2023</w:t>
      </w:r>
      <w:r>
        <w:rPr>
          <w:rFonts w:hint="eastAsia" w:ascii="宋体" w:hAnsi="宋体" w:eastAsia="宋体" w:cs="宋体"/>
          <w:sz w:val="32"/>
          <w:szCs w:val="32"/>
        </w:rPr>
        <w:t>年转移支付预算数为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68985</w:t>
      </w:r>
      <w:r>
        <w:rPr>
          <w:rFonts w:hint="eastAsia" w:ascii="宋体" w:hAnsi="宋体" w:eastAsia="宋体" w:cs="宋体"/>
          <w:sz w:val="32"/>
          <w:szCs w:val="32"/>
        </w:rPr>
        <w:t>万元，其中：返还收收入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392</w:t>
      </w:r>
      <w:r>
        <w:rPr>
          <w:rFonts w:hint="eastAsia" w:ascii="宋体" w:hAnsi="宋体" w:eastAsia="宋体" w:cs="宋体"/>
          <w:sz w:val="32"/>
          <w:szCs w:val="32"/>
        </w:rPr>
        <w:t>万元，一般性转移支付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68593</w:t>
      </w:r>
      <w:r>
        <w:rPr>
          <w:rFonts w:hint="eastAsia" w:ascii="宋体" w:hAnsi="宋体" w:eastAsia="宋体" w:cs="宋体"/>
          <w:sz w:val="32"/>
          <w:szCs w:val="32"/>
        </w:rPr>
        <w:t>万元，专项转移支付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sz w:val="32"/>
          <w:szCs w:val="32"/>
        </w:rPr>
        <w:t>万元。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返还性收入预算数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392</w:t>
      </w:r>
      <w:r>
        <w:rPr>
          <w:rFonts w:hint="eastAsia" w:ascii="宋体" w:hAnsi="宋体" w:eastAsia="宋体" w:cs="宋体"/>
          <w:b/>
          <w:sz w:val="32"/>
          <w:szCs w:val="32"/>
        </w:rPr>
        <w:t>万元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</w:rPr>
        <w:t>（一）增值税税收返还收入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37</w:t>
      </w:r>
      <w:r>
        <w:rPr>
          <w:rFonts w:hint="eastAsia" w:ascii="宋体" w:hAnsi="宋体" w:eastAsia="宋体" w:cs="宋体"/>
          <w:sz w:val="32"/>
          <w:szCs w:val="32"/>
        </w:rPr>
        <w:t>万元。按本地区增值税和消费税的平均增长率的1：0.3系数确定，即两税增长1%，中央财政对地方的税收返还收入增长0.3%。若上划中央净收入达不到上年基数，则相应扣减税收返还额度，安排用于基本需求；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所得税基数返还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28</w:t>
      </w:r>
      <w:r>
        <w:rPr>
          <w:rFonts w:hint="eastAsia" w:ascii="宋体" w:hAnsi="宋体" w:eastAsia="宋体" w:cs="宋体"/>
          <w:sz w:val="32"/>
          <w:szCs w:val="32"/>
        </w:rPr>
        <w:t>万元，主要是企业所得税、个人所得税实行中央、省和地方分享，按基数返还地方用于各地基本需求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增值税五五分享税收返还收入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227万元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一般性转移支付预算数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68593</w:t>
      </w:r>
      <w:r>
        <w:rPr>
          <w:rFonts w:hint="eastAsia" w:ascii="宋体" w:hAnsi="宋体" w:eastAsia="宋体" w:cs="宋体"/>
          <w:b/>
          <w:sz w:val="32"/>
          <w:szCs w:val="32"/>
        </w:rPr>
        <w:t>万元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（一）体制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补助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230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万元，体制返还用于政府基本需求。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（二）均衡性转移支付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35847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万元，包括原均衡性转移支付、村主职干部报酬提标补助、社会治安综合治理、重点贫困村及老放映员生活补助，主要是用于进一步缩小各地区财力差距，逐步实现各地区基本公共服务均等化等方面支出。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</w:t>
      </w: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三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）固定数额补助收入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12930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万元，历年来，调整工资补助，用于保全县财政供养机关事业单位人员工资。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</w:t>
      </w: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四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民族地区转移收入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3796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主要用于“保工资、保运转、保民生”，提高基本财力保障水平。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</w:t>
      </w: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五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）县级基本财力保障机制奖补资金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7596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万元，主要用于“保工资、保运转、保民生”，提高基本财力保障水平。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</w:t>
      </w: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六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）结算补助收入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2595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万元，定额结算补助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2595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万元。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中央、省财政给予适当补助。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AE193"/>
    <w:multiLevelType w:val="singleLevel"/>
    <w:tmpl w:val="59EAE193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AB8C20D"/>
    <w:multiLevelType w:val="singleLevel"/>
    <w:tmpl w:val="5AB8C20D"/>
    <w:lvl w:ilvl="0" w:tentative="0">
      <w:start w:val="2"/>
      <w:numFmt w:val="chineseCounting"/>
      <w:suff w:val="nothing"/>
      <w:lvlText w:val="（%1）"/>
      <w:lvlJc w:val="left"/>
    </w:lvl>
  </w:abstractNum>
  <w:abstractNum w:abstractNumId="2">
    <w:nsid w:val="5AB8CA8D"/>
    <w:multiLevelType w:val="singleLevel"/>
    <w:tmpl w:val="5AB8CA8D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E218A"/>
    <w:rsid w:val="22D76186"/>
    <w:rsid w:val="31ED3FF7"/>
    <w:rsid w:val="4A753938"/>
    <w:rsid w:val="647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2023-01-13T04:48:00Z</dcterms:created>
  <dc:creator>投资股-李仕昂</dc:creator>
  <cp:lastModifiedBy>投资股-李仕昂</cp:lastModifiedBy>
  <dcterms:modified xsi:type="dcterms:W3CDTF">2023-01-18T02:57:53Z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