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hAnsi="宋体" w:eastAsia="方正小标宋简体"/>
          <w:sz w:val="72"/>
          <w:szCs w:val="72"/>
        </w:rPr>
      </w:pPr>
      <w:bookmarkStart w:id="0" w:name="_Toc15378441"/>
      <w:bookmarkStart w:id="1" w:name="_Toc15377193"/>
      <w:bookmarkStart w:id="2" w:name="_Toc15396597"/>
      <w:bookmarkStart w:id="3" w:name="_Toc15377425"/>
      <w:bookmarkStart w:id="4" w:name="_Toc15396475"/>
      <w:bookmarkStart w:id="5" w:name="_Toc15306267"/>
    </w:p>
    <w:p>
      <w:pPr>
        <w:pStyle w:val="7"/>
        <w:spacing w:before="93"/>
      </w:pPr>
    </w:p>
    <w:p>
      <w:pPr>
        <w:spacing w:line="600" w:lineRule="exact"/>
        <w:jc w:val="center"/>
        <w:rPr>
          <w:rFonts w:hint="eastAsia" w:ascii="方正小标宋简体" w:hAnsi="宋体" w:eastAsia="方正小标宋简体"/>
          <w:sz w:val="72"/>
          <w:szCs w:val="72"/>
        </w:rPr>
      </w:pPr>
    </w:p>
    <w:p>
      <w:pPr>
        <w:spacing w:line="600" w:lineRule="exact"/>
        <w:jc w:val="center"/>
        <w:rPr>
          <w:rFonts w:hint="eastAsia" w:ascii="方正小标宋简体" w:hAnsi="宋体" w:eastAsia="方正小标宋简体"/>
          <w:sz w:val="72"/>
          <w:szCs w:val="72"/>
        </w:rPr>
      </w:pPr>
    </w:p>
    <w:p>
      <w:pPr>
        <w:adjustRightInd w:val="0"/>
        <w:snapToGrid w:val="0"/>
        <w:spacing w:line="360" w:lineRule="auto"/>
        <w:jc w:val="center"/>
        <w:outlineLvl w:val="0"/>
        <w:rPr>
          <w:rFonts w:hint="eastAsia" w:ascii="方正小标宋简体" w:hAnsi="方正小标宋简体" w:eastAsia="方正小标宋简体" w:cs="方正小标宋简体"/>
          <w:sz w:val="44"/>
          <w:szCs w:val="44"/>
        </w:rPr>
      </w:pPr>
      <w:bookmarkStart w:id="6" w:name="_Toc15741"/>
      <w:bookmarkStart w:id="7" w:name="_Toc17831"/>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w:t>
      </w:r>
      <w:bookmarkEnd w:id="0"/>
      <w:bookmarkEnd w:id="1"/>
      <w:bookmarkEnd w:id="2"/>
      <w:bookmarkEnd w:id="3"/>
      <w:bookmarkEnd w:id="4"/>
      <w:bookmarkEnd w:id="6"/>
      <w:bookmarkEnd w:id="7"/>
    </w:p>
    <w:bookmarkEnd w:id="5"/>
    <w:p>
      <w:pPr>
        <w:adjustRightInd w:val="0"/>
        <w:snapToGrid w:val="0"/>
        <w:spacing w:line="360" w:lineRule="auto"/>
        <w:jc w:val="center"/>
        <w:outlineLvl w:val="0"/>
        <w:rPr>
          <w:rFonts w:hint="eastAsia" w:ascii="方正小标宋简体" w:hAnsi="方正小标宋简体" w:eastAsia="方正小标宋简体" w:cs="方正小标宋简体"/>
          <w:sz w:val="44"/>
          <w:szCs w:val="44"/>
        </w:rPr>
      </w:pPr>
      <w:bookmarkStart w:id="8" w:name="_Toc16251"/>
      <w:bookmarkStart w:id="9" w:name="_Toc9288"/>
      <w:bookmarkStart w:id="10" w:name="_Toc15377426"/>
      <w:bookmarkStart w:id="11" w:name="_Toc15396598"/>
      <w:bookmarkStart w:id="12" w:name="_Toc15377194"/>
      <w:bookmarkStart w:id="13" w:name="_Toc15378442"/>
      <w:bookmarkStart w:id="14" w:name="_Toc15306268"/>
      <w:bookmarkStart w:id="15" w:name="_Toc15396476"/>
      <w:r>
        <w:rPr>
          <w:rFonts w:hint="eastAsia" w:ascii="方正小标宋简体" w:hAnsi="方正小标宋简体" w:eastAsia="方正小标宋简体" w:cs="方正小标宋简体"/>
          <w:sz w:val="44"/>
          <w:szCs w:val="44"/>
        </w:rPr>
        <w:t>红原县公安局</w:t>
      </w:r>
      <w:bookmarkEnd w:id="8"/>
      <w:bookmarkEnd w:id="9"/>
    </w:p>
    <w:p>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bookmarkStart w:id="16" w:name="_Toc25181"/>
      <w:bookmarkStart w:id="17" w:name="_Toc16964"/>
      <w:r>
        <w:rPr>
          <w:rFonts w:hint="eastAsia" w:ascii="方正小标宋简体" w:hAnsi="方正小标宋简体" w:eastAsia="方正小标宋简体" w:cs="方正小标宋简体"/>
          <w:sz w:val="44"/>
          <w:szCs w:val="44"/>
        </w:rPr>
        <w:t>部门决算</w:t>
      </w:r>
      <w:bookmarkEnd w:id="10"/>
      <w:bookmarkEnd w:id="11"/>
      <w:bookmarkEnd w:id="12"/>
      <w:bookmarkEnd w:id="13"/>
      <w:bookmarkEnd w:id="14"/>
      <w:bookmarkEnd w:id="15"/>
      <w:r>
        <w:rPr>
          <w:rFonts w:hint="eastAsia" w:ascii="方正小标宋简体" w:hAnsi="方正小标宋简体" w:eastAsia="方正小标宋简体" w:cs="方正小标宋简体"/>
          <w:sz w:val="44"/>
          <w:szCs w:val="44"/>
        </w:rPr>
        <w:t>公开编制说明</w:t>
      </w:r>
      <w:bookmarkEnd w:id="16"/>
      <w:bookmarkEnd w:id="17"/>
    </w:p>
    <w:p>
      <w:pPr>
        <w:widowControl/>
        <w:jc w:val="center"/>
        <w:rPr>
          <w:rFonts w:hint="eastAsia" w:ascii="方正小标宋简体" w:hAnsi="宋体" w:eastAsia="方正小标宋简体"/>
          <w:sz w:val="36"/>
          <w:szCs w:val="36"/>
        </w:rPr>
      </w:pPr>
    </w:p>
    <w:p>
      <w:pPr>
        <w:pStyle w:val="20"/>
        <w:outlineLvl w:val="9"/>
        <w:rPr>
          <w:rFonts w:hint="eastAsia" w:ascii="方正小标宋简体" w:hAnsi="宋体" w:eastAsia="方正小标宋简体"/>
          <w:sz w:val="36"/>
          <w:szCs w:val="36"/>
        </w:rPr>
      </w:pPr>
    </w:p>
    <w:p>
      <w:pPr>
        <w:rPr>
          <w:rFonts w:hint="eastAsia" w:ascii="方正小标宋简体" w:hAnsi="宋体" w:eastAsia="方正小标宋简体"/>
          <w:sz w:val="36"/>
          <w:szCs w:val="36"/>
        </w:rPr>
      </w:pPr>
    </w:p>
    <w:p>
      <w:pPr>
        <w:pStyle w:val="20"/>
        <w:outlineLvl w:val="9"/>
        <w:rPr>
          <w:rFonts w:hint="eastAsia" w:ascii="方正小标宋简体" w:hAnsi="宋体" w:eastAsia="方正小标宋简体"/>
          <w:sz w:val="36"/>
          <w:szCs w:val="36"/>
        </w:rPr>
      </w:pPr>
    </w:p>
    <w:p>
      <w:pPr>
        <w:rPr>
          <w:rFonts w:hint="eastAsia" w:ascii="方正小标宋简体" w:hAnsi="宋体" w:eastAsia="方正小标宋简体"/>
          <w:sz w:val="36"/>
          <w:szCs w:val="36"/>
        </w:rPr>
      </w:pPr>
    </w:p>
    <w:p>
      <w:pPr>
        <w:pStyle w:val="20"/>
        <w:outlineLvl w:val="9"/>
        <w:rPr>
          <w:rFonts w:hint="eastAsia" w:ascii="方正小标宋简体" w:hAnsi="宋体" w:eastAsia="方正小标宋简体"/>
          <w:sz w:val="36"/>
          <w:szCs w:val="36"/>
        </w:rPr>
      </w:pPr>
    </w:p>
    <w:p>
      <w:pPr>
        <w:rPr>
          <w:rFonts w:hint="eastAsia" w:ascii="方正小标宋简体" w:hAnsi="宋体" w:eastAsia="方正小标宋简体"/>
          <w:sz w:val="36"/>
          <w:szCs w:val="36"/>
        </w:rPr>
      </w:pPr>
    </w:p>
    <w:p>
      <w:pPr>
        <w:rPr>
          <w:rFonts w:hint="eastAsia" w:ascii="方正小标宋简体" w:hAnsi="宋体" w:eastAsia="方正小标宋简体"/>
          <w:sz w:val="36"/>
          <w:szCs w:val="36"/>
        </w:rPr>
      </w:pPr>
    </w:p>
    <w:p>
      <w:pPr>
        <w:pStyle w:val="15"/>
        <w:widowControl/>
        <w:ind w:right="75"/>
      </w:pPr>
      <w:r>
        <w:rPr>
          <w:shd w:val="clear" w:color="auto" w:fill="FFFFFF"/>
        </w:rPr>
        <w:t>保密审查情况：已审查，内容审定</w:t>
      </w:r>
    </w:p>
    <w:p>
      <w:pPr>
        <w:pStyle w:val="15"/>
        <w:widowControl/>
        <w:ind w:right="75"/>
        <w:rPr>
          <w:shd w:val="clear" w:color="auto" w:fill="FFFFFF"/>
        </w:rPr>
      </w:pPr>
      <w:r>
        <w:rPr>
          <w:shd w:val="clear" w:color="auto" w:fill="FFFFFF"/>
        </w:rPr>
        <w:t>部门主要负责人审签情况：已审签，同意对外公开</w:t>
      </w:r>
    </w:p>
    <w:p>
      <w:pPr>
        <w:widowControl/>
        <w:ind w:firstLine="3600" w:firstLineChars="1000"/>
        <w:rPr>
          <w:rFonts w:hint="eastAsia"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pPr>
        <w:pStyle w:val="13"/>
        <w:jc w:val="center"/>
      </w:pPr>
      <w:r>
        <w:rPr>
          <w:rFonts w:hint="eastAsia"/>
        </w:rPr>
        <w:t>公开时间：202</w:t>
      </w:r>
      <w:r>
        <w:rPr>
          <w:rFonts w:hint="eastAsia"/>
          <w:lang w:val="en-US" w:eastAsia="zh-CN"/>
        </w:rPr>
        <w:t>6</w:t>
      </w:r>
      <w:r>
        <w:rPr>
          <w:rFonts w:hint="eastAsia"/>
        </w:rPr>
        <w:t>年</w:t>
      </w:r>
      <w:r>
        <w:rPr>
          <w:rFonts w:hint="eastAsia"/>
          <w:lang w:val="en-US" w:eastAsia="zh-CN"/>
        </w:rPr>
        <w:t>10</w:t>
      </w:r>
      <w:r>
        <w:rPr>
          <w:rFonts w:hint="eastAsia"/>
        </w:rPr>
        <w:t>月</w:t>
      </w:r>
      <w:r>
        <w:rPr>
          <w:rFonts w:hint="eastAsia"/>
          <w:lang w:val="en-US" w:eastAsia="zh-CN"/>
        </w:rPr>
        <w:t>12</w:t>
      </w:r>
      <w:r>
        <w:rPr>
          <w:rFonts w:hint="eastAsia"/>
        </w:rPr>
        <w:t>日</w:t>
      </w:r>
    </w:p>
    <w:sdt>
      <w:sdtPr>
        <w:rPr>
          <w:rFonts w:ascii="宋体" w:hAnsi="宋体"/>
        </w:rPr>
        <w:id w:val="147470260"/>
        <w15:color w:val="DBDBDB"/>
        <w:docPartObj>
          <w:docPartGallery w:val="Table of Contents"/>
          <w:docPartUnique/>
        </w:docPartObj>
      </w:sdtPr>
      <w:sdtEndPr>
        <w:rPr>
          <w:rFonts w:ascii="宋体" w:hAnsi="宋体"/>
          <w:b/>
        </w:rPr>
      </w:sdtEndPr>
      <w:sdtContent>
        <w:p>
          <w:pPr>
            <w:jc w:val="center"/>
          </w:pPr>
        </w:p>
        <w:p>
          <w:pPr>
            <w:pStyle w:val="13"/>
            <w:tabs>
              <w:tab w:val="right" w:leader="dot" w:pos="8306"/>
              <w:tab w:val="clear" w:pos="8296"/>
            </w:tabs>
          </w:pPr>
          <w:r>
            <w:fldChar w:fldCharType="begin"/>
          </w:r>
          <w:r>
            <w:instrText xml:space="preserve">TOC \o "1-2" \h \u </w:instrText>
          </w:r>
          <w:r>
            <w:fldChar w:fldCharType="separate"/>
          </w:r>
          <w:r>
            <w:fldChar w:fldCharType="begin"/>
          </w:r>
          <w:r>
            <w:instrText xml:space="preserve"> HYPERLINK \l _Toc15741 </w:instrText>
          </w:r>
          <w:r>
            <w:fldChar w:fldCharType="separate"/>
          </w:r>
          <w:r>
            <w:rPr>
              <w:rFonts w:hint="eastAsia" w:ascii="方正小标宋简体" w:hAnsi="方正小标宋简体" w:eastAsia="方正小标宋简体" w:cs="方正小标宋简体"/>
              <w:szCs w:val="44"/>
            </w:rPr>
            <w:t>202</w:t>
          </w:r>
          <w:r>
            <w:rPr>
              <w:rFonts w:hint="eastAsia" w:ascii="方正小标宋简体" w:hAnsi="方正小标宋简体" w:eastAsia="方正小标宋简体" w:cs="方正小标宋简体"/>
              <w:szCs w:val="44"/>
              <w:lang w:val="en-US" w:eastAsia="zh-CN"/>
            </w:rPr>
            <w:t>5</w:t>
          </w:r>
          <w:r>
            <w:rPr>
              <w:rFonts w:hint="eastAsia" w:ascii="方正小标宋简体" w:hAnsi="方正小标宋简体" w:eastAsia="方正小标宋简体" w:cs="方正小标宋简体"/>
              <w:szCs w:val="44"/>
            </w:rPr>
            <w:t>年度</w:t>
          </w:r>
          <w:r>
            <w:tab/>
          </w:r>
          <w:r>
            <w:fldChar w:fldCharType="begin"/>
          </w:r>
          <w:r>
            <w:instrText xml:space="preserve"> PAGEREF _Toc15741 </w:instrText>
          </w:r>
          <w:r>
            <w:fldChar w:fldCharType="separate"/>
          </w:r>
          <w:r>
            <w:t>1</w:t>
          </w:r>
          <w:r>
            <w:fldChar w:fldCharType="end"/>
          </w:r>
          <w:r>
            <w:fldChar w:fldCharType="end"/>
          </w:r>
        </w:p>
        <w:p>
          <w:pPr>
            <w:pStyle w:val="13"/>
            <w:tabs>
              <w:tab w:val="right" w:leader="dot" w:pos="8306"/>
              <w:tab w:val="clear" w:pos="8296"/>
            </w:tabs>
          </w:pPr>
          <w:r>
            <w:fldChar w:fldCharType="begin"/>
          </w:r>
          <w:r>
            <w:instrText xml:space="preserve"> HYPERLINK \l _Toc16251 </w:instrText>
          </w:r>
          <w:r>
            <w:fldChar w:fldCharType="separate"/>
          </w:r>
          <w:r>
            <w:rPr>
              <w:rFonts w:hint="eastAsia" w:ascii="方正小标宋简体" w:hAnsi="方正小标宋简体" w:eastAsia="方正小标宋简体" w:cs="方正小标宋简体"/>
              <w:szCs w:val="44"/>
            </w:rPr>
            <w:t>红原县公安局</w:t>
          </w:r>
          <w:r>
            <w:tab/>
          </w:r>
          <w:r>
            <w:fldChar w:fldCharType="begin"/>
          </w:r>
          <w:r>
            <w:instrText xml:space="preserve"> PAGEREF _Toc16251 </w:instrText>
          </w:r>
          <w:r>
            <w:fldChar w:fldCharType="separate"/>
          </w:r>
          <w:r>
            <w:t>1</w:t>
          </w:r>
          <w:r>
            <w:fldChar w:fldCharType="end"/>
          </w:r>
          <w:r>
            <w:fldChar w:fldCharType="end"/>
          </w:r>
        </w:p>
        <w:p>
          <w:pPr>
            <w:pStyle w:val="13"/>
            <w:tabs>
              <w:tab w:val="right" w:leader="dot" w:pos="8306"/>
              <w:tab w:val="clear" w:pos="8296"/>
            </w:tabs>
          </w:pPr>
          <w:r>
            <w:fldChar w:fldCharType="begin"/>
          </w:r>
          <w:r>
            <w:instrText xml:space="preserve"> HYPERLINK \l _Toc25181 </w:instrText>
          </w:r>
          <w:r>
            <w:fldChar w:fldCharType="separate"/>
          </w:r>
          <w:r>
            <w:rPr>
              <w:rFonts w:hint="eastAsia" w:ascii="方正小标宋简体" w:hAnsi="方正小标宋简体" w:eastAsia="方正小标宋简体" w:cs="方正小标宋简体"/>
              <w:szCs w:val="44"/>
            </w:rPr>
            <w:t>部门决算公开编制说明</w:t>
          </w:r>
          <w:r>
            <w:tab/>
          </w:r>
          <w:r>
            <w:fldChar w:fldCharType="begin"/>
          </w:r>
          <w:r>
            <w:instrText xml:space="preserve"> PAGEREF _Toc25181 </w:instrText>
          </w:r>
          <w:r>
            <w:fldChar w:fldCharType="separate"/>
          </w:r>
          <w:r>
            <w:t>1</w:t>
          </w:r>
          <w:r>
            <w:fldChar w:fldCharType="end"/>
          </w:r>
          <w:r>
            <w:fldChar w:fldCharType="end"/>
          </w:r>
        </w:p>
        <w:p>
          <w:pPr>
            <w:pStyle w:val="13"/>
            <w:tabs>
              <w:tab w:val="right" w:leader="dot" w:pos="8306"/>
              <w:tab w:val="clear" w:pos="8296"/>
            </w:tabs>
          </w:pPr>
          <w:r>
            <w:fldChar w:fldCharType="begin"/>
          </w:r>
          <w:r>
            <w:instrText xml:space="preserve"> HYPERLINK \l _Toc17104 </w:instrText>
          </w:r>
          <w:r>
            <w:fldChar w:fldCharType="separate"/>
          </w:r>
          <w:r>
            <w:rPr>
              <w:rFonts w:hint="eastAsia" w:ascii="黑体" w:hAnsi="黑体" w:eastAsia="黑体"/>
            </w:rPr>
            <w:t xml:space="preserve">第一部分 </w:t>
          </w:r>
          <w:r>
            <w:rPr>
              <w:rFonts w:hint="eastAsia" w:ascii="黑体" w:hAnsi="黑体" w:eastAsia="黑体"/>
              <w:bCs w:val="0"/>
            </w:rPr>
            <w:t>部门概况</w:t>
          </w:r>
          <w:r>
            <w:tab/>
          </w:r>
          <w:r>
            <w:fldChar w:fldCharType="begin"/>
          </w:r>
          <w:r>
            <w:instrText xml:space="preserve"> PAGEREF _Toc17104 </w:instrText>
          </w:r>
          <w:r>
            <w:fldChar w:fldCharType="separate"/>
          </w:r>
          <w:r>
            <w:t>4</w:t>
          </w:r>
          <w:r>
            <w:fldChar w:fldCharType="end"/>
          </w:r>
          <w:r>
            <w:fldChar w:fldCharType="end"/>
          </w:r>
        </w:p>
        <w:p>
          <w:pPr>
            <w:pStyle w:val="14"/>
            <w:tabs>
              <w:tab w:val="right" w:leader="dot" w:pos="8306"/>
              <w:tab w:val="clear" w:pos="8296"/>
            </w:tabs>
          </w:pPr>
          <w:r>
            <w:fldChar w:fldCharType="begin"/>
          </w:r>
          <w:r>
            <w:instrText xml:space="preserve"> HYPERLINK \l _Toc15136 </w:instrText>
          </w:r>
          <w:r>
            <w:fldChar w:fldCharType="separate"/>
          </w:r>
          <w:r>
            <w:rPr>
              <w:rFonts w:hint="eastAsia" w:ascii="黑体" w:hAnsi="黑体" w:eastAsia="黑体"/>
            </w:rPr>
            <w:t>一、 部门职责</w:t>
          </w:r>
          <w:r>
            <w:tab/>
          </w:r>
          <w:r>
            <w:fldChar w:fldCharType="begin"/>
          </w:r>
          <w:r>
            <w:instrText xml:space="preserve"> PAGEREF _Toc15136 </w:instrText>
          </w:r>
          <w:r>
            <w:fldChar w:fldCharType="separate"/>
          </w:r>
          <w:r>
            <w:t>4</w:t>
          </w:r>
          <w:r>
            <w:fldChar w:fldCharType="end"/>
          </w:r>
          <w:r>
            <w:fldChar w:fldCharType="end"/>
          </w:r>
        </w:p>
        <w:p>
          <w:pPr>
            <w:pStyle w:val="14"/>
            <w:tabs>
              <w:tab w:val="right" w:leader="dot" w:pos="8306"/>
              <w:tab w:val="clear" w:pos="8296"/>
            </w:tabs>
          </w:pPr>
          <w:r>
            <w:fldChar w:fldCharType="begin"/>
          </w:r>
          <w:r>
            <w:instrText xml:space="preserve"> HYPERLINK \l _Toc26221 </w:instrText>
          </w:r>
          <w:r>
            <w:fldChar w:fldCharType="separate"/>
          </w:r>
          <w:r>
            <w:rPr>
              <w:rFonts w:hint="eastAsia" w:ascii="黑体" w:eastAsia="黑体"/>
            </w:rPr>
            <w:t>二、</w:t>
          </w:r>
          <w:r>
            <w:rPr>
              <w:rFonts w:hint="eastAsia" w:ascii="黑体" w:hAnsi="黑体" w:eastAsia="黑体"/>
            </w:rPr>
            <w:t>机</w:t>
          </w:r>
          <w:r>
            <w:rPr>
              <w:rFonts w:hint="eastAsia" w:ascii="黑体" w:hAnsi="黑体" w:eastAsia="黑体"/>
              <w:bCs w:val="0"/>
            </w:rPr>
            <w:t>构设置</w:t>
          </w:r>
          <w:r>
            <w:tab/>
          </w:r>
          <w:r>
            <w:fldChar w:fldCharType="begin"/>
          </w:r>
          <w:r>
            <w:instrText xml:space="preserve"> PAGEREF _Toc26221 </w:instrText>
          </w:r>
          <w:r>
            <w:fldChar w:fldCharType="separate"/>
          </w:r>
          <w:r>
            <w:t>5</w:t>
          </w:r>
          <w:r>
            <w:fldChar w:fldCharType="end"/>
          </w:r>
          <w:r>
            <w:fldChar w:fldCharType="end"/>
          </w:r>
        </w:p>
        <w:p>
          <w:pPr>
            <w:pStyle w:val="13"/>
            <w:tabs>
              <w:tab w:val="right" w:leader="dot" w:pos="8306"/>
              <w:tab w:val="clear" w:pos="8296"/>
            </w:tabs>
          </w:pPr>
          <w:r>
            <w:fldChar w:fldCharType="begin"/>
          </w:r>
          <w:r>
            <w:instrText xml:space="preserve"> HYPERLINK \l _Toc17472 </w:instrText>
          </w:r>
          <w:r>
            <w:fldChar w:fldCharType="separate"/>
          </w:r>
          <w:r>
            <w:rPr>
              <w:rFonts w:hint="eastAsia" w:ascii="黑体" w:hAnsi="黑体" w:eastAsia="黑体"/>
            </w:rPr>
            <w:t>第二部分 202</w:t>
          </w:r>
          <w:r>
            <w:rPr>
              <w:rFonts w:hint="eastAsia" w:ascii="黑体" w:hAnsi="黑体" w:eastAsia="黑体"/>
              <w:lang w:val="en-US" w:eastAsia="zh-CN"/>
            </w:rPr>
            <w:t>5</w:t>
          </w:r>
          <w:r>
            <w:rPr>
              <w:rFonts w:hint="eastAsia" w:ascii="黑体" w:hAnsi="黑体" w:eastAsia="黑体"/>
            </w:rPr>
            <w:t>年度</w:t>
          </w:r>
          <w:r>
            <w:rPr>
              <w:rFonts w:hint="eastAsia" w:ascii="黑体" w:hAnsi="黑体" w:eastAsia="黑体"/>
              <w:bCs/>
            </w:rPr>
            <w:t>部门决算情况说明</w:t>
          </w:r>
          <w:r>
            <w:tab/>
          </w:r>
          <w:r>
            <w:fldChar w:fldCharType="begin"/>
          </w:r>
          <w:r>
            <w:instrText xml:space="preserve"> PAGEREF _Toc17472 </w:instrText>
          </w:r>
          <w:r>
            <w:fldChar w:fldCharType="separate"/>
          </w:r>
          <w:r>
            <w:t>7</w:t>
          </w:r>
          <w:r>
            <w:fldChar w:fldCharType="end"/>
          </w:r>
          <w:r>
            <w:fldChar w:fldCharType="end"/>
          </w:r>
        </w:p>
        <w:p>
          <w:pPr>
            <w:pStyle w:val="14"/>
            <w:tabs>
              <w:tab w:val="right" w:leader="dot" w:pos="8306"/>
              <w:tab w:val="clear" w:pos="8296"/>
            </w:tabs>
          </w:pPr>
          <w:r>
            <w:fldChar w:fldCharType="begin"/>
          </w:r>
          <w:r>
            <w:instrText xml:space="preserve"> HYPERLINK \l _Toc30276 </w:instrText>
          </w:r>
          <w:r>
            <w:fldChar w:fldCharType="separate"/>
          </w:r>
          <w:r>
            <w:rPr>
              <w:rFonts w:hint="default" w:ascii="黑体" w:hAnsi="黑体" w:eastAsia="黑体"/>
            </w:rPr>
            <w:t xml:space="preserve">一、 </w:t>
          </w:r>
          <w:r>
            <w:rPr>
              <w:rFonts w:hint="eastAsia" w:ascii="黑体" w:hAnsi="黑体" w:eastAsia="黑体"/>
              <w:szCs w:val="32"/>
            </w:rPr>
            <w:t>收</w:t>
          </w:r>
          <w:r>
            <w:rPr>
              <w:rFonts w:hint="eastAsia" w:ascii="黑体" w:hAnsi="黑体" w:eastAsia="黑体"/>
            </w:rPr>
            <w:t>入支出决算总体情况说明</w:t>
          </w:r>
          <w:r>
            <w:tab/>
          </w:r>
          <w:r>
            <w:fldChar w:fldCharType="begin"/>
          </w:r>
          <w:r>
            <w:instrText xml:space="preserve"> PAGEREF _Toc30276 </w:instrText>
          </w:r>
          <w:r>
            <w:fldChar w:fldCharType="separate"/>
          </w:r>
          <w:r>
            <w:t>7</w:t>
          </w:r>
          <w:r>
            <w:fldChar w:fldCharType="end"/>
          </w:r>
          <w:r>
            <w:fldChar w:fldCharType="end"/>
          </w:r>
        </w:p>
        <w:p>
          <w:pPr>
            <w:pStyle w:val="14"/>
            <w:tabs>
              <w:tab w:val="right" w:leader="dot" w:pos="8306"/>
              <w:tab w:val="clear" w:pos="8296"/>
            </w:tabs>
          </w:pPr>
          <w:r>
            <w:fldChar w:fldCharType="begin"/>
          </w:r>
          <w:r>
            <w:instrText xml:space="preserve"> HYPERLINK \l _Toc32172 </w:instrText>
          </w:r>
          <w:r>
            <w:fldChar w:fldCharType="separate"/>
          </w:r>
          <w:r>
            <w:rPr>
              <w:rFonts w:hint="default" w:ascii="黑体" w:hAnsi="黑体" w:eastAsia="黑体"/>
            </w:rPr>
            <w:t xml:space="preserve">二、 </w:t>
          </w:r>
          <w:r>
            <w:rPr>
              <w:rFonts w:hint="eastAsia" w:ascii="黑体" w:hAnsi="黑体" w:eastAsia="黑体"/>
              <w:szCs w:val="32"/>
            </w:rPr>
            <w:t>收</w:t>
          </w:r>
          <w:r>
            <w:rPr>
              <w:rFonts w:hint="eastAsia" w:ascii="黑体" w:hAnsi="黑体" w:eastAsia="黑体"/>
            </w:rPr>
            <w:t>入决算情况说明</w:t>
          </w:r>
          <w:r>
            <w:tab/>
          </w:r>
          <w:r>
            <w:fldChar w:fldCharType="begin"/>
          </w:r>
          <w:r>
            <w:instrText xml:space="preserve"> PAGEREF _Toc32172 </w:instrText>
          </w:r>
          <w:r>
            <w:fldChar w:fldCharType="separate"/>
          </w:r>
          <w:r>
            <w:t>7</w:t>
          </w:r>
          <w:r>
            <w:fldChar w:fldCharType="end"/>
          </w:r>
          <w:r>
            <w:fldChar w:fldCharType="end"/>
          </w:r>
        </w:p>
        <w:p>
          <w:pPr>
            <w:pStyle w:val="14"/>
            <w:tabs>
              <w:tab w:val="right" w:leader="dot" w:pos="8306"/>
              <w:tab w:val="clear" w:pos="8296"/>
            </w:tabs>
          </w:pPr>
          <w:r>
            <w:fldChar w:fldCharType="begin"/>
          </w:r>
          <w:r>
            <w:instrText xml:space="preserve"> HYPERLINK \l _Toc20300 </w:instrText>
          </w:r>
          <w:r>
            <w:fldChar w:fldCharType="separate"/>
          </w:r>
          <w:r>
            <w:rPr>
              <w:rFonts w:hint="eastAsia" w:ascii="仿宋" w:hAnsi="仿宋" w:eastAsia="仿宋"/>
              <w:szCs w:val="32"/>
            </w:rPr>
            <w:t>202</w:t>
          </w:r>
          <w:r>
            <w:rPr>
              <w:rFonts w:hint="eastAsia" w:ascii="仿宋" w:hAnsi="仿宋" w:eastAsia="仿宋"/>
              <w:szCs w:val="32"/>
              <w:lang w:val="en-US" w:eastAsia="zh-CN"/>
            </w:rPr>
            <w:t>5</w:t>
          </w:r>
          <w:r>
            <w:rPr>
              <w:rFonts w:hint="eastAsia" w:ascii="仿宋" w:hAnsi="仿宋" w:eastAsia="仿宋"/>
              <w:szCs w:val="32"/>
            </w:rPr>
            <w:t>年度本年收入合计</w:t>
          </w:r>
          <w:r>
            <w:rPr>
              <w:rFonts w:hint="eastAsia" w:ascii="仿宋" w:hAnsi="仿宋" w:eastAsia="仿宋"/>
              <w:szCs w:val="32"/>
              <w:lang w:val="en-US" w:eastAsia="zh-CN"/>
            </w:rPr>
            <w:t>9164.24</w:t>
          </w:r>
          <w:r>
            <w:rPr>
              <w:rFonts w:hint="eastAsia" w:ascii="仿宋" w:hAnsi="仿宋" w:eastAsia="仿宋"/>
              <w:szCs w:val="32"/>
            </w:rPr>
            <w:t>万元，其中：一般公共预算财政拨款收入</w:t>
          </w:r>
          <w:r>
            <w:rPr>
              <w:rFonts w:hint="eastAsia" w:ascii="仿宋" w:hAnsi="仿宋" w:eastAsia="仿宋"/>
              <w:szCs w:val="32"/>
              <w:lang w:val="en-US" w:eastAsia="zh-CN"/>
            </w:rPr>
            <w:t>9164.24</w:t>
          </w:r>
          <w:r>
            <w:rPr>
              <w:rFonts w:hint="eastAsia" w:ascii="仿宋" w:hAnsi="仿宋" w:eastAsia="仿宋"/>
              <w:szCs w:val="32"/>
            </w:rPr>
            <w:t>万元，占</w:t>
          </w:r>
          <w:r>
            <w:rPr>
              <w:rFonts w:hint="eastAsia" w:ascii="仿宋" w:hAnsi="仿宋" w:eastAsia="仿宋"/>
              <w:szCs w:val="32"/>
              <w:lang w:val="en-US" w:eastAsia="zh-CN"/>
            </w:rPr>
            <w:t>100</w:t>
          </w:r>
          <w:r>
            <w:rPr>
              <w:rFonts w:hint="eastAsia" w:ascii="仿宋" w:hAnsi="仿宋" w:eastAsia="仿宋"/>
              <w:szCs w:val="32"/>
            </w:rPr>
            <w:t>%；政府性基金预算财政拨款收入0万元，占0%；国有资本经营预算财政拨款收入0万元，占0%；上级补助收入0万元，占0%；事业收入0万元，占0%；经营收入0万元，占0%；附属单位上缴收入0万元，占0%；其他收入</w:t>
          </w:r>
          <w:r>
            <w:rPr>
              <w:rFonts w:hint="eastAsia" w:ascii="仿宋" w:hAnsi="仿宋" w:eastAsia="仿宋"/>
              <w:szCs w:val="32"/>
              <w:lang w:val="en-US" w:eastAsia="zh-CN"/>
            </w:rPr>
            <w:t>0</w:t>
          </w:r>
          <w:r>
            <w:rPr>
              <w:rFonts w:hint="eastAsia" w:ascii="仿宋" w:hAnsi="仿宋" w:eastAsia="仿宋"/>
              <w:szCs w:val="32"/>
            </w:rPr>
            <w:t>万元，占</w:t>
          </w:r>
          <w:r>
            <w:rPr>
              <w:rFonts w:hint="eastAsia" w:ascii="仿宋" w:hAnsi="仿宋" w:eastAsia="仿宋"/>
              <w:szCs w:val="32"/>
              <w:lang w:val="en-US" w:eastAsia="zh-CN"/>
            </w:rPr>
            <w:t>0</w:t>
          </w:r>
          <w:r>
            <w:rPr>
              <w:rFonts w:hint="eastAsia" w:ascii="仿宋" w:hAnsi="仿宋" w:eastAsia="仿宋"/>
              <w:szCs w:val="32"/>
            </w:rPr>
            <w:t>%。</w:t>
          </w:r>
          <w:r>
            <w:tab/>
          </w:r>
          <w:r>
            <w:fldChar w:fldCharType="begin"/>
          </w:r>
          <w:r>
            <w:instrText xml:space="preserve"> PAGEREF _Toc20300 </w:instrText>
          </w:r>
          <w:r>
            <w:fldChar w:fldCharType="separate"/>
          </w:r>
          <w:r>
            <w:t>7</w:t>
          </w:r>
          <w:r>
            <w:fldChar w:fldCharType="end"/>
          </w:r>
          <w:r>
            <w:fldChar w:fldCharType="end"/>
          </w:r>
        </w:p>
        <w:p>
          <w:pPr>
            <w:pStyle w:val="14"/>
            <w:tabs>
              <w:tab w:val="right" w:leader="dot" w:pos="8306"/>
              <w:tab w:val="clear" w:pos="8296"/>
            </w:tabs>
          </w:pPr>
          <w:r>
            <w:fldChar w:fldCharType="begin"/>
          </w:r>
          <w:r>
            <w:instrText xml:space="preserve"> HYPERLINK \l _Toc8786 </w:instrText>
          </w:r>
          <w:r>
            <w:fldChar w:fldCharType="separate"/>
          </w:r>
          <w:r>
            <w:rPr>
              <w:rFonts w:hint="default" w:ascii="黑体" w:hAnsi="黑体" w:eastAsia="黑体"/>
            </w:rPr>
            <w:t xml:space="preserve">三、 </w:t>
          </w:r>
          <w:r>
            <w:rPr>
              <w:rFonts w:hint="eastAsia" w:ascii="黑体" w:hAnsi="黑体" w:eastAsia="黑体"/>
              <w:szCs w:val="32"/>
            </w:rPr>
            <w:t>支</w:t>
          </w:r>
          <w:r>
            <w:rPr>
              <w:rFonts w:hint="eastAsia" w:ascii="黑体" w:hAnsi="黑体" w:eastAsia="黑体"/>
            </w:rPr>
            <w:t>出决算情况说明</w:t>
          </w:r>
          <w:r>
            <w:tab/>
          </w:r>
          <w:r>
            <w:fldChar w:fldCharType="begin"/>
          </w:r>
          <w:r>
            <w:instrText xml:space="preserve"> PAGEREF _Toc8786 </w:instrText>
          </w:r>
          <w:r>
            <w:fldChar w:fldCharType="separate"/>
          </w:r>
          <w:r>
            <w:t>8</w:t>
          </w:r>
          <w:r>
            <w:fldChar w:fldCharType="end"/>
          </w:r>
          <w:r>
            <w:fldChar w:fldCharType="end"/>
          </w:r>
        </w:p>
        <w:p>
          <w:pPr>
            <w:pStyle w:val="14"/>
            <w:tabs>
              <w:tab w:val="right" w:leader="dot" w:pos="8306"/>
              <w:tab w:val="clear" w:pos="8296"/>
            </w:tabs>
          </w:pPr>
          <w:r>
            <w:fldChar w:fldCharType="begin"/>
          </w:r>
          <w:r>
            <w:instrText xml:space="preserve"> HYPERLINK \l _Toc4929 </w:instrText>
          </w:r>
          <w:r>
            <w:fldChar w:fldCharType="separate"/>
          </w:r>
          <w:r>
            <w:rPr>
              <w:rFonts w:hint="eastAsia" w:ascii="仿宋" w:hAnsi="仿宋" w:eastAsia="仿宋"/>
              <w:szCs w:val="32"/>
            </w:rPr>
            <w:t>202</w:t>
          </w:r>
          <w:r>
            <w:rPr>
              <w:rFonts w:hint="eastAsia" w:ascii="仿宋" w:hAnsi="仿宋" w:eastAsia="仿宋"/>
              <w:szCs w:val="32"/>
              <w:lang w:val="en-US" w:eastAsia="zh-CN"/>
            </w:rPr>
            <w:t>5</w:t>
          </w:r>
          <w:r>
            <w:rPr>
              <w:rFonts w:hint="eastAsia" w:ascii="仿宋" w:hAnsi="仿宋" w:eastAsia="仿宋"/>
              <w:szCs w:val="32"/>
            </w:rPr>
            <w:t>年度本年支出合计</w:t>
          </w:r>
          <w:r>
            <w:rPr>
              <w:rFonts w:hint="eastAsia" w:ascii="仿宋" w:hAnsi="仿宋" w:eastAsia="仿宋"/>
              <w:szCs w:val="32"/>
              <w:lang w:val="en-US" w:eastAsia="zh-CN"/>
            </w:rPr>
            <w:t>9164.24</w:t>
          </w:r>
          <w:r>
            <w:rPr>
              <w:rFonts w:hint="eastAsia" w:ascii="仿宋" w:hAnsi="仿宋" w:eastAsia="仿宋"/>
              <w:szCs w:val="32"/>
            </w:rPr>
            <w:t>万元，其中：基本支出</w:t>
          </w:r>
          <w:r>
            <w:rPr>
              <w:rFonts w:hint="eastAsia" w:ascii="仿宋" w:hAnsi="仿宋" w:eastAsia="仿宋"/>
              <w:szCs w:val="32"/>
              <w:lang w:val="en-US" w:eastAsia="zh-CN"/>
            </w:rPr>
            <w:t>6711.54</w:t>
          </w:r>
          <w:r>
            <w:rPr>
              <w:rFonts w:hint="eastAsia" w:ascii="仿宋" w:hAnsi="仿宋" w:eastAsia="仿宋"/>
              <w:szCs w:val="32"/>
            </w:rPr>
            <w:t>万元，占</w:t>
          </w:r>
          <w:r>
            <w:rPr>
              <w:rFonts w:hint="eastAsia" w:ascii="仿宋" w:hAnsi="仿宋" w:eastAsia="仿宋"/>
              <w:szCs w:val="32"/>
              <w:lang w:val="en-US" w:eastAsia="zh-CN"/>
            </w:rPr>
            <w:t>73.24</w:t>
          </w:r>
          <w:r>
            <w:rPr>
              <w:rFonts w:hint="eastAsia" w:ascii="仿宋" w:hAnsi="仿宋" w:eastAsia="仿宋"/>
              <w:szCs w:val="32"/>
            </w:rPr>
            <w:t>%；项目支出</w:t>
          </w:r>
          <w:r>
            <w:rPr>
              <w:rFonts w:hint="eastAsia" w:ascii="仿宋" w:hAnsi="仿宋" w:eastAsia="仿宋"/>
              <w:szCs w:val="32"/>
              <w:lang w:val="en-US" w:eastAsia="zh-CN"/>
            </w:rPr>
            <w:t>2452.7</w:t>
          </w:r>
          <w:r>
            <w:rPr>
              <w:rFonts w:hint="eastAsia" w:ascii="仿宋" w:hAnsi="仿宋" w:eastAsia="仿宋"/>
              <w:szCs w:val="32"/>
            </w:rPr>
            <w:t>万元，占</w:t>
          </w:r>
          <w:r>
            <w:rPr>
              <w:rFonts w:hint="eastAsia" w:ascii="仿宋" w:hAnsi="仿宋" w:eastAsia="仿宋"/>
              <w:szCs w:val="32"/>
              <w:lang w:val="en-US" w:eastAsia="zh-CN"/>
            </w:rPr>
            <w:t>26.76</w:t>
          </w:r>
          <w:r>
            <w:rPr>
              <w:rFonts w:hint="eastAsia" w:ascii="仿宋" w:hAnsi="仿宋" w:eastAsia="仿宋"/>
              <w:szCs w:val="32"/>
            </w:rPr>
            <w:t>%；上缴上级支出0万元，占0%；经营支出0万元，占0%；对附属单位补助支出0万元，占0%。</w:t>
          </w:r>
          <w:r>
            <w:tab/>
          </w:r>
          <w:r>
            <w:fldChar w:fldCharType="begin"/>
          </w:r>
          <w:r>
            <w:instrText xml:space="preserve"> PAGEREF _Toc4929 </w:instrText>
          </w:r>
          <w:r>
            <w:fldChar w:fldCharType="separate"/>
          </w:r>
          <w:r>
            <w:t>8</w:t>
          </w:r>
          <w:r>
            <w:fldChar w:fldCharType="end"/>
          </w:r>
          <w:r>
            <w:fldChar w:fldCharType="end"/>
          </w:r>
        </w:p>
        <w:p>
          <w:pPr>
            <w:pStyle w:val="14"/>
            <w:tabs>
              <w:tab w:val="right" w:leader="dot" w:pos="8306"/>
              <w:tab w:val="clear" w:pos="8296"/>
            </w:tabs>
          </w:pPr>
          <w:r>
            <w:fldChar w:fldCharType="begin"/>
          </w:r>
          <w:r>
            <w:instrText xml:space="preserve"> HYPERLINK \l _Toc32094 </w:instrText>
          </w:r>
          <w:r>
            <w:fldChar w:fldCharType="separate"/>
          </w:r>
          <w:r>
            <w:rPr>
              <w:rFonts w:hint="eastAsia" w:ascii="黑体" w:hAnsi="黑体" w:eastAsia="黑体"/>
              <w:szCs w:val="32"/>
            </w:rPr>
            <w:t>四、财</w:t>
          </w:r>
          <w:r>
            <w:rPr>
              <w:rFonts w:hint="eastAsia" w:ascii="黑体" w:hAnsi="黑体" w:eastAsia="黑体"/>
            </w:rPr>
            <w:t>政拨款收入支出决算总体情况说明</w:t>
          </w:r>
          <w:r>
            <w:tab/>
          </w:r>
          <w:r>
            <w:fldChar w:fldCharType="begin"/>
          </w:r>
          <w:r>
            <w:instrText xml:space="preserve"> PAGEREF _Toc32094 </w:instrText>
          </w:r>
          <w:r>
            <w:fldChar w:fldCharType="separate"/>
          </w:r>
          <w:r>
            <w:t>8</w:t>
          </w:r>
          <w:r>
            <w:fldChar w:fldCharType="end"/>
          </w:r>
          <w:r>
            <w:fldChar w:fldCharType="end"/>
          </w:r>
        </w:p>
        <w:p>
          <w:pPr>
            <w:pStyle w:val="14"/>
            <w:tabs>
              <w:tab w:val="right" w:leader="dot" w:pos="8306"/>
              <w:tab w:val="clear" w:pos="8296"/>
            </w:tabs>
          </w:pPr>
          <w:r>
            <w:fldChar w:fldCharType="begin"/>
          </w:r>
          <w:r>
            <w:instrText xml:space="preserve"> HYPERLINK \l _Toc22394 </w:instrText>
          </w:r>
          <w:r>
            <w:fldChar w:fldCharType="separate"/>
          </w:r>
          <w:r>
            <w:rPr>
              <w:rFonts w:hint="eastAsia" w:ascii="黑体" w:hAnsi="黑体" w:eastAsia="黑体"/>
              <w:szCs w:val="32"/>
            </w:rPr>
            <w:t>五、一</w:t>
          </w:r>
          <w:r>
            <w:rPr>
              <w:rFonts w:hint="eastAsia" w:ascii="黑体" w:hAnsi="黑体" w:eastAsia="黑体"/>
            </w:rPr>
            <w:t>般公共预算财政拨款支出决算情况说明</w:t>
          </w:r>
          <w:r>
            <w:tab/>
          </w:r>
          <w:r>
            <w:fldChar w:fldCharType="begin"/>
          </w:r>
          <w:r>
            <w:instrText xml:space="preserve"> PAGEREF _Toc22394 </w:instrText>
          </w:r>
          <w:r>
            <w:fldChar w:fldCharType="separate"/>
          </w:r>
          <w:r>
            <w:t>9</w:t>
          </w:r>
          <w:r>
            <w:fldChar w:fldCharType="end"/>
          </w:r>
          <w:r>
            <w:fldChar w:fldCharType="end"/>
          </w:r>
        </w:p>
        <w:p>
          <w:pPr>
            <w:pStyle w:val="14"/>
            <w:tabs>
              <w:tab w:val="right" w:leader="dot" w:pos="8306"/>
              <w:tab w:val="clear" w:pos="8296"/>
            </w:tabs>
          </w:pPr>
          <w:r>
            <w:fldChar w:fldCharType="begin"/>
          </w:r>
          <w:r>
            <w:instrText xml:space="preserve"> HYPERLINK \l _Toc21054 </w:instrText>
          </w:r>
          <w:r>
            <w:fldChar w:fldCharType="separate"/>
          </w:r>
          <w:r>
            <w:rPr>
              <w:rFonts w:hint="eastAsia" w:ascii="黑体" w:eastAsia="黑体"/>
              <w:szCs w:val="32"/>
            </w:rPr>
            <w:t>六、</w:t>
          </w:r>
          <w:r>
            <w:rPr>
              <w:rFonts w:hint="eastAsia" w:ascii="黑体" w:hAnsi="黑体" w:eastAsia="黑体"/>
              <w:szCs w:val="32"/>
            </w:rPr>
            <w:t>一</w:t>
          </w:r>
          <w:r>
            <w:rPr>
              <w:rFonts w:hint="eastAsia" w:ascii="黑体" w:hAnsi="黑体" w:eastAsia="黑体"/>
            </w:rPr>
            <w:t>般公共预算财政拨款基本支出决算情况说明</w:t>
          </w:r>
          <w:r>
            <w:tab/>
          </w:r>
          <w:r>
            <w:fldChar w:fldCharType="begin"/>
          </w:r>
          <w:r>
            <w:instrText xml:space="preserve"> PAGEREF _Toc21054 </w:instrText>
          </w:r>
          <w:r>
            <w:fldChar w:fldCharType="separate"/>
          </w:r>
          <w:r>
            <w:t>12</w:t>
          </w:r>
          <w:r>
            <w:fldChar w:fldCharType="end"/>
          </w:r>
          <w:r>
            <w:fldChar w:fldCharType="end"/>
          </w:r>
        </w:p>
        <w:p>
          <w:pPr>
            <w:pStyle w:val="14"/>
            <w:tabs>
              <w:tab w:val="right" w:leader="dot" w:pos="8306"/>
              <w:tab w:val="clear" w:pos="8296"/>
            </w:tabs>
          </w:pPr>
          <w:r>
            <w:fldChar w:fldCharType="begin"/>
          </w:r>
          <w:r>
            <w:instrText xml:space="preserve"> HYPERLINK \l _Toc3923 </w:instrText>
          </w:r>
          <w:r>
            <w:fldChar w:fldCharType="separate"/>
          </w:r>
          <w:r>
            <w:rPr>
              <w:rFonts w:hint="eastAsia" w:ascii="黑体" w:eastAsia="黑体"/>
              <w:szCs w:val="32"/>
            </w:rPr>
            <w:t>七、</w:t>
          </w:r>
          <w:r>
            <w:rPr>
              <w:rFonts w:hint="eastAsia" w:ascii="黑体" w:hAnsi="黑体" w:eastAsia="黑体"/>
            </w:rPr>
            <w:t>财政拨款“三公”经费支出决算情况说明</w:t>
          </w:r>
          <w:r>
            <w:tab/>
          </w:r>
          <w:r>
            <w:fldChar w:fldCharType="begin"/>
          </w:r>
          <w:r>
            <w:instrText xml:space="preserve"> PAGEREF _Toc3923 </w:instrText>
          </w:r>
          <w:r>
            <w:fldChar w:fldCharType="separate"/>
          </w:r>
          <w:r>
            <w:t>13</w:t>
          </w:r>
          <w:r>
            <w:fldChar w:fldCharType="end"/>
          </w:r>
          <w:r>
            <w:fldChar w:fldCharType="end"/>
          </w:r>
        </w:p>
        <w:p>
          <w:pPr>
            <w:pStyle w:val="14"/>
            <w:tabs>
              <w:tab w:val="right" w:leader="dot" w:pos="8306"/>
              <w:tab w:val="clear" w:pos="8296"/>
            </w:tabs>
          </w:pPr>
          <w:r>
            <w:fldChar w:fldCharType="begin"/>
          </w:r>
          <w:r>
            <w:instrText xml:space="preserve"> HYPERLINK \l _Toc13795 </w:instrText>
          </w:r>
          <w:r>
            <w:fldChar w:fldCharType="separate"/>
          </w:r>
          <w:r>
            <w:rPr>
              <w:rFonts w:hint="eastAsia" w:ascii="黑体" w:eastAsia="黑体"/>
              <w:szCs w:val="32"/>
            </w:rPr>
            <w:t>八、</w:t>
          </w:r>
          <w:r>
            <w:rPr>
              <w:rFonts w:hint="eastAsia" w:ascii="黑体" w:hAnsi="黑体" w:eastAsia="黑体"/>
            </w:rPr>
            <w:t>政府性基金预算支出决算情况说明</w:t>
          </w:r>
          <w:r>
            <w:tab/>
          </w:r>
          <w:r>
            <w:fldChar w:fldCharType="begin"/>
          </w:r>
          <w:r>
            <w:instrText xml:space="preserve"> PAGEREF _Toc13795 </w:instrText>
          </w:r>
          <w:r>
            <w:fldChar w:fldCharType="separate"/>
          </w:r>
          <w:r>
            <w:t>15</w:t>
          </w:r>
          <w:r>
            <w:fldChar w:fldCharType="end"/>
          </w:r>
          <w:r>
            <w:fldChar w:fldCharType="end"/>
          </w:r>
        </w:p>
        <w:p>
          <w:pPr>
            <w:pStyle w:val="14"/>
            <w:tabs>
              <w:tab w:val="right" w:leader="dot" w:pos="8306"/>
              <w:tab w:val="clear" w:pos="8296"/>
            </w:tabs>
          </w:pPr>
          <w:r>
            <w:fldChar w:fldCharType="begin"/>
          </w:r>
          <w:r>
            <w:instrText xml:space="preserve"> HYPERLINK \l _Toc14074 </w:instrText>
          </w:r>
          <w:r>
            <w:fldChar w:fldCharType="separate"/>
          </w:r>
          <w:r>
            <w:rPr>
              <w:rFonts w:hint="eastAsia" w:ascii="黑体" w:hAnsi="黑体" w:eastAsia="黑体"/>
            </w:rPr>
            <w:t>九、 国有资本经营预算支出决算情况说明</w:t>
          </w:r>
          <w:r>
            <w:tab/>
          </w:r>
          <w:r>
            <w:fldChar w:fldCharType="begin"/>
          </w:r>
          <w:r>
            <w:instrText xml:space="preserve"> PAGEREF _Toc14074 </w:instrText>
          </w:r>
          <w:r>
            <w:fldChar w:fldCharType="separate"/>
          </w:r>
          <w:r>
            <w:t>15</w:t>
          </w:r>
          <w:r>
            <w:fldChar w:fldCharType="end"/>
          </w:r>
          <w:r>
            <w:fldChar w:fldCharType="end"/>
          </w:r>
        </w:p>
        <w:p>
          <w:pPr>
            <w:pStyle w:val="14"/>
            <w:tabs>
              <w:tab w:val="right" w:leader="dot" w:pos="8306"/>
              <w:tab w:val="clear" w:pos="8296"/>
            </w:tabs>
          </w:pPr>
          <w:r>
            <w:fldChar w:fldCharType="begin"/>
          </w:r>
          <w:r>
            <w:instrText xml:space="preserve"> HYPERLINK \l _Toc27345 </w:instrText>
          </w:r>
          <w:r>
            <w:fldChar w:fldCharType="separate"/>
          </w:r>
          <w:r>
            <w:rPr>
              <w:rFonts w:hint="eastAsia" w:ascii="黑体" w:hAnsi="黑体" w:eastAsia="黑体"/>
            </w:rPr>
            <w:t>十、 其他重要事项的情况说明</w:t>
          </w:r>
          <w:r>
            <w:tab/>
          </w:r>
          <w:r>
            <w:fldChar w:fldCharType="begin"/>
          </w:r>
          <w:r>
            <w:instrText xml:space="preserve"> PAGEREF _Toc27345 </w:instrText>
          </w:r>
          <w:r>
            <w:fldChar w:fldCharType="separate"/>
          </w:r>
          <w:r>
            <w:t>15</w:t>
          </w:r>
          <w:r>
            <w:fldChar w:fldCharType="end"/>
          </w:r>
          <w:r>
            <w:fldChar w:fldCharType="end"/>
          </w:r>
        </w:p>
        <w:p>
          <w:pPr>
            <w:pStyle w:val="13"/>
            <w:tabs>
              <w:tab w:val="right" w:leader="dot" w:pos="8306"/>
              <w:tab w:val="clear" w:pos="8296"/>
            </w:tabs>
          </w:pPr>
          <w:r>
            <w:fldChar w:fldCharType="begin"/>
          </w:r>
          <w:r>
            <w:instrText xml:space="preserve"> HYPERLINK \l _Toc10662 </w:instrText>
          </w:r>
          <w:r>
            <w:fldChar w:fldCharType="separate"/>
          </w:r>
          <w:r>
            <w:rPr>
              <w:rFonts w:hint="eastAsia" w:ascii="黑体" w:hAnsi="黑体" w:eastAsia="黑体"/>
            </w:rPr>
            <w:t>第</w:t>
          </w:r>
          <w:r>
            <w:rPr>
              <w:rFonts w:hint="eastAsia" w:ascii="黑体" w:hAnsi="黑体" w:eastAsia="黑体"/>
            </w:rPr>
            <w:t>三部分 名词解释</w:t>
          </w:r>
          <w:bookmarkStart w:id="91" w:name="_GoBack"/>
          <w:bookmarkEnd w:id="91"/>
          <w:r>
            <w:tab/>
          </w:r>
          <w:r>
            <w:fldChar w:fldCharType="begin"/>
          </w:r>
          <w:r>
            <w:instrText xml:space="preserve"> PAGEREF _Toc10662 </w:instrText>
          </w:r>
          <w:r>
            <w:fldChar w:fldCharType="separate"/>
          </w:r>
          <w:r>
            <w:t>17</w:t>
          </w:r>
          <w:r>
            <w:fldChar w:fldCharType="end"/>
          </w:r>
          <w:r>
            <w:fldChar w:fldCharType="end"/>
          </w:r>
        </w:p>
        <w:p>
          <w:pPr>
            <w:pStyle w:val="13"/>
            <w:tabs>
              <w:tab w:val="right" w:leader="dot" w:pos="8306"/>
              <w:tab w:val="clear" w:pos="8296"/>
            </w:tabs>
          </w:pPr>
          <w:r>
            <w:fldChar w:fldCharType="begin"/>
          </w:r>
          <w:r>
            <w:instrText xml:space="preserve"> HYPERLINK \l _Toc7941 </w:instrText>
          </w:r>
          <w:r>
            <w:fldChar w:fldCharType="separate"/>
          </w:r>
          <w:r>
            <w:rPr>
              <w:rFonts w:hint="eastAsia" w:ascii="黑体" w:hAnsi="黑体" w:eastAsia="黑体"/>
            </w:rPr>
            <w:t>第四部分 附件</w:t>
          </w:r>
          <w:r>
            <w:tab/>
          </w:r>
          <w:r>
            <w:fldChar w:fldCharType="begin"/>
          </w:r>
          <w:r>
            <w:instrText xml:space="preserve"> PAGEREF _Toc7941 </w:instrText>
          </w:r>
          <w:r>
            <w:fldChar w:fldCharType="separate"/>
          </w:r>
          <w:r>
            <w:t>20</w:t>
          </w:r>
          <w:r>
            <w:fldChar w:fldCharType="end"/>
          </w:r>
          <w:r>
            <w:fldChar w:fldCharType="end"/>
          </w:r>
        </w:p>
        <w:p>
          <w:pPr>
            <w:pStyle w:val="13"/>
            <w:tabs>
              <w:tab w:val="right" w:leader="dot" w:pos="8306"/>
              <w:tab w:val="clear" w:pos="8296"/>
            </w:tabs>
          </w:pPr>
          <w:r>
            <w:fldChar w:fldCharType="begin"/>
          </w:r>
          <w:r>
            <w:instrText xml:space="preserve"> HYPERLINK \l _Toc9856 </w:instrText>
          </w:r>
          <w:r>
            <w:fldChar w:fldCharType="separate"/>
          </w:r>
          <w:r>
            <w:rPr>
              <w:rFonts w:hint="eastAsia" w:ascii="黑体" w:hAnsi="黑体" w:eastAsia="黑体"/>
            </w:rPr>
            <w:t>第五部分 附表</w:t>
          </w:r>
          <w:r>
            <w:tab/>
          </w:r>
          <w:r>
            <w:fldChar w:fldCharType="begin"/>
          </w:r>
          <w:r>
            <w:instrText xml:space="preserve"> PAGEREF _Toc9856 </w:instrText>
          </w:r>
          <w:r>
            <w:fldChar w:fldCharType="separate"/>
          </w:r>
          <w:r>
            <w:t>40</w:t>
          </w:r>
          <w:r>
            <w:fldChar w:fldCharType="end"/>
          </w:r>
          <w:r>
            <w:fldChar w:fldCharType="end"/>
          </w:r>
        </w:p>
        <w:p>
          <w:r>
            <w:fldChar w:fldCharType="end"/>
          </w:r>
        </w:p>
      </w:sdtContent>
    </w:sdt>
    <w:p>
      <w:pPr>
        <w:widowControl/>
        <w:spacing w:line="440" w:lineRule="exact"/>
        <w:jc w:val="left"/>
        <w:rPr>
          <w:rFonts w:hint="eastAsia" w:ascii="仿宋" w:hAnsi="仿宋" w:eastAsia="仿宋"/>
          <w:bCs/>
          <w:kern w:val="44"/>
          <w:sz w:val="24"/>
        </w:rPr>
      </w:pPr>
      <w:r>
        <w:rPr>
          <w:rFonts w:ascii="仿宋" w:hAnsi="仿宋" w:eastAsia="仿宋"/>
          <w:b/>
          <w:sz w:val="24"/>
        </w:rPr>
        <w:br w:type="page"/>
      </w:r>
    </w:p>
    <w:p>
      <w:pPr>
        <w:pStyle w:val="4"/>
        <w:jc w:val="center"/>
        <w:rPr>
          <w:rStyle w:val="29"/>
          <w:rFonts w:hint="eastAsia" w:ascii="黑体" w:hAnsi="黑体" w:eastAsia="黑体"/>
          <w:b/>
          <w:bCs w:val="0"/>
        </w:rPr>
      </w:pPr>
      <w:bookmarkStart w:id="18" w:name="_Toc9637"/>
      <w:bookmarkStart w:id="19" w:name="_Toc17104"/>
      <w:r>
        <w:rPr>
          <w:rFonts w:hint="eastAsia" w:ascii="黑体" w:hAnsi="黑体" w:eastAsia="黑体"/>
          <w:b w:val="0"/>
        </w:rPr>
        <w:t xml:space="preserve">第一部分 </w:t>
      </w:r>
      <w:r>
        <w:rPr>
          <w:rStyle w:val="29"/>
          <w:rFonts w:hint="eastAsia" w:ascii="黑体" w:hAnsi="黑体" w:eastAsia="黑体"/>
          <w:b w:val="0"/>
          <w:bCs w:val="0"/>
        </w:rPr>
        <w:t>部门概况</w:t>
      </w:r>
      <w:bookmarkEnd w:id="18"/>
      <w:bookmarkEnd w:id="19"/>
    </w:p>
    <w:p>
      <w:pPr>
        <w:widowControl/>
        <w:jc w:val="left"/>
        <w:rPr>
          <w:rFonts w:ascii="黑体" w:eastAsia="黑体"/>
          <w:sz w:val="32"/>
          <w:szCs w:val="32"/>
        </w:rPr>
      </w:pPr>
    </w:p>
    <w:p>
      <w:pPr>
        <w:pStyle w:val="5"/>
        <w:numPr>
          <w:ilvl w:val="0"/>
          <w:numId w:val="1"/>
        </w:numPr>
        <w:rPr>
          <w:rFonts w:hint="eastAsia" w:ascii="黑体" w:hAnsi="黑体" w:eastAsia="黑体"/>
          <w:b w:val="0"/>
        </w:rPr>
      </w:pPr>
      <w:bookmarkStart w:id="20" w:name="_Toc17073"/>
      <w:bookmarkStart w:id="21" w:name="_Toc15136"/>
      <w:r>
        <w:rPr>
          <w:rFonts w:hint="eastAsia" w:ascii="黑体" w:hAnsi="黑体" w:eastAsia="黑体"/>
          <w:b w:val="0"/>
        </w:rPr>
        <w:t>部门职责</w:t>
      </w:r>
      <w:bookmarkEnd w:id="20"/>
      <w:bookmarkEnd w:id="21"/>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1.贯彻执行国家的法律、法规和公安工作的方针、政策；拟订全县公安工作的规定和实施办法；对全县公安机关实施组织领导和指挥；部署、指导、监督和检查全县公安工作。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2.掌握影响社会稳定、危害国内安全和社会治安的情况，分析形势，制定对策。</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3.组织实施并指导全县公安机关侦查工作，组织、协调处置重大案件、治安事件、治安事故和重大群体性事件、骚乱。</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4.组织实施并指导全县公安机关依法查处违反治安管理行为，依法开展治安行政管理工作；指导、监督全县公安机关治安保卫工作。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5.组织指导出入境和外国人在县境内居留、旅行的有关管理工作，组织指导全县公安外事工作。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6.组织实施并指导全县公安机关维护道路交通安全、交通秩序以及机动车辆、驾驶人管理工作。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7.组织实施并指导、监督全县公共信息网络的安全保护工作，负责信息安全等级保护工作的监督、检查、指导。</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8.指导、监督全县公安机关依法承担的执行行政、刑事强制措施工作，组织实施并指导、监督全县看守所、拘留所的管理工作，规划和指导全县监所建设。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9.组织实施并指导全县公安法制建设；指导、检查、监督全县公安机关执法活动。</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10.组织实施并指导全县公安机关开展禁毒和缉毒工作，承担县禁毒委员会办公室的日常工作。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11.组织、指导、协调对全县恐怖活动的防范、侦察、处置工作，承办县反恐怖工作协调小组办公室的日常工作。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12.组织实施全县公安科学技术工作，规划公安指挥系统、信息技术、刑事技术和技术侦察建设。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13.拟定并组织落实全县公安被装、装备、经费的配备标准和制度。</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14.指导全县公安政治工作和队伍建设；组织实施并指导、管理全县公安宣传、教育、训练工作。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制定全县公安队伍监督管理工作规章制度，分析队伍状况；组织实施并指导全县公安机关督察工作，按规定权限实施对干部的监督，查处或督办公安队伍重大和较大违纪案件；指导全县公安队伍思想作风、工作作风建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16.承办县委、县政府、州公安局、省公安厅交办的其他事项。</w:t>
      </w:r>
    </w:p>
    <w:p>
      <w:pPr>
        <w:pStyle w:val="5"/>
        <w:rPr>
          <w:rStyle w:val="30"/>
          <w:b w:val="0"/>
          <w:bCs w:val="0"/>
        </w:rPr>
      </w:pPr>
      <w:bookmarkStart w:id="22" w:name="_Toc15377200"/>
      <w:bookmarkStart w:id="23" w:name="_Toc15396601"/>
      <w:bookmarkStart w:id="24" w:name="_Toc22645"/>
      <w:bookmarkStart w:id="25" w:name="_Toc26221"/>
      <w:r>
        <w:rPr>
          <w:rFonts w:hint="eastAsia" w:ascii="黑体" w:eastAsia="黑体"/>
          <w:b w:val="0"/>
        </w:rPr>
        <w:t>二、</w:t>
      </w:r>
      <w:r>
        <w:rPr>
          <w:rFonts w:hint="eastAsia" w:ascii="黑体" w:hAnsi="黑体" w:eastAsia="黑体"/>
          <w:b w:val="0"/>
        </w:rPr>
        <w:t>机</w:t>
      </w:r>
      <w:r>
        <w:rPr>
          <w:rStyle w:val="30"/>
          <w:rFonts w:hint="eastAsia" w:ascii="黑体" w:hAnsi="黑体" w:eastAsia="黑体"/>
          <w:b w:val="0"/>
          <w:bCs w:val="0"/>
        </w:rPr>
        <w:t>构设置</w:t>
      </w:r>
      <w:bookmarkEnd w:id="22"/>
      <w:bookmarkEnd w:id="23"/>
      <w:bookmarkEnd w:id="24"/>
      <w:bookmarkEnd w:id="25"/>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红原县公安局下属二级预算单位0个，其中行政单位0个，参照公务员法管理的事业单位0个，其他事业单位0个。</w:t>
      </w:r>
    </w:p>
    <w:p>
      <w:pPr>
        <w:spacing w:line="56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年年末编制人数</w:t>
      </w:r>
      <w:r>
        <w:rPr>
          <w:rFonts w:hint="eastAsia" w:ascii="仿宋_GB2312" w:hAnsi="仿宋_GB2312" w:eastAsia="仿宋_GB2312" w:cs="仿宋_GB2312"/>
          <w:sz w:val="32"/>
          <w:szCs w:val="32"/>
          <w:lang w:val="en-US" w:eastAsia="zh-CN"/>
        </w:rPr>
        <w:t>181</w:t>
      </w:r>
      <w:r>
        <w:rPr>
          <w:rFonts w:hint="eastAsia" w:ascii="仿宋_GB2312" w:hAnsi="仿宋_GB2312" w:eastAsia="仿宋_GB2312" w:cs="仿宋_GB2312"/>
          <w:sz w:val="32"/>
          <w:szCs w:val="32"/>
        </w:rPr>
        <w:t>人，在编在职人数</w:t>
      </w:r>
      <w:r>
        <w:rPr>
          <w:rFonts w:hint="eastAsia" w:ascii="仿宋_GB2312" w:hAnsi="仿宋_GB2312" w:eastAsia="仿宋_GB2312" w:cs="仿宋_GB2312"/>
          <w:sz w:val="32"/>
          <w:szCs w:val="32"/>
          <w:lang w:val="en-US" w:eastAsia="zh-CN"/>
        </w:rPr>
        <w:t>162</w:t>
      </w:r>
      <w:r>
        <w:rPr>
          <w:rFonts w:hint="eastAsia" w:ascii="仿宋_GB2312" w:hAnsi="仿宋_GB2312" w:eastAsia="仿宋_GB2312" w:cs="仿宋_GB2312"/>
          <w:sz w:val="32"/>
          <w:szCs w:val="32"/>
        </w:rPr>
        <w:t>人，编制外聘用人员</w:t>
      </w:r>
      <w:r>
        <w:rPr>
          <w:rFonts w:hint="eastAsia" w:ascii="仿宋_GB2312" w:hAnsi="仿宋_GB2312" w:eastAsia="仿宋_GB2312" w:cs="仿宋_GB2312"/>
          <w:sz w:val="32"/>
          <w:szCs w:val="32"/>
          <w:lang w:val="en-US" w:eastAsia="zh-CN"/>
        </w:rPr>
        <w:t>139</w:t>
      </w:r>
      <w:r>
        <w:rPr>
          <w:rFonts w:hint="eastAsia" w:ascii="仿宋_GB2312" w:hAnsi="仿宋_GB2312" w:eastAsia="仿宋_GB2312" w:cs="仿宋_GB2312"/>
          <w:sz w:val="32"/>
          <w:szCs w:val="32"/>
        </w:rPr>
        <w:t>人，共计</w:t>
      </w:r>
      <w:r>
        <w:rPr>
          <w:rFonts w:hint="eastAsia" w:ascii="仿宋_GB2312" w:hAnsi="仿宋_GB2312" w:eastAsia="仿宋_GB2312" w:cs="仿宋_GB2312"/>
          <w:sz w:val="32"/>
          <w:szCs w:val="32"/>
          <w:lang w:val="en-US" w:eastAsia="zh-CN"/>
        </w:rPr>
        <w:t>310</w:t>
      </w:r>
      <w:r>
        <w:rPr>
          <w:rFonts w:hint="eastAsia" w:ascii="仿宋_GB2312" w:hAnsi="仿宋_GB2312" w:eastAsia="仿宋_GB2312" w:cs="仿宋_GB2312"/>
          <w:sz w:val="32"/>
          <w:szCs w:val="32"/>
        </w:rPr>
        <w:t>人。人员变动情况：202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年调入0人，新增退休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p>
    <w:p>
      <w:pPr>
        <w:pStyle w:val="2"/>
        <w:ind w:left="420"/>
      </w:pPr>
    </w:p>
    <w:p>
      <w:pPr>
        <w:widowControl/>
        <w:jc w:val="left"/>
        <w:rPr>
          <w:rFonts w:hint="eastAsia" w:ascii="仿宋" w:hAnsi="仿宋" w:eastAsia="仿宋"/>
          <w:kern w:val="0"/>
          <w:sz w:val="32"/>
          <w:szCs w:val="32"/>
        </w:rPr>
      </w:pPr>
      <w:r>
        <w:rPr>
          <w:rFonts w:ascii="仿宋" w:hAnsi="仿宋" w:eastAsia="仿宋"/>
          <w:sz w:val="32"/>
          <w:szCs w:val="32"/>
        </w:rPr>
        <w:br w:type="page"/>
      </w:r>
    </w:p>
    <w:p>
      <w:pPr>
        <w:pStyle w:val="4"/>
        <w:ind w:right="440"/>
        <w:jc w:val="center"/>
        <w:rPr>
          <w:rStyle w:val="29"/>
          <w:rFonts w:hint="eastAsia" w:ascii="黑体" w:hAnsi="黑体" w:eastAsia="黑体"/>
          <w:b w:val="0"/>
          <w:bCs/>
        </w:rPr>
      </w:pPr>
      <w:bookmarkStart w:id="26" w:name="_Toc17472"/>
      <w:bookmarkStart w:id="27" w:name="_Toc15377204"/>
      <w:bookmarkStart w:id="28" w:name="_Toc15396602"/>
      <w:bookmarkStart w:id="29" w:name="_Toc18724"/>
      <w:r>
        <w:rPr>
          <w:rFonts w:hint="eastAsia" w:ascii="黑体" w:hAnsi="黑体" w:eastAsia="黑体"/>
          <w:b w:val="0"/>
        </w:rPr>
        <w:t>第二部分 202</w:t>
      </w:r>
      <w:r>
        <w:rPr>
          <w:rFonts w:hint="eastAsia" w:ascii="黑体" w:hAnsi="黑体" w:eastAsia="黑体"/>
          <w:b w:val="0"/>
          <w:lang w:val="en-US" w:eastAsia="zh-CN"/>
        </w:rPr>
        <w:t>5</w:t>
      </w:r>
      <w:r>
        <w:rPr>
          <w:rFonts w:hint="eastAsia" w:ascii="黑体" w:hAnsi="黑体" w:eastAsia="黑体"/>
          <w:b w:val="0"/>
        </w:rPr>
        <w:t>年度</w:t>
      </w:r>
      <w:r>
        <w:rPr>
          <w:rStyle w:val="29"/>
          <w:rFonts w:hint="eastAsia" w:ascii="黑体" w:hAnsi="黑体" w:eastAsia="黑体"/>
          <w:b w:val="0"/>
          <w:bCs/>
        </w:rPr>
        <w:t>部门决算情况说明</w:t>
      </w:r>
      <w:bookmarkEnd w:id="26"/>
      <w:bookmarkEnd w:id="27"/>
      <w:bookmarkEnd w:id="28"/>
      <w:bookmarkEnd w:id="29"/>
    </w:p>
    <w:p/>
    <w:p>
      <w:pPr>
        <w:pStyle w:val="28"/>
        <w:numPr>
          <w:ilvl w:val="0"/>
          <w:numId w:val="2"/>
        </w:numPr>
        <w:spacing w:line="600" w:lineRule="exact"/>
        <w:ind w:firstLineChars="0"/>
        <w:outlineLvl w:val="1"/>
        <w:rPr>
          <w:rStyle w:val="30"/>
          <w:rFonts w:hint="eastAsia" w:ascii="黑体" w:hAnsi="黑体" w:eastAsia="黑体"/>
          <w:b w:val="0"/>
        </w:rPr>
      </w:pPr>
      <w:bookmarkStart w:id="30" w:name="_Toc14096"/>
      <w:bookmarkStart w:id="31" w:name="_Toc15396603"/>
      <w:bookmarkStart w:id="32" w:name="_Toc30276"/>
      <w:bookmarkStart w:id="33" w:name="_Toc15377205"/>
      <w:r>
        <w:rPr>
          <w:rFonts w:hint="eastAsia" w:ascii="黑体" w:hAnsi="黑体" w:eastAsia="黑体"/>
          <w:sz w:val="32"/>
          <w:szCs w:val="32"/>
        </w:rPr>
        <w:t>收</w:t>
      </w:r>
      <w:r>
        <w:rPr>
          <w:rStyle w:val="30"/>
          <w:rFonts w:hint="eastAsia" w:ascii="黑体" w:hAnsi="黑体" w:eastAsia="黑体"/>
          <w:b w:val="0"/>
        </w:rPr>
        <w:t>入支出决算总体情况说明</w:t>
      </w:r>
      <w:bookmarkEnd w:id="30"/>
      <w:bookmarkEnd w:id="31"/>
      <w:bookmarkEnd w:id="32"/>
      <w:bookmarkEnd w:id="33"/>
    </w:p>
    <w:p>
      <w:pPr>
        <w:spacing w:line="600" w:lineRule="exact"/>
        <w:ind w:firstLine="640" w:firstLineChars="200"/>
        <w:jc w:val="left"/>
        <w:rPr>
          <w:rFonts w:hint="default" w:ascii="仿宋" w:hAnsi="仿宋" w:eastAsia="仿宋"/>
          <w:sz w:val="32"/>
          <w:szCs w:val="32"/>
          <w:lang w:val="en-US" w:eastAsia="zh-CN"/>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年度收、支总计均为</w:t>
      </w:r>
      <w:r>
        <w:rPr>
          <w:rFonts w:hint="eastAsia" w:eastAsia="仿宋"/>
          <w:sz w:val="32"/>
          <w:szCs w:val="32"/>
          <w:lang w:val="en-US" w:eastAsia="zh-CN"/>
        </w:rPr>
        <w:t>9164.24</w:t>
      </w:r>
      <w:r>
        <w:rPr>
          <w:rFonts w:hint="eastAsia" w:ascii="仿宋" w:hAnsi="仿宋" w:eastAsia="仿宋"/>
          <w:sz w:val="32"/>
          <w:szCs w:val="32"/>
        </w:rPr>
        <w:t>万元</w:t>
      </w:r>
      <w:r>
        <w:rPr>
          <w:rFonts w:hint="eastAsia"/>
          <w:sz w:val="32"/>
          <w:szCs w:val="32"/>
        </w:rPr>
        <w:t>。</w:t>
      </w:r>
      <w:r>
        <w:rPr>
          <w:rFonts w:hint="eastAsia" w:ascii="仿宋" w:hAnsi="仿宋" w:eastAsia="仿宋"/>
          <w:sz w:val="32"/>
          <w:szCs w:val="32"/>
        </w:rPr>
        <w:t>与202</w:t>
      </w:r>
      <w:r>
        <w:rPr>
          <w:rFonts w:hint="eastAsia" w:ascii="仿宋" w:hAnsi="仿宋" w:eastAsia="仿宋"/>
          <w:sz w:val="32"/>
          <w:szCs w:val="32"/>
          <w:lang w:val="en-US" w:eastAsia="zh-CN"/>
        </w:rPr>
        <w:t>4</w:t>
      </w:r>
      <w:r>
        <w:rPr>
          <w:rFonts w:hint="eastAsia" w:ascii="仿宋" w:hAnsi="仿宋" w:eastAsia="仿宋"/>
          <w:sz w:val="32"/>
          <w:szCs w:val="32"/>
        </w:rPr>
        <w:t>年度相比，收、支总计各</w:t>
      </w:r>
      <w:r>
        <w:rPr>
          <w:rFonts w:hint="eastAsia" w:ascii="仿宋" w:hAnsi="仿宋" w:eastAsia="仿宋"/>
          <w:sz w:val="32"/>
          <w:szCs w:val="32"/>
          <w:lang w:val="en-US" w:eastAsia="zh-CN"/>
        </w:rPr>
        <w:t>增加1625.73</w:t>
      </w:r>
      <w:r>
        <w:rPr>
          <w:rFonts w:hint="eastAsia" w:ascii="仿宋" w:hAnsi="仿宋" w:eastAsia="仿宋"/>
          <w:sz w:val="32"/>
          <w:szCs w:val="32"/>
        </w:rPr>
        <w:t>万元，</w:t>
      </w:r>
      <w:r>
        <w:rPr>
          <w:rFonts w:hint="eastAsia" w:ascii="仿宋" w:hAnsi="仿宋" w:eastAsia="仿宋"/>
          <w:sz w:val="32"/>
          <w:szCs w:val="32"/>
          <w:lang w:eastAsia="zh-CN"/>
        </w:rPr>
        <w:t>下降</w:t>
      </w:r>
      <w:r>
        <w:rPr>
          <w:rFonts w:hint="eastAsia" w:ascii="仿宋" w:hAnsi="仿宋" w:eastAsia="仿宋"/>
          <w:sz w:val="32"/>
          <w:szCs w:val="32"/>
          <w:lang w:val="en-US" w:eastAsia="zh-CN"/>
        </w:rPr>
        <w:t>21.57</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人员、项目、公用经费增加。</w:t>
      </w:r>
    </w:p>
    <w:p>
      <w:pPr>
        <w:spacing w:line="600" w:lineRule="exact"/>
        <w:ind w:firstLine="1280" w:firstLineChars="400"/>
        <w:rPr>
          <w:rFonts w:hint="eastAsia" w:ascii="仿宋" w:hAnsi="仿宋" w:eastAsia="仿宋"/>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pPr>
        <w:pStyle w:val="20"/>
        <w:outlineLvl w:val="9"/>
        <w:rPr>
          <w:rFonts w:ascii="仿宋_GB2312" w:eastAsia="仿宋_GB2312"/>
          <w:sz w:val="32"/>
          <w:szCs w:val="32"/>
        </w:rPr>
      </w:pPr>
      <w:r>
        <w:rPr>
          <w:rFonts w:hint="eastAsia" w:eastAsia="仿宋"/>
        </w:rPr>
        <w:drawing>
          <wp:inline distT="0" distB="0" distL="114300" distR="114300">
            <wp:extent cx="3204845" cy="2360295"/>
            <wp:effectExtent l="4445" t="4445" r="10160" b="1651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28"/>
        <w:numPr>
          <w:ilvl w:val="0"/>
          <w:numId w:val="2"/>
        </w:numPr>
        <w:spacing w:line="600" w:lineRule="exact"/>
        <w:ind w:firstLineChars="0"/>
        <w:outlineLvl w:val="1"/>
        <w:rPr>
          <w:rStyle w:val="30"/>
          <w:rFonts w:hint="eastAsia" w:ascii="黑体" w:hAnsi="黑体" w:eastAsia="黑体"/>
          <w:b w:val="0"/>
        </w:rPr>
      </w:pPr>
      <w:bookmarkStart w:id="34" w:name="_Toc27535"/>
      <w:bookmarkStart w:id="35" w:name="_Toc15377206"/>
      <w:bookmarkStart w:id="36" w:name="_Toc15396604"/>
      <w:bookmarkStart w:id="37" w:name="_Toc32172"/>
      <w:r>
        <w:rPr>
          <w:rFonts w:hint="eastAsia" w:ascii="黑体" w:hAnsi="黑体" w:eastAsia="黑体"/>
          <w:sz w:val="32"/>
          <w:szCs w:val="32"/>
        </w:rPr>
        <w:t>收</w:t>
      </w:r>
      <w:r>
        <w:rPr>
          <w:rStyle w:val="30"/>
          <w:rFonts w:hint="eastAsia" w:ascii="黑体" w:hAnsi="黑体" w:eastAsia="黑体"/>
          <w:b w:val="0"/>
        </w:rPr>
        <w:t>入决算情况说明</w:t>
      </w:r>
      <w:bookmarkEnd w:id="34"/>
      <w:bookmarkEnd w:id="35"/>
      <w:bookmarkEnd w:id="36"/>
      <w:bookmarkEnd w:id="37"/>
    </w:p>
    <w:p>
      <w:pPr>
        <w:spacing w:line="600" w:lineRule="exact"/>
        <w:ind w:firstLine="640" w:firstLineChars="200"/>
        <w:jc w:val="left"/>
        <w:outlineLvl w:val="1"/>
        <w:rPr>
          <w:rFonts w:hint="eastAsia" w:ascii="仿宋" w:hAnsi="仿宋" w:eastAsia="仿宋"/>
          <w:sz w:val="32"/>
          <w:szCs w:val="32"/>
        </w:rPr>
      </w:pPr>
      <w:bookmarkStart w:id="38" w:name="_Toc20300"/>
      <w:bookmarkStart w:id="39" w:name="_Toc22716"/>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年度本年收入合计</w:t>
      </w:r>
      <w:r>
        <w:rPr>
          <w:rFonts w:hint="eastAsia" w:eastAsia="仿宋"/>
          <w:sz w:val="32"/>
          <w:szCs w:val="32"/>
          <w:lang w:val="en-US" w:eastAsia="zh-CN"/>
        </w:rPr>
        <w:t>9164.24</w:t>
      </w:r>
      <w:r>
        <w:rPr>
          <w:rFonts w:hint="eastAsia" w:ascii="仿宋" w:hAnsi="仿宋" w:eastAsia="仿宋"/>
          <w:sz w:val="32"/>
          <w:szCs w:val="32"/>
        </w:rPr>
        <w:t>万元，其中：一般公共预算财政拨款收入</w:t>
      </w:r>
      <w:r>
        <w:rPr>
          <w:rFonts w:hint="eastAsia" w:eastAsia="仿宋"/>
          <w:sz w:val="32"/>
          <w:szCs w:val="32"/>
          <w:lang w:val="en-US" w:eastAsia="zh-CN"/>
        </w:rPr>
        <w:t>9164.24</w:t>
      </w:r>
      <w:r>
        <w:rPr>
          <w:rFonts w:hint="eastAsia" w:ascii="仿宋" w:hAnsi="仿宋" w:eastAsia="仿宋"/>
          <w:sz w:val="32"/>
          <w:szCs w:val="32"/>
        </w:rPr>
        <w:t>万元，占</w:t>
      </w:r>
      <w:r>
        <w:rPr>
          <w:rFonts w:hint="eastAsia"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；政府性基金预算财政拨款收入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；国有资本经营预算财政拨款收入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；上级补助收入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；事业收入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；经营收入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；附属单位上缴收入</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；其他收入</w:t>
      </w:r>
      <w:r>
        <w:rPr>
          <w:rFonts w:hint="eastAsia" w:eastAsia="仿宋"/>
          <w:sz w:val="32"/>
          <w:szCs w:val="32"/>
          <w:lang w:val="en-US" w:eastAsia="zh-CN"/>
        </w:rPr>
        <w:t>0</w:t>
      </w:r>
      <w:r>
        <w:rPr>
          <w:rFonts w:hint="eastAsia" w:ascii="仿宋" w:hAnsi="仿宋" w:eastAsia="仿宋"/>
          <w:sz w:val="32"/>
          <w:szCs w:val="32"/>
        </w:rPr>
        <w:t>万元，占</w:t>
      </w:r>
      <w:r>
        <w:rPr>
          <w:rFonts w:hint="eastAsia"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bookmarkEnd w:id="38"/>
      <w:bookmarkEnd w:id="39"/>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（图2：收入决算结构图）（饼状图）</w:t>
      </w:r>
    </w:p>
    <w:p>
      <w:pPr>
        <w:pStyle w:val="20"/>
        <w:outlineLvl w:val="9"/>
        <w:rPr>
          <w:rFonts w:ascii="仿宋_GB2312" w:eastAsia="仿宋_GB2312"/>
          <w:sz w:val="32"/>
          <w:szCs w:val="32"/>
        </w:rPr>
      </w:pPr>
      <w:r>
        <w:rPr>
          <w:rFonts w:hint="eastAsia" w:eastAsia="仿宋"/>
        </w:rPr>
        <w:drawing>
          <wp:inline distT="0" distB="0" distL="114300" distR="114300">
            <wp:extent cx="3219450" cy="1971040"/>
            <wp:effectExtent l="4445" t="4445" r="14605" b="571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28"/>
        <w:numPr>
          <w:ilvl w:val="0"/>
          <w:numId w:val="2"/>
        </w:numPr>
        <w:spacing w:line="600" w:lineRule="exact"/>
        <w:ind w:firstLineChars="0"/>
        <w:outlineLvl w:val="1"/>
        <w:rPr>
          <w:rStyle w:val="30"/>
          <w:rFonts w:hint="eastAsia" w:ascii="黑体" w:hAnsi="黑体" w:eastAsia="黑体"/>
          <w:b w:val="0"/>
        </w:rPr>
      </w:pPr>
      <w:bookmarkStart w:id="40" w:name="_Toc8786"/>
      <w:bookmarkStart w:id="41" w:name="_Toc8428"/>
      <w:bookmarkStart w:id="42" w:name="_Toc15396605"/>
      <w:bookmarkStart w:id="43" w:name="_Toc15377207"/>
      <w:r>
        <w:rPr>
          <w:rFonts w:hint="eastAsia" w:ascii="黑体" w:hAnsi="黑体" w:eastAsia="黑体"/>
          <w:sz w:val="32"/>
          <w:szCs w:val="32"/>
        </w:rPr>
        <w:t>支</w:t>
      </w:r>
      <w:r>
        <w:rPr>
          <w:rStyle w:val="30"/>
          <w:rFonts w:hint="eastAsia" w:ascii="黑体" w:hAnsi="黑体" w:eastAsia="黑体"/>
          <w:b w:val="0"/>
        </w:rPr>
        <w:t>出决算情况说明</w:t>
      </w:r>
      <w:bookmarkEnd w:id="40"/>
      <w:bookmarkEnd w:id="41"/>
      <w:bookmarkEnd w:id="42"/>
      <w:bookmarkEnd w:id="43"/>
    </w:p>
    <w:p>
      <w:pPr>
        <w:spacing w:line="600" w:lineRule="exact"/>
        <w:ind w:firstLine="640" w:firstLineChars="200"/>
        <w:outlineLvl w:val="1"/>
        <w:rPr>
          <w:rFonts w:hint="eastAsia" w:ascii="仿宋" w:hAnsi="仿宋" w:eastAsia="仿宋"/>
          <w:sz w:val="32"/>
          <w:szCs w:val="32"/>
        </w:rPr>
      </w:pPr>
      <w:bookmarkStart w:id="44" w:name="_Toc18982"/>
      <w:bookmarkStart w:id="45" w:name="_Toc4929"/>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年度本年支出合计</w:t>
      </w:r>
      <w:r>
        <w:rPr>
          <w:rFonts w:hint="eastAsia" w:eastAsia="仿宋"/>
          <w:sz w:val="32"/>
          <w:szCs w:val="32"/>
          <w:lang w:val="en-US" w:eastAsia="zh-CN"/>
        </w:rPr>
        <w:t>9164.24</w:t>
      </w:r>
      <w:r>
        <w:rPr>
          <w:rFonts w:hint="eastAsia" w:ascii="仿宋" w:hAnsi="仿宋" w:eastAsia="仿宋"/>
          <w:sz w:val="32"/>
          <w:szCs w:val="32"/>
        </w:rPr>
        <w:t>万元，其中：基本支出</w:t>
      </w:r>
      <w:r>
        <w:rPr>
          <w:rFonts w:hint="eastAsia" w:eastAsia="仿宋"/>
          <w:sz w:val="32"/>
          <w:szCs w:val="32"/>
          <w:lang w:val="en-US" w:eastAsia="zh-CN"/>
        </w:rPr>
        <w:t>6711.54</w:t>
      </w:r>
      <w:r>
        <w:rPr>
          <w:rFonts w:hint="eastAsia" w:ascii="仿宋" w:hAnsi="仿宋" w:eastAsia="仿宋"/>
          <w:sz w:val="32"/>
          <w:szCs w:val="32"/>
        </w:rPr>
        <w:t>万元，占</w:t>
      </w:r>
      <w:r>
        <w:rPr>
          <w:rFonts w:hint="eastAsia" w:eastAsia="仿宋"/>
          <w:sz w:val="32"/>
          <w:szCs w:val="32"/>
          <w:lang w:val="en-US" w:eastAsia="zh-CN"/>
        </w:rPr>
        <w:t>73.24</w:t>
      </w:r>
      <w:r>
        <w:rPr>
          <w:rFonts w:ascii="仿宋" w:hAnsi="仿宋" w:eastAsia="仿宋"/>
          <w:sz w:val="32"/>
          <w:szCs w:val="32"/>
        </w:rPr>
        <w:t>%</w:t>
      </w:r>
      <w:r>
        <w:rPr>
          <w:rFonts w:hint="eastAsia" w:ascii="仿宋" w:hAnsi="仿宋" w:eastAsia="仿宋"/>
          <w:sz w:val="32"/>
          <w:szCs w:val="32"/>
        </w:rPr>
        <w:t>；项目支出</w:t>
      </w:r>
      <w:r>
        <w:rPr>
          <w:rFonts w:hint="eastAsia" w:eastAsia="仿宋"/>
          <w:sz w:val="32"/>
          <w:szCs w:val="32"/>
          <w:lang w:val="en-US" w:eastAsia="zh-CN"/>
        </w:rPr>
        <w:t>2452.7</w:t>
      </w:r>
      <w:r>
        <w:rPr>
          <w:rFonts w:hint="eastAsia" w:ascii="仿宋" w:hAnsi="仿宋" w:eastAsia="仿宋"/>
          <w:sz w:val="32"/>
          <w:szCs w:val="32"/>
        </w:rPr>
        <w:t>万元，占</w:t>
      </w:r>
      <w:r>
        <w:rPr>
          <w:rFonts w:hint="eastAsia" w:eastAsia="仿宋"/>
          <w:sz w:val="32"/>
          <w:szCs w:val="32"/>
          <w:lang w:val="en-US" w:eastAsia="zh-CN"/>
        </w:rPr>
        <w:t>26.76</w:t>
      </w:r>
      <w:r>
        <w:rPr>
          <w:rFonts w:ascii="仿宋" w:hAnsi="仿宋" w:eastAsia="仿宋"/>
          <w:sz w:val="32"/>
          <w:szCs w:val="32"/>
        </w:rPr>
        <w:t>%</w:t>
      </w:r>
      <w:r>
        <w:rPr>
          <w:rFonts w:hint="eastAsia" w:ascii="仿宋" w:hAnsi="仿宋" w:eastAsia="仿宋"/>
          <w:sz w:val="32"/>
          <w:szCs w:val="32"/>
        </w:rPr>
        <w:t>；上缴上级支出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；经营支出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；对附属单位补助支出</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w:t>
      </w:r>
      <w:bookmarkEnd w:id="44"/>
      <w:bookmarkEnd w:id="45"/>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（图3：支出决算结构图）（饼状图）</w:t>
      </w:r>
    </w:p>
    <w:p>
      <w:pPr>
        <w:pStyle w:val="20"/>
        <w:outlineLvl w:val="9"/>
        <w:rPr>
          <w:rFonts w:eastAsia="仿宋"/>
        </w:rPr>
      </w:pPr>
      <w:r>
        <w:rPr>
          <w:rFonts w:hint="eastAsia" w:eastAsia="仿宋"/>
        </w:rPr>
        <w:drawing>
          <wp:inline distT="0" distB="0" distL="114300" distR="114300">
            <wp:extent cx="3937000" cy="2132965"/>
            <wp:effectExtent l="4445" t="4445" r="20955" b="1524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spacing w:line="600" w:lineRule="exact"/>
        <w:ind w:firstLine="640" w:firstLineChars="200"/>
        <w:rPr>
          <w:rFonts w:ascii="仿宋_GB2312" w:eastAsia="仿宋_GB2312"/>
          <w:sz w:val="32"/>
          <w:szCs w:val="32"/>
        </w:rPr>
      </w:pPr>
    </w:p>
    <w:p>
      <w:pPr>
        <w:spacing w:line="600" w:lineRule="exact"/>
        <w:ind w:firstLine="640" w:firstLineChars="200"/>
        <w:outlineLvl w:val="1"/>
        <w:rPr>
          <w:rStyle w:val="30"/>
          <w:rFonts w:hint="eastAsia" w:ascii="黑体" w:hAnsi="黑体" w:eastAsia="黑体"/>
          <w:b w:val="0"/>
          <w:highlight w:val="none"/>
        </w:rPr>
      </w:pPr>
      <w:bookmarkStart w:id="46" w:name="_Toc15377208"/>
      <w:bookmarkStart w:id="47" w:name="_Toc30284"/>
      <w:bookmarkStart w:id="48" w:name="_Toc15396606"/>
      <w:bookmarkStart w:id="49" w:name="_Toc32094"/>
      <w:r>
        <w:rPr>
          <w:rFonts w:hint="eastAsia" w:ascii="黑体" w:hAnsi="黑体" w:eastAsia="黑体"/>
          <w:sz w:val="32"/>
          <w:szCs w:val="32"/>
          <w:highlight w:val="none"/>
        </w:rPr>
        <w:t>四、财</w:t>
      </w:r>
      <w:r>
        <w:rPr>
          <w:rStyle w:val="30"/>
          <w:rFonts w:hint="eastAsia" w:ascii="黑体" w:hAnsi="黑体" w:eastAsia="黑体"/>
          <w:b w:val="0"/>
          <w:highlight w:val="none"/>
        </w:rPr>
        <w:t>政拨款收入支出决算总体情况说明</w:t>
      </w:r>
      <w:bookmarkEnd w:id="46"/>
      <w:bookmarkEnd w:id="47"/>
      <w:bookmarkEnd w:id="48"/>
      <w:bookmarkEnd w:id="49"/>
    </w:p>
    <w:p>
      <w:pPr>
        <w:spacing w:line="600" w:lineRule="exact"/>
        <w:ind w:firstLine="640"/>
        <w:rPr>
          <w:rFonts w:hint="eastAsia" w:ascii="仿宋" w:hAnsi="仿宋" w:eastAsia="仿宋"/>
          <w:sz w:val="32"/>
          <w:szCs w:val="32"/>
          <w:highlight w:val="none"/>
        </w:rPr>
      </w:pPr>
      <w:r>
        <w:rPr>
          <w:rFonts w:hint="eastAsia" w:ascii="仿宋" w:hAnsi="仿宋" w:eastAsia="仿宋"/>
          <w:sz w:val="32"/>
          <w:szCs w:val="32"/>
          <w:highlight w:val="none"/>
        </w:rPr>
        <w:t>202</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年度财政拨款收、支总计均为</w:t>
      </w:r>
      <w:r>
        <w:rPr>
          <w:rFonts w:hint="eastAsia" w:eastAsia="仿宋"/>
          <w:sz w:val="32"/>
          <w:szCs w:val="32"/>
          <w:highlight w:val="none"/>
          <w:lang w:val="en-US" w:eastAsia="zh-CN"/>
        </w:rPr>
        <w:t>9164.24</w:t>
      </w:r>
      <w:r>
        <w:rPr>
          <w:rFonts w:hint="eastAsia" w:ascii="仿宋" w:hAnsi="仿宋" w:eastAsia="仿宋"/>
          <w:sz w:val="32"/>
          <w:szCs w:val="32"/>
          <w:highlight w:val="none"/>
        </w:rPr>
        <w:t>万元。与202</w:t>
      </w: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年度相比，财政拨款收、支总计各</w:t>
      </w:r>
      <w:r>
        <w:rPr>
          <w:rFonts w:hint="eastAsia" w:ascii="仿宋" w:hAnsi="仿宋" w:eastAsia="仿宋"/>
          <w:sz w:val="32"/>
          <w:szCs w:val="32"/>
          <w:highlight w:val="none"/>
          <w:lang w:val="en-US" w:eastAsia="zh-CN"/>
        </w:rPr>
        <w:t>增加1625.73</w:t>
      </w:r>
      <w:r>
        <w:rPr>
          <w:rFonts w:hint="eastAsia" w:ascii="仿宋" w:hAnsi="仿宋" w:eastAsia="仿宋"/>
          <w:sz w:val="32"/>
          <w:szCs w:val="32"/>
          <w:highlight w:val="none"/>
        </w:rPr>
        <w:t>万元，</w:t>
      </w:r>
      <w:r>
        <w:rPr>
          <w:rFonts w:hint="eastAsia" w:ascii="仿宋" w:hAnsi="仿宋" w:eastAsia="仿宋"/>
          <w:sz w:val="32"/>
          <w:szCs w:val="32"/>
          <w:highlight w:val="none"/>
          <w:lang w:val="en-US" w:eastAsia="zh-CN"/>
        </w:rPr>
        <w:t>上升21.57</w:t>
      </w:r>
      <w:r>
        <w:rPr>
          <w:rFonts w:ascii="仿宋" w:hAnsi="仿宋" w:eastAsia="仿宋"/>
          <w:sz w:val="32"/>
          <w:szCs w:val="32"/>
          <w:highlight w:val="none"/>
        </w:rPr>
        <w:t>%</w:t>
      </w:r>
      <w:r>
        <w:rPr>
          <w:rFonts w:hint="eastAsia" w:ascii="仿宋" w:hAnsi="仿宋" w:eastAsia="仿宋"/>
          <w:sz w:val="32"/>
          <w:szCs w:val="32"/>
          <w:highlight w:val="none"/>
        </w:rPr>
        <w:t>。主要变动原因是</w:t>
      </w:r>
      <w:r>
        <w:rPr>
          <w:rFonts w:hint="eastAsia" w:ascii="仿宋" w:hAnsi="仿宋" w:eastAsia="仿宋"/>
          <w:sz w:val="32"/>
          <w:szCs w:val="32"/>
          <w:highlight w:val="none"/>
          <w:lang w:val="en-US" w:eastAsia="zh-CN"/>
        </w:rPr>
        <w:t>人员、项目、公用经费增加</w:t>
      </w:r>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（图4：财政拨款收、支决算总计变动情况）（柱状图）</w:t>
      </w:r>
    </w:p>
    <w:p>
      <w:pPr>
        <w:pStyle w:val="20"/>
        <w:outlineLvl w:val="9"/>
        <w:rPr>
          <w:rFonts w:hint="eastAsia" w:ascii="仿宋" w:hAnsi="仿宋" w:eastAsia="仿宋"/>
          <w:sz w:val="32"/>
          <w:szCs w:val="32"/>
        </w:rPr>
      </w:pPr>
      <w:r>
        <w:rPr>
          <w:rFonts w:hint="eastAsia" w:eastAsia="仿宋"/>
        </w:rPr>
        <w:drawing>
          <wp:inline distT="0" distB="0" distL="114300" distR="114300">
            <wp:extent cx="3204845" cy="1861185"/>
            <wp:effectExtent l="5080" t="4445" r="9525" b="2032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0" w:firstLineChars="200"/>
        <w:outlineLvl w:val="1"/>
        <w:rPr>
          <w:rStyle w:val="30"/>
          <w:rFonts w:hint="eastAsia" w:ascii="黑体" w:hAnsi="黑体" w:eastAsia="黑体"/>
          <w:b w:val="0"/>
        </w:rPr>
      </w:pPr>
      <w:bookmarkStart w:id="50" w:name="_Toc22394"/>
      <w:bookmarkStart w:id="51" w:name="_Toc13007"/>
      <w:bookmarkStart w:id="52" w:name="_Toc15377209"/>
      <w:bookmarkStart w:id="53" w:name="_Toc15396607"/>
      <w:r>
        <w:rPr>
          <w:rFonts w:hint="eastAsia" w:ascii="黑体" w:hAnsi="黑体" w:eastAsia="黑体"/>
          <w:sz w:val="32"/>
          <w:szCs w:val="32"/>
        </w:rPr>
        <w:t>五、</w:t>
      </w:r>
      <w:r>
        <w:rPr>
          <w:rFonts w:hint="eastAsia" w:ascii="黑体" w:hAnsi="黑体" w:eastAsia="黑体"/>
          <w:b/>
          <w:sz w:val="32"/>
          <w:szCs w:val="32"/>
        </w:rPr>
        <w:t>一</w:t>
      </w:r>
      <w:r>
        <w:rPr>
          <w:rStyle w:val="30"/>
          <w:rFonts w:hint="eastAsia" w:ascii="黑体" w:hAnsi="黑体" w:eastAsia="黑体"/>
          <w:b w:val="0"/>
        </w:rPr>
        <w:t>般公共预算财政拨款支出决算情况说明</w:t>
      </w:r>
      <w:bookmarkEnd w:id="50"/>
      <w:bookmarkEnd w:id="51"/>
      <w:bookmarkEnd w:id="52"/>
      <w:bookmarkEnd w:id="53"/>
    </w:p>
    <w:p>
      <w:pPr>
        <w:spacing w:line="600" w:lineRule="exact"/>
        <w:ind w:firstLine="643" w:firstLineChars="200"/>
        <w:outlineLvl w:val="2"/>
        <w:rPr>
          <w:rFonts w:hint="eastAsia" w:ascii="仿宋" w:hAnsi="仿宋" w:eastAsia="仿宋"/>
          <w:b/>
          <w:sz w:val="32"/>
          <w:szCs w:val="32"/>
        </w:rPr>
      </w:pPr>
      <w:bookmarkStart w:id="54" w:name="_Toc15377210"/>
      <w:r>
        <w:rPr>
          <w:rFonts w:hint="eastAsia" w:ascii="仿宋" w:hAnsi="仿宋" w:eastAsia="仿宋"/>
          <w:b/>
          <w:sz w:val="32"/>
          <w:szCs w:val="32"/>
        </w:rPr>
        <w:t>（一）一般公共预算财政拨款支出决算总体情况</w:t>
      </w:r>
      <w:bookmarkEnd w:id="54"/>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年度一般公共预算财政拨款支出</w:t>
      </w:r>
      <w:r>
        <w:rPr>
          <w:rFonts w:hint="eastAsia" w:eastAsia="仿宋"/>
          <w:sz w:val="32"/>
          <w:szCs w:val="32"/>
          <w:lang w:val="en-US" w:eastAsia="zh-CN"/>
        </w:rPr>
        <w:t>9164.24</w:t>
      </w:r>
      <w:r>
        <w:rPr>
          <w:rFonts w:hint="eastAsia" w:ascii="仿宋" w:hAnsi="仿宋" w:eastAsia="仿宋"/>
          <w:sz w:val="32"/>
          <w:szCs w:val="32"/>
        </w:rPr>
        <w:t>万元，占本年支出合计的</w:t>
      </w:r>
      <w:r>
        <w:rPr>
          <w:sz w:val="32"/>
          <w:szCs w:val="32"/>
        </w:rPr>
        <w:t>100</w:t>
      </w:r>
      <w:r>
        <w:rPr>
          <w:rFonts w:ascii="仿宋" w:hAnsi="仿宋" w:eastAsia="仿宋"/>
          <w:sz w:val="32"/>
          <w:szCs w:val="32"/>
        </w:rPr>
        <w:t>%</w:t>
      </w:r>
      <w:r>
        <w:rPr>
          <w:rFonts w:hint="eastAsia" w:ascii="仿宋" w:hAnsi="仿宋" w:eastAsia="仿宋"/>
          <w:sz w:val="32"/>
          <w:szCs w:val="32"/>
        </w:rPr>
        <w:t>。与202</w:t>
      </w:r>
      <w:r>
        <w:rPr>
          <w:rFonts w:hint="eastAsia" w:ascii="仿宋" w:hAnsi="仿宋" w:eastAsia="仿宋"/>
          <w:sz w:val="32"/>
          <w:szCs w:val="32"/>
          <w:lang w:val="en-US" w:eastAsia="zh-CN"/>
        </w:rPr>
        <w:t>4</w:t>
      </w:r>
      <w:r>
        <w:rPr>
          <w:rFonts w:hint="eastAsia" w:ascii="仿宋" w:hAnsi="仿宋" w:eastAsia="仿宋"/>
          <w:sz w:val="32"/>
          <w:szCs w:val="32"/>
        </w:rPr>
        <w:t>年度相比，一般公共预算财政拨款支出</w:t>
      </w:r>
      <w:r>
        <w:rPr>
          <w:rFonts w:hint="eastAsia" w:ascii="仿宋" w:hAnsi="仿宋" w:eastAsia="仿宋"/>
          <w:sz w:val="32"/>
          <w:szCs w:val="32"/>
          <w:lang w:val="en-US" w:eastAsia="zh-CN"/>
        </w:rPr>
        <w:t>增加1625.73</w:t>
      </w:r>
      <w:r>
        <w:rPr>
          <w:rFonts w:hint="eastAsia" w:ascii="仿宋" w:hAnsi="仿宋" w:eastAsia="仿宋"/>
          <w:sz w:val="32"/>
          <w:szCs w:val="32"/>
        </w:rPr>
        <w:t>万元，</w:t>
      </w:r>
      <w:r>
        <w:rPr>
          <w:rFonts w:hint="eastAsia" w:ascii="仿宋" w:hAnsi="仿宋" w:eastAsia="仿宋"/>
          <w:sz w:val="32"/>
          <w:szCs w:val="32"/>
          <w:lang w:val="en-US" w:eastAsia="zh-CN"/>
        </w:rPr>
        <w:t>上升21.57</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人员、项目、公用经费增加</w:t>
      </w:r>
      <w:r>
        <w:rPr>
          <w:rFonts w:hint="eastAsia" w:ascii="仿宋" w:hAnsi="仿宋" w:eastAsia="仿宋"/>
          <w:sz w:val="32"/>
          <w:szCs w:val="32"/>
        </w:rPr>
        <w:t>。</w:t>
      </w:r>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（图5：一般公共预算财政拨款支出决算变动情况）（柱状图）</w:t>
      </w:r>
    </w:p>
    <w:p>
      <w:pPr>
        <w:pStyle w:val="20"/>
        <w:outlineLvl w:val="9"/>
        <w:rPr>
          <w:rFonts w:eastAsia="仿宋"/>
        </w:rPr>
      </w:pPr>
      <w:r>
        <w:rPr>
          <w:rFonts w:hint="eastAsia" w:eastAsia="仿宋"/>
        </w:rPr>
        <w:drawing>
          <wp:inline distT="0" distB="0" distL="114300" distR="114300">
            <wp:extent cx="3138170" cy="1978660"/>
            <wp:effectExtent l="5080" t="4445" r="1905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rPr>
          <w:rFonts w:hint="eastAsia" w:ascii="仿宋" w:hAnsi="仿宋" w:eastAsia="仿宋"/>
          <w:sz w:val="32"/>
          <w:szCs w:val="32"/>
        </w:rPr>
      </w:pPr>
    </w:p>
    <w:p>
      <w:pPr>
        <w:spacing w:line="600" w:lineRule="exact"/>
        <w:ind w:firstLine="643" w:firstLineChars="200"/>
        <w:outlineLvl w:val="2"/>
        <w:rPr>
          <w:rFonts w:hint="eastAsia" w:ascii="仿宋" w:hAnsi="仿宋" w:eastAsia="仿宋"/>
          <w:b/>
          <w:sz w:val="32"/>
          <w:szCs w:val="32"/>
        </w:rPr>
      </w:pPr>
      <w:bookmarkStart w:id="55" w:name="_Toc15377211"/>
      <w:r>
        <w:rPr>
          <w:rFonts w:hint="eastAsia" w:ascii="仿宋" w:hAnsi="仿宋" w:eastAsia="仿宋"/>
          <w:b/>
          <w:sz w:val="32"/>
          <w:szCs w:val="32"/>
        </w:rPr>
        <w:t>（二）一般公共预算财政拨款支出决算结构情况</w:t>
      </w:r>
      <w:bookmarkEnd w:id="55"/>
    </w:p>
    <w:p>
      <w:pPr>
        <w:spacing w:line="600" w:lineRule="exact"/>
        <w:ind w:firstLine="640"/>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年度一般公共预算财政拨款支出</w:t>
      </w:r>
      <w:r>
        <w:rPr>
          <w:rFonts w:hint="eastAsia" w:ascii="仿宋" w:hAnsi="仿宋" w:eastAsia="仿宋"/>
          <w:sz w:val="32"/>
          <w:szCs w:val="32"/>
          <w:lang w:val="en-US" w:eastAsia="zh-CN"/>
        </w:rPr>
        <w:t>9164.24</w:t>
      </w:r>
      <w:r>
        <w:rPr>
          <w:rFonts w:hint="eastAsia" w:ascii="仿宋" w:hAnsi="仿宋" w:eastAsia="仿宋"/>
          <w:sz w:val="32"/>
          <w:szCs w:val="32"/>
        </w:rPr>
        <w:t>万元，主要用于以下方面:公共安全支出</w:t>
      </w:r>
      <w:r>
        <w:rPr>
          <w:rFonts w:hint="eastAsia" w:ascii="仿宋" w:hAnsi="仿宋" w:eastAsia="仿宋"/>
          <w:sz w:val="32"/>
          <w:szCs w:val="32"/>
          <w:lang w:val="en-US" w:eastAsia="zh-CN"/>
        </w:rPr>
        <w:t>7763.65</w:t>
      </w:r>
      <w:r>
        <w:rPr>
          <w:rFonts w:hint="eastAsia" w:ascii="仿宋" w:hAnsi="仿宋" w:eastAsia="仿宋"/>
          <w:sz w:val="32"/>
          <w:szCs w:val="32"/>
        </w:rPr>
        <w:t>万元，占</w:t>
      </w:r>
      <w:r>
        <w:rPr>
          <w:rFonts w:hint="eastAsia" w:ascii="仿宋" w:hAnsi="仿宋" w:eastAsia="仿宋"/>
          <w:sz w:val="32"/>
          <w:szCs w:val="32"/>
          <w:lang w:val="en-US" w:eastAsia="zh-CN"/>
        </w:rPr>
        <w:t>84.72</w:t>
      </w:r>
      <w:r>
        <w:rPr>
          <w:rFonts w:hint="eastAsia" w:ascii="仿宋" w:hAnsi="仿宋" w:eastAsia="仿宋"/>
          <w:sz w:val="32"/>
          <w:szCs w:val="32"/>
        </w:rPr>
        <w:t>%；社会保障和就业支出</w:t>
      </w:r>
      <w:r>
        <w:rPr>
          <w:rFonts w:hint="eastAsia" w:ascii="仿宋" w:hAnsi="仿宋" w:eastAsia="仿宋"/>
          <w:sz w:val="32"/>
          <w:szCs w:val="32"/>
          <w:lang w:val="en-US" w:eastAsia="zh-CN"/>
        </w:rPr>
        <w:t>716.22</w:t>
      </w:r>
      <w:r>
        <w:rPr>
          <w:rFonts w:hint="eastAsia" w:ascii="仿宋" w:hAnsi="仿宋" w:eastAsia="仿宋"/>
          <w:sz w:val="32"/>
          <w:szCs w:val="32"/>
        </w:rPr>
        <w:t>万元，占</w:t>
      </w:r>
      <w:r>
        <w:rPr>
          <w:rFonts w:hint="eastAsia" w:ascii="仿宋" w:hAnsi="仿宋" w:eastAsia="仿宋"/>
          <w:sz w:val="32"/>
          <w:szCs w:val="32"/>
          <w:lang w:val="en-US" w:eastAsia="zh-CN"/>
        </w:rPr>
        <w:t>7.81</w:t>
      </w:r>
      <w:r>
        <w:rPr>
          <w:rFonts w:hint="eastAsia" w:ascii="仿宋" w:hAnsi="仿宋" w:eastAsia="仿宋"/>
          <w:sz w:val="32"/>
          <w:szCs w:val="32"/>
        </w:rPr>
        <w:t>%；卫生健康支出</w:t>
      </w:r>
      <w:r>
        <w:rPr>
          <w:rFonts w:hint="eastAsia" w:ascii="仿宋" w:hAnsi="仿宋" w:eastAsia="仿宋"/>
          <w:sz w:val="32"/>
          <w:szCs w:val="32"/>
          <w:lang w:val="en-US" w:eastAsia="zh-CN"/>
        </w:rPr>
        <w:t>296.74</w:t>
      </w:r>
      <w:r>
        <w:rPr>
          <w:rFonts w:hint="eastAsia" w:ascii="仿宋" w:hAnsi="仿宋" w:eastAsia="仿宋"/>
          <w:sz w:val="32"/>
          <w:szCs w:val="32"/>
        </w:rPr>
        <w:t>万元，占</w:t>
      </w:r>
      <w:r>
        <w:rPr>
          <w:rFonts w:hint="eastAsia" w:ascii="仿宋" w:hAnsi="仿宋" w:eastAsia="仿宋"/>
          <w:sz w:val="32"/>
          <w:szCs w:val="32"/>
          <w:lang w:val="en-US" w:eastAsia="zh-CN"/>
        </w:rPr>
        <w:t>3.24</w:t>
      </w:r>
      <w:r>
        <w:rPr>
          <w:rFonts w:hint="eastAsia" w:ascii="仿宋" w:hAnsi="仿宋" w:eastAsia="仿宋"/>
          <w:sz w:val="32"/>
          <w:szCs w:val="32"/>
        </w:rPr>
        <w:t>%；住房保障支出</w:t>
      </w:r>
      <w:r>
        <w:rPr>
          <w:rFonts w:hint="eastAsia" w:ascii="仿宋" w:hAnsi="仿宋" w:eastAsia="仿宋"/>
          <w:sz w:val="32"/>
          <w:szCs w:val="32"/>
          <w:lang w:val="en-US" w:eastAsia="zh-CN"/>
        </w:rPr>
        <w:t>387.62</w:t>
      </w:r>
      <w:r>
        <w:rPr>
          <w:rFonts w:hint="eastAsia" w:ascii="仿宋" w:hAnsi="仿宋" w:eastAsia="仿宋"/>
          <w:sz w:val="32"/>
          <w:szCs w:val="32"/>
        </w:rPr>
        <w:t>万元，占</w:t>
      </w:r>
      <w:r>
        <w:rPr>
          <w:rFonts w:hint="eastAsia" w:ascii="仿宋" w:hAnsi="仿宋" w:eastAsia="仿宋"/>
          <w:sz w:val="32"/>
          <w:szCs w:val="32"/>
          <w:lang w:val="en-US" w:eastAsia="zh-CN"/>
        </w:rPr>
        <w:t>4.23</w:t>
      </w:r>
      <w:r>
        <w:rPr>
          <w:rFonts w:hint="eastAsia" w:ascii="仿宋" w:hAnsi="仿宋" w:eastAsia="仿宋"/>
          <w:sz w:val="32"/>
          <w:szCs w:val="32"/>
        </w:rPr>
        <w:t>%；</w:t>
      </w:r>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（图6：一般公共预算财政拨款支出决算结构）（饼状图）</w:t>
      </w:r>
    </w:p>
    <w:p>
      <w:pPr>
        <w:pStyle w:val="20"/>
        <w:outlineLvl w:val="9"/>
        <w:rPr>
          <w:rFonts w:hint="eastAsia" w:ascii="仿宋" w:hAnsi="仿宋" w:eastAsia="仿宋"/>
          <w:sz w:val="32"/>
          <w:szCs w:val="32"/>
        </w:rPr>
      </w:pPr>
      <w:r>
        <w:rPr>
          <w:rFonts w:hint="eastAsia" w:eastAsia="仿宋"/>
        </w:rPr>
        <w:drawing>
          <wp:inline distT="0" distB="0" distL="114300" distR="114300">
            <wp:extent cx="3945255" cy="2667000"/>
            <wp:effectExtent l="4445" t="4445" r="12700" b="1460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3" w:firstLineChars="200"/>
        <w:outlineLvl w:val="2"/>
        <w:rPr>
          <w:rFonts w:hint="eastAsia" w:ascii="仿宋" w:hAnsi="仿宋" w:eastAsia="仿宋"/>
          <w:b/>
          <w:sz w:val="32"/>
          <w:szCs w:val="32"/>
        </w:rPr>
      </w:pPr>
      <w:bookmarkStart w:id="56" w:name="_Toc15377212"/>
      <w:r>
        <w:rPr>
          <w:rFonts w:hint="eastAsia" w:ascii="仿宋" w:hAnsi="仿宋" w:eastAsia="仿宋"/>
          <w:b/>
          <w:sz w:val="32"/>
          <w:szCs w:val="32"/>
        </w:rPr>
        <w:t>（三）一般公共预算财政拨款支出决算具体情况</w:t>
      </w:r>
      <w:bookmarkEnd w:id="56"/>
    </w:p>
    <w:p>
      <w:pPr>
        <w:spacing w:line="600" w:lineRule="exact"/>
        <w:ind w:firstLine="643" w:firstLineChars="200"/>
        <w:outlineLvl w:val="2"/>
        <w:rPr>
          <w:rFonts w:hint="eastAsia" w:ascii="仿宋" w:hAnsi="仿宋" w:eastAsia="仿宋"/>
          <w:sz w:val="32"/>
          <w:szCs w:val="32"/>
        </w:rPr>
      </w:pPr>
      <w:bookmarkStart w:id="57" w:name="_Toc15377213"/>
      <w:bookmarkStart w:id="58" w:name="_Toc15378460"/>
      <w:bookmarkStart w:id="59" w:name="_Toc15377444"/>
      <w:r>
        <w:rPr>
          <w:rFonts w:hint="eastAsia" w:ascii="仿宋" w:hAnsi="仿宋" w:eastAsia="仿宋"/>
          <w:b/>
          <w:sz w:val="32"/>
          <w:szCs w:val="32"/>
        </w:rPr>
        <w:t>202</w:t>
      </w:r>
      <w:r>
        <w:rPr>
          <w:rFonts w:hint="eastAsia" w:ascii="仿宋" w:hAnsi="仿宋" w:eastAsia="仿宋"/>
          <w:b/>
          <w:sz w:val="32"/>
          <w:szCs w:val="32"/>
          <w:lang w:val="en-US" w:eastAsia="zh-CN"/>
        </w:rPr>
        <w:t>5</w:t>
      </w:r>
      <w:r>
        <w:rPr>
          <w:rFonts w:hint="eastAsia" w:ascii="仿宋" w:hAnsi="仿宋" w:eastAsia="仿宋"/>
          <w:b/>
          <w:sz w:val="32"/>
          <w:szCs w:val="32"/>
        </w:rPr>
        <w:t>年度一般公共预算支出决算数为</w:t>
      </w:r>
      <w:r>
        <w:rPr>
          <w:rFonts w:hint="eastAsia" w:eastAsia="仿宋"/>
          <w:sz w:val="32"/>
          <w:szCs w:val="32"/>
          <w:lang w:val="en-US" w:eastAsia="zh-CN"/>
        </w:rPr>
        <w:t>9164.24</w:t>
      </w:r>
      <w:r>
        <w:rPr>
          <w:rFonts w:hint="eastAsia" w:ascii="仿宋" w:hAnsi="仿宋" w:eastAsia="仿宋"/>
          <w:sz w:val="32"/>
          <w:szCs w:val="32"/>
        </w:rPr>
        <w:t>，</w:t>
      </w:r>
      <w:r>
        <w:rPr>
          <w:rStyle w:val="18"/>
          <w:rFonts w:hint="eastAsia" w:ascii="仿宋" w:hAnsi="仿宋" w:eastAsia="仿宋"/>
          <w:bCs/>
          <w:sz w:val="32"/>
          <w:szCs w:val="32"/>
        </w:rPr>
        <w:t>完成预算</w:t>
      </w:r>
      <w:r>
        <w:rPr>
          <w:rStyle w:val="18"/>
          <w:rFonts w:hint="eastAsia" w:ascii="仿宋" w:hAnsi="仿宋" w:eastAsia="仿宋"/>
          <w:bCs/>
          <w:sz w:val="32"/>
          <w:szCs w:val="32"/>
          <w:lang w:val="en-US" w:eastAsia="zh-CN"/>
        </w:rPr>
        <w:t>100</w:t>
      </w:r>
      <w:r>
        <w:rPr>
          <w:rStyle w:val="18"/>
          <w:rFonts w:ascii="仿宋" w:hAnsi="仿宋" w:eastAsia="仿宋"/>
          <w:bCs/>
          <w:sz w:val="32"/>
          <w:szCs w:val="32"/>
        </w:rPr>
        <w:t>%</w:t>
      </w:r>
      <w:r>
        <w:rPr>
          <w:rStyle w:val="18"/>
          <w:rFonts w:hint="eastAsia" w:ascii="仿宋" w:hAnsi="仿宋" w:eastAsia="仿宋"/>
          <w:bCs/>
          <w:sz w:val="32"/>
          <w:szCs w:val="32"/>
        </w:rPr>
        <w:t>。其中：</w:t>
      </w:r>
      <w:bookmarkEnd w:id="57"/>
      <w:bookmarkEnd w:id="58"/>
      <w:bookmarkEnd w:id="59"/>
    </w:p>
    <w:p>
      <w:pPr>
        <w:numPr>
          <w:ilvl w:val="0"/>
          <w:numId w:val="3"/>
        </w:numPr>
        <w:spacing w:line="600" w:lineRule="exact"/>
        <w:ind w:firstLine="643" w:firstLineChars="200"/>
        <w:rPr>
          <w:rStyle w:val="18"/>
          <w:rFonts w:hint="eastAsia" w:ascii="仿宋" w:hAnsi="仿宋" w:eastAsia="仿宋"/>
          <w:b w:val="0"/>
          <w:bCs/>
          <w:sz w:val="32"/>
          <w:szCs w:val="32"/>
        </w:rPr>
      </w:pPr>
      <w:r>
        <w:rPr>
          <w:rStyle w:val="18"/>
          <w:rFonts w:hint="eastAsia" w:ascii="仿宋" w:hAnsi="仿宋" w:eastAsia="仿宋"/>
          <w:bCs/>
          <w:sz w:val="32"/>
          <w:szCs w:val="32"/>
        </w:rPr>
        <w:t>公共安全支出</w:t>
      </w:r>
      <w:r>
        <w:rPr>
          <w:rStyle w:val="18"/>
          <w:rFonts w:hint="eastAsia" w:ascii="仿宋" w:hAnsi="仿宋" w:eastAsia="仿宋"/>
          <w:bCs/>
          <w:sz w:val="32"/>
          <w:szCs w:val="32"/>
          <w:lang w:val="en-US" w:eastAsia="zh-CN"/>
        </w:rPr>
        <w:t>204</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7763.65</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84.72</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pStyle w:val="20"/>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行政运行2040201：支出决算为</w:t>
      </w:r>
      <w:r>
        <w:rPr>
          <w:rFonts w:hint="eastAsia" w:ascii="仿宋" w:hAnsi="仿宋" w:eastAsia="仿宋" w:cs="仿宋"/>
          <w:b w:val="0"/>
          <w:bCs/>
          <w:sz w:val="32"/>
          <w:szCs w:val="32"/>
          <w:lang w:val="en-US" w:eastAsia="zh-CN"/>
        </w:rPr>
        <w:t>5335.45</w:t>
      </w:r>
      <w:r>
        <w:rPr>
          <w:rFonts w:hint="eastAsia" w:ascii="仿宋" w:hAnsi="仿宋" w:eastAsia="仿宋" w:cs="仿宋"/>
          <w:b w:val="0"/>
          <w:bCs/>
          <w:sz w:val="32"/>
          <w:szCs w:val="32"/>
        </w:rPr>
        <w:t>万元，完成预算</w:t>
      </w:r>
      <w:r>
        <w:rPr>
          <w:rFonts w:hint="eastAsia" w:ascii="仿宋" w:hAnsi="仿宋" w:eastAsia="仿宋" w:cs="仿宋"/>
          <w:b w:val="0"/>
          <w:bCs/>
          <w:sz w:val="32"/>
          <w:szCs w:val="32"/>
          <w:lang w:val="en-US" w:eastAsia="zh-CN"/>
        </w:rPr>
        <w:t>68.73</w:t>
      </w:r>
      <w:r>
        <w:rPr>
          <w:rFonts w:hint="eastAsia" w:ascii="仿宋" w:hAnsi="仿宋" w:eastAsia="仿宋" w:cs="仿宋"/>
          <w:b w:val="0"/>
          <w:bCs/>
          <w:sz w:val="32"/>
          <w:szCs w:val="32"/>
        </w:rPr>
        <w:t>%，决算数等于预算数。</w:t>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一般行政管理事务2040202：支出决算为</w:t>
      </w:r>
      <w:r>
        <w:rPr>
          <w:rFonts w:hint="eastAsia" w:ascii="仿宋" w:hAnsi="仿宋" w:eastAsia="仿宋" w:cs="仿宋"/>
          <w:bCs/>
          <w:sz w:val="32"/>
          <w:szCs w:val="32"/>
          <w:lang w:val="en-US" w:eastAsia="zh-CN"/>
        </w:rPr>
        <w:t>422.78</w:t>
      </w:r>
      <w:r>
        <w:rPr>
          <w:rFonts w:hint="eastAsia" w:ascii="仿宋" w:hAnsi="仿宋" w:eastAsia="仿宋" w:cs="仿宋"/>
          <w:bCs/>
          <w:sz w:val="32"/>
          <w:szCs w:val="32"/>
        </w:rPr>
        <w:t>万元，完成预算</w:t>
      </w:r>
      <w:r>
        <w:rPr>
          <w:rFonts w:hint="eastAsia" w:ascii="仿宋" w:hAnsi="仿宋" w:eastAsia="仿宋" w:cs="仿宋"/>
          <w:bCs/>
          <w:sz w:val="32"/>
          <w:szCs w:val="32"/>
          <w:lang w:val="en-US" w:eastAsia="zh-CN"/>
        </w:rPr>
        <w:t>5.45</w:t>
      </w:r>
      <w:r>
        <w:rPr>
          <w:rFonts w:hint="eastAsia" w:ascii="仿宋" w:hAnsi="仿宋" w:eastAsia="仿宋" w:cs="仿宋"/>
          <w:bCs/>
          <w:sz w:val="32"/>
          <w:szCs w:val="32"/>
        </w:rPr>
        <w:t>%，决算数等于预算数。</w:t>
      </w:r>
    </w:p>
    <w:p>
      <w:pPr>
        <w:pStyle w:val="20"/>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lang w:eastAsia="zh-CN"/>
        </w:rPr>
        <w:t>执法办案</w:t>
      </w:r>
      <w:r>
        <w:rPr>
          <w:rFonts w:hint="eastAsia" w:ascii="仿宋" w:hAnsi="仿宋" w:eastAsia="仿宋" w:cs="仿宋"/>
          <w:b w:val="0"/>
          <w:bCs/>
          <w:kern w:val="2"/>
          <w:sz w:val="32"/>
          <w:szCs w:val="32"/>
          <w:lang w:val="en-US" w:eastAsia="zh-CN" w:bidi="ar-SA"/>
        </w:rPr>
        <w:t>2040220</w:t>
      </w:r>
      <w:r>
        <w:rPr>
          <w:rFonts w:hint="eastAsia" w:ascii="仿宋" w:hAnsi="仿宋" w:eastAsia="仿宋" w:cs="仿宋"/>
          <w:b w:val="0"/>
          <w:bCs/>
          <w:sz w:val="32"/>
          <w:szCs w:val="32"/>
        </w:rPr>
        <w:t>：支出决算为</w:t>
      </w:r>
      <w:r>
        <w:rPr>
          <w:rFonts w:hint="eastAsia" w:ascii="仿宋" w:hAnsi="仿宋" w:eastAsia="仿宋" w:cs="仿宋"/>
          <w:b w:val="0"/>
          <w:bCs/>
          <w:sz w:val="32"/>
          <w:szCs w:val="32"/>
          <w:lang w:val="en-US" w:eastAsia="zh-CN"/>
        </w:rPr>
        <w:t>1104.11</w:t>
      </w:r>
      <w:r>
        <w:rPr>
          <w:rFonts w:hint="eastAsia" w:ascii="仿宋" w:hAnsi="仿宋" w:eastAsia="仿宋" w:cs="仿宋"/>
          <w:b w:val="0"/>
          <w:bCs/>
          <w:sz w:val="32"/>
          <w:szCs w:val="32"/>
        </w:rPr>
        <w:t>万元，完成预算</w:t>
      </w:r>
      <w:r>
        <w:rPr>
          <w:rFonts w:hint="eastAsia" w:ascii="仿宋" w:hAnsi="仿宋" w:eastAsia="仿宋" w:cs="仿宋"/>
          <w:b w:val="0"/>
          <w:bCs/>
          <w:sz w:val="32"/>
          <w:szCs w:val="32"/>
          <w:lang w:val="en-US" w:eastAsia="zh-CN"/>
        </w:rPr>
        <w:t>14.22</w:t>
      </w:r>
      <w:r>
        <w:rPr>
          <w:rFonts w:hint="eastAsia" w:ascii="仿宋" w:hAnsi="仿宋" w:eastAsia="仿宋" w:cs="仿宋"/>
          <w:b w:val="0"/>
          <w:bCs/>
          <w:sz w:val="32"/>
          <w:szCs w:val="32"/>
        </w:rPr>
        <w:t>%，决算数等于预算数。</w:t>
      </w:r>
    </w:p>
    <w:p>
      <w:pPr>
        <w:ind w:firstLine="640" w:firstLineChars="200"/>
        <w:rPr>
          <w:rFonts w:hint="eastAsia" w:ascii="仿宋" w:hAnsi="仿宋" w:eastAsia="仿宋" w:cs="仿宋"/>
          <w:bCs/>
          <w:sz w:val="32"/>
          <w:szCs w:val="32"/>
        </w:rPr>
      </w:pPr>
      <w:r>
        <w:rPr>
          <w:rFonts w:hint="eastAsia" w:ascii="仿宋" w:hAnsi="仿宋" w:eastAsia="仿宋" w:cs="仿宋"/>
          <w:sz w:val="32"/>
          <w:szCs w:val="32"/>
        </w:rPr>
        <w:t>其他公安支出2040299</w:t>
      </w:r>
      <w:r>
        <w:rPr>
          <w:rFonts w:hint="eastAsia" w:ascii="仿宋" w:hAnsi="仿宋" w:eastAsia="仿宋" w:cs="仿宋"/>
          <w:bCs/>
          <w:sz w:val="32"/>
          <w:szCs w:val="32"/>
        </w:rPr>
        <w:t>：支出决算为</w:t>
      </w:r>
      <w:r>
        <w:rPr>
          <w:rFonts w:hint="eastAsia" w:ascii="仿宋" w:hAnsi="仿宋" w:eastAsia="仿宋" w:cs="仿宋"/>
          <w:bCs/>
          <w:sz w:val="32"/>
          <w:szCs w:val="32"/>
          <w:lang w:val="en-US" w:eastAsia="zh-CN"/>
        </w:rPr>
        <w:t>829.76</w:t>
      </w:r>
      <w:r>
        <w:rPr>
          <w:rFonts w:hint="eastAsia" w:ascii="仿宋" w:hAnsi="仿宋" w:eastAsia="仿宋" w:cs="仿宋"/>
          <w:bCs/>
          <w:sz w:val="32"/>
          <w:szCs w:val="32"/>
        </w:rPr>
        <w:t>万元，完成预算</w:t>
      </w:r>
      <w:r>
        <w:rPr>
          <w:rFonts w:hint="eastAsia" w:ascii="仿宋" w:hAnsi="仿宋" w:eastAsia="仿宋" w:cs="仿宋"/>
          <w:bCs/>
          <w:sz w:val="32"/>
          <w:szCs w:val="32"/>
          <w:lang w:val="en-US" w:eastAsia="zh-CN"/>
        </w:rPr>
        <w:t>10.69</w:t>
      </w:r>
      <w:r>
        <w:rPr>
          <w:rFonts w:hint="eastAsia" w:ascii="仿宋" w:hAnsi="仿宋" w:eastAsia="仿宋" w:cs="仿宋"/>
          <w:bCs/>
          <w:sz w:val="32"/>
          <w:szCs w:val="32"/>
        </w:rPr>
        <w:t>%，决算数等于预算数。</w:t>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lang w:val="en-US" w:eastAsia="zh-CN"/>
        </w:rPr>
        <w:t>其他公共安全安全支出20499</w:t>
      </w:r>
      <w:r>
        <w:rPr>
          <w:rFonts w:hint="eastAsia" w:ascii="仿宋" w:hAnsi="仿宋" w:eastAsia="仿宋" w:cs="仿宋"/>
          <w:bCs/>
          <w:sz w:val="32"/>
          <w:szCs w:val="32"/>
        </w:rPr>
        <w:t>：支出决算为</w:t>
      </w:r>
      <w:r>
        <w:rPr>
          <w:rFonts w:hint="eastAsia" w:ascii="仿宋" w:hAnsi="仿宋" w:eastAsia="仿宋" w:cs="仿宋"/>
          <w:bCs/>
          <w:sz w:val="32"/>
          <w:szCs w:val="32"/>
          <w:lang w:val="en-US" w:eastAsia="zh-CN"/>
        </w:rPr>
        <w:t>71.56</w:t>
      </w:r>
      <w:r>
        <w:rPr>
          <w:rFonts w:hint="eastAsia" w:ascii="仿宋" w:hAnsi="仿宋" w:eastAsia="仿宋" w:cs="仿宋"/>
          <w:bCs/>
          <w:sz w:val="32"/>
          <w:szCs w:val="32"/>
        </w:rPr>
        <w:t>万元，完成预算</w:t>
      </w:r>
      <w:r>
        <w:rPr>
          <w:rFonts w:hint="eastAsia" w:ascii="仿宋" w:hAnsi="仿宋" w:eastAsia="仿宋" w:cs="仿宋"/>
          <w:bCs/>
          <w:sz w:val="32"/>
          <w:szCs w:val="32"/>
          <w:lang w:val="en-US" w:eastAsia="zh-CN"/>
        </w:rPr>
        <w:t>0.92</w:t>
      </w:r>
      <w:r>
        <w:rPr>
          <w:rFonts w:hint="eastAsia" w:ascii="仿宋" w:hAnsi="仿宋" w:eastAsia="仿宋" w:cs="仿宋"/>
          <w:bCs/>
          <w:sz w:val="32"/>
          <w:szCs w:val="32"/>
        </w:rPr>
        <w:t>%，决算数等于预算数。</w:t>
      </w:r>
    </w:p>
    <w:p>
      <w:pPr>
        <w:pStyle w:val="2"/>
        <w:rPr>
          <w:rFonts w:hint="default" w:eastAsia="仿宋"/>
          <w:lang w:val="en-US" w:eastAsia="zh-CN"/>
        </w:rPr>
      </w:pPr>
    </w:p>
    <w:p>
      <w:pPr>
        <w:spacing w:line="600" w:lineRule="exact"/>
        <w:ind w:firstLine="643" w:firstLineChars="200"/>
        <w:rPr>
          <w:rStyle w:val="18"/>
          <w:rFonts w:hint="eastAsia" w:ascii="仿宋" w:hAnsi="仿宋" w:eastAsia="仿宋"/>
          <w:b w:val="0"/>
          <w:bCs/>
          <w:sz w:val="32"/>
          <w:szCs w:val="32"/>
        </w:rPr>
      </w:pPr>
      <w:r>
        <w:rPr>
          <w:rStyle w:val="18"/>
          <w:rFonts w:hint="eastAsia" w:ascii="仿宋" w:hAnsi="仿宋" w:eastAsia="仿宋"/>
          <w:bCs/>
          <w:sz w:val="32"/>
          <w:szCs w:val="32"/>
        </w:rPr>
        <w:t>2.社会保障和就业208</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661.05</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8.76</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spacing w:line="600" w:lineRule="exact"/>
        <w:ind w:firstLine="640" w:firstLineChars="200"/>
        <w:rPr>
          <w:rStyle w:val="18"/>
          <w:rFonts w:hint="eastAsia" w:ascii="仿宋" w:hAnsi="仿宋" w:eastAsia="仿宋"/>
          <w:b w:val="0"/>
          <w:bCs/>
          <w:sz w:val="32"/>
          <w:szCs w:val="32"/>
        </w:rPr>
      </w:pPr>
      <w:r>
        <w:rPr>
          <w:rFonts w:hint="eastAsia" w:ascii="仿宋" w:hAnsi="仿宋" w:eastAsia="仿宋" w:cs="仿宋"/>
          <w:sz w:val="32"/>
          <w:szCs w:val="32"/>
        </w:rPr>
        <w:t>机关事业单位基本养老保险缴费支出2080505</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440.70</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66.66</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spacing w:line="600" w:lineRule="exact"/>
        <w:ind w:firstLine="640" w:firstLineChars="200"/>
        <w:rPr>
          <w:rFonts w:eastAsia="黑体"/>
        </w:rPr>
      </w:pPr>
      <w:r>
        <w:rPr>
          <w:rFonts w:hint="eastAsia" w:ascii="仿宋" w:hAnsi="仿宋" w:eastAsia="仿宋" w:cs="仿宋"/>
          <w:sz w:val="32"/>
          <w:szCs w:val="32"/>
        </w:rPr>
        <w:t>机关事业单位职业年金缴费支出2080506</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220.35</w:t>
      </w:r>
      <w:r>
        <w:rPr>
          <w:rStyle w:val="18"/>
          <w:rFonts w:hint="eastAsia" w:ascii="仿宋" w:hAnsi="仿宋" w:eastAsia="仿宋"/>
          <w:b w:val="0"/>
          <w:bCs/>
          <w:sz w:val="32"/>
          <w:szCs w:val="32"/>
        </w:rPr>
        <w:t>万元，完成预算33.33</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spacing w:line="600" w:lineRule="exact"/>
        <w:ind w:firstLine="643" w:firstLineChars="200"/>
        <w:rPr>
          <w:rStyle w:val="18"/>
          <w:rFonts w:hint="eastAsia" w:ascii="仿宋" w:hAnsi="仿宋" w:eastAsia="仿宋"/>
          <w:b w:val="0"/>
          <w:bCs/>
          <w:sz w:val="32"/>
          <w:szCs w:val="32"/>
        </w:rPr>
      </w:pPr>
      <w:r>
        <w:rPr>
          <w:rStyle w:val="18"/>
          <w:rFonts w:hint="eastAsia" w:ascii="仿宋" w:hAnsi="仿宋" w:eastAsia="仿宋"/>
          <w:bCs/>
          <w:sz w:val="32"/>
          <w:szCs w:val="32"/>
        </w:rPr>
        <w:t>3.卫生健康210</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290.78</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3.85</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spacing w:line="600" w:lineRule="exact"/>
        <w:ind w:firstLine="640" w:firstLineChars="200"/>
        <w:rPr>
          <w:rStyle w:val="18"/>
          <w:rFonts w:hint="eastAsia" w:ascii="仿宋" w:hAnsi="仿宋" w:eastAsia="仿宋"/>
          <w:b w:val="0"/>
          <w:bCs/>
          <w:sz w:val="32"/>
          <w:szCs w:val="32"/>
        </w:rPr>
      </w:pPr>
      <w:r>
        <w:rPr>
          <w:rFonts w:hint="eastAsia" w:ascii="仿宋" w:hAnsi="仿宋" w:eastAsia="仿宋" w:cs="仿宋"/>
          <w:sz w:val="32"/>
          <w:szCs w:val="32"/>
        </w:rPr>
        <w:t>行政单位医疗2101101</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245.97</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84.58</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spacing w:line="600" w:lineRule="exact"/>
        <w:ind w:firstLine="640" w:firstLineChars="200"/>
        <w:rPr>
          <w:rStyle w:val="18"/>
          <w:rFonts w:hint="eastAsia" w:ascii="仿宋" w:hAnsi="仿宋" w:eastAsia="仿宋"/>
          <w:b w:val="0"/>
          <w:bCs/>
          <w:sz w:val="32"/>
          <w:szCs w:val="32"/>
        </w:rPr>
      </w:pPr>
      <w:r>
        <w:rPr>
          <w:rFonts w:hint="eastAsia" w:ascii="仿宋" w:hAnsi="仿宋" w:eastAsia="仿宋" w:cs="仿宋"/>
          <w:sz w:val="32"/>
          <w:szCs w:val="32"/>
        </w:rPr>
        <w:t xml:space="preserve"> 公务员医疗补助2101103</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44.80</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15.4</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spacing w:line="600" w:lineRule="exact"/>
        <w:ind w:firstLine="643" w:firstLineChars="200"/>
        <w:rPr>
          <w:rStyle w:val="18"/>
          <w:rFonts w:hint="eastAsia" w:ascii="仿宋" w:hAnsi="仿宋" w:eastAsia="仿宋"/>
          <w:b w:val="0"/>
          <w:bCs/>
          <w:sz w:val="32"/>
          <w:szCs w:val="32"/>
        </w:rPr>
      </w:pPr>
      <w:r>
        <w:rPr>
          <w:rStyle w:val="18"/>
          <w:rFonts w:hint="eastAsia" w:ascii="仿宋" w:hAnsi="仿宋" w:eastAsia="仿宋"/>
          <w:bCs/>
          <w:sz w:val="32"/>
          <w:szCs w:val="32"/>
        </w:rPr>
        <w:t>4.住房保障支出221</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387.62</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4.23</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spacing w:line="600" w:lineRule="exact"/>
        <w:ind w:firstLine="643" w:firstLineChars="200"/>
        <w:rPr>
          <w:rFonts w:hint="eastAsia" w:ascii="仿宋" w:hAnsi="仿宋" w:eastAsia="仿宋"/>
          <w:b/>
          <w:sz w:val="32"/>
          <w:szCs w:val="32"/>
        </w:rPr>
      </w:pPr>
      <w:r>
        <w:rPr>
          <w:rStyle w:val="18"/>
          <w:rFonts w:hint="eastAsia" w:ascii="仿宋" w:hAnsi="仿宋" w:eastAsia="仿宋"/>
          <w:bCs/>
          <w:sz w:val="32"/>
          <w:szCs w:val="32"/>
        </w:rPr>
        <w:t>5.住房公积金2210201</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387.62</w:t>
      </w:r>
      <w:r>
        <w:rPr>
          <w:rStyle w:val="18"/>
          <w:rFonts w:hint="eastAsia" w:ascii="仿宋" w:hAnsi="仿宋" w:eastAsia="仿宋"/>
          <w:b w:val="0"/>
          <w:bCs/>
          <w:sz w:val="32"/>
          <w:szCs w:val="32"/>
        </w:rPr>
        <w:t>万元，完成预算100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pPr>
        <w:tabs>
          <w:tab w:val="right" w:pos="8306"/>
        </w:tabs>
        <w:spacing w:line="600" w:lineRule="exact"/>
        <w:ind w:firstLine="640"/>
        <w:outlineLvl w:val="1"/>
        <w:rPr>
          <w:rStyle w:val="30"/>
        </w:rPr>
      </w:pPr>
      <w:bookmarkStart w:id="60" w:name="_Toc20754"/>
      <w:bookmarkStart w:id="61" w:name="_Toc21054"/>
      <w:bookmarkStart w:id="62" w:name="_Toc15396608"/>
      <w:bookmarkStart w:id="63"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0"/>
          <w:rFonts w:hint="eastAsia" w:ascii="黑体" w:hAnsi="黑体" w:eastAsia="黑体"/>
          <w:b w:val="0"/>
        </w:rPr>
        <w:t>般公共预算财政拨款基本支出决算情况说明</w:t>
      </w:r>
      <w:bookmarkEnd w:id="60"/>
      <w:bookmarkEnd w:id="61"/>
      <w:bookmarkEnd w:id="62"/>
      <w:bookmarkEnd w:id="63"/>
      <w:r>
        <w:rPr>
          <w:rStyle w:val="30"/>
          <w:rFonts w:ascii="黑体" w:hAnsi="黑体" w:eastAsia="黑体"/>
          <w:b w:val="0"/>
        </w:rPr>
        <w:tab/>
      </w:r>
    </w:p>
    <w:p>
      <w:pPr>
        <w:spacing w:line="600" w:lineRule="exact"/>
        <w:ind w:firstLine="645"/>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年度一般公共预算财政拨款基本支出</w:t>
      </w:r>
      <w:r>
        <w:rPr>
          <w:rFonts w:hint="eastAsia" w:eastAsia="仿宋"/>
          <w:sz w:val="32"/>
          <w:szCs w:val="32"/>
          <w:lang w:val="en-US" w:eastAsia="zh-CN"/>
        </w:rPr>
        <w:t>6125.18</w:t>
      </w:r>
      <w:r>
        <w:rPr>
          <w:rFonts w:hint="eastAsia" w:ascii="仿宋" w:hAnsi="仿宋" w:eastAsia="仿宋"/>
          <w:sz w:val="32"/>
          <w:szCs w:val="32"/>
        </w:rPr>
        <w:t>万元，其中：</w:t>
      </w:r>
    </w:p>
    <w:p>
      <w:pPr>
        <w:spacing w:line="600" w:lineRule="exact"/>
        <w:ind w:firstLine="645"/>
        <w:rPr>
          <w:rFonts w:hint="eastAsia" w:ascii="仿宋" w:hAnsi="仿宋" w:eastAsia="仿宋"/>
          <w:sz w:val="32"/>
          <w:szCs w:val="32"/>
        </w:rPr>
      </w:pPr>
      <w:r>
        <w:rPr>
          <w:rFonts w:hint="eastAsia" w:ascii="仿宋" w:hAnsi="仿宋" w:eastAsia="仿宋"/>
          <w:sz w:val="32"/>
          <w:szCs w:val="32"/>
        </w:rPr>
        <w:t>人员经费</w:t>
      </w:r>
      <w:r>
        <w:rPr>
          <w:rFonts w:hint="eastAsia" w:eastAsia="仿宋"/>
          <w:sz w:val="32"/>
          <w:szCs w:val="32"/>
          <w:lang w:val="en-US" w:eastAsia="zh-CN"/>
        </w:rPr>
        <w:t>6141.47</w:t>
      </w:r>
      <w:r>
        <w:rPr>
          <w:rFonts w:hint="eastAsia" w:ascii="仿宋" w:hAnsi="仿宋" w:eastAsia="仿宋"/>
          <w:sz w:val="32"/>
          <w:szCs w:val="32"/>
        </w:rPr>
        <w:t>万元，主要包括：基本工资</w:t>
      </w:r>
      <w:r>
        <w:rPr>
          <w:rFonts w:hint="eastAsia" w:ascii="仿宋" w:hAnsi="仿宋" w:eastAsia="仿宋"/>
          <w:sz w:val="32"/>
          <w:szCs w:val="32"/>
          <w:lang w:val="en-US" w:eastAsia="zh-CN"/>
        </w:rPr>
        <w:t>896.83</w:t>
      </w:r>
      <w:r>
        <w:rPr>
          <w:rFonts w:hint="eastAsia" w:ascii="仿宋" w:hAnsi="仿宋" w:eastAsia="仿宋"/>
          <w:sz w:val="32"/>
          <w:szCs w:val="32"/>
        </w:rPr>
        <w:t>元、津贴补贴</w:t>
      </w:r>
      <w:r>
        <w:rPr>
          <w:rFonts w:hint="eastAsia" w:ascii="仿宋" w:hAnsi="仿宋" w:eastAsia="仿宋"/>
          <w:sz w:val="32"/>
          <w:szCs w:val="32"/>
          <w:lang w:val="en-US" w:eastAsia="zh-CN"/>
        </w:rPr>
        <w:t>1927.36</w:t>
      </w:r>
      <w:r>
        <w:rPr>
          <w:rFonts w:hint="eastAsia" w:ascii="仿宋" w:hAnsi="仿宋" w:eastAsia="仿宋"/>
          <w:sz w:val="32"/>
          <w:szCs w:val="32"/>
        </w:rPr>
        <w:t>万元、奖金</w:t>
      </w:r>
      <w:r>
        <w:rPr>
          <w:rFonts w:hint="eastAsia" w:ascii="仿宋" w:hAnsi="仿宋" w:eastAsia="仿宋"/>
          <w:sz w:val="32"/>
          <w:szCs w:val="32"/>
          <w:lang w:val="en-US" w:eastAsia="zh-CN"/>
        </w:rPr>
        <w:t>1017.79</w:t>
      </w:r>
      <w:r>
        <w:rPr>
          <w:rFonts w:hint="eastAsia" w:ascii="仿宋" w:hAnsi="仿宋" w:eastAsia="仿宋"/>
          <w:sz w:val="32"/>
          <w:szCs w:val="32"/>
        </w:rPr>
        <w:t>万元、伙食补助费0万元、绩效工资0万元、机关事业单位基本养老保险缴费</w:t>
      </w:r>
      <w:r>
        <w:rPr>
          <w:rFonts w:hint="eastAsia" w:ascii="仿宋" w:hAnsi="仿宋" w:eastAsia="仿宋"/>
          <w:sz w:val="32"/>
          <w:szCs w:val="32"/>
          <w:lang w:val="en-US" w:eastAsia="zh-CN"/>
        </w:rPr>
        <w:t>477.48</w:t>
      </w:r>
      <w:r>
        <w:rPr>
          <w:rFonts w:hint="eastAsia" w:ascii="仿宋" w:hAnsi="仿宋" w:eastAsia="仿宋"/>
          <w:sz w:val="32"/>
          <w:szCs w:val="32"/>
        </w:rPr>
        <w:t>万元、职业年金缴费</w:t>
      </w:r>
      <w:r>
        <w:rPr>
          <w:rFonts w:hint="eastAsia" w:ascii="仿宋" w:hAnsi="仿宋" w:eastAsia="仿宋"/>
          <w:sz w:val="32"/>
          <w:szCs w:val="32"/>
          <w:lang w:val="en-US" w:eastAsia="zh-CN"/>
        </w:rPr>
        <w:t>238.74</w:t>
      </w:r>
      <w:r>
        <w:rPr>
          <w:rFonts w:hint="eastAsia" w:ascii="仿宋" w:hAnsi="仿宋" w:eastAsia="仿宋"/>
          <w:sz w:val="32"/>
          <w:szCs w:val="32"/>
        </w:rPr>
        <w:t>万元、</w:t>
      </w:r>
      <w:r>
        <w:rPr>
          <w:rFonts w:hint="eastAsia" w:ascii="仿宋" w:hAnsi="仿宋" w:eastAsia="仿宋"/>
          <w:sz w:val="32"/>
          <w:szCs w:val="32"/>
          <w:lang w:eastAsia="zh-CN"/>
        </w:rPr>
        <w:t>职工基本医疗保险缴费</w:t>
      </w:r>
      <w:r>
        <w:rPr>
          <w:rFonts w:hint="eastAsia" w:ascii="仿宋" w:hAnsi="仿宋" w:eastAsia="仿宋"/>
          <w:sz w:val="32"/>
          <w:szCs w:val="32"/>
          <w:lang w:val="en-US" w:eastAsia="zh-CN"/>
        </w:rPr>
        <w:t>235.27万元、</w:t>
      </w:r>
      <w:r>
        <w:rPr>
          <w:rFonts w:hint="eastAsia" w:ascii="仿宋" w:hAnsi="仿宋" w:eastAsia="仿宋"/>
          <w:sz w:val="32"/>
          <w:szCs w:val="32"/>
          <w:lang w:eastAsia="zh-CN"/>
        </w:rPr>
        <w:t>公务员</w:t>
      </w:r>
      <w:r>
        <w:rPr>
          <w:rFonts w:hint="eastAsia" w:ascii="仿宋" w:hAnsi="仿宋" w:eastAsia="仿宋"/>
          <w:sz w:val="32"/>
          <w:szCs w:val="32"/>
        </w:rPr>
        <w:t>医疗费补助</w:t>
      </w:r>
      <w:r>
        <w:rPr>
          <w:rFonts w:hint="eastAsia" w:ascii="仿宋" w:hAnsi="仿宋" w:eastAsia="仿宋"/>
          <w:sz w:val="32"/>
          <w:szCs w:val="32"/>
          <w:lang w:eastAsia="zh-CN"/>
        </w:rPr>
        <w:t>缴费</w:t>
      </w:r>
      <w:r>
        <w:rPr>
          <w:rFonts w:hint="eastAsia" w:ascii="仿宋" w:hAnsi="仿宋" w:eastAsia="仿宋"/>
          <w:sz w:val="32"/>
          <w:szCs w:val="32"/>
          <w:lang w:val="en-US" w:eastAsia="zh-CN"/>
        </w:rPr>
        <w:t>36.97</w:t>
      </w:r>
      <w:r>
        <w:rPr>
          <w:rFonts w:hint="eastAsia" w:ascii="仿宋" w:hAnsi="仿宋" w:eastAsia="仿宋"/>
          <w:sz w:val="32"/>
          <w:szCs w:val="32"/>
        </w:rPr>
        <w:t>万元</w:t>
      </w:r>
      <w:r>
        <w:rPr>
          <w:rFonts w:hint="eastAsia" w:ascii="仿宋" w:hAnsi="仿宋" w:eastAsia="仿宋"/>
          <w:sz w:val="32"/>
          <w:szCs w:val="32"/>
          <w:lang w:eastAsia="zh-CN"/>
        </w:rPr>
        <w:t>、</w:t>
      </w:r>
      <w:r>
        <w:rPr>
          <w:rFonts w:hint="eastAsia" w:ascii="仿宋" w:hAnsi="仿宋" w:eastAsia="仿宋"/>
          <w:sz w:val="32"/>
          <w:szCs w:val="32"/>
        </w:rPr>
        <w:t>其他社会保障缴费</w:t>
      </w:r>
      <w:r>
        <w:rPr>
          <w:rFonts w:hint="eastAsia" w:ascii="仿宋" w:hAnsi="仿宋" w:eastAsia="仿宋"/>
          <w:sz w:val="32"/>
          <w:szCs w:val="32"/>
          <w:lang w:val="en-US" w:eastAsia="zh-CN"/>
        </w:rPr>
        <w:t>7.69</w:t>
      </w:r>
      <w:r>
        <w:rPr>
          <w:rFonts w:hint="eastAsia" w:ascii="仿宋" w:hAnsi="仿宋" w:eastAsia="仿宋"/>
          <w:sz w:val="32"/>
          <w:szCs w:val="32"/>
        </w:rPr>
        <w:t>万元、住房公积金</w:t>
      </w:r>
      <w:r>
        <w:rPr>
          <w:rFonts w:hint="eastAsia" w:ascii="仿宋" w:hAnsi="仿宋" w:eastAsia="仿宋"/>
          <w:sz w:val="32"/>
          <w:szCs w:val="32"/>
          <w:lang w:val="en-US" w:eastAsia="zh-CN"/>
        </w:rPr>
        <w:t>387.62</w:t>
      </w:r>
      <w:r>
        <w:rPr>
          <w:rFonts w:hint="eastAsia" w:ascii="仿宋" w:hAnsi="仿宋" w:eastAsia="仿宋"/>
          <w:sz w:val="32"/>
          <w:szCs w:val="32"/>
        </w:rPr>
        <w:t>万元</w:t>
      </w:r>
      <w:r>
        <w:rPr>
          <w:rFonts w:hint="eastAsia" w:ascii="仿宋" w:hAnsi="仿宋" w:eastAsia="仿宋"/>
          <w:sz w:val="32"/>
          <w:szCs w:val="32"/>
          <w:lang w:eastAsia="zh-CN"/>
        </w:rPr>
        <w:t>、医疗费</w:t>
      </w:r>
      <w:r>
        <w:rPr>
          <w:rFonts w:hint="eastAsia" w:ascii="仿宋" w:hAnsi="仿宋" w:eastAsia="仿宋"/>
          <w:sz w:val="32"/>
          <w:szCs w:val="32"/>
          <w:lang w:val="en-US" w:eastAsia="zh-CN"/>
        </w:rPr>
        <w:t>42.58万元、</w:t>
      </w:r>
      <w:r>
        <w:rPr>
          <w:rFonts w:hint="eastAsia" w:ascii="仿宋" w:hAnsi="仿宋" w:eastAsia="仿宋"/>
          <w:sz w:val="32"/>
          <w:szCs w:val="32"/>
        </w:rPr>
        <w:t>其他工资福利支出</w:t>
      </w:r>
      <w:r>
        <w:rPr>
          <w:rFonts w:hint="eastAsia" w:ascii="仿宋" w:hAnsi="仿宋" w:eastAsia="仿宋"/>
          <w:sz w:val="32"/>
          <w:szCs w:val="32"/>
          <w:lang w:val="en-US" w:eastAsia="zh-CN"/>
        </w:rPr>
        <w:t>841.91</w:t>
      </w:r>
      <w:r>
        <w:rPr>
          <w:rFonts w:hint="eastAsia" w:ascii="仿宋" w:hAnsi="仿宋" w:eastAsia="仿宋"/>
          <w:sz w:val="32"/>
          <w:szCs w:val="32"/>
        </w:rPr>
        <w:t>万元</w:t>
      </w:r>
      <w:r>
        <w:rPr>
          <w:rFonts w:hint="eastAsia" w:ascii="仿宋" w:hAnsi="仿宋" w:eastAsia="仿宋"/>
          <w:sz w:val="32"/>
          <w:szCs w:val="32"/>
          <w:lang w:eastAsia="zh-CN"/>
        </w:rPr>
        <w:t>、</w:t>
      </w:r>
      <w:r>
        <w:rPr>
          <w:rFonts w:hint="eastAsia" w:ascii="仿宋" w:hAnsi="仿宋" w:eastAsia="仿宋"/>
          <w:sz w:val="32"/>
          <w:szCs w:val="32"/>
        </w:rPr>
        <w:t>离休费0万元、退休费0万元、抚恤金0万元、生活补助</w:t>
      </w:r>
      <w:r>
        <w:rPr>
          <w:rFonts w:hint="eastAsia" w:ascii="仿宋" w:hAnsi="仿宋" w:eastAsia="仿宋"/>
          <w:sz w:val="32"/>
          <w:szCs w:val="32"/>
          <w:lang w:val="en-US" w:eastAsia="zh-CN"/>
        </w:rPr>
        <w:t>91.46</w:t>
      </w:r>
      <w:r>
        <w:rPr>
          <w:rFonts w:hint="eastAsia" w:ascii="仿宋" w:hAnsi="仿宋" w:eastAsia="仿宋"/>
          <w:sz w:val="32"/>
          <w:szCs w:val="32"/>
        </w:rPr>
        <w:t>万元、</w:t>
      </w:r>
      <w:r>
        <w:rPr>
          <w:rFonts w:hint="eastAsia" w:ascii="仿宋" w:hAnsi="仿宋" w:eastAsia="仿宋"/>
          <w:sz w:val="32"/>
          <w:szCs w:val="32"/>
          <w:lang w:eastAsia="zh-CN"/>
        </w:rPr>
        <w:t>医疗费补助</w:t>
      </w:r>
      <w:r>
        <w:rPr>
          <w:rFonts w:hint="eastAsia" w:ascii="仿宋" w:hAnsi="仿宋" w:eastAsia="仿宋"/>
          <w:sz w:val="32"/>
          <w:szCs w:val="32"/>
          <w:lang w:val="en-US" w:eastAsia="zh-CN"/>
        </w:rPr>
        <w:t>7.43万元</w:t>
      </w:r>
      <w:r>
        <w:rPr>
          <w:rFonts w:hint="eastAsia" w:ascii="仿宋" w:hAnsi="仿宋" w:eastAsia="仿宋"/>
          <w:sz w:val="32"/>
          <w:szCs w:val="32"/>
        </w:rPr>
        <w:t>、奖励金</w:t>
      </w:r>
      <w:r>
        <w:rPr>
          <w:rFonts w:hint="eastAsia" w:ascii="仿宋" w:hAnsi="仿宋" w:eastAsia="仿宋"/>
          <w:sz w:val="32"/>
          <w:szCs w:val="32"/>
          <w:lang w:val="en-US" w:eastAsia="zh-CN"/>
        </w:rPr>
        <w:t>11.05</w:t>
      </w:r>
      <w:r>
        <w:rPr>
          <w:rFonts w:hint="eastAsia" w:ascii="仿宋" w:hAnsi="仿宋" w:eastAsia="仿宋"/>
          <w:sz w:val="32"/>
          <w:szCs w:val="32"/>
        </w:rPr>
        <w:t>万元、其他对个人和家庭的补助支出</w:t>
      </w:r>
      <w:r>
        <w:rPr>
          <w:rFonts w:hint="eastAsia" w:ascii="仿宋" w:hAnsi="仿宋" w:eastAsia="仿宋"/>
          <w:sz w:val="32"/>
          <w:szCs w:val="32"/>
          <w:lang w:val="en-US" w:eastAsia="zh-CN"/>
        </w:rPr>
        <w:t>0万元</w:t>
      </w:r>
      <w:r>
        <w:rPr>
          <w:rFonts w:hint="eastAsia" w:ascii="仿宋" w:hAnsi="仿宋" w:eastAsia="仿宋"/>
          <w:sz w:val="32"/>
          <w:szCs w:val="32"/>
        </w:rPr>
        <w:t>等。</w:t>
      </w:r>
      <w:r>
        <w:rPr>
          <w:rFonts w:ascii="仿宋" w:hAnsi="仿宋" w:eastAsia="仿宋"/>
          <w:sz w:val="32"/>
          <w:szCs w:val="32"/>
        </w:rPr>
        <w:br w:type="textWrapping"/>
      </w:r>
      <w:r>
        <w:rPr>
          <w:rFonts w:hint="eastAsia" w:ascii="仿宋" w:hAnsi="仿宋" w:eastAsia="仿宋"/>
          <w:sz w:val="32"/>
          <w:szCs w:val="32"/>
        </w:rPr>
        <w:t>　　公用经费</w:t>
      </w:r>
      <w:r>
        <w:rPr>
          <w:rFonts w:hint="eastAsia" w:eastAsia="仿宋"/>
          <w:sz w:val="32"/>
          <w:szCs w:val="32"/>
          <w:lang w:val="en-US" w:eastAsia="zh-CN"/>
        </w:rPr>
        <w:t>463.37</w:t>
      </w:r>
      <w:r>
        <w:rPr>
          <w:rFonts w:hint="eastAsia" w:ascii="仿宋" w:hAnsi="仿宋" w:eastAsia="仿宋"/>
          <w:sz w:val="32"/>
          <w:szCs w:val="32"/>
        </w:rPr>
        <w:t>万元，主要包括：办公费</w:t>
      </w:r>
      <w:r>
        <w:rPr>
          <w:rFonts w:hint="eastAsia" w:ascii="仿宋" w:hAnsi="仿宋" w:eastAsia="仿宋"/>
          <w:sz w:val="32"/>
          <w:szCs w:val="32"/>
          <w:lang w:val="en-US" w:eastAsia="zh-CN"/>
        </w:rPr>
        <w:t>113.38</w:t>
      </w:r>
      <w:r>
        <w:rPr>
          <w:rFonts w:hint="eastAsia" w:ascii="仿宋" w:hAnsi="仿宋" w:eastAsia="仿宋"/>
          <w:sz w:val="32"/>
          <w:szCs w:val="32"/>
        </w:rPr>
        <w:t>万元、印刷费</w:t>
      </w:r>
      <w:r>
        <w:rPr>
          <w:rFonts w:hint="eastAsia" w:ascii="仿宋" w:hAnsi="仿宋" w:eastAsia="仿宋"/>
          <w:sz w:val="32"/>
          <w:szCs w:val="32"/>
          <w:lang w:val="en-US" w:eastAsia="zh-CN"/>
        </w:rPr>
        <w:t>36.77</w:t>
      </w:r>
      <w:r>
        <w:rPr>
          <w:rFonts w:hint="eastAsia" w:ascii="仿宋" w:hAnsi="仿宋" w:eastAsia="仿宋"/>
          <w:sz w:val="32"/>
          <w:szCs w:val="32"/>
        </w:rPr>
        <w:t>万元、手续费0万元、水费</w:t>
      </w:r>
      <w:r>
        <w:rPr>
          <w:rFonts w:hint="eastAsia" w:ascii="仿宋" w:hAnsi="仿宋" w:eastAsia="仿宋"/>
          <w:sz w:val="32"/>
          <w:szCs w:val="32"/>
          <w:lang w:val="en-US" w:eastAsia="zh-CN"/>
        </w:rPr>
        <w:t>2.02</w:t>
      </w:r>
      <w:r>
        <w:rPr>
          <w:rFonts w:hint="eastAsia" w:ascii="仿宋" w:hAnsi="仿宋" w:eastAsia="仿宋"/>
          <w:sz w:val="32"/>
          <w:szCs w:val="32"/>
        </w:rPr>
        <w:t>万元、电费</w:t>
      </w:r>
      <w:r>
        <w:rPr>
          <w:rFonts w:hint="eastAsia" w:ascii="仿宋" w:hAnsi="仿宋" w:eastAsia="仿宋"/>
          <w:sz w:val="32"/>
          <w:szCs w:val="32"/>
          <w:lang w:val="en-US" w:eastAsia="zh-CN"/>
        </w:rPr>
        <w:t>63.84</w:t>
      </w:r>
      <w:r>
        <w:rPr>
          <w:rFonts w:hint="eastAsia" w:ascii="仿宋" w:hAnsi="仿宋" w:eastAsia="仿宋"/>
          <w:sz w:val="32"/>
          <w:szCs w:val="32"/>
        </w:rPr>
        <w:t>万元、邮电费</w:t>
      </w:r>
      <w:r>
        <w:rPr>
          <w:rFonts w:hint="eastAsia" w:ascii="仿宋" w:hAnsi="仿宋" w:eastAsia="仿宋"/>
          <w:sz w:val="32"/>
          <w:szCs w:val="32"/>
          <w:lang w:val="en-US" w:eastAsia="zh-CN"/>
        </w:rPr>
        <w:t>0.94</w:t>
      </w:r>
      <w:r>
        <w:rPr>
          <w:rFonts w:hint="eastAsia" w:ascii="仿宋" w:hAnsi="仿宋" w:eastAsia="仿宋"/>
          <w:sz w:val="32"/>
          <w:szCs w:val="32"/>
        </w:rPr>
        <w:t>万元、取暖费</w:t>
      </w:r>
      <w:r>
        <w:rPr>
          <w:rFonts w:hint="eastAsia" w:ascii="仿宋" w:hAnsi="仿宋" w:eastAsia="仿宋"/>
          <w:sz w:val="32"/>
          <w:szCs w:val="32"/>
          <w:lang w:val="en-US" w:eastAsia="zh-CN"/>
        </w:rPr>
        <w:t>38.76</w:t>
      </w:r>
      <w:r>
        <w:rPr>
          <w:rFonts w:hint="eastAsia" w:ascii="仿宋" w:hAnsi="仿宋" w:eastAsia="仿宋"/>
          <w:sz w:val="32"/>
          <w:szCs w:val="32"/>
        </w:rPr>
        <w:t>万元、物业管理费0万元、差旅费</w:t>
      </w:r>
      <w:r>
        <w:rPr>
          <w:rFonts w:hint="eastAsia" w:ascii="仿宋" w:hAnsi="仿宋" w:eastAsia="仿宋"/>
          <w:sz w:val="32"/>
          <w:szCs w:val="32"/>
          <w:lang w:val="en-US" w:eastAsia="zh-CN"/>
        </w:rPr>
        <w:t>271.8</w:t>
      </w:r>
      <w:r>
        <w:rPr>
          <w:rFonts w:hint="eastAsia" w:ascii="仿宋" w:hAnsi="仿宋" w:eastAsia="仿宋"/>
          <w:sz w:val="32"/>
          <w:szCs w:val="32"/>
        </w:rPr>
        <w:t>万元、因公出国（境）费用0万元、维修（护）费</w:t>
      </w:r>
      <w:r>
        <w:rPr>
          <w:rFonts w:hint="eastAsia" w:ascii="仿宋" w:hAnsi="仿宋" w:eastAsia="仿宋"/>
          <w:sz w:val="32"/>
          <w:szCs w:val="32"/>
          <w:lang w:val="en-US" w:eastAsia="zh-CN"/>
        </w:rPr>
        <w:t>91.53</w:t>
      </w:r>
      <w:r>
        <w:rPr>
          <w:rFonts w:hint="eastAsia" w:ascii="仿宋" w:hAnsi="仿宋" w:eastAsia="仿宋"/>
          <w:sz w:val="32"/>
          <w:szCs w:val="32"/>
        </w:rPr>
        <w:t>万元、租赁费</w:t>
      </w:r>
      <w:r>
        <w:rPr>
          <w:rFonts w:hint="eastAsia" w:ascii="仿宋" w:hAnsi="仿宋" w:eastAsia="仿宋"/>
          <w:sz w:val="32"/>
          <w:szCs w:val="32"/>
          <w:lang w:val="en-US" w:eastAsia="zh-CN"/>
        </w:rPr>
        <w:t>141.9</w:t>
      </w:r>
      <w:r>
        <w:rPr>
          <w:rFonts w:hint="eastAsia" w:ascii="仿宋" w:hAnsi="仿宋" w:eastAsia="仿宋"/>
          <w:sz w:val="32"/>
          <w:szCs w:val="32"/>
        </w:rPr>
        <w:t>万元、会议费</w:t>
      </w:r>
      <w:r>
        <w:rPr>
          <w:rFonts w:hint="eastAsia" w:ascii="仿宋" w:hAnsi="仿宋" w:eastAsia="仿宋"/>
          <w:sz w:val="32"/>
          <w:szCs w:val="32"/>
          <w:lang w:val="en-US" w:eastAsia="zh-CN"/>
        </w:rPr>
        <w:t>0</w:t>
      </w:r>
      <w:r>
        <w:rPr>
          <w:rFonts w:hint="eastAsia" w:ascii="仿宋" w:hAnsi="仿宋" w:eastAsia="仿宋"/>
          <w:sz w:val="32"/>
          <w:szCs w:val="32"/>
        </w:rPr>
        <w:t>万元、培训费</w:t>
      </w:r>
      <w:r>
        <w:rPr>
          <w:rFonts w:hint="eastAsia" w:ascii="仿宋" w:hAnsi="仿宋" w:eastAsia="仿宋"/>
          <w:sz w:val="32"/>
          <w:szCs w:val="32"/>
          <w:lang w:val="en-US" w:eastAsia="zh-CN"/>
        </w:rPr>
        <w:t>1.96</w:t>
      </w:r>
      <w:r>
        <w:rPr>
          <w:rFonts w:hint="eastAsia" w:ascii="仿宋" w:hAnsi="仿宋" w:eastAsia="仿宋"/>
          <w:sz w:val="32"/>
          <w:szCs w:val="32"/>
        </w:rPr>
        <w:t>万元、公务接待费0</w:t>
      </w:r>
      <w:r>
        <w:rPr>
          <w:rFonts w:hint="eastAsia" w:ascii="仿宋" w:hAnsi="仿宋" w:eastAsia="仿宋"/>
          <w:sz w:val="32"/>
          <w:szCs w:val="32"/>
          <w:lang w:val="en-US" w:eastAsia="zh-CN"/>
        </w:rPr>
        <w:t>.1</w:t>
      </w:r>
      <w:r>
        <w:rPr>
          <w:rFonts w:hint="eastAsia" w:ascii="仿宋" w:hAnsi="仿宋" w:eastAsia="仿宋"/>
          <w:sz w:val="32"/>
          <w:szCs w:val="32"/>
        </w:rPr>
        <w:t>万元、劳务费</w:t>
      </w:r>
      <w:r>
        <w:rPr>
          <w:rFonts w:hint="eastAsia" w:ascii="仿宋" w:hAnsi="仿宋" w:eastAsia="仿宋"/>
          <w:sz w:val="32"/>
          <w:szCs w:val="32"/>
          <w:lang w:val="en-US" w:eastAsia="zh-CN"/>
        </w:rPr>
        <w:t>23.71</w:t>
      </w:r>
      <w:r>
        <w:rPr>
          <w:rFonts w:hint="eastAsia" w:ascii="仿宋" w:hAnsi="仿宋" w:eastAsia="仿宋"/>
          <w:sz w:val="32"/>
          <w:szCs w:val="32"/>
        </w:rPr>
        <w:t>万元、委托业务费</w:t>
      </w:r>
      <w:r>
        <w:rPr>
          <w:rFonts w:hint="eastAsia" w:ascii="仿宋" w:hAnsi="仿宋" w:eastAsia="仿宋"/>
          <w:sz w:val="32"/>
          <w:szCs w:val="32"/>
          <w:lang w:val="en-US" w:eastAsia="zh-CN"/>
        </w:rPr>
        <w:t>208.36</w:t>
      </w:r>
      <w:r>
        <w:rPr>
          <w:rFonts w:hint="eastAsia" w:ascii="仿宋" w:hAnsi="仿宋" w:eastAsia="仿宋"/>
          <w:sz w:val="32"/>
          <w:szCs w:val="32"/>
        </w:rPr>
        <w:t>万元、工会经费</w:t>
      </w:r>
      <w:r>
        <w:rPr>
          <w:rFonts w:hint="eastAsia" w:ascii="仿宋" w:hAnsi="仿宋" w:eastAsia="仿宋"/>
          <w:sz w:val="32"/>
          <w:szCs w:val="32"/>
          <w:lang w:val="en-US" w:eastAsia="zh-CN"/>
        </w:rPr>
        <w:t>39.39</w:t>
      </w:r>
      <w:r>
        <w:rPr>
          <w:rFonts w:hint="eastAsia" w:ascii="仿宋" w:hAnsi="仿宋" w:eastAsia="仿宋"/>
          <w:sz w:val="32"/>
          <w:szCs w:val="32"/>
        </w:rPr>
        <w:t>万元、福利费</w:t>
      </w:r>
      <w:r>
        <w:rPr>
          <w:rFonts w:hint="eastAsia" w:ascii="仿宋" w:hAnsi="仿宋" w:eastAsia="仿宋"/>
          <w:sz w:val="32"/>
          <w:szCs w:val="32"/>
          <w:lang w:val="en-US" w:eastAsia="zh-CN"/>
        </w:rPr>
        <w:t>111.23</w:t>
      </w:r>
      <w:r>
        <w:rPr>
          <w:rFonts w:hint="eastAsia" w:ascii="仿宋" w:hAnsi="仿宋" w:eastAsia="仿宋"/>
          <w:sz w:val="32"/>
          <w:szCs w:val="32"/>
        </w:rPr>
        <w:t>万元、公务用车运行维护费</w:t>
      </w:r>
      <w:r>
        <w:rPr>
          <w:rFonts w:hint="eastAsia" w:ascii="仿宋" w:hAnsi="仿宋" w:eastAsia="仿宋"/>
          <w:sz w:val="32"/>
          <w:szCs w:val="32"/>
          <w:lang w:val="en-US" w:eastAsia="zh-CN"/>
        </w:rPr>
        <w:t>182.4</w:t>
      </w:r>
      <w:r>
        <w:rPr>
          <w:rFonts w:hint="eastAsia" w:ascii="仿宋" w:hAnsi="仿宋" w:eastAsia="仿宋"/>
          <w:sz w:val="32"/>
          <w:szCs w:val="32"/>
        </w:rPr>
        <w:t>万元、其他交通费</w:t>
      </w:r>
      <w:r>
        <w:rPr>
          <w:rFonts w:hint="eastAsia" w:ascii="仿宋" w:hAnsi="仿宋" w:eastAsia="仿宋"/>
          <w:sz w:val="32"/>
          <w:szCs w:val="32"/>
          <w:lang w:val="en-US" w:eastAsia="zh-CN"/>
        </w:rPr>
        <w:t>3.14</w:t>
      </w:r>
      <w:r>
        <w:rPr>
          <w:rFonts w:hint="eastAsia" w:ascii="仿宋" w:hAnsi="仿宋" w:eastAsia="仿宋"/>
          <w:sz w:val="32"/>
          <w:szCs w:val="32"/>
        </w:rPr>
        <w:t>万元、税金及附加费用0万元、其他商品和服务支出</w:t>
      </w:r>
      <w:r>
        <w:rPr>
          <w:rFonts w:hint="eastAsia" w:ascii="仿宋" w:hAnsi="仿宋" w:eastAsia="仿宋"/>
          <w:sz w:val="32"/>
          <w:szCs w:val="32"/>
          <w:lang w:val="en-US" w:eastAsia="zh-CN"/>
        </w:rPr>
        <w:t>105.29</w:t>
      </w:r>
      <w:r>
        <w:rPr>
          <w:rFonts w:hint="eastAsia" w:ascii="仿宋" w:hAnsi="仿宋" w:eastAsia="仿宋"/>
          <w:sz w:val="32"/>
          <w:szCs w:val="32"/>
        </w:rPr>
        <w:t>万元、办公设备购置</w:t>
      </w:r>
      <w:r>
        <w:rPr>
          <w:rFonts w:hint="eastAsia" w:ascii="仿宋" w:hAnsi="仿宋" w:eastAsia="仿宋"/>
          <w:sz w:val="32"/>
          <w:szCs w:val="32"/>
          <w:lang w:val="en-US" w:eastAsia="zh-CN"/>
        </w:rPr>
        <w:t>31.46</w:t>
      </w:r>
      <w:r>
        <w:rPr>
          <w:rFonts w:hint="eastAsia" w:ascii="仿宋" w:hAnsi="仿宋" w:eastAsia="仿宋"/>
          <w:sz w:val="32"/>
          <w:szCs w:val="32"/>
        </w:rPr>
        <w:t>万元、专用设备购置</w:t>
      </w:r>
      <w:r>
        <w:rPr>
          <w:rFonts w:hint="eastAsia" w:ascii="仿宋" w:hAnsi="仿宋" w:eastAsia="仿宋"/>
          <w:sz w:val="32"/>
          <w:szCs w:val="32"/>
          <w:lang w:val="en-US" w:eastAsia="zh-CN"/>
        </w:rPr>
        <w:t>254.25</w:t>
      </w:r>
      <w:r>
        <w:rPr>
          <w:rFonts w:hint="eastAsia" w:ascii="仿宋" w:hAnsi="仿宋" w:eastAsia="仿宋"/>
          <w:sz w:val="32"/>
          <w:szCs w:val="32"/>
        </w:rPr>
        <w:t>万元、信息网络及软件购置更新0万元、其他资本性支出等。</w:t>
      </w:r>
    </w:p>
    <w:p>
      <w:pPr>
        <w:spacing w:line="600" w:lineRule="exact"/>
        <w:ind w:firstLine="640"/>
        <w:outlineLvl w:val="1"/>
        <w:rPr>
          <w:rStyle w:val="30"/>
          <w:rFonts w:hint="eastAsia" w:ascii="黑体" w:hAnsi="黑体" w:eastAsia="黑体"/>
          <w:b w:val="0"/>
        </w:rPr>
      </w:pPr>
      <w:bookmarkStart w:id="64" w:name="_Toc15396609"/>
      <w:bookmarkStart w:id="65" w:name="_Toc15377215"/>
      <w:bookmarkStart w:id="66" w:name="_Toc30415"/>
      <w:bookmarkStart w:id="67" w:name="_Toc3923"/>
      <w:r>
        <w:rPr>
          <w:rFonts w:hint="eastAsia" w:ascii="黑体" w:eastAsia="黑体"/>
          <w:sz w:val="32"/>
          <w:szCs w:val="32"/>
        </w:rPr>
        <w:t>七、</w:t>
      </w:r>
      <w:r>
        <w:rPr>
          <w:rStyle w:val="30"/>
          <w:rFonts w:hint="eastAsia" w:ascii="黑体" w:hAnsi="黑体" w:eastAsia="黑体"/>
          <w:b w:val="0"/>
        </w:rPr>
        <w:t>财政拨款</w:t>
      </w:r>
      <w:r>
        <w:rPr>
          <w:rStyle w:val="30"/>
          <w:rFonts w:hint="eastAsia" w:ascii="黑体" w:hAnsi="黑体" w:eastAsia="黑体"/>
        </w:rPr>
        <w:t>“</w:t>
      </w:r>
      <w:r>
        <w:rPr>
          <w:rStyle w:val="30"/>
          <w:rFonts w:hint="eastAsia" w:ascii="黑体" w:hAnsi="黑体" w:eastAsia="黑体"/>
          <w:b w:val="0"/>
        </w:rPr>
        <w:t>三公”经费支出决算情况说明</w:t>
      </w:r>
      <w:bookmarkEnd w:id="64"/>
      <w:bookmarkEnd w:id="65"/>
      <w:bookmarkEnd w:id="66"/>
      <w:bookmarkEnd w:id="67"/>
    </w:p>
    <w:p>
      <w:pPr>
        <w:spacing w:line="600" w:lineRule="exact"/>
        <w:ind w:firstLine="640"/>
        <w:outlineLvl w:val="2"/>
        <w:rPr>
          <w:rFonts w:hint="eastAsia" w:ascii="仿宋" w:hAnsi="仿宋" w:eastAsia="仿宋"/>
          <w:b/>
          <w:sz w:val="32"/>
          <w:szCs w:val="32"/>
        </w:rPr>
      </w:pPr>
      <w:bookmarkStart w:id="68" w:name="_Toc15377216"/>
      <w:r>
        <w:rPr>
          <w:rFonts w:hint="eastAsia" w:ascii="仿宋" w:hAnsi="仿宋" w:eastAsia="仿宋"/>
          <w:b/>
          <w:sz w:val="32"/>
          <w:szCs w:val="32"/>
        </w:rPr>
        <w:t>（一）“三公”经费财政拨款支出决算总体情况说明</w:t>
      </w:r>
      <w:bookmarkEnd w:id="68"/>
    </w:p>
    <w:p>
      <w:pPr>
        <w:spacing w:line="600" w:lineRule="exact"/>
        <w:ind w:firstLine="640"/>
        <w:rPr>
          <w:rFonts w:hint="default" w:ascii="仿宋" w:hAnsi="仿宋" w:eastAsia="仿宋"/>
          <w:b/>
          <w:sz w:val="32"/>
          <w:szCs w:val="32"/>
          <w:lang w:val="en-US" w:eastAsia="zh-CN"/>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年度“三公”经费财政拨款支出决算为</w:t>
      </w:r>
      <w:r>
        <w:rPr>
          <w:rFonts w:hint="eastAsia" w:eastAsia="仿宋"/>
          <w:sz w:val="32"/>
          <w:szCs w:val="32"/>
          <w:lang w:val="en-US" w:eastAsia="zh-CN"/>
        </w:rPr>
        <w:t>324</w:t>
      </w:r>
      <w:r>
        <w:rPr>
          <w:rFonts w:hint="eastAsia" w:ascii="仿宋" w:hAnsi="仿宋" w:eastAsia="仿宋"/>
          <w:sz w:val="32"/>
          <w:szCs w:val="32"/>
        </w:rPr>
        <w:t>万元，完成预算</w:t>
      </w:r>
      <w:r>
        <w:rPr>
          <w:rFonts w:hint="eastAsia"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，较上年度增加</w:t>
      </w:r>
      <w:r>
        <w:rPr>
          <w:rFonts w:hint="eastAsia" w:ascii="仿宋" w:hAnsi="仿宋" w:eastAsia="仿宋"/>
          <w:sz w:val="32"/>
          <w:szCs w:val="32"/>
          <w:lang w:val="en-US" w:eastAsia="zh-CN"/>
        </w:rPr>
        <w:t>115.78</w:t>
      </w:r>
      <w:r>
        <w:rPr>
          <w:rFonts w:hint="eastAsia" w:ascii="仿宋" w:hAnsi="仿宋" w:eastAsia="仿宋"/>
          <w:sz w:val="32"/>
          <w:szCs w:val="32"/>
        </w:rPr>
        <w:t>万元，增长</w:t>
      </w:r>
      <w:r>
        <w:rPr>
          <w:rFonts w:hint="eastAsia" w:ascii="仿宋" w:hAnsi="仿宋" w:eastAsia="仿宋"/>
          <w:sz w:val="32"/>
          <w:szCs w:val="32"/>
          <w:lang w:val="en-US" w:eastAsia="zh-CN"/>
        </w:rPr>
        <w:t>55.63</w:t>
      </w:r>
      <w:r>
        <w:rPr>
          <w:rFonts w:hint="eastAsia" w:ascii="仿宋" w:hAnsi="仿宋" w:eastAsia="仿宋"/>
          <w:sz w:val="32"/>
          <w:szCs w:val="32"/>
        </w:rPr>
        <w:t>%。决算数小于预算数（或与预算数持平）的主要原因是</w:t>
      </w:r>
      <w:r>
        <w:rPr>
          <w:rFonts w:hint="eastAsia" w:ascii="仿宋" w:hAnsi="仿宋" w:eastAsia="仿宋"/>
          <w:sz w:val="32"/>
          <w:szCs w:val="32"/>
          <w:lang w:val="en-US" w:eastAsia="zh-CN"/>
        </w:rPr>
        <w:t>新购公务用车。</w:t>
      </w:r>
    </w:p>
    <w:p>
      <w:pPr>
        <w:spacing w:line="600" w:lineRule="exact"/>
        <w:ind w:firstLine="640"/>
        <w:outlineLvl w:val="2"/>
        <w:rPr>
          <w:rFonts w:hint="eastAsia" w:ascii="仿宋" w:hAnsi="仿宋" w:eastAsia="仿宋"/>
          <w:b/>
          <w:sz w:val="32"/>
          <w:szCs w:val="32"/>
        </w:rPr>
      </w:pPr>
      <w:bookmarkStart w:id="69" w:name="_Toc15377217"/>
      <w:r>
        <w:rPr>
          <w:rFonts w:hint="eastAsia" w:ascii="仿宋" w:hAnsi="仿宋" w:eastAsia="仿宋"/>
          <w:b/>
          <w:sz w:val="32"/>
          <w:szCs w:val="32"/>
        </w:rPr>
        <w:t>（二）“三公”经费财政拨款支出决算具体情况说明</w:t>
      </w:r>
      <w:bookmarkEnd w:id="69"/>
    </w:p>
    <w:p>
      <w:pPr>
        <w:spacing w:line="600" w:lineRule="exact"/>
        <w:ind w:firstLine="640"/>
        <w:rPr>
          <w:rFonts w:hint="eastAsia"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年度“三公”经费财政拨款支出决算中，因公出国（境）费支出决算</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hint="eastAsia" w:eastAsia="仿宋"/>
          <w:sz w:val="32"/>
          <w:szCs w:val="32"/>
          <w:lang w:val="en-US" w:eastAsia="zh-CN"/>
        </w:rPr>
        <w:t>323.9</w:t>
      </w:r>
      <w:r>
        <w:rPr>
          <w:rFonts w:hint="eastAsia" w:ascii="仿宋" w:hAnsi="仿宋" w:eastAsia="仿宋"/>
          <w:sz w:val="32"/>
          <w:szCs w:val="32"/>
        </w:rPr>
        <w:t>万元，占</w:t>
      </w:r>
      <w:r>
        <w:rPr>
          <w:rFonts w:hint="eastAsia" w:eastAsia="仿宋"/>
          <w:sz w:val="32"/>
          <w:szCs w:val="32"/>
          <w:lang w:val="en-US" w:eastAsia="zh-CN"/>
        </w:rPr>
        <w:t>99.97</w:t>
      </w:r>
      <w:r>
        <w:rPr>
          <w:rFonts w:ascii="仿宋" w:hAnsi="仿宋" w:eastAsia="仿宋"/>
          <w:sz w:val="32"/>
          <w:szCs w:val="32"/>
        </w:rPr>
        <w:t>%</w:t>
      </w:r>
      <w:r>
        <w:rPr>
          <w:rFonts w:hint="eastAsia" w:ascii="仿宋" w:hAnsi="仿宋" w:eastAsia="仿宋"/>
          <w:sz w:val="32"/>
          <w:szCs w:val="32"/>
        </w:rPr>
        <w:t>；公务接待费支出决算</w:t>
      </w:r>
      <w:r>
        <w:rPr>
          <w:rFonts w:hint="eastAsia" w:eastAsia="仿宋"/>
          <w:sz w:val="32"/>
          <w:szCs w:val="32"/>
          <w:lang w:val="en-US" w:eastAsia="zh-CN"/>
        </w:rPr>
        <w:t>0.1</w:t>
      </w:r>
      <w:r>
        <w:rPr>
          <w:rFonts w:hint="eastAsia" w:ascii="仿宋" w:hAnsi="仿宋" w:eastAsia="仿宋"/>
          <w:sz w:val="32"/>
          <w:szCs w:val="32"/>
        </w:rPr>
        <w:t>万元，占</w:t>
      </w:r>
      <w:r>
        <w:rPr>
          <w:rFonts w:hint="eastAsia" w:eastAsia="仿宋"/>
          <w:sz w:val="32"/>
          <w:szCs w:val="32"/>
          <w:lang w:val="en-US" w:eastAsia="zh-CN"/>
        </w:rPr>
        <w:t>0.03</w:t>
      </w:r>
      <w:r>
        <w:rPr>
          <w:rFonts w:ascii="仿宋" w:hAnsi="仿宋" w:eastAsia="仿宋"/>
          <w:sz w:val="32"/>
          <w:szCs w:val="32"/>
        </w:rPr>
        <w:t>%</w:t>
      </w:r>
      <w:r>
        <w:rPr>
          <w:rFonts w:hint="eastAsia" w:ascii="仿宋" w:hAnsi="仿宋" w:eastAsia="仿宋"/>
          <w:sz w:val="32"/>
          <w:szCs w:val="32"/>
        </w:rPr>
        <w:t>。具体情况如下：</w:t>
      </w:r>
    </w:p>
    <w:p>
      <w:pPr>
        <w:spacing w:line="600" w:lineRule="exact"/>
        <w:ind w:firstLine="640"/>
        <w:rPr>
          <w:rFonts w:hint="eastAsia" w:ascii="仿宋" w:hAnsi="仿宋" w:eastAsia="仿宋"/>
          <w:sz w:val="32"/>
          <w:szCs w:val="32"/>
        </w:rPr>
      </w:pPr>
      <w:r>
        <w:rPr>
          <w:rFonts w:hint="eastAsia" w:ascii="仿宋" w:hAnsi="仿宋" w:eastAsia="仿宋"/>
          <w:sz w:val="32"/>
          <w:szCs w:val="32"/>
        </w:rPr>
        <w:t>（图7：“三公”经费财政拨款支出结构）（饼状图）</w:t>
      </w:r>
    </w:p>
    <w:p>
      <w:pPr>
        <w:pStyle w:val="20"/>
        <w:outlineLvl w:val="9"/>
        <w:rPr>
          <w:rFonts w:eastAsia="仿宋"/>
        </w:rPr>
      </w:pPr>
      <w:r>
        <w:rPr>
          <w:rFonts w:hint="eastAsia" w:eastAsia="仿宋"/>
        </w:rPr>
        <w:drawing>
          <wp:inline distT="0" distB="0" distL="114300" distR="114300">
            <wp:extent cx="2346960" cy="2346325"/>
            <wp:effectExtent l="4445" t="4445" r="10795" b="1143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sz w:val="32"/>
          <w:szCs w:val="32"/>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sz w:val="32"/>
          <w:szCs w:val="32"/>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全年安排因公出国（境）团组</w:t>
      </w:r>
      <w:r>
        <w:rPr>
          <w:sz w:val="32"/>
          <w:szCs w:val="32"/>
        </w:rPr>
        <w:t>0</w:t>
      </w:r>
      <w:r>
        <w:rPr>
          <w:rFonts w:hint="eastAsia" w:ascii="仿宋_GB2312" w:eastAsia="仿宋_GB2312"/>
          <w:sz w:val="32"/>
          <w:szCs w:val="32"/>
        </w:rPr>
        <w:t>次，出国（境）</w:t>
      </w:r>
      <w:r>
        <w:rPr>
          <w:sz w:val="32"/>
          <w:szCs w:val="32"/>
        </w:rPr>
        <w:t>0</w:t>
      </w:r>
      <w:r>
        <w:rPr>
          <w:rFonts w:hint="eastAsia" w:ascii="仿宋_GB2312" w:eastAsia="仿宋_GB2312"/>
          <w:sz w:val="32"/>
          <w:szCs w:val="32"/>
        </w:rPr>
        <w:t>人。因公出国（境）支出决算比202</w:t>
      </w:r>
      <w:r>
        <w:rPr>
          <w:rFonts w:hint="eastAsia" w:ascii="仿宋_GB2312" w:eastAsia="仿宋_GB2312"/>
          <w:sz w:val="32"/>
          <w:szCs w:val="32"/>
          <w:lang w:val="en-US" w:eastAsia="zh-CN"/>
        </w:rPr>
        <w:t>3</w:t>
      </w:r>
      <w:r>
        <w:rPr>
          <w:rFonts w:hint="eastAsia" w:ascii="仿宋_GB2312" w:eastAsia="仿宋_GB2312"/>
          <w:sz w:val="32"/>
          <w:szCs w:val="32"/>
        </w:rPr>
        <w:t>年增加</w:t>
      </w:r>
      <w:r>
        <w:rPr>
          <w:rFonts w:ascii="仿宋_GB2312" w:eastAsia="仿宋_GB2312"/>
          <w:sz w:val="32"/>
          <w:szCs w:val="32"/>
        </w:rPr>
        <w:t>/</w:t>
      </w:r>
      <w:r>
        <w:rPr>
          <w:rFonts w:hint="eastAsia" w:ascii="仿宋_GB2312" w:eastAsia="仿宋_GB2312"/>
          <w:sz w:val="32"/>
          <w:szCs w:val="32"/>
        </w:rPr>
        <w:t>减少0万元，增长</w:t>
      </w:r>
      <w:r>
        <w:rPr>
          <w:rFonts w:ascii="仿宋_GB2312" w:eastAsia="仿宋_GB2312"/>
          <w:sz w:val="32"/>
          <w:szCs w:val="32"/>
        </w:rPr>
        <w:t>/</w:t>
      </w:r>
      <w:r>
        <w:rPr>
          <w:rFonts w:hint="eastAsia" w:ascii="仿宋_GB2312" w:eastAsia="仿宋_GB2312"/>
          <w:sz w:val="32"/>
          <w:szCs w:val="32"/>
        </w:rPr>
        <w:t>下降0</w:t>
      </w:r>
      <w:r>
        <w:rPr>
          <w:rFonts w:ascii="仿宋_GB2312" w:eastAsia="仿宋_GB2312"/>
          <w:sz w:val="32"/>
          <w:szCs w:val="32"/>
        </w:rPr>
        <w:t>%</w:t>
      </w:r>
      <w:r>
        <w:rPr>
          <w:rFonts w:hint="eastAsia" w:ascii="仿宋_GB2312" w:eastAsia="仿宋_GB2312"/>
          <w:sz w:val="32"/>
          <w:szCs w:val="32"/>
        </w:rPr>
        <w:t>。</w:t>
      </w:r>
    </w:p>
    <w:p>
      <w:pPr>
        <w:spacing w:line="600" w:lineRule="exact"/>
        <w:ind w:firstLine="640"/>
        <w:rPr>
          <w:rFonts w:hint="default" w:ascii="仿宋_GB2312" w:eastAsia="仿宋_GB2312"/>
          <w:b/>
          <w:sz w:val="32"/>
          <w:szCs w:val="32"/>
          <w:lang w:val="en-US" w:eastAsia="zh-CN"/>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eastAsia="仿宋_GB2312"/>
          <w:sz w:val="32"/>
          <w:szCs w:val="32"/>
          <w:lang w:val="en-US" w:eastAsia="zh-CN"/>
        </w:rPr>
        <w:t>323.9</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Fonts w:hint="eastAsia" w:eastAsia="仿宋"/>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公务用车购置及运行维护费支出决算比202</w:t>
      </w:r>
      <w:r>
        <w:rPr>
          <w:rFonts w:hint="eastAsia" w:ascii="仿宋_GB2312" w:eastAsia="仿宋_GB2312"/>
          <w:sz w:val="32"/>
          <w:szCs w:val="32"/>
          <w:lang w:val="en-US" w:eastAsia="zh-CN"/>
        </w:rPr>
        <w:t>4</w:t>
      </w:r>
      <w:r>
        <w:rPr>
          <w:rFonts w:hint="eastAsia" w:ascii="仿宋_GB2312" w:eastAsia="仿宋_GB2312"/>
          <w:sz w:val="32"/>
          <w:szCs w:val="32"/>
        </w:rPr>
        <w:t>年度增加</w:t>
      </w:r>
      <w:r>
        <w:rPr>
          <w:rFonts w:hint="eastAsia" w:ascii="仿宋_GB2312" w:eastAsia="仿宋_GB2312"/>
          <w:sz w:val="32"/>
          <w:szCs w:val="32"/>
          <w:lang w:val="en-US" w:eastAsia="zh-CN"/>
        </w:rPr>
        <w:t>115.78</w:t>
      </w:r>
      <w:r>
        <w:rPr>
          <w:rFonts w:hint="eastAsia" w:ascii="仿宋_GB2312" w:eastAsia="仿宋_GB2312"/>
          <w:sz w:val="32"/>
          <w:szCs w:val="32"/>
        </w:rPr>
        <w:t>万元，增长</w:t>
      </w:r>
      <w:r>
        <w:rPr>
          <w:rFonts w:hint="eastAsia" w:ascii="仿宋_GB2312" w:eastAsia="仿宋_GB2312"/>
          <w:sz w:val="32"/>
          <w:szCs w:val="32"/>
          <w:lang w:val="en-US" w:eastAsia="zh-CN"/>
        </w:rPr>
        <w:t>55.63</w:t>
      </w:r>
      <w:r>
        <w:rPr>
          <w:rFonts w:ascii="仿宋_GB2312" w:eastAsia="仿宋_GB2312"/>
          <w:sz w:val="32"/>
          <w:szCs w:val="32"/>
        </w:rPr>
        <w:t>%</w:t>
      </w:r>
      <w:r>
        <w:rPr>
          <w:rFonts w:hint="eastAsia" w:ascii="仿宋_GB2312" w:eastAsia="仿宋_GB2312"/>
          <w:sz w:val="32"/>
          <w:szCs w:val="32"/>
        </w:rPr>
        <w:t>。主要原因是</w:t>
      </w:r>
      <w:r>
        <w:rPr>
          <w:rFonts w:hint="eastAsia" w:ascii="仿宋" w:hAnsi="仿宋" w:eastAsia="仿宋"/>
          <w:sz w:val="32"/>
          <w:szCs w:val="32"/>
          <w:lang w:val="en-US" w:eastAsia="zh-CN"/>
        </w:rPr>
        <w:t>新购公务用车</w:t>
      </w:r>
    </w:p>
    <w:p>
      <w:pPr>
        <w:spacing w:line="600" w:lineRule="exact"/>
        <w:ind w:firstLine="640" w:firstLineChars="200"/>
        <w:rPr>
          <w:rFonts w:ascii="仿宋_GB2312" w:eastAsia="仿宋_GB2312"/>
          <w:b/>
          <w:sz w:val="32"/>
          <w:szCs w:val="32"/>
          <w:highlight w:val="none"/>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eastAsia="仿宋_GB2312"/>
          <w:sz w:val="32"/>
          <w:szCs w:val="32"/>
          <w:lang w:val="en-US" w:eastAsia="zh-CN"/>
        </w:rPr>
        <w:t>141.5</w:t>
      </w:r>
      <w:r>
        <w:rPr>
          <w:rFonts w:hint="eastAsia" w:ascii="仿宋_GB2312" w:eastAsia="仿宋_GB2312"/>
          <w:sz w:val="32"/>
          <w:szCs w:val="32"/>
        </w:rPr>
        <w:t>元。全年按规定更新购置</w:t>
      </w:r>
      <w:r>
        <w:rPr>
          <w:rFonts w:hint="eastAsia" w:ascii="仿宋_GB2312" w:eastAsia="仿宋_GB2312"/>
          <w:sz w:val="32"/>
          <w:szCs w:val="32"/>
          <w:highlight w:val="none"/>
        </w:rPr>
        <w:t>公务用车0辆，其中：轿车0辆、金额0万元，越野车0辆、金额0万元，载客汽车0辆、金额0万元。截至202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w:t>
      </w:r>
      <w:r>
        <w:rPr>
          <w:rFonts w:ascii="仿宋_GB2312" w:eastAsia="仿宋_GB2312"/>
          <w:sz w:val="32"/>
          <w:szCs w:val="32"/>
          <w:highlight w:val="none"/>
        </w:rPr>
        <w:t>12</w:t>
      </w:r>
      <w:r>
        <w:rPr>
          <w:rFonts w:hint="eastAsia" w:ascii="仿宋_GB2312" w:eastAsia="仿宋_GB2312"/>
          <w:sz w:val="32"/>
          <w:szCs w:val="32"/>
          <w:highlight w:val="none"/>
        </w:rPr>
        <w:t>月31日，单位共有公务用车60辆，其中：轿车36辆、越野车17辆、小型客车5辆、中型客车和大型客车1辆、其他车型1辆。</w:t>
      </w:r>
    </w:p>
    <w:p>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eastAsia="仿宋_GB2312"/>
          <w:sz w:val="32"/>
          <w:szCs w:val="32"/>
          <w:lang w:val="en-US" w:eastAsia="zh-CN"/>
        </w:rPr>
        <w:t>182.4</w:t>
      </w:r>
      <w:r>
        <w:rPr>
          <w:rFonts w:hint="eastAsia" w:ascii="仿宋_GB2312" w:eastAsia="仿宋_GB2312"/>
          <w:sz w:val="32"/>
          <w:szCs w:val="32"/>
        </w:rPr>
        <w:t>万元。主要用于燃料费、维修费等支出。（具体工作）等所需的公务用车燃料费、维修费、过路过桥费、保险费等支出。</w:t>
      </w:r>
    </w:p>
    <w:p>
      <w:pPr>
        <w:spacing w:line="600" w:lineRule="exact"/>
        <w:ind w:firstLine="640"/>
        <w:rPr>
          <w:rFonts w:hint="default" w:ascii="仿宋_GB2312" w:eastAsia="仿宋_GB2312"/>
          <w:sz w:val="32"/>
          <w:szCs w:val="32"/>
          <w:lang w:val="en-US"/>
        </w:rPr>
      </w:pPr>
      <w:r>
        <w:rPr>
          <w:rFonts w:ascii="仿宋_GB2312" w:eastAsia="仿宋_GB2312"/>
          <w:b/>
          <w:sz w:val="32"/>
          <w:szCs w:val="32"/>
        </w:rPr>
        <w:t>3.</w:t>
      </w:r>
      <w:r>
        <w:rPr>
          <w:rFonts w:hint="eastAsia" w:ascii="仿宋_GB2312" w:eastAsia="仿宋_GB2312"/>
          <w:b/>
          <w:sz w:val="32"/>
          <w:szCs w:val="32"/>
        </w:rPr>
        <w:t>公务接待费支出</w:t>
      </w:r>
      <w:r>
        <w:rPr>
          <w:sz w:val="32"/>
          <w:szCs w:val="32"/>
        </w:rPr>
        <w:t>0</w:t>
      </w:r>
      <w:r>
        <w:rPr>
          <w:rFonts w:hint="eastAsia"/>
          <w:sz w:val="32"/>
          <w:szCs w:val="32"/>
          <w:lang w:val="en-US" w:eastAsia="zh-CN"/>
        </w:rPr>
        <w:t>.1</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Fonts w:hint="eastAsia" w:eastAsia="仿宋"/>
          <w:sz w:val="32"/>
          <w:szCs w:val="32"/>
          <w:lang w:val="en-US" w:eastAsia="zh-CN"/>
        </w:rPr>
        <w:t>0</w:t>
      </w:r>
      <w:r>
        <w:rPr>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公务接待费支出决算比202</w:t>
      </w:r>
      <w:r>
        <w:rPr>
          <w:rFonts w:hint="eastAsia" w:ascii="仿宋_GB2312" w:eastAsia="仿宋_GB2312"/>
          <w:sz w:val="32"/>
          <w:szCs w:val="32"/>
          <w:lang w:val="en-US" w:eastAsia="zh-CN"/>
        </w:rPr>
        <w:t>4</w:t>
      </w:r>
      <w:r>
        <w:rPr>
          <w:rFonts w:hint="eastAsia" w:ascii="仿宋_GB2312" w:eastAsia="仿宋_GB2312"/>
          <w:sz w:val="32"/>
          <w:szCs w:val="32"/>
        </w:rPr>
        <w:t>年度</w:t>
      </w:r>
      <w:r>
        <w:rPr>
          <w:rFonts w:hint="eastAsia" w:ascii="仿宋_GB2312" w:eastAsia="仿宋_GB2312"/>
          <w:sz w:val="32"/>
          <w:szCs w:val="32"/>
          <w:lang w:val="en-US" w:eastAsia="zh-CN"/>
        </w:rPr>
        <w:t>上升0.1</w:t>
      </w:r>
      <w:r>
        <w:rPr>
          <w:rFonts w:hint="eastAsia" w:ascii="仿宋_GB2312" w:eastAsia="仿宋_GB2312"/>
          <w:sz w:val="32"/>
          <w:szCs w:val="32"/>
        </w:rPr>
        <w:t>万元，</w:t>
      </w:r>
      <w:r>
        <w:rPr>
          <w:rFonts w:hint="eastAsia" w:ascii="仿宋_GB2312" w:eastAsia="仿宋_GB2312"/>
          <w:sz w:val="32"/>
          <w:szCs w:val="32"/>
          <w:lang w:val="en-US" w:eastAsia="zh-CN"/>
        </w:rPr>
        <w:t>上升100</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val="en-US" w:eastAsia="zh-CN"/>
        </w:rPr>
        <w:t>公务接待安排增加。</w:t>
      </w:r>
    </w:p>
    <w:p>
      <w:pPr>
        <w:spacing w:line="600" w:lineRule="exact"/>
        <w:ind w:firstLine="640"/>
        <w:rPr>
          <w:rFonts w:ascii="仿宋_GB2312" w:eastAsia="仿宋_GB2312"/>
          <w:sz w:val="32"/>
          <w:szCs w:val="32"/>
        </w:rPr>
      </w:pPr>
      <w:r>
        <w:rPr>
          <w:rFonts w:hint="eastAsia" w:ascii="仿宋" w:hAnsi="仿宋" w:eastAsia="仿宋"/>
          <w:b/>
          <w:sz w:val="32"/>
          <w:szCs w:val="32"/>
        </w:rPr>
        <w:t>国内公务接待支出0</w:t>
      </w:r>
      <w:r>
        <w:rPr>
          <w:rFonts w:hint="eastAsia" w:ascii="仿宋_GB2312" w:eastAsia="仿宋_GB2312"/>
          <w:sz w:val="32"/>
          <w:szCs w:val="32"/>
        </w:rPr>
        <w:t>万元，主要用于用餐费(执行公务、开展业务活动开支的交通费、住宿费、用餐费等)。国内公务接待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w:t>
      </w:r>
      <w:r>
        <w:rPr>
          <w:rFonts w:hint="eastAsia" w:ascii="仿宋_GB2312" w:eastAsia="仿宋_GB2312"/>
          <w:sz w:val="32"/>
          <w:szCs w:val="32"/>
        </w:rPr>
        <w:t>万元。</w:t>
      </w:r>
    </w:p>
    <w:p>
      <w:pPr>
        <w:spacing w:line="600" w:lineRule="exact"/>
        <w:ind w:firstLine="643" w:firstLineChars="200"/>
        <w:rPr>
          <w:rFonts w:ascii="黑体" w:eastAsia="黑体"/>
          <w:sz w:val="32"/>
          <w:szCs w:val="32"/>
        </w:rPr>
      </w:pPr>
      <w:r>
        <w:rPr>
          <w:rFonts w:hint="eastAsia" w:ascii="仿宋" w:hAnsi="仿宋" w:eastAsia="仿宋"/>
          <w:b/>
          <w:sz w:val="32"/>
          <w:szCs w:val="32"/>
        </w:rPr>
        <w:t>外事接待支出0</w:t>
      </w:r>
      <w:r>
        <w:rPr>
          <w:rFonts w:hint="eastAsia" w:ascii="仿宋_GB2312" w:eastAsia="仿宋_GB2312"/>
          <w:sz w:val="32"/>
          <w:szCs w:val="32"/>
        </w:rPr>
        <w:t>万元。外事接待0批次，0人次（不包括陪同人员），共计支出0万元。</w:t>
      </w:r>
      <w:bookmarkStart w:id="70" w:name="_Toc15377218"/>
      <w:bookmarkStart w:id="71" w:name="_Toc15396610"/>
    </w:p>
    <w:p>
      <w:pPr>
        <w:spacing w:line="600" w:lineRule="exact"/>
        <w:ind w:firstLine="640"/>
        <w:outlineLvl w:val="1"/>
        <w:rPr>
          <w:rStyle w:val="30"/>
          <w:rFonts w:hint="eastAsia" w:ascii="黑体" w:hAnsi="黑体" w:eastAsia="黑体"/>
        </w:rPr>
      </w:pPr>
      <w:bookmarkStart w:id="72" w:name="_Toc13795"/>
      <w:bookmarkStart w:id="73" w:name="_Toc20537"/>
      <w:r>
        <w:rPr>
          <w:rFonts w:hint="eastAsia" w:ascii="黑体" w:eastAsia="黑体"/>
          <w:sz w:val="32"/>
          <w:szCs w:val="32"/>
        </w:rPr>
        <w:t>八、</w:t>
      </w:r>
      <w:r>
        <w:rPr>
          <w:rStyle w:val="30"/>
          <w:rFonts w:hint="eastAsia" w:ascii="黑体" w:hAnsi="黑体" w:eastAsia="黑体"/>
          <w:b w:val="0"/>
        </w:rPr>
        <w:t>政府性基金预算支出决算情况说明</w:t>
      </w:r>
      <w:bookmarkEnd w:id="70"/>
      <w:bookmarkEnd w:id="71"/>
      <w:bookmarkEnd w:id="72"/>
      <w:bookmarkEnd w:id="73"/>
    </w:p>
    <w:p>
      <w:pPr>
        <w:spacing w:line="600" w:lineRule="exact"/>
        <w:ind w:firstLine="64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年度年初无政府性基金预算财政拨款支出。</w:t>
      </w:r>
    </w:p>
    <w:p>
      <w:pPr>
        <w:numPr>
          <w:ilvl w:val="0"/>
          <w:numId w:val="4"/>
        </w:numPr>
        <w:spacing w:line="600" w:lineRule="exact"/>
        <w:ind w:firstLine="640"/>
        <w:outlineLvl w:val="1"/>
        <w:rPr>
          <w:rStyle w:val="30"/>
          <w:rFonts w:hint="eastAsia" w:ascii="黑体" w:hAnsi="黑体" w:eastAsia="黑体"/>
          <w:b w:val="0"/>
        </w:rPr>
      </w:pPr>
      <w:bookmarkStart w:id="74" w:name="_Toc15396611"/>
      <w:bookmarkStart w:id="75" w:name="_Toc14074"/>
      <w:bookmarkStart w:id="76" w:name="_Toc16266"/>
      <w:bookmarkStart w:id="77" w:name="_Toc15377219"/>
      <w:r>
        <w:rPr>
          <w:rStyle w:val="30"/>
          <w:rFonts w:hint="eastAsia" w:ascii="黑体" w:hAnsi="黑体" w:eastAsia="黑体"/>
          <w:b w:val="0"/>
        </w:rPr>
        <w:t>国有资本经营预算支出决算情况说明</w:t>
      </w:r>
      <w:bookmarkEnd w:id="74"/>
      <w:bookmarkEnd w:id="75"/>
      <w:bookmarkEnd w:id="76"/>
      <w:bookmarkEnd w:id="77"/>
    </w:p>
    <w:p>
      <w:pPr>
        <w:spacing w:line="600" w:lineRule="exact"/>
        <w:ind w:firstLine="640"/>
        <w:rPr>
          <w:rFonts w:hint="eastAsia" w:ascii="方正小标宋简体" w:hAnsi="方正小标宋简体" w:eastAsia="方正小标宋简体" w:cs="方正小标宋简体"/>
          <w:sz w:val="44"/>
          <w:szCs w:val="44"/>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年度年初无国有资本经营预算财政拨款支出。</w:t>
      </w:r>
    </w:p>
    <w:p>
      <w:pPr>
        <w:numPr>
          <w:ilvl w:val="0"/>
          <w:numId w:val="4"/>
        </w:numPr>
        <w:spacing w:line="600" w:lineRule="exact"/>
        <w:ind w:firstLine="640"/>
        <w:outlineLvl w:val="1"/>
        <w:rPr>
          <w:rStyle w:val="30"/>
          <w:rFonts w:hint="eastAsia" w:ascii="黑体" w:hAnsi="黑体" w:eastAsia="黑体"/>
          <w:b w:val="0"/>
        </w:rPr>
      </w:pPr>
      <w:bookmarkStart w:id="78" w:name="_Toc15377221"/>
      <w:bookmarkStart w:id="79" w:name="_Toc15396612"/>
      <w:bookmarkStart w:id="80" w:name="_Toc27345"/>
      <w:bookmarkStart w:id="81" w:name="_Toc11417"/>
      <w:r>
        <w:rPr>
          <w:rStyle w:val="30"/>
          <w:rFonts w:hint="eastAsia" w:ascii="黑体" w:hAnsi="黑体" w:eastAsia="黑体"/>
          <w:b w:val="0"/>
        </w:rPr>
        <w:t>其他重要事项的情况说明</w:t>
      </w:r>
      <w:bookmarkEnd w:id="78"/>
      <w:bookmarkEnd w:id="79"/>
      <w:bookmarkEnd w:id="80"/>
      <w:bookmarkEnd w:id="81"/>
    </w:p>
    <w:p>
      <w:pPr>
        <w:spacing w:line="600" w:lineRule="exact"/>
        <w:ind w:firstLine="643" w:firstLineChars="200"/>
        <w:outlineLvl w:val="2"/>
        <w:rPr>
          <w:rFonts w:hint="eastAsia" w:ascii="仿宋" w:hAnsi="仿宋" w:eastAsia="仿宋"/>
          <w:sz w:val="32"/>
          <w:szCs w:val="32"/>
        </w:rPr>
      </w:pPr>
      <w:bookmarkStart w:id="82" w:name="_Toc15377222"/>
      <w:r>
        <w:rPr>
          <w:rFonts w:hint="eastAsia" w:ascii="仿宋" w:hAnsi="仿宋" w:eastAsia="仿宋"/>
          <w:b/>
          <w:sz w:val="32"/>
          <w:szCs w:val="32"/>
        </w:rPr>
        <w:t>（一）机关运行经费支出情况</w:t>
      </w:r>
      <w:bookmarkEnd w:id="82"/>
    </w:p>
    <w:p>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年度，红原县公安局机关运行经费支出</w:t>
      </w:r>
      <w:r>
        <w:rPr>
          <w:rFonts w:hint="eastAsia" w:ascii="仿宋_GB2312" w:eastAsia="仿宋_GB2312"/>
          <w:sz w:val="32"/>
          <w:szCs w:val="32"/>
          <w:lang w:val="en-US" w:eastAsia="zh-CN"/>
        </w:rPr>
        <w:t>570.08</w:t>
      </w:r>
      <w:r>
        <w:rPr>
          <w:rFonts w:hint="eastAsia" w:ascii="仿宋_GB2312" w:eastAsia="仿宋_GB2312"/>
          <w:sz w:val="32"/>
          <w:szCs w:val="32"/>
        </w:rPr>
        <w:t>万元，比202</w:t>
      </w:r>
      <w:r>
        <w:rPr>
          <w:rFonts w:hint="eastAsia" w:ascii="仿宋_GB2312" w:eastAsia="仿宋_GB2312"/>
          <w:sz w:val="32"/>
          <w:szCs w:val="32"/>
          <w:lang w:val="en-US" w:eastAsia="zh-CN"/>
        </w:rPr>
        <w:t>4</w:t>
      </w:r>
      <w:r>
        <w:rPr>
          <w:rFonts w:hint="eastAsia" w:ascii="仿宋_GB2312" w:eastAsia="仿宋_GB2312"/>
          <w:sz w:val="32"/>
          <w:szCs w:val="32"/>
        </w:rPr>
        <w:t>年度</w:t>
      </w:r>
      <w:r>
        <w:rPr>
          <w:rFonts w:hint="eastAsia" w:ascii="仿宋_GB2312" w:eastAsia="仿宋_GB2312"/>
          <w:sz w:val="32"/>
          <w:szCs w:val="32"/>
          <w:lang w:val="en-US" w:eastAsia="zh-CN"/>
        </w:rPr>
        <w:t>增加106.71</w:t>
      </w:r>
      <w:r>
        <w:rPr>
          <w:rFonts w:hint="eastAsia" w:ascii="仿宋_GB2312" w:eastAsia="仿宋_GB2312"/>
          <w:sz w:val="32"/>
          <w:szCs w:val="32"/>
        </w:rPr>
        <w:t>万元，</w:t>
      </w:r>
      <w:r>
        <w:rPr>
          <w:rFonts w:hint="eastAsia" w:ascii="仿宋_GB2312" w:eastAsia="仿宋_GB2312"/>
          <w:sz w:val="32"/>
          <w:szCs w:val="32"/>
          <w:lang w:eastAsia="zh-CN"/>
        </w:rPr>
        <w:t>增长</w:t>
      </w:r>
      <w:r>
        <w:rPr>
          <w:rFonts w:hint="eastAsia" w:ascii="仿宋_GB2312" w:eastAsia="仿宋_GB2312"/>
          <w:sz w:val="32"/>
          <w:szCs w:val="32"/>
          <w:lang w:val="en-US" w:eastAsia="zh-CN"/>
        </w:rPr>
        <w:t>23.03</w:t>
      </w:r>
      <w:r>
        <w:rPr>
          <w:rFonts w:ascii="仿宋_GB2312" w:eastAsia="仿宋_GB2312"/>
          <w:sz w:val="32"/>
          <w:szCs w:val="32"/>
        </w:rPr>
        <w:t>%</w:t>
      </w:r>
      <w:r>
        <w:rPr>
          <w:rFonts w:hint="eastAsia" w:ascii="仿宋_GB2312" w:eastAsia="仿宋_GB2312"/>
          <w:sz w:val="32"/>
          <w:szCs w:val="32"/>
        </w:rPr>
        <w:t>。主要原因是将日常公用经费</w:t>
      </w:r>
      <w:r>
        <w:rPr>
          <w:rFonts w:hint="eastAsia" w:ascii="仿宋_GB2312" w:eastAsia="仿宋_GB2312"/>
          <w:sz w:val="32"/>
          <w:szCs w:val="32"/>
          <w:lang w:val="en-US" w:eastAsia="zh-CN"/>
        </w:rPr>
        <w:t>增加</w:t>
      </w:r>
      <w:r>
        <w:rPr>
          <w:rFonts w:hint="eastAsia" w:ascii="仿宋_GB2312" w:eastAsia="仿宋_GB2312"/>
          <w:sz w:val="32"/>
          <w:szCs w:val="32"/>
        </w:rPr>
        <w:t>。</w:t>
      </w:r>
    </w:p>
    <w:p>
      <w:pPr>
        <w:autoSpaceDE w:val="0"/>
        <w:autoSpaceDN w:val="0"/>
        <w:adjustRightInd w:val="0"/>
        <w:spacing w:line="600" w:lineRule="exact"/>
        <w:ind w:firstLine="643" w:firstLineChars="200"/>
        <w:jc w:val="left"/>
        <w:outlineLvl w:val="2"/>
        <w:rPr>
          <w:rFonts w:hint="eastAsia" w:ascii="仿宋" w:hAnsi="仿宋" w:eastAsia="仿宋"/>
          <w:b/>
          <w:sz w:val="32"/>
          <w:szCs w:val="32"/>
        </w:rPr>
      </w:pPr>
      <w:bookmarkStart w:id="83" w:name="_Toc15377223"/>
      <w:r>
        <w:rPr>
          <w:rFonts w:hint="eastAsia" w:ascii="仿宋" w:hAnsi="仿宋" w:eastAsia="仿宋"/>
          <w:b/>
          <w:sz w:val="32"/>
          <w:szCs w:val="32"/>
        </w:rPr>
        <w:t>（二）政府采购支出情况</w:t>
      </w:r>
      <w:bookmarkEnd w:id="83"/>
    </w:p>
    <w:p>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sz w:val="32"/>
          <w:szCs w:val="32"/>
        </w:rPr>
        <w:t>红原县公安局</w:t>
      </w:r>
      <w:r>
        <w:rPr>
          <w:rFonts w:hint="eastAsia" w:ascii="仿宋_GB2312" w:eastAsia="仿宋_GB2312"/>
          <w:sz w:val="32"/>
          <w:szCs w:val="32"/>
        </w:rPr>
        <w:t>政府采购支出总额</w:t>
      </w:r>
      <w:r>
        <w:rPr>
          <w:rFonts w:hint="eastAsia" w:eastAsia="仿宋_GB2312"/>
          <w:sz w:val="32"/>
          <w:szCs w:val="32"/>
          <w:lang w:val="en-US" w:eastAsia="zh-CN"/>
        </w:rPr>
        <w:t>76.69</w:t>
      </w:r>
      <w:r>
        <w:rPr>
          <w:rFonts w:hint="eastAsia" w:ascii="仿宋_GB2312" w:eastAsia="仿宋_GB2312"/>
          <w:sz w:val="32"/>
          <w:szCs w:val="32"/>
        </w:rPr>
        <w:t>万元，其中：政府采购货物支出</w:t>
      </w:r>
      <w:r>
        <w:rPr>
          <w:rFonts w:hint="eastAsia" w:eastAsia="仿宋_GB2312"/>
          <w:sz w:val="32"/>
          <w:szCs w:val="32"/>
          <w:lang w:val="en-US" w:eastAsia="zh-CN"/>
        </w:rPr>
        <w:t>0</w:t>
      </w:r>
      <w:r>
        <w:rPr>
          <w:rFonts w:hint="eastAsia" w:ascii="仿宋_GB2312" w:eastAsia="仿宋_GB2312"/>
          <w:sz w:val="32"/>
          <w:szCs w:val="32"/>
        </w:rPr>
        <w:t>万元、政府采购工程支出</w:t>
      </w:r>
      <w:r>
        <w:rPr>
          <w:sz w:val="32"/>
          <w:szCs w:val="32"/>
        </w:rPr>
        <w:t>0</w:t>
      </w:r>
      <w:r>
        <w:rPr>
          <w:rFonts w:hint="eastAsia" w:ascii="仿宋_GB2312" w:eastAsia="仿宋_GB2312"/>
          <w:sz w:val="32"/>
          <w:szCs w:val="32"/>
        </w:rPr>
        <w:t>万元、政府采购服务支出</w:t>
      </w:r>
      <w:r>
        <w:rPr>
          <w:rFonts w:hint="eastAsia" w:eastAsia="仿宋_GB2312"/>
          <w:sz w:val="32"/>
          <w:szCs w:val="32"/>
          <w:lang w:val="en-US" w:eastAsia="zh-CN"/>
        </w:rPr>
        <w:t>76.69</w:t>
      </w:r>
      <w:r>
        <w:rPr>
          <w:rFonts w:hint="eastAsia" w:ascii="仿宋_GB2312" w:eastAsia="仿宋_GB2312"/>
          <w:sz w:val="32"/>
          <w:szCs w:val="32"/>
        </w:rPr>
        <w:t>万元。授予中小企业合同金额</w:t>
      </w:r>
      <w:r>
        <w:rPr>
          <w:rFonts w:hint="eastAsia" w:eastAsia="仿宋_GB2312"/>
          <w:sz w:val="32"/>
          <w:szCs w:val="32"/>
          <w:lang w:val="en-US" w:eastAsia="zh-CN"/>
        </w:rPr>
        <w:t>76.84</w:t>
      </w:r>
      <w:r>
        <w:rPr>
          <w:rFonts w:hint="eastAsia" w:ascii="仿宋_GB2312" w:eastAsia="仿宋_GB2312"/>
          <w:sz w:val="32"/>
          <w:szCs w:val="32"/>
        </w:rPr>
        <w:t>万元，占政府采购支出总额的</w:t>
      </w:r>
      <w:r>
        <w:rPr>
          <w:rFonts w:hint="eastAsia" w:eastAsia="仿宋_GB2312"/>
          <w:sz w:val="32"/>
          <w:szCs w:val="32"/>
          <w:lang w:val="en-US" w:eastAsia="zh-CN"/>
        </w:rPr>
        <w:t>100</w:t>
      </w:r>
      <w:r>
        <w:rPr>
          <w:rFonts w:ascii="仿宋_GB2312" w:eastAsia="仿宋_GB2312"/>
          <w:sz w:val="32"/>
          <w:szCs w:val="32"/>
        </w:rPr>
        <w:t>%</w:t>
      </w:r>
      <w:r>
        <w:rPr>
          <w:rFonts w:hint="eastAsia" w:ascii="仿宋_GB2312" w:eastAsia="仿宋_GB2312"/>
          <w:sz w:val="32"/>
          <w:szCs w:val="32"/>
        </w:rPr>
        <w:t>，其中：授予小微企业合同金额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pPr>
        <w:autoSpaceDE w:val="0"/>
        <w:autoSpaceDN w:val="0"/>
        <w:adjustRightInd w:val="0"/>
        <w:spacing w:line="600" w:lineRule="exact"/>
        <w:ind w:firstLine="643" w:firstLineChars="200"/>
        <w:jc w:val="left"/>
        <w:outlineLvl w:val="2"/>
        <w:rPr>
          <w:rFonts w:hint="eastAsia" w:ascii="仿宋" w:hAnsi="仿宋" w:eastAsia="仿宋"/>
          <w:b/>
          <w:sz w:val="32"/>
          <w:szCs w:val="32"/>
        </w:rPr>
      </w:pPr>
      <w:bookmarkStart w:id="84" w:name="_Toc15377224"/>
      <w:r>
        <w:rPr>
          <w:rFonts w:hint="eastAsia" w:ascii="仿宋" w:hAnsi="仿宋" w:eastAsia="仿宋"/>
          <w:b/>
          <w:sz w:val="32"/>
          <w:szCs w:val="32"/>
        </w:rPr>
        <w:t>（三）国有资产占有使用情况</w:t>
      </w:r>
      <w:bookmarkEnd w:id="84"/>
    </w:p>
    <w:p>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截至202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sz w:val="32"/>
          <w:szCs w:val="32"/>
        </w:rPr>
        <w:t>红原县公安局</w:t>
      </w:r>
      <w:r>
        <w:rPr>
          <w:rFonts w:hint="eastAsia" w:ascii="仿宋_GB2312" w:eastAsia="仿宋_GB2312"/>
          <w:sz w:val="32"/>
          <w:szCs w:val="32"/>
        </w:rPr>
        <w:t>共有车辆</w:t>
      </w:r>
      <w:r>
        <w:rPr>
          <w:rFonts w:ascii="仿宋_GB2312" w:eastAsia="仿宋_GB2312"/>
          <w:sz w:val="32"/>
          <w:szCs w:val="32"/>
        </w:rPr>
        <w:t>60</w:t>
      </w:r>
      <w:r>
        <w:rPr>
          <w:rFonts w:hint="eastAsia" w:ascii="仿宋_GB2312" w:eastAsia="仿宋_GB2312"/>
          <w:sz w:val="32"/>
          <w:szCs w:val="32"/>
        </w:rPr>
        <w:t>辆，其中：主要领导干部用车</w:t>
      </w:r>
      <w:r>
        <w:rPr>
          <w:rFonts w:hint="eastAsia" w:ascii="仿宋_GB2312" w:eastAsia="仿宋_GB2312"/>
          <w:sz w:val="32"/>
          <w:szCs w:val="32"/>
          <w:lang w:val="en-US" w:eastAsia="zh-CN"/>
        </w:rPr>
        <w:t>0</w:t>
      </w:r>
      <w:r>
        <w:rPr>
          <w:rFonts w:hint="eastAsia" w:ascii="仿宋_GB2312" w:eastAsia="仿宋_GB2312"/>
          <w:sz w:val="32"/>
          <w:szCs w:val="32"/>
        </w:rPr>
        <w:t>辆、机要通信用车</w:t>
      </w:r>
      <w:r>
        <w:rPr>
          <w:rFonts w:hint="eastAsia" w:ascii="仿宋_GB2312" w:eastAsia="仿宋_GB2312"/>
          <w:sz w:val="32"/>
          <w:szCs w:val="32"/>
          <w:lang w:val="en-US" w:eastAsia="zh-CN"/>
        </w:rPr>
        <w:t>0</w:t>
      </w:r>
      <w:r>
        <w:rPr>
          <w:rFonts w:hint="eastAsia" w:ascii="仿宋_GB2312" w:eastAsia="仿宋_GB2312"/>
          <w:sz w:val="32"/>
          <w:szCs w:val="32"/>
        </w:rPr>
        <w:t>辆、应急保障用车</w:t>
      </w:r>
      <w:r>
        <w:rPr>
          <w:rFonts w:hint="eastAsia" w:ascii="仿宋_GB2312" w:eastAsia="仿宋_GB2312"/>
          <w:sz w:val="32"/>
          <w:szCs w:val="32"/>
          <w:lang w:val="en-US" w:eastAsia="zh-CN"/>
        </w:rPr>
        <w:t>0</w:t>
      </w:r>
      <w:r>
        <w:rPr>
          <w:rFonts w:hint="eastAsia" w:ascii="仿宋_GB2312" w:eastAsia="仿宋_GB2312"/>
          <w:sz w:val="32"/>
          <w:szCs w:val="32"/>
        </w:rPr>
        <w:t>辆、其他用车0辆，其他用车主要是用于执法执勤用车</w:t>
      </w:r>
      <w:r>
        <w:rPr>
          <w:rFonts w:hint="eastAsia" w:ascii="仿宋_GB2312" w:eastAsia="仿宋_GB2312"/>
          <w:sz w:val="32"/>
          <w:szCs w:val="32"/>
          <w:lang w:val="en-US" w:eastAsia="zh-CN"/>
        </w:rPr>
        <w:t>60</w:t>
      </w:r>
      <w:r>
        <w:rPr>
          <w:rFonts w:hint="eastAsia" w:ascii="仿宋_GB2312" w:eastAsia="仿宋_GB2312"/>
          <w:sz w:val="32"/>
          <w:szCs w:val="32"/>
        </w:rPr>
        <w:t>辆、特种专业技术用车</w:t>
      </w:r>
      <w:r>
        <w:rPr>
          <w:rFonts w:hint="eastAsia" w:ascii="仿宋_GB2312" w:eastAsia="仿宋_GB2312"/>
          <w:sz w:val="32"/>
          <w:szCs w:val="32"/>
          <w:lang w:val="en-US" w:eastAsia="zh-CN"/>
        </w:rPr>
        <w:t>0</w:t>
      </w:r>
      <w:r>
        <w:rPr>
          <w:rFonts w:hint="eastAsia" w:ascii="仿宋_GB2312" w:eastAsia="仿宋_GB2312"/>
          <w:sz w:val="32"/>
          <w:szCs w:val="32"/>
        </w:rPr>
        <w:t>辆。单价</w:t>
      </w:r>
      <w:r>
        <w:rPr>
          <w:rFonts w:ascii="仿宋_GB2312" w:eastAsia="仿宋_GB2312"/>
          <w:sz w:val="32"/>
          <w:szCs w:val="32"/>
        </w:rPr>
        <w:t>100</w:t>
      </w:r>
      <w:r>
        <w:rPr>
          <w:rFonts w:hint="eastAsia" w:ascii="仿宋_GB2312" w:eastAsia="仿宋_GB2312"/>
          <w:sz w:val="32"/>
          <w:szCs w:val="32"/>
        </w:rPr>
        <w:t>万元以上设备（不含车辆）</w:t>
      </w:r>
      <w:r>
        <w:rPr>
          <w:sz w:val="32"/>
          <w:szCs w:val="32"/>
        </w:rPr>
        <w:t>0</w:t>
      </w:r>
      <w:r>
        <w:rPr>
          <w:rFonts w:hint="eastAsia" w:ascii="仿宋_GB2312" w:eastAsia="仿宋_GB2312"/>
          <w:sz w:val="32"/>
          <w:szCs w:val="32"/>
        </w:rPr>
        <w:t>台（套）。</w:t>
      </w:r>
    </w:p>
    <w:p>
      <w:pPr>
        <w:autoSpaceDE w:val="0"/>
        <w:autoSpaceDN w:val="0"/>
        <w:adjustRightInd w:val="0"/>
        <w:spacing w:line="600" w:lineRule="exact"/>
        <w:ind w:firstLine="643" w:firstLineChars="200"/>
        <w:jc w:val="left"/>
        <w:outlineLvl w:val="2"/>
        <w:rPr>
          <w:rFonts w:hint="eastAsia" w:ascii="仿宋" w:hAnsi="仿宋" w:eastAsia="仿宋"/>
          <w:b/>
          <w:sz w:val="32"/>
          <w:szCs w:val="32"/>
        </w:rPr>
      </w:pPr>
      <w:r>
        <w:rPr>
          <w:rFonts w:hint="eastAsia" w:ascii="仿宋" w:hAnsi="仿宋" w:eastAsia="仿宋"/>
          <w:b/>
          <w:sz w:val="32"/>
          <w:szCs w:val="32"/>
        </w:rPr>
        <w:t>（四）预算绩效管理情况</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预算编制阶段，组织对“红原县看守所犯人生活相关经费”、“红原县武警中队官兵日常运转”、“红原县看守所重建项目”、“2024年中央和省级政法转移支付资金”、“红原县龙日镇生产性板涵桥建设项目”、“包虫病综合防治”等</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个项目开展了预算事前绩效评估，对</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个项目开展绩效监控。</w:t>
      </w:r>
    </w:p>
    <w:p>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hAnsi="仿宋_GB2312" w:eastAsia="仿宋_GB2312" w:cs="仿宋_GB2312"/>
          <w:sz w:val="32"/>
          <w:szCs w:val="32"/>
        </w:rPr>
        <w:t>组织对202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政府性基金预算、国有资本经营预算、社会保险基金预算以及资本资产、债券资金等全面开展绩效自评，形成部门整体（含部门预算项目）绩效自评报告，部门整体（含部门预算项目）绩效自评得分为95分，</w:t>
      </w:r>
      <w:r>
        <w:rPr>
          <w:rFonts w:hint="eastAsia" w:ascii="仿宋_GB2312" w:eastAsia="仿宋_GB2312"/>
          <w:sz w:val="32"/>
          <w:szCs w:val="32"/>
        </w:rPr>
        <w:t>评价情况总体绩效目标明确，决策依据充分，资金分配科学合理，部门总体情况良好，预算编制质量较好，预算信息公开符合要求；预算执行进度良好，财务制度健全，会计核算总体规范、准确；项目在实施过程中严格执行有关制度规定，基本达到了预期效果。</w:t>
      </w:r>
    </w:p>
    <w:p>
      <w:pPr>
        <w:spacing w:line="580" w:lineRule="exact"/>
        <w:ind w:firstLine="640" w:firstLineChars="200"/>
        <w:rPr>
          <w:rFonts w:ascii="仿宋_GB2312" w:hAnsi="仿宋_GB2312" w:eastAsia="仿宋_GB2312" w:cs="仿宋_GB2312"/>
          <w:sz w:val="32"/>
          <w:szCs w:val="32"/>
        </w:rPr>
      </w:pPr>
    </w:p>
    <w:p>
      <w:pPr>
        <w:pStyle w:val="2"/>
        <w:ind w:left="420" w:firstLine="640"/>
        <w:rPr>
          <w:rFonts w:hAnsi="仿宋_GB2312" w:eastAsia="仿宋_GB2312" w:cs="仿宋_GB2312"/>
          <w:sz w:val="32"/>
        </w:rPr>
      </w:pPr>
    </w:p>
    <w:p>
      <w:pPr>
        <w:pStyle w:val="9"/>
      </w:pPr>
    </w:p>
    <w:p>
      <w:pPr>
        <w:pStyle w:val="4"/>
        <w:jc w:val="center"/>
      </w:pPr>
      <w:bookmarkStart w:id="85" w:name="_Toc27480"/>
      <w:bookmarkStart w:id="86" w:name="_Toc10662"/>
      <w:r>
        <w:rPr>
          <w:rFonts w:hint="eastAsia"/>
        </w:rPr>
        <w:t>第三部分 名词解释</w:t>
      </w:r>
      <w:bookmarkEnd w:id="85"/>
      <w:bookmarkEnd w:id="86"/>
    </w:p>
    <w:p/>
    <w:p>
      <w:pPr>
        <w:ind w:firstLine="640" w:firstLineChars="200"/>
        <w:rPr>
          <w:rFonts w:ascii="仿宋_GB2312" w:eastAsia="仿宋_GB2312"/>
          <w:sz w:val="32"/>
          <w:szCs w:val="32"/>
        </w:rPr>
      </w:pPr>
      <w:r>
        <w:rPr>
          <w:rFonts w:hint="eastAsia" w:ascii="仿宋_GB2312" w:eastAsia="仿宋_GB2312"/>
          <w:sz w:val="32"/>
          <w:szCs w:val="32"/>
        </w:rPr>
        <w:t>1.财政拨款收入：指单位从同级财政部门取得的财政预算资金。</w:t>
      </w:r>
    </w:p>
    <w:p>
      <w:pPr>
        <w:ind w:firstLine="640" w:firstLineChars="200"/>
        <w:rPr>
          <w:rFonts w:ascii="仿宋_GB2312" w:eastAsia="仿宋_GB2312"/>
          <w:sz w:val="32"/>
          <w:szCs w:val="32"/>
        </w:rPr>
      </w:pPr>
      <w:r>
        <w:rPr>
          <w:rFonts w:hint="eastAsia" w:ascii="仿宋_GB2312" w:eastAsia="仿宋_GB2312"/>
          <w:sz w:val="32"/>
          <w:szCs w:val="32"/>
        </w:rPr>
        <w:t>2.事业收入：指事业单位开展专业业务活动及辅助活动取得的收入。</w:t>
      </w:r>
    </w:p>
    <w:p>
      <w:pPr>
        <w:ind w:firstLine="640" w:firstLineChars="200"/>
        <w:rPr>
          <w:rFonts w:ascii="仿宋_GB2312" w:eastAsia="仿宋_GB2312"/>
          <w:sz w:val="32"/>
          <w:szCs w:val="32"/>
        </w:rPr>
      </w:pPr>
      <w:r>
        <w:rPr>
          <w:rFonts w:hint="eastAsia" w:ascii="仿宋_GB2312" w:eastAsia="仿宋_GB2312"/>
          <w:sz w:val="32"/>
          <w:szCs w:val="32"/>
        </w:rPr>
        <w:t>3.经营收入：指事业单位在专业业务活动及其辅助活动之外开展非独立核算经营活动取得的收入。</w:t>
      </w:r>
    </w:p>
    <w:p>
      <w:pPr>
        <w:ind w:firstLine="640" w:firstLineChars="200"/>
        <w:rPr>
          <w:rFonts w:ascii="仿宋_GB2312" w:eastAsia="仿宋_GB2312"/>
          <w:sz w:val="32"/>
          <w:szCs w:val="32"/>
        </w:rPr>
      </w:pPr>
      <w:r>
        <w:rPr>
          <w:rFonts w:hint="eastAsia" w:ascii="仿宋_GB2312" w:eastAsia="仿宋_GB2312"/>
          <w:sz w:val="32"/>
          <w:szCs w:val="32"/>
        </w:rPr>
        <w:t>4.其他收入：指单位取得的除上述收入以外的各项收入。</w:t>
      </w:r>
    </w:p>
    <w:p>
      <w:pPr>
        <w:ind w:firstLine="640" w:firstLineChars="200"/>
        <w:rPr>
          <w:rFonts w:ascii="仿宋_GB2312" w:eastAsia="仿宋_GB2312"/>
          <w:sz w:val="32"/>
          <w:szCs w:val="32"/>
        </w:rPr>
      </w:pPr>
      <w:r>
        <w:rPr>
          <w:rFonts w:hint="eastAsia" w:ascii="仿宋_GB2312" w:eastAsia="仿宋_GB2312"/>
          <w:sz w:val="32"/>
          <w:szCs w:val="32"/>
        </w:rPr>
        <w:t xml:space="preserve">5.使用非财政拨款结余（含专用结余）：指事业单位使用以前年度积累的非财政拨款结余弥补当年收支差额的金额。 </w:t>
      </w:r>
    </w:p>
    <w:p>
      <w:pPr>
        <w:ind w:firstLine="640" w:firstLineChars="200"/>
        <w:rPr>
          <w:rFonts w:ascii="仿宋_GB2312" w:eastAsia="仿宋_GB2312"/>
          <w:sz w:val="32"/>
          <w:szCs w:val="32"/>
        </w:rPr>
      </w:pPr>
      <w:r>
        <w:rPr>
          <w:rFonts w:hint="eastAsia" w:ascii="仿宋_GB2312" w:eastAsia="仿宋_GB2312"/>
          <w:sz w:val="32"/>
          <w:szCs w:val="32"/>
        </w:rPr>
        <w:t xml:space="preserve">6.年初结转和结余：指以前年度尚未完成、结转到本年按有关规定继续使用的资金。 </w:t>
      </w:r>
    </w:p>
    <w:p>
      <w:pPr>
        <w:ind w:firstLine="640" w:firstLineChars="200"/>
        <w:rPr>
          <w:rFonts w:ascii="仿宋_GB2312" w:eastAsia="仿宋_GB2312"/>
          <w:sz w:val="32"/>
          <w:szCs w:val="32"/>
        </w:rPr>
      </w:pPr>
      <w:r>
        <w:rPr>
          <w:rFonts w:hint="eastAsia" w:ascii="仿宋_GB2312" w:eastAsia="仿宋_GB2312"/>
          <w:sz w:val="32"/>
          <w:szCs w:val="32"/>
        </w:rPr>
        <w:t>7.结余分配：指事业单位按照会计制度规定缴纳的所得税、提取的专用结余以及转入非财政拨款结余的金额等。</w:t>
      </w:r>
    </w:p>
    <w:p>
      <w:pPr>
        <w:ind w:firstLine="640" w:firstLineChars="200"/>
        <w:rPr>
          <w:rFonts w:ascii="仿宋_GB2312" w:eastAsia="仿宋_GB2312"/>
          <w:sz w:val="32"/>
          <w:szCs w:val="32"/>
        </w:rPr>
      </w:pPr>
      <w:r>
        <w:rPr>
          <w:rFonts w:hint="eastAsia" w:ascii="仿宋_GB2312" w:eastAsia="仿宋_GB2312"/>
          <w:sz w:val="32"/>
          <w:szCs w:val="32"/>
        </w:rPr>
        <w:t>8.年末结转和结余：指单位按有关规定结转到下年或以后年度继续使用的资金。</w:t>
      </w:r>
    </w:p>
    <w:p>
      <w:pPr>
        <w:ind w:firstLine="640" w:firstLineChars="200"/>
        <w:rPr>
          <w:rFonts w:ascii="仿宋_GB2312" w:eastAsia="仿宋_GB2312"/>
          <w:sz w:val="32"/>
          <w:szCs w:val="32"/>
        </w:rPr>
      </w:pPr>
      <w:r>
        <w:rPr>
          <w:rFonts w:hint="eastAsia" w:ascii="仿宋_GB2312" w:eastAsia="仿宋_GB2312"/>
          <w:sz w:val="32"/>
          <w:szCs w:val="32"/>
        </w:rPr>
        <w:t>9.一般公共服务（类）…（款）…（项）：指……。</w:t>
      </w:r>
    </w:p>
    <w:p>
      <w:pPr>
        <w:ind w:firstLine="640" w:firstLineChars="200"/>
        <w:rPr>
          <w:rFonts w:ascii="仿宋_GB2312" w:eastAsia="仿宋_GB2312"/>
          <w:sz w:val="32"/>
          <w:szCs w:val="32"/>
        </w:rPr>
      </w:pPr>
      <w:r>
        <w:rPr>
          <w:rFonts w:hint="eastAsia" w:ascii="仿宋_GB2312" w:eastAsia="仿宋_GB2312"/>
          <w:sz w:val="32"/>
          <w:szCs w:val="32"/>
        </w:rPr>
        <w:t>10.外交（类）…（款）…（项）：指……。</w:t>
      </w:r>
    </w:p>
    <w:p>
      <w:pPr>
        <w:ind w:firstLine="640" w:firstLineChars="200"/>
        <w:rPr>
          <w:rFonts w:ascii="仿宋_GB2312" w:eastAsia="仿宋_GB2312"/>
          <w:sz w:val="32"/>
          <w:szCs w:val="32"/>
        </w:rPr>
      </w:pPr>
      <w:r>
        <w:rPr>
          <w:rFonts w:hint="eastAsia" w:ascii="仿宋_GB2312" w:eastAsia="仿宋_GB2312"/>
          <w:sz w:val="32"/>
          <w:szCs w:val="32"/>
        </w:rPr>
        <w:t>11.公共安全（类）…（款）…（项）：指……。</w:t>
      </w:r>
    </w:p>
    <w:p>
      <w:pPr>
        <w:ind w:firstLine="640" w:firstLineChars="200"/>
        <w:rPr>
          <w:rFonts w:ascii="仿宋_GB2312" w:eastAsia="仿宋_GB2312"/>
          <w:sz w:val="32"/>
          <w:szCs w:val="32"/>
        </w:rPr>
      </w:pPr>
      <w:r>
        <w:rPr>
          <w:rFonts w:hint="eastAsia" w:ascii="仿宋_GB2312" w:eastAsia="仿宋_GB2312"/>
          <w:sz w:val="32"/>
          <w:szCs w:val="32"/>
        </w:rPr>
        <w:t>12.教育（类）…（款）…（项）：指……。</w:t>
      </w:r>
    </w:p>
    <w:p>
      <w:pPr>
        <w:ind w:firstLine="640" w:firstLineChars="200"/>
        <w:rPr>
          <w:rFonts w:ascii="仿宋_GB2312" w:eastAsia="仿宋_GB2312"/>
          <w:sz w:val="32"/>
          <w:szCs w:val="32"/>
        </w:rPr>
      </w:pPr>
      <w:r>
        <w:rPr>
          <w:rFonts w:hint="eastAsia" w:ascii="仿宋_GB2312" w:eastAsia="仿宋_GB2312"/>
          <w:sz w:val="32"/>
          <w:szCs w:val="32"/>
        </w:rPr>
        <w:t>13.科学技术（类）…（款）…（项）：指……。</w:t>
      </w:r>
    </w:p>
    <w:p>
      <w:pPr>
        <w:ind w:firstLine="640" w:firstLineChars="200"/>
        <w:rPr>
          <w:rFonts w:ascii="仿宋_GB2312" w:eastAsia="仿宋_GB2312"/>
          <w:sz w:val="32"/>
          <w:szCs w:val="32"/>
        </w:rPr>
      </w:pPr>
      <w:r>
        <w:rPr>
          <w:rFonts w:hint="eastAsia" w:ascii="仿宋_GB2312" w:eastAsia="仿宋_GB2312"/>
          <w:sz w:val="32"/>
          <w:szCs w:val="32"/>
        </w:rPr>
        <w:t>14.文化旅游体育与传媒（类）…（款）…（项）：指……。</w:t>
      </w:r>
    </w:p>
    <w:p>
      <w:pPr>
        <w:ind w:firstLine="640" w:firstLineChars="200"/>
        <w:rPr>
          <w:rFonts w:ascii="仿宋_GB2312" w:eastAsia="仿宋_GB2312"/>
          <w:sz w:val="32"/>
          <w:szCs w:val="32"/>
        </w:rPr>
      </w:pPr>
      <w:r>
        <w:rPr>
          <w:rFonts w:hint="eastAsia" w:ascii="仿宋_GB2312" w:eastAsia="仿宋_GB2312"/>
          <w:sz w:val="32"/>
          <w:szCs w:val="32"/>
        </w:rPr>
        <w:t>15.社会保障和就业（类）…（款）…（项）：指……。</w:t>
      </w:r>
    </w:p>
    <w:p>
      <w:pPr>
        <w:ind w:firstLine="640" w:firstLineChars="200"/>
        <w:rPr>
          <w:rFonts w:ascii="仿宋_GB2312" w:eastAsia="仿宋_GB2312"/>
          <w:sz w:val="32"/>
          <w:szCs w:val="32"/>
        </w:rPr>
      </w:pPr>
      <w:r>
        <w:rPr>
          <w:rFonts w:hint="eastAsia" w:ascii="仿宋_GB2312" w:eastAsia="仿宋_GB2312"/>
          <w:sz w:val="32"/>
          <w:szCs w:val="32"/>
        </w:rPr>
        <w:t>16.卫生健康（类）…（款）…（项）：指……。</w:t>
      </w:r>
    </w:p>
    <w:p>
      <w:pPr>
        <w:ind w:firstLine="640" w:firstLineChars="200"/>
        <w:rPr>
          <w:rFonts w:ascii="仿宋_GB2312" w:eastAsia="仿宋_GB2312"/>
          <w:sz w:val="32"/>
          <w:szCs w:val="32"/>
        </w:rPr>
      </w:pPr>
      <w:r>
        <w:rPr>
          <w:rFonts w:hint="eastAsia" w:ascii="仿宋_GB2312" w:eastAsia="仿宋_GB2312"/>
          <w:sz w:val="32"/>
          <w:szCs w:val="32"/>
        </w:rPr>
        <w:t>17.节能环保（类）…（款）…（项）：指……。</w:t>
      </w:r>
    </w:p>
    <w:p>
      <w:pPr>
        <w:ind w:firstLine="640" w:firstLineChars="200"/>
        <w:rPr>
          <w:rFonts w:ascii="仿宋_GB2312" w:eastAsia="仿宋_GB2312"/>
          <w:sz w:val="32"/>
          <w:szCs w:val="32"/>
        </w:rPr>
      </w:pPr>
      <w:r>
        <w:rPr>
          <w:rFonts w:hint="eastAsia" w:ascii="仿宋_GB2312" w:eastAsia="仿宋_GB2312"/>
          <w:sz w:val="32"/>
          <w:szCs w:val="32"/>
        </w:rPr>
        <w:t>18.城乡社区（类）…（款）…（项）：指……。</w:t>
      </w:r>
    </w:p>
    <w:p>
      <w:pPr>
        <w:ind w:firstLine="640" w:firstLineChars="200"/>
        <w:rPr>
          <w:rFonts w:ascii="仿宋_GB2312" w:eastAsia="仿宋_GB2312"/>
          <w:sz w:val="32"/>
          <w:szCs w:val="32"/>
        </w:rPr>
      </w:pPr>
      <w:r>
        <w:rPr>
          <w:rFonts w:hint="eastAsia" w:ascii="仿宋_GB2312" w:eastAsia="仿宋_GB2312"/>
          <w:sz w:val="32"/>
          <w:szCs w:val="32"/>
        </w:rPr>
        <w:t>19.农林水（类）…（款）…（项）：指……。</w:t>
      </w:r>
    </w:p>
    <w:p>
      <w:pPr>
        <w:ind w:firstLine="640" w:firstLineChars="200"/>
        <w:rPr>
          <w:rFonts w:ascii="仿宋_GB2312" w:eastAsia="仿宋_GB2312"/>
          <w:sz w:val="32"/>
          <w:szCs w:val="32"/>
        </w:rPr>
      </w:pPr>
      <w:r>
        <w:rPr>
          <w:rFonts w:hint="eastAsia" w:ascii="仿宋_GB2312" w:eastAsia="仿宋_GB2312"/>
          <w:sz w:val="32"/>
          <w:szCs w:val="32"/>
        </w:rPr>
        <w:t>20.交通运输（类）…（款）…（项）：指……。</w:t>
      </w:r>
    </w:p>
    <w:p>
      <w:pPr>
        <w:ind w:firstLine="640" w:firstLineChars="200"/>
        <w:rPr>
          <w:rFonts w:ascii="仿宋_GB2312" w:eastAsia="仿宋_GB2312"/>
          <w:sz w:val="32"/>
          <w:szCs w:val="32"/>
        </w:rPr>
      </w:pPr>
      <w:r>
        <w:rPr>
          <w:rFonts w:hint="eastAsia" w:ascii="仿宋_GB2312" w:eastAsia="仿宋_GB2312"/>
          <w:sz w:val="32"/>
          <w:szCs w:val="32"/>
        </w:rPr>
        <w:t>21.资源勘探工业信息等（类）…（款）…（项）：指……。</w:t>
      </w:r>
    </w:p>
    <w:p>
      <w:pPr>
        <w:ind w:firstLine="640" w:firstLineChars="200"/>
        <w:rPr>
          <w:rFonts w:ascii="仿宋_GB2312" w:eastAsia="仿宋_GB2312"/>
          <w:sz w:val="32"/>
          <w:szCs w:val="32"/>
        </w:rPr>
      </w:pPr>
      <w:r>
        <w:rPr>
          <w:rFonts w:hint="eastAsia" w:ascii="仿宋_GB2312" w:eastAsia="仿宋_GB2312"/>
          <w:sz w:val="32"/>
          <w:szCs w:val="32"/>
        </w:rPr>
        <w:t>22.商业服务业（类）…（款）…（项）：指……。</w:t>
      </w:r>
    </w:p>
    <w:p>
      <w:pPr>
        <w:ind w:firstLine="640" w:firstLineChars="200"/>
        <w:rPr>
          <w:rFonts w:ascii="仿宋_GB2312" w:eastAsia="仿宋_GB2312"/>
          <w:sz w:val="32"/>
          <w:szCs w:val="32"/>
        </w:rPr>
      </w:pPr>
      <w:r>
        <w:rPr>
          <w:rFonts w:hint="eastAsia" w:ascii="仿宋_GB2312" w:eastAsia="仿宋_GB2312"/>
          <w:sz w:val="32"/>
          <w:szCs w:val="32"/>
        </w:rPr>
        <w:t>23.金融（类）…（款）…（项）：指……。</w:t>
      </w:r>
    </w:p>
    <w:p>
      <w:pPr>
        <w:ind w:firstLine="640" w:firstLineChars="200"/>
        <w:rPr>
          <w:rFonts w:ascii="仿宋_GB2312" w:eastAsia="仿宋_GB2312"/>
          <w:sz w:val="32"/>
          <w:szCs w:val="32"/>
        </w:rPr>
      </w:pPr>
      <w:r>
        <w:rPr>
          <w:rFonts w:hint="eastAsia" w:ascii="仿宋_GB2312" w:eastAsia="仿宋_GB2312"/>
          <w:sz w:val="32"/>
          <w:szCs w:val="32"/>
        </w:rPr>
        <w:t>24.自然资源海洋气象等（类）…（款）…（项）：指……。</w:t>
      </w:r>
    </w:p>
    <w:p>
      <w:pPr>
        <w:ind w:firstLine="640" w:firstLineChars="200"/>
        <w:rPr>
          <w:rFonts w:ascii="仿宋_GB2312" w:eastAsia="仿宋_GB2312"/>
          <w:sz w:val="32"/>
          <w:szCs w:val="32"/>
        </w:rPr>
      </w:pPr>
      <w:r>
        <w:rPr>
          <w:rFonts w:hint="eastAsia" w:ascii="仿宋_GB2312" w:eastAsia="仿宋_GB2312"/>
          <w:sz w:val="32"/>
          <w:szCs w:val="32"/>
        </w:rPr>
        <w:t>25.住房保障（类）…（款）…（项）：指……。</w:t>
      </w:r>
    </w:p>
    <w:p>
      <w:pPr>
        <w:ind w:firstLine="640" w:firstLineChars="200"/>
        <w:rPr>
          <w:rFonts w:ascii="仿宋_GB2312" w:eastAsia="仿宋_GB2312"/>
          <w:sz w:val="32"/>
          <w:szCs w:val="32"/>
        </w:rPr>
      </w:pPr>
      <w:r>
        <w:rPr>
          <w:rFonts w:hint="eastAsia" w:ascii="仿宋_GB2312" w:eastAsia="仿宋_GB2312"/>
          <w:sz w:val="32"/>
          <w:szCs w:val="32"/>
        </w:rPr>
        <w:t>26.粮油物资储备（类）…（款）…（项）：指……。</w:t>
      </w:r>
    </w:p>
    <w:p>
      <w:pPr>
        <w:ind w:firstLine="640" w:firstLineChars="200"/>
        <w:rPr>
          <w:rFonts w:ascii="仿宋_GB2312" w:eastAsia="仿宋_GB2312"/>
          <w:sz w:val="32"/>
          <w:szCs w:val="32"/>
        </w:rPr>
      </w:pPr>
      <w:r>
        <w:rPr>
          <w:rFonts w:hint="eastAsia" w:ascii="仿宋_GB2312" w:eastAsia="仿宋_GB2312"/>
          <w:sz w:val="32"/>
          <w:szCs w:val="32"/>
        </w:rPr>
        <w:t>27.基本支出：指为保障机构正常运转、完成日常工作任务而发生的人员支出和公用支出。</w:t>
      </w:r>
    </w:p>
    <w:p>
      <w:pPr>
        <w:ind w:firstLine="640" w:firstLineChars="200"/>
        <w:rPr>
          <w:rFonts w:ascii="仿宋_GB2312" w:eastAsia="仿宋_GB2312"/>
          <w:sz w:val="32"/>
          <w:szCs w:val="32"/>
        </w:rPr>
      </w:pPr>
      <w:r>
        <w:rPr>
          <w:rFonts w:hint="eastAsia" w:ascii="仿宋_GB2312" w:eastAsia="仿宋_GB2312"/>
          <w:sz w:val="32"/>
          <w:szCs w:val="32"/>
        </w:rPr>
        <w:t xml:space="preserve">28.项目支出：指在基本支出之外为完成特定行政任务和事业发展目标所发生的支出。 </w:t>
      </w:r>
    </w:p>
    <w:p>
      <w:pPr>
        <w:ind w:firstLine="640" w:firstLineChars="200"/>
        <w:rPr>
          <w:rFonts w:ascii="仿宋_GB2312" w:eastAsia="仿宋_GB2312"/>
          <w:sz w:val="32"/>
          <w:szCs w:val="32"/>
        </w:rPr>
      </w:pPr>
      <w:r>
        <w:rPr>
          <w:rFonts w:hint="eastAsia" w:ascii="仿宋_GB2312" w:eastAsia="仿宋_GB2312"/>
          <w:sz w:val="32"/>
          <w:szCs w:val="32"/>
        </w:rPr>
        <w:t>29.经营支出：指事业单位在专业业务活动及其辅助活动之外开展非独立核算经营活动发生的支出。</w:t>
      </w:r>
    </w:p>
    <w:p>
      <w:pPr>
        <w:ind w:firstLine="640" w:firstLineChars="200"/>
        <w:rPr>
          <w:rFonts w:ascii="仿宋_GB2312" w:eastAsia="仿宋_GB2312"/>
          <w:sz w:val="32"/>
          <w:szCs w:val="32"/>
        </w:rPr>
      </w:pPr>
      <w:r>
        <w:rPr>
          <w:rFonts w:hint="eastAsia" w:ascii="仿宋_GB2312" w:eastAsia="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ind w:firstLine="640" w:firstLineChars="200"/>
        <w:rPr>
          <w:rFonts w:ascii="仿宋_GB2312" w:eastAsia="仿宋_GB2312"/>
          <w:sz w:val="32"/>
          <w:szCs w:val="32"/>
        </w:rPr>
      </w:pPr>
      <w:r>
        <w:rPr>
          <w:rFonts w:hint="eastAsia" w:ascii="仿宋_GB2312" w:eastAsia="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643" w:firstLineChars="200"/>
        <w:rPr>
          <w:rFonts w:hint="eastAsia" w:ascii="仿宋" w:hAnsi="仿宋" w:eastAsia="仿宋"/>
          <w:b/>
          <w:sz w:val="32"/>
          <w:szCs w:val="32"/>
        </w:rPr>
      </w:pPr>
      <w:r>
        <w:rPr>
          <w:rFonts w:ascii="仿宋" w:hAnsi="仿宋" w:eastAsia="仿宋"/>
          <w:b/>
          <w:sz w:val="32"/>
          <w:szCs w:val="32"/>
        </w:rPr>
        <w:br w:type="page"/>
      </w:r>
    </w:p>
    <w:p>
      <w:pPr>
        <w:pStyle w:val="4"/>
        <w:jc w:val="center"/>
        <w:rPr>
          <w:rFonts w:hint="eastAsia" w:ascii="黑体" w:hAnsi="黑体" w:eastAsia="黑体"/>
          <w:b w:val="0"/>
        </w:rPr>
      </w:pPr>
      <w:bookmarkStart w:id="87" w:name="_Toc7941"/>
      <w:bookmarkStart w:id="88" w:name="_Toc14470"/>
      <w:r>
        <w:rPr>
          <w:rFonts w:hint="eastAsia" w:ascii="黑体" w:hAnsi="黑体" w:eastAsia="黑体"/>
          <w:b w:val="0"/>
        </w:rPr>
        <w:t>第四部分 附件</w:t>
      </w:r>
      <w:bookmarkEnd w:id="87"/>
      <w:bookmarkEnd w:id="88"/>
    </w:p>
    <w:p/>
    <w:p>
      <w:pPr>
        <w:rPr>
          <w:rFonts w:hint="eastAsia" w:ascii="黑体" w:hAnsi="黑体" w:eastAsia="黑体"/>
          <w:sz w:val="32"/>
          <w:szCs w:val="32"/>
        </w:rPr>
      </w:pPr>
      <w:r>
        <w:rPr>
          <w:rFonts w:hint="eastAsia" w:ascii="黑体" w:hAnsi="黑体" w:eastAsia="黑体"/>
          <w:sz w:val="32"/>
          <w:szCs w:val="32"/>
        </w:rPr>
        <w:t>附件1</w:t>
      </w:r>
    </w:p>
    <w:p>
      <w:pPr>
        <w:jc w:val="center"/>
        <w:rPr>
          <w:rFonts w:hint="eastAsia" w:ascii="方正小标宋简体" w:hAnsi="方正小标宋简体" w:eastAsia="方正小标宋简体"/>
          <w:sz w:val="44"/>
          <w:szCs w:val="44"/>
        </w:rPr>
      </w:pPr>
      <w:r>
        <w:rPr>
          <w:rFonts w:hint="eastAsia" w:ascii="方正小标宋简体" w:hAnsi="方正小标宋简体" w:eastAsia="方正小标宋简体"/>
          <w:sz w:val="44"/>
          <w:szCs w:val="44"/>
        </w:rPr>
        <w:t>部门预算绩效评价报告</w:t>
      </w:r>
    </w:p>
    <w:p/>
    <w:p>
      <w:pPr>
        <w:rPr>
          <w:rFonts w:hint="eastAsia" w:ascii="黑体" w:hAnsi="黑体" w:eastAsia="黑体"/>
          <w:sz w:val="32"/>
          <w:szCs w:val="32"/>
        </w:rPr>
      </w:pPr>
      <w:r>
        <w:rPr>
          <w:rFonts w:hint="eastAsia" w:ascii="黑体" w:hAnsi="黑体" w:eastAsia="黑体"/>
          <w:sz w:val="32"/>
          <w:szCs w:val="32"/>
        </w:rPr>
        <w:t>一、部门（单位）基本情况</w:t>
      </w:r>
    </w:p>
    <w:p>
      <w:pPr>
        <w:ind w:firstLine="643" w:firstLineChars="200"/>
        <w:rPr>
          <w:rFonts w:ascii="楷体_GB2312" w:eastAsia="楷体_GB2312"/>
          <w:b/>
          <w:sz w:val="32"/>
          <w:szCs w:val="32"/>
        </w:rPr>
      </w:pPr>
      <w:r>
        <w:rPr>
          <w:rFonts w:hint="eastAsia" w:ascii="楷体_GB2312" w:eastAsia="楷体_GB2312"/>
          <w:b/>
          <w:sz w:val="32"/>
          <w:szCs w:val="32"/>
        </w:rPr>
        <w:t>（一）机构组成。</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局共设置25个内设机构，分别是：指挥中心、政治安全保卫大队、治安管理大队、出入境管理大队、刑事侦查大队、交通管理大队、网络大队、法制大队、纪检监察室、政工室、警务保障室、草原骑警大队、红原县看守所、红原县拘留所、红原县公安局刷经寺派出所、红原县公安局龙日派出所、红原县公安局安曲派出所、红原县公安局江茸派出所、红原县公安局查尔玛派出所、红原县公安局邛溪派出所、红原县公安局阿木派出所、红原县公安局瓦切派出所、红原县公安局麦洼寺派出所、红原县公安局色地派出所、红原县公安局麦洼派出所。</w:t>
      </w:r>
    </w:p>
    <w:p>
      <w:pPr>
        <w:numPr>
          <w:ilvl w:val="0"/>
          <w:numId w:val="5"/>
        </w:numPr>
        <w:spacing w:line="560" w:lineRule="exact"/>
        <w:ind w:firstLine="643" w:firstLineChars="200"/>
        <w:rPr>
          <w:rFonts w:ascii="楷体_GB2312" w:eastAsia="楷体_GB2312"/>
          <w:b/>
          <w:sz w:val="32"/>
          <w:szCs w:val="32"/>
        </w:rPr>
      </w:pPr>
      <w:r>
        <w:rPr>
          <w:rFonts w:hint="eastAsia" w:ascii="楷体_GB2312" w:eastAsia="楷体_GB2312"/>
          <w:b/>
          <w:sz w:val="32"/>
          <w:szCs w:val="32"/>
        </w:rPr>
        <w:t>机构职能。</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1.贯彻执行国家的法律、法规和公安工作的方针、政策；拟订全县公安工作的规定和实施办法；对全县公安机关实施组织领导和指挥；部署、指导、监督和检查全县公安工作。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2.掌握影响社会稳定、危害国内安全和社会治安的情况，分析形势，制定对策。</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3.组织实施并指导全县公安机关侦查工作，组织、协调处置重大案件、治安事件、治安事故和重大群体性事件、骚乱。</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4.组织实施并指导全县公安机关依法查处违反治安管理行为，依法开展治安行政管理工作；指导、监督全县公安机关治安保卫工作。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5.组织指导出入境和外国人在县境内居留、旅行的有关管理工作，组织指导全县公安外事工作。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6.组织实施并指导全县公安机关维护道路交通安全、交通秩序以及机动车辆、驾驶人管理工作。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7.组织实施并指导、监督全县公共信息网络的安全保护工作，负责信息安全等级保护工作的监督、检查、指导。</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8.指导、监督全县公安机关依法承担的执行行政、刑事强制措施工作，组织实施并指导、监督全县看守所、拘留所的管理工作，规划和指导全县监所建设。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9.组织实施并指导全县公安法制建设；指导、检查、监督全县公安机关执法活动。</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10.组织实施并指导全县公安机关开展禁毒和缉毒工作，承担县禁毒委员会办公室的日常工作。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11.组织、指导、协调对全县恐怖活动的防范、侦察、处置工作，承办县反恐怖工作协调小组办公室的日常工作。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12.组织实施全县公安科学技术工作，规划公安指挥系统、信息技术、刑事技术和技术侦察建设。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13.拟定并组织落实全县公安被装、装备、经费的配备标准和制度。</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14.指导全县公安政治工作和队伍建设；组织实施并指导、管理全县公安宣传、教育、训练工作。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制定全县公安队伍监督管理工作规章制度，分析队伍状况；组织实施并指导全县公安机关督察工作，按规定权限实施对干部的监督，查处或督办公安队伍重大和较大违纪案件；指导全县公安队伍思想作风、工作作风建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16.承办县委、县政府、州公安局、省公安厅交办的其他事项。</w:t>
      </w:r>
    </w:p>
    <w:p>
      <w:pPr>
        <w:ind w:firstLine="643" w:firstLineChars="200"/>
        <w:rPr>
          <w:rFonts w:ascii="楷体_GB2312" w:eastAsia="楷体_GB2312"/>
          <w:b/>
          <w:sz w:val="32"/>
          <w:szCs w:val="32"/>
        </w:rPr>
      </w:pPr>
      <w:r>
        <w:rPr>
          <w:rFonts w:hint="eastAsia" w:ascii="楷体_GB2312" w:eastAsia="楷体_GB2312"/>
          <w:b/>
          <w:sz w:val="32"/>
          <w:szCs w:val="32"/>
        </w:rPr>
        <w:t>（三）人员概况。</w:t>
      </w:r>
    </w:p>
    <w:p>
      <w:pPr>
        <w:ind w:firstLine="640" w:firstLineChars="200"/>
        <w:rPr>
          <w:rFonts w:ascii="仿宋_GB2312" w:eastAsia="仿宋_GB2312"/>
          <w:sz w:val="32"/>
          <w:szCs w:val="32"/>
          <w:highlight w:val="none"/>
        </w:rPr>
      </w:pPr>
      <w:r>
        <w:rPr>
          <w:rFonts w:hint="eastAsia" w:ascii="仿宋_GB2312" w:hAnsi="仿宋_GB2312" w:eastAsia="仿宋_GB2312" w:cs="仿宋_GB2312"/>
          <w:sz w:val="32"/>
          <w:szCs w:val="32"/>
          <w:highlight w:val="none"/>
        </w:rPr>
        <w:t>我单位为独立核算全额拨款行政单位,截止202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年底我单位共有编制181个，其中政法编制</w:t>
      </w:r>
      <w:r>
        <w:rPr>
          <w:rFonts w:hint="eastAsia" w:ascii="仿宋_GB2312" w:hAnsi="仿宋_GB2312" w:eastAsia="仿宋_GB2312" w:cs="仿宋_GB2312"/>
          <w:sz w:val="32"/>
          <w:szCs w:val="32"/>
          <w:highlight w:val="none"/>
          <w:lang w:val="en-US" w:eastAsia="zh-CN"/>
        </w:rPr>
        <w:t>172</w:t>
      </w:r>
      <w:r>
        <w:rPr>
          <w:rFonts w:hint="eastAsia" w:ascii="仿宋_GB2312" w:hAnsi="仿宋_GB2312" w:eastAsia="仿宋_GB2312" w:cs="仿宋_GB2312"/>
          <w:sz w:val="32"/>
          <w:szCs w:val="32"/>
          <w:highlight w:val="none"/>
        </w:rPr>
        <w:t>个，行政工勤编制9个，</w:t>
      </w:r>
      <w:r>
        <w:rPr>
          <w:rFonts w:hint="eastAsia" w:ascii="仿宋_GB2312" w:hAnsi="仿宋_GB2312" w:eastAsia="仿宋_GB2312" w:cs="仿宋_GB2312"/>
          <w:sz w:val="32"/>
          <w:szCs w:val="32"/>
          <w:highlight w:val="none"/>
          <w:lang w:val="en-US" w:eastAsia="zh-CN"/>
        </w:rPr>
        <w:t>年末</w:t>
      </w:r>
      <w:r>
        <w:rPr>
          <w:rFonts w:hint="eastAsia" w:ascii="仿宋_GB2312" w:hAnsi="仿宋_GB2312" w:eastAsia="仿宋_GB2312" w:cs="仿宋_GB2312"/>
          <w:sz w:val="32"/>
          <w:szCs w:val="32"/>
          <w:highlight w:val="none"/>
        </w:rPr>
        <w:t>在职</w:t>
      </w:r>
      <w:r>
        <w:rPr>
          <w:rFonts w:hint="eastAsia" w:ascii="仿宋_GB2312" w:hAnsi="仿宋_GB2312" w:eastAsia="仿宋_GB2312" w:cs="仿宋_GB2312"/>
          <w:sz w:val="32"/>
          <w:szCs w:val="32"/>
          <w:highlight w:val="none"/>
          <w:lang w:val="en-US" w:eastAsia="zh-CN"/>
        </w:rPr>
        <w:t>实有人数171</w:t>
      </w:r>
      <w:r>
        <w:rPr>
          <w:rFonts w:hint="eastAsia" w:ascii="仿宋_GB2312" w:hAnsi="仿宋_GB2312" w:eastAsia="仿宋_GB2312" w:cs="仿宋_GB2312"/>
          <w:sz w:val="32"/>
          <w:szCs w:val="32"/>
          <w:highlight w:val="none"/>
        </w:rPr>
        <w:t>人，其中公安民警</w:t>
      </w:r>
      <w:r>
        <w:rPr>
          <w:rFonts w:hint="eastAsia" w:ascii="仿宋_GB2312" w:hAnsi="仿宋_GB2312" w:eastAsia="仿宋_GB2312" w:cs="仿宋_GB2312"/>
          <w:sz w:val="32"/>
          <w:szCs w:val="32"/>
          <w:highlight w:val="none"/>
          <w:lang w:val="en-US" w:eastAsia="zh-CN"/>
        </w:rPr>
        <w:t>162</w:t>
      </w:r>
      <w:r>
        <w:rPr>
          <w:rFonts w:hint="eastAsia" w:ascii="仿宋_GB2312" w:hAnsi="仿宋_GB2312" w:eastAsia="仿宋_GB2312" w:cs="仿宋_GB2312"/>
          <w:sz w:val="32"/>
          <w:szCs w:val="32"/>
          <w:highlight w:val="none"/>
        </w:rPr>
        <w:t>人，行政工勤</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人。</w:t>
      </w:r>
    </w:p>
    <w:p>
      <w:pPr>
        <w:rPr>
          <w:rFonts w:hint="eastAsia" w:ascii="黑体" w:hAnsi="黑体" w:eastAsia="黑体"/>
          <w:sz w:val="32"/>
          <w:szCs w:val="32"/>
          <w:highlight w:val="none"/>
        </w:rPr>
      </w:pPr>
      <w:r>
        <w:rPr>
          <w:rFonts w:hint="eastAsia" w:ascii="黑体" w:hAnsi="黑体" w:eastAsia="黑体"/>
          <w:sz w:val="32"/>
          <w:szCs w:val="32"/>
          <w:highlight w:val="none"/>
        </w:rPr>
        <w:t>二、部门资金收支情况</w:t>
      </w:r>
    </w:p>
    <w:p>
      <w:pPr>
        <w:widowControl/>
        <w:adjustRightInd w:val="0"/>
        <w:snapToGrid w:val="0"/>
        <w:spacing w:line="578" w:lineRule="exact"/>
        <w:ind w:firstLine="643" w:firstLineChars="200"/>
        <w:contextualSpacing/>
        <w:jc w:val="left"/>
        <w:rPr>
          <w:rFonts w:ascii="楷体_GB2312" w:eastAsia="楷体_GB2312"/>
          <w:b/>
          <w:sz w:val="32"/>
          <w:szCs w:val="32"/>
        </w:rPr>
      </w:pPr>
      <w:r>
        <w:rPr>
          <w:rFonts w:hint="eastAsia" w:ascii="楷体_GB2312" w:eastAsia="楷体_GB2312"/>
          <w:b/>
          <w:sz w:val="32"/>
          <w:szCs w:val="32"/>
        </w:rPr>
        <w:t>（一）收入情况。</w:t>
      </w:r>
    </w:p>
    <w:p>
      <w:pPr>
        <w:widowControl/>
        <w:adjustRightInd w:val="0"/>
        <w:snapToGrid w:val="0"/>
        <w:spacing w:line="578" w:lineRule="exact"/>
        <w:ind w:firstLine="640" w:firstLineChars="200"/>
        <w:contextualSpacing/>
        <w:jc w:val="left"/>
        <w:rPr>
          <w:rFonts w:ascii="仿宋_GB2312" w:eastAsia="仿宋_GB2312"/>
          <w:sz w:val="32"/>
          <w:szCs w:val="32"/>
        </w:rPr>
      </w:pPr>
      <w:r>
        <w:rPr>
          <w:rFonts w:hint="eastAsia" w:ascii="仿宋_GB2312" w:hAnsi="仿宋" w:eastAsia="仿宋_GB2312"/>
          <w:sz w:val="32"/>
          <w:szCs w:val="32"/>
        </w:rPr>
        <w:t>本单位</w:t>
      </w:r>
      <w:r>
        <w:rPr>
          <w:rFonts w:hint="eastAsia" w:ascii="仿宋_GB2312" w:hAnsi="仿宋"/>
          <w:sz w:val="32"/>
          <w:szCs w:val="32"/>
        </w:rPr>
        <w:t>202</w:t>
      </w:r>
      <w:r>
        <w:rPr>
          <w:rFonts w:hint="eastAsia" w:ascii="仿宋_GB2312" w:hAnsi="仿宋"/>
          <w:sz w:val="32"/>
          <w:szCs w:val="32"/>
          <w:lang w:val="en-US" w:eastAsia="zh-CN"/>
        </w:rPr>
        <w:t>5</w:t>
      </w:r>
      <w:r>
        <w:rPr>
          <w:rFonts w:hint="eastAsia" w:ascii="仿宋_GB2312" w:hAnsi="仿宋"/>
          <w:sz w:val="32"/>
          <w:szCs w:val="32"/>
        </w:rPr>
        <w:t>年</w:t>
      </w:r>
      <w:r>
        <w:rPr>
          <w:rFonts w:hint="eastAsia" w:ascii="仿宋_GB2312" w:hAnsi="仿宋" w:eastAsia="仿宋_GB2312"/>
          <w:sz w:val="32"/>
          <w:szCs w:val="32"/>
        </w:rPr>
        <w:t>收入全年预算数为</w:t>
      </w:r>
      <w:r>
        <w:rPr>
          <w:rFonts w:hint="eastAsia" w:ascii="仿宋_GB2312" w:hAnsi="仿宋" w:eastAsia="仿宋_GB2312"/>
          <w:sz w:val="32"/>
          <w:szCs w:val="32"/>
          <w:lang w:val="en-US" w:eastAsia="zh-CN"/>
        </w:rPr>
        <w:t>11775.87</w:t>
      </w:r>
      <w:r>
        <w:rPr>
          <w:rFonts w:hint="eastAsia" w:ascii="仿宋_GB2312" w:hAnsi="仿宋" w:eastAsia="仿宋_GB2312"/>
          <w:sz w:val="32"/>
          <w:szCs w:val="32"/>
        </w:rPr>
        <w:t>万元，收入决算数为</w:t>
      </w:r>
      <w:r>
        <w:rPr>
          <w:rFonts w:hint="eastAsia" w:ascii="仿宋_GB2312" w:hAnsi="仿宋" w:eastAsia="仿宋_GB2312"/>
          <w:sz w:val="32"/>
          <w:szCs w:val="32"/>
          <w:lang w:val="en-US" w:eastAsia="zh-CN"/>
        </w:rPr>
        <w:t>9164.24</w:t>
      </w:r>
      <w:r>
        <w:rPr>
          <w:rFonts w:hint="eastAsia" w:ascii="仿宋_GB2312" w:hAnsi="仿宋" w:eastAsia="仿宋_GB2312"/>
          <w:sz w:val="32"/>
          <w:szCs w:val="32"/>
        </w:rPr>
        <w:t>万元，预算完成度为</w:t>
      </w:r>
      <w:r>
        <w:rPr>
          <w:rFonts w:hint="eastAsia" w:ascii="仿宋_GB2312" w:hAnsi="仿宋" w:eastAsia="仿宋_GB2312"/>
          <w:sz w:val="32"/>
          <w:szCs w:val="32"/>
          <w:lang w:val="en-US" w:eastAsia="zh-CN"/>
        </w:rPr>
        <w:t>77.82</w:t>
      </w:r>
      <w:r>
        <w:rPr>
          <w:rFonts w:hint="eastAsia" w:ascii="仿宋_GB2312" w:hAnsi="仿宋" w:eastAsia="仿宋_GB2312"/>
          <w:sz w:val="32"/>
          <w:szCs w:val="32"/>
        </w:rPr>
        <w:t>%</w:t>
      </w:r>
      <w:r>
        <w:rPr>
          <w:rFonts w:hint="eastAsia" w:ascii="仿宋_GB2312" w:hAnsi="仿宋"/>
          <w:sz w:val="32"/>
          <w:szCs w:val="32"/>
        </w:rPr>
        <w:t>。</w:t>
      </w:r>
      <w:r>
        <w:rPr>
          <w:rFonts w:hint="eastAsia" w:eastAsia="仿宋_GB2312"/>
          <w:sz w:val="32"/>
          <w:szCs w:val="32"/>
          <w:lang w:val="zh-CN"/>
        </w:rPr>
        <w:t>20</w:t>
      </w:r>
      <w:r>
        <w:rPr>
          <w:rFonts w:hint="eastAsia" w:eastAsia="仿宋_GB2312"/>
          <w:sz w:val="32"/>
          <w:szCs w:val="32"/>
        </w:rPr>
        <w:t>2</w:t>
      </w:r>
      <w:r>
        <w:rPr>
          <w:rFonts w:hint="eastAsia" w:eastAsia="仿宋_GB2312"/>
          <w:sz w:val="32"/>
          <w:szCs w:val="32"/>
          <w:lang w:val="en-US" w:eastAsia="zh-CN"/>
        </w:rPr>
        <w:t>5</w:t>
      </w:r>
      <w:r>
        <w:rPr>
          <w:rFonts w:hint="eastAsia" w:eastAsia="仿宋_GB2312"/>
          <w:sz w:val="32"/>
          <w:szCs w:val="32"/>
          <w:lang w:val="zh-CN"/>
        </w:rPr>
        <w:t>年</w:t>
      </w:r>
      <w:r>
        <w:rPr>
          <w:rFonts w:hint="eastAsia"/>
          <w:sz w:val="32"/>
          <w:szCs w:val="32"/>
        </w:rPr>
        <w:t>总</w:t>
      </w:r>
      <w:r>
        <w:rPr>
          <w:rFonts w:hint="eastAsia" w:eastAsia="仿宋_GB2312"/>
          <w:sz w:val="32"/>
          <w:szCs w:val="32"/>
          <w:lang w:val="zh-CN"/>
        </w:rPr>
        <w:t>收入</w:t>
      </w:r>
      <w:r>
        <w:rPr>
          <w:rFonts w:hint="eastAsia" w:eastAsia="仿宋_GB2312"/>
          <w:sz w:val="32"/>
          <w:szCs w:val="32"/>
          <w:lang w:val="en-US" w:eastAsia="zh-CN"/>
        </w:rPr>
        <w:t>9164.24</w:t>
      </w:r>
      <w:r>
        <w:rPr>
          <w:rFonts w:hint="eastAsia" w:eastAsia="仿宋_GB2312"/>
          <w:sz w:val="32"/>
          <w:szCs w:val="32"/>
          <w:lang w:val="zh-CN"/>
        </w:rPr>
        <w:t>万元，其中：财政拨款收入</w:t>
      </w:r>
      <w:r>
        <w:rPr>
          <w:rFonts w:hint="eastAsia" w:eastAsia="仿宋_GB2312"/>
          <w:sz w:val="32"/>
          <w:szCs w:val="32"/>
          <w:lang w:val="en-US" w:eastAsia="zh-CN"/>
        </w:rPr>
        <w:t>9164.24</w:t>
      </w:r>
      <w:r>
        <w:rPr>
          <w:rFonts w:hint="eastAsia" w:eastAsia="仿宋_GB2312"/>
          <w:sz w:val="32"/>
          <w:szCs w:val="32"/>
          <w:lang w:val="zh-CN"/>
        </w:rPr>
        <w:t>万元，占</w:t>
      </w:r>
      <w:r>
        <w:rPr>
          <w:rFonts w:hint="eastAsia" w:eastAsia="仿宋_GB2312"/>
          <w:sz w:val="32"/>
          <w:szCs w:val="32"/>
          <w:lang w:val="en-US" w:eastAsia="zh-CN"/>
        </w:rPr>
        <w:t>100</w:t>
      </w:r>
      <w:r>
        <w:rPr>
          <w:rFonts w:hint="eastAsia" w:eastAsia="仿宋_GB2312"/>
          <w:sz w:val="32"/>
          <w:szCs w:val="32"/>
          <w:lang w:val="zh-CN"/>
        </w:rPr>
        <w:t>%</w:t>
      </w:r>
      <w:r>
        <w:rPr>
          <w:rFonts w:hint="eastAsia"/>
          <w:sz w:val="32"/>
          <w:szCs w:val="32"/>
          <w:lang w:val="zh-CN"/>
        </w:rPr>
        <w:t>，</w:t>
      </w:r>
      <w:r>
        <w:rPr>
          <w:rFonts w:hint="eastAsia" w:eastAsia="仿宋_GB2312"/>
          <w:sz w:val="32"/>
          <w:szCs w:val="32"/>
        </w:rPr>
        <w:t xml:space="preserve">其他收入为 </w:t>
      </w:r>
      <w:r>
        <w:rPr>
          <w:rFonts w:hint="eastAsia" w:eastAsia="仿宋_GB2312"/>
          <w:sz w:val="32"/>
          <w:szCs w:val="32"/>
          <w:lang w:val="en-US" w:eastAsia="zh-CN"/>
        </w:rPr>
        <w:t>0</w:t>
      </w:r>
      <w:r>
        <w:rPr>
          <w:rFonts w:hint="eastAsia" w:eastAsia="仿宋_GB2312"/>
          <w:sz w:val="32"/>
          <w:szCs w:val="32"/>
        </w:rPr>
        <w:t>万元，占比</w:t>
      </w:r>
      <w:r>
        <w:rPr>
          <w:rFonts w:hint="eastAsia" w:eastAsia="仿宋_GB2312"/>
          <w:sz w:val="32"/>
          <w:szCs w:val="32"/>
          <w:lang w:val="en-US" w:eastAsia="zh-CN"/>
        </w:rPr>
        <w:t>0</w:t>
      </w:r>
      <w:r>
        <w:rPr>
          <w:rFonts w:hint="eastAsia" w:eastAsia="仿宋_GB2312"/>
          <w:sz w:val="32"/>
          <w:szCs w:val="32"/>
        </w:rPr>
        <w:t>%</w:t>
      </w:r>
      <w:r>
        <w:rPr>
          <w:rFonts w:hint="eastAsia"/>
          <w:sz w:val="32"/>
          <w:szCs w:val="32"/>
        </w:rPr>
        <w:t>。</w:t>
      </w:r>
    </w:p>
    <w:p>
      <w:pPr>
        <w:widowControl/>
        <w:numPr>
          <w:ilvl w:val="0"/>
          <w:numId w:val="5"/>
        </w:numPr>
        <w:adjustRightInd w:val="0"/>
        <w:snapToGrid w:val="0"/>
        <w:spacing w:line="560" w:lineRule="exact"/>
        <w:ind w:firstLine="643" w:firstLineChars="200"/>
        <w:jc w:val="left"/>
        <w:rPr>
          <w:rFonts w:ascii="楷体_GB2312" w:eastAsia="楷体_GB2312"/>
          <w:b/>
          <w:sz w:val="32"/>
          <w:szCs w:val="32"/>
        </w:rPr>
      </w:pPr>
      <w:r>
        <w:rPr>
          <w:rFonts w:hint="eastAsia" w:ascii="楷体_GB2312" w:eastAsia="楷体_GB2312"/>
          <w:b/>
          <w:sz w:val="32"/>
          <w:szCs w:val="32"/>
        </w:rPr>
        <w:t>支出情况。</w:t>
      </w:r>
    </w:p>
    <w:p>
      <w:pPr>
        <w:widowControl/>
        <w:adjustRightInd w:val="0"/>
        <w:snapToGrid w:val="0"/>
        <w:spacing w:line="560" w:lineRule="exact"/>
        <w:ind w:firstLine="640" w:firstLineChars="200"/>
        <w:jc w:val="left"/>
        <w:rPr>
          <w:rFonts w:ascii="仿宋_GB2312" w:eastAsia="仿宋_GB2312"/>
          <w:sz w:val="32"/>
          <w:szCs w:val="32"/>
        </w:rPr>
      </w:pPr>
      <w:r>
        <w:rPr>
          <w:rFonts w:hint="eastAsia" w:ascii="仿宋_GB2312" w:hAnsi="仿宋" w:eastAsia="仿宋_GB2312"/>
          <w:sz w:val="32"/>
          <w:szCs w:val="32"/>
        </w:rPr>
        <w:t>本单位</w:t>
      </w:r>
      <w:r>
        <w:rPr>
          <w:rFonts w:hint="eastAsia" w:ascii="仿宋_GB2312" w:hAnsi="仿宋"/>
          <w:sz w:val="32"/>
          <w:szCs w:val="32"/>
        </w:rPr>
        <w:t>202</w:t>
      </w:r>
      <w:r>
        <w:rPr>
          <w:rFonts w:hint="eastAsia" w:ascii="仿宋_GB2312" w:hAnsi="仿宋"/>
          <w:sz w:val="32"/>
          <w:szCs w:val="32"/>
          <w:lang w:val="en-US" w:eastAsia="zh-CN"/>
        </w:rPr>
        <w:t>5</w:t>
      </w:r>
      <w:r>
        <w:rPr>
          <w:rFonts w:hint="eastAsia" w:ascii="仿宋_GB2312" w:hAnsi="仿宋"/>
          <w:sz w:val="32"/>
          <w:szCs w:val="32"/>
        </w:rPr>
        <w:t>年支出</w:t>
      </w:r>
      <w:r>
        <w:rPr>
          <w:rFonts w:hint="eastAsia" w:ascii="仿宋_GB2312" w:hAnsi="仿宋" w:eastAsia="仿宋_GB2312"/>
          <w:sz w:val="32"/>
          <w:szCs w:val="32"/>
        </w:rPr>
        <w:t>全年预算数为</w:t>
      </w:r>
      <w:r>
        <w:rPr>
          <w:rFonts w:hint="eastAsia" w:ascii="仿宋_GB2312" w:hAnsi="仿宋" w:eastAsia="仿宋_GB2312"/>
          <w:sz w:val="32"/>
          <w:szCs w:val="32"/>
          <w:lang w:val="en-US" w:eastAsia="zh-CN"/>
        </w:rPr>
        <w:t>11775.87</w:t>
      </w:r>
      <w:r>
        <w:rPr>
          <w:rFonts w:hint="eastAsia" w:ascii="仿宋_GB2312" w:hAnsi="仿宋" w:eastAsia="仿宋_GB2312"/>
          <w:sz w:val="32"/>
          <w:szCs w:val="32"/>
        </w:rPr>
        <w:t>万元，</w:t>
      </w:r>
      <w:r>
        <w:rPr>
          <w:rFonts w:hint="eastAsia" w:ascii="仿宋_GB2312" w:hAnsi="仿宋"/>
          <w:sz w:val="32"/>
          <w:szCs w:val="32"/>
        </w:rPr>
        <w:t>支出</w:t>
      </w:r>
      <w:r>
        <w:rPr>
          <w:rFonts w:hint="eastAsia" w:ascii="仿宋_GB2312" w:hAnsi="仿宋" w:eastAsia="仿宋_GB2312"/>
          <w:sz w:val="32"/>
          <w:szCs w:val="32"/>
        </w:rPr>
        <w:t>决算数为</w:t>
      </w:r>
      <w:r>
        <w:rPr>
          <w:rFonts w:hint="eastAsia" w:ascii="仿宋_GB2312" w:hAnsi="仿宋" w:eastAsia="仿宋_GB2312"/>
          <w:sz w:val="32"/>
          <w:szCs w:val="32"/>
          <w:lang w:val="en-US" w:eastAsia="zh-CN"/>
        </w:rPr>
        <w:t>9164.24</w:t>
      </w:r>
      <w:r>
        <w:rPr>
          <w:rFonts w:hint="eastAsia" w:ascii="仿宋_GB2312" w:hAnsi="仿宋" w:eastAsia="仿宋_GB2312"/>
          <w:sz w:val="32"/>
          <w:szCs w:val="32"/>
        </w:rPr>
        <w:t>万元，预算完成度为</w:t>
      </w:r>
      <w:r>
        <w:rPr>
          <w:rFonts w:hint="eastAsia" w:ascii="仿宋_GB2312" w:hAnsi="仿宋" w:eastAsia="仿宋_GB2312"/>
          <w:sz w:val="32"/>
          <w:szCs w:val="32"/>
          <w:lang w:val="en-US" w:eastAsia="zh-CN"/>
        </w:rPr>
        <w:t>77.82</w:t>
      </w:r>
      <w:r>
        <w:rPr>
          <w:rFonts w:hint="eastAsia" w:ascii="仿宋_GB2312" w:hAnsi="仿宋" w:eastAsia="仿宋_GB2312"/>
          <w:sz w:val="32"/>
          <w:szCs w:val="32"/>
        </w:rPr>
        <w:t>%</w:t>
      </w:r>
      <w:r>
        <w:rPr>
          <w:rFonts w:hint="eastAsia" w:ascii="仿宋_GB2312" w:hAnsi="仿宋"/>
          <w:sz w:val="32"/>
          <w:szCs w:val="32"/>
        </w:rPr>
        <w:t>。</w:t>
      </w:r>
      <w:r>
        <w:rPr>
          <w:rFonts w:hint="eastAsia" w:ascii="仿宋_GB2312" w:hAnsi="仿宋" w:eastAsia="仿宋_GB2312" w:cs="仿宋_GB2312"/>
          <w:color w:val="000000"/>
          <w:kern w:val="0"/>
          <w:sz w:val="32"/>
          <w:szCs w:val="32"/>
          <w:lang w:val="zh-CN" w:bidi="ar"/>
        </w:rPr>
        <w:t>20</w:t>
      </w:r>
      <w:r>
        <w:rPr>
          <w:rFonts w:hint="eastAsia" w:ascii="仿宋_GB2312" w:hAnsi="仿宋" w:eastAsia="仿宋_GB2312" w:cs="仿宋_GB2312"/>
          <w:color w:val="000000"/>
          <w:kern w:val="0"/>
          <w:sz w:val="32"/>
          <w:szCs w:val="32"/>
          <w:lang w:bidi="ar"/>
        </w:rPr>
        <w:t>2</w:t>
      </w:r>
      <w:r>
        <w:rPr>
          <w:rFonts w:hint="eastAsia" w:ascii="仿宋_GB2312" w:hAnsi="仿宋" w:eastAsia="仿宋_GB2312" w:cs="仿宋_GB2312"/>
          <w:color w:val="000000"/>
          <w:kern w:val="0"/>
          <w:sz w:val="32"/>
          <w:szCs w:val="32"/>
          <w:lang w:val="en-US" w:eastAsia="zh-CN" w:bidi="ar"/>
        </w:rPr>
        <w:t>5</w:t>
      </w:r>
      <w:r>
        <w:rPr>
          <w:rFonts w:hint="eastAsia" w:ascii="仿宋_GB2312" w:hAnsi="仿宋" w:eastAsia="仿宋_GB2312" w:cs="仿宋_GB2312"/>
          <w:color w:val="000000"/>
          <w:kern w:val="0"/>
          <w:sz w:val="32"/>
          <w:szCs w:val="32"/>
          <w:lang w:val="zh-CN" w:bidi="ar"/>
        </w:rPr>
        <w:t>年支出合</w:t>
      </w:r>
      <w:r>
        <w:rPr>
          <w:rFonts w:hint="eastAsia" w:ascii="仿宋_GB2312" w:hAnsi="仿宋" w:eastAsia="仿宋_GB2312" w:cs="仿宋_GB2312"/>
          <w:color w:val="000000"/>
          <w:kern w:val="0"/>
          <w:sz w:val="32"/>
          <w:szCs w:val="32"/>
          <w:lang w:val="zh-CN" w:eastAsia="zh-CN" w:bidi="ar"/>
        </w:rPr>
        <w:t>计</w:t>
      </w:r>
      <w:r>
        <w:rPr>
          <w:rFonts w:hint="eastAsia" w:ascii="仿宋_GB2312" w:hAnsi="仿宋" w:eastAsia="仿宋_GB2312" w:cs="仿宋_GB2312"/>
          <w:color w:val="000000"/>
          <w:kern w:val="0"/>
          <w:sz w:val="32"/>
          <w:szCs w:val="32"/>
          <w:lang w:val="en-US" w:eastAsia="zh-CN" w:bidi="ar"/>
        </w:rPr>
        <w:t>9164.24</w:t>
      </w:r>
      <w:r>
        <w:rPr>
          <w:rFonts w:hint="eastAsia" w:ascii="仿宋_GB2312" w:hAnsi="仿宋" w:eastAsia="仿宋_GB2312" w:cs="仿宋_GB2312"/>
          <w:color w:val="000000"/>
          <w:kern w:val="0"/>
          <w:sz w:val="32"/>
          <w:szCs w:val="32"/>
          <w:lang w:val="zh-CN" w:eastAsia="zh-CN" w:bidi="ar"/>
        </w:rPr>
        <w:t>万元，</w:t>
      </w:r>
      <w:r>
        <w:rPr>
          <w:rFonts w:hint="eastAsia" w:ascii="仿宋_GB2312" w:hAnsi="仿宋" w:eastAsia="仿宋_GB2312" w:cs="仿宋_GB2312"/>
          <w:color w:val="000000"/>
          <w:kern w:val="0"/>
          <w:sz w:val="32"/>
          <w:szCs w:val="32"/>
          <w:lang w:val="en-US" w:eastAsia="zh-CN" w:bidi="ar"/>
        </w:rPr>
        <w:t>其中：公共安全支出7763.65万元，占比84.72%</w:t>
      </w:r>
      <w:r>
        <w:rPr>
          <w:rFonts w:hint="eastAsia" w:ascii="仿宋_GB2312" w:hAnsi="仿宋_GB2312" w:eastAsia="仿宋_GB2312" w:cs="仿宋_GB2312"/>
          <w:color w:val="000000"/>
          <w:kern w:val="0"/>
          <w:sz w:val="32"/>
          <w:szCs w:val="32"/>
          <w:shd w:val="clear" w:color="auto" w:fill="FFFFFF"/>
        </w:rPr>
        <w:t>；社会保障和就业支出</w:t>
      </w:r>
      <w:r>
        <w:rPr>
          <w:rFonts w:hint="eastAsia" w:ascii="仿宋_GB2312" w:hAnsi="仿宋_GB2312" w:eastAsia="仿宋_GB2312" w:cs="仿宋_GB2312"/>
          <w:color w:val="000000"/>
          <w:kern w:val="0"/>
          <w:sz w:val="32"/>
          <w:szCs w:val="32"/>
          <w:shd w:val="clear" w:color="auto" w:fill="FFFFFF"/>
          <w:lang w:val="en-US" w:eastAsia="zh-CN"/>
        </w:rPr>
        <w:t>716.22</w:t>
      </w:r>
      <w:r>
        <w:rPr>
          <w:rFonts w:hint="eastAsia" w:ascii="仿宋_GB2312" w:hAnsi="仿宋_GB2312" w:eastAsia="仿宋_GB2312" w:cs="仿宋_GB2312"/>
          <w:color w:val="000000"/>
          <w:kern w:val="0"/>
          <w:sz w:val="32"/>
          <w:szCs w:val="32"/>
          <w:shd w:val="clear" w:color="auto" w:fill="FFFFFF"/>
        </w:rPr>
        <w:t>万元，占比</w:t>
      </w:r>
      <w:r>
        <w:rPr>
          <w:rFonts w:hint="eastAsia" w:ascii="仿宋_GB2312" w:hAnsi="仿宋_GB2312" w:eastAsia="仿宋_GB2312" w:cs="仿宋_GB2312"/>
          <w:color w:val="000000"/>
          <w:kern w:val="0"/>
          <w:sz w:val="32"/>
          <w:szCs w:val="32"/>
          <w:shd w:val="clear" w:color="auto" w:fill="FFFFFF"/>
          <w:lang w:val="en-US" w:eastAsia="zh-CN"/>
        </w:rPr>
        <w:t>7.81</w:t>
      </w:r>
      <w:r>
        <w:rPr>
          <w:rFonts w:hint="eastAsia" w:ascii="仿宋_GB2312" w:hAnsi="仿宋_GB2312" w:eastAsia="仿宋_GB2312" w:cs="仿宋_GB2312"/>
          <w:color w:val="000000"/>
          <w:kern w:val="0"/>
          <w:sz w:val="32"/>
          <w:szCs w:val="32"/>
          <w:shd w:val="clear" w:color="auto" w:fill="FFFFFF"/>
        </w:rPr>
        <w:t>%；卫生健康支出</w:t>
      </w:r>
      <w:r>
        <w:rPr>
          <w:rFonts w:hint="eastAsia" w:ascii="仿宋_GB2312" w:hAnsi="仿宋_GB2312" w:eastAsia="仿宋_GB2312" w:cs="仿宋_GB2312"/>
          <w:color w:val="000000"/>
          <w:kern w:val="0"/>
          <w:sz w:val="32"/>
          <w:szCs w:val="32"/>
          <w:shd w:val="clear" w:color="auto" w:fill="FFFFFF"/>
          <w:lang w:val="en-US" w:eastAsia="zh-CN"/>
        </w:rPr>
        <w:t>296.74</w:t>
      </w:r>
      <w:r>
        <w:rPr>
          <w:rFonts w:hint="eastAsia" w:ascii="仿宋_GB2312" w:hAnsi="仿宋_GB2312" w:eastAsia="仿宋_GB2312" w:cs="仿宋_GB2312"/>
          <w:color w:val="000000"/>
          <w:kern w:val="0"/>
          <w:sz w:val="32"/>
          <w:szCs w:val="32"/>
          <w:shd w:val="clear" w:color="auto" w:fill="FFFFFF"/>
        </w:rPr>
        <w:t>万元，占比</w:t>
      </w:r>
      <w:r>
        <w:rPr>
          <w:rFonts w:hint="eastAsia" w:ascii="仿宋_GB2312" w:hAnsi="仿宋_GB2312" w:eastAsia="仿宋_GB2312" w:cs="仿宋_GB2312"/>
          <w:color w:val="000000"/>
          <w:kern w:val="0"/>
          <w:sz w:val="32"/>
          <w:szCs w:val="32"/>
          <w:shd w:val="clear" w:color="auto" w:fill="FFFFFF"/>
          <w:lang w:val="en-US" w:eastAsia="zh-CN"/>
        </w:rPr>
        <w:t>3.24</w:t>
      </w:r>
      <w:r>
        <w:rPr>
          <w:rFonts w:hint="eastAsia" w:ascii="仿宋_GB2312" w:hAnsi="仿宋_GB2312" w:eastAsia="仿宋_GB2312" w:cs="仿宋_GB2312"/>
          <w:color w:val="000000"/>
          <w:kern w:val="0"/>
          <w:sz w:val="32"/>
          <w:szCs w:val="32"/>
          <w:shd w:val="clear" w:color="auto" w:fill="FFFFFF"/>
        </w:rPr>
        <w:t>%；住房保障支出</w:t>
      </w:r>
      <w:r>
        <w:rPr>
          <w:rFonts w:hint="eastAsia" w:ascii="仿宋_GB2312" w:hAnsi="仿宋_GB2312" w:eastAsia="仿宋_GB2312" w:cs="仿宋_GB2312"/>
          <w:color w:val="000000"/>
          <w:kern w:val="0"/>
          <w:sz w:val="32"/>
          <w:szCs w:val="32"/>
          <w:shd w:val="clear" w:color="auto" w:fill="FFFFFF"/>
          <w:lang w:val="en-US" w:eastAsia="zh-CN"/>
        </w:rPr>
        <w:t>387.62</w:t>
      </w:r>
      <w:r>
        <w:rPr>
          <w:rFonts w:hint="eastAsia" w:ascii="仿宋_GB2312" w:hAnsi="仿宋_GB2312" w:eastAsia="仿宋_GB2312" w:cs="仿宋_GB2312"/>
          <w:color w:val="000000"/>
          <w:kern w:val="0"/>
          <w:sz w:val="32"/>
          <w:szCs w:val="32"/>
          <w:shd w:val="clear" w:color="auto" w:fill="FFFFFF"/>
        </w:rPr>
        <w:t>万元，占比</w:t>
      </w:r>
      <w:r>
        <w:rPr>
          <w:rFonts w:hint="eastAsia" w:ascii="仿宋_GB2312" w:hAnsi="仿宋_GB2312" w:eastAsia="仿宋_GB2312" w:cs="仿宋_GB2312"/>
          <w:color w:val="000000"/>
          <w:kern w:val="0"/>
          <w:sz w:val="32"/>
          <w:szCs w:val="32"/>
          <w:shd w:val="clear" w:color="auto" w:fill="FFFFFF"/>
          <w:lang w:val="en-US" w:eastAsia="zh-CN"/>
        </w:rPr>
        <w:t>4.23</w:t>
      </w:r>
      <w:r>
        <w:rPr>
          <w:rFonts w:hint="eastAsia" w:ascii="仿宋_GB2312" w:hAnsi="仿宋_GB2312" w:eastAsia="仿宋_GB2312" w:cs="仿宋_GB2312"/>
          <w:color w:val="000000"/>
          <w:kern w:val="0"/>
          <w:sz w:val="32"/>
          <w:szCs w:val="32"/>
          <w:shd w:val="clear" w:color="auto" w:fill="FFFFFF"/>
        </w:rPr>
        <w:t>%。</w:t>
      </w:r>
    </w:p>
    <w:p>
      <w:pPr>
        <w:widowControl/>
        <w:numPr>
          <w:ilvl w:val="0"/>
          <w:numId w:val="5"/>
        </w:numPr>
        <w:adjustRightInd w:val="0"/>
        <w:snapToGrid w:val="0"/>
        <w:spacing w:line="578" w:lineRule="exact"/>
        <w:ind w:firstLine="643" w:firstLineChars="200"/>
        <w:contextualSpacing/>
        <w:jc w:val="left"/>
        <w:rPr>
          <w:rFonts w:ascii="楷体_GB2312" w:eastAsia="楷体_GB2312"/>
          <w:b/>
          <w:sz w:val="32"/>
          <w:szCs w:val="32"/>
        </w:rPr>
      </w:pPr>
      <w:r>
        <w:rPr>
          <w:rFonts w:hint="eastAsia" w:ascii="楷体_GB2312" w:eastAsia="楷体_GB2312"/>
          <w:b/>
          <w:sz w:val="32"/>
          <w:szCs w:val="32"/>
        </w:rPr>
        <w:t>结余分配和结转结余情况。</w:t>
      </w:r>
    </w:p>
    <w:p>
      <w:pPr>
        <w:widowControl/>
        <w:adjustRightInd w:val="0"/>
        <w:snapToGrid w:val="0"/>
        <w:spacing w:line="578" w:lineRule="exact"/>
        <w:ind w:firstLine="640" w:firstLineChars="200"/>
        <w:contextualSpacing/>
        <w:jc w:val="left"/>
        <w:rPr>
          <w:rFonts w:ascii="仿宋_GB2312" w:eastAsia="仿宋_GB2312"/>
          <w:sz w:val="32"/>
          <w:szCs w:val="32"/>
        </w:rPr>
      </w:pPr>
      <w:r>
        <w:rPr>
          <w:rFonts w:hint="eastAsia" w:ascii="仿宋_GB2312" w:hAnsi="仿宋" w:eastAsia="仿宋_GB2312" w:cs="仿宋_GB2312"/>
          <w:color w:val="000000"/>
          <w:kern w:val="0"/>
          <w:sz w:val="32"/>
          <w:szCs w:val="32"/>
          <w:lang w:bidi="ar"/>
        </w:rPr>
        <w:t>红原县</w:t>
      </w:r>
      <w:r>
        <w:rPr>
          <w:rFonts w:hint="eastAsia" w:ascii="仿宋_GB2312" w:hAnsi="仿宋" w:cs="仿宋_GB2312"/>
          <w:color w:val="000000"/>
          <w:kern w:val="0"/>
          <w:sz w:val="32"/>
          <w:szCs w:val="32"/>
          <w:lang w:bidi="ar"/>
        </w:rPr>
        <w:t>公安局</w:t>
      </w:r>
      <w:r>
        <w:rPr>
          <w:rFonts w:hint="eastAsia" w:ascii="仿宋_GB2312" w:hAnsi="仿宋" w:eastAsia="仿宋_GB2312" w:cs="仿宋_GB2312"/>
          <w:color w:val="000000"/>
          <w:kern w:val="0"/>
          <w:sz w:val="32"/>
          <w:szCs w:val="32"/>
          <w:lang w:bidi="ar"/>
        </w:rPr>
        <w:t>202</w:t>
      </w:r>
      <w:r>
        <w:rPr>
          <w:rFonts w:hint="eastAsia" w:ascii="仿宋_GB2312" w:hAnsi="仿宋" w:eastAsia="仿宋_GB2312" w:cs="仿宋_GB2312"/>
          <w:color w:val="000000"/>
          <w:kern w:val="0"/>
          <w:sz w:val="32"/>
          <w:szCs w:val="32"/>
          <w:lang w:val="en-US" w:eastAsia="zh-CN" w:bidi="ar"/>
        </w:rPr>
        <w:t>5</w:t>
      </w:r>
      <w:r>
        <w:rPr>
          <w:rFonts w:hint="eastAsia" w:ascii="仿宋_GB2312" w:hAnsi="仿宋" w:eastAsia="仿宋_GB2312" w:cs="仿宋_GB2312"/>
          <w:color w:val="000000"/>
          <w:kern w:val="0"/>
          <w:sz w:val="32"/>
          <w:szCs w:val="32"/>
          <w:lang w:bidi="ar"/>
        </w:rPr>
        <w:t>年决算报表</w:t>
      </w:r>
      <w:r>
        <w:rPr>
          <w:rFonts w:ascii="仿宋_GB2312" w:hAnsi="仿宋" w:eastAsia="仿宋_GB2312" w:cs="仿宋_GB2312"/>
          <w:color w:val="000000"/>
          <w:kern w:val="0"/>
          <w:sz w:val="32"/>
          <w:szCs w:val="32"/>
          <w:lang w:bidi="ar"/>
        </w:rPr>
        <w:t>结转结余</w:t>
      </w:r>
      <w:r>
        <w:rPr>
          <w:rFonts w:hint="eastAsia" w:ascii="仿宋_GB2312" w:hAnsi="仿宋" w:cs="仿宋_GB2312"/>
          <w:color w:val="000000"/>
          <w:kern w:val="0"/>
          <w:sz w:val="32"/>
          <w:szCs w:val="32"/>
          <w:lang w:bidi="ar"/>
        </w:rPr>
        <w:t>为0元</w:t>
      </w:r>
      <w:r>
        <w:rPr>
          <w:rFonts w:ascii="仿宋_GB2312" w:hAnsi="仿宋" w:eastAsia="仿宋_GB2312" w:cs="仿宋_GB2312"/>
          <w:color w:val="000000"/>
          <w:kern w:val="0"/>
          <w:sz w:val="32"/>
          <w:szCs w:val="32"/>
          <w:lang w:bidi="ar"/>
        </w:rPr>
        <w:t>。</w:t>
      </w:r>
    </w:p>
    <w:p>
      <w:pPr>
        <w:rPr>
          <w:rFonts w:hint="eastAsia" w:ascii="黑体" w:hAnsi="黑体" w:eastAsia="黑体"/>
          <w:sz w:val="32"/>
          <w:szCs w:val="32"/>
        </w:rPr>
      </w:pPr>
      <w:r>
        <w:rPr>
          <w:rFonts w:hint="eastAsia" w:ascii="黑体" w:hAnsi="黑体" w:eastAsia="黑体"/>
          <w:sz w:val="32"/>
          <w:szCs w:val="32"/>
        </w:rPr>
        <w:t>三、部门预算绩效分析</w:t>
      </w:r>
    </w:p>
    <w:p>
      <w:pPr>
        <w:rPr>
          <w:rFonts w:ascii="仿宋_GB2312" w:eastAsia="仿宋_GB2312"/>
          <w:sz w:val="32"/>
          <w:szCs w:val="32"/>
        </w:rPr>
      </w:pPr>
      <w:r>
        <w:rPr>
          <w:rFonts w:hint="eastAsia" w:ascii="楷体_GB2312" w:eastAsia="楷体_GB2312"/>
          <w:b/>
          <w:sz w:val="32"/>
          <w:szCs w:val="32"/>
        </w:rPr>
        <w:t>（一）部门预算总体绩效分析。</w:t>
      </w:r>
      <w:r>
        <w:rPr>
          <w:rFonts w:hint="eastAsia" w:ascii="仿宋_GB2312" w:eastAsia="仿宋_GB2312"/>
          <w:sz w:val="32"/>
          <w:szCs w:val="32"/>
        </w:rPr>
        <w:t>根据部门预算绩效评价指标体系“总体绩效”涉及二、三级指标进行逐项绩效分析并评分，依次包括履职效能、预算管理、财务管理、资产管理、采购管理等情况。</w:t>
      </w:r>
    </w:p>
    <w:p>
      <w:pPr>
        <w:spacing w:line="578" w:lineRule="exact"/>
        <w:ind w:firstLine="640" w:firstLineChars="200"/>
        <w:rPr>
          <w:rFonts w:ascii="楷体_GB2312" w:hAnsi="楷体_GB2312" w:eastAsia="楷体_GB2312" w:cs="楷体_GB2312"/>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shd w:val="clear" w:color="auto" w:fill="FFFFFF"/>
        </w:rPr>
        <w:t>1.</w:t>
      </w:r>
      <w:r>
        <w:rPr>
          <w:rFonts w:hint="eastAsia" w:ascii="楷体_GB2312" w:hAnsi="楷体_GB2312" w:eastAsia="楷体_GB2312" w:cs="楷体_GB2312"/>
          <w:color w:val="000000"/>
          <w:kern w:val="0"/>
          <w:sz w:val="32"/>
          <w:szCs w:val="32"/>
          <w:shd w:val="clear" w:color="auto" w:fill="FFFFFF"/>
          <w:lang w:val="zh-CN"/>
        </w:rPr>
        <w:t>履职</w:t>
      </w:r>
      <w:r>
        <w:rPr>
          <w:rFonts w:hint="eastAsia" w:ascii="楷体_GB2312" w:hAnsi="楷体_GB2312" w:eastAsia="楷体_GB2312" w:cs="楷体_GB2312"/>
          <w:color w:val="000000"/>
          <w:kern w:val="0"/>
          <w:sz w:val="32"/>
          <w:szCs w:val="32"/>
          <w:shd w:val="clear" w:color="auto" w:fill="FFFFFF"/>
        </w:rPr>
        <w:t>效能</w:t>
      </w:r>
      <w:r>
        <w:rPr>
          <w:rFonts w:hint="eastAsia" w:ascii="楷体_GB2312" w:hAnsi="楷体_GB2312" w:eastAsia="楷体_GB2312" w:cs="楷体_GB2312"/>
          <w:color w:val="000000"/>
          <w:kern w:val="0"/>
          <w:sz w:val="32"/>
          <w:szCs w:val="32"/>
          <w:shd w:val="clear" w:color="auto" w:fill="FFFFFF"/>
          <w:lang w:val="zh-CN"/>
        </w:rPr>
        <w:t>。</w:t>
      </w:r>
    </w:p>
    <w:p>
      <w:pPr>
        <w:ind w:firstLine="640" w:firstLineChars="200"/>
        <w:rPr>
          <w:rFonts w:ascii="仿宋_GB2312" w:eastAsia="仿宋_GB2312"/>
          <w:sz w:val="32"/>
          <w:szCs w:val="32"/>
        </w:rPr>
      </w:pPr>
      <w:r>
        <w:rPr>
          <w:rFonts w:hint="eastAsia" w:ascii="仿宋_GB2312" w:eastAsia="仿宋_GB2312"/>
          <w:sz w:val="32"/>
          <w:szCs w:val="32"/>
        </w:rPr>
        <w:t>产出指标：数量指标，查处交通违法（起），≥500起，全年完成值应保尽保。</w:t>
      </w:r>
    </w:p>
    <w:p>
      <w:pPr>
        <w:ind w:firstLine="640" w:firstLineChars="200"/>
        <w:rPr>
          <w:rFonts w:ascii="仿宋_GB2312" w:eastAsia="仿宋_GB2312"/>
          <w:sz w:val="32"/>
          <w:szCs w:val="32"/>
        </w:rPr>
      </w:pPr>
      <w:r>
        <w:rPr>
          <w:rFonts w:hint="eastAsia" w:ascii="仿宋_GB2312" w:eastAsia="仿宋_GB2312"/>
          <w:sz w:val="32"/>
          <w:szCs w:val="32"/>
        </w:rPr>
        <w:t>产出指标：数量指标，反诈骗预警劝阻次数，≥30人次，全年完成值应保尽保。</w:t>
      </w:r>
    </w:p>
    <w:p>
      <w:pPr>
        <w:ind w:firstLine="640" w:firstLineChars="200"/>
        <w:rPr>
          <w:rFonts w:ascii="仿宋_GB2312" w:eastAsia="仿宋_GB2312"/>
          <w:sz w:val="32"/>
          <w:szCs w:val="32"/>
        </w:rPr>
      </w:pPr>
      <w:r>
        <w:rPr>
          <w:rFonts w:hint="eastAsia" w:ascii="仿宋_GB2312" w:eastAsia="仿宋_GB2312"/>
          <w:sz w:val="32"/>
          <w:szCs w:val="32"/>
        </w:rPr>
        <w:t>产出指标：数量指标，结案行政案件率，≥80%，全年完成值100%。</w:t>
      </w:r>
    </w:p>
    <w:p>
      <w:pPr>
        <w:ind w:firstLine="640" w:firstLineChars="200"/>
        <w:rPr>
          <w:rFonts w:ascii="仿宋_GB2312" w:eastAsia="仿宋_GB2312"/>
          <w:sz w:val="32"/>
          <w:szCs w:val="32"/>
        </w:rPr>
      </w:pPr>
      <w:r>
        <w:rPr>
          <w:rFonts w:hint="eastAsia" w:ascii="仿宋_GB2312" w:eastAsia="仿宋_GB2312"/>
          <w:sz w:val="32"/>
          <w:szCs w:val="32"/>
        </w:rPr>
        <w:t>产出指标：数量指标，拘留所行政拘留人次，≥30人次，全年完成值应保尽保。</w:t>
      </w:r>
    </w:p>
    <w:p>
      <w:pPr>
        <w:ind w:firstLine="640" w:firstLineChars="200"/>
        <w:rPr>
          <w:rFonts w:ascii="仿宋_GB2312" w:eastAsia="仿宋_GB2312"/>
          <w:sz w:val="32"/>
          <w:szCs w:val="32"/>
        </w:rPr>
      </w:pPr>
      <w:r>
        <w:rPr>
          <w:rFonts w:hint="eastAsia" w:ascii="仿宋_GB2312" w:eastAsia="仿宋_GB2312"/>
          <w:sz w:val="32"/>
          <w:szCs w:val="32"/>
        </w:rPr>
        <w:t>产出指标：数量指标，看守所关押犯罪嫌疑人次，≥30人次，全年完成值应保尽保。</w:t>
      </w:r>
    </w:p>
    <w:p>
      <w:pPr>
        <w:ind w:firstLine="640" w:firstLineChars="200"/>
        <w:rPr>
          <w:rFonts w:ascii="仿宋_GB2312" w:eastAsia="仿宋_GB2312"/>
          <w:sz w:val="32"/>
          <w:szCs w:val="32"/>
        </w:rPr>
      </w:pPr>
      <w:r>
        <w:rPr>
          <w:rFonts w:hint="eastAsia" w:ascii="仿宋_GB2312" w:eastAsia="仿宋_GB2312"/>
          <w:sz w:val="32"/>
          <w:szCs w:val="32"/>
        </w:rPr>
        <w:t>产出指标：数量指标，网逃人员抓获人次，≥10人次，全年完成值应保尽保。</w:t>
      </w:r>
    </w:p>
    <w:p>
      <w:pPr>
        <w:ind w:firstLine="640" w:firstLineChars="200"/>
        <w:rPr>
          <w:rFonts w:ascii="仿宋_GB2312" w:eastAsia="仿宋_GB2312"/>
          <w:sz w:val="32"/>
          <w:szCs w:val="32"/>
        </w:rPr>
      </w:pPr>
      <w:r>
        <w:rPr>
          <w:rFonts w:hint="eastAsia" w:ascii="仿宋_GB2312" w:eastAsia="仿宋_GB2312"/>
          <w:sz w:val="32"/>
          <w:szCs w:val="32"/>
        </w:rPr>
        <w:t>产出指标:数量指标，刑事拘留人次，≥1人次，全年完成值应保尽保。</w:t>
      </w:r>
    </w:p>
    <w:p>
      <w:pPr>
        <w:ind w:firstLine="640" w:firstLineChars="200"/>
        <w:rPr>
          <w:rFonts w:ascii="仿宋_GB2312" w:eastAsia="仿宋_GB2312"/>
          <w:sz w:val="32"/>
          <w:szCs w:val="32"/>
        </w:rPr>
      </w:pPr>
      <w:r>
        <w:rPr>
          <w:rFonts w:hint="eastAsia" w:ascii="仿宋_GB2312" w:eastAsia="仿宋_GB2312"/>
          <w:sz w:val="32"/>
          <w:szCs w:val="32"/>
        </w:rPr>
        <w:t>产出指标：数量指标，行政拘留人次，≥50人次，全年完成值应保尽保。</w:t>
      </w:r>
    </w:p>
    <w:p>
      <w:pPr>
        <w:ind w:firstLine="640" w:firstLineChars="200"/>
        <w:rPr>
          <w:rFonts w:ascii="仿宋_GB2312" w:eastAsia="仿宋_GB2312"/>
          <w:sz w:val="32"/>
          <w:szCs w:val="32"/>
        </w:rPr>
      </w:pPr>
      <w:r>
        <w:rPr>
          <w:rFonts w:hint="eastAsia" w:ascii="仿宋_GB2312" w:eastAsia="仿宋_GB2312"/>
          <w:sz w:val="32"/>
          <w:szCs w:val="32"/>
        </w:rPr>
        <w:t>产出指标：质量指标，管理制度健全性，定性指标，全年完成值优。</w:t>
      </w:r>
    </w:p>
    <w:p>
      <w:pPr>
        <w:ind w:firstLine="640" w:firstLineChars="200"/>
        <w:rPr>
          <w:rFonts w:ascii="仿宋_GB2312" w:eastAsia="仿宋_GB2312"/>
          <w:sz w:val="32"/>
          <w:szCs w:val="32"/>
        </w:rPr>
      </w:pPr>
      <w:r>
        <w:rPr>
          <w:rFonts w:hint="eastAsia" w:ascii="仿宋_GB2312" w:eastAsia="仿宋_GB2312"/>
          <w:sz w:val="32"/>
          <w:szCs w:val="32"/>
        </w:rPr>
        <w:t>产出指标：质量指标，破案率，≥50%，全年完成值100%。</w:t>
      </w:r>
    </w:p>
    <w:p>
      <w:pPr>
        <w:ind w:firstLine="640" w:firstLineChars="200"/>
        <w:rPr>
          <w:rFonts w:ascii="仿宋_GB2312" w:eastAsia="仿宋_GB2312"/>
          <w:sz w:val="32"/>
          <w:szCs w:val="32"/>
        </w:rPr>
      </w:pPr>
      <w:r>
        <w:rPr>
          <w:rFonts w:hint="eastAsia" w:ascii="仿宋_GB2312" w:eastAsia="仿宋_GB2312"/>
          <w:sz w:val="32"/>
          <w:szCs w:val="32"/>
        </w:rPr>
        <w:t>产出指标：质量指标，资金使用合规性，定性指标，全年完成值高。</w:t>
      </w:r>
    </w:p>
    <w:p>
      <w:pPr>
        <w:ind w:firstLine="640" w:firstLineChars="200"/>
        <w:rPr>
          <w:rFonts w:ascii="仿宋_GB2312" w:eastAsia="仿宋_GB2312"/>
          <w:sz w:val="32"/>
          <w:szCs w:val="32"/>
        </w:rPr>
      </w:pPr>
      <w:r>
        <w:rPr>
          <w:rFonts w:hint="eastAsia" w:ascii="仿宋_GB2312" w:eastAsia="仿宋_GB2312"/>
          <w:sz w:val="32"/>
          <w:szCs w:val="32"/>
        </w:rPr>
        <w:t>产出指标：时效指标，部门预算支出及时率，≥90%，全年完成值100%。</w:t>
      </w:r>
    </w:p>
    <w:p>
      <w:pPr>
        <w:ind w:firstLine="640" w:firstLineChars="200"/>
        <w:rPr>
          <w:rFonts w:ascii="仿宋_GB2312" w:eastAsia="仿宋_GB2312"/>
          <w:sz w:val="32"/>
          <w:szCs w:val="32"/>
        </w:rPr>
      </w:pPr>
      <w:r>
        <w:rPr>
          <w:rFonts w:hint="eastAsia" w:ascii="仿宋_GB2312" w:eastAsia="仿宋_GB2312"/>
          <w:sz w:val="32"/>
          <w:szCs w:val="32"/>
        </w:rPr>
        <w:t>效益指标：经济效益指标，挡获盗抢机动车挽回经济损失金额，≥100万元，全年完成值100%。</w:t>
      </w:r>
    </w:p>
    <w:p>
      <w:pPr>
        <w:ind w:firstLine="640" w:firstLineChars="200"/>
        <w:rPr>
          <w:rFonts w:ascii="仿宋_GB2312" w:eastAsia="仿宋_GB2312"/>
          <w:sz w:val="32"/>
          <w:szCs w:val="32"/>
        </w:rPr>
      </w:pPr>
      <w:r>
        <w:rPr>
          <w:rFonts w:hint="eastAsia" w:ascii="仿宋_GB2312" w:eastAsia="仿宋_GB2312"/>
          <w:sz w:val="32"/>
          <w:szCs w:val="32"/>
        </w:rPr>
        <w:t>效益指标：经济效益指标，电信诈骗挽回经济损失金额，≥100万元，全年完成值100%。</w:t>
      </w:r>
    </w:p>
    <w:p>
      <w:pPr>
        <w:ind w:firstLine="640" w:firstLineChars="200"/>
        <w:rPr>
          <w:rFonts w:ascii="仿宋_GB2312" w:eastAsia="仿宋_GB2312"/>
          <w:sz w:val="32"/>
          <w:szCs w:val="32"/>
        </w:rPr>
      </w:pPr>
      <w:r>
        <w:rPr>
          <w:rFonts w:hint="eastAsia" w:ascii="仿宋_GB2312" w:eastAsia="仿宋_GB2312"/>
          <w:sz w:val="32"/>
          <w:szCs w:val="32"/>
        </w:rPr>
        <w:t>效益指标：经济效益指标，罚没资金，≥12万元，全年完成值100%。</w:t>
      </w:r>
    </w:p>
    <w:p>
      <w:pPr>
        <w:ind w:firstLine="640" w:firstLineChars="200"/>
        <w:rPr>
          <w:rFonts w:ascii="仿宋_GB2312" w:eastAsia="仿宋_GB2312"/>
          <w:sz w:val="32"/>
          <w:szCs w:val="32"/>
          <w:lang w:val="zh-CN"/>
        </w:rPr>
      </w:pPr>
      <w:r>
        <w:rPr>
          <w:rFonts w:hint="eastAsia" w:ascii="仿宋_GB2312" w:eastAsia="仿宋_GB2312"/>
          <w:sz w:val="32"/>
          <w:szCs w:val="32"/>
        </w:rPr>
        <w:t>满意度指标：服务对象满意度指标，公安执法满意度，≥88%，全年完成值100%。</w:t>
      </w:r>
    </w:p>
    <w:p>
      <w:pPr>
        <w:numPr>
          <w:ilvl w:val="0"/>
          <w:numId w:val="3"/>
        </w:numPr>
        <w:spacing w:line="578" w:lineRule="exact"/>
        <w:ind w:firstLine="640" w:firstLineChars="200"/>
        <w:rPr>
          <w:rFonts w:ascii="楷体_GB2312" w:hAnsi="楷体_GB2312" w:eastAsia="楷体_GB2312" w:cs="楷体_GB2312"/>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shd w:val="clear" w:color="auto" w:fill="FFFFFF"/>
          <w:lang w:val="zh-CN"/>
        </w:rPr>
        <w:t>预算管理。</w:t>
      </w:r>
    </w:p>
    <w:p>
      <w:pPr>
        <w:ind w:firstLine="640" w:firstLineChars="200"/>
        <w:rPr>
          <w:rFonts w:ascii="仿宋_GB2312" w:eastAsia="仿宋_GB2312"/>
          <w:sz w:val="32"/>
          <w:szCs w:val="32"/>
        </w:rPr>
      </w:pPr>
      <w:r>
        <w:rPr>
          <w:rFonts w:hint="eastAsia" w:ascii="仿宋_GB2312" w:eastAsia="仿宋_GB2312"/>
          <w:sz w:val="32"/>
          <w:szCs w:val="32"/>
          <w:lang w:val="zh-CN"/>
        </w:rPr>
        <w:t>预算编制质量：实际收入与预算收入无差异，实际支出与预算支出无差异。所有应纳入预算的项目被涵盖</w:t>
      </w:r>
      <w:r>
        <w:rPr>
          <w:rFonts w:hint="eastAsia" w:ascii="仿宋_GB2312" w:eastAsia="仿宋_GB2312"/>
          <w:sz w:val="32"/>
          <w:szCs w:val="32"/>
        </w:rPr>
        <w:t>100%，预算分配与单位的年度总体目标相匹配。预算编制符合法律法规和内部政策制度。</w:t>
      </w:r>
    </w:p>
    <w:p>
      <w:pPr>
        <w:ind w:firstLine="640" w:firstLineChars="200"/>
        <w:rPr>
          <w:rFonts w:ascii="仿宋_GB2312" w:eastAsia="仿宋_GB2312"/>
          <w:sz w:val="32"/>
          <w:szCs w:val="32"/>
          <w:lang w:val="zh-CN"/>
        </w:rPr>
      </w:pPr>
      <w:r>
        <w:rPr>
          <w:rFonts w:hint="eastAsia" w:ascii="仿宋_GB2312" w:eastAsia="仿宋_GB2312"/>
          <w:sz w:val="32"/>
          <w:szCs w:val="32"/>
          <w:lang w:val="zh-CN"/>
        </w:rPr>
        <w:t>单位收入统筹：</w:t>
      </w:r>
      <w:r>
        <w:rPr>
          <w:rFonts w:hint="eastAsia" w:ascii="仿宋_GB2312" w:eastAsia="仿宋_GB2312"/>
          <w:sz w:val="32"/>
          <w:szCs w:val="32"/>
        </w:rPr>
        <w:t>本单位202</w:t>
      </w:r>
      <w:r>
        <w:rPr>
          <w:rFonts w:hint="eastAsia" w:ascii="仿宋_GB2312" w:eastAsia="仿宋_GB2312"/>
          <w:sz w:val="32"/>
          <w:szCs w:val="32"/>
          <w:lang w:val="en-US" w:eastAsia="zh-CN"/>
        </w:rPr>
        <w:t>5</w:t>
      </w:r>
      <w:r>
        <w:rPr>
          <w:rFonts w:hint="eastAsia" w:ascii="仿宋_GB2312" w:eastAsia="仿宋_GB2312"/>
          <w:sz w:val="32"/>
          <w:szCs w:val="32"/>
        </w:rPr>
        <w:t>年收入全年预算数为</w:t>
      </w:r>
      <w:r>
        <w:rPr>
          <w:rFonts w:hint="eastAsia" w:ascii="仿宋_GB2312" w:eastAsia="仿宋_GB2312"/>
          <w:sz w:val="32"/>
          <w:szCs w:val="32"/>
          <w:lang w:val="en-US" w:eastAsia="zh-CN"/>
        </w:rPr>
        <w:t>11775.87</w:t>
      </w:r>
      <w:r>
        <w:rPr>
          <w:rFonts w:hint="eastAsia" w:ascii="仿宋_GB2312" w:eastAsia="仿宋_GB2312"/>
          <w:sz w:val="32"/>
          <w:szCs w:val="32"/>
        </w:rPr>
        <w:t>万元，收入决算数为</w:t>
      </w:r>
      <w:r>
        <w:rPr>
          <w:rFonts w:hint="eastAsia" w:ascii="仿宋_GB2312" w:eastAsia="仿宋_GB2312"/>
          <w:sz w:val="32"/>
          <w:szCs w:val="32"/>
          <w:lang w:val="en-US" w:eastAsia="zh-CN"/>
        </w:rPr>
        <w:t>9164.24</w:t>
      </w:r>
      <w:r>
        <w:rPr>
          <w:rFonts w:hint="eastAsia" w:ascii="仿宋_GB2312" w:eastAsia="仿宋_GB2312"/>
          <w:sz w:val="32"/>
          <w:szCs w:val="32"/>
        </w:rPr>
        <w:t>万元，预算完成度为</w:t>
      </w:r>
      <w:r>
        <w:rPr>
          <w:rFonts w:hint="eastAsia" w:ascii="仿宋_GB2312" w:eastAsia="仿宋_GB2312"/>
          <w:sz w:val="32"/>
          <w:szCs w:val="32"/>
          <w:lang w:val="en-US" w:eastAsia="zh-CN"/>
        </w:rPr>
        <w:t>77.82</w:t>
      </w:r>
      <w:r>
        <w:rPr>
          <w:rFonts w:hint="eastAsia" w:ascii="仿宋_GB2312" w:eastAsia="仿宋_GB2312"/>
          <w:sz w:val="32"/>
          <w:szCs w:val="32"/>
        </w:rPr>
        <w:t>%。</w:t>
      </w:r>
      <w:r>
        <w:rPr>
          <w:rFonts w:hint="eastAsia" w:ascii="仿宋_GB2312" w:eastAsia="仿宋_GB2312"/>
          <w:sz w:val="32"/>
          <w:szCs w:val="32"/>
          <w:lang w:val="zh-CN"/>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lang w:val="zh-CN"/>
        </w:rPr>
        <w:t>年度总收入</w:t>
      </w:r>
      <w:r>
        <w:rPr>
          <w:rFonts w:hint="eastAsia" w:ascii="仿宋_GB2312" w:eastAsia="仿宋_GB2312"/>
          <w:sz w:val="32"/>
          <w:szCs w:val="32"/>
          <w:lang w:val="en-US" w:eastAsia="zh-CN"/>
        </w:rPr>
        <w:t>9164.24</w:t>
      </w:r>
      <w:r>
        <w:rPr>
          <w:rFonts w:hint="eastAsia" w:ascii="仿宋_GB2312" w:eastAsia="仿宋_GB2312"/>
          <w:sz w:val="32"/>
          <w:szCs w:val="32"/>
          <w:lang w:val="zh-CN"/>
        </w:rPr>
        <w:t>万元，其中：财政拨款收入</w:t>
      </w:r>
      <w:r>
        <w:rPr>
          <w:rFonts w:hint="eastAsia" w:ascii="仿宋_GB2312" w:eastAsia="仿宋_GB2312"/>
          <w:sz w:val="32"/>
          <w:szCs w:val="32"/>
          <w:lang w:val="en-US" w:eastAsia="zh-CN"/>
        </w:rPr>
        <w:t>9164.24</w:t>
      </w:r>
      <w:r>
        <w:rPr>
          <w:rFonts w:hint="eastAsia" w:ascii="仿宋_GB2312" w:eastAsia="仿宋_GB2312"/>
          <w:sz w:val="32"/>
          <w:szCs w:val="32"/>
          <w:lang w:val="zh-CN"/>
        </w:rPr>
        <w:t>万元，占</w:t>
      </w:r>
      <w:r>
        <w:rPr>
          <w:rFonts w:hint="eastAsia" w:ascii="仿宋_GB2312" w:eastAsia="仿宋_GB2312"/>
          <w:sz w:val="32"/>
          <w:szCs w:val="32"/>
        </w:rPr>
        <w:t>100</w:t>
      </w:r>
      <w:r>
        <w:rPr>
          <w:rFonts w:hint="eastAsia" w:ascii="仿宋_GB2312" w:eastAsia="仿宋_GB2312"/>
          <w:sz w:val="32"/>
          <w:szCs w:val="32"/>
          <w:lang w:val="zh-CN"/>
        </w:rPr>
        <w:t>%；政府性基金预算财政拨款</w:t>
      </w:r>
      <w:r>
        <w:rPr>
          <w:rFonts w:hint="eastAsia" w:ascii="仿宋_GB2312" w:eastAsia="仿宋_GB2312"/>
          <w:sz w:val="32"/>
          <w:szCs w:val="32"/>
        </w:rPr>
        <w:t>0</w:t>
      </w:r>
      <w:r>
        <w:rPr>
          <w:rFonts w:hint="eastAsia" w:ascii="仿宋_GB2312" w:eastAsia="仿宋_GB2312"/>
          <w:sz w:val="32"/>
          <w:szCs w:val="32"/>
          <w:lang w:val="zh-CN"/>
        </w:rPr>
        <w:t>万元，占</w:t>
      </w:r>
      <w:r>
        <w:rPr>
          <w:rFonts w:hint="eastAsia" w:ascii="仿宋_GB2312" w:eastAsia="仿宋_GB2312"/>
          <w:sz w:val="32"/>
          <w:szCs w:val="32"/>
        </w:rPr>
        <w:t>0</w:t>
      </w:r>
      <w:r>
        <w:rPr>
          <w:rFonts w:hint="eastAsia" w:ascii="仿宋_GB2312" w:eastAsia="仿宋_GB2312"/>
          <w:sz w:val="32"/>
          <w:szCs w:val="32"/>
          <w:lang w:val="zh-CN"/>
        </w:rPr>
        <w:t>%；其他收入</w:t>
      </w:r>
      <w:r>
        <w:rPr>
          <w:rFonts w:hint="eastAsia" w:ascii="仿宋_GB2312" w:eastAsia="仿宋_GB2312"/>
          <w:sz w:val="32"/>
          <w:szCs w:val="32"/>
        </w:rPr>
        <w:t>0</w:t>
      </w:r>
      <w:r>
        <w:rPr>
          <w:rFonts w:hint="eastAsia" w:ascii="仿宋_GB2312" w:eastAsia="仿宋_GB2312"/>
          <w:sz w:val="32"/>
          <w:szCs w:val="32"/>
          <w:lang w:val="zh-CN"/>
        </w:rPr>
        <w:t>万元，占</w:t>
      </w:r>
      <w:r>
        <w:rPr>
          <w:rFonts w:hint="eastAsia" w:ascii="仿宋_GB2312" w:eastAsia="仿宋_GB2312"/>
          <w:sz w:val="32"/>
          <w:szCs w:val="32"/>
        </w:rPr>
        <w:t>0</w:t>
      </w:r>
      <w:r>
        <w:rPr>
          <w:rFonts w:hint="eastAsia" w:ascii="仿宋_GB2312" w:eastAsia="仿宋_GB2312"/>
          <w:sz w:val="32"/>
          <w:szCs w:val="32"/>
          <w:lang w:val="zh-CN"/>
        </w:rPr>
        <w:t>%；上级补助收入0万元，占0%；事业收入0万元，占0%；经营收入0万元，占0%；附属单位上缴收入0万元，占0%；上年项目支出结转和结余</w:t>
      </w:r>
      <w:r>
        <w:rPr>
          <w:rFonts w:hint="eastAsia" w:ascii="仿宋_GB2312" w:eastAsia="仿宋_GB2312"/>
          <w:sz w:val="32"/>
          <w:szCs w:val="32"/>
        </w:rPr>
        <w:t>0</w:t>
      </w:r>
      <w:r>
        <w:rPr>
          <w:rFonts w:hint="eastAsia" w:ascii="仿宋_GB2312" w:eastAsia="仿宋_GB2312"/>
          <w:sz w:val="32"/>
          <w:szCs w:val="32"/>
          <w:lang w:val="zh-CN"/>
        </w:rPr>
        <w:t>万元，占</w:t>
      </w:r>
      <w:r>
        <w:rPr>
          <w:rFonts w:hint="eastAsia" w:ascii="仿宋_GB2312" w:eastAsia="仿宋_GB2312"/>
          <w:sz w:val="32"/>
          <w:szCs w:val="32"/>
        </w:rPr>
        <w:t>0</w:t>
      </w:r>
      <w:r>
        <w:rPr>
          <w:rFonts w:hint="eastAsia" w:ascii="仿宋_GB2312" w:eastAsia="仿宋_GB2312"/>
          <w:sz w:val="32"/>
          <w:szCs w:val="32"/>
          <w:lang w:val="zh-CN"/>
        </w:rPr>
        <w:t>%。</w:t>
      </w:r>
    </w:p>
    <w:p>
      <w:pPr>
        <w:ind w:firstLine="640" w:firstLineChars="200"/>
        <w:rPr>
          <w:rFonts w:ascii="仿宋_GB2312" w:eastAsia="仿宋_GB2312"/>
          <w:sz w:val="32"/>
          <w:szCs w:val="32"/>
        </w:rPr>
      </w:pPr>
      <w:r>
        <w:rPr>
          <w:rFonts w:hint="eastAsia" w:ascii="仿宋_GB2312" w:eastAsia="仿宋_GB2312"/>
          <w:sz w:val="32"/>
          <w:szCs w:val="32"/>
          <w:lang w:val="zh-CN"/>
        </w:rPr>
        <w:t>支出执行进度：</w:t>
      </w: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年度支出全年预算数为</w:t>
      </w:r>
      <w:r>
        <w:rPr>
          <w:rFonts w:hint="eastAsia" w:ascii="仿宋_GB2312" w:eastAsia="仿宋_GB2312"/>
          <w:sz w:val="32"/>
          <w:szCs w:val="32"/>
          <w:lang w:val="en-US" w:eastAsia="zh-CN"/>
        </w:rPr>
        <w:t>11775.87</w:t>
      </w:r>
      <w:r>
        <w:rPr>
          <w:rFonts w:hint="eastAsia" w:ascii="仿宋_GB2312" w:eastAsia="仿宋_GB2312"/>
          <w:sz w:val="32"/>
          <w:szCs w:val="32"/>
        </w:rPr>
        <w:t>万元，支出决算数为</w:t>
      </w:r>
      <w:r>
        <w:rPr>
          <w:rFonts w:hint="eastAsia" w:ascii="仿宋_GB2312" w:eastAsia="仿宋_GB2312"/>
          <w:sz w:val="32"/>
          <w:szCs w:val="32"/>
          <w:lang w:val="en-US" w:eastAsia="zh-CN"/>
        </w:rPr>
        <w:t>9164.24</w:t>
      </w:r>
      <w:r>
        <w:rPr>
          <w:rFonts w:hint="eastAsia" w:ascii="仿宋_GB2312" w:eastAsia="仿宋_GB2312"/>
          <w:sz w:val="32"/>
          <w:szCs w:val="32"/>
        </w:rPr>
        <w:t>万元，预算完成度为</w:t>
      </w:r>
      <w:r>
        <w:rPr>
          <w:rFonts w:hint="eastAsia" w:ascii="仿宋_GB2312" w:eastAsia="仿宋_GB2312"/>
          <w:sz w:val="32"/>
          <w:szCs w:val="32"/>
          <w:lang w:val="en-US" w:eastAsia="zh-CN"/>
        </w:rPr>
        <w:t>77.82</w:t>
      </w:r>
      <w:r>
        <w:rPr>
          <w:rFonts w:hint="eastAsia" w:ascii="仿宋_GB2312" w:eastAsia="仿宋_GB2312"/>
          <w:sz w:val="32"/>
          <w:szCs w:val="32"/>
        </w:rPr>
        <w:t>%，执行进度100%。</w:t>
      </w:r>
    </w:p>
    <w:p>
      <w:pPr>
        <w:ind w:firstLine="640" w:firstLineChars="200"/>
        <w:rPr>
          <w:rFonts w:ascii="仿宋_GB2312" w:eastAsia="仿宋_GB2312"/>
          <w:sz w:val="32"/>
          <w:szCs w:val="32"/>
          <w:lang w:val="zh-CN"/>
        </w:rPr>
      </w:pPr>
      <w:r>
        <w:rPr>
          <w:rFonts w:hint="eastAsia" w:ascii="仿宋_GB2312" w:eastAsia="仿宋_GB2312"/>
          <w:sz w:val="32"/>
          <w:szCs w:val="32"/>
          <w:lang w:val="zh-CN"/>
        </w:rPr>
        <w:t>预算年终结余：无。</w:t>
      </w:r>
    </w:p>
    <w:p>
      <w:pPr>
        <w:numPr>
          <w:ilvl w:val="0"/>
          <w:numId w:val="3"/>
        </w:numPr>
        <w:adjustRightInd w:val="0"/>
        <w:snapToGrid w:val="0"/>
        <w:spacing w:line="578" w:lineRule="exact"/>
        <w:ind w:firstLine="640" w:firstLineChars="200"/>
        <w:jc w:val="left"/>
        <w:rPr>
          <w:rFonts w:eastAsia="仿宋_GB2312"/>
          <w:sz w:val="32"/>
          <w:szCs w:val="32"/>
          <w:lang w:val="zh-CN"/>
        </w:rPr>
      </w:pPr>
      <w:r>
        <w:rPr>
          <w:rFonts w:hint="eastAsia" w:ascii="楷体_GB2312" w:hAnsi="楷体_GB2312" w:eastAsia="楷体_GB2312" w:cs="楷体_GB2312"/>
          <w:color w:val="000000"/>
          <w:kern w:val="0"/>
          <w:sz w:val="32"/>
          <w:szCs w:val="32"/>
          <w:shd w:val="clear" w:color="auto" w:fill="FFFFFF"/>
          <w:lang w:val="zh-CN"/>
        </w:rPr>
        <w:t>财务管理。</w:t>
      </w:r>
      <w:r>
        <w:rPr>
          <w:rFonts w:hint="eastAsia" w:eastAsia="仿宋_GB2312"/>
          <w:sz w:val="32"/>
          <w:szCs w:val="32"/>
          <w:lang w:val="zh-CN"/>
        </w:rPr>
        <w:t>围绕财务管理制度、财务岗位设置、资金使用规范进行绩效分析。</w:t>
      </w:r>
    </w:p>
    <w:p>
      <w:pPr>
        <w:adjustRightInd w:val="0"/>
        <w:snapToGrid w:val="0"/>
        <w:spacing w:line="578"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执行国家有关财务法律法规的同时，建立健全内部财务管理制度，按照党风廉政建设的要求，全体干部职工廉洁奉公、忠于职守。禁止利用职权和职务上的便利谋取不正当的利益。制定了相关规章制度，加强了项目资金的管理和监督，杜绝违规违法事件的发生。本着勤俭节约原则，管理好用好每笔资金。财务活动接受审计、财政、纪检监察等部门的监督检查，无存在违规进行资产购置，擅自处置财产、对外投资，财政票据管理、使用不规范等问题，按照规定保管会计档案，并建立完善的内部控制制度和监督制度。</w:t>
      </w:r>
    </w:p>
    <w:p>
      <w:pPr>
        <w:adjustRightInd w:val="0"/>
        <w:snapToGrid w:val="0"/>
        <w:spacing w:line="578"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根据本单位工作实际，在建立并实施内部监督和控制制度过程中，建立和完善各项制度的同时，相关人员在工作过程中严格遵守这些规章制度，有效地实施了内部监督和控制，保证了会计工作的真实性、完整性以及单位财产的安全，加强了对本单位财产物资的监督和管理，杜绝了各种漏洞的发生，达到了以下四点要求：</w:t>
      </w:r>
    </w:p>
    <w:p>
      <w:pPr>
        <w:adjustRightInd w:val="0"/>
        <w:snapToGrid w:val="0"/>
        <w:spacing w:line="578"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rPr>
        <w:t>A</w:t>
      </w:r>
      <w:r>
        <w:rPr>
          <w:rFonts w:hint="eastAsia" w:ascii="仿宋" w:hAnsi="仿宋" w:eastAsia="仿宋" w:cs="仿宋"/>
          <w:color w:val="000000"/>
          <w:kern w:val="0"/>
          <w:sz w:val="32"/>
          <w:szCs w:val="32"/>
          <w:shd w:val="clear" w:color="auto" w:fill="FFFFFF"/>
          <w:lang w:val="zh-CN"/>
        </w:rPr>
        <w:t>、明确了记账人员与审批人员、经办人员的职责权限，使其相互分离、相互制约，以明确责任，防止舞弊，各项业务事项得以有序进行。</w:t>
      </w:r>
    </w:p>
    <w:p>
      <w:pPr>
        <w:adjustRightInd w:val="0"/>
        <w:snapToGrid w:val="0"/>
        <w:spacing w:line="578"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rPr>
        <w:t>B</w:t>
      </w:r>
      <w:r>
        <w:rPr>
          <w:rFonts w:hint="eastAsia" w:ascii="仿宋" w:hAnsi="仿宋" w:eastAsia="仿宋" w:cs="仿宋"/>
          <w:color w:val="000000"/>
          <w:kern w:val="0"/>
          <w:sz w:val="32"/>
          <w:szCs w:val="32"/>
          <w:shd w:val="clear" w:color="auto" w:fill="FFFFFF"/>
          <w:lang w:val="zh-CN"/>
        </w:rPr>
        <w:t>、明确了财务收支审批程序和审批人的权限和责任，规范了各项资金的使用，提高了资金使用效益。</w:t>
      </w:r>
    </w:p>
    <w:p>
      <w:pPr>
        <w:adjustRightInd w:val="0"/>
        <w:snapToGrid w:val="0"/>
        <w:spacing w:line="578"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rPr>
        <w:t>C</w:t>
      </w:r>
      <w:r>
        <w:rPr>
          <w:rFonts w:hint="eastAsia" w:ascii="仿宋" w:hAnsi="仿宋" w:eastAsia="仿宋" w:cs="仿宋"/>
          <w:color w:val="000000"/>
          <w:kern w:val="0"/>
          <w:sz w:val="32"/>
          <w:szCs w:val="32"/>
          <w:shd w:val="clear" w:color="auto" w:fill="FFFFFF"/>
          <w:lang w:val="zh-CN"/>
        </w:rPr>
        <w:t>、明确经费支出的范围和开支标准，采取各种有效措施控制经费开支，杜绝了浪费现象的发生。</w:t>
      </w:r>
    </w:p>
    <w:p>
      <w:pPr>
        <w:adjustRightInd w:val="0"/>
        <w:snapToGrid w:val="0"/>
        <w:spacing w:line="578" w:lineRule="exact"/>
        <w:ind w:firstLine="640" w:firstLineChars="200"/>
        <w:contextualSpacing/>
        <w:jc w:val="left"/>
        <w:rPr>
          <w:lang w:val="zh-CN"/>
        </w:rPr>
      </w:pPr>
      <w:r>
        <w:rPr>
          <w:rFonts w:hint="eastAsia" w:ascii="仿宋" w:hAnsi="仿宋" w:eastAsia="仿宋" w:cs="仿宋"/>
          <w:color w:val="000000"/>
          <w:kern w:val="0"/>
          <w:sz w:val="32"/>
          <w:szCs w:val="32"/>
          <w:shd w:val="clear" w:color="auto" w:fill="FFFFFF"/>
        </w:rPr>
        <w:t>D</w:t>
      </w:r>
      <w:r>
        <w:rPr>
          <w:rFonts w:hint="eastAsia" w:ascii="仿宋" w:hAnsi="仿宋" w:eastAsia="仿宋" w:cs="仿宋"/>
          <w:color w:val="000000"/>
          <w:kern w:val="0"/>
          <w:sz w:val="32"/>
          <w:szCs w:val="32"/>
          <w:shd w:val="clear" w:color="auto" w:fill="FFFFFF"/>
          <w:lang w:val="zh-CN"/>
        </w:rPr>
        <w:t>、明确账务处理程序，根据机关事业单位会计制度的规定，确定单位会计科目和明细科目的设置和使用范围；确定本单位会计凭证格式、填制要求、审核要求、传递程序、保管要求等；确定本单位的总账、明细账、银行存款日记账、各种辅助账等的设置、格式、登记、对账、结算、改错等要求，确保会计核算准确无误。</w:t>
      </w:r>
    </w:p>
    <w:p>
      <w:pPr>
        <w:adjustRightInd w:val="0"/>
        <w:snapToGrid w:val="0"/>
        <w:spacing w:line="578" w:lineRule="exact"/>
        <w:ind w:firstLine="640" w:firstLineChars="200"/>
        <w:jc w:val="left"/>
        <w:rPr>
          <w:rFonts w:ascii="楷体_GB2312" w:hAnsi="楷体_GB2312" w:eastAsia="楷体_GB2312" w:cs="楷体_GB2312"/>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shd w:val="clear" w:color="auto" w:fill="FFFFFF"/>
        </w:rPr>
        <w:t>4.</w:t>
      </w:r>
      <w:r>
        <w:rPr>
          <w:rFonts w:hint="eastAsia" w:ascii="楷体_GB2312" w:hAnsi="楷体_GB2312" w:eastAsia="楷体_GB2312" w:cs="楷体_GB2312"/>
          <w:color w:val="000000"/>
          <w:kern w:val="0"/>
          <w:sz w:val="32"/>
          <w:szCs w:val="32"/>
          <w:shd w:val="clear" w:color="auto" w:fill="FFFFFF"/>
          <w:lang w:val="zh-CN"/>
        </w:rPr>
        <w:t>资产管理。</w:t>
      </w:r>
    </w:p>
    <w:p>
      <w:pPr>
        <w:adjustRightInd w:val="0"/>
        <w:snapToGrid w:val="0"/>
        <w:spacing w:line="578"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人均资产变化率：无变化。</w:t>
      </w:r>
    </w:p>
    <w:p>
      <w:pPr>
        <w:adjustRightInd w:val="0"/>
        <w:snapToGrid w:val="0"/>
        <w:spacing w:line="578" w:lineRule="exact"/>
        <w:ind w:firstLine="640" w:firstLineChars="200"/>
        <w:contextualSpacing/>
        <w:jc w:val="left"/>
        <w:rPr>
          <w:rFonts w:hint="eastAsia" w:ascii="仿宋" w:hAnsi="仿宋" w:eastAsia="仿宋" w:cs="仿宋"/>
          <w:color w:val="000000"/>
          <w:kern w:val="0"/>
          <w:sz w:val="32"/>
          <w:szCs w:val="32"/>
          <w:shd w:val="clear" w:color="auto" w:fill="FFFFFF"/>
        </w:rPr>
      </w:pPr>
      <w:r>
        <w:rPr>
          <w:rFonts w:hint="eastAsia" w:ascii="仿宋" w:hAnsi="仿宋" w:eastAsia="仿宋" w:cs="仿宋"/>
          <w:color w:val="000000"/>
          <w:kern w:val="0"/>
          <w:sz w:val="32"/>
          <w:szCs w:val="32"/>
          <w:shd w:val="clear" w:color="auto" w:fill="FFFFFF"/>
          <w:lang w:val="zh-CN"/>
        </w:rPr>
        <w:t>资产利用率：</w:t>
      </w:r>
      <w:r>
        <w:rPr>
          <w:rFonts w:hint="eastAsia" w:ascii="仿宋" w:hAnsi="仿宋" w:eastAsia="仿宋" w:cs="仿宋"/>
          <w:color w:val="000000"/>
          <w:kern w:val="0"/>
          <w:sz w:val="32"/>
          <w:szCs w:val="32"/>
          <w:shd w:val="clear" w:color="auto" w:fill="FFFFFF"/>
        </w:rPr>
        <w:t>100%。</w:t>
      </w:r>
    </w:p>
    <w:p>
      <w:pPr>
        <w:adjustRightInd w:val="0"/>
        <w:snapToGrid w:val="0"/>
        <w:spacing w:line="578" w:lineRule="exact"/>
        <w:ind w:firstLine="640" w:firstLineChars="200"/>
        <w:contextualSpacing/>
        <w:jc w:val="left"/>
        <w:rPr>
          <w:rFonts w:hint="eastAsia" w:ascii="仿宋" w:hAnsi="仿宋" w:eastAsia="仿宋" w:cs="仿宋"/>
          <w:color w:val="000000"/>
          <w:kern w:val="0"/>
          <w:sz w:val="32"/>
          <w:szCs w:val="32"/>
          <w:shd w:val="clear" w:color="auto" w:fill="FFFFFF"/>
        </w:rPr>
      </w:pPr>
      <w:r>
        <w:rPr>
          <w:rFonts w:hint="eastAsia" w:ascii="仿宋" w:hAnsi="仿宋" w:eastAsia="仿宋" w:cs="仿宋"/>
          <w:color w:val="000000"/>
          <w:kern w:val="0"/>
          <w:sz w:val="32"/>
          <w:szCs w:val="32"/>
          <w:shd w:val="clear" w:color="auto" w:fill="FFFFFF"/>
          <w:lang w:val="zh-CN"/>
        </w:rPr>
        <w:t>资产盘活率：</w:t>
      </w:r>
      <w:r>
        <w:rPr>
          <w:rFonts w:hint="eastAsia" w:ascii="仿宋" w:hAnsi="仿宋" w:eastAsia="仿宋" w:cs="仿宋"/>
          <w:color w:val="000000"/>
          <w:kern w:val="0"/>
          <w:sz w:val="32"/>
          <w:szCs w:val="32"/>
          <w:shd w:val="clear" w:color="auto" w:fill="FFFFFF"/>
        </w:rPr>
        <w:t>95%。</w:t>
      </w:r>
    </w:p>
    <w:p>
      <w:pPr>
        <w:adjustRightInd w:val="0"/>
        <w:snapToGrid w:val="0"/>
        <w:spacing w:line="578"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单位资产管理由办公室总负责，使用人具体负责管理，对不能继续使用的资产由使用人交回办公室并提出申请，由办公室提供材料交给财务室按照相关程序统一购置。财政所每年对单位资产进行一次集中清理，对不能使用的资产及时报相关部门进行报废处理。</w:t>
      </w:r>
    </w:p>
    <w:p>
      <w:pPr>
        <w:adjustRightInd w:val="0"/>
        <w:snapToGrid w:val="0"/>
        <w:spacing w:line="578" w:lineRule="exact"/>
        <w:ind w:firstLine="640" w:firstLineChars="200"/>
        <w:jc w:val="left"/>
        <w:rPr>
          <w:rFonts w:eastAsia="仿宋_GB2312"/>
          <w:sz w:val="32"/>
          <w:szCs w:val="32"/>
          <w:lang w:val="zh-CN"/>
        </w:rPr>
      </w:pPr>
      <w:r>
        <w:rPr>
          <w:rFonts w:hint="eastAsia" w:ascii="楷体_GB2312" w:hAnsi="楷体_GB2312" w:eastAsia="楷体_GB2312" w:cs="楷体_GB2312"/>
          <w:color w:val="000000"/>
          <w:kern w:val="0"/>
          <w:sz w:val="32"/>
          <w:szCs w:val="32"/>
          <w:shd w:val="clear" w:color="auto" w:fill="FFFFFF"/>
        </w:rPr>
        <w:t>5.</w:t>
      </w:r>
      <w:r>
        <w:rPr>
          <w:rFonts w:hint="eastAsia" w:ascii="楷体_GB2312" w:hAnsi="楷体_GB2312" w:eastAsia="楷体_GB2312" w:cs="楷体_GB2312"/>
          <w:color w:val="000000"/>
          <w:kern w:val="0"/>
          <w:sz w:val="32"/>
          <w:szCs w:val="32"/>
          <w:shd w:val="clear" w:color="auto" w:fill="FFFFFF"/>
          <w:lang w:val="zh-CN"/>
        </w:rPr>
        <w:t>采购管理。</w:t>
      </w:r>
      <w:r>
        <w:rPr>
          <w:rFonts w:hint="eastAsia" w:eastAsia="仿宋_GB2312"/>
          <w:sz w:val="32"/>
          <w:szCs w:val="32"/>
          <w:lang w:val="zh-CN"/>
        </w:rPr>
        <w:t>围绕支持中小企业发展、采购执行率进行绩效分析。</w:t>
      </w:r>
    </w:p>
    <w:p>
      <w:pPr>
        <w:pStyle w:val="2"/>
        <w:ind w:left="0" w:leftChars="0" w:firstLine="640"/>
        <w:rPr>
          <w:rFonts w:ascii="Times New Roman" w:eastAsia="仿宋_GB2312"/>
          <w:sz w:val="32"/>
          <w:lang w:val="zh-CN"/>
        </w:rPr>
      </w:pPr>
      <w:r>
        <w:rPr>
          <w:rFonts w:hint="eastAsia" w:ascii="Times New Roman" w:eastAsia="仿宋_GB2312"/>
          <w:sz w:val="32"/>
        </w:rPr>
        <w:t>本单位无采购。</w:t>
      </w:r>
    </w:p>
    <w:p>
      <w:pPr>
        <w:ind w:firstLine="643" w:firstLineChars="200"/>
        <w:rPr>
          <w:rFonts w:eastAsia="仿宋_GB2312"/>
          <w:sz w:val="32"/>
          <w:szCs w:val="32"/>
          <w:lang w:val="zh-CN"/>
        </w:rPr>
      </w:pPr>
      <w:r>
        <w:rPr>
          <w:rFonts w:hint="eastAsia" w:ascii="楷体_GB2312" w:eastAsia="楷体_GB2312"/>
          <w:b/>
          <w:sz w:val="32"/>
          <w:szCs w:val="32"/>
        </w:rPr>
        <w:t>（二）部门预算项目绩效分析。</w:t>
      </w:r>
      <w:r>
        <w:rPr>
          <w:rFonts w:hint="eastAsia" w:eastAsia="仿宋_GB2312"/>
          <w:sz w:val="32"/>
          <w:szCs w:val="32"/>
          <w:lang w:val="zh-CN"/>
        </w:rPr>
        <w:t>填报以下数据，并根据部门预算绩效评价指标体系“项目绩效”涉及二、三级指标进行逐项绩效分析并评分，依次包括项目决策、项目执行、目标实现等情况。</w:t>
      </w:r>
    </w:p>
    <w:p>
      <w:pPr>
        <w:ind w:firstLine="640" w:firstLineChars="200"/>
        <w:rPr>
          <w:rFonts w:eastAsia="仿宋_GB2312"/>
          <w:sz w:val="32"/>
          <w:szCs w:val="32"/>
          <w:lang w:val="zh-CN"/>
        </w:rPr>
      </w:pPr>
      <w:r>
        <w:rPr>
          <w:rFonts w:hint="eastAsia" w:eastAsia="仿宋_GB2312"/>
          <w:sz w:val="32"/>
          <w:szCs w:val="32"/>
        </w:rPr>
        <w:t>常年项目绩效分析。</w:t>
      </w:r>
      <w:r>
        <w:rPr>
          <w:rFonts w:hint="eastAsia" w:eastAsia="仿宋_GB2312"/>
          <w:sz w:val="32"/>
          <w:szCs w:val="32"/>
          <w:lang w:val="zh-CN"/>
        </w:rPr>
        <w:t>该类项目总数</w:t>
      </w:r>
      <w:r>
        <w:rPr>
          <w:rFonts w:hint="eastAsia" w:eastAsia="仿宋_GB2312"/>
          <w:sz w:val="32"/>
          <w:szCs w:val="32"/>
          <w:lang w:val="en-US" w:eastAsia="zh-CN"/>
        </w:rPr>
        <w:t>2</w:t>
      </w:r>
      <w:r>
        <w:rPr>
          <w:rFonts w:hint="eastAsia" w:eastAsia="仿宋_GB2312"/>
          <w:sz w:val="32"/>
          <w:szCs w:val="32"/>
          <w:lang w:val="zh-CN"/>
        </w:rPr>
        <w:t>个，涉及预算总金额</w:t>
      </w:r>
      <w:r>
        <w:rPr>
          <w:rFonts w:hint="eastAsia" w:eastAsia="仿宋_GB2312"/>
          <w:sz w:val="32"/>
          <w:szCs w:val="32"/>
          <w:lang w:val="en-US" w:eastAsia="zh-CN"/>
        </w:rPr>
        <w:t>32.21</w:t>
      </w:r>
      <w:r>
        <w:rPr>
          <w:rFonts w:hint="eastAsia" w:eastAsia="仿宋_GB2312"/>
          <w:sz w:val="32"/>
          <w:szCs w:val="32"/>
          <w:lang w:val="zh-CN"/>
        </w:rPr>
        <w:t>万元，1—1</w:t>
      </w:r>
      <w:r>
        <w:rPr>
          <w:rFonts w:hint="eastAsia" w:eastAsia="仿宋_GB2312"/>
          <w:sz w:val="32"/>
          <w:szCs w:val="32"/>
        </w:rPr>
        <w:t>2</w:t>
      </w:r>
      <w:r>
        <w:rPr>
          <w:rFonts w:hint="eastAsia" w:eastAsia="仿宋_GB2312"/>
          <w:sz w:val="32"/>
          <w:szCs w:val="32"/>
          <w:lang w:val="zh-CN"/>
        </w:rPr>
        <w:t>月预算执行总体进度为</w:t>
      </w:r>
      <w:r>
        <w:rPr>
          <w:rFonts w:hint="eastAsia" w:eastAsia="仿宋_GB2312"/>
          <w:sz w:val="32"/>
          <w:szCs w:val="32"/>
          <w:lang w:val="en-US" w:eastAsia="zh-CN"/>
        </w:rPr>
        <w:t>78.92</w:t>
      </w:r>
      <w:r>
        <w:rPr>
          <w:rFonts w:hint="eastAsia" w:eastAsia="仿宋_GB2312"/>
          <w:sz w:val="32"/>
          <w:szCs w:val="32"/>
          <w:lang w:val="zh-CN"/>
        </w:rPr>
        <w:t>%，其中：预算结余率大于</w:t>
      </w:r>
      <w:r>
        <w:rPr>
          <w:rFonts w:hint="eastAsia" w:eastAsia="仿宋_GB2312"/>
          <w:sz w:val="32"/>
          <w:szCs w:val="32"/>
        </w:rPr>
        <w:t>10%</w:t>
      </w:r>
      <w:r>
        <w:rPr>
          <w:rFonts w:hint="eastAsia" w:eastAsia="仿宋_GB2312"/>
          <w:sz w:val="32"/>
          <w:szCs w:val="32"/>
          <w:lang w:val="zh-CN"/>
        </w:rPr>
        <w:t>的项目共计</w:t>
      </w:r>
      <w:r>
        <w:rPr>
          <w:rFonts w:hint="eastAsia" w:eastAsia="仿宋_GB2312"/>
          <w:sz w:val="32"/>
          <w:szCs w:val="32"/>
          <w:lang w:val="en-US" w:eastAsia="zh-CN"/>
        </w:rPr>
        <w:t>1</w:t>
      </w:r>
      <w:r>
        <w:rPr>
          <w:rFonts w:hint="eastAsia" w:eastAsia="仿宋_GB2312"/>
          <w:sz w:val="32"/>
          <w:szCs w:val="32"/>
          <w:lang w:val="zh-CN"/>
        </w:rPr>
        <w:t>个。</w:t>
      </w:r>
    </w:p>
    <w:p>
      <w:pPr>
        <w:ind w:firstLine="640" w:firstLineChars="200"/>
        <w:rPr>
          <w:rFonts w:eastAsia="仿宋_GB2312"/>
          <w:sz w:val="32"/>
          <w:szCs w:val="32"/>
          <w:lang w:val="zh-CN"/>
        </w:rPr>
      </w:pPr>
      <w:r>
        <w:rPr>
          <w:rFonts w:hint="eastAsia" w:eastAsia="仿宋_GB2312"/>
          <w:sz w:val="32"/>
          <w:szCs w:val="32"/>
        </w:rPr>
        <w:t>阶段（一次性）项目绩效分析。</w:t>
      </w:r>
      <w:r>
        <w:rPr>
          <w:rFonts w:hint="eastAsia" w:eastAsia="仿宋_GB2312"/>
          <w:sz w:val="32"/>
          <w:szCs w:val="32"/>
          <w:lang w:val="zh-CN"/>
        </w:rPr>
        <w:t>该类项目总数</w:t>
      </w:r>
      <w:r>
        <w:rPr>
          <w:rFonts w:hint="eastAsia" w:eastAsia="仿宋_GB2312"/>
          <w:sz w:val="32"/>
          <w:szCs w:val="32"/>
          <w:lang w:val="en-US" w:eastAsia="zh-CN"/>
        </w:rPr>
        <w:t>7</w:t>
      </w:r>
      <w:r>
        <w:rPr>
          <w:rFonts w:hint="eastAsia" w:eastAsia="仿宋_GB2312"/>
          <w:sz w:val="32"/>
          <w:szCs w:val="32"/>
          <w:lang w:val="zh-CN"/>
        </w:rPr>
        <w:t>个，涉及预算总金额</w:t>
      </w:r>
      <w:r>
        <w:rPr>
          <w:rFonts w:hint="eastAsia" w:eastAsia="仿宋_GB2312"/>
          <w:sz w:val="32"/>
          <w:szCs w:val="32"/>
          <w:lang w:val="en-US" w:eastAsia="zh-CN"/>
        </w:rPr>
        <w:t>2421.99</w:t>
      </w:r>
      <w:r>
        <w:rPr>
          <w:rFonts w:hint="eastAsia" w:eastAsia="仿宋_GB2312"/>
          <w:sz w:val="32"/>
          <w:szCs w:val="32"/>
          <w:lang w:val="zh-CN"/>
        </w:rPr>
        <w:t>万元，1—1</w:t>
      </w:r>
      <w:r>
        <w:rPr>
          <w:rFonts w:hint="eastAsia" w:eastAsia="仿宋_GB2312"/>
          <w:sz w:val="32"/>
          <w:szCs w:val="32"/>
        </w:rPr>
        <w:t>2</w:t>
      </w:r>
      <w:r>
        <w:rPr>
          <w:rFonts w:hint="eastAsia" w:eastAsia="仿宋_GB2312"/>
          <w:sz w:val="32"/>
          <w:szCs w:val="32"/>
          <w:lang w:val="zh-CN"/>
        </w:rPr>
        <w:t>月预算执行总体进度为</w:t>
      </w:r>
      <w:r>
        <w:rPr>
          <w:rFonts w:hint="eastAsia" w:eastAsia="仿宋_GB2312"/>
          <w:sz w:val="32"/>
          <w:szCs w:val="32"/>
          <w:lang w:val="en-US" w:eastAsia="zh-CN"/>
        </w:rPr>
        <w:t>95.03</w:t>
      </w:r>
      <w:r>
        <w:rPr>
          <w:rFonts w:hint="eastAsia" w:eastAsia="仿宋_GB2312"/>
          <w:sz w:val="32"/>
          <w:szCs w:val="32"/>
          <w:lang w:val="zh-CN"/>
        </w:rPr>
        <w:t>%，其中：预算结余率大于</w:t>
      </w:r>
      <w:r>
        <w:rPr>
          <w:rFonts w:hint="eastAsia" w:eastAsia="仿宋_GB2312"/>
          <w:sz w:val="32"/>
          <w:szCs w:val="32"/>
        </w:rPr>
        <w:t>10%</w:t>
      </w:r>
      <w:r>
        <w:rPr>
          <w:rFonts w:hint="eastAsia" w:eastAsia="仿宋_GB2312"/>
          <w:sz w:val="32"/>
          <w:szCs w:val="32"/>
          <w:lang w:val="zh-CN"/>
        </w:rPr>
        <w:t>的项目共计</w:t>
      </w:r>
      <w:r>
        <w:rPr>
          <w:rFonts w:hint="eastAsia" w:eastAsia="仿宋_GB2312"/>
          <w:sz w:val="32"/>
          <w:szCs w:val="32"/>
          <w:lang w:val="en-US" w:eastAsia="zh-CN"/>
        </w:rPr>
        <w:t>3</w:t>
      </w:r>
      <w:r>
        <w:rPr>
          <w:rFonts w:hint="eastAsia" w:eastAsia="仿宋_GB2312"/>
          <w:sz w:val="32"/>
          <w:szCs w:val="32"/>
          <w:lang w:val="zh-CN"/>
        </w:rPr>
        <w:t>个。</w:t>
      </w:r>
    </w:p>
    <w:p>
      <w:pPr>
        <w:numPr>
          <w:ilvl w:val="0"/>
          <w:numId w:val="6"/>
        </w:numPr>
        <w:ind w:firstLine="640" w:firstLineChars="200"/>
        <w:rPr>
          <w:rFonts w:ascii="楷体_GB2312" w:hAnsi="楷体_GB2312" w:eastAsia="楷体_GB2312" w:cs="楷体_GB2312"/>
          <w:color w:val="000000"/>
          <w:kern w:val="0"/>
          <w:sz w:val="32"/>
          <w:szCs w:val="32"/>
          <w:shd w:val="clear" w:color="auto" w:fill="FFFFFF"/>
        </w:rPr>
      </w:pPr>
      <w:r>
        <w:rPr>
          <w:rFonts w:hint="eastAsia" w:ascii="楷体_GB2312" w:hAnsi="楷体_GB2312" w:eastAsia="楷体_GB2312" w:cs="楷体_GB2312"/>
          <w:color w:val="000000"/>
          <w:kern w:val="0"/>
          <w:sz w:val="32"/>
          <w:szCs w:val="32"/>
          <w:shd w:val="clear" w:color="auto" w:fill="FFFFFF"/>
        </w:rPr>
        <w:t>项目决策。</w:t>
      </w:r>
    </w:p>
    <w:p>
      <w:pPr>
        <w:ind w:firstLine="640" w:firstLineChars="200"/>
        <w:rPr>
          <w:rFonts w:eastAsia="仿宋_GB2312"/>
          <w:sz w:val="32"/>
          <w:szCs w:val="32"/>
        </w:rPr>
      </w:pPr>
      <w:r>
        <w:rPr>
          <w:rFonts w:hint="eastAsia" w:eastAsia="仿宋_GB2312"/>
          <w:sz w:val="32"/>
          <w:szCs w:val="32"/>
          <w:lang w:val="zh-CN"/>
        </w:rPr>
        <w:t>决策程序：</w:t>
      </w:r>
      <w:r>
        <w:rPr>
          <w:rFonts w:hint="eastAsia" w:eastAsia="仿宋_GB2312"/>
          <w:sz w:val="32"/>
          <w:szCs w:val="32"/>
        </w:rPr>
        <w:t>加强对领导机关、领导干部特别是各级领导班子主要负责人的监督。认真检查党的路线、方针、政策和决议的执行情况，监督民主集中制及领导班子议事规则落实情况，反属重大决策、重要干部任免、重大项目安排和大额度资金的使用，必须由领导班子集体作出决定。</w:t>
      </w:r>
    </w:p>
    <w:p>
      <w:pPr>
        <w:ind w:firstLine="640" w:firstLineChars="200"/>
        <w:rPr>
          <w:rFonts w:eastAsia="仿宋_GB2312"/>
          <w:sz w:val="32"/>
          <w:szCs w:val="32"/>
          <w:lang w:val="zh-CN"/>
        </w:rPr>
      </w:pPr>
      <w:r>
        <w:rPr>
          <w:rFonts w:hint="eastAsia" w:eastAsia="仿宋_GB2312"/>
          <w:sz w:val="32"/>
          <w:szCs w:val="32"/>
          <w:lang w:val="zh-CN"/>
        </w:rPr>
        <w:t>目标设置：</w:t>
      </w:r>
    </w:p>
    <w:p>
      <w:pPr>
        <w:ind w:firstLine="640" w:firstLineChars="200"/>
        <w:rPr>
          <w:rFonts w:eastAsia="仿宋_GB2312"/>
          <w:sz w:val="32"/>
          <w:szCs w:val="32"/>
          <w:lang w:val="zh-CN"/>
        </w:rPr>
      </w:pPr>
      <w:r>
        <w:rPr>
          <w:rFonts w:hint="eastAsia" w:eastAsia="仿宋_GB2312"/>
          <w:sz w:val="32"/>
          <w:szCs w:val="32"/>
          <w:lang w:val="zh-CN"/>
        </w:rPr>
        <w:t>（</w:t>
      </w:r>
      <w:r>
        <w:rPr>
          <w:rFonts w:hint="eastAsia" w:eastAsia="仿宋_GB2312"/>
          <w:sz w:val="32"/>
          <w:szCs w:val="32"/>
        </w:rPr>
        <w:t>1</w:t>
      </w:r>
      <w:r>
        <w:rPr>
          <w:rFonts w:hint="eastAsia" w:eastAsia="仿宋_GB2312"/>
          <w:sz w:val="32"/>
          <w:szCs w:val="32"/>
          <w:lang w:val="zh-CN"/>
        </w:rPr>
        <w:t>）深入开展主题教育活动。扎实推进学习贯彻习近平新时代中国特色社会主义思想主题教育，深入学习贯彻习近平总书记来川视察重要指示精神和省委、州委十二届二次三次四次全会、县委十二届二次三次全会精神，不折不扣推动中央和省委、州委、县委决策部署落地落实。</w:t>
      </w:r>
    </w:p>
    <w:p>
      <w:pPr>
        <w:ind w:firstLine="640" w:firstLineChars="200"/>
        <w:rPr>
          <w:rFonts w:eastAsia="仿宋_GB2312"/>
          <w:sz w:val="32"/>
          <w:szCs w:val="32"/>
          <w:lang w:val="zh-CN"/>
        </w:rPr>
      </w:pPr>
      <w:r>
        <w:rPr>
          <w:rFonts w:hint="eastAsia" w:eastAsia="仿宋_GB2312"/>
          <w:sz w:val="32"/>
          <w:szCs w:val="32"/>
          <w:lang w:val="zh-CN"/>
        </w:rPr>
        <w:t>（</w:t>
      </w:r>
      <w:r>
        <w:rPr>
          <w:rFonts w:hint="eastAsia" w:eastAsia="仿宋_GB2312"/>
          <w:sz w:val="32"/>
          <w:szCs w:val="32"/>
        </w:rPr>
        <w:t>2</w:t>
      </w:r>
      <w:r>
        <w:rPr>
          <w:rFonts w:hint="eastAsia" w:eastAsia="仿宋_GB2312"/>
          <w:sz w:val="32"/>
          <w:szCs w:val="32"/>
          <w:lang w:val="zh-CN"/>
        </w:rPr>
        <w:t>）强化信息化建设。加快科技强警步伐，充分发挥综合作战一体化、公安大数据、视觉计算等科技作用，依托“天网”第三期升级改造，大力加强县局信息化建设，提升能打仗、打胜仗的水平</w:t>
      </w:r>
    </w:p>
    <w:p>
      <w:pPr>
        <w:ind w:firstLine="640" w:firstLineChars="200"/>
        <w:rPr>
          <w:rFonts w:eastAsia="仿宋_GB2312"/>
          <w:sz w:val="32"/>
          <w:szCs w:val="32"/>
          <w:lang w:val="zh-CN"/>
        </w:rPr>
      </w:pPr>
      <w:r>
        <w:rPr>
          <w:rFonts w:hint="eastAsia" w:eastAsia="仿宋_GB2312"/>
          <w:sz w:val="32"/>
          <w:szCs w:val="32"/>
          <w:lang w:val="zh-CN"/>
        </w:rPr>
        <w:t>（</w:t>
      </w:r>
      <w:r>
        <w:rPr>
          <w:rFonts w:hint="eastAsia" w:eastAsia="仿宋_GB2312"/>
          <w:sz w:val="32"/>
          <w:szCs w:val="32"/>
        </w:rPr>
        <w:t>3</w:t>
      </w:r>
      <w:r>
        <w:rPr>
          <w:rFonts w:hint="eastAsia" w:eastAsia="仿宋_GB2312"/>
          <w:sz w:val="32"/>
          <w:szCs w:val="32"/>
          <w:lang w:val="zh-CN"/>
        </w:rPr>
        <w:t>）推进平安建设。大力推进平安红原建设，提升群众的安全感和满意度；花大力气抓好安全监管工作，确保全县平安稳定；增强打击犯罪、服务人民的本领，强化工作措施，全力为红原县经济保驾护航；结合实际，探索出适应本县的公安改革工作，不等不靠，打造亮点。</w:t>
      </w:r>
    </w:p>
    <w:p>
      <w:pPr>
        <w:ind w:firstLine="640" w:firstLineChars="200"/>
        <w:rPr>
          <w:rFonts w:eastAsia="仿宋_GB2312"/>
          <w:sz w:val="32"/>
          <w:szCs w:val="32"/>
          <w:lang w:val="zh-CN"/>
        </w:rPr>
      </w:pPr>
      <w:r>
        <w:rPr>
          <w:rFonts w:hint="eastAsia" w:eastAsia="仿宋_GB2312"/>
          <w:sz w:val="32"/>
          <w:szCs w:val="32"/>
          <w:lang w:val="zh-CN"/>
        </w:rPr>
        <w:t>（</w:t>
      </w:r>
      <w:r>
        <w:rPr>
          <w:rFonts w:hint="eastAsia" w:eastAsia="仿宋_GB2312"/>
          <w:sz w:val="32"/>
          <w:szCs w:val="32"/>
        </w:rPr>
        <w:t>4</w:t>
      </w:r>
      <w:r>
        <w:rPr>
          <w:rFonts w:hint="eastAsia" w:eastAsia="仿宋_GB2312"/>
          <w:sz w:val="32"/>
          <w:szCs w:val="32"/>
          <w:lang w:val="zh-CN"/>
        </w:rPr>
        <w:t>）全面加强队伍管理。抓实队伍教育管理，狠抓中央八项规定精神和省委、省政府十项规定及其实施细则落实，坚决执行公安部“六项规定”，常态开展“三项体检”，持续整治“五小问题”，确保队伍内部安全稳定。</w:t>
      </w:r>
    </w:p>
    <w:p>
      <w:pPr>
        <w:ind w:firstLine="640" w:firstLineChars="200"/>
        <w:rPr>
          <w:rFonts w:eastAsia="仿宋_GB2312"/>
          <w:sz w:val="32"/>
          <w:szCs w:val="32"/>
          <w:lang w:val="zh-CN"/>
        </w:rPr>
      </w:pPr>
      <w:r>
        <w:rPr>
          <w:rFonts w:hint="eastAsia" w:eastAsia="仿宋_GB2312"/>
          <w:sz w:val="32"/>
          <w:szCs w:val="32"/>
          <w:lang w:val="zh-CN"/>
        </w:rPr>
        <w:t>项目入库：</w:t>
      </w:r>
      <w:r>
        <w:rPr>
          <w:rFonts w:hint="eastAsia" w:eastAsia="仿宋_GB2312"/>
          <w:sz w:val="32"/>
          <w:szCs w:val="32"/>
        </w:rPr>
        <w:t>严格</w:t>
      </w:r>
      <w:r>
        <w:rPr>
          <w:rFonts w:hint="eastAsia" w:eastAsia="仿宋_GB2312"/>
          <w:sz w:val="32"/>
          <w:szCs w:val="32"/>
          <w:lang w:val="zh-CN"/>
        </w:rPr>
        <w:t>按照程序以及要求，项目在资金使用前必须进行项目入库。</w:t>
      </w:r>
    </w:p>
    <w:p>
      <w:pPr>
        <w:numPr>
          <w:ilvl w:val="0"/>
          <w:numId w:val="6"/>
        </w:numPr>
        <w:ind w:firstLine="640" w:firstLineChars="200"/>
        <w:rPr>
          <w:rFonts w:ascii="楷体_GB2312" w:hAnsi="楷体_GB2312" w:eastAsia="楷体_GB2312" w:cs="楷体_GB2312"/>
          <w:color w:val="000000"/>
          <w:kern w:val="0"/>
          <w:sz w:val="32"/>
          <w:szCs w:val="32"/>
          <w:shd w:val="clear" w:color="auto" w:fill="FFFFFF"/>
        </w:rPr>
      </w:pPr>
      <w:r>
        <w:rPr>
          <w:rFonts w:hint="eastAsia" w:ascii="楷体_GB2312" w:hAnsi="楷体_GB2312" w:eastAsia="楷体_GB2312" w:cs="楷体_GB2312"/>
          <w:color w:val="000000"/>
          <w:kern w:val="0"/>
          <w:sz w:val="32"/>
          <w:szCs w:val="32"/>
          <w:shd w:val="clear" w:color="auto" w:fill="FFFFFF"/>
        </w:rPr>
        <w:t>项目执行。</w:t>
      </w:r>
    </w:p>
    <w:p>
      <w:pPr>
        <w:ind w:firstLine="640" w:firstLineChars="200"/>
        <w:rPr>
          <w:rFonts w:eastAsia="仿宋_GB2312"/>
          <w:sz w:val="32"/>
          <w:szCs w:val="32"/>
        </w:rPr>
      </w:pPr>
      <w:r>
        <w:rPr>
          <w:rFonts w:hint="eastAsia" w:eastAsia="仿宋_GB2312"/>
          <w:sz w:val="32"/>
          <w:szCs w:val="32"/>
        </w:rPr>
        <w:t>202</w:t>
      </w:r>
      <w:r>
        <w:rPr>
          <w:rFonts w:hint="eastAsia" w:eastAsia="仿宋_GB2312"/>
          <w:sz w:val="32"/>
          <w:szCs w:val="32"/>
          <w:lang w:val="en-US" w:eastAsia="zh-CN"/>
        </w:rPr>
        <w:t>5</w:t>
      </w:r>
      <w:r>
        <w:rPr>
          <w:rFonts w:hint="eastAsia" w:eastAsia="仿宋_GB2312"/>
          <w:sz w:val="32"/>
          <w:szCs w:val="32"/>
        </w:rPr>
        <w:t>年预算决算总收入</w:t>
      </w:r>
      <w:r>
        <w:rPr>
          <w:rFonts w:hint="eastAsia" w:eastAsia="仿宋_GB2312"/>
          <w:sz w:val="32"/>
          <w:szCs w:val="32"/>
          <w:lang w:val="en-US" w:eastAsia="zh-CN"/>
        </w:rPr>
        <w:t>9164.24</w:t>
      </w:r>
      <w:r>
        <w:rPr>
          <w:rFonts w:hint="eastAsia" w:eastAsia="仿宋_GB2312"/>
          <w:sz w:val="32"/>
          <w:szCs w:val="32"/>
          <w:lang w:val="zh-CN"/>
        </w:rPr>
        <w:t>万元，</w:t>
      </w:r>
      <w:r>
        <w:rPr>
          <w:rFonts w:hint="eastAsia" w:eastAsia="仿宋_GB2312"/>
          <w:sz w:val="32"/>
          <w:szCs w:val="32"/>
        </w:rPr>
        <w:t>202</w:t>
      </w:r>
      <w:r>
        <w:rPr>
          <w:rFonts w:hint="eastAsia" w:eastAsia="仿宋_GB2312"/>
          <w:sz w:val="32"/>
          <w:szCs w:val="32"/>
          <w:lang w:val="en-US" w:eastAsia="zh-CN"/>
        </w:rPr>
        <w:t>5</w:t>
      </w:r>
      <w:r>
        <w:rPr>
          <w:rFonts w:hint="eastAsia" w:eastAsia="仿宋_GB2312"/>
          <w:sz w:val="32"/>
          <w:szCs w:val="32"/>
        </w:rPr>
        <w:t>年支出合计</w:t>
      </w:r>
      <w:r>
        <w:rPr>
          <w:rFonts w:hint="eastAsia" w:eastAsia="仿宋_GB2312"/>
          <w:sz w:val="32"/>
          <w:szCs w:val="32"/>
          <w:lang w:val="en-US" w:eastAsia="zh-CN"/>
        </w:rPr>
        <w:t>9164.24</w:t>
      </w:r>
      <w:r>
        <w:rPr>
          <w:rFonts w:hint="eastAsia" w:eastAsia="仿宋_GB2312"/>
          <w:sz w:val="32"/>
          <w:szCs w:val="32"/>
          <w:lang w:val="zh-CN"/>
        </w:rPr>
        <w:t>万元，</w:t>
      </w:r>
      <w:r>
        <w:rPr>
          <w:rFonts w:hint="eastAsia" w:eastAsia="仿宋_GB2312"/>
          <w:sz w:val="32"/>
          <w:szCs w:val="32"/>
        </w:rPr>
        <w:t>资金使用率</w:t>
      </w:r>
      <w:r>
        <w:rPr>
          <w:rFonts w:hint="eastAsia" w:eastAsia="仿宋_GB2312"/>
          <w:sz w:val="32"/>
          <w:szCs w:val="32"/>
          <w:lang w:val="zh-CN"/>
        </w:rPr>
        <w:t>100%。</w:t>
      </w:r>
      <w:r>
        <w:rPr>
          <w:rFonts w:hint="eastAsia" w:eastAsia="仿宋_GB2312"/>
          <w:sz w:val="32"/>
          <w:szCs w:val="32"/>
          <w:lang w:val="en-US" w:eastAsia="zh-CN"/>
        </w:rPr>
        <w:t>其中：公共安全支出7763.65万元，占比84.72%；社会保</w:t>
      </w:r>
      <w:r>
        <w:rPr>
          <w:rFonts w:hint="eastAsia" w:eastAsia="仿宋_GB2312"/>
          <w:sz w:val="32"/>
          <w:szCs w:val="32"/>
        </w:rPr>
        <w:t>障和就业支出</w:t>
      </w:r>
      <w:r>
        <w:rPr>
          <w:rFonts w:hint="eastAsia" w:eastAsia="仿宋_GB2312"/>
          <w:sz w:val="32"/>
          <w:szCs w:val="32"/>
          <w:lang w:val="en-US" w:eastAsia="zh-CN"/>
        </w:rPr>
        <w:t>716.22</w:t>
      </w:r>
      <w:r>
        <w:rPr>
          <w:rFonts w:hint="eastAsia" w:eastAsia="仿宋_GB2312"/>
          <w:sz w:val="32"/>
          <w:szCs w:val="32"/>
        </w:rPr>
        <w:t>万元，占比</w:t>
      </w:r>
      <w:r>
        <w:rPr>
          <w:rFonts w:hint="eastAsia" w:eastAsia="仿宋_GB2312"/>
          <w:sz w:val="32"/>
          <w:szCs w:val="32"/>
          <w:lang w:val="en-US" w:eastAsia="zh-CN"/>
        </w:rPr>
        <w:t>7.81</w:t>
      </w:r>
      <w:r>
        <w:rPr>
          <w:rFonts w:hint="eastAsia" w:eastAsia="仿宋_GB2312"/>
          <w:sz w:val="32"/>
          <w:szCs w:val="32"/>
        </w:rPr>
        <w:t>%；卫生健康支出</w:t>
      </w:r>
      <w:r>
        <w:rPr>
          <w:rFonts w:hint="eastAsia" w:eastAsia="仿宋_GB2312"/>
          <w:sz w:val="32"/>
          <w:szCs w:val="32"/>
          <w:lang w:val="en-US" w:eastAsia="zh-CN"/>
        </w:rPr>
        <w:t>296.74</w:t>
      </w:r>
      <w:r>
        <w:rPr>
          <w:rFonts w:hint="eastAsia" w:eastAsia="仿宋_GB2312"/>
          <w:sz w:val="32"/>
          <w:szCs w:val="32"/>
        </w:rPr>
        <w:t>万元，占比</w:t>
      </w:r>
      <w:r>
        <w:rPr>
          <w:rFonts w:hint="eastAsia" w:eastAsia="仿宋_GB2312"/>
          <w:sz w:val="32"/>
          <w:szCs w:val="32"/>
          <w:lang w:val="en-US" w:eastAsia="zh-CN"/>
        </w:rPr>
        <w:t>3.24</w:t>
      </w:r>
      <w:r>
        <w:rPr>
          <w:rFonts w:hint="eastAsia" w:eastAsia="仿宋_GB2312"/>
          <w:sz w:val="32"/>
          <w:szCs w:val="32"/>
        </w:rPr>
        <w:t>%；住房保障支出</w:t>
      </w:r>
      <w:r>
        <w:rPr>
          <w:rFonts w:hint="eastAsia" w:eastAsia="仿宋_GB2312"/>
          <w:sz w:val="32"/>
          <w:szCs w:val="32"/>
          <w:lang w:val="en-US" w:eastAsia="zh-CN"/>
        </w:rPr>
        <w:t>387.62</w:t>
      </w:r>
      <w:r>
        <w:rPr>
          <w:rFonts w:hint="eastAsia" w:eastAsia="仿宋_GB2312"/>
          <w:sz w:val="32"/>
          <w:szCs w:val="32"/>
        </w:rPr>
        <w:t>万元，占比</w:t>
      </w:r>
      <w:r>
        <w:rPr>
          <w:rFonts w:hint="eastAsia" w:eastAsia="仿宋_GB2312"/>
          <w:sz w:val="32"/>
          <w:szCs w:val="32"/>
          <w:lang w:val="en-US" w:eastAsia="zh-CN"/>
        </w:rPr>
        <w:t>4.23</w:t>
      </w:r>
      <w:r>
        <w:rPr>
          <w:rFonts w:hint="eastAsia" w:eastAsia="仿宋_GB2312"/>
          <w:sz w:val="32"/>
          <w:szCs w:val="32"/>
        </w:rPr>
        <w:t>%。</w:t>
      </w:r>
    </w:p>
    <w:p>
      <w:pPr>
        <w:ind w:firstLine="640" w:firstLineChars="200"/>
        <w:rPr>
          <w:rFonts w:eastAsia="仿宋_GB2312"/>
          <w:sz w:val="32"/>
          <w:szCs w:val="32"/>
          <w:lang w:val="zh-CN"/>
        </w:rPr>
      </w:pPr>
      <w:r>
        <w:rPr>
          <w:rFonts w:hint="eastAsia" w:ascii="楷体_GB2312" w:hAnsi="楷体_GB2312" w:eastAsia="楷体_GB2312" w:cs="楷体_GB2312"/>
          <w:color w:val="000000"/>
          <w:kern w:val="0"/>
          <w:sz w:val="32"/>
          <w:szCs w:val="32"/>
          <w:shd w:val="clear" w:color="auto" w:fill="FFFFFF"/>
        </w:rPr>
        <w:t>3.目标实现。</w:t>
      </w:r>
      <w:r>
        <w:rPr>
          <w:rFonts w:hint="eastAsia" w:eastAsia="仿宋_GB2312"/>
          <w:sz w:val="32"/>
          <w:szCs w:val="32"/>
          <w:lang w:val="zh-CN"/>
        </w:rPr>
        <w:t>围绕目标完成、目标偏离、实现效果进行绩效分析。</w:t>
      </w:r>
    </w:p>
    <w:p>
      <w:pPr>
        <w:ind w:firstLine="640" w:firstLineChars="200"/>
        <w:rPr>
          <w:rFonts w:eastAsia="仿宋_GB2312"/>
          <w:sz w:val="32"/>
          <w:szCs w:val="32"/>
          <w:lang w:val="zh-CN"/>
        </w:rPr>
      </w:pPr>
      <w:r>
        <w:rPr>
          <w:rFonts w:hint="eastAsia" w:eastAsia="仿宋_GB2312"/>
          <w:sz w:val="32"/>
          <w:szCs w:val="32"/>
        </w:rPr>
        <w:t>202</w:t>
      </w:r>
      <w:r>
        <w:rPr>
          <w:rFonts w:hint="eastAsia" w:eastAsia="仿宋_GB2312"/>
          <w:sz w:val="32"/>
          <w:szCs w:val="32"/>
          <w:lang w:val="en-US" w:eastAsia="zh-CN"/>
        </w:rPr>
        <w:t>5</w:t>
      </w:r>
      <w:r>
        <w:rPr>
          <w:rFonts w:hint="eastAsia" w:eastAsia="仿宋_GB2312"/>
          <w:sz w:val="32"/>
          <w:szCs w:val="32"/>
        </w:rPr>
        <w:t>年</w:t>
      </w:r>
      <w:r>
        <w:rPr>
          <w:rFonts w:hint="eastAsia" w:eastAsia="仿宋_GB2312"/>
          <w:sz w:val="32"/>
          <w:szCs w:val="32"/>
          <w:lang w:val="zh-CN"/>
        </w:rPr>
        <w:t>我</w:t>
      </w:r>
      <w:r>
        <w:rPr>
          <w:rFonts w:hint="eastAsia" w:eastAsia="仿宋_GB2312"/>
          <w:sz w:val="32"/>
          <w:szCs w:val="32"/>
        </w:rPr>
        <w:t>单位目标完成100%，未偏离目标。</w:t>
      </w:r>
      <w:r>
        <w:rPr>
          <w:rFonts w:hint="eastAsia" w:eastAsia="仿宋_GB2312"/>
          <w:sz w:val="32"/>
          <w:szCs w:val="32"/>
          <w:lang w:val="zh-CN"/>
        </w:rPr>
        <w:t>1.深入开展主题教育活动。扎实推进学习贯彻习近平新时代中国特色社会主义思想主题教育，深入学习贯彻习近平总书记来川视察重要指示精神和省委、州委十二届二次三次四次全会、县委十二届二次三次全会精神，不折不扣推动中央和省委、州委、县委决策部署落地落实。</w:t>
      </w:r>
    </w:p>
    <w:p>
      <w:pPr>
        <w:ind w:firstLine="640" w:firstLineChars="200"/>
        <w:rPr>
          <w:rFonts w:eastAsia="仿宋_GB2312"/>
          <w:sz w:val="32"/>
          <w:szCs w:val="32"/>
          <w:lang w:val="zh-CN"/>
        </w:rPr>
      </w:pPr>
      <w:r>
        <w:rPr>
          <w:rFonts w:hint="eastAsia" w:eastAsia="仿宋_GB2312"/>
          <w:sz w:val="32"/>
          <w:szCs w:val="32"/>
          <w:lang w:val="zh-CN"/>
        </w:rPr>
        <w:t>2.强化信息化建设。加快科技强警步伐，充分发挥综合作战一体化、公安大数据、视觉计算等科技作用，依托“天网”第三期升级改造，大力加强县局信息化建设，提升能打仗、打胜仗的水平</w:t>
      </w:r>
    </w:p>
    <w:p>
      <w:pPr>
        <w:ind w:firstLine="640" w:firstLineChars="200"/>
        <w:rPr>
          <w:rFonts w:eastAsia="仿宋_GB2312"/>
          <w:sz w:val="32"/>
          <w:szCs w:val="32"/>
          <w:lang w:val="zh-CN"/>
        </w:rPr>
      </w:pPr>
      <w:r>
        <w:rPr>
          <w:rFonts w:hint="eastAsia" w:eastAsia="仿宋_GB2312"/>
          <w:sz w:val="32"/>
          <w:szCs w:val="32"/>
          <w:lang w:val="zh-CN"/>
        </w:rPr>
        <w:t>3.推进平安建设。大力推进平安红原建设，提升群众的安全感和满意度；花大力气抓好安全监管工作，确保全县平安稳定；增强打击犯罪、服务人民的本领，强化工作措施，全力为红原县经济保驾护航；结合实际，探索出适应本县的公安改革工作，不等不靠，打造亮点。</w:t>
      </w:r>
    </w:p>
    <w:p>
      <w:pPr>
        <w:ind w:firstLine="640" w:firstLineChars="200"/>
        <w:rPr>
          <w:rFonts w:eastAsia="仿宋_GB2312"/>
          <w:sz w:val="32"/>
          <w:szCs w:val="32"/>
          <w:lang w:val="zh-CN"/>
        </w:rPr>
      </w:pPr>
      <w:r>
        <w:rPr>
          <w:rFonts w:hint="eastAsia" w:eastAsia="仿宋_GB2312"/>
          <w:sz w:val="32"/>
          <w:szCs w:val="32"/>
          <w:lang w:val="zh-CN"/>
        </w:rPr>
        <w:t>4.全面加强队伍管理。抓实队伍教育管理，狠抓中央八项规定精神和省委、省政府十项规定及其实施细则落实，坚决执行公安部“六项规定”，常态开展“三项体检”，持续整治“五小问题”，确保队伍内部安全稳定。</w:t>
      </w:r>
    </w:p>
    <w:p>
      <w:pPr>
        <w:widowControl/>
        <w:adjustRightInd w:val="0"/>
        <w:snapToGrid w:val="0"/>
        <w:spacing w:line="578" w:lineRule="exact"/>
        <w:ind w:firstLine="643" w:firstLineChars="200"/>
        <w:contextualSpacing/>
        <w:jc w:val="left"/>
        <w:rPr>
          <w:rFonts w:ascii="楷体_GB2312" w:eastAsia="楷体_GB2312"/>
          <w:b/>
          <w:sz w:val="32"/>
          <w:szCs w:val="32"/>
        </w:rPr>
      </w:pPr>
      <w:r>
        <w:rPr>
          <w:rFonts w:hint="eastAsia" w:ascii="楷体_GB2312" w:eastAsia="楷体_GB2312"/>
          <w:b/>
          <w:sz w:val="32"/>
          <w:szCs w:val="32"/>
        </w:rPr>
        <w:t>（三）重点领域绩效分析。</w:t>
      </w:r>
    </w:p>
    <w:p>
      <w:pPr>
        <w:ind w:firstLine="640" w:firstLineChars="200"/>
        <w:rPr>
          <w:rFonts w:eastAsia="仿宋_GB2312"/>
          <w:sz w:val="32"/>
          <w:szCs w:val="32"/>
        </w:rPr>
      </w:pPr>
      <w:r>
        <w:rPr>
          <w:rFonts w:hint="eastAsia" w:eastAsia="仿宋_GB2312"/>
          <w:sz w:val="32"/>
          <w:szCs w:val="32"/>
        </w:rPr>
        <w:t>我单位202</w:t>
      </w:r>
      <w:r>
        <w:rPr>
          <w:rFonts w:hint="eastAsia" w:eastAsia="仿宋_GB2312"/>
          <w:sz w:val="32"/>
          <w:szCs w:val="32"/>
          <w:lang w:val="en-US" w:eastAsia="zh-CN"/>
        </w:rPr>
        <w:t>5</w:t>
      </w:r>
      <w:r>
        <w:rPr>
          <w:rFonts w:hint="eastAsia" w:eastAsia="仿宋_GB2312"/>
          <w:sz w:val="32"/>
          <w:szCs w:val="32"/>
        </w:rPr>
        <w:t>年未涉及重点领域事项。</w:t>
      </w:r>
    </w:p>
    <w:p>
      <w:pPr>
        <w:ind w:firstLine="643" w:firstLineChars="200"/>
        <w:rPr>
          <w:rFonts w:ascii="楷体_GB2312" w:eastAsia="楷体_GB2312"/>
          <w:b/>
          <w:sz w:val="32"/>
          <w:szCs w:val="32"/>
        </w:rPr>
      </w:pPr>
      <w:r>
        <w:rPr>
          <w:rFonts w:hint="eastAsia" w:ascii="楷体_GB2312" w:eastAsia="楷体_GB2312"/>
          <w:b/>
          <w:sz w:val="32"/>
          <w:szCs w:val="32"/>
        </w:rPr>
        <w:t>（四）绩效结果应用情况。</w:t>
      </w:r>
    </w:p>
    <w:p>
      <w:pPr>
        <w:ind w:firstLine="640" w:firstLineChars="200"/>
        <w:rPr>
          <w:rFonts w:eastAsia="仿宋_GB2312"/>
          <w:sz w:val="32"/>
          <w:szCs w:val="32"/>
          <w:lang w:val="zh-CN"/>
        </w:rPr>
      </w:pPr>
      <w:r>
        <w:rPr>
          <w:rFonts w:hint="eastAsia" w:eastAsia="仿宋_GB2312"/>
          <w:sz w:val="32"/>
          <w:szCs w:val="32"/>
          <w:lang w:val="zh-CN"/>
        </w:rPr>
        <w:t>我</w:t>
      </w:r>
      <w:r>
        <w:rPr>
          <w:rFonts w:hint="eastAsia" w:eastAsia="仿宋_GB2312"/>
          <w:sz w:val="32"/>
          <w:szCs w:val="32"/>
        </w:rPr>
        <w:t>单位</w:t>
      </w:r>
      <w:r>
        <w:rPr>
          <w:rFonts w:hint="eastAsia" w:eastAsia="仿宋_GB2312"/>
          <w:sz w:val="32"/>
          <w:szCs w:val="32"/>
          <w:lang w:val="zh-CN"/>
        </w:rPr>
        <w:t>部门绩效结果应用到了下一年的绩效目标设定与调整。根据支出预决算，为下一年度的预算提供了基础预算数据。优化了</w:t>
      </w:r>
      <w:r>
        <w:rPr>
          <w:rFonts w:hint="eastAsia" w:eastAsia="仿宋_GB2312"/>
          <w:sz w:val="32"/>
          <w:szCs w:val="32"/>
        </w:rPr>
        <w:t>单位</w:t>
      </w:r>
      <w:r>
        <w:rPr>
          <w:rFonts w:hint="eastAsia" w:eastAsia="仿宋_GB2312"/>
          <w:sz w:val="32"/>
          <w:szCs w:val="32"/>
          <w:lang w:val="zh-CN"/>
        </w:rPr>
        <w:t>资金的使用率。保障了机关日常正常运转，专项资金保障了群众的安全感和满意度；花大力气抓好安全监管工作，确保全县平安稳定，同时在维护少数民族地区的社会稳定，提高人民生活水平，改善人民生活质量等方面有着极其重要的意义，有力促进了社会和谐发展，为全县及乡镇的经济发展作出了应有的贡献，</w:t>
      </w:r>
      <w:r>
        <w:rPr>
          <w:rFonts w:hint="eastAsia" w:eastAsia="仿宋_GB2312"/>
          <w:sz w:val="32"/>
          <w:szCs w:val="32"/>
        </w:rPr>
        <w:t>202</w:t>
      </w:r>
      <w:r>
        <w:rPr>
          <w:rFonts w:hint="eastAsia" w:eastAsia="仿宋_GB2312"/>
          <w:sz w:val="32"/>
          <w:szCs w:val="32"/>
          <w:lang w:val="en-US" w:eastAsia="zh-CN"/>
        </w:rPr>
        <w:t>4</w:t>
      </w:r>
      <w:r>
        <w:rPr>
          <w:rFonts w:hint="eastAsia" w:eastAsia="仿宋_GB2312"/>
          <w:sz w:val="32"/>
          <w:szCs w:val="32"/>
        </w:rPr>
        <w:t>年预算及决算已在政府信息公开网站进行了公开。</w:t>
      </w:r>
    </w:p>
    <w:p>
      <w:pPr>
        <w:ind w:firstLine="640" w:firstLineChars="200"/>
        <w:rPr>
          <w:rFonts w:hint="eastAsia" w:ascii="黑体" w:hAnsi="黑体" w:eastAsia="黑体"/>
          <w:sz w:val="32"/>
          <w:szCs w:val="32"/>
        </w:rPr>
      </w:pPr>
      <w:r>
        <w:rPr>
          <w:rFonts w:hint="eastAsia" w:ascii="黑体" w:hAnsi="黑体" w:eastAsia="黑体"/>
          <w:sz w:val="32"/>
          <w:szCs w:val="32"/>
        </w:rPr>
        <w:t>四、评价结论及建议</w:t>
      </w:r>
    </w:p>
    <w:p>
      <w:pPr>
        <w:ind w:firstLine="643" w:firstLineChars="200"/>
        <w:rPr>
          <w:rFonts w:ascii="楷体_GB2312" w:eastAsia="楷体_GB2312"/>
          <w:b/>
          <w:sz w:val="32"/>
          <w:szCs w:val="32"/>
        </w:rPr>
      </w:pPr>
      <w:r>
        <w:rPr>
          <w:rFonts w:hint="eastAsia" w:ascii="楷体_GB2312" w:eastAsia="楷体_GB2312"/>
          <w:b/>
          <w:sz w:val="32"/>
          <w:szCs w:val="32"/>
        </w:rPr>
        <w:t>（一）评价结论。</w:t>
      </w:r>
    </w:p>
    <w:p>
      <w:pPr>
        <w:ind w:firstLine="640" w:firstLineChars="200"/>
        <w:rPr>
          <w:rFonts w:eastAsia="仿宋_GB2312"/>
          <w:sz w:val="32"/>
          <w:szCs w:val="32"/>
          <w:lang w:val="zh-CN"/>
        </w:rPr>
      </w:pPr>
      <w:r>
        <w:rPr>
          <w:rFonts w:hint="eastAsia" w:eastAsia="仿宋_GB2312"/>
          <w:sz w:val="32"/>
          <w:szCs w:val="32"/>
          <w:lang w:val="zh-CN"/>
        </w:rPr>
        <w:t>我局部门支出预算，保障了机关日常正常运转，专项资金保障了群众的安全感和满意度；花大力气抓好安全监管工作，确保全县平安稳定，同时在维护少数民族地区的社会稳定，提高人民生活水平，改善人民生活质量等方面有着极其重要的意义，有力促进了社会和谐发展，为全县及乡镇的经济发展作出了应有的贡献，部门整体支出绩效自评等级为优秀。</w:t>
      </w:r>
    </w:p>
    <w:p>
      <w:pPr>
        <w:numPr>
          <w:ilvl w:val="0"/>
          <w:numId w:val="7"/>
        </w:numPr>
        <w:ind w:firstLine="643" w:firstLineChars="200"/>
        <w:rPr>
          <w:rFonts w:ascii="楷体_GB2312" w:eastAsia="楷体_GB2312"/>
          <w:b/>
          <w:sz w:val="32"/>
          <w:szCs w:val="32"/>
        </w:rPr>
      </w:pPr>
      <w:r>
        <w:rPr>
          <w:rFonts w:hint="eastAsia" w:ascii="楷体_GB2312" w:eastAsia="楷体_GB2312"/>
          <w:b/>
          <w:sz w:val="32"/>
          <w:szCs w:val="32"/>
        </w:rPr>
        <w:t>存在问题。</w:t>
      </w:r>
    </w:p>
    <w:p>
      <w:pPr>
        <w:ind w:firstLine="640" w:firstLineChars="200"/>
        <w:rPr>
          <w:rFonts w:ascii="仿宋_GB2312" w:hAnsi="仿宋" w:eastAsia="仿宋_GB2312" w:cs="仿宋_GB2312"/>
          <w:color w:val="000000"/>
          <w:kern w:val="0"/>
          <w:sz w:val="32"/>
          <w:szCs w:val="32"/>
          <w:lang w:bidi="ar"/>
        </w:rPr>
      </w:pPr>
      <w:r>
        <w:rPr>
          <w:rFonts w:hint="eastAsia" w:ascii="仿宋_GB2312" w:hAnsi="仿宋" w:eastAsia="仿宋_GB2312" w:cs="仿宋_GB2312"/>
          <w:color w:val="000000"/>
          <w:kern w:val="0"/>
          <w:sz w:val="32"/>
          <w:szCs w:val="32"/>
          <w:lang w:bidi="ar"/>
        </w:rPr>
        <w:t>由于财政支出的多样性和复杂性，绩效评价指标体系设置难度大，即使可以量化，但实际操作中很多项目间缺乏可比性且指标本身也在逐步变化，需要逐步完善。</w:t>
      </w:r>
      <w:r>
        <w:rPr>
          <w:rFonts w:hint="eastAsia" w:ascii="仿宋_GB2312" w:hAnsi="仿宋" w:eastAsia="仿宋_GB2312" w:cs="仿宋_GB2312"/>
          <w:color w:val="000000"/>
          <w:kern w:val="0"/>
          <w:sz w:val="32"/>
          <w:szCs w:val="32"/>
          <w:lang w:bidi="ar"/>
        </w:rPr>
        <w:br w:type="textWrapping"/>
      </w:r>
      <w:r>
        <w:rPr>
          <w:rFonts w:hint="eastAsia" w:ascii="仿宋_GB2312" w:hAnsi="仿宋" w:cs="仿宋_GB2312"/>
          <w:color w:val="000000"/>
          <w:kern w:val="0"/>
          <w:sz w:val="32"/>
          <w:szCs w:val="32"/>
          <w:lang w:bidi="ar"/>
        </w:rPr>
        <w:t xml:space="preserve">    </w:t>
      </w:r>
      <w:r>
        <w:rPr>
          <w:rFonts w:hint="eastAsia" w:ascii="仿宋_GB2312" w:hAnsi="仿宋" w:eastAsia="仿宋_GB2312" w:cs="仿宋_GB2312"/>
          <w:color w:val="000000"/>
          <w:kern w:val="0"/>
          <w:sz w:val="32"/>
          <w:szCs w:val="32"/>
          <w:lang w:bidi="ar"/>
        </w:rPr>
        <w:t>在平时工作推进过程中，缺乏技术人员进行专业指导及培训，工作推进存在一定困难，预算编制还需更加精准。</w:t>
      </w:r>
    </w:p>
    <w:p>
      <w:pPr>
        <w:numPr>
          <w:ilvl w:val="0"/>
          <w:numId w:val="7"/>
        </w:numPr>
        <w:autoSpaceDE w:val="0"/>
        <w:spacing w:line="560" w:lineRule="exact"/>
        <w:ind w:firstLine="643" w:firstLineChars="200"/>
        <w:jc w:val="left"/>
        <w:rPr>
          <w:rFonts w:ascii="楷体_GB2312" w:eastAsia="楷体_GB2312"/>
          <w:b/>
          <w:sz w:val="32"/>
          <w:szCs w:val="32"/>
        </w:rPr>
      </w:pPr>
      <w:r>
        <w:rPr>
          <w:rFonts w:hint="eastAsia" w:ascii="楷体_GB2312" w:eastAsia="楷体_GB2312"/>
          <w:b/>
          <w:sz w:val="32"/>
          <w:szCs w:val="32"/>
        </w:rPr>
        <w:t>改进建议。</w:t>
      </w:r>
    </w:p>
    <w:p>
      <w:pPr>
        <w:autoSpaceDE w:val="0"/>
        <w:spacing w:line="560" w:lineRule="exact"/>
        <w:ind w:firstLine="640" w:firstLineChars="200"/>
        <w:jc w:val="left"/>
        <w:rPr>
          <w:rFonts w:ascii="仿宋_GB2312" w:hAnsi="仿宋" w:eastAsia="仿宋_GB2312" w:cs="仿宋_GB2312"/>
          <w:color w:val="000000"/>
          <w:kern w:val="0"/>
          <w:sz w:val="32"/>
          <w:szCs w:val="32"/>
          <w:lang w:bidi="ar"/>
        </w:rPr>
      </w:pPr>
      <w:r>
        <w:rPr>
          <w:rFonts w:hint="eastAsia" w:ascii="仿宋_GB2312" w:hAnsi="仿宋" w:eastAsia="仿宋_GB2312" w:cs="仿宋_GB2312"/>
          <w:color w:val="000000"/>
          <w:kern w:val="0"/>
          <w:sz w:val="32"/>
          <w:szCs w:val="32"/>
          <w:lang w:bidi="ar"/>
        </w:rPr>
        <w:t>1.通过各种途径加强绩效管理学习，科学合理编制预算，严格执行预算。</w:t>
      </w:r>
    </w:p>
    <w:p>
      <w:pPr>
        <w:ind w:firstLine="640" w:firstLineChars="200"/>
        <w:rPr>
          <w:rFonts w:ascii="仿宋_GB2312" w:hAnsi="仿宋" w:eastAsia="仿宋_GB2312" w:cs="仿宋_GB2312"/>
          <w:color w:val="000000"/>
          <w:kern w:val="0"/>
          <w:sz w:val="32"/>
          <w:szCs w:val="32"/>
          <w:lang w:bidi="ar"/>
        </w:rPr>
      </w:pPr>
      <w:r>
        <w:rPr>
          <w:rFonts w:hint="eastAsia" w:ascii="仿宋_GB2312" w:hAnsi="仿宋" w:eastAsia="仿宋_GB2312" w:cs="仿宋_GB2312"/>
          <w:color w:val="000000"/>
          <w:kern w:val="0"/>
          <w:sz w:val="32"/>
          <w:szCs w:val="32"/>
          <w:lang w:bidi="ar"/>
        </w:rPr>
        <w:t>2.规范账务处理，提高财务信息质量。</w:t>
      </w:r>
    </w:p>
    <w:p>
      <w:pPr>
        <w:pStyle w:val="2"/>
        <w:ind w:left="420"/>
        <w:rPr>
          <w:lang w:val="zh-CN"/>
        </w:rPr>
      </w:pPr>
    </w:p>
    <w:p>
      <w:pPr>
        <w:rPr>
          <w:lang w:val="zh-CN"/>
        </w:rPr>
      </w:pPr>
    </w:p>
    <w:p>
      <w:pPr>
        <w:ind w:firstLine="640" w:firstLineChars="200"/>
        <w:rPr>
          <w:rFonts w:hint="eastAsia" w:asciiTheme="minorEastAsia" w:hAnsiTheme="minorEastAsia" w:eastAsiaTheme="minorEastAsia"/>
          <w:sz w:val="32"/>
          <w:szCs w:val="32"/>
          <w:lang w:val="zh-CN"/>
        </w:rPr>
      </w:pPr>
      <w:r>
        <w:rPr>
          <w:rFonts w:hint="eastAsia" w:asciiTheme="minorEastAsia" w:hAnsiTheme="minorEastAsia" w:eastAsiaTheme="minorEastAsia"/>
          <w:sz w:val="32"/>
          <w:szCs w:val="32"/>
          <w:lang w:val="zh-CN"/>
        </w:rPr>
        <w:t>附表：</w:t>
      </w:r>
      <w:r>
        <w:rPr>
          <w:rFonts w:hint="eastAsia" w:asciiTheme="minorEastAsia" w:hAnsiTheme="minorEastAsia" w:eastAsiaTheme="minorEastAsia"/>
          <w:sz w:val="32"/>
          <w:szCs w:val="32"/>
        </w:rPr>
        <w:t>部门</w:t>
      </w:r>
      <w:r>
        <w:rPr>
          <w:rFonts w:hint="eastAsia" w:asciiTheme="minorEastAsia" w:hAnsiTheme="minorEastAsia" w:eastAsiaTheme="minorEastAsia"/>
          <w:sz w:val="32"/>
          <w:szCs w:val="32"/>
          <w:lang w:val="zh-CN"/>
        </w:rPr>
        <w:t>预算项目支出绩效自评表（202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lang w:val="zh-CN"/>
        </w:rPr>
        <w:t>年度）</w:t>
      </w:r>
    </w:p>
    <w:p/>
    <w:p>
      <w:pPr>
        <w:pStyle w:val="2"/>
        <w:ind w:left="0" w:leftChars="0" w:firstLine="0" w:firstLineChars="0"/>
      </w:pPr>
    </w:p>
    <w:p/>
    <w:p>
      <w:pPr>
        <w:pStyle w:val="2"/>
        <w:ind w:left="0" w:leftChars="0" w:firstLine="0" w:firstLineChars="0"/>
      </w:pPr>
    </w:p>
    <w:p/>
    <w:p>
      <w:pPr>
        <w:pStyle w:val="2"/>
        <w:ind w:left="0" w:leftChars="0" w:firstLine="0" w:firstLineChars="0"/>
      </w:pPr>
    </w:p>
    <w:p>
      <w:pPr>
        <w:pStyle w:val="2"/>
        <w:ind w:left="0" w:leftChars="0" w:firstLine="0" w:firstLineChars="0"/>
      </w:pPr>
    </w:p>
    <w:p>
      <w:r>
        <w:drawing>
          <wp:inline distT="0" distB="0" distL="114300" distR="114300">
            <wp:extent cx="5267960" cy="4197350"/>
            <wp:effectExtent l="0" t="0" r="8890" b="1270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13"/>
                    <a:stretch>
                      <a:fillRect/>
                    </a:stretch>
                  </pic:blipFill>
                  <pic:spPr>
                    <a:xfrm>
                      <a:off x="0" y="0"/>
                      <a:ext cx="5267960" cy="4197350"/>
                    </a:xfrm>
                    <a:prstGeom prst="rect">
                      <a:avLst/>
                    </a:prstGeom>
                    <a:noFill/>
                    <a:ln>
                      <a:noFill/>
                    </a:ln>
                  </pic:spPr>
                </pic:pic>
              </a:graphicData>
            </a:graphic>
          </wp:inline>
        </w:drawing>
      </w:r>
      <w:r>
        <w:drawing>
          <wp:inline distT="0" distB="0" distL="114300" distR="114300">
            <wp:extent cx="5268595" cy="4107815"/>
            <wp:effectExtent l="0" t="0" r="8255" b="6985"/>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4"/>
                    <a:stretch>
                      <a:fillRect/>
                    </a:stretch>
                  </pic:blipFill>
                  <pic:spPr>
                    <a:xfrm>
                      <a:off x="0" y="0"/>
                      <a:ext cx="5268595" cy="4107815"/>
                    </a:xfrm>
                    <a:prstGeom prst="rect">
                      <a:avLst/>
                    </a:prstGeom>
                    <a:noFill/>
                    <a:ln>
                      <a:noFill/>
                    </a:ln>
                  </pic:spPr>
                </pic:pic>
              </a:graphicData>
            </a:graphic>
          </wp:inline>
        </w:drawing>
      </w:r>
      <w:r>
        <w:drawing>
          <wp:inline distT="0" distB="0" distL="114300" distR="114300">
            <wp:extent cx="5268595" cy="3579495"/>
            <wp:effectExtent l="0" t="0" r="8255" b="1905"/>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15"/>
                    <a:stretch>
                      <a:fillRect/>
                    </a:stretch>
                  </pic:blipFill>
                  <pic:spPr>
                    <a:xfrm>
                      <a:off x="0" y="0"/>
                      <a:ext cx="5268595" cy="3579495"/>
                    </a:xfrm>
                    <a:prstGeom prst="rect">
                      <a:avLst/>
                    </a:prstGeom>
                    <a:noFill/>
                    <a:ln>
                      <a:noFill/>
                    </a:ln>
                  </pic:spPr>
                </pic:pic>
              </a:graphicData>
            </a:graphic>
          </wp:inline>
        </w:drawing>
      </w:r>
      <w:r>
        <w:drawing>
          <wp:inline distT="0" distB="0" distL="114300" distR="114300">
            <wp:extent cx="5274310" cy="3913505"/>
            <wp:effectExtent l="0" t="0" r="2540" b="10795"/>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16"/>
                    <a:stretch>
                      <a:fillRect/>
                    </a:stretch>
                  </pic:blipFill>
                  <pic:spPr>
                    <a:xfrm>
                      <a:off x="0" y="0"/>
                      <a:ext cx="5274310" cy="3913505"/>
                    </a:xfrm>
                    <a:prstGeom prst="rect">
                      <a:avLst/>
                    </a:prstGeom>
                    <a:noFill/>
                    <a:ln>
                      <a:noFill/>
                    </a:ln>
                  </pic:spPr>
                </pic:pic>
              </a:graphicData>
            </a:graphic>
          </wp:inline>
        </w:drawing>
      </w:r>
      <w:r>
        <w:drawing>
          <wp:inline distT="0" distB="0" distL="114300" distR="114300">
            <wp:extent cx="5268595" cy="3942715"/>
            <wp:effectExtent l="0" t="0" r="8255" b="63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17"/>
                    <a:stretch>
                      <a:fillRect/>
                    </a:stretch>
                  </pic:blipFill>
                  <pic:spPr>
                    <a:xfrm>
                      <a:off x="0" y="0"/>
                      <a:ext cx="5268595" cy="3942715"/>
                    </a:xfrm>
                    <a:prstGeom prst="rect">
                      <a:avLst/>
                    </a:prstGeom>
                    <a:noFill/>
                    <a:ln>
                      <a:noFill/>
                    </a:ln>
                  </pic:spPr>
                </pic:pic>
              </a:graphicData>
            </a:graphic>
          </wp:inline>
        </w:drawing>
      </w:r>
      <w:r>
        <w:drawing>
          <wp:inline distT="0" distB="0" distL="114300" distR="114300">
            <wp:extent cx="5267960" cy="3719830"/>
            <wp:effectExtent l="0" t="0" r="8890" b="1397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18"/>
                    <a:stretch>
                      <a:fillRect/>
                    </a:stretch>
                  </pic:blipFill>
                  <pic:spPr>
                    <a:xfrm>
                      <a:off x="0" y="0"/>
                      <a:ext cx="5267960" cy="3719830"/>
                    </a:xfrm>
                    <a:prstGeom prst="rect">
                      <a:avLst/>
                    </a:prstGeom>
                    <a:noFill/>
                    <a:ln>
                      <a:noFill/>
                    </a:ln>
                  </pic:spPr>
                </pic:pic>
              </a:graphicData>
            </a:graphic>
          </wp:inline>
        </w:drawing>
      </w:r>
      <w:r>
        <w:drawing>
          <wp:inline distT="0" distB="0" distL="114300" distR="114300">
            <wp:extent cx="5267325" cy="4042410"/>
            <wp:effectExtent l="0" t="0" r="9525" b="15240"/>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pic:cNvPicPr>
                  </pic:nvPicPr>
                  <pic:blipFill>
                    <a:blip r:embed="rId19"/>
                    <a:stretch>
                      <a:fillRect/>
                    </a:stretch>
                  </pic:blipFill>
                  <pic:spPr>
                    <a:xfrm>
                      <a:off x="0" y="0"/>
                      <a:ext cx="5267325" cy="4042410"/>
                    </a:xfrm>
                    <a:prstGeom prst="rect">
                      <a:avLst/>
                    </a:prstGeom>
                    <a:noFill/>
                    <a:ln>
                      <a:noFill/>
                    </a:ln>
                  </pic:spPr>
                </pic:pic>
              </a:graphicData>
            </a:graphic>
          </wp:inline>
        </w:drawing>
      </w:r>
      <w:r>
        <w:drawing>
          <wp:inline distT="0" distB="0" distL="114300" distR="114300">
            <wp:extent cx="5268595" cy="4152265"/>
            <wp:effectExtent l="0" t="0" r="8255" b="635"/>
            <wp:docPr id="2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8"/>
                    <pic:cNvPicPr>
                      <a:picLocks noChangeAspect="1"/>
                    </pic:cNvPicPr>
                  </pic:nvPicPr>
                  <pic:blipFill>
                    <a:blip r:embed="rId20"/>
                    <a:stretch>
                      <a:fillRect/>
                    </a:stretch>
                  </pic:blipFill>
                  <pic:spPr>
                    <a:xfrm>
                      <a:off x="0" y="0"/>
                      <a:ext cx="5268595" cy="4152265"/>
                    </a:xfrm>
                    <a:prstGeom prst="rect">
                      <a:avLst/>
                    </a:prstGeom>
                    <a:noFill/>
                    <a:ln>
                      <a:noFill/>
                    </a:ln>
                  </pic:spPr>
                </pic:pic>
              </a:graphicData>
            </a:graphic>
          </wp:inline>
        </w:drawing>
      </w:r>
      <w:r>
        <w:drawing>
          <wp:inline distT="0" distB="0" distL="114300" distR="114300">
            <wp:extent cx="5272405" cy="3870960"/>
            <wp:effectExtent l="0" t="0" r="4445" b="15240"/>
            <wp:docPr id="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9"/>
                    <pic:cNvPicPr>
                      <a:picLocks noChangeAspect="1"/>
                    </pic:cNvPicPr>
                  </pic:nvPicPr>
                  <pic:blipFill>
                    <a:blip r:embed="rId21"/>
                    <a:stretch>
                      <a:fillRect/>
                    </a:stretch>
                  </pic:blipFill>
                  <pic:spPr>
                    <a:xfrm>
                      <a:off x="0" y="0"/>
                      <a:ext cx="5272405" cy="3870960"/>
                    </a:xfrm>
                    <a:prstGeom prst="rect">
                      <a:avLst/>
                    </a:prstGeom>
                    <a:noFill/>
                    <a:ln>
                      <a:noFill/>
                    </a:ln>
                  </pic:spPr>
                </pic:pic>
              </a:graphicData>
            </a:graphic>
          </wp:inline>
        </w:drawing>
      </w:r>
      <w:r>
        <w:drawing>
          <wp:inline distT="0" distB="0" distL="114300" distR="114300">
            <wp:extent cx="5272405" cy="3974465"/>
            <wp:effectExtent l="0" t="0" r="4445" b="6985"/>
            <wp:docPr id="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pic:cNvPicPr>
                      <a:picLocks noChangeAspect="1"/>
                    </pic:cNvPicPr>
                  </pic:nvPicPr>
                  <pic:blipFill>
                    <a:blip r:embed="rId22"/>
                    <a:stretch>
                      <a:fillRect/>
                    </a:stretch>
                  </pic:blipFill>
                  <pic:spPr>
                    <a:xfrm>
                      <a:off x="0" y="0"/>
                      <a:ext cx="5272405" cy="3974465"/>
                    </a:xfrm>
                    <a:prstGeom prst="rect">
                      <a:avLst/>
                    </a:prstGeom>
                    <a:noFill/>
                    <a:ln>
                      <a:noFill/>
                    </a:ln>
                  </pic:spPr>
                </pic:pic>
              </a:graphicData>
            </a:graphic>
          </wp:inline>
        </w:drawing>
      </w:r>
      <w:r>
        <w:drawing>
          <wp:inline distT="0" distB="0" distL="114300" distR="114300">
            <wp:extent cx="5273040" cy="3978910"/>
            <wp:effectExtent l="0" t="0" r="3810" b="2540"/>
            <wp:docPr id="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pic:cNvPicPr>
                      <a:picLocks noChangeAspect="1"/>
                    </pic:cNvPicPr>
                  </pic:nvPicPr>
                  <pic:blipFill>
                    <a:blip r:embed="rId23"/>
                    <a:stretch>
                      <a:fillRect/>
                    </a:stretch>
                  </pic:blipFill>
                  <pic:spPr>
                    <a:xfrm>
                      <a:off x="0" y="0"/>
                      <a:ext cx="5273040" cy="3978910"/>
                    </a:xfrm>
                    <a:prstGeom prst="rect">
                      <a:avLst/>
                    </a:prstGeom>
                    <a:noFill/>
                    <a:ln>
                      <a:noFill/>
                    </a:ln>
                  </pic:spPr>
                </pic:pic>
              </a:graphicData>
            </a:graphic>
          </wp:inline>
        </w:drawing>
      </w:r>
      <w:r>
        <w:drawing>
          <wp:inline distT="0" distB="0" distL="114300" distR="114300">
            <wp:extent cx="5273040" cy="3968750"/>
            <wp:effectExtent l="0" t="0" r="3810" b="12700"/>
            <wp:docPr id="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2"/>
                    <pic:cNvPicPr>
                      <a:picLocks noChangeAspect="1"/>
                    </pic:cNvPicPr>
                  </pic:nvPicPr>
                  <pic:blipFill>
                    <a:blip r:embed="rId24"/>
                    <a:stretch>
                      <a:fillRect/>
                    </a:stretch>
                  </pic:blipFill>
                  <pic:spPr>
                    <a:xfrm>
                      <a:off x="0" y="0"/>
                      <a:ext cx="5273040" cy="3968750"/>
                    </a:xfrm>
                    <a:prstGeom prst="rect">
                      <a:avLst/>
                    </a:prstGeom>
                    <a:noFill/>
                    <a:ln>
                      <a:noFill/>
                    </a:ln>
                  </pic:spPr>
                </pic:pic>
              </a:graphicData>
            </a:graphic>
          </wp:inline>
        </w:drawing>
      </w:r>
    </w:p>
    <w:p/>
    <w:p>
      <w:pPr>
        <w:pStyle w:val="2"/>
        <w:ind w:left="0" w:leftChars="0" w:firstLine="0" w:firstLineChars="0"/>
      </w:pPr>
    </w:p>
    <w:p>
      <w:pPr>
        <w:pStyle w:val="4"/>
        <w:jc w:val="center"/>
        <w:rPr>
          <w:rFonts w:hint="eastAsia" w:ascii="黑体" w:hAnsi="黑体" w:eastAsia="黑体"/>
        </w:rPr>
      </w:pPr>
      <w:bookmarkStart w:id="89" w:name="_Toc26896"/>
      <w:bookmarkStart w:id="90" w:name="_Toc9856"/>
      <w:r>
        <w:rPr>
          <w:rFonts w:hint="eastAsia" w:ascii="黑体" w:hAnsi="黑体" w:eastAsia="黑体"/>
        </w:rPr>
        <w:t>第五部分 附表</w:t>
      </w:r>
      <w:bookmarkEnd w:id="89"/>
      <w:bookmarkEnd w:id="90"/>
    </w:p>
    <w:p>
      <w:pPr>
        <w:rPr>
          <w:rFonts w:hint="eastAsia" w:ascii="仿宋" w:hAnsi="仿宋" w:eastAsia="仿宋"/>
          <w:sz w:val="32"/>
          <w:szCs w:val="32"/>
        </w:rPr>
      </w:pPr>
      <w:r>
        <w:rPr>
          <w:rFonts w:hint="eastAsia" w:ascii="仿宋" w:hAnsi="仿宋" w:eastAsia="仿宋"/>
          <w:sz w:val="32"/>
          <w:szCs w:val="32"/>
        </w:rPr>
        <w:t>一、收入支出决算总表</w:t>
      </w:r>
    </w:p>
    <w:p>
      <w:pPr>
        <w:rPr>
          <w:rFonts w:hint="eastAsia" w:ascii="仿宋" w:hAnsi="仿宋" w:eastAsia="仿宋"/>
          <w:sz w:val="32"/>
          <w:szCs w:val="32"/>
        </w:rPr>
      </w:pPr>
      <w:r>
        <w:rPr>
          <w:rFonts w:hint="eastAsia" w:ascii="仿宋" w:hAnsi="仿宋" w:eastAsia="仿宋"/>
          <w:sz w:val="32"/>
          <w:szCs w:val="32"/>
        </w:rPr>
        <w:t>二、收入决算表</w:t>
      </w:r>
    </w:p>
    <w:p>
      <w:pPr>
        <w:rPr>
          <w:rFonts w:hint="eastAsia" w:ascii="仿宋" w:hAnsi="仿宋" w:eastAsia="仿宋"/>
          <w:sz w:val="32"/>
          <w:szCs w:val="32"/>
        </w:rPr>
      </w:pPr>
      <w:r>
        <w:rPr>
          <w:rFonts w:hint="eastAsia" w:ascii="仿宋" w:hAnsi="仿宋" w:eastAsia="仿宋"/>
          <w:sz w:val="32"/>
          <w:szCs w:val="32"/>
        </w:rPr>
        <w:t>三、支出决算表</w:t>
      </w:r>
    </w:p>
    <w:p>
      <w:pPr>
        <w:rPr>
          <w:rFonts w:hint="eastAsia" w:ascii="仿宋" w:hAnsi="仿宋" w:eastAsia="仿宋"/>
          <w:sz w:val="32"/>
          <w:szCs w:val="32"/>
        </w:rPr>
      </w:pPr>
      <w:r>
        <w:rPr>
          <w:rFonts w:hint="eastAsia" w:ascii="仿宋" w:hAnsi="仿宋" w:eastAsia="仿宋"/>
          <w:sz w:val="32"/>
          <w:szCs w:val="32"/>
        </w:rPr>
        <w:t>四、财政拨款收入支出决算总表</w:t>
      </w:r>
    </w:p>
    <w:p>
      <w:pPr>
        <w:rPr>
          <w:rFonts w:hint="eastAsia" w:ascii="仿宋" w:hAnsi="仿宋" w:eastAsia="仿宋"/>
          <w:sz w:val="32"/>
          <w:szCs w:val="32"/>
        </w:rPr>
      </w:pPr>
      <w:r>
        <w:rPr>
          <w:rFonts w:hint="eastAsia" w:ascii="仿宋" w:hAnsi="仿宋" w:eastAsia="仿宋"/>
          <w:sz w:val="32"/>
          <w:szCs w:val="32"/>
        </w:rPr>
        <w:t>五、财政拨款支出决算明细表</w:t>
      </w:r>
    </w:p>
    <w:p>
      <w:pPr>
        <w:rPr>
          <w:rFonts w:hint="eastAsia" w:ascii="仿宋" w:hAnsi="仿宋" w:eastAsia="仿宋"/>
          <w:sz w:val="32"/>
          <w:szCs w:val="32"/>
        </w:rPr>
      </w:pPr>
      <w:r>
        <w:rPr>
          <w:rFonts w:hint="eastAsia" w:ascii="仿宋" w:hAnsi="仿宋" w:eastAsia="仿宋"/>
          <w:sz w:val="32"/>
          <w:szCs w:val="32"/>
        </w:rPr>
        <w:t>六、一般公共预算财政拨款支出决算表</w:t>
      </w:r>
    </w:p>
    <w:p>
      <w:pPr>
        <w:rPr>
          <w:rFonts w:hint="eastAsia" w:ascii="仿宋" w:hAnsi="仿宋" w:eastAsia="仿宋"/>
          <w:sz w:val="32"/>
          <w:szCs w:val="32"/>
        </w:rPr>
      </w:pPr>
      <w:r>
        <w:rPr>
          <w:rFonts w:hint="eastAsia" w:ascii="仿宋" w:hAnsi="仿宋" w:eastAsia="仿宋"/>
          <w:sz w:val="32"/>
          <w:szCs w:val="32"/>
        </w:rPr>
        <w:t>七、一般公共预算财政拨款支出决算明细表</w:t>
      </w:r>
    </w:p>
    <w:p>
      <w:pPr>
        <w:rPr>
          <w:rFonts w:hint="eastAsia" w:ascii="仿宋" w:hAnsi="仿宋" w:eastAsia="仿宋"/>
          <w:sz w:val="32"/>
          <w:szCs w:val="32"/>
        </w:rPr>
      </w:pPr>
      <w:r>
        <w:rPr>
          <w:rFonts w:hint="eastAsia" w:ascii="仿宋" w:hAnsi="仿宋" w:eastAsia="仿宋"/>
          <w:sz w:val="32"/>
          <w:szCs w:val="32"/>
        </w:rPr>
        <w:t>八、一般公共预算财政拨款基本支出决算表</w:t>
      </w:r>
    </w:p>
    <w:p>
      <w:pPr>
        <w:rPr>
          <w:rFonts w:hint="eastAsia" w:ascii="仿宋" w:hAnsi="仿宋" w:eastAsia="仿宋"/>
          <w:sz w:val="32"/>
          <w:szCs w:val="32"/>
        </w:rPr>
      </w:pPr>
      <w:r>
        <w:rPr>
          <w:rFonts w:hint="eastAsia" w:ascii="仿宋" w:hAnsi="仿宋" w:eastAsia="仿宋"/>
          <w:sz w:val="32"/>
          <w:szCs w:val="32"/>
        </w:rPr>
        <w:t>九、一般公共预算财政拨款项目支出决算表</w:t>
      </w:r>
    </w:p>
    <w:p>
      <w:pPr>
        <w:rPr>
          <w:rFonts w:hint="eastAsia" w:ascii="仿宋" w:hAnsi="仿宋" w:eastAsia="仿宋"/>
          <w:sz w:val="32"/>
          <w:szCs w:val="32"/>
        </w:rPr>
      </w:pPr>
      <w:r>
        <w:rPr>
          <w:rFonts w:hint="eastAsia" w:ascii="仿宋" w:hAnsi="仿宋" w:eastAsia="仿宋"/>
          <w:sz w:val="32"/>
          <w:szCs w:val="32"/>
        </w:rPr>
        <w:t>十、政府性基金预算财政拨款收入支出决算表</w:t>
      </w:r>
    </w:p>
    <w:p>
      <w:pPr>
        <w:rPr>
          <w:rFonts w:hint="eastAsia" w:ascii="仿宋" w:hAnsi="仿宋" w:eastAsia="仿宋"/>
          <w:sz w:val="32"/>
          <w:szCs w:val="32"/>
        </w:rPr>
      </w:pPr>
      <w:r>
        <w:rPr>
          <w:rFonts w:hint="eastAsia" w:ascii="仿宋" w:hAnsi="仿宋" w:eastAsia="仿宋"/>
          <w:sz w:val="32"/>
          <w:szCs w:val="32"/>
        </w:rPr>
        <w:t>十一、国有资本经营预算财政拨款收入支出决算表</w:t>
      </w:r>
    </w:p>
    <w:p>
      <w:pPr>
        <w:rPr>
          <w:rFonts w:hint="eastAsia" w:ascii="仿宋" w:hAnsi="仿宋" w:eastAsia="仿宋"/>
          <w:sz w:val="32"/>
          <w:szCs w:val="32"/>
        </w:rPr>
      </w:pPr>
      <w:r>
        <w:rPr>
          <w:rFonts w:hint="eastAsia" w:ascii="仿宋" w:hAnsi="仿宋" w:eastAsia="仿宋"/>
          <w:sz w:val="32"/>
          <w:szCs w:val="32"/>
        </w:rPr>
        <w:t>十二、国有资本经营预算财政拨款支出决算表</w:t>
      </w:r>
    </w:p>
    <w:p>
      <w:pPr>
        <w:rPr>
          <w:rFonts w:hint="eastAsia" w:ascii="仿宋" w:hAnsi="仿宋" w:eastAsia="仿宋"/>
          <w:sz w:val="32"/>
          <w:szCs w:val="32"/>
        </w:rPr>
      </w:pPr>
      <w:r>
        <w:rPr>
          <w:rFonts w:hint="eastAsia" w:ascii="仿宋" w:hAnsi="仿宋" w:eastAsia="仿宋"/>
          <w:sz w:val="32"/>
          <w:szCs w:val="32"/>
        </w:rPr>
        <w:t>十三、财政拨款“三公”经费支出决算表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pPr>
          <w:pStyle w:val="11"/>
          <w:jc w:val="center"/>
        </w:pPr>
        <w:r>
          <w:fldChar w:fldCharType="begin"/>
        </w:r>
        <w:r>
          <w:instrText xml:space="preserve">PAGE   \* MERGEFORMAT</w:instrText>
        </w:r>
        <w:r>
          <w:fldChar w:fldCharType="separate"/>
        </w:r>
        <w:r>
          <w:rPr>
            <w:lang w:val="zh-CN"/>
          </w:rPr>
          <w:t>23</w:t>
        </w:r>
        <w:r>
          <w:fldChar w:fldCharType="end"/>
        </w:r>
      </w:p>
    </w:sdtContent>
  </w:sdt>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0DDB66"/>
    <w:multiLevelType w:val="singleLevel"/>
    <w:tmpl w:val="A10DDB66"/>
    <w:lvl w:ilvl="0" w:tentative="0">
      <w:start w:val="2"/>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22965695"/>
    <w:multiLevelType w:val="singleLevel"/>
    <w:tmpl w:val="22965695"/>
    <w:lvl w:ilvl="0" w:tentative="0">
      <w:start w:val="1"/>
      <w:numFmt w:val="decimal"/>
      <w:lvlText w:val="%1."/>
      <w:lvlJc w:val="left"/>
      <w:pPr>
        <w:tabs>
          <w:tab w:val="left" w:pos="312"/>
        </w:tabs>
      </w:pPr>
    </w:lvl>
  </w:abstractNum>
  <w:abstractNum w:abstractNumId="4">
    <w:nsid w:val="2EDD7D1D"/>
    <w:multiLevelType w:val="singleLevel"/>
    <w:tmpl w:val="2EDD7D1D"/>
    <w:lvl w:ilvl="0" w:tentative="0">
      <w:start w:val="1"/>
      <w:numFmt w:val="chineseCounting"/>
      <w:suff w:val="nothing"/>
      <w:lvlText w:val="%1、"/>
      <w:lvlJc w:val="left"/>
      <w:rPr>
        <w:rFonts w:hint="eastAsia"/>
      </w:rPr>
    </w:lvl>
  </w:abstractNum>
  <w:abstractNum w:abstractNumId="5">
    <w:nsid w:val="5F264D24"/>
    <w:multiLevelType w:val="singleLevel"/>
    <w:tmpl w:val="5F264D24"/>
    <w:lvl w:ilvl="0" w:tentative="0">
      <w:start w:val="1"/>
      <w:numFmt w:val="decimal"/>
      <w:lvlText w:val="%1."/>
      <w:lvlJc w:val="left"/>
      <w:pPr>
        <w:tabs>
          <w:tab w:val="left" w:pos="312"/>
        </w:tabs>
      </w:pPr>
    </w:lvl>
  </w:abstractNum>
  <w:abstractNum w:abstractNumId="6">
    <w:nsid w:val="6FF94DE0"/>
    <w:multiLevelType w:val="singleLevel"/>
    <w:tmpl w:val="6FF94DE0"/>
    <w:lvl w:ilvl="0" w:tentative="0">
      <w:start w:val="2"/>
      <w:numFmt w:val="chineseCounting"/>
      <w:suff w:val="nothing"/>
      <w:lvlText w:val="（%1）"/>
      <w:lvlJc w:val="left"/>
      <w:rPr>
        <w:rFonts w:hint="eastAsia"/>
      </w:rPr>
    </w:lvl>
  </w:abstractNum>
  <w:num w:numId="1">
    <w:abstractNumId w:val="4"/>
  </w:num>
  <w:num w:numId="2">
    <w:abstractNumId w:val="2"/>
  </w:num>
  <w:num w:numId="3">
    <w:abstractNumId w:val="5"/>
  </w:num>
  <w:num w:numId="4">
    <w:abstractNumId w:val="1"/>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14A1C"/>
    <w:rsid w:val="000222C6"/>
    <w:rsid w:val="0002549F"/>
    <w:rsid w:val="00035392"/>
    <w:rsid w:val="000468DB"/>
    <w:rsid w:val="00062E74"/>
    <w:rsid w:val="0006487A"/>
    <w:rsid w:val="00065F8F"/>
    <w:rsid w:val="00070A43"/>
    <w:rsid w:val="000768F2"/>
    <w:rsid w:val="00082EAC"/>
    <w:rsid w:val="0009184B"/>
    <w:rsid w:val="00094236"/>
    <w:rsid w:val="0009593C"/>
    <w:rsid w:val="00097322"/>
    <w:rsid w:val="00097358"/>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30E5"/>
    <w:rsid w:val="00174518"/>
    <w:rsid w:val="0018106D"/>
    <w:rsid w:val="001877A7"/>
    <w:rsid w:val="00191536"/>
    <w:rsid w:val="00196687"/>
    <w:rsid w:val="001C0962"/>
    <w:rsid w:val="001C2738"/>
    <w:rsid w:val="001D7531"/>
    <w:rsid w:val="001E737D"/>
    <w:rsid w:val="001F0592"/>
    <w:rsid w:val="001F6419"/>
    <w:rsid w:val="001F7506"/>
    <w:rsid w:val="002006CD"/>
    <w:rsid w:val="00202B36"/>
    <w:rsid w:val="00204B7A"/>
    <w:rsid w:val="00204CDE"/>
    <w:rsid w:val="0021101A"/>
    <w:rsid w:val="00220536"/>
    <w:rsid w:val="00235629"/>
    <w:rsid w:val="00260289"/>
    <w:rsid w:val="00260C38"/>
    <w:rsid w:val="002616C0"/>
    <w:rsid w:val="002643DB"/>
    <w:rsid w:val="00265372"/>
    <w:rsid w:val="002662AA"/>
    <w:rsid w:val="00280496"/>
    <w:rsid w:val="00283D47"/>
    <w:rsid w:val="00294DC9"/>
    <w:rsid w:val="00295495"/>
    <w:rsid w:val="002A2301"/>
    <w:rsid w:val="002A31DE"/>
    <w:rsid w:val="002A62F7"/>
    <w:rsid w:val="002B2613"/>
    <w:rsid w:val="002C1468"/>
    <w:rsid w:val="002D6D05"/>
    <w:rsid w:val="002F1818"/>
    <w:rsid w:val="002F5109"/>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2919"/>
    <w:rsid w:val="003D66DA"/>
    <w:rsid w:val="003E1310"/>
    <w:rsid w:val="003E2E6A"/>
    <w:rsid w:val="003E6F55"/>
    <w:rsid w:val="00406254"/>
    <w:rsid w:val="00410559"/>
    <w:rsid w:val="0041585D"/>
    <w:rsid w:val="00420B47"/>
    <w:rsid w:val="004223DE"/>
    <w:rsid w:val="00434489"/>
    <w:rsid w:val="00437085"/>
    <w:rsid w:val="00443880"/>
    <w:rsid w:val="004464F4"/>
    <w:rsid w:val="00447329"/>
    <w:rsid w:val="00471401"/>
    <w:rsid w:val="00473F31"/>
    <w:rsid w:val="0048263A"/>
    <w:rsid w:val="004826A2"/>
    <w:rsid w:val="00487E5D"/>
    <w:rsid w:val="004A711F"/>
    <w:rsid w:val="004B199D"/>
    <w:rsid w:val="004B4690"/>
    <w:rsid w:val="004E0A2D"/>
    <w:rsid w:val="004E206B"/>
    <w:rsid w:val="004E3607"/>
    <w:rsid w:val="004E6DF7"/>
    <w:rsid w:val="004F0FBD"/>
    <w:rsid w:val="00505A47"/>
    <w:rsid w:val="00512FDA"/>
    <w:rsid w:val="00520DA0"/>
    <w:rsid w:val="005664BB"/>
    <w:rsid w:val="00566FFA"/>
    <w:rsid w:val="0057481D"/>
    <w:rsid w:val="0058486E"/>
    <w:rsid w:val="00585B33"/>
    <w:rsid w:val="0059014D"/>
    <w:rsid w:val="00591CA3"/>
    <w:rsid w:val="005A09FD"/>
    <w:rsid w:val="005B0198"/>
    <w:rsid w:val="005B321C"/>
    <w:rsid w:val="005B5C64"/>
    <w:rsid w:val="005C5337"/>
    <w:rsid w:val="005C6BD0"/>
    <w:rsid w:val="005D1C8B"/>
    <w:rsid w:val="005D468D"/>
    <w:rsid w:val="005D5CED"/>
    <w:rsid w:val="005F1A4C"/>
    <w:rsid w:val="00605688"/>
    <w:rsid w:val="006070AF"/>
    <w:rsid w:val="00607E6C"/>
    <w:rsid w:val="006101B1"/>
    <w:rsid w:val="00614E44"/>
    <w:rsid w:val="00620030"/>
    <w:rsid w:val="0062270A"/>
    <w:rsid w:val="00622830"/>
    <w:rsid w:val="00623DA0"/>
    <w:rsid w:val="00630AEF"/>
    <w:rsid w:val="006325F8"/>
    <w:rsid w:val="00633463"/>
    <w:rsid w:val="00634C9A"/>
    <w:rsid w:val="00640417"/>
    <w:rsid w:val="00641F56"/>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3BBE"/>
    <w:rsid w:val="0074516B"/>
    <w:rsid w:val="00746F48"/>
    <w:rsid w:val="0075404D"/>
    <w:rsid w:val="0076182A"/>
    <w:rsid w:val="00762406"/>
    <w:rsid w:val="0076493D"/>
    <w:rsid w:val="00767B7E"/>
    <w:rsid w:val="007770C3"/>
    <w:rsid w:val="00784D24"/>
    <w:rsid w:val="00785FBA"/>
    <w:rsid w:val="00786E4A"/>
    <w:rsid w:val="007875EB"/>
    <w:rsid w:val="0079426B"/>
    <w:rsid w:val="007D1682"/>
    <w:rsid w:val="007D312A"/>
    <w:rsid w:val="007D3F19"/>
    <w:rsid w:val="007E23B0"/>
    <w:rsid w:val="007E23E5"/>
    <w:rsid w:val="007E6A82"/>
    <w:rsid w:val="007F1991"/>
    <w:rsid w:val="007F2C2F"/>
    <w:rsid w:val="007F55FC"/>
    <w:rsid w:val="007F5665"/>
    <w:rsid w:val="007F7385"/>
    <w:rsid w:val="00800112"/>
    <w:rsid w:val="00813348"/>
    <w:rsid w:val="008253BB"/>
    <w:rsid w:val="0083706E"/>
    <w:rsid w:val="008408F6"/>
    <w:rsid w:val="008423A5"/>
    <w:rsid w:val="00850625"/>
    <w:rsid w:val="00853718"/>
    <w:rsid w:val="00855221"/>
    <w:rsid w:val="00860645"/>
    <w:rsid w:val="00871F71"/>
    <w:rsid w:val="00872FD8"/>
    <w:rsid w:val="00875641"/>
    <w:rsid w:val="00885AF4"/>
    <w:rsid w:val="00887F08"/>
    <w:rsid w:val="008914B9"/>
    <w:rsid w:val="008939CD"/>
    <w:rsid w:val="008B768C"/>
    <w:rsid w:val="008C4DB1"/>
    <w:rsid w:val="008C4EAF"/>
    <w:rsid w:val="008C5176"/>
    <w:rsid w:val="008C7FD0"/>
    <w:rsid w:val="008E1DE7"/>
    <w:rsid w:val="008E707C"/>
    <w:rsid w:val="00900B08"/>
    <w:rsid w:val="00902155"/>
    <w:rsid w:val="00902FA3"/>
    <w:rsid w:val="009167F8"/>
    <w:rsid w:val="00923564"/>
    <w:rsid w:val="0092392E"/>
    <w:rsid w:val="009315F9"/>
    <w:rsid w:val="00933499"/>
    <w:rsid w:val="009334F0"/>
    <w:rsid w:val="00935C98"/>
    <w:rsid w:val="00946945"/>
    <w:rsid w:val="00951248"/>
    <w:rsid w:val="0095152F"/>
    <w:rsid w:val="009546E4"/>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50C8"/>
    <w:rsid w:val="009F1185"/>
    <w:rsid w:val="009F18CD"/>
    <w:rsid w:val="009F2A13"/>
    <w:rsid w:val="009F7527"/>
    <w:rsid w:val="00A04EB0"/>
    <w:rsid w:val="00A13CC1"/>
    <w:rsid w:val="00A16847"/>
    <w:rsid w:val="00A237D8"/>
    <w:rsid w:val="00A25A68"/>
    <w:rsid w:val="00A25C9F"/>
    <w:rsid w:val="00A268C4"/>
    <w:rsid w:val="00A27C77"/>
    <w:rsid w:val="00A307CD"/>
    <w:rsid w:val="00A331C8"/>
    <w:rsid w:val="00A40A00"/>
    <w:rsid w:val="00A4142F"/>
    <w:rsid w:val="00A422EB"/>
    <w:rsid w:val="00A45BB7"/>
    <w:rsid w:val="00A56DF2"/>
    <w:rsid w:val="00A56E6E"/>
    <w:rsid w:val="00A67AB5"/>
    <w:rsid w:val="00A733B2"/>
    <w:rsid w:val="00A741C2"/>
    <w:rsid w:val="00A74A9E"/>
    <w:rsid w:val="00A91760"/>
    <w:rsid w:val="00A93B00"/>
    <w:rsid w:val="00A93C21"/>
    <w:rsid w:val="00AB64C9"/>
    <w:rsid w:val="00AC2E50"/>
    <w:rsid w:val="00AC3C6A"/>
    <w:rsid w:val="00AD5620"/>
    <w:rsid w:val="00AD656B"/>
    <w:rsid w:val="00AD7C1B"/>
    <w:rsid w:val="00AE0F38"/>
    <w:rsid w:val="00AE16BA"/>
    <w:rsid w:val="00AE1EBE"/>
    <w:rsid w:val="00B03C9D"/>
    <w:rsid w:val="00B060AE"/>
    <w:rsid w:val="00B10517"/>
    <w:rsid w:val="00B12E8B"/>
    <w:rsid w:val="00B14E76"/>
    <w:rsid w:val="00B161B8"/>
    <w:rsid w:val="00B2048C"/>
    <w:rsid w:val="00B310B9"/>
    <w:rsid w:val="00B35F3F"/>
    <w:rsid w:val="00B36CBB"/>
    <w:rsid w:val="00B411A6"/>
    <w:rsid w:val="00B425E0"/>
    <w:rsid w:val="00B440AA"/>
    <w:rsid w:val="00B44B70"/>
    <w:rsid w:val="00B53C56"/>
    <w:rsid w:val="00B57DAF"/>
    <w:rsid w:val="00B76F9D"/>
    <w:rsid w:val="00B77EA6"/>
    <w:rsid w:val="00B81598"/>
    <w:rsid w:val="00B841F1"/>
    <w:rsid w:val="00B944D6"/>
    <w:rsid w:val="00BA0650"/>
    <w:rsid w:val="00BA579E"/>
    <w:rsid w:val="00BB4DF0"/>
    <w:rsid w:val="00BC289F"/>
    <w:rsid w:val="00BC2D50"/>
    <w:rsid w:val="00BC5361"/>
    <w:rsid w:val="00BC5460"/>
    <w:rsid w:val="00BC6B50"/>
    <w:rsid w:val="00BD0E25"/>
    <w:rsid w:val="00BF5688"/>
    <w:rsid w:val="00BF5BD6"/>
    <w:rsid w:val="00C03E31"/>
    <w:rsid w:val="00C33E72"/>
    <w:rsid w:val="00C354B2"/>
    <w:rsid w:val="00C35554"/>
    <w:rsid w:val="00C42709"/>
    <w:rsid w:val="00C46119"/>
    <w:rsid w:val="00C533CC"/>
    <w:rsid w:val="00C5751C"/>
    <w:rsid w:val="00C61BFC"/>
    <w:rsid w:val="00C62B85"/>
    <w:rsid w:val="00C65438"/>
    <w:rsid w:val="00C860D5"/>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677BB"/>
    <w:rsid w:val="00D7035F"/>
    <w:rsid w:val="00D77C1A"/>
    <w:rsid w:val="00D950A1"/>
    <w:rsid w:val="00DA634F"/>
    <w:rsid w:val="00DA65AC"/>
    <w:rsid w:val="00DB1913"/>
    <w:rsid w:val="00DC410D"/>
    <w:rsid w:val="00DC5A81"/>
    <w:rsid w:val="00DC68CA"/>
    <w:rsid w:val="00DC7CBA"/>
    <w:rsid w:val="00DD73B7"/>
    <w:rsid w:val="00DF24DF"/>
    <w:rsid w:val="00DF28BC"/>
    <w:rsid w:val="00DF34B9"/>
    <w:rsid w:val="00E01053"/>
    <w:rsid w:val="00E01B70"/>
    <w:rsid w:val="00E07ACF"/>
    <w:rsid w:val="00E11813"/>
    <w:rsid w:val="00E331A1"/>
    <w:rsid w:val="00E33202"/>
    <w:rsid w:val="00E336A9"/>
    <w:rsid w:val="00E472B1"/>
    <w:rsid w:val="00E50624"/>
    <w:rsid w:val="00E568DF"/>
    <w:rsid w:val="00E64269"/>
    <w:rsid w:val="00E82267"/>
    <w:rsid w:val="00E853CE"/>
    <w:rsid w:val="00E867B6"/>
    <w:rsid w:val="00EA010F"/>
    <w:rsid w:val="00EB0E87"/>
    <w:rsid w:val="00EB0FAE"/>
    <w:rsid w:val="00ED1B63"/>
    <w:rsid w:val="00ED3C1F"/>
    <w:rsid w:val="00ED4085"/>
    <w:rsid w:val="00ED420E"/>
    <w:rsid w:val="00ED6FBE"/>
    <w:rsid w:val="00EE2F57"/>
    <w:rsid w:val="00EF4C34"/>
    <w:rsid w:val="00EF77C6"/>
    <w:rsid w:val="00F03938"/>
    <w:rsid w:val="00F05438"/>
    <w:rsid w:val="00F1361C"/>
    <w:rsid w:val="00F156F0"/>
    <w:rsid w:val="00F160C7"/>
    <w:rsid w:val="00F2408F"/>
    <w:rsid w:val="00F240E9"/>
    <w:rsid w:val="00F36D8F"/>
    <w:rsid w:val="00F417B1"/>
    <w:rsid w:val="00F45853"/>
    <w:rsid w:val="00F5561B"/>
    <w:rsid w:val="00F602DF"/>
    <w:rsid w:val="00F754A1"/>
    <w:rsid w:val="00F81FD9"/>
    <w:rsid w:val="00F841AA"/>
    <w:rsid w:val="00F84A94"/>
    <w:rsid w:val="00F87E96"/>
    <w:rsid w:val="00FA23E8"/>
    <w:rsid w:val="00FA789D"/>
    <w:rsid w:val="00FC7DA4"/>
    <w:rsid w:val="00FD3CC1"/>
    <w:rsid w:val="00FF1E02"/>
    <w:rsid w:val="00FF30B4"/>
    <w:rsid w:val="00FF4425"/>
    <w:rsid w:val="01271174"/>
    <w:rsid w:val="015975B8"/>
    <w:rsid w:val="01D74CDA"/>
    <w:rsid w:val="02FEBE30"/>
    <w:rsid w:val="036F8141"/>
    <w:rsid w:val="066E0107"/>
    <w:rsid w:val="07591479"/>
    <w:rsid w:val="07996F6E"/>
    <w:rsid w:val="07DFD8BA"/>
    <w:rsid w:val="08D75D56"/>
    <w:rsid w:val="0A2032A3"/>
    <w:rsid w:val="0A78617F"/>
    <w:rsid w:val="0C186B59"/>
    <w:rsid w:val="0D240E06"/>
    <w:rsid w:val="0D35B1ED"/>
    <w:rsid w:val="0E7ED1F5"/>
    <w:rsid w:val="0F98263C"/>
    <w:rsid w:val="0FAC778D"/>
    <w:rsid w:val="101860EC"/>
    <w:rsid w:val="10C055FF"/>
    <w:rsid w:val="115C0988"/>
    <w:rsid w:val="118107EC"/>
    <w:rsid w:val="125C56D9"/>
    <w:rsid w:val="137D3FBC"/>
    <w:rsid w:val="13D50BC4"/>
    <w:rsid w:val="13F5616D"/>
    <w:rsid w:val="161C68E5"/>
    <w:rsid w:val="16541D84"/>
    <w:rsid w:val="16BB723D"/>
    <w:rsid w:val="17F9714D"/>
    <w:rsid w:val="1918F934"/>
    <w:rsid w:val="1BE8440E"/>
    <w:rsid w:val="1D155CEE"/>
    <w:rsid w:val="1DFBC4B3"/>
    <w:rsid w:val="1E740ACF"/>
    <w:rsid w:val="1EDC32E6"/>
    <w:rsid w:val="1F19C781"/>
    <w:rsid w:val="1F33FCE5"/>
    <w:rsid w:val="1F7F7398"/>
    <w:rsid w:val="1FD2DB6F"/>
    <w:rsid w:val="1FF35744"/>
    <w:rsid w:val="1FF6BC77"/>
    <w:rsid w:val="1FF9236D"/>
    <w:rsid w:val="22FE3CEC"/>
    <w:rsid w:val="232F3F8B"/>
    <w:rsid w:val="2333840E"/>
    <w:rsid w:val="23860B96"/>
    <w:rsid w:val="240371BF"/>
    <w:rsid w:val="257C638F"/>
    <w:rsid w:val="26920A7A"/>
    <w:rsid w:val="272E6896"/>
    <w:rsid w:val="28A0613D"/>
    <w:rsid w:val="29FD04D3"/>
    <w:rsid w:val="2BFF7BC6"/>
    <w:rsid w:val="2C8A61B5"/>
    <w:rsid w:val="2C9E3CBB"/>
    <w:rsid w:val="2CD59C95"/>
    <w:rsid w:val="2CE960BE"/>
    <w:rsid w:val="2DB435E4"/>
    <w:rsid w:val="2DF04E50"/>
    <w:rsid w:val="2EFD05E5"/>
    <w:rsid w:val="2F040D46"/>
    <w:rsid w:val="2F4F95CE"/>
    <w:rsid w:val="2FACAFDD"/>
    <w:rsid w:val="2FAE5751"/>
    <w:rsid w:val="2FB1A395"/>
    <w:rsid w:val="2FCF0B76"/>
    <w:rsid w:val="2FD9A7D8"/>
    <w:rsid w:val="30806734"/>
    <w:rsid w:val="319F7F4E"/>
    <w:rsid w:val="3304709D"/>
    <w:rsid w:val="34735475"/>
    <w:rsid w:val="36AA5135"/>
    <w:rsid w:val="36BE0DA7"/>
    <w:rsid w:val="376B6AA6"/>
    <w:rsid w:val="376D39B2"/>
    <w:rsid w:val="37E16F03"/>
    <w:rsid w:val="37F53A3B"/>
    <w:rsid w:val="38283C1F"/>
    <w:rsid w:val="38D469F0"/>
    <w:rsid w:val="38F78389"/>
    <w:rsid w:val="397BAF1F"/>
    <w:rsid w:val="39E7B272"/>
    <w:rsid w:val="39F7642F"/>
    <w:rsid w:val="39FF7B37"/>
    <w:rsid w:val="3AB79AF3"/>
    <w:rsid w:val="3AFDCB77"/>
    <w:rsid w:val="3B7EF35A"/>
    <w:rsid w:val="3B9FDB6C"/>
    <w:rsid w:val="3BF5BC2F"/>
    <w:rsid w:val="3BF7C23A"/>
    <w:rsid w:val="3BFF223E"/>
    <w:rsid w:val="3C6EC0A1"/>
    <w:rsid w:val="3CDB0824"/>
    <w:rsid w:val="3CEBA265"/>
    <w:rsid w:val="3D6A7F9F"/>
    <w:rsid w:val="3D7E7F4D"/>
    <w:rsid w:val="3D98207C"/>
    <w:rsid w:val="3D9CF30A"/>
    <w:rsid w:val="3DC47614"/>
    <w:rsid w:val="3DFF5A3E"/>
    <w:rsid w:val="3E78745D"/>
    <w:rsid w:val="3E9110A2"/>
    <w:rsid w:val="3EEE77E9"/>
    <w:rsid w:val="3F394AF5"/>
    <w:rsid w:val="3FBE5714"/>
    <w:rsid w:val="3FDD8615"/>
    <w:rsid w:val="3FDFB2FF"/>
    <w:rsid w:val="3FF4CAE0"/>
    <w:rsid w:val="3FF75FAF"/>
    <w:rsid w:val="3FF7B227"/>
    <w:rsid w:val="41D82541"/>
    <w:rsid w:val="426C7B6D"/>
    <w:rsid w:val="429E40CF"/>
    <w:rsid w:val="447F1A7C"/>
    <w:rsid w:val="44E268DA"/>
    <w:rsid w:val="457F4F6B"/>
    <w:rsid w:val="4737FB58"/>
    <w:rsid w:val="47ECCB02"/>
    <w:rsid w:val="47FA6A3F"/>
    <w:rsid w:val="49236ABE"/>
    <w:rsid w:val="49D7AE48"/>
    <w:rsid w:val="4A3F6C7E"/>
    <w:rsid w:val="4A627F82"/>
    <w:rsid w:val="4B0E749A"/>
    <w:rsid w:val="4B436BAE"/>
    <w:rsid w:val="4B4F25DA"/>
    <w:rsid w:val="4BBB4781"/>
    <w:rsid w:val="4BD709A5"/>
    <w:rsid w:val="4BDD9BFF"/>
    <w:rsid w:val="4BE068DB"/>
    <w:rsid w:val="4D577224"/>
    <w:rsid w:val="4DBF1CEB"/>
    <w:rsid w:val="4DBF6A6B"/>
    <w:rsid w:val="4DE74428"/>
    <w:rsid w:val="4DF6A672"/>
    <w:rsid w:val="4EAB630A"/>
    <w:rsid w:val="4EBA4878"/>
    <w:rsid w:val="4ECE2238"/>
    <w:rsid w:val="4F7EA413"/>
    <w:rsid w:val="4FAB812F"/>
    <w:rsid w:val="4FE9BD67"/>
    <w:rsid w:val="4FEE4C07"/>
    <w:rsid w:val="4FFB052F"/>
    <w:rsid w:val="51C64DCE"/>
    <w:rsid w:val="52A53489"/>
    <w:rsid w:val="537E6D0A"/>
    <w:rsid w:val="53AB6B88"/>
    <w:rsid w:val="53F74C96"/>
    <w:rsid w:val="54A5632C"/>
    <w:rsid w:val="5583522D"/>
    <w:rsid w:val="56FA1643"/>
    <w:rsid w:val="57941DEE"/>
    <w:rsid w:val="57BD3DD4"/>
    <w:rsid w:val="57F9CD1E"/>
    <w:rsid w:val="58274C22"/>
    <w:rsid w:val="590327FA"/>
    <w:rsid w:val="5A391E0C"/>
    <w:rsid w:val="5AF92295"/>
    <w:rsid w:val="5AF9D8E9"/>
    <w:rsid w:val="5BDD38BD"/>
    <w:rsid w:val="5BDD79E6"/>
    <w:rsid w:val="5BEFC772"/>
    <w:rsid w:val="5BFF5DFC"/>
    <w:rsid w:val="5C6C0905"/>
    <w:rsid w:val="5CD2181E"/>
    <w:rsid w:val="5CD71FC4"/>
    <w:rsid w:val="5D1F11B5"/>
    <w:rsid w:val="5D3647F9"/>
    <w:rsid w:val="5DA644D4"/>
    <w:rsid w:val="5DAE1B18"/>
    <w:rsid w:val="5DE7D9E5"/>
    <w:rsid w:val="5E015248"/>
    <w:rsid w:val="5E8162AE"/>
    <w:rsid w:val="5ECEC941"/>
    <w:rsid w:val="5EFF8FC6"/>
    <w:rsid w:val="5F5BA39A"/>
    <w:rsid w:val="5F7D3B79"/>
    <w:rsid w:val="5F7F4610"/>
    <w:rsid w:val="5FBF9FF3"/>
    <w:rsid w:val="5FCD4E2C"/>
    <w:rsid w:val="5FEF394A"/>
    <w:rsid w:val="5FF67715"/>
    <w:rsid w:val="604D0F5E"/>
    <w:rsid w:val="61CA71D5"/>
    <w:rsid w:val="627EE9EA"/>
    <w:rsid w:val="62BA3CF5"/>
    <w:rsid w:val="63B23AA5"/>
    <w:rsid w:val="64010F12"/>
    <w:rsid w:val="647F5392"/>
    <w:rsid w:val="64E322C4"/>
    <w:rsid w:val="65FB93B9"/>
    <w:rsid w:val="6633C463"/>
    <w:rsid w:val="66B12CAA"/>
    <w:rsid w:val="66CC4DF1"/>
    <w:rsid w:val="67D55B77"/>
    <w:rsid w:val="67EE7F84"/>
    <w:rsid w:val="686F5F53"/>
    <w:rsid w:val="6AFFCEAF"/>
    <w:rsid w:val="6B96E9E6"/>
    <w:rsid w:val="6BC657BA"/>
    <w:rsid w:val="6BCE57B5"/>
    <w:rsid w:val="6BFEA4DB"/>
    <w:rsid w:val="6BFFB662"/>
    <w:rsid w:val="6C4A05C8"/>
    <w:rsid w:val="6CFF4FB8"/>
    <w:rsid w:val="6D6BD6E0"/>
    <w:rsid w:val="6D77E73C"/>
    <w:rsid w:val="6DBF5E93"/>
    <w:rsid w:val="6DCC2E6D"/>
    <w:rsid w:val="6DFF077E"/>
    <w:rsid w:val="6E6D316B"/>
    <w:rsid w:val="6E7E3605"/>
    <w:rsid w:val="6E7FDCC7"/>
    <w:rsid w:val="6EA649C2"/>
    <w:rsid w:val="6ED6A62E"/>
    <w:rsid w:val="6EE00B15"/>
    <w:rsid w:val="6EE737B2"/>
    <w:rsid w:val="6EEB2329"/>
    <w:rsid w:val="6EECE67A"/>
    <w:rsid w:val="6F6F90A8"/>
    <w:rsid w:val="6F6FB3EB"/>
    <w:rsid w:val="6F8731EA"/>
    <w:rsid w:val="6FBC2ADD"/>
    <w:rsid w:val="6FD57C00"/>
    <w:rsid w:val="6FEFFFD8"/>
    <w:rsid w:val="6FF5CC65"/>
    <w:rsid w:val="6FFB47EC"/>
    <w:rsid w:val="6FFF034A"/>
    <w:rsid w:val="712A28F1"/>
    <w:rsid w:val="715C0E4B"/>
    <w:rsid w:val="71AD40CB"/>
    <w:rsid w:val="71FFD401"/>
    <w:rsid w:val="72233669"/>
    <w:rsid w:val="725C01AD"/>
    <w:rsid w:val="72734D90"/>
    <w:rsid w:val="7332FE48"/>
    <w:rsid w:val="733F256C"/>
    <w:rsid w:val="73AD73D5"/>
    <w:rsid w:val="73B6EB34"/>
    <w:rsid w:val="73F43E33"/>
    <w:rsid w:val="73FA497D"/>
    <w:rsid w:val="740C4C36"/>
    <w:rsid w:val="744731E5"/>
    <w:rsid w:val="74BBD01D"/>
    <w:rsid w:val="74ED5379"/>
    <w:rsid w:val="758E40D4"/>
    <w:rsid w:val="75DEEEC2"/>
    <w:rsid w:val="767F479D"/>
    <w:rsid w:val="76E3355F"/>
    <w:rsid w:val="76F742AF"/>
    <w:rsid w:val="76F7BE7D"/>
    <w:rsid w:val="76FF5125"/>
    <w:rsid w:val="773570D3"/>
    <w:rsid w:val="77597F31"/>
    <w:rsid w:val="776F6FFA"/>
    <w:rsid w:val="7777A522"/>
    <w:rsid w:val="77858688"/>
    <w:rsid w:val="778769C8"/>
    <w:rsid w:val="77CB741A"/>
    <w:rsid w:val="77D7BE3A"/>
    <w:rsid w:val="77DC22F5"/>
    <w:rsid w:val="790753F5"/>
    <w:rsid w:val="797564BA"/>
    <w:rsid w:val="797E3A6C"/>
    <w:rsid w:val="79CF70E2"/>
    <w:rsid w:val="79D7FD79"/>
    <w:rsid w:val="79E75806"/>
    <w:rsid w:val="79EE5BA4"/>
    <w:rsid w:val="7A641148"/>
    <w:rsid w:val="7A6F8BF5"/>
    <w:rsid w:val="7A894339"/>
    <w:rsid w:val="7ACF82B5"/>
    <w:rsid w:val="7AFF28C9"/>
    <w:rsid w:val="7AFF72A0"/>
    <w:rsid w:val="7AFF7572"/>
    <w:rsid w:val="7B6C7DFB"/>
    <w:rsid w:val="7B7D76A7"/>
    <w:rsid w:val="7B8F6D4D"/>
    <w:rsid w:val="7BAE2FE2"/>
    <w:rsid w:val="7BAF6951"/>
    <w:rsid w:val="7BBFBED0"/>
    <w:rsid w:val="7BC3E394"/>
    <w:rsid w:val="7BF3FE4C"/>
    <w:rsid w:val="7BFB5035"/>
    <w:rsid w:val="7BFDE17E"/>
    <w:rsid w:val="7C743A0D"/>
    <w:rsid w:val="7CBFC87B"/>
    <w:rsid w:val="7CFE0F48"/>
    <w:rsid w:val="7D1170B5"/>
    <w:rsid w:val="7D2262E2"/>
    <w:rsid w:val="7D3DE31C"/>
    <w:rsid w:val="7D7EC23E"/>
    <w:rsid w:val="7D7F8A13"/>
    <w:rsid w:val="7DBBCB01"/>
    <w:rsid w:val="7DC765D0"/>
    <w:rsid w:val="7DDB0EE0"/>
    <w:rsid w:val="7DFF51D8"/>
    <w:rsid w:val="7E634199"/>
    <w:rsid w:val="7E7D3688"/>
    <w:rsid w:val="7E8ADEBF"/>
    <w:rsid w:val="7EEF11D3"/>
    <w:rsid w:val="7EF78C20"/>
    <w:rsid w:val="7F3F679B"/>
    <w:rsid w:val="7F4FC4EF"/>
    <w:rsid w:val="7F5E4D54"/>
    <w:rsid w:val="7F6B75FA"/>
    <w:rsid w:val="7F9F518D"/>
    <w:rsid w:val="7FA30C79"/>
    <w:rsid w:val="7FAF8ABF"/>
    <w:rsid w:val="7FB7269E"/>
    <w:rsid w:val="7FBD6753"/>
    <w:rsid w:val="7FBFABB4"/>
    <w:rsid w:val="7FC65084"/>
    <w:rsid w:val="7FC96657"/>
    <w:rsid w:val="7FD72595"/>
    <w:rsid w:val="7FDA9588"/>
    <w:rsid w:val="7FDF220F"/>
    <w:rsid w:val="7FDF4542"/>
    <w:rsid w:val="7FDF5405"/>
    <w:rsid w:val="7FEDC251"/>
    <w:rsid w:val="7FEDC5F7"/>
    <w:rsid w:val="7FEDD9DE"/>
    <w:rsid w:val="7FEFCDB9"/>
    <w:rsid w:val="7FF5890D"/>
    <w:rsid w:val="7FF5EB09"/>
    <w:rsid w:val="7FF89B92"/>
    <w:rsid w:val="7FF8F2E7"/>
    <w:rsid w:val="7FF93490"/>
    <w:rsid w:val="7FFA6237"/>
    <w:rsid w:val="7FFB5275"/>
    <w:rsid w:val="7FFD14DE"/>
    <w:rsid w:val="7FFFF783"/>
    <w:rsid w:val="93F70A9E"/>
    <w:rsid w:val="997D060E"/>
    <w:rsid w:val="99FF2014"/>
    <w:rsid w:val="9E59F895"/>
    <w:rsid w:val="9E7DEDC1"/>
    <w:rsid w:val="9EEF2B0D"/>
    <w:rsid w:val="9FF6F2A6"/>
    <w:rsid w:val="9FFE4AD9"/>
    <w:rsid w:val="9FFF61B9"/>
    <w:rsid w:val="A6DD0D7F"/>
    <w:rsid w:val="A7955197"/>
    <w:rsid w:val="A7FE5E0E"/>
    <w:rsid w:val="ADC6F725"/>
    <w:rsid w:val="AF0FFA84"/>
    <w:rsid w:val="AF9F0A5E"/>
    <w:rsid w:val="AFEF7964"/>
    <w:rsid w:val="B27A6F28"/>
    <w:rsid w:val="B35F0D5A"/>
    <w:rsid w:val="B3F7F693"/>
    <w:rsid w:val="B3FBBB6C"/>
    <w:rsid w:val="B5FFE407"/>
    <w:rsid w:val="B7CF06AB"/>
    <w:rsid w:val="B7CFA926"/>
    <w:rsid w:val="B7F8786B"/>
    <w:rsid w:val="B9EF5647"/>
    <w:rsid w:val="BABB6AA1"/>
    <w:rsid w:val="BAFCD398"/>
    <w:rsid w:val="BAFFDA0F"/>
    <w:rsid w:val="BB2F4199"/>
    <w:rsid w:val="BBFBD24E"/>
    <w:rsid w:val="BD079C78"/>
    <w:rsid w:val="BD2DD278"/>
    <w:rsid w:val="BD733540"/>
    <w:rsid w:val="BDF7970E"/>
    <w:rsid w:val="BDFE68BD"/>
    <w:rsid w:val="BE6FC990"/>
    <w:rsid w:val="BEBE9537"/>
    <w:rsid w:val="BEFF0D62"/>
    <w:rsid w:val="BEFF90EF"/>
    <w:rsid w:val="BF3735D5"/>
    <w:rsid w:val="BF7F09AC"/>
    <w:rsid w:val="BFB3380D"/>
    <w:rsid w:val="BFB7E7A2"/>
    <w:rsid w:val="BFC2F103"/>
    <w:rsid w:val="BFD475C3"/>
    <w:rsid w:val="BFDE5EA6"/>
    <w:rsid w:val="BFEF99E9"/>
    <w:rsid w:val="BFF9E564"/>
    <w:rsid w:val="BFFF3A69"/>
    <w:rsid w:val="C7BFEF9C"/>
    <w:rsid w:val="C8BD8F25"/>
    <w:rsid w:val="C94DA72E"/>
    <w:rsid w:val="CBEEAA00"/>
    <w:rsid w:val="CC7E9ECE"/>
    <w:rsid w:val="CDBFF9FF"/>
    <w:rsid w:val="CDF78664"/>
    <w:rsid w:val="CE3FF57E"/>
    <w:rsid w:val="CF3AB4AC"/>
    <w:rsid w:val="CF6FC6F3"/>
    <w:rsid w:val="CFD3D3D7"/>
    <w:rsid w:val="CFDF1009"/>
    <w:rsid w:val="D6B7E4F6"/>
    <w:rsid w:val="D6CB2739"/>
    <w:rsid w:val="D776A8DB"/>
    <w:rsid w:val="D7B6B268"/>
    <w:rsid w:val="D7D7B16A"/>
    <w:rsid w:val="D7EF2E2A"/>
    <w:rsid w:val="D8D6DB89"/>
    <w:rsid w:val="DB6F4CAB"/>
    <w:rsid w:val="DB777682"/>
    <w:rsid w:val="DBDDA52A"/>
    <w:rsid w:val="DCFFC0D1"/>
    <w:rsid w:val="DD1FB521"/>
    <w:rsid w:val="DDCB2E5E"/>
    <w:rsid w:val="DDFE75CA"/>
    <w:rsid w:val="DEFBBE33"/>
    <w:rsid w:val="DEFBFEAE"/>
    <w:rsid w:val="DF1F3B80"/>
    <w:rsid w:val="DF6F9789"/>
    <w:rsid w:val="DF9B8D55"/>
    <w:rsid w:val="DF9D198A"/>
    <w:rsid w:val="DFDF1D8E"/>
    <w:rsid w:val="DFEFC58B"/>
    <w:rsid w:val="DFF5F241"/>
    <w:rsid w:val="DFFFA9E8"/>
    <w:rsid w:val="E37D5D3F"/>
    <w:rsid w:val="E3FFE98D"/>
    <w:rsid w:val="E5F4E9DC"/>
    <w:rsid w:val="E67FF583"/>
    <w:rsid w:val="E70FE695"/>
    <w:rsid w:val="E7676621"/>
    <w:rsid w:val="E76B2B9A"/>
    <w:rsid w:val="E7AB7A34"/>
    <w:rsid w:val="E7DF1E20"/>
    <w:rsid w:val="E7FF6381"/>
    <w:rsid w:val="E9A30291"/>
    <w:rsid w:val="EBBF924C"/>
    <w:rsid w:val="ECFED1BC"/>
    <w:rsid w:val="ED1D69BB"/>
    <w:rsid w:val="ED2C2584"/>
    <w:rsid w:val="ED7FD312"/>
    <w:rsid w:val="EDBE03E0"/>
    <w:rsid w:val="EDD1A84A"/>
    <w:rsid w:val="EDFF8263"/>
    <w:rsid w:val="EE1FA0C7"/>
    <w:rsid w:val="EF53993F"/>
    <w:rsid w:val="EF7B8152"/>
    <w:rsid w:val="EF8E27E2"/>
    <w:rsid w:val="EFBFB2F4"/>
    <w:rsid w:val="EFBFFA21"/>
    <w:rsid w:val="EFDF4337"/>
    <w:rsid w:val="EFF7097E"/>
    <w:rsid w:val="F2BEBCB8"/>
    <w:rsid w:val="F36FB518"/>
    <w:rsid w:val="F3DE1A04"/>
    <w:rsid w:val="F3E244FA"/>
    <w:rsid w:val="F3EFB7CA"/>
    <w:rsid w:val="F3F722E5"/>
    <w:rsid w:val="F699BB1A"/>
    <w:rsid w:val="F6DEABFE"/>
    <w:rsid w:val="F7B650C7"/>
    <w:rsid w:val="F7EF9033"/>
    <w:rsid w:val="F7FDC2B1"/>
    <w:rsid w:val="F8DDDAC6"/>
    <w:rsid w:val="F96B55C8"/>
    <w:rsid w:val="FA2F5BEB"/>
    <w:rsid w:val="FA5F1E70"/>
    <w:rsid w:val="FA5FDB97"/>
    <w:rsid w:val="FB1BB959"/>
    <w:rsid w:val="FB75E3C8"/>
    <w:rsid w:val="FB7F461B"/>
    <w:rsid w:val="FB7F486A"/>
    <w:rsid w:val="FB7F6E28"/>
    <w:rsid w:val="FB8778F4"/>
    <w:rsid w:val="FBB61866"/>
    <w:rsid w:val="FBEE055A"/>
    <w:rsid w:val="FBF91527"/>
    <w:rsid w:val="FBFD1260"/>
    <w:rsid w:val="FBFF5B2E"/>
    <w:rsid w:val="FC833EBB"/>
    <w:rsid w:val="FCFE0B49"/>
    <w:rsid w:val="FD4B388D"/>
    <w:rsid w:val="FD77A83C"/>
    <w:rsid w:val="FD7FFE2B"/>
    <w:rsid w:val="FDADA43D"/>
    <w:rsid w:val="FDBDC432"/>
    <w:rsid w:val="FDEB412A"/>
    <w:rsid w:val="FDEE196B"/>
    <w:rsid w:val="FDEF50BC"/>
    <w:rsid w:val="FDFD5EC3"/>
    <w:rsid w:val="FDFE6575"/>
    <w:rsid w:val="FE9E11AB"/>
    <w:rsid w:val="FEBF38CD"/>
    <w:rsid w:val="FEDFDDC2"/>
    <w:rsid w:val="FEEB4E4D"/>
    <w:rsid w:val="FEED32F6"/>
    <w:rsid w:val="FEF781DD"/>
    <w:rsid w:val="FEF9D8C4"/>
    <w:rsid w:val="FF3F7E3F"/>
    <w:rsid w:val="FF3FF759"/>
    <w:rsid w:val="FF4749A3"/>
    <w:rsid w:val="FF4D3A28"/>
    <w:rsid w:val="FF5913BC"/>
    <w:rsid w:val="FF7F1E7E"/>
    <w:rsid w:val="FF9BAA5C"/>
    <w:rsid w:val="FFA57884"/>
    <w:rsid w:val="FFB513DD"/>
    <w:rsid w:val="FFBA12D7"/>
    <w:rsid w:val="FFBFE8C6"/>
    <w:rsid w:val="FFCF2925"/>
    <w:rsid w:val="FFD33B6C"/>
    <w:rsid w:val="FFDAD824"/>
    <w:rsid w:val="FFDE4064"/>
    <w:rsid w:val="FFDEA9D8"/>
    <w:rsid w:val="FFDF2DEC"/>
    <w:rsid w:val="FFDF624E"/>
    <w:rsid w:val="FFDF6BC0"/>
    <w:rsid w:val="FFDFFAEE"/>
    <w:rsid w:val="FFE3BA41"/>
    <w:rsid w:val="FFE3BED4"/>
    <w:rsid w:val="FFF316C1"/>
    <w:rsid w:val="FFF63ECC"/>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200" w:leftChars="200"/>
    </w:pPr>
    <w:rPr>
      <w:rFonts w:ascii="仿宋_GB2312"/>
      <w:szCs w:val="32"/>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unhideWhenUsed/>
    <w:qFormat/>
    <w:uiPriority w:val="99"/>
    <w:rPr>
      <w:rFonts w:ascii="宋体" w:hAnsi="Courier New"/>
    </w:r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jc w:val="left"/>
    </w:pPr>
    <w:rPr>
      <w:kern w:val="0"/>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4"/>
    <w:qFormat/>
    <w:uiPriority w:val="9"/>
    <w:rPr>
      <w:rFonts w:ascii="Times New Roman" w:hAnsi="Times New Roman"/>
      <w:b/>
      <w:bCs/>
      <w:kern w:val="44"/>
      <w:sz w:val="44"/>
      <w:szCs w:val="44"/>
    </w:rPr>
  </w:style>
  <w:style w:type="character" w:customStyle="1" w:styleId="30">
    <w:name w:val="标题 2 字符"/>
    <w:basedOn w:val="17"/>
    <w:link w:val="5"/>
    <w:qFormat/>
    <w:uiPriority w:val="9"/>
    <w:rPr>
      <w:rFonts w:asciiTheme="majorHAnsi" w:hAnsiTheme="majorHAnsi" w:eastAsiaTheme="majorEastAsia" w:cstheme="majorBidi"/>
      <w:b/>
      <w:bCs/>
      <w:kern w:val="2"/>
      <w:sz w:val="32"/>
      <w:szCs w:val="32"/>
    </w:rPr>
  </w:style>
  <w:style w:type="paragraph" w:customStyle="1" w:styleId="31">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10"/>
    <w:semiHidden/>
    <w:qFormat/>
    <w:uiPriority w:val="99"/>
    <w:rPr>
      <w:rFonts w:ascii="Times New Roman" w:hAnsi="Times New Roman"/>
      <w:kern w:val="2"/>
      <w:sz w:val="18"/>
      <w:szCs w:val="18"/>
    </w:rPr>
  </w:style>
  <w:style w:type="character" w:customStyle="1" w:styleId="33">
    <w:name w:val="标题 3 字符"/>
    <w:basedOn w:val="17"/>
    <w:link w:val="6"/>
    <w:qFormat/>
    <w:uiPriority w:val="9"/>
    <w:rPr>
      <w:rFonts w:ascii="Times New Roman" w:hAnsi="Times New Roman"/>
      <w:b/>
      <w:bCs/>
      <w:kern w:val="2"/>
      <w:sz w:val="32"/>
      <w:szCs w:val="32"/>
    </w:rPr>
  </w:style>
  <w:style w:type="paragraph" w:customStyle="1" w:styleId="34">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WPSOffice手动目录 1"/>
    <w:qFormat/>
    <w:uiPriority w:val="0"/>
    <w:rPr>
      <w:rFonts w:ascii="Times New Roman" w:hAnsi="Times New Roman" w:eastAsia="宋体" w:cs="Times New Roman"/>
      <w:lang w:val="en-US" w:eastAsia="zh-CN" w:bidi="ar-SA"/>
    </w:rPr>
  </w:style>
  <w:style w:type="paragraph" w:customStyle="1" w:styleId="37">
    <w:name w:val="WPSOffice手动目录 2"/>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收、支变动情况</c:v>
                </c:pt>
              </c:strCache>
            </c:strRef>
          </c:tx>
          <c:spPr>
            <a:solidFill>
              <a:schemeClr val="accent1"/>
            </a:solidFill>
            <a:ln>
              <a:noFill/>
            </a:ln>
            <a:effectLst/>
          </c:spPr>
          <c:invertIfNegative val="0"/>
          <c:dLbls>
            <c:delete val="1"/>
          </c:dLbls>
          <c:cat>
            <c:strRef>
              <c:f>Sheet1!$A$2:$A$5</c:f>
              <c:strCache>
                <c:ptCount val="4"/>
                <c:pt idx="0">
                  <c:v>2024年</c:v>
                </c:pt>
                <c:pt idx="1">
                  <c:v>2025年</c:v>
                </c:pt>
              </c:strCache>
            </c:strRef>
          </c:cat>
          <c:val>
            <c:numRef>
              <c:f>Sheet1!$B$2:$B$5</c:f>
              <c:numCache>
                <c:formatCode>General</c:formatCode>
                <c:ptCount val="4"/>
                <c:pt idx="0">
                  <c:v>7538.51</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2024年</c:v>
                </c:pt>
                <c:pt idx="1">
                  <c:v>2025年</c:v>
                </c:pt>
              </c:strCache>
            </c:strRef>
          </c:cat>
          <c:val>
            <c:numRef>
              <c:f>Sheet1!$C$2:$C$5</c:f>
              <c:numCache>
                <c:formatCode>General</c:formatCode>
                <c:ptCount val="4"/>
                <c:pt idx="1">
                  <c:v>9164.24</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914272627"/>
        <c:axId val="865584393"/>
      </c:barChart>
      <c:catAx>
        <c:axId val="91427262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5584393"/>
        <c:crosses val="autoZero"/>
        <c:auto val="1"/>
        <c:lblAlgn val="ctr"/>
        <c:lblOffset val="100"/>
        <c:noMultiLvlLbl val="0"/>
      </c:catAx>
      <c:valAx>
        <c:axId val="86558439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427262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本年度收入</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一般公共预算财政拨款收入</c:v>
                </c:pt>
                <c:pt idx="1">
                  <c:v>其他收入</c:v>
                </c:pt>
              </c:strCache>
            </c:strRef>
          </c:cat>
          <c:val>
            <c:numRef>
              <c:f>Sheet1!$B$2:$B$5</c:f>
              <c:numCache>
                <c:formatCode>General</c:formatCode>
                <c:ptCount val="4"/>
                <c:pt idx="0">
                  <c:v>9164.24</c:v>
                </c:pt>
                <c:pt idx="1">
                  <c:v>0</c:v>
                </c:pt>
              </c:numCache>
            </c:numRef>
          </c:val>
        </c:ser>
        <c:ser>
          <c:idx val="1"/>
          <c:order val="1"/>
          <c:tx>
            <c:strRef>
              <c:f>Sheet1!$C$1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一般公共预算财政拨款收入</c:v>
                </c:pt>
                <c:pt idx="1">
                  <c:v>其他收入</c:v>
                </c:pt>
              </c:strCache>
            </c:strRef>
          </c:cat>
          <c:val>
            <c:numRef>
              <c:f>Sheet1!$C$2:$C$5</c:f>
              <c:numCache>
                <c:formatCode>General</c:formatCode>
                <c:ptCount val="4"/>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本年度支出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项目支出</c:v>
                </c:pt>
                <c:pt idx="1">
                  <c:v>基本支出</c:v>
                </c:pt>
              </c:strCache>
            </c:strRef>
          </c:cat>
          <c:val>
            <c:numRef>
              <c:f>Sheet1!$B$2:$B$5</c:f>
              <c:numCache>
                <c:formatCode>General</c:formatCode>
                <c:ptCount val="4"/>
                <c:pt idx="0">
                  <c:v>2452.7</c:v>
                </c:pt>
                <c:pt idx="1">
                  <c:v>6711.54</c:v>
                </c:pt>
              </c:numCache>
            </c:numRef>
          </c:val>
        </c:ser>
        <c:ser>
          <c:idx val="1"/>
          <c:order val="1"/>
          <c:tx>
            <c:strRef>
              <c:f>Sheet1!$C$1</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项目支出</c:v>
                </c:pt>
                <c:pt idx="1">
                  <c:v>基本支出</c:v>
                </c:pt>
              </c:strCache>
            </c:strRef>
          </c:cat>
          <c:val>
            <c:numRef>
              <c:f>Sheet1!$C$2:$C$5</c:f>
              <c:numCache>
                <c:formatCode>General</c:formatCode>
                <c:ptCount val="4"/>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6863483257381"/>
          <c:y val="0.267826680313886"/>
          <c:w val="0.867723400039627"/>
          <c:h val="0.42115319003753"/>
        </c:manualLayout>
      </c:layout>
      <c:barChart>
        <c:barDir val="col"/>
        <c:grouping val="stacked"/>
        <c:varyColors val="0"/>
        <c:ser>
          <c:idx val="0"/>
          <c:order val="0"/>
          <c:tx>
            <c:strRef>
              <c:f>Sheet1!$B$1</c:f>
              <c:strCache>
                <c:ptCount val="1"/>
                <c:pt idx="0">
                  <c:v>财政拨款收、支变动</c:v>
                </c:pt>
              </c:strCache>
            </c:strRef>
          </c:tx>
          <c:spPr>
            <a:solidFill>
              <a:schemeClr val="accent1"/>
            </a:solidFill>
            <a:ln w="19050">
              <a:solidFill>
                <a:schemeClr val="lt1"/>
              </a:solidFill>
            </a:ln>
            <a:effectLst/>
          </c:spPr>
          <c:invertIfNegative val="0"/>
          <c:dLbls>
            <c:delete val="1"/>
          </c:dLbls>
          <c:cat>
            <c:strRef>
              <c:f>Sheet1!$A$2:$A$5</c:f>
              <c:strCache>
                <c:ptCount val="4"/>
                <c:pt idx="0">
                  <c:v>2024年</c:v>
                </c:pt>
                <c:pt idx="1">
                  <c:v>2025年</c:v>
                </c:pt>
              </c:strCache>
            </c:strRef>
          </c:cat>
          <c:val>
            <c:numRef>
              <c:f>Sheet1!$B$2:$B$5</c:f>
              <c:numCache>
                <c:formatCode>General</c:formatCode>
                <c:ptCount val="4"/>
                <c:pt idx="0">
                  <c:v>7538.51</c:v>
                </c:pt>
              </c:numCache>
            </c:numRef>
          </c:val>
        </c:ser>
        <c:ser>
          <c:idx val="1"/>
          <c:order val="1"/>
          <c:tx>
            <c:strRef>
              <c:f>Sheet1!$C$1</c:f>
              <c:strCache>
                <c:ptCount val="1"/>
                <c:pt idx="0">
                  <c:v>列1</c:v>
                </c:pt>
              </c:strCache>
            </c:strRef>
          </c:tx>
          <c:spPr>
            <a:solidFill>
              <a:schemeClr val="accent2"/>
            </a:solidFill>
            <a:ln w="19050">
              <a:solidFill>
                <a:schemeClr val="lt1"/>
              </a:solidFill>
            </a:ln>
            <a:effectLst/>
          </c:spPr>
          <c:invertIfNegative val="0"/>
          <c:dLbls>
            <c:delete val="1"/>
          </c:dLbls>
          <c:cat>
            <c:strRef>
              <c:f>Sheet1!$A$2:$A$5</c:f>
              <c:strCache>
                <c:ptCount val="4"/>
                <c:pt idx="0">
                  <c:v>2024年</c:v>
                </c:pt>
                <c:pt idx="1">
                  <c:v>2025年</c:v>
                </c:pt>
              </c:strCache>
            </c:strRef>
          </c:cat>
          <c:val>
            <c:numRef>
              <c:f>Sheet1!$C$2:$C$5</c:f>
              <c:numCache>
                <c:formatCode>General</c:formatCode>
                <c:ptCount val="4"/>
                <c:pt idx="1">
                  <c:v>9164.24</c:v>
                </c:pt>
              </c:numCache>
            </c:numRef>
          </c:val>
        </c:ser>
        <c:dLbls>
          <c:showLegendKey val="0"/>
          <c:showVal val="0"/>
          <c:showCatName val="0"/>
          <c:showSerName val="0"/>
          <c:showPercent val="0"/>
          <c:showBubbleSize val="0"/>
        </c:dLbls>
        <c:gapWidth val="150"/>
        <c:overlap val="100"/>
        <c:axId val="226992872"/>
        <c:axId val="331202413"/>
      </c:barChart>
      <c:catAx>
        <c:axId val="226992872"/>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202413"/>
        <c:crosses val="autoZero"/>
        <c:auto val="1"/>
        <c:lblAlgn val="ctr"/>
        <c:lblOffset val="100"/>
        <c:noMultiLvlLbl val="0"/>
      </c:catAx>
      <c:valAx>
        <c:axId val="33120241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69928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a:t>
            </a:r>
          </a:p>
        </c:rich>
      </c:tx>
      <c:layout/>
      <c:overlay val="0"/>
      <c:spPr>
        <a:noFill/>
        <a:ln>
          <a:noFill/>
        </a:ln>
        <a:effectLst/>
      </c:spPr>
    </c:title>
    <c:autoTitleDeleted val="0"/>
    <c:plotArea>
      <c:layout/>
      <c:barChart>
        <c:barDir val="col"/>
        <c:grouping val="stacked"/>
        <c:varyColors val="0"/>
        <c:ser>
          <c:idx val="0"/>
          <c:order val="0"/>
          <c:tx>
            <c:strRef>
              <c:f>Sheet1!$B$1</c:f>
              <c:strCache>
                <c:ptCount val="1"/>
                <c:pt idx="0">
                  <c:v>财政拨款支出变动</c:v>
                </c:pt>
              </c:strCache>
            </c:strRef>
          </c:tx>
          <c:spPr>
            <a:solidFill>
              <a:schemeClr val="accent1"/>
            </a:solidFill>
            <a:ln>
              <a:noFill/>
            </a:ln>
            <a:effectLst/>
          </c:spPr>
          <c:invertIfNegative val="0"/>
          <c:dLbls>
            <c:delete val="1"/>
          </c:dLbls>
          <c:cat>
            <c:strRef>
              <c:f>Sheet1!$A$2:$A$5</c:f>
              <c:strCache>
                <c:ptCount val="4"/>
                <c:pt idx="0">
                  <c:v>2024年</c:v>
                </c:pt>
                <c:pt idx="1">
                  <c:v>2025年</c:v>
                </c:pt>
              </c:strCache>
            </c:strRef>
          </c:cat>
          <c:val>
            <c:numRef>
              <c:f>Sheet1!$B$2:$B$5</c:f>
              <c:numCache>
                <c:formatCode>General</c:formatCode>
                <c:ptCount val="4"/>
                <c:pt idx="0">
                  <c:v>7538.51</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2024年</c:v>
                </c:pt>
                <c:pt idx="1">
                  <c:v>2025年</c:v>
                </c:pt>
              </c:strCache>
            </c:strRef>
          </c:cat>
          <c:val>
            <c:numRef>
              <c:f>Sheet1!$C$2:$C$5</c:f>
              <c:numCache>
                <c:formatCode>General</c:formatCode>
                <c:ptCount val="4"/>
                <c:pt idx="1">
                  <c:v>9164.24</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overlap val="100"/>
        <c:axId val="191187356"/>
        <c:axId val="257552037"/>
      </c:barChart>
      <c:catAx>
        <c:axId val="1911873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7552037"/>
        <c:crosses val="autoZero"/>
        <c:auto val="1"/>
        <c:lblAlgn val="ctr"/>
        <c:lblOffset val="100"/>
        <c:noMultiLvlLbl val="0"/>
      </c:catAx>
      <c:valAx>
        <c:axId val="25755203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11873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本年度支出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社会保障和就业支出</c:v>
                </c:pt>
                <c:pt idx="1">
                  <c:v>住房保障支出</c:v>
                </c:pt>
                <c:pt idx="2">
                  <c:v>卫生健康支出</c:v>
                </c:pt>
                <c:pt idx="3">
                  <c:v>公共安全支出</c:v>
                </c:pt>
              </c:strCache>
            </c:strRef>
          </c:cat>
          <c:val>
            <c:numRef>
              <c:f>Sheet1!$B$2:$B$5</c:f>
              <c:numCache>
                <c:formatCode>General</c:formatCode>
                <c:ptCount val="4"/>
                <c:pt idx="0">
                  <c:v>716.22</c:v>
                </c:pt>
                <c:pt idx="1">
                  <c:v>387.62</c:v>
                </c:pt>
                <c:pt idx="2">
                  <c:v>296.74</c:v>
                </c:pt>
                <c:pt idx="3">
                  <c:v>7763.65</c:v>
                </c:pt>
              </c:numCache>
            </c:numRef>
          </c:val>
        </c:ser>
        <c:ser>
          <c:idx val="1"/>
          <c:order val="1"/>
          <c:tx>
            <c:strRef>
              <c:f>Sheet1!$C$1</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社会保障和就业支出</c:v>
                </c:pt>
                <c:pt idx="1">
                  <c:v>住房保障支出</c:v>
                </c:pt>
                <c:pt idx="2">
                  <c:v>卫生健康支出</c:v>
                </c:pt>
                <c:pt idx="3">
                  <c:v>公共安全支出</c:v>
                </c:pt>
              </c:strCache>
            </c:strRef>
          </c:cat>
          <c:val>
            <c:numRef>
              <c:f>Sheet1!$C$2:$C$5</c:f>
              <c:numCache>
                <c:formatCode>General</c:formatCode>
                <c:ptCount val="4"/>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本年度三公经费支出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公务用车购置及运行维护费</c:v>
                </c:pt>
                <c:pt idx="1">
                  <c:v>公务接待费</c:v>
                </c:pt>
              </c:strCache>
            </c:strRef>
          </c:cat>
          <c:val>
            <c:numRef>
              <c:f>Sheet1!$B$2:$B$5</c:f>
              <c:numCache>
                <c:formatCode>General</c:formatCode>
                <c:ptCount val="4"/>
                <c:pt idx="0">
                  <c:v>323.9</c:v>
                </c:pt>
                <c:pt idx="1">
                  <c:v>0.1</c:v>
                </c:pt>
              </c:numCache>
            </c:numRef>
          </c:val>
        </c:ser>
        <c:ser>
          <c:idx val="1"/>
          <c:order val="1"/>
          <c:tx>
            <c:strRef>
              <c:f>Sheet1!$C$1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公务用车购置及运行维护费</c:v>
                </c:pt>
                <c:pt idx="1">
                  <c:v>公务接待费</c:v>
                </c:pt>
              </c:strCache>
            </c:strRef>
          </c:cat>
          <c:val>
            <c:numRef>
              <c:f>Sheet1!$C$2:$C$5</c:f>
              <c:numCache>
                <c:formatCode>General</c:formatCode>
                <c:ptCount val="4"/>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0853242320819113"/>
          <c:y val="0.71841668641858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41</Pages>
  <Words>7298</Words>
  <Characters>8102</Characters>
  <Lines>506</Lines>
  <Paragraphs>405</Paragraphs>
  <TotalTime>0</TotalTime>
  <ScaleCrop>false</ScaleCrop>
  <LinksUpToDate>false</LinksUpToDate>
  <CharactersWithSpaces>14995</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2024-08-05T07:12:00Z</dcterms:created>
  <dc:creator>曹颖</dc:creator>
  <cp:lastModifiedBy>Administrator</cp:lastModifiedBy>
  <cp:lastPrinted>2023-08-03T10:35:00Z</cp:lastPrinted>
  <dcterms:modified xsi:type="dcterms:W3CDTF">2026-10-19T01:03:36Z</dcterms:modified>
  <dc:title>四川省***</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DF06875C5AE24BCF8F1222F794686384</vt:lpwstr>
  </property>
</Properties>
</file>