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856D1">
      <w:pPr>
        <w:spacing w:line="600" w:lineRule="exact"/>
        <w:jc w:val="center"/>
        <w:outlineLvl w:val="0"/>
        <w:rPr>
          <w:rFonts w:ascii="方正小标宋简体" w:hAnsi="宋体" w:eastAsia="方正小标宋简体"/>
          <w:color w:val="000000"/>
          <w:sz w:val="72"/>
          <w:szCs w:val="72"/>
        </w:rPr>
      </w:pPr>
      <w:bookmarkStart w:id="0" w:name="_Toc15306267"/>
    </w:p>
    <w:p w14:paraId="6FBC25D9">
      <w:pPr>
        <w:spacing w:line="600" w:lineRule="exact"/>
        <w:jc w:val="center"/>
        <w:outlineLvl w:val="0"/>
        <w:rPr>
          <w:rFonts w:ascii="方正小标宋简体" w:hAnsi="宋体" w:eastAsia="方正小标宋简体"/>
          <w:color w:val="000000"/>
          <w:sz w:val="72"/>
          <w:szCs w:val="72"/>
        </w:rPr>
      </w:pPr>
    </w:p>
    <w:p w14:paraId="68A43CE2">
      <w:pPr>
        <w:spacing w:line="600" w:lineRule="exact"/>
        <w:jc w:val="center"/>
        <w:outlineLvl w:val="0"/>
        <w:rPr>
          <w:rFonts w:ascii="方正小标宋简体" w:hAnsi="宋体" w:eastAsia="方正小标宋简体"/>
          <w:color w:val="000000"/>
          <w:sz w:val="72"/>
          <w:szCs w:val="72"/>
        </w:rPr>
      </w:pPr>
    </w:p>
    <w:p w14:paraId="3E93FA07">
      <w:pPr>
        <w:jc w:val="center"/>
        <w:rPr>
          <w:rFonts w:ascii="黑体" w:hAnsi="黑体" w:eastAsia="黑体"/>
          <w:sz w:val="72"/>
          <w:szCs w:val="72"/>
        </w:rPr>
      </w:pPr>
      <w:bookmarkStart w:id="1" w:name="_Toc15377425"/>
      <w:bookmarkStart w:id="2" w:name="_Toc15378441"/>
      <w:bookmarkStart w:id="3" w:name="_Toc15396475"/>
      <w:bookmarkStart w:id="4" w:name="_Toc15377193"/>
      <w:bookmarkStart w:id="5" w:name="_Toc15396597"/>
      <w:r>
        <w:rPr>
          <w:rFonts w:ascii="黑体" w:hAnsi="黑体" w:eastAsia="黑体"/>
          <w:sz w:val="72"/>
          <w:szCs w:val="72"/>
        </w:rPr>
        <w:t>202</w:t>
      </w:r>
      <w:r>
        <w:rPr>
          <w:rFonts w:hint="eastAsia" w:ascii="黑体" w:hAnsi="黑体" w:eastAsia="黑体"/>
          <w:sz w:val="72"/>
          <w:szCs w:val="72"/>
          <w:lang w:val="en-US" w:eastAsia="zh-CN"/>
        </w:rPr>
        <w:t>5</w:t>
      </w:r>
      <w:r>
        <w:rPr>
          <w:rFonts w:hint="eastAsia" w:ascii="黑体" w:hAnsi="黑体" w:eastAsia="黑体"/>
          <w:sz w:val="72"/>
          <w:szCs w:val="72"/>
        </w:rPr>
        <w:t>年度</w:t>
      </w:r>
      <w:bookmarkEnd w:id="1"/>
      <w:bookmarkEnd w:id="2"/>
      <w:bookmarkEnd w:id="3"/>
      <w:bookmarkEnd w:id="4"/>
      <w:bookmarkEnd w:id="5"/>
    </w:p>
    <w:p w14:paraId="698A4958">
      <w:pPr>
        <w:jc w:val="center"/>
        <w:rPr>
          <w:rFonts w:hint="eastAsia" w:ascii="方正小标宋简体" w:eastAsia="方正小标宋简体"/>
          <w:sz w:val="72"/>
          <w:szCs w:val="72"/>
          <w:lang w:eastAsia="zh-CN"/>
        </w:rPr>
      </w:pPr>
      <w:bookmarkStart w:id="6" w:name="_Toc15396476"/>
      <w:bookmarkStart w:id="7" w:name="_Toc15378442"/>
      <w:bookmarkStart w:id="8" w:name="_Toc15377426"/>
      <w:bookmarkStart w:id="9" w:name="_Toc15396598"/>
      <w:bookmarkStart w:id="10" w:name="_Toc15377194"/>
      <w:r>
        <w:rPr>
          <w:rFonts w:hint="eastAsia" w:ascii="方正小标宋简体" w:eastAsia="方正小标宋简体"/>
          <w:sz w:val="72"/>
          <w:szCs w:val="72"/>
        </w:rPr>
        <w:t>四川省阿坝州</w:t>
      </w:r>
      <w:bookmarkEnd w:id="0"/>
      <w:bookmarkStart w:id="11" w:name="_Toc15306268"/>
      <w:r>
        <w:rPr>
          <w:rFonts w:hint="eastAsia" w:ascii="方正小标宋简体" w:eastAsia="方正小标宋简体"/>
          <w:sz w:val="72"/>
          <w:szCs w:val="72"/>
          <w:lang w:eastAsia="zh-CN"/>
        </w:rPr>
        <w:t>红原县</w:t>
      </w:r>
    </w:p>
    <w:p w14:paraId="1778219D">
      <w:pPr>
        <w:jc w:val="center"/>
        <w:rPr>
          <w:rFonts w:ascii="方正小标宋简体" w:eastAsia="方正小标宋简体"/>
          <w:sz w:val="72"/>
          <w:szCs w:val="72"/>
        </w:rPr>
      </w:pPr>
      <w:r>
        <w:rPr>
          <w:rFonts w:hint="eastAsia" w:ascii="方正小标宋简体" w:eastAsia="方正小标宋简体"/>
          <w:sz w:val="72"/>
          <w:szCs w:val="72"/>
          <w:lang w:eastAsia="zh-CN"/>
        </w:rPr>
        <w:t>司法局</w:t>
      </w:r>
      <w:r>
        <w:rPr>
          <w:rFonts w:hint="eastAsia" w:ascii="方正小标宋简体" w:eastAsia="方正小标宋简体"/>
          <w:sz w:val="72"/>
          <w:szCs w:val="72"/>
        </w:rPr>
        <w:t>部门决算</w:t>
      </w:r>
      <w:bookmarkEnd w:id="6"/>
      <w:bookmarkEnd w:id="7"/>
      <w:bookmarkEnd w:id="8"/>
      <w:bookmarkEnd w:id="9"/>
      <w:bookmarkEnd w:id="10"/>
      <w:bookmarkEnd w:id="11"/>
    </w:p>
    <w:p w14:paraId="3D7AE2AD">
      <w:pPr>
        <w:jc w:val="center"/>
        <w:rPr>
          <w:rFonts w:ascii="方正小标宋简体" w:eastAsia="方正小标宋简体"/>
          <w:sz w:val="52"/>
          <w:szCs w:val="52"/>
        </w:rPr>
      </w:pPr>
    </w:p>
    <w:p w14:paraId="2E55EC16">
      <w:pPr>
        <w:widowControl/>
        <w:jc w:val="center"/>
        <w:rPr>
          <w:rFonts w:ascii="方正小标宋简体" w:hAnsi="宋体" w:eastAsia="方正小标宋简体"/>
          <w:color w:val="000000"/>
          <w:sz w:val="36"/>
          <w:szCs w:val="36"/>
        </w:rPr>
      </w:pPr>
    </w:p>
    <w:p w14:paraId="00326E8D">
      <w:pPr>
        <w:rPr>
          <w:rFonts w:ascii="方正小标宋简体" w:hAnsi="宋体" w:eastAsia="方正小标宋简体"/>
          <w:sz w:val="36"/>
          <w:szCs w:val="36"/>
        </w:rPr>
      </w:pPr>
    </w:p>
    <w:p w14:paraId="6DE47B94">
      <w:pPr>
        <w:rPr>
          <w:rFonts w:ascii="方正小标宋简体" w:hAnsi="宋体" w:eastAsia="方正小标宋简体"/>
          <w:sz w:val="36"/>
          <w:szCs w:val="36"/>
        </w:rPr>
      </w:pPr>
    </w:p>
    <w:p w14:paraId="27FED115">
      <w:pPr>
        <w:rPr>
          <w:rFonts w:ascii="方正小标宋简体" w:hAnsi="宋体" w:eastAsia="方正小标宋简体"/>
          <w:sz w:val="36"/>
          <w:szCs w:val="36"/>
        </w:rPr>
      </w:pPr>
    </w:p>
    <w:p w14:paraId="160F3B56">
      <w:pPr>
        <w:rPr>
          <w:rFonts w:ascii="方正小标宋简体" w:hAnsi="宋体" w:eastAsia="方正小标宋简体"/>
          <w:sz w:val="36"/>
          <w:szCs w:val="36"/>
        </w:rPr>
      </w:pPr>
    </w:p>
    <w:p w14:paraId="1B15600E">
      <w:pPr>
        <w:rPr>
          <w:rFonts w:ascii="方正小标宋简体" w:hAnsi="宋体" w:eastAsia="方正小标宋简体"/>
          <w:sz w:val="36"/>
          <w:szCs w:val="36"/>
        </w:rPr>
      </w:pPr>
    </w:p>
    <w:p w14:paraId="28710F7D">
      <w:pPr>
        <w:rPr>
          <w:rFonts w:ascii="方正小标宋简体" w:hAnsi="宋体" w:eastAsia="方正小标宋简体"/>
          <w:sz w:val="36"/>
          <w:szCs w:val="36"/>
        </w:rPr>
      </w:pPr>
    </w:p>
    <w:p w14:paraId="6A66FA7C">
      <w:pPr>
        <w:rPr>
          <w:rFonts w:ascii="方正小标宋简体" w:hAnsi="宋体" w:eastAsia="方正小标宋简体"/>
          <w:sz w:val="36"/>
          <w:szCs w:val="36"/>
        </w:rPr>
      </w:pPr>
    </w:p>
    <w:p w14:paraId="525F94F8">
      <w:pPr>
        <w:rPr>
          <w:rFonts w:ascii="方正小标宋简体" w:hAnsi="宋体" w:eastAsia="方正小标宋简体"/>
          <w:sz w:val="36"/>
          <w:szCs w:val="36"/>
        </w:rPr>
      </w:pPr>
    </w:p>
    <w:p w14:paraId="51CCE9EB">
      <w:pPr>
        <w:rPr>
          <w:rFonts w:ascii="方正小标宋简体" w:hAnsi="宋体" w:eastAsia="方正小标宋简体"/>
          <w:sz w:val="36"/>
          <w:szCs w:val="36"/>
        </w:rPr>
      </w:pPr>
    </w:p>
    <w:p w14:paraId="3A3878D7">
      <w:pPr>
        <w:autoSpaceDE w:val="0"/>
        <w:autoSpaceDN w:val="0"/>
        <w:adjustRightInd w:val="0"/>
        <w:ind w:left="420" w:leftChars="200"/>
        <w:jc w:val="left"/>
        <w:rPr>
          <w:rFonts w:hint="eastAsia" w:ascii="宋体" w:hAnsi="宋体" w:cs="仿宋_GB2312"/>
          <w:sz w:val="32"/>
          <w:szCs w:val="32"/>
          <w:lang w:eastAsia="zh-CN"/>
        </w:rPr>
      </w:pPr>
    </w:p>
    <w:p w14:paraId="1D2BE360">
      <w:pPr>
        <w:autoSpaceDE w:val="0"/>
        <w:autoSpaceDN w:val="0"/>
        <w:adjustRightInd w:val="0"/>
        <w:ind w:firstLine="960" w:firstLineChars="300"/>
        <w:jc w:val="both"/>
        <w:rPr>
          <w:rFonts w:ascii="方正小标宋简体" w:hAnsi="宋体" w:eastAsia="方正小标宋简体"/>
          <w:color w:val="000000"/>
          <w:sz w:val="36"/>
          <w:szCs w:val="36"/>
        </w:rPr>
      </w:pPr>
      <w:r>
        <w:rPr>
          <w:rFonts w:hint="eastAsia" w:ascii="宋体" w:hAnsi="宋体" w:cs="仿宋_GB2312"/>
          <w:sz w:val="32"/>
          <w:szCs w:val="32"/>
          <w:lang w:eastAsia="zh-CN"/>
        </w:rPr>
        <w:t>已经</w:t>
      </w:r>
      <w:r>
        <w:rPr>
          <w:rFonts w:hint="eastAsia" w:ascii="宋体" w:hAnsi="宋体" w:cs="仿宋_GB2312"/>
          <w:sz w:val="32"/>
          <w:szCs w:val="32"/>
        </w:rPr>
        <w:t>保密审查</w:t>
      </w:r>
      <w:r>
        <w:rPr>
          <w:rFonts w:hint="eastAsia" w:ascii="宋体" w:hAnsi="宋体" w:cs="仿宋_GB2312"/>
          <w:sz w:val="32"/>
          <w:szCs w:val="32"/>
          <w:lang w:eastAsia="zh-CN"/>
        </w:rPr>
        <w:t>、</w:t>
      </w:r>
      <w:r>
        <w:rPr>
          <w:rFonts w:hint="eastAsia" w:ascii="宋体" w:hAnsi="宋体" w:cs="仿宋_GB2312"/>
          <w:sz w:val="32"/>
          <w:szCs w:val="32"/>
        </w:rPr>
        <w:t>内容审定</w:t>
      </w:r>
      <w:r>
        <w:rPr>
          <w:rFonts w:hint="eastAsia" w:ascii="宋体" w:hAnsi="宋体" w:cs="仿宋_GB2312"/>
          <w:sz w:val="32"/>
          <w:szCs w:val="32"/>
          <w:lang w:eastAsia="zh-CN"/>
        </w:rPr>
        <w:t>、</w:t>
      </w:r>
      <w:r>
        <w:rPr>
          <w:rFonts w:hint="eastAsia" w:ascii="宋体" w:hAnsi="宋体" w:cs="仿宋_GB2312"/>
          <w:sz w:val="32"/>
          <w:szCs w:val="32"/>
        </w:rPr>
        <w:t>同意对外公开</w:t>
      </w:r>
    </w:p>
    <w:p w14:paraId="5BB2A31F">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2140B1B4">
      <w:pPr>
        <w:pStyle w:val="11"/>
        <w:jc w:val="center"/>
        <w:rPr>
          <w:rFonts w:hAnsiTheme="minorHAnsi"/>
          <w:b w:val="0"/>
          <w:bCs w:val="0"/>
          <w:sz w:val="24"/>
          <w:szCs w:val="24"/>
        </w:rPr>
      </w:pPr>
      <w:r>
        <w:rPr>
          <w:rFonts w:hint="eastAsia" w:hAnsiTheme="minorHAnsi"/>
          <w:b w:val="0"/>
          <w:bCs w:val="0"/>
          <w:sz w:val="24"/>
          <w:szCs w:val="24"/>
        </w:rPr>
        <w:t>公开时间：202</w:t>
      </w:r>
      <w:r>
        <w:rPr>
          <w:rFonts w:hint="eastAsia" w:eastAsia="宋体" w:hAnsiTheme="minorHAnsi"/>
          <w:b w:val="0"/>
          <w:bCs w:val="0"/>
          <w:sz w:val="24"/>
          <w:szCs w:val="24"/>
          <w:lang w:val="en-US" w:eastAsia="zh-CN"/>
        </w:rPr>
        <w:t>6</w:t>
      </w:r>
      <w:r>
        <w:rPr>
          <w:rFonts w:hint="eastAsia" w:hAnsiTheme="minorHAnsi"/>
          <w:b w:val="0"/>
          <w:bCs w:val="0"/>
          <w:sz w:val="24"/>
          <w:szCs w:val="24"/>
        </w:rPr>
        <w:t xml:space="preserve">年 </w:t>
      </w:r>
      <w:r>
        <w:rPr>
          <w:rFonts w:hint="eastAsia" w:eastAsia="宋体" w:hAnsiTheme="minorHAnsi"/>
          <w:b w:val="0"/>
          <w:bCs w:val="0"/>
          <w:sz w:val="24"/>
          <w:szCs w:val="24"/>
          <w:lang w:val="en-US" w:eastAsia="zh-CN"/>
        </w:rPr>
        <w:t>10</w:t>
      </w:r>
      <w:r>
        <w:rPr>
          <w:rFonts w:hint="eastAsia" w:hAnsiTheme="minorHAnsi"/>
          <w:b w:val="0"/>
          <w:bCs w:val="0"/>
          <w:sz w:val="24"/>
          <w:szCs w:val="24"/>
        </w:rPr>
        <w:t>月</w:t>
      </w:r>
      <w:r>
        <w:rPr>
          <w:rFonts w:hint="eastAsia" w:eastAsia="宋体" w:hAnsiTheme="minorHAnsi"/>
          <w:b w:val="0"/>
          <w:bCs w:val="0"/>
          <w:sz w:val="24"/>
          <w:szCs w:val="24"/>
          <w:lang w:val="en-US" w:eastAsia="zh-CN"/>
        </w:rPr>
        <w:t>22</w:t>
      </w:r>
      <w:r>
        <w:rPr>
          <w:rFonts w:hint="eastAsia" w:hAnsiTheme="minorHAnsi"/>
          <w:b w:val="0"/>
          <w:bCs w:val="0"/>
          <w:sz w:val="24"/>
          <w:szCs w:val="24"/>
        </w:rPr>
        <w:t>日</w:t>
      </w:r>
    </w:p>
    <w:p w14:paraId="010BC4FD">
      <w:pPr>
        <w:pStyle w:val="11"/>
        <w:tabs>
          <w:tab w:val="right" w:leader="dot" w:pos="8296"/>
        </w:tabs>
        <w:rPr>
          <w:rFonts w:hAnsiTheme="minorHAnsi" w:eastAsiaTheme="minorEastAsia" w:cstheme="minorBidi"/>
          <w:b w:val="0"/>
          <w:bCs w:val="0"/>
          <w:caps w:val="0"/>
          <w:sz w:val="21"/>
          <w:szCs w:val="22"/>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ascii="黑体" w:hAnsi="黑体" w:eastAsia="黑体"/>
          <w:b w:val="0"/>
          <w:bCs w:val="0"/>
        </w:rPr>
        <w:t>部门概况</w:t>
      </w:r>
      <w:r>
        <w:tab/>
      </w:r>
      <w:r>
        <w:fldChar w:fldCharType="begin"/>
      </w:r>
      <w:r>
        <w:instrText xml:space="preserve"> PAGEREF _Toc79163851 \h </w:instrText>
      </w:r>
      <w:r>
        <w:fldChar w:fldCharType="separate"/>
      </w:r>
      <w:r>
        <w:t>4</w:t>
      </w:r>
      <w:r>
        <w:fldChar w:fldCharType="end"/>
      </w:r>
    </w:p>
    <w:p w14:paraId="693DBA8F">
      <w:pPr>
        <w:pStyle w:val="13"/>
        <w:tabs>
          <w:tab w:val="right" w:leader="dot" w:pos="8296"/>
        </w:tabs>
        <w:rPr>
          <w:rFonts w:hAnsiTheme="minorHAnsi" w:eastAsiaTheme="minorEastAsia" w:cstheme="minorBidi"/>
          <w:smallCaps w:val="0"/>
          <w:sz w:val="21"/>
          <w:szCs w:val="22"/>
        </w:rPr>
      </w:pPr>
      <w:r>
        <w:rPr>
          <w:rFonts w:ascii="黑体" w:hAnsi="黑体" w:eastAsia="黑体"/>
          <w:color w:val="000000"/>
        </w:rPr>
        <w:t>一、基</w:t>
      </w:r>
      <w:r>
        <w:rPr>
          <w:rFonts w:ascii="黑体" w:hAnsi="黑体" w:eastAsia="黑体"/>
        </w:rPr>
        <w:t>本职能及主要工作</w:t>
      </w:r>
      <w:r>
        <w:tab/>
      </w:r>
      <w:r>
        <w:fldChar w:fldCharType="begin"/>
      </w:r>
      <w:r>
        <w:instrText xml:space="preserve"> PAGEREF _Toc79163852 \h </w:instrText>
      </w:r>
      <w:r>
        <w:fldChar w:fldCharType="separate"/>
      </w:r>
      <w:r>
        <w:t>4</w:t>
      </w:r>
      <w:r>
        <w:fldChar w:fldCharType="end"/>
      </w:r>
    </w:p>
    <w:p w14:paraId="11305BCF">
      <w:pPr>
        <w:pStyle w:val="7"/>
        <w:tabs>
          <w:tab w:val="right" w:leader="dot" w:pos="8296"/>
        </w:tabs>
        <w:rPr>
          <w:rFonts w:hint="eastAsia" w:eastAsia="宋体" w:hAnsiTheme="minorHAnsi" w:cstheme="minorBidi"/>
          <w:i w:val="0"/>
          <w:iCs w:val="0"/>
          <w:sz w:val="21"/>
          <w:szCs w:val="22"/>
          <w:lang w:eastAsia="zh-CN"/>
        </w:rPr>
      </w:pPr>
      <w:r>
        <w:rPr>
          <w:rFonts w:ascii="仿宋" w:hAnsi="仿宋" w:eastAsia="仿宋"/>
          <w:bCs/>
          <w:color w:val="000000"/>
        </w:rPr>
        <w:t>（一）主要职能。</w:t>
      </w:r>
      <w:r>
        <w:tab/>
      </w:r>
      <w:r>
        <w:rPr>
          <w:rFonts w:hint="eastAsia" w:eastAsia="宋体"/>
          <w:lang w:val="en-US" w:eastAsia="zh-CN"/>
        </w:rPr>
        <w:t>5</w:t>
      </w:r>
    </w:p>
    <w:p w14:paraId="715F5719">
      <w:pPr>
        <w:pStyle w:val="7"/>
        <w:tabs>
          <w:tab w:val="right" w:leader="dot" w:pos="8296"/>
        </w:tabs>
        <w:rPr>
          <w:rFonts w:hint="eastAsia" w:eastAsia="宋体" w:hAnsiTheme="minorHAnsi" w:cstheme="minorBidi"/>
          <w:i w:val="0"/>
          <w:iCs w:val="0"/>
          <w:sz w:val="21"/>
          <w:szCs w:val="22"/>
          <w:lang w:eastAsia="zh-CN"/>
        </w:rPr>
      </w:pPr>
      <w:r>
        <w:rPr>
          <w:rFonts w:ascii="仿宋" w:hAnsi="仿宋" w:eastAsia="仿宋"/>
          <w:bCs/>
          <w:color w:val="000000"/>
        </w:rPr>
        <w:t>（二）202</w:t>
      </w:r>
      <w:r>
        <w:rPr>
          <w:rFonts w:hint="eastAsia" w:ascii="仿宋" w:hAnsi="仿宋" w:eastAsia="仿宋"/>
          <w:bCs/>
          <w:color w:val="000000"/>
          <w:lang w:val="en-US" w:eastAsia="zh-CN"/>
        </w:rPr>
        <w:t>5</w:t>
      </w:r>
      <w:r>
        <w:rPr>
          <w:rFonts w:ascii="仿宋" w:hAnsi="仿宋" w:eastAsia="仿宋"/>
          <w:bCs/>
          <w:color w:val="000000"/>
        </w:rPr>
        <w:t>年重点工作完成情况。</w:t>
      </w:r>
      <w:r>
        <w:tab/>
      </w:r>
      <w:r>
        <w:rPr>
          <w:rFonts w:hint="eastAsia" w:eastAsia="宋体"/>
          <w:lang w:val="en-US" w:eastAsia="zh-CN"/>
        </w:rPr>
        <w:t>6</w:t>
      </w:r>
    </w:p>
    <w:p w14:paraId="71CEF2FB">
      <w:pPr>
        <w:pStyle w:val="13"/>
        <w:tabs>
          <w:tab w:val="right" w:leader="dot" w:pos="8296"/>
        </w:tabs>
        <w:rPr>
          <w:rFonts w:hint="eastAsia" w:eastAsia="宋体" w:hAnsiTheme="minorHAnsi" w:cstheme="minorBidi"/>
          <w:smallCaps w:val="0"/>
          <w:sz w:val="21"/>
          <w:szCs w:val="22"/>
          <w:lang w:val="en-US" w:eastAsia="zh-CN"/>
        </w:rPr>
      </w:pPr>
      <w:r>
        <w:rPr>
          <w:rFonts w:ascii="黑体" w:eastAsia="黑体"/>
          <w:color w:val="000000"/>
        </w:rPr>
        <w:t>二、</w:t>
      </w:r>
      <w:r>
        <w:rPr>
          <w:rFonts w:ascii="黑体" w:hAnsi="黑体" w:eastAsia="黑体"/>
          <w:color w:val="000000"/>
        </w:rPr>
        <w:t>机</w:t>
      </w:r>
      <w:r>
        <w:rPr>
          <w:rFonts w:ascii="黑体" w:hAnsi="黑体" w:eastAsia="黑体"/>
        </w:rPr>
        <w:t>构设置</w:t>
      </w:r>
      <w:r>
        <w:tab/>
      </w:r>
      <w:r>
        <w:rPr>
          <w:rFonts w:hint="eastAsia" w:eastAsia="宋体"/>
          <w:lang w:val="en-US" w:eastAsia="zh-CN"/>
        </w:rPr>
        <w:t>7</w:t>
      </w:r>
    </w:p>
    <w:p w14:paraId="02F340E6">
      <w:pPr>
        <w:pStyle w:val="11"/>
        <w:tabs>
          <w:tab w:val="right" w:leader="dot" w:pos="8296"/>
        </w:tabs>
        <w:rPr>
          <w:rFonts w:hint="eastAsia" w:eastAsia="宋体" w:hAnsiTheme="minorHAnsi" w:cstheme="minorBidi"/>
          <w:b w:val="0"/>
          <w:bCs w:val="0"/>
          <w:caps w:val="0"/>
          <w:sz w:val="21"/>
          <w:szCs w:val="22"/>
          <w:lang w:val="en-US" w:eastAsia="zh-CN"/>
        </w:rPr>
      </w:pPr>
      <w:r>
        <w:rPr>
          <w:rFonts w:ascii="黑体" w:hAnsi="黑体" w:eastAsia="黑体"/>
          <w:b w:val="0"/>
          <w:color w:val="000000"/>
        </w:rPr>
        <w:t>第二部分</w:t>
      </w:r>
      <w:r>
        <w:rPr>
          <w:rFonts w:ascii="黑体" w:hAnsi="黑体" w:eastAsia="黑体"/>
          <w:color w:val="000000"/>
        </w:rPr>
        <w:t xml:space="preserve"> </w:t>
      </w:r>
      <w:r>
        <w:rPr>
          <w:rFonts w:ascii="黑体" w:hAnsi="黑体" w:eastAsia="黑体"/>
          <w:b w:val="0"/>
          <w:bCs w:val="0"/>
        </w:rPr>
        <w:t>202</w:t>
      </w:r>
      <w:r>
        <w:rPr>
          <w:rFonts w:hint="eastAsia" w:ascii="黑体" w:hAnsi="黑体" w:eastAsia="黑体"/>
          <w:b w:val="0"/>
          <w:bCs w:val="0"/>
          <w:lang w:val="en-US" w:eastAsia="zh-CN"/>
        </w:rPr>
        <w:t>5</w:t>
      </w:r>
      <w:r>
        <w:rPr>
          <w:rFonts w:ascii="黑体" w:hAnsi="黑体" w:eastAsia="黑体"/>
          <w:b w:val="0"/>
          <w:bCs w:val="0"/>
        </w:rPr>
        <w:t>年度部门决算情况说明</w:t>
      </w:r>
      <w:r>
        <w:tab/>
      </w:r>
      <w:r>
        <w:rPr>
          <w:rFonts w:hint="eastAsia" w:eastAsia="宋体"/>
          <w:lang w:val="en-US" w:eastAsia="zh-CN"/>
        </w:rPr>
        <w:t>8</w:t>
      </w:r>
    </w:p>
    <w:p w14:paraId="591BC8DA">
      <w:pPr>
        <w:pStyle w:val="13"/>
        <w:tabs>
          <w:tab w:val="left" w:pos="840"/>
          <w:tab w:val="right" w:leader="dot" w:pos="8296"/>
        </w:tabs>
        <w:rPr>
          <w:rFonts w:hint="default" w:eastAsia="宋体" w:hAnsiTheme="minorHAnsi" w:cstheme="minorBidi"/>
          <w:smallCaps w:val="0"/>
          <w:sz w:val="21"/>
          <w:szCs w:val="22"/>
          <w:lang w:val="en-US" w:eastAsia="zh-CN"/>
        </w:rPr>
      </w:pPr>
      <w:r>
        <w:rPr>
          <w:rFonts w:ascii="黑体" w:hAnsi="黑体" w:eastAsia="黑体"/>
          <w:bCs/>
        </w:rPr>
        <w:t>一、</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入支出决算总体情况说明</w:t>
      </w:r>
      <w:r>
        <w:tab/>
      </w:r>
      <w:r>
        <w:rPr>
          <w:rFonts w:hint="eastAsia" w:eastAsia="宋体"/>
          <w:lang w:val="en-US" w:eastAsia="zh-CN"/>
        </w:rPr>
        <w:t>10</w:t>
      </w:r>
    </w:p>
    <w:p w14:paraId="6C257588">
      <w:pPr>
        <w:pStyle w:val="13"/>
        <w:tabs>
          <w:tab w:val="left" w:pos="840"/>
          <w:tab w:val="right" w:leader="dot" w:pos="8296"/>
        </w:tabs>
        <w:rPr>
          <w:rFonts w:hint="default" w:eastAsia="宋体" w:hAnsiTheme="minorHAnsi" w:cstheme="minorBidi"/>
          <w:smallCaps w:val="0"/>
          <w:sz w:val="21"/>
          <w:szCs w:val="22"/>
          <w:lang w:val="en-US" w:eastAsia="zh-CN"/>
        </w:rPr>
      </w:pPr>
      <w:r>
        <w:rPr>
          <w:rFonts w:ascii="黑体" w:hAnsi="黑体" w:eastAsia="黑体"/>
          <w:bCs/>
        </w:rPr>
        <w:t>二、</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入决算情况说明</w:t>
      </w:r>
      <w:r>
        <w:tab/>
      </w:r>
      <w:r>
        <w:rPr>
          <w:rFonts w:hint="eastAsia" w:eastAsia="宋体"/>
          <w:lang w:val="en-US" w:eastAsia="zh-CN"/>
        </w:rPr>
        <w:t>11</w:t>
      </w:r>
    </w:p>
    <w:p w14:paraId="429CBBE7">
      <w:pPr>
        <w:pStyle w:val="13"/>
        <w:tabs>
          <w:tab w:val="left" w:pos="840"/>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三、</w:t>
      </w:r>
      <w:r>
        <w:rPr>
          <w:rFonts w:hAnsiTheme="minorHAnsi" w:eastAsiaTheme="minorEastAsia" w:cstheme="minorBidi"/>
          <w:smallCaps w:val="0"/>
          <w:sz w:val="21"/>
          <w:szCs w:val="22"/>
        </w:rPr>
        <w:tab/>
      </w:r>
      <w:r>
        <w:rPr>
          <w:rFonts w:ascii="黑体" w:hAnsi="黑体" w:eastAsia="黑体"/>
          <w:color w:val="000000"/>
        </w:rPr>
        <w:t>支</w:t>
      </w:r>
      <w:r>
        <w:rPr>
          <w:rFonts w:ascii="黑体" w:hAnsi="黑体" w:eastAsia="黑体"/>
          <w:bCs/>
        </w:rPr>
        <w:t>出决算情况说明</w:t>
      </w:r>
      <w:r>
        <w:tab/>
      </w:r>
      <w:r>
        <w:rPr>
          <w:rFonts w:hint="eastAsia"/>
          <w:lang w:val="en-US" w:eastAsia="zh-CN"/>
        </w:rPr>
        <w:t>12</w:t>
      </w:r>
    </w:p>
    <w:p w14:paraId="1D9BABD7">
      <w:pPr>
        <w:pStyle w:val="13"/>
        <w:tabs>
          <w:tab w:val="right" w:leader="dot" w:pos="8296"/>
        </w:tabs>
        <w:rPr>
          <w:rFonts w:hint="default" w:eastAsia="宋体" w:hAnsiTheme="minorHAnsi" w:cstheme="minorBidi"/>
          <w:smallCaps w:val="0"/>
          <w:sz w:val="21"/>
          <w:szCs w:val="22"/>
          <w:lang w:val="en-US" w:eastAsia="zh-CN"/>
        </w:rPr>
      </w:pPr>
      <w:r>
        <w:rPr>
          <w:rFonts w:ascii="黑体" w:hAnsi="黑体" w:eastAsia="黑体"/>
          <w:color w:val="000000"/>
        </w:rPr>
        <w:t>四、财</w:t>
      </w:r>
      <w:r>
        <w:rPr>
          <w:rFonts w:ascii="黑体" w:hAnsi="黑体" w:eastAsia="黑体"/>
          <w:bCs/>
        </w:rPr>
        <w:t>政拨款收入支出决算总体情况说明</w:t>
      </w:r>
      <w:r>
        <w:tab/>
      </w:r>
      <w:r>
        <w:rPr>
          <w:rFonts w:hint="eastAsia" w:eastAsia="宋体"/>
          <w:lang w:val="en-US" w:eastAsia="zh-CN"/>
        </w:rPr>
        <w:t>12</w:t>
      </w:r>
    </w:p>
    <w:p w14:paraId="31E0EDFA">
      <w:pPr>
        <w:pStyle w:val="13"/>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rPr>
          <w:rFonts w:hint="eastAsia"/>
          <w:lang w:val="en-US" w:eastAsia="zh-CN"/>
        </w:rPr>
        <w:t>12</w:t>
      </w:r>
    </w:p>
    <w:p w14:paraId="1DF8C654">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（一）一般公共预算财政拨款支出决算总体情况</w:t>
      </w:r>
      <w:r>
        <w:tab/>
      </w:r>
      <w:r>
        <w:rPr>
          <w:rFonts w:hint="eastAsia"/>
          <w:lang w:val="en-US" w:eastAsia="zh-CN"/>
        </w:rPr>
        <w:t>12</w:t>
      </w:r>
    </w:p>
    <w:p w14:paraId="5B7B9701">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（二）一般公共预算财政拨款支出决算结构情况</w:t>
      </w:r>
      <w:r>
        <w:tab/>
      </w:r>
      <w:r>
        <w:rPr>
          <w:rFonts w:hint="eastAsia"/>
          <w:lang w:val="en-US" w:eastAsia="zh-CN"/>
        </w:rPr>
        <w:t>13</w:t>
      </w:r>
    </w:p>
    <w:p w14:paraId="1D77B84A">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（三）一般公共预算财政拨款支出决算具体情况</w:t>
      </w:r>
      <w:r>
        <w:tab/>
      </w:r>
      <w:r>
        <w:rPr>
          <w:rFonts w:hint="eastAsia"/>
          <w:lang w:val="en-US" w:eastAsia="zh-CN"/>
        </w:rPr>
        <w:t>14</w:t>
      </w:r>
    </w:p>
    <w:p w14:paraId="022CBBD5">
      <w:pPr>
        <w:pStyle w:val="13"/>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rPr>
          <w:rFonts w:hint="eastAsia"/>
          <w:lang w:val="en-US" w:eastAsia="zh-CN"/>
        </w:rPr>
        <w:t>15</w:t>
      </w:r>
    </w:p>
    <w:p w14:paraId="200792BC">
      <w:pPr>
        <w:pStyle w:val="13"/>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七、</w:t>
      </w:r>
      <w:r>
        <w:rPr>
          <w:rFonts w:ascii="黑体" w:hAnsi="黑体" w:eastAsia="黑体"/>
          <w:b/>
          <w:bCs/>
        </w:rPr>
        <w:t>“</w:t>
      </w:r>
      <w:r>
        <w:rPr>
          <w:rFonts w:ascii="黑体" w:hAnsi="黑体" w:eastAsia="黑体"/>
          <w:bCs/>
        </w:rPr>
        <w:t>三公”经费财政拨款支出决算情况说明</w:t>
      </w:r>
      <w:r>
        <w:tab/>
      </w:r>
      <w:r>
        <w:rPr>
          <w:rFonts w:hint="eastAsia"/>
          <w:lang w:val="en-US" w:eastAsia="zh-CN"/>
        </w:rPr>
        <w:t>16</w:t>
      </w:r>
    </w:p>
    <w:p w14:paraId="68BCB4DD">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（一）“三公”经费财政拨款支出决算总体情况说明</w:t>
      </w:r>
      <w:r>
        <w:tab/>
      </w:r>
      <w:r>
        <w:rPr>
          <w:rFonts w:hint="eastAsia"/>
          <w:lang w:val="en-US" w:eastAsia="zh-CN"/>
        </w:rPr>
        <w:t>17</w:t>
      </w:r>
    </w:p>
    <w:p w14:paraId="516DC747">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（二）“三公”经费财政拨款支出决算具体情况说明</w:t>
      </w:r>
      <w:r>
        <w:tab/>
      </w:r>
      <w:r>
        <w:rPr>
          <w:rFonts w:hint="eastAsia"/>
          <w:lang w:val="en-US" w:eastAsia="zh-CN"/>
        </w:rPr>
        <w:t>17</w:t>
      </w:r>
    </w:p>
    <w:p w14:paraId="452F41C2">
      <w:pPr>
        <w:pStyle w:val="13"/>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八、</w:t>
      </w:r>
      <w:r>
        <w:rPr>
          <w:rFonts w:ascii="黑体" w:hAnsi="黑体" w:eastAsia="黑体"/>
          <w:bCs/>
        </w:rPr>
        <w:t>政府性基金预算支出决算情况说明</w:t>
      </w:r>
      <w:r>
        <w:tab/>
      </w:r>
      <w:r>
        <w:rPr>
          <w:rFonts w:hint="eastAsia"/>
          <w:lang w:val="en-US" w:eastAsia="zh-CN"/>
        </w:rPr>
        <w:t>18</w:t>
      </w:r>
    </w:p>
    <w:p w14:paraId="76BF9174">
      <w:pPr>
        <w:pStyle w:val="13"/>
        <w:tabs>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九、 国有资本经营预算支出决算情况说明</w:t>
      </w:r>
      <w:r>
        <w:tab/>
      </w:r>
      <w:r>
        <w:rPr>
          <w:rFonts w:hint="eastAsia"/>
          <w:lang w:val="en-US" w:eastAsia="zh-CN"/>
        </w:rPr>
        <w:t>18</w:t>
      </w:r>
    </w:p>
    <w:p w14:paraId="01B2CA18">
      <w:pPr>
        <w:pStyle w:val="13"/>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rPr>
          <w:rFonts w:hint="eastAsia"/>
          <w:lang w:val="en-US" w:eastAsia="zh-CN"/>
        </w:rPr>
        <w:t>18</w:t>
      </w:r>
    </w:p>
    <w:p w14:paraId="65E3CF1A">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（一）机关运行经费支出情况</w:t>
      </w:r>
      <w:r>
        <w:tab/>
      </w:r>
      <w:r>
        <w:rPr>
          <w:rFonts w:hint="eastAsia"/>
          <w:lang w:val="en-US" w:eastAsia="zh-CN"/>
        </w:rPr>
        <w:t>19</w:t>
      </w:r>
    </w:p>
    <w:p w14:paraId="6B4E6FAA">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（二）政府采购支出情况</w:t>
      </w:r>
      <w:r>
        <w:tab/>
      </w:r>
      <w:r>
        <w:rPr>
          <w:rFonts w:hint="eastAsia"/>
          <w:lang w:val="en-US" w:eastAsia="zh-CN"/>
        </w:rPr>
        <w:t>19</w:t>
      </w:r>
    </w:p>
    <w:p w14:paraId="0EBB4619">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（三）国有资产占有使用情况</w:t>
      </w:r>
      <w:r>
        <w:tab/>
      </w:r>
      <w:r>
        <w:rPr>
          <w:rFonts w:hint="eastAsia"/>
          <w:lang w:val="en-US" w:eastAsia="zh-CN"/>
        </w:rPr>
        <w:t>19</w:t>
      </w:r>
    </w:p>
    <w:p w14:paraId="301182D3">
      <w:pPr>
        <w:pStyle w:val="7"/>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（四）预算绩效管理情况。</w:t>
      </w:r>
      <w:r>
        <w:tab/>
      </w:r>
      <w:r>
        <w:rPr>
          <w:rFonts w:hint="eastAsia"/>
          <w:lang w:val="en-US" w:eastAsia="zh-CN"/>
        </w:rPr>
        <w:t>20</w:t>
      </w:r>
    </w:p>
    <w:p w14:paraId="1280FDB0">
      <w:pPr>
        <w:pStyle w:val="11"/>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rPr>
          <w:rFonts w:hint="eastAsia"/>
          <w:lang w:val="en-US" w:eastAsia="zh-CN"/>
        </w:rPr>
        <w:t>25</w:t>
      </w:r>
    </w:p>
    <w:p w14:paraId="2636EE1A">
      <w:pPr>
        <w:pStyle w:val="11"/>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四部分 附件</w:t>
      </w:r>
      <w:r>
        <w:tab/>
      </w:r>
      <w:r>
        <w:rPr>
          <w:rFonts w:hint="eastAsia"/>
          <w:lang w:val="en-US" w:eastAsia="zh-CN"/>
        </w:rPr>
        <w:t>28</w:t>
      </w:r>
    </w:p>
    <w:p w14:paraId="515ABD53">
      <w:pPr>
        <w:pStyle w:val="11"/>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s="黑体"/>
        </w:rPr>
        <w:t>附件1</w:t>
      </w:r>
      <w:r>
        <w:tab/>
      </w:r>
      <w:r>
        <w:rPr>
          <w:rFonts w:hint="eastAsia"/>
          <w:lang w:val="en-US" w:eastAsia="zh-CN"/>
        </w:rPr>
        <w:t>28</w:t>
      </w:r>
    </w:p>
    <w:p w14:paraId="5573335E">
      <w:pPr>
        <w:pStyle w:val="11"/>
        <w:tabs>
          <w:tab w:val="right" w:leader="dot" w:pos="8296"/>
        </w:tabs>
        <w:rPr>
          <w:rFonts w:hint="default" w:hAnsiTheme="minorHAnsi" w:eastAsiaTheme="minorHAnsi" w:cstheme="minorBidi"/>
          <w:b w:val="0"/>
          <w:bCs w:val="0"/>
          <w:caps w:val="0"/>
          <w:sz w:val="21"/>
          <w:szCs w:val="22"/>
          <w:lang w:val="en-US" w:eastAsia="zh-CN"/>
        </w:rPr>
      </w:pPr>
      <w:r>
        <w:rPr>
          <w:rFonts w:hint="eastAsia" w:ascii="方正小标宋简体" w:hAnsi="黑体" w:eastAsia="方正小标宋简体" w:cs="黑体"/>
          <w:lang w:eastAsia="zh-CN"/>
        </w:rPr>
        <w:t>司法局</w:t>
      </w:r>
      <w:r>
        <w:rPr>
          <w:rFonts w:ascii="方正小标宋简体" w:hAnsi="黑体" w:eastAsia="方正小标宋简体" w:cs="黑体"/>
        </w:rPr>
        <w:t>部门202</w:t>
      </w:r>
      <w:r>
        <w:rPr>
          <w:rFonts w:hint="eastAsia" w:ascii="方正小标宋简体" w:hAnsi="黑体" w:eastAsia="方正小标宋简体" w:cs="黑体"/>
          <w:lang w:val="en-US" w:eastAsia="zh-CN"/>
        </w:rPr>
        <w:t>5</w:t>
      </w:r>
      <w:r>
        <w:rPr>
          <w:rFonts w:ascii="方正小标宋简体" w:hAnsi="黑体" w:eastAsia="方正小标宋简体" w:cs="黑体"/>
        </w:rPr>
        <w:t>年部门整体支出绩效评价报告</w:t>
      </w:r>
      <w:r>
        <w:tab/>
      </w:r>
      <w:r>
        <w:rPr>
          <w:rFonts w:hint="eastAsia"/>
          <w:lang w:val="en-US" w:eastAsia="zh-CN"/>
        </w:rPr>
        <w:t>28</w:t>
      </w:r>
    </w:p>
    <w:p w14:paraId="57D2A855">
      <w:pPr>
        <w:pStyle w:val="11"/>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s="黑体"/>
        </w:rPr>
        <w:t>附件2</w:t>
      </w:r>
      <w:r>
        <w:tab/>
      </w:r>
      <w:r>
        <w:rPr>
          <w:rFonts w:hint="eastAsia"/>
          <w:lang w:val="en-US" w:eastAsia="zh-CN"/>
        </w:rPr>
        <w:t>35</w:t>
      </w:r>
    </w:p>
    <w:p w14:paraId="427B0AFD">
      <w:pPr>
        <w:pStyle w:val="11"/>
        <w:tabs>
          <w:tab w:val="right" w:leader="dot" w:pos="8296"/>
        </w:tabs>
        <w:rPr>
          <w:rFonts w:hint="default" w:hAnsiTheme="minorHAnsi" w:eastAsiaTheme="minorHAnsi" w:cstheme="minorBidi"/>
          <w:b w:val="0"/>
          <w:bCs w:val="0"/>
          <w:caps w:val="0"/>
          <w:sz w:val="21"/>
          <w:szCs w:val="22"/>
          <w:lang w:val="en-US" w:eastAsia="zh-CN"/>
        </w:rPr>
      </w:pPr>
      <w:r>
        <w:rPr>
          <w:rFonts w:hint="eastAsia" w:ascii="方正小标宋简体" w:hAnsi="黑体" w:eastAsia="方正小标宋简体" w:cs="黑体"/>
          <w:lang w:eastAsia="zh-CN"/>
        </w:rPr>
        <w:t>普法宣传</w:t>
      </w:r>
      <w:r>
        <w:rPr>
          <w:rFonts w:ascii="方正小标宋简体" w:hAnsi="黑体" w:eastAsia="方正小标宋简体" w:cs="黑体"/>
        </w:rPr>
        <w:t>项目202</w:t>
      </w:r>
      <w:r>
        <w:rPr>
          <w:rFonts w:hint="eastAsia" w:ascii="方正小标宋简体" w:hAnsi="黑体" w:eastAsia="方正小标宋简体" w:cs="黑体"/>
          <w:lang w:val="en-US" w:eastAsia="zh-CN"/>
        </w:rPr>
        <w:t>5</w:t>
      </w:r>
      <w:r>
        <w:rPr>
          <w:rFonts w:ascii="方正小标宋简体" w:hAnsi="黑体" w:eastAsia="方正小标宋简体" w:cs="黑体"/>
        </w:rPr>
        <w:t>年绩效评价报告</w:t>
      </w:r>
      <w:r>
        <w:tab/>
      </w:r>
      <w:r>
        <w:rPr>
          <w:rFonts w:hint="eastAsia"/>
          <w:lang w:val="en-US" w:eastAsia="zh-CN"/>
        </w:rPr>
        <w:t>35</w:t>
      </w:r>
    </w:p>
    <w:p w14:paraId="23639BA1">
      <w:pPr>
        <w:pStyle w:val="11"/>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37</w:t>
      </w:r>
    </w:p>
    <w:p w14:paraId="322ED7C3">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color w:val="000000"/>
        </w:rPr>
        <w:t>一、收</w:t>
      </w:r>
      <w:r>
        <w:rPr>
          <w:rFonts w:ascii="仿宋" w:hAnsi="仿宋" w:eastAsia="仿宋"/>
        </w:rPr>
        <w:t>入支出决算总表</w:t>
      </w:r>
      <w:r>
        <w:tab/>
      </w:r>
      <w:r>
        <w:rPr>
          <w:rFonts w:hint="eastAsia"/>
          <w:lang w:val="en-US" w:eastAsia="zh-CN"/>
        </w:rPr>
        <w:t>37</w:t>
      </w:r>
    </w:p>
    <w:p w14:paraId="2B7926DE">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color w:val="000000"/>
        </w:rPr>
        <w:t>二、收</w:t>
      </w:r>
      <w:r>
        <w:rPr>
          <w:rFonts w:ascii="仿宋" w:hAnsi="仿宋" w:eastAsia="仿宋"/>
        </w:rPr>
        <w:t>入决算表</w:t>
      </w:r>
      <w:r>
        <w:tab/>
      </w:r>
      <w:r>
        <w:rPr>
          <w:rFonts w:hint="eastAsia"/>
          <w:lang w:val="en-US" w:eastAsia="zh-CN"/>
        </w:rPr>
        <w:t>37</w:t>
      </w:r>
    </w:p>
    <w:p w14:paraId="42E831C1">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三、</w:t>
      </w:r>
      <w:r>
        <w:rPr>
          <w:rFonts w:ascii="仿宋" w:hAnsi="仿宋" w:eastAsia="仿宋"/>
          <w:color w:val="000000"/>
        </w:rPr>
        <w:t>支</w:t>
      </w:r>
      <w:r>
        <w:rPr>
          <w:rFonts w:ascii="仿宋" w:hAnsi="仿宋" w:eastAsia="仿宋"/>
        </w:rPr>
        <w:t>出决算表</w:t>
      </w:r>
      <w:r>
        <w:tab/>
      </w:r>
      <w:r>
        <w:rPr>
          <w:rFonts w:hint="eastAsia"/>
          <w:lang w:val="en-US" w:eastAsia="zh-CN"/>
        </w:rPr>
        <w:t>37</w:t>
      </w:r>
    </w:p>
    <w:p w14:paraId="67378C7D">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rPr>
          <w:rFonts w:hint="eastAsia"/>
          <w:lang w:val="en-US" w:eastAsia="zh-CN"/>
        </w:rPr>
        <w:t>37</w:t>
      </w:r>
    </w:p>
    <w:p w14:paraId="401A6588">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39</w:t>
      </w:r>
    </w:p>
    <w:p w14:paraId="7A7D5D7C">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rPr>
          <w:rFonts w:hint="eastAsia"/>
          <w:lang w:val="en-US" w:eastAsia="zh-CN"/>
        </w:rPr>
        <w:t>39</w:t>
      </w:r>
    </w:p>
    <w:p w14:paraId="5B1A8F47">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rPr>
          <w:rFonts w:hint="eastAsia"/>
          <w:lang w:val="en-US" w:eastAsia="zh-CN"/>
        </w:rPr>
        <w:t>39</w:t>
      </w:r>
    </w:p>
    <w:p w14:paraId="4C338910">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rPr>
          <w:rFonts w:hint="eastAsia"/>
          <w:lang w:val="en-US" w:eastAsia="zh-CN"/>
        </w:rPr>
        <w:t>39</w:t>
      </w:r>
    </w:p>
    <w:p w14:paraId="0B214DE2">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rPr>
          <w:rFonts w:hint="eastAsia"/>
          <w:lang w:val="en-US" w:eastAsia="zh-CN"/>
        </w:rPr>
        <w:t>39</w:t>
      </w:r>
    </w:p>
    <w:p w14:paraId="51C7FF9A">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十、</w:t>
      </w:r>
      <w:r>
        <w:rPr>
          <w:rFonts w:ascii="仿宋" w:hAnsi="仿宋" w:eastAsia="仿宋"/>
          <w:color w:val="000000"/>
        </w:rPr>
        <w:t>政</w:t>
      </w:r>
      <w:r>
        <w:rPr>
          <w:rFonts w:ascii="仿宋" w:hAnsi="仿宋" w:eastAsia="仿宋"/>
        </w:rPr>
        <w:t>府性基金预算财政拨款收入支出决算表</w:t>
      </w:r>
      <w:r>
        <w:tab/>
      </w:r>
      <w:r>
        <w:rPr>
          <w:rFonts w:hint="eastAsia"/>
          <w:lang w:val="en-US" w:eastAsia="zh-CN"/>
        </w:rPr>
        <w:t>39</w:t>
      </w:r>
    </w:p>
    <w:p w14:paraId="764407FB">
      <w:pPr>
        <w:pStyle w:val="13"/>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十</w:t>
      </w:r>
      <w:r>
        <w:rPr>
          <w:rFonts w:hint="eastAsia" w:ascii="仿宋" w:hAnsi="仿宋" w:eastAsia="仿宋"/>
          <w:lang w:eastAsia="zh-CN"/>
        </w:rPr>
        <w:t>一</w:t>
      </w:r>
      <w:r>
        <w:rPr>
          <w:rFonts w:ascii="仿宋" w:hAnsi="仿宋" w:eastAsia="仿宋"/>
        </w:rPr>
        <w:t>、</w:t>
      </w:r>
      <w:r>
        <w:rPr>
          <w:rFonts w:ascii="仿宋" w:hAnsi="仿宋" w:eastAsia="仿宋"/>
          <w:color w:val="000000"/>
        </w:rPr>
        <w:t>国</w:t>
      </w:r>
      <w:r>
        <w:rPr>
          <w:rFonts w:ascii="仿宋" w:hAnsi="仿宋" w:eastAsia="仿宋"/>
        </w:rPr>
        <w:t>有资本经营预算财政拨款</w:t>
      </w:r>
      <w:r>
        <w:rPr>
          <w:rFonts w:hint="eastAsia" w:ascii="仿宋" w:hAnsi="仿宋" w:eastAsia="仿宋"/>
          <w:lang w:eastAsia="zh-CN"/>
        </w:rPr>
        <w:t>收入</w:t>
      </w:r>
      <w:r>
        <w:rPr>
          <w:rFonts w:ascii="仿宋" w:hAnsi="仿宋" w:eastAsia="仿宋"/>
        </w:rPr>
        <w:t>支出决算表</w:t>
      </w:r>
      <w:r>
        <w:tab/>
      </w:r>
      <w:r>
        <w:rPr>
          <w:rFonts w:hint="eastAsia"/>
          <w:lang w:val="en-US" w:eastAsia="zh-CN"/>
        </w:rPr>
        <w:t>39</w:t>
      </w:r>
    </w:p>
    <w:p w14:paraId="5E692F0B">
      <w:pPr>
        <w:pStyle w:val="13"/>
        <w:tabs>
          <w:tab w:val="right" w:leader="dot" w:pos="8296"/>
        </w:tabs>
        <w:rPr>
          <w:rFonts w:hint="default"/>
          <w:lang w:val="en-US" w:eastAsia="zh-CN"/>
        </w:rPr>
      </w:pPr>
      <w:r>
        <w:rPr>
          <w:rFonts w:ascii="仿宋" w:hAnsi="仿宋" w:eastAsia="仿宋"/>
        </w:rPr>
        <w:t>十</w:t>
      </w:r>
      <w:r>
        <w:rPr>
          <w:rFonts w:hint="eastAsia" w:ascii="仿宋" w:hAnsi="仿宋" w:eastAsia="仿宋"/>
          <w:lang w:eastAsia="zh-CN"/>
        </w:rPr>
        <w:t>二</w:t>
      </w:r>
      <w:r>
        <w:rPr>
          <w:rFonts w:ascii="仿宋" w:hAnsi="仿宋" w:eastAsia="仿宋"/>
        </w:rPr>
        <w:t>、国有资本经营预算财政拨款支出决算表</w:t>
      </w:r>
      <w:r>
        <w:tab/>
      </w:r>
      <w:r>
        <w:rPr>
          <w:rFonts w:hint="eastAsia"/>
          <w:lang w:val="en-US" w:eastAsia="zh-CN"/>
        </w:rPr>
        <w:t>39</w:t>
      </w:r>
    </w:p>
    <w:p w14:paraId="43BBCEEE">
      <w:pPr>
        <w:ind w:firstLine="210" w:firstLineChars="100"/>
        <w:rPr>
          <w:rFonts w:hint="default"/>
          <w:lang w:val="en-US" w:eastAsia="zh-CN"/>
        </w:rPr>
      </w:pPr>
      <w:r>
        <w:rPr>
          <w:rFonts w:ascii="仿宋" w:hAnsi="仿宋" w:eastAsia="仿宋"/>
        </w:rPr>
        <w:t>十</w:t>
      </w:r>
      <w:r>
        <w:rPr>
          <w:rFonts w:hint="eastAsia" w:ascii="仿宋" w:hAnsi="仿宋" w:eastAsia="仿宋"/>
          <w:lang w:eastAsia="zh-CN"/>
        </w:rPr>
        <w:t>三</w:t>
      </w:r>
      <w:r>
        <w:rPr>
          <w:rFonts w:ascii="仿宋" w:hAnsi="仿宋" w:eastAsia="仿宋"/>
        </w:rPr>
        <w:t>、财政拨款“三公”经费支出决算表</w:t>
      </w:r>
      <w:r>
        <w:rPr>
          <w:rFonts w:hint="eastAsia" w:eastAsia="仿宋"/>
          <w:lang w:val="en-US" w:eastAsia="zh-CN"/>
        </w:rPr>
        <w:t>...............................................................................</w:t>
      </w:r>
      <w:r>
        <w:rPr>
          <w:rFonts w:hint="eastAsia"/>
          <w:lang w:val="en-US" w:eastAsia="zh-CN"/>
        </w:rPr>
        <w:t>39</w:t>
      </w:r>
    </w:p>
    <w:p w14:paraId="761E4603">
      <w:r>
        <w:rPr>
          <w:rFonts w:asciiTheme="minorHAnsi" w:eastAsiaTheme="minorHAnsi"/>
          <w:b/>
          <w:bCs/>
          <w:caps/>
          <w:sz w:val="20"/>
          <w:szCs w:val="20"/>
        </w:rPr>
        <w:fldChar w:fldCharType="end"/>
      </w:r>
    </w:p>
    <w:p w14:paraId="0A946226">
      <w:pPr>
        <w:widowControl/>
        <w:adjustRightInd w:val="0"/>
        <w:snapToGrid w:val="0"/>
        <w:spacing w:line="440" w:lineRule="exact"/>
        <w:ind w:firstLine="1320" w:firstLineChars="550"/>
        <w:jc w:val="left"/>
        <w:rPr>
          <w:rFonts w:ascii="仿宋" w:hAnsi="仿宋" w:eastAsia="仿宋"/>
          <w:color w:val="FF0000"/>
          <w:sz w:val="24"/>
        </w:rPr>
      </w:pPr>
      <w:r>
        <w:rPr>
          <w:rFonts w:ascii="仿宋" w:hAnsi="仿宋" w:eastAsia="仿宋"/>
          <w:color w:val="FF0000"/>
          <w:sz w:val="24"/>
        </w:rPr>
        <w:t>(</w:t>
      </w:r>
      <w:r>
        <w:rPr>
          <w:rFonts w:hint="eastAsia" w:ascii="仿宋" w:hAnsi="仿宋" w:eastAsia="仿宋"/>
          <w:color w:val="FF0000"/>
          <w:sz w:val="24"/>
        </w:rPr>
        <w:t>注：请部门根据实际注明页码</w:t>
      </w:r>
      <w:r>
        <w:rPr>
          <w:rFonts w:ascii="仿宋" w:hAnsi="仿宋" w:eastAsia="仿宋"/>
          <w:color w:val="FF0000"/>
          <w:sz w:val="24"/>
        </w:rPr>
        <w:t>)</w:t>
      </w:r>
    </w:p>
    <w:p w14:paraId="1F95B4CC">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bookmarkEnd w:id="12"/>
    <w:bookmarkEnd w:id="13"/>
    <w:p w14:paraId="318A94E4">
      <w:pPr>
        <w:pStyle w:val="2"/>
        <w:jc w:val="center"/>
        <w:rPr>
          <w:rStyle w:val="19"/>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19"/>
          <w:rFonts w:hint="eastAsia" w:ascii="黑体" w:hAnsi="黑体" w:eastAsia="黑体"/>
          <w:b w:val="0"/>
          <w:bCs w:val="0"/>
        </w:rPr>
        <w:t>部门概况</w:t>
      </w:r>
    </w:p>
    <w:p w14:paraId="382D5907">
      <w:pPr>
        <w:widowControl/>
        <w:jc w:val="left"/>
        <w:rPr>
          <w:rFonts w:ascii="黑体" w:eastAsia="黑体"/>
          <w:color w:val="000000"/>
          <w:sz w:val="32"/>
          <w:szCs w:val="32"/>
        </w:rPr>
      </w:pPr>
    </w:p>
    <w:p w14:paraId="7B7192C7">
      <w:pPr>
        <w:pStyle w:val="3"/>
        <w:rPr>
          <w:rStyle w:val="20"/>
          <w:rFonts w:ascii="仿宋" w:hAnsi="仿宋" w:eastAsia="仿宋"/>
          <w:b w:val="0"/>
          <w:bCs w:val="0"/>
        </w:rPr>
      </w:pPr>
      <w:bookmarkStart w:id="14" w:name="_Toc14286"/>
      <w:bookmarkStart w:id="15" w:name="_Toc15377197"/>
      <w:bookmarkStart w:id="16" w:name="_Toc20167"/>
      <w:bookmarkStart w:id="17" w:name="_Toc79163852"/>
      <w:bookmarkStart w:id="18" w:name="_Toc15396600"/>
      <w:bookmarkStart w:id="19" w:name="_Toc79163602"/>
      <w:r>
        <w:rPr>
          <w:rFonts w:hint="eastAsia" w:ascii="黑体" w:hAnsi="黑体" w:eastAsia="黑体"/>
          <w:b w:val="0"/>
          <w:color w:val="000000"/>
        </w:rPr>
        <w:t>一、基</w:t>
      </w:r>
      <w:r>
        <w:rPr>
          <w:rStyle w:val="20"/>
          <w:rFonts w:hint="eastAsia" w:ascii="黑体" w:hAnsi="黑体" w:eastAsia="黑体"/>
          <w:b w:val="0"/>
          <w:bCs w:val="0"/>
        </w:rPr>
        <w:t>本职能及主要工作</w:t>
      </w:r>
      <w:bookmarkEnd w:id="14"/>
      <w:bookmarkEnd w:id="15"/>
      <w:bookmarkEnd w:id="16"/>
      <w:bookmarkEnd w:id="17"/>
      <w:bookmarkEnd w:id="18"/>
      <w:bookmarkEnd w:id="19"/>
    </w:p>
    <w:p w14:paraId="28A6B66C">
      <w:pPr>
        <w:pStyle w:val="4"/>
        <w:adjustRightInd w:val="0"/>
        <w:snapToGrid w:val="0"/>
        <w:spacing w:before="93" w:line="600" w:lineRule="exact"/>
        <w:ind w:firstLine="672" w:firstLineChars="210"/>
        <w:outlineLvl w:val="2"/>
        <w:rPr>
          <w:rFonts w:hint="eastAsia" w:ascii="仿宋" w:hAnsi="仿宋" w:eastAsia="仿宋"/>
          <w:bCs/>
          <w:color w:val="000000"/>
          <w:sz w:val="32"/>
          <w:szCs w:val="32"/>
        </w:rPr>
      </w:pPr>
      <w:bookmarkStart w:id="20" w:name="_Toc79163853"/>
      <w:bookmarkStart w:id="21" w:name="_Toc16416"/>
      <w:bookmarkStart w:id="22" w:name="_Toc16222"/>
      <w:bookmarkStart w:id="23" w:name="_Toc79163603"/>
      <w:bookmarkStart w:id="24" w:name="_Toc15378445"/>
      <w:bookmarkStart w:id="25" w:name="_Toc15377198"/>
      <w:r>
        <w:rPr>
          <w:rFonts w:hint="eastAsia" w:ascii="仿宋" w:hAnsi="仿宋" w:eastAsia="仿宋"/>
          <w:bCs/>
          <w:color w:val="000000"/>
          <w:sz w:val="32"/>
          <w:szCs w:val="32"/>
        </w:rPr>
        <w:t>（一）主要职能。</w:t>
      </w:r>
      <w:bookmarkEnd w:id="20"/>
      <w:bookmarkEnd w:id="21"/>
      <w:bookmarkEnd w:id="22"/>
      <w:bookmarkEnd w:id="23"/>
    </w:p>
    <w:p w14:paraId="03B99F58">
      <w:pPr>
        <w:pStyle w:val="4"/>
        <w:adjustRightInd w:val="0"/>
        <w:snapToGrid w:val="0"/>
        <w:spacing w:line="560" w:lineRule="exact"/>
        <w:ind w:firstLine="640" w:firstLineChars="200"/>
        <w:rPr>
          <w:rFonts w:hint="eastAsia" w:hAnsi="仿宋_GB2312" w:cs="仿宋_GB2312"/>
          <w:bCs/>
          <w:color w:val="auto"/>
          <w:sz w:val="32"/>
          <w:szCs w:val="32"/>
        </w:rPr>
      </w:pPr>
      <w:r>
        <w:rPr>
          <w:rFonts w:hint="eastAsia" w:hAnsi="仿宋_GB2312" w:cs="仿宋_GB2312"/>
          <w:bCs/>
          <w:color w:val="auto"/>
          <w:sz w:val="32"/>
          <w:szCs w:val="32"/>
          <w:lang w:val="en-US" w:eastAsia="zh-CN"/>
        </w:rPr>
        <w:t>1、</w:t>
      </w:r>
      <w:r>
        <w:rPr>
          <w:rFonts w:hint="eastAsia" w:hAnsi="仿宋_GB2312" w:cs="仿宋_GB2312"/>
          <w:bCs/>
          <w:color w:val="auto"/>
          <w:sz w:val="32"/>
          <w:szCs w:val="32"/>
        </w:rPr>
        <w:t>贯彻执行国家、省、州、县关于司法行政工作的方针、政策和法律、法规及规章，制订司法行政规范性文件和工作发展规划、工作计划并组织实施。</w:t>
      </w:r>
    </w:p>
    <w:p w14:paraId="4BDC7287">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2、</w:t>
      </w:r>
      <w:r>
        <w:rPr>
          <w:rFonts w:hint="eastAsia" w:hAnsi="仿宋_GB2312" w:cs="仿宋_GB2312"/>
          <w:bCs/>
          <w:color w:val="auto"/>
          <w:sz w:val="32"/>
          <w:szCs w:val="32"/>
          <w:lang w:eastAsia="zh-CN"/>
        </w:rPr>
        <w:t>按照县委全面依法治县委员会要求，贯彻落实依法治县决策部署。</w:t>
      </w:r>
    </w:p>
    <w:p w14:paraId="5233A618">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3、</w:t>
      </w:r>
      <w:r>
        <w:rPr>
          <w:rFonts w:hint="eastAsia" w:hAnsi="仿宋_GB2312" w:cs="仿宋_GB2312"/>
          <w:bCs/>
          <w:color w:val="auto"/>
          <w:sz w:val="32"/>
          <w:szCs w:val="32"/>
          <w:lang w:eastAsia="zh-CN"/>
        </w:rPr>
        <w:t>负责县政府规范性文件、重大行政决策发布前的合法性审查。</w:t>
      </w:r>
    </w:p>
    <w:p w14:paraId="291BEF67">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4、</w:t>
      </w:r>
      <w:r>
        <w:rPr>
          <w:rFonts w:hint="eastAsia" w:hAnsi="仿宋_GB2312" w:cs="仿宋_GB2312"/>
          <w:bCs/>
          <w:color w:val="auto"/>
          <w:sz w:val="32"/>
          <w:szCs w:val="32"/>
          <w:lang w:eastAsia="zh-CN"/>
        </w:rPr>
        <w:t>承担统筹推进法治政府建设的责任。</w:t>
      </w:r>
    </w:p>
    <w:p w14:paraId="1C2E6DC1">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5、</w:t>
      </w:r>
      <w:r>
        <w:rPr>
          <w:rFonts w:hint="eastAsia" w:hAnsi="仿宋_GB2312" w:cs="仿宋_GB2312"/>
          <w:bCs/>
          <w:color w:val="auto"/>
          <w:sz w:val="32"/>
          <w:szCs w:val="32"/>
          <w:lang w:eastAsia="zh-CN"/>
        </w:rPr>
        <w:t>负责拟定法制宣传教育计划，组织实施普法宣传工作，指导全县各行业的法治宣传和依法治理工作。</w:t>
      </w:r>
    </w:p>
    <w:p w14:paraId="6FFF8EF4">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6、</w:t>
      </w:r>
      <w:r>
        <w:rPr>
          <w:rFonts w:hint="eastAsia" w:hAnsi="仿宋_GB2312" w:cs="仿宋_GB2312"/>
          <w:bCs/>
          <w:color w:val="auto"/>
          <w:sz w:val="32"/>
          <w:szCs w:val="32"/>
          <w:lang w:eastAsia="zh-CN"/>
        </w:rPr>
        <w:t>负责拟定全县公共法律服务体系建设规划并指导实施。</w:t>
      </w:r>
    </w:p>
    <w:p w14:paraId="14ABFFF8">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7、</w:t>
      </w:r>
      <w:r>
        <w:rPr>
          <w:rFonts w:hint="eastAsia" w:hAnsi="仿宋_GB2312" w:cs="仿宋_GB2312"/>
          <w:bCs/>
          <w:color w:val="auto"/>
          <w:sz w:val="32"/>
          <w:szCs w:val="32"/>
          <w:lang w:eastAsia="zh-CN"/>
        </w:rPr>
        <w:t>指导、监督基层司法所建设和人民调解、基层法律服务管理工作。</w:t>
      </w:r>
    </w:p>
    <w:p w14:paraId="2D84CF84">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8、</w:t>
      </w:r>
      <w:r>
        <w:rPr>
          <w:rFonts w:hint="eastAsia" w:hAnsi="仿宋_GB2312" w:cs="仿宋_GB2312"/>
          <w:bCs/>
          <w:color w:val="auto"/>
          <w:sz w:val="32"/>
          <w:szCs w:val="32"/>
          <w:lang w:eastAsia="zh-CN"/>
        </w:rPr>
        <w:t>指导管理社区矫正工作，指导刑满释放人员帮教安置工作。</w:t>
      </w:r>
    </w:p>
    <w:p w14:paraId="7C32A2D0">
      <w:pPr>
        <w:pStyle w:val="4"/>
        <w:adjustRightInd w:val="0"/>
        <w:snapToGrid w:val="0"/>
        <w:spacing w:line="560" w:lineRule="exact"/>
        <w:ind w:firstLine="640" w:firstLineChars="200"/>
        <w:rPr>
          <w:rFonts w:hint="eastAsia" w:hAnsi="仿宋_GB2312" w:cs="仿宋_GB2312"/>
          <w:bCs/>
          <w:color w:val="auto"/>
          <w:sz w:val="32"/>
          <w:szCs w:val="32"/>
          <w:lang w:eastAsia="zh-CN"/>
        </w:rPr>
      </w:pPr>
      <w:r>
        <w:rPr>
          <w:rFonts w:hint="eastAsia" w:hAnsi="仿宋_GB2312" w:cs="仿宋_GB2312"/>
          <w:bCs/>
          <w:color w:val="auto"/>
          <w:sz w:val="32"/>
          <w:szCs w:val="32"/>
          <w:lang w:val="en-US" w:eastAsia="zh-CN"/>
        </w:rPr>
        <w:t>9、</w:t>
      </w:r>
      <w:r>
        <w:rPr>
          <w:rFonts w:hint="eastAsia" w:hAnsi="仿宋_GB2312" w:cs="仿宋_GB2312"/>
          <w:bCs/>
          <w:color w:val="auto"/>
          <w:sz w:val="32"/>
          <w:szCs w:val="32"/>
          <w:lang w:eastAsia="zh-CN"/>
        </w:rPr>
        <w:t>协助上级主管部门开展国家司法考试、司法鉴定工作。</w:t>
      </w:r>
    </w:p>
    <w:p w14:paraId="0BD39CFE">
      <w:pPr>
        <w:pStyle w:val="4"/>
        <w:adjustRightInd w:val="0"/>
        <w:snapToGrid w:val="0"/>
        <w:spacing w:line="560" w:lineRule="exact"/>
        <w:ind w:firstLine="640" w:firstLineChars="200"/>
        <w:rPr>
          <w:rFonts w:hint="eastAsia" w:hAnsi="仿宋_GB2312" w:cs="仿宋_GB2312"/>
          <w:bCs/>
          <w:color w:val="auto"/>
          <w:sz w:val="32"/>
          <w:szCs w:val="32"/>
        </w:rPr>
      </w:pPr>
      <w:r>
        <w:rPr>
          <w:rFonts w:hint="eastAsia" w:hAnsi="仿宋_GB2312" w:cs="仿宋_GB2312"/>
          <w:bCs/>
          <w:color w:val="auto"/>
          <w:sz w:val="32"/>
          <w:szCs w:val="32"/>
          <w:lang w:val="en-US" w:eastAsia="zh-CN"/>
        </w:rPr>
        <w:t>10、</w:t>
      </w:r>
      <w:r>
        <w:rPr>
          <w:rFonts w:hint="eastAsia" w:hAnsi="仿宋_GB2312" w:cs="仿宋_GB2312"/>
          <w:bCs/>
          <w:color w:val="auto"/>
          <w:sz w:val="32"/>
          <w:szCs w:val="32"/>
        </w:rPr>
        <w:t>指导管理全县司法行政系统的计划、财务、车辆、服装等物资装备工作。</w:t>
      </w:r>
    </w:p>
    <w:p w14:paraId="2B0F7A9F">
      <w:pPr>
        <w:pStyle w:val="4"/>
        <w:adjustRightInd w:val="0"/>
        <w:snapToGrid w:val="0"/>
        <w:spacing w:line="560" w:lineRule="exact"/>
        <w:ind w:firstLine="640" w:firstLineChars="200"/>
        <w:rPr>
          <w:rFonts w:hint="eastAsia" w:hAnsi="仿宋_GB2312" w:cs="仿宋_GB2312"/>
          <w:bCs/>
          <w:color w:val="auto"/>
          <w:sz w:val="32"/>
          <w:szCs w:val="32"/>
        </w:rPr>
      </w:pPr>
      <w:r>
        <w:rPr>
          <w:rFonts w:hint="eastAsia" w:hAnsi="仿宋_GB2312" w:cs="仿宋_GB2312"/>
          <w:bCs/>
          <w:color w:val="auto"/>
          <w:sz w:val="32"/>
          <w:szCs w:val="32"/>
          <w:lang w:val="en-US" w:eastAsia="zh-CN"/>
        </w:rPr>
        <w:t>11、</w:t>
      </w:r>
      <w:r>
        <w:rPr>
          <w:rFonts w:hint="eastAsia" w:hAnsi="仿宋_GB2312" w:cs="仿宋_GB2312"/>
          <w:bCs/>
          <w:color w:val="auto"/>
          <w:sz w:val="32"/>
          <w:szCs w:val="32"/>
        </w:rPr>
        <w:t>指导、监督全县司法行政系统队伍建设和思想政治工作，负责本系统人事警务和干警培训工作。</w:t>
      </w:r>
    </w:p>
    <w:p w14:paraId="4A29212D">
      <w:pPr>
        <w:spacing w:line="560" w:lineRule="exact"/>
        <w:ind w:firstLine="640" w:firstLineChars="200"/>
        <w:jc w:val="left"/>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12、</w:t>
      </w:r>
      <w:r>
        <w:rPr>
          <w:rFonts w:hint="eastAsia" w:ascii="仿宋_GB2312" w:hAnsi="仿宋_GB2312" w:eastAsia="仿宋_GB2312" w:cs="仿宋_GB2312"/>
          <w:bCs/>
          <w:color w:val="auto"/>
          <w:sz w:val="32"/>
          <w:szCs w:val="32"/>
          <w:lang w:eastAsia="zh-CN"/>
        </w:rPr>
        <w:t>完成县委、县政府交办的其他任务。</w:t>
      </w:r>
    </w:p>
    <w:bookmarkEnd w:id="24"/>
    <w:bookmarkEnd w:id="25"/>
    <w:p w14:paraId="329A871A">
      <w:pPr>
        <w:pStyle w:val="4"/>
        <w:adjustRightInd w:val="0"/>
        <w:snapToGrid w:val="0"/>
        <w:spacing w:before="93" w:line="600" w:lineRule="exact"/>
        <w:ind w:firstLine="320" w:firstLineChars="100"/>
        <w:outlineLvl w:val="2"/>
        <w:rPr>
          <w:rFonts w:hint="eastAsia" w:ascii="仿宋" w:hAnsi="仿宋" w:eastAsia="仿宋"/>
          <w:bCs/>
          <w:color w:val="000000"/>
          <w:sz w:val="32"/>
          <w:szCs w:val="32"/>
        </w:rPr>
      </w:pPr>
      <w:bookmarkStart w:id="26" w:name="_Toc29668"/>
      <w:bookmarkStart w:id="27" w:name="_Toc79163854"/>
      <w:bookmarkStart w:id="28" w:name="_Toc79163604"/>
      <w:bookmarkStart w:id="29" w:name="_Toc15377199"/>
      <w:bookmarkStart w:id="30" w:name="_Toc15378446"/>
      <w:bookmarkStart w:id="31" w:name="_Toc3647"/>
      <w:r>
        <w:rPr>
          <w:rFonts w:hint="eastAsia" w:ascii="仿宋" w:hAnsi="仿宋" w:eastAsia="仿宋"/>
          <w:bCs/>
          <w:color w:val="000000"/>
          <w:sz w:val="32"/>
          <w:szCs w:val="32"/>
        </w:rPr>
        <w:t>（二）</w:t>
      </w:r>
      <w:r>
        <w:rPr>
          <w:rFonts w:ascii="仿宋" w:hAnsi="仿宋" w:eastAsia="仿宋"/>
          <w:bCs/>
          <w:color w:val="000000"/>
          <w:sz w:val="32"/>
          <w:szCs w:val="32"/>
        </w:rPr>
        <w:t>202</w:t>
      </w:r>
      <w:r>
        <w:rPr>
          <w:rFonts w:hint="eastAsia" w:ascii="仿宋" w:hAnsi="仿宋" w:eastAsia="仿宋"/>
          <w:bCs/>
          <w:color w:val="000000"/>
          <w:sz w:val="32"/>
          <w:szCs w:val="32"/>
          <w:lang w:val="en-US" w:eastAsia="zh-CN"/>
        </w:rPr>
        <w:t>5</w:t>
      </w:r>
      <w:r>
        <w:rPr>
          <w:rFonts w:hint="eastAsia" w:ascii="仿宋" w:hAnsi="仿宋" w:eastAsia="仿宋"/>
          <w:bCs/>
          <w:color w:val="000000"/>
          <w:sz w:val="32"/>
          <w:szCs w:val="32"/>
        </w:rPr>
        <w:t>年重点工作完成情况。</w:t>
      </w:r>
      <w:bookmarkEnd w:id="26"/>
      <w:bookmarkEnd w:id="27"/>
      <w:bookmarkEnd w:id="28"/>
      <w:bookmarkEnd w:id="29"/>
      <w:bookmarkEnd w:id="30"/>
      <w:bookmarkEnd w:id="31"/>
    </w:p>
    <w:p w14:paraId="2187CB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lang w:val="en-US" w:eastAsia="zh-CN"/>
        </w:rPr>
        <w:t>（一）强化政治引领，筑牢党建根基</w:t>
      </w:r>
      <w:r>
        <w:rPr>
          <w:rFonts w:hint="default" w:ascii="Times New Roman" w:hAnsi="Times New Roman" w:eastAsia="楷体" w:cs="Times New Roman"/>
          <w:b/>
          <w:bCs/>
          <w:sz w:val="32"/>
          <w:szCs w:val="32"/>
          <w:lang w:eastAsia="zh-CN"/>
        </w:rPr>
        <w:t>。</w:t>
      </w:r>
      <w:r>
        <w:rPr>
          <w:rFonts w:hint="default" w:ascii="Times New Roman" w:hAnsi="Times New Roman" w:eastAsia="仿宋_GB2312" w:cs="Times New Roman"/>
          <w:sz w:val="32"/>
          <w:szCs w:val="32"/>
        </w:rPr>
        <w:t>始终将党的政治建设置于首位，严格落实“第一议题”制度，结合政治轮训、“三会一课”、党纪学习教育等载体，深入学习习近平总书记重要讲话、重要指示批示精神及中央八项规定精神等内容。全年累计开展各类学习活动20场，实现党员干部学习全覆盖；结合工作实际开</w:t>
      </w:r>
      <w:r>
        <w:rPr>
          <w:rFonts w:hint="default" w:ascii="Times New Roman" w:hAnsi="Times New Roman" w:eastAsia="仿宋_GB2312" w:cs="Times New Roman"/>
          <w:spacing w:val="-6"/>
          <w:sz w:val="32"/>
          <w:szCs w:val="32"/>
        </w:rPr>
        <w:t>展研讨6次，推动“两个确立”“两个维护”融入血脉、铸入灵魂。</w:t>
      </w:r>
    </w:p>
    <w:p w14:paraId="3D4566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楷体" w:cs="Times New Roman"/>
          <w:b/>
          <w:bCs/>
          <w:sz w:val="32"/>
          <w:szCs w:val="32"/>
        </w:rPr>
        <w:t>（二）聚焦法治政府，提升治理效能</w:t>
      </w:r>
      <w:r>
        <w:rPr>
          <w:rFonts w:hint="default" w:ascii="Times New Roman" w:hAnsi="Times New Roman" w:eastAsia="楷体" w:cs="Times New Roman"/>
          <w:b/>
          <w:bCs/>
          <w:sz w:val="32"/>
          <w:szCs w:val="32"/>
          <w:lang w:eastAsia="zh-CN"/>
        </w:rPr>
        <w:t>。</w:t>
      </w:r>
      <w:r>
        <w:rPr>
          <w:rFonts w:hint="default" w:ascii="Times New Roman" w:hAnsi="Times New Roman" w:eastAsia="仿宋" w:cs="Times New Roman"/>
          <w:b w:val="0"/>
          <w:bCs w:val="0"/>
          <w:sz w:val="32"/>
          <w:szCs w:val="32"/>
          <w:lang w:eastAsia="zh-CN"/>
        </w:rPr>
        <w:t>一是</w:t>
      </w:r>
      <w:r>
        <w:rPr>
          <w:rFonts w:hint="eastAsia" w:ascii="Times New Roman" w:hAnsi="Times New Roman" w:eastAsia="仿宋" w:cs="Times New Roman"/>
          <w:b w:val="0"/>
          <w:bCs w:val="0"/>
          <w:sz w:val="32"/>
          <w:szCs w:val="32"/>
          <w:lang w:val="en-US" w:eastAsia="zh-CN"/>
        </w:rPr>
        <w:t>全</w:t>
      </w:r>
      <w:r>
        <w:rPr>
          <w:rFonts w:hint="default" w:ascii="Times New Roman" w:hAnsi="Times New Roman" w:eastAsia="仿宋" w:cs="Times New Roman"/>
          <w:b w:val="0"/>
          <w:bCs w:val="0"/>
          <w:sz w:val="32"/>
          <w:szCs w:val="32"/>
          <w:lang w:val="en-US" w:eastAsia="zh-CN"/>
        </w:rPr>
        <w:t>面依法治县深入推进。召开深化依法治县工作会议，健全法治建设推进机制，制定并下发年度工作要点，明确责任分工，通过定期督导检查确保各项任务落地见效。二是执法能力持续提升。组织2025年行政执法资格考试，603名人员参与且覆盖各执法领域，实现“应考尽考”；举办行政执法暨行政复议与应诉业务等培训班，累计培训345人次，有效提升执法队伍专业素养。三是合法性审查持续加强。完成全县各类文件、合同协议等合法性审查59件，提出修改意见75条，强化备案审查工作。四是行政复议渠道畅通高效。依法办理行政复议案件8件，其中维持1件、不予受理2件、驳回复议请求1件、调解和解撤回3件、正在办理1件，充分发挥行政复议化解行政争议主渠道作用。五是执法监督不断深化。开展重点执法领域监督及“三项制度”落实检查，评查2024年以来63件涉企、涉旅案卷，评出优秀34件、良好12件、合格2件，对15件存在瑕疵或档案不规范案卷督促限期整改；聚焦突出执法问题深化专项整治，</w:t>
      </w:r>
      <w:r>
        <w:rPr>
          <w:rFonts w:hint="default" w:ascii="Times New Roman" w:hAnsi="Times New Roman" w:eastAsia="方正仿宋_GBK" w:cs="Times New Roman"/>
          <w:b w:val="0"/>
          <w:bCs w:val="0"/>
          <w:sz w:val="32"/>
          <w:szCs w:val="32"/>
          <w:lang w:val="en-US" w:eastAsia="zh-CN"/>
        </w:rPr>
        <w:t>举办2期行政执法人员能力提升专题培训班，有效提升行政执法队伍法治素养和规范化执法水平。</w:t>
      </w:r>
    </w:p>
    <w:p w14:paraId="238BD8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楷体" w:cs="Times New Roman"/>
          <w:b/>
          <w:bCs/>
          <w:sz w:val="32"/>
          <w:szCs w:val="32"/>
        </w:rPr>
        <w:t>（三）夯实基层基础，维护社会稳定</w:t>
      </w:r>
      <w:r>
        <w:rPr>
          <w:rFonts w:hint="default" w:ascii="Times New Roman" w:hAnsi="Times New Roman" w:eastAsia="楷体" w:cs="Times New Roman"/>
          <w:b/>
          <w:bCs/>
          <w:sz w:val="32"/>
          <w:szCs w:val="32"/>
          <w:lang w:eastAsia="zh-CN"/>
        </w:rPr>
        <w:t>。</w:t>
      </w:r>
      <w:r>
        <w:rPr>
          <w:rFonts w:hint="default" w:ascii="Times New Roman" w:hAnsi="Times New Roman" w:eastAsia="仿宋" w:cs="Times New Roman"/>
          <w:b w:val="0"/>
          <w:bCs w:val="0"/>
          <w:sz w:val="32"/>
          <w:szCs w:val="32"/>
          <w:lang w:val="en-US" w:eastAsia="zh-CN"/>
        </w:rPr>
        <w:t>一是矛盾纠纷化解成效显著。践行新时代“枫桥经验”，推动排查化解常态化，全年排查矛盾纠纷600余次，排查出536件且全部调解成功，调处率达100%，实现矛盾化解在基层。二是社区矫正管理规范有序。严格落实“周报到、月学习、季评估”制度，全年接收社区矫正对象9人、解矫13人，现有在矫16人（含因病死亡1人）；开展调查评估3件，为司法判决提供有力参考。三是安置帮教工作扎实推进。通过实地走访、电话微信核查等方式，确保223名安置帮教对象（重点帮教24人、一般帮教199人）不脱管漏管；今年衔接安置帮教对象43人，通过分类管理、定期走访预防重新违法犯罪。</w:t>
      </w:r>
    </w:p>
    <w:p w14:paraId="711F60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bCs/>
          <w:color w:val="000000"/>
          <w:sz w:val="32"/>
          <w:szCs w:val="32"/>
        </w:rPr>
      </w:pPr>
      <w:r>
        <w:rPr>
          <w:rFonts w:hint="default" w:ascii="Times New Roman" w:hAnsi="Times New Roman" w:eastAsia="楷体" w:cs="Times New Roman"/>
          <w:b/>
          <w:bCs/>
          <w:sz w:val="32"/>
          <w:szCs w:val="32"/>
        </w:rPr>
        <w:t>（四）深化</w:t>
      </w:r>
      <w:r>
        <w:rPr>
          <w:rFonts w:hint="default" w:ascii="Times New Roman" w:hAnsi="Times New Roman" w:eastAsia="楷体" w:cs="Times New Roman"/>
          <w:b/>
          <w:bCs/>
          <w:sz w:val="32"/>
          <w:szCs w:val="32"/>
          <w:lang w:val="en-US" w:eastAsia="zh-CN"/>
        </w:rPr>
        <w:t>宣传教育</w:t>
      </w:r>
      <w:r>
        <w:rPr>
          <w:rFonts w:hint="default" w:ascii="Times New Roman" w:hAnsi="Times New Roman" w:eastAsia="楷体" w:cs="Times New Roman"/>
          <w:b/>
          <w:bCs/>
          <w:sz w:val="32"/>
          <w:szCs w:val="32"/>
        </w:rPr>
        <w:t>，营造法治氛围</w:t>
      </w:r>
      <w:r>
        <w:rPr>
          <w:rFonts w:hint="default" w:ascii="Times New Roman" w:hAnsi="Times New Roman" w:eastAsia="楷体" w:cs="Times New Roman"/>
          <w:b/>
          <w:bCs/>
          <w:sz w:val="32"/>
          <w:szCs w:val="32"/>
          <w:lang w:eastAsia="zh-CN"/>
        </w:rPr>
        <w:t>。</w:t>
      </w:r>
      <w:r>
        <w:rPr>
          <w:rFonts w:hint="default" w:ascii="Times New Roman" w:hAnsi="Times New Roman" w:eastAsia="仿宋" w:cs="Times New Roman"/>
          <w:b w:val="0"/>
          <w:bCs w:val="0"/>
          <w:sz w:val="32"/>
          <w:szCs w:val="32"/>
          <w:lang w:val="en-US" w:eastAsia="zh-CN"/>
        </w:rPr>
        <w:t>一是普法宣传形式多元。依托“法律七进”“法律护航青春”等载体，组织“法律明白人”、姐妹宣讲团、马背普法队等力量，通过课堂教学、帐篷宣讲等形式，深入乡村、学校等场所开展普法；聚焦季节性、领域性法律需求及“3·15”等重要节点，举办大型普法活动11场，全年累计宣讲90余场次，发放资料1.2万余份；借助“法治红原”微信公众号推送法律知识与典型案例。二是基层法治力量强化。开展“法律明白人”及基层骨干培训10场次，覆盖400人，实现10个乡镇、35个村（社区）全覆盖，提升基层法治实践能力。三是公共法律服务提质增效。实现法律顾问全覆盖，累计服务群众625人次、代拟法律文书56件；办理法律援助案件36件，接待法律咨询367次（含妇女儿童等特殊群体125人次），代拟法律文书34件，群众满意度和案件质量合格率均达100%。</w:t>
      </w:r>
    </w:p>
    <w:p w14:paraId="245FF64E">
      <w:pPr>
        <w:pStyle w:val="3"/>
        <w:numPr>
          <w:ilvl w:val="0"/>
          <w:numId w:val="1"/>
        </w:numPr>
        <w:rPr>
          <w:rFonts w:hint="eastAsia" w:ascii="仿宋_GB2312" w:hAnsi="仿宋_GB2312" w:eastAsia="仿宋_GB2312" w:cs="仿宋_GB2312"/>
          <w:b w:val="0"/>
          <w:bCs/>
          <w:color w:val="auto"/>
          <w:kern w:val="2"/>
          <w:sz w:val="32"/>
          <w:szCs w:val="32"/>
          <w:lang w:val="en-US" w:eastAsia="zh-CN" w:bidi="ar-SA"/>
        </w:rPr>
      </w:pPr>
      <w:bookmarkStart w:id="32" w:name="_Toc79163855"/>
      <w:bookmarkStart w:id="33" w:name="_Toc79163605"/>
      <w:bookmarkStart w:id="34" w:name="_Toc5471"/>
      <w:bookmarkStart w:id="35" w:name="_Toc15377200"/>
      <w:bookmarkStart w:id="36" w:name="_Toc15396601"/>
      <w:bookmarkStart w:id="37" w:name="_Toc17"/>
      <w:r>
        <w:rPr>
          <w:rFonts w:hint="eastAsia" w:ascii="黑体" w:hAnsi="黑体" w:eastAsia="黑体"/>
          <w:b w:val="0"/>
          <w:color w:val="000000"/>
        </w:rPr>
        <w:t>机</w:t>
      </w:r>
      <w:r>
        <w:rPr>
          <w:rStyle w:val="20"/>
          <w:rFonts w:hint="eastAsia" w:ascii="黑体" w:hAnsi="黑体" w:eastAsia="黑体"/>
          <w:b w:val="0"/>
          <w:bCs w:val="0"/>
        </w:rPr>
        <w:t>构设置</w:t>
      </w:r>
      <w:bookmarkEnd w:id="32"/>
      <w:bookmarkEnd w:id="33"/>
      <w:bookmarkEnd w:id="34"/>
      <w:bookmarkEnd w:id="35"/>
      <w:bookmarkEnd w:id="36"/>
      <w:bookmarkEnd w:id="37"/>
    </w:p>
    <w:p w14:paraId="53D571DD">
      <w:pPr>
        <w:pStyle w:val="3"/>
        <w:numPr>
          <w:ilvl w:val="0"/>
          <w:numId w:val="0"/>
        </w:numPr>
        <w:ind w:firstLine="640" w:firstLineChars="200"/>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我单位为独立核算全额拨款行政单位，下设9个机构：办公室、法制股、基层工作股、法治宣传教育股、装备财务保障股、公共法律服务管理股、政工室、社区矫正执法大队、行政复议与应诉股。</w:t>
      </w:r>
    </w:p>
    <w:p w14:paraId="34565008">
      <w:pPr>
        <w:pStyle w:val="3"/>
        <w:numPr>
          <w:ilvl w:val="0"/>
          <w:numId w:val="0"/>
        </w:numPr>
        <w:ind w:firstLine="640" w:firstLineChars="200"/>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截止2025年底我单位共有编制35个，其中公务员编制28个，行政工勤编制2个，事业编制5个，在职35人，其中参公0人，公务员28人，事业5人,行政工勤2人。</w:t>
      </w:r>
    </w:p>
    <w:p w14:paraId="50F042AE">
      <w:pPr>
        <w:ind w:firstLine="640" w:firstLineChars="200"/>
        <w:rPr>
          <w:rFonts w:hint="eastAsia" w:ascii="仿宋" w:hAnsi="仿宋" w:eastAsia="仿宋"/>
          <w:sz w:val="32"/>
          <w:szCs w:val="32"/>
        </w:rPr>
      </w:pPr>
      <w:r>
        <w:rPr>
          <w:rFonts w:hint="eastAsia" w:ascii="仿宋" w:hAnsi="仿宋" w:eastAsia="仿宋"/>
          <w:sz w:val="32"/>
          <w:szCs w:val="32"/>
          <w:lang w:eastAsia="zh-CN"/>
        </w:rPr>
        <w:t>红原县司法局</w:t>
      </w:r>
      <w:r>
        <w:rPr>
          <w:rFonts w:hint="eastAsia" w:ascii="仿宋" w:hAnsi="仿宋" w:eastAsia="仿宋"/>
          <w:sz w:val="32"/>
          <w:szCs w:val="32"/>
        </w:rPr>
        <w:t>下属二级单位</w:t>
      </w:r>
      <w:r>
        <w:rPr>
          <w:rFonts w:hint="eastAsia" w:ascii="仿宋" w:hAnsi="仿宋" w:eastAsia="仿宋"/>
          <w:sz w:val="32"/>
          <w:szCs w:val="32"/>
          <w:lang w:val="en-US" w:eastAsia="zh-CN"/>
        </w:rPr>
        <w:t>1</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p>
    <w:p w14:paraId="1B70B94D">
      <w:pPr>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rPr>
        <w:t>纳入</w:t>
      </w:r>
      <w:r>
        <w:rPr>
          <w:rFonts w:hint="eastAsia" w:ascii="仿宋" w:hAnsi="仿宋" w:eastAsia="仿宋"/>
          <w:color w:val="000000"/>
          <w:sz w:val="32"/>
          <w:szCs w:val="32"/>
          <w:lang w:eastAsia="zh-CN"/>
        </w:rPr>
        <w:t>我局</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年度部门决算编制范围的二级预算单位包括：</w:t>
      </w:r>
      <w:r>
        <w:rPr>
          <w:rFonts w:hint="eastAsia" w:ascii="仿宋" w:hAnsi="仿宋" w:eastAsia="仿宋"/>
          <w:color w:val="000000"/>
          <w:sz w:val="32"/>
          <w:szCs w:val="32"/>
          <w:lang w:eastAsia="zh-CN"/>
        </w:rPr>
        <w:t>红原县法律援助中心。</w:t>
      </w:r>
    </w:p>
    <w:p w14:paraId="6AA2D8CA">
      <w:pPr>
        <w:pStyle w:val="2"/>
        <w:ind w:right="440"/>
        <w:jc w:val="center"/>
      </w:pPr>
      <w:bookmarkStart w:id="38" w:name="_Toc15377204"/>
      <w:bookmarkStart w:id="39" w:name="_Toc15396602"/>
      <w:bookmarkStart w:id="40" w:name="_Toc15863"/>
      <w:bookmarkStart w:id="41" w:name="_Toc8637"/>
      <w:bookmarkStart w:id="42" w:name="_Toc79163859"/>
      <w:bookmarkStart w:id="43" w:name="_Toc79163609"/>
      <w:r>
        <w:rPr>
          <w:rFonts w:hint="eastAsia" w:ascii="黑体" w:hAnsi="黑体" w:eastAsia="黑体"/>
          <w:b w:val="0"/>
          <w:color w:val="000000"/>
        </w:rPr>
        <w:t>第二部分</w:t>
      </w:r>
      <w:r>
        <w:rPr>
          <w:rFonts w:ascii="黑体" w:hAnsi="黑体" w:eastAsia="黑体"/>
          <w:color w:val="000000"/>
        </w:rPr>
        <w:t xml:space="preserve"> </w:t>
      </w:r>
      <w:r>
        <w:rPr>
          <w:rStyle w:val="19"/>
          <w:rFonts w:ascii="黑体" w:hAnsi="黑体" w:eastAsia="黑体"/>
          <w:b w:val="0"/>
          <w:bCs w:val="0"/>
        </w:rPr>
        <w:t>202</w:t>
      </w:r>
      <w:r>
        <w:rPr>
          <w:rStyle w:val="19"/>
          <w:rFonts w:hint="eastAsia" w:ascii="黑体" w:hAnsi="黑体" w:eastAsia="黑体"/>
          <w:b w:val="0"/>
          <w:bCs w:val="0"/>
          <w:lang w:val="en-US" w:eastAsia="zh-CN"/>
        </w:rPr>
        <w:t>5</w:t>
      </w:r>
      <w:r>
        <w:rPr>
          <w:rStyle w:val="19"/>
          <w:rFonts w:hint="eastAsia" w:ascii="黑体" w:hAnsi="黑体" w:eastAsia="黑体"/>
          <w:b w:val="0"/>
          <w:bCs w:val="0"/>
        </w:rPr>
        <w:t>年度部门决算情况说明</w:t>
      </w:r>
      <w:bookmarkEnd w:id="38"/>
      <w:bookmarkEnd w:id="39"/>
      <w:bookmarkEnd w:id="40"/>
      <w:bookmarkEnd w:id="41"/>
      <w:bookmarkEnd w:id="42"/>
      <w:bookmarkEnd w:id="43"/>
    </w:p>
    <w:p w14:paraId="18FCF194">
      <w:pPr>
        <w:pStyle w:val="21"/>
        <w:numPr>
          <w:ilvl w:val="0"/>
          <w:numId w:val="2"/>
        </w:numPr>
        <w:spacing w:line="600" w:lineRule="exact"/>
        <w:ind w:firstLineChars="0"/>
        <w:outlineLvl w:val="1"/>
        <w:rPr>
          <w:rStyle w:val="20"/>
          <w:rFonts w:ascii="黑体" w:hAnsi="黑体" w:eastAsia="黑体"/>
          <w:b w:val="0"/>
        </w:rPr>
      </w:pPr>
      <w:bookmarkStart w:id="44" w:name="_Toc79163860"/>
      <w:bookmarkStart w:id="45" w:name="_Toc29761"/>
      <w:bookmarkStart w:id="46" w:name="_Toc79163610"/>
      <w:bookmarkStart w:id="47" w:name="_Toc15377205"/>
      <w:bookmarkStart w:id="48" w:name="_Toc15396603"/>
      <w:bookmarkStart w:id="49" w:name="_Toc32386"/>
      <w:r>
        <w:rPr>
          <w:rFonts w:hint="eastAsia" w:ascii="黑体" w:hAnsi="黑体" w:eastAsia="黑体"/>
          <w:color w:val="000000"/>
          <w:sz w:val="32"/>
          <w:szCs w:val="32"/>
        </w:rPr>
        <w:t>收</w:t>
      </w:r>
      <w:r>
        <w:rPr>
          <w:rStyle w:val="20"/>
          <w:rFonts w:hint="eastAsia" w:ascii="黑体" w:hAnsi="黑体" w:eastAsia="黑体"/>
          <w:b w:val="0"/>
        </w:rPr>
        <w:t>入支出决算总体情况说明</w:t>
      </w:r>
      <w:bookmarkEnd w:id="44"/>
      <w:bookmarkEnd w:id="45"/>
      <w:bookmarkEnd w:id="46"/>
      <w:bookmarkEnd w:id="47"/>
      <w:bookmarkEnd w:id="48"/>
      <w:bookmarkEnd w:id="49"/>
    </w:p>
    <w:p w14:paraId="3BD35195">
      <w:pPr>
        <w:spacing w:line="600" w:lineRule="exact"/>
        <w:ind w:firstLine="640" w:firstLineChars="200"/>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2025年度收入1127.09万元，与2024年度相比增加33.52万元，增加了3.07%，增加原因是人员经费及项目经费增加；2025年度支出1127.09万元，与2024年度相比增加33.52万元，</w:t>
      </w:r>
      <w:r>
        <w:rPr>
          <w:rFonts w:hint="eastAsia" w:ascii="仿宋" w:hAnsi="仿宋" w:eastAsia="仿宋" w:cs="Times New Roman"/>
          <w:color w:val="auto"/>
          <w:kern w:val="2"/>
          <w:sz w:val="32"/>
          <w:szCs w:val="32"/>
          <w:lang w:val="en-US" w:eastAsia="zh-CN" w:bidi="ar-SA"/>
        </w:rPr>
        <w:t>增加原因是人员经费及项目经费增加</w:t>
      </w:r>
      <w:r>
        <w:rPr>
          <w:rFonts w:hint="eastAsia" w:ascii="仿宋" w:hAnsi="仿宋" w:eastAsia="仿宋"/>
          <w:color w:val="auto"/>
          <w:sz w:val="32"/>
          <w:szCs w:val="32"/>
          <w:lang w:val="en-US" w:eastAsia="zh-CN"/>
        </w:rPr>
        <w:t>。</w:t>
      </w:r>
    </w:p>
    <w:p w14:paraId="38EB90E8">
      <w:pPr>
        <w:pStyle w:val="6"/>
        <w:rPr>
          <w:rFonts w:hint="eastAsia" w:ascii="仿宋" w:hAnsi="仿宋" w:eastAsia="仿宋"/>
          <w:color w:val="000000"/>
          <w:sz w:val="32"/>
          <w:szCs w:val="32"/>
        </w:rPr>
      </w:pPr>
      <w:r>
        <w:pict>
          <v:shape id="_x0000_s1026" o:spid="_x0000_s1026" o:spt="75" alt="7b0a202020202266696c746572223a202230220a7d0a" type="#_x0000_t75" style="position:absolute;left:0pt;margin-left:-24.7pt;margin-top:4.1pt;height:241.5pt;width:481.05pt;mso-wrap-distance-bottom:0pt;mso-wrap-distance-left:9pt;mso-wrap-distance-right:9pt;mso-wrap-distance-top:0pt;z-index:251663360;mso-width-relative:page;mso-height-relative:page;" o:ole="t" filled="f" o:preferrelative="t" stroked="f" coordsize="21600,21600">
            <v:path/>
            <v:fill on="f" focussize="0,0"/>
            <v:stroke on="f"/>
            <v:imagedata r:id="rId7" o:title=""/>
            <o:lock v:ext="edit" aspectratio="t"/>
            <w10:wrap type="square"/>
          </v:shape>
          <o:OLEObject Type="Embed" ProgID="Excel.Chart.8" ShapeID="_x0000_s1026" DrawAspect="Content" ObjectID="_1468075725" r:id="rId6">
            <o:LockedField>false</o:LockedField>
          </o:OLEObject>
        </w:pict>
      </w:r>
    </w:p>
    <w:p w14:paraId="7FDC8B51">
      <w:pPr>
        <w:pStyle w:val="6"/>
        <w:ind w:left="0" w:leftChars="0" w:firstLine="1280" w:firstLineChars="400"/>
        <w:jc w:val="both"/>
        <w:rPr>
          <w:rStyle w:val="20"/>
          <w:rFonts w:ascii="黑体" w:hAnsi="黑体" w:eastAsia="黑体"/>
          <w:b w:val="0"/>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r>
        <w:rPr>
          <w:rFonts w:hint="eastAsia" w:ascii="仿宋" w:hAnsi="仿宋" w:eastAsia="仿宋"/>
          <w:color w:val="000000"/>
          <w:sz w:val="32"/>
          <w:szCs w:val="32"/>
          <w:lang w:val="en-US" w:eastAsia="zh-CN"/>
        </w:rPr>
        <w:t>)</w:t>
      </w:r>
      <w:bookmarkStart w:id="50" w:name="_Toc15377206"/>
      <w:bookmarkStart w:id="51" w:name="_Toc15396604"/>
      <w:bookmarkStart w:id="52" w:name="_Toc79163861"/>
      <w:bookmarkStart w:id="53" w:name="_Toc79163611"/>
    </w:p>
    <w:p w14:paraId="7EB41780">
      <w:pPr>
        <w:pStyle w:val="21"/>
        <w:numPr>
          <w:ilvl w:val="0"/>
          <w:numId w:val="0"/>
        </w:numPr>
        <w:spacing w:line="600" w:lineRule="exact"/>
        <w:outlineLvl w:val="1"/>
        <w:rPr>
          <w:rFonts w:hint="eastAsia" w:ascii="黑体" w:hAnsi="黑体" w:eastAsia="黑体"/>
          <w:color w:val="000000"/>
          <w:sz w:val="32"/>
          <w:szCs w:val="32"/>
          <w:lang w:eastAsia="zh-CN"/>
        </w:rPr>
      </w:pPr>
      <w:bookmarkStart w:id="54" w:name="_Toc16204"/>
      <w:bookmarkStart w:id="55" w:name="_Toc10649"/>
    </w:p>
    <w:p w14:paraId="061273F0">
      <w:pPr>
        <w:pStyle w:val="21"/>
        <w:numPr>
          <w:ilvl w:val="0"/>
          <w:numId w:val="0"/>
        </w:numPr>
        <w:spacing w:line="600" w:lineRule="exact"/>
        <w:ind w:firstLine="640" w:firstLineChars="200"/>
        <w:outlineLvl w:val="1"/>
        <w:rPr>
          <w:rFonts w:hint="eastAsia" w:ascii="黑体" w:hAnsi="黑体" w:eastAsia="黑体"/>
          <w:color w:val="000000"/>
          <w:sz w:val="32"/>
          <w:szCs w:val="32"/>
          <w:lang w:eastAsia="zh-CN"/>
        </w:rPr>
      </w:pPr>
    </w:p>
    <w:p w14:paraId="6340492C">
      <w:pPr>
        <w:pStyle w:val="21"/>
        <w:numPr>
          <w:ilvl w:val="0"/>
          <w:numId w:val="0"/>
        </w:numPr>
        <w:spacing w:line="600" w:lineRule="exact"/>
        <w:ind w:firstLine="640" w:firstLineChars="200"/>
        <w:outlineLvl w:val="1"/>
        <w:rPr>
          <w:rFonts w:hint="eastAsia" w:ascii="黑体" w:hAnsi="黑体" w:eastAsia="黑体"/>
          <w:color w:val="000000"/>
          <w:sz w:val="32"/>
          <w:szCs w:val="32"/>
          <w:lang w:eastAsia="zh-CN"/>
        </w:rPr>
      </w:pPr>
    </w:p>
    <w:p w14:paraId="62903C73">
      <w:pPr>
        <w:pStyle w:val="21"/>
        <w:numPr>
          <w:ilvl w:val="0"/>
          <w:numId w:val="0"/>
        </w:numPr>
        <w:spacing w:line="600" w:lineRule="exact"/>
        <w:ind w:firstLine="640" w:firstLineChars="200"/>
        <w:outlineLvl w:val="1"/>
        <w:rPr>
          <w:rFonts w:hint="eastAsia" w:ascii="黑体" w:hAnsi="黑体" w:eastAsia="黑体"/>
          <w:color w:val="000000"/>
          <w:sz w:val="32"/>
          <w:szCs w:val="32"/>
          <w:lang w:eastAsia="zh-CN"/>
        </w:rPr>
      </w:pPr>
    </w:p>
    <w:p w14:paraId="4DDB49E7">
      <w:pPr>
        <w:pStyle w:val="21"/>
        <w:numPr>
          <w:ilvl w:val="0"/>
          <w:numId w:val="0"/>
        </w:numPr>
        <w:spacing w:line="600" w:lineRule="exact"/>
        <w:ind w:firstLine="640" w:firstLineChars="200"/>
        <w:outlineLvl w:val="1"/>
        <w:rPr>
          <w:rStyle w:val="20"/>
          <w:rFonts w:ascii="黑体" w:hAnsi="黑体" w:eastAsia="黑体"/>
          <w:b w:val="0"/>
        </w:rPr>
      </w:pPr>
      <w:r>
        <w:rPr>
          <w:rFonts w:hint="eastAsia" w:ascii="黑体" w:hAnsi="黑体" w:eastAsia="黑体"/>
          <w:color w:val="000000"/>
          <w:sz w:val="32"/>
          <w:szCs w:val="32"/>
          <w:lang w:eastAsia="zh-CN"/>
        </w:rPr>
        <w:t>二、</w:t>
      </w:r>
      <w:r>
        <w:rPr>
          <w:rFonts w:hint="eastAsia" w:ascii="黑体" w:hAnsi="黑体" w:eastAsia="黑体"/>
          <w:color w:val="000000"/>
          <w:sz w:val="32"/>
          <w:szCs w:val="32"/>
        </w:rPr>
        <w:t>收</w:t>
      </w:r>
      <w:r>
        <w:rPr>
          <w:rStyle w:val="20"/>
          <w:rFonts w:hint="eastAsia" w:ascii="黑体" w:hAnsi="黑体" w:eastAsia="黑体"/>
          <w:b w:val="0"/>
        </w:rPr>
        <w:t>入决算情况说明</w:t>
      </w:r>
      <w:bookmarkEnd w:id="50"/>
      <w:bookmarkEnd w:id="51"/>
      <w:bookmarkEnd w:id="52"/>
      <w:bookmarkEnd w:id="53"/>
      <w:bookmarkEnd w:id="54"/>
      <w:bookmarkEnd w:id="55"/>
    </w:p>
    <w:p w14:paraId="1D2CAA21">
      <w:pPr>
        <w:spacing w:line="600" w:lineRule="exact"/>
        <w:ind w:firstLine="640" w:firstLineChars="200"/>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auto"/>
          <w:sz w:val="32"/>
          <w:szCs w:val="32"/>
          <w:lang w:val="en-US" w:eastAsia="zh-CN"/>
        </w:rPr>
        <w:t>1127.09</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1127.09</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0.00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39A3AFC1">
      <w:pPr>
        <w:spacing w:line="600" w:lineRule="exact"/>
        <w:jc w:val="center"/>
        <w:rPr>
          <w:rFonts w:hint="eastAsia" w:ascii="黑体" w:hAnsi="黑体" w:eastAsia="黑体"/>
          <w:color w:val="000000"/>
          <w:sz w:val="32"/>
          <w:szCs w:val="32"/>
          <w:lang w:eastAsia="zh-CN"/>
        </w:rPr>
      </w:pPr>
      <w:r>
        <w:drawing>
          <wp:anchor distT="0" distB="0" distL="114300" distR="114300" simplePos="0" relativeHeight="251661312" behindDoc="0" locked="0" layoutInCell="1" allowOverlap="1">
            <wp:simplePos x="0" y="0"/>
            <wp:positionH relativeFrom="column">
              <wp:posOffset>86995</wp:posOffset>
            </wp:positionH>
            <wp:positionV relativeFrom="paragraph">
              <wp:posOffset>156210</wp:posOffset>
            </wp:positionV>
            <wp:extent cx="4996815" cy="2047875"/>
            <wp:effectExtent l="4445" t="4445" r="8890" b="5080"/>
            <wp:wrapSquare wrapText="bothSides"/>
            <wp:docPr id="1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bookmarkStart w:id="56" w:name="_Toc79163862"/>
      <w:bookmarkStart w:id="57" w:name="_Toc15377207"/>
      <w:bookmarkStart w:id="58" w:name="_Toc79163612"/>
      <w:bookmarkStart w:id="59" w:name="_Toc15396605"/>
    </w:p>
    <w:p w14:paraId="03E54D95">
      <w:pPr>
        <w:pStyle w:val="21"/>
        <w:numPr>
          <w:ilvl w:val="0"/>
          <w:numId w:val="0"/>
        </w:numPr>
        <w:spacing w:line="600" w:lineRule="exact"/>
        <w:ind w:left="640" w:leftChars="0"/>
        <w:outlineLvl w:val="1"/>
        <w:rPr>
          <w:rStyle w:val="20"/>
          <w:rFonts w:ascii="黑体" w:hAnsi="黑体" w:eastAsia="黑体"/>
          <w:b w:val="0"/>
        </w:rPr>
      </w:pPr>
      <w:bookmarkStart w:id="60" w:name="_Toc20256"/>
      <w:bookmarkStart w:id="61" w:name="_Toc6871"/>
      <w:r>
        <w:rPr>
          <w:rFonts w:hint="eastAsia" w:ascii="黑体" w:hAnsi="黑体" w:eastAsia="黑体"/>
          <w:color w:val="000000"/>
          <w:sz w:val="32"/>
          <w:szCs w:val="32"/>
          <w:lang w:eastAsia="zh-CN"/>
        </w:rPr>
        <w:t>三、</w:t>
      </w:r>
      <w:r>
        <w:rPr>
          <w:rFonts w:hint="eastAsia" w:ascii="黑体" w:hAnsi="黑体" w:eastAsia="黑体"/>
          <w:color w:val="000000"/>
          <w:sz w:val="32"/>
          <w:szCs w:val="32"/>
        </w:rPr>
        <w:t>支</w:t>
      </w:r>
      <w:r>
        <w:rPr>
          <w:rStyle w:val="20"/>
          <w:rFonts w:hint="eastAsia" w:ascii="黑体" w:hAnsi="黑体" w:eastAsia="黑体"/>
          <w:b w:val="0"/>
        </w:rPr>
        <w:t>出决算情况说明</w:t>
      </w:r>
      <w:bookmarkEnd w:id="56"/>
      <w:bookmarkEnd w:id="57"/>
      <w:bookmarkEnd w:id="58"/>
      <w:bookmarkEnd w:id="59"/>
      <w:bookmarkEnd w:id="60"/>
      <w:bookmarkEnd w:id="61"/>
    </w:p>
    <w:p w14:paraId="049C3BA9">
      <w:pPr>
        <w:spacing w:line="600" w:lineRule="exact"/>
        <w:ind w:firstLine="640" w:firstLineChars="200"/>
        <w:rPr>
          <w:rFonts w:hint="eastAsia" w:ascii="仿宋_GB2312" w:eastAsia="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1127.09</w:t>
      </w:r>
      <w:r>
        <w:rPr>
          <w:rFonts w:hint="eastAsia" w:ascii="仿宋_GB2312" w:eastAsia="仿宋_GB2312"/>
          <w:sz w:val="32"/>
          <w:szCs w:val="32"/>
        </w:rPr>
        <w:t>万元，其中：基本支出</w:t>
      </w:r>
      <w:r>
        <w:rPr>
          <w:rFonts w:hint="eastAsia" w:ascii="仿宋_GB2312" w:eastAsia="仿宋_GB2312"/>
          <w:sz w:val="32"/>
          <w:szCs w:val="32"/>
          <w:lang w:val="en-US" w:eastAsia="zh-CN"/>
        </w:rPr>
        <w:t>1008.10</w:t>
      </w:r>
      <w:r>
        <w:rPr>
          <w:rFonts w:hint="eastAsia" w:ascii="仿宋_GB2312" w:eastAsia="仿宋_GB2312"/>
          <w:sz w:val="32"/>
          <w:szCs w:val="32"/>
        </w:rPr>
        <w:t>万元，占</w:t>
      </w:r>
      <w:r>
        <w:rPr>
          <w:rFonts w:hint="eastAsia" w:ascii="仿宋_GB2312" w:eastAsia="仿宋_GB2312"/>
          <w:sz w:val="32"/>
          <w:szCs w:val="32"/>
          <w:lang w:val="en-US" w:eastAsia="zh-CN"/>
        </w:rPr>
        <w:t>89.44</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118.99</w:t>
      </w:r>
      <w:r>
        <w:rPr>
          <w:rFonts w:hint="eastAsia" w:ascii="仿宋_GB2312" w:eastAsia="仿宋_GB2312"/>
          <w:sz w:val="32"/>
          <w:szCs w:val="32"/>
        </w:rPr>
        <w:t>万元，占</w:t>
      </w:r>
      <w:r>
        <w:rPr>
          <w:rFonts w:hint="eastAsia" w:ascii="仿宋_GB2312" w:eastAsia="仿宋_GB2312"/>
          <w:sz w:val="32"/>
          <w:szCs w:val="32"/>
          <w:lang w:val="en-US" w:eastAsia="zh-CN"/>
        </w:rPr>
        <w:t>10.56</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096E259E">
      <w:pPr>
        <w:pStyle w:val="6"/>
        <w:ind w:left="0" w:leftChars="0" w:firstLine="0" w:firstLineChars="0"/>
        <w:jc w:val="center"/>
        <w:rPr>
          <w:rFonts w:hint="eastAsia" w:ascii="仿宋" w:hAnsi="仿宋" w:eastAsia="仿宋"/>
          <w:color w:val="000000"/>
          <w:sz w:val="32"/>
          <w:szCs w:val="32"/>
        </w:rPr>
      </w:pPr>
      <w:r>
        <w:drawing>
          <wp:anchor distT="0" distB="0" distL="114300" distR="114300" simplePos="0" relativeHeight="251660288" behindDoc="0" locked="0" layoutInCell="1" allowOverlap="1">
            <wp:simplePos x="0" y="0"/>
            <wp:positionH relativeFrom="column">
              <wp:posOffset>379730</wp:posOffset>
            </wp:positionH>
            <wp:positionV relativeFrom="paragraph">
              <wp:posOffset>121285</wp:posOffset>
            </wp:positionV>
            <wp:extent cx="4192905" cy="1918335"/>
            <wp:effectExtent l="4445" t="4445" r="12700" b="20320"/>
            <wp:wrapSquare wrapText="bothSides"/>
            <wp:docPr id="2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44F2F60">
      <w:pPr>
        <w:pStyle w:val="6"/>
        <w:ind w:left="0" w:leftChars="0" w:firstLine="0" w:firstLineChars="0"/>
        <w:jc w:val="center"/>
        <w:rPr>
          <w:rFonts w:hint="eastAsia" w:ascii="仿宋" w:hAnsi="仿宋" w:eastAsia="仿宋"/>
          <w:color w:val="000000"/>
          <w:sz w:val="32"/>
          <w:szCs w:val="32"/>
        </w:rPr>
      </w:pPr>
    </w:p>
    <w:p w14:paraId="4D3BFB86">
      <w:pPr>
        <w:pStyle w:val="6"/>
        <w:ind w:left="0" w:leftChars="0" w:firstLine="0" w:firstLineChars="0"/>
        <w:jc w:val="center"/>
        <w:rPr>
          <w:rFonts w:hint="eastAsia" w:ascii="仿宋" w:hAnsi="仿宋" w:eastAsia="仿宋"/>
          <w:color w:val="000000"/>
          <w:sz w:val="32"/>
          <w:szCs w:val="32"/>
        </w:rPr>
      </w:pPr>
    </w:p>
    <w:p w14:paraId="210F688C">
      <w:pPr>
        <w:pStyle w:val="6"/>
        <w:ind w:left="0" w:leftChars="0" w:firstLine="0" w:firstLineChars="0"/>
        <w:jc w:val="center"/>
        <w:rPr>
          <w:rFonts w:hint="eastAsia" w:ascii="仿宋" w:hAnsi="仿宋" w:eastAsia="仿宋"/>
          <w:color w:val="000000"/>
          <w:sz w:val="32"/>
          <w:szCs w:val="32"/>
        </w:rPr>
      </w:pPr>
    </w:p>
    <w:p w14:paraId="32E61057">
      <w:pPr>
        <w:pStyle w:val="6"/>
        <w:ind w:left="0" w:leftChars="0" w:firstLine="0" w:firstLineChars="0"/>
        <w:jc w:val="both"/>
        <w:rPr>
          <w:rFonts w:hint="eastAsia" w:ascii="仿宋" w:hAnsi="仿宋" w:eastAsia="仿宋"/>
          <w:color w:val="000000"/>
          <w:sz w:val="32"/>
          <w:szCs w:val="32"/>
        </w:rPr>
      </w:pPr>
    </w:p>
    <w:p w14:paraId="62846105">
      <w:pPr>
        <w:pStyle w:val="6"/>
        <w:ind w:left="0" w:leftChars="0" w:firstLine="0" w:firstLineChars="0"/>
        <w:jc w:val="center"/>
        <w:rPr>
          <w:rFonts w:hint="eastAsia" w:ascii="黑体" w:hAnsi="黑体" w:eastAsia="黑体"/>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bookmarkStart w:id="62" w:name="_Toc79163613"/>
      <w:bookmarkStart w:id="63" w:name="_Toc15396606"/>
      <w:bookmarkStart w:id="64" w:name="_Toc79163863"/>
      <w:bookmarkStart w:id="65" w:name="_Toc15377208"/>
    </w:p>
    <w:p w14:paraId="305928AD">
      <w:pPr>
        <w:spacing w:line="600" w:lineRule="exact"/>
        <w:ind w:firstLine="640" w:firstLineChars="200"/>
        <w:outlineLvl w:val="1"/>
        <w:rPr>
          <w:rStyle w:val="20"/>
          <w:rFonts w:ascii="黑体" w:hAnsi="黑体" w:eastAsia="黑体"/>
          <w:b w:val="0"/>
        </w:rPr>
      </w:pPr>
      <w:bookmarkStart w:id="66" w:name="_Toc25430"/>
      <w:bookmarkStart w:id="67" w:name="_Toc1249"/>
      <w:r>
        <w:rPr>
          <w:rFonts w:hint="eastAsia" w:ascii="黑体" w:hAnsi="黑体" w:eastAsia="黑体"/>
          <w:color w:val="000000"/>
          <w:sz w:val="32"/>
          <w:szCs w:val="32"/>
        </w:rPr>
        <w:t>四、财</w:t>
      </w:r>
      <w:r>
        <w:rPr>
          <w:rStyle w:val="20"/>
          <w:rFonts w:hint="eastAsia" w:ascii="黑体" w:hAnsi="黑体" w:eastAsia="黑体"/>
          <w:b w:val="0"/>
        </w:rPr>
        <w:t>政拨款收</w:t>
      </w:r>
      <w:r>
        <w:rPr>
          <w:rStyle w:val="20"/>
          <w:rFonts w:hint="eastAsia" w:ascii="黑体" w:hAnsi="黑体" w:eastAsia="黑体"/>
          <w:b w:val="0"/>
          <w:color w:val="000000" w:themeColor="text1"/>
          <w14:textFill>
            <w14:solidFill>
              <w14:schemeClr w14:val="tx1"/>
            </w14:solidFill>
          </w14:textFill>
        </w:rPr>
        <w:t>入支出决</w:t>
      </w:r>
      <w:r>
        <w:rPr>
          <w:rStyle w:val="20"/>
          <w:rFonts w:hint="eastAsia" w:ascii="黑体" w:hAnsi="黑体" w:eastAsia="黑体"/>
          <w:b w:val="0"/>
        </w:rPr>
        <w:t>算总体情况说明</w:t>
      </w:r>
      <w:bookmarkEnd w:id="62"/>
      <w:bookmarkEnd w:id="63"/>
      <w:bookmarkEnd w:id="64"/>
      <w:bookmarkEnd w:id="65"/>
      <w:bookmarkEnd w:id="66"/>
      <w:bookmarkEnd w:id="67"/>
    </w:p>
    <w:p w14:paraId="13E46D7E">
      <w:pPr>
        <w:spacing w:line="600" w:lineRule="exact"/>
        <w:ind w:firstLine="640" w:firstLineChars="200"/>
        <w:rPr>
          <w:rFonts w:hint="eastAsia" w:ascii="黑体" w:hAnsi="黑体" w:eastAsia="黑体"/>
          <w:color w:val="000000"/>
          <w:sz w:val="32"/>
          <w:szCs w:val="32"/>
        </w:rPr>
      </w:pPr>
      <w:r>
        <w:rPr>
          <w:rFonts w:hint="eastAsia" w:ascii="仿宋" w:hAnsi="仿宋" w:eastAsia="仿宋"/>
          <w:color w:val="auto"/>
          <w:sz w:val="32"/>
          <w:szCs w:val="32"/>
          <w:lang w:val="en-US" w:eastAsia="zh-CN"/>
        </w:rPr>
        <w:t>2025年财政拨款收入1127.09万元，与2024年度相比增加33.52万元，增加了3.07%，</w:t>
      </w:r>
      <w:r>
        <w:rPr>
          <w:rFonts w:hint="eastAsia" w:ascii="仿宋" w:hAnsi="仿宋" w:eastAsia="仿宋" w:cs="Times New Roman"/>
          <w:color w:val="auto"/>
          <w:kern w:val="2"/>
          <w:sz w:val="32"/>
          <w:szCs w:val="32"/>
          <w:lang w:val="en-US" w:eastAsia="zh-CN" w:bidi="ar-SA"/>
        </w:rPr>
        <w:t>增加原因是人员经费及项目经费增加</w:t>
      </w:r>
      <w:r>
        <w:rPr>
          <w:rFonts w:hint="eastAsia" w:ascii="仿宋" w:hAnsi="仿宋" w:eastAsia="仿宋"/>
          <w:color w:val="auto"/>
          <w:sz w:val="32"/>
          <w:szCs w:val="32"/>
          <w:lang w:val="en-US" w:eastAsia="zh-CN"/>
        </w:rPr>
        <w:t>；2025年度财政拨款支出1127.09万元，与2024年度</w:t>
      </w:r>
      <w:bookmarkStart w:id="68" w:name="_Toc15377209"/>
      <w:bookmarkStart w:id="69" w:name="_Toc15396607"/>
      <w:bookmarkStart w:id="70" w:name="_Toc79163614"/>
      <w:bookmarkStart w:id="71" w:name="_Toc79163864"/>
      <w:r>
        <w:rPr>
          <w:rFonts w:hint="eastAsia" w:ascii="仿宋" w:hAnsi="仿宋" w:eastAsia="仿宋"/>
          <w:color w:val="auto"/>
          <w:sz w:val="32"/>
          <w:szCs w:val="32"/>
          <w:lang w:val="en-US" w:eastAsia="zh-CN"/>
        </w:rPr>
        <w:t>相比增加33.52万元，增加了3.07%，</w:t>
      </w:r>
      <w:r>
        <w:rPr>
          <w:rFonts w:hint="eastAsia" w:ascii="仿宋" w:hAnsi="仿宋" w:eastAsia="仿宋" w:cs="Times New Roman"/>
          <w:color w:val="auto"/>
          <w:kern w:val="2"/>
          <w:sz w:val="32"/>
          <w:szCs w:val="32"/>
          <w:lang w:val="en-US" w:eastAsia="zh-CN" w:bidi="ar-SA"/>
        </w:rPr>
        <w:t>增加原因是人员经费及项目经费增加</w:t>
      </w:r>
      <w:r>
        <w:rPr>
          <w:rFonts w:hint="eastAsia" w:ascii="仿宋" w:hAnsi="仿宋" w:eastAsia="仿宋"/>
          <w:color w:val="auto"/>
          <w:sz w:val="32"/>
          <w:szCs w:val="32"/>
          <w:lang w:val="en-US" w:eastAsia="zh-CN"/>
        </w:rPr>
        <w:t>。</w:t>
      </w:r>
    </w:p>
    <w:p w14:paraId="689CC60F">
      <w:pPr>
        <w:spacing w:line="240" w:lineRule="auto"/>
        <w:outlineLvl w:val="9"/>
        <w:rPr>
          <w:rFonts w:hint="eastAsia" w:eastAsiaTheme="minorEastAsia"/>
          <w:lang w:eastAsia="zh-CN"/>
        </w:rPr>
      </w:pPr>
      <w:r>
        <w:rPr>
          <w:rFonts w:hint="eastAsia" w:eastAsiaTheme="minorEastAsia"/>
          <w:lang w:eastAsia="zh-CN"/>
        </w:rPr>
        <w:drawing>
          <wp:inline distT="0" distB="0" distL="114300" distR="114300">
            <wp:extent cx="5161915" cy="2912745"/>
            <wp:effectExtent l="4445" t="4445" r="15240" b="1651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9D8C6E">
      <w:pPr>
        <w:spacing w:line="600" w:lineRule="exact"/>
        <w:jc w:val="center"/>
        <w:rPr>
          <w:rFonts w:hint="eastAsia"/>
          <w:lang w:eastAsia="zh-CN"/>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14:paraId="288E9912">
      <w:pPr>
        <w:spacing w:line="600" w:lineRule="exact"/>
        <w:ind w:firstLine="640" w:firstLineChars="200"/>
        <w:outlineLvl w:val="1"/>
        <w:rPr>
          <w:rStyle w:val="20"/>
          <w:rFonts w:ascii="黑体" w:hAnsi="黑体" w:eastAsia="黑体"/>
          <w:b w:val="0"/>
        </w:rPr>
      </w:pPr>
      <w:bookmarkStart w:id="72" w:name="_Toc30902"/>
      <w:bookmarkStart w:id="73" w:name="_Toc27843"/>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0"/>
          <w:rFonts w:hint="eastAsia" w:ascii="黑体" w:hAnsi="黑体" w:eastAsia="黑体"/>
          <w:b w:val="0"/>
        </w:rPr>
        <w:t>般公共预算财</w:t>
      </w:r>
      <w:r>
        <w:rPr>
          <w:rStyle w:val="20"/>
          <w:rFonts w:hint="eastAsia" w:ascii="黑体" w:hAnsi="黑体" w:eastAsia="黑体"/>
          <w:b w:val="0"/>
          <w:color w:val="000000" w:themeColor="text1"/>
          <w14:textFill>
            <w14:solidFill>
              <w14:schemeClr w14:val="tx1"/>
            </w14:solidFill>
          </w14:textFill>
        </w:rPr>
        <w:t>政拨款支出决算情</w:t>
      </w:r>
      <w:r>
        <w:rPr>
          <w:rStyle w:val="20"/>
          <w:rFonts w:hint="eastAsia" w:ascii="黑体" w:hAnsi="黑体" w:eastAsia="黑体"/>
          <w:b w:val="0"/>
        </w:rPr>
        <w:t>况说明</w:t>
      </w:r>
      <w:bookmarkEnd w:id="68"/>
      <w:bookmarkEnd w:id="69"/>
      <w:bookmarkEnd w:id="70"/>
      <w:bookmarkEnd w:id="71"/>
      <w:bookmarkEnd w:id="72"/>
      <w:bookmarkEnd w:id="73"/>
    </w:p>
    <w:p w14:paraId="4CE36F08">
      <w:pPr>
        <w:spacing w:line="600" w:lineRule="exact"/>
        <w:ind w:firstLine="643" w:firstLineChars="200"/>
        <w:outlineLvl w:val="2"/>
        <w:rPr>
          <w:rFonts w:ascii="仿宋" w:hAnsi="仿宋" w:eastAsia="仿宋"/>
          <w:b/>
          <w:color w:val="000000"/>
          <w:sz w:val="32"/>
          <w:szCs w:val="32"/>
        </w:rPr>
      </w:pPr>
      <w:bookmarkStart w:id="74" w:name="_Toc20362"/>
      <w:bookmarkStart w:id="75" w:name="_Toc79163615"/>
      <w:bookmarkStart w:id="76" w:name="_Toc16633"/>
      <w:bookmarkStart w:id="77" w:name="_Toc79163865"/>
      <w:bookmarkStart w:id="78" w:name="_Toc15377210"/>
      <w:r>
        <w:rPr>
          <w:rFonts w:hint="eastAsia" w:ascii="仿宋" w:hAnsi="仿宋" w:eastAsia="仿宋"/>
          <w:b/>
          <w:color w:val="000000"/>
          <w:sz w:val="32"/>
          <w:szCs w:val="32"/>
        </w:rPr>
        <w:t>（一）一般公共预算财政拨款支出决算总体情况</w:t>
      </w:r>
      <w:bookmarkEnd w:id="74"/>
      <w:bookmarkEnd w:id="75"/>
      <w:bookmarkEnd w:id="76"/>
      <w:bookmarkEnd w:id="77"/>
      <w:bookmarkEnd w:id="78"/>
    </w:p>
    <w:p w14:paraId="3723A33B">
      <w:pPr>
        <w:spacing w:line="600" w:lineRule="exact"/>
        <w:ind w:firstLine="640" w:firstLineChars="200"/>
        <w:rPr>
          <w:rFonts w:hint="eastAsia" w:ascii="黑体" w:hAnsi="黑体" w:eastAsia="黑体"/>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1127.09</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年相比，一般公共预算财政拨款</w:t>
      </w:r>
      <w:r>
        <w:rPr>
          <w:rFonts w:hint="eastAsia" w:ascii="仿宋" w:hAnsi="仿宋" w:eastAsia="仿宋"/>
          <w:color w:val="auto"/>
          <w:sz w:val="32"/>
          <w:szCs w:val="32"/>
          <w:lang w:val="en-US" w:eastAsia="zh-CN"/>
        </w:rPr>
        <w:t>增加33.52万元，增加了3.07%</w:t>
      </w:r>
      <w:r>
        <w:rPr>
          <w:rFonts w:hint="eastAsia" w:ascii="仿宋" w:hAnsi="仿宋" w:eastAsia="仿宋"/>
          <w:color w:val="000000"/>
          <w:sz w:val="32"/>
          <w:szCs w:val="32"/>
        </w:rPr>
        <w:t>。主要变动原因是</w:t>
      </w:r>
      <w:r>
        <w:rPr>
          <w:rFonts w:hint="eastAsia" w:ascii="仿宋" w:hAnsi="仿宋" w:eastAsia="仿宋" w:cs="Times New Roman"/>
          <w:color w:val="auto"/>
          <w:kern w:val="2"/>
          <w:sz w:val="32"/>
          <w:szCs w:val="32"/>
          <w:lang w:val="en-US" w:eastAsia="zh-CN" w:bidi="ar-SA"/>
        </w:rPr>
        <w:t>人员经费及项目经费增加</w:t>
      </w:r>
      <w:r>
        <w:rPr>
          <w:rFonts w:hint="eastAsia" w:ascii="仿宋" w:hAnsi="仿宋" w:eastAsia="仿宋"/>
          <w:color w:val="auto"/>
          <w:sz w:val="32"/>
          <w:szCs w:val="32"/>
          <w:lang w:val="en-US" w:eastAsia="zh-CN"/>
        </w:rPr>
        <w:t>。</w:t>
      </w:r>
    </w:p>
    <w:p w14:paraId="54FFF29A">
      <w:pPr>
        <w:spacing w:line="600" w:lineRule="exact"/>
        <w:rPr>
          <w:rFonts w:hint="eastAsia" w:ascii="仿宋" w:hAnsi="仿宋" w:eastAsia="仿宋"/>
          <w:color w:val="auto"/>
          <w:sz w:val="32"/>
          <w:szCs w:val="32"/>
          <w:lang w:val="en-US" w:eastAsia="zh-CN"/>
        </w:rPr>
      </w:pPr>
    </w:p>
    <w:p w14:paraId="5D073B77">
      <w:pPr>
        <w:bidi w:val="0"/>
        <w:rPr>
          <w:rFonts w:ascii="Times New Roman" w:hAnsi="Times New Roman" w:eastAsia="宋体" w:cs="Times New Roman"/>
          <w:kern w:val="2"/>
          <w:sz w:val="21"/>
          <w:szCs w:val="24"/>
          <w:lang w:val="en-US" w:eastAsia="zh-CN" w:bidi="ar-SA"/>
        </w:rPr>
      </w:pPr>
      <w:r>
        <w:rPr>
          <w:rFonts w:hint="eastAsia" w:eastAsiaTheme="minorEastAsia"/>
          <w:lang w:eastAsia="zh-CN"/>
        </w:rPr>
        <w:drawing>
          <wp:anchor distT="0" distB="0" distL="114300" distR="114300" simplePos="0" relativeHeight="251662336" behindDoc="1" locked="0" layoutInCell="1" allowOverlap="1">
            <wp:simplePos x="0" y="0"/>
            <wp:positionH relativeFrom="column">
              <wp:posOffset>471805</wp:posOffset>
            </wp:positionH>
            <wp:positionV relativeFrom="paragraph">
              <wp:posOffset>13970</wp:posOffset>
            </wp:positionV>
            <wp:extent cx="4704715" cy="2637790"/>
            <wp:effectExtent l="4445" t="4445" r="15240" b="5715"/>
            <wp:wrapTight wrapText="bothSides">
              <wp:wrapPolygon>
                <wp:start x="-20" y="-36"/>
                <wp:lineTo x="-20" y="21491"/>
                <wp:lineTo x="21495" y="21491"/>
                <wp:lineTo x="21495" y="-36"/>
                <wp:lineTo x="-20" y="-36"/>
              </wp:wrapPolygon>
            </wp:wrapTight>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AFA23DE">
      <w:pPr>
        <w:bidi w:val="0"/>
        <w:rPr>
          <w:lang w:val="en-US" w:eastAsia="zh-CN"/>
        </w:rPr>
      </w:pPr>
    </w:p>
    <w:p w14:paraId="15169A41">
      <w:pPr>
        <w:bidi w:val="0"/>
        <w:rPr>
          <w:lang w:val="en-US" w:eastAsia="zh-CN"/>
        </w:rPr>
      </w:pPr>
    </w:p>
    <w:p w14:paraId="23802EEB">
      <w:pPr>
        <w:bidi w:val="0"/>
        <w:rPr>
          <w:lang w:val="en-US" w:eastAsia="zh-CN"/>
        </w:rPr>
      </w:pPr>
    </w:p>
    <w:p w14:paraId="01B75782">
      <w:pPr>
        <w:rPr>
          <w:rFonts w:ascii="仿宋" w:hAnsi="仿宋" w:eastAsia="仿宋"/>
          <w:color w:val="000000"/>
          <w:sz w:val="32"/>
          <w:szCs w:val="32"/>
        </w:rPr>
      </w:pPr>
      <w:bookmarkStart w:id="79" w:name="_Toc15377211"/>
      <w:bookmarkStart w:id="80" w:name="_Toc79163866"/>
      <w:bookmarkStart w:id="81" w:name="_Toc79163616"/>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14:paraId="7CDD43D9">
      <w:pPr>
        <w:spacing w:line="600" w:lineRule="exact"/>
        <w:ind w:firstLine="321" w:firstLineChars="100"/>
        <w:outlineLvl w:val="2"/>
        <w:rPr>
          <w:rFonts w:ascii="仿宋" w:hAnsi="仿宋" w:eastAsia="仿宋"/>
          <w:b/>
          <w:color w:val="000000" w:themeColor="text1"/>
          <w:sz w:val="32"/>
          <w:szCs w:val="32"/>
          <w14:textFill>
            <w14:solidFill>
              <w14:schemeClr w14:val="tx1"/>
            </w14:solidFill>
          </w14:textFill>
        </w:rPr>
      </w:pPr>
      <w:bookmarkStart w:id="82" w:name="_Toc27344"/>
      <w:bookmarkStart w:id="83" w:name="_Toc7044"/>
      <w:r>
        <w:rPr>
          <w:rFonts w:hint="eastAsia" w:ascii="仿宋" w:hAnsi="仿宋" w:eastAsia="仿宋"/>
          <w:b/>
          <w:color w:val="000000"/>
          <w:sz w:val="32"/>
          <w:szCs w:val="32"/>
        </w:rPr>
        <w:t>（二）</w:t>
      </w:r>
      <w:r>
        <w:rPr>
          <w:rFonts w:hint="eastAsia" w:ascii="仿宋" w:hAnsi="仿宋" w:eastAsia="仿宋"/>
          <w:b/>
          <w:color w:val="000000" w:themeColor="text1"/>
          <w:sz w:val="32"/>
          <w:szCs w:val="32"/>
          <w14:textFill>
            <w14:solidFill>
              <w14:schemeClr w14:val="tx1"/>
            </w14:solidFill>
          </w14:textFill>
        </w:rPr>
        <w:t>一般公共预算财政拨款支出决算结构情况</w:t>
      </w:r>
      <w:bookmarkEnd w:id="79"/>
      <w:bookmarkEnd w:id="80"/>
      <w:bookmarkEnd w:id="81"/>
      <w:bookmarkEnd w:id="82"/>
      <w:bookmarkEnd w:id="83"/>
    </w:p>
    <w:p w14:paraId="374AE870">
      <w:pPr>
        <w:spacing w:line="600" w:lineRule="exact"/>
        <w:ind w:firstLine="640"/>
        <w:rPr>
          <w:rFonts w:hint="eastAsia" w:eastAsiaTheme="minorEastAsia"/>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1127.09</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b/>
          <w:color w:val="000000"/>
          <w:sz w:val="32"/>
          <w:szCs w:val="32"/>
        </w:rPr>
        <w:t>一般公共服务（</w:t>
      </w:r>
      <w:r>
        <w:rPr>
          <w:rFonts w:hint="eastAsia" w:ascii="仿宋" w:hAnsi="仿宋" w:eastAsia="仿宋"/>
          <w:b/>
          <w:color w:val="000000"/>
          <w:sz w:val="32"/>
          <w:szCs w:val="32"/>
          <w:lang w:val="en-US" w:eastAsia="zh-CN"/>
        </w:rPr>
        <w:t>201</w:t>
      </w:r>
      <w:r>
        <w:rPr>
          <w:rFonts w:hint="eastAsia" w:ascii="仿宋" w:hAnsi="仿宋" w:eastAsia="仿宋"/>
          <w:b/>
          <w:color w:val="000000"/>
          <w:sz w:val="32"/>
          <w:szCs w:val="32"/>
        </w:rPr>
        <w:t>）</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eastAsia="zh-CN"/>
        </w:rPr>
        <w:t>公共安全（</w:t>
      </w:r>
      <w:r>
        <w:rPr>
          <w:rFonts w:hint="eastAsia" w:ascii="仿宋" w:hAnsi="仿宋" w:eastAsia="仿宋"/>
          <w:color w:val="000000"/>
          <w:sz w:val="32"/>
          <w:szCs w:val="32"/>
          <w:lang w:val="en-US" w:eastAsia="zh-CN"/>
        </w:rPr>
        <w:t>204</w:t>
      </w:r>
      <w:r>
        <w:rPr>
          <w:rFonts w:hint="eastAsia" w:ascii="仿宋" w:hAnsi="仿宋" w:eastAsia="仿宋"/>
          <w:color w:val="000000"/>
          <w:sz w:val="32"/>
          <w:szCs w:val="32"/>
          <w:lang w:eastAsia="zh-CN"/>
        </w:rPr>
        <w:t>）支出</w:t>
      </w:r>
      <w:r>
        <w:rPr>
          <w:rFonts w:hint="eastAsia" w:ascii="仿宋" w:hAnsi="仿宋" w:eastAsia="仿宋"/>
          <w:color w:val="000000"/>
          <w:sz w:val="32"/>
          <w:szCs w:val="32"/>
          <w:lang w:val="en-US" w:eastAsia="zh-CN"/>
        </w:rPr>
        <w:t>875.26万元，占77.66%;</w:t>
      </w:r>
      <w:r>
        <w:rPr>
          <w:rFonts w:hint="eastAsia" w:ascii="仿宋" w:hAnsi="仿宋" w:eastAsia="仿宋"/>
          <w:b/>
          <w:color w:val="000000"/>
          <w:sz w:val="32"/>
          <w:szCs w:val="32"/>
        </w:rPr>
        <w:t>教育支出（</w:t>
      </w:r>
      <w:r>
        <w:rPr>
          <w:rFonts w:hint="eastAsia" w:ascii="仿宋" w:hAnsi="仿宋" w:eastAsia="仿宋"/>
          <w:b/>
          <w:color w:val="000000"/>
          <w:sz w:val="32"/>
          <w:szCs w:val="32"/>
          <w:lang w:val="en-US" w:eastAsia="zh-CN"/>
        </w:rPr>
        <w:t>205</w:t>
      </w:r>
      <w:r>
        <w:rPr>
          <w:rFonts w:hint="eastAsia" w:ascii="仿宋" w:hAnsi="仿宋" w:eastAsia="仿宋"/>
          <w:b/>
          <w:color w:val="000000"/>
          <w:sz w:val="32"/>
          <w:szCs w:val="32"/>
        </w:rPr>
        <w:t>）</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科学技术（</w:t>
      </w:r>
      <w:r>
        <w:rPr>
          <w:rFonts w:hint="eastAsia" w:ascii="仿宋" w:hAnsi="仿宋" w:eastAsia="仿宋"/>
          <w:b/>
          <w:color w:val="000000"/>
          <w:sz w:val="32"/>
          <w:szCs w:val="32"/>
          <w:lang w:val="en-US" w:eastAsia="zh-CN"/>
        </w:rPr>
        <w:t>206</w:t>
      </w:r>
      <w:r>
        <w:rPr>
          <w:rFonts w:hint="eastAsia" w:ascii="仿宋" w:hAnsi="仿宋" w:eastAsia="仿宋"/>
          <w:b/>
          <w:color w:val="000000"/>
          <w:sz w:val="32"/>
          <w:szCs w:val="32"/>
        </w:rPr>
        <w:t>）</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文化旅游体育与传媒（</w:t>
      </w:r>
      <w:r>
        <w:rPr>
          <w:rFonts w:hint="eastAsia" w:ascii="仿宋" w:hAnsi="仿宋" w:eastAsia="仿宋"/>
          <w:b/>
          <w:bCs/>
          <w:color w:val="000000"/>
          <w:sz w:val="32"/>
          <w:szCs w:val="32"/>
          <w:lang w:val="en-US" w:eastAsia="zh-CN"/>
        </w:rPr>
        <w:t>207</w:t>
      </w:r>
      <w:r>
        <w:rPr>
          <w:rFonts w:hint="eastAsia" w:ascii="仿宋" w:hAnsi="仿宋" w:eastAsia="仿宋"/>
          <w:b/>
          <w:bCs/>
          <w:color w:val="000000"/>
          <w:sz w:val="32"/>
          <w:szCs w:val="32"/>
        </w:rPr>
        <w:t>）支出</w:t>
      </w:r>
      <w:r>
        <w:rPr>
          <w:rFonts w:hint="eastAsia" w:ascii="仿宋" w:hAnsi="仿宋" w:eastAsia="仿宋"/>
          <w:b/>
          <w:bCs/>
          <w:color w:val="000000"/>
          <w:sz w:val="32"/>
          <w:szCs w:val="32"/>
          <w:lang w:val="en-US" w:eastAsia="zh-CN"/>
        </w:rPr>
        <w:t>0</w:t>
      </w:r>
      <w:r>
        <w:rPr>
          <w:rFonts w:hint="eastAsia" w:ascii="仿宋" w:hAnsi="仿宋" w:eastAsia="仿宋"/>
          <w:b/>
          <w:bCs/>
          <w:color w:val="000000"/>
          <w:sz w:val="32"/>
          <w:szCs w:val="32"/>
        </w:rPr>
        <w:t>万元，占</w:t>
      </w:r>
      <w:r>
        <w:rPr>
          <w:rFonts w:hint="eastAsia" w:ascii="仿宋" w:hAnsi="仿宋" w:eastAsia="仿宋"/>
          <w:b/>
          <w:bCs/>
          <w:color w:val="000000"/>
          <w:sz w:val="32"/>
          <w:szCs w:val="32"/>
          <w:lang w:val="en-US" w:eastAsia="zh-CN"/>
        </w:rPr>
        <w:t>0</w:t>
      </w:r>
      <w:r>
        <w:rPr>
          <w:rFonts w:ascii="仿宋" w:hAnsi="仿宋" w:eastAsia="仿宋"/>
          <w:b/>
          <w:bCs/>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社会保障和就业（</w:t>
      </w:r>
      <w:r>
        <w:rPr>
          <w:rFonts w:hint="eastAsia" w:ascii="仿宋" w:hAnsi="仿宋" w:eastAsia="仿宋"/>
          <w:b/>
          <w:color w:val="000000"/>
          <w:sz w:val="32"/>
          <w:szCs w:val="32"/>
          <w:lang w:val="en-US" w:eastAsia="zh-CN"/>
        </w:rPr>
        <w:t>208</w:t>
      </w:r>
      <w:r>
        <w:rPr>
          <w:rFonts w:hint="eastAsia" w:ascii="仿宋" w:hAnsi="仿宋" w:eastAsia="仿宋"/>
          <w:b/>
          <w:color w:val="000000"/>
          <w:sz w:val="32"/>
          <w:szCs w:val="32"/>
        </w:rPr>
        <w:t>）</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127.44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11.31</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卫生健康</w:t>
      </w:r>
      <w:r>
        <w:rPr>
          <w:rFonts w:hint="eastAsia" w:ascii="仿宋" w:hAnsi="仿宋" w:eastAsia="仿宋"/>
          <w:b/>
          <w:bCs/>
          <w:color w:val="000000"/>
          <w:sz w:val="32"/>
          <w:szCs w:val="32"/>
          <w:lang w:val="en-US" w:eastAsia="zh-CN"/>
        </w:rPr>
        <w:t>(210)</w:t>
      </w:r>
      <w:r>
        <w:rPr>
          <w:rFonts w:hint="eastAsia" w:ascii="仿宋" w:hAnsi="仿宋" w:eastAsia="仿宋"/>
          <w:b/>
          <w:bCs/>
          <w:color w:val="000000"/>
          <w:sz w:val="32"/>
          <w:szCs w:val="32"/>
        </w:rPr>
        <w:t>支出</w:t>
      </w:r>
      <w:r>
        <w:rPr>
          <w:rFonts w:hint="eastAsia" w:ascii="仿宋" w:hAnsi="仿宋" w:eastAsia="仿宋"/>
          <w:color w:val="000000"/>
          <w:sz w:val="32"/>
          <w:szCs w:val="32"/>
          <w:lang w:val="en-US" w:eastAsia="zh-CN"/>
        </w:rPr>
        <w:t>50.04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4.44</w:t>
      </w:r>
      <w:r>
        <w:rPr>
          <w:rFonts w:ascii="仿宋" w:hAnsi="仿宋" w:eastAsia="仿宋"/>
          <w:color w:val="000000"/>
          <w:sz w:val="32"/>
          <w:szCs w:val="32"/>
        </w:rPr>
        <w:t>%</w:t>
      </w:r>
      <w:r>
        <w:rPr>
          <w:rFonts w:hint="eastAsia" w:ascii="仿宋" w:hAnsi="仿宋" w:eastAsia="仿宋"/>
          <w:color w:val="000000"/>
          <w:sz w:val="32"/>
          <w:szCs w:val="32"/>
        </w:rPr>
        <w:t>；住房保障</w:t>
      </w:r>
      <w:r>
        <w:rPr>
          <w:rFonts w:hint="eastAsia" w:ascii="仿宋" w:hAnsi="仿宋" w:eastAsia="仿宋"/>
          <w:b/>
          <w:bCs/>
          <w:color w:val="000000"/>
          <w:sz w:val="32"/>
          <w:szCs w:val="32"/>
          <w:lang w:val="en-US" w:eastAsia="zh-CN"/>
        </w:rPr>
        <w:t>(221)</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74.34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6.60</w:t>
      </w:r>
      <w:r>
        <w:rPr>
          <w:rFonts w:ascii="仿宋" w:hAnsi="仿宋" w:eastAsia="仿宋"/>
          <w:color w:val="000000"/>
          <w:sz w:val="32"/>
          <w:szCs w:val="32"/>
        </w:rPr>
        <w:t>%</w:t>
      </w:r>
      <w:r>
        <w:rPr>
          <w:rFonts w:hint="eastAsia" w:ascii="仿宋" w:hAnsi="仿宋" w:eastAsia="仿宋"/>
          <w:color w:val="000000"/>
          <w:sz w:val="32"/>
          <w:szCs w:val="32"/>
        </w:rPr>
        <w:t>。</w:t>
      </w:r>
    </w:p>
    <w:p w14:paraId="16370E2C">
      <w:r>
        <w:drawing>
          <wp:inline distT="0" distB="0" distL="114300" distR="114300">
            <wp:extent cx="5330190" cy="2772410"/>
            <wp:effectExtent l="4445" t="4445" r="18415" b="23495"/>
            <wp:docPr id="2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BEBBDC">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14:paraId="3B4E4AC3">
      <w:pPr>
        <w:spacing w:line="600" w:lineRule="exact"/>
        <w:ind w:firstLine="643" w:firstLineChars="200"/>
        <w:outlineLvl w:val="2"/>
        <w:rPr>
          <w:rFonts w:ascii="仿宋" w:hAnsi="仿宋" w:eastAsia="仿宋"/>
          <w:b/>
          <w:color w:val="FF0000"/>
          <w:sz w:val="32"/>
          <w:szCs w:val="32"/>
        </w:rPr>
      </w:pPr>
      <w:bookmarkStart w:id="84" w:name="_Toc20452"/>
      <w:bookmarkStart w:id="85" w:name="_Toc79163867"/>
      <w:bookmarkStart w:id="86" w:name="_Toc79163617"/>
      <w:bookmarkStart w:id="87" w:name="_Toc15377212"/>
      <w:bookmarkStart w:id="88" w:name="_Toc21011"/>
      <w:r>
        <w:rPr>
          <w:rFonts w:hint="eastAsia" w:ascii="仿宋" w:hAnsi="仿宋" w:eastAsia="仿宋"/>
          <w:b/>
          <w:color w:val="000000"/>
          <w:sz w:val="32"/>
          <w:szCs w:val="32"/>
        </w:rPr>
        <w:t>（三）</w:t>
      </w:r>
      <w:r>
        <w:rPr>
          <w:rFonts w:hint="eastAsia" w:ascii="仿宋" w:hAnsi="仿宋" w:eastAsia="仿宋"/>
          <w:b/>
          <w:color w:val="000000" w:themeColor="text1"/>
          <w:sz w:val="32"/>
          <w:szCs w:val="32"/>
          <w14:textFill>
            <w14:solidFill>
              <w14:schemeClr w14:val="tx1"/>
            </w14:solidFill>
          </w14:textFill>
        </w:rPr>
        <w:t>一般公共预算财政拨款支出决算具体情况</w:t>
      </w:r>
      <w:bookmarkEnd w:id="84"/>
      <w:bookmarkEnd w:id="85"/>
      <w:bookmarkEnd w:id="86"/>
      <w:bookmarkEnd w:id="87"/>
      <w:bookmarkEnd w:id="88"/>
    </w:p>
    <w:p w14:paraId="6C0296A3">
      <w:pPr>
        <w:spacing w:line="600" w:lineRule="exact"/>
        <w:ind w:firstLine="643" w:firstLineChars="200"/>
        <w:rPr>
          <w:rFonts w:ascii="仿宋_GB2312" w:eastAsia="仿宋_GB2312"/>
          <w:b/>
          <w:bCs/>
          <w:sz w:val="32"/>
          <w:szCs w:val="32"/>
        </w:rPr>
      </w:pPr>
      <w:bookmarkStart w:id="89" w:name="_Toc15377213"/>
      <w:bookmarkStart w:id="90" w:name="_Toc15377444"/>
      <w:bookmarkStart w:id="91" w:name="_Toc15378460"/>
      <w:r>
        <w:rPr>
          <w:rFonts w:ascii="仿宋_GB2312" w:eastAsia="仿宋_GB2312"/>
          <w:b/>
          <w:bCs/>
          <w:sz w:val="32"/>
          <w:szCs w:val="32"/>
        </w:rPr>
        <w:t>202</w:t>
      </w:r>
      <w:r>
        <w:rPr>
          <w:rFonts w:hint="eastAsia" w:ascii="仿宋_GB2312" w:eastAsia="仿宋_GB2312"/>
          <w:b/>
          <w:bCs/>
          <w:sz w:val="32"/>
          <w:szCs w:val="32"/>
          <w:lang w:val="en-US" w:eastAsia="zh-CN"/>
        </w:rPr>
        <w:t>5</w:t>
      </w:r>
      <w:r>
        <w:rPr>
          <w:rFonts w:hint="eastAsia" w:ascii="仿宋_GB2312" w:eastAsia="仿宋_GB2312"/>
          <w:b/>
          <w:bCs/>
          <w:sz w:val="32"/>
          <w:szCs w:val="32"/>
        </w:rPr>
        <w:t>年一般公共预算支出决算数为</w:t>
      </w:r>
      <w:r>
        <w:rPr>
          <w:rFonts w:hint="eastAsia" w:ascii="仿宋_GB2312" w:eastAsia="仿宋_GB2312"/>
          <w:b/>
          <w:bCs/>
          <w:sz w:val="32"/>
          <w:szCs w:val="32"/>
          <w:lang w:val="en-US" w:eastAsia="zh-CN"/>
        </w:rPr>
        <w:t>1127.09万元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89"/>
      <w:bookmarkEnd w:id="90"/>
      <w:bookmarkEnd w:id="91"/>
    </w:p>
    <w:p w14:paraId="1AC08463">
      <w:pPr>
        <w:spacing w:line="600" w:lineRule="exact"/>
        <w:ind w:left="638" w:leftChars="304" w:firstLine="0" w:firstLineChars="0"/>
        <w:rPr>
          <w:rStyle w:val="18"/>
          <w:rFonts w:hint="eastAsia" w:ascii="仿宋" w:hAnsi="仿宋" w:eastAsia="仿宋"/>
          <w:b w:val="0"/>
          <w:bCs/>
          <w:color w:val="000000"/>
          <w:sz w:val="32"/>
          <w:szCs w:val="32"/>
          <w:lang w:eastAsia="zh-CN"/>
        </w:rPr>
      </w:pPr>
      <w:r>
        <w:rPr>
          <w:rStyle w:val="18"/>
          <w:rFonts w:hint="eastAsia" w:ascii="仿宋" w:hAnsi="仿宋" w:eastAsia="仿宋"/>
          <w:bCs/>
          <w:color w:val="000000"/>
          <w:sz w:val="32"/>
          <w:szCs w:val="32"/>
          <w:lang w:val="en-US" w:eastAsia="zh-CN"/>
        </w:rPr>
        <w:t>1</w:t>
      </w:r>
      <w:r>
        <w:rPr>
          <w:rStyle w:val="18"/>
          <w:rFonts w:hint="eastAsia" w:ascii="仿宋" w:hAnsi="仿宋" w:eastAsia="仿宋"/>
          <w:bCs/>
          <w:color w:val="000000"/>
          <w:sz w:val="32"/>
          <w:szCs w:val="32"/>
          <w:lang w:eastAsia="zh-CN"/>
        </w:rPr>
        <w:t>公共安全支出</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875.26</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p>
    <w:p w14:paraId="17F1AA7E">
      <w:pPr>
        <w:spacing w:line="600" w:lineRule="exact"/>
        <w:ind w:left="638" w:leftChars="304" w:firstLine="0" w:firstLineChars="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204公共安全支出875.26万元</w:t>
      </w:r>
    </w:p>
    <w:p w14:paraId="35DEDBFD">
      <w:pPr>
        <w:spacing w:line="600" w:lineRule="exact"/>
        <w:ind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20406司法支出</w:t>
      </w:r>
      <w:r>
        <w:rPr>
          <w:rStyle w:val="18"/>
          <w:rFonts w:hint="eastAsia" w:ascii="仿宋" w:hAnsi="仿宋" w:eastAsia="仿宋"/>
          <w:b w:val="0"/>
          <w:bCs/>
          <w:color w:val="000000"/>
          <w:sz w:val="32"/>
          <w:szCs w:val="32"/>
          <w:lang w:val="en-US" w:eastAsia="zh-CN"/>
        </w:rPr>
        <w:t>875.26</w:t>
      </w:r>
      <w:r>
        <w:rPr>
          <w:rStyle w:val="18"/>
          <w:rFonts w:hint="eastAsia" w:ascii="仿宋" w:hAnsi="仿宋" w:eastAsia="仿宋"/>
          <w:b w:val="0"/>
          <w:bCs/>
          <w:color w:val="auto"/>
          <w:sz w:val="32"/>
          <w:szCs w:val="32"/>
          <w:lang w:val="en-US" w:eastAsia="zh-CN"/>
        </w:rPr>
        <w:t>万元</w:t>
      </w:r>
    </w:p>
    <w:p w14:paraId="0E6D0B9B">
      <w:pPr>
        <w:spacing w:line="600" w:lineRule="exact"/>
        <w:ind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2040601行政运行671.48万元</w:t>
      </w:r>
    </w:p>
    <w:p w14:paraId="600726F9">
      <w:pPr>
        <w:spacing w:line="600" w:lineRule="exact"/>
        <w:ind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2040602一般行政管理事务64.19万元</w:t>
      </w:r>
    </w:p>
    <w:p w14:paraId="7DAC9C45">
      <w:pPr>
        <w:spacing w:line="600" w:lineRule="exact"/>
        <w:ind w:firstLine="640" w:firstLineChars="200"/>
        <w:rPr>
          <w:rFonts w:hint="eastAsia"/>
          <w:lang w:val="en-US" w:eastAsia="zh-CN"/>
        </w:rPr>
      </w:pPr>
      <w:r>
        <w:rPr>
          <w:rStyle w:val="18"/>
          <w:rFonts w:hint="eastAsia" w:ascii="仿宋" w:hAnsi="仿宋" w:eastAsia="仿宋"/>
          <w:b w:val="0"/>
          <w:bCs/>
          <w:color w:val="auto"/>
          <w:sz w:val="32"/>
          <w:szCs w:val="32"/>
          <w:lang w:val="en-US" w:eastAsia="zh-CN"/>
        </w:rPr>
        <w:t>2040604基层司法业务25.62万元</w:t>
      </w:r>
    </w:p>
    <w:p w14:paraId="59C81F83">
      <w:pPr>
        <w:spacing w:line="600" w:lineRule="exact"/>
        <w:ind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2040605普法宣传7.13万元</w:t>
      </w:r>
    </w:p>
    <w:p w14:paraId="695B5F48">
      <w:pPr>
        <w:spacing w:line="600" w:lineRule="exact"/>
        <w:ind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2040607公共法律服务12.01万元</w:t>
      </w:r>
    </w:p>
    <w:p w14:paraId="533C0DF7">
      <w:pPr>
        <w:pStyle w:val="6"/>
        <w:ind w:left="0" w:leftChars="0"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2040610 社区矫正3.19万元</w:t>
      </w:r>
    </w:p>
    <w:p w14:paraId="319FEC8B">
      <w:pPr>
        <w:pStyle w:val="6"/>
        <w:ind w:left="0" w:leftChars="0" w:firstLine="640" w:firstLineChars="200"/>
        <w:rPr>
          <w:rStyle w:val="18"/>
          <w:rFonts w:hint="default"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2040612 法制建设6.85万元</w:t>
      </w:r>
    </w:p>
    <w:p w14:paraId="7A2E33D8">
      <w:pPr>
        <w:pStyle w:val="6"/>
        <w:ind w:left="0" w:leftChars="0" w:firstLine="640" w:firstLineChars="20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2040650 事业运行84.79万元</w:t>
      </w:r>
    </w:p>
    <w:p w14:paraId="67C1C410">
      <w:pPr>
        <w:numPr>
          <w:ilvl w:val="0"/>
          <w:numId w:val="0"/>
        </w:num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2.</w:t>
      </w:r>
      <w:r>
        <w:rPr>
          <w:rStyle w:val="18"/>
          <w:rFonts w:hint="eastAsia" w:ascii="仿宋" w:hAnsi="仿宋" w:eastAsia="仿宋"/>
          <w:bCs/>
          <w:color w:val="000000"/>
          <w:sz w:val="32"/>
          <w:szCs w:val="32"/>
        </w:rPr>
        <w:t>教育</w:t>
      </w:r>
      <w:r>
        <w:rPr>
          <w:rStyle w:val="18"/>
          <w:rFonts w:hint="eastAsia" w:ascii="仿宋" w:hAnsi="仿宋" w:eastAsia="仿宋"/>
          <w:bCs/>
          <w:color w:val="000000"/>
          <w:sz w:val="32"/>
          <w:szCs w:val="32"/>
          <w:lang w:val="en-US" w:eastAsia="zh-CN"/>
        </w:rPr>
        <w:t>205</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0</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3D0EFFA0">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3.</w:t>
      </w:r>
      <w:r>
        <w:rPr>
          <w:rStyle w:val="18"/>
          <w:rFonts w:hint="eastAsia" w:ascii="仿宋" w:hAnsi="仿宋" w:eastAsia="仿宋"/>
          <w:bCs/>
          <w:color w:val="000000"/>
          <w:sz w:val="32"/>
          <w:szCs w:val="32"/>
        </w:rPr>
        <w:t>科学技术</w:t>
      </w:r>
      <w:r>
        <w:rPr>
          <w:rStyle w:val="18"/>
          <w:rFonts w:hint="eastAsia" w:ascii="仿宋" w:hAnsi="仿宋" w:eastAsia="仿宋"/>
          <w:bCs/>
          <w:color w:val="000000"/>
          <w:sz w:val="32"/>
          <w:szCs w:val="32"/>
          <w:lang w:val="en-US" w:eastAsia="zh-CN"/>
        </w:rPr>
        <w:t>206</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0</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BE33344">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4.</w:t>
      </w:r>
      <w:r>
        <w:rPr>
          <w:rStyle w:val="18"/>
          <w:rFonts w:hint="eastAsia" w:ascii="仿宋" w:hAnsi="仿宋" w:eastAsia="仿宋"/>
          <w:bCs/>
          <w:color w:val="000000"/>
          <w:sz w:val="32"/>
          <w:szCs w:val="32"/>
        </w:rPr>
        <w:t>文化旅游体育与传媒</w:t>
      </w:r>
      <w:r>
        <w:rPr>
          <w:rStyle w:val="18"/>
          <w:rFonts w:hint="eastAsia" w:ascii="仿宋" w:hAnsi="仿宋" w:eastAsia="仿宋"/>
          <w:bCs/>
          <w:color w:val="000000"/>
          <w:sz w:val="32"/>
          <w:szCs w:val="32"/>
          <w:lang w:val="en-US" w:eastAsia="zh-CN"/>
        </w:rPr>
        <w:t>207</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0</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58A0FA8D">
      <w:pPr>
        <w:spacing w:line="600" w:lineRule="exact"/>
        <w:ind w:firstLine="643" w:firstLineChars="200"/>
        <w:rPr>
          <w:rStyle w:val="18"/>
          <w:rFonts w:hint="eastAsia" w:ascii="仿宋" w:hAnsi="仿宋" w:eastAsia="仿宋"/>
          <w:b w:val="0"/>
          <w:bCs/>
          <w:color w:val="000000"/>
          <w:sz w:val="32"/>
          <w:szCs w:val="32"/>
        </w:rPr>
      </w:pPr>
      <w:r>
        <w:rPr>
          <w:rStyle w:val="18"/>
          <w:rFonts w:ascii="仿宋" w:hAnsi="仿宋" w:eastAsia="仿宋"/>
          <w:bCs/>
          <w:color w:val="000000"/>
          <w:sz w:val="32"/>
          <w:szCs w:val="32"/>
        </w:rPr>
        <w:t>5.</w:t>
      </w:r>
      <w:r>
        <w:rPr>
          <w:rStyle w:val="18"/>
          <w:rFonts w:hint="eastAsia" w:ascii="仿宋" w:hAnsi="仿宋" w:eastAsia="仿宋"/>
          <w:bCs/>
          <w:color w:val="000000"/>
          <w:sz w:val="32"/>
          <w:szCs w:val="32"/>
        </w:rPr>
        <w:t>社会保障和就业</w:t>
      </w:r>
      <w:r>
        <w:rPr>
          <w:rStyle w:val="18"/>
          <w:rFonts w:hint="eastAsia" w:ascii="仿宋" w:hAnsi="仿宋" w:eastAsia="仿宋"/>
          <w:bCs/>
          <w:color w:val="000000"/>
          <w:sz w:val="32"/>
          <w:szCs w:val="32"/>
          <w:lang w:eastAsia="zh-CN"/>
        </w:rPr>
        <w:t>支出</w:t>
      </w:r>
      <w:r>
        <w:rPr>
          <w:rStyle w:val="18"/>
          <w:rFonts w:hint="eastAsia" w:ascii="仿宋" w:hAnsi="仿宋" w:eastAsia="仿宋"/>
          <w:bCs/>
          <w:color w:val="000000"/>
          <w:sz w:val="32"/>
          <w:szCs w:val="32"/>
          <w:lang w:val="en-US" w:eastAsia="zh-CN"/>
        </w:rPr>
        <w:t>208</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127.44</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1F8AA1FD">
      <w:pPr>
        <w:numPr>
          <w:ilvl w:val="0"/>
          <w:numId w:val="0"/>
        </w:numPr>
        <w:spacing w:line="600" w:lineRule="exact"/>
        <w:ind w:firstLine="64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208社会保障和就业支出127.44万元</w:t>
      </w:r>
    </w:p>
    <w:p w14:paraId="43A80230">
      <w:pPr>
        <w:numPr>
          <w:ilvl w:val="0"/>
          <w:numId w:val="0"/>
        </w:numPr>
        <w:spacing w:line="600" w:lineRule="exact"/>
        <w:ind w:firstLine="64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20805行政事业单位养老支出127.44万元</w:t>
      </w:r>
    </w:p>
    <w:p w14:paraId="6D58488C">
      <w:pPr>
        <w:numPr>
          <w:ilvl w:val="0"/>
          <w:numId w:val="0"/>
        </w:numPr>
        <w:spacing w:line="600" w:lineRule="exact"/>
        <w:ind w:firstLine="640"/>
        <w:rPr>
          <w:rStyle w:val="18"/>
          <w:rFonts w:hint="eastAsia" w:ascii="仿宋" w:hAnsi="仿宋" w:eastAsia="仿宋"/>
          <w:b w:val="0"/>
          <w:bCs/>
          <w:color w:val="auto"/>
          <w:sz w:val="32"/>
          <w:szCs w:val="32"/>
          <w:lang w:val="en-US" w:eastAsia="zh-CN"/>
        </w:rPr>
      </w:pPr>
      <w:r>
        <w:rPr>
          <w:rStyle w:val="18"/>
          <w:rFonts w:hint="eastAsia" w:ascii="仿宋" w:hAnsi="仿宋" w:eastAsia="仿宋"/>
          <w:b w:val="0"/>
          <w:bCs/>
          <w:color w:val="auto"/>
          <w:sz w:val="32"/>
          <w:szCs w:val="32"/>
          <w:lang w:val="en-US" w:eastAsia="zh-CN"/>
        </w:rPr>
        <w:t>2080505机构事业单位基本养老保险缴费支出84.96万元</w:t>
      </w:r>
    </w:p>
    <w:p w14:paraId="72DD7A6B">
      <w:pPr>
        <w:numPr>
          <w:ilvl w:val="0"/>
          <w:numId w:val="0"/>
        </w:numPr>
        <w:spacing w:line="600" w:lineRule="exact"/>
        <w:ind w:firstLine="640"/>
      </w:pPr>
      <w:r>
        <w:rPr>
          <w:rStyle w:val="18"/>
          <w:rFonts w:hint="eastAsia" w:ascii="仿宋" w:hAnsi="仿宋" w:eastAsia="仿宋"/>
          <w:b w:val="0"/>
          <w:bCs/>
          <w:color w:val="auto"/>
          <w:sz w:val="32"/>
          <w:szCs w:val="32"/>
          <w:lang w:val="en-US" w:eastAsia="zh-CN"/>
        </w:rPr>
        <w:t>2080506机构事业单位职业年金缴费支出42.48万元</w:t>
      </w:r>
    </w:p>
    <w:p w14:paraId="0D0B1D89">
      <w:pPr>
        <w:numPr>
          <w:ilvl w:val="0"/>
          <w:numId w:val="0"/>
        </w:numPr>
        <w:spacing w:line="600" w:lineRule="exact"/>
        <w:ind w:firstLine="643" w:firstLineChars="200"/>
        <w:rPr>
          <w:rStyle w:val="18"/>
          <w:rFonts w:hint="eastAsia" w:ascii="仿宋" w:hAnsi="仿宋" w:eastAsia="仿宋"/>
          <w:b w:val="0"/>
          <w:bCs/>
          <w:color w:val="auto"/>
          <w:sz w:val="32"/>
          <w:szCs w:val="32"/>
          <w:lang w:eastAsia="zh-CN"/>
        </w:rPr>
      </w:pPr>
      <w:r>
        <w:rPr>
          <w:rStyle w:val="18"/>
          <w:rFonts w:ascii="仿宋" w:hAnsi="仿宋" w:eastAsia="仿宋"/>
          <w:bCs/>
          <w:color w:val="000000"/>
          <w:sz w:val="32"/>
          <w:szCs w:val="32"/>
        </w:rPr>
        <w:t>6.</w:t>
      </w:r>
      <w:r>
        <w:rPr>
          <w:rStyle w:val="18"/>
          <w:rFonts w:hint="eastAsia" w:ascii="仿宋" w:hAnsi="仿宋" w:eastAsia="仿宋"/>
          <w:bCs/>
          <w:color w:val="auto"/>
          <w:sz w:val="32"/>
          <w:szCs w:val="32"/>
          <w:lang w:val="en-US" w:eastAsia="zh-CN"/>
        </w:rPr>
        <w:t>卫生健康类</w:t>
      </w:r>
      <w:r>
        <w:rPr>
          <w:rStyle w:val="18"/>
          <w:rFonts w:hint="eastAsia" w:ascii="仿宋" w:hAnsi="仿宋" w:eastAsia="仿宋"/>
          <w:bCs/>
          <w:color w:val="auto"/>
          <w:sz w:val="32"/>
          <w:szCs w:val="32"/>
          <w:lang w:eastAsia="zh-CN"/>
        </w:rPr>
        <w:t>支出</w:t>
      </w:r>
      <w:r>
        <w:rPr>
          <w:rStyle w:val="18"/>
          <w:rFonts w:ascii="仿宋" w:hAnsi="仿宋" w:eastAsia="仿宋"/>
          <w:bCs/>
          <w:color w:val="auto"/>
          <w:sz w:val="32"/>
          <w:szCs w:val="32"/>
        </w:rPr>
        <w:t>:</w:t>
      </w:r>
      <w:r>
        <w:rPr>
          <w:rStyle w:val="18"/>
          <w:rFonts w:hint="eastAsia" w:ascii="仿宋" w:hAnsi="仿宋" w:eastAsia="仿宋"/>
          <w:b w:val="0"/>
          <w:bCs/>
          <w:color w:val="auto"/>
          <w:sz w:val="32"/>
          <w:szCs w:val="32"/>
        </w:rPr>
        <w:t>支出决算为</w:t>
      </w:r>
      <w:r>
        <w:rPr>
          <w:rStyle w:val="18"/>
          <w:rFonts w:hint="eastAsia" w:ascii="仿宋" w:hAnsi="仿宋" w:eastAsia="仿宋"/>
          <w:b w:val="0"/>
          <w:bCs/>
          <w:color w:val="auto"/>
          <w:sz w:val="32"/>
          <w:szCs w:val="32"/>
          <w:lang w:val="en-US" w:eastAsia="zh-CN"/>
        </w:rPr>
        <w:t>50.04</w:t>
      </w:r>
      <w:r>
        <w:rPr>
          <w:rStyle w:val="18"/>
          <w:rFonts w:hint="eastAsia" w:ascii="仿宋" w:hAnsi="仿宋" w:eastAsia="仿宋"/>
          <w:b w:val="0"/>
          <w:bCs/>
          <w:color w:val="auto"/>
          <w:sz w:val="32"/>
          <w:szCs w:val="32"/>
        </w:rPr>
        <w:t>万元，完成预算</w:t>
      </w:r>
      <w:r>
        <w:rPr>
          <w:rStyle w:val="18"/>
          <w:rFonts w:hint="eastAsia" w:ascii="仿宋" w:hAnsi="仿宋" w:eastAsia="仿宋"/>
          <w:b w:val="0"/>
          <w:bCs/>
          <w:color w:val="auto"/>
          <w:sz w:val="32"/>
          <w:szCs w:val="32"/>
          <w:lang w:val="en-US" w:eastAsia="zh-CN"/>
        </w:rPr>
        <w:t>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lang w:eastAsia="zh-CN"/>
        </w:rPr>
        <w:t>。</w:t>
      </w:r>
    </w:p>
    <w:p w14:paraId="5CF9F6FA">
      <w:pPr>
        <w:numPr>
          <w:ilvl w:val="0"/>
          <w:numId w:val="0"/>
        </w:numPr>
        <w:spacing w:line="600" w:lineRule="exact"/>
        <w:ind w:leftChars="200" w:firstLine="320" w:firstLineChars="100"/>
        <w:rPr>
          <w:rStyle w:val="18"/>
          <w:rFonts w:hint="eastAsia" w:ascii="仿宋" w:hAnsi="仿宋" w:eastAsia="仿宋"/>
          <w:b w:val="0"/>
          <w:bCs w:val="0"/>
          <w:color w:val="auto"/>
          <w:sz w:val="32"/>
          <w:szCs w:val="32"/>
          <w:lang w:val="en-US" w:eastAsia="zh-CN"/>
        </w:rPr>
      </w:pPr>
      <w:r>
        <w:rPr>
          <w:rStyle w:val="18"/>
          <w:rFonts w:hint="eastAsia" w:ascii="仿宋" w:hAnsi="仿宋" w:eastAsia="仿宋"/>
          <w:b w:val="0"/>
          <w:bCs/>
          <w:color w:val="auto"/>
          <w:sz w:val="32"/>
          <w:szCs w:val="32"/>
          <w:lang w:val="en-US" w:eastAsia="zh-CN"/>
        </w:rPr>
        <w:t>210</w:t>
      </w:r>
      <w:r>
        <w:rPr>
          <w:rStyle w:val="18"/>
          <w:rFonts w:hint="eastAsia" w:ascii="仿宋" w:hAnsi="仿宋" w:eastAsia="仿宋"/>
          <w:b w:val="0"/>
          <w:bCs w:val="0"/>
          <w:color w:val="auto"/>
          <w:sz w:val="32"/>
          <w:szCs w:val="32"/>
        </w:rPr>
        <w:t>卫生</w:t>
      </w:r>
      <w:r>
        <w:rPr>
          <w:rStyle w:val="18"/>
          <w:rFonts w:hint="eastAsia" w:ascii="仿宋" w:hAnsi="仿宋" w:eastAsia="仿宋"/>
          <w:b w:val="0"/>
          <w:bCs w:val="0"/>
          <w:color w:val="auto"/>
          <w:sz w:val="32"/>
          <w:szCs w:val="32"/>
          <w:lang w:eastAsia="zh-CN"/>
        </w:rPr>
        <w:t>健康支出</w:t>
      </w:r>
      <w:r>
        <w:rPr>
          <w:rStyle w:val="18"/>
          <w:rFonts w:hint="eastAsia" w:ascii="仿宋" w:hAnsi="仿宋" w:eastAsia="仿宋"/>
          <w:b w:val="0"/>
          <w:bCs/>
          <w:color w:val="auto"/>
          <w:sz w:val="32"/>
          <w:szCs w:val="32"/>
          <w:lang w:val="en-US" w:eastAsia="zh-CN"/>
        </w:rPr>
        <w:t>50.04</w:t>
      </w:r>
      <w:r>
        <w:rPr>
          <w:rStyle w:val="18"/>
          <w:rFonts w:hint="eastAsia" w:ascii="仿宋" w:hAnsi="仿宋" w:eastAsia="仿宋"/>
          <w:b w:val="0"/>
          <w:bCs w:val="0"/>
          <w:color w:val="auto"/>
          <w:sz w:val="32"/>
          <w:szCs w:val="32"/>
          <w:lang w:val="en-US" w:eastAsia="zh-CN"/>
        </w:rPr>
        <w:t>万元</w:t>
      </w:r>
    </w:p>
    <w:p w14:paraId="11F8DBAA">
      <w:pPr>
        <w:numPr>
          <w:ilvl w:val="0"/>
          <w:numId w:val="0"/>
        </w:numPr>
        <w:spacing w:line="600" w:lineRule="exact"/>
        <w:ind w:leftChars="200" w:firstLine="320" w:firstLineChars="100"/>
        <w:rPr>
          <w:rStyle w:val="18"/>
          <w:rFonts w:hint="eastAsia" w:ascii="仿宋" w:hAnsi="仿宋" w:eastAsia="仿宋"/>
          <w:b w:val="0"/>
          <w:bCs w:val="0"/>
          <w:color w:val="auto"/>
          <w:sz w:val="32"/>
          <w:szCs w:val="32"/>
          <w:lang w:val="en-US" w:eastAsia="zh-CN"/>
        </w:rPr>
      </w:pPr>
      <w:r>
        <w:rPr>
          <w:rStyle w:val="18"/>
          <w:rFonts w:hint="eastAsia" w:ascii="仿宋" w:hAnsi="仿宋" w:eastAsia="仿宋"/>
          <w:b w:val="0"/>
          <w:bCs w:val="0"/>
          <w:color w:val="auto"/>
          <w:sz w:val="32"/>
          <w:szCs w:val="32"/>
          <w:lang w:val="en-US" w:eastAsia="zh-CN"/>
        </w:rPr>
        <w:t>21011行政事业单位医疗</w:t>
      </w:r>
      <w:r>
        <w:rPr>
          <w:rStyle w:val="18"/>
          <w:rFonts w:hint="eastAsia" w:ascii="仿宋" w:hAnsi="仿宋" w:eastAsia="仿宋"/>
          <w:b w:val="0"/>
          <w:bCs/>
          <w:color w:val="auto"/>
          <w:sz w:val="32"/>
          <w:szCs w:val="32"/>
          <w:lang w:val="en-US" w:eastAsia="zh-CN"/>
        </w:rPr>
        <w:t>50.04</w:t>
      </w:r>
      <w:r>
        <w:rPr>
          <w:rStyle w:val="18"/>
          <w:rFonts w:hint="eastAsia" w:ascii="仿宋" w:hAnsi="仿宋" w:eastAsia="仿宋"/>
          <w:b w:val="0"/>
          <w:bCs w:val="0"/>
          <w:color w:val="auto"/>
          <w:sz w:val="32"/>
          <w:szCs w:val="32"/>
          <w:lang w:val="en-US" w:eastAsia="zh-CN"/>
        </w:rPr>
        <w:t>万元</w:t>
      </w:r>
    </w:p>
    <w:p w14:paraId="3E8AE84C">
      <w:pPr>
        <w:numPr>
          <w:ilvl w:val="0"/>
          <w:numId w:val="0"/>
        </w:numPr>
        <w:spacing w:line="600" w:lineRule="exact"/>
        <w:ind w:leftChars="200" w:firstLine="320" w:firstLineChars="100"/>
        <w:rPr>
          <w:rStyle w:val="18"/>
          <w:rFonts w:hint="eastAsia" w:ascii="仿宋" w:hAnsi="仿宋" w:eastAsia="仿宋"/>
          <w:b w:val="0"/>
          <w:bCs w:val="0"/>
          <w:color w:val="auto"/>
          <w:sz w:val="32"/>
          <w:szCs w:val="32"/>
          <w:lang w:val="en-US" w:eastAsia="zh-CN"/>
        </w:rPr>
      </w:pPr>
      <w:r>
        <w:rPr>
          <w:rStyle w:val="18"/>
          <w:rFonts w:hint="eastAsia" w:ascii="仿宋" w:hAnsi="仿宋" w:eastAsia="仿宋"/>
          <w:b w:val="0"/>
          <w:bCs w:val="0"/>
          <w:color w:val="auto"/>
          <w:sz w:val="32"/>
          <w:szCs w:val="32"/>
          <w:lang w:val="en-US" w:eastAsia="zh-CN"/>
        </w:rPr>
        <w:t>2101101行政单位医疗37.88万元</w:t>
      </w:r>
    </w:p>
    <w:p w14:paraId="040D2FA9">
      <w:pPr>
        <w:numPr>
          <w:ilvl w:val="0"/>
          <w:numId w:val="0"/>
        </w:numPr>
        <w:spacing w:line="600" w:lineRule="exact"/>
        <w:ind w:leftChars="200" w:firstLine="320" w:firstLineChars="100"/>
        <w:rPr>
          <w:rStyle w:val="18"/>
          <w:rFonts w:hint="default" w:ascii="仿宋" w:hAnsi="仿宋" w:eastAsia="仿宋"/>
          <w:b w:val="0"/>
          <w:bCs w:val="0"/>
          <w:color w:val="auto"/>
          <w:sz w:val="32"/>
          <w:szCs w:val="32"/>
          <w:lang w:val="en-US" w:eastAsia="zh-CN"/>
        </w:rPr>
      </w:pPr>
      <w:r>
        <w:rPr>
          <w:rStyle w:val="18"/>
          <w:rFonts w:hint="eastAsia" w:ascii="仿宋" w:hAnsi="仿宋" w:eastAsia="仿宋"/>
          <w:b w:val="0"/>
          <w:bCs w:val="0"/>
          <w:color w:val="auto"/>
          <w:sz w:val="32"/>
          <w:szCs w:val="32"/>
          <w:lang w:val="en-US" w:eastAsia="zh-CN"/>
        </w:rPr>
        <w:t>2101102 事业单位医疗3.97万元</w:t>
      </w:r>
    </w:p>
    <w:p w14:paraId="34EFECA9">
      <w:pPr>
        <w:numPr>
          <w:ilvl w:val="0"/>
          <w:numId w:val="0"/>
        </w:numPr>
        <w:spacing w:line="600" w:lineRule="exact"/>
        <w:ind w:leftChars="200" w:firstLine="320" w:firstLineChars="100"/>
        <w:rPr>
          <w:rStyle w:val="18"/>
          <w:rFonts w:hint="eastAsia" w:ascii="仿宋" w:hAnsi="仿宋" w:eastAsia="仿宋"/>
          <w:b w:val="0"/>
          <w:bCs w:val="0"/>
          <w:color w:val="auto"/>
          <w:sz w:val="32"/>
          <w:szCs w:val="32"/>
          <w:lang w:val="en-US" w:eastAsia="zh-CN"/>
        </w:rPr>
      </w:pPr>
      <w:r>
        <w:rPr>
          <w:rStyle w:val="18"/>
          <w:rFonts w:hint="eastAsia" w:ascii="仿宋" w:hAnsi="仿宋" w:eastAsia="仿宋"/>
          <w:b w:val="0"/>
          <w:bCs w:val="0"/>
          <w:color w:val="auto"/>
          <w:sz w:val="32"/>
          <w:szCs w:val="32"/>
          <w:lang w:val="en-US" w:eastAsia="zh-CN"/>
        </w:rPr>
        <w:t>2101103公务员医疗补助6.75万元</w:t>
      </w:r>
    </w:p>
    <w:p w14:paraId="0DBB4F29">
      <w:pPr>
        <w:spacing w:line="600" w:lineRule="exact"/>
        <w:ind w:firstLine="640" w:firstLineChars="200"/>
        <w:rPr>
          <w:rStyle w:val="18"/>
          <w:rFonts w:hint="eastAsia" w:ascii="仿宋" w:hAnsi="仿宋" w:eastAsia="仿宋"/>
          <w:b w:val="0"/>
          <w:bCs w:val="0"/>
          <w:color w:val="auto"/>
          <w:sz w:val="32"/>
          <w:szCs w:val="32"/>
          <w:lang w:val="en-US" w:eastAsia="zh-CN"/>
        </w:rPr>
      </w:pPr>
      <w:r>
        <w:rPr>
          <w:rStyle w:val="18"/>
          <w:rFonts w:hint="eastAsia" w:ascii="仿宋" w:hAnsi="仿宋" w:eastAsia="仿宋"/>
          <w:b w:val="0"/>
          <w:bCs w:val="0"/>
          <w:color w:val="auto"/>
          <w:sz w:val="32"/>
          <w:szCs w:val="32"/>
          <w:lang w:val="en-US" w:eastAsia="zh-CN"/>
        </w:rPr>
        <w:t>2101199其他行政事业单位医疗支出1.44万元</w:t>
      </w:r>
    </w:p>
    <w:p w14:paraId="3B542296">
      <w:pPr>
        <w:spacing w:line="600" w:lineRule="exact"/>
        <w:ind w:firstLine="643" w:firstLineChars="200"/>
        <w:rPr>
          <w:rStyle w:val="18"/>
          <w:rFonts w:hint="eastAsia" w:ascii="仿宋" w:hAnsi="仿宋" w:eastAsia="仿宋"/>
          <w:b w:val="0"/>
          <w:bCs/>
          <w:color w:val="auto"/>
          <w:sz w:val="32"/>
          <w:szCs w:val="32"/>
          <w:lang w:eastAsia="zh-CN"/>
        </w:rPr>
      </w:pPr>
      <w:r>
        <w:rPr>
          <w:rFonts w:hint="eastAsia" w:ascii="仿宋" w:hAnsi="仿宋" w:eastAsia="仿宋"/>
          <w:b/>
          <w:bCs/>
          <w:color w:val="auto"/>
          <w:sz w:val="32"/>
          <w:szCs w:val="32"/>
          <w:lang w:val="en-US" w:eastAsia="zh-CN"/>
        </w:rPr>
        <w:t>7、</w:t>
      </w:r>
      <w:r>
        <w:rPr>
          <w:rFonts w:hint="eastAsia" w:ascii="仿宋" w:hAnsi="仿宋" w:eastAsia="仿宋"/>
          <w:b/>
          <w:bCs/>
          <w:color w:val="auto"/>
          <w:sz w:val="32"/>
          <w:szCs w:val="32"/>
        </w:rPr>
        <w:t>住房保障支出</w:t>
      </w:r>
      <w:r>
        <w:rPr>
          <w:rFonts w:hint="eastAsia" w:ascii="仿宋" w:hAnsi="仿宋" w:eastAsia="仿宋"/>
          <w:b/>
          <w:bCs/>
          <w:color w:val="auto"/>
          <w:sz w:val="32"/>
          <w:szCs w:val="32"/>
          <w:lang w:val="en-US" w:eastAsia="zh-CN"/>
        </w:rPr>
        <w:t>74.34</w:t>
      </w:r>
      <w:r>
        <w:rPr>
          <w:rFonts w:hint="eastAsia" w:ascii="仿宋" w:hAnsi="仿宋" w:eastAsia="仿宋"/>
          <w:color w:val="auto"/>
          <w:sz w:val="32"/>
          <w:szCs w:val="32"/>
        </w:rPr>
        <w:t>万元，</w:t>
      </w:r>
      <w:r>
        <w:rPr>
          <w:rStyle w:val="18"/>
          <w:rFonts w:hint="eastAsia" w:ascii="仿宋" w:hAnsi="仿宋" w:eastAsia="仿宋"/>
          <w:b w:val="0"/>
          <w:bCs/>
          <w:color w:val="auto"/>
          <w:sz w:val="32"/>
          <w:szCs w:val="32"/>
        </w:rPr>
        <w:t>完成预算</w:t>
      </w:r>
      <w:r>
        <w:rPr>
          <w:rStyle w:val="18"/>
          <w:rFonts w:hint="eastAsia" w:ascii="仿宋" w:hAnsi="仿宋" w:eastAsia="仿宋"/>
          <w:b w:val="0"/>
          <w:bCs/>
          <w:color w:val="auto"/>
          <w:sz w:val="32"/>
          <w:szCs w:val="32"/>
          <w:lang w:val="en-US" w:eastAsia="zh-CN"/>
        </w:rPr>
        <w:t>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lang w:eastAsia="zh-CN"/>
        </w:rPr>
        <w:t>。</w:t>
      </w:r>
    </w:p>
    <w:p w14:paraId="0B326B36">
      <w:pPr>
        <w:spacing w:line="600" w:lineRule="exact"/>
        <w:ind w:firstLine="640" w:firstLineChars="200"/>
        <w:rPr>
          <w:rFonts w:hint="eastAsia" w:ascii="仿宋" w:hAnsi="仿宋" w:eastAsia="仿宋"/>
          <w:b w:val="0"/>
          <w:bCs w:val="0"/>
          <w:color w:val="auto"/>
          <w:sz w:val="32"/>
          <w:szCs w:val="32"/>
          <w:lang w:val="en-US" w:eastAsia="zh-CN"/>
        </w:rPr>
      </w:pPr>
      <w:r>
        <w:rPr>
          <w:rStyle w:val="18"/>
          <w:rFonts w:hint="eastAsia" w:ascii="仿宋" w:hAnsi="仿宋" w:eastAsia="仿宋"/>
          <w:b w:val="0"/>
          <w:bCs/>
          <w:color w:val="auto"/>
          <w:sz w:val="32"/>
          <w:szCs w:val="32"/>
          <w:lang w:val="en-US" w:eastAsia="zh-CN"/>
        </w:rPr>
        <w:t>221</w:t>
      </w:r>
      <w:r>
        <w:rPr>
          <w:rFonts w:hint="eastAsia" w:ascii="仿宋" w:hAnsi="仿宋" w:eastAsia="仿宋"/>
          <w:b w:val="0"/>
          <w:bCs w:val="0"/>
          <w:color w:val="auto"/>
          <w:sz w:val="32"/>
          <w:szCs w:val="32"/>
        </w:rPr>
        <w:t>住房保障支出</w:t>
      </w:r>
      <w:r>
        <w:rPr>
          <w:rFonts w:hint="eastAsia" w:ascii="仿宋" w:hAnsi="仿宋" w:eastAsia="仿宋"/>
          <w:b w:val="0"/>
          <w:bCs w:val="0"/>
          <w:color w:val="auto"/>
          <w:sz w:val="32"/>
          <w:szCs w:val="32"/>
          <w:lang w:val="en-US" w:eastAsia="zh-CN"/>
        </w:rPr>
        <w:t>74.34万元</w:t>
      </w:r>
    </w:p>
    <w:p w14:paraId="02CCC39D">
      <w:pPr>
        <w:spacing w:line="600" w:lineRule="exact"/>
        <w:ind w:firstLine="640" w:firstLineChars="200"/>
        <w:rPr>
          <w:rFonts w:hint="eastAsia" w:ascii="仿宋" w:hAnsi="仿宋" w:eastAsia="仿宋"/>
          <w:b w:val="0"/>
          <w:bCs w:val="0"/>
          <w:color w:val="auto"/>
          <w:sz w:val="32"/>
          <w:szCs w:val="32"/>
          <w:lang w:val="en-US" w:eastAsia="zh-CN"/>
        </w:rPr>
      </w:pPr>
      <w:r>
        <w:rPr>
          <w:rFonts w:hint="eastAsia" w:ascii="仿宋" w:hAnsi="仿宋" w:eastAsia="仿宋"/>
          <w:b w:val="0"/>
          <w:bCs w:val="0"/>
          <w:color w:val="auto"/>
          <w:sz w:val="32"/>
          <w:szCs w:val="32"/>
          <w:lang w:val="en-US" w:eastAsia="zh-CN"/>
        </w:rPr>
        <w:t>22102住房改革支出74.34万元</w:t>
      </w:r>
    </w:p>
    <w:p w14:paraId="08647C23">
      <w:pPr>
        <w:spacing w:line="600" w:lineRule="exact"/>
        <w:ind w:firstLine="640" w:firstLineChars="200"/>
        <w:rPr>
          <w:rFonts w:ascii="仿宋" w:hAnsi="仿宋" w:eastAsia="仿宋"/>
          <w:b/>
          <w:color w:val="000000"/>
          <w:sz w:val="32"/>
          <w:szCs w:val="32"/>
        </w:rPr>
      </w:pPr>
      <w:r>
        <w:rPr>
          <w:rFonts w:hint="eastAsia" w:ascii="仿宋" w:hAnsi="仿宋" w:eastAsia="仿宋"/>
          <w:b w:val="0"/>
          <w:bCs w:val="0"/>
          <w:color w:val="auto"/>
          <w:sz w:val="32"/>
          <w:szCs w:val="32"/>
          <w:lang w:val="en-US" w:eastAsia="zh-CN"/>
        </w:rPr>
        <w:t>2210201住房公积金支出74.34万元</w:t>
      </w:r>
    </w:p>
    <w:p w14:paraId="23496855">
      <w:pPr>
        <w:tabs>
          <w:tab w:val="right" w:pos="8306"/>
        </w:tabs>
        <w:spacing w:line="600" w:lineRule="exact"/>
        <w:ind w:firstLine="640"/>
        <w:outlineLvl w:val="1"/>
        <w:rPr>
          <w:rStyle w:val="20"/>
        </w:rPr>
      </w:pPr>
      <w:bookmarkStart w:id="92" w:name="_Toc3280"/>
      <w:bookmarkStart w:id="93" w:name="_Toc79163868"/>
      <w:bookmarkStart w:id="94" w:name="_Toc15396608"/>
      <w:bookmarkStart w:id="95" w:name="_Toc15377214"/>
      <w:bookmarkStart w:id="96" w:name="_Toc9574"/>
      <w:bookmarkStart w:id="97" w:name="_Toc7916361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0"/>
          <w:rFonts w:hint="eastAsia" w:ascii="黑体" w:hAnsi="黑体" w:eastAsia="黑体"/>
          <w:b w:val="0"/>
        </w:rPr>
        <w:t>般公共预算财政拨款基本支出决算情况说明</w:t>
      </w:r>
      <w:bookmarkEnd w:id="92"/>
      <w:bookmarkEnd w:id="93"/>
      <w:bookmarkEnd w:id="94"/>
      <w:bookmarkEnd w:id="95"/>
      <w:bookmarkEnd w:id="96"/>
      <w:bookmarkEnd w:id="97"/>
      <w:r>
        <w:rPr>
          <w:rStyle w:val="20"/>
          <w:rFonts w:ascii="黑体" w:hAnsi="黑体" w:eastAsia="黑体"/>
          <w:b w:val="0"/>
        </w:rPr>
        <w:tab/>
      </w:r>
    </w:p>
    <w:p w14:paraId="58F5E426">
      <w:pPr>
        <w:spacing w:line="600" w:lineRule="exact"/>
        <w:ind w:firstLine="645"/>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1008.10</w:t>
      </w:r>
      <w:r>
        <w:rPr>
          <w:rFonts w:hint="eastAsia" w:ascii="仿宋" w:hAnsi="仿宋" w:eastAsia="仿宋"/>
          <w:color w:val="000000"/>
          <w:sz w:val="32"/>
          <w:szCs w:val="32"/>
        </w:rPr>
        <w:t>万元，其中：</w:t>
      </w:r>
    </w:p>
    <w:p w14:paraId="28C1C087">
      <w:pPr>
        <w:spacing w:line="600" w:lineRule="exact"/>
        <w:ind w:firstLine="645"/>
        <w:rPr>
          <w:rFonts w:hint="eastAsia" w:ascii="仿宋" w:hAnsi="仿宋" w:eastAsia="仿宋"/>
          <w:color w:val="auto"/>
          <w:sz w:val="32"/>
          <w:szCs w:val="32"/>
          <w:lang w:eastAsia="zh-CN"/>
        </w:rPr>
      </w:pPr>
      <w:r>
        <w:rPr>
          <w:rFonts w:hint="eastAsia" w:ascii="仿宋" w:hAnsi="仿宋" w:eastAsia="仿宋"/>
          <w:color w:val="auto"/>
          <w:sz w:val="32"/>
          <w:szCs w:val="32"/>
        </w:rPr>
        <w:t>人员经费</w:t>
      </w:r>
      <w:r>
        <w:rPr>
          <w:rFonts w:hint="eastAsia" w:ascii="仿宋" w:hAnsi="仿宋" w:eastAsia="仿宋"/>
          <w:color w:val="auto"/>
          <w:sz w:val="32"/>
          <w:szCs w:val="32"/>
          <w:lang w:val="en-US" w:eastAsia="zh-CN"/>
        </w:rPr>
        <w:t>916.33</w:t>
      </w:r>
      <w:r>
        <w:rPr>
          <w:rFonts w:hint="eastAsia" w:ascii="仿宋" w:hAnsi="仿宋" w:eastAsia="仿宋"/>
          <w:color w:val="auto"/>
          <w:sz w:val="32"/>
          <w:szCs w:val="32"/>
        </w:rPr>
        <w:t>万元，主要包括：基本工资</w:t>
      </w:r>
      <w:r>
        <w:rPr>
          <w:rFonts w:hint="eastAsia" w:ascii="仿宋" w:hAnsi="仿宋" w:eastAsia="仿宋"/>
          <w:color w:val="auto"/>
          <w:sz w:val="32"/>
          <w:szCs w:val="32"/>
          <w:lang w:val="en-US" w:eastAsia="zh-CN"/>
        </w:rPr>
        <w:t>166.96万元</w:t>
      </w:r>
      <w:r>
        <w:rPr>
          <w:rFonts w:hint="eastAsia" w:ascii="仿宋" w:hAnsi="仿宋" w:eastAsia="仿宋"/>
          <w:color w:val="auto"/>
          <w:sz w:val="32"/>
          <w:szCs w:val="32"/>
        </w:rPr>
        <w:t>、津贴补贴</w:t>
      </w:r>
      <w:r>
        <w:rPr>
          <w:rFonts w:hint="eastAsia" w:ascii="仿宋" w:hAnsi="仿宋" w:eastAsia="仿宋"/>
          <w:color w:val="auto"/>
          <w:sz w:val="32"/>
          <w:szCs w:val="32"/>
          <w:lang w:val="en-US" w:eastAsia="zh-CN"/>
        </w:rPr>
        <w:t>272.44万元</w:t>
      </w:r>
      <w:r>
        <w:rPr>
          <w:rFonts w:hint="eastAsia" w:ascii="仿宋" w:hAnsi="仿宋" w:eastAsia="仿宋"/>
          <w:color w:val="auto"/>
          <w:sz w:val="32"/>
          <w:szCs w:val="32"/>
        </w:rPr>
        <w:t>、奖金</w:t>
      </w:r>
      <w:r>
        <w:rPr>
          <w:rFonts w:hint="eastAsia" w:ascii="仿宋" w:hAnsi="仿宋" w:eastAsia="仿宋"/>
          <w:color w:val="auto"/>
          <w:sz w:val="32"/>
          <w:szCs w:val="32"/>
          <w:lang w:val="en-US" w:eastAsia="zh-CN"/>
        </w:rPr>
        <w:t>182.17万元</w:t>
      </w:r>
      <w:r>
        <w:rPr>
          <w:rFonts w:hint="eastAsia" w:ascii="仿宋" w:hAnsi="仿宋" w:eastAsia="仿宋"/>
          <w:color w:val="auto"/>
          <w:sz w:val="32"/>
          <w:szCs w:val="32"/>
        </w:rPr>
        <w:t>、伙食补助费</w:t>
      </w:r>
      <w:r>
        <w:rPr>
          <w:rFonts w:hint="eastAsia" w:ascii="仿宋" w:hAnsi="仿宋" w:eastAsia="仿宋"/>
          <w:color w:val="auto"/>
          <w:sz w:val="32"/>
          <w:szCs w:val="32"/>
          <w:lang w:val="en-US" w:eastAsia="zh-CN"/>
        </w:rPr>
        <w:t>0元</w:t>
      </w:r>
      <w:r>
        <w:rPr>
          <w:rFonts w:hint="eastAsia" w:ascii="仿宋" w:hAnsi="仿宋" w:eastAsia="仿宋"/>
          <w:color w:val="auto"/>
          <w:sz w:val="32"/>
          <w:szCs w:val="32"/>
        </w:rPr>
        <w:t>、绩效工资</w:t>
      </w:r>
      <w:r>
        <w:rPr>
          <w:rFonts w:hint="eastAsia" w:ascii="仿宋" w:hAnsi="仿宋" w:eastAsia="仿宋"/>
          <w:color w:val="auto"/>
          <w:sz w:val="32"/>
          <w:szCs w:val="32"/>
          <w:lang w:val="en-US" w:eastAsia="zh-CN"/>
        </w:rPr>
        <w:t>15.02万元</w:t>
      </w:r>
      <w:r>
        <w:rPr>
          <w:rFonts w:hint="eastAsia" w:ascii="仿宋" w:hAnsi="仿宋" w:eastAsia="仿宋"/>
          <w:color w:val="auto"/>
          <w:sz w:val="32"/>
          <w:szCs w:val="32"/>
        </w:rPr>
        <w:t>、机关事业单位基本养老保险缴费</w:t>
      </w:r>
      <w:r>
        <w:rPr>
          <w:rFonts w:hint="eastAsia" w:ascii="仿宋" w:hAnsi="仿宋" w:eastAsia="仿宋"/>
          <w:color w:val="auto"/>
          <w:sz w:val="32"/>
          <w:szCs w:val="32"/>
          <w:lang w:val="en-US" w:eastAsia="zh-CN"/>
        </w:rPr>
        <w:t>84.96万元</w:t>
      </w:r>
      <w:r>
        <w:rPr>
          <w:rFonts w:hint="eastAsia" w:ascii="仿宋" w:hAnsi="仿宋" w:eastAsia="仿宋"/>
          <w:color w:val="auto"/>
          <w:sz w:val="32"/>
          <w:szCs w:val="32"/>
        </w:rPr>
        <w:t>、职业年金缴费</w:t>
      </w:r>
      <w:r>
        <w:rPr>
          <w:rFonts w:hint="eastAsia" w:ascii="仿宋" w:hAnsi="仿宋" w:eastAsia="仿宋"/>
          <w:color w:val="auto"/>
          <w:sz w:val="32"/>
          <w:szCs w:val="32"/>
          <w:lang w:val="en-US" w:eastAsia="zh-CN"/>
        </w:rPr>
        <w:t>42.48万元</w:t>
      </w:r>
      <w:r>
        <w:rPr>
          <w:rFonts w:hint="eastAsia" w:ascii="仿宋" w:hAnsi="仿宋" w:eastAsia="仿宋"/>
          <w:color w:val="auto"/>
          <w:sz w:val="32"/>
          <w:szCs w:val="32"/>
        </w:rPr>
        <w:t>、</w:t>
      </w:r>
      <w:r>
        <w:rPr>
          <w:rFonts w:hint="eastAsia" w:ascii="仿宋" w:hAnsi="仿宋" w:eastAsia="仿宋"/>
          <w:color w:val="auto"/>
          <w:sz w:val="32"/>
          <w:szCs w:val="32"/>
          <w:lang w:eastAsia="zh-CN"/>
        </w:rPr>
        <w:t>医疗保险</w:t>
      </w:r>
      <w:r>
        <w:rPr>
          <w:rFonts w:hint="eastAsia" w:ascii="仿宋" w:hAnsi="仿宋" w:eastAsia="仿宋"/>
          <w:color w:val="auto"/>
          <w:sz w:val="32"/>
          <w:szCs w:val="32"/>
          <w:lang w:val="en-US" w:eastAsia="zh-CN"/>
        </w:rPr>
        <w:t>41.85万元、公务员医疗补助8.20万元、</w:t>
      </w:r>
      <w:r>
        <w:rPr>
          <w:rFonts w:hint="eastAsia" w:ascii="仿宋" w:hAnsi="仿宋" w:eastAsia="仿宋"/>
          <w:color w:val="auto"/>
          <w:sz w:val="32"/>
          <w:szCs w:val="32"/>
        </w:rPr>
        <w:t>其他社会保障缴费</w:t>
      </w:r>
      <w:r>
        <w:rPr>
          <w:rFonts w:hint="eastAsia" w:ascii="仿宋" w:hAnsi="仿宋" w:eastAsia="仿宋"/>
          <w:color w:val="auto"/>
          <w:sz w:val="32"/>
          <w:szCs w:val="32"/>
          <w:lang w:val="en-US" w:eastAsia="zh-CN"/>
        </w:rPr>
        <w:t>1.58万元</w:t>
      </w:r>
      <w:r>
        <w:rPr>
          <w:rFonts w:hint="eastAsia" w:ascii="仿宋" w:hAnsi="仿宋" w:eastAsia="仿宋"/>
          <w:color w:val="auto"/>
          <w:sz w:val="32"/>
          <w:szCs w:val="32"/>
        </w:rPr>
        <w:t>、住房公积金</w:t>
      </w:r>
      <w:r>
        <w:rPr>
          <w:rFonts w:hint="eastAsia" w:ascii="仿宋" w:hAnsi="仿宋" w:eastAsia="仿宋"/>
          <w:color w:val="auto"/>
          <w:sz w:val="32"/>
          <w:szCs w:val="32"/>
          <w:lang w:val="en-US" w:eastAsia="zh-CN"/>
        </w:rPr>
        <w:t>74.34万元</w:t>
      </w:r>
      <w:r>
        <w:rPr>
          <w:rFonts w:hint="eastAsia" w:ascii="仿宋" w:hAnsi="仿宋" w:eastAsia="仿宋"/>
          <w:color w:val="auto"/>
          <w:sz w:val="32"/>
          <w:szCs w:val="32"/>
        </w:rPr>
        <w:t>、医疗费</w:t>
      </w:r>
      <w:r>
        <w:rPr>
          <w:rFonts w:hint="eastAsia" w:ascii="仿宋" w:hAnsi="仿宋" w:eastAsia="仿宋"/>
          <w:color w:val="auto"/>
          <w:sz w:val="32"/>
          <w:szCs w:val="32"/>
          <w:lang w:val="en-US" w:eastAsia="zh-CN"/>
        </w:rPr>
        <w:t>7.46万元</w:t>
      </w:r>
      <w:r>
        <w:rPr>
          <w:rFonts w:hint="eastAsia" w:ascii="仿宋" w:hAnsi="仿宋" w:eastAsia="仿宋"/>
          <w:color w:val="auto"/>
          <w:sz w:val="32"/>
          <w:szCs w:val="32"/>
        </w:rPr>
        <w:t>、其他工资福利支出</w:t>
      </w:r>
      <w:r>
        <w:rPr>
          <w:rFonts w:hint="eastAsia" w:ascii="仿宋" w:hAnsi="仿宋" w:eastAsia="仿宋"/>
          <w:color w:val="auto"/>
          <w:sz w:val="32"/>
          <w:szCs w:val="32"/>
          <w:lang w:val="en-US" w:eastAsia="zh-CN"/>
        </w:rPr>
        <w:t>18.88万元</w:t>
      </w:r>
      <w:r>
        <w:rPr>
          <w:rFonts w:hint="eastAsia" w:ascii="仿宋" w:hAnsi="仿宋" w:eastAsia="仿宋"/>
          <w:color w:val="auto"/>
          <w:sz w:val="32"/>
          <w:szCs w:val="32"/>
        </w:rPr>
        <w:t>、对个人和家庭的补助支出</w:t>
      </w:r>
      <w:r>
        <w:rPr>
          <w:rFonts w:hint="eastAsia" w:ascii="仿宋" w:hAnsi="仿宋" w:eastAsia="仿宋"/>
          <w:color w:val="auto"/>
          <w:sz w:val="32"/>
          <w:szCs w:val="32"/>
          <w:lang w:val="en-US" w:eastAsia="zh-CN"/>
        </w:rPr>
        <w:t>14.93万</w:t>
      </w:r>
      <w:r>
        <w:rPr>
          <w:rFonts w:hint="eastAsia" w:ascii="仿宋" w:hAnsi="仿宋" w:eastAsia="仿宋"/>
          <w:color w:val="auto"/>
          <w:sz w:val="32"/>
          <w:szCs w:val="32"/>
        </w:rPr>
        <w:t>等。</w:t>
      </w:r>
    </w:p>
    <w:p w14:paraId="159C4148">
      <w:pPr>
        <w:spacing w:line="600" w:lineRule="exact"/>
        <w:ind w:firstLine="645"/>
        <w:rPr>
          <w:rFonts w:ascii="仿宋" w:hAnsi="仿宋" w:eastAsia="仿宋"/>
          <w:color w:val="auto"/>
          <w:sz w:val="32"/>
          <w:szCs w:val="32"/>
        </w:rPr>
      </w:pPr>
      <w:r>
        <w:rPr>
          <w:rFonts w:hint="eastAsia" w:ascii="仿宋" w:hAnsi="仿宋" w:eastAsia="仿宋"/>
          <w:color w:val="auto"/>
          <w:sz w:val="32"/>
          <w:szCs w:val="32"/>
        </w:rPr>
        <w:t>公用经费</w:t>
      </w:r>
      <w:r>
        <w:rPr>
          <w:rFonts w:hint="eastAsia" w:ascii="仿宋" w:hAnsi="仿宋" w:eastAsia="仿宋"/>
          <w:color w:val="auto"/>
          <w:sz w:val="32"/>
          <w:szCs w:val="32"/>
          <w:lang w:val="en-US" w:eastAsia="zh-CN"/>
        </w:rPr>
        <w:t>76.84</w:t>
      </w:r>
      <w:r>
        <w:rPr>
          <w:rFonts w:hint="eastAsia" w:ascii="仿宋" w:hAnsi="仿宋" w:eastAsia="仿宋"/>
          <w:color w:val="auto"/>
          <w:sz w:val="32"/>
          <w:szCs w:val="32"/>
        </w:rPr>
        <w:t>万元，主要包括：办公费</w:t>
      </w:r>
      <w:r>
        <w:rPr>
          <w:rFonts w:hint="eastAsia" w:ascii="仿宋" w:hAnsi="仿宋" w:eastAsia="仿宋"/>
          <w:color w:val="auto"/>
          <w:sz w:val="32"/>
          <w:szCs w:val="32"/>
          <w:lang w:val="en-US" w:eastAsia="zh-CN"/>
        </w:rPr>
        <w:t>11.79万元</w:t>
      </w:r>
      <w:r>
        <w:rPr>
          <w:rFonts w:hint="eastAsia" w:ascii="仿宋" w:hAnsi="仿宋" w:eastAsia="仿宋"/>
          <w:color w:val="auto"/>
          <w:sz w:val="32"/>
          <w:szCs w:val="32"/>
        </w:rPr>
        <w:t>、印刷费</w:t>
      </w:r>
      <w:r>
        <w:rPr>
          <w:rFonts w:hint="eastAsia" w:ascii="仿宋" w:hAnsi="仿宋" w:eastAsia="仿宋"/>
          <w:color w:val="auto"/>
          <w:sz w:val="32"/>
          <w:szCs w:val="32"/>
          <w:lang w:val="en-US" w:eastAsia="zh-CN"/>
        </w:rPr>
        <w:t>3.73万元</w:t>
      </w:r>
      <w:r>
        <w:rPr>
          <w:rFonts w:hint="eastAsia" w:ascii="仿宋" w:hAnsi="仿宋" w:eastAsia="仿宋"/>
          <w:color w:val="auto"/>
          <w:sz w:val="32"/>
          <w:szCs w:val="32"/>
        </w:rPr>
        <w:t>、咨询费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、手续费</w:t>
      </w:r>
      <w:r>
        <w:rPr>
          <w:rFonts w:hint="eastAsia" w:ascii="仿宋" w:hAnsi="仿宋" w:eastAsia="仿宋"/>
          <w:color w:val="auto"/>
          <w:sz w:val="32"/>
          <w:szCs w:val="32"/>
          <w:lang w:val="en-US" w:eastAsia="zh-CN"/>
        </w:rPr>
        <w:t>0.02万元</w:t>
      </w:r>
      <w:r>
        <w:rPr>
          <w:rFonts w:hint="eastAsia" w:ascii="仿宋" w:hAnsi="仿宋" w:eastAsia="仿宋"/>
          <w:color w:val="auto"/>
          <w:sz w:val="32"/>
          <w:szCs w:val="32"/>
        </w:rPr>
        <w:t>、水费</w:t>
      </w:r>
      <w:r>
        <w:rPr>
          <w:rFonts w:hint="eastAsia" w:ascii="仿宋" w:hAnsi="仿宋" w:eastAsia="仿宋"/>
          <w:color w:val="auto"/>
          <w:sz w:val="32"/>
          <w:szCs w:val="32"/>
          <w:lang w:val="en-US" w:eastAsia="zh-CN"/>
        </w:rPr>
        <w:t>0.32万元</w:t>
      </w:r>
      <w:r>
        <w:rPr>
          <w:rFonts w:hint="eastAsia" w:ascii="仿宋" w:hAnsi="仿宋" w:eastAsia="仿宋"/>
          <w:color w:val="auto"/>
          <w:sz w:val="32"/>
          <w:szCs w:val="32"/>
        </w:rPr>
        <w:t>、电费</w:t>
      </w:r>
      <w:r>
        <w:rPr>
          <w:rFonts w:hint="eastAsia" w:ascii="仿宋" w:hAnsi="仿宋" w:eastAsia="仿宋"/>
          <w:color w:val="auto"/>
          <w:sz w:val="32"/>
          <w:szCs w:val="32"/>
          <w:lang w:val="en-US" w:eastAsia="zh-CN"/>
        </w:rPr>
        <w:t>4.32万元</w:t>
      </w:r>
      <w:r>
        <w:rPr>
          <w:rFonts w:hint="eastAsia" w:ascii="仿宋" w:hAnsi="仿宋" w:eastAsia="仿宋"/>
          <w:color w:val="auto"/>
          <w:sz w:val="32"/>
          <w:szCs w:val="32"/>
        </w:rPr>
        <w:t>、邮电费</w:t>
      </w:r>
      <w:r>
        <w:rPr>
          <w:rFonts w:hint="eastAsia" w:ascii="仿宋" w:hAnsi="仿宋" w:eastAsia="仿宋"/>
          <w:color w:val="auto"/>
          <w:sz w:val="32"/>
          <w:szCs w:val="32"/>
          <w:lang w:val="en-US" w:eastAsia="zh-CN"/>
        </w:rPr>
        <w:t>7.92万元</w:t>
      </w:r>
      <w:r>
        <w:rPr>
          <w:rFonts w:hint="eastAsia" w:ascii="仿宋" w:hAnsi="仿宋" w:eastAsia="仿宋"/>
          <w:color w:val="auto"/>
          <w:sz w:val="32"/>
          <w:szCs w:val="32"/>
        </w:rPr>
        <w:t>、取暖费</w:t>
      </w:r>
      <w:r>
        <w:rPr>
          <w:rFonts w:hint="eastAsia" w:ascii="仿宋" w:hAnsi="仿宋" w:eastAsia="仿宋"/>
          <w:color w:val="auto"/>
          <w:sz w:val="32"/>
          <w:szCs w:val="32"/>
          <w:lang w:val="en-US" w:eastAsia="zh-CN"/>
        </w:rPr>
        <w:t>3.23万元</w:t>
      </w:r>
      <w:r>
        <w:rPr>
          <w:rFonts w:hint="eastAsia" w:ascii="仿宋" w:hAnsi="仿宋" w:eastAsia="仿宋"/>
          <w:color w:val="auto"/>
          <w:sz w:val="32"/>
          <w:szCs w:val="32"/>
        </w:rPr>
        <w:t>、物业管理费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、差旅费</w:t>
      </w:r>
      <w:r>
        <w:rPr>
          <w:rFonts w:hint="eastAsia" w:ascii="仿宋" w:hAnsi="仿宋" w:eastAsia="仿宋"/>
          <w:color w:val="auto"/>
          <w:sz w:val="32"/>
          <w:szCs w:val="32"/>
          <w:lang w:val="en-US" w:eastAsia="zh-CN"/>
        </w:rPr>
        <w:t>11.03万元</w:t>
      </w:r>
      <w:r>
        <w:rPr>
          <w:rFonts w:hint="eastAsia" w:ascii="仿宋" w:hAnsi="仿宋" w:eastAsia="仿宋"/>
          <w:color w:val="auto"/>
          <w:sz w:val="32"/>
          <w:szCs w:val="32"/>
        </w:rPr>
        <w:t>、因公出国（境）费用</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、维修（护）费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、租赁费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、会议费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、培训费</w:t>
      </w:r>
      <w:r>
        <w:rPr>
          <w:rFonts w:hint="eastAsia" w:ascii="仿宋" w:hAnsi="仿宋" w:eastAsia="仿宋"/>
          <w:color w:val="auto"/>
          <w:sz w:val="32"/>
          <w:szCs w:val="32"/>
          <w:lang w:val="en-US" w:eastAsia="zh-CN"/>
        </w:rPr>
        <w:t>0.13万元</w:t>
      </w:r>
      <w:r>
        <w:rPr>
          <w:rFonts w:hint="eastAsia" w:ascii="仿宋" w:hAnsi="仿宋" w:eastAsia="仿宋"/>
          <w:color w:val="auto"/>
          <w:sz w:val="32"/>
          <w:szCs w:val="32"/>
        </w:rPr>
        <w:t>、公务接待费</w:t>
      </w:r>
      <w:r>
        <w:rPr>
          <w:rFonts w:hint="eastAsia" w:ascii="仿宋" w:hAnsi="仿宋" w:eastAsia="仿宋"/>
          <w:color w:val="auto"/>
          <w:sz w:val="32"/>
          <w:szCs w:val="32"/>
          <w:lang w:val="en-US" w:eastAsia="zh-CN"/>
        </w:rPr>
        <w:t>0.06万元</w:t>
      </w:r>
      <w:r>
        <w:rPr>
          <w:rFonts w:hint="eastAsia" w:ascii="仿宋" w:hAnsi="仿宋" w:eastAsia="仿宋"/>
          <w:color w:val="auto"/>
          <w:sz w:val="32"/>
          <w:szCs w:val="32"/>
        </w:rPr>
        <w:t>、劳务费</w:t>
      </w:r>
      <w:r>
        <w:rPr>
          <w:rFonts w:hint="eastAsia" w:ascii="仿宋" w:hAnsi="仿宋" w:eastAsia="仿宋"/>
          <w:color w:val="auto"/>
          <w:sz w:val="32"/>
          <w:szCs w:val="32"/>
          <w:lang w:val="en-US" w:eastAsia="zh-CN"/>
        </w:rPr>
        <w:t>4.29万元</w:t>
      </w:r>
      <w:r>
        <w:rPr>
          <w:rFonts w:hint="eastAsia" w:ascii="仿宋" w:hAnsi="仿宋" w:eastAsia="仿宋"/>
          <w:color w:val="auto"/>
          <w:sz w:val="32"/>
          <w:szCs w:val="32"/>
        </w:rPr>
        <w:t>、委托业务费</w:t>
      </w:r>
      <w:r>
        <w:rPr>
          <w:rFonts w:hint="eastAsia" w:ascii="仿宋" w:hAnsi="仿宋" w:eastAsia="仿宋"/>
          <w:color w:val="auto"/>
          <w:sz w:val="32"/>
          <w:szCs w:val="32"/>
          <w:lang w:val="en-US" w:eastAsia="zh-CN"/>
        </w:rPr>
        <w:t>3.40万元</w:t>
      </w:r>
      <w:r>
        <w:rPr>
          <w:rFonts w:hint="eastAsia" w:ascii="仿宋" w:hAnsi="仿宋" w:eastAsia="仿宋"/>
          <w:color w:val="auto"/>
          <w:sz w:val="32"/>
          <w:szCs w:val="32"/>
        </w:rPr>
        <w:t>、工会经费</w:t>
      </w:r>
      <w:r>
        <w:rPr>
          <w:rFonts w:hint="eastAsia" w:ascii="仿宋" w:hAnsi="仿宋" w:eastAsia="仿宋"/>
          <w:color w:val="auto"/>
          <w:sz w:val="32"/>
          <w:szCs w:val="32"/>
          <w:lang w:val="en-US" w:eastAsia="zh-CN"/>
        </w:rPr>
        <w:t>6.57万元</w:t>
      </w:r>
      <w:r>
        <w:rPr>
          <w:rFonts w:hint="eastAsia" w:ascii="仿宋" w:hAnsi="仿宋" w:eastAsia="仿宋"/>
          <w:color w:val="auto"/>
          <w:sz w:val="32"/>
          <w:szCs w:val="32"/>
        </w:rPr>
        <w:t>、福利费</w:t>
      </w:r>
      <w:r>
        <w:rPr>
          <w:rFonts w:hint="eastAsia" w:ascii="仿宋" w:hAnsi="仿宋" w:eastAsia="仿宋"/>
          <w:color w:val="auto"/>
          <w:sz w:val="32"/>
          <w:szCs w:val="32"/>
          <w:lang w:val="en-US" w:eastAsia="zh-CN"/>
        </w:rPr>
        <w:t>0.44万元</w:t>
      </w:r>
      <w:r>
        <w:rPr>
          <w:rFonts w:hint="eastAsia" w:ascii="仿宋" w:hAnsi="仿宋" w:eastAsia="仿宋"/>
          <w:color w:val="auto"/>
          <w:sz w:val="32"/>
          <w:szCs w:val="32"/>
        </w:rPr>
        <w:t>、公务用车运行维护费</w:t>
      </w:r>
      <w:r>
        <w:rPr>
          <w:rFonts w:hint="eastAsia" w:ascii="仿宋" w:hAnsi="仿宋" w:eastAsia="仿宋"/>
          <w:color w:val="auto"/>
          <w:sz w:val="32"/>
          <w:szCs w:val="32"/>
          <w:lang w:val="en-US" w:eastAsia="zh-CN"/>
        </w:rPr>
        <w:t>11.33万元</w:t>
      </w:r>
      <w:r>
        <w:rPr>
          <w:rFonts w:hint="eastAsia" w:ascii="仿宋" w:hAnsi="仿宋" w:eastAsia="仿宋"/>
          <w:color w:val="auto"/>
          <w:sz w:val="32"/>
          <w:szCs w:val="32"/>
        </w:rPr>
        <w:t>、其他交通费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、税金及附加费用</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、其他商品和服务支出</w:t>
      </w:r>
      <w:r>
        <w:rPr>
          <w:rFonts w:hint="eastAsia" w:ascii="仿宋" w:hAnsi="仿宋" w:eastAsia="仿宋"/>
          <w:color w:val="auto"/>
          <w:sz w:val="32"/>
          <w:szCs w:val="32"/>
          <w:lang w:val="en-US" w:eastAsia="zh-CN"/>
        </w:rPr>
        <w:t>8.27万元</w:t>
      </w:r>
      <w:r>
        <w:rPr>
          <w:rFonts w:hint="eastAsia" w:ascii="仿宋" w:hAnsi="仿宋" w:eastAsia="仿宋"/>
          <w:color w:val="auto"/>
          <w:sz w:val="32"/>
          <w:szCs w:val="32"/>
        </w:rPr>
        <w:t>、办公设备购置</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、专用设备购置</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、信息网络及软件购置更新</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、其他资本性支出</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等。</w:t>
      </w:r>
    </w:p>
    <w:p w14:paraId="338D709E">
      <w:pPr>
        <w:spacing w:line="600" w:lineRule="exact"/>
        <w:ind w:firstLine="320" w:firstLineChars="100"/>
        <w:outlineLvl w:val="1"/>
        <w:rPr>
          <w:rStyle w:val="20"/>
          <w:rFonts w:ascii="黑体" w:hAnsi="黑体" w:eastAsia="黑体"/>
          <w:b w:val="0"/>
        </w:rPr>
      </w:pPr>
      <w:bookmarkStart w:id="98" w:name="_Toc7960"/>
      <w:bookmarkStart w:id="99" w:name="_Toc15396609"/>
      <w:bookmarkStart w:id="100" w:name="_Toc79163619"/>
      <w:bookmarkStart w:id="101" w:name="_Toc15377215"/>
      <w:bookmarkStart w:id="102" w:name="_Toc10699"/>
      <w:bookmarkStart w:id="103" w:name="_Toc79163869"/>
      <w:r>
        <w:rPr>
          <w:rFonts w:hint="eastAsia" w:ascii="黑体" w:eastAsia="黑体"/>
          <w:color w:val="000000"/>
          <w:sz w:val="32"/>
          <w:szCs w:val="32"/>
        </w:rPr>
        <w:t>七、</w:t>
      </w:r>
      <w:r>
        <w:rPr>
          <w:rStyle w:val="20"/>
          <w:rFonts w:hint="eastAsia" w:ascii="黑体" w:hAnsi="黑体" w:eastAsia="黑体"/>
        </w:rPr>
        <w:t>“</w:t>
      </w:r>
      <w:r>
        <w:rPr>
          <w:rStyle w:val="20"/>
          <w:rFonts w:hint="eastAsia" w:ascii="黑体" w:hAnsi="黑体" w:eastAsia="黑体"/>
          <w:b w:val="0"/>
        </w:rPr>
        <w:t>三公”经费财政拨款支出决算情况说明</w:t>
      </w:r>
      <w:bookmarkEnd w:id="98"/>
      <w:bookmarkEnd w:id="99"/>
      <w:bookmarkEnd w:id="100"/>
      <w:bookmarkEnd w:id="101"/>
      <w:bookmarkEnd w:id="102"/>
      <w:bookmarkEnd w:id="103"/>
    </w:p>
    <w:p w14:paraId="2B8F2DD3">
      <w:pPr>
        <w:spacing w:line="600" w:lineRule="exact"/>
        <w:ind w:firstLine="643" w:firstLineChars="200"/>
        <w:outlineLvl w:val="2"/>
        <w:rPr>
          <w:rFonts w:ascii="仿宋" w:hAnsi="仿宋" w:eastAsia="仿宋"/>
          <w:b/>
          <w:color w:val="000000"/>
          <w:sz w:val="32"/>
          <w:szCs w:val="32"/>
        </w:rPr>
      </w:pPr>
      <w:bookmarkStart w:id="104" w:name="_Toc5229"/>
      <w:bookmarkStart w:id="105" w:name="_Toc18315"/>
      <w:bookmarkStart w:id="106" w:name="_Toc79163620"/>
      <w:bookmarkStart w:id="107" w:name="_Toc15377216"/>
      <w:bookmarkStart w:id="108" w:name="_Toc79163870"/>
      <w:r>
        <w:rPr>
          <w:rFonts w:hint="eastAsia" w:ascii="仿宋" w:hAnsi="仿宋" w:eastAsia="仿宋"/>
          <w:b/>
          <w:color w:val="000000"/>
          <w:sz w:val="32"/>
          <w:szCs w:val="32"/>
        </w:rPr>
        <w:t>（一）“三公”经费财政拨款支出决算总体情况说明</w:t>
      </w:r>
      <w:bookmarkEnd w:id="104"/>
      <w:bookmarkEnd w:id="105"/>
      <w:bookmarkEnd w:id="106"/>
      <w:bookmarkEnd w:id="107"/>
      <w:bookmarkEnd w:id="108"/>
    </w:p>
    <w:p w14:paraId="2E0DFDE5">
      <w:pPr>
        <w:spacing w:line="600" w:lineRule="exact"/>
        <w:ind w:firstLine="960" w:firstLineChars="300"/>
        <w:rPr>
          <w:rFonts w:ascii="仿宋" w:hAnsi="仿宋" w:eastAsia="仿宋"/>
          <w:b/>
          <w:color w:val="FF0000"/>
          <w:sz w:val="32"/>
          <w:szCs w:val="32"/>
        </w:rPr>
      </w:pPr>
      <w:r>
        <w:rPr>
          <w:rFonts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年“三公”经费财</w:t>
      </w:r>
      <w:r>
        <w:rPr>
          <w:rFonts w:hint="eastAsia" w:ascii="仿宋" w:hAnsi="仿宋" w:eastAsia="仿宋"/>
          <w:color w:val="000000"/>
          <w:sz w:val="32"/>
          <w:szCs w:val="32"/>
        </w:rPr>
        <w:t>政拨款支出决算为</w:t>
      </w:r>
      <w:r>
        <w:rPr>
          <w:rFonts w:hint="eastAsia" w:ascii="仿宋" w:hAnsi="仿宋" w:eastAsia="仿宋"/>
          <w:color w:val="000000"/>
          <w:sz w:val="32"/>
          <w:szCs w:val="32"/>
          <w:lang w:val="en-US" w:eastAsia="zh-CN"/>
        </w:rPr>
        <w:t>11.39</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lang w:eastAsia="zh-CN"/>
        </w:rPr>
        <w:t>。</w:t>
      </w:r>
    </w:p>
    <w:p w14:paraId="2B4B0B08">
      <w:pPr>
        <w:spacing w:line="600" w:lineRule="exact"/>
        <w:ind w:firstLine="640"/>
        <w:outlineLvl w:val="2"/>
        <w:rPr>
          <w:rFonts w:ascii="仿宋" w:hAnsi="仿宋" w:eastAsia="仿宋"/>
          <w:b/>
          <w:color w:val="000000"/>
          <w:sz w:val="32"/>
          <w:szCs w:val="32"/>
        </w:rPr>
      </w:pPr>
      <w:bookmarkStart w:id="109" w:name="_Toc21575"/>
      <w:bookmarkStart w:id="110" w:name="_Toc16638"/>
      <w:bookmarkStart w:id="111" w:name="_Toc79163621"/>
      <w:bookmarkStart w:id="112" w:name="_Toc79163871"/>
      <w:bookmarkStart w:id="113" w:name="_Toc15377217"/>
      <w:r>
        <w:rPr>
          <w:rFonts w:hint="eastAsia" w:ascii="仿宋" w:hAnsi="仿宋" w:eastAsia="仿宋"/>
          <w:b/>
          <w:color w:val="000000"/>
          <w:sz w:val="32"/>
          <w:szCs w:val="32"/>
        </w:rPr>
        <w:t>（二）“三公”经费财政拨款支出决算具体情况说明</w:t>
      </w:r>
      <w:bookmarkEnd w:id="109"/>
      <w:bookmarkEnd w:id="110"/>
      <w:bookmarkEnd w:id="111"/>
      <w:bookmarkEnd w:id="112"/>
      <w:bookmarkEnd w:id="113"/>
    </w:p>
    <w:p w14:paraId="2A731305">
      <w:pPr>
        <w:spacing w:line="600" w:lineRule="exact"/>
        <w:ind w:firstLine="960" w:firstLineChars="300"/>
        <w:rPr>
          <w:rFonts w:hint="eastAsia"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11.33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99.47</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0.06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0.53</w:t>
      </w:r>
      <w:r>
        <w:rPr>
          <w:rFonts w:ascii="仿宋" w:hAnsi="仿宋" w:eastAsia="仿宋"/>
          <w:color w:val="000000"/>
          <w:sz w:val="32"/>
          <w:szCs w:val="32"/>
        </w:rPr>
        <w:t>%</w:t>
      </w:r>
      <w:r>
        <w:rPr>
          <w:rFonts w:hint="eastAsia" w:ascii="仿宋" w:hAnsi="仿宋" w:eastAsia="仿宋"/>
          <w:color w:val="000000"/>
          <w:sz w:val="32"/>
          <w:szCs w:val="32"/>
        </w:rPr>
        <w:t>。具体情况如下：</w:t>
      </w:r>
    </w:p>
    <w:p w14:paraId="0451986C">
      <w:pPr>
        <w:pStyle w:val="6"/>
        <w:ind w:left="0" w:leftChars="0" w:firstLine="0" w:firstLineChars="0"/>
        <w:rPr>
          <w:rFonts w:hint="eastAsia" w:ascii="仿宋" w:hAnsi="仿宋" w:eastAsia="仿宋"/>
          <w:color w:val="000000"/>
          <w:sz w:val="32"/>
          <w:szCs w:val="32"/>
        </w:rPr>
      </w:pPr>
    </w:p>
    <w:p w14:paraId="3FC5F135">
      <w:pPr>
        <w:rPr>
          <w:rFonts w:hint="eastAsia" w:ascii="仿宋" w:hAnsi="仿宋" w:eastAsia="仿宋"/>
          <w:color w:val="000000"/>
          <w:sz w:val="32"/>
          <w:szCs w:val="32"/>
        </w:rPr>
      </w:pPr>
      <w:r>
        <w:drawing>
          <wp:inline distT="0" distB="0" distL="114300" distR="114300">
            <wp:extent cx="5415915" cy="2943860"/>
            <wp:effectExtent l="4445" t="4445" r="8890" b="23495"/>
            <wp:docPr id="2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C0DEE3">
      <w:pPr>
        <w:spacing w:line="600" w:lineRule="exact"/>
        <w:jc w:val="center"/>
        <w:rPr>
          <w:rFonts w:hint="eastAsia"/>
        </w:rPr>
      </w:pPr>
      <w:r>
        <w:rPr>
          <w:rFonts w:hint="eastAsia" w:ascii="仿宋" w:hAnsi="仿宋" w:eastAsia="仿宋"/>
          <w:color w:val="000000"/>
          <w:sz w:val="32"/>
          <w:szCs w:val="32"/>
        </w:rPr>
        <w:t>（图</w:t>
      </w:r>
      <w:r>
        <w:rPr>
          <w:rFonts w:ascii="仿宋" w:hAnsi="仿宋" w:eastAsia="仿宋"/>
          <w:color w:val="000000"/>
          <w:sz w:val="32"/>
          <w:szCs w:val="32"/>
        </w:rPr>
        <w:t>7</w:t>
      </w:r>
      <w:r>
        <w:rPr>
          <w:rFonts w:hint="eastAsia" w:ascii="仿宋" w:hAnsi="仿宋" w:eastAsia="仿宋"/>
          <w:color w:val="000000"/>
          <w:sz w:val="32"/>
          <w:szCs w:val="32"/>
        </w:rPr>
        <w:t>：“三公”经费财政拨款支出结构）（饼状图）</w:t>
      </w:r>
    </w:p>
    <w:p w14:paraId="168BA60B">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774A5512">
      <w:pPr>
        <w:spacing w:line="600" w:lineRule="exact"/>
        <w:ind w:firstLine="643" w:firstLineChars="200"/>
        <w:rPr>
          <w:rFonts w:hint="eastAsia" w:ascii="黑体" w:hAnsi="黑体" w:eastAsia="黑体"/>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11.33</w:t>
      </w:r>
      <w:r>
        <w:rPr>
          <w:rFonts w:hint="eastAsia" w:ascii="仿宋_GB2312" w:eastAsia="仿宋_GB2312"/>
          <w:color w:val="000000"/>
          <w:sz w:val="32"/>
          <w:szCs w:val="32"/>
        </w:rPr>
        <w:t>万元</w:t>
      </w:r>
      <w:r>
        <w:rPr>
          <w:rFonts w:ascii="仿宋_GB2312" w:eastAsia="仿宋_GB2312"/>
          <w:color w:val="000000"/>
          <w:sz w:val="32"/>
          <w:szCs w:val="32"/>
        </w:rPr>
        <w:t>,</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3.48</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23.50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 w:hAnsi="仿宋" w:eastAsia="仿宋"/>
          <w:color w:val="auto"/>
          <w:sz w:val="32"/>
          <w:szCs w:val="32"/>
          <w:lang w:val="en-US" w:eastAsia="zh-CN"/>
        </w:rPr>
        <w:t>减少开支，厉行节约。</w:t>
      </w:r>
    </w:p>
    <w:p w14:paraId="3CA95588">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14:paraId="3FBF0135">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11.33</w:t>
      </w:r>
      <w:r>
        <w:rPr>
          <w:rFonts w:hint="eastAsia" w:ascii="仿宋_GB2312" w:eastAsia="仿宋_GB2312"/>
          <w:color w:val="000000"/>
          <w:sz w:val="32"/>
          <w:szCs w:val="32"/>
        </w:rPr>
        <w:t>万元。主要用于</w:t>
      </w:r>
      <w:r>
        <w:rPr>
          <w:rFonts w:hint="eastAsia" w:ascii="仿宋_GB2312" w:eastAsia="仿宋_GB2312"/>
          <w:color w:val="000000"/>
          <w:sz w:val="32"/>
          <w:szCs w:val="32"/>
          <w:lang w:eastAsia="zh-CN"/>
        </w:rPr>
        <w:t>维稳、基层司法业务</w:t>
      </w:r>
      <w:r>
        <w:rPr>
          <w:rFonts w:hint="eastAsia" w:ascii="仿宋_GB2312" w:eastAsia="仿宋_GB2312"/>
          <w:color w:val="000000"/>
          <w:sz w:val="32"/>
          <w:szCs w:val="32"/>
        </w:rPr>
        <w:t>等所需的公务用车燃料费、维修费、过路过桥费、保险费等支出。</w:t>
      </w:r>
    </w:p>
    <w:p w14:paraId="42F35E40">
      <w:pPr>
        <w:numPr>
          <w:ilvl w:val="0"/>
          <w:numId w:val="3"/>
        </w:numPr>
        <w:spacing w:line="600" w:lineRule="exact"/>
        <w:ind w:firstLine="640"/>
        <w:rPr>
          <w:rFonts w:hint="eastAsia" w:ascii="仿宋_GB2312" w:eastAsia="仿宋_GB2312"/>
          <w:color w:val="000000"/>
          <w:sz w:val="32"/>
          <w:szCs w:val="32"/>
          <w:lang w:eastAsia="zh-CN"/>
        </w:rPr>
      </w:pP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0.06</w:t>
      </w:r>
      <w:r>
        <w:rPr>
          <w:rFonts w:hint="eastAsia" w:ascii="仿宋_GB2312" w:eastAsia="仿宋_GB2312"/>
          <w:color w:val="000000"/>
          <w:sz w:val="32"/>
          <w:szCs w:val="32"/>
        </w:rPr>
        <w:t>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r>
        <w:rPr>
          <w:rFonts w:hint="eastAsia" w:ascii="仿宋_GB2312" w:eastAsia="仿宋_GB2312"/>
          <w:color w:val="000000"/>
          <w:sz w:val="32"/>
          <w:szCs w:val="32"/>
        </w:rPr>
        <w:t>公务接待费</w:t>
      </w:r>
      <w:r>
        <w:rPr>
          <w:rFonts w:hint="eastAsia" w:ascii="仿宋_GB2312" w:eastAsia="仿宋_GB2312"/>
          <w:color w:val="000000"/>
          <w:sz w:val="32"/>
          <w:szCs w:val="32"/>
          <w:lang w:eastAsia="zh-CN"/>
        </w:rPr>
        <w:t>与</w:t>
      </w:r>
      <w:r>
        <w:rPr>
          <w:rFonts w:ascii="仿宋_GB2312" w:eastAsia="仿宋_GB2312"/>
          <w:color w:val="000000"/>
          <w:sz w:val="32"/>
          <w:szCs w:val="32"/>
        </w:rPr>
        <w:t>20</w:t>
      </w:r>
      <w:r>
        <w:rPr>
          <w:rFonts w:hint="eastAsia" w:ascii="仿宋_GB2312" w:eastAsia="仿宋_GB2312"/>
          <w:color w:val="000000"/>
          <w:sz w:val="32"/>
          <w:szCs w:val="32"/>
          <w:lang w:val="en-US" w:eastAsia="zh-CN"/>
        </w:rPr>
        <w:t>24年相比减少0.41万元</w:t>
      </w:r>
      <w:r>
        <w:rPr>
          <w:rFonts w:hint="eastAsia" w:ascii="仿宋_GB2312" w:eastAsia="仿宋_GB2312"/>
          <w:color w:val="000000"/>
          <w:sz w:val="32"/>
          <w:szCs w:val="32"/>
          <w:lang w:eastAsia="zh-CN"/>
        </w:rPr>
        <w:t>。</w:t>
      </w:r>
    </w:p>
    <w:p w14:paraId="096A7945">
      <w:pPr>
        <w:numPr>
          <w:ilvl w:val="0"/>
          <w:numId w:val="3"/>
        </w:num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国内公务接待支出</w:t>
      </w:r>
      <w:r>
        <w:rPr>
          <w:rFonts w:hint="eastAsia" w:ascii="仿宋" w:hAnsi="仿宋" w:eastAsia="仿宋"/>
          <w:color w:val="000000" w:themeColor="text1"/>
          <w:sz w:val="32"/>
          <w:szCs w:val="32"/>
          <w:lang w:val="en-US" w:eastAsia="zh-CN"/>
          <w14:textFill>
            <w14:solidFill>
              <w14:schemeClr w14:val="tx1"/>
            </w14:solidFill>
          </w14:textFill>
        </w:rPr>
        <w:t>0.06</w:t>
      </w:r>
      <w:r>
        <w:rPr>
          <w:rFonts w:hint="eastAsia" w:ascii="仿宋_GB2312" w:eastAsia="仿宋_GB2312"/>
          <w:color w:val="000000" w:themeColor="text1"/>
          <w:sz w:val="32"/>
          <w:szCs w:val="32"/>
          <w14:textFill>
            <w14:solidFill>
              <w14:schemeClr w14:val="tx1"/>
            </w14:solidFill>
          </w14:textFill>
        </w:rPr>
        <w:t>万元，主要用于执行公务、开展业务活动开支</w:t>
      </w:r>
      <w:r>
        <w:rPr>
          <w:rFonts w:hint="eastAsia" w:ascii="仿宋_GB2312" w:eastAsia="仿宋_GB2312"/>
          <w:color w:val="000000" w:themeColor="text1"/>
          <w:sz w:val="32"/>
          <w:szCs w:val="32"/>
          <w:lang w:eastAsia="zh-CN"/>
          <w14:textFill>
            <w14:solidFill>
              <w14:schemeClr w14:val="tx1"/>
            </w14:solidFill>
          </w14:textFill>
        </w:rPr>
        <w:t>的</w:t>
      </w:r>
      <w:r>
        <w:rPr>
          <w:rFonts w:hint="eastAsia" w:ascii="仿宋_GB2312" w:eastAsia="仿宋_GB2312"/>
          <w:color w:val="000000" w:themeColor="text1"/>
          <w:sz w:val="32"/>
          <w:szCs w:val="32"/>
          <w14:textFill>
            <w14:solidFill>
              <w14:schemeClr w14:val="tx1"/>
            </w14:solidFill>
          </w14:textFill>
        </w:rPr>
        <w:t>用餐费等。国内公务接待</w:t>
      </w:r>
      <w:r>
        <w:rPr>
          <w:rFonts w:hint="eastAsia" w:ascii="仿宋_GB2312" w:eastAsia="仿宋_GB2312"/>
          <w:color w:val="000000" w:themeColor="text1"/>
          <w:sz w:val="32"/>
          <w:szCs w:val="32"/>
          <w:lang w:val="en-US" w:eastAsia="zh-CN"/>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批次，</w:t>
      </w:r>
      <w:r>
        <w:rPr>
          <w:rFonts w:hint="eastAsia" w:ascii="仿宋_GB2312" w:eastAsia="仿宋_GB2312"/>
          <w:color w:val="000000" w:themeColor="text1"/>
          <w:sz w:val="32"/>
          <w:szCs w:val="32"/>
          <w:highlight w:val="none"/>
          <w:lang w:val="en-US" w:eastAsia="zh-CN"/>
          <w14:textFill>
            <w14:solidFill>
              <w14:schemeClr w14:val="tx1"/>
            </w14:solidFill>
          </w14:textFill>
        </w:rPr>
        <w:t>12</w:t>
      </w:r>
      <w:r>
        <w:rPr>
          <w:rFonts w:hint="eastAsia" w:ascii="仿宋_GB2312" w:eastAsia="仿宋_GB2312"/>
          <w:color w:val="000000" w:themeColor="text1"/>
          <w:sz w:val="32"/>
          <w:szCs w:val="32"/>
          <w:highlight w:val="none"/>
          <w14:textFill>
            <w14:solidFill>
              <w14:schemeClr w14:val="tx1"/>
            </w14:solidFill>
          </w14:textFill>
        </w:rPr>
        <w:t>人次</w:t>
      </w:r>
      <w:r>
        <w:rPr>
          <w:rFonts w:hint="eastAsia" w:ascii="仿宋_GB2312" w:eastAsia="仿宋_GB2312"/>
          <w:color w:val="000000" w:themeColor="text1"/>
          <w:sz w:val="32"/>
          <w:szCs w:val="32"/>
          <w14:textFill>
            <w14:solidFill>
              <w14:schemeClr w14:val="tx1"/>
            </w14:solidFill>
          </w14:textFill>
        </w:rPr>
        <w:t>，共计支出</w:t>
      </w:r>
      <w:r>
        <w:rPr>
          <w:rFonts w:hint="eastAsia" w:ascii="仿宋_GB2312" w:eastAsia="仿宋_GB2312"/>
          <w:color w:val="000000" w:themeColor="text1"/>
          <w:sz w:val="32"/>
          <w:szCs w:val="32"/>
          <w:lang w:val="en-US" w:eastAsia="zh-CN"/>
          <w14:textFill>
            <w14:solidFill>
              <w14:schemeClr w14:val="tx1"/>
            </w14:solidFill>
          </w14:textFill>
        </w:rPr>
        <w:t>0.06</w:t>
      </w:r>
      <w:r>
        <w:rPr>
          <w:rFonts w:hint="eastAsia" w:ascii="仿宋_GB2312" w:eastAsia="仿宋_GB2312"/>
          <w:color w:val="000000" w:themeColor="text1"/>
          <w:sz w:val="32"/>
          <w:szCs w:val="32"/>
          <w14:textFill>
            <w14:solidFill>
              <w14:schemeClr w14:val="tx1"/>
            </w14:solidFill>
          </w14:textFill>
        </w:rPr>
        <w:t>万元，具体内容包括：</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1</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lang w:eastAsia="zh-CN"/>
          <w14:textFill>
            <w14:solidFill>
              <w14:schemeClr w14:val="tx1"/>
            </w14:solidFill>
          </w14:textFill>
        </w:rPr>
        <w:t>接待邛崃监狱一行工作用餐费，接待</w:t>
      </w:r>
      <w:r>
        <w:rPr>
          <w:rFonts w:hint="eastAsia" w:ascii="仿宋_GB2312" w:eastAsia="仿宋_GB2312"/>
          <w:color w:val="000000" w:themeColor="text1"/>
          <w:sz w:val="32"/>
          <w:szCs w:val="32"/>
          <w:lang w:val="en-US" w:eastAsia="zh-CN"/>
          <w14:textFill>
            <w14:solidFill>
              <w14:schemeClr w14:val="tx1"/>
            </w14:solidFill>
          </w14:textFill>
        </w:rPr>
        <w:t>1天</w:t>
      </w:r>
      <w:r>
        <w:rPr>
          <w:rFonts w:hint="eastAsia" w:ascii="仿宋_GB2312" w:eastAsia="仿宋_GB2312"/>
          <w:color w:val="000000" w:themeColor="text1"/>
          <w:sz w:val="32"/>
          <w:szCs w:val="32"/>
          <w:highlight w:val="none"/>
          <w:lang w:val="en-US" w:eastAsia="zh-CN"/>
          <w14:textFill>
            <w14:solidFill>
              <w14:schemeClr w14:val="tx1"/>
            </w14:solidFill>
          </w14:textFill>
        </w:rPr>
        <w:t>6</w:t>
      </w:r>
      <w:r>
        <w:rPr>
          <w:rFonts w:hint="eastAsia" w:ascii="仿宋_GB2312" w:eastAsia="仿宋_GB2312"/>
          <w:color w:val="000000" w:themeColor="text1"/>
          <w:sz w:val="32"/>
          <w:szCs w:val="32"/>
          <w:lang w:val="en-US" w:eastAsia="zh-CN"/>
          <w14:textFill>
            <w14:solidFill>
              <w14:schemeClr w14:val="tx1"/>
            </w14:solidFill>
          </w14:textFill>
        </w:rPr>
        <w:t>人次，接待金额273元；（2）法律援助案件质量评估工作,接待1天，</w:t>
      </w:r>
      <w:r>
        <w:rPr>
          <w:rFonts w:hint="eastAsia" w:ascii="仿宋_GB2312" w:eastAsia="仿宋_GB2312"/>
          <w:color w:val="000000" w:themeColor="text1"/>
          <w:sz w:val="32"/>
          <w:szCs w:val="32"/>
          <w:highlight w:val="none"/>
          <w:lang w:val="en-US" w:eastAsia="zh-CN"/>
          <w14:textFill>
            <w14:solidFill>
              <w14:schemeClr w14:val="tx1"/>
            </w14:solidFill>
          </w14:textFill>
        </w:rPr>
        <w:t>6</w:t>
      </w:r>
      <w:r>
        <w:rPr>
          <w:rFonts w:hint="eastAsia" w:ascii="仿宋_GB2312" w:eastAsia="仿宋_GB2312"/>
          <w:color w:val="000000" w:themeColor="text1"/>
          <w:sz w:val="32"/>
          <w:szCs w:val="32"/>
          <w:lang w:val="en-US" w:eastAsia="zh-CN"/>
          <w14:textFill>
            <w14:solidFill>
              <w14:schemeClr w14:val="tx1"/>
            </w14:solidFill>
          </w14:textFill>
        </w:rPr>
        <w:t>人次，金额298元。</w:t>
      </w:r>
    </w:p>
    <w:p w14:paraId="79B7D6C5">
      <w:pPr>
        <w:spacing w:line="600" w:lineRule="exact"/>
        <w:ind w:firstLine="643" w:firstLineChars="200"/>
        <w:rPr>
          <w:rFonts w:ascii="仿宋_GB2312" w:eastAsia="仿宋_GB2312"/>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p>
    <w:p w14:paraId="06168F2D">
      <w:pPr>
        <w:spacing w:line="600" w:lineRule="exact"/>
        <w:ind w:firstLine="640"/>
        <w:outlineLvl w:val="1"/>
        <w:rPr>
          <w:rStyle w:val="20"/>
          <w:rFonts w:ascii="黑体" w:hAnsi="黑体" w:eastAsia="黑体"/>
        </w:rPr>
      </w:pPr>
      <w:bookmarkStart w:id="114" w:name="_Toc15396610"/>
      <w:bookmarkStart w:id="115" w:name="_Toc8169"/>
      <w:bookmarkStart w:id="116" w:name="_Toc79163622"/>
      <w:bookmarkStart w:id="117" w:name="_Toc15377218"/>
      <w:bookmarkStart w:id="118" w:name="_Toc2611"/>
      <w:bookmarkStart w:id="119" w:name="_Toc79163872"/>
      <w:r>
        <w:rPr>
          <w:rFonts w:hint="eastAsia" w:ascii="黑体" w:eastAsia="黑体"/>
          <w:color w:val="000000"/>
          <w:sz w:val="32"/>
          <w:szCs w:val="32"/>
        </w:rPr>
        <w:t>八、</w:t>
      </w:r>
      <w:r>
        <w:rPr>
          <w:rStyle w:val="20"/>
          <w:rFonts w:hint="eastAsia" w:ascii="黑体" w:hAnsi="黑体" w:eastAsia="黑体"/>
          <w:b w:val="0"/>
        </w:rPr>
        <w:t>政府性基金预算支出决算情况说明</w:t>
      </w:r>
      <w:bookmarkEnd w:id="114"/>
      <w:bookmarkEnd w:id="115"/>
      <w:bookmarkEnd w:id="116"/>
      <w:bookmarkEnd w:id="117"/>
      <w:bookmarkEnd w:id="118"/>
      <w:bookmarkEnd w:id="119"/>
    </w:p>
    <w:p w14:paraId="2D616390">
      <w:pPr>
        <w:spacing w:line="600"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本单位</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无数据</w:t>
      </w:r>
      <w:r>
        <w:rPr>
          <w:rFonts w:hint="eastAsia" w:ascii="仿宋_GB2312" w:eastAsia="仿宋_GB2312"/>
          <w:color w:val="000000"/>
          <w:sz w:val="32"/>
          <w:szCs w:val="32"/>
          <w:lang w:eastAsia="zh-CN"/>
        </w:rPr>
        <w:t>，所以为空表</w:t>
      </w:r>
      <w:r>
        <w:rPr>
          <w:rFonts w:hint="eastAsia" w:ascii="仿宋_GB2312" w:eastAsia="仿宋_GB2312"/>
          <w:color w:val="000000"/>
          <w:sz w:val="32"/>
          <w:szCs w:val="32"/>
        </w:rPr>
        <w:t>。</w:t>
      </w:r>
    </w:p>
    <w:p w14:paraId="2DA41EB6">
      <w:pPr>
        <w:numPr>
          <w:ilvl w:val="0"/>
          <w:numId w:val="0"/>
        </w:numPr>
        <w:spacing w:line="600" w:lineRule="exact"/>
        <w:ind w:firstLine="640" w:firstLineChars="0"/>
        <w:outlineLvl w:val="1"/>
        <w:rPr>
          <w:rStyle w:val="20"/>
          <w:rFonts w:ascii="黑体" w:hAnsi="黑体" w:eastAsia="黑体"/>
          <w:b w:val="0"/>
        </w:rPr>
      </w:pPr>
      <w:bookmarkStart w:id="120" w:name="_Toc9237"/>
      <w:bookmarkStart w:id="121" w:name="_Toc79163623"/>
      <w:bookmarkStart w:id="122" w:name="_Toc79163873"/>
      <w:bookmarkStart w:id="123" w:name="_Toc15377219"/>
      <w:bookmarkStart w:id="124" w:name="_Toc15396611"/>
      <w:bookmarkStart w:id="125" w:name="_Toc15395"/>
      <w:r>
        <w:rPr>
          <w:rFonts w:hint="eastAsia" w:ascii="黑体" w:hAnsi="黑体" w:eastAsia="黑体" w:cs="Times New Roman"/>
          <w:b w:val="0"/>
          <w:bCs/>
          <w:kern w:val="2"/>
          <w:sz w:val="32"/>
          <w:szCs w:val="32"/>
          <w:lang w:val="en-US" w:eastAsia="zh-CN" w:bidi="ar-SA"/>
        </w:rPr>
        <w:t>九、</w:t>
      </w:r>
      <w:r>
        <w:rPr>
          <w:rStyle w:val="20"/>
          <w:rFonts w:hint="eastAsia" w:ascii="黑体" w:hAnsi="黑体" w:eastAsia="黑体"/>
          <w:b w:val="0"/>
        </w:rPr>
        <w:t>国有资本经营预算支出决算情况说明</w:t>
      </w:r>
      <w:bookmarkEnd w:id="120"/>
      <w:bookmarkEnd w:id="121"/>
      <w:bookmarkEnd w:id="122"/>
      <w:bookmarkEnd w:id="123"/>
      <w:bookmarkEnd w:id="124"/>
      <w:bookmarkEnd w:id="125"/>
    </w:p>
    <w:p w14:paraId="0F1AFDA7">
      <w:pPr>
        <w:spacing w:line="600" w:lineRule="exact"/>
        <w:ind w:firstLine="640"/>
        <w:rPr>
          <w:rFonts w:ascii="方正小标宋简体" w:hAnsi="方正小标宋简体" w:eastAsia="方正小标宋简体" w:cs="方正小标宋简体"/>
          <w:sz w:val="44"/>
          <w:szCs w:val="44"/>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无数据，所以为空表</w:t>
      </w:r>
      <w:r>
        <w:rPr>
          <w:rFonts w:hint="eastAsia" w:ascii="仿宋_GB2312" w:eastAsia="仿宋_GB2312"/>
          <w:color w:val="000000"/>
          <w:sz w:val="32"/>
          <w:szCs w:val="32"/>
        </w:rPr>
        <w:t>。</w:t>
      </w:r>
    </w:p>
    <w:p w14:paraId="40C402CA">
      <w:pPr>
        <w:spacing w:line="600" w:lineRule="exact"/>
        <w:ind w:firstLine="800" w:firstLineChars="250"/>
        <w:outlineLvl w:val="1"/>
        <w:rPr>
          <w:rStyle w:val="20"/>
          <w:rFonts w:ascii="黑体" w:hAnsi="黑体" w:eastAsia="黑体"/>
        </w:rPr>
      </w:pPr>
      <w:bookmarkStart w:id="126" w:name="_Toc79163874"/>
      <w:bookmarkStart w:id="127" w:name="_Toc15396612"/>
      <w:bookmarkStart w:id="128" w:name="_Toc79163624"/>
      <w:bookmarkStart w:id="129" w:name="_Toc18439"/>
      <w:bookmarkStart w:id="130" w:name="_Toc15377221"/>
      <w:bookmarkStart w:id="131" w:name="_Toc29533"/>
      <w:r>
        <w:rPr>
          <w:rFonts w:hint="eastAsia" w:ascii="黑体" w:hAnsi="黑体" w:eastAsia="黑体"/>
          <w:color w:val="000000"/>
          <w:sz w:val="32"/>
          <w:szCs w:val="32"/>
        </w:rPr>
        <w:t>十</w:t>
      </w:r>
      <w:r>
        <w:rPr>
          <w:rStyle w:val="20"/>
          <w:rFonts w:hint="eastAsia" w:ascii="黑体" w:hAnsi="黑体" w:eastAsia="黑体"/>
        </w:rPr>
        <w:t>、</w:t>
      </w:r>
      <w:r>
        <w:rPr>
          <w:rStyle w:val="20"/>
          <w:rFonts w:hint="eastAsia" w:ascii="黑体" w:hAnsi="黑体" w:eastAsia="黑体"/>
          <w:b w:val="0"/>
        </w:rPr>
        <w:t>其他重要事项的情况说明</w:t>
      </w:r>
      <w:bookmarkEnd w:id="126"/>
      <w:bookmarkEnd w:id="127"/>
      <w:bookmarkEnd w:id="128"/>
      <w:bookmarkEnd w:id="129"/>
      <w:bookmarkEnd w:id="130"/>
      <w:bookmarkEnd w:id="131"/>
    </w:p>
    <w:p w14:paraId="28AA0B03">
      <w:pPr>
        <w:spacing w:line="600" w:lineRule="exact"/>
        <w:ind w:firstLine="643" w:firstLineChars="200"/>
        <w:outlineLvl w:val="2"/>
        <w:rPr>
          <w:rFonts w:ascii="仿宋" w:hAnsi="仿宋" w:eastAsia="仿宋"/>
          <w:color w:val="000000"/>
          <w:sz w:val="32"/>
          <w:szCs w:val="32"/>
        </w:rPr>
      </w:pPr>
      <w:bookmarkStart w:id="132" w:name="_Toc79163875"/>
      <w:bookmarkStart w:id="133" w:name="_Toc79163625"/>
      <w:bookmarkStart w:id="134" w:name="_Toc15377222"/>
      <w:bookmarkStart w:id="135" w:name="_Toc10448"/>
      <w:bookmarkStart w:id="136" w:name="_Toc30315"/>
      <w:r>
        <w:rPr>
          <w:rFonts w:hint="eastAsia" w:ascii="仿宋" w:hAnsi="仿宋" w:eastAsia="仿宋"/>
          <w:b/>
          <w:color w:val="000000"/>
          <w:sz w:val="32"/>
          <w:szCs w:val="32"/>
        </w:rPr>
        <w:t>（一）机关运行经费支出情况</w:t>
      </w:r>
      <w:bookmarkEnd w:id="132"/>
      <w:bookmarkEnd w:id="133"/>
      <w:bookmarkEnd w:id="134"/>
      <w:bookmarkEnd w:id="135"/>
      <w:bookmarkEnd w:id="136"/>
    </w:p>
    <w:p w14:paraId="46D0B104">
      <w:pPr>
        <w:spacing w:line="600" w:lineRule="exact"/>
        <w:ind w:firstLine="640" w:firstLineChars="200"/>
        <w:rPr>
          <w:rFonts w:hint="default" w:ascii="仿宋" w:hAnsi="仿宋" w:eastAsia="仿宋"/>
          <w:color w:val="auto"/>
          <w:sz w:val="32"/>
          <w:szCs w:val="32"/>
          <w:lang w:val="en-US" w:eastAsia="zh-CN"/>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我局</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65.42</w:t>
      </w:r>
      <w:r>
        <w:rPr>
          <w:rFonts w:hint="eastAsia" w:ascii="仿宋_GB2312" w:eastAsia="仿宋_GB2312"/>
          <w:color w:val="000000"/>
          <w:sz w:val="32"/>
          <w:szCs w:val="32"/>
        </w:rPr>
        <w:t>万元，比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2.34</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3.45</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 w:hAnsi="仿宋" w:eastAsia="仿宋"/>
          <w:color w:val="auto"/>
          <w:sz w:val="32"/>
          <w:szCs w:val="32"/>
          <w:lang w:val="en-US" w:eastAsia="zh-CN"/>
        </w:rPr>
        <w:t>减少开支，厉行节约。</w:t>
      </w:r>
    </w:p>
    <w:p w14:paraId="1DCF6398">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137" w:name="_Toc18056"/>
      <w:bookmarkStart w:id="138" w:name="_Toc79163626"/>
      <w:bookmarkStart w:id="139" w:name="_Toc15377223"/>
      <w:bookmarkStart w:id="140" w:name="_Toc895"/>
      <w:bookmarkStart w:id="141" w:name="_Toc79163876"/>
      <w:r>
        <w:rPr>
          <w:rFonts w:hint="eastAsia" w:ascii="仿宋" w:hAnsi="仿宋" w:eastAsia="仿宋"/>
          <w:b/>
          <w:color w:val="000000"/>
          <w:sz w:val="32"/>
          <w:szCs w:val="32"/>
        </w:rPr>
        <w:t>（二）政府采购支出情况</w:t>
      </w:r>
      <w:bookmarkEnd w:id="137"/>
      <w:bookmarkEnd w:id="138"/>
      <w:bookmarkEnd w:id="139"/>
      <w:bookmarkEnd w:id="140"/>
      <w:bookmarkEnd w:id="141"/>
    </w:p>
    <w:p w14:paraId="79F80D56">
      <w:pPr>
        <w:spacing w:line="60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我局</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4.91</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4.91</w:t>
      </w:r>
      <w:r>
        <w:rPr>
          <w:rFonts w:hint="eastAsia" w:ascii="仿宋_GB2312" w:eastAsia="仿宋_GB2312"/>
          <w:color w:val="000000"/>
          <w:sz w:val="32"/>
          <w:szCs w:val="32"/>
        </w:rPr>
        <w:t>万元。主要用于</w:t>
      </w:r>
      <w:r>
        <w:rPr>
          <w:rFonts w:hint="eastAsia" w:ascii="仿宋_GB2312" w:eastAsia="仿宋_GB2312"/>
          <w:color w:val="000000"/>
          <w:sz w:val="32"/>
          <w:szCs w:val="32"/>
          <w:lang w:eastAsia="zh-CN"/>
        </w:rPr>
        <w:t>设备购置</w:t>
      </w:r>
      <w:r>
        <w:rPr>
          <w:rFonts w:hint="eastAsia" w:ascii="仿宋_GB2312" w:eastAsia="仿宋_GB2312"/>
          <w:color w:val="000000"/>
          <w:sz w:val="32"/>
          <w:szCs w:val="32"/>
        </w:rPr>
        <w:t>。授予中小企业合同金额</w:t>
      </w:r>
      <w:r>
        <w:rPr>
          <w:rFonts w:hint="eastAsia" w:ascii="仿宋_GB2312" w:eastAsia="仿宋_GB2312"/>
          <w:color w:val="000000"/>
          <w:sz w:val="32"/>
          <w:szCs w:val="32"/>
          <w:lang w:val="en-US" w:eastAsia="zh-CN"/>
        </w:rPr>
        <w:t>4.91</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100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4.91</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100</w:t>
      </w:r>
      <w:r>
        <w:rPr>
          <w:rFonts w:ascii="仿宋_GB2312" w:eastAsia="仿宋_GB2312"/>
          <w:color w:val="000000"/>
          <w:sz w:val="32"/>
          <w:szCs w:val="32"/>
        </w:rPr>
        <w:t>%</w:t>
      </w:r>
      <w:r>
        <w:rPr>
          <w:rFonts w:hint="eastAsia" w:ascii="仿宋_GB2312" w:eastAsia="仿宋_GB2312"/>
          <w:color w:val="000000"/>
          <w:sz w:val="32"/>
          <w:szCs w:val="32"/>
        </w:rPr>
        <w:t>。</w:t>
      </w:r>
    </w:p>
    <w:p w14:paraId="42A5F64D">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142" w:name="_Toc7861"/>
      <w:bookmarkStart w:id="143" w:name="_Toc1241"/>
      <w:bookmarkStart w:id="144" w:name="_Toc15377224"/>
      <w:bookmarkStart w:id="145" w:name="_Toc79163877"/>
      <w:bookmarkStart w:id="146" w:name="_Toc79163627"/>
      <w:r>
        <w:rPr>
          <w:rFonts w:hint="eastAsia" w:ascii="仿宋" w:hAnsi="仿宋" w:eastAsia="仿宋"/>
          <w:b/>
          <w:color w:val="000000"/>
          <w:sz w:val="32"/>
          <w:szCs w:val="32"/>
        </w:rPr>
        <w:t>（三）国有资产占有使用情况</w:t>
      </w:r>
      <w:bookmarkEnd w:id="142"/>
      <w:bookmarkEnd w:id="143"/>
      <w:bookmarkEnd w:id="144"/>
      <w:bookmarkEnd w:id="145"/>
      <w:bookmarkEnd w:id="146"/>
    </w:p>
    <w:p w14:paraId="5D0CBA76">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eastAsia="zh-CN"/>
        </w:rPr>
        <w:t>我局</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sz w:val="32"/>
          <w:szCs w:val="32"/>
          <w:lang w:eastAsia="zh-CN"/>
        </w:rPr>
        <w:t>（电瓶车）</w:t>
      </w:r>
      <w:r>
        <w:rPr>
          <w:rFonts w:hint="eastAsia" w:ascii="仿宋_GB2312" w:eastAsia="仿宋_GB2312"/>
          <w:color w:val="000000"/>
          <w:sz w:val="32"/>
          <w:szCs w:val="32"/>
        </w:rPr>
        <w:t>、</w:t>
      </w:r>
      <w:r>
        <w:rPr>
          <w:rFonts w:hint="eastAsia" w:ascii="仿宋_GB2312" w:eastAsia="仿宋_GB2312"/>
          <w:color w:val="000000"/>
          <w:sz w:val="32"/>
          <w:szCs w:val="32"/>
          <w:lang w:eastAsia="zh-CN"/>
        </w:rPr>
        <w:t>执法执勤用车</w:t>
      </w:r>
      <w:r>
        <w:rPr>
          <w:rFonts w:hint="eastAsia" w:ascii="仿宋_GB2312" w:eastAsia="仿宋_GB2312"/>
          <w:color w:val="000000"/>
          <w:sz w:val="32"/>
          <w:szCs w:val="32"/>
          <w:lang w:val="en-US" w:eastAsia="zh-CN"/>
        </w:rPr>
        <w:t>2辆，</w:t>
      </w:r>
      <w:r>
        <w:rPr>
          <w:rFonts w:hint="eastAsia" w:ascii="仿宋_GB2312" w:eastAsia="仿宋_GB2312"/>
          <w:color w:val="000000"/>
          <w:sz w:val="32"/>
          <w:szCs w:val="32"/>
        </w:rPr>
        <w:t>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14:paraId="38BCBBDF">
      <w:pPr>
        <w:numPr>
          <w:ilvl w:val="0"/>
          <w:numId w:val="4"/>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rPr>
      </w:pPr>
      <w:bookmarkStart w:id="147" w:name="_Toc15466"/>
      <w:bookmarkStart w:id="148" w:name="_Toc13871"/>
      <w:bookmarkStart w:id="149" w:name="_Toc79163878"/>
      <w:bookmarkStart w:id="150" w:name="_Toc79163628"/>
      <w:r>
        <w:rPr>
          <w:rFonts w:hint="eastAsia" w:ascii="仿宋" w:hAnsi="仿宋" w:eastAsia="仿宋"/>
          <w:b/>
          <w:color w:val="000000"/>
          <w:sz w:val="32"/>
          <w:szCs w:val="32"/>
        </w:rPr>
        <w:t>预算绩效管理情况。</w:t>
      </w:r>
      <w:bookmarkEnd w:id="147"/>
      <w:bookmarkEnd w:id="148"/>
      <w:bookmarkEnd w:id="149"/>
      <w:bookmarkEnd w:id="150"/>
    </w:p>
    <w:p w14:paraId="6DB81DAE">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根据预算绩效管理要求，本单位在年初预算编制阶段，组织对“</w:t>
      </w:r>
      <w:r>
        <w:rPr>
          <w:rFonts w:hint="eastAsia" w:ascii="仿宋_GB2312" w:hAnsi="仿宋_GB2312" w:eastAsia="仿宋_GB2312" w:cs="仿宋_GB2312"/>
          <w:color w:val="auto"/>
          <w:sz w:val="32"/>
          <w:szCs w:val="32"/>
          <w:lang w:eastAsia="zh-CN"/>
        </w:rPr>
        <w:t>一般行政管理事务</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“法治建设”</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普法宣传</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“法律援助”“社区矫正”</w:t>
      </w:r>
      <w:r>
        <w:rPr>
          <w:rFonts w:hint="eastAsia" w:ascii="仿宋_GB2312" w:hAnsi="仿宋_GB2312" w:eastAsia="仿宋_GB2312" w:cs="仿宋_GB2312"/>
          <w:color w:val="auto"/>
          <w:sz w:val="32"/>
          <w:szCs w:val="32"/>
          <w:lang w:val="en-US" w:eastAsia="zh-CN"/>
        </w:rPr>
        <w:t>5个</w:t>
      </w:r>
      <w:r>
        <w:rPr>
          <w:rFonts w:hint="eastAsia" w:ascii="仿宋_GB2312" w:hAnsi="仿宋_GB2312" w:eastAsia="仿宋_GB2312" w:cs="仿宋_GB2312"/>
          <w:color w:val="auto"/>
          <w:sz w:val="32"/>
          <w:szCs w:val="32"/>
        </w:rPr>
        <w:t>项目开展了预算事前绩效评估，对</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个项目编制了绩效目标，预算执行过程中，选取</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个项目开展绩效监控，年终执行完毕后，对</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个项目开展了绩效目标完成情况梳理填报。</w:t>
      </w:r>
    </w:p>
    <w:p w14:paraId="0A32A254">
      <w:pPr>
        <w:pStyle w:val="14"/>
        <w:widowControl/>
        <w:shd w:val="clear" w:color="auto" w:fill="FFFFFF"/>
        <w:spacing w:before="0" w:beforeAutospacing="0" w:after="0" w:afterAutospacing="0" w:line="315" w:lineRule="atLeast"/>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auto"/>
          <w:sz w:val="32"/>
          <w:szCs w:val="32"/>
        </w:rPr>
        <w:t>本部门按要求对20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年部门整体支出开展绩效自评，从评价情况来看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i w:val="0"/>
          <w:caps w:val="0"/>
          <w:color w:val="auto"/>
          <w:spacing w:val="0"/>
          <w:sz w:val="32"/>
          <w:szCs w:val="32"/>
          <w:shd w:val="clear" w:fill="FFFFFF"/>
        </w:rPr>
        <w:t>我局严格按照年初预算进行部门整体支出。在支出过程中，能严格遵守各项规章制度，“三公经费”明显下降。所有项目都详细制定了方案，严格按方案组织实施，并加强了监督。尤其是在专项经费支出上，我们能专款专用，按项目实施计划的进度情况进行资金拨付，无截留、无挪用等现象。</w:t>
      </w:r>
      <w:r>
        <w:rPr>
          <w:rFonts w:hint="eastAsia" w:ascii="仿宋_GB2312" w:hAnsi="宋体" w:eastAsia="仿宋_GB2312" w:cs="宋体"/>
          <w:color w:val="000000" w:themeColor="text1"/>
          <w:sz w:val="32"/>
          <w:szCs w:val="32"/>
          <w:lang w:val="zh-CN" w:bidi="ar"/>
          <w14:textFill>
            <w14:solidFill>
              <w14:schemeClr w14:val="tx1"/>
            </w14:solidFill>
          </w14:textFill>
        </w:rPr>
        <w:t>根据《20</w:t>
      </w:r>
      <w:r>
        <w:rPr>
          <w:rFonts w:hint="eastAsia" w:ascii="仿宋_GB2312" w:hAnsi="宋体" w:eastAsia="仿宋_GB2312" w:cs="宋体"/>
          <w:color w:val="000000" w:themeColor="text1"/>
          <w:sz w:val="32"/>
          <w:szCs w:val="32"/>
          <w:lang w:val="en-US" w:eastAsia="zh-CN" w:bidi="ar"/>
          <w14:textFill>
            <w14:solidFill>
              <w14:schemeClr w14:val="tx1"/>
            </w14:solidFill>
          </w14:textFill>
        </w:rPr>
        <w:t>25</w:t>
      </w:r>
      <w:r>
        <w:rPr>
          <w:rFonts w:hint="eastAsia" w:ascii="仿宋_GB2312" w:hAnsi="宋体" w:eastAsia="仿宋_GB2312" w:cs="宋体"/>
          <w:color w:val="000000" w:themeColor="text1"/>
          <w:sz w:val="32"/>
          <w:szCs w:val="32"/>
          <w:lang w:val="zh-CN" w:bidi="ar"/>
          <w14:textFill>
            <w14:solidFill>
              <w14:schemeClr w14:val="tx1"/>
            </w14:solidFill>
          </w14:textFill>
        </w:rPr>
        <w:t>年红原县部门支出绩效评价指标体系》评分得分</w:t>
      </w:r>
      <w:r>
        <w:rPr>
          <w:rFonts w:hint="eastAsia" w:ascii="仿宋_GB2312" w:hAnsi="宋体" w:eastAsia="仿宋_GB2312" w:cs="宋体"/>
          <w:color w:val="000000" w:themeColor="text1"/>
          <w:sz w:val="32"/>
          <w:szCs w:val="32"/>
          <w:lang w:val="en-US" w:eastAsia="zh-CN" w:bidi="ar"/>
          <w14:textFill>
            <w14:solidFill>
              <w14:schemeClr w14:val="tx1"/>
            </w14:solidFill>
          </w14:textFill>
        </w:rPr>
        <w:t>91</w:t>
      </w:r>
      <w:r>
        <w:rPr>
          <w:rFonts w:hint="eastAsia" w:ascii="仿宋_GB2312" w:hAnsi="宋体" w:eastAsia="仿宋_GB2312" w:cs="宋体"/>
          <w:color w:val="000000" w:themeColor="text1"/>
          <w:sz w:val="32"/>
          <w:szCs w:val="32"/>
          <w:lang w:val="zh-CN" w:bidi="ar"/>
          <w14:textFill>
            <w14:solidFill>
              <w14:schemeClr w14:val="tx1"/>
            </w14:solidFill>
          </w14:textFill>
        </w:rPr>
        <w:t>分，部门整体支出绩效为“好”。</w:t>
      </w:r>
    </w:p>
    <w:p w14:paraId="785422B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color w:val="auto"/>
          <w:sz w:val="32"/>
          <w:szCs w:val="32"/>
        </w:rPr>
        <w:t>本部门还自行组织了</w:t>
      </w:r>
      <w:r>
        <w:rPr>
          <w:rFonts w:hint="eastAsia" w:ascii="仿宋_GB2312" w:hAnsi="仿宋_GB2312" w:eastAsia="仿宋_GB2312" w:cs="仿宋_GB2312"/>
          <w:color w:val="auto"/>
          <w:sz w:val="32"/>
          <w:szCs w:val="32"/>
          <w:lang w:eastAsia="zh-CN"/>
        </w:rPr>
        <w:t>对法治宣传工作经费</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个项目绩效评价，从评价情况来看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i w:val="0"/>
          <w:caps w:val="0"/>
          <w:color w:val="auto"/>
          <w:spacing w:val="0"/>
          <w:sz w:val="32"/>
          <w:szCs w:val="32"/>
          <w:shd w:val="clear" w:fill="FFFFFF"/>
        </w:rPr>
        <w:t>普法宣传工作，使</w:t>
      </w:r>
      <w:r>
        <w:rPr>
          <w:rFonts w:hint="eastAsia" w:ascii="仿宋_GB2312" w:hAnsi="仿宋_GB2312" w:eastAsia="仿宋_GB2312" w:cs="仿宋_GB2312"/>
          <w:b w:val="0"/>
          <w:i w:val="0"/>
          <w:caps w:val="0"/>
          <w:color w:val="auto"/>
          <w:spacing w:val="0"/>
          <w:sz w:val="32"/>
          <w:szCs w:val="32"/>
          <w:shd w:val="clear" w:fill="FFFFFF"/>
          <w:lang w:eastAsia="zh-CN"/>
        </w:rPr>
        <w:t>人民群众</w:t>
      </w:r>
      <w:r>
        <w:rPr>
          <w:rFonts w:hint="eastAsia" w:ascii="仿宋_GB2312" w:hAnsi="仿宋_GB2312" w:eastAsia="仿宋_GB2312" w:cs="仿宋_GB2312"/>
          <w:b w:val="0"/>
          <w:i w:val="0"/>
          <w:caps w:val="0"/>
          <w:color w:val="auto"/>
          <w:spacing w:val="0"/>
          <w:sz w:val="32"/>
          <w:szCs w:val="32"/>
          <w:shd w:val="clear" w:fill="FFFFFF"/>
        </w:rPr>
        <w:t>法</w:t>
      </w:r>
      <w:r>
        <w:rPr>
          <w:rFonts w:hint="eastAsia" w:ascii="仿宋_GB2312" w:hAnsi="仿宋_GB2312" w:eastAsia="仿宋_GB2312" w:cs="仿宋_GB2312"/>
          <w:b w:val="0"/>
          <w:i w:val="0"/>
          <w:caps w:val="0"/>
          <w:color w:val="auto"/>
          <w:spacing w:val="0"/>
          <w:sz w:val="32"/>
          <w:szCs w:val="32"/>
          <w:shd w:val="clear" w:fill="FFFFFF"/>
          <w:lang w:eastAsia="zh-CN"/>
        </w:rPr>
        <w:t>律意识</w:t>
      </w:r>
      <w:r>
        <w:rPr>
          <w:rFonts w:hint="eastAsia" w:ascii="仿宋_GB2312" w:hAnsi="仿宋_GB2312" w:eastAsia="仿宋_GB2312" w:cs="仿宋_GB2312"/>
          <w:b w:val="0"/>
          <w:i w:val="0"/>
          <w:caps w:val="0"/>
          <w:color w:val="auto"/>
          <w:spacing w:val="0"/>
          <w:sz w:val="32"/>
          <w:szCs w:val="32"/>
          <w:shd w:val="clear" w:fill="FFFFFF"/>
        </w:rPr>
        <w:t>走入日常生活，越来越多的群众学会拿起法律的武器来维护自身的权益，树立了法治观念</w:t>
      </w:r>
      <w:r>
        <w:rPr>
          <w:rFonts w:hint="eastAsia" w:ascii="仿宋_GB2312" w:hAnsi="仿宋_GB2312" w:eastAsia="仿宋_GB2312" w:cs="仿宋_GB2312"/>
          <w:b w:val="0"/>
          <w:i w:val="0"/>
          <w:caps w:val="0"/>
          <w:color w:val="auto"/>
          <w:spacing w:val="0"/>
          <w:sz w:val="32"/>
          <w:szCs w:val="32"/>
          <w:shd w:val="clear" w:fill="FFFFFF"/>
          <w:lang w:val="en-US" w:eastAsia="zh-CN"/>
        </w:rPr>
        <w:t>,</w:t>
      </w:r>
      <w:r>
        <w:rPr>
          <w:rFonts w:hint="eastAsia" w:ascii="仿宋_GB2312" w:hAnsi="仿宋_GB2312" w:eastAsia="仿宋_GB2312" w:cs="仿宋_GB2312"/>
          <w:b w:val="0"/>
          <w:i w:val="0"/>
          <w:caps w:val="0"/>
          <w:color w:val="auto"/>
          <w:spacing w:val="0"/>
          <w:sz w:val="32"/>
          <w:szCs w:val="32"/>
          <w:shd w:val="clear" w:fill="FFFFFF"/>
        </w:rPr>
        <w:t>维护社会和谐稳定中发挥了重要作用。</w:t>
      </w:r>
    </w:p>
    <w:p w14:paraId="1DA69632">
      <w:pPr>
        <w:numPr>
          <w:ilvl w:val="0"/>
          <w:numId w:val="0"/>
        </w:numPr>
        <w:spacing w:line="580" w:lineRule="exact"/>
        <w:ind w:firstLine="643" w:firstLineChars="200"/>
        <w:rPr>
          <w:rFonts w:hint="eastAsia" w:ascii="仿宋" w:hAnsi="仿宋" w:eastAsia="仿宋" w:cs="楷体_GB2312"/>
          <w:b/>
          <w:bCs/>
          <w:color w:val="auto"/>
          <w:sz w:val="32"/>
          <w:szCs w:val="32"/>
          <w:lang w:eastAsia="zh-CN"/>
        </w:rPr>
      </w:pPr>
      <w:r>
        <w:rPr>
          <w:rFonts w:hint="eastAsia" w:ascii="仿宋" w:hAnsi="仿宋" w:eastAsia="仿宋" w:cs="楷体_GB2312"/>
          <w:b/>
          <w:bCs/>
          <w:color w:val="auto"/>
          <w:sz w:val="32"/>
          <w:szCs w:val="32"/>
          <w:lang w:val="en-US" w:eastAsia="zh-CN"/>
        </w:rPr>
        <w:t>1.</w:t>
      </w:r>
      <w:r>
        <w:rPr>
          <w:rFonts w:hint="eastAsia" w:ascii="仿宋" w:hAnsi="仿宋" w:eastAsia="仿宋" w:cs="楷体_GB2312"/>
          <w:b/>
          <w:bCs/>
          <w:color w:val="auto"/>
          <w:sz w:val="32"/>
          <w:szCs w:val="32"/>
        </w:rPr>
        <w:t>项目绩效目标完成情况。</w:t>
      </w:r>
    </w:p>
    <w:p w14:paraId="0CA74B2F">
      <w:pPr>
        <w:numPr>
          <w:ilvl w:val="0"/>
          <w:numId w:val="0"/>
        </w:num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本部门在20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年度部门决算中反映“</w:t>
      </w:r>
      <w:r>
        <w:rPr>
          <w:rFonts w:hint="eastAsia" w:ascii="仿宋_GB2312" w:hAnsi="仿宋_GB2312" w:eastAsia="仿宋_GB2312" w:cs="仿宋_GB2312"/>
          <w:color w:val="auto"/>
          <w:sz w:val="32"/>
          <w:szCs w:val="32"/>
          <w:lang w:eastAsia="zh-CN"/>
        </w:rPr>
        <w:t>一般行政管理事务</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“法制建设”</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普法宣传</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“法律援助”“社区矫正”</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个项目绩效目标实际完成情况</w:t>
      </w:r>
      <w:r>
        <w:rPr>
          <w:rFonts w:hint="eastAsia" w:ascii="仿宋_GB2312" w:hAnsi="仿宋_GB2312" w:eastAsia="仿宋_GB2312" w:cs="仿宋_GB2312"/>
          <w:color w:val="auto"/>
          <w:sz w:val="32"/>
          <w:szCs w:val="32"/>
          <w:lang w:eastAsia="zh-CN"/>
        </w:rPr>
        <w:t>。</w:t>
      </w:r>
    </w:p>
    <w:p w14:paraId="36ED7773">
      <w:pPr>
        <w:numPr>
          <w:ilvl w:val="0"/>
          <w:numId w:val="0"/>
        </w:num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）一般行政管理事务项目</w:t>
      </w:r>
      <w:r>
        <w:rPr>
          <w:rFonts w:hint="eastAsia" w:ascii="仿宋_GB2312" w:hAnsi="仿宋_GB2312" w:eastAsia="仿宋_GB2312" w:cs="仿宋_GB2312"/>
          <w:color w:val="auto"/>
          <w:sz w:val="32"/>
          <w:szCs w:val="32"/>
        </w:rPr>
        <w:t>绩效目标完成情况综述。项目全年预算数</w:t>
      </w:r>
      <w:r>
        <w:rPr>
          <w:rFonts w:hint="eastAsia" w:ascii="仿宋_GB2312" w:hAnsi="仿宋_GB2312" w:eastAsia="仿宋_GB2312" w:cs="仿宋_GB2312"/>
          <w:color w:val="auto"/>
          <w:sz w:val="32"/>
          <w:szCs w:val="32"/>
          <w:lang w:val="en-US" w:eastAsia="zh-CN"/>
        </w:rPr>
        <w:t>64.19</w:t>
      </w:r>
      <w:r>
        <w:rPr>
          <w:rFonts w:hint="eastAsia" w:ascii="仿宋_GB2312" w:hAnsi="仿宋_GB2312" w:eastAsia="仿宋_GB2312" w:cs="仿宋_GB2312"/>
          <w:color w:val="auto"/>
          <w:sz w:val="32"/>
          <w:szCs w:val="32"/>
        </w:rPr>
        <w:t>万元，执行数为</w:t>
      </w:r>
      <w:r>
        <w:rPr>
          <w:rFonts w:hint="eastAsia" w:ascii="仿宋_GB2312" w:hAnsi="仿宋_GB2312" w:eastAsia="仿宋_GB2312" w:cs="仿宋_GB2312"/>
          <w:color w:val="auto"/>
          <w:sz w:val="32"/>
          <w:szCs w:val="32"/>
          <w:lang w:val="en-US" w:eastAsia="zh-CN"/>
        </w:rPr>
        <w:t>64.19</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此项目主要用于维稳，人民调解等基层业务，</w:t>
      </w:r>
      <w:r>
        <w:rPr>
          <w:rFonts w:hint="eastAsia" w:ascii="仿宋_GB2312" w:hAnsi="仿宋_GB2312" w:eastAsia="仿宋_GB2312" w:cs="仿宋_GB2312"/>
          <w:color w:val="auto"/>
          <w:sz w:val="32"/>
          <w:szCs w:val="32"/>
        </w:rPr>
        <w:t>通过项目实施，</w:t>
      </w:r>
      <w:r>
        <w:rPr>
          <w:rFonts w:hint="eastAsia" w:ascii="仿宋_GB2312" w:hAnsi="仿宋_GB2312" w:eastAsia="仿宋_GB2312" w:cs="仿宋_GB2312"/>
          <w:b w:val="0"/>
          <w:bCs w:val="0"/>
          <w:i w:val="0"/>
          <w:caps w:val="0"/>
          <w:color w:val="auto"/>
          <w:spacing w:val="0"/>
          <w:sz w:val="32"/>
          <w:szCs w:val="32"/>
          <w:shd w:val="clear" w:fill="FFFFFF"/>
        </w:rPr>
        <w:t>避免了纠纷激化升级，有力地保障了我县的社会稳定</w:t>
      </w:r>
      <w:r>
        <w:rPr>
          <w:rFonts w:ascii="微软雅黑" w:hAnsi="微软雅黑" w:eastAsia="微软雅黑" w:cs="微软雅黑"/>
          <w:b w:val="0"/>
          <w:bCs w:val="0"/>
          <w:i w:val="0"/>
          <w:caps w:val="0"/>
          <w:color w:val="auto"/>
          <w:spacing w:val="0"/>
          <w:sz w:val="18"/>
          <w:szCs w:val="18"/>
          <w:shd w:val="clear" w:fill="FFFFFF"/>
        </w:rPr>
        <w:t>。</w:t>
      </w:r>
    </w:p>
    <w:p w14:paraId="514EBBB8">
      <w:pPr>
        <w:numPr>
          <w:ilvl w:val="0"/>
          <w:numId w:val="0"/>
        </w:numPr>
        <w:spacing w:line="580" w:lineRule="exact"/>
        <w:ind w:firstLine="640" w:firstLineChars="200"/>
        <w:rPr>
          <w:rFonts w:hint="eastAsia" w:ascii="仿宋" w:hAnsi="仿宋" w:eastAsia="仿宋" w:cs="仿宋"/>
          <w:i w:val="0"/>
          <w:iCs w:val="0"/>
          <w:caps w:val="0"/>
          <w:color w:val="000000"/>
          <w:spacing w:val="0"/>
          <w:sz w:val="32"/>
          <w:szCs w:val="32"/>
          <w:shd w:val="clear" w:color="auto" w:fill="FFFFFF"/>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）法制建设</w:t>
      </w:r>
      <w:r>
        <w:rPr>
          <w:rFonts w:hint="eastAsia" w:ascii="仿宋_GB2312" w:hAnsi="仿宋_GB2312" w:eastAsia="仿宋_GB2312" w:cs="仿宋_GB2312"/>
          <w:color w:val="auto"/>
          <w:sz w:val="32"/>
          <w:szCs w:val="32"/>
        </w:rPr>
        <w:t>项目绩效目标完成情况综述。项目全年预算数</w:t>
      </w:r>
      <w:r>
        <w:rPr>
          <w:rFonts w:hint="eastAsia" w:ascii="仿宋_GB2312" w:hAnsi="仿宋_GB2312" w:eastAsia="仿宋_GB2312" w:cs="仿宋_GB2312"/>
          <w:color w:val="auto"/>
          <w:sz w:val="32"/>
          <w:szCs w:val="32"/>
          <w:lang w:val="en-US" w:eastAsia="zh-CN"/>
        </w:rPr>
        <w:t>6.85</w:t>
      </w:r>
      <w:r>
        <w:rPr>
          <w:rFonts w:hint="eastAsia" w:ascii="仿宋_GB2312" w:hAnsi="仿宋_GB2312" w:eastAsia="仿宋_GB2312" w:cs="仿宋_GB2312"/>
          <w:color w:val="auto"/>
          <w:sz w:val="32"/>
          <w:szCs w:val="32"/>
        </w:rPr>
        <w:t>万元，执行数为</w:t>
      </w:r>
      <w:r>
        <w:rPr>
          <w:rFonts w:hint="eastAsia" w:ascii="仿宋_GB2312" w:hAnsi="仿宋_GB2312" w:eastAsia="仿宋_GB2312" w:cs="仿宋_GB2312"/>
          <w:color w:val="auto"/>
          <w:sz w:val="32"/>
          <w:szCs w:val="32"/>
          <w:lang w:val="en-US" w:eastAsia="zh-CN"/>
        </w:rPr>
        <w:t>6.85</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此项目主要</w:t>
      </w:r>
      <w:r>
        <w:rPr>
          <w:rFonts w:hint="eastAsia" w:ascii="仿宋" w:hAnsi="仿宋" w:eastAsia="仿宋" w:cs="仿宋"/>
          <w:i w:val="0"/>
          <w:iCs w:val="0"/>
          <w:caps w:val="0"/>
          <w:color w:val="000000"/>
          <w:spacing w:val="0"/>
          <w:sz w:val="32"/>
          <w:szCs w:val="32"/>
          <w:shd w:val="clear" w:color="auto" w:fill="FFFFFF"/>
          <w:lang w:val="en-US" w:eastAsia="zh-CN"/>
        </w:rPr>
        <w:t>负责对法治政府工作的指导管理，组织实施、拟定法治政府工作发展规划、管理制度，并组织实施、监督检查法治政府工作情况。指导全县依法行政工作，加强对法治政府工作的监管工作。</w:t>
      </w:r>
    </w:p>
    <w:p w14:paraId="1F509795">
      <w:pPr>
        <w:numPr>
          <w:ilvl w:val="0"/>
          <w:numId w:val="0"/>
        </w:num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）普法宣传</w:t>
      </w:r>
      <w:r>
        <w:rPr>
          <w:rFonts w:hint="eastAsia" w:ascii="仿宋_GB2312" w:hAnsi="仿宋_GB2312" w:eastAsia="仿宋_GB2312" w:cs="仿宋_GB2312"/>
          <w:color w:val="auto"/>
          <w:sz w:val="32"/>
          <w:szCs w:val="32"/>
        </w:rPr>
        <w:t>项目绩效目标完成情况综述。项目全年预算数</w:t>
      </w:r>
      <w:r>
        <w:rPr>
          <w:rFonts w:hint="eastAsia" w:ascii="仿宋_GB2312" w:hAnsi="仿宋_GB2312" w:eastAsia="仿宋_GB2312" w:cs="仿宋_GB2312"/>
          <w:color w:val="auto"/>
          <w:sz w:val="32"/>
          <w:szCs w:val="32"/>
          <w:lang w:val="en-US" w:eastAsia="zh-CN"/>
        </w:rPr>
        <w:t>7.13</w:t>
      </w:r>
      <w:r>
        <w:rPr>
          <w:rFonts w:hint="eastAsia" w:ascii="仿宋_GB2312" w:hAnsi="仿宋_GB2312" w:eastAsia="仿宋_GB2312" w:cs="仿宋_GB2312"/>
          <w:color w:val="auto"/>
          <w:sz w:val="32"/>
          <w:szCs w:val="32"/>
        </w:rPr>
        <w:t>万元，执行数为</w:t>
      </w:r>
      <w:r>
        <w:rPr>
          <w:rFonts w:hint="eastAsia" w:ascii="仿宋_GB2312" w:hAnsi="仿宋_GB2312" w:eastAsia="仿宋_GB2312" w:cs="仿宋_GB2312"/>
          <w:color w:val="auto"/>
          <w:sz w:val="32"/>
          <w:szCs w:val="32"/>
          <w:lang w:val="en-US" w:eastAsia="zh-CN"/>
        </w:rPr>
        <w:t>7.13</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%。通过项目实施，</w:t>
      </w:r>
      <w:r>
        <w:rPr>
          <w:rFonts w:hint="eastAsia" w:ascii="仿宋_GB2312" w:hAnsi="仿宋_GB2312" w:eastAsia="仿宋_GB2312" w:cs="仿宋_GB2312"/>
          <w:b w:val="0"/>
          <w:i w:val="0"/>
          <w:caps w:val="0"/>
          <w:color w:val="auto"/>
          <w:spacing w:val="0"/>
          <w:sz w:val="32"/>
          <w:szCs w:val="32"/>
          <w:shd w:val="clear" w:fill="FFFFFF"/>
        </w:rPr>
        <w:t>使广大人民群众在浓郁的法治氛围中学法用法，在潜移默化中接受法律的熏陶，取得了很好的社会效果</w:t>
      </w:r>
      <w:r>
        <w:rPr>
          <w:rFonts w:ascii="微软雅黑" w:hAnsi="微软雅黑" w:eastAsia="微软雅黑" w:cs="微软雅黑"/>
          <w:b w:val="0"/>
          <w:i w:val="0"/>
          <w:caps w:val="0"/>
          <w:color w:val="auto"/>
          <w:spacing w:val="0"/>
          <w:sz w:val="18"/>
          <w:szCs w:val="18"/>
          <w:shd w:val="clear" w:fill="FFFFFF"/>
        </w:rPr>
        <w:t>。</w:t>
      </w:r>
    </w:p>
    <w:p w14:paraId="72DBD7D8">
      <w:pPr>
        <w:numPr>
          <w:ilvl w:val="0"/>
          <w:numId w:val="0"/>
        </w:num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）法律援助</w:t>
      </w:r>
      <w:r>
        <w:rPr>
          <w:rFonts w:hint="eastAsia" w:ascii="仿宋_GB2312" w:hAnsi="仿宋_GB2312" w:eastAsia="仿宋_GB2312" w:cs="仿宋_GB2312"/>
          <w:color w:val="auto"/>
          <w:sz w:val="32"/>
          <w:szCs w:val="32"/>
        </w:rPr>
        <w:t>项目绩效目标完成情况综述。项目全年预算数</w:t>
      </w:r>
      <w:r>
        <w:rPr>
          <w:rFonts w:hint="eastAsia" w:ascii="仿宋_GB2312" w:hAnsi="仿宋_GB2312" w:eastAsia="仿宋_GB2312" w:cs="仿宋_GB2312"/>
          <w:color w:val="auto"/>
          <w:sz w:val="32"/>
          <w:szCs w:val="32"/>
          <w:lang w:val="en-US" w:eastAsia="zh-CN"/>
        </w:rPr>
        <w:t>12.01</w:t>
      </w:r>
      <w:r>
        <w:rPr>
          <w:rFonts w:hint="eastAsia" w:ascii="仿宋_GB2312" w:hAnsi="仿宋_GB2312" w:eastAsia="仿宋_GB2312" w:cs="仿宋_GB2312"/>
          <w:color w:val="auto"/>
          <w:sz w:val="32"/>
          <w:szCs w:val="32"/>
        </w:rPr>
        <w:t>万元，执行数为</w:t>
      </w:r>
      <w:r>
        <w:rPr>
          <w:rFonts w:hint="eastAsia" w:ascii="仿宋_GB2312" w:hAnsi="仿宋_GB2312" w:eastAsia="仿宋_GB2312" w:cs="仿宋_GB2312"/>
          <w:color w:val="auto"/>
          <w:sz w:val="32"/>
          <w:szCs w:val="32"/>
          <w:lang w:val="en-US" w:eastAsia="zh-CN"/>
        </w:rPr>
        <w:t>12.01</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%。通过项目实施，</w:t>
      </w:r>
      <w:r>
        <w:rPr>
          <w:rFonts w:hint="eastAsia" w:ascii="仿宋_GB2312" w:hAnsi="仿宋_GB2312" w:eastAsia="仿宋_GB2312" w:cs="仿宋_GB2312"/>
          <w:b w:val="0"/>
          <w:i w:val="0"/>
          <w:caps w:val="0"/>
          <w:color w:val="auto"/>
          <w:spacing w:val="0"/>
          <w:sz w:val="32"/>
          <w:szCs w:val="32"/>
          <w:shd w:val="clear" w:fill="FFFFFF"/>
        </w:rPr>
        <w:t>让更多的老百姓知晓法律援助制度，懂得维权的基本程序和方法，应用法律手段捍卫自己的权益，不仅是新形势下推动社会管理创新的需要，也是法律援助事业不断发展壮大的需要。</w:t>
      </w:r>
    </w:p>
    <w:p w14:paraId="6EADB398">
      <w:pPr>
        <w:numPr>
          <w:ilvl w:val="0"/>
          <w:numId w:val="0"/>
        </w:numPr>
        <w:spacing w:line="58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lang w:eastAsia="zh-CN"/>
        </w:rPr>
        <w:t>）社区矫正</w:t>
      </w:r>
      <w:r>
        <w:rPr>
          <w:rFonts w:hint="eastAsia" w:ascii="仿宋_GB2312" w:hAnsi="仿宋_GB2312" w:eastAsia="仿宋_GB2312" w:cs="仿宋_GB2312"/>
          <w:b w:val="0"/>
          <w:bCs w:val="0"/>
          <w:color w:val="auto"/>
          <w:sz w:val="32"/>
          <w:szCs w:val="32"/>
        </w:rPr>
        <w:t>项目绩效目标完成情况综述。项目全年预算数</w:t>
      </w:r>
      <w:r>
        <w:rPr>
          <w:rFonts w:hint="eastAsia" w:ascii="仿宋_GB2312" w:hAnsi="仿宋_GB2312" w:eastAsia="仿宋_GB2312" w:cs="仿宋_GB2312"/>
          <w:b w:val="0"/>
          <w:bCs w:val="0"/>
          <w:color w:val="auto"/>
          <w:sz w:val="32"/>
          <w:szCs w:val="32"/>
          <w:lang w:val="en-US" w:eastAsia="zh-CN"/>
        </w:rPr>
        <w:t>3.19</w:t>
      </w:r>
      <w:r>
        <w:rPr>
          <w:rFonts w:hint="eastAsia" w:ascii="仿宋_GB2312" w:hAnsi="仿宋_GB2312" w:eastAsia="仿宋_GB2312" w:cs="仿宋_GB2312"/>
          <w:b w:val="0"/>
          <w:bCs w:val="0"/>
          <w:color w:val="auto"/>
          <w:sz w:val="32"/>
          <w:szCs w:val="32"/>
        </w:rPr>
        <w:t>万元，执行数为</w:t>
      </w:r>
      <w:r>
        <w:rPr>
          <w:rFonts w:hint="eastAsia" w:ascii="仿宋_GB2312" w:hAnsi="仿宋_GB2312" w:eastAsia="仿宋_GB2312" w:cs="仿宋_GB2312"/>
          <w:b w:val="0"/>
          <w:bCs w:val="0"/>
          <w:color w:val="auto"/>
          <w:sz w:val="32"/>
          <w:szCs w:val="32"/>
          <w:lang w:val="en-US" w:eastAsia="zh-CN"/>
        </w:rPr>
        <w:t>3.19</w:t>
      </w:r>
      <w:r>
        <w:rPr>
          <w:rFonts w:hint="eastAsia" w:ascii="仿宋_GB2312" w:hAnsi="仿宋_GB2312" w:eastAsia="仿宋_GB2312" w:cs="仿宋_GB2312"/>
          <w:b w:val="0"/>
          <w:bCs w:val="0"/>
          <w:color w:val="auto"/>
          <w:sz w:val="32"/>
          <w:szCs w:val="32"/>
        </w:rPr>
        <w:t>万元，完成预算的</w:t>
      </w:r>
      <w:r>
        <w:rPr>
          <w:rFonts w:hint="eastAsia" w:ascii="仿宋_GB2312" w:hAnsi="仿宋_GB2312" w:eastAsia="仿宋_GB2312" w:cs="仿宋_GB2312"/>
          <w:b w:val="0"/>
          <w:bCs w:val="0"/>
          <w:color w:val="auto"/>
          <w:sz w:val="32"/>
          <w:szCs w:val="32"/>
          <w:lang w:val="en-US" w:eastAsia="zh-CN"/>
        </w:rPr>
        <w:t>100</w:t>
      </w:r>
      <w:r>
        <w:rPr>
          <w:rFonts w:hint="eastAsia" w:ascii="仿宋_GB2312" w:hAnsi="仿宋_GB2312" w:eastAsia="仿宋_GB2312" w:cs="仿宋_GB2312"/>
          <w:b w:val="0"/>
          <w:bCs w:val="0"/>
          <w:color w:val="auto"/>
          <w:sz w:val="32"/>
          <w:szCs w:val="32"/>
        </w:rPr>
        <w:t>%。通过项目实施，</w:t>
      </w:r>
      <w:r>
        <w:rPr>
          <w:rFonts w:hint="eastAsia" w:ascii="仿宋_GB2312" w:hAnsi="仿宋_GB2312" w:eastAsia="仿宋_GB2312" w:cs="仿宋_GB2312"/>
          <w:b w:val="0"/>
          <w:bCs w:val="0"/>
          <w:i w:val="0"/>
          <w:caps w:val="0"/>
          <w:color w:val="auto"/>
          <w:spacing w:val="0"/>
          <w:sz w:val="32"/>
          <w:szCs w:val="32"/>
          <w:shd w:val="clear" w:fill="FFFFFF"/>
        </w:rPr>
        <w:t>实现了社区矫正人员无漏管、脱管和重新犯罪的目标。为</w:t>
      </w:r>
      <w:r>
        <w:rPr>
          <w:rFonts w:hint="eastAsia" w:ascii="仿宋_GB2312" w:hAnsi="仿宋_GB2312" w:eastAsia="仿宋_GB2312" w:cs="仿宋_GB2312"/>
          <w:b w:val="0"/>
          <w:bCs w:val="0"/>
          <w:i w:val="0"/>
          <w:caps w:val="0"/>
          <w:color w:val="auto"/>
          <w:spacing w:val="0"/>
          <w:sz w:val="32"/>
          <w:szCs w:val="32"/>
          <w:shd w:val="clear" w:fill="FFFFFF"/>
          <w:lang w:eastAsia="zh-CN"/>
        </w:rPr>
        <w:t>全县</w:t>
      </w:r>
      <w:r>
        <w:rPr>
          <w:rFonts w:hint="eastAsia" w:ascii="仿宋_GB2312" w:hAnsi="仿宋_GB2312" w:eastAsia="仿宋_GB2312" w:cs="仿宋_GB2312"/>
          <w:b w:val="0"/>
          <w:bCs w:val="0"/>
          <w:i w:val="0"/>
          <w:caps w:val="0"/>
          <w:color w:val="auto"/>
          <w:spacing w:val="0"/>
          <w:sz w:val="32"/>
          <w:szCs w:val="32"/>
          <w:shd w:val="clear" w:fill="FFFFFF"/>
        </w:rPr>
        <w:t>的</w:t>
      </w:r>
      <w:r>
        <w:rPr>
          <w:rFonts w:hint="eastAsia" w:ascii="仿宋_GB2312" w:hAnsi="仿宋_GB2312" w:eastAsia="仿宋_GB2312" w:cs="仿宋_GB2312"/>
          <w:b w:val="0"/>
          <w:bCs w:val="0"/>
          <w:i w:val="0"/>
          <w:caps w:val="0"/>
          <w:color w:val="auto"/>
          <w:spacing w:val="0"/>
          <w:sz w:val="32"/>
          <w:szCs w:val="32"/>
          <w:shd w:val="clear" w:fill="FFFFFF"/>
          <w:lang w:eastAsia="zh-CN"/>
        </w:rPr>
        <w:t>平安</w:t>
      </w:r>
      <w:r>
        <w:rPr>
          <w:rFonts w:hint="eastAsia" w:ascii="仿宋_GB2312" w:hAnsi="仿宋_GB2312" w:eastAsia="仿宋_GB2312" w:cs="仿宋_GB2312"/>
          <w:b w:val="0"/>
          <w:bCs w:val="0"/>
          <w:i w:val="0"/>
          <w:caps w:val="0"/>
          <w:color w:val="auto"/>
          <w:spacing w:val="0"/>
          <w:sz w:val="32"/>
          <w:szCs w:val="32"/>
          <w:shd w:val="clear" w:fill="FFFFFF"/>
        </w:rPr>
        <w:t>建设作出了积极贡献。</w:t>
      </w:r>
    </w:p>
    <w:tbl>
      <w:tblPr>
        <w:tblStyle w:val="16"/>
        <w:tblpPr w:leftFromText="180" w:rightFromText="180" w:vertAnchor="text" w:horzAnchor="page" w:tblpX="1593" w:tblpY="538"/>
        <w:tblOverlap w:val="never"/>
        <w:tblW w:w="9525" w:type="dxa"/>
        <w:tblInd w:w="0" w:type="dxa"/>
        <w:shd w:val="clear" w:color="auto" w:fill="auto"/>
        <w:tblLayout w:type="fixed"/>
        <w:tblCellMar>
          <w:top w:w="0" w:type="dxa"/>
          <w:left w:w="0" w:type="dxa"/>
          <w:bottom w:w="0" w:type="dxa"/>
          <w:right w:w="0" w:type="dxa"/>
        </w:tblCellMar>
      </w:tblPr>
      <w:tblGrid>
        <w:gridCol w:w="449"/>
        <w:gridCol w:w="834"/>
        <w:gridCol w:w="1042"/>
        <w:gridCol w:w="746"/>
        <w:gridCol w:w="1176"/>
        <w:gridCol w:w="1742"/>
        <w:gridCol w:w="1620"/>
        <w:gridCol w:w="1916"/>
      </w:tblGrid>
      <w:tr w14:paraId="23275A4E">
        <w:tblPrEx>
          <w:shd w:val="clear" w:color="auto" w:fill="auto"/>
          <w:tblCellMar>
            <w:top w:w="0" w:type="dxa"/>
            <w:left w:w="0" w:type="dxa"/>
            <w:bottom w:w="0" w:type="dxa"/>
            <w:right w:w="0" w:type="dxa"/>
          </w:tblCellMar>
        </w:tblPrEx>
        <w:trPr>
          <w:trHeight w:val="555" w:hRule="atLeast"/>
        </w:trPr>
        <w:tc>
          <w:tcPr>
            <w:tcW w:w="9525" w:type="dxa"/>
            <w:gridSpan w:val="8"/>
            <w:tcBorders>
              <w:top w:val="nil"/>
              <w:left w:val="nil"/>
              <w:bottom w:val="nil"/>
              <w:right w:val="nil"/>
            </w:tcBorders>
            <w:shd w:val="clear" w:color="auto" w:fill="auto"/>
            <w:tcMar>
              <w:top w:w="15" w:type="dxa"/>
              <w:left w:w="15" w:type="dxa"/>
              <w:right w:w="15" w:type="dxa"/>
            </w:tcMar>
            <w:vAlign w:val="center"/>
          </w:tcPr>
          <w:p w14:paraId="0D424650">
            <w:pPr>
              <w:keepNext w:val="0"/>
              <w:keepLines w:val="0"/>
              <w:widowControl/>
              <w:suppressLineNumbers w:val="0"/>
              <w:jc w:val="center"/>
              <w:textAlignment w:val="center"/>
              <w:rPr>
                <w:rFonts w:hint="eastAsia"/>
                <w:b/>
                <w:bCs/>
                <w:sz w:val="32"/>
                <w:szCs w:val="32"/>
                <w:lang w:val="en-US" w:eastAsia="zh-CN"/>
              </w:rPr>
            </w:pPr>
            <w:r>
              <w:rPr>
                <w:rFonts w:hint="eastAsia"/>
                <w:b/>
                <w:bCs/>
                <w:sz w:val="32"/>
                <w:szCs w:val="32"/>
                <w:lang w:val="en-US" w:eastAsia="zh-CN"/>
              </w:rPr>
              <w:t>项目绩效目标完成情况表</w:t>
            </w:r>
          </w:p>
          <w:p w14:paraId="14906F20">
            <w:pPr>
              <w:pStyle w:val="6"/>
              <w:ind w:firstLine="3534" w:firstLineChars="1100"/>
              <w:jc w:val="both"/>
              <w:rPr>
                <w:rFonts w:hint="eastAsia"/>
                <w:lang w:val="en-US" w:eastAsia="zh-CN"/>
              </w:rPr>
            </w:pPr>
            <w:r>
              <w:rPr>
                <w:rFonts w:hint="eastAsia" w:ascii="宋体" w:hAnsi="宋体" w:cs="宋体"/>
                <w:b/>
                <w:i w:val="0"/>
                <w:color w:val="auto"/>
                <w:sz w:val="32"/>
                <w:szCs w:val="32"/>
                <w:u w:val="none"/>
                <w:lang w:val="en-US" w:eastAsia="zh-CN"/>
              </w:rPr>
              <w:t>（2025年度）</w:t>
            </w:r>
          </w:p>
        </w:tc>
      </w:tr>
      <w:tr w14:paraId="065A3560">
        <w:tblPrEx>
          <w:tblCellMar>
            <w:top w:w="0" w:type="dxa"/>
            <w:left w:w="0" w:type="dxa"/>
            <w:bottom w:w="0" w:type="dxa"/>
            <w:right w:w="0" w:type="dxa"/>
          </w:tblCellMar>
        </w:tblPrEx>
        <w:trPr>
          <w:trHeight w:val="555" w:hRule="atLeast"/>
        </w:trPr>
        <w:tc>
          <w:tcPr>
            <w:tcW w:w="23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6B1A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项目名称</w:t>
            </w:r>
          </w:p>
        </w:tc>
        <w:tc>
          <w:tcPr>
            <w:tcW w:w="720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C02D9">
            <w:pPr>
              <w:jc w:val="center"/>
              <w:rPr>
                <w:rFonts w:hint="eastAsia" w:ascii="宋体" w:hAnsi="宋体" w:eastAsia="宋体" w:cs="宋体"/>
                <w:b/>
                <w:i w:val="0"/>
                <w:color w:val="auto"/>
                <w:sz w:val="24"/>
                <w:szCs w:val="24"/>
                <w:u w:val="none"/>
                <w:lang w:eastAsia="zh-CN"/>
              </w:rPr>
            </w:pPr>
            <w:r>
              <w:rPr>
                <w:rFonts w:hint="eastAsia" w:ascii="宋体" w:hAnsi="宋体" w:cs="宋体"/>
                <w:b/>
                <w:i w:val="0"/>
                <w:color w:val="auto"/>
                <w:sz w:val="24"/>
                <w:szCs w:val="24"/>
                <w:u w:val="none"/>
                <w:lang w:eastAsia="zh-CN"/>
              </w:rPr>
              <w:t>一般行政管理事务、法制建设、普法宣传、法律援助、社区矫正</w:t>
            </w:r>
          </w:p>
        </w:tc>
      </w:tr>
      <w:tr w14:paraId="0B9F6FFC">
        <w:tblPrEx>
          <w:tblCellMar>
            <w:top w:w="0" w:type="dxa"/>
            <w:left w:w="0" w:type="dxa"/>
            <w:bottom w:w="0" w:type="dxa"/>
            <w:right w:w="0" w:type="dxa"/>
          </w:tblCellMar>
        </w:tblPrEx>
        <w:trPr>
          <w:trHeight w:val="555" w:hRule="atLeast"/>
        </w:trPr>
        <w:tc>
          <w:tcPr>
            <w:tcW w:w="23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725C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预算单位</w:t>
            </w:r>
          </w:p>
        </w:tc>
        <w:tc>
          <w:tcPr>
            <w:tcW w:w="720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4CBB4">
            <w:pPr>
              <w:jc w:val="center"/>
              <w:rPr>
                <w:rFonts w:hint="eastAsia" w:ascii="宋体" w:hAnsi="宋体" w:eastAsia="宋体" w:cs="宋体"/>
                <w:b/>
                <w:i w:val="0"/>
                <w:color w:val="auto"/>
                <w:sz w:val="24"/>
                <w:szCs w:val="24"/>
                <w:u w:val="none"/>
                <w:lang w:eastAsia="zh-CN"/>
              </w:rPr>
            </w:pPr>
            <w:r>
              <w:rPr>
                <w:rFonts w:hint="eastAsia" w:ascii="宋体" w:hAnsi="宋体" w:cs="宋体"/>
                <w:b/>
                <w:i w:val="0"/>
                <w:color w:val="auto"/>
                <w:sz w:val="24"/>
                <w:szCs w:val="24"/>
                <w:u w:val="none"/>
                <w:lang w:eastAsia="zh-CN"/>
              </w:rPr>
              <w:t>红原县司法局</w:t>
            </w:r>
          </w:p>
        </w:tc>
      </w:tr>
      <w:tr w14:paraId="5689930F">
        <w:tblPrEx>
          <w:tblCellMar>
            <w:top w:w="0" w:type="dxa"/>
            <w:left w:w="0" w:type="dxa"/>
            <w:bottom w:w="0" w:type="dxa"/>
            <w:right w:w="0" w:type="dxa"/>
          </w:tblCellMar>
        </w:tblPrEx>
        <w:trPr>
          <w:trHeight w:val="555"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913A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预算执行情况(万元</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A08D9">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预算数:</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ABBB9">
            <w:pPr>
              <w:ind w:firstLine="482" w:firstLineChars="200"/>
              <w:jc w:val="both"/>
              <w:rPr>
                <w:rFonts w:hint="default" w:ascii="宋体" w:hAnsi="宋体" w:cs="宋体"/>
                <w:b/>
                <w:i w:val="0"/>
                <w:color w:val="auto"/>
                <w:sz w:val="24"/>
                <w:szCs w:val="24"/>
                <w:u w:val="none"/>
                <w:lang w:val="en-US" w:eastAsia="zh-CN"/>
              </w:rPr>
            </w:pPr>
            <w:r>
              <w:rPr>
                <w:rFonts w:hint="eastAsia" w:ascii="宋体" w:hAnsi="宋体" w:cs="宋体"/>
                <w:b/>
                <w:i w:val="0"/>
                <w:color w:val="auto"/>
                <w:sz w:val="24"/>
                <w:szCs w:val="24"/>
                <w:u w:val="none"/>
                <w:lang w:val="en-US" w:eastAsia="zh-CN"/>
              </w:rPr>
              <w:t>118.09</w:t>
            </w: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50E29">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执行数:</w:t>
            </w:r>
          </w:p>
        </w:tc>
        <w:tc>
          <w:tcPr>
            <w:tcW w:w="35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47B3D">
            <w:pPr>
              <w:jc w:val="center"/>
              <w:rPr>
                <w:rFonts w:hint="default" w:ascii="宋体" w:hAnsi="宋体" w:eastAsia="宋体" w:cs="宋体"/>
                <w:b/>
                <w:i w:val="0"/>
                <w:color w:val="auto"/>
                <w:sz w:val="24"/>
                <w:szCs w:val="24"/>
                <w:u w:val="none"/>
                <w:lang w:val="en-US" w:eastAsia="zh-CN"/>
              </w:rPr>
            </w:pPr>
            <w:r>
              <w:rPr>
                <w:rFonts w:hint="eastAsia" w:ascii="宋体" w:hAnsi="宋体" w:cs="宋体"/>
                <w:b/>
                <w:i w:val="0"/>
                <w:color w:val="auto"/>
                <w:sz w:val="24"/>
                <w:szCs w:val="24"/>
                <w:u w:val="none"/>
                <w:lang w:val="en-US" w:eastAsia="zh-CN"/>
              </w:rPr>
              <w:t>118.09</w:t>
            </w:r>
          </w:p>
        </w:tc>
      </w:tr>
      <w:tr w14:paraId="700A57AD">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C738C">
            <w:pPr>
              <w:jc w:val="center"/>
              <w:rPr>
                <w:rFonts w:hint="eastAsia" w:ascii="宋体" w:hAnsi="宋体" w:eastAsia="宋体" w:cs="宋体"/>
                <w:i w:val="0"/>
                <w:color w:val="auto"/>
                <w:sz w:val="20"/>
                <w:szCs w:val="20"/>
                <w:u w:val="none"/>
              </w:rPr>
            </w:pP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F800E">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其中-财政拨款:</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92194">
            <w:pPr>
              <w:jc w:val="center"/>
              <w:rPr>
                <w:rFonts w:hint="default" w:ascii="宋体" w:hAnsi="宋体" w:eastAsia="宋体" w:cs="宋体"/>
                <w:b/>
                <w:i w:val="0"/>
                <w:color w:val="auto"/>
                <w:sz w:val="24"/>
                <w:szCs w:val="24"/>
                <w:u w:val="none"/>
                <w:lang w:val="en-US" w:eastAsia="zh-CN"/>
              </w:rPr>
            </w:pPr>
            <w:r>
              <w:rPr>
                <w:rFonts w:hint="eastAsia" w:ascii="宋体" w:hAnsi="宋体" w:cs="宋体"/>
                <w:b/>
                <w:i w:val="0"/>
                <w:color w:val="auto"/>
                <w:sz w:val="24"/>
                <w:szCs w:val="24"/>
                <w:u w:val="none"/>
                <w:lang w:val="en-US" w:eastAsia="zh-CN"/>
              </w:rPr>
              <w:t>118.09</w:t>
            </w: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45B3A">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其中-财政拨款:</w:t>
            </w:r>
          </w:p>
        </w:tc>
        <w:tc>
          <w:tcPr>
            <w:tcW w:w="35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71638">
            <w:pPr>
              <w:jc w:val="center"/>
              <w:rPr>
                <w:rFonts w:hint="default" w:ascii="宋体" w:hAnsi="宋体" w:eastAsia="宋体" w:cs="宋体"/>
                <w:b/>
                <w:i w:val="0"/>
                <w:color w:val="auto"/>
                <w:sz w:val="24"/>
                <w:szCs w:val="24"/>
                <w:u w:val="none"/>
                <w:lang w:val="en-US" w:eastAsia="zh-CN"/>
              </w:rPr>
            </w:pPr>
            <w:r>
              <w:rPr>
                <w:rFonts w:hint="eastAsia" w:ascii="宋体" w:hAnsi="宋体" w:cs="宋体"/>
                <w:b/>
                <w:i w:val="0"/>
                <w:color w:val="auto"/>
                <w:sz w:val="24"/>
                <w:szCs w:val="24"/>
                <w:u w:val="none"/>
                <w:lang w:val="en-US" w:eastAsia="zh-CN"/>
              </w:rPr>
              <w:t>118.09</w:t>
            </w:r>
          </w:p>
        </w:tc>
      </w:tr>
      <w:tr w14:paraId="2C4CE509">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61958">
            <w:pPr>
              <w:jc w:val="center"/>
              <w:rPr>
                <w:rFonts w:hint="eastAsia" w:ascii="宋体" w:hAnsi="宋体" w:eastAsia="宋体" w:cs="宋体"/>
                <w:i w:val="0"/>
                <w:color w:val="auto"/>
                <w:sz w:val="20"/>
                <w:szCs w:val="20"/>
                <w:u w:val="none"/>
              </w:rPr>
            </w:pP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D6B97">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其它资金:</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826B7">
            <w:pPr>
              <w:jc w:val="center"/>
              <w:rPr>
                <w:rFonts w:hint="eastAsia" w:ascii="宋体" w:hAnsi="宋体" w:eastAsia="宋体" w:cs="宋体"/>
                <w:b/>
                <w:i w:val="0"/>
                <w:color w:val="auto"/>
                <w:sz w:val="24"/>
                <w:szCs w:val="24"/>
                <w:u w:val="none"/>
              </w:rPr>
            </w:pP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771F0">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其它资金:</w:t>
            </w:r>
          </w:p>
        </w:tc>
        <w:tc>
          <w:tcPr>
            <w:tcW w:w="35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09ABD">
            <w:pPr>
              <w:jc w:val="center"/>
              <w:rPr>
                <w:rFonts w:hint="eastAsia" w:ascii="宋体" w:hAnsi="宋体" w:eastAsia="宋体" w:cs="宋体"/>
                <w:b/>
                <w:i w:val="0"/>
                <w:color w:val="auto"/>
                <w:sz w:val="24"/>
                <w:szCs w:val="24"/>
                <w:u w:val="none"/>
              </w:rPr>
            </w:pPr>
          </w:p>
        </w:tc>
      </w:tr>
      <w:tr w14:paraId="11E85FF5">
        <w:tblPrEx>
          <w:tblCellMar>
            <w:top w:w="0" w:type="dxa"/>
            <w:left w:w="0" w:type="dxa"/>
            <w:bottom w:w="0" w:type="dxa"/>
            <w:right w:w="0" w:type="dxa"/>
          </w:tblCellMar>
        </w:tblPrEx>
        <w:trPr>
          <w:trHeight w:val="555"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E352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年度目标完成情况</w:t>
            </w:r>
          </w:p>
        </w:tc>
        <w:tc>
          <w:tcPr>
            <w:tcW w:w="26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A5882">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预期目标</w:t>
            </w:r>
          </w:p>
        </w:tc>
        <w:tc>
          <w:tcPr>
            <w:tcW w:w="6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7B1FF">
            <w:pPr>
              <w:keepNext w:val="0"/>
              <w:keepLines w:val="0"/>
              <w:widowControl/>
              <w:suppressLineNumbers w:val="0"/>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实际完成目标</w:t>
            </w:r>
          </w:p>
        </w:tc>
      </w:tr>
      <w:tr w14:paraId="3B00D484">
        <w:tblPrEx>
          <w:tblCellMar>
            <w:top w:w="0" w:type="dxa"/>
            <w:left w:w="0" w:type="dxa"/>
            <w:bottom w:w="0" w:type="dxa"/>
            <w:right w:w="0" w:type="dxa"/>
          </w:tblCellMar>
        </w:tblPrEx>
        <w:trPr>
          <w:trHeight w:val="192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DAE45">
            <w:pPr>
              <w:jc w:val="center"/>
              <w:rPr>
                <w:rFonts w:hint="eastAsia" w:ascii="宋体" w:hAnsi="宋体" w:eastAsia="宋体" w:cs="宋体"/>
                <w:i w:val="0"/>
                <w:color w:val="auto"/>
                <w:sz w:val="20"/>
                <w:szCs w:val="20"/>
                <w:u w:val="none"/>
              </w:rPr>
            </w:pPr>
          </w:p>
        </w:tc>
        <w:tc>
          <w:tcPr>
            <w:tcW w:w="26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38CAF">
            <w:pPr>
              <w:jc w:val="center"/>
              <w:rPr>
                <w:rFonts w:hint="eastAsia" w:eastAsia="宋体"/>
                <w:color w:val="auto"/>
                <w:lang w:val="en-US" w:eastAsia="zh-CN"/>
              </w:rPr>
            </w:pPr>
            <w:r>
              <w:rPr>
                <w:rFonts w:ascii="宋体" w:hAnsi="宋体" w:cs="宋体"/>
                <w:b/>
                <w:color w:val="auto"/>
                <w:sz w:val="24"/>
              </w:rPr>
              <w:t>保障业务费和装备购置费</w:t>
            </w:r>
            <w:r>
              <w:rPr>
                <w:rFonts w:hint="eastAsia" w:ascii="宋体" w:hAnsi="宋体" w:cs="宋体"/>
                <w:b/>
                <w:color w:val="auto"/>
                <w:sz w:val="24"/>
                <w:lang w:eastAsia="zh-CN"/>
              </w:rPr>
              <w:t>顺利实施</w:t>
            </w:r>
          </w:p>
          <w:p w14:paraId="5299185F">
            <w:pPr>
              <w:pStyle w:val="6"/>
              <w:rPr>
                <w:rFonts w:hint="default"/>
                <w:color w:val="auto"/>
                <w:lang w:val="en-US" w:eastAsia="zh-CN"/>
              </w:rPr>
            </w:pPr>
          </w:p>
        </w:tc>
        <w:tc>
          <w:tcPr>
            <w:tcW w:w="6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F9562">
            <w:pPr>
              <w:jc w:val="center"/>
              <w:rPr>
                <w:rFonts w:hint="default" w:ascii="宋体" w:hAnsi="宋体" w:eastAsia="宋体" w:cs="宋体"/>
                <w:b/>
                <w:i w:val="0"/>
                <w:color w:val="auto"/>
                <w:sz w:val="24"/>
                <w:szCs w:val="24"/>
                <w:u w:val="none"/>
                <w:lang w:val="en-US" w:eastAsia="zh-CN"/>
              </w:rPr>
            </w:pPr>
            <w:r>
              <w:rPr>
                <w:rFonts w:hint="eastAsia" w:ascii="宋体" w:hAnsi="宋体" w:cs="宋体"/>
                <w:b/>
                <w:color w:val="auto"/>
                <w:sz w:val="24"/>
                <w:lang w:eastAsia="zh-CN"/>
              </w:rPr>
              <w:t>业务经费及装备购置费</w:t>
            </w:r>
            <w:r>
              <w:rPr>
                <w:rFonts w:hint="eastAsia" w:ascii="宋体" w:hAnsi="宋体" w:cs="宋体"/>
                <w:b/>
                <w:color w:val="auto"/>
                <w:sz w:val="24"/>
              </w:rPr>
              <w:t>使用规范、合理，进一步提升了</w:t>
            </w:r>
            <w:r>
              <w:rPr>
                <w:rFonts w:hint="eastAsia" w:ascii="宋体" w:hAnsi="宋体" w:cs="宋体"/>
                <w:b/>
                <w:color w:val="auto"/>
                <w:sz w:val="24"/>
                <w:lang w:eastAsia="zh-CN"/>
              </w:rPr>
              <w:t>工作效率，顺利完成各项目标</w:t>
            </w:r>
            <w:r>
              <w:rPr>
                <w:rFonts w:hint="eastAsia" w:ascii="宋体" w:hAnsi="宋体" w:cs="宋体"/>
                <w:b/>
                <w:color w:val="auto"/>
                <w:sz w:val="24"/>
              </w:rPr>
              <w:t>。</w:t>
            </w:r>
          </w:p>
        </w:tc>
      </w:tr>
      <w:tr w14:paraId="0D2C8904">
        <w:tblPrEx>
          <w:tblCellMar>
            <w:top w:w="0" w:type="dxa"/>
            <w:left w:w="0" w:type="dxa"/>
            <w:bottom w:w="0" w:type="dxa"/>
            <w:right w:w="0" w:type="dxa"/>
          </w:tblCellMar>
        </w:tblPrEx>
        <w:trPr>
          <w:trHeight w:val="555"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2C5C6">
            <w:pPr>
              <w:keepNext w:val="0"/>
              <w:keepLines w:val="0"/>
              <w:widowControl/>
              <w:suppressLineNumbers w:val="0"/>
              <w:jc w:val="center"/>
              <w:textAlignment w:val="center"/>
              <w:rPr>
                <w:rFonts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
              </w:rPr>
              <w:t>绩效指标完成情况</w:t>
            </w: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0BBEE8B">
            <w:pPr>
              <w:keepNext w:val="0"/>
              <w:keepLines w:val="0"/>
              <w:widowControl/>
              <w:suppressLineNumbers w:val="0"/>
              <w:jc w:val="center"/>
              <w:textAlignment w:val="bottom"/>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419100</wp:posOffset>
                  </wp:positionH>
                  <wp:positionV relativeFrom="paragraph">
                    <wp:posOffset>390525</wp:posOffset>
                  </wp:positionV>
                  <wp:extent cx="9525" cy="9525"/>
                  <wp:effectExtent l="0" t="0" r="0" b="0"/>
                  <wp:wrapNone/>
                  <wp:docPr id="1" name="直接连接符_10"/>
                  <wp:cNvGraphicFramePr/>
                  <a:graphic xmlns:a="http://schemas.openxmlformats.org/drawingml/2006/main">
                    <a:graphicData uri="http://schemas.openxmlformats.org/drawingml/2006/picture">
                      <pic:pic xmlns:pic="http://schemas.openxmlformats.org/drawingml/2006/picture">
                        <pic:nvPicPr>
                          <pic:cNvPr id="1" name="直接连接符_10"/>
                          <pic:cNvPicPr/>
                        </pic:nvPicPr>
                        <pic:blipFill>
                          <a:blip r:embed="rId14"/>
                          <a:stretch>
                            <a:fillRect/>
                          </a:stretch>
                        </pic:blipFill>
                        <pic:spPr>
                          <a:xfrm>
                            <a:off x="0" y="0"/>
                            <a:ext cx="9525" cy="9525"/>
                          </a:xfrm>
                          <a:prstGeom prst="rect">
                            <a:avLst/>
                          </a:prstGeom>
                          <a:noFill/>
                          <a:ln>
                            <a:noFill/>
                          </a:ln>
                        </pic:spPr>
                      </pic:pic>
                    </a:graphicData>
                  </a:graphic>
                </wp:anchor>
              </w:drawing>
            </w:r>
            <w:r>
              <w:rPr>
                <w:rFonts w:hint="eastAsia" w:ascii="宋体" w:hAnsi="宋体" w:eastAsia="宋体" w:cs="宋体"/>
                <w:b/>
                <w:i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419100</wp:posOffset>
                  </wp:positionH>
                  <wp:positionV relativeFrom="paragraph">
                    <wp:posOffset>390525</wp:posOffset>
                  </wp:positionV>
                  <wp:extent cx="9525" cy="9525"/>
                  <wp:effectExtent l="0" t="0" r="0" b="0"/>
                  <wp:wrapNone/>
                  <wp:docPr id="2" name="直接连接符_8"/>
                  <wp:cNvGraphicFramePr/>
                  <a:graphic xmlns:a="http://schemas.openxmlformats.org/drawingml/2006/main">
                    <a:graphicData uri="http://schemas.openxmlformats.org/drawingml/2006/picture">
                      <pic:pic xmlns:pic="http://schemas.openxmlformats.org/drawingml/2006/picture">
                        <pic:nvPicPr>
                          <pic:cNvPr id="2" name="直接连接符_8"/>
                          <pic:cNvPicPr/>
                        </pic:nvPicPr>
                        <pic:blipFill>
                          <a:blip r:embed="rId14"/>
                          <a:stretch>
                            <a:fillRect/>
                          </a:stretch>
                        </pic:blipFill>
                        <pic:spPr>
                          <a:xfrm>
                            <a:off x="0" y="0"/>
                            <a:ext cx="9525" cy="9525"/>
                          </a:xfrm>
                          <a:prstGeom prst="rect">
                            <a:avLst/>
                          </a:prstGeom>
                          <a:noFill/>
                          <a:ln>
                            <a:noFill/>
                          </a:ln>
                        </pic:spPr>
                      </pic:pic>
                    </a:graphicData>
                  </a:graphic>
                </wp:anchor>
              </w:drawing>
            </w:r>
            <w:r>
              <w:rPr>
                <w:rFonts w:hint="eastAsia" w:ascii="宋体" w:hAnsi="宋体" w:eastAsia="宋体" w:cs="宋体"/>
                <w:b/>
                <w:i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419100</wp:posOffset>
                  </wp:positionH>
                  <wp:positionV relativeFrom="paragraph">
                    <wp:posOffset>390525</wp:posOffset>
                  </wp:positionV>
                  <wp:extent cx="9525" cy="9525"/>
                  <wp:effectExtent l="0" t="0" r="0" b="0"/>
                  <wp:wrapNone/>
                  <wp:docPr id="3" name="直接连接符_9"/>
                  <wp:cNvGraphicFramePr/>
                  <a:graphic xmlns:a="http://schemas.openxmlformats.org/drawingml/2006/main">
                    <a:graphicData uri="http://schemas.openxmlformats.org/drawingml/2006/picture">
                      <pic:pic xmlns:pic="http://schemas.openxmlformats.org/drawingml/2006/picture">
                        <pic:nvPicPr>
                          <pic:cNvPr id="3" name="直接连接符_9"/>
                          <pic:cNvPicPr/>
                        </pic:nvPicPr>
                        <pic:blipFill>
                          <a:blip r:embed="rId14"/>
                          <a:stretch>
                            <a:fillRect/>
                          </a:stretch>
                        </pic:blipFill>
                        <pic:spPr>
                          <a:xfrm>
                            <a:off x="0" y="0"/>
                            <a:ext cx="9525" cy="9525"/>
                          </a:xfrm>
                          <a:prstGeom prst="rect">
                            <a:avLst/>
                          </a:prstGeom>
                          <a:noFill/>
                          <a:ln>
                            <a:noFill/>
                          </a:ln>
                        </pic:spPr>
                      </pic:pic>
                    </a:graphicData>
                  </a:graphic>
                </wp:anchor>
              </w:drawing>
            </w:r>
            <w:r>
              <w:rPr>
                <w:rFonts w:hint="eastAsia" w:ascii="宋体" w:hAnsi="宋体" w:eastAsia="宋体" w:cs="宋体"/>
                <w:b/>
                <w:i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419100</wp:posOffset>
                  </wp:positionH>
                  <wp:positionV relativeFrom="paragraph">
                    <wp:posOffset>390525</wp:posOffset>
                  </wp:positionV>
                  <wp:extent cx="9525" cy="9525"/>
                  <wp:effectExtent l="0" t="0" r="0" b="0"/>
                  <wp:wrapNone/>
                  <wp:docPr id="4" name="直接连接符_7"/>
                  <wp:cNvGraphicFramePr/>
                  <a:graphic xmlns:a="http://schemas.openxmlformats.org/drawingml/2006/main">
                    <a:graphicData uri="http://schemas.openxmlformats.org/drawingml/2006/picture">
                      <pic:pic xmlns:pic="http://schemas.openxmlformats.org/drawingml/2006/picture">
                        <pic:nvPicPr>
                          <pic:cNvPr id="4" name="直接连接符_7"/>
                          <pic:cNvPicPr/>
                        </pic:nvPicPr>
                        <pic:blipFill>
                          <a:blip r:embed="rId14"/>
                          <a:stretch>
                            <a:fillRect/>
                          </a:stretch>
                        </pic:blipFill>
                        <pic:spPr>
                          <a:xfrm>
                            <a:off x="0" y="0"/>
                            <a:ext cx="9525" cy="9525"/>
                          </a:xfrm>
                          <a:prstGeom prst="rect">
                            <a:avLst/>
                          </a:prstGeom>
                          <a:noFill/>
                          <a:ln>
                            <a:noFill/>
                          </a:ln>
                        </pic:spPr>
                      </pic:pic>
                    </a:graphicData>
                  </a:graphic>
                </wp:anchor>
              </w:drawing>
            </w:r>
            <w:r>
              <w:rPr>
                <w:rFonts w:hint="eastAsia" w:ascii="宋体" w:hAnsi="宋体" w:eastAsia="宋体" w:cs="宋体"/>
                <w:b/>
                <w:i w:val="0"/>
                <w:color w:val="auto"/>
                <w:kern w:val="0"/>
                <w:sz w:val="20"/>
                <w:szCs w:val="20"/>
                <w:u w:val="none"/>
                <w:lang w:val="en-US" w:eastAsia="zh-CN" w:bidi="ar"/>
              </w:rPr>
              <w:t>一级指标</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C420639">
            <w:pPr>
              <w:keepNext w:val="0"/>
              <w:keepLines w:val="0"/>
              <w:widowControl/>
              <w:suppressLineNumbers w:val="0"/>
              <w:jc w:val="center"/>
              <w:textAlignment w:val="bottom"/>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
              </w:rPr>
              <w:t>二级指标</w:t>
            </w:r>
          </w:p>
        </w:tc>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F0309D7">
            <w:pPr>
              <w:keepNext w:val="0"/>
              <w:keepLines w:val="0"/>
              <w:widowControl/>
              <w:suppressLineNumbers w:val="0"/>
              <w:jc w:val="center"/>
              <w:textAlignment w:val="bottom"/>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
              </w:rPr>
              <w:t>三级指标</w:t>
            </w:r>
          </w:p>
        </w:tc>
        <w:tc>
          <w:tcPr>
            <w:tcW w:w="29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92AB0FB">
            <w:pPr>
              <w:keepNext w:val="0"/>
              <w:keepLines w:val="0"/>
              <w:widowControl/>
              <w:suppressLineNumbers w:val="0"/>
              <w:jc w:val="center"/>
              <w:textAlignment w:val="bottom"/>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
              </w:rPr>
              <w:t>指标评价内容</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B54F328">
            <w:pPr>
              <w:keepNext w:val="0"/>
              <w:keepLines w:val="0"/>
              <w:widowControl/>
              <w:suppressLineNumbers w:val="0"/>
              <w:jc w:val="center"/>
              <w:textAlignment w:val="bottom"/>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
              </w:rPr>
              <w:t>预期指标值(包含数字及文字描述)</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54487E6">
            <w:pPr>
              <w:keepNext w:val="0"/>
              <w:keepLines w:val="0"/>
              <w:widowControl/>
              <w:suppressLineNumbers w:val="0"/>
              <w:jc w:val="center"/>
              <w:textAlignment w:val="bottom"/>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
              </w:rPr>
              <w:t>实际完成指标值(包含数字及文字描述)</w:t>
            </w:r>
          </w:p>
        </w:tc>
      </w:tr>
      <w:tr w14:paraId="0980D8C2">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75AC9">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41FBC19">
            <w:pPr>
              <w:jc w:val="center"/>
              <w:rPr>
                <w:rFonts w:hint="eastAsia" w:ascii="宋体" w:hAnsi="宋体" w:eastAsia="宋体" w:cs="宋体"/>
                <w:b/>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1583862">
            <w:pPr>
              <w:jc w:val="center"/>
              <w:rPr>
                <w:rFonts w:hint="eastAsia" w:ascii="宋体" w:hAnsi="宋体" w:eastAsia="宋体" w:cs="宋体"/>
                <w:b/>
                <w:i w:val="0"/>
                <w:color w:val="auto"/>
                <w:sz w:val="20"/>
                <w:szCs w:val="20"/>
                <w:u w:val="none"/>
              </w:rPr>
            </w:pPr>
          </w:p>
        </w:tc>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9927B38">
            <w:pPr>
              <w:jc w:val="center"/>
              <w:rPr>
                <w:rFonts w:hint="eastAsia" w:ascii="宋体" w:hAnsi="宋体" w:eastAsia="宋体" w:cs="宋体"/>
                <w:b/>
                <w:i w:val="0"/>
                <w:color w:val="auto"/>
                <w:sz w:val="20"/>
                <w:szCs w:val="20"/>
                <w:u w:val="none"/>
              </w:rPr>
            </w:pPr>
          </w:p>
        </w:tc>
        <w:tc>
          <w:tcPr>
            <w:tcW w:w="29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AF8A660">
            <w:pPr>
              <w:jc w:val="center"/>
              <w:rPr>
                <w:rFonts w:hint="eastAsia" w:ascii="宋体" w:hAnsi="宋体" w:eastAsia="宋体" w:cs="宋体"/>
                <w:b/>
                <w:i w:val="0"/>
                <w:color w:val="auto"/>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6E31BCD">
            <w:pPr>
              <w:jc w:val="center"/>
              <w:rPr>
                <w:rFonts w:hint="eastAsia" w:ascii="宋体" w:hAnsi="宋体" w:eastAsia="宋体" w:cs="宋体"/>
                <w:b/>
                <w:i w:val="0"/>
                <w:color w:val="auto"/>
                <w:sz w:val="20"/>
                <w:szCs w:val="20"/>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146B409">
            <w:pPr>
              <w:jc w:val="center"/>
              <w:rPr>
                <w:rFonts w:hint="eastAsia" w:ascii="宋体" w:hAnsi="宋体" w:eastAsia="宋体" w:cs="宋体"/>
                <w:b/>
                <w:i w:val="0"/>
                <w:color w:val="auto"/>
                <w:sz w:val="20"/>
                <w:szCs w:val="20"/>
                <w:u w:val="none"/>
              </w:rPr>
            </w:pPr>
          </w:p>
        </w:tc>
      </w:tr>
      <w:tr w14:paraId="7262E918">
        <w:tblPrEx>
          <w:tblCellMar>
            <w:top w:w="0" w:type="dxa"/>
            <w:left w:w="0" w:type="dxa"/>
            <w:bottom w:w="0" w:type="dxa"/>
            <w:right w:w="0" w:type="dxa"/>
          </w:tblCellMar>
        </w:tblPrEx>
        <w:trPr>
          <w:trHeight w:val="12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FC2AC">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BA4978E">
            <w:pPr>
              <w:jc w:val="center"/>
              <w:rPr>
                <w:rFonts w:hint="eastAsia" w:ascii="宋体" w:hAnsi="宋体" w:eastAsia="宋体" w:cs="宋体"/>
                <w:b/>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4AC2CFA">
            <w:pPr>
              <w:jc w:val="center"/>
              <w:rPr>
                <w:rFonts w:hint="eastAsia" w:ascii="宋体" w:hAnsi="宋体" w:eastAsia="宋体" w:cs="宋体"/>
                <w:b/>
                <w:i w:val="0"/>
                <w:color w:val="auto"/>
                <w:sz w:val="20"/>
                <w:szCs w:val="20"/>
                <w:u w:val="none"/>
              </w:rPr>
            </w:pPr>
          </w:p>
        </w:tc>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F4D1ECF">
            <w:pPr>
              <w:jc w:val="center"/>
              <w:rPr>
                <w:rFonts w:hint="eastAsia" w:ascii="宋体" w:hAnsi="宋体" w:eastAsia="宋体" w:cs="宋体"/>
                <w:b/>
                <w:i w:val="0"/>
                <w:color w:val="auto"/>
                <w:sz w:val="20"/>
                <w:szCs w:val="20"/>
                <w:u w:val="none"/>
              </w:rPr>
            </w:pPr>
          </w:p>
        </w:tc>
        <w:tc>
          <w:tcPr>
            <w:tcW w:w="29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1539FA6">
            <w:pPr>
              <w:jc w:val="center"/>
              <w:rPr>
                <w:rFonts w:hint="eastAsia" w:ascii="宋体" w:hAnsi="宋体" w:eastAsia="宋体" w:cs="宋体"/>
                <w:b/>
                <w:i w:val="0"/>
                <w:color w:val="auto"/>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FC80FA9">
            <w:pPr>
              <w:jc w:val="center"/>
              <w:rPr>
                <w:rFonts w:hint="eastAsia" w:ascii="宋体" w:hAnsi="宋体" w:eastAsia="宋体" w:cs="宋体"/>
                <w:b/>
                <w:i w:val="0"/>
                <w:color w:val="auto"/>
                <w:sz w:val="20"/>
                <w:szCs w:val="20"/>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28CD5EF">
            <w:pPr>
              <w:jc w:val="center"/>
              <w:rPr>
                <w:rFonts w:hint="eastAsia" w:ascii="宋体" w:hAnsi="宋体" w:eastAsia="宋体" w:cs="宋体"/>
                <w:b/>
                <w:i w:val="0"/>
                <w:color w:val="auto"/>
                <w:sz w:val="20"/>
                <w:szCs w:val="20"/>
                <w:u w:val="none"/>
              </w:rPr>
            </w:pPr>
          </w:p>
        </w:tc>
      </w:tr>
      <w:tr w14:paraId="69EBFF92">
        <w:tblPrEx>
          <w:tblCellMar>
            <w:top w:w="0" w:type="dxa"/>
            <w:left w:w="0" w:type="dxa"/>
            <w:bottom w:w="0" w:type="dxa"/>
            <w:right w:w="0" w:type="dxa"/>
          </w:tblCellMar>
        </w:tblPrEx>
        <w:trPr>
          <w:trHeight w:val="76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EDABA">
            <w:pPr>
              <w:jc w:val="center"/>
              <w:rPr>
                <w:rFonts w:hint="eastAsia" w:ascii="仿宋_GB2312" w:hAnsi="宋体" w:eastAsia="仿宋_GB2312" w:cs="仿宋_GB2312"/>
                <w:i w:val="0"/>
                <w:color w:val="auto"/>
                <w:sz w:val="24"/>
                <w:szCs w:val="24"/>
                <w:u w:val="none"/>
              </w:rPr>
            </w:pP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2262001">
            <w:pPr>
              <w:keepNext w:val="0"/>
              <w:keepLines w:val="0"/>
              <w:widowControl/>
              <w:suppressLineNumbers w:val="0"/>
              <w:jc w:val="left"/>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项目决策</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7F0ADFB2">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绩效目标</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0000571">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目标内容</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DFD4525">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项目预期提供的产品、服务、效益或其他目标明确,即绩效目标实际明确个数/应当明确个数×100%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5AA7719">
            <w:pPr>
              <w:jc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5个</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DCFDDF1">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5个</w:t>
            </w:r>
          </w:p>
        </w:tc>
      </w:tr>
      <w:tr w14:paraId="686B4395">
        <w:tblPrEx>
          <w:tblCellMar>
            <w:top w:w="0" w:type="dxa"/>
            <w:left w:w="0" w:type="dxa"/>
            <w:bottom w:w="0" w:type="dxa"/>
            <w:right w:w="0" w:type="dxa"/>
          </w:tblCellMar>
        </w:tblPrEx>
        <w:trPr>
          <w:trHeight w:val="64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B01E7">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3A10D67">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0CBC6D27">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221E9C7">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进度计划</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6AD6251">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项目计划实施进度明确</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A161D94">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明确</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E7F38AC">
            <w:pPr>
              <w:jc w:val="center"/>
              <w:rPr>
                <w:rFonts w:hint="eastAsia" w:ascii="宋体" w:hAnsi="宋体" w:cs="宋体"/>
                <w:i w:val="0"/>
                <w:color w:val="auto"/>
                <w:sz w:val="20"/>
                <w:szCs w:val="20"/>
                <w:u w:val="none"/>
                <w:lang w:val="en-US" w:eastAsia="zh-CN"/>
              </w:rPr>
            </w:pPr>
          </w:p>
          <w:p w14:paraId="7697C575">
            <w:pPr>
              <w:jc w:val="center"/>
              <w:rPr>
                <w:rFonts w:hint="eastAsia" w:ascii="宋体" w:hAnsi="宋体" w:cs="宋体"/>
                <w:i w:val="0"/>
                <w:color w:val="auto"/>
                <w:sz w:val="20"/>
                <w:szCs w:val="20"/>
                <w:u w:val="none"/>
                <w:lang w:val="en-US" w:eastAsia="zh-CN"/>
              </w:rPr>
            </w:pPr>
            <w:r>
              <w:rPr>
                <w:rFonts w:hint="eastAsia" w:ascii="宋体" w:hAnsi="宋体" w:cs="宋体"/>
                <w:i w:val="0"/>
                <w:color w:val="auto"/>
                <w:sz w:val="20"/>
                <w:szCs w:val="20"/>
                <w:u w:val="none"/>
                <w:lang w:eastAsia="zh-CN"/>
              </w:rPr>
              <w:t>明确</w:t>
            </w:r>
          </w:p>
        </w:tc>
      </w:tr>
      <w:tr w14:paraId="1026F4EC">
        <w:tblPrEx>
          <w:tblCellMar>
            <w:top w:w="0" w:type="dxa"/>
            <w:left w:w="0" w:type="dxa"/>
            <w:bottom w:w="0" w:type="dxa"/>
            <w:right w:w="0" w:type="dxa"/>
          </w:tblCellMar>
        </w:tblPrEx>
        <w:trPr>
          <w:trHeight w:val="69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39665">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44D3448">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425731F3">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236735E">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目标匹配</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C52CE69">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绩效目标设定符合实际需求的抽样项目点个数/抽样项目点总数×100%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436453B">
            <w:pPr>
              <w:jc w:val="center"/>
              <w:rPr>
                <w:rFonts w:hint="eastAsia" w:ascii="宋体" w:hAnsi="宋体" w:eastAsia="宋体" w:cs="宋体"/>
                <w:i w:val="0"/>
                <w:color w:val="auto"/>
                <w:sz w:val="20"/>
                <w:szCs w:val="20"/>
                <w:u w:val="none"/>
              </w:rPr>
            </w:pPr>
            <w:r>
              <w:rPr>
                <w:rFonts w:hint="eastAsia" w:ascii="宋体" w:hAnsi="宋体" w:cs="宋体"/>
                <w:i w:val="0"/>
                <w:color w:val="auto"/>
                <w:sz w:val="20"/>
                <w:szCs w:val="20"/>
                <w:u w:val="none"/>
                <w:lang w:val="en-US" w:eastAsia="zh-CN"/>
              </w:rPr>
              <w:t>5个</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A99A2CC">
            <w:pPr>
              <w:jc w:val="center"/>
              <w:rPr>
                <w:rFonts w:hint="eastAsia"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5个</w:t>
            </w:r>
          </w:p>
        </w:tc>
      </w:tr>
      <w:tr w14:paraId="045C3BBE">
        <w:tblPrEx>
          <w:tblCellMar>
            <w:top w:w="0" w:type="dxa"/>
            <w:left w:w="0" w:type="dxa"/>
            <w:bottom w:w="0" w:type="dxa"/>
            <w:right w:w="0" w:type="dxa"/>
          </w:tblCellMar>
        </w:tblPrEx>
        <w:trPr>
          <w:trHeight w:val="76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9ADB1">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93832E2">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3DA52A7B">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决策依据</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6224F47">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政策依据</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AB6ABEC">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项目符合党中央、国务院和省委、省政府决策部署；符合当前经济社会发展需要</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CDB1C59">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符合</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C615435">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符合</w:t>
            </w:r>
          </w:p>
        </w:tc>
      </w:tr>
      <w:tr w14:paraId="75E0A92C">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F28AD">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5E2BC4F">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EC84CE7">
            <w:pPr>
              <w:jc w:val="center"/>
              <w:rPr>
                <w:rFonts w:hint="eastAsia" w:ascii="宋体" w:hAnsi="宋体" w:eastAsia="宋体" w:cs="宋体"/>
                <w:i w:val="0"/>
                <w:color w:val="auto"/>
                <w:sz w:val="20"/>
                <w:szCs w:val="20"/>
                <w:u w:val="none"/>
              </w:rPr>
            </w:pPr>
          </w:p>
        </w:tc>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1D0F753">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实施规划</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F2A670F">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连续性项目根据需要制定中长期实施规划</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5D0D9AD">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有</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CBF0982">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有</w:t>
            </w:r>
          </w:p>
        </w:tc>
      </w:tr>
      <w:tr w14:paraId="5BB6767F">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661F7">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B34A246">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3FA2180F">
            <w:pPr>
              <w:jc w:val="center"/>
              <w:rPr>
                <w:rFonts w:hint="eastAsia" w:ascii="宋体" w:hAnsi="宋体" w:eastAsia="宋体" w:cs="宋体"/>
                <w:i w:val="0"/>
                <w:color w:val="auto"/>
                <w:sz w:val="20"/>
                <w:szCs w:val="20"/>
                <w:u w:val="none"/>
              </w:rPr>
            </w:pPr>
          </w:p>
        </w:tc>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354C99A">
            <w:pPr>
              <w:jc w:val="center"/>
              <w:rPr>
                <w:rFonts w:hint="eastAsia" w:ascii="宋体" w:hAnsi="宋体" w:eastAsia="宋体" w:cs="宋体"/>
                <w:i w:val="0"/>
                <w:color w:val="auto"/>
                <w:sz w:val="20"/>
                <w:szCs w:val="20"/>
                <w:u w:val="none"/>
              </w:rPr>
            </w:pP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79348A1">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实施规划符合实际，并根据情况变化适时调整</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06FA41B">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符合</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BDF0398">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符合</w:t>
            </w:r>
          </w:p>
        </w:tc>
      </w:tr>
      <w:tr w14:paraId="6E566E40">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2B19B">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B02CDF1">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5A012B2E">
            <w:pPr>
              <w:jc w:val="center"/>
              <w:rPr>
                <w:rFonts w:hint="eastAsia" w:ascii="宋体" w:hAnsi="宋体" w:eastAsia="宋体" w:cs="宋体"/>
                <w:i w:val="0"/>
                <w:color w:val="auto"/>
                <w:sz w:val="20"/>
                <w:szCs w:val="20"/>
                <w:u w:val="none"/>
              </w:rPr>
            </w:pPr>
          </w:p>
        </w:tc>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61FA022">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管理制度</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EB5D3BD">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制定项目资金管理办法</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32F4EB8">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有</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F7322F6">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有</w:t>
            </w:r>
          </w:p>
        </w:tc>
      </w:tr>
      <w:tr w14:paraId="2B50F340">
        <w:tblPrEx>
          <w:tblCellMar>
            <w:top w:w="0" w:type="dxa"/>
            <w:left w:w="0" w:type="dxa"/>
            <w:bottom w:w="0" w:type="dxa"/>
            <w:right w:w="0" w:type="dxa"/>
          </w:tblCellMar>
        </w:tblPrEx>
        <w:trPr>
          <w:trHeight w:val="75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74880">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D8F9929">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50F63264">
            <w:pPr>
              <w:jc w:val="center"/>
              <w:rPr>
                <w:rFonts w:hint="eastAsia" w:ascii="宋体" w:hAnsi="宋体" w:eastAsia="宋体" w:cs="宋体"/>
                <w:i w:val="0"/>
                <w:color w:val="auto"/>
                <w:sz w:val="20"/>
                <w:szCs w:val="20"/>
                <w:u w:val="none"/>
              </w:rPr>
            </w:pPr>
          </w:p>
        </w:tc>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8755E03">
            <w:pPr>
              <w:jc w:val="center"/>
              <w:rPr>
                <w:rFonts w:hint="eastAsia" w:ascii="宋体" w:hAnsi="宋体" w:eastAsia="宋体" w:cs="宋体"/>
                <w:i w:val="0"/>
                <w:color w:val="auto"/>
                <w:sz w:val="20"/>
                <w:szCs w:val="20"/>
                <w:u w:val="none"/>
              </w:rPr>
            </w:pP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FDDD0B8">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项目资金分配决策程序明确</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C8BE490">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明确</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A2CAAEF">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明确</w:t>
            </w:r>
          </w:p>
        </w:tc>
      </w:tr>
      <w:tr w14:paraId="68459C3E">
        <w:tblPrEx>
          <w:tblCellMar>
            <w:top w:w="0" w:type="dxa"/>
            <w:left w:w="0" w:type="dxa"/>
            <w:bottom w:w="0" w:type="dxa"/>
            <w:right w:w="0" w:type="dxa"/>
          </w:tblCellMar>
        </w:tblPrEx>
        <w:trPr>
          <w:trHeight w:val="82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63240">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84B8C2F">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054FE675">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资金分配</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4ED32F0">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分配方法</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7385CFA">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资金分配方法是否科学合理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52EE021">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是</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524D60F">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是</w:t>
            </w:r>
          </w:p>
        </w:tc>
      </w:tr>
      <w:tr w14:paraId="04E8DC83">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4BB26">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3B23659">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4BA4474">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724459A">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分配过程</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792B375">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分配过程符合相关规定</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46E9BE6">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符合</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A131EDD">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符合</w:t>
            </w:r>
          </w:p>
        </w:tc>
      </w:tr>
      <w:tr w14:paraId="6FE6E33C">
        <w:tblPrEx>
          <w:tblCellMar>
            <w:top w:w="0" w:type="dxa"/>
            <w:left w:w="0" w:type="dxa"/>
            <w:bottom w:w="0" w:type="dxa"/>
            <w:right w:w="0" w:type="dxa"/>
          </w:tblCellMar>
        </w:tblPrEx>
        <w:trPr>
          <w:trHeight w:val="76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091B1">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CCF2779">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EDB33E2">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分配结果</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679E632">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审核把关</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DD5277F">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符合申报条件的抽样项目点个数/抽样项目点总数×100%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38156FE">
            <w:pPr>
              <w:jc w:val="center"/>
              <w:rPr>
                <w:rFonts w:hint="eastAsia" w:ascii="宋体" w:hAnsi="宋体" w:eastAsia="宋体" w:cs="宋体"/>
                <w:i w:val="0"/>
                <w:color w:val="auto"/>
                <w:sz w:val="20"/>
                <w:szCs w:val="20"/>
                <w:u w:val="none"/>
              </w:rPr>
            </w:pPr>
            <w:r>
              <w:rPr>
                <w:rFonts w:hint="eastAsia" w:ascii="宋体" w:hAnsi="宋体" w:cs="宋体"/>
                <w:i w:val="0"/>
                <w:color w:val="auto"/>
                <w:sz w:val="20"/>
                <w:szCs w:val="20"/>
                <w:u w:val="none"/>
                <w:lang w:val="en-US" w:eastAsia="zh-CN"/>
              </w:rPr>
              <w:t>5个</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9FB5E05">
            <w:pPr>
              <w:jc w:val="center"/>
              <w:rPr>
                <w:rFonts w:hint="eastAsia"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5个</w:t>
            </w:r>
          </w:p>
        </w:tc>
      </w:tr>
      <w:tr w14:paraId="7E9A55F4">
        <w:tblPrEx>
          <w:tblCellMar>
            <w:top w:w="0" w:type="dxa"/>
            <w:left w:w="0" w:type="dxa"/>
            <w:bottom w:w="0" w:type="dxa"/>
            <w:right w:w="0" w:type="dxa"/>
          </w:tblCellMar>
        </w:tblPrEx>
        <w:trPr>
          <w:trHeight w:val="102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7FA14">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7B26E86">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470ABD7">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C22CAFB">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资金集中</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F7D20BC">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集中</w:t>
            </w: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26E1C57">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财政资金占项目资金总额比重较小项目个数/项目总数×100%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E4E202B">
            <w:pPr>
              <w:jc w:val="center"/>
              <w:rPr>
                <w:rFonts w:hint="default" w:ascii="宋体" w:hAnsi="宋体" w:eastAsia="宋体" w:cs="宋体"/>
                <w:i w:val="0"/>
                <w:color w:val="auto"/>
                <w:sz w:val="20"/>
                <w:szCs w:val="20"/>
                <w:u w:val="none"/>
                <w:lang w:val="en-US"/>
              </w:rPr>
            </w:pPr>
            <w:r>
              <w:rPr>
                <w:rFonts w:hint="eastAsia" w:ascii="宋体" w:hAnsi="宋体" w:cs="宋体"/>
                <w:i w:val="0"/>
                <w:color w:val="auto"/>
                <w:sz w:val="20"/>
                <w:szCs w:val="20"/>
                <w:u w:val="none"/>
                <w:lang w:val="en-US" w:eastAsia="zh-CN"/>
              </w:rPr>
              <w:t>5个</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2754449">
            <w:pPr>
              <w:jc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5个</w:t>
            </w:r>
          </w:p>
        </w:tc>
      </w:tr>
      <w:tr w14:paraId="2C0557B8">
        <w:tblPrEx>
          <w:tblCellMar>
            <w:top w:w="0" w:type="dxa"/>
            <w:left w:w="0" w:type="dxa"/>
            <w:bottom w:w="0" w:type="dxa"/>
            <w:right w:w="0" w:type="dxa"/>
          </w:tblCellMar>
        </w:tblPrEx>
        <w:trPr>
          <w:trHeight w:val="73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AFB69">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EE28667">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7C1C8AD">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54C0137">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（均衡）</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2D016D6">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均衡</w:t>
            </w: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7C9DC17">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按实际分配结果选择客观因素测算验证资金分配方法制定、分配要素设定、基础数据应用、测算依据选取等是否科学合理（2分）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76017AA">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合理</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8154D28">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合理</w:t>
            </w:r>
          </w:p>
        </w:tc>
      </w:tr>
      <w:tr w14:paraId="31E5AA8F">
        <w:tblPrEx>
          <w:tblCellMar>
            <w:top w:w="0" w:type="dxa"/>
            <w:left w:w="0" w:type="dxa"/>
            <w:bottom w:w="0" w:type="dxa"/>
            <w:right w:w="0" w:type="dxa"/>
          </w:tblCellMar>
        </w:tblPrEx>
        <w:trPr>
          <w:trHeight w:val="54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60DB0">
            <w:pPr>
              <w:jc w:val="center"/>
              <w:rPr>
                <w:rFonts w:hint="eastAsia" w:ascii="仿宋_GB2312" w:hAnsi="宋体" w:eastAsia="仿宋_GB2312" w:cs="仿宋_GB2312"/>
                <w:i w:val="0"/>
                <w:color w:val="auto"/>
                <w:sz w:val="24"/>
                <w:szCs w:val="24"/>
                <w:u w:val="none"/>
              </w:rPr>
            </w:pP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4B6AAAB">
            <w:pPr>
              <w:keepNext w:val="0"/>
              <w:keepLines w:val="0"/>
              <w:widowControl/>
              <w:suppressLineNumbers w:val="0"/>
              <w:jc w:val="left"/>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项目管理</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DD352F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 xml:space="preserve"> 资金到位</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A8CD248">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分配时效</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8C3A730">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县级主管部门按规定及时分配资金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E85DBAA">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及时</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54D4EC5">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及时</w:t>
            </w:r>
          </w:p>
        </w:tc>
      </w:tr>
      <w:tr w14:paraId="728659B0">
        <w:tblPrEx>
          <w:tblCellMar>
            <w:top w:w="0" w:type="dxa"/>
            <w:left w:w="0" w:type="dxa"/>
            <w:bottom w:w="0" w:type="dxa"/>
            <w:right w:w="0" w:type="dxa"/>
          </w:tblCellMar>
        </w:tblPrEx>
        <w:trPr>
          <w:trHeight w:val="11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46814">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29EE1DE">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7363479">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D9CE45F">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资金拨付</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3571386">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按规定及时拨付资金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63F0B9C">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及时</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BD3B0B2">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及时</w:t>
            </w:r>
          </w:p>
        </w:tc>
      </w:tr>
      <w:tr w14:paraId="30601661">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438B3">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19A2B2F">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205471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 xml:space="preserve">资金管理  </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20B067C">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使用范围</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D477DCC">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资金使用是否合规</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8CD761D">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是</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EF460C9">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是</w:t>
            </w:r>
          </w:p>
        </w:tc>
      </w:tr>
      <w:tr w14:paraId="44FB1E4F">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1FD42">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52B6FEE">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DD47A2A">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D83BF9B">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支付依据</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AAD9931">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资金支付依据符合规定，即支付依旧合规资金量/资金总量×100%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D9A14E1">
            <w:pPr>
              <w:jc w:val="center"/>
              <w:rPr>
                <w:rFonts w:hint="eastAsia" w:ascii="宋体" w:hAnsi="宋体" w:eastAsia="宋体" w:cs="宋体"/>
                <w:i w:val="0"/>
                <w:color w:val="auto"/>
                <w:sz w:val="20"/>
                <w:szCs w:val="20"/>
                <w:u w:val="none"/>
              </w:rPr>
            </w:pPr>
            <w:r>
              <w:rPr>
                <w:rFonts w:hint="eastAsia" w:ascii="宋体" w:hAnsi="宋体" w:cs="宋体"/>
                <w:i w:val="0"/>
                <w:color w:val="auto"/>
                <w:sz w:val="20"/>
                <w:szCs w:val="20"/>
                <w:u w:val="none"/>
                <w:lang w:val="en-US" w:eastAsia="zh-CN"/>
              </w:rPr>
              <w:t>符合</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A61DC9E">
            <w:pPr>
              <w:jc w:val="center"/>
              <w:rPr>
                <w:rFonts w:hint="eastAsia" w:ascii="宋体" w:hAnsi="宋体" w:cs="宋体"/>
                <w:i w:val="0"/>
                <w:color w:val="auto"/>
                <w:sz w:val="20"/>
                <w:szCs w:val="20"/>
                <w:u w:val="none"/>
                <w:lang w:val="en-US" w:eastAsia="zh-CN"/>
              </w:rPr>
            </w:pPr>
          </w:p>
          <w:p w14:paraId="244FF74E">
            <w:pPr>
              <w:jc w:val="center"/>
              <w:rPr>
                <w:rFonts w:hint="eastAsia"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符合</w:t>
            </w:r>
          </w:p>
        </w:tc>
      </w:tr>
      <w:tr w14:paraId="0532A4AF">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15273">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252831">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757AD6">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423B1EA">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开支标准</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0823CE0">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资金开支标准符合规定，即开支标准合规资金量/资金总量×100%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D02A3C7">
            <w:pPr>
              <w:jc w:val="center"/>
              <w:rPr>
                <w:rFonts w:hint="eastAsia" w:ascii="宋体" w:hAnsi="宋体" w:eastAsia="宋体" w:cs="宋体"/>
                <w:i w:val="0"/>
                <w:color w:val="auto"/>
                <w:sz w:val="20"/>
                <w:szCs w:val="20"/>
                <w:u w:val="none"/>
              </w:rPr>
            </w:pPr>
            <w:r>
              <w:rPr>
                <w:rFonts w:hint="eastAsia" w:ascii="宋体" w:hAnsi="宋体" w:cs="宋体"/>
                <w:i w:val="0"/>
                <w:color w:val="auto"/>
                <w:sz w:val="20"/>
                <w:szCs w:val="20"/>
                <w:u w:val="none"/>
                <w:lang w:val="en-US" w:eastAsia="zh-CN"/>
              </w:rPr>
              <w:t>符合</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0C037DF">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符合</w:t>
            </w:r>
          </w:p>
        </w:tc>
      </w:tr>
      <w:tr w14:paraId="418892D2">
        <w:tblPrEx>
          <w:tblCellMar>
            <w:top w:w="0" w:type="dxa"/>
            <w:left w:w="0" w:type="dxa"/>
            <w:bottom w:w="0" w:type="dxa"/>
            <w:right w:w="0" w:type="dxa"/>
          </w:tblCellMar>
        </w:tblPrEx>
        <w:trPr>
          <w:trHeight w:val="73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83318">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7CC3E58">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29D065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财务管理</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BD84953">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财务制度</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E93B9B4">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财务制度健全，管理规范</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C9516A9">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规范</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78C93FC">
            <w:pPr>
              <w:jc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规范</w:t>
            </w:r>
          </w:p>
        </w:tc>
      </w:tr>
      <w:tr w14:paraId="489B1EBE">
        <w:tblPrEx>
          <w:tblCellMar>
            <w:top w:w="0" w:type="dxa"/>
            <w:left w:w="0" w:type="dxa"/>
            <w:bottom w:w="0" w:type="dxa"/>
            <w:right w:w="0" w:type="dxa"/>
          </w:tblCellMar>
        </w:tblPrEx>
        <w:trPr>
          <w:trHeight w:val="689"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4DC4F">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28FF2F9">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1F9D2E">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EF13566">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会计核算</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28ADFB0">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会计核算规范</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66C4DE7">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规范</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CD7FFFE">
            <w:pPr>
              <w:jc w:val="center"/>
              <w:rPr>
                <w:rFonts w:hint="eastAsia" w:ascii="宋体" w:hAnsi="宋体" w:cs="宋体"/>
                <w:i w:val="0"/>
                <w:color w:val="auto"/>
                <w:sz w:val="20"/>
                <w:szCs w:val="20"/>
                <w:u w:val="none"/>
                <w:lang w:val="en-US" w:eastAsia="zh-CN"/>
              </w:rPr>
            </w:pPr>
          </w:p>
          <w:p w14:paraId="584B8775">
            <w:pPr>
              <w:jc w:val="center"/>
              <w:rPr>
                <w:rFonts w:hint="eastAsia"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规范</w:t>
            </w:r>
          </w:p>
        </w:tc>
      </w:tr>
      <w:tr w14:paraId="728B59D1">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EF858">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44BACD9">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49C138EF">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组织实施（4分）</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0D3EBDA">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项目调整</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930FAFA">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项目调整严格履行相关手续</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42E0D28">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履行</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8D46D27">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履行</w:t>
            </w:r>
          </w:p>
        </w:tc>
      </w:tr>
      <w:tr w14:paraId="4EFE9108">
        <w:tblPrEx>
          <w:tblCellMar>
            <w:top w:w="0" w:type="dxa"/>
            <w:left w:w="0" w:type="dxa"/>
            <w:bottom w:w="0" w:type="dxa"/>
            <w:right w:w="0" w:type="dxa"/>
          </w:tblCellMar>
        </w:tblPrEx>
        <w:trPr>
          <w:trHeight w:val="8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63FB6">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75B5CA">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52717D50">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61BD6D4">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投资变更</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8709C1D">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项目投资变更额/项目总投入×100%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56123B2">
            <w:pPr>
              <w:jc w:val="center"/>
              <w:rPr>
                <w:rFonts w:hint="eastAsia" w:ascii="宋体" w:hAnsi="宋体" w:eastAsia="宋体" w:cs="宋体"/>
                <w:i w:val="0"/>
                <w:color w:val="auto"/>
                <w:sz w:val="20"/>
                <w:szCs w:val="20"/>
                <w:u w:val="none"/>
              </w:rPr>
            </w:pPr>
            <w:r>
              <w:rPr>
                <w:rFonts w:hint="eastAsia" w:ascii="宋体" w:hAnsi="宋体" w:cs="宋体"/>
                <w:i w:val="0"/>
                <w:color w:val="auto"/>
                <w:sz w:val="20"/>
                <w:szCs w:val="20"/>
                <w:u w:val="none"/>
                <w:lang w:val="en-US" w:eastAsia="zh-CN"/>
              </w:rPr>
              <w:t>否</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0EE3337">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否</w:t>
            </w:r>
          </w:p>
        </w:tc>
      </w:tr>
      <w:tr w14:paraId="583ECC34">
        <w:tblPrEx>
          <w:tblCellMar>
            <w:top w:w="0" w:type="dxa"/>
            <w:left w:w="0" w:type="dxa"/>
            <w:bottom w:w="0" w:type="dxa"/>
            <w:right w:w="0" w:type="dxa"/>
          </w:tblCellMar>
        </w:tblPrEx>
        <w:trPr>
          <w:trHeight w:val="76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9BE11">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827CE40">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1BFBABB">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53EF9F8">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制度执行</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B967706">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严格执行项目有关制度规定</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FB2931A">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严格</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1899A20">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严格</w:t>
            </w:r>
          </w:p>
        </w:tc>
      </w:tr>
      <w:tr w14:paraId="592F455C">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0BE3F">
            <w:pPr>
              <w:jc w:val="center"/>
              <w:rPr>
                <w:rFonts w:hint="eastAsia" w:ascii="仿宋_GB2312" w:hAnsi="宋体" w:eastAsia="仿宋_GB2312" w:cs="仿宋_GB2312"/>
                <w:i w:val="0"/>
                <w:color w:val="auto"/>
                <w:sz w:val="24"/>
                <w:szCs w:val="24"/>
                <w:u w:val="none"/>
              </w:rPr>
            </w:pP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2255D2A">
            <w:pPr>
              <w:keepNext w:val="0"/>
              <w:keepLines w:val="0"/>
              <w:widowControl/>
              <w:suppressLineNumbers w:val="0"/>
              <w:jc w:val="left"/>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3432175</wp:posOffset>
                  </wp:positionV>
                  <wp:extent cx="28575" cy="9525"/>
                  <wp:effectExtent l="0" t="0" r="0" b="0"/>
                  <wp:wrapNone/>
                  <wp:docPr id="5" name="直接连接符_6"/>
                  <wp:cNvGraphicFramePr/>
                  <a:graphic xmlns:a="http://schemas.openxmlformats.org/drawingml/2006/main">
                    <a:graphicData uri="http://schemas.openxmlformats.org/drawingml/2006/picture">
                      <pic:pic xmlns:pic="http://schemas.openxmlformats.org/drawingml/2006/picture">
                        <pic:nvPicPr>
                          <pic:cNvPr id="5" name="直接连接符_6"/>
                          <pic:cNvPicPr/>
                        </pic:nvPicPr>
                        <pic:blipFill>
                          <a:blip r:embed="rId15"/>
                          <a:stretch>
                            <a:fillRect/>
                          </a:stretch>
                        </pic:blipFill>
                        <pic:spPr>
                          <a:xfrm>
                            <a:off x="0" y="0"/>
                            <a:ext cx="28575" cy="9525"/>
                          </a:xfrm>
                          <a:prstGeom prst="rect">
                            <a:avLst/>
                          </a:prstGeom>
                          <a:noFill/>
                          <a:ln>
                            <a:noFill/>
                          </a:ln>
                        </pic:spPr>
                      </pic:pic>
                    </a:graphicData>
                  </a:graphic>
                </wp:anchor>
              </w:drawing>
            </w:r>
            <w:r>
              <w:rPr>
                <w:rFonts w:hint="eastAsia" w:ascii="宋体" w:hAnsi="宋体" w:eastAsia="宋体" w:cs="宋体"/>
                <w:i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3432175</wp:posOffset>
                  </wp:positionV>
                  <wp:extent cx="9525" cy="9525"/>
                  <wp:effectExtent l="0" t="0" r="0" b="0"/>
                  <wp:wrapNone/>
                  <wp:docPr id="6" name="直接连接符_5"/>
                  <wp:cNvGraphicFramePr/>
                  <a:graphic xmlns:a="http://schemas.openxmlformats.org/drawingml/2006/main">
                    <a:graphicData uri="http://schemas.openxmlformats.org/drawingml/2006/picture">
                      <pic:pic xmlns:pic="http://schemas.openxmlformats.org/drawingml/2006/picture">
                        <pic:nvPicPr>
                          <pic:cNvPr id="6" name="直接连接符_5"/>
                          <pic:cNvPicPr/>
                        </pic:nvPicPr>
                        <pic:blipFill>
                          <a:blip r:embed="rId16"/>
                          <a:stretch>
                            <a:fillRect/>
                          </a:stretch>
                        </pic:blipFill>
                        <pic:spPr>
                          <a:xfrm>
                            <a:off x="0" y="0"/>
                            <a:ext cx="9525" cy="9525"/>
                          </a:xfrm>
                          <a:prstGeom prst="rect">
                            <a:avLst/>
                          </a:prstGeom>
                          <a:noFill/>
                          <a:ln>
                            <a:noFill/>
                          </a:ln>
                        </pic:spPr>
                      </pic:pic>
                    </a:graphicData>
                  </a:graphic>
                </wp:anchor>
              </w:drawing>
            </w:r>
            <w:r>
              <w:rPr>
                <w:rFonts w:hint="eastAsia" w:ascii="宋体" w:hAnsi="宋体" w:eastAsia="宋体" w:cs="宋体"/>
                <w:i w:val="0"/>
                <w:color w:val="auto"/>
                <w:kern w:val="0"/>
                <w:sz w:val="20"/>
                <w:szCs w:val="20"/>
                <w:u w:val="none"/>
                <w:lang w:val="en-US" w:eastAsia="zh-CN" w:bidi="ar"/>
              </w:rPr>
              <w:t>项目绩效</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5325B811">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项目完成</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B123775">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完成数量</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AA14517">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实际完成任务量/绩效目标设定任务量×100%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CB8F5A8">
            <w:pPr>
              <w:jc w:val="center"/>
              <w:rPr>
                <w:rFonts w:hint="eastAsia" w:ascii="宋体" w:hAnsi="宋体" w:eastAsia="宋体" w:cs="宋体"/>
                <w:i w:val="0"/>
                <w:color w:val="auto"/>
                <w:sz w:val="20"/>
                <w:szCs w:val="20"/>
                <w:u w:val="none"/>
              </w:rPr>
            </w:pPr>
            <w:r>
              <w:rPr>
                <w:rFonts w:hint="eastAsia" w:ascii="宋体" w:hAnsi="宋体" w:cs="宋体"/>
                <w:i w:val="0"/>
                <w:color w:val="auto"/>
                <w:sz w:val="20"/>
                <w:szCs w:val="20"/>
                <w:u w:val="none"/>
                <w:lang w:val="en-US" w:eastAsia="zh-CN"/>
              </w:rPr>
              <w:t>5个</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27F0DD2">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5个</w:t>
            </w:r>
          </w:p>
        </w:tc>
      </w:tr>
      <w:tr w14:paraId="3BF76BA3">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57E05">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F8C9EB0">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31FE9EF3">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0401780">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完成质量</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20FD6FB">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符合绩效目标设定的验收标准，达到行业基准水平</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D05D384">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符合</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F45C6E5">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符合</w:t>
            </w:r>
          </w:p>
        </w:tc>
      </w:tr>
      <w:tr w14:paraId="35F0991D">
        <w:tblPrEx>
          <w:tblCellMar>
            <w:top w:w="0" w:type="dxa"/>
            <w:left w:w="0" w:type="dxa"/>
            <w:bottom w:w="0" w:type="dxa"/>
            <w:right w:w="0" w:type="dxa"/>
          </w:tblCellMar>
        </w:tblPrEx>
        <w:trPr>
          <w:trHeight w:val="80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E20A1">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B8DEA0">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7F24B54E">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C3DBE73">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完成时效</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058058C">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（实际完成时间-绩效目标设定完成时间）/绩效目标设定完成时间×100%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B4B5516">
            <w:pPr>
              <w:jc w:val="center"/>
              <w:rPr>
                <w:rFonts w:hint="default" w:ascii="宋体" w:hAnsi="宋体" w:eastAsia="宋体" w:cs="宋体"/>
                <w:i w:val="0"/>
                <w:color w:val="auto"/>
                <w:sz w:val="20"/>
                <w:szCs w:val="20"/>
                <w:u w:val="none"/>
                <w:lang w:val="en-US"/>
              </w:rPr>
            </w:pPr>
            <w:r>
              <w:rPr>
                <w:rFonts w:hint="eastAsia" w:ascii="宋体" w:hAnsi="宋体" w:cs="宋体"/>
                <w:i w:val="0"/>
                <w:color w:val="auto"/>
                <w:sz w:val="20"/>
                <w:szCs w:val="20"/>
                <w:u w:val="none"/>
                <w:lang w:val="en-US" w:eastAsia="zh-CN"/>
              </w:rPr>
              <w:t>及时</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1B0ACCB">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及时</w:t>
            </w:r>
          </w:p>
        </w:tc>
      </w:tr>
      <w:tr w14:paraId="4570BFCE">
        <w:tblPrEx>
          <w:tblCellMar>
            <w:top w:w="0" w:type="dxa"/>
            <w:left w:w="0" w:type="dxa"/>
            <w:bottom w:w="0" w:type="dxa"/>
            <w:right w:w="0" w:type="dxa"/>
          </w:tblCellMar>
        </w:tblPrEx>
        <w:trPr>
          <w:trHeight w:val="555"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36AD5">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0540C52">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046899EE">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502BEE2">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完成成本</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7F17408">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（实际完成成本-预计完成成本）/预计完成成本×100%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184E5C3">
            <w:pPr>
              <w:jc w:val="center"/>
              <w:rPr>
                <w:rFonts w:hint="default" w:ascii="宋体" w:hAnsi="宋体" w:eastAsia="宋体" w:cs="宋体"/>
                <w:i w:val="0"/>
                <w:color w:val="auto"/>
                <w:sz w:val="20"/>
                <w:szCs w:val="20"/>
                <w:u w:val="none"/>
                <w:lang w:val="en-US"/>
              </w:rPr>
            </w:pPr>
            <w:r>
              <w:rPr>
                <w:rFonts w:hint="eastAsia" w:ascii="宋体" w:hAnsi="宋体" w:cs="宋体"/>
                <w:i w:val="0"/>
                <w:color w:val="auto"/>
                <w:sz w:val="20"/>
                <w:szCs w:val="20"/>
                <w:u w:val="none"/>
                <w:lang w:val="en-US" w:eastAsia="zh-CN"/>
              </w:rPr>
              <w:t>好</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B9840C4">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好</w:t>
            </w:r>
          </w:p>
        </w:tc>
      </w:tr>
      <w:tr w14:paraId="7567E51A">
        <w:tblPrEx>
          <w:tblCellMar>
            <w:top w:w="0" w:type="dxa"/>
            <w:left w:w="0" w:type="dxa"/>
            <w:bottom w:w="0" w:type="dxa"/>
            <w:right w:w="0" w:type="dxa"/>
          </w:tblCellMar>
        </w:tblPrEx>
        <w:trPr>
          <w:trHeight w:val="72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6DD4D">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8F60472">
            <w:pPr>
              <w:rPr>
                <w:rFonts w:hint="eastAsia" w:ascii="宋体" w:hAnsi="宋体" w:eastAsia="宋体" w:cs="宋体"/>
                <w:i w:val="0"/>
                <w:color w:val="auto"/>
                <w:sz w:val="20"/>
                <w:szCs w:val="20"/>
                <w:u w:val="none"/>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10A92838">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项目效益</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4879F75">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经济效益</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0531EBD3">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反映相关产出对经济社会发展带来的影响和效果，根据项目实际细化具体指标。</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2332DE0">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好</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FF83E33">
            <w:pPr>
              <w:jc w:val="center"/>
              <w:rPr>
                <w:rFonts w:hint="eastAsia"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好</w:t>
            </w:r>
          </w:p>
        </w:tc>
      </w:tr>
      <w:tr w14:paraId="00D447A8">
        <w:tblPrEx>
          <w:tblCellMar>
            <w:top w:w="0" w:type="dxa"/>
            <w:left w:w="0" w:type="dxa"/>
            <w:bottom w:w="0" w:type="dxa"/>
            <w:right w:w="0" w:type="dxa"/>
          </w:tblCellMar>
        </w:tblPrEx>
        <w:trPr>
          <w:trHeight w:val="74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457BA">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C56F44C">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493429E9">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46FC7DF">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社会效益</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A1E52BA">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反映相关产出对社会发展带来的影响和效果，根据项目实际细化具体指标。</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204E507">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好</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1AB3698">
            <w:pPr>
              <w:jc w:val="center"/>
              <w:rPr>
                <w:rFonts w:hint="default"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好</w:t>
            </w:r>
          </w:p>
        </w:tc>
      </w:tr>
      <w:tr w14:paraId="38EBB488">
        <w:tblPrEx>
          <w:tblCellMar>
            <w:top w:w="0" w:type="dxa"/>
            <w:left w:w="0" w:type="dxa"/>
            <w:bottom w:w="0" w:type="dxa"/>
            <w:right w:w="0" w:type="dxa"/>
          </w:tblCellMar>
        </w:tblPrEx>
        <w:trPr>
          <w:trHeight w:val="72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3BB7E">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EDB8B49">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44C8405C">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1A5262F0">
            <w:pPr>
              <w:keepNext w:val="0"/>
              <w:keepLines w:val="0"/>
              <w:widowControl/>
              <w:suppressLineNumbers w:val="0"/>
              <w:jc w:val="center"/>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生态效益</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B68AAC7">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反映相关产出对自然环境带来的影响和效果，根据项目实际细化具体指标。</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7A63B687">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好</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74A237B">
            <w:pPr>
              <w:jc w:val="center"/>
              <w:rPr>
                <w:rFonts w:hint="default"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好</w:t>
            </w:r>
          </w:p>
        </w:tc>
      </w:tr>
      <w:tr w14:paraId="709A1D9F">
        <w:tblPrEx>
          <w:tblCellMar>
            <w:top w:w="0" w:type="dxa"/>
            <w:left w:w="0" w:type="dxa"/>
            <w:bottom w:w="0" w:type="dxa"/>
            <w:right w:w="0" w:type="dxa"/>
          </w:tblCellMar>
        </w:tblPrEx>
        <w:trPr>
          <w:trHeight w:val="76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EFC20">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23E633B">
            <w:pPr>
              <w:rPr>
                <w:rFonts w:hint="eastAsia" w:ascii="宋体" w:hAnsi="宋体" w:eastAsia="宋体" w:cs="宋体"/>
                <w:i w:val="0"/>
                <w:color w:val="auto"/>
                <w:sz w:val="20"/>
                <w:szCs w:val="20"/>
                <w:u w:val="none"/>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bottom"/>
          </w:tcPr>
          <w:p w14:paraId="2FF1F7B1">
            <w:pPr>
              <w:jc w:val="center"/>
              <w:rPr>
                <w:rFonts w:hint="eastAsia" w:ascii="宋体" w:hAnsi="宋体" w:eastAsia="宋体" w:cs="宋体"/>
                <w:i w:val="0"/>
                <w:color w:val="auto"/>
                <w:sz w:val="20"/>
                <w:szCs w:val="20"/>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69160A9B">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可持续效益</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54FFE84E">
            <w:pPr>
              <w:keepNext w:val="0"/>
              <w:keepLines w:val="0"/>
              <w:widowControl/>
              <w:suppressLineNumbers w:val="0"/>
              <w:jc w:val="left"/>
              <w:textAlignment w:val="bottom"/>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反映相关产出带来影响的可持续期限，根据项目实际细化具体指标。</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4A0EE557">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好</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2C252F6B">
            <w:pPr>
              <w:jc w:val="center"/>
              <w:rPr>
                <w:rFonts w:hint="default" w:ascii="宋体" w:hAnsi="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好</w:t>
            </w:r>
          </w:p>
        </w:tc>
      </w:tr>
      <w:tr w14:paraId="6B9BF2B7">
        <w:tblPrEx>
          <w:tblCellMar>
            <w:top w:w="0" w:type="dxa"/>
            <w:left w:w="0" w:type="dxa"/>
            <w:bottom w:w="0" w:type="dxa"/>
            <w:right w:w="0" w:type="dxa"/>
          </w:tblCellMar>
        </w:tblPrEx>
        <w:trPr>
          <w:trHeight w:val="108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B8E86">
            <w:pPr>
              <w:jc w:val="center"/>
              <w:rPr>
                <w:rFonts w:hint="eastAsia" w:ascii="仿宋_GB2312" w:hAnsi="宋体" w:eastAsia="仿宋_GB2312" w:cs="仿宋_GB2312"/>
                <w:i w:val="0"/>
                <w:color w:val="auto"/>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03A1DF">
            <w:pPr>
              <w:rPr>
                <w:rFonts w:hint="eastAsia" w:ascii="宋体" w:hAnsi="宋体" w:eastAsia="宋体" w:cs="宋体"/>
                <w:i w:val="0"/>
                <w:color w:val="auto"/>
                <w:sz w:val="20"/>
                <w:szCs w:val="20"/>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37667">
            <w:pPr>
              <w:keepNext w:val="0"/>
              <w:keepLines w:val="0"/>
              <w:widowControl/>
              <w:suppressLineNumbers w:val="0"/>
              <w:jc w:val="left"/>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满意度</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2056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服务对象满意度</w:t>
            </w: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D9CD7">
            <w:pPr>
              <w:keepNext w:val="0"/>
              <w:keepLines w:val="0"/>
              <w:widowControl/>
              <w:suppressLineNumbers w:val="0"/>
              <w:jc w:val="left"/>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反映服务对象或项目受益人对相关产出及其影响的认可程度，根据项目实际细化具体指标。</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A75D9B6">
            <w:pPr>
              <w:jc w:val="center"/>
              <w:rPr>
                <w:rFonts w:hint="eastAsia" w:ascii="宋体" w:hAnsi="宋体" w:eastAsia="宋体" w:cs="宋体"/>
                <w:i w:val="0"/>
                <w:color w:val="auto"/>
                <w:sz w:val="20"/>
                <w:szCs w:val="20"/>
                <w:u w:val="none"/>
                <w:lang w:eastAsia="zh-CN"/>
              </w:rPr>
            </w:pPr>
            <w:r>
              <w:rPr>
                <w:rFonts w:hint="eastAsia" w:ascii="宋体" w:hAnsi="宋体" w:cs="宋体"/>
                <w:i w:val="0"/>
                <w:color w:val="auto"/>
                <w:sz w:val="20"/>
                <w:szCs w:val="20"/>
                <w:u w:val="none"/>
                <w:lang w:eastAsia="zh-CN"/>
              </w:rPr>
              <w:t>满意</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14:paraId="3204715D">
            <w:pPr>
              <w:jc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满意</w:t>
            </w:r>
          </w:p>
        </w:tc>
      </w:tr>
    </w:tbl>
    <w:p w14:paraId="141EA1C9">
      <w:pPr>
        <w:pStyle w:val="6"/>
        <w:numPr>
          <w:ilvl w:val="0"/>
          <w:numId w:val="0"/>
        </w:numPr>
        <w:ind w:right="0" w:rightChars="0"/>
      </w:pPr>
    </w:p>
    <w:p w14:paraId="6E4CCDBF"/>
    <w:p w14:paraId="2AD31B52">
      <w:pPr>
        <w:numPr>
          <w:ilvl w:val="0"/>
          <w:numId w:val="0"/>
        </w:num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部门绩效评价结果。</w:t>
      </w:r>
    </w:p>
    <w:p w14:paraId="11C0C074">
      <w:pPr>
        <w:pageBreakBefore w:val="0"/>
        <w:kinsoku/>
        <w:wordWrap/>
        <w:overflowPunct/>
        <w:topLinePunct w:val="0"/>
        <w:bidi w:val="0"/>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本部门按要求对20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年部门整体支出绩效评价情况开展自评，《</w:t>
      </w:r>
      <w:r>
        <w:rPr>
          <w:rFonts w:hint="eastAsia" w:ascii="仿宋_GB2312" w:hAnsi="仿宋_GB2312" w:eastAsia="仿宋_GB2312" w:cs="仿宋_GB2312"/>
          <w:color w:val="auto"/>
          <w:sz w:val="32"/>
          <w:szCs w:val="32"/>
          <w:highlight w:val="none"/>
          <w:lang w:eastAsia="zh-CN"/>
        </w:rPr>
        <w:t>司法局</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年部门整体支出绩效评价报告》见附件</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14:paraId="7CB481C1">
      <w:pPr>
        <w:pageBreakBefore w:val="0"/>
        <w:kinsoku/>
        <w:wordWrap/>
        <w:overflowPunct/>
        <w:topLinePunct w:val="0"/>
        <w:bidi w:val="0"/>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本部门</w:t>
      </w:r>
      <w:r>
        <w:rPr>
          <w:rFonts w:hint="eastAsia" w:ascii="仿宋_GB2312" w:hAnsi="仿宋_GB2312" w:eastAsia="仿宋_GB2312" w:cs="仿宋_GB2312"/>
          <w:color w:val="auto"/>
          <w:sz w:val="32"/>
          <w:szCs w:val="32"/>
          <w:highlight w:val="none"/>
          <w:lang w:eastAsia="zh-CN"/>
        </w:rPr>
        <w:t>自行组织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eastAsia="zh-CN"/>
        </w:rPr>
        <w:t>普法宣传项目开展了绩效评价，</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普法宣传项目</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年绩效评价报告》见附件</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14:paraId="0B08A462">
      <w:pPr>
        <w:pStyle w:val="6"/>
        <w:numPr>
          <w:ilvl w:val="0"/>
          <w:numId w:val="0"/>
        </w:numPr>
        <w:ind w:leftChars="400" w:right="0" w:rightChars="0"/>
        <w:rPr>
          <w:highlight w:val="yellow"/>
        </w:rPr>
      </w:pPr>
    </w:p>
    <w:p w14:paraId="6C831C06">
      <w:pPr>
        <w:widowControl/>
        <w:jc w:val="left"/>
        <w:rPr>
          <w:rFonts w:ascii="仿宋_GB2312" w:eastAsia="仿宋_GB2312"/>
          <w:b/>
          <w:color w:val="000000"/>
          <w:sz w:val="32"/>
          <w:szCs w:val="32"/>
        </w:rPr>
      </w:pPr>
    </w:p>
    <w:p w14:paraId="090727B6">
      <w:pPr>
        <w:numPr>
          <w:ilvl w:val="0"/>
          <w:numId w:val="5"/>
        </w:numPr>
        <w:spacing w:line="600" w:lineRule="exact"/>
        <w:ind w:firstLine="660" w:firstLineChars="150"/>
        <w:jc w:val="center"/>
        <w:outlineLvl w:val="0"/>
        <w:rPr>
          <w:rStyle w:val="19"/>
          <w:rFonts w:ascii="黑体" w:hAnsi="黑体" w:eastAsia="黑体"/>
          <w:b w:val="0"/>
        </w:rPr>
      </w:pPr>
      <w:bookmarkStart w:id="151" w:name="_Toc79163629"/>
      <w:bookmarkStart w:id="152" w:name="_Toc21340"/>
      <w:bookmarkStart w:id="153" w:name="_Toc25373"/>
      <w:bookmarkStart w:id="154" w:name="_Toc15396613"/>
      <w:bookmarkStart w:id="155" w:name="_Toc79163879"/>
      <w:bookmarkStart w:id="156" w:name="_Toc15377225"/>
      <w:r>
        <w:rPr>
          <w:rFonts w:hint="eastAsia" w:ascii="黑体" w:hAnsi="黑体" w:eastAsia="黑体"/>
          <w:color w:val="000000"/>
          <w:sz w:val="44"/>
          <w:szCs w:val="44"/>
        </w:rPr>
        <w:t>名</w:t>
      </w:r>
      <w:r>
        <w:rPr>
          <w:rStyle w:val="19"/>
          <w:rFonts w:hint="eastAsia" w:ascii="黑体" w:hAnsi="黑体" w:eastAsia="黑体"/>
          <w:b w:val="0"/>
        </w:rPr>
        <w:t>词解释</w:t>
      </w:r>
      <w:bookmarkEnd w:id="151"/>
      <w:bookmarkEnd w:id="152"/>
      <w:bookmarkEnd w:id="153"/>
      <w:bookmarkEnd w:id="154"/>
      <w:bookmarkEnd w:id="155"/>
      <w:bookmarkEnd w:id="156"/>
    </w:p>
    <w:p w14:paraId="361B0AEB">
      <w:pPr>
        <w:spacing w:line="600" w:lineRule="exact"/>
        <w:jc w:val="left"/>
        <w:rPr>
          <w:rFonts w:ascii="宋体"/>
          <w:b/>
          <w:color w:val="000000"/>
          <w:sz w:val="44"/>
          <w:szCs w:val="44"/>
        </w:rPr>
      </w:pPr>
    </w:p>
    <w:p w14:paraId="039F2155">
      <w:pPr>
        <w:pStyle w:val="22"/>
        <w:spacing w:line="560" w:lineRule="exact"/>
        <w:ind w:firstLine="640" w:firstLineChars="200"/>
        <w:outlineLvl w:val="1"/>
        <w:rPr>
          <w:rFonts w:ascii="仿宋_GB2312" w:eastAsia="仿宋_GB2312"/>
          <w:sz w:val="32"/>
          <w:szCs w:val="32"/>
        </w:rPr>
      </w:pPr>
      <w:bookmarkStart w:id="157" w:name="_Toc22022"/>
      <w:bookmarkStart w:id="158" w:name="_Toc13872"/>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bookmarkEnd w:id="157"/>
      <w:bookmarkEnd w:id="158"/>
    </w:p>
    <w:p w14:paraId="2E25819A">
      <w:pPr>
        <w:pStyle w:val="22"/>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14032047">
      <w:pPr>
        <w:pStyle w:val="22"/>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0C47EC16">
      <w:pPr>
        <w:pStyle w:val="22"/>
        <w:spacing w:line="560" w:lineRule="exact"/>
        <w:ind w:firstLine="640" w:firstLineChars="200"/>
        <w:outlineLvl w:val="1"/>
        <w:rPr>
          <w:rFonts w:ascii="仿宋_GB2312" w:eastAsia="仿宋_GB2312"/>
          <w:sz w:val="32"/>
          <w:szCs w:val="32"/>
        </w:rPr>
      </w:pPr>
      <w:bookmarkStart w:id="159" w:name="_Toc13881"/>
      <w:bookmarkStart w:id="160" w:name="_Toc21396"/>
      <w:r>
        <w:rPr>
          <w:rFonts w:ascii="仿宋_GB2312" w:eastAsia="仿宋_GB2312"/>
          <w:sz w:val="32"/>
          <w:szCs w:val="32"/>
        </w:rPr>
        <w:t>4.</w:t>
      </w:r>
      <w:r>
        <w:rPr>
          <w:rFonts w:hint="eastAsia" w:ascii="仿宋_GB2312" w:eastAsia="仿宋_GB2312"/>
          <w:sz w:val="32"/>
          <w:szCs w:val="32"/>
        </w:rPr>
        <w:t>其他收入：指单位取得的除上述收入以外的各项收入。</w:t>
      </w:r>
      <w:bookmarkEnd w:id="159"/>
      <w:bookmarkEnd w:id="160"/>
      <w:r>
        <w:rPr>
          <w:rFonts w:ascii="仿宋_GB2312" w:eastAsia="仿宋_GB2312"/>
          <w:sz w:val="32"/>
          <w:szCs w:val="32"/>
        </w:rPr>
        <w:t xml:space="preserve"> </w:t>
      </w:r>
    </w:p>
    <w:p w14:paraId="49FBBE22">
      <w:pPr>
        <w:pStyle w:val="22"/>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43040210">
      <w:pPr>
        <w:pStyle w:val="22"/>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6DA50B3A">
      <w:pPr>
        <w:pStyle w:val="22"/>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10AC0601">
      <w:pPr>
        <w:pStyle w:val="22"/>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lang w:eastAsia="zh-CN"/>
        </w:rPr>
        <w:t>.</w:t>
      </w:r>
      <w:r>
        <w:rPr>
          <w:rFonts w:hint="eastAsia" w:ascii="仿宋_GB2312" w:eastAsia="仿宋_GB2312"/>
          <w:sz w:val="32"/>
          <w:szCs w:val="32"/>
        </w:rPr>
        <w:t>年末结转和结余：指单位按有关规定结转到下年或以后年度继续使用的资金。</w:t>
      </w:r>
    </w:p>
    <w:p w14:paraId="3D7C2CD6">
      <w:pPr>
        <w:pStyle w:val="22"/>
        <w:spacing w:line="560" w:lineRule="exact"/>
        <w:ind w:firstLine="640" w:firstLineChars="200"/>
        <w:outlineLvl w:val="1"/>
        <w:rPr>
          <w:rFonts w:hint="eastAsia" w:ascii="仿宋_GB2312" w:hAnsi="仿宋_GB2312" w:eastAsia="仿宋_GB2312" w:cs="仿宋_GB2312"/>
          <w:color w:val="auto"/>
          <w:sz w:val="32"/>
          <w:szCs w:val="32"/>
          <w:lang w:val="en-US" w:eastAsia="zh-CN"/>
        </w:rPr>
      </w:pPr>
      <w:bookmarkStart w:id="161" w:name="_Toc2814"/>
      <w:bookmarkStart w:id="162" w:name="_Toc24829"/>
      <w:r>
        <w:rPr>
          <w:rFonts w:ascii="仿宋_GB2312" w:eastAsia="仿宋_GB2312"/>
          <w:color w:val="000000"/>
          <w:sz w:val="32"/>
          <w:szCs w:val="32"/>
        </w:rPr>
        <w:t>9.</w:t>
      </w:r>
      <w:r>
        <w:rPr>
          <w:rFonts w:hint="eastAsia" w:ascii="仿宋_GB2312" w:hAnsi="仿宋_GB2312" w:eastAsia="仿宋_GB2312" w:cs="仿宋_GB2312"/>
          <w:color w:val="auto"/>
          <w:sz w:val="32"/>
          <w:szCs w:val="32"/>
          <w:lang w:val="en-US" w:eastAsia="zh-CN"/>
        </w:rPr>
        <w:t>公共安全支出：反映政府维护社会公共安全方面的支出。</w:t>
      </w:r>
      <w:bookmarkEnd w:id="161"/>
      <w:bookmarkEnd w:id="162"/>
    </w:p>
    <w:p w14:paraId="1E237AFC">
      <w:pPr>
        <w:pStyle w:val="6"/>
        <w:ind w:left="0" w:leftChars="0" w:firstLine="640" w:firstLineChars="200"/>
        <w:rPr>
          <w:rFonts w:ascii="仿宋_GB2312" w:eastAsia="仿宋_GB2312"/>
          <w:color w:val="auto"/>
          <w:sz w:val="32"/>
          <w:szCs w:val="32"/>
        </w:rPr>
      </w:pPr>
      <w:r>
        <w:rPr>
          <w:rFonts w:hint="eastAsia" w:ascii="仿宋_GB2312" w:hAnsi="仿宋_GB2312" w:eastAsia="仿宋_GB2312" w:cs="仿宋_GB2312"/>
          <w:color w:val="auto"/>
          <w:sz w:val="32"/>
          <w:szCs w:val="32"/>
          <w:lang w:val="en-US" w:eastAsia="zh-CN"/>
        </w:rPr>
        <w:t>10.行政运行：</w:t>
      </w:r>
      <w:r>
        <w:rPr>
          <w:rFonts w:hint="eastAsia" w:ascii="仿宋_GB2312" w:eastAsia="仿宋_GB2312"/>
          <w:color w:val="auto"/>
          <w:sz w:val="32"/>
          <w:szCs w:val="32"/>
          <w:lang w:eastAsia="zh-CN"/>
        </w:rPr>
        <w:t>行政运行</w:t>
      </w:r>
      <w:r>
        <w:rPr>
          <w:rFonts w:hint="eastAsia" w:ascii="仿宋_GB2312" w:eastAsia="仿宋_GB2312"/>
          <w:color w:val="auto"/>
          <w:sz w:val="32"/>
          <w:szCs w:val="32"/>
        </w:rPr>
        <w:t>：指</w:t>
      </w:r>
      <w:r>
        <w:rPr>
          <w:rFonts w:hint="eastAsia" w:ascii="仿宋_GB2312" w:eastAsia="仿宋_GB2312"/>
          <w:color w:val="auto"/>
          <w:sz w:val="32"/>
          <w:szCs w:val="32"/>
          <w:lang w:eastAsia="zh-CN"/>
        </w:rPr>
        <w:t>行政单位（包括实行公务员管理的事业单位）的基本支出</w:t>
      </w:r>
      <w:r>
        <w:rPr>
          <w:rFonts w:hint="eastAsia" w:ascii="仿宋_GB2312" w:eastAsia="仿宋_GB2312"/>
          <w:color w:val="auto"/>
          <w:sz w:val="32"/>
          <w:szCs w:val="32"/>
        </w:rPr>
        <w:t>。</w:t>
      </w:r>
    </w:p>
    <w:p w14:paraId="202D58AC">
      <w:pPr>
        <w:pStyle w:val="22"/>
        <w:spacing w:line="560" w:lineRule="exact"/>
        <w:ind w:firstLine="640" w:firstLineChars="200"/>
        <w:rPr>
          <w:rFonts w:hint="eastAsia" w:ascii="仿宋_GB2312" w:eastAsia="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eastAsia="仿宋_GB2312"/>
          <w:color w:val="auto"/>
          <w:sz w:val="32"/>
          <w:szCs w:val="32"/>
          <w:lang w:eastAsia="zh-CN"/>
        </w:rPr>
        <w:t>一般行政管理事务</w:t>
      </w:r>
      <w:r>
        <w:rPr>
          <w:rFonts w:hint="eastAsia" w:ascii="仿宋_GB2312" w:eastAsia="仿宋_GB2312"/>
          <w:color w:val="auto"/>
          <w:sz w:val="32"/>
          <w:szCs w:val="32"/>
        </w:rPr>
        <w:t>：指</w:t>
      </w:r>
      <w:r>
        <w:rPr>
          <w:rFonts w:hint="eastAsia" w:ascii="仿宋_GB2312" w:eastAsia="仿宋_GB2312"/>
          <w:color w:val="auto"/>
          <w:sz w:val="32"/>
          <w:szCs w:val="32"/>
          <w:lang w:eastAsia="zh-CN"/>
        </w:rPr>
        <w:t>行政单位（包括实行公务员管理的事业单位）未单独设置项级科目的其他项目支出</w:t>
      </w:r>
      <w:r>
        <w:rPr>
          <w:rFonts w:hint="eastAsia" w:ascii="仿宋_GB2312" w:eastAsia="仿宋_GB2312"/>
          <w:color w:val="auto"/>
          <w:sz w:val="32"/>
          <w:szCs w:val="32"/>
        </w:rPr>
        <w:t>。</w:t>
      </w:r>
    </w:p>
    <w:p w14:paraId="6D3D286F">
      <w:pPr>
        <w:pStyle w:val="22"/>
        <w:spacing w:line="560" w:lineRule="exact"/>
        <w:ind w:firstLine="640" w:firstLineChars="200"/>
        <w:outlineLvl w:val="1"/>
        <w:rPr>
          <w:rFonts w:hint="eastAsia" w:ascii="仿宋_GB2312" w:eastAsia="仿宋_GB2312"/>
          <w:color w:val="auto"/>
          <w:sz w:val="32"/>
          <w:szCs w:val="32"/>
          <w:lang w:val="en-US" w:eastAsia="zh-CN"/>
        </w:rPr>
      </w:pPr>
      <w:bookmarkStart w:id="163" w:name="_Toc31662"/>
      <w:bookmarkStart w:id="164" w:name="_Toc12996"/>
      <w:r>
        <w:rPr>
          <w:rFonts w:hint="eastAsia" w:ascii="仿宋_GB2312" w:eastAsia="仿宋_GB2312"/>
          <w:color w:val="auto"/>
          <w:sz w:val="32"/>
          <w:szCs w:val="32"/>
          <w:lang w:val="en-US" w:eastAsia="zh-CN"/>
        </w:rPr>
        <w:t>12.基层司法业务：反映各级司法行政部门用于基础业务的支出。</w:t>
      </w:r>
      <w:bookmarkEnd w:id="163"/>
      <w:bookmarkEnd w:id="164"/>
    </w:p>
    <w:p w14:paraId="01D3A4C0">
      <w:pPr>
        <w:pStyle w:val="22"/>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13.普法宣传：反映各级司法行政部门用于组织各种媒体的宣传、普法装备与设施、宣传资料等支出。</w:t>
      </w:r>
    </w:p>
    <w:p w14:paraId="1927269E">
      <w:pPr>
        <w:pStyle w:val="22"/>
        <w:spacing w:line="56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14.法律援助：指各级法律援助机构用于开展法律援助工作的支出。</w:t>
      </w:r>
    </w:p>
    <w:p w14:paraId="12E27ED2">
      <w:pPr>
        <w:pStyle w:val="22"/>
        <w:spacing w:line="560" w:lineRule="exact"/>
        <w:ind w:firstLine="640" w:firstLineChars="200"/>
        <w:outlineLvl w:val="1"/>
        <w:rPr>
          <w:rFonts w:hint="default" w:ascii="仿宋_GB2312" w:eastAsia="仿宋_GB2312"/>
          <w:color w:val="auto"/>
          <w:sz w:val="32"/>
          <w:szCs w:val="32"/>
          <w:lang w:val="en-US" w:eastAsia="zh-CN"/>
        </w:rPr>
      </w:pPr>
      <w:bookmarkStart w:id="165" w:name="_Toc21443"/>
      <w:bookmarkStart w:id="166" w:name="_Toc27305"/>
      <w:r>
        <w:rPr>
          <w:rFonts w:hint="eastAsia" w:ascii="仿宋_GB2312" w:eastAsia="仿宋_GB2312"/>
          <w:color w:val="auto"/>
          <w:sz w:val="32"/>
          <w:szCs w:val="32"/>
          <w:lang w:val="en-US" w:eastAsia="zh-CN"/>
        </w:rPr>
        <w:t>15.社区矫正：反映各级司法行政部门用于社区矫正的支出。</w:t>
      </w:r>
      <w:bookmarkEnd w:id="165"/>
      <w:bookmarkEnd w:id="166"/>
    </w:p>
    <w:p w14:paraId="514E8FC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16.社会保障和就业（类）行政事业单位离退休（款）机关事业单位基本养老保险缴费支出（项）：反映机关事业单位实施养老保险制度由单位缴纳的基本养老保险费支出。</w:t>
      </w:r>
    </w:p>
    <w:p w14:paraId="637F5E6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17.社会保障和就业（类）行政事业单位离退休（款）机关事业单位职业年金缴费支出（项）: 反映机关事业单位实施养老保险制度由单位实际缴纳的职业年金支出。</w:t>
      </w:r>
    </w:p>
    <w:p w14:paraId="5321033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18.医疗卫生与计划生育（类）行政事业单位医疗（款）行政单位医疗（项）: 反映财政部门集中安排的行政单位基本医疗保险缴费经费，未参加医疗保险的行政单位的公费医疗经费，按国家规定享受离休人员待遇的医疗经费。</w:t>
      </w:r>
    </w:p>
    <w:p w14:paraId="41442903">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.住房保障支出（类）住房改革支出（款）住房公积金（项）: 反映行政事业单位按人力资源和社会保障部、财政部规定的基本工资和津贴补贴以及规定比例为职工缴纳的住房公积金。</w:t>
      </w:r>
    </w:p>
    <w:p w14:paraId="5F079AAF">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.基本支出：指为保障机构正常运转、完成日常工作任务而发生的人员支出和公用支出。</w:t>
      </w:r>
    </w:p>
    <w:p w14:paraId="50CF858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 xml:space="preserve">.项目支出：指在基本支出之外为完成特定行政任务和事业发展目标所发生的支出。 </w:t>
      </w:r>
    </w:p>
    <w:p w14:paraId="7691D246">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.经营支出：指事业单位在专业业务活动及其辅助活动之外开展非独立核算经营活动发生的支出。</w:t>
      </w:r>
    </w:p>
    <w:p w14:paraId="526AEEF9">
      <w:pPr>
        <w:pStyle w:val="22"/>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2844424">
      <w:pPr>
        <w:pStyle w:val="22"/>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A2E9B9">
      <w:pPr>
        <w:spacing w:line="600" w:lineRule="exact"/>
        <w:jc w:val="both"/>
        <w:outlineLvl w:val="9"/>
        <w:rPr>
          <w:rFonts w:hint="eastAsia" w:ascii="黑体" w:hAnsi="黑体" w:eastAsia="黑体"/>
          <w:color w:val="auto"/>
          <w:sz w:val="44"/>
          <w:szCs w:val="44"/>
        </w:rPr>
      </w:pPr>
    </w:p>
    <w:p w14:paraId="4E120F8A">
      <w:pPr>
        <w:spacing w:line="600" w:lineRule="exact"/>
        <w:ind w:firstLine="640"/>
        <w:rPr>
          <w:rFonts w:ascii="仿宋" w:hAnsi="仿宋" w:eastAsia="仿宋"/>
          <w:b/>
          <w:color w:val="000000"/>
          <w:sz w:val="32"/>
          <w:szCs w:val="32"/>
        </w:rPr>
      </w:pPr>
    </w:p>
    <w:p w14:paraId="626D3E18">
      <w:pPr>
        <w:pStyle w:val="6"/>
        <w:rPr>
          <w:rFonts w:ascii="仿宋" w:hAnsi="仿宋" w:eastAsia="仿宋"/>
          <w:b/>
          <w:color w:val="000000"/>
          <w:sz w:val="32"/>
          <w:szCs w:val="32"/>
        </w:rPr>
      </w:pPr>
    </w:p>
    <w:p w14:paraId="6F4B9CF0">
      <w:pPr>
        <w:rPr>
          <w:rFonts w:ascii="仿宋" w:hAnsi="仿宋" w:eastAsia="仿宋"/>
          <w:b/>
          <w:color w:val="000000"/>
          <w:sz w:val="32"/>
          <w:szCs w:val="32"/>
        </w:rPr>
      </w:pPr>
    </w:p>
    <w:p w14:paraId="2AC8E710">
      <w:pPr>
        <w:pStyle w:val="6"/>
      </w:pPr>
    </w:p>
    <w:p w14:paraId="4438FA95">
      <w:pPr>
        <w:numPr>
          <w:ilvl w:val="0"/>
          <w:numId w:val="5"/>
        </w:numPr>
        <w:spacing w:line="600" w:lineRule="exact"/>
        <w:ind w:left="0" w:leftChars="0" w:firstLine="660" w:firstLineChars="150"/>
        <w:jc w:val="center"/>
        <w:outlineLvl w:val="0"/>
        <w:rPr>
          <w:rStyle w:val="19"/>
          <w:rFonts w:hint="eastAsia" w:ascii="黑体" w:hAnsi="黑体" w:eastAsia="黑体"/>
          <w:b w:val="0"/>
        </w:rPr>
      </w:pPr>
      <w:bookmarkStart w:id="167" w:name="_Toc79163630"/>
      <w:bookmarkStart w:id="168" w:name="_Toc15396614"/>
      <w:bookmarkStart w:id="169" w:name="_Toc79163880"/>
      <w:bookmarkStart w:id="170" w:name="_Toc4348"/>
      <w:bookmarkStart w:id="171" w:name="_Toc16458"/>
      <w:bookmarkStart w:id="172" w:name="_Toc15377226"/>
      <w:r>
        <w:rPr>
          <w:rStyle w:val="19"/>
          <w:rFonts w:hint="eastAsia" w:ascii="黑体" w:hAnsi="黑体" w:eastAsia="黑体"/>
          <w:b w:val="0"/>
        </w:rPr>
        <w:t>附件</w:t>
      </w:r>
      <w:bookmarkEnd w:id="167"/>
      <w:bookmarkEnd w:id="168"/>
      <w:bookmarkEnd w:id="169"/>
      <w:bookmarkEnd w:id="170"/>
      <w:bookmarkEnd w:id="171"/>
    </w:p>
    <w:p w14:paraId="31BC1A8C">
      <w:pPr>
        <w:numPr>
          <w:ilvl w:val="0"/>
          <w:numId w:val="0"/>
        </w:numPr>
        <w:spacing w:line="600" w:lineRule="exact"/>
        <w:jc w:val="both"/>
        <w:outlineLvl w:val="1"/>
        <w:rPr>
          <w:rStyle w:val="23"/>
          <w:rFonts w:ascii="仿宋" w:hAnsi="仿宋" w:eastAsia="仿宋"/>
          <w:b w:val="0"/>
          <w:bCs w:val="0"/>
          <w:color w:val="auto"/>
          <w:sz w:val="32"/>
          <w:szCs w:val="32"/>
        </w:rPr>
      </w:pPr>
      <w:bookmarkStart w:id="173" w:name="_Toc721"/>
      <w:bookmarkStart w:id="174" w:name="_Toc29418"/>
      <w:r>
        <w:rPr>
          <w:rStyle w:val="23"/>
          <w:rFonts w:hint="eastAsia" w:ascii="仿宋" w:hAnsi="仿宋" w:eastAsia="仿宋"/>
          <w:b w:val="0"/>
          <w:bCs w:val="0"/>
          <w:color w:val="auto"/>
          <w:sz w:val="32"/>
          <w:szCs w:val="32"/>
        </w:rPr>
        <w:t>附件1</w:t>
      </w:r>
      <w:bookmarkEnd w:id="173"/>
      <w:bookmarkEnd w:id="174"/>
    </w:p>
    <w:p w14:paraId="0AB6925E">
      <w:pPr>
        <w:jc w:val="both"/>
        <w:rPr>
          <w:rFonts w:hint="eastAsia" w:ascii="方正小标宋简体" w:hAnsi="方正小标宋简体" w:eastAsia="方正小标宋简体" w:cs="方正小标宋简体"/>
          <w:b/>
          <w:bCs/>
          <w:color w:val="auto"/>
          <w:sz w:val="44"/>
          <w:szCs w:val="44"/>
        </w:rPr>
      </w:pPr>
      <w:bookmarkStart w:id="175" w:name="_Toc15396617"/>
      <w:r>
        <w:rPr>
          <w:rFonts w:hint="eastAsia" w:ascii="方正小标宋简体" w:hAnsi="方正小标宋简体" w:eastAsia="方正小标宋简体" w:cs="方正小标宋简体"/>
          <w:b/>
          <w:bCs/>
          <w:color w:val="auto"/>
          <w:sz w:val="44"/>
          <w:szCs w:val="44"/>
        </w:rPr>
        <w:t>司法局</w:t>
      </w:r>
      <w:r>
        <w:rPr>
          <w:rFonts w:hint="eastAsia" w:ascii="方正小标宋简体" w:hAnsi="方正小标宋简体" w:eastAsia="方正小标宋简体" w:cs="方正小标宋简体"/>
          <w:b/>
          <w:bCs/>
          <w:color w:val="auto"/>
          <w:sz w:val="44"/>
          <w:szCs w:val="44"/>
          <w:lang w:val="en-US" w:eastAsia="zh-CN"/>
        </w:rPr>
        <w:t>2025年部门</w:t>
      </w:r>
      <w:r>
        <w:rPr>
          <w:rFonts w:hint="eastAsia" w:ascii="方正小标宋简体" w:hAnsi="方正小标宋简体" w:eastAsia="方正小标宋简体" w:cs="方正小标宋简体"/>
          <w:b/>
          <w:bCs/>
          <w:color w:val="auto"/>
          <w:sz w:val="44"/>
          <w:szCs w:val="44"/>
        </w:rPr>
        <w:t>整体支出绩效</w:t>
      </w:r>
      <w:r>
        <w:rPr>
          <w:rFonts w:hint="eastAsia" w:ascii="方正小标宋简体" w:hAnsi="方正小标宋简体" w:eastAsia="方正小标宋简体" w:cs="方正小标宋简体"/>
          <w:b/>
          <w:bCs/>
          <w:color w:val="auto"/>
          <w:sz w:val="44"/>
          <w:szCs w:val="44"/>
          <w:lang w:eastAsia="zh-CN"/>
        </w:rPr>
        <w:t>评价</w:t>
      </w:r>
      <w:r>
        <w:rPr>
          <w:rFonts w:hint="eastAsia" w:ascii="方正小标宋简体" w:hAnsi="方正小标宋简体" w:eastAsia="方正小标宋简体" w:cs="方正小标宋简体"/>
          <w:b/>
          <w:bCs/>
          <w:color w:val="auto"/>
          <w:sz w:val="44"/>
          <w:szCs w:val="44"/>
        </w:rPr>
        <w:t>报告</w:t>
      </w:r>
    </w:p>
    <w:p w14:paraId="5A3991AA">
      <w:pPr>
        <w:overflowPunct w:val="0"/>
        <w:spacing w:line="576" w:lineRule="exact"/>
        <w:ind w:firstLine="640" w:firstLineChars="200"/>
        <w:jc w:val="left"/>
        <w:outlineLvl w:val="1"/>
        <w:rPr>
          <w:rFonts w:hint="eastAsia" w:ascii="方正黑体_GBK" w:eastAsia="方正黑体_GBK" w:cs="黑体"/>
          <w:sz w:val="32"/>
          <w:szCs w:val="32"/>
          <w:lang w:bidi="ar-SA"/>
        </w:rPr>
      </w:pPr>
      <w:bookmarkStart w:id="176" w:name="_Toc20892"/>
      <w:bookmarkStart w:id="177" w:name="_Toc12184"/>
      <w:r>
        <w:rPr>
          <w:rFonts w:hint="eastAsia" w:ascii="方正黑体_GBK" w:eastAsia="方正黑体_GBK" w:cs="黑体"/>
          <w:sz w:val="32"/>
          <w:szCs w:val="32"/>
          <w:lang w:bidi="ar-SA"/>
        </w:rPr>
        <w:t>一、部门（单位）慨况</w:t>
      </w:r>
      <w:bookmarkEnd w:id="176"/>
      <w:bookmarkEnd w:id="177"/>
    </w:p>
    <w:p w14:paraId="28C8CE1F">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bidi="ar-SA"/>
        </w:rPr>
      </w:pPr>
      <w:bookmarkStart w:id="178" w:name="_Toc26139"/>
      <w:bookmarkStart w:id="179" w:name="_Toc24199"/>
      <w:r>
        <w:rPr>
          <w:rFonts w:hint="eastAsia" w:ascii="方正楷体_GBK" w:eastAsia="方正楷体_GBK" w:cs="仿宋_GB2312"/>
          <w:b w:val="0"/>
          <w:bCs w:val="0"/>
          <w:sz w:val="32"/>
          <w:szCs w:val="32"/>
          <w:lang w:bidi="ar-SA"/>
        </w:rPr>
        <w:t>（一）机构组成</w:t>
      </w:r>
      <w:bookmarkEnd w:id="178"/>
      <w:bookmarkEnd w:id="179"/>
    </w:p>
    <w:p w14:paraId="77114886">
      <w:pPr>
        <w:spacing w:line="560" w:lineRule="exact"/>
        <w:ind w:firstLine="640" w:firstLineChars="200"/>
        <w:jc w:val="left"/>
        <w:rPr>
          <w:rFonts w:hint="eastAsia" w:ascii="仿宋_GB2312" w:hAnsi="仿宋_GB2312" w:eastAsia="仿宋_GB2312" w:cs="仿宋_GB2312"/>
          <w:b/>
          <w:color w:val="auto"/>
          <w:sz w:val="32"/>
          <w:szCs w:val="32"/>
        </w:rPr>
      </w:pPr>
      <w:r>
        <w:rPr>
          <w:rFonts w:hint="eastAsia" w:ascii="仿宋_GB2312" w:hAnsi="仿宋_GB2312" w:eastAsia="仿宋_GB2312" w:cs="仿宋_GB2312"/>
          <w:bCs/>
          <w:sz w:val="32"/>
          <w:szCs w:val="32"/>
          <w:lang w:eastAsia="zh-CN" w:bidi="ar-SA"/>
        </w:rPr>
        <w:t>红原县司法局</w:t>
      </w:r>
      <w:r>
        <w:rPr>
          <w:rFonts w:hint="eastAsia" w:ascii="仿宋_GB2312" w:hAnsi="仿宋_GB2312" w:eastAsia="仿宋_GB2312" w:cs="仿宋_GB2312"/>
          <w:bCs/>
          <w:sz w:val="32"/>
          <w:szCs w:val="32"/>
          <w:lang w:bidi="ar-SA"/>
        </w:rPr>
        <w:t>为独立核算全额拨款行政单位，下设</w:t>
      </w:r>
      <w:r>
        <w:rPr>
          <w:rFonts w:hint="eastAsia" w:ascii="仿宋_GB2312" w:hAnsi="仿宋_GB2312" w:eastAsia="仿宋_GB2312" w:cs="仿宋_GB2312"/>
          <w:bCs/>
          <w:sz w:val="32"/>
          <w:szCs w:val="32"/>
          <w:lang w:val="en-US" w:eastAsia="zh-CN" w:bidi="ar-SA"/>
        </w:rPr>
        <w:t>9</w:t>
      </w:r>
      <w:r>
        <w:rPr>
          <w:rFonts w:hint="eastAsia" w:ascii="仿宋_GB2312" w:hAnsi="仿宋_GB2312" w:eastAsia="仿宋_GB2312" w:cs="仿宋_GB2312"/>
          <w:bCs/>
          <w:sz w:val="32"/>
          <w:szCs w:val="32"/>
          <w:lang w:bidi="ar-SA"/>
        </w:rPr>
        <w:t>个</w:t>
      </w:r>
      <w:r>
        <w:rPr>
          <w:rFonts w:hint="eastAsia" w:ascii="仿宋_GB2312" w:hAnsi="仿宋_GB2312" w:eastAsia="仿宋_GB2312" w:cs="仿宋_GB2312"/>
          <w:bCs/>
          <w:sz w:val="32"/>
          <w:szCs w:val="32"/>
          <w:lang w:eastAsia="zh-CN" w:bidi="ar-SA"/>
        </w:rPr>
        <w:t>机构</w:t>
      </w:r>
      <w:r>
        <w:rPr>
          <w:rFonts w:hint="eastAsia" w:ascii="仿宋_GB2312" w:hAnsi="仿宋_GB2312" w:eastAsia="仿宋_GB2312" w:cs="仿宋_GB2312"/>
          <w:bCs/>
          <w:sz w:val="32"/>
          <w:szCs w:val="32"/>
          <w:lang w:bidi="ar-SA"/>
        </w:rPr>
        <w:t>：</w:t>
      </w:r>
      <w:r>
        <w:rPr>
          <w:rFonts w:hint="eastAsia" w:ascii="仿宋_GB2312" w:hAnsi="仿宋_GB2312" w:eastAsia="仿宋_GB2312" w:cs="仿宋_GB2312"/>
          <w:bCs/>
          <w:color w:val="auto"/>
          <w:sz w:val="32"/>
          <w:szCs w:val="32"/>
        </w:rPr>
        <w:t>办公室、</w:t>
      </w:r>
      <w:r>
        <w:rPr>
          <w:rFonts w:hint="eastAsia" w:ascii="仿宋_GB2312" w:hAnsi="仿宋_GB2312" w:eastAsia="仿宋_GB2312" w:cs="仿宋_GB2312"/>
          <w:bCs/>
          <w:color w:val="auto"/>
          <w:sz w:val="32"/>
          <w:szCs w:val="32"/>
          <w:lang w:eastAsia="zh-CN"/>
        </w:rPr>
        <w:t>法制股、</w:t>
      </w:r>
      <w:r>
        <w:rPr>
          <w:rFonts w:hint="eastAsia" w:ascii="仿宋_GB2312" w:hAnsi="仿宋_GB2312" w:eastAsia="仿宋_GB2312" w:cs="仿宋_GB2312"/>
          <w:bCs/>
          <w:color w:val="auto"/>
          <w:sz w:val="32"/>
          <w:szCs w:val="32"/>
        </w:rPr>
        <w:t>基层工作股、法治宣传</w:t>
      </w:r>
      <w:r>
        <w:rPr>
          <w:rFonts w:hint="eastAsia" w:ascii="仿宋_GB2312" w:hAnsi="仿宋_GB2312" w:eastAsia="仿宋_GB2312" w:cs="仿宋_GB2312"/>
          <w:bCs/>
          <w:color w:val="auto"/>
          <w:sz w:val="32"/>
          <w:szCs w:val="32"/>
          <w:lang w:eastAsia="zh-CN"/>
        </w:rPr>
        <w:t>教育</w:t>
      </w:r>
      <w:r>
        <w:rPr>
          <w:rFonts w:hint="eastAsia" w:ascii="仿宋_GB2312" w:hAnsi="仿宋_GB2312" w:eastAsia="仿宋_GB2312" w:cs="仿宋_GB2312"/>
          <w:bCs/>
          <w:color w:val="auto"/>
          <w:sz w:val="32"/>
          <w:szCs w:val="32"/>
        </w:rPr>
        <w:t>股、</w:t>
      </w:r>
      <w:r>
        <w:rPr>
          <w:rFonts w:hint="eastAsia" w:ascii="仿宋_GB2312" w:hAnsi="仿宋_GB2312" w:eastAsia="仿宋_GB2312" w:cs="仿宋_GB2312"/>
          <w:bCs/>
          <w:color w:val="auto"/>
          <w:sz w:val="32"/>
          <w:szCs w:val="32"/>
          <w:lang w:eastAsia="zh-CN"/>
        </w:rPr>
        <w:t>装备财务保障股、公共法律服务管理股、政工室、社区矫正执法大队、行政复议与应诉股</w:t>
      </w:r>
      <w:r>
        <w:rPr>
          <w:rFonts w:hint="eastAsia" w:ascii="仿宋_GB2312" w:hAnsi="仿宋_GB2312" w:eastAsia="仿宋_GB2312" w:cs="仿宋_GB2312"/>
          <w:bCs/>
          <w:color w:val="auto"/>
          <w:sz w:val="32"/>
          <w:szCs w:val="32"/>
        </w:rPr>
        <w:t>。</w:t>
      </w:r>
    </w:p>
    <w:p w14:paraId="588BFE43">
      <w:pPr>
        <w:overflowPunct w:val="0"/>
        <w:spacing w:line="576" w:lineRule="exact"/>
        <w:ind w:left="0" w:firstLine="640" w:firstLineChars="200"/>
        <w:jc w:val="left"/>
        <w:rPr>
          <w:rFonts w:hint="eastAsia" w:ascii="仿宋_GB2312" w:hAnsi="仿宋_GB2312" w:eastAsia="仿宋_GB2312" w:cs="仿宋_GB2312"/>
          <w:bCs/>
          <w:sz w:val="32"/>
          <w:szCs w:val="32"/>
          <w:lang w:val="en-US" w:eastAsia="zh-CN" w:bidi="ar-SA"/>
        </w:rPr>
      </w:pPr>
    </w:p>
    <w:p w14:paraId="572A2117">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bidi="ar-SA"/>
        </w:rPr>
      </w:pPr>
      <w:bookmarkStart w:id="180" w:name="_Toc22904"/>
      <w:bookmarkStart w:id="181" w:name="_Toc32319"/>
      <w:r>
        <w:rPr>
          <w:rFonts w:hint="eastAsia" w:ascii="方正楷体_GBK" w:eastAsia="方正楷体_GBK" w:cs="仿宋_GB2312"/>
          <w:b w:val="0"/>
          <w:bCs w:val="0"/>
          <w:sz w:val="32"/>
          <w:szCs w:val="32"/>
          <w:lang w:bidi="ar-SA"/>
        </w:rPr>
        <w:t>（二）机构职能</w:t>
      </w:r>
      <w:bookmarkEnd w:id="180"/>
      <w:bookmarkEnd w:id="181"/>
    </w:p>
    <w:p w14:paraId="47985E65">
      <w:pPr>
        <w:pStyle w:val="4"/>
        <w:overflowPunct w:val="0"/>
        <w:adjustRightInd w:val="0"/>
        <w:snapToGrid w:val="0"/>
        <w:spacing w:before="93" w:line="576" w:lineRule="exact"/>
        <w:ind w:left="0" w:firstLine="640" w:firstLineChars="200"/>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 xml:space="preserve">1. </w:t>
      </w:r>
      <w:r>
        <w:rPr>
          <w:rFonts w:hint="eastAsia" w:ascii="仿宋_GB2312" w:hAnsi="仿宋_GB2312" w:eastAsia="仿宋_GB2312" w:cs="仿宋_GB2312"/>
          <w:bCs/>
          <w:sz w:val="32"/>
          <w:szCs w:val="32"/>
          <w:lang w:bidi="ar-SA"/>
        </w:rPr>
        <w:t>贯彻执行国家、省、州、县关于司法行政工作的方针、政策和法律、法规及规章，制订司法行政规范性文件和工作发展规划、工作计划并组织实施。</w:t>
      </w:r>
    </w:p>
    <w:p w14:paraId="6CFF18D3">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sz w:val="32"/>
          <w:szCs w:val="32"/>
          <w:lang w:val="en-US" w:eastAsia="zh-CN" w:bidi="ar-SA"/>
        </w:rPr>
        <w:t>2.按照县委全面依法治县委员会要求，贯彻落实依法治县决策部署。承担全面依法治县重大问题的政策研究，协调有关方面提出全面依法治县规划建议，负责重大决策部署督察工作。</w:t>
      </w:r>
    </w:p>
    <w:p w14:paraId="2BA585E6">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3.负责县政府规范性文件、重大行政决策发布前的合法性审查。承办县政府规范性文件报送备案工作。负责各乡（镇）人民政府和县政府各部门规范性文件报送县政府的备案审查工作。组织开展规范性文件清理。</w:t>
      </w:r>
    </w:p>
    <w:p w14:paraId="23641BFC">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4.承担统筹推进法治政府建设的责任。指导监督县政府各部门、各乡（镇）人民政府依法行政工作。负责综合协调、监督检查行政执法，承担推进行政执法体制改革有关工作，推进严格规范公正文明执法。指导监督全县行政复议、行政应诉和行政赔偿工作，承办向县政府申请的行政复议、行政赔偿案件，代理县政府行政应诉案件。</w:t>
      </w:r>
    </w:p>
    <w:p w14:paraId="306DEF79">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sz w:val="32"/>
          <w:szCs w:val="32"/>
          <w:lang w:val="en-US" w:eastAsia="zh-CN" w:bidi="ar-SA"/>
        </w:rPr>
        <w:t>5.负责拟定法治宣传教育规划，组织实施普法宣传工作，指导全县各行业的法治宣传和依法治理工作。</w:t>
      </w:r>
    </w:p>
    <w:p w14:paraId="33950612">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6.负责拟定全县公共法律服务体系建设规划并指导实施。指导、监督全县律师、公证、法律援助工作。</w:t>
      </w:r>
    </w:p>
    <w:p w14:paraId="24D1906B">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7.指导、监督基层司法所建设和人民调解、基层法律服务管理工作。指导人民陪审员、人民监督员选任管理工作。</w:t>
      </w:r>
    </w:p>
    <w:p w14:paraId="333EAA48">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8.指导管理社区矫正工作。指导刑满释放人员帮教安置工作。</w:t>
      </w:r>
      <w:r>
        <w:rPr>
          <w:rFonts w:hint="eastAsia" w:ascii="仿宋_GB2312" w:hAnsi="仿宋_GB2312" w:eastAsia="仿宋_GB2312" w:cs="仿宋_GB2312"/>
          <w:bCs/>
          <w:sz w:val="32"/>
          <w:szCs w:val="32"/>
          <w:lang w:bidi="ar-SA"/>
        </w:rPr>
        <w:t>主管司法鉴定机构和司法鉴定人的管理、审查登记工作。</w:t>
      </w:r>
    </w:p>
    <w:p w14:paraId="0EF65731">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9.协助上级主管部门开展国家司法考试、司法鉴定工作。</w:t>
      </w:r>
    </w:p>
    <w:p w14:paraId="1F85D1A7">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10.</w:t>
      </w:r>
      <w:r>
        <w:rPr>
          <w:rFonts w:hint="eastAsia" w:ascii="仿宋_GB2312" w:hAnsi="仿宋_GB2312" w:eastAsia="仿宋_GB2312" w:cs="仿宋_GB2312"/>
          <w:bCs/>
          <w:sz w:val="32"/>
          <w:szCs w:val="32"/>
          <w:lang w:bidi="ar-SA"/>
        </w:rPr>
        <w:t>指导管理全县司法行政系统的计划、财务、车辆、服装等物资装备工作。</w:t>
      </w:r>
    </w:p>
    <w:p w14:paraId="19C1E4A6">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val="en-US" w:eastAsia="zh-CN" w:bidi="ar-SA"/>
        </w:rPr>
        <w:t>11.</w:t>
      </w:r>
      <w:r>
        <w:rPr>
          <w:rFonts w:hint="eastAsia" w:ascii="仿宋_GB2312" w:hAnsi="仿宋_GB2312" w:eastAsia="仿宋_GB2312" w:cs="仿宋_GB2312"/>
          <w:bCs/>
          <w:sz w:val="32"/>
          <w:szCs w:val="32"/>
          <w:lang w:bidi="ar-SA"/>
        </w:rPr>
        <w:t>指导、监督全县司法行政系统队伍建设和思想政治工作，负责本系统人事警务和干警培训工作。</w:t>
      </w:r>
    </w:p>
    <w:p w14:paraId="46512DB0">
      <w:pPr>
        <w:pStyle w:val="4"/>
        <w:overflowPunct w:val="0"/>
        <w:adjustRightInd w:val="0"/>
        <w:snapToGrid w:val="0"/>
        <w:spacing w:before="93" w:line="576" w:lineRule="exact"/>
        <w:ind w:firstLine="668" w:firstLineChars="209"/>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sz w:val="32"/>
          <w:szCs w:val="32"/>
          <w:lang w:val="en-US" w:eastAsia="zh-CN" w:bidi="ar-SA"/>
        </w:rPr>
        <w:t>12.完成县委、县政府交办的其他任务。</w:t>
      </w:r>
    </w:p>
    <w:p w14:paraId="724188BE">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bidi="ar-SA"/>
        </w:rPr>
      </w:pPr>
      <w:bookmarkStart w:id="182" w:name="_Toc27711"/>
      <w:bookmarkStart w:id="183" w:name="_Toc28031"/>
      <w:r>
        <w:rPr>
          <w:rFonts w:hint="eastAsia" w:ascii="方正楷体_GBK" w:eastAsia="方正楷体_GBK" w:cs="仿宋_GB2312"/>
          <w:b w:val="0"/>
          <w:bCs w:val="0"/>
          <w:sz w:val="32"/>
          <w:szCs w:val="32"/>
          <w:lang w:val="en-US" w:eastAsia="zh-CN" w:bidi="ar-SA"/>
        </w:rPr>
        <w:t>(三)</w:t>
      </w:r>
      <w:r>
        <w:rPr>
          <w:rFonts w:hint="eastAsia" w:ascii="方正楷体_GBK" w:eastAsia="方正楷体_GBK" w:cs="仿宋_GB2312"/>
          <w:b w:val="0"/>
          <w:bCs w:val="0"/>
          <w:sz w:val="32"/>
          <w:szCs w:val="32"/>
          <w:lang w:bidi="ar-SA"/>
        </w:rPr>
        <w:t>人员概况</w:t>
      </w:r>
      <w:bookmarkEnd w:id="182"/>
      <w:bookmarkEnd w:id="183"/>
    </w:p>
    <w:p w14:paraId="17B90633">
      <w:pPr>
        <w:overflowPunct w:val="0"/>
        <w:spacing w:line="576" w:lineRule="exact"/>
        <w:ind w:left="0"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截至2025年底我单位共有编制35个，其中公务员编制28个，行政工勤编制2个，事业编制5个，在职33人，其中公务员28人，事业5人，工勤2人。</w:t>
      </w:r>
    </w:p>
    <w:p w14:paraId="6855886C">
      <w:pPr>
        <w:overflowPunct w:val="0"/>
        <w:spacing w:line="576" w:lineRule="exact"/>
        <w:ind w:firstLine="640" w:firstLineChars="200"/>
        <w:jc w:val="left"/>
        <w:outlineLvl w:val="1"/>
        <w:rPr>
          <w:rFonts w:hint="eastAsia" w:ascii="方正黑体_GBK" w:eastAsia="方正黑体_GBK" w:cs="黑体"/>
          <w:bCs/>
          <w:sz w:val="32"/>
          <w:szCs w:val="32"/>
          <w:lang w:bidi="ar-SA"/>
        </w:rPr>
      </w:pPr>
      <w:bookmarkStart w:id="184" w:name="_Toc9480"/>
      <w:bookmarkStart w:id="185" w:name="_Toc680"/>
      <w:r>
        <w:rPr>
          <w:rFonts w:hint="eastAsia" w:ascii="方正黑体_GBK" w:eastAsia="方正黑体_GBK" w:cs="黑体"/>
          <w:bCs/>
          <w:sz w:val="32"/>
          <w:szCs w:val="32"/>
          <w:lang w:bidi="ar-SA"/>
        </w:rPr>
        <w:t>二、部门财政资金收支情况</w:t>
      </w:r>
      <w:bookmarkEnd w:id="184"/>
      <w:bookmarkEnd w:id="185"/>
    </w:p>
    <w:p w14:paraId="696B6FB5">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bidi="ar-SA"/>
        </w:rPr>
      </w:pPr>
      <w:bookmarkStart w:id="186" w:name="_Toc23808"/>
      <w:bookmarkStart w:id="187" w:name="_Toc21282"/>
      <w:r>
        <w:rPr>
          <w:rFonts w:hint="eastAsia" w:ascii="方正楷体_GBK" w:eastAsia="方正楷体_GBK" w:cs="仿宋_GB2312"/>
          <w:b w:val="0"/>
          <w:bCs w:val="0"/>
          <w:sz w:val="32"/>
          <w:szCs w:val="32"/>
          <w:lang w:bidi="ar-SA"/>
        </w:rPr>
        <w:t>(一)部门财政资金收入情况</w:t>
      </w:r>
      <w:bookmarkEnd w:id="186"/>
      <w:bookmarkEnd w:id="187"/>
    </w:p>
    <w:p w14:paraId="72F4C79F">
      <w:pPr>
        <w:overflowPunct w:val="0"/>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年本年收入合计</w:t>
      </w:r>
      <w:r>
        <w:rPr>
          <w:rFonts w:hint="eastAsia" w:ascii="仿宋_GB2312" w:hAnsi="仿宋_GB2312" w:eastAsia="仿宋_GB2312" w:cs="仿宋_GB2312"/>
          <w:color w:val="000000"/>
          <w:sz w:val="32"/>
          <w:szCs w:val="32"/>
          <w:lang w:val="en-US" w:eastAsia="zh-CN"/>
        </w:rPr>
        <w:t>11270866.34</w:t>
      </w:r>
      <w:r>
        <w:rPr>
          <w:rFonts w:hint="eastAsia" w:ascii="仿宋_GB2312" w:hAnsi="仿宋_GB2312" w:eastAsia="仿宋_GB2312" w:cs="仿宋_GB2312"/>
          <w:color w:val="000000"/>
          <w:sz w:val="32"/>
          <w:szCs w:val="32"/>
        </w:rPr>
        <w:t>元，其中：一般公共预算</w:t>
      </w:r>
      <w:r>
        <w:rPr>
          <w:rFonts w:hint="eastAsia" w:ascii="仿宋_GB2312" w:hAnsi="仿宋_GB2312" w:eastAsia="仿宋_GB2312" w:cs="仿宋_GB2312"/>
          <w:color w:val="000000"/>
          <w:sz w:val="32"/>
          <w:szCs w:val="32"/>
          <w:lang w:eastAsia="zh-CN"/>
        </w:rPr>
        <w:t>基本支出</w:t>
      </w:r>
      <w:r>
        <w:rPr>
          <w:rFonts w:hint="eastAsia" w:ascii="仿宋_GB2312" w:hAnsi="仿宋_GB2312" w:eastAsia="仿宋_GB2312" w:cs="仿宋_GB2312"/>
          <w:color w:val="000000"/>
          <w:sz w:val="32"/>
          <w:szCs w:val="32"/>
        </w:rPr>
        <w:t>拨款收入</w:t>
      </w:r>
      <w:r>
        <w:rPr>
          <w:rFonts w:hint="eastAsia" w:ascii="仿宋_GB2312" w:hAnsi="仿宋_GB2312" w:eastAsia="仿宋_GB2312" w:cs="仿宋_GB2312"/>
          <w:color w:val="000000"/>
          <w:sz w:val="32"/>
          <w:szCs w:val="32"/>
          <w:lang w:val="en-US" w:eastAsia="zh-CN"/>
        </w:rPr>
        <w:t>10080960.89</w:t>
      </w:r>
      <w:r>
        <w:rPr>
          <w:rFonts w:hint="eastAsia" w:ascii="仿宋_GB2312" w:hAnsi="仿宋_GB2312" w:eastAsia="仿宋_GB2312" w:cs="仿宋_GB2312"/>
          <w:color w:val="000000"/>
          <w:sz w:val="32"/>
          <w:szCs w:val="32"/>
        </w:rPr>
        <w:t>元，占</w:t>
      </w:r>
      <w:r>
        <w:rPr>
          <w:rFonts w:hint="eastAsia" w:ascii="仿宋_GB2312" w:hAnsi="仿宋_GB2312" w:eastAsia="仿宋_GB2312" w:cs="仿宋_GB2312"/>
          <w:color w:val="000000"/>
          <w:sz w:val="32"/>
          <w:szCs w:val="32"/>
          <w:lang w:val="en-US" w:eastAsia="zh-CN"/>
        </w:rPr>
        <w:t>89.44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项目支出拨款收入</w:t>
      </w:r>
      <w:r>
        <w:rPr>
          <w:rFonts w:hint="eastAsia" w:ascii="仿宋_GB2312" w:hAnsi="仿宋_GB2312" w:eastAsia="仿宋_GB2312" w:cs="仿宋_GB2312"/>
          <w:color w:val="000000"/>
          <w:sz w:val="32"/>
          <w:szCs w:val="32"/>
          <w:lang w:val="en-US" w:eastAsia="zh-CN"/>
        </w:rPr>
        <w:t>1189905.45元，占10.56%</w:t>
      </w:r>
      <w:r>
        <w:rPr>
          <w:rFonts w:hint="eastAsia" w:ascii="仿宋_GB2312" w:hAnsi="仿宋_GB2312" w:eastAsia="仿宋_GB2312" w:cs="仿宋_GB2312"/>
          <w:color w:val="000000"/>
          <w:sz w:val="32"/>
          <w:szCs w:val="32"/>
        </w:rPr>
        <w:t>。</w:t>
      </w:r>
    </w:p>
    <w:p w14:paraId="2725B405">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bidi="ar-SA"/>
        </w:rPr>
      </w:pPr>
      <w:bookmarkStart w:id="188" w:name="_Toc18369"/>
      <w:bookmarkStart w:id="189" w:name="_Toc11539"/>
      <w:r>
        <w:rPr>
          <w:rFonts w:hint="eastAsia" w:ascii="方正楷体_GBK" w:eastAsia="方正楷体_GBK" w:cs="仿宋_GB2312"/>
          <w:b w:val="0"/>
          <w:bCs w:val="0"/>
          <w:sz w:val="32"/>
          <w:szCs w:val="32"/>
          <w:lang w:bidi="ar-SA"/>
        </w:rPr>
        <w:t>（二）部门财政资金支出情况</w:t>
      </w:r>
      <w:bookmarkEnd w:id="188"/>
      <w:bookmarkEnd w:id="189"/>
    </w:p>
    <w:p w14:paraId="2D7486E9">
      <w:pPr>
        <w:overflowPunct w:val="0"/>
        <w:spacing w:line="576" w:lineRule="exact"/>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年本年支出合计</w:t>
      </w:r>
      <w:r>
        <w:rPr>
          <w:rFonts w:hint="eastAsia" w:ascii="仿宋_GB2312" w:hAnsi="仿宋_GB2312" w:eastAsia="仿宋_GB2312" w:cs="仿宋_GB2312"/>
          <w:color w:val="000000"/>
          <w:sz w:val="32"/>
          <w:szCs w:val="32"/>
          <w:lang w:val="en-US" w:eastAsia="zh-CN"/>
        </w:rPr>
        <w:t>111270866.34</w:t>
      </w:r>
      <w:r>
        <w:rPr>
          <w:rFonts w:hint="eastAsia" w:ascii="仿宋_GB2312" w:hAnsi="仿宋_GB2312" w:eastAsia="仿宋_GB2312" w:cs="仿宋_GB2312"/>
          <w:color w:val="000000"/>
          <w:sz w:val="32"/>
          <w:szCs w:val="32"/>
        </w:rPr>
        <w:t>元，其中：基本支出</w:t>
      </w:r>
      <w:r>
        <w:rPr>
          <w:rFonts w:hint="eastAsia" w:ascii="仿宋_GB2312" w:hAnsi="仿宋_GB2312" w:eastAsia="仿宋_GB2312" w:cs="仿宋_GB2312"/>
          <w:color w:val="000000"/>
          <w:sz w:val="32"/>
          <w:szCs w:val="32"/>
          <w:lang w:val="en-US" w:eastAsia="zh-CN"/>
        </w:rPr>
        <w:t>10080960.89</w:t>
      </w:r>
      <w:r>
        <w:rPr>
          <w:rFonts w:hint="eastAsia" w:ascii="仿宋_GB2312" w:hAnsi="仿宋_GB2312" w:eastAsia="仿宋_GB2312" w:cs="仿宋_GB2312"/>
          <w:color w:val="000000"/>
          <w:sz w:val="32"/>
          <w:szCs w:val="32"/>
        </w:rPr>
        <w:t>元，占</w:t>
      </w:r>
      <w:r>
        <w:rPr>
          <w:rFonts w:hint="eastAsia" w:ascii="仿宋_GB2312" w:hAnsi="仿宋_GB2312" w:eastAsia="仿宋_GB2312" w:cs="仿宋_GB2312"/>
          <w:color w:val="000000"/>
          <w:sz w:val="32"/>
          <w:szCs w:val="32"/>
          <w:lang w:val="en-US" w:eastAsia="zh-CN"/>
        </w:rPr>
        <w:t>89.44</w:t>
      </w:r>
      <w:r>
        <w:rPr>
          <w:rFonts w:hint="eastAsia" w:ascii="仿宋_GB2312" w:hAnsi="仿宋_GB2312" w:eastAsia="仿宋_GB2312" w:cs="仿宋_GB2312"/>
          <w:color w:val="000000"/>
          <w:sz w:val="32"/>
          <w:szCs w:val="32"/>
        </w:rPr>
        <w:t>%；项目支出</w:t>
      </w:r>
      <w:r>
        <w:rPr>
          <w:rFonts w:hint="eastAsia" w:ascii="仿宋_GB2312" w:hAnsi="仿宋_GB2312" w:eastAsia="仿宋_GB2312" w:cs="仿宋_GB2312"/>
          <w:color w:val="000000"/>
          <w:sz w:val="32"/>
          <w:szCs w:val="32"/>
          <w:lang w:val="en-US" w:eastAsia="zh-CN"/>
        </w:rPr>
        <w:t>1189905.45元，占10.56%</w:t>
      </w:r>
      <w:r>
        <w:rPr>
          <w:rFonts w:hint="eastAsia" w:ascii="仿宋_GB2312" w:hAnsi="仿宋_GB2312" w:eastAsia="仿宋_GB2312" w:cs="仿宋_GB2312"/>
          <w:color w:val="000000"/>
          <w:sz w:val="32"/>
          <w:szCs w:val="32"/>
        </w:rPr>
        <w:t>。</w:t>
      </w:r>
    </w:p>
    <w:p w14:paraId="2E43A484">
      <w:pPr>
        <w:overflowPunct w:val="0"/>
        <w:spacing w:line="576" w:lineRule="exact"/>
        <w:ind w:firstLine="645"/>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年度一般公共预算财政拨款基本支出</w:t>
      </w:r>
      <w:r>
        <w:rPr>
          <w:rFonts w:hint="eastAsia" w:ascii="仿宋_GB2312" w:hAnsi="仿宋_GB2312" w:eastAsia="仿宋_GB2312" w:cs="仿宋_GB2312"/>
          <w:color w:val="000000"/>
          <w:sz w:val="32"/>
          <w:szCs w:val="32"/>
          <w:lang w:val="en-US" w:eastAsia="zh-CN"/>
        </w:rPr>
        <w:t>111270866.34</w:t>
      </w:r>
      <w:r>
        <w:rPr>
          <w:rFonts w:hint="eastAsia" w:ascii="仿宋_GB2312" w:hAnsi="仿宋_GB2312" w:eastAsia="仿宋_GB2312" w:cs="仿宋_GB2312"/>
          <w:color w:val="000000"/>
          <w:sz w:val="32"/>
          <w:szCs w:val="32"/>
        </w:rPr>
        <w:t>元，其中：人员经费</w:t>
      </w:r>
      <w:r>
        <w:rPr>
          <w:rFonts w:hint="eastAsia" w:ascii="仿宋_GB2312" w:hAnsi="仿宋_GB2312" w:eastAsia="仿宋_GB2312" w:cs="仿宋_GB2312"/>
          <w:color w:val="000000"/>
          <w:sz w:val="32"/>
          <w:szCs w:val="32"/>
          <w:lang w:val="en-US" w:eastAsia="zh-CN"/>
        </w:rPr>
        <w:t>9312608.18</w:t>
      </w:r>
      <w:r>
        <w:rPr>
          <w:rFonts w:hint="eastAsia" w:ascii="仿宋_GB2312" w:hAnsi="仿宋_GB2312" w:eastAsia="仿宋_GB2312" w:cs="仿宋_GB2312"/>
          <w:color w:val="000000"/>
          <w:sz w:val="32"/>
          <w:szCs w:val="32"/>
        </w:rPr>
        <w:t>元，包括：基本工资</w:t>
      </w:r>
      <w:r>
        <w:rPr>
          <w:rFonts w:hint="eastAsia" w:ascii="仿宋_GB2312" w:hAnsi="仿宋_GB2312" w:eastAsia="仿宋_GB2312" w:cs="仿宋_GB2312"/>
          <w:color w:val="000000"/>
          <w:sz w:val="32"/>
          <w:szCs w:val="32"/>
          <w:lang w:val="en-US" w:eastAsia="zh-CN"/>
        </w:rPr>
        <w:t>1669589.00</w:t>
      </w:r>
      <w:r>
        <w:rPr>
          <w:rFonts w:hint="eastAsia" w:ascii="仿宋_GB2312" w:hAnsi="仿宋_GB2312" w:eastAsia="仿宋_GB2312" w:cs="仿宋_GB2312"/>
          <w:color w:val="000000"/>
          <w:sz w:val="32"/>
          <w:szCs w:val="32"/>
        </w:rPr>
        <w:t>元、津贴补贴</w:t>
      </w:r>
      <w:r>
        <w:rPr>
          <w:rFonts w:hint="eastAsia" w:ascii="仿宋_GB2312" w:hAnsi="仿宋_GB2312" w:eastAsia="仿宋_GB2312" w:cs="仿宋_GB2312"/>
          <w:color w:val="000000"/>
          <w:sz w:val="32"/>
          <w:szCs w:val="32"/>
          <w:lang w:val="en-US" w:eastAsia="zh-CN"/>
        </w:rPr>
        <w:t>2724431.80</w:t>
      </w:r>
      <w:r>
        <w:rPr>
          <w:rFonts w:hint="eastAsia" w:ascii="仿宋_GB2312" w:hAnsi="仿宋_GB2312" w:eastAsia="仿宋_GB2312" w:cs="仿宋_GB2312"/>
          <w:color w:val="000000"/>
          <w:sz w:val="32"/>
          <w:szCs w:val="32"/>
        </w:rPr>
        <w:t>元、奖金</w:t>
      </w:r>
      <w:r>
        <w:rPr>
          <w:rFonts w:hint="eastAsia" w:ascii="仿宋_GB2312" w:hAnsi="仿宋_GB2312" w:eastAsia="仿宋_GB2312" w:cs="仿宋_GB2312"/>
          <w:color w:val="000000"/>
          <w:sz w:val="32"/>
          <w:szCs w:val="32"/>
          <w:lang w:val="en-US" w:eastAsia="zh-CN"/>
        </w:rPr>
        <w:t>1821739.68</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绩效工资</w:t>
      </w:r>
      <w:r>
        <w:rPr>
          <w:rFonts w:hint="eastAsia" w:ascii="仿宋_GB2312" w:hAnsi="仿宋_GB2312" w:eastAsia="仿宋_GB2312" w:cs="仿宋_GB2312"/>
          <w:color w:val="000000"/>
          <w:sz w:val="32"/>
          <w:szCs w:val="32"/>
          <w:lang w:val="en-US" w:eastAsia="zh-CN"/>
        </w:rPr>
        <w:t>150192.00元、</w:t>
      </w:r>
      <w:r>
        <w:rPr>
          <w:rFonts w:hint="eastAsia" w:ascii="仿宋_GB2312" w:hAnsi="仿宋_GB2312" w:eastAsia="仿宋_GB2312" w:cs="仿宋_GB2312"/>
          <w:color w:val="000000"/>
          <w:sz w:val="32"/>
          <w:szCs w:val="32"/>
        </w:rPr>
        <w:t>机关事业单位基本养老保险缴费</w:t>
      </w:r>
      <w:r>
        <w:rPr>
          <w:rFonts w:hint="eastAsia" w:ascii="仿宋_GB2312" w:hAnsi="仿宋_GB2312" w:eastAsia="仿宋_GB2312" w:cs="仿宋_GB2312"/>
          <w:color w:val="000000"/>
          <w:sz w:val="32"/>
          <w:szCs w:val="32"/>
          <w:lang w:val="en-US" w:eastAsia="zh-CN"/>
        </w:rPr>
        <w:t>849577.28</w:t>
      </w:r>
      <w:r>
        <w:rPr>
          <w:rFonts w:hint="eastAsia" w:ascii="仿宋_GB2312" w:hAnsi="仿宋_GB2312" w:eastAsia="仿宋_GB2312" w:cs="仿宋_GB2312"/>
          <w:color w:val="000000"/>
          <w:sz w:val="32"/>
          <w:szCs w:val="32"/>
        </w:rPr>
        <w:t>元、职业年金缴费</w:t>
      </w:r>
      <w:r>
        <w:rPr>
          <w:rFonts w:hint="eastAsia" w:ascii="仿宋_GB2312" w:hAnsi="仿宋_GB2312" w:eastAsia="仿宋_GB2312" w:cs="仿宋_GB2312"/>
          <w:color w:val="000000"/>
          <w:sz w:val="32"/>
          <w:szCs w:val="32"/>
          <w:lang w:val="en-US" w:eastAsia="zh-CN"/>
        </w:rPr>
        <w:t>424788.64</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职工基本医疗保险缴费</w:t>
      </w:r>
      <w:r>
        <w:rPr>
          <w:rFonts w:hint="eastAsia" w:ascii="仿宋_GB2312" w:hAnsi="仿宋_GB2312" w:eastAsia="仿宋_GB2312" w:cs="仿宋_GB2312"/>
          <w:color w:val="000000"/>
          <w:sz w:val="32"/>
          <w:szCs w:val="32"/>
          <w:lang w:val="en-US" w:eastAsia="zh-CN"/>
        </w:rPr>
        <w:t>418477.57元、公务员医疗补助缴费81957.10元、</w:t>
      </w:r>
      <w:r>
        <w:rPr>
          <w:rFonts w:hint="eastAsia" w:ascii="仿宋_GB2312" w:hAnsi="仿宋_GB2312" w:eastAsia="仿宋_GB2312" w:cs="仿宋_GB2312"/>
          <w:color w:val="000000"/>
          <w:sz w:val="32"/>
          <w:szCs w:val="32"/>
        </w:rPr>
        <w:t>其他社会保障缴费</w:t>
      </w:r>
      <w:r>
        <w:rPr>
          <w:rFonts w:hint="eastAsia" w:ascii="仿宋_GB2312" w:hAnsi="仿宋_GB2312" w:eastAsia="仿宋_GB2312" w:cs="仿宋_GB2312"/>
          <w:color w:val="000000"/>
          <w:sz w:val="32"/>
          <w:szCs w:val="32"/>
          <w:lang w:val="en-US" w:eastAsia="zh-CN"/>
        </w:rPr>
        <w:t>15772.23元</w:t>
      </w:r>
      <w:r>
        <w:rPr>
          <w:rFonts w:hint="eastAsia" w:ascii="仿宋_GB2312" w:hAnsi="仿宋_GB2312" w:eastAsia="仿宋_GB2312" w:cs="仿宋_GB2312"/>
          <w:color w:val="000000"/>
          <w:sz w:val="32"/>
          <w:szCs w:val="32"/>
        </w:rPr>
        <w:t>、医疗费</w:t>
      </w:r>
      <w:r>
        <w:rPr>
          <w:rFonts w:hint="eastAsia" w:ascii="仿宋_GB2312" w:hAnsi="仿宋_GB2312" w:eastAsia="仿宋_GB2312" w:cs="仿宋_GB2312"/>
          <w:color w:val="000000"/>
          <w:sz w:val="32"/>
          <w:szCs w:val="32"/>
          <w:lang w:val="en-US" w:eastAsia="zh-CN"/>
        </w:rPr>
        <w:t>74566.50</w:t>
      </w:r>
      <w:r>
        <w:rPr>
          <w:rFonts w:hint="eastAsia" w:ascii="仿宋_GB2312" w:hAnsi="仿宋_GB2312" w:eastAsia="仿宋_GB2312" w:cs="仿宋_GB2312"/>
          <w:color w:val="000000"/>
          <w:sz w:val="32"/>
          <w:szCs w:val="32"/>
        </w:rPr>
        <w:t>元</w:t>
      </w:r>
      <w:r>
        <w:rPr>
          <w:rFonts w:hint="eastAsia" w:ascii="方正仿宋_GBK" w:eastAsia="方正仿宋_GBK"/>
          <w:color w:val="000000"/>
          <w:sz w:val="32"/>
          <w:szCs w:val="32"/>
        </w:rPr>
        <w:t>、</w:t>
      </w:r>
      <w:r>
        <w:rPr>
          <w:rFonts w:hint="eastAsia" w:ascii="仿宋_GB2312" w:hAnsi="仿宋_GB2312" w:eastAsia="仿宋_GB2312" w:cs="仿宋_GB2312"/>
          <w:color w:val="000000"/>
          <w:sz w:val="32"/>
          <w:szCs w:val="32"/>
          <w:lang w:eastAsia="zh-CN"/>
        </w:rPr>
        <w:t>生活补助</w:t>
      </w:r>
      <w:r>
        <w:rPr>
          <w:rFonts w:hint="eastAsia" w:ascii="仿宋_GB2312" w:hAnsi="仿宋_GB2312" w:eastAsia="仿宋_GB2312" w:cs="仿宋_GB2312"/>
          <w:color w:val="000000"/>
          <w:sz w:val="32"/>
          <w:szCs w:val="32"/>
          <w:lang w:val="en-US" w:eastAsia="zh-CN"/>
        </w:rPr>
        <w:t>131284.56元、</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val="en-US" w:eastAsia="zh-CN"/>
        </w:rPr>
        <w:t>743436.00</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、其他工资福利支出</w:t>
      </w:r>
      <w:r>
        <w:rPr>
          <w:rFonts w:hint="eastAsia" w:ascii="仿宋_GB2312" w:hAnsi="仿宋_GB2312" w:eastAsia="仿宋_GB2312" w:cs="仿宋_GB2312"/>
          <w:color w:val="000000"/>
          <w:sz w:val="32"/>
          <w:szCs w:val="32"/>
          <w:lang w:val="en-US" w:eastAsia="zh-CN"/>
        </w:rPr>
        <w:t>188761.32元、对个人和家庭的补助149319.06元、医疗费补助18034.50元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szCs w:val="32"/>
          <w:lang w:val="en-US" w:eastAsia="zh-CN"/>
        </w:rPr>
        <w:t>768352.71</w:t>
      </w:r>
      <w:r>
        <w:rPr>
          <w:rFonts w:hint="eastAsia" w:ascii="仿宋_GB2312" w:hAnsi="仿宋_GB2312" w:eastAsia="仿宋_GB2312" w:cs="仿宋_GB2312"/>
          <w:color w:val="000000"/>
          <w:sz w:val="32"/>
          <w:szCs w:val="32"/>
        </w:rPr>
        <w:t>元，包括：办公费</w:t>
      </w:r>
      <w:r>
        <w:rPr>
          <w:rFonts w:hint="eastAsia" w:ascii="仿宋_GB2312" w:hAnsi="仿宋_GB2312" w:eastAsia="仿宋_GB2312" w:cs="仿宋_GB2312"/>
          <w:color w:val="000000"/>
          <w:sz w:val="32"/>
          <w:szCs w:val="32"/>
          <w:lang w:val="en-US" w:eastAsia="zh-CN"/>
        </w:rPr>
        <w:t>117937.80</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印刷费</w:t>
      </w:r>
      <w:r>
        <w:rPr>
          <w:rFonts w:hint="eastAsia" w:ascii="仿宋_GB2312" w:hAnsi="仿宋_GB2312" w:eastAsia="仿宋_GB2312" w:cs="仿宋_GB2312"/>
          <w:color w:val="000000"/>
          <w:sz w:val="32"/>
          <w:szCs w:val="32"/>
          <w:lang w:val="en-US" w:eastAsia="zh-CN"/>
        </w:rPr>
        <w:t>37286.50元、手续费150.00元、</w:t>
      </w:r>
      <w:r>
        <w:rPr>
          <w:rFonts w:hint="eastAsia" w:ascii="仿宋_GB2312" w:hAnsi="仿宋_GB2312" w:eastAsia="仿宋_GB2312" w:cs="仿宋_GB2312"/>
          <w:color w:val="000000"/>
          <w:sz w:val="32"/>
          <w:szCs w:val="32"/>
          <w:lang w:eastAsia="zh-CN"/>
        </w:rPr>
        <w:t>水费</w:t>
      </w:r>
      <w:r>
        <w:rPr>
          <w:rFonts w:hint="eastAsia" w:ascii="仿宋_GB2312" w:hAnsi="仿宋_GB2312" w:eastAsia="仿宋_GB2312" w:cs="仿宋_GB2312"/>
          <w:color w:val="000000"/>
          <w:sz w:val="32"/>
          <w:szCs w:val="32"/>
          <w:lang w:val="en-US" w:eastAsia="zh-CN"/>
        </w:rPr>
        <w:t>3150.00元、</w:t>
      </w:r>
      <w:r>
        <w:rPr>
          <w:rFonts w:hint="eastAsia" w:ascii="仿宋_GB2312" w:hAnsi="仿宋_GB2312" w:eastAsia="仿宋_GB2312" w:cs="仿宋_GB2312"/>
          <w:color w:val="000000"/>
          <w:sz w:val="32"/>
          <w:szCs w:val="32"/>
        </w:rPr>
        <w:t>电费</w:t>
      </w:r>
      <w:r>
        <w:rPr>
          <w:rFonts w:hint="eastAsia" w:ascii="仿宋_GB2312" w:hAnsi="仿宋_GB2312" w:eastAsia="仿宋_GB2312" w:cs="仿宋_GB2312"/>
          <w:color w:val="000000"/>
          <w:sz w:val="32"/>
          <w:szCs w:val="32"/>
          <w:lang w:val="en-US" w:eastAsia="zh-CN"/>
        </w:rPr>
        <w:t>43183.84</w:t>
      </w:r>
      <w:r>
        <w:rPr>
          <w:rFonts w:hint="eastAsia" w:ascii="仿宋_GB2312" w:hAnsi="仿宋_GB2312" w:eastAsia="仿宋_GB2312" w:cs="仿宋_GB2312"/>
          <w:color w:val="000000"/>
          <w:sz w:val="32"/>
          <w:szCs w:val="32"/>
        </w:rPr>
        <w:t>元、邮电费</w:t>
      </w:r>
      <w:r>
        <w:rPr>
          <w:rFonts w:hint="eastAsia" w:ascii="仿宋_GB2312" w:hAnsi="仿宋_GB2312" w:eastAsia="仿宋_GB2312" w:cs="仿宋_GB2312"/>
          <w:color w:val="000000"/>
          <w:sz w:val="32"/>
          <w:szCs w:val="32"/>
          <w:lang w:val="en-US" w:eastAsia="zh-CN"/>
        </w:rPr>
        <w:t>79228.00</w:t>
      </w:r>
      <w:r>
        <w:rPr>
          <w:rFonts w:hint="eastAsia" w:ascii="仿宋_GB2312" w:hAnsi="仿宋_GB2312" w:eastAsia="仿宋_GB2312" w:cs="仿宋_GB2312"/>
          <w:color w:val="000000"/>
          <w:sz w:val="32"/>
          <w:szCs w:val="32"/>
        </w:rPr>
        <w:t>元、取暖费</w:t>
      </w:r>
      <w:r>
        <w:rPr>
          <w:rFonts w:hint="eastAsia" w:ascii="仿宋_GB2312" w:hAnsi="仿宋_GB2312" w:eastAsia="仿宋_GB2312" w:cs="仿宋_GB2312"/>
          <w:color w:val="000000"/>
          <w:sz w:val="32"/>
          <w:szCs w:val="32"/>
          <w:lang w:val="en-US" w:eastAsia="zh-CN"/>
        </w:rPr>
        <w:t>32282.44</w:t>
      </w:r>
      <w:r>
        <w:rPr>
          <w:rFonts w:hint="eastAsia" w:ascii="仿宋_GB2312" w:hAnsi="仿宋_GB2312" w:eastAsia="仿宋_GB2312" w:cs="仿宋_GB2312"/>
          <w:color w:val="000000"/>
          <w:sz w:val="32"/>
          <w:szCs w:val="32"/>
        </w:rPr>
        <w:t>元、差旅费</w:t>
      </w:r>
      <w:r>
        <w:rPr>
          <w:rFonts w:hint="eastAsia" w:ascii="仿宋_GB2312" w:hAnsi="仿宋_GB2312" w:eastAsia="仿宋_GB2312" w:cs="仿宋_GB2312"/>
          <w:color w:val="000000"/>
          <w:sz w:val="32"/>
          <w:szCs w:val="32"/>
          <w:lang w:val="en-US" w:eastAsia="zh-CN"/>
        </w:rPr>
        <w:t>110270.00</w:t>
      </w:r>
      <w:r>
        <w:rPr>
          <w:rFonts w:hint="eastAsia" w:ascii="仿宋_GB2312" w:hAnsi="仿宋_GB2312" w:eastAsia="仿宋_GB2312" w:cs="仿宋_GB2312"/>
          <w:color w:val="000000"/>
          <w:sz w:val="32"/>
          <w:szCs w:val="32"/>
        </w:rPr>
        <w:t>元、培训费</w:t>
      </w:r>
      <w:r>
        <w:rPr>
          <w:rFonts w:hint="eastAsia" w:ascii="仿宋_GB2312" w:hAnsi="仿宋_GB2312" w:eastAsia="仿宋_GB2312" w:cs="仿宋_GB2312"/>
          <w:color w:val="000000"/>
          <w:sz w:val="32"/>
          <w:szCs w:val="32"/>
          <w:lang w:val="en-US" w:eastAsia="zh-CN"/>
        </w:rPr>
        <w:t>1300</w:t>
      </w:r>
      <w:r>
        <w:rPr>
          <w:rFonts w:hint="eastAsia" w:ascii="仿宋_GB2312" w:hAnsi="仿宋_GB2312" w:eastAsia="仿宋_GB2312" w:cs="仿宋_GB2312"/>
          <w:color w:val="000000"/>
          <w:sz w:val="32"/>
          <w:szCs w:val="32"/>
        </w:rPr>
        <w:t>元、公务接待费</w:t>
      </w:r>
      <w:r>
        <w:rPr>
          <w:rFonts w:hint="eastAsia" w:ascii="仿宋_GB2312" w:hAnsi="仿宋_GB2312" w:eastAsia="仿宋_GB2312" w:cs="仿宋_GB2312"/>
          <w:color w:val="000000"/>
          <w:sz w:val="32"/>
          <w:szCs w:val="32"/>
          <w:lang w:val="en-US" w:eastAsia="zh-CN"/>
        </w:rPr>
        <w:t>571.00</w:t>
      </w:r>
      <w:r>
        <w:rPr>
          <w:rFonts w:hint="eastAsia" w:ascii="仿宋_GB2312" w:hAnsi="仿宋_GB2312" w:eastAsia="仿宋_GB2312" w:cs="仿宋_GB2312"/>
          <w:color w:val="000000"/>
          <w:sz w:val="32"/>
          <w:szCs w:val="32"/>
        </w:rPr>
        <w:t>元、劳务费</w:t>
      </w:r>
      <w:r>
        <w:rPr>
          <w:rFonts w:hint="eastAsia" w:ascii="仿宋_GB2312" w:hAnsi="仿宋_GB2312" w:eastAsia="仿宋_GB2312" w:cs="仿宋_GB2312"/>
          <w:color w:val="000000"/>
          <w:sz w:val="32"/>
          <w:szCs w:val="32"/>
          <w:lang w:val="en-US" w:eastAsia="zh-CN"/>
        </w:rPr>
        <w:t>42900.00</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委托业务费</w:t>
      </w:r>
      <w:r>
        <w:rPr>
          <w:rFonts w:hint="eastAsia" w:ascii="仿宋_GB2312" w:hAnsi="仿宋_GB2312" w:eastAsia="仿宋_GB2312" w:cs="仿宋_GB2312"/>
          <w:color w:val="000000"/>
          <w:sz w:val="32"/>
          <w:szCs w:val="32"/>
          <w:lang w:val="en-US" w:eastAsia="zh-CN"/>
        </w:rPr>
        <w:t>33996.00元、</w:t>
      </w:r>
      <w:r>
        <w:rPr>
          <w:rFonts w:hint="eastAsia" w:ascii="仿宋_GB2312" w:hAnsi="仿宋_GB2312" w:eastAsia="仿宋_GB2312" w:cs="仿宋_GB2312"/>
          <w:color w:val="000000"/>
          <w:sz w:val="32"/>
          <w:szCs w:val="32"/>
          <w:lang w:eastAsia="zh-CN"/>
        </w:rPr>
        <w:t>工会经费</w:t>
      </w:r>
      <w:r>
        <w:rPr>
          <w:rFonts w:hint="eastAsia" w:ascii="仿宋_GB2312" w:hAnsi="仿宋_GB2312" w:eastAsia="仿宋_GB2312" w:cs="仿宋_GB2312"/>
          <w:color w:val="000000"/>
          <w:sz w:val="32"/>
          <w:szCs w:val="32"/>
          <w:lang w:val="en-US" w:eastAsia="zh-CN"/>
        </w:rPr>
        <w:t>65747.75元、福利费4400.00元、</w:t>
      </w:r>
      <w:r>
        <w:rPr>
          <w:rFonts w:hint="eastAsia" w:ascii="仿宋_GB2312" w:hAnsi="仿宋_GB2312" w:eastAsia="仿宋_GB2312" w:cs="仿宋_GB2312"/>
          <w:color w:val="000000"/>
          <w:sz w:val="32"/>
          <w:szCs w:val="32"/>
        </w:rPr>
        <w:t>公务用车运行维护费</w:t>
      </w:r>
      <w:r>
        <w:rPr>
          <w:rFonts w:hint="eastAsia" w:ascii="仿宋_GB2312" w:hAnsi="仿宋_GB2312" w:eastAsia="仿宋_GB2312" w:cs="仿宋_GB2312"/>
          <w:color w:val="000000"/>
          <w:sz w:val="32"/>
          <w:szCs w:val="32"/>
          <w:lang w:val="en-US" w:eastAsia="zh-CN"/>
        </w:rPr>
        <w:t>113257.48</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、其他商品和服务支出</w:t>
      </w:r>
      <w:r>
        <w:rPr>
          <w:rFonts w:hint="eastAsia" w:ascii="仿宋_GB2312" w:hAnsi="仿宋_GB2312" w:eastAsia="仿宋_GB2312" w:cs="仿宋_GB2312"/>
          <w:color w:val="000000"/>
          <w:sz w:val="32"/>
          <w:szCs w:val="32"/>
          <w:lang w:val="en-US" w:eastAsia="zh-CN"/>
        </w:rPr>
        <w:t>82691.90元。</w:t>
      </w:r>
    </w:p>
    <w:p w14:paraId="037F6BFE">
      <w:pPr>
        <w:overflowPunct w:val="0"/>
        <w:spacing w:line="576" w:lineRule="exact"/>
        <w:ind w:firstLine="645"/>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年度一般公共预算财政拨款项目支出</w:t>
      </w:r>
      <w:r>
        <w:rPr>
          <w:rFonts w:hint="eastAsia" w:ascii="仿宋_GB2312" w:hAnsi="仿宋_GB2312" w:eastAsia="仿宋_GB2312" w:cs="仿宋_GB2312"/>
          <w:color w:val="000000"/>
          <w:sz w:val="32"/>
          <w:szCs w:val="32"/>
          <w:lang w:val="en-US" w:eastAsia="zh-CN"/>
        </w:rPr>
        <w:t>1189905.45</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一般行政管理事务</w:t>
      </w:r>
      <w:r>
        <w:rPr>
          <w:rFonts w:hint="eastAsia" w:ascii="仿宋_GB2312" w:hAnsi="仿宋_GB2312" w:eastAsia="仿宋_GB2312" w:cs="仿宋_GB2312"/>
          <w:color w:val="000000"/>
          <w:sz w:val="32"/>
          <w:szCs w:val="32"/>
          <w:lang w:val="en-US" w:eastAsia="zh-CN"/>
        </w:rPr>
        <w:t>641905.70元、</w:t>
      </w:r>
      <w:r>
        <w:rPr>
          <w:rFonts w:hint="eastAsia" w:ascii="仿宋_GB2312" w:hAnsi="仿宋_GB2312" w:eastAsia="仿宋_GB2312" w:cs="仿宋_GB2312"/>
          <w:color w:val="000000"/>
          <w:sz w:val="32"/>
          <w:szCs w:val="32"/>
        </w:rPr>
        <w:t>普法宣传</w:t>
      </w:r>
      <w:r>
        <w:rPr>
          <w:rFonts w:hint="eastAsia" w:ascii="仿宋_GB2312" w:hAnsi="仿宋_GB2312" w:eastAsia="仿宋_GB2312" w:cs="仿宋_GB2312"/>
          <w:color w:val="000000"/>
          <w:sz w:val="32"/>
          <w:szCs w:val="32"/>
          <w:lang w:val="en-US" w:eastAsia="zh-CN"/>
        </w:rPr>
        <w:t>71262.30</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、公共法律服务</w:t>
      </w:r>
      <w:r>
        <w:rPr>
          <w:rFonts w:hint="eastAsia" w:ascii="仿宋_GB2312" w:hAnsi="仿宋_GB2312" w:eastAsia="仿宋_GB2312" w:cs="仿宋_GB2312"/>
          <w:color w:val="000000"/>
          <w:sz w:val="32"/>
          <w:szCs w:val="32"/>
          <w:lang w:val="en-US" w:eastAsia="zh-CN"/>
        </w:rPr>
        <w:t>120107.50</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社区矫正</w:t>
      </w:r>
      <w:r>
        <w:rPr>
          <w:rFonts w:hint="eastAsia" w:ascii="仿宋_GB2312" w:hAnsi="仿宋_GB2312" w:eastAsia="仿宋_GB2312" w:cs="仿宋_GB2312"/>
          <w:color w:val="000000"/>
          <w:sz w:val="32"/>
          <w:szCs w:val="32"/>
          <w:lang w:val="en-US" w:eastAsia="zh-CN"/>
        </w:rPr>
        <w:t>31905.95</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、法制建设</w:t>
      </w:r>
      <w:r>
        <w:rPr>
          <w:rFonts w:hint="eastAsia" w:ascii="仿宋_GB2312" w:hAnsi="仿宋_GB2312" w:eastAsia="仿宋_GB2312" w:cs="仿宋_GB2312"/>
          <w:color w:val="000000"/>
          <w:sz w:val="32"/>
          <w:szCs w:val="32"/>
          <w:lang w:val="en-US" w:eastAsia="zh-CN"/>
        </w:rPr>
        <w:t>68524.00元、基层司法业务256200.00元。</w:t>
      </w:r>
    </w:p>
    <w:p w14:paraId="01197A02">
      <w:pPr>
        <w:numPr>
          <w:ilvl w:val="0"/>
          <w:numId w:val="6"/>
        </w:numPr>
        <w:overflowPunct w:val="0"/>
        <w:spacing w:line="576" w:lineRule="exact"/>
        <w:ind w:firstLine="640" w:firstLineChars="200"/>
        <w:jc w:val="left"/>
        <w:outlineLvl w:val="1"/>
        <w:rPr>
          <w:rFonts w:hint="eastAsia" w:ascii="方正黑体_GBK" w:eastAsia="方正黑体_GBK" w:cs="黑体"/>
          <w:bCs/>
          <w:sz w:val="32"/>
          <w:szCs w:val="32"/>
          <w:lang w:bidi="ar-SA"/>
        </w:rPr>
      </w:pPr>
      <w:bookmarkStart w:id="190" w:name="_Toc22997"/>
      <w:bookmarkStart w:id="191" w:name="_Toc5168"/>
      <w:r>
        <w:rPr>
          <w:rFonts w:hint="eastAsia" w:ascii="方正黑体_GBK" w:eastAsia="方正黑体_GBK" w:cs="黑体"/>
          <w:bCs/>
          <w:sz w:val="32"/>
          <w:szCs w:val="32"/>
          <w:lang w:bidi="ar-SA"/>
        </w:rPr>
        <w:t>部门</w:t>
      </w:r>
      <w:r>
        <w:rPr>
          <w:rFonts w:hint="eastAsia" w:ascii="方正黑体_GBK" w:eastAsia="方正黑体_GBK" w:cs="黑体"/>
          <w:bCs/>
          <w:sz w:val="32"/>
          <w:szCs w:val="32"/>
          <w:lang w:eastAsia="zh-CN" w:bidi="ar-SA"/>
        </w:rPr>
        <w:t>整体预算绩效</w:t>
      </w:r>
      <w:r>
        <w:rPr>
          <w:rFonts w:hint="eastAsia" w:ascii="方正黑体_GBK" w:eastAsia="方正黑体_GBK" w:cs="黑体"/>
          <w:bCs/>
          <w:sz w:val="32"/>
          <w:szCs w:val="32"/>
          <w:lang w:bidi="ar-SA"/>
        </w:rPr>
        <w:t>管理情况</w:t>
      </w:r>
      <w:bookmarkEnd w:id="190"/>
      <w:bookmarkEnd w:id="191"/>
    </w:p>
    <w:p w14:paraId="23337CE9">
      <w:pPr>
        <w:pStyle w:val="6"/>
        <w:numPr>
          <w:ilvl w:val="0"/>
          <w:numId w:val="0"/>
        </w:numPr>
        <w:ind w:firstLine="640" w:firstLineChars="200"/>
        <w:outlineLvl w:val="2"/>
        <w:rPr>
          <w:rFonts w:hint="eastAsia" w:ascii="仿宋_GB2312" w:hAnsi="仿宋_GB2312" w:eastAsia="仿宋_GB2312" w:cs="仿宋_GB2312"/>
          <w:sz w:val="32"/>
          <w:szCs w:val="32"/>
          <w:lang w:eastAsia="zh-CN"/>
        </w:rPr>
      </w:pPr>
      <w:bookmarkStart w:id="192" w:name="_Toc23216"/>
      <w:bookmarkStart w:id="193" w:name="_Toc11728"/>
      <w:r>
        <w:rPr>
          <w:rFonts w:hint="eastAsia" w:ascii="仿宋_GB2312" w:hAnsi="仿宋_GB2312" w:eastAsia="仿宋_GB2312" w:cs="仿宋_GB2312"/>
          <w:sz w:val="32"/>
          <w:szCs w:val="32"/>
          <w:lang w:eastAsia="zh-CN"/>
        </w:rPr>
        <w:t>（一）部门预算管理</w:t>
      </w:r>
      <w:bookmarkEnd w:id="192"/>
      <w:bookmarkEnd w:id="193"/>
    </w:p>
    <w:p w14:paraId="0479B6D2">
      <w:pPr>
        <w:overflowPunct w:val="0"/>
        <w:spacing w:line="576" w:lineRule="exact"/>
        <w:ind w:left="0" w:firstLine="640" w:firstLineChars="200"/>
        <w:jc w:val="left"/>
        <w:rPr>
          <w:rFonts w:hint="eastAsia" w:ascii="方正楷体_GBK" w:eastAsia="方正楷体_GBK" w:cs="仿宋_GB2312"/>
          <w:b w:val="0"/>
          <w:bCs w:val="0"/>
          <w:sz w:val="32"/>
          <w:szCs w:val="32"/>
          <w:lang w:bidi="ar-SA"/>
        </w:rPr>
      </w:pPr>
      <w:r>
        <w:rPr>
          <w:rFonts w:hint="eastAsia" w:ascii="方正楷体_GBK" w:eastAsia="方正楷体_GBK" w:cs="仿宋_GB2312"/>
          <w:b w:val="0"/>
          <w:bCs w:val="0"/>
          <w:sz w:val="32"/>
          <w:szCs w:val="32"/>
          <w:lang w:val="en-US" w:eastAsia="zh-CN" w:bidi="ar-SA"/>
        </w:rPr>
        <w:t>1.</w:t>
      </w:r>
      <w:r>
        <w:rPr>
          <w:rFonts w:hint="eastAsia" w:ascii="方正楷体_GBK" w:eastAsia="方正楷体_GBK" w:cs="仿宋_GB2312"/>
          <w:b w:val="0"/>
          <w:bCs w:val="0"/>
          <w:sz w:val="32"/>
          <w:szCs w:val="32"/>
          <w:lang w:bidi="ar-SA"/>
        </w:rPr>
        <w:t>预算编制情况</w:t>
      </w:r>
    </w:p>
    <w:p w14:paraId="47AEB5FD">
      <w:pPr>
        <w:pStyle w:val="14"/>
        <w:widowControl/>
        <w:shd w:val="clear" w:color="auto" w:fill="FFFFFF"/>
        <w:overflowPunct w:val="0"/>
        <w:spacing w:before="0" w:beforeAutospacing="0" w:after="0" w:afterAutospacing="0" w:line="576" w:lineRule="exact"/>
        <w:ind w:firstLine="640" w:firstLineChars="200"/>
        <w:rPr>
          <w:rFonts w:hint="eastAsia" w:ascii="仿宋_GB2312" w:hAnsi="仿宋_GB2312" w:eastAsia="仿宋_GB2312" w:cs="仿宋_GB2312"/>
          <w:color w:val="333333"/>
          <w:sz w:val="32"/>
          <w:szCs w:val="32"/>
          <w:lang w:bidi="ar-SA"/>
        </w:rPr>
      </w:pPr>
      <w:r>
        <w:rPr>
          <w:rFonts w:hint="eastAsia" w:ascii="仿宋_GB2312" w:hAnsi="仿宋_GB2312" w:eastAsia="仿宋_GB2312" w:cs="仿宋_GB2312"/>
          <w:color w:val="333333"/>
          <w:sz w:val="32"/>
          <w:szCs w:val="32"/>
          <w:shd w:val="clear" w:color="auto" w:fill="FFFFFF"/>
          <w:lang w:bidi="ar-SA"/>
        </w:rPr>
        <w:t xml:space="preserve">根据《中华人民共和国预算法》及县财政局印发的《关于编制 </w:t>
      </w:r>
      <w:r>
        <w:rPr>
          <w:rFonts w:hint="eastAsia" w:ascii="仿宋_GB2312" w:hAnsi="仿宋_GB2312" w:eastAsia="仿宋_GB2312" w:cs="仿宋_GB2312"/>
          <w:color w:val="333333"/>
          <w:sz w:val="32"/>
          <w:szCs w:val="32"/>
          <w:shd w:val="clear" w:color="auto" w:fill="FFFFFF"/>
          <w:lang w:eastAsia="zh-CN" w:bidi="ar-SA"/>
        </w:rPr>
        <w:t>202</w:t>
      </w:r>
      <w:r>
        <w:rPr>
          <w:rFonts w:hint="eastAsia" w:ascii="仿宋_GB2312" w:hAnsi="仿宋_GB2312" w:eastAsia="仿宋_GB2312" w:cs="仿宋_GB2312"/>
          <w:color w:val="333333"/>
          <w:sz w:val="32"/>
          <w:szCs w:val="32"/>
          <w:shd w:val="clear" w:color="auto" w:fill="FFFFFF"/>
          <w:lang w:val="en-US" w:eastAsia="zh-CN" w:bidi="ar-SA"/>
        </w:rPr>
        <w:t>5</w:t>
      </w:r>
      <w:r>
        <w:rPr>
          <w:rFonts w:hint="eastAsia" w:ascii="仿宋_GB2312" w:hAnsi="仿宋_GB2312" w:eastAsia="仿宋_GB2312" w:cs="仿宋_GB2312"/>
          <w:color w:val="333333"/>
          <w:sz w:val="32"/>
          <w:szCs w:val="32"/>
          <w:shd w:val="clear" w:color="auto" w:fill="FFFFFF"/>
          <w:lang w:bidi="ar-SA"/>
        </w:rPr>
        <w:t>年部门预算的通知》要求，结合本单位实际，按照增收节支、保障重点、优化结构、厉行节约、绩效优化的原则，严控“三公”经费管理，从严从紧编制预算。</w:t>
      </w:r>
    </w:p>
    <w:p w14:paraId="213C50AB">
      <w:pPr>
        <w:overflowPunct w:val="0"/>
        <w:spacing w:line="576" w:lineRule="exact"/>
        <w:ind w:left="0" w:firstLine="640" w:firstLineChars="200"/>
        <w:jc w:val="left"/>
        <w:rPr>
          <w:rFonts w:hint="eastAsia" w:ascii="方正楷体_GBK" w:eastAsia="方正楷体_GBK" w:cs="仿宋_GB2312"/>
          <w:b w:val="0"/>
          <w:bCs w:val="0"/>
          <w:sz w:val="32"/>
          <w:szCs w:val="32"/>
          <w:lang w:bidi="ar-SA"/>
        </w:rPr>
      </w:pPr>
      <w:r>
        <w:rPr>
          <w:rFonts w:hint="eastAsia" w:ascii="方正楷体_GBK" w:eastAsia="方正楷体_GBK" w:cs="仿宋_GB2312"/>
          <w:b w:val="0"/>
          <w:bCs w:val="0"/>
          <w:sz w:val="32"/>
          <w:szCs w:val="32"/>
          <w:lang w:val="en-US" w:eastAsia="zh-CN" w:bidi="ar-SA"/>
        </w:rPr>
        <w:t>2.</w:t>
      </w:r>
      <w:r>
        <w:rPr>
          <w:rFonts w:hint="eastAsia" w:ascii="方正楷体_GBK" w:eastAsia="方正楷体_GBK" w:cs="仿宋_GB2312"/>
          <w:b w:val="0"/>
          <w:bCs w:val="0"/>
          <w:sz w:val="32"/>
          <w:szCs w:val="32"/>
          <w:lang w:bidi="ar-SA"/>
        </w:rPr>
        <w:t>执行管理情况</w:t>
      </w:r>
    </w:p>
    <w:p w14:paraId="3B0464F2">
      <w:pPr>
        <w:widowControl/>
        <w:overflowPunct w:val="0"/>
        <w:adjustRightInd w:val="0"/>
        <w:snapToGrid w:val="0"/>
        <w:spacing w:line="576" w:lineRule="exact"/>
        <w:ind w:firstLine="720"/>
        <w:jc w:val="left"/>
        <w:rPr>
          <w:rFonts w:hint="eastAsia" w:ascii="仿宋_GB2312" w:hAnsi="仿宋_GB2312" w:eastAsia="仿宋_GB2312" w:cs="仿宋_GB2312"/>
          <w:color w:val="333333"/>
          <w:sz w:val="32"/>
          <w:szCs w:val="32"/>
          <w:shd w:val="clear" w:color="auto" w:fill="FFFFFF"/>
          <w:lang w:bidi="ar-SA"/>
        </w:rPr>
      </w:pPr>
      <w:r>
        <w:rPr>
          <w:rFonts w:hint="eastAsia" w:ascii="仿宋_GB2312" w:hAnsi="仿宋_GB2312" w:eastAsia="仿宋_GB2312" w:cs="仿宋_GB2312"/>
          <w:color w:val="333333"/>
          <w:sz w:val="32"/>
          <w:szCs w:val="32"/>
          <w:shd w:val="clear" w:color="auto" w:fill="FFFFFF"/>
          <w:lang w:bidi="ar-SA"/>
        </w:rPr>
        <w:t>本着遵循先预算后支出的原则，</w:t>
      </w:r>
      <w:r>
        <w:rPr>
          <w:rFonts w:hint="eastAsia" w:ascii="仿宋_GB2312" w:hAnsi="仿宋_GB2312" w:eastAsia="仿宋_GB2312" w:cs="仿宋_GB2312"/>
          <w:color w:val="333333"/>
          <w:sz w:val="32"/>
          <w:szCs w:val="32"/>
          <w:shd w:val="clear" w:color="auto" w:fill="FFFFFF"/>
          <w:lang w:eastAsia="zh-CN" w:bidi="ar-SA"/>
        </w:rPr>
        <w:t>202</w:t>
      </w:r>
      <w:r>
        <w:rPr>
          <w:rFonts w:hint="eastAsia" w:ascii="仿宋_GB2312" w:hAnsi="仿宋_GB2312" w:eastAsia="仿宋_GB2312" w:cs="仿宋_GB2312"/>
          <w:color w:val="333333"/>
          <w:sz w:val="32"/>
          <w:szCs w:val="32"/>
          <w:shd w:val="clear" w:color="auto" w:fill="FFFFFF"/>
          <w:lang w:val="en-US" w:eastAsia="zh-CN" w:bidi="ar-SA"/>
        </w:rPr>
        <w:t>5</w:t>
      </w:r>
      <w:r>
        <w:rPr>
          <w:rFonts w:hint="eastAsia" w:ascii="仿宋_GB2312" w:hAnsi="仿宋_GB2312" w:eastAsia="仿宋_GB2312" w:cs="仿宋_GB2312"/>
          <w:color w:val="333333"/>
          <w:sz w:val="32"/>
          <w:szCs w:val="32"/>
          <w:shd w:val="clear" w:color="auto" w:fill="FFFFFF"/>
          <w:lang w:bidi="ar-SA"/>
        </w:rPr>
        <w:t>年财政预算支出全面落实到位，均按规定的用途支付。</w:t>
      </w:r>
    </w:p>
    <w:p w14:paraId="1C042781">
      <w:pPr>
        <w:overflowPunct w:val="0"/>
        <w:spacing w:line="576" w:lineRule="exact"/>
        <w:ind w:left="0" w:firstLine="640" w:firstLineChars="200"/>
        <w:jc w:val="left"/>
        <w:rPr>
          <w:rFonts w:hint="eastAsia" w:ascii="方正楷体_GBK" w:eastAsia="方正楷体_GBK" w:cs="仿宋_GB2312"/>
          <w:b w:val="0"/>
          <w:bCs w:val="0"/>
          <w:sz w:val="32"/>
          <w:szCs w:val="32"/>
          <w:lang w:val="zh-CN" w:eastAsia="zh-CN" w:bidi="ar-SA"/>
        </w:rPr>
      </w:pPr>
      <w:r>
        <w:rPr>
          <w:rFonts w:hint="eastAsia" w:ascii="方正楷体_GBK" w:eastAsia="方正楷体_GBK" w:cs="仿宋_GB2312"/>
          <w:b w:val="0"/>
          <w:bCs w:val="0"/>
          <w:sz w:val="32"/>
          <w:szCs w:val="32"/>
          <w:lang w:val="en-US" w:eastAsia="zh-CN" w:bidi="ar"/>
        </w:rPr>
        <w:t>3.</w:t>
      </w:r>
      <w:r>
        <w:rPr>
          <w:rFonts w:hint="eastAsia" w:ascii="方正楷体_GBK" w:eastAsia="方正楷体_GBK" w:cs="仿宋_GB2312"/>
          <w:b w:val="0"/>
          <w:bCs w:val="0"/>
          <w:sz w:val="32"/>
          <w:szCs w:val="32"/>
          <w:lang w:val="zh-CN" w:eastAsia="zh-CN" w:bidi="ar"/>
        </w:rPr>
        <w:t>综合管理情况</w:t>
      </w:r>
    </w:p>
    <w:p w14:paraId="07818F8E">
      <w:pPr>
        <w:overflowPunct w:val="0"/>
        <w:spacing w:line="576" w:lineRule="exact"/>
        <w:ind w:firstLine="640" w:firstLineChars="200"/>
        <w:rPr>
          <w:rFonts w:hint="eastAsia"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bidi="ar-SA"/>
        </w:rPr>
        <w:t>在财务管理过程中建立健全财务核算制度、严格执行国家相关财经法规，加强了会计基础工作、逐渐规范了财务管理行为。严格按照《</w:t>
      </w:r>
      <w:r>
        <w:rPr>
          <w:rFonts w:hint="eastAsia" w:ascii="仿宋_GB2312" w:hAnsi="仿宋_GB2312" w:eastAsia="仿宋_GB2312" w:cs="仿宋_GB2312"/>
          <w:color w:val="000000"/>
          <w:sz w:val="32"/>
          <w:szCs w:val="32"/>
          <w:lang w:eastAsia="zh-CN" w:bidi="ar-SA"/>
        </w:rPr>
        <w:t>政府</w:t>
      </w:r>
      <w:r>
        <w:rPr>
          <w:rFonts w:hint="eastAsia" w:ascii="仿宋_GB2312" w:hAnsi="仿宋_GB2312" w:eastAsia="仿宋_GB2312" w:cs="仿宋_GB2312"/>
          <w:color w:val="000000"/>
          <w:sz w:val="32"/>
          <w:szCs w:val="32"/>
          <w:lang w:bidi="ar-SA"/>
        </w:rPr>
        <w:t>会计制度》和《行政单位财务规则》的规定设置会计科目，建立了科学有效的会计核算方式，均真实、合法、准确的反映各项收支活动；建立健全了内控制度，加强和完善了经费收支和财务管理，积极配合各级财政部门开展相关经费的考评工作；</w:t>
      </w:r>
      <w:r>
        <w:rPr>
          <w:rFonts w:hint="eastAsia" w:ascii="仿宋_GB2312" w:hAnsi="仿宋_GB2312" w:eastAsia="仿宋_GB2312" w:cs="仿宋_GB2312"/>
          <w:color w:val="000000"/>
          <w:sz w:val="32"/>
          <w:szCs w:val="32"/>
          <w:lang w:eastAsia="zh-CN" w:bidi="ar-SA"/>
        </w:rPr>
        <w:t>我局</w:t>
      </w:r>
      <w:r>
        <w:rPr>
          <w:rFonts w:hint="eastAsia" w:ascii="仿宋_GB2312" w:hAnsi="仿宋_GB2312" w:eastAsia="仿宋_GB2312" w:cs="仿宋_GB2312"/>
          <w:color w:val="000000"/>
          <w:sz w:val="32"/>
          <w:szCs w:val="32"/>
          <w:lang w:bidi="ar-SA"/>
        </w:rPr>
        <w:t>在资金使用过程中，合理使用各项资金，严格执行各项经费开支范围和标准。对中央转移支付资金的使用全部用于与</w:t>
      </w:r>
      <w:r>
        <w:rPr>
          <w:rFonts w:hint="eastAsia" w:ascii="仿宋_GB2312" w:hAnsi="仿宋_GB2312" w:eastAsia="仿宋_GB2312" w:cs="仿宋_GB2312"/>
          <w:color w:val="000000"/>
          <w:sz w:val="32"/>
          <w:szCs w:val="32"/>
          <w:lang w:eastAsia="zh-CN" w:bidi="ar-SA"/>
        </w:rPr>
        <w:t>司法业务</w:t>
      </w:r>
      <w:r>
        <w:rPr>
          <w:rFonts w:hint="eastAsia" w:ascii="仿宋_GB2312" w:hAnsi="仿宋_GB2312" w:eastAsia="仿宋_GB2312" w:cs="仿宋_GB2312"/>
          <w:color w:val="000000"/>
          <w:sz w:val="32"/>
          <w:szCs w:val="32"/>
          <w:lang w:bidi="ar-SA"/>
        </w:rPr>
        <w:t>直接相关的业务及装备支出，并确保专款专用；在账务报销过程中贯彻执行国家颁布的有关财务制度，严格按照《</w:t>
      </w:r>
      <w:r>
        <w:rPr>
          <w:rFonts w:hint="eastAsia" w:ascii="仿宋_GB2312" w:hAnsi="仿宋_GB2312" w:eastAsia="仿宋_GB2312" w:cs="仿宋_GB2312"/>
          <w:color w:val="000000"/>
          <w:sz w:val="32"/>
          <w:szCs w:val="32"/>
          <w:lang w:eastAsia="zh-CN" w:bidi="ar-SA"/>
        </w:rPr>
        <w:t>预算法</w:t>
      </w:r>
      <w:r>
        <w:rPr>
          <w:rFonts w:hint="eastAsia" w:ascii="仿宋_GB2312" w:hAnsi="仿宋_GB2312" w:eastAsia="仿宋_GB2312" w:cs="仿宋_GB2312"/>
          <w:color w:val="000000"/>
          <w:sz w:val="32"/>
          <w:szCs w:val="32"/>
          <w:lang w:bidi="ar-SA"/>
        </w:rPr>
        <w:t>》《会计法》规定以完整、合法的原始凭证及财务报销手续进行报账、核算，做到了手续齐备、内容真实、数据准确、账目清晰，认真及时的填报了各项年度统计报表；在整个财务收支管理中做到了会计核算与财政收支账一致，实现了会计电算化，在采购资金支出时手续齐备，采购的固定资产及时登记并入账；严格落实</w:t>
      </w:r>
      <w:r>
        <w:rPr>
          <w:rFonts w:hint="eastAsia" w:ascii="仿宋_GB2312" w:hAnsi="仿宋_GB2312" w:eastAsia="仿宋_GB2312" w:cs="仿宋_GB2312"/>
          <w:color w:val="000000"/>
          <w:sz w:val="32"/>
          <w:szCs w:val="32"/>
          <w:lang w:eastAsia="zh-CN" w:bidi="ar-SA"/>
        </w:rPr>
        <w:t>中央“八项规定”“六项禁令”</w:t>
      </w:r>
      <w:r>
        <w:rPr>
          <w:rFonts w:hint="eastAsia" w:ascii="仿宋_GB2312" w:hAnsi="仿宋_GB2312" w:eastAsia="仿宋_GB2312" w:cs="仿宋_GB2312"/>
          <w:color w:val="000000"/>
          <w:sz w:val="32"/>
          <w:szCs w:val="32"/>
          <w:lang w:bidi="ar-SA"/>
        </w:rPr>
        <w:t>的相关规定，进一步规范了“三公经费”的管理</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并严格控制了“三公经费”的支出。</w:t>
      </w:r>
    </w:p>
    <w:p w14:paraId="3325B7C2">
      <w:pPr>
        <w:overflowPunct w:val="0"/>
        <w:spacing w:line="576" w:lineRule="exact"/>
        <w:ind w:left="0" w:firstLine="640" w:firstLineChars="200"/>
        <w:jc w:val="left"/>
        <w:rPr>
          <w:rFonts w:hint="eastAsia" w:ascii="方正楷体_GBK" w:eastAsia="方正楷体_GBK" w:cs="仿宋_GB2312"/>
          <w:b w:val="0"/>
          <w:bCs w:val="0"/>
          <w:sz w:val="32"/>
          <w:szCs w:val="32"/>
          <w:lang w:val="zh-CN" w:eastAsia="zh-CN" w:bidi="ar"/>
        </w:rPr>
      </w:pPr>
      <w:r>
        <w:rPr>
          <w:rFonts w:hint="eastAsia" w:ascii="方正楷体_GBK" w:eastAsia="方正楷体_GBK" w:cs="仿宋_GB2312"/>
          <w:b w:val="0"/>
          <w:bCs w:val="0"/>
          <w:sz w:val="32"/>
          <w:szCs w:val="32"/>
          <w:lang w:val="en-US" w:eastAsia="zh-CN" w:bidi="ar"/>
        </w:rPr>
        <w:t>4.</w:t>
      </w:r>
      <w:r>
        <w:rPr>
          <w:rFonts w:hint="eastAsia" w:ascii="方正楷体_GBK" w:eastAsia="方正楷体_GBK" w:cs="仿宋_GB2312"/>
          <w:b w:val="0"/>
          <w:bCs w:val="0"/>
          <w:sz w:val="32"/>
          <w:szCs w:val="32"/>
          <w:lang w:val="zh-CN" w:eastAsia="zh-CN" w:bidi="ar"/>
        </w:rPr>
        <w:t>整体绩效</w:t>
      </w:r>
    </w:p>
    <w:p w14:paraId="5D4535F7">
      <w:pPr>
        <w:keepNext w:val="0"/>
        <w:keepLines w:val="0"/>
        <w:pageBreakBefore w:val="0"/>
        <w:widowControl/>
        <w:kinsoku/>
        <w:wordWrap/>
        <w:overflowPunct w:val="0"/>
        <w:topLinePunct w:val="0"/>
        <w:autoSpaceDE/>
        <w:autoSpaceDN/>
        <w:bidi w:val="0"/>
        <w:adjustRightInd w:val="0"/>
        <w:snapToGrid w:val="0"/>
        <w:spacing w:line="576" w:lineRule="exact"/>
        <w:ind w:left="0" w:firstLine="640" w:firstLineChars="200"/>
        <w:jc w:val="both"/>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通过整体绩效自评，反映本部门能按照司法行政相关职</w:t>
      </w:r>
    </w:p>
    <w:p w14:paraId="2DD13530">
      <w:pPr>
        <w:keepNext w:val="0"/>
        <w:keepLines w:val="0"/>
        <w:pageBreakBefore w:val="0"/>
        <w:widowControl/>
        <w:kinsoku/>
        <w:wordWrap/>
        <w:overflowPunct w:val="0"/>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责要求有效履行职责，圆满完成了司法行政各项工作任务，绩效评价结果为优，人民群众对我县司法行政各项工作满意度较高。</w:t>
      </w:r>
    </w:p>
    <w:p w14:paraId="1404D065">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val="zh-CN" w:eastAsia="zh-CN" w:bidi="ar"/>
        </w:rPr>
      </w:pPr>
      <w:bookmarkStart w:id="194" w:name="_Toc17331"/>
      <w:bookmarkStart w:id="195" w:name="_Toc20364"/>
      <w:r>
        <w:rPr>
          <w:rFonts w:hint="eastAsia" w:ascii="方正楷体_GBK" w:eastAsia="方正楷体_GBK" w:cs="仿宋_GB2312"/>
          <w:b w:val="0"/>
          <w:bCs w:val="0"/>
          <w:sz w:val="32"/>
          <w:szCs w:val="32"/>
          <w:lang w:val="zh-CN" w:eastAsia="zh-CN" w:bidi="ar"/>
        </w:rPr>
        <w:t>（二）结果应用情况</w:t>
      </w:r>
      <w:bookmarkEnd w:id="194"/>
      <w:bookmarkEnd w:id="195"/>
    </w:p>
    <w:p w14:paraId="6593C2C2">
      <w:pPr>
        <w:widowControl/>
        <w:overflowPunct w:val="0"/>
        <w:adjustRightInd w:val="0"/>
        <w:snapToGrid w:val="0"/>
        <w:spacing w:line="576" w:lineRule="exact"/>
        <w:ind w:firstLine="640" w:firstLineChars="200"/>
        <w:jc w:val="both"/>
        <w:rPr>
          <w:rFonts w:hint="eastAsia" w:ascii="仿宋_GB2312" w:hAnsi="仿宋_GB2312" w:eastAsia="仿宋_GB2312" w:cs="仿宋_GB2312"/>
          <w:b/>
          <w:bCs/>
          <w:color w:val="000000"/>
          <w:kern w:val="0"/>
          <w:sz w:val="32"/>
          <w:szCs w:val="32"/>
          <w:lang w:val="en-US" w:eastAsia="en-US" w:bidi="ar-SA"/>
        </w:rPr>
      </w:pPr>
      <w:r>
        <w:rPr>
          <w:rFonts w:hint="eastAsia" w:ascii="仿宋_GB2312" w:hAnsi="仿宋_GB2312" w:eastAsia="仿宋_GB2312" w:cs="仿宋_GB2312"/>
          <w:color w:val="000000"/>
          <w:kern w:val="0"/>
          <w:sz w:val="32"/>
          <w:szCs w:val="32"/>
          <w:shd w:val="clear" w:color="auto" w:fill="FFFFFF"/>
          <w:lang w:val="en-US" w:eastAsia="zh-CN" w:bidi="ar-SA"/>
        </w:rPr>
        <w:t>2025年我单位从收支执行，三公经费管理，预算管理，绩效管理等方面进行了详尽</w:t>
      </w:r>
      <w:r>
        <w:rPr>
          <w:rFonts w:hint="eastAsia" w:ascii="仿宋_GB2312" w:hAnsi="仿宋_GB2312" w:eastAsia="仿宋_GB2312" w:cs="仿宋_GB2312"/>
          <w:color w:val="000000"/>
          <w:kern w:val="0"/>
          <w:sz w:val="32"/>
          <w:szCs w:val="32"/>
          <w:shd w:val="clear" w:color="auto" w:fill="FFFFFF"/>
          <w:lang w:val="zh-CN" w:eastAsia="zh-CN" w:bidi="ar-SA"/>
        </w:rPr>
        <w:t>自评、</w:t>
      </w:r>
      <w:r>
        <w:rPr>
          <w:rFonts w:hint="eastAsia" w:ascii="仿宋_GB2312" w:hAnsi="仿宋_GB2312" w:eastAsia="仿宋_GB2312" w:cs="仿宋_GB2312"/>
          <w:color w:val="000000"/>
          <w:kern w:val="0"/>
          <w:sz w:val="32"/>
          <w:szCs w:val="32"/>
          <w:shd w:val="clear" w:color="auto" w:fill="FFFFFF"/>
          <w:lang w:val="en-US" w:eastAsia="zh-CN" w:bidi="ar-SA"/>
        </w:rPr>
        <w:t>25年预算绩效目标，项目预算绩效目标等均进行了公开，评价结果较好，对部门预算编制不够精准细化的问题将在后续工作中逐步改进。</w:t>
      </w:r>
    </w:p>
    <w:p w14:paraId="23785BB2">
      <w:pPr>
        <w:overflowPunct w:val="0"/>
        <w:spacing w:line="576" w:lineRule="exact"/>
        <w:ind w:firstLine="640" w:firstLineChars="200"/>
        <w:jc w:val="left"/>
        <w:outlineLvl w:val="1"/>
        <w:rPr>
          <w:rFonts w:hint="eastAsia" w:ascii="方正黑体_GBK" w:eastAsia="方正黑体_GBK" w:cs="黑体"/>
          <w:bCs/>
          <w:sz w:val="32"/>
          <w:szCs w:val="32"/>
          <w:lang w:bidi="ar-SA"/>
        </w:rPr>
      </w:pPr>
      <w:bookmarkStart w:id="196" w:name="_Toc19453"/>
      <w:bookmarkStart w:id="197" w:name="_Toc21331"/>
      <w:r>
        <w:rPr>
          <w:rFonts w:hint="eastAsia" w:ascii="方正黑体_GBK" w:eastAsia="方正黑体_GBK" w:cs="黑体"/>
          <w:bCs/>
          <w:sz w:val="32"/>
          <w:szCs w:val="32"/>
          <w:lang w:bidi="ar-SA"/>
        </w:rPr>
        <w:t> 四、评价结论及建议</w:t>
      </w:r>
      <w:bookmarkEnd w:id="196"/>
      <w:bookmarkEnd w:id="197"/>
    </w:p>
    <w:p w14:paraId="6FCC2C0E">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val="zh-CN" w:eastAsia="zh-CN" w:bidi="ar"/>
        </w:rPr>
      </w:pPr>
      <w:bookmarkStart w:id="198" w:name="_Toc1000"/>
      <w:bookmarkStart w:id="199" w:name="_Toc16815"/>
      <w:r>
        <w:rPr>
          <w:rFonts w:hint="eastAsia" w:ascii="方正楷体_GBK" w:eastAsia="方正楷体_GBK" w:cs="仿宋_GB2312"/>
          <w:b w:val="0"/>
          <w:bCs w:val="0"/>
          <w:sz w:val="32"/>
          <w:szCs w:val="32"/>
          <w:lang w:val="zh-CN" w:eastAsia="zh-CN" w:bidi="ar"/>
        </w:rPr>
        <w:t> （一）评价结论</w:t>
      </w:r>
      <w:bookmarkEnd w:id="198"/>
      <w:bookmarkEnd w:id="199"/>
    </w:p>
    <w:p w14:paraId="611AB74F">
      <w:pPr>
        <w:pStyle w:val="14"/>
        <w:overflowPunct w:val="0"/>
        <w:bidi w:val="0"/>
        <w:spacing w:beforeAutospacing="0" w:afterAutospacing="0" w:line="576" w:lineRule="exact"/>
        <w:ind w:firstLine="640" w:firstLineChars="200"/>
        <w:jc w:val="both"/>
        <w:rPr>
          <w:rFonts w:hint="eastAsia" w:ascii="方正仿宋_GBK" w:eastAsia="方正仿宋_GBK" w:cs="仿宋_GB2312"/>
          <w:color w:val="333333"/>
          <w:sz w:val="32"/>
          <w:szCs w:val="32"/>
          <w:shd w:val="clear" w:color="auto" w:fill="FFFFFF"/>
          <w:lang w:bidi="ar-SA"/>
        </w:rPr>
      </w:pPr>
      <w:r>
        <w:rPr>
          <w:rFonts w:hint="eastAsia" w:ascii="仿宋_GB2312" w:hAnsi="仿宋_GB2312" w:eastAsia="仿宋_GB2312" w:cs="仿宋_GB2312"/>
          <w:sz w:val="32"/>
          <w:szCs w:val="32"/>
          <w:lang w:val="zh-CN" w:eastAsia="zh-CN" w:bidi="ar-SA"/>
        </w:rPr>
        <w:t>根据《202</w:t>
      </w:r>
      <w:r>
        <w:rPr>
          <w:rFonts w:hint="eastAsia" w:ascii="仿宋_GB2312" w:hAnsi="仿宋_GB2312" w:eastAsia="仿宋_GB2312" w:cs="仿宋_GB2312"/>
          <w:sz w:val="32"/>
          <w:szCs w:val="32"/>
          <w:lang w:val="en-US" w:eastAsia="zh-CN" w:bidi="ar-SA"/>
        </w:rPr>
        <w:t>5</w:t>
      </w:r>
      <w:r>
        <w:rPr>
          <w:rFonts w:hint="eastAsia" w:ascii="仿宋_GB2312" w:hAnsi="仿宋_GB2312" w:eastAsia="仿宋_GB2312" w:cs="仿宋_GB2312"/>
          <w:sz w:val="32"/>
          <w:szCs w:val="32"/>
          <w:lang w:val="zh-CN" w:eastAsia="zh-CN" w:bidi="ar-SA"/>
        </w:rPr>
        <w:t>年红原县部门整体支出绩效评价指标体系》（自评表）评分得分9</w:t>
      </w:r>
      <w:r>
        <w:rPr>
          <w:rFonts w:hint="eastAsia" w:ascii="仿宋_GB2312" w:hAnsi="仿宋_GB2312" w:eastAsia="仿宋_GB2312" w:cs="仿宋_GB2312"/>
          <w:sz w:val="32"/>
          <w:szCs w:val="32"/>
          <w:lang w:val="en-US" w:eastAsia="zh-CN" w:bidi="ar-SA"/>
        </w:rPr>
        <w:t>1</w:t>
      </w:r>
      <w:r>
        <w:rPr>
          <w:rFonts w:hint="eastAsia" w:ascii="仿宋_GB2312" w:hAnsi="仿宋_GB2312" w:eastAsia="仿宋_GB2312" w:cs="仿宋_GB2312"/>
          <w:sz w:val="32"/>
          <w:szCs w:val="32"/>
          <w:lang w:val="zh-CN" w:eastAsia="zh-CN" w:bidi="ar-SA"/>
        </w:rPr>
        <w:t>分，部门整体支出绩效为“好”。</w:t>
      </w:r>
    </w:p>
    <w:p w14:paraId="5A713FB4">
      <w:pPr>
        <w:overflowPunct w:val="0"/>
        <w:spacing w:line="576" w:lineRule="exact"/>
        <w:ind w:left="0" w:firstLine="640" w:firstLineChars="200"/>
        <w:jc w:val="left"/>
        <w:outlineLvl w:val="2"/>
        <w:rPr>
          <w:rFonts w:hint="eastAsia" w:ascii="方正楷体_GBK" w:eastAsia="方正楷体_GBK" w:cs="仿宋_GB2312"/>
          <w:b w:val="0"/>
          <w:bCs w:val="0"/>
          <w:sz w:val="32"/>
          <w:szCs w:val="32"/>
          <w:lang w:val="zh-CN" w:eastAsia="zh-CN" w:bidi="ar"/>
        </w:rPr>
      </w:pPr>
      <w:bookmarkStart w:id="200" w:name="_Toc21885"/>
      <w:bookmarkStart w:id="201" w:name="_Toc12215"/>
      <w:r>
        <w:rPr>
          <w:rFonts w:hint="eastAsia" w:ascii="方正楷体_GBK" w:eastAsia="方正楷体_GBK" w:cs="仿宋_GB2312"/>
          <w:b w:val="0"/>
          <w:bCs w:val="0"/>
          <w:sz w:val="32"/>
          <w:szCs w:val="32"/>
          <w:lang w:val="zh-CN" w:eastAsia="zh-CN" w:bidi="ar"/>
        </w:rPr>
        <w:t>（二）存在问题 </w:t>
      </w:r>
      <w:bookmarkEnd w:id="200"/>
      <w:bookmarkEnd w:id="201"/>
    </w:p>
    <w:p w14:paraId="7009B4C3">
      <w:pPr>
        <w:pStyle w:val="6"/>
        <w:keepNext w:val="0"/>
        <w:keepLines w:val="0"/>
        <w:pageBreakBefore w:val="0"/>
        <w:widowControl w:val="0"/>
        <w:kinsoku/>
        <w:wordWrap/>
        <w:overflowPunct w:val="0"/>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color w:val="000000"/>
          <w:sz w:val="32"/>
          <w:szCs w:val="32"/>
          <w:lang w:val="en-US" w:eastAsia="zh-CN" w:bidi="ar-SA"/>
        </w:rPr>
        <w:t>在平时工作推进过程中，缺乏专业人员进行专业指导及培训，工作推进存在一定困难，预算编制还需更加精准。</w:t>
      </w:r>
    </w:p>
    <w:p w14:paraId="67A1A452">
      <w:pPr>
        <w:overflowPunct w:val="0"/>
        <w:spacing w:line="576" w:lineRule="exact"/>
        <w:ind w:left="0" w:firstLine="640" w:firstLineChars="200"/>
        <w:jc w:val="left"/>
        <w:outlineLvl w:val="2"/>
        <w:rPr>
          <w:rFonts w:hint="eastAsia" w:ascii="方正楷体_GBK" w:eastAsia="方正楷体_GBK" w:cs="仿宋_GB2312"/>
          <w:b/>
          <w:bCs/>
          <w:sz w:val="32"/>
          <w:szCs w:val="32"/>
          <w:lang w:val="zh-CN" w:eastAsia="zh-CN" w:bidi="ar"/>
        </w:rPr>
      </w:pPr>
      <w:bookmarkStart w:id="202" w:name="_Toc29112"/>
      <w:bookmarkStart w:id="203" w:name="_Toc1975"/>
      <w:r>
        <w:rPr>
          <w:rFonts w:hint="eastAsia" w:ascii="方正楷体_GBK" w:eastAsia="方正楷体_GBK" w:cs="仿宋_GB2312"/>
          <w:b/>
          <w:bCs/>
          <w:sz w:val="32"/>
          <w:szCs w:val="32"/>
          <w:lang w:val="zh-CN" w:eastAsia="zh-CN" w:bidi="ar"/>
        </w:rPr>
        <w:t>   </w:t>
      </w:r>
      <w:r>
        <w:rPr>
          <w:rFonts w:hint="eastAsia" w:ascii="方正楷体_GBK" w:eastAsia="方正楷体_GBK" w:cs="仿宋_GB2312"/>
          <w:b w:val="0"/>
          <w:bCs w:val="0"/>
          <w:sz w:val="32"/>
          <w:szCs w:val="32"/>
          <w:lang w:val="zh-CN" w:eastAsia="zh-CN" w:bidi="ar"/>
        </w:rPr>
        <w:t>（三）改进建议</w:t>
      </w:r>
      <w:bookmarkEnd w:id="202"/>
      <w:bookmarkEnd w:id="203"/>
    </w:p>
    <w:p w14:paraId="46E63CDA">
      <w:pPr>
        <w:keepNext w:val="0"/>
        <w:keepLines w:val="0"/>
        <w:pageBreakBefore w:val="0"/>
        <w:widowControl w:val="0"/>
        <w:kinsoku/>
        <w:wordWrap/>
        <w:overflowPunct w:val="0"/>
        <w:topLinePunct w:val="0"/>
        <w:autoSpaceDE/>
        <w:autoSpaceDN/>
        <w:bidi w:val="0"/>
        <w:spacing w:line="576" w:lineRule="exact"/>
        <w:ind w:left="0" w:right="0" w:firstLine="640" w:firstLineChars="200"/>
        <w:jc w:val="left"/>
        <w:textAlignment w:val="auto"/>
        <w:outlineLvl w:val="9"/>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1.通过各种途径加强绩效管理学习，科学合理编制预算，严格执行预算。</w:t>
      </w:r>
    </w:p>
    <w:p w14:paraId="1F108203">
      <w:pPr>
        <w:keepNext w:val="0"/>
        <w:keepLines w:val="0"/>
        <w:pageBreakBefore w:val="0"/>
        <w:widowControl w:val="0"/>
        <w:kinsoku/>
        <w:wordWrap/>
        <w:overflowPunct w:val="0"/>
        <w:topLinePunct w:val="0"/>
        <w:autoSpaceDE/>
        <w:autoSpaceDN/>
        <w:bidi w:val="0"/>
        <w:spacing w:line="576" w:lineRule="exact"/>
        <w:ind w:left="0" w:right="0" w:firstLine="640" w:firstLineChars="200"/>
        <w:jc w:val="left"/>
        <w:textAlignment w:val="auto"/>
        <w:outlineLvl w:val="9"/>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2.规范账务处理，提高财务信息质量。</w:t>
      </w:r>
    </w:p>
    <w:p w14:paraId="3A81F00D">
      <w:pPr>
        <w:pStyle w:val="14"/>
        <w:widowControl/>
        <w:shd w:val="clear" w:color="auto" w:fill="FFFFFF"/>
        <w:overflowPunct w:val="0"/>
        <w:spacing w:before="0" w:beforeAutospacing="0" w:after="0" w:afterAutospacing="0" w:line="576" w:lineRule="exact"/>
        <w:ind w:firstLine="640" w:firstLineChars="200"/>
        <w:jc w:val="both"/>
        <w:rPr>
          <w:rFonts w:hint="eastAsia" w:ascii="仿宋_GB2312" w:hAnsi="仿宋_GB2312" w:eastAsia="仿宋_GB2312" w:cs="仿宋_GB2312"/>
          <w:color w:val="333333"/>
          <w:sz w:val="32"/>
          <w:szCs w:val="32"/>
          <w:shd w:val="clear" w:color="auto" w:fill="FFFFFF"/>
          <w:lang w:bidi="ar-SA"/>
        </w:rPr>
      </w:pPr>
      <w:r>
        <w:rPr>
          <w:rFonts w:hint="eastAsia" w:ascii="仿宋_GB2312" w:hAnsi="仿宋_GB2312" w:eastAsia="仿宋_GB2312" w:cs="仿宋_GB2312"/>
          <w:color w:val="333333"/>
          <w:sz w:val="32"/>
          <w:szCs w:val="32"/>
          <w:shd w:val="clear" w:color="auto" w:fill="FFFFFF"/>
          <w:lang w:val="en-US" w:eastAsia="zh-CN" w:bidi="ar-SA"/>
        </w:rPr>
        <w:t>3.</w:t>
      </w:r>
      <w:r>
        <w:rPr>
          <w:rFonts w:hint="eastAsia" w:ascii="仿宋_GB2312" w:hAnsi="仿宋_GB2312" w:eastAsia="仿宋_GB2312" w:cs="仿宋_GB2312"/>
          <w:color w:val="333333"/>
          <w:sz w:val="32"/>
          <w:szCs w:val="32"/>
          <w:shd w:val="clear" w:color="auto" w:fill="FFFFFF"/>
          <w:lang w:bidi="ar-SA"/>
        </w:rPr>
        <w:t>建立长效机制，严格财务管理，加强财务监督，坚持厉行节约，控制“三公经费”支出</w:t>
      </w:r>
      <w:r>
        <w:rPr>
          <w:rFonts w:hint="eastAsia" w:ascii="仿宋_GB2312" w:hAnsi="仿宋_GB2312" w:eastAsia="仿宋_GB2312" w:cs="仿宋_GB2312"/>
          <w:color w:val="333333"/>
          <w:sz w:val="32"/>
          <w:szCs w:val="32"/>
          <w:shd w:val="clear" w:color="auto" w:fill="FFFFFF"/>
          <w:lang w:eastAsia="zh-CN" w:bidi="ar-SA"/>
        </w:rPr>
        <w:t>。</w:t>
      </w:r>
      <w:r>
        <w:rPr>
          <w:rFonts w:hint="eastAsia" w:ascii="仿宋_GB2312" w:hAnsi="仿宋_GB2312" w:eastAsia="仿宋_GB2312" w:cs="仿宋_GB2312"/>
          <w:color w:val="333333"/>
          <w:sz w:val="32"/>
          <w:szCs w:val="32"/>
          <w:shd w:val="clear" w:color="auto" w:fill="FFFFFF"/>
          <w:lang w:bidi="ar-SA"/>
        </w:rPr>
        <w:t>  </w:t>
      </w:r>
    </w:p>
    <w:p w14:paraId="6C3C9639">
      <w:pPr>
        <w:pStyle w:val="14"/>
        <w:widowControl/>
        <w:shd w:val="clear" w:color="auto" w:fill="FFFFFF"/>
        <w:spacing w:before="0" w:beforeAutospacing="0" w:after="0" w:afterAutospacing="0" w:line="315" w:lineRule="atLeast"/>
        <w:ind w:firstLine="643" w:firstLineChars="200"/>
        <w:outlineLvl w:val="1"/>
        <w:rPr>
          <w:rFonts w:hint="eastAsia" w:ascii="黑体" w:hAnsi="黑体" w:eastAsia="黑体" w:cs="黑体"/>
          <w:color w:val="auto"/>
          <w:sz w:val="32"/>
          <w:szCs w:val="32"/>
        </w:rPr>
      </w:pPr>
      <w:bookmarkStart w:id="204" w:name="_Toc31048"/>
      <w:bookmarkStart w:id="205" w:name="_Toc11039"/>
      <w:r>
        <w:rPr>
          <w:rFonts w:hint="eastAsia" w:ascii="黑体" w:hAnsi="黑体" w:eastAsia="黑体" w:cs="黑体"/>
          <w:b/>
          <w:bCs/>
          <w:color w:val="auto"/>
          <w:sz w:val="32"/>
          <w:szCs w:val="32"/>
          <w:shd w:val="clear" w:color="auto" w:fill="FFFFFF"/>
        </w:rPr>
        <w:t> 四、评价结论及建议</w:t>
      </w:r>
      <w:bookmarkEnd w:id="204"/>
      <w:bookmarkEnd w:id="205"/>
    </w:p>
    <w:p w14:paraId="15AE83F0">
      <w:pPr>
        <w:pStyle w:val="14"/>
        <w:widowControl/>
        <w:shd w:val="clear" w:color="auto" w:fill="FFFFFF"/>
        <w:spacing w:before="0" w:beforeAutospacing="0" w:after="0" w:afterAutospacing="0" w:line="315" w:lineRule="atLeast"/>
        <w:ind w:firstLine="480"/>
        <w:outlineLvl w:val="2"/>
        <w:rPr>
          <w:rFonts w:hint="eastAsia" w:ascii="仿宋_GB2312" w:hAnsi="仿宋_GB2312" w:eastAsia="仿宋_GB2312" w:cs="仿宋_GB2312"/>
          <w:color w:val="auto"/>
          <w:sz w:val="32"/>
          <w:szCs w:val="32"/>
        </w:rPr>
      </w:pPr>
      <w:bookmarkStart w:id="206" w:name="_Toc18852"/>
      <w:bookmarkStart w:id="207" w:name="_Toc24641"/>
      <w:r>
        <w:rPr>
          <w:rFonts w:hint="eastAsia" w:ascii="仿宋_GB2312" w:hAnsi="仿宋_GB2312" w:eastAsia="仿宋_GB2312" w:cs="仿宋_GB2312"/>
          <w:color w:val="auto"/>
          <w:sz w:val="32"/>
          <w:szCs w:val="32"/>
          <w:shd w:val="clear" w:color="auto" w:fill="FFFFFF"/>
        </w:rPr>
        <w:t> </w:t>
      </w:r>
      <w:r>
        <w:rPr>
          <w:rFonts w:hint="eastAsia" w:ascii="仿宋_GB2312" w:hAnsi="仿宋_GB2312" w:eastAsia="仿宋_GB2312" w:cs="仿宋_GB2312"/>
          <w:b/>
          <w:bCs/>
          <w:color w:val="auto"/>
          <w:sz w:val="32"/>
          <w:szCs w:val="32"/>
          <w:shd w:val="clear" w:color="auto" w:fill="FFFFFF"/>
        </w:rPr>
        <w:t>（一）评价结论</w:t>
      </w:r>
      <w:bookmarkEnd w:id="206"/>
      <w:bookmarkEnd w:id="207"/>
    </w:p>
    <w:p w14:paraId="0BA5F5F6">
      <w:pPr>
        <w:pStyle w:val="14"/>
        <w:keepNext w:val="0"/>
        <w:keepLines w:val="0"/>
        <w:widowControl/>
        <w:suppressLineNumbers w:val="0"/>
        <w:shd w:val="clear" w:fill="FFFFFF"/>
        <w:spacing w:before="0" w:beforeAutospacing="0" w:after="0" w:afterAutospacing="0" w:line="33" w:lineRule="atLeast"/>
        <w:ind w:left="0" w:firstLine="420"/>
        <w:jc w:val="both"/>
        <w:rPr>
          <w:rFonts w:hint="eastAsia" w:ascii="仿宋_GB2312" w:hAnsi="仿宋_GB2312" w:eastAsia="仿宋_GB2312" w:cs="仿宋_GB2312"/>
          <w:b w:val="0"/>
          <w:i w:val="0"/>
          <w:caps w:val="0"/>
          <w:color w:val="auto"/>
          <w:spacing w:val="0"/>
          <w:sz w:val="32"/>
          <w:szCs w:val="32"/>
          <w:shd w:val="clear" w:fill="FFFFFF"/>
          <w:lang w:val="zh-CN"/>
        </w:rPr>
      </w:pPr>
      <w:r>
        <w:rPr>
          <w:rFonts w:hint="eastAsia" w:ascii="仿宋_GB2312" w:hAnsi="仿宋_GB2312" w:eastAsia="仿宋_GB2312" w:cs="仿宋_GB2312"/>
          <w:b w:val="0"/>
          <w:i w:val="0"/>
          <w:caps w:val="0"/>
          <w:color w:val="auto"/>
          <w:spacing w:val="0"/>
          <w:sz w:val="32"/>
          <w:szCs w:val="32"/>
          <w:shd w:val="clear" w:fill="FFFFFF"/>
          <w:lang w:val="zh-CN"/>
        </w:rPr>
        <w:t>根据《20</w:t>
      </w:r>
      <w:r>
        <w:rPr>
          <w:rFonts w:hint="eastAsia" w:ascii="仿宋_GB2312" w:hAnsi="仿宋_GB2312" w:eastAsia="仿宋_GB2312" w:cs="仿宋_GB2312"/>
          <w:b w:val="0"/>
          <w:i w:val="0"/>
          <w:caps w:val="0"/>
          <w:color w:val="auto"/>
          <w:spacing w:val="0"/>
          <w:sz w:val="32"/>
          <w:szCs w:val="32"/>
          <w:shd w:val="clear" w:fill="FFFFFF"/>
          <w:lang w:val="en-US" w:eastAsia="zh-CN"/>
        </w:rPr>
        <w:t>25</w:t>
      </w:r>
      <w:r>
        <w:rPr>
          <w:rFonts w:hint="eastAsia" w:ascii="仿宋_GB2312" w:hAnsi="仿宋_GB2312" w:eastAsia="仿宋_GB2312" w:cs="仿宋_GB2312"/>
          <w:b w:val="0"/>
          <w:i w:val="0"/>
          <w:caps w:val="0"/>
          <w:color w:val="auto"/>
          <w:spacing w:val="0"/>
          <w:sz w:val="32"/>
          <w:szCs w:val="32"/>
          <w:shd w:val="clear" w:fill="FFFFFF"/>
          <w:lang w:val="zh-CN"/>
        </w:rPr>
        <w:t>年红原县部门支出绩效评价指标体系》评分得分</w:t>
      </w:r>
      <w:r>
        <w:rPr>
          <w:rFonts w:hint="eastAsia" w:ascii="仿宋_GB2312" w:hAnsi="仿宋_GB2312" w:eastAsia="仿宋_GB2312" w:cs="仿宋_GB2312"/>
          <w:b w:val="0"/>
          <w:i w:val="0"/>
          <w:caps w:val="0"/>
          <w:color w:val="auto"/>
          <w:spacing w:val="0"/>
          <w:sz w:val="32"/>
          <w:szCs w:val="32"/>
          <w:shd w:val="clear" w:fill="FFFFFF"/>
          <w:lang w:val="en-US" w:eastAsia="zh-CN"/>
        </w:rPr>
        <w:t>91</w:t>
      </w:r>
      <w:r>
        <w:rPr>
          <w:rFonts w:hint="eastAsia" w:ascii="仿宋_GB2312" w:hAnsi="仿宋_GB2312" w:eastAsia="仿宋_GB2312" w:cs="仿宋_GB2312"/>
          <w:b w:val="0"/>
          <w:i w:val="0"/>
          <w:caps w:val="0"/>
          <w:color w:val="auto"/>
          <w:spacing w:val="0"/>
          <w:sz w:val="32"/>
          <w:szCs w:val="32"/>
          <w:shd w:val="clear" w:fill="FFFFFF"/>
          <w:lang w:val="zh-CN"/>
        </w:rPr>
        <w:t>分，部门整体支出绩效为“好”。</w:t>
      </w:r>
    </w:p>
    <w:p w14:paraId="22280109">
      <w:pPr>
        <w:pStyle w:val="14"/>
        <w:widowControl/>
        <w:shd w:val="clear" w:color="auto" w:fill="FFFFFF"/>
        <w:spacing w:before="0" w:beforeAutospacing="0" w:after="0" w:afterAutospacing="0" w:line="315" w:lineRule="atLeast"/>
        <w:ind w:firstLine="643" w:firstLineChars="200"/>
        <w:outlineLvl w:val="2"/>
        <w:rPr>
          <w:rFonts w:hint="eastAsia" w:ascii="宋体" w:hAnsi="宋体" w:eastAsia="宋体" w:cs="宋体"/>
          <w:b w:val="0"/>
          <w:i w:val="0"/>
          <w:caps w:val="0"/>
          <w:color w:val="auto"/>
          <w:spacing w:val="0"/>
          <w:sz w:val="24"/>
          <w:szCs w:val="24"/>
        </w:rPr>
      </w:pPr>
      <w:bookmarkStart w:id="208" w:name="_Toc15112"/>
      <w:bookmarkStart w:id="209" w:name="_Toc29449"/>
      <w:r>
        <w:rPr>
          <w:rFonts w:hint="eastAsia" w:ascii="仿宋_GB2312" w:hAnsi="仿宋_GB2312" w:eastAsia="仿宋_GB2312" w:cs="仿宋_GB2312"/>
          <w:b/>
          <w:bCs/>
          <w:color w:val="auto"/>
          <w:sz w:val="32"/>
          <w:szCs w:val="32"/>
          <w:shd w:val="clear" w:color="auto" w:fill="FFFFFF"/>
        </w:rPr>
        <w:t>（二）存在问题</w:t>
      </w:r>
      <w:r>
        <w:rPr>
          <w:rFonts w:hint="eastAsia" w:ascii="仿宋_GB2312" w:hAnsi="仿宋_GB2312" w:eastAsia="仿宋_GB2312" w:cs="仿宋_GB2312"/>
          <w:color w:val="auto"/>
          <w:sz w:val="32"/>
          <w:szCs w:val="32"/>
          <w:shd w:val="clear" w:color="auto" w:fill="FFFFFF"/>
        </w:rPr>
        <w:t> </w:t>
      </w:r>
      <w:bookmarkEnd w:id="208"/>
      <w:bookmarkEnd w:id="209"/>
    </w:p>
    <w:p w14:paraId="48868DA5">
      <w:pPr>
        <w:pStyle w:val="14"/>
        <w:keepNext w:val="0"/>
        <w:keepLines w:val="0"/>
        <w:widowControl/>
        <w:suppressLineNumbers w:val="0"/>
        <w:shd w:val="clear" w:fill="FFFFFF"/>
        <w:spacing w:before="0" w:beforeAutospacing="0" w:after="0" w:afterAutospacing="0" w:line="33" w:lineRule="atLeast"/>
        <w:ind w:left="0" w:firstLine="420"/>
        <w:jc w:val="both"/>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lang w:val="en-US" w:eastAsia="zh-CN"/>
        </w:rPr>
        <w:t>1、</w:t>
      </w:r>
      <w:r>
        <w:rPr>
          <w:rFonts w:hint="eastAsia" w:ascii="仿宋_GB2312" w:hAnsi="仿宋_GB2312" w:eastAsia="仿宋_GB2312" w:cs="仿宋_GB2312"/>
          <w:b w:val="0"/>
          <w:i w:val="0"/>
          <w:caps w:val="0"/>
          <w:color w:val="auto"/>
          <w:spacing w:val="0"/>
          <w:sz w:val="32"/>
          <w:szCs w:val="32"/>
          <w:shd w:val="clear" w:fill="FFFFFF"/>
        </w:rPr>
        <w:t>预算编制仍需进一步精准细化。</w:t>
      </w:r>
    </w:p>
    <w:p w14:paraId="4F173B34">
      <w:pPr>
        <w:pStyle w:val="14"/>
        <w:keepNext w:val="0"/>
        <w:keepLines w:val="0"/>
        <w:widowControl/>
        <w:suppressLineNumbers w:val="0"/>
        <w:shd w:val="clear" w:fill="FFFFFF"/>
        <w:spacing w:before="0" w:beforeAutospacing="0" w:after="0" w:afterAutospacing="0" w:line="33" w:lineRule="atLeast"/>
        <w:ind w:left="0" w:firstLine="420"/>
        <w:jc w:val="both"/>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随着财务工作日益细化，各项资金需要完全按照所下指标用途分类来使用，我局目前还需要进一步提升对预算的细化工作，加强对资金使用的前瞻性预估。</w:t>
      </w:r>
    </w:p>
    <w:p w14:paraId="6808E372">
      <w:pPr>
        <w:pStyle w:val="14"/>
        <w:keepNext w:val="0"/>
        <w:keepLines w:val="0"/>
        <w:widowControl/>
        <w:suppressLineNumbers w:val="0"/>
        <w:shd w:val="clear" w:fill="FFFFFF"/>
        <w:spacing w:before="0" w:beforeAutospacing="0" w:after="0" w:afterAutospacing="0" w:line="33" w:lineRule="atLeast"/>
        <w:ind w:left="0" w:firstLine="420"/>
        <w:jc w:val="both"/>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lang w:val="en-US" w:eastAsia="zh-CN"/>
        </w:rPr>
        <w:t>2、</w:t>
      </w:r>
      <w:r>
        <w:rPr>
          <w:rFonts w:hint="eastAsia" w:ascii="仿宋_GB2312" w:hAnsi="仿宋_GB2312" w:eastAsia="仿宋_GB2312" w:cs="仿宋_GB2312"/>
          <w:b w:val="0"/>
          <w:i w:val="0"/>
          <w:caps w:val="0"/>
          <w:color w:val="auto"/>
          <w:spacing w:val="0"/>
          <w:sz w:val="32"/>
          <w:szCs w:val="32"/>
          <w:shd w:val="clear" w:fill="FFFFFF"/>
        </w:rPr>
        <w:t>资产管理更新速度较慢。</w:t>
      </w:r>
    </w:p>
    <w:p w14:paraId="63F5A8B4">
      <w:pPr>
        <w:pStyle w:val="14"/>
        <w:widowControl/>
        <w:shd w:val="clear" w:color="auto" w:fill="FFFFFF"/>
        <w:spacing w:before="0" w:beforeAutospacing="0" w:after="0" w:afterAutospacing="0" w:line="315" w:lineRule="atLeast"/>
        <w:ind w:firstLine="643" w:firstLineChars="200"/>
        <w:outlineLvl w:val="2"/>
        <w:rPr>
          <w:rFonts w:hint="eastAsia" w:ascii="仿宋_GB2312" w:hAnsi="仿宋_GB2312" w:eastAsia="仿宋_GB2312" w:cs="仿宋_GB2312"/>
          <w:color w:val="auto"/>
          <w:sz w:val="32"/>
          <w:szCs w:val="32"/>
        </w:rPr>
      </w:pPr>
      <w:bookmarkStart w:id="210" w:name="_Toc8591"/>
      <w:bookmarkStart w:id="211" w:name="_Toc19049"/>
      <w:r>
        <w:rPr>
          <w:rFonts w:hint="eastAsia" w:ascii="仿宋_GB2312" w:hAnsi="仿宋_GB2312" w:eastAsia="仿宋_GB2312" w:cs="仿宋_GB2312"/>
          <w:b/>
          <w:bCs/>
          <w:color w:val="auto"/>
          <w:sz w:val="32"/>
          <w:szCs w:val="32"/>
          <w:shd w:val="clear" w:color="auto" w:fill="FFFFFF"/>
        </w:rPr>
        <w:t>（三）改进建议</w:t>
      </w:r>
      <w:bookmarkEnd w:id="210"/>
      <w:bookmarkEnd w:id="211"/>
    </w:p>
    <w:p w14:paraId="272EDA96">
      <w:pPr>
        <w:pStyle w:val="14"/>
        <w:keepNext w:val="0"/>
        <w:keepLines w:val="0"/>
        <w:widowControl/>
        <w:suppressLineNumbers w:val="0"/>
        <w:shd w:val="clear" w:fill="FFFFFF"/>
        <w:spacing w:before="0" w:beforeAutospacing="0" w:after="0" w:afterAutospacing="0" w:line="33" w:lineRule="atLeast"/>
        <w:ind w:firstLine="640" w:firstLineChars="200"/>
        <w:jc w:val="both"/>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lang w:val="en-US" w:eastAsia="zh-CN"/>
        </w:rPr>
        <w:t>1、</w:t>
      </w:r>
      <w:r>
        <w:rPr>
          <w:rFonts w:hint="eastAsia" w:ascii="仿宋_GB2312" w:hAnsi="仿宋_GB2312" w:eastAsia="仿宋_GB2312" w:cs="仿宋_GB2312"/>
          <w:b w:val="0"/>
          <w:i w:val="0"/>
          <w:caps w:val="0"/>
          <w:color w:val="auto"/>
          <w:spacing w:val="0"/>
          <w:sz w:val="32"/>
          <w:szCs w:val="32"/>
          <w:shd w:val="clear" w:fill="FFFFFF"/>
        </w:rPr>
        <w:t>科学合理编制预算，严格执行预算。在预算的编制阶段，多花时间、下功夫，将每项支出的预算做好做细。在预算的执行阶段，严格控制每项支出，并定期将预算使用情况向局党组汇报，针对突发性支出做好准备工作。</w:t>
      </w:r>
    </w:p>
    <w:p w14:paraId="6C64C455">
      <w:pPr>
        <w:pStyle w:val="14"/>
        <w:keepNext w:val="0"/>
        <w:keepLines w:val="0"/>
        <w:widowControl/>
        <w:suppressLineNumbers w:val="0"/>
        <w:shd w:val="clear" w:fill="FFFFFF"/>
        <w:spacing w:before="0" w:beforeAutospacing="0" w:after="0" w:afterAutospacing="0" w:line="33" w:lineRule="atLeast"/>
        <w:ind w:left="0" w:firstLine="420"/>
        <w:jc w:val="both"/>
        <w:rPr>
          <w:rFonts w:hint="eastAsia" w:ascii="仿宋_GB2312" w:hAnsi="仿宋_GB2312" w:eastAsia="仿宋_GB2312" w:cs="仿宋_GB2312"/>
          <w:b w:val="0"/>
          <w:i w:val="0"/>
          <w:caps w:val="0"/>
          <w:color w:val="auto"/>
          <w:spacing w:val="0"/>
          <w:sz w:val="32"/>
          <w:szCs w:val="32"/>
          <w:shd w:val="clear" w:fill="FFFFFF"/>
          <w:lang w:eastAsia="zh-CN"/>
        </w:rPr>
      </w:pPr>
      <w:r>
        <w:rPr>
          <w:rFonts w:hint="eastAsia" w:ascii="仿宋_GB2312" w:hAnsi="仿宋_GB2312" w:eastAsia="仿宋_GB2312" w:cs="仿宋_GB2312"/>
          <w:b w:val="0"/>
          <w:i w:val="0"/>
          <w:caps w:val="0"/>
          <w:color w:val="auto"/>
          <w:spacing w:val="0"/>
          <w:sz w:val="32"/>
          <w:szCs w:val="32"/>
          <w:shd w:val="clear" w:fill="FFFFFF"/>
          <w:lang w:val="en-US" w:eastAsia="zh-CN"/>
        </w:rPr>
        <w:t>2、</w:t>
      </w:r>
      <w:r>
        <w:rPr>
          <w:rFonts w:hint="eastAsia" w:ascii="仿宋_GB2312" w:hAnsi="仿宋_GB2312" w:eastAsia="仿宋_GB2312" w:cs="仿宋_GB2312"/>
          <w:b w:val="0"/>
          <w:i w:val="0"/>
          <w:caps w:val="0"/>
          <w:color w:val="auto"/>
          <w:spacing w:val="0"/>
          <w:sz w:val="32"/>
          <w:szCs w:val="32"/>
          <w:shd w:val="clear" w:fill="FFFFFF"/>
        </w:rPr>
        <w:t>完善管理制度，严格按照《固定资产管理办法》的规定加强资产管理</w:t>
      </w:r>
      <w:r>
        <w:rPr>
          <w:rFonts w:hint="eastAsia" w:ascii="仿宋_GB2312" w:hAnsi="仿宋_GB2312" w:eastAsia="仿宋_GB2312" w:cs="仿宋_GB2312"/>
          <w:b w:val="0"/>
          <w:i w:val="0"/>
          <w:caps w:val="0"/>
          <w:color w:val="auto"/>
          <w:spacing w:val="0"/>
          <w:sz w:val="32"/>
          <w:szCs w:val="32"/>
          <w:shd w:val="clear" w:fill="FFFFFF"/>
          <w:lang w:eastAsia="zh-CN"/>
        </w:rPr>
        <w:t>。</w:t>
      </w:r>
    </w:p>
    <w:p w14:paraId="0B10C34D">
      <w:pPr>
        <w:pStyle w:val="14"/>
        <w:keepNext w:val="0"/>
        <w:keepLines w:val="0"/>
        <w:widowControl/>
        <w:suppressLineNumbers w:val="0"/>
        <w:shd w:val="clear" w:fill="FFFFFF"/>
        <w:spacing w:before="0" w:beforeAutospacing="0" w:after="0" w:afterAutospacing="0" w:line="33" w:lineRule="atLeast"/>
        <w:ind w:left="0" w:firstLine="420"/>
        <w:jc w:val="both"/>
        <w:rPr>
          <w:rFonts w:hint="eastAsia" w:ascii="仿宋_GB2312" w:hAnsi="仿宋_GB2312" w:eastAsia="仿宋_GB2312" w:cs="仿宋_GB2312"/>
          <w:b w:val="0"/>
          <w:i w:val="0"/>
          <w:caps w:val="0"/>
          <w:color w:val="auto"/>
          <w:spacing w:val="0"/>
          <w:sz w:val="32"/>
          <w:szCs w:val="32"/>
          <w:shd w:val="clear" w:fill="FFFFFF"/>
          <w:lang w:eastAsia="zh-CN"/>
        </w:rPr>
      </w:pPr>
    </w:p>
    <w:p w14:paraId="022CC88D">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bookmarkStart w:id="212" w:name="_Toc25166"/>
      <w:bookmarkStart w:id="213" w:name="_Toc22417"/>
    </w:p>
    <w:p w14:paraId="26C2A78D">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6678DE7C">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65AA60A0">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2B3A4C94">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7C9CBD12">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5F75C950">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1DD06609">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55222357">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5972AB59">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70001F15">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p>
    <w:p w14:paraId="3AC269FE">
      <w:pPr>
        <w:pStyle w:val="14"/>
        <w:widowControl/>
        <w:shd w:val="clear" w:color="auto" w:fill="FFFFFF"/>
        <w:spacing w:before="0" w:beforeAutospacing="0" w:after="0" w:afterAutospacing="0" w:line="315" w:lineRule="atLeast"/>
        <w:ind w:firstLine="960" w:firstLineChars="300"/>
        <w:outlineLvl w:val="1"/>
        <w:rPr>
          <w:rStyle w:val="23"/>
          <w:rFonts w:hint="eastAsia" w:ascii="仿宋" w:hAnsi="仿宋" w:eastAsia="仿宋"/>
          <w:b w:val="0"/>
          <w:bCs w:val="0"/>
          <w:color w:val="auto"/>
          <w:sz w:val="32"/>
          <w:szCs w:val="32"/>
        </w:rPr>
      </w:pPr>
      <w:r>
        <w:rPr>
          <w:rStyle w:val="23"/>
          <w:rFonts w:hint="eastAsia" w:ascii="仿宋" w:hAnsi="仿宋" w:eastAsia="仿宋"/>
          <w:b w:val="0"/>
          <w:bCs w:val="0"/>
          <w:color w:val="auto"/>
          <w:sz w:val="32"/>
          <w:szCs w:val="32"/>
        </w:rPr>
        <w:t>附件2</w:t>
      </w:r>
      <w:bookmarkEnd w:id="175"/>
      <w:bookmarkEnd w:id="212"/>
      <w:bookmarkEnd w:id="213"/>
    </w:p>
    <w:p w14:paraId="02848F60">
      <w:pPr>
        <w:keepNext w:val="0"/>
        <w:keepLines w:val="0"/>
        <w:widowControl w:val="0"/>
        <w:suppressLineNumbers w:val="0"/>
        <w:snapToGrid w:val="0"/>
        <w:spacing w:before="0" w:beforeAutospacing="0" w:after="0" w:afterAutospacing="0" w:line="580" w:lineRule="exact"/>
        <w:ind w:left="0" w:right="0"/>
        <w:jc w:val="center"/>
        <w:rPr>
          <w:rFonts w:hint="eastAsia" w:ascii="方正小标宋简体" w:hAnsi="宋体" w:eastAsia="方正小标宋简体" w:cs="方正小标宋简体"/>
          <w:color w:val="auto"/>
          <w:sz w:val="44"/>
          <w:szCs w:val="44"/>
          <w:lang w:val="en-US"/>
        </w:rPr>
      </w:pPr>
      <w:r>
        <w:rPr>
          <w:rFonts w:hint="eastAsia" w:ascii="方正小标宋简体" w:hAnsi="宋体" w:eastAsia="方正小标宋简体" w:cs="方正小标宋简体"/>
          <w:color w:val="auto"/>
          <w:kern w:val="2"/>
          <w:sz w:val="44"/>
          <w:szCs w:val="44"/>
          <w:lang w:val="en-US" w:eastAsia="zh-CN" w:bidi="ar"/>
        </w:rPr>
        <w:t>普法宣传项目2025年绩效评价报告</w:t>
      </w:r>
    </w:p>
    <w:p w14:paraId="4C513E57">
      <w:pPr>
        <w:keepNext w:val="0"/>
        <w:keepLines w:val="0"/>
        <w:widowControl w:val="0"/>
        <w:suppressLineNumbers w:val="0"/>
        <w:tabs>
          <w:tab w:val="left" w:pos="3885"/>
        </w:tabs>
        <w:snapToGrid w:val="0"/>
        <w:spacing w:before="0" w:beforeAutospacing="0" w:after="0" w:afterAutospacing="0" w:line="580" w:lineRule="exact"/>
        <w:ind w:left="0" w:right="0" w:firstLine="422" w:firstLineChars="200"/>
        <w:jc w:val="left"/>
        <w:rPr>
          <w:rFonts w:hint="eastAsia" w:ascii="宋体" w:hAnsi="宋体" w:eastAsia="仿宋_GB2312" w:cs="宋体"/>
          <w:b/>
          <w:bCs w:val="0"/>
          <w:color w:val="auto"/>
          <w:szCs w:val="21"/>
          <w:lang w:val="en-US"/>
        </w:rPr>
      </w:pPr>
    </w:p>
    <w:p w14:paraId="4D99C170">
      <w:pPr>
        <w:pStyle w:val="14"/>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outlineLvl w:val="1"/>
        <w:rPr>
          <w:rFonts w:hint="eastAsia" w:ascii="黑体" w:hAnsi="宋体" w:eastAsia="黑体" w:cs="黑体"/>
          <w:color w:val="auto"/>
          <w:kern w:val="2"/>
          <w:sz w:val="32"/>
          <w:szCs w:val="21"/>
          <w:lang w:val="en-US" w:eastAsia="zh-CN" w:bidi="ar"/>
        </w:rPr>
      </w:pPr>
      <w:bookmarkStart w:id="214" w:name="_Toc20023"/>
      <w:bookmarkStart w:id="215" w:name="_Toc13953"/>
      <w:r>
        <w:rPr>
          <w:rFonts w:hint="eastAsia" w:ascii="黑体" w:hAnsi="宋体" w:eastAsia="黑体" w:cs="黑体"/>
          <w:color w:val="auto"/>
          <w:kern w:val="2"/>
          <w:sz w:val="32"/>
          <w:szCs w:val="21"/>
          <w:lang w:val="en-US" w:eastAsia="zh-CN" w:bidi="ar"/>
        </w:rPr>
        <w:t>项目慨况</w:t>
      </w:r>
      <w:bookmarkEnd w:id="214"/>
      <w:bookmarkEnd w:id="215"/>
    </w:p>
    <w:p w14:paraId="2CB5142F">
      <w:pPr>
        <w:pStyle w:val="1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495" w:leftChars="0" w:right="0" w:rightChars="0"/>
        <w:jc w:val="left"/>
        <w:outlineLvl w:val="2"/>
        <w:rPr>
          <w:rFonts w:hint="eastAsia" w:ascii="仿宋_GB2312" w:hAnsi="仿宋_GB2312" w:eastAsia="仿宋_GB2312" w:cs="仿宋_GB2312"/>
          <w:b w:val="0"/>
          <w:i w:val="0"/>
          <w:caps w:val="0"/>
          <w:color w:val="auto"/>
          <w:spacing w:val="0"/>
          <w:sz w:val="32"/>
          <w:szCs w:val="32"/>
        </w:rPr>
      </w:pPr>
      <w:bookmarkStart w:id="216" w:name="_Toc24560"/>
      <w:bookmarkStart w:id="217" w:name="_Toc17524"/>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bCs/>
          <w:i w:val="0"/>
          <w:caps w:val="0"/>
          <w:color w:val="auto"/>
          <w:spacing w:val="0"/>
          <w:sz w:val="32"/>
          <w:szCs w:val="32"/>
          <w:shd w:val="clear" w:fill="FFFFFF"/>
        </w:rPr>
        <w:t>一)项目基本情况</w:t>
      </w:r>
      <w:r>
        <w:rPr>
          <w:rFonts w:hint="eastAsia" w:ascii="仿宋_GB2312" w:hAnsi="仿宋_GB2312" w:eastAsia="仿宋_GB2312" w:cs="仿宋_GB2312"/>
          <w:b w:val="0"/>
          <w:i w:val="0"/>
          <w:caps w:val="0"/>
          <w:color w:val="auto"/>
          <w:spacing w:val="0"/>
          <w:sz w:val="32"/>
          <w:szCs w:val="32"/>
          <w:shd w:val="clear" w:fill="FFFFFF"/>
        </w:rPr>
        <w:t>。</w:t>
      </w:r>
      <w:bookmarkEnd w:id="216"/>
      <w:bookmarkEnd w:id="217"/>
    </w:p>
    <w:p w14:paraId="37CD0A6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普法经费项目涉</w:t>
      </w:r>
      <w:r>
        <w:rPr>
          <w:rFonts w:hint="eastAsia" w:ascii="仿宋_GB2312" w:hAnsi="仿宋_GB2312" w:eastAsia="仿宋_GB2312" w:cs="仿宋_GB2312"/>
          <w:b w:val="0"/>
          <w:i w:val="0"/>
          <w:caps w:val="0"/>
          <w:color w:val="auto"/>
          <w:spacing w:val="0"/>
          <w:sz w:val="32"/>
          <w:szCs w:val="32"/>
          <w:shd w:val="clear" w:fill="FFFFFF"/>
          <w:lang w:eastAsia="zh-CN"/>
        </w:rPr>
        <w:t>及全县所有人员</w:t>
      </w:r>
      <w:r>
        <w:rPr>
          <w:rFonts w:hint="eastAsia" w:ascii="仿宋_GB2312" w:hAnsi="仿宋_GB2312" w:eastAsia="仿宋_GB2312" w:cs="仿宋_GB2312"/>
          <w:b w:val="0"/>
          <w:i w:val="0"/>
          <w:caps w:val="0"/>
          <w:color w:val="auto"/>
          <w:spacing w:val="0"/>
          <w:sz w:val="32"/>
          <w:szCs w:val="32"/>
          <w:shd w:val="clear" w:fill="FFFFFF"/>
        </w:rPr>
        <w:t>。普法宣传工作，是全县依法治县工作的重点工作，也是涉及民生及维稳的重大工程。县司法局认真按照上级部门的统一部署，统一思想认识，强化资金使用绩效，狠抓责任落实，推进普法宣传，建立完善普法宣传长效机制。</w:t>
      </w:r>
    </w:p>
    <w:p w14:paraId="3A982C4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outlineLvl w:val="2"/>
        <w:rPr>
          <w:rFonts w:hint="eastAsia" w:ascii="仿宋_GB2312" w:hAnsi="仿宋_GB2312" w:eastAsia="仿宋_GB2312" w:cs="仿宋_GB2312"/>
          <w:b w:val="0"/>
          <w:i w:val="0"/>
          <w:caps w:val="0"/>
          <w:color w:val="auto"/>
          <w:spacing w:val="0"/>
          <w:sz w:val="32"/>
          <w:szCs w:val="32"/>
        </w:rPr>
      </w:pPr>
      <w:bookmarkStart w:id="218" w:name="_Toc19123"/>
      <w:bookmarkStart w:id="219" w:name="_Toc8299"/>
      <w:r>
        <w:rPr>
          <w:rFonts w:hint="eastAsia" w:ascii="仿宋_GB2312" w:hAnsi="仿宋_GB2312" w:eastAsia="仿宋_GB2312" w:cs="仿宋_GB2312"/>
          <w:b/>
          <w:bCs/>
          <w:i w:val="0"/>
          <w:caps w:val="0"/>
          <w:color w:val="auto"/>
          <w:spacing w:val="0"/>
          <w:sz w:val="32"/>
          <w:szCs w:val="32"/>
          <w:shd w:val="clear" w:fill="FFFFFF"/>
        </w:rPr>
        <w:t>(二)项目绩效目标</w:t>
      </w:r>
      <w:r>
        <w:rPr>
          <w:rFonts w:hint="eastAsia" w:ascii="仿宋_GB2312" w:hAnsi="仿宋_GB2312" w:eastAsia="仿宋_GB2312" w:cs="仿宋_GB2312"/>
          <w:b w:val="0"/>
          <w:i w:val="0"/>
          <w:caps w:val="0"/>
          <w:color w:val="auto"/>
          <w:spacing w:val="0"/>
          <w:sz w:val="32"/>
          <w:szCs w:val="32"/>
          <w:shd w:val="clear" w:fill="FFFFFF"/>
        </w:rPr>
        <w:t>。</w:t>
      </w:r>
      <w:bookmarkEnd w:id="218"/>
      <w:bookmarkEnd w:id="219"/>
    </w:p>
    <w:p w14:paraId="7D97302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黑体" w:hAnsi="宋体" w:eastAsia="黑体" w:cs="黑体"/>
          <w:color w:val="auto"/>
          <w:szCs w:val="21"/>
          <w:lang w:val="en-US"/>
        </w:rPr>
      </w:pPr>
      <w:r>
        <w:rPr>
          <w:rFonts w:hint="eastAsia" w:ascii="仿宋_GB2312" w:hAnsi="仿宋_GB2312" w:eastAsia="仿宋_GB2312" w:cs="仿宋_GB2312"/>
          <w:b w:val="0"/>
          <w:i w:val="0"/>
          <w:caps w:val="0"/>
          <w:color w:val="auto"/>
          <w:spacing w:val="0"/>
          <w:sz w:val="32"/>
          <w:szCs w:val="32"/>
          <w:shd w:val="clear" w:fill="FFFFFF"/>
        </w:rPr>
        <w:t>普法经费项目以“治蜀兴川、建设法治</w:t>
      </w:r>
      <w:r>
        <w:rPr>
          <w:rFonts w:hint="eastAsia" w:ascii="仿宋_GB2312" w:hAnsi="仿宋_GB2312" w:eastAsia="仿宋_GB2312" w:cs="仿宋_GB2312"/>
          <w:b w:val="0"/>
          <w:i w:val="0"/>
          <w:caps w:val="0"/>
          <w:color w:val="auto"/>
          <w:spacing w:val="0"/>
          <w:sz w:val="32"/>
          <w:szCs w:val="32"/>
          <w:shd w:val="clear" w:fill="FFFFFF"/>
          <w:lang w:eastAsia="zh-CN"/>
        </w:rPr>
        <w:t>红原</w:t>
      </w:r>
      <w:r>
        <w:rPr>
          <w:rFonts w:hint="eastAsia" w:ascii="仿宋_GB2312" w:hAnsi="仿宋_GB2312" w:eastAsia="仿宋_GB2312" w:cs="仿宋_GB2312"/>
          <w:b w:val="0"/>
          <w:i w:val="0"/>
          <w:caps w:val="0"/>
          <w:color w:val="auto"/>
          <w:spacing w:val="0"/>
          <w:sz w:val="32"/>
          <w:szCs w:val="32"/>
          <w:shd w:val="clear" w:fill="FFFFFF"/>
        </w:rPr>
        <w:t>”为目标，严格按照法治宣传工作要求，深入开展法治宣传教育，弘扬社会主义法治精神，推进法治宣传教育与法治实践相结合，推动全社会树立法治意识，为我县经济社会发展营造良好法治环境。</w:t>
      </w:r>
    </w:p>
    <w:p w14:paraId="6CA198BF">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outlineLvl w:val="2"/>
        <w:rPr>
          <w:rFonts w:hint="eastAsia" w:ascii="黑体" w:hAnsi="宋体" w:eastAsia="黑体" w:cs="黑体"/>
          <w:color w:val="auto"/>
          <w:szCs w:val="21"/>
          <w:lang w:val="en-US"/>
        </w:rPr>
      </w:pPr>
      <w:bookmarkStart w:id="220" w:name="_Toc19141"/>
      <w:bookmarkStart w:id="221" w:name="_Toc26580"/>
      <w:r>
        <w:rPr>
          <w:rFonts w:hint="eastAsia" w:ascii="仿宋_GB2312" w:hAnsi="仿宋_GB2312" w:eastAsia="仿宋_GB2312" w:cs="仿宋_GB2312"/>
          <w:b/>
          <w:bCs/>
          <w:i w:val="0"/>
          <w:caps w:val="0"/>
          <w:color w:val="auto"/>
          <w:spacing w:val="0"/>
          <w:sz w:val="32"/>
          <w:szCs w:val="32"/>
          <w:shd w:val="clear" w:fill="FFFFFF"/>
        </w:rPr>
        <w:t>(</w:t>
      </w:r>
      <w:r>
        <w:rPr>
          <w:rFonts w:hint="eastAsia" w:ascii="仿宋_GB2312" w:hAnsi="仿宋_GB2312" w:eastAsia="仿宋_GB2312" w:cs="仿宋_GB2312"/>
          <w:b/>
          <w:bCs/>
          <w:i w:val="0"/>
          <w:caps w:val="0"/>
          <w:color w:val="auto"/>
          <w:spacing w:val="0"/>
          <w:sz w:val="32"/>
          <w:szCs w:val="32"/>
          <w:shd w:val="clear" w:fill="FFFFFF"/>
          <w:lang w:eastAsia="zh-CN"/>
        </w:rPr>
        <w:t>三</w:t>
      </w:r>
      <w:r>
        <w:rPr>
          <w:rFonts w:hint="eastAsia" w:ascii="仿宋_GB2312" w:hAnsi="仿宋_GB2312" w:eastAsia="仿宋_GB2312" w:cs="仿宋_GB2312"/>
          <w:b/>
          <w:bCs/>
          <w:i w:val="0"/>
          <w:caps w:val="0"/>
          <w:color w:val="auto"/>
          <w:spacing w:val="0"/>
          <w:sz w:val="32"/>
          <w:szCs w:val="32"/>
          <w:shd w:val="clear" w:fill="FFFFFF"/>
        </w:rPr>
        <w:t>)项目</w:t>
      </w:r>
      <w:r>
        <w:rPr>
          <w:rFonts w:hint="eastAsia" w:ascii="仿宋_GB2312" w:hAnsi="仿宋_GB2312" w:eastAsia="仿宋_GB2312" w:cs="仿宋_GB2312"/>
          <w:b/>
          <w:bCs/>
          <w:i w:val="0"/>
          <w:caps w:val="0"/>
          <w:color w:val="auto"/>
          <w:spacing w:val="0"/>
          <w:sz w:val="32"/>
          <w:szCs w:val="32"/>
          <w:shd w:val="clear" w:fill="FFFFFF"/>
          <w:lang w:eastAsia="zh-CN"/>
        </w:rPr>
        <w:t>自评步骤及方法</w:t>
      </w:r>
      <w:r>
        <w:rPr>
          <w:rFonts w:hint="eastAsia" w:ascii="仿宋_GB2312" w:hAnsi="仿宋_GB2312" w:eastAsia="仿宋_GB2312" w:cs="仿宋_GB2312"/>
          <w:b w:val="0"/>
          <w:i w:val="0"/>
          <w:caps w:val="0"/>
          <w:color w:val="auto"/>
          <w:spacing w:val="0"/>
          <w:sz w:val="32"/>
          <w:szCs w:val="32"/>
          <w:shd w:val="clear" w:fill="FFFFFF"/>
        </w:rPr>
        <w:t>。</w:t>
      </w:r>
      <w:bookmarkEnd w:id="220"/>
      <w:bookmarkEnd w:id="221"/>
    </w:p>
    <w:p w14:paraId="2368719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bCs w:val="0"/>
          <w:color w:val="auto"/>
          <w:kern w:val="2"/>
          <w:sz w:val="32"/>
          <w:szCs w:val="32"/>
          <w:lang w:val="en-US" w:eastAsia="zh-CN" w:bidi="ar"/>
        </w:rPr>
        <w:t>我局</w:t>
      </w:r>
      <w:r>
        <w:rPr>
          <w:rFonts w:hint="eastAsia" w:ascii="仿宋_GB2312" w:hAnsi="仿宋_GB2312" w:eastAsia="仿宋_GB2312" w:cs="仿宋_GB2312"/>
          <w:b w:val="0"/>
          <w:i w:val="0"/>
          <w:caps w:val="0"/>
          <w:color w:val="auto"/>
          <w:spacing w:val="0"/>
          <w:sz w:val="32"/>
          <w:szCs w:val="32"/>
          <w:shd w:val="clear" w:fill="FFFFFF"/>
        </w:rPr>
        <w:t>高度重视普法宣传工作，把此项工作作为重中之重来抓。制定普法宣传工作计划、工作方案和管理制度。落实工作人员，明确工作责任。加强监督，落实专人负责普法宣传工作的日常管理和监督，充分调动普法工作积极性。</w:t>
      </w:r>
    </w:p>
    <w:p w14:paraId="64653776">
      <w:pPr>
        <w:keepNext w:val="0"/>
        <w:keepLines w:val="0"/>
        <w:widowControl w:val="0"/>
        <w:numPr>
          <w:ilvl w:val="0"/>
          <w:numId w:val="0"/>
        </w:numPr>
        <w:suppressLineNumbers w:val="0"/>
        <w:tabs>
          <w:tab w:val="left" w:pos="392"/>
        </w:tabs>
        <w:snapToGrid w:val="0"/>
        <w:spacing w:before="0" w:beforeAutospacing="0" w:after="0" w:afterAutospacing="0" w:line="580" w:lineRule="exact"/>
        <w:ind w:right="0" w:rightChars="0" w:firstLine="640" w:firstLineChars="200"/>
        <w:jc w:val="both"/>
        <w:outlineLvl w:val="1"/>
        <w:rPr>
          <w:rFonts w:hint="eastAsia" w:ascii="黑体" w:hAnsi="宋体" w:eastAsia="黑体" w:cs="黑体"/>
          <w:color w:val="auto"/>
          <w:kern w:val="2"/>
          <w:sz w:val="32"/>
          <w:szCs w:val="21"/>
          <w:lang w:val="en-US" w:eastAsia="zh-CN" w:bidi="ar"/>
        </w:rPr>
      </w:pPr>
      <w:bookmarkStart w:id="222" w:name="_Toc170"/>
      <w:bookmarkStart w:id="223" w:name="_Toc25065"/>
      <w:r>
        <w:rPr>
          <w:rFonts w:hint="eastAsia" w:ascii="黑体" w:hAnsi="宋体" w:eastAsia="黑体" w:cs="黑体"/>
          <w:color w:val="auto"/>
          <w:kern w:val="2"/>
          <w:sz w:val="32"/>
          <w:szCs w:val="21"/>
          <w:lang w:val="en-US" w:eastAsia="zh-CN" w:bidi="ar"/>
        </w:rPr>
        <w:t>二、项目资金申报及使用情况</w:t>
      </w:r>
      <w:bookmarkEnd w:id="222"/>
      <w:bookmarkEnd w:id="223"/>
    </w:p>
    <w:p w14:paraId="2D0ED6FC">
      <w:pPr>
        <w:keepNext w:val="0"/>
        <w:keepLines w:val="0"/>
        <w:widowControl w:val="0"/>
        <w:numPr>
          <w:ilvl w:val="0"/>
          <w:numId w:val="8"/>
        </w:numPr>
        <w:suppressLineNumbers w:val="0"/>
        <w:snapToGrid w:val="0"/>
        <w:spacing w:before="0" w:beforeAutospacing="0" w:after="0" w:afterAutospacing="0" w:line="580" w:lineRule="exact"/>
        <w:ind w:left="495" w:leftChars="0" w:right="0" w:rightChars="0"/>
        <w:jc w:val="both"/>
        <w:outlineLvl w:val="2"/>
        <w:rPr>
          <w:rFonts w:hint="eastAsia" w:ascii="黑体" w:hAnsi="宋体" w:eastAsia="黑体" w:cs="黑体"/>
          <w:color w:val="auto"/>
          <w:kern w:val="2"/>
          <w:sz w:val="32"/>
          <w:szCs w:val="21"/>
          <w:lang w:val="en-US" w:eastAsia="zh-CN" w:bidi="ar"/>
        </w:rPr>
      </w:pPr>
      <w:bookmarkStart w:id="224" w:name="_Toc3112"/>
      <w:bookmarkStart w:id="225" w:name="_Toc10008"/>
      <w:r>
        <w:rPr>
          <w:rFonts w:hint="eastAsia" w:ascii="黑体" w:hAnsi="宋体" w:eastAsia="黑体" w:cs="黑体"/>
          <w:color w:val="auto"/>
          <w:kern w:val="2"/>
          <w:sz w:val="32"/>
          <w:szCs w:val="21"/>
          <w:lang w:val="en-US" w:eastAsia="zh-CN" w:bidi="ar"/>
        </w:rPr>
        <w:t>项目资金申报及批复情况</w:t>
      </w:r>
      <w:bookmarkEnd w:id="224"/>
      <w:bookmarkEnd w:id="225"/>
    </w:p>
    <w:p w14:paraId="1F7147A0">
      <w:pPr>
        <w:keepNext w:val="0"/>
        <w:keepLines w:val="0"/>
        <w:widowControl w:val="0"/>
        <w:numPr>
          <w:ilvl w:val="0"/>
          <w:numId w:val="0"/>
        </w:numPr>
        <w:suppressLineNumbers w:val="0"/>
        <w:snapToGrid w:val="0"/>
        <w:spacing w:before="0" w:beforeAutospacing="0" w:after="0" w:afterAutospacing="0" w:line="580" w:lineRule="exact"/>
        <w:ind w:right="0" w:rightChars="0" w:firstLine="640" w:firstLineChars="200"/>
        <w:jc w:val="both"/>
        <w:rPr>
          <w:rFonts w:hint="eastAsia" w:ascii="仿宋_GB2312" w:hAnsi="仿宋_GB2312" w:eastAsia="仿宋_GB2312" w:cs="仿宋_GB2312"/>
          <w:color w:val="auto"/>
          <w:kern w:val="2"/>
          <w:sz w:val="32"/>
          <w:szCs w:val="21"/>
          <w:lang w:val="en-US" w:eastAsia="zh-CN" w:bidi="ar"/>
        </w:rPr>
      </w:pPr>
      <w:r>
        <w:rPr>
          <w:rFonts w:hint="eastAsia" w:ascii="仿宋_GB2312" w:hAnsi="仿宋_GB2312" w:eastAsia="仿宋_GB2312" w:cs="仿宋_GB2312"/>
          <w:color w:val="auto"/>
          <w:kern w:val="2"/>
          <w:sz w:val="32"/>
          <w:szCs w:val="21"/>
          <w:lang w:val="en-US" w:eastAsia="zh-CN" w:bidi="ar"/>
        </w:rPr>
        <w:t>我局项目资金申报及批复按正常程序进行，程序规范合理。</w:t>
      </w:r>
    </w:p>
    <w:p w14:paraId="28B9A494">
      <w:pPr>
        <w:keepNext w:val="0"/>
        <w:keepLines w:val="0"/>
        <w:widowControl w:val="0"/>
        <w:numPr>
          <w:ilvl w:val="0"/>
          <w:numId w:val="8"/>
        </w:numPr>
        <w:suppressLineNumbers w:val="0"/>
        <w:snapToGrid w:val="0"/>
        <w:spacing w:before="0" w:beforeAutospacing="0" w:after="0" w:afterAutospacing="0" w:line="580" w:lineRule="exact"/>
        <w:ind w:left="495" w:leftChars="0" w:right="0" w:firstLine="0" w:firstLineChars="0"/>
        <w:jc w:val="both"/>
        <w:outlineLvl w:val="2"/>
        <w:rPr>
          <w:rFonts w:hint="eastAsia" w:ascii="楷体_GB2312" w:hAnsi="宋体" w:eastAsia="楷体_GB2312" w:cs="楷体_GB2312"/>
          <w:b/>
          <w:bCs w:val="0"/>
          <w:color w:val="auto"/>
          <w:kern w:val="2"/>
          <w:sz w:val="32"/>
          <w:szCs w:val="21"/>
          <w:lang w:val="en-US" w:eastAsia="zh-CN" w:bidi="ar"/>
        </w:rPr>
      </w:pPr>
      <w:bookmarkStart w:id="226" w:name="_Toc4135"/>
      <w:bookmarkStart w:id="227" w:name="_Toc13208"/>
      <w:r>
        <w:rPr>
          <w:rFonts w:hint="eastAsia" w:ascii="楷体_GB2312" w:hAnsi="宋体" w:eastAsia="楷体_GB2312" w:cs="楷体_GB2312"/>
          <w:b/>
          <w:bCs w:val="0"/>
          <w:color w:val="auto"/>
          <w:kern w:val="2"/>
          <w:sz w:val="32"/>
          <w:szCs w:val="21"/>
          <w:lang w:val="en-US" w:eastAsia="zh-CN" w:bidi="ar"/>
        </w:rPr>
        <w:t>资金计划、到位及使用情况</w:t>
      </w:r>
      <w:bookmarkEnd w:id="226"/>
      <w:bookmarkEnd w:id="227"/>
    </w:p>
    <w:p w14:paraId="3E87CF2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1、资金计划。司法局普法</w:t>
      </w:r>
      <w:r>
        <w:rPr>
          <w:rFonts w:hint="eastAsia" w:ascii="仿宋_GB2312" w:hAnsi="仿宋_GB2312" w:eastAsia="仿宋_GB2312" w:cs="仿宋_GB2312"/>
          <w:b w:val="0"/>
          <w:i w:val="0"/>
          <w:caps w:val="0"/>
          <w:color w:val="auto"/>
          <w:spacing w:val="0"/>
          <w:sz w:val="32"/>
          <w:szCs w:val="32"/>
          <w:shd w:val="clear" w:fill="FFFFFF"/>
          <w:lang w:eastAsia="zh-CN"/>
        </w:rPr>
        <w:t>宣传</w:t>
      </w:r>
      <w:r>
        <w:rPr>
          <w:rFonts w:hint="eastAsia" w:ascii="仿宋_GB2312" w:hAnsi="仿宋_GB2312" w:eastAsia="仿宋_GB2312" w:cs="仿宋_GB2312"/>
          <w:b w:val="0"/>
          <w:i w:val="0"/>
          <w:caps w:val="0"/>
          <w:color w:val="auto"/>
          <w:spacing w:val="0"/>
          <w:sz w:val="32"/>
          <w:szCs w:val="32"/>
          <w:shd w:val="clear" w:fill="FFFFFF"/>
        </w:rPr>
        <w:t>经费年初预算资金</w:t>
      </w:r>
      <w:r>
        <w:rPr>
          <w:rFonts w:hint="eastAsia" w:ascii="仿宋_GB2312" w:hAnsi="仿宋_GB2312" w:eastAsia="仿宋_GB2312" w:cs="仿宋_GB2312"/>
          <w:b w:val="0"/>
          <w:i w:val="0"/>
          <w:caps w:val="0"/>
          <w:color w:val="auto"/>
          <w:spacing w:val="0"/>
          <w:sz w:val="32"/>
          <w:szCs w:val="32"/>
          <w:shd w:val="clear" w:fill="FFFFFF"/>
          <w:lang w:val="en-US" w:eastAsia="zh-CN"/>
        </w:rPr>
        <w:t>8</w:t>
      </w:r>
      <w:r>
        <w:rPr>
          <w:rFonts w:hint="eastAsia" w:ascii="仿宋_GB2312" w:hAnsi="仿宋_GB2312" w:eastAsia="仿宋_GB2312" w:cs="仿宋_GB2312"/>
          <w:b w:val="0"/>
          <w:i w:val="0"/>
          <w:caps w:val="0"/>
          <w:color w:val="auto"/>
          <w:spacing w:val="0"/>
          <w:sz w:val="32"/>
          <w:szCs w:val="32"/>
          <w:shd w:val="clear" w:fill="FFFFFF"/>
        </w:rPr>
        <w:t>万元。在实施过程中，于20</w:t>
      </w:r>
      <w:r>
        <w:rPr>
          <w:rFonts w:hint="eastAsia" w:ascii="仿宋_GB2312" w:hAnsi="仿宋_GB2312" w:eastAsia="仿宋_GB2312" w:cs="仿宋_GB2312"/>
          <w:b w:val="0"/>
          <w:i w:val="0"/>
          <w:caps w:val="0"/>
          <w:color w:val="auto"/>
          <w:spacing w:val="0"/>
          <w:sz w:val="32"/>
          <w:szCs w:val="32"/>
          <w:shd w:val="clear" w:fill="FFFFFF"/>
          <w:lang w:val="en-US" w:eastAsia="zh-CN"/>
        </w:rPr>
        <w:t>25</w:t>
      </w:r>
      <w:r>
        <w:rPr>
          <w:rFonts w:hint="eastAsia" w:ascii="仿宋_GB2312" w:hAnsi="仿宋_GB2312" w:eastAsia="仿宋_GB2312" w:cs="仿宋_GB2312"/>
          <w:b w:val="0"/>
          <w:i w:val="0"/>
          <w:caps w:val="0"/>
          <w:color w:val="auto"/>
          <w:spacing w:val="0"/>
          <w:sz w:val="32"/>
          <w:szCs w:val="32"/>
          <w:shd w:val="clear" w:fill="FFFFFF"/>
        </w:rPr>
        <w:t>年申请并批复资金共计</w:t>
      </w:r>
      <w:r>
        <w:rPr>
          <w:rFonts w:hint="eastAsia" w:ascii="仿宋_GB2312" w:hAnsi="仿宋_GB2312" w:eastAsia="仿宋_GB2312" w:cs="仿宋_GB2312"/>
          <w:b w:val="0"/>
          <w:i w:val="0"/>
          <w:caps w:val="0"/>
          <w:color w:val="auto"/>
          <w:spacing w:val="0"/>
          <w:sz w:val="32"/>
          <w:szCs w:val="32"/>
          <w:shd w:val="clear" w:fill="FFFFFF"/>
          <w:lang w:val="en-US" w:eastAsia="zh-CN"/>
        </w:rPr>
        <w:t>8</w:t>
      </w:r>
      <w:r>
        <w:rPr>
          <w:rFonts w:hint="eastAsia" w:ascii="仿宋_GB2312" w:hAnsi="仿宋_GB2312" w:eastAsia="仿宋_GB2312" w:cs="仿宋_GB2312"/>
          <w:b w:val="0"/>
          <w:i w:val="0"/>
          <w:caps w:val="0"/>
          <w:color w:val="auto"/>
          <w:spacing w:val="0"/>
          <w:sz w:val="32"/>
          <w:szCs w:val="32"/>
          <w:shd w:val="clear" w:fill="FFFFFF"/>
        </w:rPr>
        <w:t>万元。</w:t>
      </w:r>
    </w:p>
    <w:p w14:paraId="593B73FA">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2、资金到位。截止20</w:t>
      </w:r>
      <w:r>
        <w:rPr>
          <w:rFonts w:hint="eastAsia" w:ascii="仿宋_GB2312" w:hAnsi="仿宋_GB2312" w:eastAsia="仿宋_GB2312" w:cs="仿宋_GB2312"/>
          <w:b w:val="0"/>
          <w:i w:val="0"/>
          <w:caps w:val="0"/>
          <w:color w:val="auto"/>
          <w:spacing w:val="0"/>
          <w:sz w:val="32"/>
          <w:szCs w:val="32"/>
          <w:shd w:val="clear" w:fill="FFFFFF"/>
          <w:lang w:val="en-US" w:eastAsia="zh-CN"/>
        </w:rPr>
        <w:t>25</w:t>
      </w:r>
      <w:r>
        <w:rPr>
          <w:rFonts w:hint="eastAsia" w:ascii="仿宋_GB2312" w:hAnsi="仿宋_GB2312" w:eastAsia="仿宋_GB2312" w:cs="仿宋_GB2312"/>
          <w:b w:val="0"/>
          <w:i w:val="0"/>
          <w:caps w:val="0"/>
          <w:color w:val="auto"/>
          <w:spacing w:val="0"/>
          <w:sz w:val="32"/>
          <w:szCs w:val="32"/>
          <w:shd w:val="clear" w:fill="FFFFFF"/>
        </w:rPr>
        <w:t>年12月31日，所有计划资金全部到位，共计</w:t>
      </w:r>
      <w:r>
        <w:rPr>
          <w:rFonts w:hint="eastAsia" w:ascii="仿宋_GB2312" w:hAnsi="仿宋_GB2312" w:eastAsia="仿宋_GB2312" w:cs="仿宋_GB2312"/>
          <w:b w:val="0"/>
          <w:i w:val="0"/>
          <w:caps w:val="0"/>
          <w:color w:val="auto"/>
          <w:spacing w:val="0"/>
          <w:sz w:val="32"/>
          <w:szCs w:val="32"/>
          <w:shd w:val="clear" w:fill="FFFFFF"/>
          <w:lang w:val="en-US" w:eastAsia="zh-CN"/>
        </w:rPr>
        <w:t>8</w:t>
      </w:r>
      <w:r>
        <w:rPr>
          <w:rFonts w:hint="eastAsia" w:ascii="仿宋_GB2312" w:hAnsi="仿宋_GB2312" w:eastAsia="仿宋_GB2312" w:cs="仿宋_GB2312"/>
          <w:b w:val="0"/>
          <w:i w:val="0"/>
          <w:caps w:val="0"/>
          <w:color w:val="auto"/>
          <w:spacing w:val="0"/>
          <w:sz w:val="32"/>
          <w:szCs w:val="32"/>
          <w:shd w:val="clear" w:fill="FFFFFF"/>
        </w:rPr>
        <w:t>万元。</w:t>
      </w:r>
    </w:p>
    <w:p w14:paraId="7795CC69">
      <w:pPr>
        <w:adjustRightInd w:val="0"/>
        <w:snapToGrid w:val="0"/>
        <w:spacing w:line="600" w:lineRule="exact"/>
        <w:ind w:firstLine="720"/>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rPr>
        <w:t>3、资金使用。截止20</w:t>
      </w:r>
      <w:r>
        <w:rPr>
          <w:rFonts w:hint="eastAsia" w:ascii="仿宋_GB2312" w:hAnsi="仿宋_GB2312" w:eastAsia="仿宋_GB2312" w:cs="仿宋_GB2312"/>
          <w:b w:val="0"/>
          <w:i w:val="0"/>
          <w:caps w:val="0"/>
          <w:color w:val="auto"/>
          <w:spacing w:val="0"/>
          <w:sz w:val="32"/>
          <w:szCs w:val="32"/>
          <w:shd w:val="clear" w:fill="FFFFFF"/>
          <w:lang w:val="en-US" w:eastAsia="zh-CN"/>
        </w:rPr>
        <w:t>25</w:t>
      </w:r>
      <w:r>
        <w:rPr>
          <w:rFonts w:hint="eastAsia" w:ascii="仿宋_GB2312" w:hAnsi="仿宋_GB2312" w:eastAsia="仿宋_GB2312" w:cs="仿宋_GB2312"/>
          <w:b w:val="0"/>
          <w:i w:val="0"/>
          <w:caps w:val="0"/>
          <w:color w:val="auto"/>
          <w:spacing w:val="0"/>
          <w:sz w:val="32"/>
          <w:szCs w:val="32"/>
          <w:shd w:val="clear" w:fill="FFFFFF"/>
        </w:rPr>
        <w:t>年12月31日，普法经费已支出</w:t>
      </w:r>
      <w:r>
        <w:rPr>
          <w:rFonts w:hint="eastAsia" w:ascii="仿宋_GB2312" w:hAnsi="仿宋_GB2312" w:eastAsia="仿宋_GB2312" w:cs="仿宋_GB2312"/>
          <w:b w:val="0"/>
          <w:i w:val="0"/>
          <w:caps w:val="0"/>
          <w:color w:val="auto"/>
          <w:spacing w:val="0"/>
          <w:sz w:val="32"/>
          <w:szCs w:val="32"/>
          <w:shd w:val="clear" w:fill="FFFFFF"/>
          <w:lang w:val="en-US" w:eastAsia="zh-CN"/>
        </w:rPr>
        <w:t>89.13%</w:t>
      </w:r>
      <w:r>
        <w:rPr>
          <w:rFonts w:hint="eastAsia" w:ascii="仿宋_GB2312" w:hAnsi="仿宋_GB2312" w:eastAsia="仿宋_GB2312" w:cs="仿宋_GB2312"/>
          <w:b w:val="0"/>
          <w:i w:val="0"/>
          <w:caps w:val="0"/>
          <w:color w:val="auto"/>
          <w:spacing w:val="0"/>
          <w:sz w:val="32"/>
          <w:szCs w:val="32"/>
          <w:shd w:val="clear" w:fill="FFFFFF"/>
        </w:rPr>
        <w:t>，共计</w:t>
      </w:r>
      <w:r>
        <w:rPr>
          <w:rFonts w:hint="eastAsia" w:ascii="仿宋_GB2312" w:hAnsi="仿宋_GB2312" w:eastAsia="仿宋_GB2312" w:cs="仿宋_GB2312"/>
          <w:b w:val="0"/>
          <w:i w:val="0"/>
          <w:caps w:val="0"/>
          <w:color w:val="auto"/>
          <w:spacing w:val="0"/>
          <w:sz w:val="32"/>
          <w:szCs w:val="32"/>
          <w:shd w:val="clear" w:fill="FFFFFF"/>
          <w:lang w:val="en-US" w:eastAsia="zh-CN"/>
        </w:rPr>
        <w:t>7.13</w:t>
      </w:r>
      <w:r>
        <w:rPr>
          <w:rFonts w:hint="eastAsia" w:ascii="仿宋_GB2312" w:hAnsi="仿宋_GB2312" w:eastAsia="仿宋_GB2312" w:cs="仿宋_GB2312"/>
          <w:b w:val="0"/>
          <w:i w:val="0"/>
          <w:caps w:val="0"/>
          <w:color w:val="auto"/>
          <w:spacing w:val="0"/>
          <w:sz w:val="32"/>
          <w:szCs w:val="32"/>
          <w:shd w:val="clear" w:fill="FFFFFF"/>
        </w:rPr>
        <w:t>万元，主要用于：</w:t>
      </w:r>
      <w:r>
        <w:rPr>
          <w:rFonts w:hint="eastAsia" w:ascii="仿宋_GB2312" w:hAnsi="仿宋_GB2312" w:eastAsia="仿宋_GB2312" w:cs="仿宋_GB2312"/>
          <w:b w:val="0"/>
          <w:i w:val="0"/>
          <w:caps w:val="0"/>
          <w:color w:val="auto"/>
          <w:spacing w:val="0"/>
          <w:sz w:val="32"/>
          <w:szCs w:val="32"/>
          <w:shd w:val="clear" w:fill="FFFFFF"/>
          <w:lang w:eastAsia="zh-CN"/>
        </w:rPr>
        <w:t>购买</w:t>
      </w:r>
      <w:r>
        <w:rPr>
          <w:rFonts w:hint="eastAsia" w:ascii="仿宋_GB2312" w:hAnsi="仿宋_GB2312" w:eastAsia="仿宋_GB2312" w:cs="仿宋_GB2312"/>
          <w:b w:val="0"/>
          <w:i w:val="0"/>
          <w:caps w:val="0"/>
          <w:color w:val="auto"/>
          <w:spacing w:val="0"/>
          <w:sz w:val="32"/>
          <w:szCs w:val="32"/>
          <w:shd w:val="clear" w:fill="FFFFFF"/>
        </w:rPr>
        <w:t>普法宣传资料、</w:t>
      </w:r>
      <w:r>
        <w:rPr>
          <w:rFonts w:hint="eastAsia" w:ascii="仿宋_GB2312" w:hAnsi="仿宋_GB2312" w:eastAsia="仿宋_GB2312" w:cs="仿宋_GB2312"/>
          <w:b w:val="0"/>
          <w:i w:val="0"/>
          <w:caps w:val="0"/>
          <w:color w:val="auto"/>
          <w:spacing w:val="0"/>
          <w:sz w:val="32"/>
          <w:szCs w:val="32"/>
          <w:shd w:val="clear" w:fill="FFFFFF"/>
          <w:lang w:eastAsia="zh-CN"/>
        </w:rPr>
        <w:t>开展</w:t>
      </w:r>
      <w:r>
        <w:rPr>
          <w:rFonts w:hint="eastAsia" w:ascii="仿宋_GB2312" w:hAnsi="仿宋_GB2312" w:eastAsia="仿宋_GB2312" w:cs="仿宋_GB2312"/>
          <w:b w:val="0"/>
          <w:i w:val="0"/>
          <w:caps w:val="0"/>
          <w:color w:val="auto"/>
          <w:spacing w:val="0"/>
          <w:sz w:val="32"/>
          <w:szCs w:val="32"/>
          <w:shd w:val="clear" w:fill="FFFFFF"/>
        </w:rPr>
        <w:t>普法宣传活动、12.4宪法日宣传活动</w:t>
      </w:r>
      <w:r>
        <w:rPr>
          <w:rFonts w:hint="eastAsia" w:ascii="仿宋_GB2312" w:hAnsi="仿宋_GB2312" w:eastAsia="仿宋_GB2312" w:cs="仿宋_GB2312"/>
          <w:b w:val="0"/>
          <w:i w:val="0"/>
          <w:caps w:val="0"/>
          <w:color w:val="auto"/>
          <w:spacing w:val="0"/>
          <w:sz w:val="32"/>
          <w:szCs w:val="32"/>
          <w:shd w:val="clear" w:fill="FFFFFF"/>
          <w:lang w:eastAsia="zh-CN"/>
        </w:rPr>
        <w:t>等</w:t>
      </w:r>
      <w:r>
        <w:rPr>
          <w:rFonts w:hint="eastAsia" w:ascii="仿宋_GB2312" w:hAnsi="仿宋_GB2312" w:eastAsia="仿宋_GB2312" w:cs="仿宋_GB2312"/>
          <w:b w:val="0"/>
          <w:i w:val="0"/>
          <w:caps w:val="0"/>
          <w:color w:val="auto"/>
          <w:spacing w:val="0"/>
          <w:sz w:val="32"/>
          <w:szCs w:val="32"/>
          <w:shd w:val="clear" w:fill="FFFFFF"/>
        </w:rPr>
        <w:t>支出。</w:t>
      </w:r>
    </w:p>
    <w:p w14:paraId="1C405AA5">
      <w:pPr>
        <w:adjustRightInd w:val="0"/>
        <w:snapToGrid w:val="0"/>
        <w:spacing w:line="600" w:lineRule="exact"/>
        <w:ind w:firstLine="720"/>
        <w:outlineLvl w:val="2"/>
        <w:rPr>
          <w:rFonts w:ascii="楷体_GB2312" w:hAnsi="宋体" w:eastAsia="楷体_GB2312"/>
          <w:b/>
          <w:sz w:val="32"/>
          <w:szCs w:val="32"/>
          <w:lang w:val="zh-CN"/>
        </w:rPr>
      </w:pPr>
      <w:bookmarkStart w:id="228" w:name="_Toc15294"/>
      <w:bookmarkStart w:id="229" w:name="_Toc25042"/>
      <w:r>
        <w:rPr>
          <w:rFonts w:hint="eastAsia" w:ascii="仿宋_GB2312" w:hAnsi="仿宋_GB2312" w:eastAsia="仿宋_GB2312" w:cs="仿宋_GB2312"/>
          <w:b w:val="0"/>
          <w:i w:val="0"/>
          <w:caps w:val="0"/>
          <w:color w:val="auto"/>
          <w:spacing w:val="0"/>
          <w:sz w:val="32"/>
          <w:szCs w:val="32"/>
          <w:shd w:val="clear" w:fill="FFFFFF"/>
          <w:lang w:eastAsia="zh-CN"/>
        </w:rPr>
        <w:t>（三）</w:t>
      </w:r>
      <w:r>
        <w:rPr>
          <w:rFonts w:hint="eastAsia" w:ascii="楷体_GB2312" w:hAnsi="宋体" w:eastAsia="楷体_GB2312"/>
          <w:b/>
          <w:sz w:val="32"/>
          <w:szCs w:val="32"/>
          <w:lang w:val="zh-CN"/>
        </w:rPr>
        <w:t>项目财务管理情况。</w:t>
      </w:r>
      <w:bookmarkEnd w:id="228"/>
      <w:bookmarkEnd w:id="229"/>
    </w:p>
    <w:p w14:paraId="0241B0E2">
      <w:pPr>
        <w:adjustRightInd w:val="0"/>
        <w:snapToGrid w:val="0"/>
        <w:spacing w:line="600" w:lineRule="exact"/>
        <w:ind w:firstLine="720"/>
        <w:rPr>
          <w:rFonts w:hint="eastAsia" w:ascii="仿宋_GB2312" w:hAnsi="仿宋_GB2312" w:eastAsia="仿宋_GB2312" w:cs="仿宋_GB2312"/>
          <w:b w:val="0"/>
          <w:i w:val="0"/>
          <w:caps w:val="0"/>
          <w:color w:val="auto"/>
          <w:spacing w:val="0"/>
          <w:sz w:val="32"/>
          <w:szCs w:val="32"/>
        </w:rPr>
      </w:pPr>
      <w:r>
        <w:rPr>
          <w:rFonts w:hint="eastAsia" w:ascii="仿宋_GB2312" w:hAnsi="宋体" w:eastAsia="仿宋_GB2312"/>
          <w:sz w:val="32"/>
          <w:szCs w:val="32"/>
          <w:lang w:val="zh-CN"/>
        </w:rPr>
        <w:t>司法局各项目实施财务管理制度健全，严格执行财务管理制度，账务处理及时，会计核算规范。</w:t>
      </w:r>
    </w:p>
    <w:p w14:paraId="084C6ED9">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left"/>
        <w:outlineLvl w:val="1"/>
        <w:rPr>
          <w:rFonts w:hint="eastAsia" w:ascii="黑体" w:hAnsi="黑体" w:eastAsia="黑体" w:cs="黑体"/>
          <w:b w:val="0"/>
          <w:i w:val="0"/>
          <w:caps w:val="0"/>
          <w:color w:val="auto"/>
          <w:spacing w:val="0"/>
          <w:sz w:val="32"/>
          <w:szCs w:val="32"/>
        </w:rPr>
      </w:pPr>
      <w:bookmarkStart w:id="230" w:name="_Toc21344"/>
      <w:bookmarkStart w:id="231" w:name="_Toc25150"/>
      <w:r>
        <w:rPr>
          <w:rFonts w:hint="eastAsia" w:ascii="黑体" w:hAnsi="黑体" w:eastAsia="黑体" w:cs="黑体"/>
          <w:b w:val="0"/>
          <w:i w:val="0"/>
          <w:caps w:val="0"/>
          <w:color w:val="auto"/>
          <w:spacing w:val="0"/>
          <w:sz w:val="32"/>
          <w:szCs w:val="32"/>
          <w:shd w:val="clear" w:fill="FFFFFF"/>
          <w:lang w:eastAsia="zh-CN"/>
        </w:rPr>
        <w:t>三、</w:t>
      </w:r>
      <w:r>
        <w:rPr>
          <w:rFonts w:hint="eastAsia" w:ascii="黑体" w:hAnsi="黑体" w:eastAsia="黑体" w:cs="黑体"/>
          <w:b w:val="0"/>
          <w:i w:val="0"/>
          <w:caps w:val="0"/>
          <w:color w:val="auto"/>
          <w:spacing w:val="0"/>
          <w:sz w:val="32"/>
          <w:szCs w:val="32"/>
          <w:shd w:val="clear" w:fill="FFFFFF"/>
        </w:rPr>
        <w:t>项目</w:t>
      </w:r>
      <w:r>
        <w:rPr>
          <w:rFonts w:hint="eastAsia" w:ascii="黑体" w:hAnsi="黑体" w:eastAsia="黑体" w:cs="黑体"/>
          <w:b w:val="0"/>
          <w:i w:val="0"/>
          <w:caps w:val="0"/>
          <w:color w:val="auto"/>
          <w:spacing w:val="0"/>
          <w:sz w:val="32"/>
          <w:szCs w:val="32"/>
          <w:shd w:val="clear" w:fill="FFFFFF"/>
          <w:lang w:eastAsia="zh-CN"/>
        </w:rPr>
        <w:t>实施及</w:t>
      </w:r>
      <w:r>
        <w:rPr>
          <w:rFonts w:hint="eastAsia" w:ascii="黑体" w:hAnsi="黑体" w:eastAsia="黑体" w:cs="黑体"/>
          <w:b w:val="0"/>
          <w:i w:val="0"/>
          <w:caps w:val="0"/>
          <w:color w:val="auto"/>
          <w:spacing w:val="0"/>
          <w:sz w:val="32"/>
          <w:szCs w:val="32"/>
          <w:shd w:val="clear" w:fill="FFFFFF"/>
        </w:rPr>
        <w:t>管理情况。</w:t>
      </w:r>
      <w:bookmarkEnd w:id="230"/>
      <w:bookmarkEnd w:id="231"/>
    </w:p>
    <w:p w14:paraId="00185C8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该项目严格会计核算，确保专款专用，实行专账核算；加强财务管理</w:t>
      </w:r>
      <w:r>
        <w:rPr>
          <w:rFonts w:hint="eastAsia" w:ascii="仿宋_GB2312" w:hAnsi="仿宋_GB2312" w:eastAsia="仿宋_GB2312" w:cs="仿宋_GB2312"/>
          <w:b w:val="0"/>
          <w:i w:val="0"/>
          <w:caps w:val="0"/>
          <w:color w:val="auto"/>
          <w:spacing w:val="0"/>
          <w:sz w:val="32"/>
          <w:szCs w:val="32"/>
          <w:shd w:val="clear" w:fill="FFFFFF"/>
          <w:lang w:val="en-US" w:eastAsia="zh-CN"/>
        </w:rPr>
        <w:t>,经费</w:t>
      </w:r>
      <w:r>
        <w:rPr>
          <w:rFonts w:hint="eastAsia" w:ascii="仿宋_GB2312" w:hAnsi="仿宋_GB2312" w:eastAsia="仿宋_GB2312" w:cs="仿宋_GB2312"/>
          <w:b w:val="0"/>
          <w:i w:val="0"/>
          <w:caps w:val="0"/>
          <w:color w:val="auto"/>
          <w:spacing w:val="0"/>
          <w:sz w:val="32"/>
          <w:szCs w:val="32"/>
          <w:shd w:val="clear" w:fill="FFFFFF"/>
        </w:rPr>
        <w:t>一律通过银行进行转帐结算；在资金使用过程中，严把监督审核关，建立健全内部审核制度，坚持经手、复核、领导审签后财务划款原则。</w:t>
      </w:r>
    </w:p>
    <w:p w14:paraId="518C73BE">
      <w:pPr>
        <w:keepNext w:val="0"/>
        <w:keepLines w:val="0"/>
        <w:widowControl w:val="0"/>
        <w:suppressLineNumbers w:val="0"/>
        <w:snapToGrid w:val="0"/>
        <w:spacing w:before="0" w:beforeAutospacing="0" w:after="0" w:afterAutospacing="0" w:line="580" w:lineRule="exact"/>
        <w:ind w:left="0" w:right="0" w:firstLine="640" w:firstLineChars="200"/>
        <w:jc w:val="both"/>
        <w:outlineLvl w:val="1"/>
        <w:rPr>
          <w:rFonts w:hint="eastAsia" w:ascii="黑体" w:hAnsi="黑体" w:eastAsia="黑体" w:cs="黑体"/>
          <w:color w:val="auto"/>
          <w:sz w:val="32"/>
          <w:szCs w:val="32"/>
          <w:lang w:val="en-US"/>
        </w:rPr>
      </w:pPr>
      <w:bookmarkStart w:id="232" w:name="_Toc14829"/>
      <w:bookmarkStart w:id="233" w:name="_Toc27873"/>
      <w:r>
        <w:rPr>
          <w:rFonts w:hint="eastAsia" w:ascii="黑体" w:hAnsi="黑体" w:eastAsia="黑体" w:cs="黑体"/>
          <w:color w:val="auto"/>
          <w:kern w:val="2"/>
          <w:sz w:val="32"/>
          <w:szCs w:val="32"/>
          <w:lang w:val="en-US" w:eastAsia="zh-CN" w:bidi="ar"/>
        </w:rPr>
        <w:t>四、项目绩效情况</w:t>
      </w:r>
      <w:bookmarkEnd w:id="232"/>
      <w:bookmarkEnd w:id="233"/>
    </w:p>
    <w:p w14:paraId="2C3E755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outlineLvl w:val="2"/>
        <w:rPr>
          <w:rFonts w:hint="eastAsia" w:ascii="宋体" w:hAnsi="宋体" w:eastAsia="仿宋_GB2312" w:cs="仿宋_GB2312"/>
          <w:b/>
          <w:bCs/>
          <w:color w:val="auto"/>
          <w:kern w:val="2"/>
          <w:sz w:val="32"/>
          <w:szCs w:val="21"/>
          <w:lang w:val="en-US" w:eastAsia="zh-CN" w:bidi="ar"/>
        </w:rPr>
      </w:pPr>
      <w:bookmarkStart w:id="234" w:name="_Toc1238"/>
      <w:bookmarkStart w:id="235" w:name="_Toc9391"/>
      <w:r>
        <w:rPr>
          <w:rFonts w:hint="eastAsia" w:ascii="宋体" w:hAnsi="宋体" w:eastAsia="仿宋_GB2312" w:cs="仿宋_GB2312"/>
          <w:b/>
          <w:bCs/>
          <w:color w:val="auto"/>
          <w:kern w:val="2"/>
          <w:sz w:val="32"/>
          <w:szCs w:val="21"/>
          <w:lang w:val="en-US" w:eastAsia="zh-CN" w:bidi="ar"/>
        </w:rPr>
        <w:t>（一）项目完成情况</w:t>
      </w:r>
      <w:bookmarkEnd w:id="234"/>
      <w:bookmarkEnd w:id="235"/>
    </w:p>
    <w:p w14:paraId="348FDD5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left"/>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lang w:val="en-US" w:eastAsia="zh-CN"/>
        </w:rPr>
        <w:t>1、</w:t>
      </w:r>
      <w:r>
        <w:rPr>
          <w:rFonts w:hint="eastAsia" w:ascii="仿宋_GB2312" w:hAnsi="仿宋_GB2312" w:eastAsia="仿宋_GB2312" w:cs="仿宋_GB2312"/>
          <w:b w:val="0"/>
          <w:i w:val="0"/>
          <w:caps w:val="0"/>
          <w:color w:val="auto"/>
          <w:spacing w:val="0"/>
          <w:sz w:val="32"/>
          <w:szCs w:val="32"/>
          <w:shd w:val="clear" w:fill="FFFFFF"/>
        </w:rPr>
        <w:t>目标完成任务量。</w:t>
      </w:r>
    </w:p>
    <w:p w14:paraId="225B895F">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2025年，累计开展各类法治宣讲活动已达100次，各项受教育人数达6.10万余人，发放各类宣传资料数1.2万份。</w:t>
      </w:r>
    </w:p>
    <w:p w14:paraId="009FA8E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lang w:val="en-US" w:eastAsia="zh-CN"/>
        </w:rPr>
        <w:t>2、</w:t>
      </w:r>
      <w:r>
        <w:rPr>
          <w:rFonts w:hint="eastAsia" w:ascii="仿宋_GB2312" w:hAnsi="仿宋_GB2312" w:eastAsia="仿宋_GB2312" w:cs="仿宋_GB2312"/>
          <w:b w:val="0"/>
          <w:i w:val="0"/>
          <w:caps w:val="0"/>
          <w:color w:val="auto"/>
          <w:spacing w:val="0"/>
          <w:sz w:val="32"/>
          <w:szCs w:val="32"/>
          <w:shd w:val="clear" w:fill="FFFFFF"/>
        </w:rPr>
        <w:t>目标完成质量。</w:t>
      </w:r>
    </w:p>
    <w:p w14:paraId="474A233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普法经费项目在上级有关部门的关心帮助下，在县委、县政府的领导下，顺利推进，圆满完成任务，达到预期目的。</w:t>
      </w:r>
    </w:p>
    <w:p w14:paraId="4A8D9B1B">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lang w:val="en-US" w:eastAsia="zh-CN"/>
        </w:rPr>
        <w:t>3、</w:t>
      </w:r>
      <w:r>
        <w:rPr>
          <w:rFonts w:hint="eastAsia" w:ascii="仿宋_GB2312" w:hAnsi="仿宋_GB2312" w:eastAsia="仿宋_GB2312" w:cs="仿宋_GB2312"/>
          <w:b w:val="0"/>
          <w:i w:val="0"/>
          <w:caps w:val="0"/>
          <w:color w:val="auto"/>
          <w:spacing w:val="0"/>
          <w:sz w:val="32"/>
          <w:szCs w:val="32"/>
          <w:shd w:val="clear" w:fill="FFFFFF"/>
        </w:rPr>
        <w:t>目标完成进度。</w:t>
      </w:r>
    </w:p>
    <w:p w14:paraId="08508F0F">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截止20</w:t>
      </w:r>
      <w:r>
        <w:rPr>
          <w:rFonts w:hint="eastAsia" w:ascii="仿宋_GB2312" w:hAnsi="仿宋_GB2312" w:eastAsia="仿宋_GB2312" w:cs="仿宋_GB2312"/>
          <w:b w:val="0"/>
          <w:i w:val="0"/>
          <w:caps w:val="0"/>
          <w:color w:val="auto"/>
          <w:spacing w:val="0"/>
          <w:sz w:val="32"/>
          <w:szCs w:val="32"/>
          <w:shd w:val="clear" w:fill="FFFFFF"/>
          <w:lang w:val="en-US" w:eastAsia="zh-CN"/>
        </w:rPr>
        <w:t>25</w:t>
      </w:r>
      <w:r>
        <w:rPr>
          <w:rFonts w:hint="eastAsia" w:ascii="仿宋_GB2312" w:hAnsi="仿宋_GB2312" w:eastAsia="仿宋_GB2312" w:cs="仿宋_GB2312"/>
          <w:b w:val="0"/>
          <w:i w:val="0"/>
          <w:caps w:val="0"/>
          <w:color w:val="auto"/>
          <w:spacing w:val="0"/>
          <w:sz w:val="32"/>
          <w:szCs w:val="32"/>
          <w:shd w:val="clear" w:fill="FFFFFF"/>
        </w:rPr>
        <w:t>年12月</w:t>
      </w:r>
      <w:r>
        <w:rPr>
          <w:rFonts w:hint="eastAsia" w:ascii="仿宋_GB2312" w:hAnsi="仿宋_GB2312" w:eastAsia="仿宋_GB2312" w:cs="仿宋_GB2312"/>
          <w:b w:val="0"/>
          <w:i w:val="0"/>
          <w:caps w:val="0"/>
          <w:color w:val="auto"/>
          <w:spacing w:val="0"/>
          <w:sz w:val="32"/>
          <w:szCs w:val="32"/>
          <w:shd w:val="clear" w:fill="FFFFFF"/>
          <w:lang w:val="en-US" w:eastAsia="zh-CN"/>
        </w:rPr>
        <w:t>31日</w:t>
      </w:r>
      <w:r>
        <w:rPr>
          <w:rFonts w:hint="eastAsia" w:ascii="仿宋_GB2312" w:hAnsi="仿宋_GB2312" w:eastAsia="仿宋_GB2312" w:cs="仿宋_GB2312"/>
          <w:b w:val="0"/>
          <w:i w:val="0"/>
          <w:caps w:val="0"/>
          <w:color w:val="auto"/>
          <w:spacing w:val="0"/>
          <w:sz w:val="32"/>
          <w:szCs w:val="32"/>
          <w:shd w:val="clear" w:fill="FFFFFF"/>
        </w:rPr>
        <w:t>，普法经费项目已全面完成。</w:t>
      </w:r>
    </w:p>
    <w:p w14:paraId="13E48EE4">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outlineLvl w:val="2"/>
        <w:rPr>
          <w:rFonts w:hint="eastAsia" w:ascii="黑体" w:hAnsi="黑体" w:eastAsia="黑体" w:cs="黑体"/>
          <w:b w:val="0"/>
          <w:i w:val="0"/>
          <w:caps w:val="0"/>
          <w:color w:val="auto"/>
          <w:spacing w:val="0"/>
          <w:sz w:val="21"/>
          <w:szCs w:val="21"/>
        </w:rPr>
      </w:pPr>
      <w:bookmarkStart w:id="236" w:name="_Toc17359"/>
      <w:bookmarkStart w:id="237" w:name="_Toc21401"/>
      <w:r>
        <w:rPr>
          <w:rFonts w:hint="eastAsia" w:ascii="黑体" w:hAnsi="黑体" w:eastAsia="黑体" w:cs="黑体"/>
          <w:color w:val="auto"/>
          <w:kern w:val="2"/>
          <w:sz w:val="32"/>
          <w:szCs w:val="21"/>
          <w:lang w:val="en-US" w:eastAsia="zh-CN" w:bidi="ar"/>
        </w:rPr>
        <w:t>（二）项目效益情况</w:t>
      </w:r>
      <w:bookmarkEnd w:id="236"/>
      <w:bookmarkEnd w:id="237"/>
    </w:p>
    <w:p w14:paraId="23DEAF2C">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宋体" w:hAnsi="宋体" w:eastAsia="仿宋_GB2312" w:cs="宋体"/>
          <w:b w:val="0"/>
          <w:i w:val="0"/>
          <w:caps w:val="0"/>
          <w:color w:val="auto"/>
          <w:spacing w:val="0"/>
          <w:sz w:val="21"/>
          <w:szCs w:val="21"/>
          <w:lang w:eastAsia="zh-CN"/>
        </w:rPr>
      </w:pPr>
      <w:r>
        <w:rPr>
          <w:rFonts w:hint="eastAsia" w:ascii="仿宋_GB2312" w:hAnsi="宋体" w:eastAsia="仿宋_GB2312" w:cs="仿宋_GB2312"/>
          <w:b w:val="0"/>
          <w:i w:val="0"/>
          <w:caps w:val="0"/>
          <w:color w:val="auto"/>
          <w:spacing w:val="0"/>
          <w:sz w:val="31"/>
          <w:szCs w:val="31"/>
        </w:rPr>
        <w:t>司法局项目经济效益指标是确保资金使用合理合规，加强保障</w:t>
      </w:r>
      <w:r>
        <w:rPr>
          <w:rFonts w:hint="eastAsia" w:ascii="仿宋_GB2312" w:hAnsi="宋体" w:eastAsia="仿宋_GB2312" w:cs="仿宋_GB2312"/>
          <w:b w:val="0"/>
          <w:i w:val="0"/>
          <w:caps w:val="0"/>
          <w:color w:val="auto"/>
          <w:spacing w:val="0"/>
          <w:sz w:val="31"/>
          <w:szCs w:val="31"/>
          <w:lang w:eastAsia="zh-CN"/>
        </w:rPr>
        <w:t>我县</w:t>
      </w:r>
      <w:r>
        <w:rPr>
          <w:rFonts w:hint="eastAsia" w:ascii="仿宋_GB2312" w:hAnsi="宋体" w:eastAsia="仿宋_GB2312" w:cs="仿宋_GB2312"/>
          <w:b w:val="0"/>
          <w:i w:val="0"/>
          <w:caps w:val="0"/>
          <w:color w:val="auto"/>
          <w:spacing w:val="0"/>
          <w:sz w:val="31"/>
          <w:szCs w:val="31"/>
        </w:rPr>
        <w:t>经济发展，创造良好环境。社会效益指标是不断提升司法行政各项业务工作能力，充分化解矛盾纠纷，加强律师培训，保证弱势群体应援尽援，维护</w:t>
      </w:r>
      <w:r>
        <w:rPr>
          <w:rFonts w:hint="eastAsia" w:ascii="仿宋_GB2312" w:hAnsi="宋体" w:eastAsia="仿宋_GB2312" w:cs="仿宋_GB2312"/>
          <w:b w:val="0"/>
          <w:i w:val="0"/>
          <w:caps w:val="0"/>
          <w:color w:val="auto"/>
          <w:spacing w:val="0"/>
          <w:sz w:val="31"/>
          <w:szCs w:val="31"/>
          <w:lang w:eastAsia="zh-CN"/>
        </w:rPr>
        <w:t>社会</w:t>
      </w:r>
      <w:r>
        <w:rPr>
          <w:rFonts w:hint="eastAsia" w:ascii="仿宋_GB2312" w:hAnsi="宋体" w:eastAsia="仿宋_GB2312" w:cs="仿宋_GB2312"/>
          <w:b w:val="0"/>
          <w:i w:val="0"/>
          <w:caps w:val="0"/>
          <w:color w:val="auto"/>
          <w:spacing w:val="0"/>
          <w:sz w:val="31"/>
          <w:szCs w:val="31"/>
        </w:rPr>
        <w:t>和谐稳定；生态效益指标是创造良好环境，保障人民群众安居乐业；可持续指标是维护社会政治稳定，不断提高公众安全感和满意度，做到人民群众满意</w:t>
      </w:r>
      <w:r>
        <w:rPr>
          <w:rFonts w:hint="eastAsia" w:ascii="仿宋_GB2312" w:hAnsi="宋体" w:eastAsia="仿宋_GB2312" w:cs="仿宋_GB2312"/>
          <w:b w:val="0"/>
          <w:i w:val="0"/>
          <w:caps w:val="0"/>
          <w:color w:val="auto"/>
          <w:spacing w:val="0"/>
          <w:sz w:val="31"/>
          <w:szCs w:val="31"/>
          <w:lang w:eastAsia="zh-CN"/>
        </w:rPr>
        <w:t>。</w:t>
      </w:r>
    </w:p>
    <w:p w14:paraId="0583FB81">
      <w:pPr>
        <w:pStyle w:val="1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640" w:leftChars="0" w:right="0" w:rightChars="0"/>
        <w:jc w:val="left"/>
        <w:outlineLvl w:val="1"/>
        <w:rPr>
          <w:rFonts w:hint="eastAsia" w:ascii="黑体" w:hAnsi="宋体" w:eastAsia="黑体" w:cs="黑体"/>
          <w:color w:val="auto"/>
          <w:kern w:val="2"/>
          <w:sz w:val="32"/>
          <w:szCs w:val="21"/>
          <w:lang w:val="en-US" w:eastAsia="zh-CN" w:bidi="ar"/>
        </w:rPr>
      </w:pPr>
      <w:bookmarkStart w:id="238" w:name="_Toc5962"/>
      <w:bookmarkStart w:id="239" w:name="_Toc27077"/>
      <w:r>
        <w:rPr>
          <w:rFonts w:hint="eastAsia" w:ascii="黑体" w:hAnsi="宋体" w:eastAsia="黑体" w:cs="黑体"/>
          <w:color w:val="auto"/>
          <w:kern w:val="2"/>
          <w:sz w:val="32"/>
          <w:szCs w:val="21"/>
          <w:lang w:val="en-US" w:eastAsia="zh-CN" w:bidi="ar"/>
        </w:rPr>
        <w:t>五、评价结论及建议</w:t>
      </w:r>
      <w:bookmarkEnd w:id="238"/>
      <w:bookmarkEnd w:id="239"/>
    </w:p>
    <w:p w14:paraId="1F4E5AF3">
      <w:pPr>
        <w:pStyle w:val="1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640" w:leftChars="0" w:right="0" w:rightChars="0"/>
        <w:jc w:val="left"/>
        <w:outlineLvl w:val="2"/>
        <w:rPr>
          <w:rFonts w:hint="eastAsia" w:ascii="黑体" w:hAnsi="宋体" w:eastAsia="黑体" w:cs="黑体"/>
          <w:color w:val="auto"/>
          <w:kern w:val="2"/>
          <w:sz w:val="32"/>
          <w:szCs w:val="21"/>
          <w:lang w:val="en-US" w:eastAsia="zh-CN" w:bidi="ar"/>
        </w:rPr>
      </w:pPr>
      <w:bookmarkStart w:id="240" w:name="_Toc10517"/>
      <w:bookmarkStart w:id="241" w:name="_Toc16636"/>
      <w:r>
        <w:rPr>
          <w:rFonts w:hint="eastAsia" w:ascii="黑体" w:hAnsi="宋体" w:eastAsia="黑体" w:cs="黑体"/>
          <w:color w:val="auto"/>
          <w:kern w:val="2"/>
          <w:sz w:val="32"/>
          <w:szCs w:val="21"/>
          <w:lang w:val="en-US" w:eastAsia="zh-CN" w:bidi="ar"/>
        </w:rPr>
        <w:t>（一）评价结论</w:t>
      </w:r>
      <w:bookmarkEnd w:id="240"/>
      <w:bookmarkEnd w:id="241"/>
    </w:p>
    <w:p w14:paraId="4E419C5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rPr>
          <w:rFonts w:hint="eastAsia" w:ascii="仿宋_GB2312" w:hAnsi="仿宋_GB2312" w:eastAsia="仿宋_GB2312" w:cs="仿宋_GB2312"/>
          <w:b w:val="0"/>
          <w:i w:val="0"/>
          <w:caps w:val="0"/>
          <w:color w:val="auto"/>
          <w:spacing w:val="0"/>
          <w:sz w:val="32"/>
          <w:szCs w:val="32"/>
          <w:shd w:val="clear" w:fill="FFFFFF"/>
          <w:lang w:val="en-US" w:eastAsia="zh-CN"/>
        </w:rPr>
      </w:pPr>
      <w:r>
        <w:rPr>
          <w:rFonts w:hint="eastAsia" w:ascii="仿宋_GB2312" w:hAnsi="仿宋_GB2312" w:eastAsia="仿宋_GB2312" w:cs="仿宋_GB2312"/>
          <w:b w:val="0"/>
          <w:i w:val="0"/>
          <w:caps w:val="0"/>
          <w:color w:val="auto"/>
          <w:spacing w:val="0"/>
          <w:sz w:val="32"/>
          <w:szCs w:val="32"/>
          <w:shd w:val="clear" w:fill="FFFFFF"/>
        </w:rPr>
        <w:t>通过全县普法宣传工作，使普法宣传走入人民群众日常生活，越来越多的群众学会拿起法律的武器来维护自身的权益，树立了法治观念</w:t>
      </w:r>
      <w:r>
        <w:rPr>
          <w:rFonts w:hint="eastAsia" w:ascii="仿宋_GB2312" w:hAnsi="仿宋_GB2312" w:eastAsia="仿宋_GB2312" w:cs="仿宋_GB2312"/>
          <w:b w:val="0"/>
          <w:i w:val="0"/>
          <w:caps w:val="0"/>
          <w:color w:val="auto"/>
          <w:spacing w:val="0"/>
          <w:sz w:val="32"/>
          <w:szCs w:val="32"/>
          <w:shd w:val="clear" w:fill="FFFFFF"/>
          <w:lang w:val="en-US" w:eastAsia="zh-CN"/>
        </w:rPr>
        <w:t>,</w:t>
      </w:r>
      <w:r>
        <w:rPr>
          <w:rFonts w:hint="eastAsia" w:ascii="仿宋_GB2312" w:hAnsi="仿宋_GB2312" w:eastAsia="仿宋_GB2312" w:cs="仿宋_GB2312"/>
          <w:b w:val="0"/>
          <w:i w:val="0"/>
          <w:caps w:val="0"/>
          <w:color w:val="auto"/>
          <w:spacing w:val="0"/>
          <w:sz w:val="32"/>
          <w:szCs w:val="32"/>
          <w:shd w:val="clear" w:fill="FFFFFF"/>
        </w:rPr>
        <w:t>维护社会和谐稳定中发挥了重要作用。</w:t>
      </w:r>
      <w:r>
        <w:rPr>
          <w:rFonts w:hint="eastAsia" w:ascii="仿宋_GB2312" w:hAnsi="仿宋_GB2312" w:eastAsia="仿宋_GB2312" w:cs="仿宋_GB2312"/>
          <w:b w:val="0"/>
          <w:i w:val="0"/>
          <w:caps w:val="0"/>
          <w:color w:val="auto"/>
          <w:spacing w:val="0"/>
          <w:sz w:val="32"/>
          <w:szCs w:val="32"/>
          <w:shd w:val="clear" w:fill="FFFFFF"/>
          <w:lang w:eastAsia="zh-CN"/>
        </w:rPr>
        <w:t>项目评价得分</w:t>
      </w:r>
      <w:r>
        <w:rPr>
          <w:rFonts w:hint="eastAsia" w:ascii="仿宋_GB2312" w:hAnsi="仿宋_GB2312" w:eastAsia="仿宋_GB2312" w:cs="仿宋_GB2312"/>
          <w:b w:val="0"/>
          <w:i w:val="0"/>
          <w:caps w:val="0"/>
          <w:color w:val="auto"/>
          <w:spacing w:val="0"/>
          <w:sz w:val="32"/>
          <w:szCs w:val="32"/>
          <w:shd w:val="clear" w:fill="FFFFFF"/>
          <w:lang w:val="en-US" w:eastAsia="zh-CN"/>
        </w:rPr>
        <w:t>95分。</w:t>
      </w:r>
      <w:bookmarkStart w:id="278" w:name="_GoBack"/>
      <w:bookmarkEnd w:id="278"/>
    </w:p>
    <w:p w14:paraId="3C26346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95"/>
        <w:jc w:val="left"/>
        <w:outlineLvl w:val="2"/>
        <w:rPr>
          <w:rFonts w:hint="eastAsia" w:ascii="黑体" w:hAnsi="黑体" w:eastAsia="黑体" w:cs="黑体"/>
          <w:b/>
          <w:bCs/>
          <w:i w:val="0"/>
          <w:caps w:val="0"/>
          <w:color w:val="auto"/>
          <w:spacing w:val="0"/>
          <w:sz w:val="32"/>
          <w:szCs w:val="32"/>
          <w:shd w:val="clear" w:fill="FFFFFF"/>
          <w:lang w:val="en-US" w:eastAsia="zh-CN"/>
        </w:rPr>
      </w:pPr>
      <w:bookmarkStart w:id="242" w:name="_Toc26113"/>
      <w:bookmarkStart w:id="243" w:name="_Toc6026"/>
      <w:r>
        <w:rPr>
          <w:rFonts w:hint="eastAsia" w:ascii="黑体" w:hAnsi="黑体" w:eastAsia="黑体" w:cs="黑体"/>
          <w:b/>
          <w:bCs/>
          <w:i w:val="0"/>
          <w:caps w:val="0"/>
          <w:color w:val="auto"/>
          <w:spacing w:val="0"/>
          <w:sz w:val="32"/>
          <w:szCs w:val="32"/>
          <w:shd w:val="clear" w:fill="FFFFFF"/>
          <w:lang w:val="en-US" w:eastAsia="zh-CN"/>
        </w:rPr>
        <w:t>（二）存在的问题</w:t>
      </w:r>
      <w:bookmarkEnd w:id="242"/>
      <w:bookmarkEnd w:id="243"/>
    </w:p>
    <w:p w14:paraId="35FCDD99">
      <w:pPr>
        <w:pStyle w:val="1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rightChars="0" w:firstLine="640" w:firstLineChars="200"/>
        <w:jc w:val="left"/>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普法是一项需要长期坚持的工作，要让群众真正成为法律的守护者、真正能运用法律来维护自身的合法权益还需要长期的时间。</w:t>
      </w:r>
    </w:p>
    <w:p w14:paraId="6C94F19C">
      <w:pPr>
        <w:pStyle w:val="1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rightChars="0" w:firstLine="640" w:firstLineChars="200"/>
        <w:jc w:val="left"/>
        <w:outlineLvl w:val="2"/>
        <w:rPr>
          <w:rFonts w:hint="eastAsia" w:ascii="黑体" w:hAnsi="宋体" w:eastAsia="黑体" w:cs="黑体"/>
          <w:color w:val="auto"/>
          <w:kern w:val="2"/>
          <w:sz w:val="32"/>
          <w:szCs w:val="21"/>
          <w:lang w:val="en-US" w:eastAsia="zh-CN" w:bidi="ar"/>
        </w:rPr>
      </w:pPr>
      <w:bookmarkStart w:id="244" w:name="_Toc17185"/>
      <w:bookmarkStart w:id="245" w:name="_Toc21332"/>
      <w:r>
        <w:rPr>
          <w:rFonts w:hint="eastAsia" w:ascii="黑体" w:hAnsi="宋体" w:eastAsia="黑体" w:cs="黑体"/>
          <w:color w:val="auto"/>
          <w:kern w:val="2"/>
          <w:sz w:val="32"/>
          <w:szCs w:val="21"/>
          <w:lang w:val="en-US" w:eastAsia="zh-CN" w:bidi="ar"/>
        </w:rPr>
        <w:t>(三)相关建议</w:t>
      </w:r>
      <w:bookmarkEnd w:id="244"/>
      <w:bookmarkEnd w:id="245"/>
    </w:p>
    <w:p w14:paraId="451CB457">
      <w:pPr>
        <w:pStyle w:val="1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rightChars="0" w:firstLine="640" w:firstLineChars="200"/>
        <w:jc w:val="left"/>
        <w:rPr>
          <w:rFonts w:hint="eastAsia" w:ascii="仿宋_GB2312" w:hAnsi="仿宋_GB2312" w:eastAsia="仿宋_GB2312" w:cs="仿宋_GB2312"/>
          <w:b w:val="0"/>
          <w:i w:val="0"/>
          <w:caps w:val="0"/>
          <w:color w:val="auto"/>
          <w:spacing w:val="0"/>
          <w:sz w:val="32"/>
          <w:szCs w:val="32"/>
          <w:lang w:eastAsia="zh-CN"/>
        </w:rPr>
      </w:pPr>
      <w:r>
        <w:rPr>
          <w:rFonts w:hint="eastAsia" w:ascii="仿宋_GB2312" w:hAnsi="仿宋_GB2312" w:eastAsia="仿宋_GB2312" w:cs="仿宋_GB2312"/>
          <w:b w:val="0"/>
          <w:i w:val="0"/>
          <w:caps w:val="0"/>
          <w:color w:val="auto"/>
          <w:spacing w:val="0"/>
          <w:sz w:val="32"/>
          <w:szCs w:val="32"/>
          <w:shd w:val="clear" w:fill="FFFFFF"/>
        </w:rPr>
        <w:t>适当增加普法经费的预算，完善普法配套设施，真正实现全县普法宣传工作能够全面覆盖</w:t>
      </w:r>
      <w:r>
        <w:rPr>
          <w:rFonts w:hint="eastAsia" w:ascii="仿宋_GB2312" w:hAnsi="仿宋_GB2312" w:eastAsia="仿宋_GB2312" w:cs="仿宋_GB2312"/>
          <w:b w:val="0"/>
          <w:i w:val="0"/>
          <w:caps w:val="0"/>
          <w:color w:val="auto"/>
          <w:spacing w:val="0"/>
          <w:sz w:val="32"/>
          <w:szCs w:val="32"/>
          <w:shd w:val="clear" w:fill="FFFFFF"/>
          <w:lang w:eastAsia="zh-CN"/>
        </w:rPr>
        <w:t>。</w:t>
      </w:r>
    </w:p>
    <w:p w14:paraId="035386E7">
      <w:pPr>
        <w:pStyle w:val="6"/>
        <w:numPr>
          <w:ilvl w:val="0"/>
          <w:numId w:val="0"/>
        </w:numPr>
        <w:ind w:leftChars="150" w:right="0" w:rightChars="0"/>
      </w:pPr>
    </w:p>
    <w:p w14:paraId="554C6084">
      <w:pPr>
        <w:widowControl/>
        <w:ind w:firstLine="440" w:firstLineChars="100"/>
        <w:jc w:val="center"/>
        <w:rPr>
          <w:rFonts w:hint="eastAsia" w:ascii="黑体" w:hAnsi="黑体" w:eastAsia="黑体"/>
          <w:color w:val="000000"/>
          <w:sz w:val="44"/>
          <w:szCs w:val="44"/>
        </w:rPr>
      </w:pPr>
      <w:bookmarkStart w:id="246" w:name="_Toc79163885"/>
      <w:bookmarkStart w:id="247" w:name="_Toc79163635"/>
      <w:bookmarkStart w:id="248" w:name="_Toc15396618"/>
    </w:p>
    <w:p w14:paraId="02EA4968">
      <w:pPr>
        <w:widowControl/>
        <w:jc w:val="both"/>
        <w:rPr>
          <w:rFonts w:hint="eastAsia" w:ascii="黑体" w:hAnsi="黑体" w:eastAsia="黑体"/>
          <w:color w:val="000000"/>
          <w:sz w:val="44"/>
          <w:szCs w:val="44"/>
        </w:rPr>
      </w:pPr>
    </w:p>
    <w:p w14:paraId="63C50156">
      <w:pPr>
        <w:widowControl/>
        <w:jc w:val="center"/>
        <w:rPr>
          <w:rFonts w:hint="eastAsia" w:ascii="黑体" w:hAnsi="黑体" w:eastAsia="黑体"/>
          <w:color w:val="000000"/>
          <w:sz w:val="44"/>
          <w:szCs w:val="44"/>
        </w:rPr>
      </w:pPr>
    </w:p>
    <w:p w14:paraId="2C4F2544">
      <w:pPr>
        <w:widowControl/>
        <w:jc w:val="center"/>
        <w:outlineLvl w:val="0"/>
        <w:rPr>
          <w:rFonts w:hint="eastAsia" w:ascii="黑体" w:hAnsi="黑体" w:eastAsia="黑体"/>
          <w:color w:val="000000"/>
          <w:sz w:val="44"/>
          <w:szCs w:val="44"/>
        </w:rPr>
      </w:pPr>
      <w:bookmarkStart w:id="249" w:name="_Toc8452"/>
      <w:bookmarkStart w:id="250" w:name="_Toc29704"/>
    </w:p>
    <w:p w14:paraId="091A5F6A">
      <w:pPr>
        <w:widowControl/>
        <w:jc w:val="center"/>
        <w:outlineLvl w:val="0"/>
        <w:rPr>
          <w:rFonts w:hint="eastAsia" w:ascii="黑体" w:hAnsi="黑体" w:eastAsia="黑体"/>
          <w:color w:val="000000"/>
          <w:sz w:val="44"/>
          <w:szCs w:val="44"/>
        </w:rPr>
      </w:pPr>
    </w:p>
    <w:p w14:paraId="34948A58">
      <w:pPr>
        <w:widowControl/>
        <w:jc w:val="center"/>
        <w:outlineLvl w:val="0"/>
        <w:rPr>
          <w:rFonts w:hint="eastAsia" w:ascii="黑体" w:hAnsi="黑体" w:eastAsia="黑体"/>
          <w:color w:val="000000"/>
          <w:sz w:val="44"/>
          <w:szCs w:val="44"/>
        </w:rPr>
      </w:pPr>
    </w:p>
    <w:p w14:paraId="62D925FB">
      <w:pPr>
        <w:widowControl/>
        <w:jc w:val="center"/>
        <w:outlineLvl w:val="0"/>
        <w:rPr>
          <w:rFonts w:hint="eastAsia" w:ascii="黑体" w:hAnsi="黑体" w:eastAsia="黑体"/>
          <w:color w:val="000000"/>
          <w:sz w:val="44"/>
          <w:szCs w:val="44"/>
        </w:rPr>
      </w:pPr>
    </w:p>
    <w:p w14:paraId="3816892A">
      <w:pPr>
        <w:widowControl/>
        <w:jc w:val="center"/>
        <w:outlineLvl w:val="0"/>
        <w:rPr>
          <w:rFonts w:hint="eastAsia" w:ascii="黑体" w:hAnsi="黑体" w:eastAsia="黑体"/>
          <w:color w:val="000000"/>
          <w:sz w:val="44"/>
          <w:szCs w:val="44"/>
        </w:rPr>
      </w:pPr>
    </w:p>
    <w:p w14:paraId="3D0E44CD">
      <w:pPr>
        <w:widowControl/>
        <w:jc w:val="center"/>
        <w:outlineLvl w:val="0"/>
        <w:rPr>
          <w:rFonts w:hint="eastAsia" w:ascii="黑体" w:hAnsi="黑体" w:eastAsia="黑体"/>
          <w:color w:val="000000"/>
          <w:sz w:val="44"/>
          <w:szCs w:val="44"/>
        </w:rPr>
      </w:pPr>
    </w:p>
    <w:p w14:paraId="44257C78">
      <w:pPr>
        <w:widowControl/>
        <w:jc w:val="center"/>
        <w:outlineLvl w:val="0"/>
        <w:rPr>
          <w:rFonts w:hint="eastAsia" w:ascii="黑体" w:hAnsi="黑体" w:eastAsia="黑体"/>
          <w:color w:val="000000"/>
          <w:sz w:val="44"/>
          <w:szCs w:val="44"/>
        </w:rPr>
      </w:pPr>
    </w:p>
    <w:p w14:paraId="7F53ECC3">
      <w:pPr>
        <w:widowControl/>
        <w:jc w:val="center"/>
        <w:outlineLvl w:val="0"/>
        <w:rPr>
          <w:rFonts w:hint="eastAsia" w:ascii="黑体" w:hAnsi="黑体" w:eastAsia="黑体"/>
          <w:color w:val="000000"/>
          <w:sz w:val="44"/>
          <w:szCs w:val="44"/>
        </w:rPr>
      </w:pPr>
    </w:p>
    <w:p w14:paraId="4A337B6D">
      <w:pPr>
        <w:widowControl/>
        <w:jc w:val="center"/>
        <w:outlineLvl w:val="0"/>
        <w:rPr>
          <w:rFonts w:hint="eastAsia" w:ascii="黑体" w:hAnsi="黑体" w:eastAsia="黑体"/>
          <w:color w:val="000000"/>
          <w:sz w:val="44"/>
          <w:szCs w:val="44"/>
        </w:rPr>
      </w:pPr>
    </w:p>
    <w:p w14:paraId="2E9AB8E4">
      <w:pPr>
        <w:widowControl/>
        <w:jc w:val="center"/>
        <w:outlineLvl w:val="0"/>
        <w:rPr>
          <w:rFonts w:hint="eastAsia" w:ascii="黑体" w:hAnsi="黑体" w:eastAsia="黑体"/>
          <w:color w:val="000000"/>
          <w:sz w:val="44"/>
          <w:szCs w:val="44"/>
        </w:rPr>
      </w:pPr>
    </w:p>
    <w:p w14:paraId="51F9AADC">
      <w:pPr>
        <w:widowControl/>
        <w:jc w:val="center"/>
        <w:outlineLvl w:val="0"/>
        <w:rPr>
          <w:rFonts w:hint="eastAsia" w:ascii="黑体" w:hAnsi="黑体" w:eastAsia="黑体"/>
          <w:color w:val="000000"/>
          <w:sz w:val="44"/>
          <w:szCs w:val="44"/>
        </w:rPr>
      </w:pPr>
    </w:p>
    <w:p w14:paraId="775E9DF7">
      <w:pPr>
        <w:widowControl/>
        <w:jc w:val="center"/>
        <w:outlineLvl w:val="0"/>
        <w:rPr>
          <w:rFonts w:hint="eastAsia" w:ascii="黑体" w:hAnsi="黑体" w:eastAsia="黑体"/>
          <w:color w:val="000000"/>
          <w:sz w:val="44"/>
          <w:szCs w:val="44"/>
        </w:rPr>
      </w:pPr>
    </w:p>
    <w:p w14:paraId="79144C9E">
      <w:pPr>
        <w:widowControl/>
        <w:jc w:val="center"/>
        <w:outlineLvl w:val="0"/>
        <w:rPr>
          <w:rFonts w:hint="eastAsia" w:ascii="黑体" w:hAnsi="黑体" w:eastAsia="黑体"/>
          <w:color w:val="000000"/>
          <w:sz w:val="44"/>
          <w:szCs w:val="44"/>
        </w:rPr>
      </w:pPr>
    </w:p>
    <w:p w14:paraId="05CD4B24">
      <w:pPr>
        <w:widowControl/>
        <w:jc w:val="center"/>
        <w:outlineLvl w:val="0"/>
        <w:rPr>
          <w:rFonts w:hint="eastAsia"/>
          <w:lang w:val="en-US" w:eastAsia="zh-CN"/>
        </w:rPr>
      </w:pPr>
      <w:r>
        <w:rPr>
          <w:rFonts w:hint="eastAsia" w:ascii="黑体" w:hAnsi="黑体" w:eastAsia="黑体"/>
          <w:color w:val="000000"/>
          <w:sz w:val="44"/>
          <w:szCs w:val="44"/>
        </w:rPr>
        <w:t>第</w:t>
      </w:r>
      <w:r>
        <w:rPr>
          <w:rStyle w:val="19"/>
          <w:rFonts w:hint="eastAsia" w:ascii="黑体" w:hAnsi="黑体" w:eastAsia="黑体"/>
          <w:b w:val="0"/>
        </w:rPr>
        <w:t>五部分</w:t>
      </w:r>
      <w:r>
        <w:rPr>
          <w:rStyle w:val="19"/>
          <w:rFonts w:ascii="黑体" w:hAnsi="黑体" w:eastAsia="黑体"/>
          <w:b w:val="0"/>
        </w:rPr>
        <w:t xml:space="preserve"> </w:t>
      </w:r>
      <w:r>
        <w:rPr>
          <w:rStyle w:val="19"/>
          <w:rFonts w:hint="eastAsia" w:ascii="黑体" w:hAnsi="黑体" w:eastAsia="黑体"/>
          <w:b w:val="0"/>
        </w:rPr>
        <w:t>附表</w:t>
      </w:r>
      <w:bookmarkEnd w:id="172"/>
      <w:bookmarkEnd w:id="246"/>
      <w:bookmarkEnd w:id="247"/>
      <w:bookmarkEnd w:id="248"/>
      <w:bookmarkEnd w:id="249"/>
      <w:bookmarkEnd w:id="250"/>
    </w:p>
    <w:p w14:paraId="528717FB">
      <w:pPr>
        <w:pStyle w:val="3"/>
        <w:rPr>
          <w:rFonts w:ascii="仿宋" w:hAnsi="仿宋" w:eastAsia="仿宋"/>
          <w:color w:val="000000"/>
          <w:sz w:val="28"/>
          <w:szCs w:val="28"/>
        </w:rPr>
      </w:pPr>
      <w:bookmarkStart w:id="251" w:name="_Toc79163636"/>
      <w:bookmarkStart w:id="252" w:name="_Toc79163886"/>
      <w:bookmarkStart w:id="253" w:name="_Toc15396619"/>
      <w:r>
        <w:rPr>
          <w:rFonts w:hint="eastAsia" w:ascii="仿宋" w:hAnsi="仿宋" w:eastAsia="仿宋"/>
          <w:b w:val="0"/>
          <w:color w:val="000000"/>
          <w:sz w:val="28"/>
          <w:szCs w:val="28"/>
        </w:rPr>
        <w:t>一、收</w:t>
      </w:r>
      <w:r>
        <w:rPr>
          <w:rStyle w:val="20"/>
          <w:rFonts w:hint="eastAsia" w:ascii="仿宋" w:hAnsi="仿宋" w:eastAsia="仿宋"/>
          <w:b w:val="0"/>
          <w:bCs w:val="0"/>
          <w:sz w:val="28"/>
          <w:szCs w:val="28"/>
        </w:rPr>
        <w:t>入支出决算总表</w:t>
      </w:r>
      <w:bookmarkEnd w:id="251"/>
      <w:bookmarkEnd w:id="252"/>
      <w:bookmarkEnd w:id="253"/>
    </w:p>
    <w:p w14:paraId="6E51CDFF">
      <w:pPr>
        <w:pStyle w:val="3"/>
        <w:rPr>
          <w:rFonts w:ascii="仿宋" w:hAnsi="仿宋" w:eastAsia="仿宋"/>
          <w:color w:val="000000"/>
          <w:sz w:val="28"/>
          <w:szCs w:val="28"/>
        </w:rPr>
      </w:pPr>
      <w:bookmarkStart w:id="254" w:name="_Toc79163637"/>
      <w:bookmarkStart w:id="255" w:name="_Toc15396620"/>
      <w:bookmarkStart w:id="256" w:name="_Toc79163887"/>
      <w:r>
        <w:rPr>
          <w:rFonts w:hint="eastAsia" w:ascii="仿宋" w:hAnsi="仿宋" w:eastAsia="仿宋"/>
          <w:b w:val="0"/>
          <w:color w:val="000000"/>
          <w:sz w:val="28"/>
          <w:szCs w:val="28"/>
        </w:rPr>
        <w:t>二、收</w:t>
      </w:r>
      <w:r>
        <w:rPr>
          <w:rStyle w:val="20"/>
          <w:rFonts w:hint="eastAsia" w:ascii="仿宋" w:hAnsi="仿宋" w:eastAsia="仿宋"/>
          <w:b w:val="0"/>
          <w:bCs w:val="0"/>
          <w:sz w:val="28"/>
          <w:szCs w:val="28"/>
        </w:rPr>
        <w:t>入决算表</w:t>
      </w:r>
      <w:bookmarkEnd w:id="254"/>
      <w:bookmarkEnd w:id="255"/>
      <w:bookmarkEnd w:id="256"/>
    </w:p>
    <w:p w14:paraId="6C47DC28">
      <w:pPr>
        <w:pStyle w:val="3"/>
        <w:rPr>
          <w:rFonts w:ascii="仿宋" w:hAnsi="仿宋" w:eastAsia="仿宋"/>
          <w:color w:val="000000"/>
          <w:sz w:val="28"/>
          <w:szCs w:val="28"/>
        </w:rPr>
      </w:pPr>
      <w:bookmarkStart w:id="257" w:name="_Toc79163638"/>
      <w:bookmarkStart w:id="258" w:name="_Toc79163888"/>
      <w:bookmarkStart w:id="259" w:name="_Toc15396621"/>
      <w:r>
        <w:rPr>
          <w:rStyle w:val="20"/>
          <w:rFonts w:hint="eastAsia" w:ascii="仿宋" w:hAnsi="仿宋" w:eastAsia="仿宋"/>
          <w:b w:val="0"/>
          <w:bCs w:val="0"/>
          <w:sz w:val="28"/>
          <w:szCs w:val="28"/>
        </w:rPr>
        <w:t>三、</w:t>
      </w:r>
      <w:r>
        <w:rPr>
          <w:rFonts w:hint="eastAsia" w:ascii="仿宋" w:hAnsi="仿宋" w:eastAsia="仿宋"/>
          <w:b w:val="0"/>
          <w:color w:val="000000"/>
          <w:sz w:val="28"/>
          <w:szCs w:val="28"/>
        </w:rPr>
        <w:t>支</w:t>
      </w:r>
      <w:r>
        <w:rPr>
          <w:rStyle w:val="20"/>
          <w:rFonts w:hint="eastAsia" w:ascii="仿宋" w:hAnsi="仿宋" w:eastAsia="仿宋"/>
          <w:b w:val="0"/>
          <w:bCs w:val="0"/>
          <w:sz w:val="28"/>
          <w:szCs w:val="28"/>
        </w:rPr>
        <w:t>出决算表</w:t>
      </w:r>
      <w:bookmarkEnd w:id="257"/>
      <w:bookmarkEnd w:id="258"/>
      <w:bookmarkEnd w:id="259"/>
    </w:p>
    <w:p w14:paraId="740F6A48">
      <w:pPr>
        <w:pStyle w:val="3"/>
        <w:rPr>
          <w:rFonts w:ascii="仿宋" w:hAnsi="仿宋" w:eastAsia="仿宋"/>
          <w:b w:val="0"/>
          <w:color w:val="000000"/>
          <w:sz w:val="28"/>
          <w:szCs w:val="28"/>
        </w:rPr>
      </w:pPr>
      <w:bookmarkStart w:id="260" w:name="_Toc15396622"/>
      <w:bookmarkStart w:id="261" w:name="_Toc79163639"/>
      <w:bookmarkStart w:id="262" w:name="_Toc79163889"/>
      <w:r>
        <w:rPr>
          <w:rStyle w:val="20"/>
          <w:rFonts w:hint="eastAsia" w:ascii="仿宋" w:hAnsi="仿宋" w:eastAsia="仿宋"/>
          <w:b w:val="0"/>
          <w:bCs w:val="0"/>
          <w:sz w:val="28"/>
          <w:szCs w:val="28"/>
        </w:rPr>
        <w:t>四、</w:t>
      </w:r>
      <w:r>
        <w:rPr>
          <w:rFonts w:hint="eastAsia" w:ascii="仿宋" w:hAnsi="仿宋" w:eastAsia="仿宋"/>
          <w:b w:val="0"/>
          <w:color w:val="000000"/>
          <w:sz w:val="28"/>
          <w:szCs w:val="28"/>
        </w:rPr>
        <w:t>财</w:t>
      </w:r>
      <w:r>
        <w:rPr>
          <w:rStyle w:val="20"/>
          <w:rFonts w:hint="eastAsia" w:ascii="仿宋" w:hAnsi="仿宋" w:eastAsia="仿宋"/>
          <w:b w:val="0"/>
          <w:bCs w:val="0"/>
          <w:sz w:val="28"/>
          <w:szCs w:val="28"/>
        </w:rPr>
        <w:t>政拨款收入支出决算总表</w:t>
      </w:r>
      <w:bookmarkEnd w:id="260"/>
      <w:bookmarkEnd w:id="261"/>
      <w:bookmarkEnd w:id="262"/>
    </w:p>
    <w:p w14:paraId="4F493899">
      <w:pPr>
        <w:pStyle w:val="3"/>
        <w:rPr>
          <w:rStyle w:val="20"/>
          <w:rFonts w:ascii="仿宋" w:hAnsi="仿宋" w:eastAsia="仿宋"/>
          <w:b w:val="0"/>
          <w:bCs w:val="0"/>
          <w:sz w:val="28"/>
          <w:szCs w:val="28"/>
        </w:rPr>
      </w:pPr>
      <w:bookmarkStart w:id="263" w:name="_Toc79163890"/>
      <w:bookmarkStart w:id="264" w:name="_Toc79163640"/>
      <w:bookmarkStart w:id="265" w:name="_Toc15396623"/>
      <w:r>
        <w:rPr>
          <w:rStyle w:val="20"/>
          <w:rFonts w:hint="eastAsia" w:ascii="仿宋" w:hAnsi="仿宋" w:eastAsia="仿宋"/>
          <w:b w:val="0"/>
          <w:bCs w:val="0"/>
          <w:sz w:val="28"/>
          <w:szCs w:val="28"/>
        </w:rPr>
        <w:t>五、</w:t>
      </w:r>
      <w:r>
        <w:rPr>
          <w:rFonts w:hint="eastAsia" w:ascii="仿宋" w:hAnsi="仿宋" w:eastAsia="仿宋"/>
          <w:b w:val="0"/>
          <w:color w:val="000000"/>
          <w:sz w:val="28"/>
          <w:szCs w:val="28"/>
        </w:rPr>
        <w:t>财</w:t>
      </w:r>
      <w:r>
        <w:rPr>
          <w:rStyle w:val="20"/>
          <w:rFonts w:hint="eastAsia" w:ascii="仿宋" w:hAnsi="仿宋" w:eastAsia="仿宋"/>
          <w:b w:val="0"/>
          <w:bCs w:val="0"/>
          <w:sz w:val="28"/>
          <w:szCs w:val="28"/>
        </w:rPr>
        <w:t>政拨款支出决算明细表</w:t>
      </w:r>
      <w:bookmarkEnd w:id="263"/>
      <w:bookmarkEnd w:id="264"/>
      <w:bookmarkEnd w:id="265"/>
      <w:bookmarkStart w:id="266" w:name="_Toc15396624"/>
    </w:p>
    <w:p w14:paraId="132A7FE8">
      <w:pPr>
        <w:pStyle w:val="3"/>
        <w:rPr>
          <w:rFonts w:ascii="仿宋" w:hAnsi="仿宋" w:eastAsia="仿宋"/>
          <w:color w:val="000000"/>
          <w:sz w:val="28"/>
          <w:szCs w:val="28"/>
        </w:rPr>
      </w:pPr>
      <w:bookmarkStart w:id="267" w:name="_Toc79163641"/>
      <w:bookmarkStart w:id="268" w:name="_Toc79163891"/>
      <w:r>
        <w:rPr>
          <w:rStyle w:val="20"/>
          <w:rFonts w:hint="eastAsia" w:ascii="仿宋" w:hAnsi="仿宋" w:eastAsia="仿宋"/>
          <w:b w:val="0"/>
          <w:bCs w:val="0"/>
          <w:sz w:val="28"/>
          <w:szCs w:val="28"/>
        </w:rPr>
        <w:t>六、</w:t>
      </w:r>
      <w:r>
        <w:rPr>
          <w:rFonts w:hint="eastAsia" w:ascii="仿宋" w:hAnsi="仿宋" w:eastAsia="仿宋"/>
          <w:b w:val="0"/>
          <w:color w:val="000000"/>
          <w:sz w:val="28"/>
          <w:szCs w:val="28"/>
        </w:rPr>
        <w:t>一</w:t>
      </w:r>
      <w:r>
        <w:rPr>
          <w:rStyle w:val="20"/>
          <w:rFonts w:hint="eastAsia" w:ascii="仿宋" w:hAnsi="仿宋" w:eastAsia="仿宋"/>
          <w:b w:val="0"/>
          <w:bCs w:val="0"/>
          <w:sz w:val="28"/>
          <w:szCs w:val="28"/>
        </w:rPr>
        <w:t>般公共预算财政拨款支出决算表</w:t>
      </w:r>
      <w:bookmarkEnd w:id="266"/>
      <w:bookmarkEnd w:id="267"/>
      <w:bookmarkEnd w:id="268"/>
    </w:p>
    <w:p w14:paraId="4FC6DB47">
      <w:pPr>
        <w:pStyle w:val="3"/>
        <w:rPr>
          <w:rFonts w:ascii="仿宋" w:hAnsi="仿宋" w:eastAsia="仿宋"/>
          <w:color w:val="000000"/>
          <w:sz w:val="28"/>
          <w:szCs w:val="28"/>
        </w:rPr>
      </w:pPr>
      <w:bookmarkStart w:id="269" w:name="_Toc79163642"/>
      <w:bookmarkStart w:id="270" w:name="_Toc15396625"/>
      <w:bookmarkStart w:id="271" w:name="_Toc79163892"/>
      <w:r>
        <w:rPr>
          <w:rStyle w:val="20"/>
          <w:rFonts w:hint="eastAsia" w:ascii="仿宋" w:hAnsi="仿宋" w:eastAsia="仿宋"/>
          <w:b w:val="0"/>
          <w:bCs w:val="0"/>
          <w:sz w:val="28"/>
          <w:szCs w:val="28"/>
        </w:rPr>
        <w:t>七、</w:t>
      </w:r>
      <w:r>
        <w:rPr>
          <w:rFonts w:hint="eastAsia" w:ascii="仿宋" w:hAnsi="仿宋" w:eastAsia="仿宋"/>
          <w:b w:val="0"/>
          <w:color w:val="000000"/>
          <w:sz w:val="28"/>
          <w:szCs w:val="28"/>
        </w:rPr>
        <w:t>一</w:t>
      </w:r>
      <w:r>
        <w:rPr>
          <w:rStyle w:val="20"/>
          <w:rFonts w:hint="eastAsia" w:ascii="仿宋" w:hAnsi="仿宋" w:eastAsia="仿宋"/>
          <w:b w:val="0"/>
          <w:bCs w:val="0"/>
          <w:sz w:val="28"/>
          <w:szCs w:val="28"/>
        </w:rPr>
        <w:t>般公共预算财政拨款支出决算明细表</w:t>
      </w:r>
      <w:bookmarkEnd w:id="269"/>
      <w:bookmarkEnd w:id="270"/>
      <w:bookmarkEnd w:id="271"/>
    </w:p>
    <w:p w14:paraId="16613633">
      <w:pPr>
        <w:pStyle w:val="3"/>
        <w:rPr>
          <w:rFonts w:ascii="仿宋" w:hAnsi="仿宋" w:eastAsia="仿宋"/>
          <w:color w:val="000000"/>
          <w:sz w:val="28"/>
          <w:szCs w:val="28"/>
        </w:rPr>
      </w:pPr>
      <w:bookmarkStart w:id="272" w:name="_Toc15396626"/>
      <w:bookmarkStart w:id="273" w:name="_Toc79163893"/>
      <w:bookmarkStart w:id="274" w:name="_Toc79163643"/>
      <w:r>
        <w:rPr>
          <w:rStyle w:val="20"/>
          <w:rFonts w:hint="eastAsia" w:ascii="仿宋" w:hAnsi="仿宋" w:eastAsia="仿宋"/>
          <w:b w:val="0"/>
          <w:bCs w:val="0"/>
          <w:sz w:val="28"/>
          <w:szCs w:val="28"/>
        </w:rPr>
        <w:t>八、</w:t>
      </w:r>
      <w:r>
        <w:rPr>
          <w:rFonts w:hint="eastAsia" w:ascii="仿宋" w:hAnsi="仿宋" w:eastAsia="仿宋"/>
          <w:b w:val="0"/>
          <w:color w:val="000000"/>
          <w:sz w:val="28"/>
          <w:szCs w:val="28"/>
        </w:rPr>
        <w:t>一</w:t>
      </w:r>
      <w:r>
        <w:rPr>
          <w:rStyle w:val="20"/>
          <w:rFonts w:hint="eastAsia" w:ascii="仿宋" w:hAnsi="仿宋" w:eastAsia="仿宋"/>
          <w:b w:val="0"/>
          <w:bCs w:val="0"/>
          <w:sz w:val="28"/>
          <w:szCs w:val="28"/>
        </w:rPr>
        <w:t>般公共预算财政拨款基本支出决算表</w:t>
      </w:r>
      <w:bookmarkEnd w:id="272"/>
      <w:bookmarkEnd w:id="273"/>
      <w:bookmarkEnd w:id="274"/>
    </w:p>
    <w:p w14:paraId="7C94FD9C">
      <w:pPr>
        <w:pStyle w:val="3"/>
        <w:rPr>
          <w:rFonts w:ascii="仿宋" w:hAnsi="仿宋" w:eastAsia="仿宋"/>
          <w:color w:val="000000"/>
          <w:sz w:val="28"/>
          <w:szCs w:val="28"/>
        </w:rPr>
      </w:pPr>
      <w:bookmarkStart w:id="275" w:name="_Toc15396627"/>
      <w:bookmarkStart w:id="276" w:name="_Toc79163894"/>
      <w:bookmarkStart w:id="277" w:name="_Toc79163644"/>
      <w:r>
        <w:rPr>
          <w:rStyle w:val="20"/>
          <w:rFonts w:hint="eastAsia" w:ascii="仿宋" w:hAnsi="仿宋" w:eastAsia="仿宋"/>
          <w:b w:val="0"/>
          <w:bCs w:val="0"/>
          <w:sz w:val="28"/>
          <w:szCs w:val="28"/>
        </w:rPr>
        <w:t>九、</w:t>
      </w:r>
      <w:r>
        <w:rPr>
          <w:rFonts w:hint="eastAsia" w:ascii="仿宋" w:hAnsi="仿宋" w:eastAsia="仿宋"/>
          <w:b w:val="0"/>
          <w:color w:val="000000"/>
          <w:sz w:val="28"/>
          <w:szCs w:val="28"/>
        </w:rPr>
        <w:t>一</w:t>
      </w:r>
      <w:r>
        <w:rPr>
          <w:rStyle w:val="20"/>
          <w:rFonts w:hint="eastAsia" w:ascii="仿宋" w:hAnsi="仿宋" w:eastAsia="仿宋"/>
          <w:b w:val="0"/>
          <w:bCs w:val="0"/>
          <w:sz w:val="28"/>
          <w:szCs w:val="28"/>
        </w:rPr>
        <w:t>般公共预算财政拨款项目支出决算表</w:t>
      </w:r>
      <w:bookmarkEnd w:id="275"/>
      <w:bookmarkEnd w:id="276"/>
      <w:bookmarkEnd w:id="277"/>
    </w:p>
    <w:p w14:paraId="75479D63">
      <w:pPr>
        <w:pStyle w:val="13"/>
        <w:tabs>
          <w:tab w:val="right" w:leader="dot" w:pos="8296"/>
        </w:tabs>
        <w:ind w:left="0" w:leftChars="0" w:firstLine="0" w:firstLineChars="0"/>
        <w:rPr>
          <w:rFonts w:ascii="仿宋" w:hAnsi="仿宋" w:eastAsia="仿宋"/>
          <w:sz w:val="28"/>
          <w:szCs w:val="28"/>
        </w:rPr>
      </w:pPr>
      <w:r>
        <w:rPr>
          <w:rFonts w:ascii="仿宋" w:hAnsi="仿宋" w:eastAsia="仿宋"/>
          <w:sz w:val="28"/>
          <w:szCs w:val="28"/>
        </w:rPr>
        <w:t>十、</w:t>
      </w:r>
      <w:r>
        <w:rPr>
          <w:rFonts w:ascii="仿宋" w:hAnsi="仿宋" w:eastAsia="仿宋"/>
          <w:color w:val="000000"/>
          <w:sz w:val="28"/>
          <w:szCs w:val="28"/>
        </w:rPr>
        <w:t>政</w:t>
      </w:r>
      <w:r>
        <w:rPr>
          <w:rFonts w:ascii="仿宋" w:hAnsi="仿宋" w:eastAsia="仿宋"/>
          <w:sz w:val="28"/>
          <w:szCs w:val="28"/>
        </w:rPr>
        <w:t>府性基金预算财政拨款收入支出决算表</w:t>
      </w:r>
    </w:p>
    <w:p w14:paraId="5B1EA43E">
      <w:pPr>
        <w:pStyle w:val="6"/>
        <w:ind w:left="0" w:leftChars="0" w:firstLine="0" w:firstLineChars="0"/>
        <w:rPr>
          <w:rFonts w:ascii="仿宋" w:hAnsi="仿宋" w:eastAsia="仿宋"/>
        </w:rPr>
      </w:pPr>
    </w:p>
    <w:p w14:paraId="79BBA1FC">
      <w:pPr>
        <w:pStyle w:val="6"/>
        <w:numPr>
          <w:ilvl w:val="0"/>
          <w:numId w:val="9"/>
        </w:numPr>
        <w:ind w:left="0" w:leftChars="0" w:firstLine="0" w:firstLineChars="0"/>
        <w:rPr>
          <w:rFonts w:ascii="仿宋" w:hAnsi="仿宋" w:eastAsia="仿宋"/>
          <w:sz w:val="28"/>
          <w:szCs w:val="36"/>
        </w:rPr>
      </w:pPr>
      <w:r>
        <w:rPr>
          <w:rFonts w:ascii="仿宋" w:hAnsi="仿宋" w:eastAsia="仿宋"/>
          <w:color w:val="000000"/>
          <w:sz w:val="28"/>
          <w:szCs w:val="36"/>
        </w:rPr>
        <w:t>国</w:t>
      </w:r>
      <w:r>
        <w:rPr>
          <w:rFonts w:ascii="仿宋" w:hAnsi="仿宋" w:eastAsia="仿宋"/>
          <w:sz w:val="28"/>
          <w:szCs w:val="36"/>
        </w:rPr>
        <w:t>有资本经营预算财政拨款</w:t>
      </w:r>
      <w:r>
        <w:rPr>
          <w:rFonts w:hint="eastAsia" w:ascii="仿宋" w:hAnsi="仿宋" w:eastAsia="仿宋"/>
          <w:sz w:val="28"/>
          <w:szCs w:val="36"/>
          <w:lang w:eastAsia="zh-CN"/>
        </w:rPr>
        <w:t>收入</w:t>
      </w:r>
      <w:r>
        <w:rPr>
          <w:rFonts w:ascii="仿宋" w:hAnsi="仿宋" w:eastAsia="仿宋"/>
          <w:sz w:val="28"/>
          <w:szCs w:val="36"/>
        </w:rPr>
        <w:t>支出决算表</w:t>
      </w:r>
    </w:p>
    <w:p w14:paraId="79D883FA">
      <w:pPr>
        <w:numPr>
          <w:ilvl w:val="0"/>
          <w:numId w:val="0"/>
        </w:numPr>
      </w:pPr>
    </w:p>
    <w:p w14:paraId="60B64EFC">
      <w:pPr>
        <w:pStyle w:val="6"/>
        <w:ind w:left="0" w:leftChars="0" w:firstLine="0" w:firstLineChars="0"/>
      </w:pPr>
      <w:r>
        <w:rPr>
          <w:rFonts w:hint="eastAsia" w:ascii="仿宋" w:hAnsi="仿宋" w:eastAsia="仿宋" w:cs="仿宋"/>
          <w:sz w:val="28"/>
          <w:szCs w:val="36"/>
        </w:rPr>
        <w:t>十二、国有资本经营预算财政拨款支出决算表</w:t>
      </w:r>
    </w:p>
    <w:p w14:paraId="78A0839A"/>
    <w:p w14:paraId="23552E13">
      <w:pPr>
        <w:pStyle w:val="6"/>
        <w:ind w:left="0" w:leftChars="0" w:firstLine="0" w:firstLineChars="0"/>
      </w:pPr>
      <w:r>
        <w:rPr>
          <w:rFonts w:ascii="仿宋" w:hAnsi="仿宋" w:eastAsia="仿宋"/>
          <w:sz w:val="28"/>
          <w:szCs w:val="36"/>
        </w:rPr>
        <w:t>十</w:t>
      </w:r>
      <w:r>
        <w:rPr>
          <w:rFonts w:hint="eastAsia" w:ascii="仿宋" w:hAnsi="仿宋" w:eastAsia="仿宋"/>
          <w:sz w:val="28"/>
          <w:szCs w:val="36"/>
          <w:lang w:eastAsia="zh-CN"/>
        </w:rPr>
        <w:t>三</w:t>
      </w:r>
      <w:r>
        <w:rPr>
          <w:rFonts w:ascii="仿宋" w:hAnsi="仿宋" w:eastAsia="仿宋"/>
          <w:sz w:val="28"/>
          <w:szCs w:val="36"/>
        </w:rPr>
        <w:t>、财政拨款“三公”经费支出决算表</w:t>
      </w:r>
    </w:p>
    <w:p w14:paraId="4A12A5AA"/>
    <w:p w14:paraId="36A01E9C"/>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仿宋_GB2312"/>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B04C5">
    <w:pPr>
      <w:pStyle w:val="9"/>
      <w:jc w:val="center"/>
    </w:pPr>
    <w:r>
      <w:fldChar w:fldCharType="begin"/>
    </w:r>
    <w:r>
      <w:instrText xml:space="preserve">PAGE   \* MERGEFORMAT</w:instrText>
    </w:r>
    <w:r>
      <w:fldChar w:fldCharType="separate"/>
    </w:r>
    <w:r>
      <w:rPr>
        <w:lang w:val="zh-CN"/>
      </w:rPr>
      <w:t>3</w:t>
    </w:r>
    <w:r>
      <w:fldChar w:fldCharType="end"/>
    </w:r>
  </w:p>
  <w:p w14:paraId="5FE9ECBF">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4897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B8DF3"/>
    <w:multiLevelType w:val="singleLevel"/>
    <w:tmpl w:val="AD5B8DF3"/>
    <w:lvl w:ilvl="0" w:tentative="0">
      <w:start w:val="11"/>
      <w:numFmt w:val="chineseCounting"/>
      <w:suff w:val="nothing"/>
      <w:lvlText w:val="%1、"/>
      <w:lvlJc w:val="left"/>
      <w:rPr>
        <w:rFonts w:hint="eastAsia"/>
      </w:rPr>
    </w:lvl>
  </w:abstractNum>
  <w:abstractNum w:abstractNumId="1">
    <w:nsid w:val="D5294310"/>
    <w:multiLevelType w:val="singleLevel"/>
    <w:tmpl w:val="D5294310"/>
    <w:lvl w:ilvl="0" w:tentative="0">
      <w:start w:val="2"/>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F8A57FA0"/>
    <w:multiLevelType w:val="singleLevel"/>
    <w:tmpl w:val="F8A57FA0"/>
    <w:lvl w:ilvl="0" w:tentative="0">
      <w:start w:val="3"/>
      <w:numFmt w:val="chineseCounting"/>
      <w:suff w:val="nothing"/>
      <w:lvlText w:val="%1、"/>
      <w:lvlJc w:val="left"/>
      <w:rPr>
        <w:rFonts w:hint="eastAsia"/>
      </w:rPr>
    </w:lvl>
  </w:abstractNum>
  <w:abstractNum w:abstractNumId="4">
    <w:nsid w:val="F91D3298"/>
    <w:multiLevelType w:val="singleLevel"/>
    <w:tmpl w:val="F91D3298"/>
    <w:lvl w:ilvl="0" w:tentative="0">
      <w:start w:val="3"/>
      <w:numFmt w:val="decimal"/>
      <w:lvlText w:val="%1."/>
      <w:lvlJc w:val="left"/>
      <w:pPr>
        <w:tabs>
          <w:tab w:val="left" w:pos="312"/>
        </w:tabs>
      </w:p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6">
    <w:nsid w:val="14F7A59B"/>
    <w:multiLevelType w:val="singleLevel"/>
    <w:tmpl w:val="14F7A59B"/>
    <w:lvl w:ilvl="0" w:tentative="0">
      <w:start w:val="1"/>
      <w:numFmt w:val="chineseCounting"/>
      <w:suff w:val="nothing"/>
      <w:lvlText w:val="（%1）"/>
      <w:lvlJc w:val="left"/>
      <w:rPr>
        <w:rFonts w:hint="eastAsia"/>
      </w:rPr>
    </w:lvl>
  </w:abstractNum>
  <w:abstractNum w:abstractNumId="7">
    <w:nsid w:val="69F303D2"/>
    <w:multiLevelType w:val="singleLevel"/>
    <w:tmpl w:val="69F303D2"/>
    <w:lvl w:ilvl="0" w:tentative="0">
      <w:start w:val="1"/>
      <w:numFmt w:val="chineseCounting"/>
      <w:suff w:val="nothing"/>
      <w:lvlText w:val="%1、"/>
      <w:lvlJc w:val="left"/>
      <w:rPr>
        <w:rFonts w:hint="eastAsia"/>
      </w:rPr>
    </w:lvl>
  </w:abstractNum>
  <w:abstractNum w:abstractNumId="8">
    <w:nsid w:val="7032491E"/>
    <w:multiLevelType w:val="singleLevel"/>
    <w:tmpl w:val="7032491E"/>
    <w:lvl w:ilvl="0" w:tentative="0">
      <w:start w:val="4"/>
      <w:numFmt w:val="chineseCounting"/>
      <w:suff w:val="nothing"/>
      <w:lvlText w:val="（%1）"/>
      <w:lvlJc w:val="left"/>
      <w:rPr>
        <w:rFonts w:hint="eastAsia"/>
      </w:rPr>
    </w:lvl>
  </w:abstractNum>
  <w:num w:numId="1">
    <w:abstractNumId w:val="1"/>
  </w:num>
  <w:num w:numId="2">
    <w:abstractNumId w:val="5"/>
  </w:num>
  <w:num w:numId="3">
    <w:abstractNumId w:val="4"/>
  </w:num>
  <w:num w:numId="4">
    <w:abstractNumId w:val="8"/>
  </w:num>
  <w:num w:numId="5">
    <w:abstractNumId w:val="2"/>
  </w:num>
  <w:num w:numId="6">
    <w:abstractNumId w:val="3"/>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NDljYmVlNTIzMTczZjE3Y2QwNWNkNmQ0ZmRhNDYifQ=="/>
  </w:docVars>
  <w:rsids>
    <w:rsidRoot w:val="7D585141"/>
    <w:rsid w:val="006C573A"/>
    <w:rsid w:val="011B43A0"/>
    <w:rsid w:val="01554E02"/>
    <w:rsid w:val="04BB1F68"/>
    <w:rsid w:val="105158FF"/>
    <w:rsid w:val="16EE00E3"/>
    <w:rsid w:val="1B57369A"/>
    <w:rsid w:val="1D920BFF"/>
    <w:rsid w:val="216730EA"/>
    <w:rsid w:val="26803882"/>
    <w:rsid w:val="28F824D2"/>
    <w:rsid w:val="30CE00F2"/>
    <w:rsid w:val="352D27C8"/>
    <w:rsid w:val="366E3652"/>
    <w:rsid w:val="372431A9"/>
    <w:rsid w:val="37FC4DBB"/>
    <w:rsid w:val="3F923D7F"/>
    <w:rsid w:val="4A7F4E6E"/>
    <w:rsid w:val="51C86909"/>
    <w:rsid w:val="5AA45971"/>
    <w:rsid w:val="5C265BB2"/>
    <w:rsid w:val="655D4688"/>
    <w:rsid w:val="7129416E"/>
    <w:rsid w:val="723143F0"/>
    <w:rsid w:val="732B72FB"/>
    <w:rsid w:val="76C82100"/>
    <w:rsid w:val="78362D15"/>
    <w:rsid w:val="79DB4A73"/>
    <w:rsid w:val="7A236D15"/>
    <w:rsid w:val="7D585141"/>
    <w:rsid w:val="7F277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9"/>
    <w:pPr>
      <w:keepNext/>
      <w:keepLines/>
      <w:spacing w:before="260" w:after="260" w:line="416" w:lineRule="auto"/>
      <w:outlineLvl w:val="1"/>
    </w:pPr>
    <w:rPr>
      <w:rFonts w:ascii="Cambria" w:hAnsi="Cambria"/>
      <w:b/>
      <w:bCs/>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24"/>
      <w:szCs w:val="20"/>
      <w:lang w:val="zh-CN" w:eastAsia="zh-CN"/>
    </w:rPr>
  </w:style>
  <w:style w:type="paragraph" w:styleId="5">
    <w:name w:val="Body Text Indent"/>
    <w:basedOn w:val="1"/>
    <w:next w:val="6"/>
    <w:unhideWhenUsed/>
    <w:qFormat/>
    <w:uiPriority w:val="99"/>
    <w:pPr>
      <w:widowControl w:val="0"/>
      <w:spacing w:before="0" w:after="120"/>
      <w:ind w:left="420" w:leftChars="200" w:right="0"/>
      <w:jc w:val="both"/>
    </w:pPr>
    <w:rPr>
      <w:rFonts w:hint="eastAsia" w:ascii="Times New Roman" w:hAnsi="Times New Roman" w:eastAsia="宋体" w:cs="Times New Roman"/>
      <w:kern w:val="2"/>
      <w:sz w:val="21"/>
      <w:lang w:val="en-US" w:eastAsia="zh-CN"/>
    </w:rPr>
  </w:style>
  <w:style w:type="paragraph" w:styleId="6">
    <w:name w:val="Body Text First Indent 2"/>
    <w:basedOn w:val="5"/>
    <w:next w:val="1"/>
    <w:unhideWhenUsed/>
    <w:qFormat/>
    <w:uiPriority w:val="99"/>
    <w:pPr>
      <w:widowControl w:val="0"/>
      <w:spacing w:before="0" w:after="120"/>
      <w:ind w:left="420" w:leftChars="200" w:right="0" w:firstLine="420" w:firstLineChars="200"/>
      <w:jc w:val="both"/>
    </w:pPr>
    <w:rPr>
      <w:rFonts w:hint="eastAsia" w:ascii="Times New Roman" w:hAnsi="Times New Roman" w:eastAsia="宋体" w:cs="Times New Roman"/>
      <w:kern w:val="2"/>
      <w:sz w:val="21"/>
      <w:lang w:val="en-US" w:eastAsia="zh-CN"/>
    </w:rPr>
  </w:style>
  <w:style w:type="paragraph" w:styleId="7">
    <w:name w:val="toc 3"/>
    <w:basedOn w:val="1"/>
    <w:next w:val="1"/>
    <w:unhideWhenUsed/>
    <w:qFormat/>
    <w:uiPriority w:val="39"/>
    <w:pPr>
      <w:ind w:left="420"/>
      <w:jc w:val="left"/>
    </w:pPr>
    <w:rPr>
      <w:rFonts w:asciiTheme="minorHAnsi" w:eastAsiaTheme="minorHAnsi"/>
      <w:i/>
      <w:iCs/>
      <w:sz w:val="20"/>
      <w:szCs w:val="20"/>
    </w:rPr>
  </w:style>
  <w:style w:type="paragraph" w:styleId="8">
    <w:name w:val="Plain Text"/>
    <w:basedOn w:val="1"/>
    <w:qFormat/>
    <w:uiPriority w:val="0"/>
    <w:rPr>
      <w:rFonts w:ascii="宋体" w:hAnsi="宋体" w:eastAsia="楷体_GB2312" w:cs="Courier New"/>
      <w:sz w:val="32"/>
      <w:szCs w:val="21"/>
      <w:lang w:bidi="ar-SA"/>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0">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1">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2">
    <w:name w:val="table of figures"/>
    <w:basedOn w:val="1"/>
    <w:next w:val="1"/>
    <w:qFormat/>
    <w:uiPriority w:val="0"/>
    <w:pPr>
      <w:ind w:leftChars="200" w:hanging="200" w:hangingChars="200"/>
    </w:pPr>
  </w:style>
  <w:style w:type="paragraph" w:styleId="13">
    <w:name w:val="toc 2"/>
    <w:basedOn w:val="1"/>
    <w:next w:val="1"/>
    <w:unhideWhenUsed/>
    <w:qFormat/>
    <w:uiPriority w:val="39"/>
    <w:pPr>
      <w:ind w:left="210"/>
      <w:jc w:val="left"/>
    </w:pPr>
    <w:rPr>
      <w:rFonts w:asciiTheme="minorHAnsi" w:eastAsiaTheme="minorHAnsi"/>
      <w:smallCaps/>
      <w:sz w:val="20"/>
      <w:szCs w:val="20"/>
    </w:rPr>
  </w:style>
  <w:style w:type="paragraph" w:styleId="14">
    <w:name w:val="Normal (Web)"/>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4"/>
      <w:szCs w:val="20"/>
      <w:lang w:val="en-US" w:eastAsia="zh-CN" w:bidi="ar"/>
    </w:rPr>
  </w:style>
  <w:style w:type="paragraph" w:styleId="15">
    <w:name w:val="Body Text First Indent"/>
    <w:basedOn w:val="4"/>
    <w:qFormat/>
    <w:uiPriority w:val="0"/>
    <w:pPr>
      <w:ind w:firstLine="420" w:firstLineChars="100"/>
    </w:pPr>
  </w:style>
  <w:style w:type="character" w:styleId="18">
    <w:name w:val="Strong"/>
    <w:basedOn w:val="17"/>
    <w:qFormat/>
    <w:uiPriority w:val="99"/>
    <w:rPr>
      <w:rFonts w:cs="Times New Roman"/>
      <w:b/>
    </w:rPr>
  </w:style>
  <w:style w:type="character" w:customStyle="1" w:styleId="19">
    <w:name w:val="标题 1 字符"/>
    <w:basedOn w:val="17"/>
    <w:link w:val="2"/>
    <w:qFormat/>
    <w:locked/>
    <w:uiPriority w:val="9"/>
    <w:rPr>
      <w:b/>
      <w:bCs/>
      <w:kern w:val="44"/>
      <w:sz w:val="44"/>
      <w:szCs w:val="44"/>
    </w:rPr>
  </w:style>
  <w:style w:type="character" w:customStyle="1" w:styleId="20">
    <w:name w:val="标题 2 字符"/>
    <w:basedOn w:val="17"/>
    <w:link w:val="3"/>
    <w:qFormat/>
    <w:locked/>
    <w:uiPriority w:val="9"/>
    <w:rPr>
      <w:rFonts w:ascii="Cambria" w:hAnsi="Cambria"/>
      <w:b/>
      <w:bCs/>
      <w:sz w:val="32"/>
      <w:szCs w:val="32"/>
    </w:rPr>
  </w:style>
  <w:style w:type="paragraph" w:customStyle="1" w:styleId="21">
    <w:name w:val="列表段落1"/>
    <w:basedOn w:val="1"/>
    <w:qFormat/>
    <w:uiPriority w:val="34"/>
    <w:pPr>
      <w:ind w:firstLine="420" w:firstLineChars="200"/>
    </w:p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3">
    <w:name w:val="标题 1 Char"/>
    <w:basedOn w:val="17"/>
    <w:link w:val="2"/>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AppData\Local\Temp\wps.YJGUHP\Workbook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AppData\Local\Temp\wps.ghtQQR\Workbook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AppData\Local\Temp\wps.POvFaR\Workbook6.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AppData\Local\Temp\wps.YtFyVw\Workbook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416490486257928"/>
          <c:y val="0.0283687943262411"/>
        </c:manualLayout>
      </c:layout>
      <c:overlay val="0"/>
      <c:spPr>
        <a:noFill/>
        <a:ln>
          <a:noFill/>
        </a:ln>
        <a:effectLst/>
      </c:spPr>
    </c:title>
    <c:autoTitleDeleted val="0"/>
    <c:plotArea>
      <c:layout/>
      <c:pieChart>
        <c:varyColors val="1"/>
        <c:ser>
          <c:idx val="0"/>
          <c:order val="0"/>
          <c:tx>
            <c:strRef>
              <c:f>[Workbook1.xlsx]Sheet1!$B$1</c:f>
              <c:strCache>
                <c:ptCount val="1"/>
                <c:pt idx="0">
                  <c:v>收入决算</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[Workbook1.xlsx]Sheet1!$A$2:$A$3</c:f>
              <c:strCache>
                <c:ptCount val="2"/>
                <c:pt idx="0">
                  <c:v>一般公共预算财政拨款</c:v>
                </c:pt>
                <c:pt idx="1">
                  <c:v>其他收入</c:v>
                </c:pt>
              </c:strCache>
            </c:strRef>
          </c:cat>
          <c:val>
            <c:numRef>
              <c:f>[Workbook1.xlsx]Sheet1!$B$2:$B$3</c:f>
              <c:numCache>
                <c:formatCode>General</c:formatCode>
                <c:ptCount val="2"/>
                <c:pt idx="0">
                  <c:v>1126.43</c:v>
                </c:pt>
                <c:pt idx="1">
                  <c:v>0</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8bcb7f7-cf89-43e5-ac17-89204d21df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[Workbook4.xlsx]Sheet1!$B$1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a:t>
                    </a:r>
                    <a:r>
                      <a:rPr lang="en-US" altLang="zh-CN"/>
                      <a:t>9.44</a:t>
                    </a:r>
                    <a:r>
                      <a:t>%</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1008.10</a:t>
                    </a:r>
                    <a:r>
                      <a:rPr altLang="en-US"/>
                      <a:t>万元</a:t>
                    </a:r>
                    <a:endParaRPr altLang="en-US"/>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a:t>
                    </a:r>
                    <a:r>
                      <a:rPr lang="en-US" altLang="zh-CN"/>
                      <a:t>0.56</a:t>
                    </a:r>
                    <a:r>
                      <a:t>%</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118.99</a:t>
                    </a:r>
                    <a:r>
                      <a:rPr altLang="en-US"/>
                      <a:t>万元</a:t>
                    </a:r>
                    <a:endParaRPr altLang="en-US"/>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[Workbook4.xlsx]Sheet1!$A$2:$A$3</c:f>
              <c:strCache>
                <c:ptCount val="2"/>
                <c:pt idx="0">
                  <c:v>基本支出</c:v>
                </c:pt>
                <c:pt idx="1">
                  <c:v>项目支出</c:v>
                </c:pt>
              </c:strCache>
            </c:strRef>
          </c:cat>
          <c:val>
            <c:numRef>
              <c:f>[Workbook4.xlsx]Sheet1!$B$2:$B$3</c:f>
              <c:numCache>
                <c:formatCode>General</c:formatCode>
                <c:ptCount val="2"/>
                <c:pt idx="0">
                  <c:v>963.85</c:v>
                </c:pt>
                <c:pt idx="1">
                  <c:v>162.58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d57346-8605-47e6-8fbb-a938d8449bd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1127.09</c:v>
                </c:pt>
                <c:pt idx="1">
                  <c:v>1127.09</c:v>
                </c:pt>
              </c:numCache>
            </c:numRef>
          </c:val>
        </c:ser>
        <c:ser>
          <c:idx val="1"/>
          <c:order val="1"/>
          <c:tx>
            <c:strRef>
              <c:f>Sheet1!$C$1</c:f>
              <c:strCache>
                <c:ptCount val="1"/>
                <c:pt idx="0">
                  <c:v>2024年</c:v>
                </c:pt>
              </c:strCache>
            </c:strRef>
          </c:tx>
          <c:spPr>
            <a:solidFill>
              <a:schemeClr val="accent2"/>
            </a:solidFill>
            <a:ln>
              <a:noFill/>
            </a:ln>
            <a:effectLst/>
          </c:spPr>
          <c:invertIfNegative val="0"/>
          <c:dLbls>
            <c:dLbl>
              <c:idx val="1"/>
              <c:layout>
                <c:manualLayout>
                  <c:x val="0.004059539918809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1093.57</c:v>
                </c:pt>
                <c:pt idx="1">
                  <c:v>1093.57</c:v>
                </c:pt>
              </c:numCache>
            </c:numRef>
          </c:val>
        </c:ser>
        <c:dLbls>
          <c:showLegendKey val="0"/>
          <c:showVal val="1"/>
          <c:showCatName val="0"/>
          <c:showSerName val="0"/>
          <c:showPercent val="0"/>
          <c:showBubbleSize val="0"/>
        </c:dLbls>
        <c:gapWidth val="246"/>
        <c:overlap val="-28"/>
        <c:axId val="126497673"/>
        <c:axId val="882487303"/>
      </c:barChart>
      <c:catAx>
        <c:axId val="1264976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2487303"/>
        <c:crosses val="autoZero"/>
        <c:auto val="1"/>
        <c:lblAlgn val="ctr"/>
        <c:lblOffset val="100"/>
        <c:noMultiLvlLbl val="0"/>
      </c:catAx>
      <c:valAx>
        <c:axId val="882487303"/>
        <c:scaling>
          <c:orientation val="minMax"/>
          <c:max val="1200"/>
          <c:min val="0"/>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64976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955dac4-5e7d-451b-a3fa-3a74e2801ba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一般公共预算财政拨款支出决算变动情况</a:t>
            </a:r>
          </a:p>
        </c:rich>
      </c:tx>
      <c:layout>
        <c:manualLayout>
          <c:xMode val="edge"/>
          <c:yMode val="edge"/>
          <c:x val="0.163445276636869"/>
          <c:y val="0.041436464088397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总支出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1127.09</c:v>
                </c:pt>
                <c:pt idx="1">
                  <c:v>1093.57</c:v>
                </c:pt>
              </c:numCache>
            </c:numRef>
          </c:val>
        </c:ser>
        <c:dLbls>
          <c:showLegendKey val="0"/>
          <c:showVal val="0"/>
          <c:showCatName val="0"/>
          <c:showSerName val="0"/>
          <c:showPercent val="0"/>
          <c:showBubbleSize val="0"/>
        </c:dLbls>
        <c:gapWidth val="246"/>
        <c:overlap val="-28"/>
        <c:axId val="742368575"/>
        <c:axId val="995704375"/>
      </c:barChart>
      <c:catAx>
        <c:axId val="742368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5704375"/>
        <c:crosses val="autoZero"/>
        <c:auto val="1"/>
        <c:lblAlgn val="ctr"/>
        <c:lblOffset val="100"/>
        <c:noMultiLvlLbl val="0"/>
      </c:catAx>
      <c:valAx>
        <c:axId val="995704375"/>
        <c:scaling>
          <c:orientation val="minMax"/>
          <c:max val="1200"/>
          <c:min val="0"/>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368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d50d22a-a2e1-4c3b-a2cc-5a46139218a2}"/>
      </c:ext>
    </c:extLst>
  </c:chart>
  <c:spPr>
    <a:solidFill>
      <a:schemeClr val="bg1"/>
    </a:solidFill>
    <a:ln w="9525" cap="flat" cmpd="sng" algn="ctr">
      <a:solidFill>
        <a:schemeClr val="bg2"/>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206810284920083"/>
          <c:y val="0.191906954204022"/>
          <c:w val="0.437109103544128"/>
          <c:h val="0.762054761327841"/>
        </c:manualLayout>
      </c:layout>
      <c:pieChart>
        <c:varyColors val="1"/>
        <c:ser>
          <c:idx val="0"/>
          <c:order val="0"/>
          <c:tx>
            <c:strRef>
              <c:f>[Workbook6.xlsx]Sheet1!$B$1</c:f>
              <c:strCache>
                <c:ptCount val="1"/>
                <c:pt idx="0">
                  <c:v>一般公共预算财政拨款支出决算结构图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支出</a:t>
                    </a:r>
                    <a:r>
                      <a:rPr lang="en-US" altLang="zh-CN"/>
                      <a:t>875.26</a:t>
                    </a:r>
                    <a:r>
                      <a:rPr altLang="en-US"/>
                      <a:t>万元，占</a:t>
                    </a:r>
                    <a:r>
                      <a:rPr lang="en-US" altLang="zh-CN"/>
                      <a:t>77.66’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manualLayout>
                  <c:x val="0.0672943553456515"/>
                  <c:y val="0.13166462260244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支出</a:t>
                    </a:r>
                    <a:r>
                      <a:rPr lang="en-US" altLang="zh-CN"/>
                      <a:t>127.44</a:t>
                    </a:r>
                    <a:r>
                      <a:rPr altLang="en-US"/>
                      <a:t>万元，占</a:t>
                    </a:r>
                    <a:r>
                      <a:t>1</a:t>
                    </a:r>
                    <a:r>
                      <a:rPr lang="en-US" altLang="zh-CN"/>
                      <a:t>1.31</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87185025197984"/>
                      <c:h val="0.159770114942529"/>
                    </c:manualLayout>
                  </c15:layout>
                </c:ext>
              </c:extLst>
            </c:dLbl>
            <c:dLbl>
              <c:idx val="2"/>
              <c:layout>
                <c:manualLayout>
                  <c:x val="-0.0299918227709101"/>
                  <c:y val="0.072567415935204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支出</a:t>
                    </a:r>
                    <a:r>
                      <a:rPr lang="en-US" altLang="zh-CN"/>
                      <a:t>50.04</a:t>
                    </a:r>
                    <a:r>
                      <a:rPr altLang="en-US"/>
                      <a:t>万元，占</a:t>
                    </a:r>
                    <a:r>
                      <a:rPr lang="en-US" altLang="zh-CN"/>
                      <a:t>4.44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支出</a:t>
                    </a:r>
                    <a:r>
                      <a:rPr lang="en-US" altLang="zh-CN"/>
                      <a:t>74.34</a:t>
                    </a:r>
                    <a:r>
                      <a:rPr altLang="en-US"/>
                      <a:t>万元，占</a:t>
                    </a:r>
                    <a:r>
                      <a:rPr lang="en-US" altLang="zh-CN"/>
                      <a:t>6.60</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[Workbook6.xlsx]Sheet1!$A$2:$A$5</c:f>
              <c:strCache>
                <c:ptCount val="4"/>
                <c:pt idx="0">
                  <c:v>公共安全</c:v>
                </c:pt>
                <c:pt idx="1">
                  <c:v>社会保障和就业</c:v>
                </c:pt>
                <c:pt idx="2">
                  <c:v>卫生健康</c:v>
                </c:pt>
                <c:pt idx="3">
                  <c:v>住房保障</c:v>
                </c:pt>
              </c:strCache>
            </c:strRef>
          </c:cat>
          <c:val>
            <c:numRef>
              <c:f>[Workbook6.xlsx]Sheet1!$B$2:$B$5</c:f>
              <c:numCache>
                <c:formatCode>General</c:formatCode>
                <c:ptCount val="4"/>
                <c:pt idx="0">
                  <c:v>897.87</c:v>
                </c:pt>
                <c:pt idx="1">
                  <c:v>114.07</c:v>
                </c:pt>
                <c:pt idx="2">
                  <c:v>52.6</c:v>
                </c:pt>
                <c:pt idx="3">
                  <c:v>61.9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c6a8d2-f08c-4b6b-a2c5-2470575bedc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[Workbook7.xlsx]Sheet1!$B$1</c:f>
              <c:strCache>
                <c:ptCount val="1"/>
                <c:pt idx="0">
                  <c:v>“三公”经费财政拨款支出机构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11.33</a:t>
                    </a:r>
                    <a:r>
                      <a:rPr altLang="en-US"/>
                      <a:t>万元，占</a:t>
                    </a:r>
                    <a:r>
                      <a:rPr lang="en-US" altLang="zh-CN"/>
                      <a:t>99.47</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0.06</a:t>
                    </a:r>
                    <a:r>
                      <a:rPr altLang="en-US"/>
                      <a:t>万元，占</a:t>
                    </a:r>
                    <a:r>
                      <a:rPr lang="en-US" altLang="zh-CN"/>
                      <a:t>0.53%</a:t>
                    </a:r>
                    <a:endParaRPr lang="en-US" altLang="zh-CN"/>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[Workbook7.xlsx]Sheet1!$A$2:$A$3</c:f>
              <c:strCache>
                <c:ptCount val="2"/>
                <c:pt idx="0">
                  <c:v>公务用车购置及运行维修费</c:v>
                </c:pt>
                <c:pt idx="1">
                  <c:v>公务接待费</c:v>
                </c:pt>
              </c:strCache>
            </c:strRef>
          </c:cat>
          <c:val>
            <c:numRef>
              <c:f>[Workbook7.xlsx]Sheet1!$B$2:$B$3</c:f>
              <c:numCache>
                <c:formatCode>General</c:formatCode>
                <c:ptCount val="2"/>
                <c:pt idx="0">
                  <c:v>15</c:v>
                </c:pt>
                <c:pt idx="1">
                  <c:v>0.47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8c8309-1b7b-4296-bda0-777f64722c9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741</Words>
  <Characters>879</Characters>
  <Lines>0</Lines>
  <Paragraphs>0</Paragraphs>
  <TotalTime>18</TotalTime>
  <ScaleCrop>false</ScaleCrop>
  <LinksUpToDate>false</LinksUpToDate>
  <CharactersWithSpaces>933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2024-11-13T02:11:00Z</dcterms:created>
  <dc:creator>Administrator</dc:creator>
  <cp:lastModifiedBy>单行路。</cp:lastModifiedBy>
  <dcterms:modified xsi:type="dcterms:W3CDTF">2026-10-10T09:42:21Z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9E78F680462C425E87AD30AEC3085E9C_11</vt:lpwstr>
  </property>
  <property fmtid="{D5CDD505-2E9C-101B-9397-08002B2CF9AE}" pid="4" name="KSOTemplateDocerSaveRecord">
    <vt:lpwstr>eyJoZGlkIjoiYTM4YjA5Y2Q3YjgwNGQ0MDE4N2Y5MGIxZDI5ZjUzZjYiLCJ1c2VySWQiOiI1NDY5Mjc0ODUifQ==</vt:lpwstr>
  </property>
</Properties>
</file>