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E55F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红原县财政局</w:t>
      </w:r>
    </w:p>
    <w:p w14:paraId="0AAB2FC9">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1F33257E">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0F1F32B4">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ADA258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E5F6A8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5A47BC0C">
      <w:pPr>
        <w:pStyle w:val="11"/>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14:paraId="71854CBF">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（2）贯彻执行国家财税方面的法律、法规和方针、政策，负责组织起草地方性财税法规草案、实施办法和规章制度并组织实施。管理中央转贷的特种国债。</w:t>
      </w:r>
    </w:p>
    <w:p w14:paraId="3CD754B3">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3）承担各项财政收支管理的责任。负责编制年度县级预算草案并组织执行；受县政府委托，向县人民代表大会报告县本级财政预算及其执行情况，向县人大常委会报告决算；组织制定经费开支标准、定额，负责审核批复部门（单位）的年度预决算。</w:t>
      </w:r>
    </w:p>
    <w:p w14:paraId="50FE5EFC">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（4）负责政府非税收入管理。负责政府性基金管理，按规定管理行政事业性收费。管理财政票据。按规定管理彩票基金。</w:t>
      </w:r>
    </w:p>
    <w:p w14:paraId="5FA41191">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（5）组织制定全县国库管理制度、国库集中收付制度，指导和监督国库业务，按规定开展国库现金管理工作。负责制定政府采购制度，监督管理全县政府采购工作。</w:t>
      </w:r>
    </w:p>
    <w:p w14:paraId="1213E8C5">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（6）会同有关部门管理全县社会保障和就业及医疗卫生支出，会同有关部门拟定社会保障资金（基金）的财务管理制度，编制县级社会保障预决算草案。</w:t>
      </w:r>
    </w:p>
    <w:p w14:paraId="054635E6">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（7）负责组织执行政府债务管理制度和政策，制定具体管理办法，负责管理政府债务，防范财政风险。</w:t>
      </w:r>
    </w:p>
    <w:p w14:paraId="77C9F437">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14:paraId="1BB3DF14">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14:paraId="2892D522">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14:paraId="1C0404B8">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（11）负责管理全县会计工作，监督和规范会计行为，组织实施国家统一会计制度和补充规定；会同有关部门管理会计专业技术职称工作。</w:t>
      </w:r>
    </w:p>
    <w:p w14:paraId="7073D28A">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（12）负责财政资金绩效评价。监督检查财税政策、法律法规的执行情况，反映财政收支中的重大问题。依法查处重点违反财经纪律的行为。</w:t>
      </w:r>
    </w:p>
    <w:p w14:paraId="256CB131">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（13）制定财政科研计划和教育培训规划；组织财政业务培训；负责财政信息和财政宣传工作；指导全县财政系统抓好精神文明建设和廉政建设，做好财政系统干部职工的思想政治工作。</w:t>
      </w:r>
    </w:p>
    <w:p w14:paraId="287C58CB">
      <w:pPr>
        <w:pStyle w:val="11"/>
        <w:keepNext w:val="0"/>
        <w:keepLines w:val="0"/>
        <w:pageBreakBefore w:val="0"/>
        <w:widowControl/>
        <w:suppressLineNumbers w:val="0"/>
        <w:suppressAutoHyphens w:val="0"/>
        <w:spacing w:line="576" w:lineRule="exact"/>
        <w:jc w:val="left"/>
        <w:rPr>
          <w:rFonts w:hint="eastAsia" w:ascii="仿宋_GB2312" w:eastAsia="仿宋_GB2312" w:cs="黑体"/>
          <w:kern w:val="2"/>
          <w:sz w:val="32"/>
          <w:szCs w:val="32"/>
          <w:lang w:val="en-US" w:eastAsia="zh-CN" w:bidi="ar-SA"/>
        </w:rPr>
      </w:pPr>
      <w:r>
        <w:rPr>
          <w:rFonts w:hint="eastAsia" w:ascii="仿宋_GB2312" w:eastAsia="仿宋_GB2312" w:cs="黑体"/>
          <w:kern w:val="2"/>
          <w:sz w:val="32"/>
          <w:szCs w:val="32"/>
          <w:lang w:val="en-US" w:eastAsia="zh-CN" w:bidi="ar-SA"/>
        </w:rPr>
        <w:t>（14）承担县政府公布的有关行政审批事项。</w:t>
      </w:r>
    </w:p>
    <w:p w14:paraId="6E91FBAC">
      <w:pPr>
        <w:pStyle w:val="11"/>
        <w:keepNext w:val="0"/>
        <w:keepLines w:val="0"/>
        <w:pageBreakBefore w:val="0"/>
        <w:widowControl/>
        <w:suppressLineNumbers w:val="0"/>
        <w:suppressAutoHyphens w:val="0"/>
        <w:spacing w:line="576" w:lineRule="exact"/>
        <w:jc w:val="left"/>
        <w:rPr>
          <w:rFonts w:ascii="仿宋_GB2312" w:eastAsia="仿宋_GB2312" w:cs="Times New Roman"/>
          <w:kern w:val="2"/>
          <w:sz w:val="32"/>
          <w:szCs w:val="32"/>
          <w:shd w:val="clear" w:color="auto" w:fill="auto"/>
        </w:rPr>
      </w:pPr>
      <w:bookmarkStart w:id="0" w:name="_GoBack"/>
      <w:bookmarkEnd w:id="0"/>
      <w:r>
        <w:rPr>
          <w:rFonts w:hint="eastAsia" w:ascii="仿宋_GB2312" w:eastAsia="仿宋_GB2312" w:cs="黑体"/>
          <w:kern w:val="2"/>
          <w:sz w:val="32"/>
          <w:szCs w:val="32"/>
          <w:lang w:val="en-US" w:eastAsia="zh-CN" w:bidi="ar-SA"/>
        </w:rPr>
        <w:t>（15）承办县政府交办的其他事项。</w:t>
      </w:r>
    </w:p>
    <w:p w14:paraId="2E5F6F84">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5F2B89E4">
      <w:pPr>
        <w:keepNext w:val="0"/>
        <w:keepLines w:val="0"/>
        <w:pageBreakBefore w:val="0"/>
        <w:widowControl w:val="0"/>
        <w:suppressLineNumbers w:val="0"/>
        <w:kinsoku/>
        <w:wordWrap/>
        <w:overflowPunct/>
        <w:topLinePunct w:val="0"/>
        <w:autoSpaceDE/>
        <w:autoSpaceDN/>
        <w:bidi w:val="0"/>
        <w:adjustRightInd/>
        <w:snapToGrid/>
        <w:spacing w:line="546" w:lineRule="exact"/>
        <w:ind w:firstLine="643"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b/>
          <w:bCs/>
          <w:color w:val="auto"/>
          <w:kern w:val="0"/>
          <w:sz w:val="32"/>
          <w:szCs w:val="32"/>
          <w:lang w:val="en-US" w:eastAsia="zh-CN" w:bidi="ar"/>
        </w:rPr>
        <w:t>（</w:t>
      </w:r>
      <w:r>
        <w:rPr>
          <w:rFonts w:hint="eastAsia" w:ascii="Times New Roman" w:hAnsi="Times New Roman" w:eastAsia="仿宋_GB2312" w:cs="Times New Roman"/>
          <w:b/>
          <w:bCs/>
          <w:color w:val="auto"/>
          <w:kern w:val="0"/>
          <w:sz w:val="32"/>
          <w:szCs w:val="32"/>
          <w:lang w:val="en-US" w:eastAsia="zh-CN" w:bidi="ar"/>
        </w:rPr>
        <w:t>1</w:t>
      </w:r>
      <w:r>
        <w:rPr>
          <w:rFonts w:hint="default" w:ascii="Times New Roman" w:hAnsi="Times New Roman" w:eastAsia="仿宋_GB2312" w:cs="Times New Roman"/>
          <w:b/>
          <w:bCs/>
          <w:color w:val="auto"/>
          <w:kern w:val="0"/>
          <w:sz w:val="32"/>
          <w:szCs w:val="32"/>
          <w:lang w:val="en-US" w:eastAsia="zh-CN" w:bidi="ar"/>
        </w:rPr>
        <w:t>）加强财源监控，促收入稳增长。</w:t>
      </w:r>
      <w:r>
        <w:rPr>
          <w:rFonts w:hint="default" w:ascii="Times New Roman" w:hAnsi="Times New Roman" w:eastAsia="仿宋_GB2312" w:cs="Times New Roman"/>
          <w:color w:val="auto"/>
          <w:kern w:val="0"/>
          <w:sz w:val="32"/>
          <w:szCs w:val="32"/>
          <w:lang w:val="en-US" w:eastAsia="zh-CN" w:bidi="ar"/>
        </w:rPr>
        <w:t>强化财税联动工作机制，加强财税部门沟通交流，实时开展财政收入研判。把握增收机遇</w:t>
      </w:r>
      <w:r>
        <w:rPr>
          <w:rFonts w:hint="eastAsia"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color w:val="auto"/>
          <w:sz w:val="32"/>
          <w:szCs w:val="32"/>
          <w:lang w:val="en-US" w:eastAsia="zh-CN"/>
        </w:rPr>
        <w:t>持续强化税收、非税收入征管组织，</w:t>
      </w:r>
      <w:r>
        <w:rPr>
          <w:rFonts w:hint="default" w:ascii="Times New Roman" w:hAnsi="Times New Roman" w:eastAsia="仿宋_GB2312" w:cs="Times New Roman"/>
          <w:b w:val="0"/>
          <w:bCs w:val="0"/>
          <w:color w:val="auto"/>
          <w:sz w:val="32"/>
          <w:szCs w:val="32"/>
          <w:highlight w:val="none"/>
          <w:lang w:eastAsia="zh-CN"/>
        </w:rPr>
        <w:t>保持收入按预期增速增长，确保实现欠发达县域托底帮扶等工作目标。同时，</w:t>
      </w:r>
      <w:r>
        <w:rPr>
          <w:rFonts w:hint="default" w:ascii="Times New Roman" w:hAnsi="Times New Roman" w:eastAsia="仿宋_GB2312" w:cs="Times New Roman"/>
          <w:color w:val="auto"/>
          <w:sz w:val="32"/>
          <w:szCs w:val="32"/>
          <w:lang w:val="en-US" w:eastAsia="zh-CN"/>
        </w:rPr>
        <w:t>加强对预算收入总量和结构的关注分析，不断提升财政收入质量，增强财政收入可持续性。</w:t>
      </w:r>
    </w:p>
    <w:p w14:paraId="063241C7">
      <w:pPr>
        <w:keepNext w:val="0"/>
        <w:keepLines w:val="0"/>
        <w:pageBreakBefore w:val="0"/>
        <w:widowControl w:val="0"/>
        <w:numPr>
          <w:ilvl w:val="0"/>
          <w:numId w:val="0"/>
        </w:numPr>
        <w:kinsoku/>
        <w:wordWrap/>
        <w:overflowPunct/>
        <w:topLinePunct w:val="0"/>
        <w:autoSpaceDE/>
        <w:autoSpaceDN/>
        <w:bidi w:val="0"/>
        <w:adjustRightInd/>
        <w:snapToGrid/>
        <w:spacing w:line="546" w:lineRule="exact"/>
        <w:ind w:left="0" w:leftChars="0"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kern w:val="0"/>
          <w:sz w:val="32"/>
          <w:szCs w:val="32"/>
          <w:lang w:val="en-US" w:eastAsia="zh-CN" w:bidi="ar"/>
        </w:rPr>
        <w:t>（</w:t>
      </w:r>
      <w:r>
        <w:rPr>
          <w:rFonts w:hint="eastAsia" w:ascii="Times New Roman" w:hAnsi="Times New Roman" w:eastAsia="仿宋_GB2312" w:cs="Times New Roman"/>
          <w:b/>
          <w:bCs/>
          <w:color w:val="auto"/>
          <w:kern w:val="0"/>
          <w:sz w:val="32"/>
          <w:szCs w:val="32"/>
          <w:lang w:val="en-US" w:eastAsia="zh-CN" w:bidi="ar"/>
        </w:rPr>
        <w:t>2</w:t>
      </w:r>
      <w:r>
        <w:rPr>
          <w:rFonts w:hint="default" w:ascii="Times New Roman" w:hAnsi="Times New Roman" w:eastAsia="仿宋_GB2312" w:cs="Times New Roman"/>
          <w:b/>
          <w:bCs/>
          <w:color w:val="auto"/>
          <w:kern w:val="0"/>
          <w:sz w:val="32"/>
          <w:szCs w:val="32"/>
          <w:lang w:val="en-US" w:eastAsia="zh-CN" w:bidi="ar"/>
        </w:rPr>
        <w:t>）强化绩效意识，实现科学管理。</w:t>
      </w:r>
      <w:r>
        <w:rPr>
          <w:rFonts w:hint="default" w:ascii="Times New Roman" w:hAnsi="Times New Roman" w:eastAsia="仿宋_GB2312" w:cs="Times New Roman"/>
          <w:b/>
          <w:bCs w:val="0"/>
          <w:color w:val="auto"/>
          <w:sz w:val="32"/>
          <w:szCs w:val="32"/>
          <w:u w:val="none"/>
          <w:lang w:eastAsia="zh-CN"/>
        </w:rPr>
        <w:t>一是</w:t>
      </w:r>
      <w:r>
        <w:rPr>
          <w:rFonts w:hint="default" w:ascii="Times New Roman" w:hAnsi="Times New Roman" w:eastAsia="仿宋_GB2312" w:cs="Times New Roman"/>
          <w:b w:val="0"/>
          <w:bCs/>
          <w:color w:val="auto"/>
          <w:sz w:val="32"/>
          <w:szCs w:val="32"/>
        </w:rPr>
        <w:t>推动预算绩效管理提质增效。</w:t>
      </w:r>
      <w:r>
        <w:rPr>
          <w:rFonts w:hint="default" w:ascii="Times New Roman" w:hAnsi="Times New Roman" w:eastAsia="仿宋_GB2312" w:cs="Times New Roman"/>
          <w:color w:val="auto"/>
          <w:sz w:val="32"/>
          <w:szCs w:val="32"/>
        </w:rPr>
        <w:t>落实部门绩效管理主体责任，将绩效理念和方法深度融入预算编制、执行、监督全过程，推动预算和绩效管理一体化。持续优化绩效评价方式方法，提高评价质量。加强绩效结果应用，将绩效结果与改进管理、完善政策、调整预算安排有机衔接，削减或取消低效无效资金。</w:t>
      </w:r>
      <w:r>
        <w:rPr>
          <w:rFonts w:hint="default" w:ascii="Times New Roman" w:hAnsi="Times New Roman" w:eastAsia="仿宋_GB2312" w:cs="Times New Roman"/>
          <w:b/>
          <w:bCs/>
          <w:color w:val="auto"/>
          <w:sz w:val="32"/>
          <w:szCs w:val="32"/>
          <w:lang w:eastAsia="zh-CN"/>
        </w:rPr>
        <w:t>二是</w:t>
      </w:r>
      <w:r>
        <w:rPr>
          <w:rFonts w:hint="default" w:ascii="Times New Roman" w:hAnsi="Times New Roman" w:eastAsia="仿宋_GB2312" w:cs="Times New Roman"/>
          <w:b w:val="0"/>
          <w:bCs w:val="0"/>
          <w:color w:val="auto"/>
          <w:sz w:val="32"/>
          <w:szCs w:val="32"/>
        </w:rPr>
        <w:t>加强零基预算理念运用。</w:t>
      </w:r>
      <w:r>
        <w:rPr>
          <w:rFonts w:hint="default" w:ascii="Times New Roman" w:hAnsi="Times New Roman" w:eastAsia="仿宋_GB2312" w:cs="Times New Roman"/>
          <w:color w:val="auto"/>
          <w:sz w:val="32"/>
          <w:szCs w:val="32"/>
        </w:rPr>
        <w:t>以加强项目审核为基础改进预算编制，严把新增项目审核关，超出财政承受能力和不符合要求的不安排预算。完善项目分年度预算安排机制，涉及跨年政府采购项目，按照分年支出计划安排预算。</w:t>
      </w:r>
    </w:p>
    <w:p w14:paraId="4C336E94">
      <w:pPr>
        <w:keepNext w:val="0"/>
        <w:keepLines w:val="0"/>
        <w:pageBreakBefore w:val="0"/>
        <w:widowControl w:val="0"/>
        <w:suppressLineNumbers w:val="0"/>
        <w:kinsoku/>
        <w:wordWrap/>
        <w:overflowPunct/>
        <w:topLinePunct w:val="0"/>
        <w:autoSpaceDE/>
        <w:autoSpaceDN/>
        <w:bidi w:val="0"/>
        <w:adjustRightInd/>
        <w:snapToGrid/>
        <w:spacing w:line="546" w:lineRule="exact"/>
        <w:ind w:firstLine="643"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kern w:val="0"/>
          <w:sz w:val="32"/>
          <w:szCs w:val="32"/>
          <w:lang w:val="en-US" w:eastAsia="zh-CN" w:bidi="ar"/>
        </w:rPr>
        <w:t>（</w:t>
      </w:r>
      <w:r>
        <w:rPr>
          <w:rFonts w:hint="eastAsia" w:ascii="Times New Roman" w:hAnsi="Times New Roman" w:eastAsia="仿宋_GB2312" w:cs="Times New Roman"/>
          <w:b/>
          <w:bCs/>
          <w:color w:val="auto"/>
          <w:kern w:val="0"/>
          <w:sz w:val="32"/>
          <w:szCs w:val="32"/>
          <w:lang w:val="en-US" w:eastAsia="zh-CN" w:bidi="ar"/>
        </w:rPr>
        <w:t>3</w:t>
      </w:r>
      <w:r>
        <w:rPr>
          <w:rFonts w:hint="default" w:ascii="Times New Roman" w:hAnsi="Times New Roman" w:eastAsia="仿宋_GB2312" w:cs="Times New Roman"/>
          <w:b/>
          <w:bCs/>
          <w:color w:val="auto"/>
          <w:kern w:val="0"/>
          <w:sz w:val="32"/>
          <w:szCs w:val="32"/>
          <w:lang w:val="en-US" w:eastAsia="zh-CN" w:bidi="ar"/>
        </w:rPr>
        <w:t>）防范化解风险，兜牢兜实“三保”。</w:t>
      </w:r>
      <w:r>
        <w:rPr>
          <w:rFonts w:hint="default" w:ascii="Times New Roman" w:hAnsi="Times New Roman" w:eastAsia="仿宋_GB2312" w:cs="Times New Roman"/>
          <w:b/>
          <w:bCs/>
          <w:color w:val="auto"/>
          <w:sz w:val="32"/>
          <w:szCs w:val="32"/>
          <w:u w:val="none"/>
          <w:lang w:eastAsia="zh-CN"/>
        </w:rPr>
        <w:t>一是</w:t>
      </w:r>
      <w:r>
        <w:rPr>
          <w:rFonts w:hint="default" w:ascii="Times New Roman" w:hAnsi="Times New Roman" w:eastAsia="仿宋_GB2312" w:cs="Times New Roman"/>
          <w:color w:val="auto"/>
          <w:kern w:val="0"/>
          <w:sz w:val="32"/>
          <w:szCs w:val="32"/>
          <w:lang w:val="en-US" w:eastAsia="zh-CN" w:bidi="ar"/>
        </w:rPr>
        <w:t>强化政府债务风险管理，将到期本息列入预算，确保按时偿还。坚决遏制债务增量、妥善化解债务存量，积极优化债务结构</w:t>
      </w:r>
      <w:r>
        <w:rPr>
          <w:rFonts w:hint="default" w:ascii="Times New Roman" w:hAnsi="Times New Roman" w:eastAsia="仿宋_GB2312" w:cs="Times New Roman"/>
          <w:color w:val="auto"/>
          <w:sz w:val="32"/>
          <w:szCs w:val="32"/>
          <w:u w:val="none"/>
          <w:lang w:eastAsia="zh-CN"/>
        </w:rPr>
        <w:t>。完善通报预警机制，加强日常监督管理，对债券项目使用进度慢的部门定期通报，督促加快项目建设进度，形成实物工作量。</w:t>
      </w:r>
      <w:r>
        <w:rPr>
          <w:rFonts w:hint="default" w:ascii="Times New Roman" w:hAnsi="Times New Roman" w:eastAsia="仿宋_GB2312" w:cs="Times New Roman"/>
          <w:b/>
          <w:bCs/>
          <w:color w:val="auto"/>
          <w:sz w:val="32"/>
          <w:szCs w:val="32"/>
          <w:u w:val="none"/>
          <w:lang w:eastAsia="zh-CN"/>
        </w:rPr>
        <w:t>二是</w:t>
      </w:r>
      <w:r>
        <w:rPr>
          <w:rFonts w:hint="default" w:ascii="Times New Roman" w:hAnsi="Times New Roman" w:eastAsia="仿宋_GB2312" w:cs="Times New Roman"/>
          <w:color w:val="auto"/>
          <w:sz w:val="32"/>
          <w:szCs w:val="32"/>
          <w:u w:val="none"/>
          <w:lang w:eastAsia="zh-CN"/>
        </w:rPr>
        <w:t>坚决兜实兜牢“三保”底线。牢固树立底线思维，坚持按照国省标准的优先顺序安排“三保”预算，不断优化财政支出结构，切实保障基本民生、工资发放和机构运转，确保经济持续健康发展和社会大局稳定。</w:t>
      </w:r>
    </w:p>
    <w:p w14:paraId="50D1282B">
      <w:pPr>
        <w:keepNext w:val="0"/>
        <w:keepLines w:val="0"/>
        <w:pageBreakBefore w:val="0"/>
        <w:widowControl w:val="0"/>
        <w:suppressLineNumbers w:val="0"/>
        <w:kinsoku/>
        <w:wordWrap/>
        <w:overflowPunct/>
        <w:topLinePunct w:val="0"/>
        <w:autoSpaceDE/>
        <w:autoSpaceDN/>
        <w:bidi w:val="0"/>
        <w:adjustRightInd/>
        <w:snapToGrid/>
        <w:spacing w:line="546" w:lineRule="exact"/>
        <w:ind w:firstLine="643"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kern w:val="0"/>
          <w:sz w:val="32"/>
          <w:szCs w:val="32"/>
          <w:lang w:val="en-US" w:eastAsia="zh-CN" w:bidi="ar"/>
        </w:rPr>
        <w:t>（</w:t>
      </w:r>
      <w:r>
        <w:rPr>
          <w:rFonts w:hint="eastAsia" w:ascii="Times New Roman" w:hAnsi="Times New Roman" w:eastAsia="仿宋_GB2312" w:cs="Times New Roman"/>
          <w:b/>
          <w:bCs/>
          <w:color w:val="auto"/>
          <w:kern w:val="0"/>
          <w:sz w:val="32"/>
          <w:szCs w:val="32"/>
          <w:lang w:val="en-US" w:eastAsia="zh-CN" w:bidi="ar"/>
        </w:rPr>
        <w:t>4</w:t>
      </w:r>
      <w:r>
        <w:rPr>
          <w:rFonts w:hint="default" w:ascii="Times New Roman" w:hAnsi="Times New Roman" w:eastAsia="仿宋_GB2312" w:cs="Times New Roman"/>
          <w:b/>
          <w:bCs/>
          <w:color w:val="auto"/>
          <w:kern w:val="0"/>
          <w:sz w:val="32"/>
          <w:szCs w:val="32"/>
          <w:lang w:val="en-US" w:eastAsia="zh-CN" w:bidi="ar"/>
        </w:rPr>
        <w:t>）加大支出强度，持续盘活存量。</w:t>
      </w:r>
      <w:r>
        <w:rPr>
          <w:rFonts w:hint="default" w:ascii="Times New Roman" w:hAnsi="Times New Roman" w:eastAsia="仿宋_GB2312" w:cs="Times New Roman"/>
          <w:b/>
          <w:bCs/>
          <w:color w:val="auto"/>
          <w:sz w:val="32"/>
          <w:szCs w:val="32"/>
          <w:u w:val="none"/>
          <w:lang w:eastAsia="zh-CN"/>
        </w:rPr>
        <w:t>一是</w:t>
      </w:r>
      <w:r>
        <w:rPr>
          <w:rFonts w:hint="default" w:ascii="Times New Roman" w:hAnsi="Times New Roman" w:eastAsia="仿宋_GB2312" w:cs="Times New Roman"/>
          <w:b w:val="0"/>
          <w:bCs w:val="0"/>
          <w:color w:val="auto"/>
          <w:sz w:val="32"/>
          <w:szCs w:val="32"/>
          <w:u w:val="none"/>
          <w:lang w:eastAsia="zh-CN"/>
        </w:rPr>
        <w:t>在党政机关坚持过紧日子的前提下，加大财政支出强度，支持扩大有效需求，推动“两新”工作落实及“两重”重大项目实施。聚焦特色产业、重大民生等领域财政保障，为加快畜牧业转型，探索清洁能源开发，全域旅游建设等方面提供有力支撑</w:t>
      </w:r>
      <w:r>
        <w:rPr>
          <w:rFonts w:hint="default" w:ascii="Times New Roman" w:hAnsi="Times New Roman" w:eastAsia="仿宋_GB2312" w:cs="Times New Roman"/>
          <w:color w:val="auto"/>
          <w:kern w:val="0"/>
          <w:sz w:val="32"/>
          <w:szCs w:val="32"/>
          <w:lang w:val="en-US" w:eastAsia="zh-CN" w:bidi="ar"/>
        </w:rPr>
        <w:t>。</w:t>
      </w:r>
      <w:r>
        <w:rPr>
          <w:rFonts w:hint="default" w:ascii="Times New Roman" w:hAnsi="Times New Roman" w:eastAsia="仿宋_GB2312" w:cs="Times New Roman"/>
          <w:b/>
          <w:bCs/>
          <w:color w:val="auto"/>
          <w:sz w:val="32"/>
          <w:szCs w:val="32"/>
          <w:u w:val="none"/>
          <w:lang w:eastAsia="zh-CN"/>
        </w:rPr>
        <w:t>二是</w:t>
      </w:r>
      <w:r>
        <w:rPr>
          <w:rFonts w:hint="default" w:ascii="Times New Roman" w:hAnsi="Times New Roman" w:eastAsia="仿宋_GB2312" w:cs="Times New Roman"/>
          <w:color w:val="auto"/>
          <w:sz w:val="32"/>
          <w:szCs w:val="32"/>
          <w:u w:val="none"/>
          <w:lang w:eastAsia="zh-CN"/>
        </w:rPr>
        <w:t>完善财政结转结余资金常态化清理机制，紧盯银行账户“沉睡资金”，加大结余资金收回和结转资金消化力度，精打细算统筹安排使用，避免资金沉淀闲置，有效缓解国库库款支出压力。</w:t>
      </w:r>
    </w:p>
    <w:p w14:paraId="77226E5E">
      <w:pPr>
        <w:keepNext w:val="0"/>
        <w:keepLines w:val="0"/>
        <w:pageBreakBefore w:val="0"/>
        <w:widowControl w:val="0"/>
        <w:kinsoku/>
        <w:wordWrap/>
        <w:overflowPunct/>
        <w:topLinePunct w:val="0"/>
        <w:autoSpaceDE/>
        <w:autoSpaceDN/>
        <w:bidi w:val="0"/>
        <w:adjustRightInd/>
        <w:snapToGrid/>
        <w:spacing w:line="546" w:lineRule="exact"/>
        <w:ind w:left="0" w:leftChars="0" w:firstLine="643"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color w:val="auto"/>
          <w:kern w:val="0"/>
          <w:sz w:val="32"/>
          <w:szCs w:val="32"/>
          <w:lang w:val="en-US" w:eastAsia="zh-CN" w:bidi="ar"/>
        </w:rPr>
        <w:t>（</w:t>
      </w:r>
      <w:r>
        <w:rPr>
          <w:rFonts w:hint="eastAsia" w:ascii="Times New Roman" w:hAnsi="Times New Roman" w:eastAsia="仿宋_GB2312" w:cs="Times New Roman"/>
          <w:b/>
          <w:bCs/>
          <w:color w:val="auto"/>
          <w:kern w:val="0"/>
          <w:sz w:val="32"/>
          <w:szCs w:val="32"/>
          <w:lang w:val="en-US" w:eastAsia="zh-CN" w:bidi="ar"/>
        </w:rPr>
        <w:t>5</w:t>
      </w:r>
      <w:r>
        <w:rPr>
          <w:rFonts w:hint="default" w:ascii="Times New Roman" w:hAnsi="Times New Roman" w:eastAsia="仿宋_GB2312" w:cs="Times New Roman"/>
          <w:b/>
          <w:bCs/>
          <w:color w:val="auto"/>
          <w:kern w:val="0"/>
          <w:sz w:val="32"/>
          <w:szCs w:val="32"/>
          <w:lang w:val="en-US" w:eastAsia="zh-CN" w:bidi="ar"/>
        </w:rPr>
        <w:t>）主动接受监督，及时进行回应。</w:t>
      </w:r>
      <w:r>
        <w:rPr>
          <w:rFonts w:hint="default" w:ascii="Times New Roman" w:hAnsi="Times New Roman" w:eastAsia="仿宋_GB2312" w:cs="Times New Roman"/>
          <w:color w:val="auto"/>
          <w:sz w:val="32"/>
          <w:szCs w:val="32"/>
          <w:u w:val="none"/>
        </w:rPr>
        <w:t>认真落实</w:t>
      </w:r>
      <w:r>
        <w:rPr>
          <w:rFonts w:hint="default" w:ascii="Times New Roman" w:hAnsi="Times New Roman" w:eastAsia="仿宋_GB2312" w:cs="Times New Roman"/>
          <w:color w:val="auto"/>
          <w:sz w:val="32"/>
          <w:szCs w:val="32"/>
          <w:u w:val="none"/>
          <w:lang w:eastAsia="zh-CN"/>
        </w:rPr>
        <w:t>县</w:t>
      </w:r>
      <w:r>
        <w:rPr>
          <w:rFonts w:hint="default" w:ascii="Times New Roman" w:hAnsi="Times New Roman" w:eastAsia="仿宋_GB2312" w:cs="Times New Roman"/>
          <w:color w:val="auto"/>
          <w:sz w:val="32"/>
          <w:szCs w:val="32"/>
          <w:u w:val="none"/>
        </w:rPr>
        <w:t>人大及其常委会有关预决算决议</w:t>
      </w:r>
      <w:r>
        <w:rPr>
          <w:rFonts w:hint="default" w:ascii="Times New Roman" w:hAnsi="Times New Roman" w:eastAsia="仿宋_GB2312" w:cs="Times New Roman"/>
          <w:color w:val="auto"/>
          <w:sz w:val="32"/>
          <w:szCs w:val="32"/>
          <w:u w:val="none"/>
          <w:lang w:val="en"/>
        </w:rPr>
        <w:t>，</w:t>
      </w:r>
      <w:r>
        <w:rPr>
          <w:rFonts w:hint="default" w:ascii="Times New Roman" w:hAnsi="Times New Roman" w:eastAsia="仿宋_GB2312" w:cs="Times New Roman"/>
          <w:color w:val="auto"/>
          <w:sz w:val="32"/>
          <w:szCs w:val="32"/>
          <w:u w:val="none"/>
        </w:rPr>
        <w:t>认真落实人大预算审查监督重点有关要求，</w:t>
      </w:r>
      <w:r>
        <w:rPr>
          <w:rFonts w:hint="default" w:ascii="Times New Roman" w:hAnsi="Times New Roman" w:eastAsia="仿宋_GB2312" w:cs="Times New Roman"/>
          <w:color w:val="auto"/>
          <w:sz w:val="32"/>
          <w:szCs w:val="32"/>
          <w:u w:val="none"/>
          <w:lang w:val="en"/>
        </w:rPr>
        <w:t>积极</w:t>
      </w:r>
      <w:r>
        <w:rPr>
          <w:rFonts w:hint="default" w:ascii="Times New Roman" w:hAnsi="Times New Roman" w:eastAsia="仿宋_GB2312" w:cs="Times New Roman"/>
          <w:color w:val="auto"/>
          <w:sz w:val="32"/>
          <w:szCs w:val="32"/>
          <w:u w:val="none"/>
        </w:rPr>
        <w:t>主动回应人大代表关切</w:t>
      </w:r>
      <w:r>
        <w:rPr>
          <w:rFonts w:hint="default" w:ascii="Times New Roman" w:hAnsi="Times New Roman" w:eastAsia="仿宋_GB2312" w:cs="Times New Roman"/>
          <w:color w:val="auto"/>
          <w:sz w:val="32"/>
          <w:szCs w:val="32"/>
          <w:u w:val="none"/>
          <w:lang w:eastAsia="zh-CN"/>
        </w:rPr>
        <w:t>事项</w:t>
      </w:r>
      <w:r>
        <w:rPr>
          <w:rFonts w:hint="default" w:ascii="Times New Roman" w:hAnsi="Times New Roman" w:eastAsia="仿宋_GB2312" w:cs="Times New Roman"/>
          <w:color w:val="auto"/>
          <w:sz w:val="32"/>
          <w:szCs w:val="32"/>
          <w:u w:val="none"/>
        </w:rPr>
        <w:t>，做好解释说明工作，更好服务人大代表依法履职</w:t>
      </w:r>
      <w:r>
        <w:rPr>
          <w:rFonts w:hint="default" w:ascii="Times New Roman" w:hAnsi="Times New Roman" w:eastAsia="仿宋_GB2312" w:cs="Times New Roman"/>
          <w:color w:val="auto"/>
          <w:sz w:val="32"/>
          <w:szCs w:val="32"/>
          <w:u w:val="none"/>
          <w:lang w:val="en"/>
        </w:rPr>
        <w:t>。</w:t>
      </w:r>
      <w:r>
        <w:rPr>
          <w:rFonts w:hint="default" w:ascii="Times New Roman" w:hAnsi="Times New Roman" w:eastAsia="仿宋_GB2312" w:cs="Times New Roman"/>
          <w:color w:val="auto"/>
          <w:sz w:val="32"/>
          <w:szCs w:val="32"/>
          <w:u w:val="none"/>
          <w:lang w:eastAsia="zh-CN"/>
        </w:rPr>
        <w:t>强化财政监督与巡视巡察、审计监督等其他监督的贯通协调，推动重大决策部署落实落地。</w:t>
      </w:r>
      <w:r>
        <w:rPr>
          <w:rFonts w:hint="default" w:ascii="Times New Roman" w:hAnsi="Times New Roman" w:eastAsia="仿宋_GB2312" w:cs="Times New Roman"/>
          <w:color w:val="auto"/>
          <w:sz w:val="32"/>
          <w:szCs w:val="32"/>
          <w:u w:val="none"/>
        </w:rPr>
        <w:t>全面推进部门所属单位预算公开，打造“阳光财政”</w:t>
      </w:r>
      <w:r>
        <w:rPr>
          <w:rFonts w:hint="default" w:ascii="Times New Roman" w:hAnsi="Times New Roman" w:eastAsia="仿宋_GB2312" w:cs="Times New Roman"/>
          <w:color w:val="auto"/>
          <w:sz w:val="32"/>
          <w:szCs w:val="32"/>
          <w:u w:val="none"/>
          <w:lang w:eastAsia="zh-CN"/>
        </w:rPr>
        <w:t>。</w:t>
      </w:r>
    </w:p>
    <w:p w14:paraId="2167483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30F2A131">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红原县财政局下设股室</w:t>
      </w:r>
      <w:r>
        <w:rPr>
          <w:rFonts w:hint="eastAsia"/>
          <w:sz w:val="32"/>
          <w:szCs w:val="32"/>
          <w:lang w:val="en-US" w:eastAsia="zh-CN"/>
        </w:rPr>
        <w:t>10</w:t>
      </w:r>
      <w:r>
        <w:rPr>
          <w:rFonts w:hint="eastAsia"/>
          <w:sz w:val="32"/>
          <w:szCs w:val="32"/>
        </w:rPr>
        <w:t>个，其中行政单位</w:t>
      </w:r>
      <w:r>
        <w:rPr>
          <w:rFonts w:hint="eastAsia"/>
          <w:sz w:val="32"/>
          <w:szCs w:val="32"/>
          <w:lang w:val="en-US" w:eastAsia="zh-CN"/>
        </w:rPr>
        <w:t>6</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w:t>
      </w:r>
      <w:r>
        <w:rPr>
          <w:rFonts w:hint="eastAsia"/>
          <w:sz w:val="32"/>
          <w:szCs w:val="32"/>
          <w:lang w:eastAsia="zh-CN"/>
        </w:rPr>
        <w:t>：国库集中支付中心</w:t>
      </w:r>
      <w:r>
        <w:rPr>
          <w:rFonts w:hint="eastAsia"/>
          <w:sz w:val="32"/>
          <w:szCs w:val="32"/>
        </w:rPr>
        <w:t>，其他事业单位</w:t>
      </w:r>
      <w:r>
        <w:rPr>
          <w:rFonts w:hint="eastAsia"/>
          <w:sz w:val="32"/>
          <w:szCs w:val="32"/>
          <w:lang w:val="en-US" w:eastAsia="zh-CN"/>
        </w:rPr>
        <w:t>3</w:t>
      </w:r>
      <w:r>
        <w:rPr>
          <w:rFonts w:hint="eastAsia"/>
          <w:sz w:val="32"/>
          <w:szCs w:val="32"/>
        </w:rPr>
        <w:t>个。</w:t>
      </w:r>
      <w:r>
        <w:rPr>
          <w:rFonts w:hint="eastAsia"/>
          <w:sz w:val="32"/>
          <w:szCs w:val="32"/>
          <w:lang w:eastAsia="zh-CN"/>
        </w:rPr>
        <w:t>分别是：网管中心、财政评审中心、国有资产管理中心。</w:t>
      </w:r>
    </w:p>
    <w:p w14:paraId="4F3DA94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601445B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年红原县财政局</w:t>
      </w:r>
      <w:r>
        <w:rPr>
          <w:rFonts w:hint="eastAsia" w:ascii="仿宋_GB2312" w:eastAsia="仿宋_GB2312"/>
          <w:sz w:val="32"/>
          <w:szCs w:val="32"/>
        </w:rPr>
        <w:t>收入预算总额为</w:t>
      </w:r>
      <w:r>
        <w:rPr>
          <w:rFonts w:hint="eastAsia" w:ascii="仿宋_GB2312" w:eastAsia="仿宋_GB2312"/>
          <w:sz w:val="32"/>
          <w:szCs w:val="32"/>
          <w:lang w:val="en-US" w:eastAsia="zh-CN"/>
        </w:rPr>
        <w:t>1584.19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1584.19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1584.19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1336.46</w:t>
      </w:r>
      <w:r>
        <w:rPr>
          <w:rFonts w:hint="eastAsia" w:ascii="仿宋_GB2312" w:eastAsia="仿宋_GB2312"/>
          <w:sz w:val="32"/>
          <w:szCs w:val="32"/>
        </w:rPr>
        <w:t>万元，社会保障和就业</w:t>
      </w:r>
      <w:r>
        <w:rPr>
          <w:rFonts w:hint="eastAsia" w:ascii="仿宋_GB2312" w:eastAsia="仿宋_GB2312"/>
          <w:sz w:val="32"/>
          <w:szCs w:val="32"/>
          <w:lang w:val="en-US" w:eastAsia="zh-CN"/>
        </w:rPr>
        <w:t>128.07</w:t>
      </w:r>
      <w:r>
        <w:rPr>
          <w:rFonts w:hint="eastAsia" w:ascii="仿宋_GB2312" w:eastAsia="仿宋_GB2312"/>
          <w:sz w:val="32"/>
          <w:szCs w:val="32"/>
        </w:rPr>
        <w:t>万元，医疗卫生</w:t>
      </w:r>
      <w:r>
        <w:rPr>
          <w:rFonts w:hint="eastAsia" w:ascii="仿宋_GB2312" w:eastAsia="仿宋_GB2312"/>
          <w:sz w:val="32"/>
          <w:szCs w:val="32"/>
          <w:lang w:val="en-US" w:eastAsia="zh-CN"/>
        </w:rPr>
        <w:t>48.85</w:t>
      </w:r>
      <w:r>
        <w:rPr>
          <w:rFonts w:hint="eastAsia" w:ascii="仿宋_GB2312" w:eastAsia="仿宋_GB2312"/>
          <w:sz w:val="32"/>
          <w:szCs w:val="32"/>
        </w:rPr>
        <w:t>万元，住房保障支出</w:t>
      </w:r>
      <w:r>
        <w:rPr>
          <w:rFonts w:hint="eastAsia" w:ascii="仿宋_GB2312" w:eastAsia="仿宋_GB2312"/>
          <w:sz w:val="32"/>
          <w:szCs w:val="32"/>
          <w:lang w:val="en-US" w:eastAsia="zh-CN"/>
        </w:rPr>
        <w:t>70.80</w:t>
      </w:r>
      <w:r>
        <w:rPr>
          <w:rFonts w:hint="eastAsia" w:ascii="仿宋_GB2312" w:eastAsia="仿宋_GB2312"/>
          <w:sz w:val="32"/>
          <w:szCs w:val="32"/>
        </w:rPr>
        <w:t>万元。</w:t>
      </w:r>
    </w:p>
    <w:p w14:paraId="1920D924">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50F212C5">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红原县财政局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财政</w:t>
      </w:r>
      <w:r>
        <w:rPr>
          <w:rFonts w:hint="eastAsia" w:ascii="仿宋_GB2312" w:eastAsia="仿宋_GB2312"/>
          <w:sz w:val="32"/>
          <w:szCs w:val="32"/>
        </w:rPr>
        <w:t>事业发展相关工作。</w:t>
      </w:r>
    </w:p>
    <w:p w14:paraId="22831B5C">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947.18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865.08万元，机关运</w:t>
      </w:r>
      <w:r>
        <w:rPr>
          <w:rFonts w:hint="eastAsia" w:ascii="仿宋_GB2312" w:eastAsia="仿宋_GB2312"/>
          <w:color w:val="000000" w:themeColor="text1"/>
          <w:sz w:val="32"/>
          <w:szCs w:val="32"/>
          <w:lang w:val="en-US" w:eastAsia="zh-CN"/>
          <w14:textFill>
            <w14:solidFill>
              <w14:schemeClr w14:val="tx1"/>
            </w14:solidFill>
          </w14:textFill>
        </w:rPr>
        <w:t>行经费82.10万元，其中：办公费10.24万元，印刷费4.5万元，手续费0.1万元，水费0.6万元，电费6万元，邮电费0.42万元，取暖费3.2万元，物理管理费0.5万元，差旅费7万元，劳务费0.78万元，委托业务费1.8万元，公务接待费3.2万元，工会经费6.4万元，福利费15.62万元，公务用车运行维护费13.2万元，其他商品和服务费8.54万元。</w:t>
      </w:r>
    </w:p>
    <w:p w14:paraId="30933553">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按支出功能分类主要用于以下方面:</w:t>
      </w:r>
    </w:p>
    <w:p w14:paraId="176FABB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1336.46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61A3AB0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128.07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5CF8B0C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48.85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0040048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70.80</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01EA52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5CAA288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1584.19万元较上年度预算1481.31万元增加了6.9%，其中基本行政运行经费预算947.19万元，占全部总预算的59.80%，较上年913.71万元增加了3.6%，原因为业务量增多、人员调增；专项业务工作经费预算637万元，占总预算的40.20%，较上年预算567.6万元增加了12.2%，主要原因为业务量增多。</w:t>
      </w:r>
    </w:p>
    <w:p w14:paraId="167263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六、“三公”经费预算</w:t>
      </w:r>
    </w:p>
    <w:p w14:paraId="532A07E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16.4万元，其中：出国费0万元，与上年持平，主要原因为未安排因公出国；公车购置费0元，与上年持平；公务用车维护费支出13.2万元，较上年度预算13.2万元持平，较上年预算12.2万元增加了8.1%，主要原因为公务车用车老旧，维修次数增多。主要原因严格执行“八项规定、六项禁令”；公务接待费3.2万元，较上年度预算持平，主要原因为本年度我们将严格执行“八项规定、六项禁令”，结合本年度工作需要，减少不必要的开支。</w:t>
      </w:r>
    </w:p>
    <w:p w14:paraId="3387DC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49279DA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2026年红原县财政局无使用政府性基金预算拨款安排的支出</w:t>
      </w:r>
      <w:r>
        <w:rPr>
          <w:rFonts w:hint="eastAsia" w:ascii="仿宋_GB2312" w:eastAsia="仿宋_GB2312"/>
          <w:sz w:val="32"/>
          <w:szCs w:val="32"/>
        </w:rPr>
        <w:t>。</w:t>
      </w:r>
    </w:p>
    <w:p w14:paraId="540D49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6D036D5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2026年红原县财政局无使用国有资本经营预算拨款安排的支出。</w:t>
      </w:r>
    </w:p>
    <w:p w14:paraId="4F19166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72DD29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3700A07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66A09E2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693E8FD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截止2025年底，实际共有固定资产价值757.96</w:t>
      </w:r>
      <w:r>
        <w:rPr>
          <w:rFonts w:hint="eastAsia" w:ascii="仿宋_GB2312" w:eastAsia="仿宋_GB2312"/>
          <w:sz w:val="32"/>
          <w:szCs w:val="32"/>
          <w:lang w:eastAsia="zh-CN"/>
        </w:rPr>
        <w:t>万元：其中：设备</w:t>
      </w:r>
      <w:r>
        <w:rPr>
          <w:rFonts w:hint="eastAsia" w:ascii="仿宋_GB2312" w:eastAsia="仿宋_GB2312"/>
          <w:sz w:val="32"/>
          <w:szCs w:val="32"/>
          <w:lang w:val="en-US" w:eastAsia="zh-CN"/>
        </w:rPr>
        <w:t>335.45万元（其中</w:t>
      </w:r>
      <w:r>
        <w:rPr>
          <w:rFonts w:hint="eastAsia" w:ascii="仿宋_GB2312" w:eastAsia="仿宋_GB2312"/>
          <w:sz w:val="32"/>
          <w:szCs w:val="32"/>
          <w:lang w:eastAsia="zh-CN"/>
        </w:rPr>
        <w:t>公务用车</w:t>
      </w:r>
      <w:r>
        <w:rPr>
          <w:rFonts w:hint="eastAsia" w:ascii="仿宋_GB2312" w:eastAsia="仿宋_GB2312"/>
          <w:sz w:val="32"/>
          <w:szCs w:val="32"/>
          <w:lang w:val="en-US" w:eastAsia="zh-CN"/>
        </w:rPr>
        <w:t>99.41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；业务用房</w:t>
      </w:r>
      <w:r>
        <w:rPr>
          <w:rFonts w:hint="eastAsia" w:ascii="仿宋_GB2312" w:eastAsia="仿宋_GB2312"/>
          <w:sz w:val="32"/>
          <w:szCs w:val="32"/>
          <w:lang w:val="en-US" w:eastAsia="zh-CN"/>
        </w:rPr>
        <w:t>350.82</w:t>
      </w:r>
      <w:r>
        <w:rPr>
          <w:rFonts w:hint="eastAsia" w:ascii="仿宋_GB2312" w:eastAsia="仿宋_GB2312"/>
          <w:sz w:val="32"/>
          <w:szCs w:val="32"/>
          <w:lang w:eastAsia="zh-CN"/>
        </w:rPr>
        <w:t>万元</w:t>
      </w:r>
      <w:r>
        <w:rPr>
          <w:rFonts w:hint="eastAsia" w:ascii="仿宋_GB2312" w:eastAsia="仿宋_GB2312"/>
          <w:sz w:val="32"/>
          <w:szCs w:val="32"/>
          <w:lang w:val="en-US" w:eastAsia="zh-CN"/>
        </w:rPr>
        <w:t>，家具、用具、装具及动植物71.68万元，无形资产3.47万元。</w:t>
      </w:r>
    </w:p>
    <w:p w14:paraId="2E967B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5F714A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绩效目标是预算编制的前提和基础，按照“费随事定”的原则，2026年我单位项目支出按要求编制了绩效目标，从项目完成、项目效益、满意度等方面。</w:t>
      </w:r>
    </w:p>
    <w:p w14:paraId="6984D25F">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641F705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D6911A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77C996C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3A9614C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55A596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0EE2A2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B3AE4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0AD507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118D51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6D35D0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7F8EC02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60FAECA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2DEE3B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57D85E2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53B27C7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3BBE3C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00170BF"/>
    <w:rsid w:val="0085170F"/>
    <w:rsid w:val="029D0D5E"/>
    <w:rsid w:val="02FC6D4C"/>
    <w:rsid w:val="05D87A97"/>
    <w:rsid w:val="09BA25BD"/>
    <w:rsid w:val="0A86603A"/>
    <w:rsid w:val="0C3677D8"/>
    <w:rsid w:val="106436A5"/>
    <w:rsid w:val="19681C30"/>
    <w:rsid w:val="19C1402F"/>
    <w:rsid w:val="1A731B1A"/>
    <w:rsid w:val="1D580EA5"/>
    <w:rsid w:val="1DAE04D1"/>
    <w:rsid w:val="21D5594F"/>
    <w:rsid w:val="26F48472"/>
    <w:rsid w:val="2BAA4035"/>
    <w:rsid w:val="2BF71F88"/>
    <w:rsid w:val="2C7802C1"/>
    <w:rsid w:val="2D8B5F27"/>
    <w:rsid w:val="2EB673BA"/>
    <w:rsid w:val="2F5E3E66"/>
    <w:rsid w:val="35F380BC"/>
    <w:rsid w:val="35FF2D2D"/>
    <w:rsid w:val="38077EBE"/>
    <w:rsid w:val="391E6583"/>
    <w:rsid w:val="3F451F22"/>
    <w:rsid w:val="3FC36658"/>
    <w:rsid w:val="483A5C8E"/>
    <w:rsid w:val="484E2E75"/>
    <w:rsid w:val="49EB7C26"/>
    <w:rsid w:val="4A945796"/>
    <w:rsid w:val="4D771F09"/>
    <w:rsid w:val="4DEA35D0"/>
    <w:rsid w:val="4F5450BE"/>
    <w:rsid w:val="4F892E6C"/>
    <w:rsid w:val="4FCC197A"/>
    <w:rsid w:val="4FE8208B"/>
    <w:rsid w:val="52033A01"/>
    <w:rsid w:val="5588023F"/>
    <w:rsid w:val="559E1DB4"/>
    <w:rsid w:val="56631B22"/>
    <w:rsid w:val="567B18DE"/>
    <w:rsid w:val="5A861516"/>
    <w:rsid w:val="5BF5F6D3"/>
    <w:rsid w:val="5C836C1F"/>
    <w:rsid w:val="5F397CEB"/>
    <w:rsid w:val="5F78432A"/>
    <w:rsid w:val="5FC41FB9"/>
    <w:rsid w:val="5FDF867E"/>
    <w:rsid w:val="6BE3E3CD"/>
    <w:rsid w:val="707A28E7"/>
    <w:rsid w:val="73DF7C4C"/>
    <w:rsid w:val="77DFCAD3"/>
    <w:rsid w:val="79B1282B"/>
    <w:rsid w:val="7A195BC1"/>
    <w:rsid w:val="7B720ACD"/>
    <w:rsid w:val="7BAFF836"/>
    <w:rsid w:val="7BF7919B"/>
    <w:rsid w:val="7D5B17C8"/>
    <w:rsid w:val="7DF85317"/>
    <w:rsid w:val="7E9D7C79"/>
    <w:rsid w:val="7F7B3921"/>
    <w:rsid w:val="7FFE8125"/>
    <w:rsid w:val="7FFF6CCB"/>
    <w:rsid w:val="9FDC1C23"/>
    <w:rsid w:val="AFAD64F0"/>
    <w:rsid w:val="AFBDDFD6"/>
    <w:rsid w:val="B8FFC82F"/>
    <w:rsid w:val="BB7748B4"/>
    <w:rsid w:val="BCB1172E"/>
    <w:rsid w:val="CF67684A"/>
    <w:rsid w:val="DDFFE1FB"/>
    <w:rsid w:val="DF3FAF17"/>
    <w:rsid w:val="E3BB1096"/>
    <w:rsid w:val="E7ADA2C0"/>
    <w:rsid w:val="E9FF0803"/>
    <w:rsid w:val="EEEB1C21"/>
    <w:rsid w:val="F2DEA07E"/>
    <w:rsid w:val="FDE74EA3"/>
    <w:rsid w:val="FDEFAD76"/>
    <w:rsid w:val="FE0BC614"/>
    <w:rsid w:val="FFD3609B"/>
    <w:rsid w:val="FFDF8C75"/>
    <w:rsid w:val="FFFF1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sz w:val="24"/>
      <w:szCs w:val="24"/>
    </w:rPr>
  </w:style>
  <w:style w:type="paragraph" w:styleId="3">
    <w:name w:val="index 8"/>
    <w:basedOn w:val="1"/>
    <w:next w:val="1"/>
    <w:qFormat/>
    <w:uiPriority w:val="0"/>
    <w:pPr>
      <w:ind w:left="2940"/>
    </w:pPr>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next w:val="6"/>
    <w:qFormat/>
    <w:uiPriority w:val="0"/>
    <w:pPr>
      <w:spacing w:line="560" w:lineRule="atLeast"/>
      <w:ind w:firstLine="200" w:firstLineChars="200"/>
    </w:pPr>
    <w:rPr>
      <w:rFonts w:ascii="仿宋_GB2312"/>
    </w:rPr>
  </w:style>
  <w:style w:type="paragraph" w:styleId="6">
    <w:name w:val="Body Text First Indent 2"/>
    <w:basedOn w:val="5"/>
    <w:next w:val="7"/>
    <w:qFormat/>
    <w:uiPriority w:val="0"/>
  </w:style>
  <w:style w:type="paragraph" w:styleId="7">
    <w:name w:val="Plain Text"/>
    <w:basedOn w:val="1"/>
    <w:unhideWhenUsed/>
    <w:qFormat/>
    <w:uiPriority w:val="99"/>
    <w:rPr>
      <w:rFonts w:ascii="宋体" w:hAnsi="Courier New"/>
      <w:szCs w:val="20"/>
    </w:rPr>
  </w:style>
  <w:style w:type="paragraph" w:styleId="8">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宋体"/>
      <w:snapToGrid/>
      <w:color w:val="auto"/>
      <w:spacing w:val="0"/>
      <w:w w:val="100"/>
      <w:kern w:val="0"/>
      <w:position w:val="0"/>
      <w:sz w:val="24"/>
      <w:szCs w:val="24"/>
      <w:u w:val="none" w:color="auto"/>
      <w:shd w:val="clear" w:color="auto" w:fill="auto"/>
      <w:vertAlign w:val="baseline"/>
      <w:lang w:val="en-US" w:eastAsia="zh-CN"/>
    </w:rPr>
  </w:style>
  <w:style w:type="paragraph" w:customStyle="1" w:styleId="11">
    <w:name w:val="List Paragraph1"/>
    <w:basedOn w:val="1"/>
    <w:qFormat/>
    <w:uiPriority w:val="0"/>
    <w:pPr>
      <w:keepNext w:val="0"/>
      <w:keepLines w:val="0"/>
      <w:pageBreakBefore w:val="0"/>
      <w:widowControl w:val="0"/>
      <w:suppressLineNumbers w:val="0"/>
      <w:suppressAutoHyphens w:val="0"/>
      <w:ind w:firstLine="200" w:firstLineChars="20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62</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2025-05-28T13:07:00Z</dcterms:created>
  <dc:creator>投资股-李仕昂</dc:creator>
  <cp:lastModifiedBy>user</cp:lastModifiedBy>
  <dcterms:modified xsi:type="dcterms:W3CDTF">2026-02-09T11:51:26Z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AD0F01C76F2D411BC85E84690B3A7FC8_42</vt:lpwstr>
  </property>
</Properties>
</file>