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15620">
      <w:pPr>
        <w:pStyle w:val="2"/>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14:paraId="11FA9345">
      <w:pPr>
        <w:pStyle w:val="2"/>
        <w:rPr>
          <w:rFonts w:hint="eastAsia" w:ascii="仿宋_GB2312" w:hAnsi="仿宋_GB2312" w:eastAsia="仿宋_GB2312" w:cs="仿宋_GB2312"/>
          <w:sz w:val="32"/>
          <w:szCs w:val="32"/>
          <w:lang w:eastAsia="zh-CN"/>
        </w:rPr>
      </w:pPr>
    </w:p>
    <w:p w14:paraId="72D17C4E">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关于红原县行政审批和政务服务管理局2025年部门预算编制的说明············································1</w:t>
      </w:r>
    </w:p>
    <w:p w14:paraId="24C999CB">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一、基本职能及主要工作··························1</w:t>
      </w:r>
    </w:p>
    <w:p w14:paraId="28B2378E">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··································1</w:t>
      </w:r>
    </w:p>
    <w:p w14:paraId="4E25D86C">
      <w:pPr>
        <w:pStyle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（二）2025年重点工作任务························</w:t>
      </w:r>
      <w:r>
        <w:rPr>
          <w:rFonts w:hint="eastAsia" w:ascii="仿宋_GB2312" w:hAnsi="仿宋_GB2312" w:eastAsia="仿宋_GB2312" w:cs="仿宋_GB2312"/>
          <w:sz w:val="32"/>
          <w:szCs w:val="32"/>
          <w:lang w:val="en-US" w:eastAsia="zh-CN"/>
        </w:rPr>
        <w:t>2</w:t>
      </w:r>
    </w:p>
    <w:p w14:paraId="2281BCCA">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二、部门预算单位构成·····························3</w:t>
      </w:r>
    </w:p>
    <w:p w14:paraId="54121FF5">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三、收支预算总体情况·····························3</w:t>
      </w:r>
    </w:p>
    <w:p w14:paraId="1FF909AF">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四、支出预算安排情况</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····························4</w:t>
      </w:r>
    </w:p>
    <w:p w14:paraId="690BF8B0">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五、较上年度增减变化·····························5</w:t>
      </w:r>
    </w:p>
    <w:p w14:paraId="3CF2E020">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六、“三公”经费预算································6</w:t>
      </w:r>
    </w:p>
    <w:p w14:paraId="4C54B7F3">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七、政府性基金预算收支情况说明····················6</w:t>
      </w:r>
    </w:p>
    <w:p w14:paraId="45FE0E10">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八、国有资本经营预算收支情况说明··················6</w:t>
      </w:r>
    </w:p>
    <w:p w14:paraId="0B5D2B21">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九、其他重要事项的情况说明························6</w:t>
      </w:r>
    </w:p>
    <w:p w14:paraId="69A139A6">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（一）政府采购预算情况·····························6</w:t>
      </w:r>
    </w:p>
    <w:p w14:paraId="1CD4C635">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（二）政府财政国有资产占用情况·····················6</w:t>
      </w:r>
    </w:p>
    <w:p w14:paraId="64A33319">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（三）绩效目标设置情况·····························6</w:t>
      </w:r>
    </w:p>
    <w:p w14:paraId="3BF4561B">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十、名词解释······································7</w:t>
      </w:r>
    </w:p>
    <w:p w14:paraId="0C8A6492">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center"/>
        <w:textAlignment w:val="auto"/>
        <w:outlineLvl w:val="9"/>
        <w:rPr>
          <w:rFonts w:hint="eastAsia" w:ascii="仿宋_GB2312" w:hAnsi="仿宋_GB2312" w:eastAsia="仿宋_GB2312" w:cs="仿宋_GB2312"/>
          <w:b w:val="0"/>
          <w:bCs/>
          <w:sz w:val="32"/>
          <w:szCs w:val="32"/>
          <w:lang w:eastAsia="zh-CN"/>
        </w:rPr>
      </w:pPr>
    </w:p>
    <w:p w14:paraId="4D6D0BD4">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hAnsi="仿宋_GB2312" w:eastAsia="仿宋_GB2312" w:cs="仿宋_GB2312"/>
          <w:b w:val="0"/>
          <w:bCs/>
          <w:sz w:val="32"/>
          <w:szCs w:val="32"/>
          <w:lang w:eastAsia="zh-CN"/>
        </w:rPr>
      </w:pPr>
    </w:p>
    <w:p w14:paraId="1626A1E8">
      <w:pPr>
        <w:keepNext w:val="0"/>
        <w:keepLines w:val="0"/>
        <w:pageBreakBefore w:val="0"/>
        <w:widowControl w:val="0"/>
        <w:kinsoku/>
        <w:wordWrap/>
        <w:overflowPunct/>
        <w:topLinePunct w:val="0"/>
        <w:autoSpaceDE/>
        <w:autoSpaceDN/>
        <w:bidi w:val="0"/>
        <w:spacing w:line="576"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红原县行政审批和政务服务管理局</w:t>
      </w:r>
    </w:p>
    <w:p w14:paraId="2D4A1E3E">
      <w:pPr>
        <w:keepNext w:val="0"/>
        <w:keepLines w:val="0"/>
        <w:pageBreakBefore w:val="0"/>
        <w:widowControl w:val="0"/>
        <w:kinsoku/>
        <w:wordWrap/>
        <w:overflowPunct/>
        <w:topLinePunct w:val="0"/>
        <w:autoSpaceDE/>
        <w:autoSpaceDN/>
        <w:bidi w:val="0"/>
        <w:spacing w:line="576"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rPr>
        <w:t>年部门预算编制的说明</w:t>
      </w:r>
    </w:p>
    <w:p w14:paraId="2E91419C">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p>
    <w:p w14:paraId="07B48592">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0" w:firstLineChars="20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14:paraId="6661825E">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一、基本职能及主要工作</w:t>
      </w:r>
    </w:p>
    <w:p w14:paraId="74F124EB">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left"/>
        <w:textAlignment w:val="auto"/>
        <w:outlineLvl w:val="9"/>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62E60998">
      <w:pPr>
        <w:keepNext w:val="0"/>
        <w:keepLines w:val="0"/>
        <w:pageBreakBefore w:val="0"/>
        <w:widowControl w:val="0"/>
        <w:kinsoku/>
        <w:wordWrap/>
        <w:overflowPunct/>
        <w:topLinePunct w:val="0"/>
        <w:autoSpaceDE/>
        <w:autoSpaceDN/>
        <w:bidi w:val="0"/>
        <w:snapToGrid w:val="0"/>
        <w:spacing w:line="576" w:lineRule="exact"/>
        <w:ind w:left="0" w:leftChars="0" w:firstLine="643" w:firstLineChars="200"/>
        <w:jc w:val="left"/>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1．主要职能</w:t>
      </w:r>
    </w:p>
    <w:p w14:paraId="3F0460E3">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1.负责全县行政审批制度改革和“放管服”改革工作，拟订全县行政审批制度和“放管服”改革相关政策和规范性文件。构建高效、便民的审批服务工作机制，推进审批服务标准化，提高审批效能。</w:t>
      </w:r>
    </w:p>
    <w:p w14:paraId="4545C695">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2.负责指导县本级行政审批工作，承办县直部门划入的涉及投资项目、市场准入、建设工程、交通水利、文教卫生、社会事务、涉农事务等方面的行政审批事项，及时通报行政审批事项的实施情况。</w:t>
      </w:r>
    </w:p>
    <w:p w14:paraId="59F588CD">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3.负责统筹协调全县政府职能转变、优化政府服务提升行政效能、行政审批制度改革等工作，组织拟订重大政策措施并组织实施，监督管理全县政务服务工作。</w:t>
      </w:r>
    </w:p>
    <w:p w14:paraId="5BFBC711">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4.负责全县政务服务体系建设，组织拟订政务服务监督管理规章制度并组织实施，开展全县政务服务质量评估工作，推进政务服务标准化、信息化、便民化、规范化建设。负责指导乡镇便民服务中心工作。</w:t>
      </w:r>
    </w:p>
    <w:p w14:paraId="1D441E38">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5.负责全县公共资源交易管理和监督工作，组织拟订全县公共资源交易规则，负责全县公共资源交易一体化服务平台体系标准化建设工作。</w:t>
      </w:r>
    </w:p>
    <w:p w14:paraId="66C48232">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6.承担政务服务行政效能建设工作，负责建设服务型政府、政务服务、公共资源交易等工作，配合行政监督部门查处违法、违规问题。</w:t>
      </w:r>
    </w:p>
    <w:p w14:paraId="1085AD4B">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7.组织县级部门（单位）受理、办理行政许可事项及其他政务服务事项，并进行监督考核。指导畅通企业群众诉求渠道，协调县级各部门解决企业在开办注销、投资建设、生产经营过程中的问题和困难。</w:t>
      </w:r>
    </w:p>
    <w:p w14:paraId="5259C6D8">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8.负责对全县部门政务服务事项进入或退出县政务服务大厅进行初审并报县人民政府批准。负责对涉及县政务服务大厅、县公共资源交易中心、县行政审批服务机构的投诉举报的承办、转办和督办工作。</w:t>
      </w:r>
    </w:p>
    <w:p w14:paraId="46FCB533">
      <w:pPr>
        <w:pStyle w:val="14"/>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baseline"/>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9.完成县委、县政府交办的其他任务。</w:t>
      </w:r>
    </w:p>
    <w:p w14:paraId="519CC2A7">
      <w:pPr>
        <w:pStyle w:val="5"/>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left"/>
        <w:textAlignment w:val="auto"/>
        <w:outlineLvl w:val="9"/>
        <w:rPr>
          <w:rFonts w:hint="eastAsia" w:ascii="仿宋_GB2312" w:hAnsi="仿宋_GB2312" w:eastAsia="仿宋_GB2312" w:cs="仿宋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75E72D23">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kern w:val="2"/>
          <w:sz w:val="32"/>
          <w:szCs w:val="32"/>
          <w:lang w:val="en-US" w:eastAsia="zh-CN" w:bidi="ar-SA"/>
        </w:rPr>
        <w:t>推进全县政务服务三级体系建设。</w:t>
      </w:r>
      <w:r>
        <w:rPr>
          <w:rFonts w:hint="eastAsia" w:ascii="仿宋_GB2312" w:hAnsi="仿宋_GB2312" w:eastAsia="仿宋_GB2312" w:cs="仿宋_GB2312"/>
          <w:kern w:val="2"/>
          <w:sz w:val="32"/>
          <w:szCs w:val="32"/>
          <w:lang w:val="en-US" w:eastAsia="zh-CN" w:bidi="ar-SA"/>
        </w:rPr>
        <w:t>围绕我县政务服务为乡镇便民服务中心、村级便民服务室取得及时实际推进规范运行“三化”建设工作重心。</w:t>
      </w:r>
    </w:p>
    <w:p w14:paraId="3B246244">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2.强化</w:t>
      </w:r>
      <w:r>
        <w:rPr>
          <w:rFonts w:hint="eastAsia" w:ascii="仿宋_GB2312" w:hAnsi="仿宋_GB2312" w:eastAsia="仿宋_GB2312" w:cs="仿宋_GB2312"/>
          <w:b/>
          <w:bCs/>
          <w:kern w:val="2"/>
          <w:sz w:val="32"/>
          <w:szCs w:val="32"/>
          <w:lang w:val="en-US" w:eastAsia="zh-CN" w:bidi="ar-SA"/>
        </w:rPr>
        <w:t>红原县“12345”政务服务便民热线运行监管。</w:t>
      </w:r>
      <w:r>
        <w:rPr>
          <w:rFonts w:hint="eastAsia" w:ascii="仿宋_GB2312" w:hAnsi="仿宋_GB2312" w:eastAsia="仿宋_GB2312" w:cs="仿宋_GB2312"/>
          <w:kern w:val="2"/>
          <w:sz w:val="32"/>
          <w:szCs w:val="32"/>
          <w:lang w:val="en-US" w:eastAsia="zh-CN" w:bidi="ar-SA"/>
        </w:rPr>
        <w:t>做到接通应答率、及时办结率达100%，满意度达90%以上。</w:t>
      </w:r>
    </w:p>
    <w:p w14:paraId="17DAEC01">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kern w:val="2"/>
          <w:sz w:val="32"/>
          <w:szCs w:val="32"/>
          <w:lang w:val="en-US" w:eastAsia="zh-CN" w:bidi="ar-SA"/>
        </w:rPr>
        <w:t>扎实推进公共资源交易日常管理工作。</w:t>
      </w:r>
      <w:r>
        <w:rPr>
          <w:rFonts w:hint="eastAsia" w:ascii="仿宋_GB2312" w:hAnsi="仿宋_GB2312" w:eastAsia="仿宋_GB2312" w:cs="仿宋_GB2312"/>
          <w:kern w:val="2"/>
          <w:sz w:val="32"/>
          <w:szCs w:val="32"/>
          <w:lang w:val="en-US" w:eastAsia="zh-CN" w:bidi="ar-SA"/>
        </w:rPr>
        <w:t>着力打造廉洁、高效开放、公正的阳光交易平台，努力降低交易成本，力争财政资金使用率最优化。</w:t>
      </w:r>
    </w:p>
    <w:p w14:paraId="503B110C">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kern w:val="2"/>
          <w:sz w:val="32"/>
          <w:szCs w:val="32"/>
          <w:lang w:val="en-US" w:eastAsia="zh-CN" w:bidi="ar-SA"/>
        </w:rPr>
        <w:t>政务服务一体化平台功能不断完善。</w:t>
      </w:r>
      <w:r>
        <w:rPr>
          <w:rFonts w:hint="eastAsia" w:ascii="仿宋_GB2312" w:hAnsi="仿宋_GB2312" w:eastAsia="仿宋_GB2312" w:cs="仿宋_GB2312"/>
          <w:kern w:val="2"/>
          <w:sz w:val="32"/>
          <w:szCs w:val="32"/>
          <w:lang w:val="en-US" w:eastAsia="zh-CN" w:bidi="ar-SA"/>
        </w:rPr>
        <w:t>依托全省一体化政务服务平台，持续推动我县线上线下服务同源发布、同步更新，审批标准统一，同时积极配合省级开展4.0系统上线运行工作。</w:t>
      </w:r>
    </w:p>
    <w:p w14:paraId="3666DF10">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kern w:val="2"/>
          <w:sz w:val="32"/>
          <w:szCs w:val="32"/>
          <w:lang w:val="en-US" w:eastAsia="zh-CN" w:bidi="ar-SA"/>
        </w:rPr>
        <w:t>深入推进“高效办成一件事”。</w:t>
      </w:r>
      <w:r>
        <w:rPr>
          <w:rFonts w:hint="eastAsia" w:ascii="仿宋_GB2312" w:hAnsi="仿宋_GB2312" w:eastAsia="仿宋_GB2312" w:cs="仿宋_GB2312"/>
          <w:kern w:val="2"/>
          <w:sz w:val="32"/>
          <w:szCs w:val="32"/>
          <w:lang w:val="en-US" w:eastAsia="zh-CN" w:bidi="ar-SA"/>
        </w:rPr>
        <w:t>细化措施、压实责任，强化统筹协调，持续合力推动“高效办成一件事”落地落实，探索推出红原县特色服务一件事。</w:t>
      </w:r>
    </w:p>
    <w:p w14:paraId="188393E5">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6.强化天府通办分站点的高效应用。</w:t>
      </w:r>
      <w:r>
        <w:rPr>
          <w:rFonts w:hint="eastAsia" w:ascii="仿宋_GB2312" w:hAnsi="仿宋_GB2312" w:eastAsia="仿宋_GB2312" w:cs="仿宋_GB2312"/>
          <w:kern w:val="2"/>
          <w:sz w:val="32"/>
          <w:szCs w:val="32"/>
          <w:lang w:val="en-US" w:eastAsia="zh-CN" w:bidi="ar-SA"/>
        </w:rPr>
        <w:t>持续巩固强化天府通办红原分站点运行，同时强化安全防护能力，加强基础平台、核心系统等安全防护，提升网络和数据安全水平。</w:t>
      </w:r>
    </w:p>
    <w:p w14:paraId="3C07F2C9">
      <w:pPr>
        <w:pStyle w:val="1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left"/>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7.扎实推进政务服务增值化服务。</w:t>
      </w:r>
      <w:r>
        <w:rPr>
          <w:rFonts w:hint="eastAsia" w:ascii="仿宋_GB2312" w:hAnsi="仿宋_GB2312" w:eastAsia="仿宋_GB2312" w:cs="仿宋_GB2312"/>
          <w:kern w:val="2"/>
          <w:sz w:val="32"/>
          <w:szCs w:val="32"/>
          <w:lang w:val="en-US" w:eastAsia="zh-CN" w:bidi="ar-SA"/>
        </w:rPr>
        <w:t>积极探索创新我县园区增值化服务，加大惠企政策宣传力度，助企纾困。</w:t>
      </w:r>
    </w:p>
    <w:p w14:paraId="252D1B4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outlineLvl w:val="9"/>
        <w:rPr>
          <w:rFonts w:hint="eastAsia" w:ascii="仿宋_GB2312" w:hAnsi="仿宋_GB2312" w:eastAsia="仿宋_GB2312" w:cs="仿宋_GB2312"/>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14:paraId="34D6584C">
      <w:pPr>
        <w:keepNext w:val="0"/>
        <w:keepLines w:val="0"/>
        <w:pageBreakBefore w:val="0"/>
        <w:widowControl w:val="0"/>
        <w:kinsoku/>
        <w:wordWrap/>
        <w:overflowPunct/>
        <w:topLinePunct w:val="0"/>
        <w:autoSpaceDE/>
        <w:autoSpaceDN/>
        <w:bidi w:val="0"/>
        <w:spacing w:line="576" w:lineRule="exact"/>
        <w:ind w:left="0" w:leftChars="0" w:firstLine="640" w:firstLineChars="200"/>
        <w:jc w:val="left"/>
        <w:outlineLvl w:val="9"/>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sz w:val="32"/>
          <w:szCs w:val="32"/>
        </w:rPr>
        <w:t>红原县</w:t>
      </w:r>
      <w:r>
        <w:rPr>
          <w:rFonts w:hint="eastAsia" w:ascii="仿宋_GB2312" w:hAnsi="仿宋_GB2312" w:eastAsia="仿宋_GB2312" w:cs="仿宋_GB2312"/>
          <w:sz w:val="32"/>
          <w:szCs w:val="32"/>
          <w:lang w:val="en-US" w:eastAsia="zh-CN"/>
        </w:rPr>
        <w:t>行政审批局</w:t>
      </w:r>
      <w:r>
        <w:rPr>
          <w:rFonts w:hint="eastAsia" w:ascii="仿宋_GB2312" w:hAnsi="仿宋_GB2312" w:eastAsia="仿宋_GB2312" w:cs="仿宋_GB2312"/>
          <w:sz w:val="32"/>
          <w:szCs w:val="32"/>
        </w:rPr>
        <w:t>下设</w:t>
      </w:r>
      <w:r>
        <w:rPr>
          <w:rFonts w:hint="eastAsia" w:ascii="仿宋_GB2312" w:hAnsi="仿宋_GB2312" w:eastAsia="仿宋_GB2312" w:cs="仿宋_GB2312"/>
          <w:sz w:val="32"/>
          <w:szCs w:val="32"/>
          <w:lang w:val="en-US" w:eastAsia="zh-CN"/>
        </w:rPr>
        <w:t>股室5</w:t>
      </w:r>
      <w:r>
        <w:rPr>
          <w:rFonts w:hint="eastAsia" w:ascii="仿宋_GB2312" w:hAnsi="仿宋_GB2312" w:eastAsia="仿宋_GB2312" w:cs="仿宋_GB2312"/>
          <w:sz w:val="32"/>
          <w:szCs w:val="32"/>
        </w:rPr>
        <w:t>个，其中行政</w:t>
      </w:r>
      <w:r>
        <w:rPr>
          <w:rFonts w:hint="eastAsia" w:ascii="仿宋_GB2312" w:hAnsi="仿宋_GB2312" w:eastAsia="仿宋_GB2312" w:cs="仿宋_GB2312"/>
          <w:sz w:val="32"/>
          <w:szCs w:val="32"/>
          <w:lang w:val="en-US" w:eastAsia="zh-CN"/>
        </w:rPr>
        <w:t>股室</w:t>
      </w:r>
      <w:r>
        <w:rPr>
          <w:rFonts w:hint="eastAsia" w:ascii="仿宋_GB2312" w:hAnsi="仿宋_GB2312" w:eastAsia="仿宋_GB2312" w:cs="仿宋_GB2312"/>
          <w:sz w:val="32"/>
          <w:szCs w:val="32"/>
        </w:rPr>
        <w:t>1个，下属事业</w:t>
      </w:r>
      <w:r>
        <w:rPr>
          <w:rFonts w:hint="eastAsia" w:ascii="仿宋_GB2312" w:hAnsi="仿宋_GB2312" w:eastAsia="仿宋_GB2312" w:cs="仿宋_GB2312"/>
          <w:sz w:val="32"/>
          <w:szCs w:val="32"/>
          <w:lang w:val="en-US" w:eastAsia="zh-CN"/>
        </w:rPr>
        <w:t>股室4</w:t>
      </w:r>
      <w:r>
        <w:rPr>
          <w:rFonts w:hint="eastAsia" w:ascii="仿宋_GB2312" w:hAnsi="仿宋_GB2312" w:eastAsia="仿宋_GB2312" w:cs="仿宋_GB2312"/>
          <w:sz w:val="32"/>
          <w:szCs w:val="32"/>
        </w:rPr>
        <w:t>个。核定总编制</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lang w:val="en-US" w:eastAsia="zh-CN"/>
        </w:rPr>
        <w:t>编制5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事业编制10名。</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val="en-US" w:eastAsia="zh-CN"/>
        </w:rPr>
        <w:t>年末</w:t>
      </w:r>
      <w:r>
        <w:rPr>
          <w:rFonts w:hint="eastAsia" w:ascii="仿宋_GB2312" w:hAnsi="仿宋_GB2312" w:eastAsia="仿宋_GB2312" w:cs="仿宋_GB2312"/>
          <w:sz w:val="32"/>
          <w:szCs w:val="32"/>
        </w:rPr>
        <w:t>实有在职人员</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其中行政人员4名，行政工勤人员1名；事业管理人员6名，事业专技人员2名，事业工勤人员1名</w:t>
      </w:r>
      <w:r>
        <w:rPr>
          <w:rFonts w:hint="eastAsia" w:ascii="仿宋_GB2312" w:hAnsi="仿宋_GB2312" w:eastAsia="仿宋_GB2312" w:cs="仿宋_GB2312"/>
          <w:sz w:val="32"/>
          <w:szCs w:val="32"/>
        </w:rPr>
        <w:t>。</w:t>
      </w:r>
    </w:p>
    <w:p w14:paraId="3A5A043D">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微软雅黑" w:hAnsi="微软雅黑" w:eastAsia="微软雅黑" w:cs="微软雅黑"/>
          <w:sz w:val="32"/>
          <w:szCs w:val="32"/>
        </w:rPr>
      </w:pPr>
      <w:r>
        <w:rPr>
          <w:rFonts w:hint="eastAsia" w:ascii="微软雅黑" w:hAnsi="微软雅黑" w:eastAsia="微软雅黑" w:cs="微软雅黑"/>
          <w:sz w:val="32"/>
          <w:szCs w:val="32"/>
        </w:rPr>
        <w:t>收支预算总体情况</w:t>
      </w:r>
    </w:p>
    <w:p w14:paraId="1A764AB7">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499.28</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499.28</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499.28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基本支出</w:t>
      </w:r>
      <w:r>
        <w:rPr>
          <w:rFonts w:hint="eastAsia" w:ascii="仿宋_GB2312" w:hAnsi="仿宋_GB2312" w:eastAsia="仿宋_GB2312" w:cs="仿宋_GB2312"/>
          <w:sz w:val="32"/>
          <w:szCs w:val="32"/>
          <w:lang w:val="en-US" w:eastAsia="zh-CN"/>
        </w:rPr>
        <w:t>371.82万元，项目支出127.46万元，</w:t>
      </w:r>
      <w:r>
        <w:rPr>
          <w:rFonts w:hint="eastAsia" w:ascii="仿宋_GB2312" w:hAnsi="仿宋_GB2312" w:eastAsia="仿宋_GB2312" w:cs="仿宋_GB2312"/>
          <w:sz w:val="32"/>
          <w:szCs w:val="32"/>
        </w:rPr>
        <w:t>其中：一般公共服务</w:t>
      </w:r>
      <w:r>
        <w:rPr>
          <w:rFonts w:hint="eastAsia" w:ascii="仿宋_GB2312" w:hAnsi="仿宋_GB2312" w:eastAsia="仿宋_GB2312" w:cs="仿宋_GB2312"/>
          <w:sz w:val="32"/>
          <w:szCs w:val="32"/>
          <w:lang w:val="en-US" w:eastAsia="zh-CN"/>
        </w:rPr>
        <w:t>401.01</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51.6</w:t>
      </w:r>
      <w:r>
        <w:rPr>
          <w:rFonts w:hint="eastAsia" w:ascii="仿宋_GB2312" w:hAnsi="仿宋_GB2312" w:eastAsia="仿宋_GB2312" w:cs="仿宋_GB2312"/>
          <w:sz w:val="32"/>
          <w:szCs w:val="32"/>
        </w:rPr>
        <w:t>万元，医疗卫生</w:t>
      </w:r>
      <w:r>
        <w:rPr>
          <w:rFonts w:hint="eastAsia" w:ascii="仿宋_GB2312" w:hAnsi="仿宋_GB2312" w:eastAsia="仿宋_GB2312" w:cs="仿宋_GB2312"/>
          <w:sz w:val="32"/>
          <w:szCs w:val="32"/>
          <w:lang w:val="en-US" w:eastAsia="zh-CN"/>
        </w:rPr>
        <w:t>18.37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28.30</w:t>
      </w:r>
      <w:r>
        <w:rPr>
          <w:rFonts w:hint="eastAsia" w:ascii="仿宋_GB2312" w:hAnsi="仿宋_GB2312" w:eastAsia="仿宋_GB2312" w:cs="仿宋_GB2312"/>
          <w:sz w:val="32"/>
          <w:szCs w:val="32"/>
        </w:rPr>
        <w:t>万元。</w:t>
      </w:r>
    </w:p>
    <w:p w14:paraId="6DA02F6C">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支出预算安排情况</w:t>
      </w:r>
    </w:p>
    <w:p w14:paraId="32463193">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预算安排支出主要用于保障该部门</w:t>
      </w:r>
      <w:r>
        <w:rPr>
          <w:rFonts w:hint="eastAsia" w:ascii="仿宋_GB2312" w:hAnsi="仿宋_GB2312" w:eastAsia="仿宋_GB2312" w:cs="仿宋_GB2312"/>
          <w:sz w:val="32"/>
          <w:szCs w:val="32"/>
          <w:lang w:eastAsia="zh-CN"/>
        </w:rPr>
        <w:t>及下属</w:t>
      </w:r>
      <w:r>
        <w:rPr>
          <w:rFonts w:hint="eastAsia" w:ascii="仿宋_GB2312" w:hAnsi="仿宋_GB2312" w:eastAsia="仿宋_GB2312" w:cs="仿宋_GB2312"/>
          <w:sz w:val="32"/>
          <w:szCs w:val="32"/>
        </w:rPr>
        <w:t>机构正常运转、完成日常工作任务以及承担</w:t>
      </w:r>
      <w:r>
        <w:rPr>
          <w:rFonts w:hint="eastAsia" w:ascii="仿宋_GB2312" w:hAnsi="仿宋_GB2312" w:eastAsia="仿宋_GB2312" w:cs="仿宋_GB2312"/>
          <w:sz w:val="32"/>
          <w:szCs w:val="32"/>
          <w:lang w:val="en-US" w:eastAsia="zh-CN"/>
        </w:rPr>
        <w:t>政务大厅高质量运行</w:t>
      </w:r>
      <w:r>
        <w:rPr>
          <w:rFonts w:hint="eastAsia" w:ascii="仿宋_GB2312" w:hAnsi="仿宋_GB2312" w:eastAsia="仿宋_GB2312" w:cs="仿宋_GB2312"/>
          <w:sz w:val="32"/>
          <w:szCs w:val="32"/>
        </w:rPr>
        <w:t xml:space="preserve">相关工作。  </w:t>
      </w:r>
    </w:p>
    <w:p w14:paraId="37FAC337">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499.28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338.76万元，公用经费33.06万元，其中机关运行经费15.54万元，其中：办公费2.88万元，印刷费1.18万元，手续费0.10万元，水费0.10万元，电费0.20万元，委托业务费0.6万元，差旅费0.50万元，公务接待费0.12万元，劳务费0.20万元，工会经费1.06万元，公务用车运行维护费4.6万元，其他商品和服务支出3.99万元（残保金及福利费）。项目支出127.46万元。</w:t>
      </w:r>
    </w:p>
    <w:p w14:paraId="425DE170">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按支出功能分类主要用于以下方面:</w:t>
      </w:r>
    </w:p>
    <w:p w14:paraId="284031A2">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（一）2010</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01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行政运行</w:t>
      </w:r>
      <w:r>
        <w:rPr>
          <w:rFonts w:hint="eastAsia" w:ascii="仿宋_GB2312" w:hAnsi="仿宋_GB2312" w:eastAsia="仿宋_GB2312" w:cs="仿宋_GB2312"/>
          <w:sz w:val="32"/>
          <w:szCs w:val="32"/>
          <w:lang w:val="en-US" w:eastAsia="zh-CN"/>
        </w:rPr>
        <w:t>113.51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单位人员工资</w:t>
      </w:r>
      <w:r>
        <w:rPr>
          <w:rFonts w:hint="eastAsia" w:ascii="仿宋_GB2312" w:hAnsi="仿宋_GB2312" w:eastAsia="仿宋_GB2312" w:cs="仿宋_GB2312"/>
          <w:sz w:val="32"/>
          <w:szCs w:val="32"/>
          <w:lang w:eastAsia="zh-CN"/>
        </w:rPr>
        <w:t>、个人部分保险</w:t>
      </w:r>
      <w:r>
        <w:rPr>
          <w:rFonts w:hint="eastAsia" w:ascii="仿宋_GB2312" w:hAnsi="仿宋_GB2312" w:eastAsia="仿宋_GB2312" w:cs="仿宋_GB2312"/>
          <w:sz w:val="32"/>
          <w:szCs w:val="32"/>
        </w:rPr>
        <w:t>、日常运转</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w:t>
      </w:r>
    </w:p>
    <w:p w14:paraId="410F827D">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）2010</w:t>
      </w:r>
      <w:r>
        <w:rPr>
          <w:rFonts w:hint="eastAsia" w:ascii="仿宋_GB2312" w:hAnsi="仿宋_GB2312" w:eastAsia="仿宋_GB2312" w:cs="仿宋_GB2312"/>
          <w:b/>
          <w:bCs/>
          <w:sz w:val="32"/>
          <w:szCs w:val="32"/>
          <w:lang w:val="en-US" w:eastAsia="zh-CN"/>
        </w:rPr>
        <w:t>350-</w:t>
      </w:r>
      <w:r>
        <w:rPr>
          <w:rFonts w:hint="eastAsia" w:ascii="仿宋_GB2312" w:hAnsi="仿宋_GB2312" w:eastAsia="仿宋_GB2312" w:cs="仿宋_GB2312"/>
          <w:b/>
          <w:bCs/>
          <w:sz w:val="32"/>
          <w:szCs w:val="32"/>
          <w:lang w:eastAsia="zh-CN"/>
        </w:rPr>
        <w:t>事业</w:t>
      </w:r>
      <w:r>
        <w:rPr>
          <w:rFonts w:hint="eastAsia" w:ascii="仿宋_GB2312" w:hAnsi="仿宋_GB2312" w:eastAsia="仿宋_GB2312" w:cs="仿宋_GB2312"/>
          <w:b/>
          <w:bCs/>
          <w:sz w:val="32"/>
          <w:szCs w:val="32"/>
        </w:rPr>
        <w:t>运</w:t>
      </w:r>
      <w:r>
        <w:rPr>
          <w:rFonts w:hint="eastAsia" w:ascii="仿宋_GB2312" w:hAnsi="仿宋_GB2312" w:eastAsia="仿宋_GB2312" w:cs="仿宋_GB2312"/>
          <w:b/>
          <w:bCs/>
          <w:sz w:val="32"/>
          <w:szCs w:val="32"/>
          <w:lang w:eastAsia="zh-CN"/>
        </w:rPr>
        <w:t>行</w:t>
      </w:r>
      <w:r>
        <w:rPr>
          <w:rFonts w:hint="eastAsia" w:ascii="仿宋_GB2312" w:hAnsi="仿宋_GB2312" w:eastAsia="仿宋_GB2312" w:cs="仿宋_GB2312"/>
          <w:sz w:val="32"/>
          <w:szCs w:val="32"/>
          <w:lang w:val="en-US" w:eastAsia="zh-CN"/>
        </w:rPr>
        <w:t>160.04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单位人员工资</w:t>
      </w:r>
      <w:r>
        <w:rPr>
          <w:rFonts w:hint="eastAsia" w:ascii="仿宋_GB2312" w:hAnsi="仿宋_GB2312" w:eastAsia="仿宋_GB2312" w:cs="仿宋_GB2312"/>
          <w:sz w:val="32"/>
          <w:szCs w:val="32"/>
          <w:lang w:eastAsia="zh-CN"/>
        </w:rPr>
        <w:t>、个人部分保险</w:t>
      </w:r>
      <w:r>
        <w:rPr>
          <w:rFonts w:hint="eastAsia" w:ascii="仿宋_GB2312" w:hAnsi="仿宋_GB2312" w:eastAsia="仿宋_GB2312" w:cs="仿宋_GB2312"/>
          <w:sz w:val="32"/>
          <w:szCs w:val="32"/>
        </w:rPr>
        <w:t>、日常运转</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w:t>
      </w:r>
    </w:p>
    <w:p w14:paraId="6AD29D9F">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（三）2010</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02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一般行政管理事务</w:t>
      </w:r>
      <w:r>
        <w:rPr>
          <w:rFonts w:hint="eastAsia" w:ascii="仿宋_GB2312" w:hAnsi="仿宋_GB2312" w:eastAsia="仿宋_GB2312" w:cs="仿宋_GB2312"/>
          <w:sz w:val="32"/>
          <w:szCs w:val="32"/>
          <w:lang w:val="en-US" w:eastAsia="zh-CN"/>
        </w:rPr>
        <w:t>127.46</w:t>
      </w:r>
      <w:r>
        <w:rPr>
          <w:rFonts w:hint="eastAsia" w:ascii="仿宋_GB2312" w:hAnsi="仿宋_GB2312" w:eastAsia="仿宋_GB2312" w:cs="仿宋_GB2312"/>
          <w:sz w:val="32"/>
          <w:szCs w:val="32"/>
          <w:lang w:eastAsia="zh-CN"/>
        </w:rPr>
        <w:t>万元主要用于</w:t>
      </w:r>
      <w:r>
        <w:rPr>
          <w:rFonts w:hint="eastAsia" w:ascii="仿宋_GB2312" w:hAnsi="仿宋_GB2312" w:eastAsia="仿宋_GB2312" w:cs="仿宋_GB2312"/>
          <w:sz w:val="32"/>
          <w:szCs w:val="32"/>
          <w:lang w:val="en-US" w:eastAsia="zh-CN"/>
        </w:rPr>
        <w:t>政务大厅</w:t>
      </w:r>
      <w:r>
        <w:rPr>
          <w:rFonts w:hint="eastAsia" w:ascii="仿宋_GB2312" w:hAnsi="仿宋_GB2312" w:eastAsia="仿宋_GB2312" w:cs="仿宋_GB2312"/>
          <w:sz w:val="32"/>
          <w:szCs w:val="32"/>
          <w:lang w:eastAsia="zh-CN"/>
        </w:rPr>
        <w:t>等工作开展费用，车辆保障、</w:t>
      </w:r>
      <w:r>
        <w:rPr>
          <w:rFonts w:hint="eastAsia" w:ascii="仿宋_GB2312" w:hAnsi="仿宋_GB2312" w:eastAsia="仿宋_GB2312" w:cs="仿宋_GB2312"/>
          <w:sz w:val="32"/>
          <w:szCs w:val="32"/>
          <w:lang w:val="en-US" w:eastAsia="zh-CN"/>
        </w:rPr>
        <w:t>集采目录内专家劳务费用</w:t>
      </w:r>
      <w:r>
        <w:rPr>
          <w:rFonts w:hint="eastAsia" w:ascii="仿宋_GB2312" w:hAnsi="仿宋_GB2312" w:eastAsia="仿宋_GB2312" w:cs="仿宋_GB2312"/>
          <w:sz w:val="32"/>
          <w:szCs w:val="32"/>
          <w:lang w:eastAsia="zh-CN"/>
        </w:rPr>
        <w:t>等费用；</w:t>
      </w:r>
    </w:p>
    <w:p w14:paraId="74C4A9EF">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（七）2080505</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机关事业单位基本养老保险缴费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34.4</w:t>
      </w:r>
      <w:r>
        <w:rPr>
          <w:rFonts w:hint="eastAsia" w:ascii="仿宋_GB2312" w:hAnsi="仿宋_GB2312" w:eastAsia="仿宋_GB2312" w:cs="仿宋_GB2312"/>
          <w:sz w:val="32"/>
          <w:szCs w:val="32"/>
          <w:lang w:eastAsia="zh-CN"/>
        </w:rPr>
        <w:t>万元，全部用于行政及事业在职职工缴纳单位部分养老保险；</w:t>
      </w:r>
    </w:p>
    <w:p w14:paraId="3CA24BC4">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八）2080506-机关事业单位职业年金缴费</w:t>
      </w:r>
      <w:r>
        <w:rPr>
          <w:rFonts w:hint="eastAsia" w:ascii="仿宋_GB2312" w:hAnsi="仿宋_GB2312" w:eastAsia="仿宋_GB2312" w:cs="仿宋_GB2312"/>
          <w:sz w:val="32"/>
          <w:szCs w:val="32"/>
          <w:lang w:val="en-US" w:eastAsia="zh-CN"/>
        </w:rPr>
        <w:t>支出17.2万元，全部用于</w:t>
      </w:r>
      <w:r>
        <w:rPr>
          <w:rFonts w:hint="eastAsia" w:ascii="仿宋_GB2312" w:hAnsi="仿宋_GB2312" w:eastAsia="仿宋_GB2312" w:cs="仿宋_GB2312"/>
          <w:sz w:val="32"/>
          <w:szCs w:val="32"/>
          <w:lang w:eastAsia="zh-CN"/>
        </w:rPr>
        <w:t>行政及事业</w:t>
      </w:r>
      <w:r>
        <w:rPr>
          <w:rFonts w:hint="eastAsia" w:ascii="仿宋_GB2312" w:hAnsi="仿宋_GB2312" w:eastAsia="仿宋_GB2312" w:cs="仿宋_GB2312"/>
          <w:sz w:val="32"/>
          <w:szCs w:val="32"/>
          <w:lang w:val="en-US" w:eastAsia="zh-CN"/>
        </w:rPr>
        <w:t xml:space="preserve">在职职工缴纳单位部分职业年金；      </w:t>
      </w:r>
    </w:p>
    <w:p w14:paraId="34540D41">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（九）2101101-行政单位医疗</w:t>
      </w:r>
      <w:r>
        <w:rPr>
          <w:rFonts w:hint="eastAsia" w:ascii="仿宋_GB2312" w:hAnsi="仿宋_GB2312" w:eastAsia="仿宋_GB2312" w:cs="仿宋_GB2312"/>
          <w:sz w:val="32"/>
          <w:szCs w:val="32"/>
          <w:lang w:val="en-US" w:eastAsia="zh-CN"/>
        </w:rPr>
        <w:t>6.18万元，全部用于缴纳行政在职职工单位部分医疗保险；</w:t>
      </w:r>
    </w:p>
    <w:p w14:paraId="57AB55CF">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（十）2101102-事业单位医疗</w:t>
      </w:r>
      <w:r>
        <w:rPr>
          <w:rFonts w:hint="eastAsia" w:ascii="仿宋_GB2312" w:hAnsi="仿宋_GB2312" w:eastAsia="仿宋_GB2312" w:cs="仿宋_GB2312"/>
          <w:sz w:val="32"/>
          <w:szCs w:val="32"/>
          <w:lang w:val="en-US" w:eastAsia="zh-CN"/>
        </w:rPr>
        <w:t>8.87万元，全部用于缴纳事业在职职工单位部分医疗保险；</w:t>
      </w:r>
    </w:p>
    <w:p w14:paraId="559A81F3">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（十一）2101103-公务员医疗补助</w:t>
      </w:r>
      <w:r>
        <w:rPr>
          <w:rFonts w:hint="eastAsia" w:ascii="仿宋_GB2312" w:hAnsi="仿宋_GB2312" w:eastAsia="仿宋_GB2312" w:cs="仿宋_GB2312"/>
          <w:sz w:val="32"/>
          <w:szCs w:val="32"/>
          <w:lang w:val="en-US" w:eastAsia="zh-CN"/>
        </w:rPr>
        <w:t>支出1.33万元，全部用于缴纳行政在职职工公务员医疗保险；</w:t>
      </w:r>
    </w:p>
    <w:p w14:paraId="05121547">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（十二）2101199-其他行政事业单位医疗</w:t>
      </w:r>
      <w:r>
        <w:rPr>
          <w:rFonts w:hint="eastAsia" w:ascii="仿宋_GB2312" w:hAnsi="仿宋_GB2312" w:eastAsia="仿宋_GB2312" w:cs="仿宋_GB2312"/>
          <w:sz w:val="32"/>
          <w:szCs w:val="32"/>
          <w:lang w:val="en-US" w:eastAsia="zh-CN"/>
        </w:rPr>
        <w:t>支出1.99万元，全部用于缴纳事业在职职工公务员医疗保险；</w:t>
      </w:r>
    </w:p>
    <w:p w14:paraId="2E4E4AC0">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（十三）2210201-住房公积金</w:t>
      </w:r>
      <w:r>
        <w:rPr>
          <w:rFonts w:hint="eastAsia" w:ascii="仿宋_GB2312" w:hAnsi="仿宋_GB2312" w:eastAsia="仿宋_GB2312" w:cs="仿宋_GB2312"/>
          <w:sz w:val="32"/>
          <w:szCs w:val="32"/>
          <w:lang w:val="en-US" w:eastAsia="zh-CN"/>
        </w:rPr>
        <w:t>支出28.3万元，全部用于缴纳行政及事业在职职工单位部分住房公积金。</w:t>
      </w:r>
    </w:p>
    <w:p w14:paraId="1F179B90">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五、较上年度增减变化</w:t>
      </w:r>
    </w:p>
    <w:p w14:paraId="19D57EC1">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预算拨款收入499.28万元，较上年度预算424.90万元增加了74.38万元，增加了17.50%，其中基本运行经费预算371.82万元，占全部总预算的74.47%，较上年345.90万元，增加25.92万元，增加了7.49%，增加主要原因是人员增加及保险、公积金调整；专项业务工作经费预算127.46万元，占总预算的25.53%，与上年预算79万元相比增加48.46万元，增加了61.34%，增加主要原因是2026年增加政务大楼电梯运维费1.2万元及政务大厅信息运维费47.26万元支出。</w:t>
      </w:r>
    </w:p>
    <w:p w14:paraId="0FFC12A9">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14:paraId="355D1F56">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2026年“三公”经费预算安排支出为8.90万元，比上年9.10万元减少0.2万元，下降2.19%，下降主要原因是根据实际工作需要，严格落实中央八项规定精神</w:t>
      </w:r>
      <w:bookmarkStart w:id="0" w:name="_GoBack"/>
      <w:bookmarkEnd w:id="0"/>
      <w:r>
        <w:rPr>
          <w:rFonts w:hint="eastAsia" w:ascii="仿宋_GB2312" w:hAnsi="仿宋_GB2312" w:eastAsia="仿宋_GB2312" w:cs="仿宋_GB2312"/>
          <w:sz w:val="32"/>
          <w:szCs w:val="32"/>
          <w:lang w:val="en-US" w:eastAsia="zh-CN"/>
        </w:rPr>
        <w:t xml:space="preserve">，减少不必要的开支，如接待费。其中：出国费0万元，与上年持平，主要原因为未安排因公出国；公车购置费0元，与上年持平，主要原因为2026年未有公车购置安排；公务用车维护费支出8.60万元，与上年基本持平，主要是按照厉行节约要求减少公车开支；公务接待费0.30万元，较上年度预算减少0.20万元，下降40%，主要原因是2026年我局将结合本年度工作需要，厉行节约，严格按照扫码支付相关要求，减少不必要的接待开支。 </w:t>
      </w:r>
    </w:p>
    <w:p w14:paraId="3406030A">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14:paraId="730CBDAC">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本单位2026年无使用政府性基金预算拨款安排的支出</w:t>
      </w:r>
      <w:r>
        <w:rPr>
          <w:rFonts w:hint="eastAsia" w:ascii="仿宋_GB2312" w:hAnsi="仿宋_GB2312" w:eastAsia="仿宋_GB2312" w:cs="仿宋_GB2312"/>
          <w:sz w:val="32"/>
          <w:szCs w:val="32"/>
        </w:rPr>
        <w:t>。</w:t>
      </w:r>
    </w:p>
    <w:p w14:paraId="398AB863">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14:paraId="5088AB5B">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本单位2026年无使用国有资本经营预算拨款安排的支出。</w:t>
      </w:r>
    </w:p>
    <w:p w14:paraId="48118200">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14:paraId="3D57CE94">
      <w:pPr>
        <w:keepNext w:val="0"/>
        <w:keepLines w:val="0"/>
        <w:pageBreakBefore w:val="0"/>
        <w:widowControl w:val="0"/>
        <w:numPr>
          <w:ilvl w:val="0"/>
          <w:numId w:val="2"/>
        </w:numPr>
        <w:pBdr>
          <w:bottom w:val="single" w:color="FFFFFF" w:sz="4" w:space="29"/>
        </w:pBdr>
        <w:kinsoku/>
        <w:wordWrap/>
        <w:overflowPunct/>
        <w:topLinePunct w:val="0"/>
        <w:autoSpaceDE/>
        <w:autoSpaceDN/>
        <w:bidi w:val="0"/>
        <w:adjustRightInd w:val="0"/>
        <w:snapToGrid w:val="0"/>
        <w:spacing w:after="0" w:line="576" w:lineRule="exact"/>
        <w:ind w:left="0" w:leftChars="0" w:firstLine="643" w:firstLineChars="200"/>
        <w:jc w:val="left"/>
        <w:textAlignment w:val="auto"/>
        <w:outlineLvl w:val="9"/>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 xml:space="preserve">政府采购预算情况 </w:t>
      </w:r>
    </w:p>
    <w:p w14:paraId="2A97FFF2">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2026年度安排政府采购预算0万元。</w:t>
      </w:r>
    </w:p>
    <w:p w14:paraId="5690BD48">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3" w:firstLineChars="200"/>
        <w:jc w:val="left"/>
        <w:textAlignment w:val="auto"/>
        <w:outlineLvl w:val="9"/>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 xml:space="preserve">（二）政府财政国有资产占用情况 </w:t>
      </w:r>
    </w:p>
    <w:p w14:paraId="20968E83">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left"/>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2025年固定资产（原值下同）3917.13万元，较上年新增固定资产36.57万元，其中设备增加33.50万元、家具3.07万元。2025年固定资产为：房屋构筑物3164.85万元，设备631.19万元，家具和用具121.09万元，无形资产377.56万元。</w:t>
      </w:r>
    </w:p>
    <w:p w14:paraId="3241FD2E">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3" w:firstLineChars="200"/>
        <w:jc w:val="left"/>
        <w:textAlignment w:val="auto"/>
        <w:outlineLvl w:val="9"/>
        <w:rPr>
          <w:rFonts w:hint="eastAsia" w:ascii="仿宋_GB2312" w:hAnsi="仿宋_GB2312" w:eastAsia="仿宋_GB2312" w:cs="仿宋_GB2312"/>
          <w:b/>
          <w:bCs/>
          <w:color w:val="333333"/>
          <w:kern w:val="0"/>
          <w:sz w:val="32"/>
          <w:szCs w:val="32"/>
          <w:shd w:val="clear" w:color="auto" w:fill="FFFFFF"/>
          <w:lang w:val="en-US" w:eastAsia="zh-CN" w:bidi="ar"/>
        </w:rPr>
      </w:pPr>
      <w:r>
        <w:rPr>
          <w:rFonts w:hint="eastAsia" w:ascii="仿宋_GB2312" w:hAnsi="仿宋_GB2312" w:eastAsia="仿宋_GB2312" w:cs="仿宋_GB2312"/>
          <w:b/>
          <w:bCs/>
          <w:color w:val="333333"/>
          <w:kern w:val="0"/>
          <w:sz w:val="32"/>
          <w:szCs w:val="32"/>
          <w:shd w:val="clear" w:color="auto" w:fill="FFFFFF"/>
          <w:lang w:val="en-US" w:eastAsia="zh-CN" w:bidi="ar"/>
        </w:rPr>
        <w:t>（</w:t>
      </w:r>
      <w:r>
        <w:rPr>
          <w:rFonts w:hint="eastAsia" w:ascii="楷体_GB2312" w:hAnsi="楷体_GB2312" w:eastAsia="楷体_GB2312" w:cs="楷体_GB2312"/>
          <w:b/>
          <w:bCs w:val="0"/>
          <w:kern w:val="2"/>
          <w:sz w:val="32"/>
          <w:szCs w:val="32"/>
          <w:lang w:val="en-US" w:eastAsia="zh-CN" w:bidi="ar-SA"/>
        </w:rPr>
        <w:t>三）绩效目标设置情况</w:t>
      </w:r>
    </w:p>
    <w:p w14:paraId="534BD387">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lang w:val="en-US" w:eastAsia="zh-CN"/>
        </w:rPr>
        <w:t xml:space="preserve">绩效目标是预算编制的前提和基础，按照“费随事定”的原则，2026年我单位项目支出按要求编制了绩效目标，从项目完成、项目效益、满意度等方面做了测评，具体情况详见附表6。 </w:t>
      </w:r>
      <w:r>
        <w:rPr>
          <w:rFonts w:hint="eastAsia" w:ascii="仿宋_GB2312" w:hAnsi="仿宋_GB2312" w:eastAsia="仿宋_GB2312" w:cs="仿宋_GB2312"/>
          <w:color w:val="333333"/>
          <w:kern w:val="0"/>
          <w:sz w:val="32"/>
          <w:szCs w:val="32"/>
          <w:shd w:val="clear" w:color="auto" w:fill="FFFFFF"/>
          <w:lang w:val="en-US" w:eastAsia="zh-CN" w:bidi="ar"/>
        </w:rPr>
        <w:t xml:space="preserve">     </w:t>
      </w:r>
    </w:p>
    <w:p w14:paraId="757B9307">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十、名词解释</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1.财政拨款收入：指财政部门核拨给单位的财政预算资金。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2.其他收入：指除上述财政部门拨付单位以外的收入。</w:t>
      </w:r>
    </w:p>
    <w:p w14:paraId="484C7971">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3.基本支出：指为保障单位机关正常运转、完成日常工作任务而发生的人员支出和公用支出。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4.项目支出：指在基本支出之外为完成特定行政任务和事业发展目标所发生的支出。</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32CF1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附件：表1.部门收支总表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43458C1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表1-1.部门收入总表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4220157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表1-2.部门支出总表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09CF0D3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表2.财政拨款收支预算总表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06A0A0B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表2-1.财政拨款支出预算表（部门经济分类科目）</w:t>
      </w:r>
    </w:p>
    <w:p w14:paraId="08FD381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表3.一般公共预算支出预算表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1B80B35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表3-1.一般公共预算基本支出预算表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6FD54A9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表3-2.一般公共预算项目支出预算表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261FB19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表3-3.一般公共预算“三公”经费支出预算表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30FDA88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表4.政府性基金预算支出预算表 </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7D19344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表4-1.政府性基金预算“三公”经费支出预算表</w:t>
      </w:r>
      <w:r>
        <w:rPr>
          <w:rFonts w:hint="eastAsia" w:ascii="仿宋_GB2312" w:hAnsi="仿宋_GB2312" w:eastAsia="仿宋_GB2312" w:cs="仿宋_GB2312"/>
          <w:sz w:val="32"/>
          <w:szCs w:val="32"/>
          <w:lang w:val="en-US" w:eastAsia="zh-CN"/>
        </w:rPr>
        <w:tab/>
      </w:r>
    </w:p>
    <w:p w14:paraId="0D50A2F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表5.国有资本经营预算支出预算表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086550D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表6.项目支出绩效目标表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04076B1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表7.2026年部门预算整体绩效目标表</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ab/>
      </w:r>
    </w:p>
    <w:p w14:paraId="58A14F5D">
      <w:pPr>
        <w:keepNext w:val="0"/>
        <w:keepLines w:val="0"/>
        <w:pageBreakBefore w:val="0"/>
        <w:widowControl w:val="0"/>
        <w:kinsoku/>
        <w:wordWrap/>
        <w:overflowPunct/>
        <w:topLinePunct w:val="0"/>
        <w:autoSpaceDE/>
        <w:autoSpaceDN/>
        <w:bidi w:val="0"/>
        <w:spacing w:line="576" w:lineRule="exact"/>
        <w:ind w:left="0" w:leftChars="0" w:firstLine="640" w:firstLineChars="200"/>
        <w:jc w:val="left"/>
        <w:textAlignment w:val="auto"/>
        <w:outlineLvl w:val="9"/>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C8A0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4306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04306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D7D14"/>
    <w:multiLevelType w:val="singleLevel"/>
    <w:tmpl w:val="A40D7D14"/>
    <w:lvl w:ilvl="0" w:tentative="0">
      <w:start w:val="3"/>
      <w:numFmt w:val="chineseCounting"/>
      <w:suff w:val="nothing"/>
      <w:lvlText w:val="%1、"/>
      <w:lvlJc w:val="left"/>
      <w:pPr>
        <w:ind w:left="200"/>
      </w:pPr>
      <w:rPr>
        <w:rFonts w:hint="eastAsia" w:ascii="黑体" w:hAnsi="黑体" w:eastAsia="黑体" w:cs="黑体"/>
        <w:sz w:val="32"/>
        <w:szCs w:val="32"/>
      </w:rPr>
    </w:lvl>
  </w:abstractNum>
  <w:abstractNum w:abstractNumId="1">
    <w:nsid w:val="2211D0E5"/>
    <w:multiLevelType w:val="singleLevel"/>
    <w:tmpl w:val="2211D0E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5F78432A"/>
    <w:rsid w:val="014A102B"/>
    <w:rsid w:val="0391090C"/>
    <w:rsid w:val="04D035F5"/>
    <w:rsid w:val="05C3448B"/>
    <w:rsid w:val="05D9297D"/>
    <w:rsid w:val="082543F9"/>
    <w:rsid w:val="0AF5789D"/>
    <w:rsid w:val="0BFE4A07"/>
    <w:rsid w:val="0E0F1632"/>
    <w:rsid w:val="0E34591F"/>
    <w:rsid w:val="12072620"/>
    <w:rsid w:val="12303925"/>
    <w:rsid w:val="137D5290"/>
    <w:rsid w:val="146D0E60"/>
    <w:rsid w:val="168B1A72"/>
    <w:rsid w:val="17516817"/>
    <w:rsid w:val="19C1402F"/>
    <w:rsid w:val="1CBA49EE"/>
    <w:rsid w:val="1D004C06"/>
    <w:rsid w:val="1DC66FF7"/>
    <w:rsid w:val="1DDD55F4"/>
    <w:rsid w:val="20CA7E2A"/>
    <w:rsid w:val="21555156"/>
    <w:rsid w:val="21B26104"/>
    <w:rsid w:val="225C2514"/>
    <w:rsid w:val="23134180"/>
    <w:rsid w:val="235A65D4"/>
    <w:rsid w:val="25916979"/>
    <w:rsid w:val="25E13547"/>
    <w:rsid w:val="277E173A"/>
    <w:rsid w:val="2A813483"/>
    <w:rsid w:val="2D75517C"/>
    <w:rsid w:val="2EB268E0"/>
    <w:rsid w:val="2F1A41CB"/>
    <w:rsid w:val="2F7B047E"/>
    <w:rsid w:val="312F4F1E"/>
    <w:rsid w:val="326A5F0A"/>
    <w:rsid w:val="33291F9F"/>
    <w:rsid w:val="34706801"/>
    <w:rsid w:val="35EB5C31"/>
    <w:rsid w:val="38CE1966"/>
    <w:rsid w:val="38F5158C"/>
    <w:rsid w:val="3BC136BC"/>
    <w:rsid w:val="3EE7177B"/>
    <w:rsid w:val="40407744"/>
    <w:rsid w:val="405F34A4"/>
    <w:rsid w:val="4072099E"/>
    <w:rsid w:val="413216BD"/>
    <w:rsid w:val="417116E0"/>
    <w:rsid w:val="42022339"/>
    <w:rsid w:val="42EB7271"/>
    <w:rsid w:val="462036D5"/>
    <w:rsid w:val="477F52FA"/>
    <w:rsid w:val="48834F7D"/>
    <w:rsid w:val="49927FF5"/>
    <w:rsid w:val="49C8304E"/>
    <w:rsid w:val="49F63208"/>
    <w:rsid w:val="4B7D420F"/>
    <w:rsid w:val="4BB33FEE"/>
    <w:rsid w:val="4DB52955"/>
    <w:rsid w:val="500E28C5"/>
    <w:rsid w:val="50F47C38"/>
    <w:rsid w:val="51E8232E"/>
    <w:rsid w:val="531528D7"/>
    <w:rsid w:val="53746E0E"/>
    <w:rsid w:val="54C16083"/>
    <w:rsid w:val="54F05869"/>
    <w:rsid w:val="55306D65"/>
    <w:rsid w:val="57DE7375"/>
    <w:rsid w:val="59001335"/>
    <w:rsid w:val="597B1764"/>
    <w:rsid w:val="5A0178E1"/>
    <w:rsid w:val="5B0311A3"/>
    <w:rsid w:val="5C823F48"/>
    <w:rsid w:val="5E036D03"/>
    <w:rsid w:val="5EC549C2"/>
    <w:rsid w:val="5F78432A"/>
    <w:rsid w:val="5FB80746"/>
    <w:rsid w:val="63181564"/>
    <w:rsid w:val="63272054"/>
    <w:rsid w:val="63A850AF"/>
    <w:rsid w:val="64BE613B"/>
    <w:rsid w:val="64F41B5D"/>
    <w:rsid w:val="65744A4C"/>
    <w:rsid w:val="659C6E80"/>
    <w:rsid w:val="66AF0431"/>
    <w:rsid w:val="676E209B"/>
    <w:rsid w:val="6B2E5227"/>
    <w:rsid w:val="6CD85C87"/>
    <w:rsid w:val="6E4753F3"/>
    <w:rsid w:val="6E6303B7"/>
    <w:rsid w:val="6E840F31"/>
    <w:rsid w:val="6EE113A4"/>
    <w:rsid w:val="6F547FE8"/>
    <w:rsid w:val="6F573414"/>
    <w:rsid w:val="701B2694"/>
    <w:rsid w:val="72AE5A41"/>
    <w:rsid w:val="748C590E"/>
    <w:rsid w:val="75A021FE"/>
    <w:rsid w:val="76307DB6"/>
    <w:rsid w:val="76962F66"/>
    <w:rsid w:val="776E39F1"/>
    <w:rsid w:val="79D35D8D"/>
    <w:rsid w:val="79DC406F"/>
    <w:rsid w:val="79ED6E4F"/>
    <w:rsid w:val="7A045B97"/>
    <w:rsid w:val="7B060A1C"/>
    <w:rsid w:val="7BE95D47"/>
    <w:rsid w:val="7D824D38"/>
    <w:rsid w:val="7DCF37E3"/>
    <w:rsid w:val="7E333984"/>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6"/>
    <w:pPr>
      <w:ind w:firstLine="567"/>
      <w:jc w:val="both"/>
    </w:pPr>
    <w:rPr>
      <w:kern w:val="1"/>
      <w:sz w:val="28"/>
    </w:rPr>
  </w:style>
  <w:style w:type="paragraph" w:styleId="4">
    <w:name w:val="index 5"/>
    <w:basedOn w:val="1"/>
    <w:next w:val="1"/>
    <w:qFormat/>
    <w:uiPriority w:val="0"/>
    <w:pPr>
      <w:ind w:left="1680"/>
    </w:pPr>
  </w:style>
  <w:style w:type="paragraph" w:styleId="5">
    <w:name w:val="Body Text"/>
    <w:basedOn w:val="1"/>
    <w:qFormat/>
    <w:uiPriority w:val="0"/>
    <w:pPr>
      <w:spacing w:before="93" w:beforeLines="30"/>
    </w:pPr>
    <w:rPr>
      <w:rFonts w:ascii="仿宋_GB2312" w:eastAsia="仿宋_GB2312"/>
      <w:sz w:val="30"/>
    </w:rPr>
  </w:style>
  <w:style w:type="paragraph" w:styleId="6">
    <w:name w:val="Plain Text"/>
    <w:basedOn w:val="1"/>
    <w:unhideWhenUsed/>
    <w:qFormat/>
    <w:uiPriority w:val="99"/>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2">
    <w:name w:val="Strong"/>
    <w:basedOn w:val="11"/>
    <w:qFormat/>
    <w:uiPriority w:val="0"/>
    <w:rPr>
      <w:b/>
    </w:rPr>
  </w:style>
  <w:style w:type="character" w:styleId="13">
    <w:name w:val="Hyperlink"/>
    <w:basedOn w:val="11"/>
    <w:qFormat/>
    <w:uiPriority w:val="0"/>
    <w:rPr>
      <w:rFonts w:hint="default"/>
      <w:sz w:val="22"/>
    </w:rPr>
  </w:style>
  <w:style w:type="paragraph" w:customStyle="1" w:styleId="14">
    <w:name w:val="正文首行缩进 21"/>
    <w:basedOn w:val="1"/>
    <w:qFormat/>
    <w:uiPriority w:val="0"/>
    <w:pPr>
      <w:spacing w:line="540" w:lineRule="exact"/>
      <w:ind w:firstLine="200" w:firstLineChars="200"/>
      <w:textAlignment w:val="baseline"/>
    </w:pPr>
    <w:rPr>
      <w:kern w:val="0"/>
      <w:szCs w:val="32"/>
    </w:rPr>
  </w:style>
  <w:style w:type="paragraph" w:customStyle="1" w:styleId="15">
    <w:name w:val="WPSOffice手动目录 1"/>
    <w:qFormat/>
    <w:uiPriority w:val="0"/>
    <w:pPr>
      <w:ind w:leftChars="0"/>
    </w:pPr>
    <w:rPr>
      <w:rFonts w:asciiTheme="minorHAnsi" w:hAnsiTheme="minorHAnsi" w:eastAsiaTheme="minorEastAsia" w:cstheme="minorBidi"/>
      <w:sz w:val="20"/>
      <w:szCs w:val="20"/>
    </w:rPr>
  </w:style>
  <w:style w:type="paragraph" w:customStyle="1" w:styleId="1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3942</Words>
  <Characters>4387</Characters>
  <Lines>0</Lines>
  <Paragraphs>0</Paragraphs>
  <TotalTime>12</TotalTime>
  <ScaleCrop>false</ScaleCrop>
  <LinksUpToDate>false</LinksUpToDate>
  <CharactersWithSpaces>4487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Mr.L</cp:lastModifiedBy>
  <dcterms:modified xsi:type="dcterms:W3CDTF">2026-02-11T03:15:49Z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905A95002CFF48908DF1E8E671947C19_13</vt:lpwstr>
  </property>
  <property fmtid="{D5CDD505-2E9C-101B-9397-08002B2CF9AE}" pid="4" name="KSOTemplateDocerSaveRecord">
    <vt:lpwstr>eyJoZGlkIjoiMmEzMWZlMzAwNjgyNzQzOGE1YTI5YmJlNDE4NDk5Y2UiLCJ1c2VySWQiOiIxMDQyNjI3MDE1In0=</vt:lpwstr>
  </property>
</Properties>
</file>