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D10763">
      <w:pPr>
        <w:keepNext w:val="0"/>
        <w:keepLines w:val="0"/>
        <w:pageBreakBefore w:val="0"/>
        <w:kinsoku/>
        <w:wordWrap/>
        <w:overflowPunct/>
        <w:topLinePunct w:val="0"/>
        <w:autoSpaceDE/>
        <w:autoSpaceDN/>
        <w:bidi w:val="0"/>
        <w:spacing w:line="560" w:lineRule="exact"/>
        <w:ind w:left="0" w:right="0"/>
        <w:textAlignment w:val="auto"/>
        <w:rPr>
          <w:rFonts w:hint="eastAsia" w:ascii="仿宋_GB2312" w:eastAsia="仿宋_GB2312"/>
          <w:sz w:val="32"/>
          <w:szCs w:val="32"/>
        </w:rPr>
      </w:pPr>
    </w:p>
    <w:p w14:paraId="5BED9A44">
      <w:pPr>
        <w:keepNext w:val="0"/>
        <w:keepLines w:val="0"/>
        <w:pageBreakBefore w:val="0"/>
        <w:kinsoku/>
        <w:wordWrap/>
        <w:overflowPunct/>
        <w:topLinePunct w:val="0"/>
        <w:autoSpaceDE/>
        <w:autoSpaceDN/>
        <w:bidi w:val="0"/>
        <w:spacing w:line="560" w:lineRule="exact"/>
        <w:ind w:left="0" w:right="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红原县住房和城乡建设局</w:t>
      </w:r>
    </w:p>
    <w:p w14:paraId="08A9CF05">
      <w:pPr>
        <w:keepNext w:val="0"/>
        <w:keepLines w:val="0"/>
        <w:pageBreakBefore w:val="0"/>
        <w:kinsoku/>
        <w:wordWrap/>
        <w:overflowPunct/>
        <w:topLinePunct w:val="0"/>
        <w:autoSpaceDE/>
        <w:autoSpaceDN/>
        <w:bidi w:val="0"/>
        <w:spacing w:line="560" w:lineRule="exact"/>
        <w:ind w:left="0" w:right="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eastAsia="zh-CN"/>
        </w:rPr>
        <w:t>202</w:t>
      </w:r>
      <w:r>
        <w:rPr>
          <w:rFonts w:ascii="方正小标宋简体" w:hAnsi="方正小标宋简体" w:eastAsia="方正小标宋简体" w:cs="方正小标宋简体"/>
          <w:b w:val="0"/>
          <w:bCs/>
          <w:sz w:val="44"/>
          <w:szCs w:val="44"/>
          <w:lang w:eastAsia="zh-CN"/>
        </w:rPr>
        <w:t>6</w:t>
      </w:r>
      <w:r>
        <w:rPr>
          <w:rFonts w:hint="eastAsia" w:ascii="方正小标宋简体" w:hAnsi="方正小标宋简体" w:eastAsia="方正小标宋简体" w:cs="方正小标宋简体"/>
          <w:b w:val="0"/>
          <w:bCs/>
          <w:sz w:val="44"/>
          <w:szCs w:val="44"/>
        </w:rPr>
        <w:t>年部门预算编制的说明</w:t>
      </w:r>
    </w:p>
    <w:p w14:paraId="222C40C1">
      <w:pPr>
        <w:pStyle w:val="5"/>
        <w:keepNext w:val="0"/>
        <w:keepLines w:val="0"/>
        <w:pageBreakBefore w:val="0"/>
        <w:kinsoku/>
        <w:wordWrap/>
        <w:overflowPunct/>
        <w:topLinePunct w:val="0"/>
        <w:autoSpaceDE/>
        <w:autoSpaceDN/>
        <w:bidi w:val="0"/>
        <w:adjustRightInd w:val="0"/>
        <w:snapToGrid w:val="0"/>
        <w:spacing w:before="0" w:beforeLines="0" w:line="560" w:lineRule="exact"/>
        <w:ind w:left="0" w:right="0"/>
        <w:textAlignment w:val="auto"/>
        <w:rPr>
          <w:rFonts w:hint="eastAsia" w:ascii="宋体" w:hAnsi="宋体" w:eastAsia="宋体"/>
          <w:b/>
          <w:sz w:val="44"/>
          <w:szCs w:val="44"/>
        </w:rPr>
      </w:pPr>
      <w:r>
        <w:rPr>
          <w:rFonts w:hint="eastAsia" w:ascii="宋体" w:hAnsi="宋体" w:eastAsia="宋体"/>
          <w:b/>
          <w:sz w:val="44"/>
          <w:szCs w:val="44"/>
        </w:rPr>
        <w:t xml:space="preserve">    </w:t>
      </w:r>
      <w:bookmarkStart w:id="0" w:name="_GoBack"/>
      <w:bookmarkEnd w:id="0"/>
    </w:p>
    <w:p w14:paraId="1715FD35">
      <w:pPr>
        <w:pStyle w:val="5"/>
        <w:keepNext w:val="0"/>
        <w:keepLines w:val="0"/>
        <w:pageBreakBefore w:val="0"/>
        <w:kinsoku/>
        <w:wordWrap/>
        <w:overflowPunct/>
        <w:topLinePunct w:val="0"/>
        <w:autoSpaceDE/>
        <w:autoSpaceDN/>
        <w:bidi w:val="0"/>
        <w:adjustRightInd w:val="0"/>
        <w:snapToGrid w:val="0"/>
        <w:spacing w:before="0" w:beforeLines="0" w:line="560" w:lineRule="exact"/>
        <w:ind w:left="0" w:right="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5ADA5982">
      <w:pPr>
        <w:keepNext w:val="0"/>
        <w:keepLines w:val="0"/>
        <w:pageBreakBefore w:val="0"/>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47246458">
      <w:pPr>
        <w:pStyle w:val="5"/>
        <w:keepNext w:val="0"/>
        <w:keepLines w:val="0"/>
        <w:pageBreakBefore w:val="0"/>
        <w:kinsoku/>
        <w:wordWrap/>
        <w:overflowPunct/>
        <w:topLinePunct w:val="0"/>
        <w:autoSpaceDE/>
        <w:autoSpaceDN/>
        <w:bidi w:val="0"/>
        <w:adjustRightInd w:val="0"/>
        <w:snapToGrid w:val="0"/>
        <w:spacing w:before="0" w:beforeLines="0" w:line="560" w:lineRule="exact"/>
        <w:ind w:left="0" w:right="0" w:firstLine="671" w:firstLineChars="209"/>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459E8968">
      <w:pPr>
        <w:pStyle w:val="5"/>
        <w:keepNext w:val="0"/>
        <w:keepLines w:val="0"/>
        <w:pageBreakBefore w:val="0"/>
        <w:kinsoku/>
        <w:wordWrap/>
        <w:overflowPunct/>
        <w:topLinePunct w:val="0"/>
        <w:autoSpaceDE/>
        <w:autoSpaceDN/>
        <w:bidi w:val="0"/>
        <w:adjustRightInd w:val="0"/>
        <w:snapToGrid w:val="0"/>
        <w:spacing w:before="0" w:beforeLines="0" w:line="560" w:lineRule="exact"/>
        <w:ind w:left="0" w:right="0" w:firstLine="668" w:firstLineChars="209"/>
        <w:textAlignment w:val="auto"/>
        <w:rPr>
          <w:rFonts w:hint="eastAsia"/>
          <w:sz w:val="32"/>
          <w:szCs w:val="32"/>
          <w:lang w:eastAsia="zh-CN"/>
        </w:rPr>
      </w:pPr>
      <w:r>
        <w:rPr>
          <w:rFonts w:hint="eastAsia"/>
          <w:sz w:val="32"/>
          <w:szCs w:val="32"/>
          <w:lang w:val="en-US" w:eastAsia="zh-CN"/>
        </w:rPr>
        <w:t xml:space="preserve"> 红原县</w:t>
      </w:r>
      <w:r>
        <w:rPr>
          <w:rFonts w:hint="eastAsia"/>
          <w:sz w:val="32"/>
          <w:szCs w:val="32"/>
          <w:lang w:eastAsia="zh-CN"/>
        </w:rPr>
        <w:t>住建局贯彻落实党中央关于住房和城乡建设、城市管理、城乡环境综合治理工作的方针政策和州委、县委的决策部署，在履行职责过程中坚持和加强党对住房和城乡建设工作的集中统一领导。主要职责是:贯彻执行国家、省、州住房和城乡建设、城市管理、城乡环境综合治理、住房保障、工程建设、城乡建设、建筑业、房屋装饰装修业、住宅与房地产业、市政公用事业的法律、法规、地方性规章和方针、政策，负责本系统、本部门依法行政工作，落实行政执法责任制；承担推进住房制度改革、保障城镇低收入家庭住房的责任。贯彻落实省、州住房及住房保障相关政策，指导住房建设，推进住房制度改革。会同有关部门加强保障性住房资金的管理。拟定全县住房保障发展规划和年度计划并监督实施；承担贯彻执行全县工程建设标准体系的责任。按照工程建设实施阶段的国家标准、四川省统一定额和行业标准定额以及工程建设的地方标准规定，监督各类工程建设标准定额的实施和工程造价计价，组织发布工程造价信息；承担规范房地产市场秩序、监督管理房地产市场的责任。会同有关部门组织拟订房地产市场监督管理政策并监督执行，提出房地产业的发展规划、发展计划和房地产市场监督管理措施，并监督执行。制定危房鉴定、白蚁防治、房地产估价物业管理、房屋征收拆迁的规谁制度并监督执行；承担监督管理建筑市场、规范市场各方主体行为的责任，指导全县建筑活动，拟订工程建设、建筑业及装饰装修业发展战略、中长期规划、改革方案、产业政策、规章制度并监督执行。配合相关部门汗展房屋建筑和市政基础设施工程项目招投标活动的监督。监督执行建设工程施工、监理以及规范建筑市场各方主体行为的规章倒度。负贵建筑工程质量安全的监督管理工作，监督执行建筑工程质量、建筑安全生产和竣工验收备案的政策、规章制度，组织或参与工程重大质量、安全事故的调查处理；承担监督管理勘察设计咨询市场秩序和勘察设计咨询质量的责任。指导实施工程勘察设计咨询业的发展战略、中长期规划、改革方案、产业和技术政策、规章制度。指导建设工程抗震设防工作，组织汗展城镇建筑物抗震性能普查、鉴定加固和改造工作，指导村镇和农村建设抗震工作，指导和组织灾后恢复重建工作；承担规范和指导村镇建设的责任。指导实施村庄和小城镇建设，指导农村住房建设管理和危房改造，指导小城镇和村庄人居生态环境的改善工作，指导和组织各类村镇建设试点工作，指导管理受灾村镇及国家大型重点建设项目地区村镇迁建、重建工作。指导城镇供水、节水、排水、燃气、污水和垃圾处理等市政公用设施的建设管理， 指导城镇市容环境综合整治工作，指导城镇防汛排涝工作，指导城镇建设档案管理工作。会同有关部门做好城市维护资金监管使用，并组织实施；承担推进建筑节能、城镇减排的责任。负责推进行业科学发展和建筑节能工作，推广应用新技术、新材料、新工艺，组织实施重大建筑节能项目，推进城镇减排。组织实施重点科技项目成果转化工作，承担推进墙体材料革新的责任；制订建设行业人才培养和教育发展规划并组织实施，指导建设行业科技人才队伍建设和执业资格管理工作。负责指导住房和城乡建设系统的信访工作，督查督办重大信访案件。开展住房和城乡建设方面的交流与合作；依据城乡管理方面的法律、法规、规章，对城乡市政工程设施、城市公用事业、市容环境、城市燃气、供水、排水、户外广告设施进行监察，查处和纠正违法违章行为;负责对城区道路路面、桥梁、路灯、下水道、公厕、广场、喷泉和文化雕塑墙等的管理与维护;审批和办理道路破挖、临时占用道路，设立杆、管、线、排水等许可手续。组织实施城市基础设施的建设和维修改造，负责全县地下管线的综合协调工作；负贵对城乡市容和环境卫生工作的指导、协调、检查、监督和管理;负责城区主次街道、背街小巷的清扫保洁:负责城区生活垃投的收集运输和处置; 负贵对城区建筑垃圾、 工业垃圾、医疗垃圾等有害废弃物的监管;负责对城区环卫设施的规</w:t>
      </w:r>
    </w:p>
    <w:p w14:paraId="5F30CC82">
      <w:pPr>
        <w:pStyle w:val="5"/>
        <w:keepNext w:val="0"/>
        <w:keepLines w:val="0"/>
        <w:pageBreakBefore w:val="0"/>
        <w:kinsoku/>
        <w:wordWrap/>
        <w:overflowPunct/>
        <w:topLinePunct w:val="0"/>
        <w:autoSpaceDE/>
        <w:autoSpaceDN/>
        <w:bidi w:val="0"/>
        <w:adjustRightInd w:val="0"/>
        <w:snapToGrid w:val="0"/>
        <w:spacing w:before="0" w:beforeLines="0" w:line="560" w:lineRule="exact"/>
        <w:ind w:left="0" w:right="0" w:firstLine="668" w:firstLineChars="209"/>
        <w:textAlignment w:val="auto"/>
        <w:rPr>
          <w:rFonts w:hint="eastAsia" w:ascii="楷体_GB2312" w:hAnsi="楷体_GB2312" w:eastAsia="楷体_GB2312" w:cs="楷体_GB2312"/>
          <w:b/>
          <w:bCs w:val="0"/>
          <w:sz w:val="32"/>
          <w:szCs w:val="32"/>
          <w:lang w:eastAsia="zh-CN"/>
        </w:rPr>
      </w:pPr>
      <w:r>
        <w:rPr>
          <w:rFonts w:hint="eastAsia"/>
          <w:sz w:val="32"/>
          <w:szCs w:val="32"/>
          <w:lang w:eastAsia="zh-CN"/>
        </w:rPr>
        <w:t>划建设与管理，组织协调专项治理等重大活动；负责督促、指导全县各乡镇、各部门开展城乡环境综合治理工作，对二作开展情况进行考核；完成县委、县政府交办的其他任务。</w:t>
      </w:r>
    </w:p>
    <w:p w14:paraId="678964DF">
      <w:pPr>
        <w:pStyle w:val="5"/>
        <w:keepNext w:val="0"/>
        <w:keepLines w:val="0"/>
        <w:pageBreakBefore w:val="0"/>
        <w:kinsoku/>
        <w:wordWrap/>
        <w:overflowPunct/>
        <w:topLinePunct w:val="0"/>
        <w:autoSpaceDE/>
        <w:autoSpaceDN/>
        <w:bidi w:val="0"/>
        <w:adjustRightInd w:val="0"/>
        <w:snapToGrid w:val="0"/>
        <w:spacing w:before="0" w:beforeLines="0" w:line="560" w:lineRule="exact"/>
        <w:ind w:left="0" w:right="0" w:firstLine="671" w:firstLineChars="209"/>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ascii="楷体_GB2312" w:hAnsi="楷体_GB2312" w:eastAsia="楷体_GB2312" w:cs="楷体_GB2312"/>
          <w:b/>
          <w:bCs w:val="0"/>
          <w:sz w:val="32"/>
          <w:szCs w:val="32"/>
          <w:lang w:eastAsia="zh-CN"/>
        </w:rPr>
        <w:t>5</w:t>
      </w:r>
      <w:r>
        <w:rPr>
          <w:rFonts w:hint="eastAsia" w:ascii="楷体_GB2312" w:hAnsi="楷体_GB2312" w:eastAsia="楷体_GB2312" w:cs="楷体_GB2312"/>
          <w:b/>
          <w:bCs w:val="0"/>
          <w:sz w:val="32"/>
          <w:szCs w:val="32"/>
          <w:lang w:eastAsia="zh-CN"/>
        </w:rPr>
        <w:t>年重点工作任务</w:t>
      </w:r>
    </w:p>
    <w:p w14:paraId="2A6E5A2F">
      <w:pPr>
        <w:keepNext w:val="0"/>
        <w:keepLines w:val="0"/>
        <w:pageBreakBefore w:val="0"/>
        <w:widowControl w:val="0"/>
        <w:kinsoku/>
        <w:wordWrap/>
        <w:overflowPunct/>
        <w:topLinePunct w:val="0"/>
        <w:autoSpaceDE/>
        <w:autoSpaceDN/>
        <w:adjustRightInd/>
        <w:snapToGrid/>
        <w:spacing w:line="560" w:lineRule="exact"/>
        <w:ind w:firstLine="643" w:firstLineChars="200"/>
        <w:rPr>
          <w:rFonts w:ascii="Times New Roman" w:hAnsi="Times New Roman" w:eastAsia="仿宋_GB2312" w:cs="Times New Roman"/>
          <w:color w:val="auto"/>
          <w:sz w:val="32"/>
          <w:szCs w:val="32"/>
          <w:lang w:val="en-US" w:eastAsia="zh-CN"/>
        </w:rPr>
      </w:pPr>
      <w:r>
        <w:rPr>
          <w:rFonts w:ascii="Times New Roman" w:hAnsi="Times New Roman" w:eastAsia="楷体_GB2312" w:cs="Times New Roman"/>
          <w:b/>
          <w:color w:val="auto"/>
          <w:sz w:val="32"/>
          <w:szCs w:val="32"/>
          <w:lang w:val="en-US" w:eastAsia="zh-CN"/>
        </w:rPr>
        <w:t>1.城市更新方面。</w:t>
      </w:r>
      <w:r>
        <w:rPr>
          <w:rFonts w:ascii="Times New Roman" w:hAnsi="Times New Roman" w:eastAsia="仿宋_GB2312" w:cs="Times New Roman"/>
          <w:color w:val="auto"/>
          <w:sz w:val="32"/>
          <w:szCs w:val="32"/>
          <w:lang w:val="en-US" w:eastAsia="zh-CN"/>
        </w:rPr>
        <w:t>为贯彻落实国家关于城市更新的战略部署，推动城市高质量发展，我县正在实施红原县城市更新项目总投资4.5亿元，其中：地下部分总投资4.1亿元，地面部分总投资4000万元，实施排水防涝管网改造、燃气管道更新改造、自来水管网提升改造、污水管网提升改造、地下空间综合治理、市政基础设施建设、道路改造7个子项目。将改造道路22.1千米，新建给水管道约26千米、雨水管道约21千米、污水管道约16.7千米、电力通道约12.8千米、通信通道约12.9千米、综合管廊约1.042千米。项目建成后，将全面改善城市基础设施条件，提升城市防灾减灾能力，优化城市空间布局，提升红原县城市形象，提高居民生活质量，实现城市功能的整体提升，为高质量发展注入新的动力。</w:t>
      </w:r>
    </w:p>
    <w:p w14:paraId="555C1420">
      <w:pPr>
        <w:keepNext w:val="0"/>
        <w:keepLines w:val="0"/>
        <w:pageBreakBefore w:val="0"/>
        <w:widowControl/>
        <w:suppressLineNumbers w:val="0"/>
        <w:kinsoku/>
        <w:wordWrap/>
        <w:overflowPunct/>
        <w:topLinePunct w:val="0"/>
        <w:autoSpaceDE/>
        <w:autoSpaceDN/>
        <w:adjustRightInd/>
        <w:snapToGrid/>
        <w:spacing w:line="560" w:lineRule="exact"/>
        <w:ind w:firstLine="643" w:firstLineChars="200"/>
        <w:rPr>
          <w:rFonts w:ascii="Times New Roman" w:hAnsi="Times New Roman" w:cs="Times New Roman"/>
          <w:color w:val="auto"/>
          <w:lang w:eastAsia="zh-CN"/>
        </w:rPr>
      </w:pPr>
      <w:r>
        <w:rPr>
          <w:rFonts w:ascii="Times New Roman" w:hAnsi="Times New Roman" w:eastAsia="楷体_GB2312" w:cs="Times New Roman"/>
          <w:b/>
          <w:bCs/>
          <w:color w:val="auto"/>
          <w:sz w:val="32"/>
          <w:szCs w:val="32"/>
          <w:lang w:eastAsia="zh-CN"/>
        </w:rPr>
        <w:t xml:space="preserve"> </w:t>
      </w:r>
      <w:r>
        <w:rPr>
          <w:rFonts w:ascii="Times New Roman" w:hAnsi="Times New Roman" w:eastAsia="楷体_GB2312" w:cs="Times New Roman"/>
          <w:b/>
          <w:bCs/>
          <w:color w:val="auto"/>
          <w:sz w:val="32"/>
          <w:szCs w:val="32"/>
          <w:lang w:val="en-US" w:eastAsia="zh-CN"/>
        </w:rPr>
        <w:t>2.</w:t>
      </w:r>
      <w:r>
        <w:rPr>
          <w:rFonts w:ascii="Times New Roman" w:hAnsi="Times New Roman" w:eastAsia="楷体_GB2312" w:cs="Times New Roman"/>
          <w:b/>
          <w:bCs/>
          <w:color w:val="auto"/>
          <w:sz w:val="32"/>
          <w:szCs w:val="32"/>
          <w:lang w:eastAsia="zh-CN"/>
        </w:rPr>
        <w:t>建筑市场管理方面。</w:t>
      </w:r>
      <w:r>
        <w:rPr>
          <w:rFonts w:hint="eastAsia" w:ascii="Times New Roman" w:hAnsi="Times New Roman" w:eastAsia="仿宋_GB2312" w:cs="Times New Roman"/>
          <w:b/>
          <w:bCs/>
          <w:color w:val="auto"/>
          <w:kern w:val="2"/>
          <w:sz w:val="32"/>
          <w:szCs w:val="24"/>
          <w:lang w:val="en-US" w:eastAsia="zh-CN" w:bidi="ar-SA"/>
        </w:rPr>
        <w:t>一是</w:t>
      </w:r>
      <w:r>
        <w:rPr>
          <w:rFonts w:ascii="Times New Roman" w:hAnsi="Times New Roman" w:eastAsia="仿宋_GB2312" w:cs="Times New Roman"/>
          <w:color w:val="auto"/>
          <w:kern w:val="2"/>
          <w:sz w:val="32"/>
          <w:szCs w:val="24"/>
          <w:lang w:val="en-US" w:eastAsia="zh-CN" w:bidi="ar-SA"/>
        </w:rPr>
        <w:t>审批效能再提升</w:t>
      </w:r>
      <w:r>
        <w:rPr>
          <w:rFonts w:hint="eastAsia" w:ascii="Times New Roman" w:hAnsi="Times New Roman" w:eastAsia="仿宋_GB2312" w:cs="Times New Roman"/>
          <w:color w:val="auto"/>
          <w:kern w:val="2"/>
          <w:sz w:val="32"/>
          <w:szCs w:val="24"/>
          <w:lang w:val="en-US" w:eastAsia="zh-CN" w:bidi="ar-SA"/>
        </w:rPr>
        <w:t>。</w:t>
      </w:r>
      <w:r>
        <w:rPr>
          <w:rFonts w:ascii="Times New Roman" w:hAnsi="Times New Roman" w:eastAsia="仿宋_GB2312" w:cs="Times New Roman"/>
          <w:color w:val="auto"/>
          <w:kern w:val="2"/>
          <w:sz w:val="32"/>
          <w:szCs w:val="24"/>
          <w:lang w:val="en-US" w:eastAsia="zh-CN" w:bidi="ar-SA"/>
        </w:rPr>
        <w:t>全年通过工程建设项目审批系统办理事项296件，19个项目实现全流程并联审批</w:t>
      </w:r>
      <w:r>
        <w:rPr>
          <w:rFonts w:hint="eastAsia" w:ascii="Times New Roman" w:hAnsi="Times New Roman" w:eastAsia="仿宋_GB2312" w:cs="Times New Roman"/>
          <w:color w:val="auto"/>
          <w:kern w:val="2"/>
          <w:sz w:val="32"/>
          <w:szCs w:val="24"/>
          <w:lang w:val="en-US" w:eastAsia="zh-CN" w:bidi="ar-SA"/>
        </w:rPr>
        <w:t>。</w:t>
      </w:r>
      <w:r>
        <w:rPr>
          <w:rFonts w:ascii="Times New Roman" w:hAnsi="Times New Roman" w:eastAsia="仿宋_GB2312" w:cs="Times New Roman"/>
          <w:color w:val="auto"/>
          <w:kern w:val="2"/>
          <w:sz w:val="32"/>
          <w:szCs w:val="24"/>
          <w:lang w:val="en-US" w:eastAsia="zh-CN" w:bidi="ar-SA"/>
        </w:rPr>
        <w:t>累计办理施工标后登记23件、监理标后登记20件、质量监督手续21件、安全监督手续21件、施工许可证19件。</w:t>
      </w:r>
      <w:r>
        <w:rPr>
          <w:rFonts w:hint="eastAsia" w:ascii="Times New Roman" w:hAnsi="Times New Roman" w:eastAsia="仿宋_GB2312" w:cs="Times New Roman"/>
          <w:b/>
          <w:bCs/>
          <w:color w:val="auto"/>
          <w:kern w:val="2"/>
          <w:sz w:val="32"/>
          <w:szCs w:val="24"/>
          <w:lang w:val="en-US" w:eastAsia="zh-CN" w:bidi="ar-SA"/>
        </w:rPr>
        <w:t>二是</w:t>
      </w:r>
      <w:r>
        <w:rPr>
          <w:rFonts w:ascii="Times New Roman" w:hAnsi="Times New Roman" w:eastAsia="仿宋_GB2312" w:cs="Times New Roman"/>
          <w:color w:val="auto"/>
          <w:kern w:val="2"/>
          <w:sz w:val="32"/>
          <w:szCs w:val="24"/>
          <w:lang w:val="en-US" w:eastAsia="zh-CN" w:bidi="ar-SA"/>
        </w:rPr>
        <w:t>认领“建设项目开工一件事”，整合施工许可阶段可同时办理的事项进行一次性申报，简化表单、减免材料，减少申报时间、提高审批时效</w:t>
      </w:r>
      <w:r>
        <w:rPr>
          <w:rFonts w:hint="eastAsia" w:ascii="Times New Roman" w:hAnsi="Times New Roman" w:eastAsia="仿宋_GB2312" w:cs="Times New Roman"/>
          <w:color w:val="auto"/>
          <w:kern w:val="2"/>
          <w:sz w:val="32"/>
          <w:szCs w:val="24"/>
          <w:lang w:val="en-US" w:eastAsia="zh-CN" w:bidi="ar-SA"/>
        </w:rPr>
        <w:t>，</w:t>
      </w:r>
      <w:r>
        <w:rPr>
          <w:rFonts w:ascii="Times New Roman" w:hAnsi="Times New Roman" w:eastAsia="仿宋_GB2312" w:cs="Times New Roman"/>
          <w:color w:val="auto"/>
          <w:kern w:val="2"/>
          <w:sz w:val="32"/>
          <w:szCs w:val="24"/>
          <w:lang w:val="en-US" w:eastAsia="zh-CN" w:bidi="ar-SA"/>
        </w:rPr>
        <w:t>不断提升帮办代办服务，目前已为5个项目提供该服务，办件满意度为100%。</w:t>
      </w:r>
      <w:r>
        <w:rPr>
          <w:rFonts w:hint="eastAsia" w:ascii="Times New Roman" w:hAnsi="Times New Roman" w:eastAsia="仿宋_GB2312" w:cs="Times New Roman"/>
          <w:b/>
          <w:bCs/>
          <w:color w:val="auto"/>
          <w:kern w:val="2"/>
          <w:sz w:val="32"/>
          <w:szCs w:val="24"/>
          <w:lang w:val="en-US" w:eastAsia="zh-CN" w:bidi="ar-SA"/>
        </w:rPr>
        <w:t>三是</w:t>
      </w:r>
      <w:r>
        <w:rPr>
          <w:rFonts w:hint="eastAsia" w:ascii="Times New Roman" w:hAnsi="Times New Roman" w:eastAsia="仿宋_GB2312" w:cs="Times New Roman"/>
          <w:color w:val="auto"/>
          <w:kern w:val="2"/>
          <w:sz w:val="32"/>
          <w:szCs w:val="24"/>
          <w:lang w:val="en-US" w:eastAsia="zh-CN" w:bidi="ar-SA"/>
        </w:rPr>
        <w:t>全年</w:t>
      </w:r>
      <w:r>
        <w:rPr>
          <w:rFonts w:ascii="Times New Roman" w:hAnsi="Times New Roman" w:eastAsia="仿宋_GB2312" w:cs="Times New Roman"/>
          <w:color w:val="auto"/>
          <w:sz w:val="32"/>
          <w:szCs w:val="32"/>
          <w:lang w:val="en-US" w:eastAsia="zh-CN"/>
        </w:rPr>
        <w:t>查处转包案件1起、施工乱象1起，行政处罚5.95万元。</w:t>
      </w:r>
    </w:p>
    <w:p w14:paraId="79018BC4">
      <w:pPr>
        <w:keepNext w:val="0"/>
        <w:keepLines w:val="0"/>
        <w:pageBreakBefore w:val="0"/>
        <w:widowControl w:val="0"/>
        <w:kinsoku/>
        <w:wordWrap/>
        <w:overflowPunct/>
        <w:topLinePunct w:val="0"/>
        <w:autoSpaceDE/>
        <w:autoSpaceDN/>
        <w:adjustRightInd/>
        <w:snapToGrid/>
        <w:spacing w:line="560" w:lineRule="exact"/>
        <w:ind w:firstLine="643" w:firstLineChars="200"/>
        <w:rPr>
          <w:rFonts w:ascii="Times New Roman" w:hAnsi="Times New Roman" w:eastAsia="仿宋_GB2312" w:cs="Times New Roman"/>
          <w:color w:val="auto"/>
          <w:sz w:val="32"/>
          <w:szCs w:val="32"/>
          <w:lang w:val="en-US" w:eastAsia="zh-CN"/>
        </w:rPr>
      </w:pPr>
      <w:r>
        <w:rPr>
          <w:rFonts w:ascii="Times New Roman" w:hAnsi="Times New Roman" w:eastAsia="楷体_GB2312" w:cs="Times New Roman"/>
          <w:b/>
          <w:bCs/>
          <w:color w:val="auto"/>
          <w:sz w:val="32"/>
          <w:szCs w:val="32"/>
          <w:lang w:val="en-US" w:eastAsia="zh-CN"/>
        </w:rPr>
        <w:t>3.</w:t>
      </w:r>
      <w:r>
        <w:rPr>
          <w:rFonts w:ascii="Times New Roman" w:hAnsi="Times New Roman" w:eastAsia="楷体_GB2312" w:cs="Times New Roman"/>
          <w:b/>
          <w:bCs/>
          <w:color w:val="auto"/>
          <w:sz w:val="32"/>
          <w:szCs w:val="32"/>
          <w:lang w:eastAsia="zh-CN"/>
        </w:rPr>
        <w:t>安全生产方面。</w:t>
      </w:r>
      <w:r>
        <w:rPr>
          <w:rFonts w:ascii="Times New Roman" w:hAnsi="Times New Roman" w:eastAsia="仿宋_GB2312" w:cs="Times New Roman"/>
          <w:b/>
          <w:bCs/>
          <w:color w:val="auto"/>
          <w:sz w:val="32"/>
          <w:szCs w:val="32"/>
          <w:lang w:eastAsia="zh-CN"/>
        </w:rPr>
        <w:t>一是建设施工方面。</w:t>
      </w:r>
      <w:r>
        <w:rPr>
          <w:rFonts w:ascii="Times New Roman" w:hAnsi="Times New Roman" w:eastAsia="仿宋_GB2312" w:cs="Times New Roman"/>
          <w:color w:val="auto"/>
          <w:sz w:val="32"/>
          <w:szCs w:val="32"/>
          <w:lang w:val="en-US" w:eastAsia="zh-CN"/>
        </w:rPr>
        <w:t>全年累计检查在建工程项目126次，对21个在建工程项目实现督查全覆盖，确保建设工地受检率100% ，查出各类安全隐患122余处，填写监督记录117 份，下发整改通知书6份，通过“现场交办+限期整改+回头复核”的工作机制，所有查出隐患均已整改完毕，整改完成率达 100%，切实做到“检查无死角、隐患全清零”。召开全县房屋市政工程安全生产警示教育会1次，各在建项目建设、监理、施工单位共49人参会，围绕《房屋市政工程生产安全重大事故隐患判定标准》等文件并结合实际案例，解读关键条款与技术要点，详细讲解危大工程管控要点，通过照片、视频展示常见隐患及处理方法，切实提升建设项目隐患排查治理能力。</w:t>
      </w:r>
      <w:r>
        <w:rPr>
          <w:rFonts w:ascii="Times New Roman" w:hAnsi="Times New Roman" w:eastAsia="仿宋_GB2312" w:cs="Times New Roman"/>
          <w:b/>
          <w:bCs/>
          <w:color w:val="auto"/>
          <w:sz w:val="32"/>
          <w:szCs w:val="32"/>
          <w:lang w:val="en-US" w:eastAsia="zh-CN"/>
        </w:rPr>
        <w:t>二是燃气安全方面。</w:t>
      </w:r>
      <w:r>
        <w:rPr>
          <w:rFonts w:ascii="Times New Roman" w:hAnsi="Times New Roman" w:eastAsia="仿宋_GB2312" w:cs="Times New Roman"/>
          <w:b w:val="0"/>
          <w:bCs w:val="0"/>
          <w:color w:val="auto"/>
          <w:sz w:val="32"/>
          <w:szCs w:val="32"/>
          <w:lang w:val="en-US" w:eastAsia="zh-CN"/>
        </w:rPr>
        <w:t>结合全国燃气安全专项整治行动，重点排查餐饮场所、居民小区等关键区域。联合应急、市场监管等部门开展联合执法</w:t>
      </w:r>
      <w:r>
        <w:rPr>
          <w:rFonts w:hint="eastAsia" w:ascii="Times New Roman" w:hAnsi="Times New Roman" w:eastAsia="仿宋_GB2312" w:cs="Times New Roman"/>
          <w:b w:val="0"/>
          <w:bCs w:val="0"/>
          <w:color w:val="auto"/>
          <w:sz w:val="32"/>
          <w:szCs w:val="32"/>
          <w:lang w:val="en-US" w:eastAsia="zh-CN"/>
        </w:rPr>
        <w:t>12</w:t>
      </w:r>
      <w:r>
        <w:rPr>
          <w:rFonts w:ascii="Times New Roman" w:hAnsi="Times New Roman" w:eastAsia="仿宋_GB2312" w:cs="Times New Roman"/>
          <w:b w:val="0"/>
          <w:bCs w:val="0"/>
          <w:color w:val="auto"/>
          <w:sz w:val="32"/>
          <w:szCs w:val="32"/>
          <w:lang w:val="en-US" w:eastAsia="zh-CN"/>
        </w:rPr>
        <w:t>次，检查燃气经营单位2家、餐饮用户86户，发现并整改隐患</w:t>
      </w:r>
      <w:r>
        <w:rPr>
          <w:rFonts w:hint="eastAsia" w:ascii="Times New Roman" w:hAnsi="Times New Roman" w:eastAsia="仿宋_GB2312" w:cs="Times New Roman"/>
          <w:b w:val="0"/>
          <w:bCs w:val="0"/>
          <w:color w:val="auto"/>
          <w:sz w:val="32"/>
          <w:szCs w:val="32"/>
          <w:lang w:val="en-US" w:eastAsia="zh-CN"/>
        </w:rPr>
        <w:t>89</w:t>
      </w:r>
      <w:r>
        <w:rPr>
          <w:rFonts w:ascii="Times New Roman" w:hAnsi="Times New Roman" w:eastAsia="仿宋_GB2312" w:cs="Times New Roman"/>
          <w:b w:val="0"/>
          <w:bCs w:val="0"/>
          <w:color w:val="auto"/>
          <w:sz w:val="32"/>
          <w:szCs w:val="32"/>
          <w:lang w:val="en-US" w:eastAsia="zh-CN"/>
        </w:rPr>
        <w:t>处。</w:t>
      </w:r>
      <w:r>
        <w:rPr>
          <w:rFonts w:ascii="Times New Roman" w:hAnsi="Times New Roman" w:eastAsia="仿宋_GB2312" w:cs="Times New Roman"/>
          <w:b/>
          <w:bCs/>
          <w:color w:val="auto"/>
          <w:sz w:val="32"/>
          <w:szCs w:val="32"/>
          <w:lang w:val="en-US" w:eastAsia="zh-CN"/>
        </w:rPr>
        <w:t>三是农村危房改造方面。</w:t>
      </w:r>
      <w:r>
        <w:rPr>
          <w:rFonts w:ascii="Times New Roman" w:hAnsi="Times New Roman" w:eastAsia="仿宋_GB2312" w:cs="Times New Roman"/>
          <w:b w:val="0"/>
          <w:bCs w:val="0"/>
          <w:color w:val="auto"/>
          <w:sz w:val="32"/>
          <w:szCs w:val="32"/>
          <w:lang w:val="en-US" w:eastAsia="zh-CN"/>
        </w:rPr>
        <w:t>编制危房改造实施方案，为各乡镇规范推进改造提供指导，目前18户改造工作已全部完成。</w:t>
      </w:r>
      <w:r>
        <w:rPr>
          <w:rFonts w:ascii="Times New Roman" w:hAnsi="Times New Roman" w:eastAsia="仿宋_GB2312" w:cs="Times New Roman"/>
          <w:b/>
          <w:bCs/>
          <w:color w:val="auto"/>
          <w:sz w:val="32"/>
          <w:szCs w:val="32"/>
          <w:lang w:val="en-US" w:eastAsia="zh-CN"/>
        </w:rPr>
        <w:t>四是城镇危旧房改造方面。</w:t>
      </w:r>
      <w:r>
        <w:rPr>
          <w:rFonts w:ascii="Times New Roman" w:hAnsi="Times New Roman" w:eastAsia="仿宋_GB2312" w:cs="Times New Roman"/>
          <w:b w:val="0"/>
          <w:bCs w:val="0"/>
          <w:color w:val="auto"/>
          <w:sz w:val="32"/>
          <w:szCs w:val="32"/>
          <w:lang w:val="en-US" w:eastAsia="zh-CN"/>
        </w:rPr>
        <w:t>红原县非成套房屋和原法院平房改造项目（含牦牛乳业公司12栋92套、原法院老旧平房1栋5套）已进场施工；公路局C级房屋拆旧建新项目（1栋27套）正在开展第二次招标工作。</w:t>
      </w:r>
    </w:p>
    <w:p w14:paraId="76C5B1B1">
      <w:pPr>
        <w:keepNext w:val="0"/>
        <w:keepLines w:val="0"/>
        <w:pageBreakBefore w:val="0"/>
        <w:widowControl/>
        <w:suppressLineNumbers w:val="0"/>
        <w:kinsoku/>
        <w:wordWrap/>
        <w:overflowPunct/>
        <w:topLinePunct w:val="0"/>
        <w:autoSpaceDE/>
        <w:autoSpaceDN/>
        <w:adjustRightInd/>
        <w:snapToGrid/>
        <w:spacing w:line="560" w:lineRule="exact"/>
        <w:ind w:firstLine="643" w:firstLineChars="200"/>
        <w:rPr>
          <w:rFonts w:ascii="Times New Roman" w:hAnsi="Times New Roman" w:eastAsia="仿宋_GB2312" w:cs="Times New Roman"/>
          <w:color w:val="auto"/>
          <w:sz w:val="32"/>
          <w:szCs w:val="32"/>
          <w:lang w:eastAsia="zh-CN"/>
        </w:rPr>
      </w:pPr>
      <w:r>
        <w:rPr>
          <w:rFonts w:ascii="Times New Roman" w:hAnsi="Times New Roman" w:eastAsia="楷体_GB2312" w:cs="Times New Roman"/>
          <w:b/>
          <w:color w:val="auto"/>
          <w:kern w:val="0"/>
          <w:sz w:val="32"/>
          <w:szCs w:val="32"/>
          <w:lang w:val="en-US" w:eastAsia="zh-CN" w:bidi="ar-SA"/>
        </w:rPr>
        <w:t>4.经济指标方面。</w:t>
      </w:r>
      <w:r>
        <w:rPr>
          <w:rFonts w:ascii="Times New Roman" w:hAnsi="Times New Roman" w:eastAsia="仿宋_GB2312" w:cs="Times New Roman"/>
          <w:color w:val="auto"/>
          <w:sz w:val="32"/>
          <w:szCs w:val="32"/>
          <w:lang w:val="en-US" w:eastAsia="zh-CN"/>
        </w:rPr>
        <w:t>积极培育本地建筑企业，强化项目要素保障，</w:t>
      </w:r>
      <w:r>
        <w:rPr>
          <w:rFonts w:hint="eastAsia" w:ascii="Times New Roman" w:hAnsi="Times New Roman" w:eastAsia="仿宋_GB2312" w:cs="Times New Roman"/>
          <w:color w:val="auto"/>
          <w:sz w:val="32"/>
          <w:szCs w:val="32"/>
          <w:lang w:val="en-US" w:eastAsia="zh-CN"/>
        </w:rPr>
        <w:t>2025年建筑业产值预计完成3000万元，将超额完成2560.998万元的年度目标，同比2024年增长28.86%，</w:t>
      </w:r>
      <w:r>
        <w:rPr>
          <w:rFonts w:ascii="Times New Roman" w:hAnsi="Times New Roman" w:eastAsia="仿宋_GB2312" w:cs="Times New Roman"/>
          <w:color w:val="auto"/>
          <w:sz w:val="32"/>
          <w:szCs w:val="32"/>
          <w:lang w:eastAsia="zh-CN"/>
        </w:rPr>
        <w:t>建筑业对县域经济的支撑作用持续显现。</w:t>
      </w:r>
    </w:p>
    <w:p w14:paraId="5DCC86AA">
      <w:pPr>
        <w:keepNext w:val="0"/>
        <w:keepLines w:val="0"/>
        <w:pageBreakBefore w:val="0"/>
        <w:widowControl w:val="0"/>
        <w:kinsoku/>
        <w:wordWrap/>
        <w:overflowPunct/>
        <w:topLinePunct w:val="0"/>
        <w:autoSpaceDE/>
        <w:autoSpaceDN/>
        <w:adjustRightInd/>
        <w:snapToGrid/>
        <w:spacing w:line="560" w:lineRule="exact"/>
        <w:ind w:firstLine="643" w:firstLineChars="200"/>
        <w:rPr>
          <w:rFonts w:ascii="Times New Roman" w:hAnsi="Times New Roman" w:eastAsia="仿宋_GB2312" w:cs="Times New Roman"/>
          <w:color w:val="auto"/>
          <w:kern w:val="2"/>
          <w:sz w:val="32"/>
          <w:szCs w:val="32"/>
          <w:highlight w:val="none"/>
          <w:lang w:val="en-US" w:eastAsia="zh-CN" w:bidi="ar-SA"/>
        </w:rPr>
      </w:pPr>
      <w:r>
        <w:rPr>
          <w:rFonts w:ascii="Times New Roman" w:hAnsi="Times New Roman" w:eastAsia="楷体_GB2312" w:cs="Times New Roman"/>
          <w:b/>
          <w:color w:val="auto"/>
          <w:kern w:val="0"/>
          <w:sz w:val="32"/>
          <w:szCs w:val="32"/>
          <w:lang w:val="en-US" w:eastAsia="zh-CN" w:bidi="ar-SA"/>
        </w:rPr>
        <w:t>5.城乡环境质量提升行动。</w:t>
      </w:r>
      <w:r>
        <w:rPr>
          <w:rFonts w:ascii="Times New Roman" w:hAnsi="Times New Roman" w:eastAsia="仿宋_GB2312" w:cs="Times New Roman"/>
          <w:color w:val="auto"/>
          <w:kern w:val="2"/>
          <w:sz w:val="32"/>
          <w:szCs w:val="32"/>
          <w:highlight w:val="none"/>
          <w:lang w:val="en-US" w:eastAsia="zh-CN" w:bidi="ar-SA"/>
        </w:rPr>
        <w:t>按照城乡环境质量提升行动重点任务，细化“2+5”“三化、两提升”行动方案，各项工作有序推进。一是全域环境治理。每月组织全县干群持续开展2025年黄河上游“全域全员全天”生态环境综合治理主题活动，共出动机具1000余台次、13万余人次，日均清理各类垃圾、杂物47余吨，同步加强城乡环境质量提升检查工作，视频曝光15期，下发白色督办单209份，问题均已完成整改。二是通信线缆示范段打造。完成刷经寺镇通信线缆示范镇打造、G248国道通信线缆示范段打造，线缆杆路合并15.92公里，拆除电杆1371根、扶正电杆95根、规范杂乱线路8公里、新建光缆1公里。三是公厕专项整治。完成城区15座公厕提升改造工作确保冬季正常运行，并试点打造应急避难广场星级厕所，落实“管理员+监督管”管理模式，确保公厕干净整洁。四是重点项目推进。涉及城乡环境质量提升行动项目35个，已完工17个，在建项目红原县餐厨垃圾无害化处理建设项目和国道248红原县城过境段改建工程未开工，其余项目均按照时序有序推进。</w:t>
      </w:r>
    </w:p>
    <w:p w14:paraId="7CC6CFCB">
      <w:pPr>
        <w:keepNext w:val="0"/>
        <w:keepLines w:val="0"/>
        <w:pageBreakBefore w:val="0"/>
        <w:widowControl w:val="0"/>
        <w:kinsoku/>
        <w:wordWrap/>
        <w:overflowPunct/>
        <w:topLinePunct w:val="0"/>
        <w:autoSpaceDE/>
        <w:autoSpaceDN/>
        <w:adjustRightInd/>
        <w:snapToGrid/>
        <w:spacing w:line="560" w:lineRule="exact"/>
        <w:ind w:firstLine="643" w:firstLineChars="200"/>
        <w:rPr>
          <w:rFonts w:ascii="Times New Roman" w:hAnsi="Times New Roman" w:eastAsia="仿宋_GB2312" w:cs="Times New Roman"/>
          <w:color w:val="auto"/>
          <w:sz w:val="32"/>
          <w:szCs w:val="32"/>
          <w:lang w:val="en-US" w:eastAsia="zh-CN"/>
        </w:rPr>
      </w:pPr>
      <w:r>
        <w:rPr>
          <w:rFonts w:ascii="Times New Roman" w:hAnsi="Times New Roman" w:eastAsia="楷体_GB2312" w:cs="Times New Roman"/>
          <w:b/>
          <w:color w:val="auto"/>
          <w:kern w:val="0"/>
          <w:sz w:val="32"/>
          <w:szCs w:val="32"/>
          <w:lang w:val="en-US" w:eastAsia="zh-CN"/>
        </w:rPr>
        <w:t>6.房屋管理方面。</w:t>
      </w:r>
      <w:r>
        <w:rPr>
          <w:rFonts w:ascii="Times New Roman" w:hAnsi="Times New Roman" w:eastAsia="仿宋_GB2312" w:cs="Times New Roman"/>
          <w:b/>
          <w:bCs/>
          <w:color w:val="auto"/>
          <w:sz w:val="32"/>
          <w:szCs w:val="32"/>
          <w:lang w:val="en-US" w:eastAsia="zh-CN"/>
        </w:rPr>
        <w:t>一是公房管理与维护持续加强。</w:t>
      </w:r>
      <w:r>
        <w:rPr>
          <w:rFonts w:ascii="Times New Roman" w:hAnsi="Times New Roman" w:eastAsia="仿宋_GB2312" w:cs="Times New Roman"/>
          <w:color w:val="auto"/>
          <w:sz w:val="32"/>
          <w:szCs w:val="32"/>
          <w:lang w:val="en-US" w:eastAsia="zh-CN"/>
        </w:rPr>
        <w:t>依据《红原县干部职工周转宿舍管理办法》，对全县公房进行维修维护，截至三季度已累计完成</w:t>
      </w:r>
      <w:r>
        <w:rPr>
          <w:rFonts w:hint="eastAsia" w:ascii="Times New Roman" w:hAnsi="Times New Roman" w:eastAsia="仿宋_GB2312" w:cs="Times New Roman"/>
          <w:color w:val="auto"/>
          <w:sz w:val="32"/>
          <w:szCs w:val="32"/>
          <w:lang w:val="en-US" w:eastAsia="zh-CN"/>
        </w:rPr>
        <w:t>102</w:t>
      </w:r>
      <w:r>
        <w:rPr>
          <w:rFonts w:ascii="Times New Roman" w:hAnsi="Times New Roman" w:eastAsia="仿宋_GB2312" w:cs="Times New Roman"/>
          <w:color w:val="auto"/>
          <w:sz w:val="32"/>
          <w:szCs w:val="32"/>
          <w:lang w:val="en-US" w:eastAsia="zh-CN"/>
        </w:rPr>
        <w:t>处维修任务，保障居住使用安全。</w:t>
      </w:r>
      <w:r>
        <w:rPr>
          <w:rFonts w:ascii="Times New Roman" w:hAnsi="Times New Roman" w:eastAsia="仿宋_GB2312" w:cs="Times New Roman"/>
          <w:b/>
          <w:bCs/>
          <w:color w:val="auto"/>
          <w:sz w:val="32"/>
          <w:szCs w:val="32"/>
          <w:lang w:val="en-US" w:eastAsia="zh-CN"/>
        </w:rPr>
        <w:t>二是商品房项目监管规范有序。</w:t>
      </w:r>
      <w:r>
        <w:rPr>
          <w:rFonts w:ascii="Times New Roman" w:hAnsi="Times New Roman" w:eastAsia="仿宋_GB2312" w:cs="Times New Roman"/>
          <w:color w:val="auto"/>
          <w:sz w:val="32"/>
          <w:szCs w:val="32"/>
          <w:lang w:val="en-US" w:eastAsia="zh-CN"/>
        </w:rPr>
        <w:t>针对已办理预售许可的草原公馆、朗御民族生活广场两个商品房开发项目，严格落实合同备案管理要求；同时做好存量房交易服务，2025年完成存量房交易备案58套、商品房网签备案4套，发放购房补贴8套21.1万元。</w:t>
      </w:r>
    </w:p>
    <w:p w14:paraId="6D4626D7">
      <w:pPr>
        <w:pStyle w:val="10"/>
        <w:keepNext w:val="0"/>
        <w:keepLines w:val="0"/>
        <w:pageBreakBefore w:val="0"/>
        <w:kinsoku/>
        <w:wordWrap/>
        <w:overflowPunct/>
        <w:topLinePunct w:val="0"/>
        <w:autoSpaceDE/>
        <w:autoSpaceDN/>
        <w:adjustRightInd/>
        <w:snapToGrid/>
        <w:spacing w:line="560" w:lineRule="exact"/>
        <w:ind w:firstLine="643" w:firstLineChars="200"/>
        <w:rPr>
          <w:rFonts w:ascii="Times New Roman" w:hAnsi="Times New Roman" w:eastAsia="楷体_GB2312" w:cs="Times New Roman"/>
          <w:b/>
          <w:bCs/>
          <w:color w:val="auto"/>
          <w:kern w:val="2"/>
          <w:sz w:val="32"/>
          <w:szCs w:val="32"/>
          <w:lang w:val="en-US" w:eastAsia="zh-CN" w:bidi="ar-SA"/>
        </w:rPr>
      </w:pPr>
      <w:r>
        <w:rPr>
          <w:rFonts w:ascii="Times New Roman" w:hAnsi="Times New Roman" w:eastAsia="楷体_GB2312" w:cs="Times New Roman"/>
          <w:b/>
          <w:color w:val="auto"/>
          <w:kern w:val="0"/>
          <w:sz w:val="32"/>
          <w:szCs w:val="32"/>
          <w:lang w:val="en-US" w:eastAsia="zh-CN" w:bidi="ar-SA"/>
        </w:rPr>
        <w:t>7.民生保障方面。</w:t>
      </w:r>
      <w:r>
        <w:rPr>
          <w:rFonts w:ascii="Times New Roman" w:hAnsi="Times New Roman" w:cs="Times New Roman"/>
          <w:b/>
          <w:bCs/>
          <w:color w:val="auto"/>
          <w:kern w:val="2"/>
          <w:sz w:val="32"/>
          <w:szCs w:val="32"/>
          <w:lang w:eastAsia="zh-CN" w:bidi="ar-SA"/>
        </w:rPr>
        <w:t>一是</w:t>
      </w:r>
      <w:r>
        <w:rPr>
          <w:rFonts w:ascii="Times New Roman" w:hAnsi="Times New Roman" w:eastAsia="仿宋_GB2312" w:cs="Times New Roman"/>
          <w:color w:val="auto"/>
          <w:kern w:val="2"/>
          <w:sz w:val="32"/>
          <w:szCs w:val="32"/>
          <w:lang w:val="en-US" w:eastAsia="zh-CN" w:bidi="ar-SA"/>
        </w:rPr>
        <w:t>围绕城市基础设施建设、维护与管理，有序推进各项重点工作，致力于提升城市功能品质，为群众创造更优质的生活环境。协助推进县城管网新建和老旧管网改造工程，解决城市内涝和居民饮水、排水、供暖等问题。新增登记给水120户、排污221户、供暖475户申请。日常开展了破旧店招店牌拆除工作，拆除破损店招店牌30余处，新增登记15家。对道路、井盖、排水设备、照明等市政设施进行全面排查，共修复井盖20个、道路坑洼6处、雨箅子11个、路灯25盏、防汛排水2处。</w:t>
      </w:r>
      <w:r>
        <w:rPr>
          <w:rFonts w:ascii="Times New Roman" w:hAnsi="Times New Roman" w:cs="Times New Roman"/>
          <w:b/>
          <w:bCs/>
          <w:color w:val="auto"/>
          <w:kern w:val="2"/>
          <w:sz w:val="32"/>
          <w:szCs w:val="32"/>
          <w:lang w:eastAsia="zh-CN" w:bidi="ar-SA"/>
        </w:rPr>
        <w:t>二</w:t>
      </w:r>
      <w:r>
        <w:rPr>
          <w:rFonts w:ascii="Times New Roman" w:hAnsi="Times New Roman" w:cs="Times New Roman"/>
          <w:b/>
          <w:bCs/>
          <w:color w:val="auto"/>
          <w:kern w:val="2"/>
          <w:sz w:val="32"/>
          <w:szCs w:val="32"/>
          <w:lang w:val="en-US" w:eastAsia="zh-CN" w:bidi="ar-SA"/>
        </w:rPr>
        <w:t>是</w:t>
      </w:r>
      <w:r>
        <w:rPr>
          <w:rFonts w:ascii="Times New Roman" w:hAnsi="Times New Roman" w:eastAsia="仿宋_GB2312" w:cs="Times New Roman"/>
          <w:color w:val="auto"/>
          <w:kern w:val="2"/>
          <w:sz w:val="32"/>
          <w:szCs w:val="32"/>
          <w:lang w:val="en-US" w:eastAsia="zh-CN" w:bidi="ar-SA"/>
        </w:rPr>
        <w:t>共开展13次占道经营与乱堆乱放专项整治工作</w:t>
      </w:r>
      <w:r>
        <w:rPr>
          <w:rFonts w:ascii="Times New Roman" w:hAnsi="Times New Roman" w:cs="Times New Roman"/>
          <w:color w:val="auto"/>
          <w:kern w:val="2"/>
          <w:sz w:val="32"/>
          <w:szCs w:val="32"/>
          <w:lang w:val="en-US" w:eastAsia="zh-CN" w:bidi="ar-SA"/>
        </w:rPr>
        <w:t>，</w:t>
      </w:r>
      <w:r>
        <w:rPr>
          <w:rFonts w:ascii="Times New Roman" w:hAnsi="Times New Roman" w:eastAsia="仿宋_GB2312" w:cs="Times New Roman"/>
          <w:color w:val="auto"/>
          <w:kern w:val="2"/>
          <w:sz w:val="32"/>
          <w:szCs w:val="32"/>
          <w:lang w:val="en-US" w:eastAsia="zh-CN" w:bidi="ar-SA"/>
        </w:rPr>
        <w:t>通过“宣传引导+集中清理”相结合的方式，重点对主次干道、商圈周边、居民小区出入口等区域的占道经营行为进行规范，共计整治300余处；对违规堆放的杂物、垃圾、废弃物品等进行集中清运，共计100余处，建立</w:t>
      </w:r>
      <w:r>
        <w:rPr>
          <w:rFonts w:ascii="Times New Roman" w:hAnsi="Times New Roman" w:cs="Times New Roman"/>
          <w:color w:val="auto"/>
          <w:kern w:val="2"/>
          <w:sz w:val="32"/>
          <w:szCs w:val="32"/>
          <w:lang w:val="en-US" w:eastAsia="zh-CN" w:bidi="ar-SA"/>
        </w:rPr>
        <w:t>了</w:t>
      </w:r>
      <w:r>
        <w:rPr>
          <w:rFonts w:ascii="Times New Roman" w:hAnsi="Times New Roman" w:eastAsia="仿宋_GB2312" w:cs="Times New Roman"/>
          <w:color w:val="auto"/>
          <w:kern w:val="2"/>
          <w:sz w:val="32"/>
          <w:szCs w:val="32"/>
          <w:lang w:val="en-US" w:eastAsia="zh-CN" w:bidi="ar-SA"/>
        </w:rPr>
        <w:t>长效巡查机制，</w:t>
      </w:r>
      <w:r>
        <w:rPr>
          <w:rFonts w:ascii="Times New Roman" w:hAnsi="Times New Roman" w:cs="Times New Roman"/>
          <w:color w:val="auto"/>
          <w:kern w:val="2"/>
          <w:sz w:val="32"/>
          <w:szCs w:val="32"/>
          <w:lang w:val="en-US" w:eastAsia="zh-CN" w:bidi="ar-SA"/>
        </w:rPr>
        <w:t>持续</w:t>
      </w:r>
      <w:r>
        <w:rPr>
          <w:rFonts w:ascii="Times New Roman" w:hAnsi="Times New Roman" w:eastAsia="仿宋_GB2312" w:cs="Times New Roman"/>
          <w:color w:val="auto"/>
          <w:kern w:val="2"/>
          <w:sz w:val="32"/>
          <w:szCs w:val="32"/>
          <w:lang w:val="en-US" w:eastAsia="zh-CN" w:bidi="ar-SA"/>
        </w:rPr>
        <w:t>巩固整治成果，切实提升城市整体风貌，保障市民出行安全与生活品质。</w:t>
      </w:r>
    </w:p>
    <w:p w14:paraId="0A16EEE8">
      <w:pPr>
        <w:keepNext w:val="0"/>
        <w:keepLines w:val="0"/>
        <w:pageBreakBefore w:val="0"/>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4B6CA5C1">
      <w:pPr>
        <w:pStyle w:val="5"/>
        <w:keepNext w:val="0"/>
        <w:keepLines w:val="0"/>
        <w:pageBreakBefore w:val="0"/>
        <w:kinsoku/>
        <w:wordWrap/>
        <w:overflowPunct/>
        <w:topLinePunct w:val="0"/>
        <w:autoSpaceDE/>
        <w:autoSpaceDN/>
        <w:bidi w:val="0"/>
        <w:adjustRightInd w:val="0"/>
        <w:snapToGrid w:val="0"/>
        <w:spacing w:before="0" w:beforeLines="0" w:line="560" w:lineRule="exact"/>
        <w:ind w:left="0" w:right="0" w:firstLine="668" w:firstLineChars="209"/>
        <w:textAlignment w:val="auto"/>
        <w:rPr>
          <w:rFonts w:hint="eastAsia"/>
          <w:sz w:val="32"/>
          <w:szCs w:val="32"/>
        </w:rPr>
      </w:pPr>
      <w:r>
        <w:rPr>
          <w:rFonts w:hint="eastAsia" w:ascii="仿宋_GB2312" w:hAnsi="仿宋_GB2312" w:eastAsia="仿宋_GB2312" w:cs="仿宋_GB2312"/>
          <w:kern w:val="2"/>
          <w:sz w:val="32"/>
          <w:szCs w:val="32"/>
          <w:lang w:val="en-US" w:eastAsia="zh-CN" w:bidi="ar-SA"/>
        </w:rPr>
        <w:t>红原县住房和城乡建设局下设股室9个，其中行政单位</w:t>
      </w:r>
      <w:r>
        <w:rPr>
          <w:rFonts w:hint="eastAsia" w:hAnsi="仿宋_GB2312" w:cs="仿宋_GB2312"/>
          <w:kern w:val="2"/>
          <w:sz w:val="32"/>
          <w:szCs w:val="32"/>
          <w:lang w:val="en-US" w:eastAsia="zh-CN" w:bidi="ar-SA"/>
        </w:rPr>
        <w:t>1</w:t>
      </w:r>
      <w:r>
        <w:rPr>
          <w:rFonts w:hint="eastAsia" w:ascii="仿宋_GB2312" w:hAnsi="仿宋_GB2312" w:eastAsia="仿宋_GB2312" w:cs="仿宋_GB2312"/>
          <w:kern w:val="2"/>
          <w:sz w:val="32"/>
          <w:szCs w:val="32"/>
          <w:lang w:val="en-US" w:eastAsia="zh-CN" w:bidi="ar-SA"/>
        </w:rPr>
        <w:t>个，参照公务员法管理的事业单位</w:t>
      </w:r>
      <w:r>
        <w:rPr>
          <w:rFonts w:hint="eastAsia" w:hAnsi="仿宋_GB2312" w:cs="仿宋_GB2312"/>
          <w:kern w:val="2"/>
          <w:sz w:val="32"/>
          <w:szCs w:val="32"/>
          <w:lang w:val="en-US" w:eastAsia="zh-CN" w:bidi="ar-SA"/>
        </w:rPr>
        <w:t>1</w:t>
      </w:r>
      <w:r>
        <w:rPr>
          <w:rFonts w:hint="eastAsia" w:ascii="仿宋_GB2312" w:hAnsi="仿宋_GB2312" w:eastAsia="仿宋_GB2312" w:cs="仿宋_GB2312"/>
          <w:kern w:val="2"/>
          <w:sz w:val="32"/>
          <w:szCs w:val="32"/>
          <w:lang w:val="en-US" w:eastAsia="zh-CN" w:bidi="ar-SA"/>
        </w:rPr>
        <w:t>个，其他事业单位0个。</w:t>
      </w:r>
      <w:r>
        <w:rPr>
          <w:rFonts w:hint="eastAsia"/>
          <w:sz w:val="32"/>
          <w:szCs w:val="32"/>
          <w:lang w:eastAsia="zh-CN"/>
        </w:rPr>
        <w:t>分别是：红原县城乡公共服务管理局、红原县城乡环境综合治理服务中心、红原县建筑设计室、红原县质监站、行政办公室、建管股、住保股、项目股、财务室。</w:t>
      </w:r>
    </w:p>
    <w:p w14:paraId="0B82F0F8">
      <w:pPr>
        <w:keepNext w:val="0"/>
        <w:keepLines w:val="0"/>
        <w:pageBreakBefore w:val="0"/>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6671A7C6">
      <w:pPr>
        <w:keepNext w:val="0"/>
        <w:keepLines w:val="0"/>
        <w:pageBreakBefore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ascii="仿宋_GB2312" w:eastAsia="仿宋_GB2312"/>
          <w:sz w:val="32"/>
          <w:szCs w:val="32"/>
          <w:lang w:eastAsia="zh-CN"/>
        </w:rPr>
        <w:t>6</w:t>
      </w:r>
      <w:r>
        <w:rPr>
          <w:rFonts w:hint="eastAsia" w:ascii="仿宋_GB2312" w:eastAsia="仿宋_GB2312"/>
          <w:sz w:val="32"/>
          <w:szCs w:val="32"/>
        </w:rPr>
        <w:t>年</w:t>
      </w:r>
      <w:r>
        <w:rPr>
          <w:rFonts w:hint="eastAsia" w:ascii="仿宋_GB2312" w:eastAsia="仿宋_GB2312"/>
          <w:sz w:val="32"/>
          <w:szCs w:val="32"/>
          <w:lang w:eastAsia="zh-CN"/>
        </w:rPr>
        <w:t>红原县住房和城乡建设局</w:t>
      </w:r>
      <w:r>
        <w:rPr>
          <w:rFonts w:hint="eastAsia" w:ascii="仿宋_GB2312" w:eastAsia="仿宋_GB2312"/>
          <w:sz w:val="32"/>
          <w:szCs w:val="32"/>
        </w:rPr>
        <w:t>收入预算总额为</w:t>
      </w:r>
      <w:r>
        <w:rPr>
          <w:rFonts w:hint="eastAsia" w:ascii="仿宋_GB2312" w:hAnsi="仿宋_GB2312" w:eastAsia="仿宋_GB2312" w:cs="仿宋_GB2312"/>
          <w:kern w:val="2"/>
          <w:sz w:val="32"/>
          <w:szCs w:val="32"/>
          <w:lang w:val="en-US" w:eastAsia="zh-CN"/>
        </w:rPr>
        <w:t>41845.18</w:t>
      </w:r>
      <w:r>
        <w:rPr>
          <w:rFonts w:hint="eastAsia" w:ascii="仿宋_GB2312" w:eastAsia="仿宋_GB2312"/>
          <w:sz w:val="32"/>
          <w:szCs w:val="32"/>
          <w:lang w:eastAsia="zh-CN"/>
        </w:rPr>
        <w:t>万</w:t>
      </w:r>
      <w:r>
        <w:rPr>
          <w:rFonts w:hint="eastAsia" w:ascii="仿宋_GB2312" w:eastAsia="仿宋_GB2312"/>
          <w:sz w:val="32"/>
          <w:szCs w:val="32"/>
        </w:rPr>
        <w:t>元，</w:t>
      </w:r>
      <w:r>
        <w:rPr>
          <w:rFonts w:ascii="仿宋_GB2312" w:hAnsi="仿宋_GB2312" w:eastAsia="仿宋_GB2312" w:cs="仿宋_GB2312"/>
          <w:kern w:val="2"/>
          <w:sz w:val="32"/>
          <w:szCs w:val="32"/>
        </w:rPr>
        <w:t>。其中：一般公共预算财政拨款收入为21410</w:t>
      </w:r>
      <w:r>
        <w:rPr>
          <w:rFonts w:hint="eastAsia" w:ascii="仿宋_GB2312" w:hAnsi="仿宋_GB2312" w:eastAsia="仿宋_GB2312" w:cs="仿宋_GB2312"/>
          <w:kern w:val="2"/>
          <w:sz w:val="32"/>
          <w:szCs w:val="32"/>
          <w:lang w:val="en-US" w:eastAsia="zh-CN"/>
        </w:rPr>
        <w:t>.90</w:t>
      </w:r>
      <w:r>
        <w:rPr>
          <w:rFonts w:ascii="仿宋_GB2312" w:hAnsi="仿宋_GB2312" w:eastAsia="仿宋_GB2312" w:cs="仿宋_GB2312"/>
          <w:kern w:val="2"/>
          <w:sz w:val="32"/>
          <w:szCs w:val="32"/>
        </w:rPr>
        <w:t>万元，政府性基金预算财政拨款收入为20434</w:t>
      </w:r>
      <w:r>
        <w:rPr>
          <w:rFonts w:hint="eastAsia" w:ascii="仿宋_GB2312" w:hAnsi="仿宋_GB2312" w:eastAsia="仿宋_GB2312" w:cs="仿宋_GB2312"/>
          <w:kern w:val="2"/>
          <w:sz w:val="32"/>
          <w:szCs w:val="32"/>
          <w:lang w:val="en-US" w:eastAsia="zh-CN"/>
        </w:rPr>
        <w:t>.</w:t>
      </w:r>
      <w:r>
        <w:rPr>
          <w:rFonts w:ascii="仿宋_GB2312" w:hAnsi="仿宋_GB2312" w:eastAsia="仿宋_GB2312" w:cs="仿宋_GB2312"/>
          <w:kern w:val="2"/>
          <w:sz w:val="32"/>
          <w:szCs w:val="32"/>
        </w:rPr>
        <w:t>28万元</w:t>
      </w:r>
      <w:r>
        <w:rPr>
          <w:rFonts w:hint="eastAsia" w:ascii="仿宋_GB2312" w:eastAsia="仿宋_GB2312"/>
          <w:sz w:val="32"/>
          <w:szCs w:val="32"/>
        </w:rPr>
        <w:t>。相应安排支出预算</w:t>
      </w:r>
      <w:r>
        <w:rPr>
          <w:rFonts w:hint="eastAsia" w:ascii="仿宋_GB2312" w:hAnsi="仿宋_GB2312" w:eastAsia="仿宋_GB2312" w:cs="仿宋_GB2312"/>
          <w:kern w:val="2"/>
          <w:sz w:val="32"/>
          <w:szCs w:val="32"/>
          <w:lang w:val="en-US" w:eastAsia="zh-CN"/>
        </w:rPr>
        <w:t>41845.18</w:t>
      </w:r>
      <w:r>
        <w:rPr>
          <w:rFonts w:hint="eastAsia" w:ascii="仿宋_GB2312" w:eastAsia="仿宋_GB2312"/>
          <w:sz w:val="32"/>
          <w:szCs w:val="32"/>
          <w:lang w:eastAsia="zh-CN"/>
        </w:rPr>
        <w:t>万</w:t>
      </w:r>
      <w:r>
        <w:rPr>
          <w:rFonts w:hint="eastAsia" w:ascii="仿宋_GB2312" w:eastAsia="仿宋_GB2312"/>
          <w:sz w:val="32"/>
          <w:szCs w:val="32"/>
        </w:rPr>
        <w:t>元，其中：社会保障和就业支出</w:t>
      </w:r>
      <w:r>
        <w:rPr>
          <w:rFonts w:hint="eastAsia" w:ascii="仿宋_GB2312" w:hAnsi="仿宋_GB2312" w:eastAsia="仿宋_GB2312" w:cs="仿宋_GB2312"/>
          <w:kern w:val="2"/>
          <w:sz w:val="32"/>
          <w:szCs w:val="32"/>
          <w:lang w:val="en-US" w:eastAsia="zh-CN"/>
        </w:rPr>
        <w:t>136.08</w:t>
      </w:r>
      <w:r>
        <w:rPr>
          <w:rFonts w:hint="eastAsia" w:ascii="仿宋_GB2312" w:eastAsia="仿宋_GB2312"/>
          <w:sz w:val="32"/>
          <w:szCs w:val="32"/>
          <w:lang w:eastAsia="zh-CN"/>
        </w:rPr>
        <w:t>万元，卫生健康支出</w:t>
      </w:r>
      <w:r>
        <w:rPr>
          <w:rFonts w:hint="eastAsia" w:ascii="仿宋_GB2312" w:hAnsi="仿宋_GB2312" w:eastAsia="仿宋_GB2312" w:cs="仿宋_GB2312"/>
          <w:kern w:val="2"/>
          <w:sz w:val="32"/>
          <w:szCs w:val="32"/>
          <w:lang w:val="en-US" w:eastAsia="zh-CN"/>
        </w:rPr>
        <w:t>57.79</w:t>
      </w:r>
      <w:r>
        <w:rPr>
          <w:rFonts w:hint="eastAsia" w:ascii="仿宋_GB2312" w:eastAsia="仿宋_GB2312"/>
          <w:sz w:val="32"/>
          <w:szCs w:val="32"/>
          <w:lang w:eastAsia="zh-CN"/>
        </w:rPr>
        <w:t>万元，节能环保支出</w:t>
      </w:r>
      <w:r>
        <w:rPr>
          <w:rFonts w:hint="eastAsia" w:ascii="仿宋_GB2312" w:hAnsi="仿宋_GB2312" w:eastAsia="仿宋_GB2312" w:cs="仿宋_GB2312"/>
          <w:kern w:val="2"/>
          <w:sz w:val="32"/>
          <w:szCs w:val="32"/>
          <w:lang w:val="en-US" w:eastAsia="zh-CN"/>
        </w:rPr>
        <w:t>708.04</w:t>
      </w:r>
      <w:r>
        <w:rPr>
          <w:rFonts w:hint="eastAsia" w:ascii="仿宋_GB2312" w:eastAsia="仿宋_GB2312"/>
          <w:sz w:val="32"/>
          <w:szCs w:val="32"/>
          <w:lang w:val="en-US" w:eastAsia="zh-CN"/>
        </w:rPr>
        <w:t>万</w:t>
      </w:r>
      <w:r>
        <w:rPr>
          <w:rFonts w:hint="eastAsia" w:ascii="仿宋_GB2312" w:eastAsia="仿宋_GB2312"/>
          <w:sz w:val="32"/>
          <w:szCs w:val="32"/>
          <w:lang w:eastAsia="zh-CN"/>
        </w:rPr>
        <w:t>元，城乡社区支出</w:t>
      </w:r>
      <w:r>
        <w:rPr>
          <w:rFonts w:hint="eastAsia" w:ascii="仿宋_GB2312" w:hAnsi="仿宋_GB2312" w:eastAsia="仿宋_GB2312" w:cs="仿宋_GB2312"/>
          <w:kern w:val="2"/>
          <w:sz w:val="32"/>
          <w:szCs w:val="32"/>
          <w:lang w:val="en-US" w:eastAsia="zh-CN"/>
        </w:rPr>
        <w:t>26024.59</w:t>
      </w:r>
      <w:r>
        <w:rPr>
          <w:rFonts w:hint="eastAsia" w:ascii="仿宋_GB2312" w:eastAsia="仿宋_GB2312"/>
          <w:sz w:val="32"/>
          <w:szCs w:val="32"/>
          <w:lang w:eastAsia="zh-CN"/>
        </w:rPr>
        <w:t>万元，农林水支出</w:t>
      </w:r>
      <w:r>
        <w:rPr>
          <w:rFonts w:hint="eastAsia" w:ascii="仿宋_GB2312" w:eastAsia="仿宋_GB2312"/>
          <w:sz w:val="32"/>
          <w:szCs w:val="32"/>
          <w:lang w:val="en-US" w:eastAsia="zh-CN"/>
        </w:rPr>
        <w:t>0</w:t>
      </w:r>
      <w:r>
        <w:rPr>
          <w:rFonts w:hint="eastAsia" w:ascii="仿宋_GB2312" w:eastAsia="仿宋_GB2312"/>
          <w:sz w:val="32"/>
          <w:szCs w:val="32"/>
          <w:lang w:eastAsia="zh-CN"/>
        </w:rPr>
        <w:t>元，自然资源海洋气象等支出</w:t>
      </w:r>
      <w:r>
        <w:rPr>
          <w:rFonts w:hint="eastAsia" w:ascii="仿宋_GB2312" w:eastAsia="仿宋_GB2312"/>
          <w:sz w:val="32"/>
          <w:szCs w:val="32"/>
          <w:lang w:val="en-US" w:eastAsia="zh-CN"/>
        </w:rPr>
        <w:t>0</w:t>
      </w:r>
      <w:r>
        <w:rPr>
          <w:rFonts w:hint="eastAsia" w:ascii="仿宋_GB2312" w:eastAsia="仿宋_GB2312"/>
          <w:sz w:val="32"/>
          <w:szCs w:val="32"/>
          <w:lang w:eastAsia="zh-CN"/>
        </w:rPr>
        <w:t>元，住房保障支出</w:t>
      </w:r>
      <w:r>
        <w:rPr>
          <w:rFonts w:hint="eastAsia" w:ascii="仿宋_GB2312" w:hAnsi="仿宋_GB2312" w:eastAsia="仿宋_GB2312" w:cs="仿宋_GB2312"/>
          <w:kern w:val="2"/>
          <w:sz w:val="32"/>
          <w:szCs w:val="32"/>
          <w:lang w:val="en-US" w:eastAsia="zh-CN"/>
        </w:rPr>
        <w:t>187.20</w:t>
      </w:r>
      <w:r>
        <w:rPr>
          <w:rFonts w:hint="eastAsia" w:ascii="仿宋_GB2312" w:eastAsia="仿宋_GB2312"/>
          <w:sz w:val="32"/>
          <w:szCs w:val="32"/>
          <w:lang w:eastAsia="zh-CN"/>
        </w:rPr>
        <w:t>万元</w:t>
      </w:r>
      <w:r>
        <w:rPr>
          <w:rFonts w:hint="eastAsia" w:ascii="仿宋_GB2312" w:eastAsia="仿宋_GB2312"/>
          <w:sz w:val="32"/>
          <w:szCs w:val="32"/>
        </w:rPr>
        <w:t>。</w:t>
      </w:r>
    </w:p>
    <w:p w14:paraId="30B96E44">
      <w:pPr>
        <w:keepNext w:val="0"/>
        <w:keepLines w:val="0"/>
        <w:pageBreakBefore w:val="0"/>
        <w:numPr>
          <w:ilvl w:val="0"/>
          <w:numId w:val="1"/>
        </w:numPr>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4A1E151B">
      <w:pPr>
        <w:keepNext w:val="0"/>
        <w:keepLines w:val="0"/>
        <w:pageBreakBefore w:val="0"/>
        <w:kinsoku/>
        <w:wordWrap/>
        <w:overflowPunct/>
        <w:topLinePunct w:val="0"/>
        <w:autoSpaceDE/>
        <w:autoSpaceDN/>
        <w:bidi w:val="0"/>
        <w:spacing w:line="560" w:lineRule="exact"/>
        <w:ind w:left="0" w:right="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红原县住房和城乡建设局</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建筑</w:t>
      </w:r>
      <w:r>
        <w:rPr>
          <w:rFonts w:hint="eastAsia" w:ascii="仿宋_GB2312" w:eastAsia="仿宋_GB2312"/>
          <w:sz w:val="32"/>
          <w:szCs w:val="32"/>
        </w:rPr>
        <w:t xml:space="preserve">事业发展相关工作。  </w:t>
      </w:r>
    </w:p>
    <w:p w14:paraId="79BE1FFB">
      <w:pPr>
        <w:keepNext w:val="0"/>
        <w:keepLines w:val="0"/>
        <w:pageBreakBefore w:val="0"/>
        <w:kinsoku/>
        <w:wordWrap/>
        <w:overflowPunct/>
        <w:topLinePunct w:val="0"/>
        <w:autoSpaceDE/>
        <w:autoSpaceDN/>
        <w:spacing w:line="560" w:lineRule="exact"/>
        <w:ind w:left="0" w:firstLine="640" w:firstLineChars="200"/>
        <w:rPr>
          <w:rFonts w:hint="eastAsia" w:ascii="仿宋_GB2312" w:eastAsia="仿宋_GB2312"/>
          <w:sz w:val="32"/>
          <w:szCs w:val="32"/>
        </w:rPr>
      </w:pPr>
      <w:r>
        <w:rPr>
          <w:rFonts w:hint="eastAsia" w:ascii="仿宋_GB2312" w:eastAsia="仿宋_GB2312"/>
          <w:sz w:val="32"/>
          <w:szCs w:val="32"/>
        </w:rPr>
        <w:t>基本支出1,008.44</w:t>
      </w:r>
      <w:r>
        <w:rPr>
          <w:rFonts w:hint="eastAsia" w:ascii="仿宋_GB2312" w:eastAsia="仿宋_GB2312"/>
          <w:sz w:val="32"/>
          <w:szCs w:val="32"/>
          <w:lang w:val="en-US" w:eastAsia="zh-CN"/>
        </w:rPr>
        <w:t>万</w:t>
      </w:r>
      <w:r>
        <w:rPr>
          <w:rFonts w:hint="eastAsia" w:ascii="仿宋_GB2312" w:eastAsia="仿宋_GB2312"/>
          <w:sz w:val="32"/>
          <w:szCs w:val="32"/>
          <w:lang w:eastAsia="zh-CN"/>
        </w:rPr>
        <w:t>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rPr>
        <w:t>939.21</w:t>
      </w:r>
      <w:r>
        <w:rPr>
          <w:rFonts w:hint="eastAsia" w:ascii="仿宋_GB2312" w:eastAsia="仿宋_GB2312"/>
          <w:sz w:val="32"/>
          <w:szCs w:val="32"/>
          <w:lang w:val="en-US" w:eastAsia="zh-CN"/>
        </w:rPr>
        <w:t>万元，机关运行经费</w:t>
      </w:r>
      <w:r>
        <w:rPr>
          <w:rFonts w:hint="eastAsia" w:ascii="仿宋_GB2312" w:eastAsia="仿宋_GB2312"/>
          <w:sz w:val="32"/>
          <w:szCs w:val="32"/>
        </w:rPr>
        <w:t>35.30万</w:t>
      </w:r>
      <w:r>
        <w:rPr>
          <w:rFonts w:hint="eastAsia" w:ascii="仿宋_GB2312" w:eastAsia="仿宋_GB2312"/>
          <w:sz w:val="32"/>
          <w:szCs w:val="32"/>
          <w:lang w:val="en-US" w:eastAsia="zh-CN"/>
        </w:rPr>
        <w:t>元。</w:t>
      </w:r>
    </w:p>
    <w:p w14:paraId="495AD726">
      <w:pPr>
        <w:keepNext w:val="0"/>
        <w:keepLines w:val="0"/>
        <w:pageBreakBefore w:val="0"/>
        <w:kinsoku/>
        <w:wordWrap/>
        <w:overflowPunct/>
        <w:topLinePunct w:val="0"/>
        <w:autoSpaceDE/>
        <w:autoSpaceDN/>
        <w:spacing w:line="560" w:lineRule="exact"/>
        <w:ind w:left="0" w:firstLine="640" w:firstLineChars="200"/>
        <w:rPr>
          <w:rFonts w:hint="eastAsia" w:ascii="仿宋_GB2312" w:eastAsia="仿宋_GB2312"/>
          <w:sz w:val="32"/>
          <w:szCs w:val="32"/>
        </w:rPr>
      </w:pPr>
      <w:r>
        <w:rPr>
          <w:rFonts w:hint="eastAsia" w:ascii="仿宋_GB2312" w:eastAsia="仿宋_GB2312"/>
          <w:sz w:val="32"/>
          <w:szCs w:val="32"/>
        </w:rPr>
        <w:t>按支出功能分类主要用于以下方面:</w:t>
      </w:r>
    </w:p>
    <w:p w14:paraId="4EFD743B">
      <w:pPr>
        <w:keepNext w:val="0"/>
        <w:keepLines w:val="0"/>
        <w:pageBreakBefore w:val="0"/>
        <w:kinsoku/>
        <w:wordWrap/>
        <w:overflowPunct/>
        <w:topLinePunct w:val="0"/>
        <w:autoSpaceDE/>
        <w:autoSpaceDN/>
        <w:spacing w:line="560" w:lineRule="exact"/>
        <w:ind w:left="0" w:firstLine="640" w:firstLineChars="200"/>
        <w:rPr>
          <w:rFonts w:hint="eastAsia" w:ascii="仿宋_GB2312" w:eastAsia="仿宋_GB2312"/>
          <w:sz w:val="32"/>
          <w:szCs w:val="32"/>
        </w:rPr>
      </w:pPr>
      <w:r>
        <w:rPr>
          <w:rFonts w:hint="eastAsia" w:ascii="仿宋_GB2312" w:eastAsia="仿宋_GB2312"/>
          <w:sz w:val="32"/>
          <w:szCs w:val="32"/>
        </w:rPr>
        <w:t>（一）社会保障和就业136.08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1997E4DE">
      <w:pPr>
        <w:keepNext w:val="0"/>
        <w:keepLines w:val="0"/>
        <w:pageBreakBefore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0</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3974BB00">
      <w:pPr>
        <w:keepNext w:val="0"/>
        <w:keepLines w:val="0"/>
        <w:pageBreakBefore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（四）住房保障支出187.20</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2B8EE85E">
      <w:pPr>
        <w:keepNext w:val="0"/>
        <w:keepLines w:val="0"/>
        <w:pageBreakBefore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（五）（其他科目支出主要用途）</w:t>
      </w:r>
    </w:p>
    <w:p w14:paraId="06D7D40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right="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rPr>
        <w:t xml:space="preserve"> 五、较上年度增减变化 </w:t>
      </w:r>
    </w:p>
    <w:p w14:paraId="5EC3B05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right="0" w:firstLine="480"/>
        <w:jc w:val="left"/>
        <w:textAlignment w:val="auto"/>
        <w:rPr>
          <w:rFonts w:ascii="仿宋_GB2312" w:hAnsi="仿宋_GB2312" w:eastAsia="仿宋_GB2312" w:cs="仿宋_GB2312"/>
          <w:kern w:val="2"/>
          <w:sz w:val="32"/>
          <w:szCs w:val="32"/>
          <w:lang w:val="en-US" w:eastAsia="zh-CN"/>
        </w:rPr>
      </w:pPr>
      <w:r>
        <w:rPr>
          <w:rFonts w:ascii="仿宋_GB2312" w:hAnsi="仿宋_GB2312" w:eastAsia="仿宋_GB2312" w:cs="仿宋_GB2312"/>
          <w:kern w:val="2"/>
          <w:sz w:val="32"/>
          <w:szCs w:val="32"/>
        </w:rPr>
        <w:t>本单位本年度收入的年初预算数</w:t>
      </w:r>
      <w:r>
        <w:rPr>
          <w:rFonts w:hint="eastAsia" w:ascii="仿宋_GB2312" w:hAnsi="仿宋_GB2312" w:eastAsia="仿宋_GB2312" w:cs="仿宋_GB2312"/>
          <w:kern w:val="2"/>
          <w:sz w:val="32"/>
          <w:szCs w:val="32"/>
          <w:lang w:val="en-US" w:eastAsia="zh-CN"/>
        </w:rPr>
        <w:t>为41845.18万元，上年度收入的年初预算数为13509.38万元，差异为28335.8万元；主要原因为预算项目增加。本年度支出的年初预算数为41845.18万元，上年度支出的年初预算数为13509.38万元，差异为28335.8万元；主要原因为原因项目增加。</w:t>
      </w:r>
    </w:p>
    <w:p w14:paraId="41D3D34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right="0" w:firstLine="480"/>
        <w:jc w:val="left"/>
        <w:textAlignment w:val="auto"/>
        <w:rPr>
          <w:rFonts w:hint="eastAsia" w:ascii="黑体" w:hAnsi="黑体" w:eastAsia="黑体" w:cs="黑体"/>
          <w:color w:val="333333"/>
          <w:kern w:val="0"/>
          <w:sz w:val="32"/>
          <w:szCs w:val="32"/>
          <w:shd w:val="clear" w:color="auto" w:fill="FFFFFF"/>
          <w:lang w:val="en-US" w:eastAsia="zh-CN"/>
        </w:rPr>
      </w:pPr>
      <w:r>
        <w:rPr>
          <w:rFonts w:hint="eastAsia" w:ascii="黑体" w:hAnsi="黑体" w:eastAsia="黑体" w:cs="黑体"/>
          <w:color w:val="333333"/>
          <w:kern w:val="0"/>
          <w:sz w:val="32"/>
          <w:szCs w:val="32"/>
          <w:shd w:val="clear" w:color="auto" w:fill="FFFFFF"/>
          <w:lang w:val="en-US" w:eastAsia="zh-CN"/>
        </w:rPr>
        <w:t xml:space="preserve"> 六、“三公”经费预算 </w:t>
      </w:r>
    </w:p>
    <w:p w14:paraId="1308881D">
      <w:pPr>
        <w:keepNext w:val="0"/>
        <w:keepLines w:val="0"/>
        <w:pageBreakBefore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本年度三公经费预算安排支出为7.22万元，其中：出国费0万元，与上年持平，主要原因为未安排因公出国；公车购置费0元，与上年0持平0；公务用车维护费支出7.22万元，较上年度预算</w:t>
      </w:r>
      <w:r>
        <w:rPr>
          <w:rFonts w:ascii="仿宋_GB2312" w:eastAsia="仿宋_GB2312"/>
          <w:sz w:val="32"/>
          <w:szCs w:val="32"/>
          <w:lang w:val="en-US" w:eastAsia="zh-CN"/>
        </w:rPr>
        <w:t>7.22</w:t>
      </w:r>
      <w:r>
        <w:rPr>
          <w:rFonts w:hint="eastAsia" w:ascii="仿宋_GB2312" w:eastAsia="仿宋_GB2312"/>
          <w:sz w:val="32"/>
          <w:szCs w:val="32"/>
          <w:lang w:val="en-US" w:eastAsia="zh-CN"/>
        </w:rPr>
        <w:t>万元</w:t>
      </w:r>
      <w:r>
        <w:rPr>
          <w:rFonts w:ascii="仿宋_GB2312" w:eastAsia="仿宋_GB2312"/>
          <w:sz w:val="32"/>
          <w:szCs w:val="32"/>
          <w:lang w:val="en-US" w:eastAsia="zh-CN"/>
        </w:rPr>
        <w:t>持平</w:t>
      </w:r>
      <w:r>
        <w:rPr>
          <w:rFonts w:hint="eastAsia" w:ascii="仿宋_GB2312" w:eastAsia="仿宋_GB2312"/>
          <w:sz w:val="32"/>
          <w:szCs w:val="32"/>
          <w:lang w:val="en-US" w:eastAsia="zh-CN"/>
        </w:rPr>
        <w:t xml:space="preserve">，本年度我们将严格执行“八项规定、六项禁令”，结合本年度工作需要，减少不必要的开支。 </w:t>
      </w:r>
    </w:p>
    <w:p w14:paraId="5DB75AD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right="0" w:firstLine="480"/>
        <w:jc w:val="left"/>
        <w:textAlignment w:val="auto"/>
        <w:rPr>
          <w:rFonts w:hint="eastAsia" w:ascii="黑体" w:hAnsi="黑体" w:eastAsia="黑体" w:cs="黑体"/>
          <w:color w:val="333333"/>
          <w:kern w:val="0"/>
          <w:sz w:val="32"/>
          <w:szCs w:val="32"/>
          <w:shd w:val="clear" w:color="auto" w:fill="FFFFFF"/>
          <w:lang w:val="en-US" w:eastAsia="zh-CN"/>
        </w:rPr>
      </w:pPr>
      <w:r>
        <w:rPr>
          <w:rFonts w:hint="eastAsia" w:ascii="黑体" w:hAnsi="黑体" w:eastAsia="黑体" w:cs="黑体"/>
          <w:color w:val="333333"/>
          <w:kern w:val="0"/>
          <w:sz w:val="32"/>
          <w:szCs w:val="32"/>
          <w:shd w:val="clear" w:color="auto" w:fill="FFFFFF"/>
          <w:lang w:val="en-US" w:eastAsia="zh-CN"/>
        </w:rPr>
        <w:t xml:space="preserve"> 七、政府性基金预算收支情况说明</w:t>
      </w:r>
    </w:p>
    <w:p w14:paraId="576D3234">
      <w:pPr>
        <w:keepNext w:val="0"/>
        <w:keepLines w:val="0"/>
        <w:pageBreakBefore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w:t>
      </w:r>
      <w:r>
        <w:rPr>
          <w:rFonts w:ascii="仿宋_GB2312" w:eastAsia="仿宋_GB2312"/>
          <w:sz w:val="32"/>
          <w:szCs w:val="32"/>
          <w:lang w:val="en-US" w:eastAsia="zh-CN"/>
        </w:rPr>
        <w:t>6</w:t>
      </w:r>
      <w:r>
        <w:rPr>
          <w:rFonts w:hint="eastAsia" w:ascii="仿宋_GB2312" w:eastAsia="仿宋_GB2312"/>
          <w:sz w:val="32"/>
          <w:szCs w:val="32"/>
          <w:lang w:val="en-US" w:eastAsia="zh-CN"/>
        </w:rPr>
        <w:t>年</w:t>
      </w:r>
      <w:r>
        <w:rPr>
          <w:rFonts w:ascii="仿宋_GB2312" w:hAnsi="仿宋_GB2312" w:eastAsia="仿宋_GB2312" w:cs="仿宋_GB2312"/>
          <w:kern w:val="2"/>
          <w:sz w:val="32"/>
          <w:szCs w:val="32"/>
        </w:rPr>
        <w:t>政府性基金预算财政拨款收入为20434</w:t>
      </w:r>
      <w:r>
        <w:rPr>
          <w:rFonts w:hint="eastAsia" w:ascii="仿宋_GB2312" w:hAnsi="仿宋_GB2312" w:eastAsia="仿宋_GB2312" w:cs="仿宋_GB2312"/>
          <w:kern w:val="2"/>
          <w:sz w:val="32"/>
          <w:szCs w:val="32"/>
          <w:lang w:val="en-US" w:eastAsia="zh-CN"/>
        </w:rPr>
        <w:t>.</w:t>
      </w:r>
      <w:r>
        <w:rPr>
          <w:rFonts w:ascii="仿宋_GB2312" w:hAnsi="仿宋_GB2312" w:eastAsia="仿宋_GB2312" w:cs="仿宋_GB2312"/>
          <w:kern w:val="2"/>
          <w:sz w:val="32"/>
          <w:szCs w:val="32"/>
        </w:rPr>
        <w:t>28万元，支出20434</w:t>
      </w:r>
      <w:r>
        <w:rPr>
          <w:rFonts w:hint="eastAsia" w:ascii="仿宋_GB2312" w:hAnsi="仿宋_GB2312" w:eastAsia="仿宋_GB2312" w:cs="仿宋_GB2312"/>
          <w:kern w:val="2"/>
          <w:sz w:val="32"/>
          <w:szCs w:val="32"/>
          <w:lang w:val="en-US" w:eastAsia="zh-CN"/>
        </w:rPr>
        <w:t>.</w:t>
      </w:r>
      <w:r>
        <w:rPr>
          <w:rFonts w:ascii="仿宋_GB2312" w:hAnsi="仿宋_GB2312" w:eastAsia="仿宋_GB2312" w:cs="仿宋_GB2312"/>
          <w:kern w:val="2"/>
          <w:sz w:val="32"/>
          <w:szCs w:val="32"/>
        </w:rPr>
        <w:t>28万元，全部支出均为项目</w:t>
      </w:r>
      <w:r>
        <w:rPr>
          <w:rFonts w:hint="eastAsia" w:ascii="仿宋_GB2312" w:eastAsia="仿宋_GB2312"/>
          <w:sz w:val="32"/>
          <w:szCs w:val="32"/>
          <w:lang w:val="en-US" w:eastAsia="zh-CN"/>
        </w:rPr>
        <w:t>。</w:t>
      </w:r>
    </w:p>
    <w:p w14:paraId="3F5CEB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right="0"/>
        <w:jc w:val="left"/>
        <w:textAlignment w:val="auto"/>
        <w:rPr>
          <w:rFonts w:hint="eastAsia" w:ascii="黑体" w:hAnsi="黑体" w:eastAsia="黑体" w:cs="黑体"/>
          <w:color w:val="333333"/>
          <w:kern w:val="0"/>
          <w:sz w:val="32"/>
          <w:szCs w:val="32"/>
          <w:shd w:val="clear" w:color="auto" w:fill="FFFFFF"/>
          <w:lang w:val="en-US" w:eastAsia="zh-CN"/>
        </w:rPr>
      </w:pPr>
      <w:r>
        <w:rPr>
          <w:rFonts w:hint="eastAsia" w:ascii="黑体" w:hAnsi="黑体" w:eastAsia="黑体" w:cs="黑体"/>
          <w:color w:val="333333"/>
          <w:kern w:val="0"/>
          <w:sz w:val="32"/>
          <w:szCs w:val="32"/>
          <w:shd w:val="clear" w:color="auto" w:fill="FFFFFF"/>
          <w:lang w:val="en-US" w:eastAsia="zh-CN"/>
        </w:rPr>
        <w:t xml:space="preserve"> 八、国有资本经营预算收支情况说明</w:t>
      </w:r>
    </w:p>
    <w:p w14:paraId="309211C6">
      <w:pPr>
        <w:keepNext w:val="0"/>
        <w:keepLines w:val="0"/>
        <w:pageBreakBefore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2025年没有使用国有资本经营预算拨款安排的支出。</w:t>
      </w:r>
    </w:p>
    <w:p w14:paraId="3F78206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right="0"/>
        <w:jc w:val="left"/>
        <w:textAlignment w:val="auto"/>
        <w:rPr>
          <w:rFonts w:hint="eastAsia" w:ascii="黑体" w:hAnsi="黑体" w:eastAsia="黑体" w:cs="黑体"/>
          <w:color w:val="333333"/>
          <w:kern w:val="0"/>
          <w:sz w:val="32"/>
          <w:szCs w:val="32"/>
          <w:shd w:val="clear" w:color="auto" w:fill="FFFFFF"/>
          <w:lang w:val="en-US" w:eastAsia="zh-CN"/>
        </w:rPr>
      </w:pPr>
      <w:r>
        <w:rPr>
          <w:rFonts w:hint="eastAsia" w:ascii="黑体" w:hAnsi="黑体" w:eastAsia="黑体" w:cs="黑体"/>
          <w:color w:val="333333"/>
          <w:kern w:val="0"/>
          <w:sz w:val="32"/>
          <w:szCs w:val="32"/>
          <w:shd w:val="clear" w:color="auto" w:fill="FFFFFF"/>
          <w:lang w:val="en-US" w:eastAsia="zh-CN"/>
        </w:rPr>
        <w:t xml:space="preserve"> 九、其他重要事项的情况说明</w:t>
      </w:r>
    </w:p>
    <w:p w14:paraId="1B95F66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right="0" w:firstLine="480"/>
        <w:jc w:val="left"/>
        <w:textAlignment w:val="auto"/>
        <w:rPr>
          <w:rFonts w:hint="eastAsia" w:ascii="黑体" w:hAnsi="黑体" w:eastAsia="黑体" w:cs="黑体"/>
          <w:color w:val="333333"/>
          <w:kern w:val="0"/>
          <w:sz w:val="32"/>
          <w:szCs w:val="32"/>
          <w:shd w:val="clear" w:color="auto" w:fill="FFFFFF"/>
          <w:lang w:val="en-US" w:eastAsia="zh-CN"/>
        </w:rPr>
      </w:pPr>
      <w:r>
        <w:rPr>
          <w:rFonts w:hint="eastAsia" w:ascii="楷体_GB2312" w:hAnsi="楷体_GB2312" w:eastAsia="楷体_GB2312" w:cs="楷体_GB2312"/>
          <w:b/>
          <w:bCs/>
          <w:color w:val="333333"/>
          <w:kern w:val="0"/>
          <w:sz w:val="32"/>
          <w:szCs w:val="32"/>
          <w:shd w:val="clear" w:color="auto" w:fill="FFFFFF"/>
          <w:lang w:val="en-US" w:eastAsia="zh-CN"/>
        </w:rPr>
        <w:t xml:space="preserve"> （一）政府采购预算情况</w:t>
      </w:r>
      <w:r>
        <w:rPr>
          <w:rFonts w:hint="eastAsia" w:ascii="黑体" w:hAnsi="黑体" w:eastAsia="黑体" w:cs="黑体"/>
          <w:color w:val="333333"/>
          <w:kern w:val="0"/>
          <w:sz w:val="32"/>
          <w:szCs w:val="32"/>
          <w:shd w:val="clear" w:color="auto" w:fill="FFFFFF"/>
          <w:lang w:val="en-US" w:eastAsia="zh-CN"/>
        </w:rPr>
        <w:t xml:space="preserve"> </w:t>
      </w:r>
    </w:p>
    <w:p w14:paraId="2C35466A">
      <w:pPr>
        <w:keepNext w:val="0"/>
        <w:keepLines w:val="0"/>
        <w:pageBreakBefore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2025年度安排政府采购预算0万元。</w:t>
      </w:r>
    </w:p>
    <w:p w14:paraId="31192B9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right="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rPr>
        <w:t xml:space="preserve"> </w:t>
      </w:r>
    </w:p>
    <w:p w14:paraId="0A2D91B1">
      <w:pPr>
        <w:keepNext w:val="0"/>
        <w:keepLines w:val="0"/>
        <w:pageBreakBefore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w:t>
      </w:r>
      <w:r>
        <w:rPr>
          <w:rFonts w:ascii="仿宋_GB2312" w:eastAsia="仿宋_GB2312"/>
          <w:sz w:val="32"/>
          <w:szCs w:val="32"/>
          <w:lang w:val="en-US" w:eastAsia="zh-CN"/>
        </w:rPr>
        <w:t>5</w:t>
      </w:r>
      <w:r>
        <w:rPr>
          <w:rFonts w:hint="eastAsia" w:ascii="仿宋_GB2312" w:eastAsia="仿宋_GB2312"/>
          <w:sz w:val="32"/>
          <w:szCs w:val="32"/>
          <w:lang w:val="en-US" w:eastAsia="zh-CN"/>
        </w:rPr>
        <w:t>年底，实际共有固定资产价值114.3</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0</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114.3</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p>
    <w:p w14:paraId="28CEDB0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right="0"/>
        <w:jc w:val="left"/>
        <w:textAlignment w:val="auto"/>
        <w:rPr>
          <w:rFonts w:hint="eastAsia" w:ascii="楷体_GB2312" w:hAnsi="楷体_GB2312" w:eastAsia="楷体_GB2312" w:cs="楷体_GB2312"/>
          <w:b/>
          <w:bCs/>
          <w:color w:val="333333"/>
          <w:kern w:val="0"/>
          <w:sz w:val="32"/>
          <w:szCs w:val="32"/>
          <w:shd w:val="clear" w:color="auto" w:fill="FFFFFF"/>
          <w:lang w:val="en-US" w:eastAsia="zh-CN"/>
        </w:rPr>
      </w:pPr>
      <w:r>
        <w:rPr>
          <w:rFonts w:hint="eastAsia" w:ascii="楷体_GB2312" w:hAnsi="楷体_GB2312" w:eastAsia="楷体_GB2312" w:cs="楷体_GB2312"/>
          <w:b/>
          <w:bCs/>
          <w:color w:val="333333"/>
          <w:kern w:val="0"/>
          <w:sz w:val="32"/>
          <w:szCs w:val="32"/>
          <w:shd w:val="clear" w:color="auto" w:fill="FFFFFF"/>
          <w:lang w:val="en-US" w:eastAsia="zh-CN"/>
        </w:rPr>
        <w:t xml:space="preserve"> （三）绩效目标设置情况</w:t>
      </w:r>
    </w:p>
    <w:p w14:paraId="14F7DDCB">
      <w:pPr>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绩效目标是预算编制的前提和基础，按照“费随事定”的原则，2025年我单位项目支出按要求编制了绩效目标，从项目完成、项目效益、满意度。</w:t>
      </w:r>
    </w:p>
    <w:p w14:paraId="5F955F59">
      <w:pPr>
        <w:keepNext w:val="0"/>
        <w:keepLines w:val="0"/>
        <w:pageBreakBefore w:val="0"/>
        <w:kinsoku/>
        <w:wordWrap/>
        <w:overflowPunct/>
        <w:topLinePunct w:val="0"/>
        <w:autoSpaceDE/>
        <w:autoSpaceDN/>
        <w:bidi w:val="0"/>
        <w:spacing w:line="560" w:lineRule="exact"/>
        <w:ind w:left="0" w:right="0"/>
        <w:textAlignment w:val="auto"/>
        <w:rPr>
          <w:rFonts w:hint="eastAsia" w:ascii="黑体" w:hAnsi="黑体" w:eastAsia="黑体" w:cs="黑体"/>
          <w:color w:val="333333"/>
          <w:kern w:val="0"/>
          <w:sz w:val="32"/>
          <w:szCs w:val="32"/>
          <w:shd w:val="clear" w:color="auto" w:fill="FFFFFF"/>
          <w:lang w:val="en-US" w:eastAsia="zh-CN"/>
        </w:rPr>
      </w:pPr>
      <w:r>
        <w:rPr>
          <w:rFonts w:hint="eastAsia" w:ascii="黑体" w:hAnsi="黑体" w:eastAsia="黑体" w:cs="黑体"/>
          <w:color w:val="333333"/>
          <w:kern w:val="0"/>
          <w:sz w:val="32"/>
          <w:szCs w:val="32"/>
          <w:shd w:val="clear" w:color="auto" w:fill="FFFFFF"/>
          <w:lang w:val="en-US" w:eastAsia="zh-CN"/>
        </w:rPr>
        <w:t xml:space="preserve">    十、名词解释 </w:t>
      </w:r>
    </w:p>
    <w:p w14:paraId="143CE04F">
      <w:pPr>
        <w:keepNext w:val="0"/>
        <w:keepLines w:val="0"/>
        <w:pageBreakBefore w:val="0"/>
        <w:kinsoku/>
        <w:wordWrap/>
        <w:overflowPunct/>
        <w:topLinePunct w:val="0"/>
        <w:autoSpaceDE/>
        <w:autoSpaceDN/>
        <w:bidi w:val="0"/>
        <w:spacing w:line="560" w:lineRule="exact"/>
        <w:ind w:left="0" w:right="0"/>
        <w:textAlignment w:val="auto"/>
        <w:rPr>
          <w:rFonts w:hint="eastAsia" w:ascii="仿宋_GB2312" w:eastAsia="仿宋_GB2312"/>
          <w:sz w:val="32"/>
          <w:szCs w:val="32"/>
          <w:lang w:val="en-US" w:eastAsia="zh-CN"/>
        </w:rPr>
      </w:pP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p>
    <w:p w14:paraId="72E63B06">
      <w:pPr>
        <w:keepNext w:val="0"/>
        <w:keepLines w:val="0"/>
        <w:pageBreakBefore w:val="0"/>
        <w:kinsoku/>
        <w:wordWrap/>
        <w:overflowPunct/>
        <w:topLinePunct w:val="0"/>
        <w:autoSpaceDE/>
        <w:autoSpaceDN/>
        <w:bidi w:val="0"/>
        <w:spacing w:line="560" w:lineRule="exact"/>
        <w:ind w:left="0" w:right="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2.其他收入：指除上述财政部门拨付单位以外的收入。</w:t>
      </w:r>
    </w:p>
    <w:p w14:paraId="404B4B65">
      <w:pPr>
        <w:keepNext w:val="0"/>
        <w:keepLines w:val="0"/>
        <w:pageBreakBefore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p>
    <w:p w14:paraId="0107B32D">
      <w:pPr>
        <w:keepNext w:val="0"/>
        <w:keepLines w:val="0"/>
        <w:pageBreakBefore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4.项目支出：指在基本支出之外为完成特定行政任务和事业发展目标所发生的支出。 </w:t>
      </w:r>
    </w:p>
    <w:p w14:paraId="202A2B40">
      <w:pPr>
        <w:keepNext w:val="0"/>
        <w:keepLines w:val="0"/>
        <w:pageBreakBefore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14:paraId="353919C9">
      <w:pPr>
        <w:keepNext w:val="0"/>
        <w:keepLines w:val="0"/>
        <w:pageBreakBefore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p>
    <w:p w14:paraId="3DF3A43D">
      <w:pPr>
        <w:keepNext w:val="0"/>
        <w:keepLines w:val="0"/>
        <w:pageBreakBefore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6603290E">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76325095">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733C2A2B">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08616E55">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546260DD">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7A5BAB42">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2B62B6B9">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4E65362B">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5B3BF35A">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0511C64C">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39353485">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26062D4A">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表13.部门项目支出绩效目标表（2024年度）</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altName w:val="Lucida Sans Unicode"/>
    <w:panose1 w:val="020B0602030504020204"/>
    <w:charset w:val="00"/>
    <w:family w:val="auto"/>
    <w:pitch w:val="default"/>
    <w:sig w:usb0="00000000" w:usb1="00000000" w:usb2="00000000" w:usb3="00000000" w:csb0="200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4970A">
    <w:pPr>
      <w:pStyle w:val="7"/>
      <w:framePr w:wrap="around" w:vAnchor="text" w:hAnchor="margin" w:xAlign="center" w:y="1"/>
      <w:rPr>
        <w:rStyle w:val="13"/>
      </w:rPr>
    </w:pPr>
    <w:r>
      <w:rPr>
        <w:rStyle w:val="13"/>
      </w:rPr>
      <w:fldChar w:fldCharType="begin"/>
    </w:r>
    <w:r>
      <w:rPr>
        <w:rStyle w:val="13"/>
      </w:rPr>
      <w:instrText xml:space="preserve">PAGE  </w:instrText>
    </w:r>
    <w:r>
      <w:fldChar w:fldCharType="separate"/>
    </w:r>
    <w:r>
      <w:rPr>
        <w:rStyle w:val="13"/>
      </w:rPr>
      <w:t>2</w:t>
    </w:r>
    <w:r>
      <w:fldChar w:fldCharType="end"/>
    </w:r>
  </w:p>
  <w:p w14:paraId="2851F8AF">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86634">
    <w:pPr>
      <w:pStyle w:val="7"/>
      <w:framePr w:wrap="around" w:vAnchor="text" w:hAnchor="margin" w:xAlign="center" w:y="1"/>
      <w:rPr>
        <w:rStyle w:val="13"/>
      </w:rPr>
    </w:pPr>
    <w:r>
      <w:rPr>
        <w:rStyle w:val="13"/>
      </w:rPr>
      <w:fldChar w:fldCharType="begin"/>
    </w:r>
    <w:r>
      <w:rPr>
        <w:rStyle w:val="13"/>
      </w:rPr>
      <w:instrText xml:space="preserve">PAGE  </w:instrText>
    </w:r>
    <w:r>
      <w:fldChar w:fldCharType="separate"/>
    </w:r>
    <w:r>
      <w:t xml:space="preserve"> </w:t>
    </w:r>
    <w:r>
      <w:fldChar w:fldCharType="end"/>
    </w:r>
  </w:p>
  <w:p w14:paraId="6D943FEE">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4"/>
  </w:compat>
  <w:docVars>
    <w:docVar w:name="commondata" w:val="eyJoZGlkIjoiNzlmMWZiMzllZTQ2M2Q5YmFjYTE1NDIxNjkzNTc1MDAifQ=="/>
  </w:docVars>
  <w:rsids>
    <w:rsidRoot w:val="00000000"/>
    <w:rsid w:val="46FC1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4"/>
      <w:lang w:val="en-US" w:eastAsia="zh-CN" w:bidi="ar-SA"/>
    </w:rPr>
  </w:style>
  <w:style w:type="paragraph" w:styleId="3">
    <w:name w:val="heading 1"/>
    <w:basedOn w:val="1"/>
    <w:next w:val="1"/>
    <w:link w:val="16"/>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17"/>
    <w:qFormat/>
    <w:uiPriority w:val="0"/>
    <w:pPr>
      <w:wordWrap w:val="0"/>
      <w:spacing w:after="160"/>
      <w:outlineLvl w:val="1"/>
    </w:pPr>
  </w:style>
  <w:style w:type="paragraph" w:styleId="4">
    <w:name w:val="heading 3"/>
    <w:basedOn w:val="1"/>
    <w:next w:val="1"/>
    <w:link w:val="18"/>
    <w:qFormat/>
    <w:uiPriority w:val="0"/>
    <w:pPr>
      <w:keepNext/>
      <w:keepLines/>
      <w:spacing w:before="260" w:after="260" w:line="415" w:lineRule="auto"/>
      <w:outlineLvl w:val="2"/>
    </w:pPr>
    <w:rPr>
      <w:b/>
      <w:bCs/>
      <w:sz w:val="32"/>
      <w:szCs w:val="32"/>
    </w:rPr>
  </w:style>
  <w:style w:type="character" w:default="1" w:styleId="12">
    <w:name w:val="Default Paragraph Font"/>
    <w:qFormat/>
    <w:uiPriority w:val="0"/>
  </w:style>
  <w:style w:type="table" w:default="1" w:styleId="11">
    <w:name w:val="Normal Table"/>
    <w:semiHidden/>
    <w:uiPriority w:val="0"/>
    <w:tblPr>
      <w:tblCellMar>
        <w:top w:w="0" w:type="dxa"/>
        <w:left w:w="108" w:type="dxa"/>
        <w:bottom w:w="0" w:type="dxa"/>
        <w:right w:w="108" w:type="dxa"/>
      </w:tblCellMar>
    </w:tblPr>
  </w:style>
  <w:style w:type="paragraph" w:styleId="5">
    <w:name w:val="Body Text"/>
    <w:basedOn w:val="1"/>
    <w:next w:val="1"/>
    <w:qFormat/>
    <w:uiPriority w:val="0"/>
    <w:pPr>
      <w:spacing w:before="30" w:beforeLines="30"/>
    </w:pPr>
    <w:rPr>
      <w:rFonts w:ascii="仿宋_GB2312" w:eastAsia="仿宋_GB2312"/>
      <w:sz w:val="30"/>
    </w:rPr>
  </w:style>
  <w:style w:type="paragraph" w:styleId="6">
    <w:name w:val="Body Text Indent"/>
    <w:basedOn w:val="1"/>
    <w:qFormat/>
    <w:uiPriority w:val="0"/>
    <w:pPr>
      <w:spacing w:after="120"/>
      <w:ind w:left="42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pPr>
  </w:style>
  <w:style w:type="paragraph" w:styleId="10">
    <w:name w:val="Body Text First Indent 2"/>
    <w:basedOn w:val="6"/>
    <w:next w:val="1"/>
    <w:qFormat/>
    <w:uiPriority w:val="0"/>
    <w:pPr>
      <w:spacing w:line="560" w:lineRule="atLeast"/>
      <w:ind w:firstLine="200" w:firstLineChars="200"/>
    </w:pPr>
    <w:rPr>
      <w:rFonts w:ascii="仿宋_GB2312" w:hAnsi="仿宋_GB2312"/>
      <w:sz w:val="32"/>
    </w:rPr>
  </w:style>
  <w:style w:type="character" w:styleId="13">
    <w:name w:val="page number"/>
    <w:basedOn w:val="12"/>
    <w:qFormat/>
    <w:uiPriority w:val="0"/>
  </w:style>
  <w:style w:type="character" w:styleId="14">
    <w:name w:val="line number"/>
    <w:basedOn w:val="12"/>
    <w:qFormat/>
    <w:uiPriority w:val="0"/>
    <w:rPr>
      <w:sz w:val="22"/>
    </w:rPr>
  </w:style>
  <w:style w:type="character" w:styleId="15">
    <w:name w:val="Hyperlink"/>
    <w:qFormat/>
    <w:uiPriority w:val="0"/>
    <w:rPr>
      <w:sz w:val="22"/>
    </w:rPr>
  </w:style>
  <w:style w:type="character" w:customStyle="1" w:styleId="16">
    <w:name w:val="heading 1 Char"/>
    <w:basedOn w:val="12"/>
    <w:link w:val="3"/>
    <w:qFormat/>
    <w:uiPriority w:val="0"/>
    <w:rPr>
      <w:rFonts w:ascii="Calibri" w:hAnsi="Calibri" w:eastAsia="宋体" w:cs="Arial"/>
      <w:b/>
      <w:bCs/>
      <w:kern w:val="44"/>
      <w:sz w:val="44"/>
      <w:szCs w:val="44"/>
      <w:lang w:val="en-US" w:eastAsia="zh-CN" w:bidi="ar-SA"/>
    </w:rPr>
  </w:style>
  <w:style w:type="character" w:customStyle="1" w:styleId="17">
    <w:name w:val="heading 2 Char"/>
    <w:basedOn w:val="12"/>
    <w:link w:val="2"/>
    <w:uiPriority w:val="0"/>
    <w:rPr>
      <w:rFonts w:ascii="Calibri" w:hAnsi="Calibri" w:eastAsia="宋体" w:cs="Arial"/>
      <w:kern w:val="2"/>
      <w:sz w:val="21"/>
      <w:szCs w:val="24"/>
      <w:lang w:val="en-US" w:eastAsia="zh-CN" w:bidi="ar-SA"/>
    </w:rPr>
  </w:style>
  <w:style w:type="character" w:customStyle="1" w:styleId="18">
    <w:name w:val="heading 3 Char"/>
    <w:basedOn w:val="12"/>
    <w:link w:val="4"/>
    <w:uiPriority w:val="0"/>
    <w:rPr>
      <w:rFonts w:ascii="Calibri" w:hAnsi="Calibri" w:eastAsia="宋体" w:cs="Arial"/>
      <w:b/>
      <w:bCs/>
      <w:kern w:val="2"/>
      <w:sz w:val="32"/>
      <w:szCs w:val="32"/>
      <w:lang w:val="en-US" w:eastAsia="zh-CN" w:bidi="ar-SA"/>
    </w:rPr>
  </w:style>
  <w:style w:type="paragraph" w:customStyle="1" w:styleId="19">
    <w:name w:val="Body Text Indent 2_2f75ddf9-7586-465d-b894-cacca03ef0a7"/>
    <w:basedOn w:val="1"/>
    <w:qFormat/>
    <w:uiPriority w:val="0"/>
    <w:pPr>
      <w:spacing w:line="19997" w:lineRule="auto"/>
      <w:ind w:left="200" w:left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customProps>
</customData>
</file>

<file path=customXml/itemProps1.xml><?xml version="1.0" encoding="utf-8"?>
<ds:datastoreItem xmlns:ds="http://schemas.openxmlformats.org/officeDocument/2006/customXml" ds:itemID="{B522F4EC-3E76-40A3-A5BA-52AE9A55A3CE}">
  <ds:schemaRefs/>
</ds:datastoreItem>
</file>

<file path=docProps/app.xml><?xml version="1.0" encoding="utf-8"?>
<Properties xmlns="http://schemas.openxmlformats.org/officeDocument/2006/extended-properties" xmlns:vt="http://schemas.openxmlformats.org/officeDocument/2006/docPropsVTypes">
  <Template>Normal.eit</Template>
  <Pages>11</Pages>
  <Words>5400</Words>
  <Characters>5744</Characters>
  <Lines>0</Lines>
  <Paragraphs>64</Paragraphs>
  <TotalTime>0</TotalTime>
  <ScaleCrop>false</ScaleCrop>
  <LinksUpToDate>false</LinksUpToDate>
  <CharactersWithSpaces>5790</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2018-01-31T15:35:00Z</dcterms:created>
  <dc:creator>Administrator</dc:creator>
  <cp:lastModifiedBy>Keitha</cp:lastModifiedBy>
  <dcterms:modified xsi:type="dcterms:W3CDTF">2026-02-10T01:52:19Z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277AC872B15CBB8A19125568C4D3E84F</vt:lpwstr>
  </property>
  <property fmtid="{D5CDD505-2E9C-101B-9397-08002B2CF9AE}" pid="4" name="KSOTemplateDocerSaveRecord">
    <vt:lpwstr>eyJoZGlkIjoiZWFjOWZmMTA3MDRjYjdkOTQzODJjOWI0ZTg3ZmJjYjEiLCJ1c2VySWQiOiI2ODEzOTkxODkifQ==</vt:lpwstr>
  </property>
</Properties>
</file>