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91F0B">
      <w:pPr>
        <w:ind w:firstLine="420" w:firstLineChars="0"/>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红原县</w:t>
      </w:r>
      <w:r>
        <w:rPr>
          <w:rFonts w:hint="eastAsia" w:asciiTheme="majorEastAsia" w:hAnsiTheme="majorEastAsia" w:eastAsiaTheme="majorEastAsia" w:cstheme="majorEastAsia"/>
          <w:sz w:val="44"/>
          <w:szCs w:val="44"/>
          <w:lang w:eastAsia="zh-CN"/>
        </w:rPr>
        <w:t>供销合作社联合社</w:t>
      </w:r>
    </w:p>
    <w:p w14:paraId="04FB5B1C">
      <w:pPr>
        <w:ind w:firstLine="420" w:firstLineChars="0"/>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202</w:t>
      </w:r>
      <w:r>
        <w:rPr>
          <w:rFonts w:hint="eastAsia" w:asciiTheme="majorEastAsia" w:hAnsiTheme="majorEastAsia" w:eastAsiaTheme="majorEastAsia" w:cstheme="majorEastAsia"/>
          <w:sz w:val="44"/>
          <w:szCs w:val="44"/>
          <w:lang w:val="en-US" w:eastAsia="zh-CN"/>
        </w:rPr>
        <w:t>6</w:t>
      </w:r>
      <w:r>
        <w:rPr>
          <w:rFonts w:hint="eastAsia" w:asciiTheme="majorEastAsia" w:hAnsiTheme="majorEastAsia" w:eastAsiaTheme="majorEastAsia" w:cstheme="majorEastAsia"/>
          <w:sz w:val="44"/>
          <w:szCs w:val="44"/>
        </w:rPr>
        <w:t>年部门预算</w:t>
      </w:r>
    </w:p>
    <w:p w14:paraId="45A9FB87">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firstLine="420" w:firstLineChars="0"/>
        <w:textAlignment w:val="auto"/>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 xml:space="preserve">    </w:t>
      </w:r>
    </w:p>
    <w:p w14:paraId="64A0D631">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1056" w:firstLineChars="330"/>
        <w:textAlignment w:val="auto"/>
        <w:rPr>
          <w:rFonts w:hint="eastAsia" w:ascii="方正仿宋_GB2312" w:hAnsi="方正仿宋_GB2312" w:eastAsia="方正仿宋_GB2312" w:cs="方正仿宋_GB2312"/>
          <w:b/>
          <w:sz w:val="44"/>
          <w:szCs w:val="44"/>
        </w:rPr>
      </w:pPr>
      <w:r>
        <w:rPr>
          <w:rFonts w:hint="eastAsia" w:ascii="方正仿宋_GB2312" w:hAnsi="方正仿宋_GB2312" w:eastAsia="方正仿宋_GB2312" w:cs="方正仿宋_GB2312"/>
          <w:sz w:val="32"/>
          <w:szCs w:val="32"/>
        </w:rPr>
        <w:t>按照预算管理有关规定，目前部门预算的编制实行综合预算制度，即全部收入和支出都反映在预算中。</w:t>
      </w:r>
    </w:p>
    <w:p w14:paraId="574C7FFE">
      <w:pPr>
        <w:keepNext w:val="0"/>
        <w:keepLines w:val="0"/>
        <w:pageBreakBefore w:val="0"/>
        <w:kinsoku/>
        <w:wordWrap/>
        <w:overflowPunct/>
        <w:topLinePunct w:val="0"/>
        <w:autoSpaceDE/>
        <w:autoSpaceDN/>
        <w:bidi w:val="0"/>
        <w:spacing w:line="560" w:lineRule="exact"/>
        <w:ind w:left="0" w:leftChars="0" w:right="0" w:rightChars="0" w:firstLine="1056" w:firstLineChars="330"/>
        <w:textAlignment w:val="auto"/>
        <w:rPr>
          <w:rFonts w:hint="eastAsia" w:ascii="黑体" w:eastAsia="黑体"/>
          <w:sz w:val="32"/>
          <w:szCs w:val="32"/>
        </w:rPr>
      </w:pPr>
      <w:r>
        <w:rPr>
          <w:rFonts w:hint="eastAsia" w:ascii="黑体" w:eastAsia="黑体"/>
          <w:sz w:val="32"/>
          <w:szCs w:val="32"/>
        </w:rPr>
        <w:t>一、基本职能及主要工作</w:t>
      </w:r>
    </w:p>
    <w:p w14:paraId="2FD16550">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1092" w:firstLineChars="340"/>
        <w:textAlignment w:val="auto"/>
        <w:rPr>
          <w:rFonts w:ascii="楷体" w:eastAsia="楷体"/>
          <w:sz w:val="32"/>
          <w:szCs w:val="32"/>
        </w:rPr>
      </w:pPr>
      <w:r>
        <w:rPr>
          <w:rFonts w:hint="eastAsia" w:ascii="楷体_GB2312" w:hAnsi="楷体_GB2312" w:eastAsia="楷体_GB2312" w:cs="楷体_GB2312"/>
          <w:b/>
          <w:bCs w:val="0"/>
          <w:sz w:val="32"/>
          <w:szCs w:val="32"/>
          <w:lang w:eastAsia="zh-CN"/>
        </w:rPr>
        <w:t>（一）基本职能</w:t>
      </w:r>
    </w:p>
    <w:p w14:paraId="421F666F">
      <w:pPr>
        <w:pStyle w:val="7"/>
        <w:spacing w:before="0" w:line="560" w:lineRule="exact"/>
        <w:ind w:firstLine="1043" w:firstLineChars="326"/>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 xml:space="preserve">红原县供销合作社联合社是全县供销合作社的管理机关，是县人民政府的重要涉农部门，主要职责是： </w:t>
      </w:r>
    </w:p>
    <w:p w14:paraId="0BFF2B50">
      <w:pPr>
        <w:pStyle w:val="7"/>
        <w:numPr>
          <w:ilvl w:val="0"/>
          <w:numId w:val="0"/>
        </w:numPr>
        <w:spacing w:before="0" w:line="560" w:lineRule="exact"/>
        <w:ind w:firstLine="1056" w:firstLineChars="330"/>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（1）宣传、贯彻执行中央、省、州、县委、县政府</w:t>
      </w:r>
      <w:bookmarkStart w:id="0" w:name="_GoBack"/>
      <w:bookmarkEnd w:id="0"/>
      <w:r>
        <w:rPr>
          <w:rFonts w:hint="eastAsia" w:ascii="方正仿宋_GB2312" w:hAnsi="方正仿宋_GB2312" w:eastAsia="方正仿宋_GB2312" w:cs="方正仿宋_GB2312"/>
          <w:kern w:val="2"/>
          <w:sz w:val="32"/>
          <w:szCs w:val="32"/>
          <w:lang w:val="en-US" w:eastAsia="zh-CN" w:bidi="ar-SA"/>
        </w:rPr>
        <w:t xml:space="preserve">关于农村经济工作和社会发展的方针、政策，研究制定全县供销社的发展战略和发展规划，参与有关政策的制定，对成员进行指导、协调、监督、服务。 </w:t>
      </w:r>
    </w:p>
    <w:p w14:paraId="6CFEC012">
      <w:pPr>
        <w:pStyle w:val="7"/>
        <w:spacing w:before="0" w:line="560" w:lineRule="exact"/>
        <w:ind w:firstLine="1056" w:firstLineChars="330"/>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 xml:space="preserve">（2）对重要的农业生产生活资料，农副产品的经营进行组织、协调、管理，负责边销茶、烟花爆竹和废旧物资再生资源的监督管理。 </w:t>
      </w:r>
    </w:p>
    <w:p w14:paraId="5AE1108A">
      <w:pPr>
        <w:pStyle w:val="7"/>
        <w:spacing w:before="0" w:line="560" w:lineRule="exact"/>
        <w:ind w:firstLine="1056" w:firstLineChars="330"/>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 xml:space="preserve">（3）建立和完善农业社会化服务体系，参与和推动农业产业化进程，做好农业、农村、农民服务的工作，促进农村经济发展。 </w:t>
      </w:r>
    </w:p>
    <w:p w14:paraId="356AE851">
      <w:pPr>
        <w:pStyle w:val="7"/>
        <w:spacing w:before="0" w:line="560" w:lineRule="exact"/>
        <w:ind w:firstLine="1056" w:firstLineChars="330"/>
        <w:rPr>
          <w:rFonts w:hint="eastAsia" w:ascii="方正仿宋_GB2312" w:hAnsi="方正仿宋_GB2312" w:eastAsia="方正仿宋_GB2312" w:cs="方正仿宋_GB2312"/>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 xml:space="preserve">（4）参与和推动农业产业化经营。指导农村各类专业合作社、社区综合服务社的建设，强化为农服务功能，在组织、管理、经营上实行开门、开放办社，指导农村合作经济健康发展。 </w:t>
      </w:r>
    </w:p>
    <w:p w14:paraId="2161D677">
      <w:pPr>
        <w:pStyle w:val="7"/>
        <w:spacing w:before="0" w:line="560" w:lineRule="exact"/>
        <w:ind w:firstLine="1056" w:firstLineChars="330"/>
        <w:rPr>
          <w:rFonts w:hint="default" w:ascii="Times New Roman" w:hAnsi="Times New Roman" w:eastAsia="方正仿宋_GB2312" w:cs="Times New Roman"/>
          <w:kern w:val="2"/>
          <w:sz w:val="32"/>
          <w:szCs w:val="32"/>
          <w:lang w:val="en-US" w:eastAsia="zh-CN" w:bidi="ar-SA"/>
        </w:rPr>
      </w:pPr>
      <w:r>
        <w:rPr>
          <w:rFonts w:hint="eastAsia" w:ascii="方正仿宋_GB2312" w:hAnsi="方正仿宋_GB2312" w:eastAsia="方正仿宋_GB2312" w:cs="方正仿宋_GB2312"/>
          <w:kern w:val="2"/>
          <w:sz w:val="32"/>
          <w:szCs w:val="32"/>
          <w:lang w:val="en-US" w:eastAsia="zh-CN" w:bidi="ar-SA"/>
        </w:rPr>
        <w:t>（5）发挥供销社与农民联系的桥梁与纽带</w:t>
      </w:r>
      <w:r>
        <w:rPr>
          <w:rFonts w:hint="default" w:ascii="Times New Roman" w:hAnsi="Times New Roman" w:eastAsia="方正仿宋_GB2312" w:cs="Times New Roman"/>
          <w:kern w:val="2"/>
          <w:sz w:val="32"/>
          <w:szCs w:val="32"/>
          <w:lang w:val="en-US" w:eastAsia="zh-CN" w:bidi="ar-SA"/>
        </w:rPr>
        <w:t>作用，协调农民社员及供销合作社与政府有关部门及其他社会组织的关系，维护各级供销合作社的权益。</w:t>
      </w:r>
    </w:p>
    <w:p w14:paraId="48D2F586">
      <w:pPr>
        <w:pStyle w:val="7"/>
        <w:spacing w:before="0" w:line="560" w:lineRule="exact"/>
        <w:ind w:firstLine="1056" w:firstLineChars="330"/>
        <w:rPr>
          <w:rFonts w:hint="default" w:ascii="Times New Roman" w:hAnsi="Times New Roman" w:eastAsia="方正仿宋_GB2312" w:cs="Times New Roman"/>
          <w:kern w:val="2"/>
          <w:sz w:val="32"/>
          <w:szCs w:val="32"/>
          <w:lang w:val="en-US" w:eastAsia="zh-CN" w:bidi="ar-SA"/>
        </w:rPr>
      </w:pPr>
      <w:r>
        <w:rPr>
          <w:rFonts w:hint="default" w:ascii="Times New Roman" w:hAnsi="Times New Roman" w:eastAsia="方正仿宋_GB2312" w:cs="Times New Roman"/>
          <w:kern w:val="2"/>
          <w:sz w:val="32"/>
          <w:szCs w:val="32"/>
          <w:lang w:val="en-US" w:eastAsia="zh-CN" w:bidi="ar-SA"/>
        </w:rPr>
        <w:t xml:space="preserve">（6）履行现有资产的所有权代表职责，强化社有资产的管理、监督，确保社有资产保值增值。 </w:t>
      </w:r>
    </w:p>
    <w:p w14:paraId="2A2E1142">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1088" w:firstLineChars="340"/>
        <w:textAlignment w:val="auto"/>
        <w:rPr>
          <w:rFonts w:hint="eastAsia"/>
          <w:bCs/>
          <w:sz w:val="32"/>
          <w:szCs w:val="32"/>
          <w:lang w:eastAsia="zh-CN"/>
        </w:rPr>
      </w:pPr>
      <w:r>
        <w:rPr>
          <w:rFonts w:hint="default" w:ascii="Times New Roman" w:hAnsi="Times New Roman" w:eastAsia="方正仿宋_GB2312" w:cs="Times New Roman"/>
          <w:kern w:val="2"/>
          <w:sz w:val="32"/>
          <w:szCs w:val="32"/>
          <w:lang w:val="en-US" w:eastAsia="zh-CN" w:bidi="ar-SA"/>
        </w:rPr>
        <w:t>（7）承办县委</w:t>
      </w:r>
      <w:r>
        <w:rPr>
          <w:rFonts w:hint="eastAsia" w:ascii="Times New Roman" w:hAnsi="Times New Roman" w:eastAsia="方正仿宋_GB2312" w:cs="Times New Roman"/>
          <w:kern w:val="2"/>
          <w:sz w:val="32"/>
          <w:szCs w:val="32"/>
          <w:lang w:val="en-US" w:eastAsia="zh-CN" w:bidi="ar-SA"/>
        </w:rPr>
        <w:t>县</w:t>
      </w:r>
      <w:r>
        <w:rPr>
          <w:rFonts w:hint="default" w:ascii="Times New Roman" w:hAnsi="Times New Roman" w:eastAsia="方正仿宋_GB2312" w:cs="Times New Roman"/>
          <w:kern w:val="2"/>
          <w:sz w:val="32"/>
          <w:szCs w:val="32"/>
          <w:lang w:val="en-US" w:eastAsia="zh-CN" w:bidi="ar-SA"/>
        </w:rPr>
        <w:t>政府交办的其他事项。</w:t>
      </w:r>
    </w:p>
    <w:p w14:paraId="009D6676">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1092" w:firstLineChars="34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w:t>
      </w:r>
      <w:r>
        <w:rPr>
          <w:rFonts w:hint="eastAsia" w:ascii="楷体_GB2312" w:hAnsi="楷体_GB2312" w:eastAsia="楷体_GB2312" w:cs="楷体_GB2312"/>
          <w:b/>
          <w:bCs w:val="0"/>
          <w:sz w:val="32"/>
          <w:szCs w:val="32"/>
          <w:lang w:val="en-US" w:eastAsia="zh-CN"/>
        </w:rPr>
        <w:t>2026</w:t>
      </w:r>
      <w:r>
        <w:rPr>
          <w:rFonts w:hint="eastAsia" w:ascii="楷体_GB2312" w:hAnsi="楷体_GB2312" w:eastAsia="楷体_GB2312" w:cs="楷体_GB2312"/>
          <w:b/>
          <w:bCs w:val="0"/>
          <w:sz w:val="32"/>
          <w:szCs w:val="32"/>
          <w:lang w:eastAsia="zh-CN"/>
        </w:rPr>
        <w:t>年重点工作任务</w:t>
      </w:r>
    </w:p>
    <w:p w14:paraId="22541272">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1060" w:firstLineChars="330"/>
        <w:jc w:val="both"/>
        <w:textAlignment w:val="auto"/>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b/>
          <w:bCs/>
          <w:sz w:val="32"/>
          <w:szCs w:val="32"/>
          <w:lang w:val="en-US" w:eastAsia="zh-CN"/>
        </w:rPr>
        <w:t>（1）</w:t>
      </w:r>
      <w:r>
        <w:rPr>
          <w:rFonts w:hint="default" w:ascii="Times New Roman" w:hAnsi="Times New Roman" w:eastAsia="方正仿宋_GB2312" w:cs="Times New Roman"/>
          <w:b/>
          <w:bCs/>
          <w:sz w:val="32"/>
          <w:szCs w:val="32"/>
          <w:lang w:val="en-US" w:eastAsia="zh-CN"/>
        </w:rPr>
        <w:t>推进城乡综合服务体系建设。</w:t>
      </w:r>
      <w:r>
        <w:rPr>
          <w:rFonts w:hint="default" w:ascii="Times New Roman" w:hAnsi="Times New Roman" w:eastAsia="方正仿宋_GB2312" w:cs="Times New Roman"/>
          <w:sz w:val="32"/>
          <w:szCs w:val="32"/>
          <w:lang w:val="en-US" w:eastAsia="zh-CN"/>
        </w:rPr>
        <w:t>着眼促进城乡融合发展，依托供销合作社系统基层网点，通过自建改造提升一批基层供销社。以中心乡镇为重点，培育建成一批辐射范围广、带动能力强、服务功能全、运作规范的基层示范社，继续提升基层社的为农服务能力，强化县乡供销社之间的联合合作，助推巩固</w:t>
      </w:r>
      <w:r>
        <w:rPr>
          <w:rFonts w:hint="eastAsia" w:ascii="Times New Roman" w:hAnsi="Times New Roman" w:eastAsia="方正仿宋_GB2312" w:cs="Times New Roman"/>
          <w:sz w:val="32"/>
          <w:szCs w:val="32"/>
          <w:lang w:val="en-US" w:eastAsia="zh-CN"/>
        </w:rPr>
        <w:t>拓展</w:t>
      </w:r>
      <w:r>
        <w:rPr>
          <w:rFonts w:hint="default" w:ascii="Times New Roman" w:hAnsi="Times New Roman" w:eastAsia="方正仿宋_GB2312" w:cs="Times New Roman"/>
          <w:sz w:val="32"/>
          <w:szCs w:val="32"/>
          <w:lang w:val="en-US" w:eastAsia="zh-CN"/>
        </w:rPr>
        <w:t>脱贫攻坚成果同乡村振兴有效衔接。</w:t>
      </w:r>
    </w:p>
    <w:p w14:paraId="2E524B46">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1060" w:firstLineChars="330"/>
        <w:jc w:val="both"/>
        <w:textAlignment w:val="auto"/>
        <w:rPr>
          <w:rFonts w:hint="default" w:ascii="Times New Roman" w:hAnsi="Times New Roman" w:eastAsia="方正仿宋_GB2312" w:cs="Times New Roman"/>
          <w:sz w:val="32"/>
          <w:szCs w:val="32"/>
        </w:rPr>
      </w:pPr>
      <w:r>
        <w:rPr>
          <w:rFonts w:hint="eastAsia" w:ascii="Times New Roman" w:hAnsi="Times New Roman" w:eastAsia="方正仿宋_GB2312" w:cs="Times New Roman"/>
          <w:b/>
          <w:bCs/>
          <w:sz w:val="32"/>
          <w:szCs w:val="32"/>
          <w:lang w:val="en-US" w:eastAsia="zh-CN"/>
        </w:rPr>
        <w:t>（2）</w:t>
      </w:r>
      <w:r>
        <w:rPr>
          <w:rFonts w:hint="default" w:ascii="Times New Roman" w:hAnsi="Times New Roman" w:eastAsia="方正仿宋_GB2312" w:cs="Times New Roman"/>
          <w:b/>
          <w:bCs/>
          <w:sz w:val="32"/>
          <w:szCs w:val="32"/>
          <w:lang w:val="en-US" w:eastAsia="zh-CN"/>
        </w:rPr>
        <w:t>提升社有企业支撑能力。一是</w:t>
      </w:r>
      <w:r>
        <w:rPr>
          <w:rFonts w:hint="default" w:ascii="Times New Roman" w:hAnsi="Times New Roman" w:eastAsia="方正仿宋_GB2312" w:cs="Times New Roman"/>
          <w:sz w:val="32"/>
          <w:szCs w:val="32"/>
          <w:lang w:val="en-US" w:eastAsia="zh-CN"/>
        </w:rPr>
        <w:t>健全</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三会</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制度，</w:t>
      </w:r>
      <w:r>
        <w:rPr>
          <w:rFonts w:hint="default" w:ascii="Times New Roman" w:hAnsi="Times New Roman" w:eastAsia="方正仿宋_GB2312" w:cs="Times New Roman"/>
          <w:sz w:val="32"/>
          <w:szCs w:val="32"/>
        </w:rPr>
        <w:t>加快发展壮大供销社社有企业</w:t>
      </w:r>
      <w:r>
        <w:rPr>
          <w:rFonts w:hint="default"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实行社、企分开</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理顺社企权责关系，落实社有企业经营自主权，确保社、企依法合规履责行权</w:t>
      </w:r>
      <w:r>
        <w:rPr>
          <w:rFonts w:hint="default" w:ascii="Times New Roman" w:hAnsi="Times New Roman" w:eastAsia="方正仿宋_GB2312" w:cs="Times New Roman"/>
          <w:sz w:val="32"/>
          <w:szCs w:val="32"/>
          <w:lang w:eastAsia="zh-CN"/>
        </w:rPr>
        <w:t>。</w:t>
      </w:r>
      <w:r>
        <w:rPr>
          <w:rFonts w:hint="default" w:ascii="Times New Roman" w:hAnsi="Times New Roman" w:eastAsia="方正仿宋_GB2312" w:cs="Times New Roman"/>
          <w:b/>
          <w:bCs/>
          <w:sz w:val="32"/>
          <w:szCs w:val="32"/>
          <w:lang w:val="en-US" w:eastAsia="zh-CN"/>
        </w:rPr>
        <w:t>二是</w:t>
      </w:r>
      <w:r>
        <w:rPr>
          <w:rFonts w:hint="default" w:ascii="Times New Roman" w:hAnsi="Times New Roman" w:eastAsia="方正仿宋_GB2312" w:cs="Times New Roman"/>
          <w:sz w:val="32"/>
          <w:szCs w:val="32"/>
        </w:rPr>
        <w:t>推进社有企业提质增效，将社有</w:t>
      </w:r>
      <w:r>
        <w:rPr>
          <w:rFonts w:hint="default" w:ascii="Times New Roman" w:hAnsi="Times New Roman" w:eastAsia="方正仿宋_GB2312" w:cs="Times New Roman"/>
          <w:sz w:val="32"/>
          <w:szCs w:val="32"/>
          <w:lang w:val="en-US" w:eastAsia="zh-CN"/>
        </w:rPr>
        <w:t>企业</w:t>
      </w:r>
      <w:r>
        <w:rPr>
          <w:rFonts w:hint="default" w:ascii="Times New Roman" w:hAnsi="Times New Roman" w:eastAsia="方正仿宋_GB2312" w:cs="Times New Roman"/>
          <w:sz w:val="32"/>
          <w:szCs w:val="32"/>
        </w:rPr>
        <w:t>优势资源向农业社会化服务、农产品加工、</w:t>
      </w:r>
      <w:r>
        <w:rPr>
          <w:rFonts w:hint="default" w:ascii="Times New Roman" w:hAnsi="Times New Roman" w:eastAsia="方正仿宋_GB2312" w:cs="Times New Roman"/>
          <w:sz w:val="32"/>
          <w:szCs w:val="32"/>
          <w:lang w:val="en-US" w:eastAsia="zh-CN"/>
        </w:rPr>
        <w:t>农产品</w:t>
      </w:r>
      <w:r>
        <w:rPr>
          <w:rFonts w:hint="default" w:ascii="Times New Roman" w:hAnsi="Times New Roman" w:eastAsia="方正仿宋_GB2312" w:cs="Times New Roman"/>
          <w:sz w:val="32"/>
          <w:szCs w:val="32"/>
        </w:rPr>
        <w:t>流通</w:t>
      </w:r>
      <w:r>
        <w:rPr>
          <w:rFonts w:hint="default" w:ascii="Times New Roman" w:hAnsi="Times New Roman" w:eastAsia="方正仿宋_GB2312" w:cs="Times New Roman"/>
          <w:sz w:val="32"/>
          <w:szCs w:val="32"/>
          <w:lang w:val="en-US" w:eastAsia="zh-CN"/>
        </w:rPr>
        <w:t>销售</w:t>
      </w:r>
      <w:r>
        <w:rPr>
          <w:rFonts w:hint="default" w:ascii="Times New Roman" w:hAnsi="Times New Roman" w:eastAsia="方正仿宋_GB2312" w:cs="Times New Roman"/>
          <w:sz w:val="32"/>
          <w:szCs w:val="32"/>
        </w:rPr>
        <w:t>等为农服务关键领域集中，提升为农服务能力</w:t>
      </w:r>
      <w:r>
        <w:rPr>
          <w:rFonts w:hint="default"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lang w:val="en-US" w:eastAsia="zh-CN"/>
        </w:rPr>
        <w:t>打通</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农产品上行，农资下行</w:t>
      </w:r>
      <w:r>
        <w:rPr>
          <w:rFonts w:hint="eastAsia" w:ascii="Times New Roman" w:hAnsi="Times New Roman" w:eastAsia="方正仿宋_GB2312" w:cs="Times New Roman"/>
          <w:sz w:val="32"/>
          <w:szCs w:val="32"/>
          <w:lang w:val="en-US" w:eastAsia="zh-CN"/>
        </w:rPr>
        <w:t>”</w:t>
      </w:r>
      <w:r>
        <w:rPr>
          <w:rFonts w:hint="default" w:ascii="Times New Roman" w:hAnsi="Times New Roman" w:eastAsia="方正仿宋_GB2312" w:cs="Times New Roman"/>
          <w:sz w:val="32"/>
          <w:szCs w:val="32"/>
          <w:lang w:val="en-US" w:eastAsia="zh-CN"/>
        </w:rPr>
        <w:t>最后一公里</w:t>
      </w:r>
      <w:r>
        <w:rPr>
          <w:rFonts w:hint="default" w:ascii="Times New Roman" w:hAnsi="Times New Roman" w:eastAsia="方正仿宋_GB2312" w:cs="Times New Roman"/>
          <w:sz w:val="32"/>
          <w:szCs w:val="32"/>
          <w:lang w:eastAsia="zh-CN"/>
        </w:rPr>
        <w:t>。</w:t>
      </w:r>
      <w:r>
        <w:rPr>
          <w:rFonts w:hint="default" w:ascii="Times New Roman" w:hAnsi="Times New Roman" w:eastAsia="方正仿宋_GB2312" w:cs="Times New Roman"/>
          <w:b/>
          <w:bCs/>
          <w:sz w:val="32"/>
          <w:szCs w:val="32"/>
          <w:lang w:val="en-US" w:eastAsia="zh-CN"/>
        </w:rPr>
        <w:t>三是</w:t>
      </w:r>
      <w:r>
        <w:rPr>
          <w:rFonts w:hint="default" w:ascii="Times New Roman" w:hAnsi="Times New Roman" w:eastAsia="方正仿宋_GB2312" w:cs="Times New Roman"/>
          <w:sz w:val="32"/>
          <w:szCs w:val="32"/>
          <w:lang w:val="en-US" w:eastAsia="zh-CN"/>
        </w:rPr>
        <w:t>开展</w:t>
      </w:r>
      <w:r>
        <w:rPr>
          <w:rFonts w:hint="default" w:ascii="Times New Roman" w:hAnsi="Times New Roman" w:eastAsia="方正仿宋_GB2312" w:cs="Times New Roman"/>
          <w:sz w:val="32"/>
          <w:szCs w:val="32"/>
        </w:rPr>
        <w:t>基层社、农民专合社、村集体经济的融合发展试点推进工作，切实将基层社的发展有效与农民专合社、村集体经济结合起来，发挥基层社的带动作用。</w:t>
      </w:r>
    </w:p>
    <w:p w14:paraId="7E7864AF">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firstLine="1060" w:firstLineChars="330"/>
        <w:jc w:val="both"/>
        <w:textAlignment w:val="auto"/>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b/>
          <w:bCs/>
          <w:kern w:val="2"/>
          <w:sz w:val="32"/>
          <w:szCs w:val="32"/>
          <w:lang w:val="en-US" w:eastAsia="zh-CN" w:bidi="ar-SA"/>
        </w:rPr>
        <w:t>（3）</w:t>
      </w:r>
      <w:r>
        <w:rPr>
          <w:rFonts w:hint="default" w:ascii="Times New Roman" w:hAnsi="Times New Roman" w:eastAsia="方正仿宋_GB2312" w:cs="Times New Roman"/>
          <w:b/>
          <w:bCs/>
          <w:kern w:val="2"/>
          <w:sz w:val="32"/>
          <w:szCs w:val="32"/>
          <w:lang w:val="en-US" w:eastAsia="zh-CN" w:bidi="ar-SA"/>
        </w:rPr>
        <w:t>提升农特产品产销对接能力。</w:t>
      </w:r>
      <w:r>
        <w:rPr>
          <w:rFonts w:hint="default" w:ascii="Times New Roman" w:hAnsi="Times New Roman" w:eastAsia="方正仿宋_GB2312" w:cs="Times New Roman"/>
          <w:b/>
          <w:bCs/>
          <w:sz w:val="32"/>
          <w:szCs w:val="32"/>
          <w:lang w:val="en-US" w:eastAsia="zh-CN"/>
        </w:rPr>
        <w:t>一是</w:t>
      </w:r>
      <w:r>
        <w:rPr>
          <w:rFonts w:hint="default" w:ascii="Times New Roman" w:hAnsi="Times New Roman" w:eastAsia="方正仿宋_GB2312" w:cs="Times New Roman"/>
          <w:sz w:val="32"/>
          <w:szCs w:val="32"/>
          <w:lang w:val="en-US" w:eastAsia="zh-CN"/>
        </w:rPr>
        <w:t>自主研发</w:t>
      </w:r>
      <w:r>
        <w:rPr>
          <w:rFonts w:hint="eastAsia" w:ascii="Times New Roman" w:hAnsi="Times New Roman" w:eastAsia="方正仿宋_GB2312" w:cs="Times New Roman"/>
          <w:sz w:val="32"/>
          <w:szCs w:val="32"/>
          <w:lang w:val="en-US" w:eastAsia="zh-CN"/>
        </w:rPr>
        <w:t>乳制品，肉制品，</w:t>
      </w:r>
      <w:r>
        <w:rPr>
          <w:rFonts w:hint="default" w:ascii="Times New Roman" w:hAnsi="Times New Roman" w:eastAsia="方正仿宋_GB2312" w:cs="Times New Roman"/>
          <w:sz w:val="32"/>
          <w:szCs w:val="32"/>
          <w:lang w:val="en-US" w:eastAsia="zh-CN"/>
        </w:rPr>
        <w:t>、青稞、蜂蜜、</w:t>
      </w:r>
      <w:r>
        <w:rPr>
          <w:rFonts w:hint="eastAsia" w:ascii="Times New Roman" w:hAnsi="Times New Roman" w:eastAsia="方正仿宋_GB2312" w:cs="Times New Roman"/>
          <w:sz w:val="32"/>
          <w:szCs w:val="32"/>
          <w:lang w:val="en-US" w:eastAsia="zh-CN"/>
        </w:rPr>
        <w:t>菌</w:t>
      </w:r>
      <w:r>
        <w:rPr>
          <w:rFonts w:hint="default" w:ascii="Times New Roman" w:hAnsi="Times New Roman" w:eastAsia="方正仿宋_GB2312" w:cs="Times New Roman"/>
          <w:sz w:val="32"/>
          <w:szCs w:val="32"/>
          <w:lang w:val="en-US" w:eastAsia="zh-CN"/>
        </w:rPr>
        <w:t>类等更多的农特</w:t>
      </w:r>
      <w:r>
        <w:rPr>
          <w:rFonts w:hint="default" w:ascii="Times New Roman" w:hAnsi="Times New Roman" w:eastAsia="方正仿宋_GB2312" w:cs="Times New Roman"/>
          <w:sz w:val="32"/>
          <w:szCs w:val="32"/>
        </w:rPr>
        <w:t>产品，</w:t>
      </w:r>
      <w:r>
        <w:rPr>
          <w:rFonts w:hint="default" w:ascii="Times New Roman" w:hAnsi="Times New Roman" w:eastAsia="方正仿宋_GB2312" w:cs="Times New Roman"/>
          <w:sz w:val="32"/>
          <w:szCs w:val="32"/>
          <w:lang w:val="en-US" w:eastAsia="zh-CN"/>
        </w:rPr>
        <w:t>着力培育一批产品优、信誉好、能体现供销合作社文化内涵的农产品，丰富农特产品种类。</w:t>
      </w:r>
      <w:r>
        <w:rPr>
          <w:rFonts w:hint="default" w:ascii="Times New Roman" w:hAnsi="Times New Roman" w:eastAsia="方正仿宋_GB2312" w:cs="Times New Roman"/>
          <w:b/>
          <w:bCs/>
          <w:sz w:val="32"/>
          <w:szCs w:val="32"/>
          <w:lang w:val="en-US" w:eastAsia="zh-CN"/>
        </w:rPr>
        <w:t>二</w:t>
      </w:r>
      <w:r>
        <w:rPr>
          <w:rFonts w:hint="eastAsia" w:ascii="方正仿宋_GB2312" w:hAnsi="方正仿宋_GB2312" w:eastAsia="方正仿宋_GB2312" w:cs="方正仿宋_GB2312"/>
          <w:b/>
          <w:bCs/>
          <w:sz w:val="32"/>
          <w:szCs w:val="32"/>
          <w:lang w:val="en-US" w:eastAsia="zh-CN"/>
        </w:rPr>
        <w:t>是</w:t>
      </w:r>
      <w:r>
        <w:rPr>
          <w:rFonts w:hint="eastAsia" w:ascii="方正仿宋_GB2312" w:hAnsi="方正仿宋_GB2312" w:eastAsia="方正仿宋_GB2312" w:cs="方正仿宋_GB2312"/>
          <w:sz w:val="32"/>
          <w:szCs w:val="32"/>
          <w:lang w:val="en-US" w:eastAsia="zh-CN"/>
        </w:rPr>
        <w:t>牢牢抓住托底性帮扶的契机，加强与人保集团、太平洋，华电等企业对接，</w:t>
      </w:r>
      <w:r>
        <w:rPr>
          <w:rFonts w:hint="eastAsia" w:ascii="方正仿宋_GB2312" w:hAnsi="方正仿宋_GB2312" w:eastAsia="方正仿宋_GB2312" w:cs="方正仿宋_GB2312"/>
          <w:sz w:val="32"/>
          <w:szCs w:val="32"/>
        </w:rPr>
        <w:t>建立长期稳定的农</w:t>
      </w:r>
      <w:r>
        <w:rPr>
          <w:rFonts w:hint="eastAsia" w:ascii="方正仿宋_GB2312" w:hAnsi="方正仿宋_GB2312" w:eastAsia="方正仿宋_GB2312" w:cs="方正仿宋_GB2312"/>
          <w:sz w:val="32"/>
          <w:szCs w:val="32"/>
          <w:lang w:val="en-US" w:eastAsia="zh-CN"/>
        </w:rPr>
        <w:t>特产品、文创</w:t>
      </w:r>
      <w:r>
        <w:rPr>
          <w:rFonts w:hint="eastAsia" w:ascii="方正仿宋_GB2312" w:hAnsi="方正仿宋_GB2312" w:eastAsia="方正仿宋_GB2312" w:cs="方正仿宋_GB2312"/>
          <w:sz w:val="32"/>
          <w:szCs w:val="32"/>
        </w:rPr>
        <w:t>产品产销合作关系</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b/>
          <w:bCs/>
          <w:sz w:val="32"/>
          <w:szCs w:val="32"/>
          <w:lang w:val="en-US" w:eastAsia="zh-CN"/>
        </w:rPr>
        <w:t>三是</w:t>
      </w:r>
      <w:r>
        <w:rPr>
          <w:rFonts w:hint="default" w:ascii="Times New Roman" w:hAnsi="Times New Roman" w:eastAsia="方正仿宋_GB2312" w:cs="Times New Roman"/>
          <w:sz w:val="32"/>
          <w:szCs w:val="32"/>
          <w:lang w:val="en-US" w:eastAsia="zh-CN"/>
        </w:rPr>
        <w:t>借助</w:t>
      </w:r>
      <w:r>
        <w:rPr>
          <w:rFonts w:hint="eastAsia" w:ascii="Times New Roman" w:hAnsi="Times New Roman" w:eastAsia="方正仿宋_GB2312" w:cs="Times New Roman"/>
          <w:sz w:val="32"/>
          <w:szCs w:val="32"/>
          <w:lang w:val="en-US" w:eastAsia="zh-CN"/>
        </w:rPr>
        <w:t>人保</w:t>
      </w:r>
      <w:r>
        <w:rPr>
          <w:rFonts w:hint="default" w:ascii="Times New Roman" w:hAnsi="Times New Roman" w:eastAsia="方正仿宋_GB2312" w:cs="Times New Roman"/>
          <w:sz w:val="32"/>
          <w:szCs w:val="32"/>
          <w:lang w:val="en-US" w:eastAsia="zh-CN"/>
        </w:rPr>
        <w:t>线上</w:t>
      </w:r>
      <w:r>
        <w:rPr>
          <w:rFonts w:hint="eastAsia" w:ascii="Times New Roman" w:hAnsi="Times New Roman" w:eastAsia="方正仿宋_GB2312" w:cs="Times New Roman"/>
          <w:sz w:val="32"/>
          <w:szCs w:val="32"/>
          <w:lang w:val="en-US" w:eastAsia="zh-CN"/>
        </w:rPr>
        <w:t>平台</w:t>
      </w:r>
      <w:r>
        <w:rPr>
          <w:rFonts w:hint="default" w:ascii="Times New Roman" w:hAnsi="Times New Roman" w:eastAsia="方正仿宋_GB2312" w:cs="Times New Roman"/>
          <w:sz w:val="32"/>
          <w:szCs w:val="32"/>
          <w:lang w:val="en-US" w:eastAsia="zh-CN"/>
        </w:rPr>
        <w:t>、线下实体店、等平台大力推广销售农特产品、文创产品，提高我县农特产品知名度</w:t>
      </w:r>
      <w:r>
        <w:rPr>
          <w:rFonts w:hint="default" w:ascii="Times New Roman" w:hAnsi="Times New Roman" w:eastAsia="方正仿宋_GB2312" w:cs="Times New Roman"/>
          <w:sz w:val="32"/>
          <w:szCs w:val="32"/>
          <w:lang w:eastAsia="zh-CN"/>
        </w:rPr>
        <w:t>。</w:t>
      </w:r>
    </w:p>
    <w:p w14:paraId="59D9C8FE">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1092" w:firstLineChars="340"/>
        <w:textAlignment w:val="auto"/>
        <w:rPr>
          <w:rFonts w:hint="eastAsia"/>
          <w:bCs/>
          <w:sz w:val="32"/>
          <w:szCs w:val="32"/>
        </w:rPr>
      </w:pPr>
      <w:r>
        <w:rPr>
          <w:rFonts w:hint="eastAsia" w:ascii="Times New Roman" w:hAnsi="Times New Roman" w:eastAsia="方正仿宋_GB2312" w:cs="Times New Roman"/>
          <w:b/>
          <w:bCs/>
          <w:sz w:val="32"/>
          <w:szCs w:val="32"/>
          <w:lang w:val="en-US" w:eastAsia="zh-CN"/>
        </w:rPr>
        <w:t>（4）</w:t>
      </w:r>
      <w:r>
        <w:rPr>
          <w:rFonts w:hint="default" w:ascii="Times New Roman" w:hAnsi="Times New Roman" w:eastAsia="方正仿宋_GB2312" w:cs="Times New Roman"/>
          <w:b/>
          <w:bCs/>
          <w:sz w:val="32"/>
          <w:szCs w:val="32"/>
          <w:lang w:val="en-US" w:eastAsia="zh-CN"/>
        </w:rPr>
        <w:t>提升农业社会化服务能力。</w:t>
      </w:r>
      <w:r>
        <w:rPr>
          <w:rFonts w:hint="eastAsia" w:ascii="方正仿宋_GB2312" w:hAnsi="方正仿宋_GB2312" w:eastAsia="方正仿宋_GB2312" w:cs="方正仿宋_GB2312"/>
          <w:sz w:val="32"/>
          <w:szCs w:val="32"/>
        </w:rPr>
        <w:t>聚焦服务保障国家粮食安全和打造“高原粮仓”行动，推进以供销县、乡(镇)、村经营服务网点为依托的农业社会化服务网络体系建设</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订制化开展农技培训等农业社会化服务，</w:t>
      </w:r>
      <w:r>
        <w:rPr>
          <w:rFonts w:hint="eastAsia" w:ascii="方正仿宋_GB2312" w:hAnsi="方正仿宋_GB2312" w:eastAsia="方正仿宋_GB2312" w:cs="方正仿宋_GB2312"/>
          <w:sz w:val="32"/>
          <w:szCs w:val="32"/>
          <w:lang w:val="en-US" w:eastAsia="zh-CN"/>
        </w:rPr>
        <w:t>提升</w:t>
      </w:r>
      <w:r>
        <w:rPr>
          <w:rFonts w:hint="eastAsia" w:ascii="方正仿宋_GB2312" w:hAnsi="方正仿宋_GB2312" w:eastAsia="方正仿宋_GB2312" w:cs="方正仿宋_GB2312"/>
          <w:sz w:val="32"/>
          <w:szCs w:val="32"/>
        </w:rPr>
        <w:t>为农服务能力</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发挥供销社农资供应主渠道作用，落实农资保供任务</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加强农资价格监测</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建立农资淡储旺供和价格平抑机制，强化农资技物结合</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实施“绿色农资”行动，严把农资质量关口，加大绿色高效环保优质农资采购供应和推广力度</w:t>
      </w:r>
    </w:p>
    <w:p w14:paraId="068CEF69">
      <w:pPr>
        <w:keepNext w:val="0"/>
        <w:keepLines w:val="0"/>
        <w:pageBreakBefore w:val="0"/>
        <w:kinsoku/>
        <w:wordWrap/>
        <w:overflowPunct/>
        <w:topLinePunct w:val="0"/>
        <w:autoSpaceDE/>
        <w:autoSpaceDN/>
        <w:bidi w:val="0"/>
        <w:spacing w:line="560" w:lineRule="exact"/>
        <w:ind w:left="0" w:leftChars="0" w:right="0" w:rightChars="0" w:firstLine="1056" w:firstLineChars="33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0D67FA68">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1088" w:firstLineChars="34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红原县供销社</w:t>
      </w:r>
      <w:r>
        <w:rPr>
          <w:rFonts w:hint="eastAsia" w:ascii="方正仿宋_GB2312" w:hAnsi="方正仿宋_GB2312" w:eastAsia="方正仿宋_GB2312" w:cs="方正仿宋_GB2312"/>
          <w:sz w:val="32"/>
          <w:szCs w:val="32"/>
        </w:rPr>
        <w:t>部门</w:t>
      </w:r>
      <w:r>
        <w:rPr>
          <w:rFonts w:hint="eastAsia" w:ascii="方正仿宋_GB2312" w:hAnsi="方正仿宋_GB2312" w:eastAsia="方正仿宋_GB2312" w:cs="方正仿宋_GB2312"/>
          <w:sz w:val="32"/>
          <w:szCs w:val="32"/>
          <w:lang w:eastAsia="zh-CN"/>
        </w:rPr>
        <w:t>下设单位股室</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个</w:t>
      </w:r>
      <w:r>
        <w:rPr>
          <w:rFonts w:hint="eastAsia" w:ascii="方正仿宋_GB2312" w:hAnsi="方正仿宋_GB2312" w:eastAsia="方正仿宋_GB2312" w:cs="方正仿宋_GB2312"/>
          <w:sz w:val="32"/>
          <w:szCs w:val="32"/>
          <w:lang w:eastAsia="zh-CN"/>
        </w:rPr>
        <w:t>。</w:t>
      </w:r>
    </w:p>
    <w:p w14:paraId="752582EA">
      <w:pPr>
        <w:keepNext w:val="0"/>
        <w:keepLines w:val="0"/>
        <w:pageBreakBefore w:val="0"/>
        <w:kinsoku/>
        <w:wordWrap/>
        <w:overflowPunct/>
        <w:topLinePunct w:val="0"/>
        <w:autoSpaceDE/>
        <w:autoSpaceDN/>
        <w:bidi w:val="0"/>
        <w:spacing w:line="560" w:lineRule="exact"/>
        <w:ind w:left="0" w:leftChars="0" w:right="0" w:rightChars="0" w:firstLine="1056" w:firstLineChars="330"/>
        <w:textAlignment w:val="auto"/>
        <w:rPr>
          <w:rFonts w:hint="eastAsia" w:ascii="黑体" w:eastAsia="黑体"/>
          <w:sz w:val="32"/>
          <w:szCs w:val="32"/>
        </w:rPr>
      </w:pPr>
      <w:r>
        <w:rPr>
          <w:rFonts w:hint="eastAsia" w:ascii="黑体" w:eastAsia="黑体"/>
          <w:sz w:val="32"/>
          <w:szCs w:val="32"/>
        </w:rPr>
        <w:t>三、收支预算总体情况</w:t>
      </w:r>
    </w:p>
    <w:p w14:paraId="1BE67690">
      <w:pPr>
        <w:keepNext w:val="0"/>
        <w:keepLines w:val="0"/>
        <w:pageBreakBefore w:val="0"/>
        <w:kinsoku/>
        <w:wordWrap/>
        <w:overflowPunct/>
        <w:topLinePunct w:val="0"/>
        <w:autoSpaceDE/>
        <w:autoSpaceDN/>
        <w:bidi w:val="0"/>
        <w:spacing w:line="560" w:lineRule="exact"/>
        <w:ind w:left="0" w:leftChars="0" w:right="0" w:rightChars="0" w:firstLine="1056" w:firstLineChars="330"/>
        <w:textAlignment w:val="auto"/>
        <w:rPr>
          <w:rFonts w:hint="eastAsia"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lang w:val="en-US" w:eastAsia="zh-CN"/>
        </w:rPr>
        <w:t>2026</w:t>
      </w:r>
      <w:r>
        <w:rPr>
          <w:rFonts w:hint="eastAsia" w:ascii="方正仿宋_GB2312" w:hAnsi="方正仿宋_GB2312" w:eastAsia="方正仿宋_GB2312" w:cs="方正仿宋_GB2312"/>
          <w:sz w:val="32"/>
          <w:szCs w:val="32"/>
          <w:lang w:eastAsia="zh-CN"/>
        </w:rPr>
        <w:t>年</w:t>
      </w:r>
      <w:r>
        <w:rPr>
          <w:rFonts w:hint="eastAsia" w:ascii="方正仿宋_GB2312" w:hAnsi="方正仿宋_GB2312" w:eastAsia="方正仿宋_GB2312" w:cs="方正仿宋_GB2312"/>
          <w:sz w:val="32"/>
          <w:szCs w:val="32"/>
          <w:lang w:val="en-US" w:eastAsia="zh-CN"/>
        </w:rPr>
        <w:t>县供销社</w:t>
      </w:r>
      <w:r>
        <w:rPr>
          <w:rFonts w:hint="eastAsia" w:ascii="方正仿宋_GB2312" w:hAnsi="方正仿宋_GB2312" w:eastAsia="方正仿宋_GB2312" w:cs="方正仿宋_GB2312"/>
          <w:sz w:val="32"/>
          <w:szCs w:val="32"/>
        </w:rPr>
        <w:t>部门（单位）收入预算总额为</w:t>
      </w:r>
      <w:r>
        <w:rPr>
          <w:rFonts w:hint="eastAsia" w:ascii="方正仿宋_GB2312" w:hAnsi="方正仿宋_GB2312" w:eastAsia="方正仿宋_GB2312" w:cs="方正仿宋_GB2312"/>
          <w:sz w:val="32"/>
          <w:szCs w:val="32"/>
          <w:lang w:val="en-US" w:eastAsia="zh-CN"/>
        </w:rPr>
        <w:t xml:space="preserve">198.6  </w:t>
      </w:r>
      <w:r>
        <w:rPr>
          <w:rFonts w:hint="eastAsia" w:ascii="方正仿宋_GB2312" w:hAnsi="方正仿宋_GB2312" w:eastAsia="方正仿宋_GB2312" w:cs="方正仿宋_GB2312"/>
          <w:sz w:val="32"/>
          <w:szCs w:val="32"/>
        </w:rPr>
        <w:t>万元，其中：当年财政拨款收入</w:t>
      </w:r>
      <w:r>
        <w:rPr>
          <w:rFonts w:hint="eastAsia" w:ascii="方正仿宋_GB2312" w:hAnsi="方正仿宋_GB2312" w:eastAsia="方正仿宋_GB2312" w:cs="方正仿宋_GB2312"/>
          <w:sz w:val="32"/>
          <w:szCs w:val="32"/>
          <w:lang w:val="en-US" w:eastAsia="zh-CN"/>
        </w:rPr>
        <w:t xml:space="preserve">198.6 </w:t>
      </w:r>
      <w:r>
        <w:rPr>
          <w:rFonts w:hint="eastAsia" w:ascii="方正仿宋_GB2312" w:hAnsi="方正仿宋_GB2312" w:eastAsia="方正仿宋_GB2312" w:cs="方正仿宋_GB2312"/>
          <w:sz w:val="32"/>
          <w:szCs w:val="32"/>
        </w:rPr>
        <w:t>万元。相应安排支出预算</w:t>
      </w:r>
      <w:r>
        <w:rPr>
          <w:rFonts w:hint="eastAsia" w:ascii="方正仿宋_GB2312" w:hAnsi="方正仿宋_GB2312" w:eastAsia="方正仿宋_GB2312" w:cs="方正仿宋_GB2312"/>
          <w:sz w:val="32"/>
          <w:szCs w:val="32"/>
          <w:lang w:val="en-US" w:eastAsia="zh-CN"/>
        </w:rPr>
        <w:t xml:space="preserve"> 198.6</w:t>
      </w:r>
      <w:r>
        <w:rPr>
          <w:rFonts w:hint="eastAsia" w:ascii="方正仿宋_GB2312" w:hAnsi="方正仿宋_GB2312" w:eastAsia="方正仿宋_GB2312" w:cs="方正仿宋_GB2312"/>
          <w:sz w:val="32"/>
          <w:szCs w:val="32"/>
        </w:rPr>
        <w:t>万元，其中：</w:t>
      </w:r>
      <w:r>
        <w:rPr>
          <w:rFonts w:hint="eastAsia" w:ascii="方正仿宋_GB2312" w:hAnsi="方正仿宋_GB2312" w:eastAsia="方正仿宋_GB2312" w:cs="方正仿宋_GB2312"/>
          <w:sz w:val="32"/>
          <w:szCs w:val="32"/>
          <w:lang w:val="en-US" w:eastAsia="zh-CN"/>
        </w:rPr>
        <w:t>一般公共服务支出6.71万元，</w:t>
      </w:r>
      <w:r>
        <w:rPr>
          <w:rFonts w:hint="eastAsia" w:ascii="方正仿宋_GB2312" w:hAnsi="方正仿宋_GB2312" w:eastAsia="方正仿宋_GB2312" w:cs="方正仿宋_GB2312"/>
          <w:sz w:val="32"/>
          <w:szCs w:val="32"/>
        </w:rPr>
        <w:t>社会保障和就业</w:t>
      </w:r>
      <w:r>
        <w:rPr>
          <w:rFonts w:hint="eastAsia" w:ascii="方正仿宋_GB2312" w:hAnsi="方正仿宋_GB2312" w:eastAsia="方正仿宋_GB2312" w:cs="方正仿宋_GB2312"/>
          <w:sz w:val="32"/>
          <w:szCs w:val="32"/>
          <w:lang w:val="en-US" w:eastAsia="zh-CN"/>
        </w:rPr>
        <w:t xml:space="preserve">24.12 </w:t>
      </w:r>
      <w:r>
        <w:rPr>
          <w:rFonts w:hint="eastAsia" w:ascii="方正仿宋_GB2312" w:hAnsi="方正仿宋_GB2312" w:eastAsia="方正仿宋_GB2312" w:cs="方正仿宋_GB2312"/>
          <w:sz w:val="32"/>
          <w:szCs w:val="32"/>
        </w:rPr>
        <w:t>万元，医疗卫生</w:t>
      </w:r>
      <w:r>
        <w:rPr>
          <w:rFonts w:hint="eastAsia" w:ascii="方正仿宋_GB2312" w:hAnsi="方正仿宋_GB2312" w:eastAsia="方正仿宋_GB2312" w:cs="方正仿宋_GB2312"/>
          <w:sz w:val="32"/>
          <w:szCs w:val="32"/>
          <w:lang w:val="en-US" w:eastAsia="zh-CN"/>
        </w:rPr>
        <w:t xml:space="preserve"> 11.30 </w:t>
      </w:r>
      <w:r>
        <w:rPr>
          <w:rFonts w:hint="eastAsia" w:ascii="方正仿宋_GB2312" w:hAnsi="方正仿宋_GB2312" w:eastAsia="方正仿宋_GB2312" w:cs="方正仿宋_GB2312"/>
          <w:sz w:val="32"/>
          <w:szCs w:val="32"/>
        </w:rPr>
        <w:t>万元，住房保障支出</w:t>
      </w:r>
      <w:r>
        <w:rPr>
          <w:rFonts w:hint="eastAsia" w:ascii="方正仿宋_GB2312" w:hAnsi="方正仿宋_GB2312" w:eastAsia="方正仿宋_GB2312" w:cs="方正仿宋_GB2312"/>
          <w:sz w:val="32"/>
          <w:szCs w:val="32"/>
          <w:lang w:val="en-US" w:eastAsia="zh-CN"/>
        </w:rPr>
        <w:t xml:space="preserve">  13.15</w:t>
      </w:r>
      <w:r>
        <w:rPr>
          <w:rFonts w:hint="eastAsia" w:ascii="方正仿宋_GB2312" w:hAnsi="方正仿宋_GB2312" w:eastAsia="方正仿宋_GB2312" w:cs="方正仿宋_GB2312"/>
          <w:sz w:val="32"/>
          <w:szCs w:val="32"/>
        </w:rPr>
        <w:t>万元</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商业服务业等支出143.17万元。</w:t>
      </w:r>
    </w:p>
    <w:p w14:paraId="14B49BE0">
      <w:pPr>
        <w:keepNext w:val="0"/>
        <w:keepLines w:val="0"/>
        <w:pageBreakBefore w:val="0"/>
        <w:numPr>
          <w:ilvl w:val="0"/>
          <w:numId w:val="1"/>
        </w:numPr>
        <w:kinsoku/>
        <w:wordWrap/>
        <w:overflowPunct/>
        <w:topLinePunct w:val="0"/>
        <w:autoSpaceDE/>
        <w:autoSpaceDN/>
        <w:bidi w:val="0"/>
        <w:spacing w:line="560" w:lineRule="exact"/>
        <w:ind w:left="410" w:leftChars="0" w:right="0" w:rightChars="0" w:firstLine="640" w:firstLineChars="0"/>
        <w:textAlignment w:val="auto"/>
        <w:rPr>
          <w:rFonts w:hint="eastAsia" w:ascii="黑体" w:eastAsia="黑体"/>
          <w:b w:val="0"/>
          <w:bCs w:val="0"/>
          <w:sz w:val="32"/>
          <w:szCs w:val="32"/>
        </w:rPr>
      </w:pPr>
      <w:r>
        <w:rPr>
          <w:rFonts w:hint="eastAsia" w:ascii="黑体" w:eastAsia="黑体"/>
          <w:b w:val="0"/>
          <w:bCs w:val="0"/>
          <w:sz w:val="32"/>
          <w:szCs w:val="32"/>
        </w:rPr>
        <w:t>支出预算安排情况</w:t>
      </w:r>
    </w:p>
    <w:p w14:paraId="24FAE724">
      <w:pPr>
        <w:keepNext w:val="0"/>
        <w:keepLines w:val="0"/>
        <w:pageBreakBefore w:val="0"/>
        <w:numPr>
          <w:ilvl w:val="0"/>
          <w:numId w:val="0"/>
        </w:numPr>
        <w:kinsoku/>
        <w:wordWrap/>
        <w:overflowPunct/>
        <w:topLinePunct w:val="0"/>
        <w:autoSpaceDE/>
        <w:autoSpaceDN/>
        <w:bidi w:val="0"/>
        <w:spacing w:line="560" w:lineRule="exact"/>
        <w:ind w:left="0" w:leftChars="0" w:right="0" w:rightChars="0" w:firstLine="420" w:firstLineChars="0"/>
        <w:textAlignment w:val="auto"/>
        <w:rPr>
          <w:rFonts w:hint="eastAsia" w:ascii="方正仿宋_GB2312" w:hAnsi="方正仿宋_GB2312" w:eastAsia="方正仿宋_GB2312" w:cs="方正仿宋_GB2312"/>
          <w:sz w:val="32"/>
          <w:szCs w:val="32"/>
        </w:rPr>
      </w:pPr>
      <w:r>
        <w:rPr>
          <w:rFonts w:hint="eastAsia" w:ascii="仿宋_GB2312" w:eastAsia="仿宋_GB2312"/>
          <w:sz w:val="32"/>
          <w:szCs w:val="32"/>
          <w:lang w:val="en-US" w:eastAsia="zh-CN"/>
        </w:rPr>
        <w:t xml:space="preserve">    </w:t>
      </w:r>
      <w:r>
        <w:rPr>
          <w:rFonts w:hint="eastAsia" w:ascii="方正仿宋_GB2312" w:hAnsi="方正仿宋_GB2312" w:eastAsia="方正仿宋_GB2312" w:cs="方正仿宋_GB2312"/>
          <w:sz w:val="32"/>
          <w:szCs w:val="32"/>
          <w:lang w:val="en-US" w:eastAsia="zh-CN"/>
        </w:rPr>
        <w:t>县供销社</w:t>
      </w:r>
      <w:r>
        <w:rPr>
          <w:rFonts w:hint="eastAsia" w:ascii="方正仿宋_GB2312" w:hAnsi="方正仿宋_GB2312" w:eastAsia="方正仿宋_GB2312" w:cs="方正仿宋_GB2312"/>
          <w:sz w:val="32"/>
          <w:szCs w:val="32"/>
        </w:rPr>
        <w:t>部门（单位）预算安排支出主要用于保障该部门机构正常运转、完成日常工作任务以及承担</w:t>
      </w:r>
      <w:r>
        <w:rPr>
          <w:rFonts w:hint="eastAsia" w:ascii="方正仿宋_GB2312" w:hAnsi="方正仿宋_GB2312" w:eastAsia="方正仿宋_GB2312" w:cs="方正仿宋_GB2312"/>
          <w:sz w:val="32"/>
          <w:szCs w:val="32"/>
          <w:lang w:val="en-US" w:eastAsia="zh-CN"/>
        </w:rPr>
        <w:t>县社</w:t>
      </w:r>
      <w:r>
        <w:rPr>
          <w:rFonts w:hint="eastAsia" w:ascii="方正仿宋_GB2312" w:hAnsi="方正仿宋_GB2312" w:eastAsia="方正仿宋_GB2312" w:cs="方正仿宋_GB2312"/>
          <w:sz w:val="32"/>
          <w:szCs w:val="32"/>
        </w:rPr>
        <w:t xml:space="preserve">事业发展相关工作。  </w:t>
      </w:r>
    </w:p>
    <w:p w14:paraId="7B5BC9F6">
      <w:pPr>
        <w:keepNext w:val="0"/>
        <w:keepLines w:val="0"/>
        <w:pageBreakBefore w:val="0"/>
        <w:kinsoku/>
        <w:wordWrap/>
        <w:overflowPunct/>
        <w:topLinePunct w:val="0"/>
        <w:autoSpaceDE/>
        <w:autoSpaceDN/>
        <w:bidi w:val="0"/>
        <w:spacing w:line="560" w:lineRule="exact"/>
        <w:ind w:left="0" w:leftChars="0" w:right="0" w:rightChars="0" w:firstLine="1056" w:firstLineChars="330"/>
        <w:jc w:val="left"/>
        <w:textAlignment w:val="auto"/>
        <w:outlineLvl w:val="9"/>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基本支出</w:t>
      </w:r>
      <w:r>
        <w:rPr>
          <w:rFonts w:hint="eastAsia" w:ascii="方正仿宋_GB2312" w:hAnsi="方正仿宋_GB2312" w:eastAsia="方正仿宋_GB2312" w:cs="方正仿宋_GB2312"/>
          <w:sz w:val="32"/>
          <w:szCs w:val="32"/>
          <w:lang w:val="en-US" w:eastAsia="zh-CN"/>
        </w:rPr>
        <w:t xml:space="preserve">177.74  </w:t>
      </w:r>
      <w:r>
        <w:rPr>
          <w:rFonts w:hint="eastAsia" w:ascii="方正仿宋_GB2312" w:hAnsi="方正仿宋_GB2312" w:eastAsia="方正仿宋_GB2312" w:cs="方正仿宋_GB2312"/>
          <w:sz w:val="32"/>
          <w:szCs w:val="32"/>
          <w:lang w:eastAsia="zh-CN"/>
        </w:rPr>
        <w:t>万元</w:t>
      </w:r>
      <w:r>
        <w:rPr>
          <w:rFonts w:hint="eastAsia" w:ascii="方正仿宋_GB2312" w:hAnsi="方正仿宋_GB2312" w:eastAsia="方正仿宋_GB2312" w:cs="方正仿宋_GB2312"/>
          <w:sz w:val="32"/>
          <w:szCs w:val="32"/>
          <w:lang w:val="en-US" w:eastAsia="zh-CN"/>
        </w:rPr>
        <w:t>。</w:t>
      </w:r>
      <w:r>
        <w:rPr>
          <w:rFonts w:hint="eastAsia" w:ascii="方正仿宋_GB2312" w:hAnsi="方正仿宋_GB2312" w:eastAsia="方正仿宋_GB2312" w:cs="方正仿宋_GB2312"/>
          <w:sz w:val="32"/>
          <w:szCs w:val="32"/>
          <w:lang w:eastAsia="zh-CN"/>
        </w:rPr>
        <w:t>其中人员经费支出</w:t>
      </w:r>
      <w:r>
        <w:rPr>
          <w:rFonts w:hint="eastAsia" w:ascii="方正仿宋_GB2312" w:hAnsi="方正仿宋_GB2312" w:eastAsia="方正仿宋_GB2312" w:cs="方正仿宋_GB2312"/>
          <w:sz w:val="32"/>
          <w:szCs w:val="32"/>
          <w:lang w:val="en-US" w:eastAsia="zh-CN"/>
        </w:rPr>
        <w:t>176.52  万元，机关运行经费 15.38 万元，其中：办公费 3.30 万元，差旅费 0.75 万元，工会经费1.21万元，公务用车运行维护费费2.62元。</w:t>
      </w:r>
    </w:p>
    <w:p w14:paraId="52D6B966">
      <w:pPr>
        <w:keepNext w:val="0"/>
        <w:keepLines w:val="0"/>
        <w:pageBreakBefore w:val="0"/>
        <w:kinsoku/>
        <w:wordWrap/>
        <w:overflowPunct/>
        <w:topLinePunct w:val="0"/>
        <w:autoSpaceDE/>
        <w:autoSpaceDN/>
        <w:bidi w:val="0"/>
        <w:spacing w:line="560" w:lineRule="exact"/>
        <w:ind w:left="0" w:leftChars="0" w:right="0" w:rightChars="0" w:firstLine="1056" w:firstLineChars="33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按支出功能分类主要用于以下方面:</w:t>
      </w:r>
    </w:p>
    <w:p w14:paraId="30538F07">
      <w:pPr>
        <w:keepNext w:val="0"/>
        <w:keepLines w:val="0"/>
        <w:pageBreakBefore w:val="0"/>
        <w:kinsoku/>
        <w:wordWrap/>
        <w:overflowPunct/>
        <w:topLinePunct w:val="0"/>
        <w:autoSpaceDE/>
        <w:autoSpaceDN/>
        <w:bidi w:val="0"/>
        <w:spacing w:line="560" w:lineRule="exact"/>
        <w:ind w:left="0" w:leftChars="0" w:right="0" w:rightChars="0" w:firstLine="1056" w:firstLineChars="33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一</w:t>
      </w:r>
      <w:r>
        <w:rPr>
          <w:rFonts w:hint="eastAsia" w:ascii="方正仿宋_GB2312" w:hAnsi="方正仿宋_GB2312" w:eastAsia="方正仿宋_GB2312" w:cs="方正仿宋_GB2312"/>
          <w:sz w:val="32"/>
          <w:szCs w:val="32"/>
        </w:rPr>
        <w:t>）社会保障和就业</w:t>
      </w:r>
      <w:r>
        <w:rPr>
          <w:rFonts w:hint="eastAsia" w:ascii="方正仿宋_GB2312" w:hAnsi="方正仿宋_GB2312" w:eastAsia="方正仿宋_GB2312" w:cs="方正仿宋_GB2312"/>
          <w:sz w:val="32"/>
          <w:szCs w:val="32"/>
          <w:lang w:val="en-US" w:eastAsia="zh-CN"/>
        </w:rPr>
        <w:t>24.12</w:t>
      </w:r>
      <w:r>
        <w:rPr>
          <w:rFonts w:hint="eastAsia" w:ascii="方正仿宋_GB2312" w:hAnsi="方正仿宋_GB2312" w:eastAsia="方正仿宋_GB2312" w:cs="方正仿宋_GB2312"/>
          <w:sz w:val="32"/>
          <w:szCs w:val="32"/>
          <w:lang w:eastAsia="zh-CN"/>
        </w:rPr>
        <w:t>万元</w:t>
      </w:r>
      <w:r>
        <w:rPr>
          <w:rFonts w:hint="eastAsia" w:ascii="方正仿宋_GB2312" w:hAnsi="方正仿宋_GB2312" w:eastAsia="方正仿宋_GB2312" w:cs="方正仿宋_GB2312"/>
          <w:sz w:val="32"/>
          <w:szCs w:val="32"/>
        </w:rPr>
        <w:t>，主要用于机关及下属事业单位</w:t>
      </w:r>
      <w:r>
        <w:rPr>
          <w:rFonts w:hint="eastAsia" w:ascii="方正仿宋_GB2312" w:hAnsi="方正仿宋_GB2312" w:eastAsia="方正仿宋_GB2312" w:cs="方正仿宋_GB2312"/>
          <w:sz w:val="32"/>
          <w:szCs w:val="32"/>
          <w:lang w:eastAsia="zh-CN"/>
        </w:rPr>
        <w:t>养老保险及职业年金缴费</w:t>
      </w:r>
      <w:r>
        <w:rPr>
          <w:rFonts w:hint="eastAsia" w:ascii="方正仿宋_GB2312" w:hAnsi="方正仿宋_GB2312" w:eastAsia="方正仿宋_GB2312" w:cs="方正仿宋_GB2312"/>
          <w:sz w:val="32"/>
          <w:szCs w:val="32"/>
        </w:rPr>
        <w:t>。</w:t>
      </w:r>
    </w:p>
    <w:p w14:paraId="1CA464F2">
      <w:pPr>
        <w:keepNext w:val="0"/>
        <w:keepLines w:val="0"/>
        <w:pageBreakBefore w:val="0"/>
        <w:kinsoku/>
        <w:wordWrap/>
        <w:overflowPunct/>
        <w:topLinePunct w:val="0"/>
        <w:autoSpaceDE/>
        <w:autoSpaceDN/>
        <w:bidi w:val="0"/>
        <w:spacing w:line="560" w:lineRule="exact"/>
        <w:ind w:left="0" w:leftChars="0" w:right="0" w:rightChars="0" w:firstLine="1056" w:firstLineChars="33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二</w:t>
      </w:r>
      <w:r>
        <w:rPr>
          <w:rFonts w:hint="eastAsia" w:ascii="方正仿宋_GB2312" w:hAnsi="方正仿宋_GB2312" w:eastAsia="方正仿宋_GB2312" w:cs="方正仿宋_GB2312"/>
          <w:sz w:val="32"/>
          <w:szCs w:val="32"/>
        </w:rPr>
        <w:t>）医疗卫生</w:t>
      </w:r>
      <w:r>
        <w:rPr>
          <w:rFonts w:hint="eastAsia" w:ascii="方正仿宋_GB2312" w:hAnsi="方正仿宋_GB2312" w:eastAsia="方正仿宋_GB2312" w:cs="方正仿宋_GB2312"/>
          <w:sz w:val="32"/>
          <w:szCs w:val="32"/>
          <w:lang w:val="en-US" w:eastAsia="zh-CN"/>
        </w:rPr>
        <w:t>11.46</w:t>
      </w:r>
      <w:r>
        <w:rPr>
          <w:rFonts w:hint="eastAsia" w:ascii="方正仿宋_GB2312" w:hAnsi="方正仿宋_GB2312" w:eastAsia="方正仿宋_GB2312" w:cs="方正仿宋_GB2312"/>
          <w:sz w:val="32"/>
          <w:szCs w:val="32"/>
          <w:lang w:eastAsia="zh-CN"/>
        </w:rPr>
        <w:t>万元</w:t>
      </w:r>
      <w:r>
        <w:rPr>
          <w:rFonts w:hint="eastAsia" w:ascii="方正仿宋_GB2312" w:hAnsi="方正仿宋_GB2312" w:eastAsia="方正仿宋_GB2312" w:cs="方正仿宋_GB2312"/>
          <w:sz w:val="32"/>
          <w:szCs w:val="32"/>
        </w:rPr>
        <w:t>，主要用于机关及下属事业单位按照规定标准为职工缴纳的基本医疗保险及公务员医疗补助等支出。</w:t>
      </w:r>
    </w:p>
    <w:p w14:paraId="1F4C0209">
      <w:pPr>
        <w:keepNext w:val="0"/>
        <w:keepLines w:val="0"/>
        <w:pageBreakBefore w:val="0"/>
        <w:kinsoku/>
        <w:wordWrap/>
        <w:overflowPunct/>
        <w:topLinePunct w:val="0"/>
        <w:autoSpaceDE/>
        <w:autoSpaceDN/>
        <w:bidi w:val="0"/>
        <w:spacing w:line="560" w:lineRule="exact"/>
        <w:ind w:left="0" w:leftChars="0" w:right="0" w:rightChars="0" w:firstLine="1056" w:firstLineChars="33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三</w:t>
      </w:r>
      <w:r>
        <w:rPr>
          <w:rFonts w:hint="eastAsia" w:ascii="方正仿宋_GB2312" w:hAnsi="方正仿宋_GB2312" w:eastAsia="方正仿宋_GB2312" w:cs="方正仿宋_GB2312"/>
          <w:sz w:val="32"/>
          <w:szCs w:val="32"/>
        </w:rPr>
        <w:t>）住房保障支出</w:t>
      </w:r>
      <w:r>
        <w:rPr>
          <w:rFonts w:hint="eastAsia" w:ascii="方正仿宋_GB2312" w:hAnsi="方正仿宋_GB2312" w:eastAsia="方正仿宋_GB2312" w:cs="方正仿宋_GB2312"/>
          <w:sz w:val="32"/>
          <w:szCs w:val="32"/>
          <w:lang w:val="en-US" w:eastAsia="zh-CN"/>
        </w:rPr>
        <w:t>13.15</w:t>
      </w:r>
      <w:r>
        <w:rPr>
          <w:rFonts w:hint="eastAsia" w:ascii="方正仿宋_GB2312" w:hAnsi="方正仿宋_GB2312" w:eastAsia="方正仿宋_GB2312" w:cs="方正仿宋_GB2312"/>
          <w:sz w:val="32"/>
          <w:szCs w:val="32"/>
          <w:lang w:eastAsia="zh-CN"/>
        </w:rPr>
        <w:t>万元</w:t>
      </w:r>
      <w:r>
        <w:rPr>
          <w:rFonts w:hint="eastAsia" w:ascii="方正仿宋_GB2312" w:hAnsi="方正仿宋_GB2312" w:eastAsia="方正仿宋_GB2312" w:cs="方正仿宋_GB2312"/>
          <w:sz w:val="32"/>
          <w:szCs w:val="32"/>
        </w:rPr>
        <w:t>，用于机关及下属事业单位按照规定标准为职工缴纳住房公积金等支出。</w:t>
      </w:r>
    </w:p>
    <w:p w14:paraId="69510D73">
      <w:pPr>
        <w:keepNext w:val="0"/>
        <w:keepLines w:val="0"/>
        <w:pageBreakBefore w:val="0"/>
        <w:kinsoku/>
        <w:wordWrap/>
        <w:overflowPunct/>
        <w:topLinePunct w:val="0"/>
        <w:autoSpaceDE/>
        <w:autoSpaceDN/>
        <w:bidi w:val="0"/>
        <w:spacing w:line="560" w:lineRule="exact"/>
        <w:ind w:left="0" w:leftChars="0" w:right="0" w:rightChars="0" w:firstLine="1056" w:firstLineChars="33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四</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商品服务业等支出143.17万元，主要用于机关人员的基本工资及其他支出。</w:t>
      </w:r>
    </w:p>
    <w:p w14:paraId="26F0EAAD">
      <w:pPr>
        <w:keepNext w:val="0"/>
        <w:keepLines w:val="0"/>
        <w:pageBreakBefore w:val="0"/>
        <w:kinsoku/>
        <w:wordWrap/>
        <w:overflowPunct/>
        <w:topLinePunct w:val="0"/>
        <w:autoSpaceDE/>
        <w:autoSpaceDN/>
        <w:bidi w:val="0"/>
        <w:spacing w:line="560" w:lineRule="exact"/>
        <w:ind w:left="0" w:leftChars="0" w:right="0" w:rightChars="0" w:firstLine="1056" w:firstLineChars="33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五</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一般公共服务支出6.71</w:t>
      </w:r>
      <w:r>
        <w:rPr>
          <w:rFonts w:hint="eastAsia" w:ascii="方正仿宋_GB2312" w:hAnsi="方正仿宋_GB2312" w:eastAsia="方正仿宋_GB2312" w:cs="方正仿宋_GB2312"/>
          <w:sz w:val="32"/>
          <w:szCs w:val="32"/>
          <w:lang w:eastAsia="zh-CN"/>
        </w:rPr>
        <w:t>万元</w:t>
      </w:r>
      <w:r>
        <w:rPr>
          <w:rFonts w:hint="eastAsia" w:ascii="方正仿宋_GB2312" w:hAnsi="方正仿宋_GB2312" w:eastAsia="方正仿宋_GB2312" w:cs="方正仿宋_GB2312"/>
          <w:sz w:val="32"/>
          <w:szCs w:val="32"/>
        </w:rPr>
        <w:t>，主要用于机关</w:t>
      </w:r>
      <w:r>
        <w:rPr>
          <w:rFonts w:hint="eastAsia" w:ascii="方正仿宋_GB2312" w:hAnsi="方正仿宋_GB2312" w:eastAsia="方正仿宋_GB2312" w:cs="方正仿宋_GB2312"/>
          <w:sz w:val="32"/>
          <w:szCs w:val="32"/>
          <w:lang w:val="en-US" w:eastAsia="zh-CN"/>
        </w:rPr>
        <w:t>一般公共服务支出</w:t>
      </w:r>
      <w:r>
        <w:rPr>
          <w:rFonts w:hint="eastAsia" w:ascii="方正仿宋_GB2312" w:hAnsi="方正仿宋_GB2312" w:eastAsia="方正仿宋_GB2312" w:cs="方正仿宋_GB2312"/>
          <w:sz w:val="32"/>
          <w:szCs w:val="32"/>
        </w:rPr>
        <w:t>。</w:t>
      </w:r>
    </w:p>
    <w:p w14:paraId="48DF75FA">
      <w:pPr>
        <w:pStyle w:val="2"/>
        <w:rPr>
          <w:rFonts w:hint="default"/>
          <w:lang w:val="en-US" w:eastAsia="zh-CN"/>
        </w:rPr>
      </w:pPr>
    </w:p>
    <w:p w14:paraId="435C3C5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899" w:firstLineChars="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001DC1FB">
      <w:pPr>
        <w:keepNext w:val="0"/>
        <w:keepLines w:val="0"/>
        <w:pageBreakBefore w:val="0"/>
        <w:kinsoku/>
        <w:wordWrap/>
        <w:overflowPunct/>
        <w:topLinePunct w:val="0"/>
        <w:autoSpaceDE/>
        <w:autoSpaceDN/>
        <w:bidi w:val="0"/>
        <w:spacing w:line="560" w:lineRule="exact"/>
        <w:ind w:left="0" w:leftChars="0" w:right="0" w:rightChars="0" w:firstLine="1056" w:firstLineChars="33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本年度预算拨款收入198.6万元较上年度预算184.45万元增加了7.67%，其中基本行政运行经费预算191.9万元，占全部总预算的96.62%，较上年177.74万元增加7.96了%，原因为人员变动，正常收支活动影响；专项业务工作经费预算6.71万元，占总预算的4%，较上年预算6.71万元，无增加。 </w:t>
      </w:r>
      <w:r>
        <w:rPr>
          <w:rFonts w:hint="eastAsia" w:ascii="方正仿宋_GB2312" w:hAnsi="方正仿宋_GB2312" w:eastAsia="方正仿宋_GB2312" w:cs="方正仿宋_GB2312"/>
          <w:color w:val="333333"/>
          <w:kern w:val="0"/>
          <w:sz w:val="32"/>
          <w:szCs w:val="32"/>
          <w:shd w:val="clear" w:color="auto" w:fill="FFFFFF"/>
          <w:lang w:val="en-US" w:eastAsia="zh-CN" w:bidi="ar"/>
        </w:rPr>
        <w:t xml:space="preserve"> </w:t>
      </w:r>
      <w:r>
        <w:rPr>
          <w:rFonts w:hint="eastAsia" w:ascii="方正仿宋_GB2312" w:hAnsi="方正仿宋_GB2312" w:eastAsia="方正仿宋_GB2312" w:cs="方正仿宋_GB2312"/>
          <w:sz w:val="32"/>
          <w:szCs w:val="32"/>
          <w:lang w:val="en-US" w:eastAsia="zh-CN"/>
        </w:rPr>
        <w:t xml:space="preserve"> </w:t>
      </w:r>
    </w:p>
    <w:p w14:paraId="52AC9A3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899" w:firstLine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1EA8615A">
      <w:pPr>
        <w:keepNext w:val="0"/>
        <w:keepLines w:val="0"/>
        <w:pageBreakBefore w:val="0"/>
        <w:kinsoku/>
        <w:wordWrap/>
        <w:overflowPunct/>
        <w:topLinePunct w:val="0"/>
        <w:autoSpaceDE/>
        <w:autoSpaceDN/>
        <w:bidi w:val="0"/>
        <w:spacing w:line="560" w:lineRule="exact"/>
        <w:ind w:left="0" w:leftChars="0" w:right="0" w:rightChars="0" w:firstLine="1056" w:firstLineChars="330"/>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本年度三公经费预算安排支出为2.62万元，其中：出国费0万元，与上年持平，主要原因为未安排因公出国；公车购置费0元，公务用车维护费支出2.62万元，较上年度预算2.62万元持平，主要原因严格执行“八项规定、六项禁令”；二是将有关股室的工作有机地结合起来，减少不必要的资源浪费。</w:t>
      </w:r>
    </w:p>
    <w:p w14:paraId="16882F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899" w:firstLine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0AF27CE1">
      <w:pPr>
        <w:keepNext w:val="0"/>
        <w:keepLines w:val="0"/>
        <w:pageBreakBefore w:val="0"/>
        <w:kinsoku/>
        <w:wordWrap/>
        <w:overflowPunct/>
        <w:topLinePunct w:val="0"/>
        <w:autoSpaceDE/>
        <w:autoSpaceDN/>
        <w:bidi w:val="0"/>
        <w:spacing w:line="560" w:lineRule="exact"/>
        <w:ind w:left="0" w:leftChars="0" w:right="0" w:rightChars="0" w:firstLine="1056" w:firstLineChars="330"/>
        <w:textAlignment w:val="auto"/>
        <w:rPr>
          <w:rFonts w:hint="eastAsia" w:ascii="仿宋_GB2312" w:eastAsia="仿宋_GB2312"/>
          <w:sz w:val="32"/>
          <w:szCs w:val="32"/>
          <w:lang w:val="en-US" w:eastAsia="zh-CN"/>
        </w:rPr>
      </w:pPr>
      <w:r>
        <w:rPr>
          <w:rFonts w:hint="eastAsia" w:ascii="方正仿宋_GB2312" w:hAnsi="方正仿宋_GB2312" w:eastAsia="方正仿宋_GB2312" w:cs="方正仿宋_GB2312"/>
          <w:sz w:val="32"/>
          <w:szCs w:val="32"/>
          <w:lang w:val="en-US" w:eastAsia="zh-CN"/>
        </w:rPr>
        <w:t>2026年无使用政府性基金预算拨款安排的支出。</w:t>
      </w:r>
    </w:p>
    <w:p w14:paraId="2FD7798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firstLine="419" w:firstLine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22AD3C58">
      <w:pPr>
        <w:keepNext w:val="0"/>
        <w:keepLines w:val="0"/>
        <w:pageBreakBefore w:val="0"/>
        <w:kinsoku/>
        <w:wordWrap/>
        <w:overflowPunct/>
        <w:topLinePunct w:val="0"/>
        <w:autoSpaceDE/>
        <w:autoSpaceDN/>
        <w:bidi w:val="0"/>
        <w:spacing w:line="560" w:lineRule="exact"/>
        <w:ind w:left="0" w:leftChars="0" w:right="0" w:rightChars="0" w:firstLine="1056" w:firstLineChars="330"/>
        <w:textAlignment w:val="auto"/>
        <w:rPr>
          <w:rFonts w:hint="eastAsia" w:ascii="仿宋_GB2312" w:eastAsia="仿宋_GB2312"/>
          <w:sz w:val="32"/>
          <w:szCs w:val="32"/>
          <w:lang w:val="en-US" w:eastAsia="zh-CN"/>
        </w:rPr>
      </w:pPr>
      <w:r>
        <w:rPr>
          <w:rFonts w:hint="eastAsia" w:ascii="方正仿宋_GB2312" w:hAnsi="方正仿宋_GB2312" w:eastAsia="方正仿宋_GB2312" w:cs="方正仿宋_GB2312"/>
          <w:sz w:val="32"/>
          <w:szCs w:val="32"/>
          <w:lang w:val="en-US" w:eastAsia="zh-CN"/>
        </w:rPr>
        <w:t>2026年无使用国有资本经营预算拨款安排的支出</w:t>
      </w:r>
      <w:r>
        <w:rPr>
          <w:rFonts w:hint="eastAsia" w:ascii="仿宋_GB2312" w:eastAsia="仿宋_GB2312"/>
          <w:sz w:val="32"/>
          <w:szCs w:val="32"/>
          <w:lang w:val="en-US" w:eastAsia="zh-CN"/>
        </w:rPr>
        <w:t>。</w:t>
      </w:r>
    </w:p>
    <w:p w14:paraId="0371B17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firstLine="419" w:firstLine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0CE430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899" w:firstLine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67424E2C">
      <w:pPr>
        <w:keepNext w:val="0"/>
        <w:keepLines w:val="0"/>
        <w:pageBreakBefore w:val="0"/>
        <w:kinsoku/>
        <w:wordWrap/>
        <w:overflowPunct/>
        <w:topLinePunct w:val="0"/>
        <w:autoSpaceDE/>
        <w:autoSpaceDN/>
        <w:bidi w:val="0"/>
        <w:spacing w:line="560" w:lineRule="exact"/>
        <w:ind w:left="0" w:leftChars="0" w:right="0" w:rightChars="0" w:firstLine="1056" w:firstLineChars="330"/>
        <w:textAlignment w:val="auto"/>
        <w:rPr>
          <w:rFonts w:hint="eastAsia" w:ascii="仿宋_GB2312" w:eastAsia="仿宋_GB2312"/>
          <w:sz w:val="32"/>
          <w:szCs w:val="32"/>
          <w:lang w:val="en-US" w:eastAsia="zh-CN"/>
        </w:rPr>
      </w:pPr>
      <w:r>
        <w:rPr>
          <w:rFonts w:hint="eastAsia" w:ascii="方正仿宋_GB2312" w:hAnsi="方正仿宋_GB2312" w:eastAsia="方正仿宋_GB2312" w:cs="方正仿宋_GB2312"/>
          <w:sz w:val="32"/>
          <w:szCs w:val="32"/>
          <w:lang w:val="en-US" w:eastAsia="zh-CN"/>
        </w:rPr>
        <w:t>2026年度安排政府采购预算0万元。</w:t>
      </w:r>
    </w:p>
    <w:p w14:paraId="6986E04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964" w:firstLineChars="30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（二）绩效目标设置情况</w:t>
      </w:r>
    </w:p>
    <w:p w14:paraId="65F322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1056" w:firstLineChars="330"/>
        <w:jc w:val="both"/>
        <w:textAlignment w:val="auto"/>
        <w:outlineLvl w:val="9"/>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绩效目标是预算编制的前提和基础，按照“费随事定”的原则，2026年我单位项目支出按要求编制了绩效目标，从项目完成、项目效益、满意度等推进。。</w:t>
      </w:r>
    </w:p>
    <w:p w14:paraId="5F336B60">
      <w:pPr>
        <w:keepNext w:val="0"/>
        <w:keepLines w:val="0"/>
        <w:pageBreakBefore w:val="0"/>
        <w:kinsoku/>
        <w:wordWrap/>
        <w:overflowPunct/>
        <w:topLinePunct w:val="0"/>
        <w:autoSpaceDE/>
        <w:autoSpaceDN/>
        <w:bidi w:val="0"/>
        <w:spacing w:line="560" w:lineRule="exact"/>
        <w:ind w:left="640" w:leftChars="0" w:right="0" w:rightChars="0" w:firstLine="0" w:firstLineChars="0"/>
        <w:textAlignment w:val="auto"/>
        <w:rPr>
          <w:rFonts w:hint="eastAsia" w:ascii="方正仿宋_GB18030" w:hAnsi="方正仿宋_GB18030" w:eastAsia="方正仿宋_GB18030" w:cs="方正仿宋_GB18030"/>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方正仿宋_GB18030" w:hAnsi="方正仿宋_GB18030" w:eastAsia="方正仿宋_GB18030" w:cs="方正仿宋_GB18030"/>
          <w:sz w:val="32"/>
          <w:szCs w:val="32"/>
          <w:lang w:val="en-US" w:eastAsia="zh-CN"/>
        </w:rPr>
        <w:t xml:space="preserve">1.财政拨款收入：指财政部门核拨给单位的财政预算资金。 </w:t>
      </w:r>
      <w:r>
        <w:rPr>
          <w:rFonts w:hint="eastAsia" w:ascii="方正仿宋_GB18030" w:hAnsi="方正仿宋_GB18030" w:eastAsia="方正仿宋_GB18030" w:cs="方正仿宋_GB18030"/>
          <w:sz w:val="32"/>
          <w:szCs w:val="32"/>
          <w:lang w:val="en-US" w:eastAsia="zh-CN"/>
        </w:rPr>
        <w:br w:type="textWrapping"/>
      </w:r>
      <w:r>
        <w:rPr>
          <w:rFonts w:hint="eastAsia" w:ascii="方正仿宋_GB18030" w:hAnsi="方正仿宋_GB18030" w:eastAsia="方正仿宋_GB18030" w:cs="方正仿宋_GB18030"/>
          <w:sz w:val="32"/>
          <w:szCs w:val="32"/>
          <w:lang w:val="en-US" w:eastAsia="zh-CN"/>
        </w:rPr>
        <w:t>2.其他收入：指除上述财政部门拨付单位以外的收入。</w:t>
      </w:r>
    </w:p>
    <w:p w14:paraId="4F2F5301">
      <w:pPr>
        <w:keepNext w:val="0"/>
        <w:keepLines w:val="0"/>
        <w:pageBreakBefore w:val="0"/>
        <w:kinsoku/>
        <w:wordWrap/>
        <w:overflowPunct/>
        <w:topLinePunct w:val="0"/>
        <w:autoSpaceDE/>
        <w:autoSpaceDN/>
        <w:bidi w:val="0"/>
        <w:spacing w:line="560" w:lineRule="exact"/>
        <w:ind w:right="0" w:rightChars="0" w:firstLine="640" w:firstLineChars="200"/>
        <w:textAlignment w:val="auto"/>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lang w:val="en-US" w:eastAsia="zh-CN"/>
        </w:rPr>
        <w:t>3.基本支出：指为保障单位机关正常运转、完成日常工作任务而发生的人员支出和公用支出。</w:t>
      </w:r>
      <w:r>
        <w:rPr>
          <w:rFonts w:hint="eastAsia" w:ascii="方正仿宋_GB18030" w:hAnsi="方正仿宋_GB18030" w:eastAsia="方正仿宋_GB18030" w:cs="方正仿宋_GB18030"/>
          <w:sz w:val="32"/>
          <w:szCs w:val="32"/>
          <w:lang w:val="en-US" w:eastAsia="zh-CN"/>
        </w:rPr>
        <w:br w:type="textWrapping"/>
      </w:r>
      <w:r>
        <w:rPr>
          <w:rFonts w:hint="eastAsia" w:ascii="方正仿宋_GB18030" w:hAnsi="方正仿宋_GB18030" w:eastAsia="方正仿宋_GB18030" w:cs="方正仿宋_GB18030"/>
          <w:sz w:val="32"/>
          <w:szCs w:val="32"/>
          <w:lang w:val="en-US" w:eastAsia="zh-CN"/>
        </w:rPr>
        <w:t xml:space="preserve">    4.项目支出：指在基本支出之外为完成特定行政任务和事业发展目标所发生的支出。</w:t>
      </w:r>
      <w:r>
        <w:rPr>
          <w:rFonts w:hint="eastAsia" w:ascii="方正仿宋_GB18030" w:hAnsi="方正仿宋_GB18030" w:eastAsia="方正仿宋_GB18030" w:cs="方正仿宋_GB18030"/>
          <w:sz w:val="32"/>
          <w:szCs w:val="32"/>
          <w:lang w:val="en-US" w:eastAsia="zh-CN"/>
        </w:rPr>
        <w:br w:type="textWrapping"/>
      </w:r>
      <w:r>
        <w:rPr>
          <w:rFonts w:hint="eastAsia" w:ascii="方正仿宋_GB18030" w:hAnsi="方正仿宋_GB18030" w:eastAsia="方正仿宋_GB18030" w:cs="方正仿宋_GB18030"/>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D22732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方正仿宋_GB18030" w:hAnsi="方正仿宋_GB18030" w:eastAsia="方正仿宋_GB18030" w:cs="方正仿宋_GB18030"/>
          <w:sz w:val="32"/>
          <w:szCs w:val="32"/>
          <w:lang w:val="en-US" w:eastAsia="zh-CN"/>
        </w:rPr>
      </w:pPr>
    </w:p>
    <w:p w14:paraId="6DA20D9C">
      <w:pPr>
        <w:keepNext w:val="0"/>
        <w:keepLines w:val="0"/>
        <w:pageBreakBefore w:val="0"/>
        <w:kinsoku/>
        <w:wordWrap/>
        <w:overflowPunct/>
        <w:topLinePunct w:val="0"/>
        <w:autoSpaceDE/>
        <w:autoSpaceDN/>
        <w:bidi w:val="0"/>
        <w:spacing w:line="560" w:lineRule="exact"/>
        <w:ind w:left="0" w:leftChars="0" w:right="0" w:rightChars="0" w:firstLine="1056" w:firstLineChars="330"/>
        <w:textAlignment w:val="auto"/>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lang w:val="en-US" w:eastAsia="zh-CN"/>
        </w:rPr>
        <w:t>附件：表1.部门收支总表</w:t>
      </w:r>
    </w:p>
    <w:p w14:paraId="0C2918E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016" w:firstLineChars="630"/>
        <w:jc w:val="both"/>
        <w:textAlignment w:val="auto"/>
        <w:outlineLvl w:val="9"/>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lang w:val="en-US" w:eastAsia="zh-CN"/>
        </w:rPr>
        <w:t>表2.部门收入总表</w:t>
      </w:r>
    </w:p>
    <w:p w14:paraId="5F7C534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016" w:firstLineChars="630"/>
        <w:jc w:val="both"/>
        <w:textAlignment w:val="auto"/>
        <w:outlineLvl w:val="9"/>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lang w:val="en-US" w:eastAsia="zh-CN"/>
        </w:rPr>
        <w:t>表3.部门支出总表</w:t>
      </w:r>
    </w:p>
    <w:p w14:paraId="6E3A573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016" w:firstLineChars="630"/>
        <w:jc w:val="both"/>
        <w:textAlignment w:val="auto"/>
        <w:outlineLvl w:val="9"/>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lang w:val="en-US" w:eastAsia="zh-CN"/>
        </w:rPr>
        <w:t>表4.财政拨款收支预算总表</w:t>
      </w:r>
    </w:p>
    <w:p w14:paraId="2B40536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016" w:firstLineChars="630"/>
        <w:jc w:val="both"/>
        <w:textAlignment w:val="auto"/>
        <w:outlineLvl w:val="9"/>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lang w:val="en-US" w:eastAsia="zh-CN"/>
        </w:rPr>
        <w:t>表5.财政拨款支出预算表（部门经济分类科目）</w:t>
      </w:r>
    </w:p>
    <w:p w14:paraId="1F9F058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016" w:firstLineChars="630"/>
        <w:jc w:val="both"/>
        <w:textAlignment w:val="auto"/>
        <w:outlineLvl w:val="9"/>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lang w:val="en-US" w:eastAsia="zh-CN"/>
        </w:rPr>
        <w:t>表6.一般公共预算支出预算表</w:t>
      </w:r>
    </w:p>
    <w:p w14:paraId="753056D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016" w:firstLineChars="630"/>
        <w:jc w:val="both"/>
        <w:textAlignment w:val="auto"/>
        <w:outlineLvl w:val="9"/>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lang w:val="en-US" w:eastAsia="zh-CN"/>
        </w:rPr>
        <w:t>表7.一般公共预算基本支出预算表</w:t>
      </w:r>
    </w:p>
    <w:p w14:paraId="1DACD33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016" w:firstLineChars="630"/>
        <w:jc w:val="both"/>
        <w:textAlignment w:val="auto"/>
        <w:outlineLvl w:val="9"/>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lang w:val="en-US" w:eastAsia="zh-CN"/>
        </w:rPr>
        <w:t>表8.一般公共预算项目支出预算表</w:t>
      </w:r>
    </w:p>
    <w:p w14:paraId="179087D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016" w:firstLineChars="630"/>
        <w:jc w:val="both"/>
        <w:textAlignment w:val="auto"/>
        <w:outlineLvl w:val="9"/>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lang w:val="en-US" w:eastAsia="zh-CN"/>
        </w:rPr>
        <w:t>表9.一般公共预算“三公”经费支出预算表</w:t>
      </w:r>
    </w:p>
    <w:p w14:paraId="1DE4696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016" w:firstLineChars="630"/>
        <w:jc w:val="both"/>
        <w:textAlignment w:val="auto"/>
        <w:outlineLvl w:val="9"/>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lang w:val="en-US" w:eastAsia="zh-CN"/>
        </w:rPr>
        <w:t>表10.政府性基金支出预算表</w:t>
      </w:r>
    </w:p>
    <w:p w14:paraId="05320D7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016" w:firstLineChars="630"/>
        <w:jc w:val="both"/>
        <w:textAlignment w:val="auto"/>
        <w:outlineLvl w:val="9"/>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lang w:val="en-US" w:eastAsia="zh-CN"/>
        </w:rPr>
        <w:t>表11.政府性基金预算“三公”经费支出预算表</w:t>
      </w:r>
    </w:p>
    <w:p w14:paraId="43556F6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016" w:firstLineChars="630"/>
        <w:jc w:val="both"/>
        <w:textAlignment w:val="auto"/>
        <w:outlineLvl w:val="9"/>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lang w:val="en-US" w:eastAsia="zh-CN"/>
        </w:rPr>
        <w:t>表12.国有资本经营预算支出预算表</w:t>
      </w:r>
    </w:p>
    <w:p w14:paraId="61AC09D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016" w:firstLineChars="630"/>
        <w:jc w:val="both"/>
        <w:textAlignment w:val="auto"/>
        <w:outlineLvl w:val="9"/>
        <w:rPr>
          <w:rFonts w:hint="eastAsia" w:ascii="方正仿宋_GB18030" w:hAnsi="方正仿宋_GB18030" w:eastAsia="方正仿宋_GB18030" w:cs="方正仿宋_GB18030"/>
          <w:sz w:val="32"/>
          <w:szCs w:val="32"/>
          <w:lang w:val="en-US" w:eastAsia="zh-CN"/>
        </w:rPr>
      </w:pPr>
      <w:r>
        <w:rPr>
          <w:rFonts w:hint="eastAsia" w:ascii="方正仿宋_GB18030" w:hAnsi="方正仿宋_GB18030" w:eastAsia="方正仿宋_GB18030" w:cs="方正仿宋_GB18030"/>
          <w:sz w:val="32"/>
          <w:szCs w:val="32"/>
          <w:lang w:val="en-US" w:eastAsia="zh-CN"/>
        </w:rPr>
        <w:t>表13.部门项目支出绩效目标表（2026年度）</w:t>
      </w:r>
    </w:p>
    <w:p w14:paraId="44E33CB4">
      <w:pPr>
        <w:rPr>
          <w:rFonts w:hint="eastAsia" w:ascii="方正仿宋_GB18030" w:hAnsi="方正仿宋_GB18030" w:eastAsia="方正仿宋_GB18030" w:cs="方正仿宋_GB180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2A0F51-9991-4D9A-A460-BBDF7D0B51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8BD1008-82BE-40DA-A3DF-6AB4B632ABC8}"/>
  </w:font>
  <w:font w:name="仿宋_GB2312">
    <w:panose1 w:val="02010609030101010101"/>
    <w:charset w:val="86"/>
    <w:family w:val="modern"/>
    <w:pitch w:val="default"/>
    <w:sig w:usb0="00000001" w:usb1="080E0000" w:usb2="00000000" w:usb3="00000000" w:csb0="00040000" w:csb1="00000000"/>
    <w:embedRegular r:id="rId3" w:fontKey="{003D3E6E-B9CE-466E-AC51-EBDBEA0348DC}"/>
  </w:font>
  <w:font w:name="楷体">
    <w:panose1 w:val="02010609060101010101"/>
    <w:charset w:val="86"/>
    <w:family w:val="auto"/>
    <w:pitch w:val="default"/>
    <w:sig w:usb0="800002BF" w:usb1="38CF7CFA" w:usb2="00000016" w:usb3="00000000" w:csb0="00040001" w:csb1="00000000"/>
    <w:embedRegular r:id="rId4" w:fontKey="{A80278B3-D54E-43FC-A77B-6709C2E1912A}"/>
  </w:font>
  <w:font w:name="楷体_GB2312">
    <w:panose1 w:val="02010609030101010101"/>
    <w:charset w:val="86"/>
    <w:family w:val="auto"/>
    <w:pitch w:val="default"/>
    <w:sig w:usb0="00000001" w:usb1="080E0000" w:usb2="00000000" w:usb3="00000000" w:csb0="00040000" w:csb1="00000000"/>
    <w:embedRegular r:id="rId5" w:fontKey="{8BEFDB66-04C3-4BAD-9E6B-DEF2A137CD4A}"/>
  </w:font>
  <w:font w:name="方正仿宋_GB2312">
    <w:panose1 w:val="02000000000000000000"/>
    <w:charset w:val="86"/>
    <w:family w:val="auto"/>
    <w:pitch w:val="default"/>
    <w:sig w:usb0="A00002BF" w:usb1="184F6CFA" w:usb2="00000012" w:usb3="00000000" w:csb0="00040001" w:csb1="00000000"/>
    <w:embedRegular r:id="rId6" w:fontKey="{5F353595-6924-49D3-8939-7C3195F082EB}"/>
  </w:font>
  <w:font w:name="WPSEMBED3">
    <w:panose1 w:val="02010609030101010101"/>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仿宋_GB18030">
    <w:panose1 w:val="02000000000000000000"/>
    <w:charset w:val="86"/>
    <w:family w:val="auto"/>
    <w:pitch w:val="default"/>
    <w:sig w:usb0="00000001" w:usb1="08000000" w:usb2="00000000" w:usb3="00000000" w:csb0="00040000" w:csb1="00000000"/>
    <w:embedRegular r:id="rId7" w:fontKey="{04DDCD5E-9CCD-473E-87B7-944054066A6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pPr>
        <w:ind w:left="-1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3B46C2F"/>
    <w:rsid w:val="0E0407B3"/>
    <w:rsid w:val="0E4312DC"/>
    <w:rsid w:val="0F0942D3"/>
    <w:rsid w:val="13070B2A"/>
    <w:rsid w:val="15E440F6"/>
    <w:rsid w:val="19C1402F"/>
    <w:rsid w:val="1A497C7A"/>
    <w:rsid w:val="1AA255DC"/>
    <w:rsid w:val="1F503858"/>
    <w:rsid w:val="2D41758F"/>
    <w:rsid w:val="36086950"/>
    <w:rsid w:val="38E55EED"/>
    <w:rsid w:val="49B903DB"/>
    <w:rsid w:val="50A81E1B"/>
    <w:rsid w:val="511E6A63"/>
    <w:rsid w:val="57E04A72"/>
    <w:rsid w:val="5B072527"/>
    <w:rsid w:val="5F78432A"/>
    <w:rsid w:val="61CB5FB9"/>
    <w:rsid w:val="6AD06BC8"/>
    <w:rsid w:val="74EB2167"/>
    <w:rsid w:val="7D9F3D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2"/>
    <w:qFormat/>
    <w:uiPriority w:val="0"/>
    <w:pPr>
      <w:spacing w:after="120"/>
      <w:ind w:left="200" w:leftChars="200"/>
    </w:pPr>
  </w:style>
  <w:style w:type="paragraph" w:styleId="4">
    <w:name w:val="Body Text"/>
    <w:basedOn w:val="1"/>
    <w:qFormat/>
    <w:uiPriority w:val="0"/>
    <w:pPr>
      <w:spacing w:before="93" w:beforeLines="30"/>
    </w:pPr>
    <w:rPr>
      <w:rFonts w:ascii="仿宋_GB2312" w:eastAsia="仿宋_GB2312"/>
      <w:sz w:val="30"/>
    </w:rPr>
  </w:style>
  <w:style w:type="paragraph" w:customStyle="1" w:styleId="7">
    <w:name w:val="正文文本1"/>
    <w:basedOn w:val="1"/>
    <w:qFormat/>
    <w:uiPriority w:val="0"/>
    <w:pPr>
      <w:spacing w:before="93"/>
    </w:pPr>
    <w:rPr>
      <w:rFonts w:ascii="仿宋_GB2312" w:eastAsia="仿宋_GB2312"/>
      <w:kern w:val="0"/>
      <w:sz w:val="30"/>
      <w:szCs w:val="20"/>
    </w:rPr>
  </w:style>
  <w:style w:type="paragraph" w:customStyle="1" w:styleId="8">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2715</Words>
  <Characters>2885</Characters>
  <Lines>0</Lines>
  <Paragraphs>0</Paragraphs>
  <TotalTime>51</TotalTime>
  <ScaleCrop>false</ScaleCrop>
  <LinksUpToDate>false</LinksUpToDate>
  <CharactersWithSpaces>2937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折旧、</cp:lastModifiedBy>
  <cp:lastPrinted>2025-06-05T06:17:00Z</cp:lastPrinted>
  <dcterms:modified xsi:type="dcterms:W3CDTF">2026-02-13T05:55:53Z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eyJoZGlkIjoiZTg2ZGU3OWYyOTM1MDM4MWZjY2E0MzliZmU1MzcwYWEiLCJ1c2VySWQiOiIyNzM4NDg0NjkifQ==</vt:lpwstr>
  </property>
  <property fmtid="{D5CDD505-2E9C-101B-9397-08002B2CF9AE}" pid="4" name="ICV">
    <vt:lpwstr>3D40B854CF7044D09980196AC6F050AB_13</vt:lpwstr>
  </property>
</Properties>
</file>