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754DB">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lang w:val="en-US" w:eastAsia="zh-CN"/>
        </w:rPr>
      </w:pPr>
      <w:r>
        <w:rPr>
          <w:rFonts w:hint="eastAsia" w:ascii="小标宋" w:hAnsi="小标宋" w:eastAsia="小标宋" w:cs="小标宋"/>
          <w:b w:val="0"/>
          <w:bCs/>
          <w:sz w:val="44"/>
          <w:szCs w:val="44"/>
          <w:lang w:val="en-US" w:eastAsia="zh-CN"/>
        </w:rPr>
        <w:t>红原县应急管理局</w:t>
      </w:r>
    </w:p>
    <w:p w14:paraId="42E6AF36">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rPr>
      </w:pPr>
      <w:r>
        <w:rPr>
          <w:rFonts w:hint="eastAsia" w:ascii="小标宋" w:hAnsi="小标宋" w:eastAsia="小标宋" w:cs="小标宋"/>
          <w:b w:val="0"/>
          <w:bCs/>
          <w:sz w:val="44"/>
          <w:szCs w:val="44"/>
          <w:lang w:eastAsia="zh-CN"/>
        </w:rPr>
        <w:t>202</w:t>
      </w:r>
      <w:r>
        <w:rPr>
          <w:rFonts w:hint="eastAsia" w:ascii="小标宋" w:hAnsi="小标宋" w:eastAsia="小标宋" w:cs="小标宋"/>
          <w:b w:val="0"/>
          <w:bCs/>
          <w:sz w:val="44"/>
          <w:szCs w:val="44"/>
          <w:lang w:val="en-US" w:eastAsia="zh-CN"/>
        </w:rPr>
        <w:t>6</w:t>
      </w:r>
      <w:r>
        <w:rPr>
          <w:rFonts w:hint="eastAsia" w:ascii="小标宋" w:hAnsi="小标宋" w:eastAsia="小标宋" w:cs="小标宋"/>
          <w:b w:val="0"/>
          <w:bCs/>
          <w:sz w:val="44"/>
          <w:szCs w:val="44"/>
          <w:lang w:eastAsia="zh-CN"/>
        </w:rPr>
        <w:t>年</w:t>
      </w:r>
      <w:r>
        <w:rPr>
          <w:rFonts w:hint="eastAsia" w:ascii="小标宋" w:hAnsi="小标宋" w:eastAsia="小标宋" w:cs="小标宋"/>
          <w:b w:val="0"/>
          <w:bCs/>
          <w:sz w:val="44"/>
          <w:szCs w:val="44"/>
        </w:rPr>
        <w:t>部门预算编制的说明</w:t>
      </w:r>
    </w:p>
    <w:p w14:paraId="128131A7">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7E195419">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14:paraId="08359243">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14:paraId="331ADA7D">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（一）基本职能</w:t>
      </w:r>
    </w:p>
    <w:p w14:paraId="68CA66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1.县应急局贯彻落实党中央关于应急工作的方针政策和省委、州委、县委的决策部署，在履行职责过程中坚持和加强党对应急工作的集中统一领导。</w:t>
      </w:r>
    </w:p>
    <w:p w14:paraId="371DCB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2.负责应急管理工作，组织和指导各乡（镇）、各部门（单位）应对安全生产类、自然灾害类等突发事件和综合防灾减灾救灾工作。负责安全生产综合监督管理和工矿商贸行业安全生产监督管理工作。</w:t>
      </w:r>
    </w:p>
    <w:p w14:paraId="7F415E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3.拟订应急管理、安全生产等规范性文件，组织编制应急体系建设、安全生产综合防灾减灾救灾规划。</w:t>
      </w:r>
    </w:p>
    <w:p w14:paraId="007380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4.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14:paraId="005AB6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5.按照国家、省、州相关政策和规定负责消防、森林和草原火灾扑救、抗洪抢险、地震和地质灾害救援、生产安全事故救援等专业应急救援力量建设，依法依规统筹指导各乡（镇）及社会应急救援力量和应急保障能力建设。</w:t>
      </w:r>
    </w:p>
    <w:p w14:paraId="695784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6.负责组织、协调灾害救助工作，组织和指导灾情核查、损失评估、救灾捐赠工作，管理、分配中央、省、州下拨及县级救灾款物并监督使用。</w:t>
      </w:r>
    </w:p>
    <w:p w14:paraId="658743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7.依法承担县政府安全生产综合监督管理责任，指导协调、监督检查县有关部门和各乡（镇）政府安全生产工作，组织开展安全生产巡查、督查、考核工作。</w:t>
      </w:r>
    </w:p>
    <w:p w14:paraId="383C78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left="0" w:right="0" w:firstLine="42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  8.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安全监督管理综合工作和烟花爆竹安全生产监督管理工作。</w:t>
      </w:r>
    </w:p>
    <w:p w14:paraId="2EA055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left="0" w:right="0" w:firstLine="42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color="auto" w:fill="FFFFFF"/>
        </w:rPr>
        <w:t>  9.负责应急管理、安全生产宣传教育和培训工作，组织和指导应急管理、安全生产的科学技术推广应用和信息化建设工作。</w:t>
      </w:r>
    </w:p>
    <w:p w14:paraId="655637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left="0" w:right="0" w:firstLine="420"/>
        <w:jc w:val="both"/>
        <w:textAlignment w:val="auto"/>
        <w:rPr>
          <w:rFonts w:hint="eastAsia" w:ascii="楷体" w:hAnsi="楷体" w:eastAsia="楷体" w:cs="楷体"/>
          <w:b/>
          <w:bCs w:val="0"/>
          <w:sz w:val="32"/>
          <w:szCs w:val="32"/>
          <w:lang w:eastAsia="zh-CN"/>
        </w:rPr>
      </w:pPr>
      <w:r>
        <w:rPr>
          <w:rFonts w:hint="eastAsia" w:ascii="仿宋_GB2312" w:hAnsi="仿宋_GB2312" w:eastAsia="仿宋_GB2312" w:cs="仿宋_GB2312"/>
          <w:i w:val="0"/>
          <w:iCs w:val="0"/>
          <w:caps w:val="0"/>
          <w:color w:val="000000"/>
          <w:spacing w:val="0"/>
          <w:sz w:val="32"/>
          <w:szCs w:val="32"/>
          <w:shd w:val="clear" w:color="auto" w:fill="FFFFFF"/>
        </w:rPr>
        <w:t> 10.完成县委、县政府交办的其他任务。</w:t>
      </w:r>
    </w:p>
    <w:p w14:paraId="53963308">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（二）202</w:t>
      </w:r>
      <w:r>
        <w:rPr>
          <w:rFonts w:hint="eastAsia" w:ascii="楷体" w:hAnsi="楷体" w:eastAsia="楷体" w:cs="楷体"/>
          <w:b/>
          <w:bCs w:val="0"/>
          <w:sz w:val="32"/>
          <w:szCs w:val="32"/>
          <w:lang w:val="en-US" w:eastAsia="zh-CN"/>
        </w:rPr>
        <w:t>6</w:t>
      </w:r>
      <w:r>
        <w:rPr>
          <w:rFonts w:hint="eastAsia" w:ascii="楷体" w:hAnsi="楷体" w:eastAsia="楷体" w:cs="楷体"/>
          <w:b/>
          <w:bCs w:val="0"/>
          <w:sz w:val="32"/>
          <w:szCs w:val="32"/>
          <w:lang w:eastAsia="zh-CN"/>
        </w:rPr>
        <w:t>年重点工作任务</w:t>
      </w:r>
    </w:p>
    <w:p w14:paraId="0C74B2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我局将严格按照省、州、县工作要求，进一步抓好安全生产、应急管理、森林草原防灭火、防震减灾和防汛减灾各项工作，为全县经济高质量发展提供坚实的安全保障。</w:t>
      </w:r>
    </w:p>
    <w:p w14:paraId="17FA4773">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val="0"/>
        <w:snapToGrid/>
        <w:spacing w:line="560" w:lineRule="exact"/>
        <w:ind w:left="0" w:leftChars="0" w:firstLine="643" w:firstLineChars="200"/>
        <w:jc w:val="both"/>
        <w:textAlignment w:val="auto"/>
        <w:rPr>
          <w:rFonts w:hint="eastAsia" w:ascii="楷体" w:hAnsi="楷体" w:eastAsia="楷体" w:cs="楷体"/>
          <w:b/>
          <w:bCs w:val="0"/>
          <w:sz w:val="32"/>
          <w:szCs w:val="32"/>
          <w:lang w:eastAsia="zh-CN"/>
        </w:rPr>
      </w:pPr>
      <w:r>
        <w:rPr>
          <w:rFonts w:hint="eastAsia" w:ascii="方正楷体_GBK" w:hAnsi="方正楷体_GBK" w:eastAsia="方正楷体_GBK" w:cs="方正楷体_GBK"/>
          <w:b/>
          <w:bCs/>
          <w:color w:val="000000"/>
          <w:kern w:val="2"/>
          <w:sz w:val="32"/>
          <w:szCs w:val="32"/>
          <w:lang w:val="en-US" w:eastAsia="zh-CN" w:bidi="ar-SA"/>
        </w:rPr>
        <w:t>一是四季抓好安全防范工作。</w:t>
      </w:r>
      <w:r>
        <w:rPr>
          <w:rFonts w:hint="eastAsia" w:ascii="仿宋_GB2312" w:hAnsi="仿宋_GB2312" w:eastAsia="仿宋_GB2312" w:cs="仿宋_GB2312"/>
          <w:b w:val="0"/>
          <w:bCs w:val="0"/>
          <w:color w:val="auto"/>
          <w:sz w:val="32"/>
          <w:szCs w:val="32"/>
          <w:lang w:val="en-US" w:eastAsia="zh-CN"/>
        </w:rPr>
        <w:t>深入开展安全生产相关法规学习，严格落实“三管三必须”要求，以清单制管理为抓手，以安全生产大排查大检查为载体，持续深化重点行业领域安全生产整治，</w:t>
      </w:r>
      <w:r>
        <w:rPr>
          <w:rFonts w:hint="default" w:ascii="仿宋_GB2312" w:hAnsi="仿宋_GB2312" w:eastAsia="仿宋_GB2312" w:cs="仿宋_GB2312"/>
          <w:b w:val="0"/>
          <w:bCs w:val="0"/>
          <w:color w:val="auto"/>
          <w:sz w:val="32"/>
          <w:szCs w:val="32"/>
          <w:lang w:val="en-US" w:eastAsia="zh-CN"/>
        </w:rPr>
        <w:t>开展“</w:t>
      </w:r>
      <w:r>
        <w:rPr>
          <w:rFonts w:hint="eastAsia" w:ascii="仿宋_GB2312" w:hAnsi="仿宋_GB2312" w:eastAsia="仿宋_GB2312" w:cs="仿宋_GB2312"/>
          <w:b w:val="0"/>
          <w:bCs w:val="0"/>
          <w:color w:val="auto"/>
          <w:sz w:val="32"/>
          <w:szCs w:val="32"/>
          <w:lang w:val="en-US" w:eastAsia="zh-CN"/>
        </w:rPr>
        <w:t>治本攻坚</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三年行动</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坚决防范遏制重特大生产安全事故，全力守护人民群众生命财产安全。</w:t>
      </w:r>
      <w:r>
        <w:rPr>
          <w:rFonts w:hint="eastAsia" w:ascii="方正楷体_GBK" w:hAnsi="方正楷体_GBK" w:eastAsia="方正楷体_GBK" w:cs="方正楷体_GBK"/>
          <w:b/>
          <w:bCs/>
          <w:color w:val="000000"/>
          <w:kern w:val="2"/>
          <w:sz w:val="32"/>
          <w:szCs w:val="32"/>
          <w:lang w:val="en-US" w:eastAsia="zh-CN" w:bidi="ar-SA"/>
        </w:rPr>
        <w:t>二是冬春抓好森林草原防灭火工作。</w:t>
      </w:r>
      <w:r>
        <w:rPr>
          <w:rFonts w:hint="eastAsia" w:ascii="仿宋_GB2312" w:hAnsi="仿宋_GB2312" w:eastAsia="仿宋_GB2312" w:cs="仿宋_GB2312"/>
          <w:b w:val="0"/>
          <w:bCs w:val="0"/>
          <w:color w:val="auto"/>
          <w:sz w:val="32"/>
          <w:szCs w:val="32"/>
          <w:lang w:val="en-US" w:eastAsia="zh-CN"/>
        </w:rPr>
        <w:t>进一步健全工作机制、强化宣传教育、排查整治隐患，抓好火源管控、监测预警、联防联控、应急准备，分层做实做细队伍训练，坚决做到两个确保。</w:t>
      </w:r>
      <w:r>
        <w:rPr>
          <w:rFonts w:hint="eastAsia" w:ascii="方正楷体_GBK" w:hAnsi="方正楷体_GBK" w:eastAsia="方正楷体_GBK" w:cs="方正楷体_GBK"/>
          <w:b/>
          <w:bCs/>
          <w:color w:val="000000"/>
          <w:kern w:val="2"/>
          <w:sz w:val="32"/>
          <w:szCs w:val="32"/>
          <w:lang w:val="en-US" w:eastAsia="zh-CN" w:bidi="ar-SA"/>
        </w:rPr>
        <w:t>三是常态抓好防震减灾工作。</w:t>
      </w:r>
      <w:r>
        <w:rPr>
          <w:rFonts w:hint="eastAsia" w:ascii="仿宋_GB2312" w:hAnsi="仿宋_GB2312" w:eastAsia="仿宋_GB2312" w:cs="仿宋_GB2312"/>
          <w:b w:val="0"/>
          <w:bCs w:val="0"/>
          <w:color w:val="auto"/>
          <w:sz w:val="32"/>
          <w:szCs w:val="32"/>
          <w:lang w:val="en-US" w:eastAsia="zh-CN"/>
        </w:rPr>
        <w:t>始终坚持“人民至上、生命至上”的理念，组织开展实战演练和桌面推演，检验预案的操作性、针对性，全面开展隐患排查整治，加强地震预警平台建设，加强科普宣传，切实抓好防震减灾工作。</w:t>
      </w:r>
      <w:r>
        <w:rPr>
          <w:rFonts w:hint="eastAsia" w:ascii="方正楷体_GBK" w:hAnsi="方正楷体_GBK" w:eastAsia="方正楷体_GBK" w:cs="方正楷体_GBK"/>
          <w:b/>
          <w:bCs/>
          <w:color w:val="000000"/>
          <w:kern w:val="2"/>
          <w:sz w:val="32"/>
          <w:szCs w:val="32"/>
          <w:lang w:val="en-US" w:eastAsia="zh-CN" w:bidi="ar-SA"/>
        </w:rPr>
        <w:t>四是夏秋抓好防汛减灾工作。</w:t>
      </w:r>
      <w:r>
        <w:rPr>
          <w:rFonts w:hint="eastAsia" w:ascii="仿宋_GB2312" w:hAnsi="仿宋_GB2312" w:eastAsia="仿宋_GB2312" w:cs="仿宋_GB2312"/>
          <w:b w:val="0"/>
          <w:bCs w:val="0"/>
          <w:color w:val="auto"/>
          <w:sz w:val="32"/>
          <w:szCs w:val="32"/>
          <w:lang w:val="en-US" w:eastAsia="zh-CN"/>
        </w:rPr>
        <w:t>密切监测雨情汛情水情，做好气象短临预报，严格落实“三避让”“三个紧急撤离”刚性要求，坚决防止因灾伤亡事故发生。</w:t>
      </w:r>
      <w:r>
        <w:rPr>
          <w:rFonts w:hint="default" w:ascii="方正楷体_GBK" w:hAnsi="方正楷体_GBK" w:eastAsia="方正楷体_GBK" w:cs="方正楷体_GBK"/>
          <w:b/>
          <w:bCs/>
          <w:color w:val="000000"/>
          <w:kern w:val="2"/>
          <w:sz w:val="32"/>
          <w:szCs w:val="32"/>
          <w:lang w:val="en-US" w:eastAsia="zh-CN" w:bidi="ar-SA"/>
        </w:rPr>
        <w:t>五是</w:t>
      </w:r>
      <w:r>
        <w:rPr>
          <w:rFonts w:hint="eastAsia" w:ascii="方正楷体_GBK" w:hAnsi="方正楷体_GBK" w:eastAsia="方正楷体_GBK" w:cs="方正楷体_GBK"/>
          <w:b/>
          <w:bCs/>
          <w:color w:val="000000"/>
          <w:kern w:val="2"/>
          <w:sz w:val="32"/>
          <w:szCs w:val="32"/>
          <w:lang w:val="en-US" w:eastAsia="zh-CN" w:bidi="ar-SA"/>
        </w:rPr>
        <w:t>时时抓好应急值守工作。</w:t>
      </w:r>
      <w:r>
        <w:rPr>
          <w:rFonts w:hint="eastAsia" w:ascii="仿宋_GB2312" w:hAnsi="仿宋_GB2312" w:eastAsia="仿宋_GB2312" w:cs="仿宋_GB2312"/>
          <w:b w:val="0"/>
          <w:bCs w:val="0"/>
          <w:color w:val="auto"/>
          <w:sz w:val="32"/>
          <w:szCs w:val="32"/>
          <w:lang w:val="en-US" w:eastAsia="zh-CN"/>
        </w:rPr>
        <w:t>坚持24小时值班值守和领导带班制度，动态修订完善各类应急预案，配齐救援装备、建强救援队伍，开展防灾、抗灾、救灾等检验系应急演练，切实提升防灾减灾能力</w:t>
      </w:r>
    </w:p>
    <w:p w14:paraId="418CBF9A">
      <w:pPr>
        <w:keepNext w:val="0"/>
        <w:keepLines w:val="0"/>
        <w:pageBreakBefore w:val="0"/>
        <w:numPr>
          <w:ilvl w:val="0"/>
          <w:numId w:val="1"/>
        </w:numPr>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部门</w:t>
      </w:r>
      <w:r>
        <w:rPr>
          <w:rFonts w:hint="eastAsia" w:ascii="黑体" w:hAnsi="黑体" w:eastAsia="黑体" w:cs="黑体"/>
          <w:sz w:val="32"/>
          <w:szCs w:val="32"/>
          <w:lang w:eastAsia="zh-CN"/>
        </w:rPr>
        <w:t>预算单位构成</w:t>
      </w:r>
    </w:p>
    <w:p w14:paraId="38B27EE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color="auto" w:fill="FFFFFF"/>
        </w:rPr>
        <w:t>红原县应急管理局下设事业单位1个，为</w:t>
      </w:r>
      <w:r>
        <w:rPr>
          <w:rFonts w:hint="eastAsia" w:ascii="仿宋_GB2312" w:hAnsi="仿宋_GB2312" w:eastAsia="仿宋_GB2312" w:cs="仿宋_GB2312"/>
          <w:i w:val="0"/>
          <w:iCs w:val="0"/>
          <w:caps w:val="0"/>
          <w:color w:val="auto"/>
          <w:spacing w:val="0"/>
          <w:sz w:val="32"/>
          <w:szCs w:val="32"/>
          <w:shd w:val="clear" w:color="auto" w:fill="FFFFFF"/>
          <w:lang w:val="en-US" w:eastAsia="zh-CN"/>
        </w:rPr>
        <w:t>应急保障中心</w:t>
      </w:r>
      <w:r>
        <w:rPr>
          <w:rFonts w:hint="eastAsia" w:ascii="仿宋_GB2312" w:hAnsi="仿宋_GB2312" w:eastAsia="仿宋_GB2312" w:cs="仿宋_GB2312"/>
          <w:i w:val="0"/>
          <w:iCs w:val="0"/>
          <w:caps w:val="0"/>
          <w:color w:val="auto"/>
          <w:spacing w:val="0"/>
          <w:sz w:val="32"/>
          <w:szCs w:val="32"/>
          <w:shd w:val="clear" w:color="auto" w:fill="FFFFFF"/>
        </w:rPr>
        <w:t>，单位共有4个股室，单独设立1个财务室。</w:t>
      </w:r>
    </w:p>
    <w:p w14:paraId="08DACCCC">
      <w:pPr>
        <w:keepNext w:val="0"/>
        <w:keepLines w:val="0"/>
        <w:pageBreakBefore w:val="0"/>
        <w:numPr>
          <w:ilvl w:val="0"/>
          <w:numId w:val="0"/>
        </w:numPr>
        <w:kinsoku/>
        <w:wordWrap/>
        <w:overflowPunct/>
        <w:topLinePunct w:val="0"/>
        <w:autoSpaceDE/>
        <w:autoSpaceDN/>
        <w:bidi w:val="0"/>
        <w:spacing w:line="560" w:lineRule="exact"/>
        <w:ind w:right="0" w:rightChars="0"/>
        <w:textAlignment w:val="auto"/>
        <w:rPr>
          <w:rFonts w:hint="eastAsia" w:ascii="黑体" w:hAnsi="黑体" w:eastAsia="黑体" w:cs="黑体"/>
          <w:sz w:val="32"/>
          <w:szCs w:val="32"/>
          <w:lang w:eastAsia="zh-CN"/>
        </w:rPr>
      </w:pPr>
    </w:p>
    <w:p w14:paraId="7C034BC3">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三、收支预算总体情况</w:t>
      </w:r>
    </w:p>
    <w:p w14:paraId="4735B68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红原县应急管理局</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rPr>
        <w:t>收入预算总额为</w:t>
      </w:r>
      <w:r>
        <w:rPr>
          <w:rFonts w:hint="eastAsia" w:ascii="仿宋" w:hAnsi="仿宋" w:eastAsia="仿宋" w:cs="仿宋"/>
          <w:sz w:val="32"/>
          <w:szCs w:val="32"/>
          <w:lang w:val="en-US" w:eastAsia="zh-CN"/>
        </w:rPr>
        <w:t>1175.73</w:t>
      </w:r>
      <w:r>
        <w:rPr>
          <w:rFonts w:hint="eastAsia" w:ascii="仿宋" w:hAnsi="仿宋" w:eastAsia="仿宋" w:cs="仿宋"/>
          <w:sz w:val="32"/>
          <w:szCs w:val="32"/>
        </w:rPr>
        <w:t>万元，其中：当年财政拨款收入</w:t>
      </w:r>
      <w:r>
        <w:rPr>
          <w:rFonts w:hint="eastAsia" w:ascii="仿宋" w:hAnsi="仿宋" w:eastAsia="仿宋" w:cs="仿宋"/>
          <w:sz w:val="32"/>
          <w:szCs w:val="32"/>
          <w:lang w:val="en-US" w:eastAsia="zh-CN"/>
        </w:rPr>
        <w:t>1175.73</w:t>
      </w:r>
      <w:r>
        <w:rPr>
          <w:rFonts w:hint="eastAsia" w:ascii="仿宋" w:hAnsi="仿宋" w:eastAsia="仿宋" w:cs="仿宋"/>
          <w:sz w:val="32"/>
          <w:szCs w:val="32"/>
        </w:rPr>
        <w:t>万元。相应安排支出预算</w:t>
      </w:r>
      <w:r>
        <w:rPr>
          <w:rFonts w:hint="eastAsia" w:ascii="仿宋" w:hAnsi="仿宋" w:eastAsia="仿宋" w:cs="仿宋"/>
          <w:sz w:val="32"/>
          <w:szCs w:val="32"/>
          <w:lang w:val="en-US" w:eastAsia="zh-CN"/>
        </w:rPr>
        <w:t>1175.73</w:t>
      </w:r>
      <w:r>
        <w:rPr>
          <w:rFonts w:hint="eastAsia" w:ascii="仿宋" w:hAnsi="仿宋" w:eastAsia="仿宋" w:cs="仿宋"/>
          <w:sz w:val="32"/>
          <w:szCs w:val="32"/>
        </w:rPr>
        <w:t>万元，其中：</w:t>
      </w:r>
      <w:r>
        <w:rPr>
          <w:rFonts w:hint="eastAsia" w:ascii="仿宋" w:hAnsi="仿宋" w:eastAsia="仿宋" w:cs="仿宋"/>
          <w:sz w:val="32"/>
          <w:szCs w:val="32"/>
          <w:lang w:val="en-US" w:eastAsia="zh-CN"/>
        </w:rPr>
        <w:t>社会保障和就业支出152.62万元；卫生健康支出55.35万元；住房保障支出83.74万元；灾害防治及应急管理支出1065.13万元</w:t>
      </w:r>
      <w:r>
        <w:rPr>
          <w:rFonts w:hint="eastAsia" w:ascii="仿宋" w:hAnsi="仿宋" w:eastAsia="仿宋" w:cs="仿宋"/>
          <w:sz w:val="32"/>
          <w:szCs w:val="32"/>
        </w:rPr>
        <w:t>。</w:t>
      </w:r>
    </w:p>
    <w:p w14:paraId="2723B280">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支出预算安排情况</w:t>
      </w:r>
    </w:p>
    <w:p w14:paraId="0F246161">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红原县应急管理局</w:t>
      </w:r>
      <w:r>
        <w:rPr>
          <w:rFonts w:hint="eastAsia" w:ascii="仿宋" w:hAnsi="仿宋" w:eastAsia="仿宋" w:cs="仿宋"/>
          <w:sz w:val="32"/>
          <w:szCs w:val="32"/>
        </w:rPr>
        <w:t xml:space="preserve">预算安排支出主要用于保障该部门机构正常运转、完成日常工作任务以及承担事业发展相关工作。  </w:t>
      </w:r>
    </w:p>
    <w:p w14:paraId="09304BF3">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rPr>
        <w:t>基本支出</w:t>
      </w:r>
      <w:r>
        <w:rPr>
          <w:rFonts w:hint="eastAsia" w:ascii="仿宋" w:hAnsi="仿宋" w:eastAsia="仿宋" w:cs="仿宋"/>
          <w:sz w:val="32"/>
          <w:szCs w:val="32"/>
          <w:lang w:val="en-US" w:eastAsia="zh-CN"/>
        </w:rPr>
        <w:t>1132.73</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其中人员经费支出</w:t>
      </w:r>
      <w:r>
        <w:rPr>
          <w:rFonts w:hint="eastAsia" w:ascii="仿宋" w:hAnsi="仿宋" w:eastAsia="仿宋" w:cs="仿宋"/>
          <w:sz w:val="32"/>
          <w:szCs w:val="32"/>
          <w:lang w:val="en-US" w:eastAsia="zh-CN"/>
        </w:rPr>
        <w:t>1006.68万元，机关运行经费126.05万元，其中：办公费25.4万元，差旅费19万元，印刷费6万元，水费1万元，电费6万元，邮电费4万元，公务接待费0.1万元，劳务费3万元，公务用车运行维护费16万元，培训费0.3万元，维修维护费1万元，专用燃料费0.2万元，工会经费7.63万元。</w:t>
      </w:r>
    </w:p>
    <w:p w14:paraId="2184BF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5" w:beforeAutospacing="0" w:after="105" w:afterAutospacing="0" w:line="540" w:lineRule="exact"/>
        <w:ind w:right="0" w:firstLine="640" w:firstLineChars="200"/>
        <w:jc w:val="both"/>
        <w:textAlignment w:val="auto"/>
        <w:rPr>
          <w:rFonts w:hint="eastAsia" w:ascii="仿宋" w:hAnsi="仿宋" w:eastAsia="仿宋" w:cs="仿宋"/>
          <w:sz w:val="32"/>
          <w:szCs w:val="32"/>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项目支出43万元。其中：应急管理、防灾减灾经费20万元， 安全生产专项资金10万元，  安全生产举报奖励金2万元，  安全生产专家服务费11万元。</w:t>
      </w:r>
    </w:p>
    <w:p w14:paraId="4F0DFCB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14:paraId="7BD76EF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）社会保障和就业</w:t>
      </w:r>
      <w:r>
        <w:rPr>
          <w:rFonts w:hint="eastAsia" w:ascii="仿宋" w:hAnsi="仿宋" w:eastAsia="仿宋" w:cs="仿宋"/>
          <w:sz w:val="32"/>
          <w:szCs w:val="32"/>
          <w:lang w:val="en-US" w:eastAsia="zh-CN"/>
        </w:rPr>
        <w:t>152.62</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w:t>
      </w:r>
      <w:r>
        <w:rPr>
          <w:rFonts w:hint="eastAsia" w:ascii="仿宋" w:hAnsi="仿宋" w:eastAsia="仿宋" w:cs="仿宋"/>
          <w:sz w:val="32"/>
          <w:szCs w:val="32"/>
          <w:lang w:eastAsia="zh-CN"/>
        </w:rPr>
        <w:t>养老保险及职业年金缴费</w:t>
      </w:r>
      <w:r>
        <w:rPr>
          <w:rFonts w:hint="eastAsia" w:ascii="仿宋" w:hAnsi="仿宋" w:eastAsia="仿宋" w:cs="仿宋"/>
          <w:sz w:val="32"/>
          <w:szCs w:val="32"/>
        </w:rPr>
        <w:t>。</w:t>
      </w:r>
    </w:p>
    <w:p w14:paraId="12F7535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）医疗卫生</w:t>
      </w:r>
      <w:r>
        <w:rPr>
          <w:rFonts w:hint="eastAsia" w:ascii="仿宋" w:hAnsi="仿宋" w:eastAsia="仿宋" w:cs="仿宋"/>
          <w:sz w:val="32"/>
          <w:szCs w:val="32"/>
          <w:lang w:val="en-US" w:eastAsia="zh-CN"/>
        </w:rPr>
        <w:t>55.35</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，主要用于机关及下属事业单位按照规定标准为职工缴纳的基本医疗保险及公务员医疗补助等支出。</w:t>
      </w:r>
    </w:p>
    <w:p w14:paraId="4055454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83.74</w:t>
      </w:r>
      <w:r>
        <w:rPr>
          <w:rFonts w:hint="eastAsia" w:ascii="仿宋" w:hAnsi="仿宋" w:eastAsia="仿宋" w:cs="仿宋"/>
          <w:sz w:val="32"/>
          <w:szCs w:val="32"/>
          <w:lang w:eastAsia="zh-CN"/>
        </w:rPr>
        <w:t>万元</w:t>
      </w:r>
      <w:r>
        <w:rPr>
          <w:rFonts w:hint="eastAsia" w:ascii="仿宋" w:hAnsi="仿宋" w:eastAsia="仿宋" w:cs="仿宋"/>
          <w:sz w:val="32"/>
          <w:szCs w:val="32"/>
        </w:rPr>
        <w:t>，用于机关及下属事业单位按照规定标准为职工缴纳住房公积金等支出。</w:t>
      </w:r>
    </w:p>
    <w:p w14:paraId="0487EE1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w:t>
      </w:r>
      <w:r>
        <w:rPr>
          <w:rFonts w:hint="eastAsia" w:ascii="仿宋" w:hAnsi="仿宋" w:eastAsia="仿宋" w:cs="仿宋"/>
          <w:sz w:val="32"/>
          <w:szCs w:val="32"/>
          <w:lang w:val="en-US" w:eastAsia="zh-CN"/>
        </w:rPr>
        <w:t>灾害防治及应急管理支出1065.13万元，主要用于支持预防、应对和处置自然灾害及安全生产事故等相关工作，保障人民生命财产安全和社会稳定。</w:t>
      </w:r>
      <w:bookmarkStart w:id="0" w:name="_GoBack"/>
      <w:bookmarkEnd w:id="0"/>
    </w:p>
    <w:p w14:paraId="20EAC7E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（五）上年结转181.11万元</w:t>
      </w:r>
    </w:p>
    <w:p w14:paraId="65EBFF70">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五、较上年度增减变化</w:t>
      </w:r>
    </w:p>
    <w:p w14:paraId="5BDA1CF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本年度预算拨款收入1175.73万元较上年度预算955.74万元增加了219.99万元，其中基本行政运行经费预算126.05万元，占全部总预算的10%，较上年102.6万元减增加了23.45万元，单位人员增加各类经费增加；专项业务工作经费预算43万元，占总预算的3%，较上年预算33万元增加了10万元，主要原因为增加项目。 </w:t>
      </w:r>
      <w:r>
        <w:rPr>
          <w:rFonts w:hint="eastAsia" w:ascii="仿宋" w:hAnsi="仿宋" w:eastAsia="仿宋" w:cs="仿宋"/>
          <w:color w:val="333333"/>
          <w:kern w:val="0"/>
          <w:sz w:val="32"/>
          <w:szCs w:val="32"/>
          <w:shd w:val="clear" w:color="auto" w:fill="FFFFFF"/>
          <w:lang w:val="en-US" w:eastAsia="zh-CN" w:bidi="ar"/>
        </w:rPr>
        <w:t xml:space="preserve"> </w:t>
      </w:r>
      <w:r>
        <w:rPr>
          <w:rFonts w:hint="eastAsia" w:ascii="仿宋" w:hAnsi="仿宋" w:eastAsia="仿宋" w:cs="仿宋"/>
          <w:sz w:val="32"/>
          <w:szCs w:val="32"/>
          <w:lang w:val="en-US" w:eastAsia="zh-CN"/>
        </w:rPr>
        <w:t xml:space="preserve"> </w:t>
      </w:r>
    </w:p>
    <w:p w14:paraId="28FF1996">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六、“三公”经费预算</w:t>
      </w:r>
    </w:p>
    <w:p w14:paraId="6841B81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三公经费预算安排支出为18.01万元，其中：出国费0万元，与上年持平，主要原因为未安排因公出国；公车购置费0元，与上年持平；公务用车维护费支出18万元，较上年度预算16万元持平；公务接待费0.1万元，较上年度预算持平，本年度我们将严格执行“八项规定、六项禁令”，结合本年度工作需要，减少不必 要的开支。</w:t>
      </w:r>
    </w:p>
    <w:p w14:paraId="41B9E7C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七、政府性基金预算收支情况说明</w:t>
      </w:r>
    </w:p>
    <w:p w14:paraId="0E0F254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2026年无使用政府性基金预算拨款安排的支出</w:t>
      </w:r>
      <w:r>
        <w:rPr>
          <w:rFonts w:hint="eastAsia" w:ascii="仿宋" w:hAnsi="仿宋" w:eastAsia="仿宋" w:cs="仿宋"/>
          <w:sz w:val="32"/>
          <w:szCs w:val="32"/>
        </w:rPr>
        <w:t>。</w:t>
      </w:r>
    </w:p>
    <w:p w14:paraId="42D6262D">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八、国有资本经营预算收支情况说明</w:t>
      </w:r>
    </w:p>
    <w:p w14:paraId="0F2BFEE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2026年无使用国有资本经营预算拨款安排的支出。</w:t>
      </w:r>
    </w:p>
    <w:p w14:paraId="404AF103">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九、其他重要事项的情况说明</w:t>
      </w:r>
    </w:p>
    <w:p w14:paraId="5AB707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 w:hAnsi="仿宋" w:eastAsia="仿宋" w:cs="仿宋"/>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（一）政府采购预算情况</w:t>
      </w:r>
      <w:r>
        <w:rPr>
          <w:rFonts w:hint="eastAsia" w:ascii="仿宋" w:hAnsi="仿宋" w:eastAsia="仿宋" w:cs="仿宋"/>
          <w:b/>
          <w:bCs/>
          <w:color w:val="333333"/>
          <w:kern w:val="0"/>
          <w:sz w:val="32"/>
          <w:szCs w:val="32"/>
          <w:shd w:val="clear" w:color="auto" w:fill="FFFFFF"/>
          <w:lang w:val="en-US" w:eastAsia="zh-CN" w:bidi="ar"/>
        </w:rPr>
        <w:t xml:space="preserve"> </w:t>
      </w:r>
    </w:p>
    <w:p w14:paraId="0C92904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2026年度安排政府采购预算0万元。</w:t>
      </w:r>
    </w:p>
    <w:p w14:paraId="644A12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 xml:space="preserve">（二）政府财政国有资产占用情况 </w:t>
      </w:r>
    </w:p>
    <w:p w14:paraId="115DB00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截止2025年底，实际共有固定资产价值1092.3</w:t>
      </w:r>
      <w:r>
        <w:rPr>
          <w:rFonts w:hint="eastAsia" w:ascii="仿宋" w:hAnsi="仿宋" w:eastAsia="仿宋" w:cs="仿宋"/>
          <w:sz w:val="32"/>
          <w:szCs w:val="32"/>
          <w:lang w:eastAsia="zh-CN"/>
        </w:rPr>
        <w:t>万元：其中：</w:t>
      </w:r>
      <w:r>
        <w:rPr>
          <w:rFonts w:hint="eastAsia" w:ascii="仿宋" w:hAnsi="仿宋" w:eastAsia="仿宋" w:cs="仿宋"/>
          <w:sz w:val="32"/>
          <w:szCs w:val="32"/>
          <w:lang w:val="en-US" w:eastAsia="zh-CN"/>
        </w:rPr>
        <w:t>设备877.72万元，家具和用具40.98万元；文物和陈列品173.6万元。</w:t>
      </w:r>
    </w:p>
    <w:p w14:paraId="544DDC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（三）绩效目标设置情况</w:t>
      </w:r>
    </w:p>
    <w:p w14:paraId="70BDFA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绩效目标是预算编制的前提和基础，按照“费随事定”的原则，2026年我单位项目支出按要求编制了绩效目标，从项目完成、项目效益、满意度。</w:t>
      </w:r>
    </w:p>
    <w:p w14:paraId="288581DD">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十、名词解释</w:t>
      </w:r>
      <w:r>
        <w:rPr>
          <w:rFonts w:hint="eastAsia" w:ascii="黑体" w:hAnsi="黑体" w:eastAsia="黑体" w:cs="黑体"/>
          <w:sz w:val="32"/>
          <w:szCs w:val="32"/>
          <w:lang w:val="en-US" w:eastAsia="zh-CN"/>
        </w:rPr>
        <w:br w:type="textWrapping"/>
      </w:r>
      <w:r>
        <w:rPr>
          <w:rFonts w:hint="eastAsia" w:ascii="仿宋" w:hAnsi="仿宋" w:eastAsia="仿宋" w:cs="仿宋"/>
          <w:sz w:val="32"/>
          <w:szCs w:val="32"/>
          <w:lang w:val="en-US" w:eastAsia="zh-CN"/>
        </w:rPr>
        <w:t xml:space="preserve">1.财政拨款收入：指财政部门核拨给单位的财政预算资金。 </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2.其他收入：指除上述财政部门拨付单位以外的收入。</w:t>
      </w:r>
    </w:p>
    <w:p w14:paraId="585775A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3.基本支出：指为保障单位机关正常运转、完成日常工作任务而发生的人员支出和公用支出。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4.项目支出：指在基本支出之外为完成特定行政任务和事业发展目标所发生的支出。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BA9B30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p>
    <w:p w14:paraId="5C4EB9E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附件：表1.部门收支总表</w:t>
      </w:r>
    </w:p>
    <w:p w14:paraId="1C22090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表2.部门收入总表</w:t>
      </w:r>
    </w:p>
    <w:p w14:paraId="0C959D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表3.部门支出总表</w:t>
      </w:r>
    </w:p>
    <w:p w14:paraId="4924476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表4.财政拨款收支预算总表</w:t>
      </w:r>
    </w:p>
    <w:p w14:paraId="0A7E1D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表5.财政拨款支出预算表（部门经济分类科目）</w:t>
      </w:r>
    </w:p>
    <w:p w14:paraId="3A0AD0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表6.一般公共预算支出预算表</w:t>
      </w:r>
    </w:p>
    <w:p w14:paraId="4800A30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表7.一般公共预算基本支出预算表</w:t>
      </w:r>
    </w:p>
    <w:p w14:paraId="3C10D8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表8.一般公共预算项目支出预算表</w:t>
      </w:r>
    </w:p>
    <w:p w14:paraId="0538EA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表9.一般公共预算“三公”经费支出预算表</w:t>
      </w:r>
    </w:p>
    <w:p w14:paraId="137E09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表10.政府性基金支出预算表</w:t>
      </w:r>
    </w:p>
    <w:p w14:paraId="3BD3F4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表11.政府性基金预算“三公”经费支出预算表</w:t>
      </w:r>
    </w:p>
    <w:p w14:paraId="2C05CEF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表12.国有资本经营预算支出预算表</w:t>
      </w:r>
    </w:p>
    <w:p w14:paraId="40351D9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表13.部门项目支出绩效目标表（2026年度）</w:t>
      </w:r>
    </w:p>
    <w:p w14:paraId="12079E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表14.2026 年度部门整体绩效目标</w:t>
      </w:r>
    </w:p>
    <w:p w14:paraId="3C5EF3F8">
      <w:pPr>
        <w:rPr>
          <w:rFonts w:hint="eastAsia" w:ascii="仿宋" w:hAnsi="仿宋" w:eastAsia="仿宋" w:cs="仿宋"/>
          <w:sz w:val="32"/>
          <w:szCs w:val="32"/>
        </w:rPr>
      </w:pPr>
    </w:p>
    <w:p w14:paraId="364EC6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73545"/>
    <w:multiLevelType w:val="singleLevel"/>
    <w:tmpl w:val="DFD7354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17BF9"/>
    <w:rsid w:val="0F3E3115"/>
    <w:rsid w:val="0FEA0E4B"/>
    <w:rsid w:val="245605A4"/>
    <w:rsid w:val="36A17BF9"/>
    <w:rsid w:val="41C27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3006</Words>
  <Characters>3230</Characters>
  <Lines>0</Lines>
  <Paragraphs>0</Paragraphs>
  <TotalTime>11</TotalTime>
  <ScaleCrop>false</ScaleCrop>
  <LinksUpToDate>false</LinksUpToDate>
  <CharactersWithSpaces>3261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2026-02-01T11:53:00Z</dcterms:created>
  <dc:creator>投资股-李仕昂</dc:creator>
  <cp:lastModifiedBy>撒血耳</cp:lastModifiedBy>
  <dcterms:modified xsi:type="dcterms:W3CDTF">2026-02-10T14:00:18Z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eyJoZGlkIjoiODRmYzYyZmEyZDg2NGJiZTlmYmY3N2ZlMWFiY2MxZDYiLCJ1c2VySWQiOiI2OTczMjY4OTEifQ==</vt:lpwstr>
  </property>
  <property fmtid="{D5CDD505-2E9C-101B-9397-08002B2CF9AE}" pid="4" name="ICV">
    <vt:lpwstr>D950AE1CA65149E1B9D86D1E53A57837_12</vt:lpwstr>
  </property>
</Properties>
</file>