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D5089">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color w:val="auto"/>
          <w:sz w:val="44"/>
          <w:szCs w:val="44"/>
          <w:lang w:eastAsia="zh-CN"/>
        </w:rPr>
      </w:pPr>
      <w:bookmarkStart w:id="0" w:name="_Toc9342"/>
      <w:r>
        <w:rPr>
          <w:rFonts w:hint="eastAsia" w:ascii="方正小标宋简体" w:hAnsi="方正小标宋简体" w:eastAsia="方正小标宋简体" w:cs="方正小标宋简体"/>
          <w:b w:val="0"/>
          <w:bCs/>
          <w:color w:val="auto"/>
          <w:sz w:val="44"/>
          <w:szCs w:val="44"/>
          <w:lang w:eastAsia="zh-CN"/>
        </w:rPr>
        <w:t>红原县自然资源局</w:t>
      </w:r>
      <w:bookmarkEnd w:id="0"/>
    </w:p>
    <w:p w14:paraId="7E804CEF">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小标宋" w:hAnsi="小标宋" w:eastAsia="小标宋" w:cs="小标宋"/>
          <w:b w:val="0"/>
          <w:bCs/>
          <w:sz w:val="44"/>
          <w:szCs w:val="44"/>
        </w:rPr>
      </w:pPr>
      <w:r>
        <w:rPr>
          <w:rFonts w:hint="eastAsia" w:ascii="小标宋" w:hAnsi="小标宋" w:eastAsia="小标宋" w:cs="小标宋"/>
          <w:b w:val="0"/>
          <w:bCs/>
          <w:sz w:val="44"/>
          <w:szCs w:val="44"/>
          <w:lang w:eastAsia="zh-CN"/>
        </w:rPr>
        <w:t>202</w:t>
      </w:r>
      <w:r>
        <w:rPr>
          <w:rFonts w:hint="eastAsia" w:ascii="小标宋" w:hAnsi="小标宋" w:eastAsia="小标宋" w:cs="小标宋"/>
          <w:b w:val="0"/>
          <w:bCs/>
          <w:sz w:val="44"/>
          <w:szCs w:val="44"/>
          <w:lang w:val="en-US" w:eastAsia="zh-CN"/>
        </w:rPr>
        <w:t>6</w:t>
      </w:r>
      <w:r>
        <w:rPr>
          <w:rFonts w:hint="eastAsia" w:ascii="小标宋" w:hAnsi="小标宋" w:eastAsia="小标宋" w:cs="小标宋"/>
          <w:b w:val="0"/>
          <w:bCs/>
          <w:sz w:val="44"/>
          <w:szCs w:val="44"/>
          <w:lang w:eastAsia="zh-CN"/>
        </w:rPr>
        <w:t>年</w:t>
      </w:r>
      <w:r>
        <w:rPr>
          <w:rFonts w:hint="eastAsia" w:ascii="小标宋" w:hAnsi="小标宋" w:eastAsia="小标宋" w:cs="小标宋"/>
          <w:b w:val="0"/>
          <w:bCs/>
          <w:sz w:val="44"/>
          <w:szCs w:val="44"/>
        </w:rPr>
        <w:t>部门预算编制的说明</w:t>
      </w:r>
    </w:p>
    <w:p w14:paraId="049A8A06">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23DBC5EE">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仿宋" w:hAnsi="仿宋" w:eastAsia="仿宋" w:cs="仿宋"/>
          <w:b/>
          <w:sz w:val="32"/>
          <w:szCs w:val="32"/>
        </w:rPr>
      </w:pPr>
      <w:r>
        <w:rPr>
          <w:rFonts w:hint="eastAsia" w:ascii="仿宋" w:hAnsi="仿宋" w:eastAsia="仿宋" w:cs="仿宋"/>
          <w:sz w:val="32"/>
          <w:szCs w:val="32"/>
        </w:rPr>
        <w:t>按照预算管理有关规定，目前部门预算的编制实行综合预算制度，即全部收入和支出都反映在预算中。</w:t>
      </w:r>
    </w:p>
    <w:p w14:paraId="3FEA59FA">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一、基本职能及主要工作</w:t>
      </w:r>
    </w:p>
    <w:p w14:paraId="560998EF">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lang w:eastAsia="zh-CN"/>
        </w:rPr>
        <w:t>（一）基本职能</w:t>
      </w:r>
    </w:p>
    <w:p w14:paraId="67DC0141">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按照规定权限，履行全民所有土地、矿产、森林、草原、湿地、水等自然资源资产所有者职责和所有国土空间用途管制职责</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制定有关政策措施并监督检查执行情况。</w:t>
      </w:r>
    </w:p>
    <w:p w14:paraId="3C4C8378">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自然资源调查监测评价。负责自然资源调查监测评价成果的监督管理和信息发布。</w:t>
      </w:r>
    </w:p>
    <w:p w14:paraId="0D173F2F">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自然资源统一确权登记工作。组织实施各类自然资源和不动产统一确权登记、权籍调查、不动产测绘、争议调处、成果应用的制度、标准、规范。建立健全</w:t>
      </w:r>
      <w:r>
        <w:rPr>
          <w:rFonts w:hint="eastAsia" w:ascii="仿宋" w:hAnsi="仿宋" w:eastAsia="仿宋" w:cs="仿宋"/>
          <w:color w:val="auto"/>
          <w:sz w:val="32"/>
          <w:szCs w:val="32"/>
          <w:lang w:eastAsia="zh-CN"/>
        </w:rPr>
        <w:t>全县</w:t>
      </w:r>
      <w:r>
        <w:rPr>
          <w:rFonts w:hint="eastAsia" w:ascii="仿宋" w:hAnsi="仿宋" w:eastAsia="仿宋" w:cs="仿宋"/>
          <w:color w:val="auto"/>
          <w:sz w:val="32"/>
          <w:szCs w:val="32"/>
        </w:rPr>
        <w:t>自然资源和不动产登记信息管理基础平台。</w:t>
      </w:r>
    </w:p>
    <w:p w14:paraId="42E8E612">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自然资源资产有偿使用工作。建立全民所有自然资源资产统计制度，负责全民所有自然资源资产核算。</w:t>
      </w:r>
    </w:p>
    <w:p w14:paraId="3D31E11A">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自然资源的合理开发利用。</w:t>
      </w:r>
    </w:p>
    <w:p w14:paraId="0383FA0B">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负责建立全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空间规划体系并监督实施，推进主体功能区战略和制度，组织编制并监督实施国土空间规划和相关专项规划。</w:t>
      </w:r>
    </w:p>
    <w:p w14:paraId="65D136A3">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负责统筹全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国土空间生态修复。牵头组织编制全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国土空间生态修复规划并实施有关生态修复重大工程。</w:t>
      </w:r>
    </w:p>
    <w:p w14:paraId="5D7502EF">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负责组织实施最严格的耕地保护制度。</w:t>
      </w:r>
    </w:p>
    <w:p w14:paraId="3A348782">
      <w:pPr>
        <w:keepNext w:val="0"/>
        <w:keepLines w:val="0"/>
        <w:pageBreakBefore w:val="0"/>
        <w:kinsoku/>
        <w:wordWrap/>
        <w:overflowPunct/>
        <w:topLinePunct w:val="0"/>
        <w:autoSpaceDE/>
        <w:autoSpaceDN/>
        <w:bidi w:val="0"/>
        <w:adjustRightInd/>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rPr>
        <w:t>负责管理全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地质勘查行业和地质工作。</w:t>
      </w:r>
    </w:p>
    <w:p w14:paraId="11E0BDB4">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负责落实综合防灾减灾规划相关要求，组织编制并实施地质灾害防治规划。</w:t>
      </w:r>
    </w:p>
    <w:p w14:paraId="05CD2411">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矿产资源管理工作。</w:t>
      </w:r>
    </w:p>
    <w:p w14:paraId="010C2349">
      <w:pPr>
        <w:keepNext w:val="0"/>
        <w:keepLines w:val="0"/>
        <w:pageBreakBefore w:val="0"/>
        <w:kinsoku/>
        <w:wordWrap/>
        <w:overflowPunct/>
        <w:topLinePunct w:val="0"/>
        <w:autoSpaceDE/>
        <w:autoSpaceDN/>
        <w:bidi w:val="0"/>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负责全县测绘地理信息工作。</w:t>
      </w:r>
    </w:p>
    <w:p w14:paraId="10AC185A">
      <w:pPr>
        <w:keepNext w:val="0"/>
        <w:keepLines w:val="0"/>
        <w:pageBreakBefore w:val="0"/>
        <w:kinsoku/>
        <w:wordWrap/>
        <w:overflowPunct/>
        <w:topLinePunct w:val="0"/>
        <w:autoSpaceDE/>
        <w:autoSpaceDN/>
        <w:bidi w:val="0"/>
        <w:spacing w:line="56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13.</w:t>
      </w:r>
      <w:r>
        <w:rPr>
          <w:rFonts w:hint="eastAsia" w:ascii="仿宋" w:hAnsi="仿宋" w:eastAsia="仿宋" w:cs="仿宋"/>
          <w:color w:val="auto"/>
          <w:sz w:val="32"/>
          <w:szCs w:val="32"/>
        </w:rPr>
        <w:t>推动全县自然资源领域科技发展。</w:t>
      </w:r>
    </w:p>
    <w:p w14:paraId="6801C20D">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640" w:firstLineChars="200"/>
        <w:textAlignment w:val="auto"/>
        <w:rPr>
          <w:rFonts w:hint="eastAsia" w:ascii="仿宋" w:hAnsi="仿宋" w:eastAsia="仿宋" w:cs="仿宋"/>
          <w:bCs/>
          <w:sz w:val="32"/>
          <w:szCs w:val="32"/>
          <w:lang w:eastAsia="zh-CN"/>
        </w:rPr>
      </w:pPr>
      <w:r>
        <w:rPr>
          <w:rFonts w:hint="eastAsia" w:ascii="仿宋" w:hAnsi="仿宋" w:eastAsia="仿宋" w:cs="仿宋"/>
          <w:color w:val="auto"/>
          <w:sz w:val="32"/>
          <w:szCs w:val="32"/>
          <w:lang w:val="en-US" w:eastAsia="zh-CN"/>
        </w:rPr>
        <w:t>14.</w:t>
      </w:r>
      <w:r>
        <w:rPr>
          <w:rFonts w:hint="eastAsia" w:ascii="仿宋" w:hAnsi="仿宋" w:eastAsia="仿宋" w:cs="仿宋"/>
          <w:color w:val="auto"/>
          <w:sz w:val="32"/>
          <w:szCs w:val="32"/>
        </w:rPr>
        <w:t>承担县政府和上级相关部门交办的其它工作。</w:t>
      </w:r>
    </w:p>
    <w:p w14:paraId="40C6F1DC">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lang w:eastAsia="zh-CN"/>
        </w:rPr>
        <w:t>（二）202</w:t>
      </w:r>
      <w:r>
        <w:rPr>
          <w:rFonts w:hint="eastAsia" w:ascii="楷体" w:hAnsi="楷体" w:eastAsia="楷体" w:cs="楷体"/>
          <w:b/>
          <w:bCs w:val="0"/>
          <w:sz w:val="32"/>
          <w:szCs w:val="32"/>
          <w:lang w:val="en-US" w:eastAsia="zh-CN"/>
        </w:rPr>
        <w:t>6</w:t>
      </w:r>
      <w:r>
        <w:rPr>
          <w:rFonts w:hint="eastAsia" w:ascii="楷体" w:hAnsi="楷体" w:eastAsia="楷体" w:cs="楷体"/>
          <w:b/>
          <w:bCs w:val="0"/>
          <w:sz w:val="32"/>
          <w:szCs w:val="32"/>
          <w:lang w:eastAsia="zh-CN"/>
        </w:rPr>
        <w:t>年重点工作任务</w:t>
      </w:r>
    </w:p>
    <w:p w14:paraId="1E2C631B">
      <w:pPr>
        <w:keepNext w:val="0"/>
        <w:keepLines w:val="0"/>
        <w:pageBreakBefore w:val="0"/>
        <w:widowControl w:val="0"/>
        <w:shd w:val="clear" w:color="auto" w:fill="auto"/>
        <w:kinsoku/>
        <w:wordWrap/>
        <w:overflowPunct/>
        <w:topLinePunct w:val="0"/>
        <w:autoSpaceDE/>
        <w:autoSpaceDN/>
        <w:bidi w:val="0"/>
        <w:snapToGrid w:val="0"/>
        <w:spacing w:line="560" w:lineRule="exact"/>
        <w:ind w:left="0" w:firstLine="643" w:firstLineChars="200"/>
        <w:textAlignment w:val="auto"/>
        <w:rPr>
          <w:rFonts w:hint="eastAsia" w:ascii="楷体" w:eastAsia="楷体" w:cs="楷体"/>
          <w:b/>
          <w:bCs/>
          <w:color w:val="auto"/>
          <w:sz w:val="32"/>
          <w:szCs w:val="32"/>
        </w:rPr>
      </w:pPr>
      <w:r>
        <w:rPr>
          <w:rFonts w:hint="eastAsia" w:ascii="楷体" w:eastAsia="楷体" w:cs="楷体"/>
          <w:b/>
          <w:bCs/>
          <w:color w:val="auto"/>
          <w:sz w:val="32"/>
          <w:szCs w:val="32"/>
          <w:lang w:val="en-US" w:eastAsia="zh-CN"/>
        </w:rPr>
        <w:t>1.</w:t>
      </w:r>
      <w:r>
        <w:rPr>
          <w:rFonts w:hint="eastAsia" w:ascii="楷体" w:eastAsia="楷体" w:cs="楷体"/>
          <w:b/>
          <w:bCs/>
          <w:color w:val="auto"/>
          <w:sz w:val="32"/>
          <w:szCs w:val="32"/>
        </w:rPr>
        <w:t>用地保障工作</w:t>
      </w:r>
    </w:p>
    <w:p w14:paraId="0B970AEE">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left="0" w:firstLine="643" w:firstLineChars="200"/>
        <w:jc w:val="left"/>
        <w:textAlignment w:val="auto"/>
        <w:rPr>
          <w:rFonts w:ascii="仿宋_GB2312" w:eastAsia="仿宋_GB2312" w:cs="仿宋_GB2312"/>
          <w:b w:val="0"/>
          <w:bCs w:val="0"/>
          <w:color w:val="auto"/>
          <w:sz w:val="32"/>
          <w:szCs w:val="32"/>
          <w:lang w:val="en-US" w:eastAsia="zh-CN"/>
        </w:rPr>
      </w:pPr>
      <w:r>
        <w:rPr>
          <w:rFonts w:hint="eastAsia" w:ascii="仿宋_GB2312" w:eastAsia="仿宋_GB2312" w:cs="仿宋_GB2312"/>
          <w:b/>
          <w:bCs/>
          <w:color w:val="auto"/>
          <w:kern w:val="2"/>
          <w:sz w:val="32"/>
          <w:szCs w:val="32"/>
          <w:lang w:val="en-US" w:eastAsia="zh-CN" w:bidi="ar-SA"/>
        </w:rPr>
        <w:t>一是加强要素保障和精准配置</w:t>
      </w:r>
      <w:r>
        <w:rPr>
          <w:rFonts w:ascii="仿宋_GB2312" w:eastAsia="仿宋_GB2312" w:cs="仿宋_GB2312"/>
          <w:b/>
          <w:bCs/>
          <w:color w:val="auto"/>
          <w:kern w:val="2"/>
          <w:sz w:val="32"/>
          <w:szCs w:val="32"/>
          <w:lang w:val="en-US" w:eastAsia="zh-CN" w:bidi="ar-SA"/>
        </w:rPr>
        <w:t>。</w:t>
      </w:r>
      <w:r>
        <w:rPr>
          <w:rFonts w:ascii="仿宋_GB2312" w:eastAsia="仿宋_GB2312" w:cs="仿宋_GB2312"/>
          <w:b w:val="0"/>
          <w:bCs w:val="0"/>
          <w:color w:val="auto"/>
          <w:kern w:val="2"/>
          <w:sz w:val="32"/>
          <w:szCs w:val="32"/>
          <w:lang w:val="en-US" w:eastAsia="zh-CN" w:bidi="ar-SA"/>
        </w:rPr>
        <w:t>分类推进</w:t>
      </w:r>
      <w:r>
        <w:rPr>
          <w:rFonts w:hint="eastAsia" w:ascii="仿宋_GB2312" w:eastAsia="仿宋_GB2312" w:cs="仿宋_GB2312"/>
          <w:b w:val="0"/>
          <w:bCs w:val="0"/>
          <w:color w:val="auto"/>
          <w:kern w:val="2"/>
          <w:sz w:val="32"/>
          <w:szCs w:val="32"/>
          <w:lang w:val="en-US" w:eastAsia="zh-CN" w:bidi="ar-SA"/>
        </w:rPr>
        <w:t>重点</w:t>
      </w:r>
      <w:r>
        <w:rPr>
          <w:rFonts w:ascii="仿宋_GB2312" w:eastAsia="仿宋_GB2312" w:cs="仿宋_GB2312"/>
          <w:b w:val="0"/>
          <w:bCs w:val="0"/>
          <w:color w:val="auto"/>
          <w:kern w:val="2"/>
          <w:sz w:val="32"/>
          <w:szCs w:val="32"/>
          <w:lang w:val="en-US" w:eastAsia="zh-CN" w:bidi="ar-SA"/>
        </w:rPr>
        <w:t>项目报批</w:t>
      </w:r>
      <w:r>
        <w:rPr>
          <w:rFonts w:hint="eastAsia" w:ascii="仿宋_GB2312" w:eastAsia="仿宋_GB2312" w:cs="仿宋_GB2312"/>
          <w:b w:val="0"/>
          <w:bCs w:val="0"/>
          <w:color w:val="auto"/>
          <w:kern w:val="2"/>
          <w:sz w:val="32"/>
          <w:szCs w:val="32"/>
          <w:lang w:val="en-US" w:eastAsia="zh-CN" w:bidi="ar-SA"/>
        </w:rPr>
        <w:t>，对省、州重点项目实行“应保尽保”，根据项目类型、所属产业、建设阶段等，分类施策，精准配置用地指标；压缩审批时间，提供从选址到报批全流程、一对一跟踪服务，精准配置工作专班。</w:t>
      </w:r>
      <w:r>
        <w:rPr>
          <w:rFonts w:hint="eastAsia" w:ascii="仿宋_GB2312" w:eastAsia="仿宋_GB2312" w:cs="仿宋_GB2312"/>
          <w:b/>
          <w:bCs/>
          <w:color w:val="auto"/>
          <w:sz w:val="32"/>
          <w:szCs w:val="32"/>
          <w:lang w:val="en-US" w:eastAsia="zh-CN"/>
        </w:rPr>
        <w:t>二是严守资源保护底线</w:t>
      </w:r>
      <w:r>
        <w:rPr>
          <w:rFonts w:ascii="仿宋_GB2312" w:eastAsia="仿宋_GB2312" w:cs="仿宋_GB2312"/>
          <w:b/>
          <w:bCs/>
          <w:color w:val="auto"/>
          <w:sz w:val="32"/>
          <w:szCs w:val="32"/>
          <w:lang w:val="en-US" w:eastAsia="zh-CN"/>
        </w:rPr>
        <w:t>。</w:t>
      </w:r>
      <w:r>
        <w:rPr>
          <w:rFonts w:hint="eastAsia" w:ascii="仿宋_GB2312" w:eastAsia="仿宋_GB2312" w:cs="仿宋_GB2312"/>
          <w:b w:val="0"/>
          <w:bCs w:val="0"/>
          <w:color w:val="auto"/>
          <w:sz w:val="32"/>
          <w:szCs w:val="32"/>
          <w:lang w:val="en-US" w:eastAsia="zh-CN"/>
        </w:rPr>
        <w:t>严守耕地与永久基本农田生态保护红线，严禁非农化、严控非粮化，守住耕地保护核心原则；严守生态保护红线，禁止在生态保护红线、自然保护区进行“开天窗”式开发</w:t>
      </w:r>
      <w:r>
        <w:rPr>
          <w:rFonts w:ascii="仿宋_GB2312" w:eastAsia="仿宋_GB2312" w:cs="仿宋_GB2312"/>
          <w:b w:val="0"/>
          <w:bCs w:val="0"/>
          <w:color w:val="auto"/>
          <w:sz w:val="32"/>
          <w:szCs w:val="32"/>
          <w:lang w:val="en-US" w:eastAsia="zh-CN"/>
        </w:rPr>
        <w:t>；</w:t>
      </w:r>
      <w:r>
        <w:rPr>
          <w:rFonts w:hint="eastAsia" w:ascii="仿宋_GB2312" w:eastAsia="仿宋_GB2312" w:cs="仿宋_GB2312"/>
          <w:b w:val="0"/>
          <w:bCs w:val="0"/>
          <w:color w:val="auto"/>
          <w:sz w:val="32"/>
          <w:szCs w:val="32"/>
          <w:lang w:val="en-US" w:eastAsia="zh-CN"/>
        </w:rPr>
        <w:t>严控城区扩张，原则上保留城镇开发边界内的永久基本农田，确需调出的，必须确保城镇开发边界规模不扩大。</w:t>
      </w:r>
      <w:r>
        <w:rPr>
          <w:rFonts w:hint="eastAsia" w:ascii="仿宋_GB2312" w:eastAsia="仿宋_GB2312" w:cs="仿宋_GB2312"/>
          <w:b/>
          <w:bCs/>
          <w:color w:val="auto"/>
          <w:sz w:val="32"/>
          <w:szCs w:val="32"/>
          <w:lang w:val="en-US" w:eastAsia="zh-CN"/>
        </w:rPr>
        <w:t>三是着力推进土地供应和存量盘活。</w:t>
      </w:r>
      <w:r>
        <w:rPr>
          <w:rFonts w:ascii="仿宋_GB2312" w:eastAsia="仿宋_GB2312" w:cs="仿宋_GB2312"/>
          <w:b w:val="0"/>
          <w:bCs w:val="0"/>
          <w:color w:val="auto"/>
          <w:sz w:val="32"/>
          <w:szCs w:val="32"/>
          <w:lang w:val="en-US" w:eastAsia="zh-CN"/>
        </w:rPr>
        <w:t>加快已批复项目的土地供应，确保项目</w:t>
      </w:r>
      <w:r>
        <w:rPr>
          <w:rFonts w:hint="eastAsia" w:ascii="仿宋_GB2312" w:eastAsia="仿宋_GB2312" w:cs="仿宋_GB2312"/>
          <w:b w:val="0"/>
          <w:bCs w:val="0"/>
          <w:color w:val="auto"/>
          <w:sz w:val="32"/>
          <w:szCs w:val="32"/>
          <w:lang w:val="en-US" w:eastAsia="zh-CN"/>
        </w:rPr>
        <w:t>按时</w:t>
      </w:r>
      <w:r>
        <w:rPr>
          <w:rFonts w:ascii="仿宋_GB2312" w:eastAsia="仿宋_GB2312" w:cs="仿宋_GB2312"/>
          <w:b w:val="0"/>
          <w:bCs w:val="0"/>
          <w:color w:val="auto"/>
          <w:sz w:val="32"/>
          <w:szCs w:val="32"/>
          <w:lang w:val="en-US" w:eastAsia="zh-CN"/>
        </w:rPr>
        <w:t>落地</w:t>
      </w:r>
      <w:r>
        <w:rPr>
          <w:rFonts w:hint="eastAsia" w:ascii="仿宋_GB2312" w:eastAsia="仿宋_GB2312" w:cs="仿宋_GB2312"/>
          <w:b w:val="0"/>
          <w:bCs w:val="0"/>
          <w:color w:val="auto"/>
          <w:sz w:val="32"/>
          <w:szCs w:val="32"/>
          <w:lang w:val="en-US" w:eastAsia="zh-CN"/>
        </w:rPr>
        <w:t>；做好建设用地项目上报用地组卷审核，加快</w:t>
      </w:r>
      <w:r>
        <w:rPr>
          <w:rFonts w:ascii="仿宋_GB2312" w:eastAsia="仿宋_GB2312" w:cs="仿宋_GB2312"/>
          <w:b w:val="0"/>
          <w:bCs w:val="0"/>
          <w:color w:val="auto"/>
          <w:sz w:val="32"/>
          <w:szCs w:val="32"/>
          <w:lang w:val="en-US" w:eastAsia="zh-CN"/>
        </w:rPr>
        <w:t>完善202</w:t>
      </w:r>
      <w:r>
        <w:rPr>
          <w:rFonts w:hint="eastAsia" w:ascii="仿宋_GB2312" w:eastAsia="仿宋_GB2312" w:cs="仿宋_GB2312"/>
          <w:b w:val="0"/>
          <w:bCs w:val="0"/>
          <w:color w:val="auto"/>
          <w:sz w:val="32"/>
          <w:szCs w:val="32"/>
          <w:lang w:val="en-US" w:eastAsia="zh-CN"/>
        </w:rPr>
        <w:t>6</w:t>
      </w:r>
      <w:r>
        <w:rPr>
          <w:rFonts w:ascii="仿宋_GB2312" w:eastAsia="仿宋_GB2312" w:cs="仿宋_GB2312"/>
          <w:b w:val="0"/>
          <w:bCs w:val="0"/>
          <w:color w:val="auto"/>
          <w:sz w:val="32"/>
          <w:szCs w:val="32"/>
          <w:lang w:val="en-US" w:eastAsia="zh-CN"/>
        </w:rPr>
        <w:t>年度</w:t>
      </w:r>
      <w:r>
        <w:rPr>
          <w:rFonts w:hint="eastAsia" w:ascii="仿宋_GB2312" w:eastAsia="仿宋_GB2312" w:cs="仿宋_GB2312"/>
          <w:b w:val="0"/>
          <w:bCs w:val="0"/>
          <w:color w:val="auto"/>
          <w:sz w:val="32"/>
          <w:szCs w:val="32"/>
          <w:lang w:val="en-US" w:eastAsia="zh-CN"/>
        </w:rPr>
        <w:t>红原县</w:t>
      </w:r>
      <w:r>
        <w:rPr>
          <w:rFonts w:ascii="仿宋_GB2312" w:eastAsia="仿宋_GB2312" w:cs="仿宋_GB2312"/>
          <w:b w:val="0"/>
          <w:bCs w:val="0"/>
          <w:color w:val="auto"/>
          <w:sz w:val="32"/>
          <w:szCs w:val="32"/>
          <w:lang w:val="en-US" w:eastAsia="zh-CN"/>
        </w:rPr>
        <w:t>国有建设用地供应计划</w:t>
      </w:r>
      <w:r>
        <w:rPr>
          <w:rFonts w:hint="eastAsia" w:ascii="仿宋_GB2312" w:eastAsia="仿宋_GB2312" w:cs="仿宋_GB2312"/>
          <w:b w:val="0"/>
          <w:bCs w:val="0"/>
          <w:color w:val="auto"/>
          <w:sz w:val="32"/>
          <w:szCs w:val="32"/>
          <w:lang w:val="en-US" w:eastAsia="zh-CN"/>
        </w:rPr>
        <w:t>，为新发展提供空间；盘活存量土地，处置批而未供、闲置和低效用地，通过收回、嫁接和转型等方式拓展用地空间。</w:t>
      </w:r>
      <w:r>
        <w:rPr>
          <w:rFonts w:hint="eastAsia" w:ascii="仿宋_GB2312" w:eastAsia="仿宋_GB2312" w:cs="仿宋_GB2312"/>
          <w:b/>
          <w:bCs/>
          <w:color w:val="auto"/>
          <w:sz w:val="32"/>
          <w:szCs w:val="32"/>
          <w:lang w:val="en-US" w:eastAsia="zh-CN"/>
        </w:rPr>
        <w:t>四是</w:t>
      </w:r>
      <w:r>
        <w:rPr>
          <w:rFonts w:ascii="仿宋_GB2312" w:eastAsia="仿宋_GB2312" w:cs="仿宋_GB2312"/>
          <w:b/>
          <w:bCs/>
          <w:color w:val="auto"/>
          <w:sz w:val="32"/>
          <w:szCs w:val="32"/>
          <w:lang w:val="en-US" w:eastAsia="zh-CN"/>
        </w:rPr>
        <w:t>扎实推进征地补偿安置工作</w:t>
      </w:r>
      <w:r>
        <w:rPr>
          <w:rFonts w:hint="eastAsia" w:ascii="仿宋_GB2312" w:eastAsia="仿宋_GB2312" w:cs="仿宋_GB2312"/>
          <w:b/>
          <w:bCs/>
          <w:color w:val="auto"/>
          <w:sz w:val="32"/>
          <w:szCs w:val="32"/>
          <w:lang w:val="en-US" w:eastAsia="zh-CN"/>
        </w:rPr>
        <w:t>。</w:t>
      </w:r>
      <w:r>
        <w:rPr>
          <w:rFonts w:hint="eastAsia" w:ascii="仿宋_GB2312" w:eastAsia="仿宋_GB2312" w:cs="仿宋_GB2312"/>
          <w:b w:val="0"/>
          <w:bCs w:val="0"/>
          <w:color w:val="auto"/>
          <w:sz w:val="32"/>
          <w:szCs w:val="32"/>
          <w:lang w:val="en-US" w:eastAsia="zh-CN"/>
        </w:rPr>
        <w:t>严格规范征收程序，组织土地现状调查，对土地位置、权属、地类、面积及附着物等情况进行调查和公示；公平透明实施补偿，执行区片综合地价，确保补偿标准统一，将社会保障作为重要安置措施，预存社保费用。</w:t>
      </w:r>
    </w:p>
    <w:p w14:paraId="1BE19612">
      <w:pPr>
        <w:keepNext w:val="0"/>
        <w:keepLines w:val="0"/>
        <w:pageBreakBefore w:val="0"/>
        <w:widowControl w:val="0"/>
        <w:shd w:val="clear" w:color="auto" w:fill="auto"/>
        <w:kinsoku/>
        <w:wordWrap/>
        <w:overflowPunct/>
        <w:topLinePunct w:val="0"/>
        <w:autoSpaceDE/>
        <w:autoSpaceDN/>
        <w:bidi w:val="0"/>
        <w:snapToGrid w:val="0"/>
        <w:spacing w:line="560" w:lineRule="exact"/>
        <w:ind w:left="0" w:firstLine="643" w:firstLineChars="200"/>
        <w:textAlignment w:val="auto"/>
        <w:rPr>
          <w:rFonts w:hint="eastAsia" w:ascii="楷体" w:eastAsia="楷体" w:cs="楷体"/>
          <w:b/>
          <w:bCs/>
          <w:color w:val="auto"/>
          <w:sz w:val="32"/>
          <w:szCs w:val="32"/>
        </w:rPr>
      </w:pPr>
      <w:r>
        <w:rPr>
          <w:rFonts w:hint="eastAsia" w:ascii="楷体" w:eastAsia="楷体" w:cs="楷体"/>
          <w:b/>
          <w:bCs/>
          <w:color w:val="auto"/>
          <w:sz w:val="32"/>
          <w:szCs w:val="32"/>
          <w:lang w:val="en-US" w:eastAsia="zh-CN"/>
        </w:rPr>
        <w:t>2.</w:t>
      </w:r>
      <w:r>
        <w:rPr>
          <w:rFonts w:hint="eastAsia" w:ascii="楷体" w:eastAsia="楷体" w:cs="楷体"/>
          <w:b/>
          <w:bCs/>
          <w:color w:val="auto"/>
          <w:sz w:val="32"/>
          <w:szCs w:val="32"/>
        </w:rPr>
        <w:t>空间规划和用地预审工作</w:t>
      </w:r>
    </w:p>
    <w:p w14:paraId="5D3EFAE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cs="仿宋_GB2312"/>
          <w:color w:val="auto"/>
          <w:sz w:val="32"/>
          <w:szCs w:val="32"/>
          <w:lang w:val="en-US" w:eastAsia="zh-CN"/>
        </w:rPr>
      </w:pPr>
      <w:r>
        <w:rPr>
          <w:rFonts w:hint="eastAsia" w:ascii="仿宋_GB2312" w:eastAsia="仿宋_GB2312" w:cs="仿宋_GB2312"/>
          <w:b/>
          <w:bCs/>
          <w:color w:val="auto"/>
          <w:sz w:val="32"/>
          <w:szCs w:val="32"/>
          <w:lang w:val="en-US" w:eastAsia="zh-CN"/>
        </w:rPr>
        <w:t>一是推动控规成果高质量编制。</w:t>
      </w:r>
      <w:r>
        <w:rPr>
          <w:rFonts w:hint="eastAsia" w:ascii="仿宋_GB2312" w:eastAsia="仿宋_GB2312" w:cs="仿宋_GB2312"/>
          <w:color w:val="auto"/>
          <w:sz w:val="32"/>
          <w:szCs w:val="32"/>
          <w:lang w:val="en-US" w:eastAsia="zh-CN"/>
        </w:rPr>
        <w:t>推进红原县中心城区最新控制性详细规划成果的编制工作；完善乡村规划管理机制，按程序提交规委会审查，为乡村规划管理提供制度保障；推进城区镇区范围科学划定。</w:t>
      </w:r>
      <w:r>
        <w:rPr>
          <w:rFonts w:hint="eastAsia" w:ascii="仿宋_GB2312" w:eastAsia="仿宋_GB2312" w:cs="仿宋_GB2312"/>
          <w:b/>
          <w:bCs/>
          <w:color w:val="auto"/>
          <w:sz w:val="32"/>
          <w:szCs w:val="32"/>
          <w:lang w:val="en-US" w:eastAsia="zh-CN"/>
        </w:rPr>
        <w:t>二是</w:t>
      </w:r>
      <w:r>
        <w:rPr>
          <w:rFonts w:hint="eastAsia" w:ascii="仿宋_GB2312" w:eastAsia="仿宋_GB2312" w:cs="仿宋_GB2312"/>
          <w:b/>
          <w:bCs/>
          <w:color w:val="auto"/>
          <w:sz w:val="32"/>
          <w:szCs w:val="32"/>
          <w:lang w:val="en-US" w:eastAsia="zh-CN"/>
        </w:rPr>
        <w:t>保障项目规划许可顺利推进。</w:t>
      </w:r>
      <w:r>
        <w:rPr>
          <w:rFonts w:hint="eastAsia" w:ascii="仿宋_GB2312" w:eastAsia="仿宋_GB2312" w:cs="仿宋_GB2312"/>
          <w:color w:val="auto"/>
          <w:sz w:val="32"/>
          <w:szCs w:val="32"/>
          <w:lang w:val="en-US" w:eastAsia="zh-CN"/>
        </w:rPr>
        <w:t>持续为通过2025年规委会审议的各类项目提供高效、规范的规划审批服务，加快办理建设用地规划许可证</w:t>
      </w:r>
      <w:r>
        <w:rPr>
          <w:rFonts w:ascii="仿宋_GB2312" w:eastAsia="仿宋_GB2312" w:cs="仿宋_GB2312"/>
          <w:color w:val="auto"/>
          <w:sz w:val="32"/>
          <w:szCs w:val="32"/>
          <w:lang w:val="en-US" w:eastAsia="zh-CN"/>
        </w:rPr>
        <w:t>和</w:t>
      </w:r>
      <w:r>
        <w:rPr>
          <w:rFonts w:hint="eastAsia" w:ascii="仿宋_GB2312" w:eastAsia="仿宋_GB2312" w:cs="仿宋_GB2312"/>
          <w:color w:val="auto"/>
          <w:sz w:val="32"/>
          <w:szCs w:val="32"/>
          <w:lang w:val="en-US" w:eastAsia="zh-CN"/>
        </w:rPr>
        <w:t>建设工程规划许可证；按照议事规则和工作程序，筹备并组织召开2026年规委会，切实发挥规委会在城乡规划建设中的统筹指导和审查把关作用。</w:t>
      </w:r>
    </w:p>
    <w:p w14:paraId="062DC6BE">
      <w:pPr>
        <w:keepNext w:val="0"/>
        <w:keepLines w:val="0"/>
        <w:pageBreakBefore w:val="0"/>
        <w:widowControl w:val="0"/>
        <w:shd w:val="clear" w:color="auto" w:fill="auto"/>
        <w:kinsoku/>
        <w:wordWrap/>
        <w:overflowPunct/>
        <w:topLinePunct w:val="0"/>
        <w:autoSpaceDE/>
        <w:autoSpaceDN/>
        <w:bidi w:val="0"/>
        <w:snapToGrid w:val="0"/>
        <w:spacing w:line="560" w:lineRule="exact"/>
        <w:ind w:left="0" w:firstLine="643" w:firstLineChars="200"/>
        <w:textAlignment w:val="auto"/>
        <w:rPr>
          <w:rFonts w:hint="eastAsia" w:ascii="楷体" w:eastAsia="楷体" w:cs="楷体"/>
          <w:b/>
          <w:bCs/>
          <w:color w:val="auto"/>
          <w:sz w:val="32"/>
          <w:szCs w:val="32"/>
          <w:lang w:val="en-US" w:eastAsia="zh-CN"/>
        </w:rPr>
      </w:pPr>
      <w:r>
        <w:rPr>
          <w:rFonts w:hint="eastAsia" w:ascii="楷体" w:eastAsia="楷体" w:cs="楷体"/>
          <w:b/>
          <w:bCs/>
          <w:color w:val="auto"/>
          <w:sz w:val="32"/>
          <w:szCs w:val="32"/>
          <w:lang w:val="en-US" w:eastAsia="zh-CN"/>
        </w:rPr>
        <w:t>3.确权登记和地籍调查监测</w:t>
      </w:r>
    </w:p>
    <w:p w14:paraId="17783E20">
      <w:pPr>
        <w:keepNext w:val="0"/>
        <w:keepLines w:val="0"/>
        <w:pageBreakBefore w:val="0"/>
        <w:widowControl w:val="0"/>
        <w:shd w:val="clear" w:color="auto" w:fill="auto"/>
        <w:kinsoku/>
        <w:wordWrap/>
        <w:overflowPunct/>
        <w:topLinePunct w:val="0"/>
        <w:autoSpaceDE/>
        <w:autoSpaceDN/>
        <w:bidi w:val="0"/>
        <w:snapToGrid w:val="0"/>
        <w:spacing w:line="560" w:lineRule="exact"/>
        <w:ind w:left="0" w:firstLine="643" w:firstLineChars="200"/>
        <w:textAlignment w:val="auto"/>
        <w:rPr>
          <w:rStyle w:val="7"/>
          <w:rFonts w:hint="eastAsia" w:ascii="Times New Roman" w:hAnsi="Times New Roman" w:eastAsia="仿宋_GB2312"/>
          <w:color w:val="auto"/>
          <w:sz w:val="32"/>
          <w:szCs w:val="32"/>
        </w:rPr>
      </w:pPr>
      <w:r>
        <w:rPr>
          <w:rFonts w:hint="eastAsia" w:ascii="楷体" w:eastAsia="楷体" w:cs="楷体"/>
          <w:b/>
          <w:bCs/>
          <w:color w:val="auto"/>
          <w:sz w:val="32"/>
          <w:szCs w:val="32"/>
          <w:lang w:val="en-US" w:eastAsia="zh-CN"/>
        </w:rPr>
        <w:t>一是2025年度国土变更调查工作，</w:t>
      </w:r>
      <w:r>
        <w:rPr>
          <w:rStyle w:val="7"/>
          <w:rFonts w:hint="eastAsia" w:ascii="Times New Roman" w:hAnsi="Times New Roman" w:eastAsia="仿宋_GB2312"/>
          <w:color w:val="auto"/>
          <w:kern w:val="2"/>
          <w:sz w:val="32"/>
          <w:szCs w:val="32"/>
          <w:lang w:val="en-US" w:eastAsia="zh-CN" w:bidi="ar-SA"/>
        </w:rPr>
        <w:t>推进2025年度变更调查与林草湿荒调查监测工作，查清全县国土利用现状及植被覆盖类型等资源属性的变化情况，汇总形成年度现状数据，动态更新各级国土调查及林草湿荒调查监测成果。开展林草湿荒调查监测固定样地调查，在规定节点完成变更调查、林草湿荒调查监测、荒漠调查试点工作并形成全国变更调查数据成果。</w:t>
      </w:r>
      <w:r>
        <w:rPr>
          <w:rFonts w:hint="eastAsia" w:ascii="楷体" w:eastAsia="楷体" w:cs="楷体"/>
          <w:b/>
          <w:bCs/>
          <w:color w:val="auto"/>
          <w:sz w:val="32"/>
          <w:szCs w:val="32"/>
          <w:lang w:val="en-US" w:eastAsia="zh-CN"/>
        </w:rPr>
        <w:t>二是</w:t>
      </w:r>
      <w:r>
        <w:rPr>
          <w:rFonts w:hint="eastAsia" w:ascii="楷体" w:eastAsia="楷体" w:cs="楷体"/>
          <w:b/>
          <w:bCs/>
          <w:color w:val="auto"/>
          <w:sz w:val="32"/>
          <w:szCs w:val="32"/>
        </w:rPr>
        <w:t>耕林园“一张图”工作</w:t>
      </w:r>
      <w:r>
        <w:rPr>
          <w:rFonts w:hint="eastAsia" w:ascii="楷体" w:eastAsia="楷体" w:cs="楷体"/>
          <w:b/>
          <w:bCs/>
          <w:color w:val="auto"/>
          <w:sz w:val="32"/>
          <w:szCs w:val="32"/>
          <w:lang w:eastAsia="zh-CN"/>
        </w:rPr>
        <w:t>。</w:t>
      </w:r>
      <w:r>
        <w:rPr>
          <w:rStyle w:val="7"/>
          <w:rFonts w:hint="eastAsia" w:ascii="Times New Roman" w:hAnsi="Times New Roman" w:eastAsia="仿宋_GB2312"/>
          <w:color w:val="auto"/>
          <w:sz w:val="32"/>
          <w:szCs w:val="32"/>
        </w:rPr>
        <w:t>在耕地、林地、园地等地类管理边界划定基础上，围绕稳定耕地总量、提升耕地质量、优化永久基本农田布局、推动耕地林地园地空间置换、留足留优耕地占补平衡后备资源和国土绿化（林地后备资源）空间等目标，编制红原县耕地占补平衡和国土绿化（林地后备资源）空间专项规划，优化耕地和林地保护空间。</w:t>
      </w:r>
      <w:r>
        <w:rPr>
          <w:rFonts w:hint="eastAsia" w:ascii="楷体" w:eastAsia="楷体" w:cs="楷体"/>
          <w:b/>
          <w:bCs/>
          <w:color w:val="auto"/>
          <w:sz w:val="32"/>
          <w:szCs w:val="32"/>
          <w:lang w:val="en-US" w:eastAsia="zh-CN"/>
        </w:rPr>
        <w:t>三是水资源调查工作。</w:t>
      </w:r>
      <w:r>
        <w:rPr>
          <w:rStyle w:val="7"/>
          <w:rFonts w:hint="eastAsia" w:ascii="Times New Roman" w:hAnsi="Times New Roman" w:eastAsia="仿宋_GB2312"/>
          <w:b w:val="0"/>
          <w:bCs w:val="0"/>
          <w:color w:val="auto"/>
          <w:sz w:val="32"/>
          <w:szCs w:val="32"/>
          <w:lang w:val="en-US" w:eastAsia="zh-CN"/>
        </w:rPr>
        <w:t>在2025年形成的阶段成果基础上，面向重点区域，针对自然资源管理需求，围绕水资源与其他自然资源的相互关系完成专题调查评价工作。根据国家统一标准，完成我县水资源调查数据入库。</w:t>
      </w:r>
    </w:p>
    <w:p w14:paraId="6217517C">
      <w:pPr>
        <w:keepNext w:val="0"/>
        <w:keepLines w:val="0"/>
        <w:pageBreakBefore w:val="0"/>
        <w:widowControl w:val="0"/>
        <w:shd w:val="clear" w:color="auto" w:fill="auto"/>
        <w:kinsoku/>
        <w:wordWrap/>
        <w:overflowPunct/>
        <w:topLinePunct w:val="0"/>
        <w:autoSpaceDE/>
        <w:autoSpaceDN/>
        <w:bidi w:val="0"/>
        <w:snapToGrid w:val="0"/>
        <w:spacing w:line="560" w:lineRule="exact"/>
        <w:ind w:left="0" w:firstLine="643" w:firstLineChars="200"/>
        <w:textAlignment w:val="auto"/>
        <w:rPr>
          <w:rFonts w:hint="eastAsia" w:ascii="楷体" w:eastAsia="楷体" w:cs="楷体"/>
          <w:b/>
          <w:bCs/>
          <w:color w:val="auto"/>
          <w:sz w:val="32"/>
          <w:szCs w:val="32"/>
        </w:rPr>
      </w:pPr>
      <w:r>
        <w:rPr>
          <w:rFonts w:hint="eastAsia" w:ascii="楷体" w:eastAsia="楷体" w:cs="楷体"/>
          <w:b/>
          <w:bCs/>
          <w:color w:val="auto"/>
          <w:sz w:val="32"/>
          <w:szCs w:val="32"/>
          <w:lang w:val="en-US" w:eastAsia="zh-CN"/>
        </w:rPr>
        <w:t>4.</w:t>
      </w:r>
      <w:r>
        <w:rPr>
          <w:rFonts w:hint="eastAsia" w:ascii="楷体" w:eastAsia="楷体" w:cs="楷体"/>
          <w:b/>
          <w:bCs/>
          <w:color w:val="auto"/>
          <w:sz w:val="32"/>
          <w:szCs w:val="32"/>
        </w:rPr>
        <w:t>地质灾害工作</w:t>
      </w:r>
    </w:p>
    <w:p w14:paraId="12E7F30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spacing w:line="560" w:lineRule="exact"/>
        <w:ind w:firstLine="643" w:firstLineChars="200"/>
        <w:textAlignment w:val="auto"/>
        <w:rPr>
          <w:rFonts w:hint="eastAsia" w:ascii="仿宋_GB2312" w:eastAsia="仿宋_GB2312"/>
          <w:vanish w:val="0"/>
          <w:color w:val="0000FF"/>
          <w:kern w:val="2"/>
          <w:sz w:val="32"/>
          <w:szCs w:val="32"/>
          <w:lang w:eastAsia="zh-CN"/>
        </w:rPr>
      </w:pPr>
      <w:r>
        <w:rPr>
          <w:rFonts w:hint="eastAsia" w:ascii="仿宋_GB2312" w:eastAsia="仿宋_GB2312"/>
          <w:b/>
          <w:bCs/>
          <w:vanish w:val="0"/>
          <w:color w:val="auto"/>
          <w:kern w:val="2"/>
          <w:sz w:val="32"/>
          <w:szCs w:val="32"/>
        </w:rPr>
        <w:t>一是强化隐患排查</w:t>
      </w:r>
      <w:r>
        <w:rPr>
          <w:rFonts w:ascii="仿宋_GB2312" w:eastAsia="仿宋_GB2312"/>
          <w:b/>
          <w:bCs/>
          <w:vanish w:val="0"/>
          <w:color w:val="auto"/>
          <w:kern w:val="2"/>
          <w:sz w:val="32"/>
          <w:szCs w:val="32"/>
        </w:rPr>
        <w:t>。</w:t>
      </w:r>
      <w:r>
        <w:rPr>
          <w:rFonts w:hint="eastAsia" w:ascii="仿宋_GB2312" w:eastAsia="仿宋_GB2312"/>
          <w:vanish w:val="0"/>
          <w:color w:val="auto"/>
          <w:kern w:val="2"/>
          <w:sz w:val="32"/>
          <w:szCs w:val="32"/>
          <w:lang w:eastAsia="zh-CN"/>
        </w:rPr>
        <w:t>汛前，对全县10个乡镇61处历史隐患点“回头看”及新增风险点排查；汛期，实行“周巡+雨前排查+雨后核查”，暴雨后24小时内复核，建立“巡查-台账-销号”闭环；汛后，结合灾害情况评估已治理工程，完善隐患点信息。</w:t>
      </w:r>
      <w:r>
        <w:rPr>
          <w:rFonts w:hint="eastAsia" w:ascii="仿宋_GB2312" w:eastAsia="仿宋_GB2312"/>
          <w:b/>
          <w:bCs/>
          <w:vanish w:val="0"/>
          <w:color w:val="auto"/>
          <w:kern w:val="2"/>
          <w:sz w:val="32"/>
          <w:szCs w:val="32"/>
        </w:rPr>
        <w:t>二是深化协同联动</w:t>
      </w:r>
      <w:r>
        <w:rPr>
          <w:rFonts w:ascii="仿宋_GB2312" w:eastAsia="仿宋_GB2312"/>
          <w:b/>
          <w:bCs/>
          <w:vanish w:val="0"/>
          <w:color w:val="auto"/>
          <w:kern w:val="2"/>
          <w:sz w:val="32"/>
          <w:szCs w:val="32"/>
        </w:rPr>
        <w:t>。</w:t>
      </w:r>
      <w:r>
        <w:rPr>
          <w:rFonts w:hint="eastAsia" w:ascii="仿宋_GB2312" w:eastAsia="仿宋_GB2312"/>
          <w:vanish w:val="0"/>
          <w:color w:val="auto"/>
          <w:kern w:val="2"/>
          <w:sz w:val="32"/>
          <w:szCs w:val="32"/>
          <w:lang w:eastAsia="zh-CN"/>
        </w:rPr>
        <w:t>与马尔康市、阿坝县签订《地质灾害联防联控合作协议》，建立跨区域合作机制；搭建四部门联合预警会商制度，实现数据实时共享与高效互通。</w:t>
      </w:r>
      <w:r>
        <w:rPr>
          <w:rFonts w:hint="eastAsia" w:ascii="仿宋_GB2312" w:eastAsia="仿宋_GB2312"/>
          <w:b/>
          <w:bCs/>
          <w:vanish w:val="0"/>
          <w:color w:val="auto"/>
          <w:kern w:val="2"/>
          <w:sz w:val="32"/>
          <w:szCs w:val="32"/>
        </w:rPr>
        <w:t>三是加强培训演练</w:t>
      </w:r>
      <w:r>
        <w:rPr>
          <w:rFonts w:ascii="仿宋_GB2312" w:eastAsia="仿宋_GB2312"/>
          <w:b/>
          <w:bCs/>
          <w:vanish w:val="0"/>
          <w:color w:val="auto"/>
          <w:kern w:val="2"/>
          <w:sz w:val="32"/>
          <w:szCs w:val="32"/>
        </w:rPr>
        <w:t>。</w:t>
      </w:r>
      <w:r>
        <w:rPr>
          <w:rFonts w:hint="eastAsia" w:ascii="仿宋_GB2312" w:eastAsia="仿宋_GB2312"/>
          <w:vanish w:val="0"/>
          <w:color w:val="auto"/>
          <w:kern w:val="2"/>
          <w:sz w:val="32"/>
          <w:szCs w:val="32"/>
          <w:lang w:eastAsia="zh-CN"/>
        </w:rPr>
        <w:t>针对农牧民开展“双语防灾科普进村”活动；针对学校、寺院等开设“防灾安全知识课堂”；针对在建工地施工人员组织专项培训；全县10个乡镇开展“三断”场景避险转移演练，提升实战能力。</w:t>
      </w:r>
      <w:r>
        <w:rPr>
          <w:rFonts w:hint="eastAsia" w:ascii="仿宋_GB2312" w:eastAsia="仿宋_GB2312"/>
          <w:b/>
          <w:bCs/>
          <w:vanish w:val="0"/>
          <w:color w:val="auto"/>
          <w:kern w:val="2"/>
          <w:sz w:val="32"/>
          <w:szCs w:val="32"/>
        </w:rPr>
        <w:t>四是推进隐患点销号</w:t>
      </w:r>
      <w:r>
        <w:rPr>
          <w:rFonts w:ascii="仿宋_GB2312" w:eastAsia="仿宋_GB2312"/>
          <w:b/>
          <w:bCs/>
          <w:vanish w:val="0"/>
          <w:color w:val="auto"/>
          <w:kern w:val="2"/>
          <w:sz w:val="32"/>
          <w:szCs w:val="32"/>
        </w:rPr>
        <w:t>。</w:t>
      </w:r>
      <w:r>
        <w:rPr>
          <w:rFonts w:hint="eastAsia" w:ascii="仿宋_GB2312" w:eastAsia="仿宋_GB2312"/>
          <w:vanish w:val="0"/>
          <w:color w:val="auto"/>
          <w:kern w:val="2"/>
          <w:sz w:val="32"/>
          <w:szCs w:val="32"/>
        </w:rPr>
        <w:t>明确202</w:t>
      </w:r>
      <w:r>
        <w:rPr>
          <w:rFonts w:hint="eastAsia" w:ascii="仿宋_GB2312" w:eastAsia="仿宋_GB2312"/>
          <w:vanish w:val="0"/>
          <w:color w:val="auto"/>
          <w:kern w:val="2"/>
          <w:sz w:val="32"/>
          <w:szCs w:val="32"/>
          <w:lang w:val="en-US" w:eastAsia="zh-CN"/>
        </w:rPr>
        <w:t>6</w:t>
      </w:r>
      <w:r>
        <w:rPr>
          <w:rFonts w:hint="eastAsia" w:ascii="仿宋_GB2312" w:eastAsia="仿宋_GB2312"/>
          <w:vanish w:val="0"/>
          <w:color w:val="auto"/>
          <w:kern w:val="2"/>
          <w:sz w:val="32"/>
          <w:szCs w:val="32"/>
        </w:rPr>
        <w:t>年目标，计划完成3处隐患点销号，</w:t>
      </w:r>
      <w:r>
        <w:rPr>
          <w:rFonts w:hint="eastAsia" w:ascii="仿宋_GB2312" w:eastAsia="仿宋_GB2312"/>
          <w:vanish w:val="0"/>
          <w:color w:val="auto"/>
          <w:kern w:val="2"/>
          <w:sz w:val="32"/>
          <w:szCs w:val="32"/>
          <w:lang w:eastAsia="zh-CN"/>
        </w:rPr>
        <w:t>包括</w:t>
      </w:r>
      <w:r>
        <w:rPr>
          <w:rFonts w:hint="eastAsia" w:ascii="仿宋_GB2312" w:eastAsia="仿宋_GB2312"/>
          <w:vanish w:val="0"/>
          <w:color w:val="auto"/>
          <w:kern w:val="2"/>
          <w:sz w:val="32"/>
          <w:szCs w:val="32"/>
        </w:rPr>
        <w:t>刷经寺镇三家寨村老康猫组滑坡、瓦切镇如意空行寺2号滑坡、麦洼乡洞拉村定居点泥石流</w:t>
      </w:r>
      <w:r>
        <w:rPr>
          <w:rFonts w:hint="eastAsia" w:ascii="仿宋_GB2312" w:eastAsia="仿宋_GB2312"/>
          <w:vanish w:val="0"/>
          <w:color w:val="0000FF"/>
          <w:kern w:val="2"/>
          <w:sz w:val="32"/>
          <w:szCs w:val="32"/>
        </w:rPr>
        <w:t>。</w:t>
      </w:r>
      <w:r>
        <w:rPr>
          <w:rFonts w:hint="eastAsia" w:ascii="仿宋_GB2312" w:eastAsia="仿宋_GB2312"/>
          <w:vanish w:val="0"/>
          <w:color w:val="0000FF"/>
          <w:kern w:val="2"/>
          <w:sz w:val="32"/>
          <w:szCs w:val="32"/>
          <w:lang w:eastAsia="zh-CN"/>
        </w:rPr>
        <w:t xml:space="preserve"> </w:t>
      </w:r>
    </w:p>
    <w:p w14:paraId="5037A413">
      <w:pPr>
        <w:keepNext w:val="0"/>
        <w:keepLines w:val="0"/>
        <w:pageBreakBefore w:val="0"/>
        <w:widowControl w:val="0"/>
        <w:shd w:val="clear" w:color="auto" w:fill="auto"/>
        <w:kinsoku/>
        <w:wordWrap/>
        <w:overflowPunct/>
        <w:topLinePunct w:val="0"/>
        <w:autoSpaceDE/>
        <w:autoSpaceDN/>
        <w:bidi w:val="0"/>
        <w:snapToGrid w:val="0"/>
        <w:spacing w:line="560" w:lineRule="exact"/>
        <w:ind w:left="0" w:firstLine="643" w:firstLineChars="200"/>
        <w:textAlignment w:val="auto"/>
        <w:rPr>
          <w:rFonts w:hint="eastAsia" w:ascii="楷体" w:eastAsia="楷体" w:cs="楷体"/>
          <w:b/>
          <w:bCs/>
          <w:color w:val="auto"/>
          <w:sz w:val="32"/>
          <w:szCs w:val="32"/>
        </w:rPr>
      </w:pPr>
      <w:r>
        <w:rPr>
          <w:rFonts w:hint="eastAsia" w:ascii="楷体" w:eastAsia="楷体" w:cs="楷体"/>
          <w:b/>
          <w:bCs/>
          <w:color w:val="auto"/>
          <w:sz w:val="32"/>
          <w:szCs w:val="32"/>
          <w:lang w:val="en-US" w:eastAsia="zh-CN"/>
        </w:rPr>
        <w:t>5.</w:t>
      </w:r>
      <w:r>
        <w:rPr>
          <w:rFonts w:hint="eastAsia" w:ascii="楷体" w:eastAsia="楷体" w:cs="楷体"/>
          <w:b/>
          <w:bCs/>
          <w:color w:val="auto"/>
          <w:sz w:val="32"/>
          <w:szCs w:val="32"/>
        </w:rPr>
        <w:t>矿产资源工作计划</w:t>
      </w:r>
    </w:p>
    <w:p w14:paraId="7DCA0F63">
      <w:pPr>
        <w:pStyle w:val="9"/>
        <w:keepNext w:val="0"/>
        <w:keepLines w:val="0"/>
        <w:pageBreakBefore w:val="0"/>
        <w:kinsoku/>
        <w:wordWrap/>
        <w:topLinePunct w:val="0"/>
        <w:bidi w:val="0"/>
        <w:spacing w:before="0" w:after="0" w:line="560" w:lineRule="exact"/>
        <w:ind w:firstLine="640" w:firstLineChars="200"/>
        <w:textAlignment w:val="auto"/>
        <w:rPr>
          <w:color w:val="auto"/>
          <w:sz w:val="32"/>
          <w:szCs w:val="32"/>
        </w:rPr>
      </w:pPr>
      <w:r>
        <w:rPr>
          <w:rFonts w:hint="eastAsia" w:ascii="仿宋_GB2312" w:eastAsia="仿宋_GB2312"/>
          <w:vanish w:val="0"/>
          <w:color w:val="auto"/>
          <w:sz w:val="32"/>
          <w:szCs w:val="32"/>
        </w:rPr>
        <w:t>对红原县峨扎村阿木曲建筑用砂岩矿进行指导，督促依法开采。</w:t>
      </w:r>
    </w:p>
    <w:p w14:paraId="621A2704">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二、部门</w:t>
      </w:r>
      <w:r>
        <w:rPr>
          <w:rFonts w:hint="eastAsia" w:ascii="黑体" w:hAnsi="黑体" w:eastAsia="黑体" w:cs="黑体"/>
          <w:sz w:val="32"/>
          <w:szCs w:val="32"/>
          <w:lang w:eastAsia="zh-CN"/>
        </w:rPr>
        <w:t>预算单位构成</w:t>
      </w:r>
    </w:p>
    <w:p w14:paraId="7F609C3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红原县</w:t>
      </w:r>
      <w:r>
        <w:rPr>
          <w:rFonts w:hint="eastAsia" w:ascii="仿宋_GB2312" w:hAnsi="仿宋_GB2312" w:eastAsia="仿宋_GB2312" w:cs="仿宋_GB2312"/>
          <w:b w:val="0"/>
          <w:bCs w:val="0"/>
          <w:color w:val="auto"/>
          <w:sz w:val="32"/>
          <w:szCs w:val="32"/>
          <w:lang w:val="en-US" w:eastAsia="zh-CN"/>
        </w:rPr>
        <w:t>自然资源局含行政单位1个，为局本级；事业单位1个，为不动产登记中心。</w:t>
      </w:r>
    </w:p>
    <w:p w14:paraId="10BC0342">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三、收支预算总体情况</w:t>
      </w:r>
    </w:p>
    <w:p w14:paraId="0A5C150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红原县</w:t>
      </w:r>
      <w:r>
        <w:rPr>
          <w:rFonts w:hint="eastAsia" w:ascii="仿宋_GB2312" w:hAnsi="仿宋_GB2312" w:eastAsia="仿宋_GB2312" w:cs="仿宋_GB2312"/>
          <w:b w:val="0"/>
          <w:bCs w:val="0"/>
          <w:color w:val="auto"/>
          <w:sz w:val="32"/>
          <w:szCs w:val="32"/>
          <w:lang w:val="en-US" w:eastAsia="zh-CN"/>
        </w:rPr>
        <w:t>自然资源局</w:t>
      </w:r>
      <w:r>
        <w:rPr>
          <w:rFonts w:hint="eastAsia" w:ascii="仿宋" w:hAnsi="仿宋" w:eastAsia="仿宋" w:cs="仿宋"/>
          <w:sz w:val="32"/>
          <w:szCs w:val="32"/>
        </w:rPr>
        <w:t>收入预算总额为</w:t>
      </w:r>
      <w:r>
        <w:rPr>
          <w:rFonts w:hint="eastAsia" w:ascii="仿宋" w:hAnsi="仿宋" w:eastAsia="仿宋" w:cs="仿宋"/>
          <w:sz w:val="32"/>
          <w:szCs w:val="32"/>
          <w:lang w:val="en-US" w:eastAsia="zh-CN"/>
        </w:rPr>
        <w:t>730.58</w:t>
      </w:r>
      <w:r>
        <w:rPr>
          <w:rFonts w:hint="eastAsia" w:ascii="仿宋" w:hAnsi="仿宋" w:eastAsia="仿宋" w:cs="仿宋"/>
          <w:sz w:val="32"/>
          <w:szCs w:val="32"/>
        </w:rPr>
        <w:t>万元，其中：当年财政拨款收入</w:t>
      </w:r>
      <w:r>
        <w:rPr>
          <w:rFonts w:hint="eastAsia" w:ascii="仿宋" w:hAnsi="仿宋" w:eastAsia="仿宋" w:cs="仿宋"/>
          <w:sz w:val="32"/>
          <w:szCs w:val="32"/>
          <w:lang w:val="en-US" w:eastAsia="zh-CN"/>
        </w:rPr>
        <w:t>730.58</w:t>
      </w:r>
      <w:r>
        <w:rPr>
          <w:rFonts w:hint="eastAsia" w:ascii="仿宋" w:hAnsi="仿宋" w:eastAsia="仿宋" w:cs="仿宋"/>
          <w:sz w:val="32"/>
          <w:szCs w:val="32"/>
        </w:rPr>
        <w:t>万元。相应安排支出预算</w:t>
      </w:r>
      <w:r>
        <w:rPr>
          <w:rFonts w:hint="eastAsia" w:ascii="仿宋" w:hAnsi="仿宋" w:eastAsia="仿宋" w:cs="仿宋"/>
          <w:sz w:val="32"/>
          <w:szCs w:val="32"/>
          <w:lang w:val="en-US" w:eastAsia="zh-CN"/>
        </w:rPr>
        <w:t>730.58</w:t>
      </w:r>
      <w:r>
        <w:rPr>
          <w:rFonts w:hint="eastAsia" w:ascii="仿宋" w:hAnsi="仿宋" w:eastAsia="仿宋" w:cs="仿宋"/>
          <w:sz w:val="32"/>
          <w:szCs w:val="32"/>
        </w:rPr>
        <w:t>万元，其中：社会保障和就业</w:t>
      </w:r>
      <w:r>
        <w:rPr>
          <w:rFonts w:hint="eastAsia" w:ascii="仿宋" w:hAnsi="仿宋" w:eastAsia="仿宋" w:cs="仿宋"/>
          <w:sz w:val="32"/>
          <w:szCs w:val="32"/>
          <w:lang w:val="en-US" w:eastAsia="zh-CN"/>
        </w:rPr>
        <w:t>76.56</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rPr>
        <w:t>卫生</w:t>
      </w:r>
      <w:r>
        <w:rPr>
          <w:rFonts w:hint="eastAsia" w:ascii="仿宋" w:hAnsi="仿宋" w:eastAsia="仿宋" w:cs="仿宋"/>
          <w:sz w:val="32"/>
          <w:szCs w:val="32"/>
          <w:lang w:val="en-US" w:eastAsia="zh-CN"/>
        </w:rPr>
        <w:t>健康支出29.63</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42.57</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自然资源海洋气象等支持支出581.82万元</w:t>
      </w:r>
      <w:r>
        <w:rPr>
          <w:rFonts w:hint="eastAsia" w:ascii="仿宋" w:hAnsi="仿宋" w:eastAsia="仿宋" w:cs="仿宋"/>
          <w:sz w:val="32"/>
          <w:szCs w:val="32"/>
        </w:rPr>
        <w:t>。</w:t>
      </w:r>
    </w:p>
    <w:p w14:paraId="76FAF3F2">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支出预算安排情况</w:t>
      </w:r>
    </w:p>
    <w:p w14:paraId="32FE122B">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红原县</w:t>
      </w:r>
      <w:r>
        <w:rPr>
          <w:rFonts w:hint="eastAsia" w:ascii="仿宋_GB2312" w:hAnsi="仿宋_GB2312" w:eastAsia="仿宋_GB2312" w:cs="仿宋_GB2312"/>
          <w:b w:val="0"/>
          <w:bCs w:val="0"/>
          <w:color w:val="auto"/>
          <w:sz w:val="32"/>
          <w:szCs w:val="32"/>
          <w:lang w:val="en-US" w:eastAsia="zh-CN"/>
        </w:rPr>
        <w:t>自然资源局</w:t>
      </w:r>
      <w:r>
        <w:rPr>
          <w:rFonts w:hint="eastAsia" w:ascii="仿宋" w:hAnsi="仿宋" w:eastAsia="仿宋" w:cs="仿宋"/>
          <w:sz w:val="32"/>
          <w:szCs w:val="32"/>
        </w:rPr>
        <w:t>预算安排支出主要用于保障该部门机构正常运转、完成日常工作任务以及承担</w:t>
      </w:r>
      <w:r>
        <w:rPr>
          <w:rFonts w:hint="eastAsia" w:ascii="仿宋_GB2312" w:eastAsia="仿宋_GB2312"/>
          <w:color w:val="auto"/>
          <w:sz w:val="32"/>
          <w:szCs w:val="32"/>
          <w:lang w:eastAsia="zh-CN"/>
        </w:rPr>
        <w:t>自然资源</w:t>
      </w:r>
      <w:r>
        <w:rPr>
          <w:rFonts w:hint="eastAsia" w:ascii="仿宋" w:hAnsi="仿宋" w:eastAsia="仿宋" w:cs="仿宋"/>
          <w:sz w:val="32"/>
          <w:szCs w:val="32"/>
        </w:rPr>
        <w:t xml:space="preserve">事业发展相关工作。  </w:t>
      </w:r>
    </w:p>
    <w:p w14:paraId="20082028">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基本支出</w:t>
      </w:r>
      <w:r>
        <w:rPr>
          <w:rFonts w:hint="eastAsia" w:ascii="仿宋" w:hAnsi="仿宋" w:eastAsia="仿宋" w:cs="仿宋"/>
          <w:sz w:val="32"/>
          <w:szCs w:val="32"/>
          <w:lang w:val="en-US" w:eastAsia="zh-CN"/>
        </w:rPr>
        <w:t>569.68</w:t>
      </w:r>
      <w:r>
        <w:rPr>
          <w:rFonts w:hint="eastAsia" w:ascii="仿宋" w:hAnsi="仿宋" w:eastAsia="仿宋" w:cs="仿宋"/>
          <w:sz w:val="32"/>
          <w:szCs w:val="32"/>
          <w:lang w:eastAsia="zh-CN"/>
        </w:rPr>
        <w:t>万元</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其中人员经费支出</w:t>
      </w:r>
      <w:r>
        <w:rPr>
          <w:rFonts w:hint="eastAsia" w:ascii="仿宋" w:hAnsi="仿宋" w:eastAsia="仿宋" w:cs="仿宋"/>
          <w:sz w:val="32"/>
          <w:szCs w:val="32"/>
          <w:lang w:val="en-US" w:eastAsia="zh-CN"/>
        </w:rPr>
        <w:t>520.61万元，机关运行经费49.07万元，其中：办公费24.66万元，差旅费9.73万元，工会经费3.83万元，公务用车运行维护费4.6万元,公务接待费0.23万，福利费0.25万元，党建群众工作经费2.22万元，残疾人就业保障金3.55万元。</w:t>
      </w:r>
    </w:p>
    <w:p w14:paraId="7286085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按支出功能分类主要用于以下方面:</w:t>
      </w:r>
    </w:p>
    <w:p w14:paraId="560B494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w:t>
      </w:r>
      <w:r>
        <w:rPr>
          <w:rFonts w:hint="eastAsia" w:ascii="仿宋_GB2312" w:eastAsia="仿宋_GB2312"/>
          <w:color w:val="auto"/>
          <w:sz w:val="32"/>
          <w:szCs w:val="32"/>
        </w:rPr>
        <w:t>自然资源海洋气象等支出</w:t>
      </w:r>
      <w:r>
        <w:rPr>
          <w:rFonts w:hint="eastAsia" w:ascii="仿宋_GB2312" w:eastAsia="仿宋_GB2312"/>
          <w:color w:val="auto"/>
          <w:sz w:val="32"/>
          <w:szCs w:val="32"/>
          <w:lang w:val="en-US" w:eastAsia="zh-CN"/>
        </w:rPr>
        <w:t>581.82</w:t>
      </w:r>
      <w:r>
        <w:rPr>
          <w:rFonts w:hint="eastAsia" w:ascii="仿宋_GB2312" w:eastAsia="仿宋_GB2312"/>
          <w:color w:val="auto"/>
          <w:sz w:val="32"/>
          <w:szCs w:val="32"/>
          <w:lang w:eastAsia="zh-CN"/>
        </w:rPr>
        <w:t>万元</w:t>
      </w:r>
      <w:r>
        <w:rPr>
          <w:rFonts w:hint="eastAsia" w:ascii="仿宋" w:hAnsi="仿宋" w:eastAsia="仿宋" w:cs="仿宋"/>
          <w:sz w:val="32"/>
          <w:szCs w:val="32"/>
        </w:rPr>
        <w:t>，主要用于机关及下属事业单位人员工资、日常运转以及为完成特定行政工作任务和事业发展目标而安排的年度项目支出。</w:t>
      </w:r>
    </w:p>
    <w:p w14:paraId="1A592A8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（二）社会保障和就业</w:t>
      </w:r>
      <w:r>
        <w:rPr>
          <w:rFonts w:hint="eastAsia" w:ascii="仿宋" w:hAnsi="仿宋" w:eastAsia="仿宋" w:cs="仿宋"/>
          <w:sz w:val="32"/>
          <w:szCs w:val="32"/>
          <w:lang w:val="en-US" w:eastAsia="zh-CN"/>
        </w:rPr>
        <w:t>76.56</w:t>
      </w:r>
      <w:r>
        <w:rPr>
          <w:rFonts w:hint="eastAsia" w:ascii="仿宋" w:hAnsi="仿宋" w:eastAsia="仿宋" w:cs="仿宋"/>
          <w:sz w:val="32"/>
          <w:szCs w:val="32"/>
          <w:lang w:eastAsia="zh-CN"/>
        </w:rPr>
        <w:t>万元</w:t>
      </w:r>
      <w:r>
        <w:rPr>
          <w:rFonts w:hint="eastAsia" w:ascii="仿宋" w:hAnsi="仿宋" w:eastAsia="仿宋" w:cs="仿宋"/>
          <w:sz w:val="32"/>
          <w:szCs w:val="32"/>
        </w:rPr>
        <w:t>，主要用于机关及下属事业单位</w:t>
      </w:r>
      <w:r>
        <w:rPr>
          <w:rFonts w:hint="eastAsia" w:ascii="仿宋" w:hAnsi="仿宋" w:eastAsia="仿宋" w:cs="仿宋"/>
          <w:sz w:val="32"/>
          <w:szCs w:val="32"/>
          <w:lang w:eastAsia="zh-CN"/>
        </w:rPr>
        <w:t>养老保险及职业年金缴费</w:t>
      </w:r>
      <w:r>
        <w:rPr>
          <w:rFonts w:hint="eastAsia" w:ascii="仿宋" w:hAnsi="仿宋" w:eastAsia="仿宋" w:cs="仿宋"/>
          <w:sz w:val="32"/>
          <w:szCs w:val="32"/>
        </w:rPr>
        <w:t>。</w:t>
      </w:r>
    </w:p>
    <w:p w14:paraId="497E801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（三）卫生</w:t>
      </w:r>
      <w:r>
        <w:rPr>
          <w:rFonts w:hint="eastAsia" w:ascii="仿宋" w:hAnsi="仿宋" w:eastAsia="仿宋" w:cs="仿宋"/>
          <w:sz w:val="32"/>
          <w:szCs w:val="32"/>
          <w:lang w:val="en-US" w:eastAsia="zh-CN"/>
        </w:rPr>
        <w:t>健康29.63</w:t>
      </w:r>
      <w:r>
        <w:rPr>
          <w:rFonts w:hint="eastAsia" w:ascii="仿宋" w:hAnsi="仿宋" w:eastAsia="仿宋" w:cs="仿宋"/>
          <w:sz w:val="32"/>
          <w:szCs w:val="32"/>
          <w:lang w:eastAsia="zh-CN"/>
        </w:rPr>
        <w:t>万元</w:t>
      </w:r>
      <w:r>
        <w:rPr>
          <w:rFonts w:hint="eastAsia" w:ascii="仿宋" w:hAnsi="仿宋" w:eastAsia="仿宋" w:cs="仿宋"/>
          <w:sz w:val="32"/>
          <w:szCs w:val="32"/>
        </w:rPr>
        <w:t>，主要用于机关及下属事业单位按照规定标准为职工缴纳的基本医疗保险及公务员医疗补助等支出。</w:t>
      </w:r>
    </w:p>
    <w:p w14:paraId="0D34ED6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（四）住房保障支出</w:t>
      </w:r>
      <w:r>
        <w:rPr>
          <w:rFonts w:hint="eastAsia" w:ascii="仿宋" w:hAnsi="仿宋" w:eastAsia="仿宋" w:cs="仿宋"/>
          <w:sz w:val="32"/>
          <w:szCs w:val="32"/>
          <w:lang w:val="en-US" w:eastAsia="zh-CN"/>
        </w:rPr>
        <w:t>42.57</w:t>
      </w:r>
      <w:r>
        <w:rPr>
          <w:rFonts w:hint="eastAsia" w:ascii="仿宋" w:hAnsi="仿宋" w:eastAsia="仿宋" w:cs="仿宋"/>
          <w:sz w:val="32"/>
          <w:szCs w:val="32"/>
          <w:lang w:eastAsia="zh-CN"/>
        </w:rPr>
        <w:t>万元</w:t>
      </w:r>
      <w:r>
        <w:rPr>
          <w:rFonts w:hint="eastAsia" w:ascii="仿宋" w:hAnsi="仿宋" w:eastAsia="仿宋" w:cs="仿宋"/>
          <w:sz w:val="32"/>
          <w:szCs w:val="32"/>
        </w:rPr>
        <w:t>，用于机关及下属事业单位按照规定标准为职工缴纳住房公积金等支出。</w:t>
      </w:r>
    </w:p>
    <w:p w14:paraId="4D5327EB">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五、较上年度增减变化</w:t>
      </w:r>
    </w:p>
    <w:p w14:paraId="56DDDBE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本年度预算拨款收入730.58万元较上年度预算546.83万元增加了33.60%，</w:t>
      </w:r>
      <w:r>
        <w:rPr>
          <w:rFonts w:hint="eastAsia" w:ascii="仿宋_GB2312" w:eastAsia="仿宋_GB2312"/>
          <w:color w:val="auto"/>
          <w:sz w:val="32"/>
          <w:szCs w:val="32"/>
          <w:lang w:val="en-US" w:eastAsia="zh-CN"/>
        </w:rPr>
        <w:t>其中基本支出预算569.68万元，占全部总预算的77.98%，较上年396.43万元增加了173.25万元，增加43.70%，原因为职工人员增加导致工资、保险等增加；项目支出160.90万元，较上年增加10.5万元，原因是本年增加不动产登记平台维护经费、红原县汛期地质灾害督导和技术服务项目费。</w:t>
      </w:r>
      <w:r>
        <w:rPr>
          <w:rFonts w:hint="eastAsia" w:ascii="仿宋" w:hAnsi="仿宋" w:eastAsia="仿宋" w:cs="仿宋"/>
          <w:color w:val="333333"/>
          <w:kern w:val="0"/>
          <w:sz w:val="32"/>
          <w:szCs w:val="32"/>
          <w:shd w:val="clear" w:color="auto" w:fill="FFFFFF"/>
          <w:lang w:val="en-US" w:eastAsia="zh-CN" w:bidi="ar"/>
        </w:rPr>
        <w:t xml:space="preserve"> </w:t>
      </w:r>
      <w:r>
        <w:rPr>
          <w:rFonts w:hint="eastAsia" w:ascii="仿宋" w:hAnsi="仿宋" w:eastAsia="仿宋" w:cs="仿宋"/>
          <w:sz w:val="32"/>
          <w:szCs w:val="32"/>
          <w:lang w:val="en-US" w:eastAsia="zh-CN"/>
        </w:rPr>
        <w:t xml:space="preserve"> </w:t>
      </w:r>
    </w:p>
    <w:p w14:paraId="552B6862">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六、“三公”经费预算</w:t>
      </w:r>
    </w:p>
    <w:p w14:paraId="6C1F359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年度三公经费预算安排支出为4.83万元，其中：出国费0万元，与上年持平，主要原因为未安排因公出国；公车购置费0元，与上年持平；公务用车维护费支出4.6万元，较上年度预算7.22万元有减少，主要原因严格执行“八项规定、六项禁令”。公务接待费0.23万元，较上年度预算减少0.9万元，主要原因为公务接待较少，本年度我们将严格执行“八项规定、六项禁令”，结合本年度工作需要，减少不必 要的开支。</w:t>
      </w:r>
    </w:p>
    <w:p w14:paraId="11488FDD">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七、政府性基金预算收支情况说明</w:t>
      </w:r>
    </w:p>
    <w:p w14:paraId="1479E77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2026年无使用政府性基金预算拨款安排的支出</w:t>
      </w:r>
      <w:r>
        <w:rPr>
          <w:rFonts w:hint="eastAsia" w:ascii="仿宋" w:hAnsi="仿宋" w:eastAsia="仿宋" w:cs="仿宋"/>
          <w:sz w:val="32"/>
          <w:szCs w:val="32"/>
        </w:rPr>
        <w:t>。</w:t>
      </w:r>
    </w:p>
    <w:p w14:paraId="36C9B328">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八、国有资本经营预算收支情况说明</w:t>
      </w:r>
    </w:p>
    <w:p w14:paraId="2940AA3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2026年无使用国有资本经营预算拨款安排的支出。</w:t>
      </w:r>
    </w:p>
    <w:p w14:paraId="1ACF08A9">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九、其他重要事项的情况说明</w:t>
      </w:r>
    </w:p>
    <w:p w14:paraId="03CA710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仿宋" w:hAnsi="仿宋" w:eastAsia="仿宋" w:cs="仿宋"/>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（一）政府采购预算情况</w:t>
      </w:r>
      <w:r>
        <w:rPr>
          <w:rFonts w:hint="eastAsia" w:ascii="仿宋" w:hAnsi="仿宋" w:eastAsia="仿宋" w:cs="仿宋"/>
          <w:b/>
          <w:bCs/>
          <w:color w:val="333333"/>
          <w:kern w:val="0"/>
          <w:sz w:val="32"/>
          <w:szCs w:val="32"/>
          <w:shd w:val="clear" w:color="auto" w:fill="FFFFFF"/>
          <w:lang w:val="en-US" w:eastAsia="zh-CN" w:bidi="ar"/>
        </w:rPr>
        <w:t xml:space="preserve"> </w:t>
      </w:r>
    </w:p>
    <w:p w14:paraId="042E912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lang w:val="en-US" w:eastAsia="zh-CN"/>
        </w:rPr>
      </w:pPr>
      <w:r>
        <w:rPr>
          <w:rFonts w:hint="eastAsia" w:ascii="仿宋_GB2312" w:eastAsia="仿宋_GB2312"/>
          <w:color w:val="auto"/>
          <w:sz w:val="32"/>
          <w:szCs w:val="32"/>
          <w:lang w:val="en-US" w:eastAsia="zh-CN"/>
        </w:rPr>
        <w:t>2026年没有使用国有资本经营预算拨款安排的支出。</w:t>
      </w:r>
    </w:p>
    <w:p w14:paraId="034769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楷体" w:hAnsi="楷体" w:eastAsia="楷体" w:cs="楷体"/>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 xml:space="preserve">（二）政府财政国有资产占用情况 </w:t>
      </w:r>
    </w:p>
    <w:p w14:paraId="464C2CE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截止2025年底，</w:t>
      </w:r>
      <w:r>
        <w:rPr>
          <w:rFonts w:hint="eastAsia" w:ascii="仿宋_GB2312" w:hAnsi="仿宋_GB2312" w:eastAsia="仿宋_GB2312" w:cs="仿宋_GB2312"/>
          <w:sz w:val="32"/>
          <w:szCs w:val="32"/>
          <w:lang w:eastAsia="zh-CN"/>
        </w:rPr>
        <w:t>单位固定资产原值为</w:t>
      </w:r>
      <w:r>
        <w:rPr>
          <w:rFonts w:hint="eastAsia" w:ascii="仿宋_GB2312" w:hAnsi="仿宋_GB2312" w:eastAsia="仿宋_GB2312" w:cs="仿宋_GB2312"/>
          <w:sz w:val="32"/>
          <w:szCs w:val="32"/>
          <w:lang w:val="en-US" w:eastAsia="zh-CN"/>
        </w:rPr>
        <w:t>248.26万元，其中：房屋构筑物76.77万元、通用设备160.2万元、家具和用具11.29万元。</w:t>
      </w:r>
    </w:p>
    <w:p w14:paraId="576883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楷体" w:hAnsi="楷体" w:eastAsia="楷体" w:cs="楷体"/>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（三）绩效目标设置情况</w:t>
      </w:r>
    </w:p>
    <w:p w14:paraId="389CA5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_GB2312" w:eastAsia="仿宋_GB2312"/>
          <w:color w:val="auto"/>
          <w:sz w:val="32"/>
          <w:szCs w:val="32"/>
          <w:lang w:val="en-US" w:eastAsia="zh-CN"/>
        </w:rPr>
        <w:t>绩效目标是预算编制的前提和基础，按照“费随事定”的原则，2026年我单位项目支出按要求编制了绩效目标共计5个，实际下达5个，分别为不动产登记平台维护经费、红原县汛期地质灾害督导和技术服务项目、气象服务经费、土地评估测绘、国土变更调查工作经费。5</w:t>
      </w:r>
      <w:bookmarkStart w:id="1" w:name="_GoBack"/>
      <w:bookmarkEnd w:id="1"/>
      <w:r>
        <w:rPr>
          <w:rFonts w:hint="eastAsia" w:ascii="仿宋_GB2312" w:eastAsia="仿宋_GB2312"/>
          <w:color w:val="auto"/>
          <w:sz w:val="32"/>
          <w:szCs w:val="32"/>
          <w:lang w:val="en-US" w:eastAsia="zh-CN"/>
        </w:rPr>
        <w:t>个项目的项目完成指标≥90%、项目效益指标≥90%、项目满意度指标≥90%。</w:t>
      </w:r>
    </w:p>
    <w:p w14:paraId="6E0A885B">
      <w:pPr>
        <w:keepNext w:val="0"/>
        <w:keepLines w:val="0"/>
        <w:pageBreakBefore w:val="0"/>
        <w:kinsoku/>
        <w:wordWrap/>
        <w:overflowPunct/>
        <w:topLinePunct w:val="0"/>
        <w:autoSpaceDE/>
        <w:autoSpaceDN/>
        <w:bidi w:val="0"/>
        <w:spacing w:line="560" w:lineRule="exact"/>
        <w:ind w:left="638" w:leftChars="304" w:right="0" w:rightChars="0" w:firstLine="0" w:firstLineChars="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十、名词解释</w:t>
      </w:r>
      <w:r>
        <w:rPr>
          <w:rFonts w:hint="eastAsia" w:ascii="黑体" w:hAnsi="黑体" w:eastAsia="黑体" w:cs="黑体"/>
          <w:sz w:val="32"/>
          <w:szCs w:val="32"/>
          <w:lang w:val="en-US" w:eastAsia="zh-CN"/>
        </w:rPr>
        <w:br w:type="textWrapping"/>
      </w:r>
      <w:r>
        <w:rPr>
          <w:rFonts w:hint="eastAsia" w:ascii="仿宋" w:hAnsi="仿宋" w:eastAsia="仿宋" w:cs="仿宋"/>
          <w:sz w:val="32"/>
          <w:szCs w:val="32"/>
          <w:lang w:val="en-US" w:eastAsia="zh-CN"/>
        </w:rPr>
        <w:t xml:space="preserve">1.财政拨款收入：指财政部门核拨给单位的财政预算资金。 </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2.其他收入：指除上述财政部门拨付单位以外的收入。</w:t>
      </w:r>
    </w:p>
    <w:p w14:paraId="5E36085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3.基本支出：指为保障单位机关正常运转、完成日常工作任务而发生的人员支出和公用支出。</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 xml:space="preserve">    4.项目支出：指在基本支出之外为完成特定行政任务和事业发展目标所发生的支出。</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D85789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p>
    <w:p w14:paraId="1678835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附件：表1.部门收支总表</w:t>
      </w:r>
    </w:p>
    <w:p w14:paraId="2DA6F01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表2.部门收入总表</w:t>
      </w:r>
    </w:p>
    <w:p w14:paraId="7081BDD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表3.部门支出总表</w:t>
      </w:r>
    </w:p>
    <w:p w14:paraId="5A0C7E9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表4.财政拨款收支预算总表</w:t>
      </w:r>
    </w:p>
    <w:p w14:paraId="6A73268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表5.财政拨款支出预算表（部门经济分类科目）</w:t>
      </w:r>
    </w:p>
    <w:p w14:paraId="5D4A2A1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表6.一般公共预算支出预算表</w:t>
      </w:r>
    </w:p>
    <w:p w14:paraId="2DE1E4F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表7.一般公共预算基本支出预算表</w:t>
      </w:r>
    </w:p>
    <w:p w14:paraId="4D8CDBA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表8.一般公共预算项目支出预算表</w:t>
      </w:r>
    </w:p>
    <w:p w14:paraId="051951C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表9.一般公共预算“三公”经费支出预算表</w:t>
      </w:r>
    </w:p>
    <w:p w14:paraId="6D2AE34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表10.政府性基金支出预算表</w:t>
      </w:r>
    </w:p>
    <w:p w14:paraId="31EC029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表11.政府性基金预算“三公”经费支出预算表</w:t>
      </w:r>
    </w:p>
    <w:p w14:paraId="5FAE17C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表12.国有资本经营预算支出预算表</w:t>
      </w:r>
    </w:p>
    <w:p w14:paraId="575091A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表13.部门项目支出绩效目标表（2026年度）</w:t>
      </w:r>
    </w:p>
    <w:p w14:paraId="55F648C3">
      <w:pPr>
        <w:rPr>
          <w:rFonts w:hint="eastAsia" w:ascii="仿宋" w:hAnsi="仿宋" w:eastAsia="仿宋" w:cs="仿宋"/>
          <w:sz w:val="32"/>
          <w:szCs w:val="32"/>
        </w:rPr>
      </w:pPr>
    </w:p>
    <w:p w14:paraId="64228DE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小标宋">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简体">
    <w:altName w:val="黑体"/>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A17BF9"/>
    <w:rsid w:val="05775FA4"/>
    <w:rsid w:val="05FA2D09"/>
    <w:rsid w:val="354625FB"/>
    <w:rsid w:val="36A17BF9"/>
    <w:rsid w:val="44515639"/>
    <w:rsid w:val="48455675"/>
    <w:rsid w:val="487C3D9A"/>
    <w:rsid w:val="4D086B3D"/>
    <w:rsid w:val="578641A4"/>
    <w:rsid w:val="6913428B"/>
    <w:rsid w:val="71116650"/>
    <w:rsid w:val="7FEA1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3">
    <w:name w:val="Body Text"/>
    <w:basedOn w:val="1"/>
    <w:uiPriority w:val="0"/>
    <w:pPr>
      <w:spacing w:before="93" w:beforeLines="30"/>
    </w:pPr>
    <w:rPr>
      <w:rFonts w:ascii="仿宋_GB2312" w:eastAsia="仿宋_GB2312"/>
      <w:sz w:val="30"/>
    </w:rPr>
  </w:style>
  <w:style w:type="paragraph" w:styleId="4">
    <w:name w:val="Subtitle"/>
    <w:basedOn w:val="1"/>
    <w:qFormat/>
    <w:uiPriority w:val="0"/>
    <w:pPr>
      <w:spacing w:before="240" w:after="60" w:line="312" w:lineRule="auto"/>
      <w:jc w:val="center"/>
      <w:outlineLvl w:val="1"/>
    </w:pPr>
    <w:rPr>
      <w:rFonts w:ascii="Arial" w:hAnsi="Arial" w:cs="Arial"/>
      <w:b/>
      <w:bCs/>
      <w:kern w:val="28"/>
      <w:sz w:val="32"/>
      <w:szCs w:val="32"/>
    </w:rPr>
  </w:style>
  <w:style w:type="character" w:customStyle="1" w:styleId="7">
    <w:name w:val="UserStyle_1 Char"/>
    <w:basedOn w:val="6"/>
    <w:link w:val="8"/>
    <w:qFormat/>
    <w:uiPriority w:val="0"/>
    <w:rPr>
      <w:rFonts w:ascii="Calibri" w:hAnsi="Calibri" w:eastAsia="宋体" w:cs="Arial"/>
      <w:kern w:val="2"/>
      <w:sz w:val="21"/>
      <w:szCs w:val="22"/>
      <w:lang w:val="en-US" w:eastAsia="zh-CN" w:bidi="ar-SA"/>
    </w:rPr>
  </w:style>
  <w:style w:type="paragraph" w:customStyle="1" w:styleId="8">
    <w:name w:val="UserStyle_1"/>
    <w:basedOn w:val="1"/>
    <w:link w:val="7"/>
    <w:qFormat/>
    <w:uiPriority w:val="0"/>
    <w:pPr>
      <w:widowControl w:val="0"/>
      <w:spacing w:line="240" w:lineRule="atLeast"/>
      <w:ind w:firstLine="200" w:firstLineChars="200"/>
      <w:jc w:val="both"/>
    </w:pPr>
    <w:rPr>
      <w:rFonts w:ascii="Calibri" w:hAnsi="Calibri" w:eastAsia="宋体" w:cs="Arial"/>
      <w:kern w:val="2"/>
      <w:sz w:val="21"/>
      <w:szCs w:val="22"/>
      <w:lang w:val="en-US" w:eastAsia="zh-CN" w:bidi="ar-SA"/>
    </w:rPr>
  </w:style>
  <w:style w:type="paragraph" w:customStyle="1" w:styleId="9">
    <w:name w:val="Default"/>
    <w:basedOn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val="0"/>
      <w:autoSpaceDN w:val="0"/>
      <w:bidi w:val="0"/>
      <w:adjustRightInd w:val="0"/>
      <w:snapToGrid/>
      <w:spacing w:before="0" w:beforeAutospacing="0" w:after="0" w:afterAutospacing="0" w:line="240" w:lineRule="auto"/>
      <w:ind w:left="0" w:right="0" w:firstLine="0"/>
      <w:contextualSpacing w:val="0"/>
      <w:jc w:val="left"/>
      <w:textAlignment w:val="auto"/>
      <w:outlineLvl w:val="9"/>
    </w:pPr>
    <w:rPr>
      <w:rFonts w:ascii="仿宋_GB2312" w:eastAsia="仿宋_GB2312" w:cs="Times New Roman"/>
      <w:snapToGrid/>
      <w:color w:val="auto"/>
      <w:spacing w:val="0"/>
      <w:w w:val="100"/>
      <w:kern w:val="0"/>
      <w:position w:val="0"/>
      <w:sz w:val="24"/>
      <w:szCs w:val="24"/>
      <w:u w:val="none" w:color="auto"/>
      <w:shd w:val="clear" w:color="auto" w:fill="auto"/>
      <w:vertAlign w:val="baseline"/>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1747</Words>
  <Characters>1857</Characters>
  <Lines>0</Lines>
  <Paragraphs>0</Paragraphs>
  <TotalTime>1</TotalTime>
  <ScaleCrop>false</ScaleCrop>
  <LinksUpToDate>false</LinksUpToDate>
  <CharactersWithSpaces>1882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2026-02-01T11:53:00Z</dcterms:created>
  <dc:creator>投资股-李仕昂</dc:creator>
  <cp:lastModifiedBy>柚子的幼稚园</cp:lastModifiedBy>
  <dcterms:modified xsi:type="dcterms:W3CDTF">2026-02-09T06:16:37Z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13B8CF3F92494BEC9F4561C89002C9CF_13</vt:lpwstr>
  </property>
  <property fmtid="{D5CDD505-2E9C-101B-9397-08002B2CF9AE}" pid="4" name="KSOTemplateDocerSaveRecord">
    <vt:lpwstr>eyJoZGlkIjoiNmE0MmZmMTFkNjNmNTdhODQ2ODdkZjQ5ODY1NjA0OTUiLCJ1c2VySWQiOiIyNDg2MjQ1NTMifQ==</vt:lpwstr>
  </property>
</Properties>
</file>