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68E9C">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lang w:eastAsia="zh-CN"/>
        </w:rPr>
      </w:pPr>
      <w:r>
        <w:rPr>
          <w:rFonts w:hint="eastAsia" w:ascii="小标宋" w:hAnsi="小标宋" w:eastAsia="小标宋" w:cs="小标宋"/>
          <w:b w:val="0"/>
          <w:bCs/>
          <w:sz w:val="44"/>
          <w:szCs w:val="44"/>
          <w:lang w:eastAsia="zh-CN"/>
        </w:rPr>
        <w:t>红原县市场监督管理局</w:t>
      </w:r>
    </w:p>
    <w:p w14:paraId="7707051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rPr>
      </w:pPr>
      <w:r>
        <w:rPr>
          <w:rFonts w:hint="eastAsia" w:ascii="小标宋" w:hAnsi="小标宋" w:eastAsia="小标宋" w:cs="小标宋"/>
          <w:b w:val="0"/>
          <w:bCs/>
          <w:sz w:val="44"/>
          <w:szCs w:val="44"/>
          <w:lang w:eastAsia="zh-CN"/>
        </w:rPr>
        <w:t>202</w:t>
      </w:r>
      <w:r>
        <w:rPr>
          <w:rFonts w:hint="eastAsia" w:ascii="小标宋" w:hAnsi="小标宋" w:eastAsia="小标宋" w:cs="小标宋"/>
          <w:b w:val="0"/>
          <w:bCs/>
          <w:sz w:val="44"/>
          <w:szCs w:val="44"/>
          <w:lang w:val="en-US" w:eastAsia="zh-CN"/>
        </w:rPr>
        <w:t>6</w:t>
      </w:r>
      <w:r>
        <w:rPr>
          <w:rFonts w:hint="eastAsia" w:ascii="小标宋" w:hAnsi="小标宋" w:eastAsia="小标宋" w:cs="小标宋"/>
          <w:b w:val="0"/>
          <w:bCs/>
          <w:sz w:val="44"/>
          <w:szCs w:val="44"/>
          <w:lang w:eastAsia="zh-CN"/>
        </w:rPr>
        <w:t>年</w:t>
      </w:r>
      <w:r>
        <w:rPr>
          <w:rFonts w:hint="eastAsia" w:ascii="小标宋" w:hAnsi="小标宋" w:eastAsia="小标宋" w:cs="小标宋"/>
          <w:b w:val="0"/>
          <w:bCs/>
          <w:sz w:val="44"/>
          <w:szCs w:val="44"/>
        </w:rPr>
        <w:t>部门预算编制的说明</w:t>
      </w:r>
    </w:p>
    <w:p w14:paraId="3FAF449F">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0259D151">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14:paraId="32B44C19">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14:paraId="6BE535D6">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（一）基本职能</w:t>
      </w:r>
    </w:p>
    <w:p w14:paraId="2E3161A8">
      <w:pPr>
        <w:pStyle w:val="6"/>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1.产权战略，拟订并组织实施全县食品安全等规划，规范和维护市场秩序，营造诚实守信、公平竞争的市场环境。</w:t>
      </w:r>
    </w:p>
    <w:p w14:paraId="4A1ED123">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63031AEA">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3.负责组织和指导全县市场监督管理综合执法工作。负责全县市场监管综合执法队伍整合和建设，推动实行统一的市场监管。组织查处和督办大案要案、疑难案件、跨区域案件。规范市场监督管理行政执法行为。</w:t>
      </w:r>
    </w:p>
    <w:p w14:paraId="3DDA01BC">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14:paraId="1ACC8DDA">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14:paraId="6D741F4D">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14:paraId="41462BB6">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7.负责全县产品质量安全监督管理。负责产品质量监督抽查和风险监控工作，组织实施质量分级制度、质量安全追溯制度。在权限和职责范围内负责工业产品生产许可管理。负责纤维质量监督工作。</w:t>
      </w:r>
    </w:p>
    <w:p w14:paraId="7E8B3569">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8.负责全县特种设备安全监督管理。综合管理特种设备安全监察、监督工作，监督检查高耗能特种设备节能标准和锅炉产品环境保护标准的执行情况。</w:t>
      </w:r>
    </w:p>
    <w:p w14:paraId="334223DD">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9.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14:paraId="07F84905">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10.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14:paraId="669D307D">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11.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14:paraId="101BCBBF">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12.负责全县药品、医疗器械和化妆品标准执行管理。监督实施全县药品、医疗器械、化妆品标准和分类管理制度。配合实施国家基本药物制度。</w:t>
      </w:r>
    </w:p>
    <w:p w14:paraId="651A47D2">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13.负责全县药品、医疗器械和化妆品质量管理。依法依授权监督实施药品、医疗器械生产、经营、使用质量管理规范。</w:t>
      </w:r>
    </w:p>
    <w:p w14:paraId="1EA3F5A6">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14.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14:paraId="12DA3B56">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15.负责全县药品、医疗器械和化妆品风险管理。组织开展药品不良反应、医疗器械不良事件和化妆品不良反应的监测、评价和处置工作。依法承担药品、医疗器械和化妆品安全应急管理和投诉举报处置工作。</w:t>
      </w:r>
    </w:p>
    <w:p w14:paraId="6534C722">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16.依法依授权承担我县执业药师注册管理工作，贯彻执行执业药师其他相关管理制度。</w:t>
      </w:r>
    </w:p>
    <w:p w14:paraId="798CDB44">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17.负责统一管理全县计量工作。推行法定计量单位，执行国家计量制度，管理计量器具及量值传递和比对工作。规范、监督商品量和计量行为。</w:t>
      </w:r>
    </w:p>
    <w:p w14:paraId="2DA712B3">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18.负责统一管理全县标准化工作。依法承担地方标准立项、编号和发布等工作，协调指导地方标准、团体标准制定工作，依法对标准制定和实施情况开展监督。</w:t>
      </w:r>
    </w:p>
    <w:p w14:paraId="7BB5942C">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19.负责统一管理全县检验检测工作。规范检验检测市场，完善检验检测体系，指导协调检验检测行业发展。</w:t>
      </w:r>
    </w:p>
    <w:p w14:paraId="4D138E07">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20.负责统一管理全县认证认可工作。监督管理认证认可和合格评定工作。</w:t>
      </w:r>
    </w:p>
    <w:p w14:paraId="562BB12B">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21.负责市场监督管理科技和信息化建设、新闻宣传。</w:t>
      </w:r>
    </w:p>
    <w:p w14:paraId="70A4F0B3">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22.负责全县知识产权监督管理。贯彻落实国家、省、州知识产权战略、法规，拟订全县知识产权规划，负责知识产权的保护，负责组织实施商标、专利执法工作。</w:t>
      </w:r>
    </w:p>
    <w:p w14:paraId="6CDEDE25">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23.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14:paraId="371F276E">
      <w:pPr>
        <w:keepNext w:val="0"/>
        <w:keepLines w:val="0"/>
        <w:pageBreakBefore w:val="0"/>
        <w:numPr>
          <w:ilvl w:val="0"/>
          <w:numId w:val="0"/>
        </w:numPr>
        <w:kinsoku/>
        <w:wordWrap/>
        <w:overflowPunct/>
        <w:topLinePunct w:val="0"/>
        <w:autoSpaceDE/>
        <w:autoSpaceDN/>
        <w:bidi w:val="0"/>
        <w:adjustRightInd/>
        <w:spacing w:beforeAutospacing="0" w:afterAutospacing="0" w:line="560" w:lineRule="exact"/>
        <w:ind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24.负责职责范围内的安全生产和职业健康、生态环境保护、应急联动、审批服务便民化等工作。</w:t>
      </w:r>
    </w:p>
    <w:p w14:paraId="4648A198">
      <w:pPr>
        <w:keepNext w:val="0"/>
        <w:keepLines w:val="0"/>
        <w:pageBreakBefore w:val="0"/>
        <w:numPr>
          <w:ilvl w:val="0"/>
          <w:numId w:val="0"/>
        </w:numPr>
        <w:kinsoku/>
        <w:wordWrap/>
        <w:overflowPunct/>
        <w:topLinePunct w:val="0"/>
        <w:autoSpaceDE/>
        <w:autoSpaceDN/>
        <w:bidi w:val="0"/>
        <w:adjustRightInd/>
        <w:spacing w:beforeAutospacing="0" w:afterAutospacing="0" w:line="560" w:lineRule="exact"/>
        <w:ind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25.完成县委、县政府交办的其他任务。</w:t>
      </w:r>
    </w:p>
    <w:p w14:paraId="10989926">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（二）202</w:t>
      </w:r>
      <w:r>
        <w:rPr>
          <w:rFonts w:hint="eastAsia" w:ascii="楷体" w:hAnsi="楷体" w:eastAsia="楷体" w:cs="楷体"/>
          <w:b/>
          <w:bCs w:val="0"/>
          <w:sz w:val="32"/>
          <w:szCs w:val="32"/>
          <w:lang w:val="en-US" w:eastAsia="zh-CN"/>
        </w:rPr>
        <w:t>6</w:t>
      </w:r>
      <w:r>
        <w:rPr>
          <w:rFonts w:hint="eastAsia" w:ascii="楷体" w:hAnsi="楷体" w:eastAsia="楷体" w:cs="楷体"/>
          <w:b/>
          <w:bCs w:val="0"/>
          <w:sz w:val="32"/>
          <w:szCs w:val="32"/>
          <w:lang w:eastAsia="zh-CN"/>
        </w:rPr>
        <w:t>年重点工作任务</w:t>
      </w:r>
    </w:p>
    <w:p w14:paraId="64E235AC">
      <w:pPr>
        <w:pStyle w:val="5"/>
        <w:keepNext w:val="0"/>
        <w:keepLines w:val="0"/>
        <w:widowControl/>
        <w:suppressLineNumbers w:val="0"/>
        <w:ind w:firstLine="643" w:firstLineChars="200"/>
        <w:rPr>
          <w:rFonts w:hint="default" w:ascii="仿宋_GB2312" w:hAnsi="仿宋_GB2312" w:eastAsia="仿宋_GB2312" w:cs="仿宋_GB2312"/>
          <w:b/>
          <w:bCs/>
          <w:sz w:val="32"/>
          <w:szCs w:val="32"/>
          <w:lang w:val="en-US" w:eastAsia="zh-CN"/>
        </w:rPr>
      </w:pPr>
      <w:r>
        <w:rPr>
          <w:rFonts w:hint="eastAsia" w:ascii="楷体_GB2312" w:hAnsi="楷体_GB2312" w:eastAsia="楷体_GB2312" w:cs="楷体_GB2312"/>
          <w:b/>
          <w:bCs/>
          <w:sz w:val="32"/>
          <w:szCs w:val="32"/>
          <w:lang w:eastAsia="zh-CN"/>
        </w:rPr>
        <w:t>（一）深化改革，提升效率，充分激发市场活力。</w:t>
      </w:r>
      <w:r>
        <w:rPr>
          <w:rFonts w:hint="eastAsia" w:ascii="仿宋_GB2312" w:hAnsi="仿宋_GB2312" w:eastAsia="仿宋_GB2312" w:cs="仿宋_GB2312"/>
          <w:b/>
          <w:bCs/>
          <w:sz w:val="32"/>
          <w:szCs w:val="32"/>
          <w:lang w:val="en-US" w:eastAsia="zh-CN"/>
        </w:rPr>
        <w:t>一是服务民营经济发展。</w:t>
      </w:r>
      <w:r>
        <w:rPr>
          <w:rFonts w:hint="eastAsia" w:ascii="仿宋_GB2312" w:hAnsi="仿宋_GB2312" w:eastAsia="仿宋_GB2312" w:cs="仿宋_GB2312"/>
          <w:b w:val="0"/>
          <w:bCs w:val="0"/>
          <w:sz w:val="32"/>
          <w:szCs w:val="32"/>
          <w:lang w:val="en-US" w:eastAsia="zh-CN"/>
        </w:rPr>
        <w:t>保障</w:t>
      </w:r>
      <w:r>
        <w:rPr>
          <w:rFonts w:hint="eastAsia" w:ascii="仿宋_GB2312" w:hAnsi="仿宋_GB2312" w:eastAsia="仿宋_GB2312" w:cs="仿宋_GB2312"/>
          <w:b w:val="0"/>
          <w:bCs w:val="0"/>
          <w:sz w:val="32"/>
          <w:szCs w:val="32"/>
          <w:lang w:val="en-US" w:eastAsia="zh-CN"/>
        </w:rPr>
        <w:t>2026年</w:t>
      </w:r>
      <w:r>
        <w:rPr>
          <w:rFonts w:hint="eastAsia" w:ascii="仿宋" w:hAnsi="仿宋" w:eastAsia="仿宋" w:cstheme="minorBidi"/>
          <w:color w:val="000000"/>
          <w:kern w:val="2"/>
          <w:sz w:val="32"/>
          <w:szCs w:val="32"/>
          <w:lang w:val="en-US" w:eastAsia="zh-CN" w:bidi="ar-SA"/>
        </w:rPr>
        <w:t>红原县市场主体新增，进一步激发市场活力，保障全县经济可持续发展态势</w:t>
      </w:r>
      <w:r>
        <w:rPr>
          <w:rFonts w:hint="eastAsia" w:ascii="Times New Roman" w:hAnsi="Times New Roman" w:eastAsia="方正仿宋_GBK" w:cs="Times New Roman"/>
          <w:sz w:val="32"/>
          <w:szCs w:val="32"/>
          <w:lang w:val="en-US" w:eastAsia="zh-CN"/>
        </w:rPr>
        <w:t>。</w:t>
      </w:r>
      <w:r>
        <w:rPr>
          <w:rFonts w:hint="eastAsia" w:ascii="仿宋_GB2312" w:hAnsi="仿宋_GB2312" w:eastAsia="仿宋_GB2312" w:cs="仿宋_GB2312"/>
          <w:b/>
          <w:bCs/>
          <w:sz w:val="32"/>
          <w:szCs w:val="32"/>
          <w:lang w:val="en-US" w:eastAsia="zh-CN"/>
        </w:rPr>
        <w:t>二是强化市场主体培育。</w:t>
      </w:r>
      <w:r>
        <w:rPr>
          <w:rFonts w:hint="eastAsia" w:ascii="仿宋_GB2312" w:hAnsi="仿宋_GB2312" w:eastAsia="仿宋_GB2312" w:cs="仿宋_GB2312"/>
          <w:b w:val="0"/>
          <w:bCs w:val="0"/>
          <w:sz w:val="32"/>
          <w:szCs w:val="32"/>
          <w:lang w:val="en-US" w:eastAsia="zh-CN"/>
        </w:rPr>
        <w:t>保障</w:t>
      </w:r>
      <w:r>
        <w:rPr>
          <w:rFonts w:hint="eastAsia" w:ascii="仿宋_GB2312" w:hAnsi="仿宋_GB2312" w:eastAsia="仿宋_GB2312" w:cs="仿宋_GB2312"/>
          <w:b w:val="0"/>
          <w:bCs w:val="0"/>
          <w:sz w:val="32"/>
          <w:szCs w:val="32"/>
          <w:lang w:val="en-US" w:eastAsia="zh-CN"/>
        </w:rPr>
        <w:t>2026年设定</w:t>
      </w:r>
      <w:r>
        <w:rPr>
          <w:rFonts w:hint="default" w:ascii="Times New Roman" w:hAnsi="Times New Roman" w:eastAsia="方正仿宋_GBK" w:cs="Times New Roman"/>
          <w:sz w:val="32"/>
          <w:szCs w:val="32"/>
          <w:lang w:val="en-US" w:eastAsia="zh-CN"/>
        </w:rPr>
        <w:t>实现“个转企”</w:t>
      </w:r>
      <w:r>
        <w:rPr>
          <w:rFonts w:hint="eastAsia" w:ascii="Times New Roman" w:hAnsi="Times New Roman" w:eastAsia="方正仿宋_GBK" w:cs="Times New Roman"/>
          <w:sz w:val="32"/>
          <w:szCs w:val="32"/>
          <w:lang w:val="en-US" w:eastAsia="zh-CN"/>
        </w:rPr>
        <w:t>目标顺利完成。</w:t>
      </w:r>
    </w:p>
    <w:p w14:paraId="6782CAE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Times New Roman" w:hAnsi="Times New Roman" w:eastAsia="方正仿宋_GBK" w:cs="Times New Roman"/>
          <w:sz w:val="32"/>
          <w:szCs w:val="32"/>
          <w:lang w:eastAsia="zh-CN"/>
        </w:rPr>
      </w:pPr>
      <w:r>
        <w:rPr>
          <w:rFonts w:hint="eastAsia" w:ascii="楷体_GB2312" w:hAnsi="楷体_GB2312" w:eastAsia="楷体_GB2312" w:cs="楷体_GB2312"/>
          <w:b/>
          <w:bCs/>
          <w:kern w:val="2"/>
          <w:sz w:val="32"/>
          <w:szCs w:val="32"/>
          <w:lang w:val="en-US" w:eastAsia="zh-CN" w:bidi="ar-SA"/>
        </w:rPr>
        <w:t>（二）严格监管，常抓常严，</w:t>
      </w:r>
      <w:r>
        <w:rPr>
          <w:rFonts w:hint="eastAsia" w:ascii="楷体" w:hAnsi="楷体" w:eastAsia="楷体" w:cs="楷体"/>
          <w:b/>
          <w:bCs/>
          <w:sz w:val="32"/>
          <w:szCs w:val="32"/>
        </w:rPr>
        <w:t>全力守住安全底线</w:t>
      </w:r>
      <w:r>
        <w:rPr>
          <w:rFonts w:hint="eastAsia" w:ascii="楷体_GB2312" w:hAnsi="楷体_GB2312" w:eastAsia="楷体_GB2312" w:cs="楷体_GB2312"/>
          <w:b/>
          <w:bCs/>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一是食品安全党政同责。</w:t>
      </w:r>
      <w:r>
        <w:rPr>
          <w:rFonts w:hint="eastAsia" w:ascii="仿宋" w:hAnsi="仿宋" w:eastAsia="仿宋"/>
          <w:color w:val="000000"/>
          <w:sz w:val="32"/>
          <w:szCs w:val="32"/>
          <w:lang w:eastAsia="zh-CN"/>
        </w:rPr>
        <w:t>制定食品安全风险管控清单，</w:t>
      </w:r>
      <w:r>
        <w:rPr>
          <w:rFonts w:hint="eastAsia" w:ascii="仿宋" w:hAnsi="仿宋" w:eastAsia="仿宋"/>
          <w:color w:val="000000"/>
          <w:sz w:val="32"/>
          <w:szCs w:val="32"/>
          <w:lang w:val="en-US" w:eastAsia="zh-CN"/>
        </w:rPr>
        <w:t>坚持落实“</w:t>
      </w:r>
      <w:r>
        <w:rPr>
          <w:rFonts w:hint="default" w:ascii="仿宋" w:hAnsi="仿宋" w:eastAsia="仿宋"/>
          <w:color w:val="000000"/>
          <w:sz w:val="32"/>
          <w:szCs w:val="32"/>
          <w:lang w:eastAsia="zh-CN"/>
        </w:rPr>
        <w:t>日管控、周排查、月调度</w:t>
      </w:r>
      <w:r>
        <w:rPr>
          <w:rFonts w:hint="eastAsia" w:ascii="仿宋" w:hAnsi="仿宋" w:eastAsia="仿宋"/>
          <w:color w:val="000000"/>
          <w:sz w:val="32"/>
          <w:szCs w:val="32"/>
          <w:lang w:eastAsia="zh-CN"/>
        </w:rPr>
        <w:t>”</w:t>
      </w:r>
      <w:r>
        <w:rPr>
          <w:rFonts w:hint="default" w:ascii="仿宋_GB2312" w:hAnsi="仿宋_GB2312" w:eastAsia="仿宋_GB2312" w:cs="仿宋_GB2312"/>
          <w:color w:val="000000"/>
          <w:spacing w:val="6"/>
          <w:kern w:val="2"/>
          <w:sz w:val="32"/>
          <w:szCs w:val="32"/>
          <w:lang w:val="en-US" w:eastAsia="zh-CN" w:bidi="ar-SA"/>
        </w:rPr>
        <w:t>工作机制</w:t>
      </w:r>
      <w:r>
        <w:rPr>
          <w:rFonts w:hint="eastAsia" w:ascii="仿宋" w:hAnsi="仿宋" w:eastAsia="仿宋"/>
          <w:color w:val="000000"/>
          <w:sz w:val="32"/>
          <w:szCs w:val="32"/>
          <w:lang w:val="en-US" w:eastAsia="zh-CN"/>
        </w:rPr>
        <w:t>。</w:t>
      </w: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bCs/>
          <w:color w:val="auto"/>
          <w:kern w:val="2"/>
          <w:sz w:val="32"/>
          <w:szCs w:val="32"/>
          <w:lang w:val="en-US" w:eastAsia="zh-CN" w:bidi="ar-SA"/>
        </w:rPr>
        <w:t>是药械化安</w:t>
      </w:r>
      <w:r>
        <w:rPr>
          <w:rFonts w:hint="eastAsia" w:ascii="仿宋_GB2312" w:hAnsi="仿宋_GB2312" w:eastAsia="仿宋_GB2312" w:cs="仿宋_GB2312"/>
          <w:b/>
          <w:bCs/>
          <w:kern w:val="2"/>
          <w:sz w:val="32"/>
          <w:szCs w:val="32"/>
          <w:lang w:val="en-US" w:eastAsia="zh-CN" w:bidi="ar-SA"/>
        </w:rPr>
        <w:t>全保障持续提升。</w:t>
      </w:r>
      <w:r>
        <w:rPr>
          <w:rFonts w:hint="eastAsia" w:ascii="仿宋_GB2312" w:hAnsi="仿宋_GB2312" w:eastAsia="仿宋_GB2312" w:cs="仿宋_GB2312"/>
          <w:sz w:val="32"/>
          <w:szCs w:val="32"/>
          <w:lang w:val="en-US" w:eastAsia="zh-CN"/>
        </w:rPr>
        <w:t>以药品安全春风行动为重点，</w:t>
      </w:r>
      <w:r>
        <w:rPr>
          <w:rFonts w:hint="eastAsia" w:ascii="仿宋_GB2312" w:hAnsi="仿宋_GB2312" w:eastAsia="仿宋_GB2312" w:cs="仿宋_GB2312"/>
          <w:i w:val="0"/>
          <w:iCs w:val="0"/>
          <w:caps w:val="0"/>
          <w:color w:val="auto"/>
          <w:spacing w:val="0"/>
          <w:sz w:val="32"/>
          <w:szCs w:val="32"/>
          <w:shd w:val="clear" w:fill="FFFFFF"/>
          <w:lang w:eastAsia="zh-CN"/>
        </w:rPr>
        <w:t>结合</w:t>
      </w:r>
      <w:r>
        <w:rPr>
          <w:rFonts w:hint="eastAsia" w:ascii="仿宋_GB2312" w:hAnsi="仿宋_GB2312" w:eastAsia="仿宋_GB2312" w:cs="仿宋_GB2312"/>
          <w:sz w:val="32"/>
          <w:szCs w:val="32"/>
          <w:lang w:val="en-US" w:eastAsia="zh-CN"/>
        </w:rPr>
        <w:t>药品安全专项、医疗器械质量安全监管风险排查整治行动，</w:t>
      </w:r>
      <w:r>
        <w:rPr>
          <w:rFonts w:hint="eastAsia" w:ascii="仿宋_GB2312" w:hAnsi="仿宋_GB2312" w:eastAsia="仿宋_GB2312" w:cs="仿宋_GB2312"/>
          <w:i w:val="0"/>
          <w:iCs w:val="0"/>
          <w:caps w:val="0"/>
          <w:color w:val="auto"/>
          <w:spacing w:val="0"/>
          <w:sz w:val="32"/>
          <w:szCs w:val="32"/>
          <w:shd w:val="clear" w:fill="FFFFFF"/>
        </w:rPr>
        <w:t>在辖区内对</w:t>
      </w:r>
      <w:r>
        <w:rPr>
          <w:rFonts w:hint="eastAsia" w:ascii="仿宋_GB2312" w:hAnsi="仿宋_GB2312" w:eastAsia="仿宋_GB2312" w:cs="仿宋_GB2312"/>
          <w:i w:val="0"/>
          <w:iCs w:val="0"/>
          <w:caps w:val="0"/>
          <w:color w:val="auto"/>
          <w:spacing w:val="0"/>
          <w:sz w:val="32"/>
          <w:szCs w:val="32"/>
          <w:shd w:val="clear" w:fill="FFFFFF"/>
          <w:lang w:val="en-US" w:eastAsia="zh-CN"/>
        </w:rPr>
        <w:t>21</w:t>
      </w:r>
      <w:r>
        <w:rPr>
          <w:rFonts w:hint="eastAsia" w:ascii="仿宋_GB2312" w:hAnsi="仿宋_GB2312" w:eastAsia="仿宋_GB2312" w:cs="仿宋_GB2312"/>
          <w:i w:val="0"/>
          <w:iCs w:val="0"/>
          <w:caps w:val="0"/>
          <w:color w:val="auto"/>
          <w:spacing w:val="0"/>
          <w:sz w:val="32"/>
          <w:szCs w:val="32"/>
          <w:shd w:val="clear" w:fill="FFFFFF"/>
        </w:rPr>
        <w:t>家药品零售药店、19家二类医疗器械经营企业</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家</w:t>
      </w:r>
      <w:r>
        <w:rPr>
          <w:rFonts w:hint="eastAsia" w:ascii="仿宋_GB2312" w:hAnsi="仿宋_GB2312" w:eastAsia="仿宋_GB2312" w:cs="仿宋_GB2312"/>
          <w:i w:val="0"/>
          <w:iCs w:val="0"/>
          <w:caps w:val="0"/>
          <w:color w:val="auto"/>
          <w:spacing w:val="0"/>
          <w:sz w:val="32"/>
          <w:szCs w:val="32"/>
          <w:shd w:val="clear" w:fill="FFFFFF"/>
          <w:lang w:eastAsia="zh-CN"/>
        </w:rPr>
        <w:t>三</w:t>
      </w:r>
      <w:r>
        <w:rPr>
          <w:rFonts w:hint="eastAsia" w:ascii="仿宋_GB2312" w:hAnsi="仿宋_GB2312" w:eastAsia="仿宋_GB2312" w:cs="仿宋_GB2312"/>
          <w:i w:val="0"/>
          <w:iCs w:val="0"/>
          <w:caps w:val="0"/>
          <w:color w:val="auto"/>
          <w:spacing w:val="0"/>
          <w:sz w:val="32"/>
          <w:szCs w:val="32"/>
          <w:shd w:val="clear" w:fill="FFFFFF"/>
        </w:rPr>
        <w:t>类医疗器械经营企业</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10</w:t>
      </w:r>
      <w:r>
        <w:rPr>
          <w:rFonts w:hint="eastAsia" w:ascii="仿宋_GB2312" w:hAnsi="仿宋_GB2312" w:eastAsia="仿宋_GB2312" w:cs="仿宋_GB2312"/>
          <w:i w:val="0"/>
          <w:iCs w:val="0"/>
          <w:caps w:val="0"/>
          <w:color w:val="auto"/>
          <w:spacing w:val="0"/>
          <w:sz w:val="32"/>
          <w:szCs w:val="32"/>
          <w:shd w:val="clear" w:fill="FFFFFF"/>
        </w:rPr>
        <w:t>家诊所、</w:t>
      </w:r>
      <w:r>
        <w:rPr>
          <w:rFonts w:hint="eastAsia" w:ascii="仿宋_GB2312" w:hAnsi="仿宋_GB2312" w:eastAsia="仿宋_GB2312" w:cs="仿宋_GB2312"/>
          <w:i w:val="0"/>
          <w:iCs w:val="0"/>
          <w:caps w:val="0"/>
          <w:color w:val="auto"/>
          <w:spacing w:val="0"/>
          <w:sz w:val="32"/>
          <w:szCs w:val="32"/>
          <w:shd w:val="clear" w:fill="FFFFFF"/>
          <w:lang w:val="en-US" w:eastAsia="zh-CN"/>
        </w:rPr>
        <w:t>13</w:t>
      </w:r>
      <w:r>
        <w:rPr>
          <w:rFonts w:hint="eastAsia" w:ascii="仿宋_GB2312" w:hAnsi="仿宋_GB2312" w:eastAsia="仿宋_GB2312" w:cs="仿宋_GB2312"/>
          <w:i w:val="0"/>
          <w:iCs w:val="0"/>
          <w:caps w:val="0"/>
          <w:color w:val="auto"/>
          <w:spacing w:val="0"/>
          <w:sz w:val="32"/>
          <w:szCs w:val="32"/>
          <w:shd w:val="clear" w:fill="FFFFFF"/>
        </w:rPr>
        <w:t>家医疗机构、</w:t>
      </w:r>
      <w:r>
        <w:rPr>
          <w:rFonts w:hint="eastAsia" w:ascii="仿宋_GB2312" w:hAnsi="仿宋_GB2312" w:eastAsia="仿宋_GB2312" w:cs="仿宋_GB2312"/>
          <w:i w:val="0"/>
          <w:iCs w:val="0"/>
          <w:caps w:val="0"/>
          <w:color w:val="auto"/>
          <w:spacing w:val="0"/>
          <w:sz w:val="32"/>
          <w:szCs w:val="32"/>
          <w:shd w:val="clear" w:fill="FFFFFF"/>
          <w:lang w:val="en-US" w:eastAsia="zh-CN"/>
        </w:rPr>
        <w:t>38</w:t>
      </w:r>
      <w:r>
        <w:rPr>
          <w:rFonts w:hint="eastAsia" w:ascii="仿宋_GB2312" w:hAnsi="仿宋_GB2312" w:eastAsia="仿宋_GB2312" w:cs="仿宋_GB2312"/>
          <w:i w:val="0"/>
          <w:iCs w:val="0"/>
          <w:caps w:val="0"/>
          <w:color w:val="auto"/>
          <w:spacing w:val="0"/>
          <w:sz w:val="32"/>
          <w:szCs w:val="32"/>
          <w:shd w:val="clear" w:fill="FFFFFF"/>
        </w:rPr>
        <w:t>家化妆品经营使用单位的药品、医疗器械、化妆品经营、使用单位进行各专项检查和日常监督检查</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b/>
          <w:bCs/>
          <w:i w:val="0"/>
          <w:iCs w:val="0"/>
          <w:caps w:val="0"/>
          <w:color w:val="auto"/>
          <w:spacing w:val="0"/>
          <w:sz w:val="32"/>
          <w:szCs w:val="32"/>
          <w:shd w:val="clear" w:fill="FFFFFF"/>
          <w:lang w:val="en-US" w:eastAsia="zh-CN"/>
        </w:rPr>
        <w:t>三是开展农村假冒伪劣食品安全专项监督检查</w:t>
      </w:r>
      <w:r>
        <w:rPr>
          <w:rFonts w:hint="eastAsia" w:ascii="仿宋_GB2312" w:hAnsi="仿宋_GB2312" w:eastAsia="仿宋_GB2312" w:cs="仿宋_GB2312"/>
          <w:i w:val="0"/>
          <w:iCs w:val="0"/>
          <w:caps w:val="0"/>
          <w:color w:val="auto"/>
          <w:spacing w:val="0"/>
          <w:sz w:val="32"/>
          <w:szCs w:val="32"/>
          <w:shd w:val="clear" w:fill="FFFFFF"/>
          <w:lang w:val="en-US" w:eastAsia="zh-CN"/>
        </w:rPr>
        <w:t>。严查过期食品、“三无”食品、“山寨”食品、非法添加及超范围超限量使用食品添加剂的食品、违法宣传功能的食品等违法行为，聚焦农村集贸市场、城乡结合部。食品小作坊聚集区。校园周围、旅游景区周围、农村电商及物流仓储点等重点区域，重点对象对食品小作坊、小商店、小餐馆、小摊贩等开展监督检查。</w:t>
      </w:r>
      <w:r>
        <w:rPr>
          <w:rFonts w:hint="eastAsia" w:ascii="仿宋_GB2312" w:hAnsi="仿宋_GB2312" w:eastAsia="仿宋_GB2312" w:cs="仿宋_GB2312"/>
          <w:b/>
          <w:bCs/>
          <w:kern w:val="2"/>
          <w:sz w:val="32"/>
          <w:szCs w:val="32"/>
          <w:lang w:val="en-US" w:eastAsia="zh-CN" w:bidi="ar-SA"/>
        </w:rPr>
        <w:t>四是重点工业产品不断巩固</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eastAsia="zh-CN"/>
        </w:rPr>
        <w:t>以“保产品安全、守质量底线、提监管效能”为总体目标，聚焦市场监管领域，重点开展</w:t>
      </w:r>
      <w:r>
        <w:rPr>
          <w:rFonts w:hint="eastAsia" w:ascii="Times New Roman" w:hAnsi="Times New Roman" w:eastAsia="方正仿宋_GBK" w:cs="Times New Roman"/>
          <w:sz w:val="32"/>
          <w:szCs w:val="32"/>
          <w:lang w:val="en-US" w:eastAsia="zh-CN"/>
        </w:rPr>
        <w:t>企业</w:t>
      </w:r>
      <w:r>
        <w:rPr>
          <w:rFonts w:hint="eastAsia" w:ascii="Times New Roman" w:hAnsi="Times New Roman" w:eastAsia="方正仿宋_GBK" w:cs="Times New Roman"/>
          <w:sz w:val="32"/>
          <w:szCs w:val="32"/>
          <w:lang w:eastAsia="zh-CN"/>
        </w:rPr>
        <w:t>产品监督检查。</w:t>
      </w:r>
      <w:r>
        <w:rPr>
          <w:rFonts w:hint="eastAsia" w:ascii="Times New Roman" w:hAnsi="Times New Roman" w:eastAsia="方正仿宋_GBK" w:cs="Times New Roman"/>
          <w:b/>
          <w:bCs/>
          <w:sz w:val="32"/>
          <w:szCs w:val="32"/>
          <w:lang w:val="en-US" w:eastAsia="zh-CN"/>
        </w:rPr>
        <w:t>五是特种设备安全稳步深化</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eastAsia="zh-CN"/>
        </w:rPr>
        <w:t>结合</w:t>
      </w:r>
      <w:r>
        <w:rPr>
          <w:rFonts w:hint="default" w:ascii="Times New Roman" w:hAnsi="Times New Roman" w:eastAsia="方正仿宋_GBK" w:cs="Times New Roman"/>
          <w:sz w:val="32"/>
          <w:szCs w:val="32"/>
          <w:lang w:eastAsia="zh-CN"/>
        </w:rPr>
        <w:t>3.1</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消费者</w:t>
      </w:r>
      <w:r>
        <w:rPr>
          <w:rFonts w:hint="eastAsia" w:ascii="Times New Roman" w:hAnsi="Times New Roman" w:eastAsia="方正仿宋_GBK" w:cs="Times New Roman"/>
          <w:sz w:val="32"/>
          <w:szCs w:val="32"/>
          <w:lang w:val="en-US" w:eastAsia="zh-CN"/>
        </w:rPr>
        <w:t>维权日</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深入大型商超，人员聚集场所</w:t>
      </w:r>
      <w:r>
        <w:rPr>
          <w:rFonts w:hint="eastAsia" w:ascii="Times New Roman" w:hAnsi="Times New Roman" w:eastAsia="方正仿宋_GBK" w:cs="Times New Roman"/>
          <w:sz w:val="32"/>
          <w:szCs w:val="32"/>
          <w:lang w:eastAsia="zh-CN"/>
        </w:rPr>
        <w:t>开展特种设备安全宣传活动，开展特种设备应急演练活动</w:t>
      </w:r>
      <w:r>
        <w:rPr>
          <w:rFonts w:hint="eastAsia" w:ascii="Times New Roman" w:hAnsi="Times New Roman" w:eastAsia="方正仿宋_GBK" w:cs="Times New Roman"/>
          <w:sz w:val="32"/>
          <w:szCs w:val="32"/>
          <w:lang w:val="en-US" w:eastAsia="zh-CN"/>
        </w:rPr>
        <w:t>，开展全覆盖特种设备安全大检查等</w:t>
      </w:r>
      <w:r>
        <w:rPr>
          <w:rFonts w:hint="eastAsia" w:ascii="Times New Roman" w:hAnsi="Times New Roman" w:eastAsia="方正仿宋_GBK" w:cs="Times New Roman"/>
          <w:sz w:val="32"/>
          <w:szCs w:val="32"/>
          <w:lang w:eastAsia="zh-CN"/>
        </w:rPr>
        <w:t>。</w:t>
      </w:r>
    </w:p>
    <w:p w14:paraId="5F750D6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（三）强化治理、服务民生，提高执法监管效能。</w:t>
      </w:r>
      <w:r>
        <w:rPr>
          <w:rFonts w:hint="eastAsia" w:ascii="Times New Roman" w:hAnsi="Times New Roman" w:eastAsia="方正仿宋_GBK" w:cs="Times New Roman"/>
          <w:sz w:val="32"/>
          <w:szCs w:val="32"/>
          <w:lang w:val="en-US" w:eastAsia="zh-CN"/>
        </w:rPr>
        <w:t>围绕重要民生商品、公共服务、教育、医疗等重点领域。</w:t>
      </w: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在价格监管上。</w:t>
      </w:r>
      <w:r>
        <w:rPr>
          <w:rFonts w:hint="eastAsia" w:ascii="Times New Roman" w:hAnsi="Times New Roman" w:eastAsia="方正仿宋_GBK" w:cs="Times New Roman"/>
          <w:sz w:val="32"/>
          <w:szCs w:val="32"/>
          <w:lang w:eastAsia="zh-CN"/>
        </w:rPr>
        <w:t>规范商家明码标价行为</w:t>
      </w:r>
      <w:r>
        <w:rPr>
          <w:rFonts w:hint="eastAsia" w:ascii="楷体_GB2312" w:hAnsi="楷体_GB2312" w:eastAsia="楷体_GB2312" w:cs="楷体_GB2312"/>
          <w:b/>
          <w:bCs/>
          <w:kern w:val="2"/>
          <w:sz w:val="32"/>
          <w:szCs w:val="32"/>
          <w:lang w:val="en-US" w:eastAsia="zh-CN" w:bidi="ar-SA"/>
        </w:rPr>
        <w:t>；</w:t>
      </w: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在消费维权上。</w:t>
      </w:r>
      <w:r>
        <w:rPr>
          <w:rFonts w:hint="eastAsia" w:ascii="仿宋" w:hAnsi="仿宋" w:eastAsia="仿宋" w:cs="仿宋"/>
          <w:b w:val="0"/>
          <w:bCs w:val="0"/>
          <w:i w:val="0"/>
          <w:iCs w:val="0"/>
          <w:caps w:val="0"/>
          <w:color w:val="000000"/>
          <w:spacing w:val="0"/>
          <w:sz w:val="32"/>
          <w:szCs w:val="32"/>
          <w:shd w:val="clear" w:fill="FFFFFF"/>
        </w:rPr>
        <w:t>多形式开展“3·15”国际消费者权益日活动，集中销毁食品、药品、化妆品等假冒伪劣商品，并举行现场咨询活动，发放各类</w:t>
      </w:r>
      <w:r>
        <w:rPr>
          <w:rFonts w:hint="eastAsia" w:ascii="仿宋" w:hAnsi="仿宋" w:eastAsia="仿宋" w:cs="仿宋"/>
          <w:b w:val="0"/>
          <w:bCs w:val="0"/>
          <w:i w:val="0"/>
          <w:iCs w:val="0"/>
          <w:caps w:val="0"/>
          <w:color w:val="000000"/>
          <w:spacing w:val="0"/>
          <w:sz w:val="32"/>
          <w:szCs w:val="32"/>
          <w:shd w:val="clear" w:fill="FFFFFF"/>
          <w:lang w:eastAsia="zh-CN"/>
        </w:rPr>
        <w:t>宣传</w:t>
      </w:r>
      <w:r>
        <w:rPr>
          <w:rFonts w:hint="eastAsia" w:ascii="仿宋" w:hAnsi="仿宋" w:eastAsia="仿宋" w:cs="仿宋"/>
          <w:b w:val="0"/>
          <w:bCs w:val="0"/>
          <w:i w:val="0"/>
          <w:iCs w:val="0"/>
          <w:caps w:val="0"/>
          <w:color w:val="000000"/>
          <w:spacing w:val="0"/>
          <w:sz w:val="32"/>
          <w:szCs w:val="32"/>
          <w:shd w:val="clear" w:fill="FFFFFF"/>
        </w:rPr>
        <w:t>资料</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在诚信计量上。</w:t>
      </w:r>
      <w:r>
        <w:rPr>
          <w:rFonts w:hint="eastAsia" w:ascii="仿宋_GB2312" w:hAnsi="仿宋_GB2312" w:eastAsia="仿宋_GB2312" w:cs="仿宋_GB2312"/>
          <w:kern w:val="2"/>
          <w:sz w:val="32"/>
          <w:szCs w:val="32"/>
          <w:lang w:val="en-US" w:eastAsia="zh-CN" w:bidi="ar-SA"/>
        </w:rPr>
        <w:t>以服务民生，促进职能到位为目标，配合州计量所对辖区内计量器具检定工作。</w:t>
      </w:r>
    </w:p>
    <w:p w14:paraId="0C56DC9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（四）狠抓重点</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加大查处</w:t>
      </w:r>
      <w:r>
        <w:rPr>
          <w:rFonts w:hint="eastAsia" w:ascii="楷体_GB2312" w:hAnsi="楷体_GB2312" w:eastAsia="楷体_GB2312" w:cs="楷体_GB2312"/>
          <w:b/>
          <w:bCs/>
          <w:sz w:val="32"/>
          <w:szCs w:val="32"/>
        </w:rPr>
        <w:t>，维护市场公平秩序</w:t>
      </w:r>
      <w:r>
        <w:rPr>
          <w:rFonts w:hint="eastAsia" w:ascii="楷体" w:hAnsi="楷体" w:eastAsia="楷体" w:cs="楷体"/>
          <w:b/>
          <w:bCs/>
          <w:sz w:val="32"/>
          <w:szCs w:val="32"/>
        </w:rPr>
        <w:t>。</w:t>
      </w:r>
      <w:r>
        <w:rPr>
          <w:rFonts w:hint="default" w:ascii="仿宋_GB2312" w:hAnsi="仿宋_GB2312" w:eastAsia="仿宋_GB2312" w:cs="仿宋_GB2312"/>
          <w:sz w:val="32"/>
          <w:szCs w:val="32"/>
          <w:lang w:val="en-US" w:eastAsia="zh-CN"/>
        </w:rPr>
        <w:t>以日常监管和</w:t>
      </w:r>
      <w:r>
        <w:rPr>
          <w:rFonts w:hint="eastAsia" w:ascii="仿宋_GB2312" w:hAnsi="仿宋_GB2312" w:eastAsia="仿宋_GB2312" w:cs="仿宋_GB2312"/>
          <w:sz w:val="32"/>
          <w:szCs w:val="32"/>
          <w:lang w:val="en-US" w:eastAsia="zh-CN"/>
        </w:rPr>
        <w:t>“春雷”“铁拳”等</w:t>
      </w:r>
      <w:r>
        <w:rPr>
          <w:rFonts w:hint="default" w:ascii="仿宋_GB2312" w:hAnsi="仿宋_GB2312" w:eastAsia="仿宋_GB2312" w:cs="仿宋_GB2312"/>
          <w:sz w:val="32"/>
          <w:szCs w:val="32"/>
          <w:lang w:val="en-US" w:eastAsia="zh-CN"/>
        </w:rPr>
        <w:t>专项</w:t>
      </w:r>
      <w:r>
        <w:rPr>
          <w:rFonts w:hint="eastAsia" w:ascii="仿宋_GB2312" w:hAnsi="仿宋_GB2312" w:eastAsia="仿宋_GB2312" w:cs="仿宋_GB2312"/>
          <w:sz w:val="32"/>
          <w:szCs w:val="32"/>
          <w:lang w:val="en-US" w:eastAsia="zh-CN"/>
        </w:rPr>
        <w:t>行动</w:t>
      </w:r>
      <w:r>
        <w:rPr>
          <w:rFonts w:hint="default" w:ascii="仿宋_GB2312" w:hAnsi="仿宋_GB2312" w:eastAsia="仿宋_GB2312" w:cs="仿宋_GB2312"/>
          <w:sz w:val="32"/>
          <w:szCs w:val="32"/>
          <w:lang w:val="en-US" w:eastAsia="zh-CN"/>
        </w:rPr>
        <w:t>整治为切入点，以监督抽检为聚焦点，</w:t>
      </w:r>
      <w:r>
        <w:rPr>
          <w:rFonts w:hint="eastAsia" w:ascii="仿宋_GB2312" w:hAnsi="仿宋_GB2312" w:eastAsia="仿宋_GB2312" w:cs="仿宋_GB2312"/>
          <w:sz w:val="32"/>
          <w:szCs w:val="32"/>
          <w:lang w:val="en-US" w:eastAsia="zh-CN"/>
        </w:rPr>
        <w:t>围绕涉及民生的重点领域，开展专项整治行动，</w:t>
      </w:r>
      <w:r>
        <w:rPr>
          <w:rFonts w:hint="eastAsia" w:ascii="仿宋_GB2312" w:hAnsi="仿宋_GB2312" w:eastAsia="仿宋_GB2312" w:cs="仿宋_GB2312"/>
          <w:sz w:val="32"/>
          <w:szCs w:val="32"/>
        </w:rPr>
        <w:t>严厉打击产品质量、市场秩序和食品药品领域违法犯罪行为。</w:t>
      </w:r>
    </w:p>
    <w:p w14:paraId="5513968E">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w:t>
      </w:r>
      <w:r>
        <w:rPr>
          <w:rFonts w:hint="eastAsia" w:ascii="黑体" w:hAnsi="黑体" w:eastAsia="黑体" w:cs="黑体"/>
          <w:sz w:val="32"/>
          <w:szCs w:val="32"/>
          <w:lang w:eastAsia="zh-CN"/>
        </w:rPr>
        <w:t>预算单位构成</w:t>
      </w:r>
    </w:p>
    <w:p w14:paraId="23485F2D">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cs="仿宋"/>
          <w:sz w:val="32"/>
          <w:szCs w:val="32"/>
        </w:rPr>
      </w:pPr>
      <w:r>
        <w:rPr>
          <w:rFonts w:hint="eastAsia" w:ascii="仿宋" w:hAnsi="仿宋" w:eastAsia="仿宋" w:cs="仿宋"/>
          <w:sz w:val="32"/>
          <w:szCs w:val="32"/>
          <w:lang w:eastAsia="zh-CN"/>
        </w:rPr>
        <w:t>红原县市场监督管理局下设单位（股室）</w:t>
      </w:r>
      <w:r>
        <w:rPr>
          <w:rFonts w:hint="eastAsia" w:ascii="仿宋" w:hAnsi="仿宋" w:eastAsia="仿宋" w:cs="仿宋"/>
          <w:sz w:val="32"/>
          <w:szCs w:val="32"/>
          <w:lang w:val="en-US" w:eastAsia="zh-CN"/>
        </w:rPr>
        <w:t>5</w:t>
      </w:r>
      <w:r>
        <w:rPr>
          <w:rFonts w:hint="eastAsia" w:ascii="仿宋" w:hAnsi="仿宋" w:eastAsia="仿宋" w:cs="仿宋"/>
          <w:sz w:val="32"/>
          <w:szCs w:val="32"/>
        </w:rPr>
        <w:t>个，其中行政单位</w:t>
      </w:r>
      <w:r>
        <w:rPr>
          <w:rFonts w:hint="eastAsia" w:ascii="仿宋" w:hAnsi="仿宋" w:eastAsia="仿宋" w:cs="仿宋"/>
          <w:sz w:val="32"/>
          <w:szCs w:val="32"/>
          <w:lang w:val="en-US" w:eastAsia="zh-CN"/>
        </w:rPr>
        <w:t>1</w:t>
      </w:r>
      <w:r>
        <w:rPr>
          <w:rFonts w:hint="eastAsia" w:ascii="仿宋" w:hAnsi="仿宋" w:eastAsia="仿宋" w:cs="仿宋"/>
          <w:sz w:val="32"/>
          <w:szCs w:val="32"/>
        </w:rPr>
        <w:t>个，参照公务员法管理的事业单位</w:t>
      </w:r>
      <w:r>
        <w:rPr>
          <w:rFonts w:hint="eastAsia" w:ascii="仿宋" w:hAnsi="仿宋" w:eastAsia="仿宋" w:cs="仿宋"/>
          <w:bCs/>
          <w:sz w:val="32"/>
          <w:szCs w:val="32"/>
          <w:lang w:val="en-US" w:eastAsia="zh-CN"/>
        </w:rPr>
        <w:t>0</w:t>
      </w:r>
      <w:r>
        <w:rPr>
          <w:rFonts w:hint="eastAsia" w:ascii="仿宋" w:hAnsi="仿宋" w:eastAsia="仿宋" w:cs="仿宋"/>
          <w:sz w:val="32"/>
          <w:szCs w:val="32"/>
        </w:rPr>
        <w:t>个，其他事业单位</w:t>
      </w:r>
      <w:r>
        <w:rPr>
          <w:rFonts w:hint="eastAsia" w:ascii="仿宋" w:hAnsi="仿宋" w:eastAsia="仿宋" w:cs="仿宋"/>
          <w:sz w:val="32"/>
          <w:szCs w:val="32"/>
          <w:lang w:val="en-US" w:eastAsia="zh-CN"/>
        </w:rPr>
        <w:t>0</w:t>
      </w:r>
      <w:r>
        <w:rPr>
          <w:rFonts w:hint="eastAsia" w:ascii="仿宋" w:hAnsi="仿宋" w:eastAsia="仿宋" w:cs="仿宋"/>
          <w:sz w:val="32"/>
          <w:szCs w:val="32"/>
        </w:rPr>
        <w:t>个。</w:t>
      </w:r>
    </w:p>
    <w:p w14:paraId="23898E8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三、收支预算总体情况</w:t>
      </w:r>
    </w:p>
    <w:p w14:paraId="3CEF0B6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年红原县市场监督管理局</w:t>
      </w:r>
      <w:r>
        <w:rPr>
          <w:rFonts w:hint="eastAsia" w:ascii="仿宋" w:hAnsi="仿宋" w:eastAsia="仿宋" w:cs="仿宋"/>
          <w:sz w:val="32"/>
          <w:szCs w:val="32"/>
        </w:rPr>
        <w:t>收入预算总额为</w:t>
      </w:r>
      <w:r>
        <w:rPr>
          <w:rFonts w:hint="eastAsia" w:ascii="仿宋" w:hAnsi="仿宋" w:eastAsia="仿宋" w:cs="仿宋"/>
          <w:sz w:val="32"/>
          <w:szCs w:val="32"/>
          <w:lang w:val="en-US" w:eastAsia="zh-CN"/>
        </w:rPr>
        <w:t>1056.73</w:t>
      </w:r>
      <w:r>
        <w:rPr>
          <w:rFonts w:hint="eastAsia" w:ascii="仿宋" w:hAnsi="仿宋" w:eastAsia="仿宋" w:cs="仿宋"/>
          <w:sz w:val="32"/>
          <w:szCs w:val="32"/>
        </w:rPr>
        <w:t>万元，其中：当年财政拨款收入</w:t>
      </w:r>
      <w:r>
        <w:rPr>
          <w:rFonts w:hint="eastAsia" w:ascii="仿宋" w:hAnsi="仿宋" w:eastAsia="仿宋" w:cs="仿宋"/>
          <w:sz w:val="32"/>
          <w:szCs w:val="32"/>
          <w:lang w:val="en-US" w:eastAsia="zh-CN"/>
        </w:rPr>
        <w:t>1023.37</w:t>
      </w:r>
      <w:r>
        <w:rPr>
          <w:rFonts w:hint="eastAsia" w:ascii="仿宋" w:hAnsi="仿宋" w:eastAsia="仿宋" w:cs="仿宋"/>
          <w:sz w:val="32"/>
          <w:szCs w:val="32"/>
        </w:rPr>
        <w:t>万元。相应安排支出预算</w:t>
      </w:r>
      <w:r>
        <w:rPr>
          <w:rFonts w:hint="eastAsia" w:ascii="仿宋" w:hAnsi="仿宋" w:eastAsia="仿宋" w:cs="仿宋"/>
          <w:sz w:val="32"/>
          <w:szCs w:val="32"/>
          <w:lang w:val="en-US" w:eastAsia="zh-CN"/>
        </w:rPr>
        <w:t>1023.37</w:t>
      </w:r>
      <w:r>
        <w:rPr>
          <w:rFonts w:hint="eastAsia" w:ascii="仿宋" w:hAnsi="仿宋" w:eastAsia="仿宋" w:cs="仿宋"/>
          <w:sz w:val="32"/>
          <w:szCs w:val="32"/>
        </w:rPr>
        <w:t>万元，其中：一般公共服务</w:t>
      </w:r>
      <w:r>
        <w:rPr>
          <w:rFonts w:hint="eastAsia" w:ascii="仿宋" w:hAnsi="仿宋" w:eastAsia="仿宋" w:cs="仿宋"/>
          <w:sz w:val="32"/>
          <w:szCs w:val="32"/>
          <w:lang w:val="en-US" w:eastAsia="zh-CN"/>
        </w:rPr>
        <w:t>764.28</w:t>
      </w:r>
      <w:r>
        <w:rPr>
          <w:rFonts w:hint="eastAsia" w:ascii="仿宋" w:hAnsi="仿宋" w:eastAsia="仿宋" w:cs="仿宋"/>
          <w:sz w:val="32"/>
          <w:szCs w:val="32"/>
        </w:rPr>
        <w:t>万元，社会保障和就业</w:t>
      </w:r>
      <w:r>
        <w:rPr>
          <w:rFonts w:hint="eastAsia" w:ascii="仿宋" w:hAnsi="仿宋" w:eastAsia="仿宋" w:cs="仿宋"/>
          <w:sz w:val="32"/>
          <w:szCs w:val="32"/>
          <w:lang w:val="en-US" w:eastAsia="zh-CN"/>
        </w:rPr>
        <w:t>133.25</w:t>
      </w:r>
      <w:r>
        <w:rPr>
          <w:rFonts w:hint="eastAsia" w:ascii="仿宋" w:hAnsi="仿宋" w:eastAsia="仿宋" w:cs="仿宋"/>
          <w:sz w:val="32"/>
          <w:szCs w:val="32"/>
        </w:rPr>
        <w:t>万元，医疗卫生</w:t>
      </w:r>
      <w:r>
        <w:rPr>
          <w:rFonts w:hint="eastAsia" w:ascii="仿宋" w:hAnsi="仿宋" w:eastAsia="仿宋" w:cs="仿宋"/>
          <w:sz w:val="32"/>
          <w:szCs w:val="32"/>
          <w:lang w:val="en-US" w:eastAsia="zh-CN"/>
        </w:rPr>
        <w:t>53.24</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72.59</w:t>
      </w:r>
      <w:r>
        <w:rPr>
          <w:rFonts w:hint="eastAsia" w:ascii="仿宋" w:hAnsi="仿宋" w:eastAsia="仿宋" w:cs="仿宋"/>
          <w:sz w:val="32"/>
          <w:szCs w:val="32"/>
        </w:rPr>
        <w:t>万元。</w:t>
      </w:r>
    </w:p>
    <w:p w14:paraId="591CC089">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支出预算安排情况</w:t>
      </w:r>
    </w:p>
    <w:p w14:paraId="5358FD0E">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红原县市场监督管理局</w:t>
      </w:r>
      <w:r>
        <w:rPr>
          <w:rFonts w:hint="eastAsia" w:ascii="仿宋" w:hAnsi="仿宋" w:eastAsia="仿宋" w:cs="仿宋"/>
          <w:sz w:val="32"/>
          <w:szCs w:val="32"/>
        </w:rPr>
        <w:t>预算安排支出主要用于保障该部门机构正常运转、完成日常工作任务以及承担</w:t>
      </w:r>
      <w:r>
        <w:rPr>
          <w:rFonts w:hint="eastAsia" w:ascii="仿宋" w:hAnsi="仿宋" w:eastAsia="仿宋" w:cs="仿宋"/>
          <w:sz w:val="32"/>
          <w:szCs w:val="32"/>
          <w:lang w:eastAsia="zh-CN"/>
        </w:rPr>
        <w:t>消费者权益委员会管理</w:t>
      </w:r>
      <w:r>
        <w:rPr>
          <w:rFonts w:hint="eastAsia" w:ascii="仿宋" w:hAnsi="仿宋" w:eastAsia="仿宋" w:cs="仿宋"/>
          <w:sz w:val="32"/>
          <w:szCs w:val="32"/>
        </w:rPr>
        <w:t xml:space="preserve">事业发展相关工作。  </w:t>
      </w:r>
    </w:p>
    <w:p w14:paraId="3E7FAEEB">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基本支出</w:t>
      </w:r>
      <w:r>
        <w:rPr>
          <w:rFonts w:hint="eastAsia" w:ascii="仿宋" w:hAnsi="仿宋" w:eastAsia="仿宋" w:cs="仿宋"/>
          <w:sz w:val="32"/>
          <w:szCs w:val="32"/>
          <w:lang w:val="en-US" w:eastAsia="zh-CN"/>
        </w:rPr>
        <w:t>998.37</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其中人员经费支出</w:t>
      </w:r>
      <w:r>
        <w:rPr>
          <w:rFonts w:hint="eastAsia" w:ascii="仿宋" w:hAnsi="仿宋" w:eastAsia="仿宋" w:cs="仿宋"/>
          <w:sz w:val="32"/>
          <w:szCs w:val="32"/>
          <w:lang w:val="en-US" w:eastAsia="zh-CN"/>
        </w:rPr>
        <w:t>906.63万元，机关运行经费91.74万元，其中：办公费12.56万元，差旅费10万元，工会经费6.67万元，公务用车运行维护费18.4万元</w:t>
      </w:r>
      <w:r>
        <w:rPr>
          <w:rFonts w:hint="eastAsia" w:ascii="仿宋" w:hAnsi="仿宋" w:eastAsia="仿宋" w:cs="仿宋"/>
          <w:sz w:val="32"/>
          <w:szCs w:val="32"/>
          <w:lang w:eastAsia="zh-CN"/>
        </w:rPr>
        <w:t>，印刷费</w:t>
      </w:r>
      <w:r>
        <w:rPr>
          <w:rFonts w:hint="eastAsia" w:ascii="仿宋" w:hAnsi="仿宋" w:eastAsia="仿宋" w:cs="仿宋"/>
          <w:sz w:val="32"/>
          <w:szCs w:val="32"/>
          <w:lang w:val="en-US" w:eastAsia="zh-CN"/>
        </w:rPr>
        <w:t>3.5万元，手续费0.2万元，水费0.3万元，电费3.5万元，邮电费3万元，维修（护）费1.2万元，会议费0.5万元，培训费2万元，公务接待费0.6万元，劳务费1.2万元，委托业务费1万元。</w:t>
      </w:r>
    </w:p>
    <w:p w14:paraId="6977565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14:paraId="3CE1C71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（一）一般公共服务</w:t>
      </w:r>
      <w:r>
        <w:rPr>
          <w:rFonts w:hint="eastAsia" w:ascii="仿宋" w:hAnsi="仿宋" w:eastAsia="仿宋" w:cs="仿宋"/>
          <w:sz w:val="32"/>
          <w:szCs w:val="32"/>
          <w:lang w:val="en-US" w:eastAsia="zh-CN"/>
        </w:rPr>
        <w:t>764.28</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，主要用于机关及下属事业单位人员工资、日常运转以及为完成特定行政工作任务和事业发展目标而安排的年度项目支出。</w:t>
      </w:r>
    </w:p>
    <w:p w14:paraId="1A5C4D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w:t>
      </w:r>
      <w:r>
        <w:rPr>
          <w:rFonts w:hint="eastAsia" w:ascii="仿宋" w:hAnsi="仿宋" w:eastAsia="仿宋" w:cs="仿宋"/>
          <w:sz w:val="32"/>
          <w:szCs w:val="32"/>
          <w:lang w:val="en-US" w:eastAsia="zh-CN"/>
        </w:rPr>
        <w:t>133.25</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w:t>
      </w:r>
      <w:r>
        <w:rPr>
          <w:rFonts w:hint="eastAsia" w:ascii="仿宋" w:hAnsi="仿宋" w:eastAsia="仿宋" w:cs="仿宋"/>
          <w:sz w:val="32"/>
          <w:szCs w:val="32"/>
          <w:lang w:eastAsia="zh-CN"/>
        </w:rPr>
        <w:t>养老保险及职业年金缴费</w:t>
      </w:r>
      <w:r>
        <w:rPr>
          <w:rFonts w:hint="eastAsia" w:ascii="仿宋" w:hAnsi="仿宋" w:eastAsia="仿宋" w:cs="仿宋"/>
          <w:sz w:val="32"/>
          <w:szCs w:val="32"/>
        </w:rPr>
        <w:t>。</w:t>
      </w:r>
    </w:p>
    <w:p w14:paraId="2810909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（三）医疗卫生</w:t>
      </w:r>
      <w:r>
        <w:rPr>
          <w:rFonts w:hint="eastAsia" w:ascii="仿宋" w:hAnsi="仿宋" w:eastAsia="仿宋" w:cs="仿宋"/>
          <w:sz w:val="32"/>
          <w:szCs w:val="32"/>
          <w:lang w:val="en-US" w:eastAsia="zh-CN"/>
        </w:rPr>
        <w:t>53.24</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，主要用于机关及下属事业单位按照规定标准为职工缴纳的基本医疗保险及公务员医疗补助等支出。</w:t>
      </w:r>
    </w:p>
    <w:p w14:paraId="1468EFF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w:t>
      </w:r>
      <w:r>
        <w:rPr>
          <w:rFonts w:hint="eastAsia" w:ascii="仿宋" w:hAnsi="仿宋" w:eastAsia="仿宋" w:cs="仿宋"/>
          <w:sz w:val="32"/>
          <w:szCs w:val="32"/>
          <w:lang w:val="en-US" w:eastAsia="zh-CN"/>
        </w:rPr>
        <w:t>72.59</w:t>
      </w:r>
      <w:r>
        <w:rPr>
          <w:rFonts w:hint="eastAsia" w:ascii="仿宋" w:hAnsi="仿宋" w:eastAsia="仿宋" w:cs="仿宋"/>
          <w:sz w:val="32"/>
          <w:szCs w:val="32"/>
          <w:lang w:eastAsia="zh-CN"/>
        </w:rPr>
        <w:t>万元</w:t>
      </w:r>
      <w:r>
        <w:rPr>
          <w:rFonts w:hint="eastAsia" w:ascii="仿宋" w:hAnsi="仿宋" w:eastAsia="仿宋" w:cs="仿宋"/>
          <w:sz w:val="32"/>
          <w:szCs w:val="32"/>
        </w:rPr>
        <w:t>，用于机关及下属事业单位按照规定标准为职工缴纳住房公积金等支出。</w:t>
      </w:r>
    </w:p>
    <w:p w14:paraId="4E43BD76">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五、较上年度增减变化</w:t>
      </w:r>
    </w:p>
    <w:p w14:paraId="3AEA667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本年度预算拨款收入1023.37万元较上年度预算919.63万元增涨了10.14%，其中基本行政运行经费预算998.37万元，占全部总预算的97.56%，较上年894.63万元增涨了10.39%，原因为人员增多各项开支，基本支出增加；专项业务工作经费预算25万元，占总预算的2.44%，较上年预算25万元减少了0%，主要原因为项目经费开支持平。 </w:t>
      </w:r>
      <w:r>
        <w:rPr>
          <w:rFonts w:hint="eastAsia" w:ascii="仿宋" w:hAnsi="仿宋" w:eastAsia="仿宋" w:cs="仿宋"/>
          <w:color w:val="333333"/>
          <w:kern w:val="0"/>
          <w:sz w:val="32"/>
          <w:szCs w:val="32"/>
          <w:shd w:val="clear" w:color="auto" w:fill="FFFFFF"/>
          <w:lang w:val="en-US" w:eastAsia="zh-CN" w:bidi="ar"/>
        </w:rPr>
        <w:t xml:space="preserve"> </w:t>
      </w:r>
      <w:r>
        <w:rPr>
          <w:rFonts w:hint="eastAsia" w:ascii="仿宋" w:hAnsi="仿宋" w:eastAsia="仿宋" w:cs="仿宋"/>
          <w:sz w:val="32"/>
          <w:szCs w:val="32"/>
          <w:lang w:val="en-US" w:eastAsia="zh-CN"/>
        </w:rPr>
        <w:t xml:space="preserve"> </w:t>
      </w:r>
    </w:p>
    <w:p w14:paraId="4C06AF7E">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六、“三公”经费预算</w:t>
      </w:r>
    </w:p>
    <w:p w14:paraId="552A39D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三公经费预算安排支出为19万元，其中：出国费0万元，与上年持平，主要原因为未安排因公出国；公车购置费0元，与上年持平；公务用车维护费支出18.4万元，较上年度预算18.4万元持平，主要原因严格执行“八项规定、六项禁令”；公务接待费0.6万元，较上年度预算增加0.02万元，主要原因为</w:t>
      </w:r>
      <w:r>
        <w:rPr>
          <w:rFonts w:hint="eastAsia" w:ascii="仿宋" w:hAnsi="仿宋" w:eastAsia="仿宋" w:cs="仿宋"/>
          <w:sz w:val="32"/>
          <w:szCs w:val="32"/>
          <w:lang w:eastAsia="zh-CN"/>
        </w:rPr>
        <w:t>接待人数较多</w:t>
      </w:r>
      <w:r>
        <w:rPr>
          <w:rFonts w:hint="eastAsia" w:ascii="仿宋" w:hAnsi="仿宋" w:eastAsia="仿宋" w:cs="仿宋"/>
          <w:sz w:val="32"/>
          <w:szCs w:val="32"/>
          <w:lang w:val="en-US" w:eastAsia="zh-CN"/>
        </w:rPr>
        <w:t>，本年度我们将严格执行“八项规定、六项禁令”，结合本年度工作需要，减少不必要的开支。</w:t>
      </w:r>
    </w:p>
    <w:p w14:paraId="619549DF">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七、政府性基金预算收支情况说明</w:t>
      </w:r>
    </w:p>
    <w:p w14:paraId="7C132C8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2026年无使用政府性基金预算拨款安排的支出</w:t>
      </w:r>
      <w:r>
        <w:rPr>
          <w:rFonts w:hint="eastAsia" w:ascii="仿宋" w:hAnsi="仿宋" w:eastAsia="仿宋" w:cs="仿宋"/>
          <w:sz w:val="32"/>
          <w:szCs w:val="32"/>
        </w:rPr>
        <w:t>。</w:t>
      </w:r>
    </w:p>
    <w:p w14:paraId="7C22C6FA">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八、国有资本经营预算收支情况说明</w:t>
      </w:r>
    </w:p>
    <w:p w14:paraId="1B81E98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2026年无使用国有资本经营预算拨款安排的支出。</w:t>
      </w:r>
    </w:p>
    <w:p w14:paraId="2938F79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九、其他重要事项的情况说明</w:t>
      </w:r>
    </w:p>
    <w:p w14:paraId="79C340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 w:hAnsi="仿宋" w:eastAsia="仿宋" w:cs="仿宋"/>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（一）政府采购预算情况</w:t>
      </w:r>
      <w:r>
        <w:rPr>
          <w:rFonts w:hint="eastAsia" w:ascii="仿宋" w:hAnsi="仿宋" w:eastAsia="仿宋" w:cs="仿宋"/>
          <w:b/>
          <w:bCs/>
          <w:color w:val="333333"/>
          <w:kern w:val="0"/>
          <w:sz w:val="32"/>
          <w:szCs w:val="32"/>
          <w:shd w:val="clear" w:color="auto" w:fill="FFFFFF"/>
          <w:lang w:val="en-US" w:eastAsia="zh-CN" w:bidi="ar"/>
        </w:rPr>
        <w:t xml:space="preserve"> </w:t>
      </w:r>
    </w:p>
    <w:p w14:paraId="2020BBF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2026年度安排政府采购预算2万元，主要用于</w:t>
      </w:r>
      <w:r>
        <w:rPr>
          <w:rFonts w:hint="eastAsia" w:ascii="仿宋" w:hAnsi="仿宋" w:eastAsia="仿宋" w:cs="仿宋"/>
          <w:sz w:val="32"/>
          <w:szCs w:val="32"/>
          <w:lang w:eastAsia="zh-CN"/>
        </w:rPr>
        <w:t>办公设备购置</w:t>
      </w:r>
      <w:r>
        <w:rPr>
          <w:rFonts w:hint="eastAsia" w:ascii="仿宋" w:hAnsi="仿宋" w:eastAsia="仿宋" w:cs="仿宋"/>
          <w:sz w:val="32"/>
          <w:szCs w:val="32"/>
          <w:lang w:val="en-US" w:eastAsia="zh-CN"/>
        </w:rPr>
        <w:t>。</w:t>
      </w:r>
    </w:p>
    <w:p w14:paraId="49F89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 xml:space="preserve">（二）政府财政国有资产占用情况 </w:t>
      </w:r>
    </w:p>
    <w:p w14:paraId="51908DB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截止2025年底，实际共有固定资产价值159.35</w:t>
      </w:r>
      <w:r>
        <w:rPr>
          <w:rFonts w:hint="eastAsia" w:ascii="仿宋" w:hAnsi="仿宋" w:eastAsia="仿宋" w:cs="仿宋"/>
          <w:sz w:val="32"/>
          <w:szCs w:val="32"/>
          <w:lang w:eastAsia="zh-CN"/>
        </w:rPr>
        <w:t>万元：其中：设备</w:t>
      </w:r>
      <w:r>
        <w:rPr>
          <w:rFonts w:hint="eastAsia" w:ascii="仿宋" w:hAnsi="仿宋" w:eastAsia="仿宋" w:cs="仿宋"/>
          <w:sz w:val="32"/>
          <w:szCs w:val="32"/>
          <w:lang w:val="en-US" w:eastAsia="zh-CN"/>
        </w:rPr>
        <w:t>34.75万元包含</w:t>
      </w:r>
      <w:r>
        <w:rPr>
          <w:rFonts w:hint="eastAsia" w:ascii="仿宋" w:hAnsi="仿宋" w:eastAsia="仿宋" w:cs="仿宋"/>
          <w:sz w:val="32"/>
          <w:szCs w:val="32"/>
          <w:lang w:eastAsia="zh-CN"/>
        </w:rPr>
        <w:t>公务用车</w:t>
      </w:r>
      <w:r>
        <w:rPr>
          <w:rFonts w:hint="eastAsia" w:ascii="仿宋" w:hAnsi="仿宋" w:eastAsia="仿宋" w:cs="仿宋"/>
          <w:sz w:val="32"/>
          <w:szCs w:val="32"/>
          <w:lang w:val="en-US" w:eastAsia="zh-CN"/>
        </w:rPr>
        <w:t>13.81</w:t>
      </w:r>
      <w:r>
        <w:rPr>
          <w:rFonts w:hint="eastAsia" w:ascii="仿宋" w:hAnsi="仿宋" w:eastAsia="仿宋" w:cs="仿宋"/>
          <w:sz w:val="32"/>
          <w:szCs w:val="32"/>
          <w:lang w:eastAsia="zh-CN"/>
        </w:rPr>
        <w:t>万元；业务用房</w:t>
      </w:r>
      <w:r>
        <w:rPr>
          <w:rFonts w:hint="eastAsia" w:ascii="仿宋" w:hAnsi="仿宋" w:eastAsia="仿宋" w:cs="仿宋"/>
          <w:sz w:val="32"/>
          <w:szCs w:val="32"/>
          <w:lang w:val="en-US" w:eastAsia="zh-CN"/>
        </w:rPr>
        <w:t>117.73</w:t>
      </w:r>
      <w:r>
        <w:rPr>
          <w:rFonts w:hint="eastAsia" w:ascii="仿宋" w:hAnsi="仿宋" w:eastAsia="仿宋" w:cs="仿宋"/>
          <w:sz w:val="32"/>
          <w:szCs w:val="32"/>
          <w:lang w:eastAsia="zh-CN"/>
        </w:rPr>
        <w:t>万元；家具和用具</w:t>
      </w:r>
      <w:r>
        <w:rPr>
          <w:rFonts w:hint="eastAsia" w:ascii="仿宋" w:hAnsi="仿宋" w:eastAsia="仿宋" w:cs="仿宋"/>
          <w:sz w:val="32"/>
          <w:szCs w:val="32"/>
          <w:lang w:val="en-US" w:eastAsia="zh-CN"/>
        </w:rPr>
        <w:t>6.88万元。</w:t>
      </w:r>
    </w:p>
    <w:p w14:paraId="358BAE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（三）绩效目标设置情况</w:t>
      </w:r>
    </w:p>
    <w:p w14:paraId="378B78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bookmarkStart w:id="0" w:name="_GoBack"/>
      <w:r>
        <w:rPr>
          <w:rFonts w:hint="eastAsia" w:ascii="仿宋" w:hAnsi="仿宋" w:eastAsia="仿宋" w:cs="仿宋"/>
          <w:sz w:val="32"/>
          <w:szCs w:val="32"/>
          <w:lang w:val="en-US" w:eastAsia="zh-CN"/>
        </w:rPr>
        <w:t>绩效目标是预算编制的前提和基础，按照“费随事定”的原则，2026年我单位项目支出按要求编制了绩效目标，从项目完成、项目效益、满意度。</w:t>
      </w:r>
    </w:p>
    <w:bookmarkEnd w:id="0"/>
    <w:p w14:paraId="0DB0FEC2">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十、名词解释</w:t>
      </w:r>
      <w:r>
        <w:rPr>
          <w:rFonts w:hint="eastAsia" w:ascii="黑体" w:hAnsi="黑体" w:eastAsia="黑体" w:cs="黑体"/>
          <w:sz w:val="32"/>
          <w:szCs w:val="32"/>
          <w:lang w:val="en-US" w:eastAsia="zh-CN"/>
        </w:rPr>
        <w:br w:type="textWrapping"/>
      </w:r>
      <w:r>
        <w:rPr>
          <w:rFonts w:hint="eastAsia" w:ascii="仿宋" w:hAnsi="仿宋" w:eastAsia="仿宋" w:cs="仿宋"/>
          <w:sz w:val="32"/>
          <w:szCs w:val="32"/>
          <w:lang w:val="en-US" w:eastAsia="zh-CN"/>
        </w:rPr>
        <w:t xml:space="preserve">1.财政拨款收入：指财政部门核拨给单位的财政预算资金。 </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2.其他收入：指除上述财政部门拨付单位以外的收入。</w:t>
      </w:r>
    </w:p>
    <w:p w14:paraId="455079C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3.基本支出：指为保障单位机关正常运转、完成日常工作任务而发生的人员支出和公用支出。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4.项目支出：指在基本支出之外为完成特定行政任务和事业发展目标所发生的支出。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093BAA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p>
    <w:p w14:paraId="0C22ED2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附件：表1.部门收支总表</w:t>
      </w:r>
    </w:p>
    <w:p w14:paraId="26CC592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表2.部门收入总表</w:t>
      </w:r>
    </w:p>
    <w:p w14:paraId="79FBCC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表3.部门支出总表</w:t>
      </w:r>
    </w:p>
    <w:p w14:paraId="353EB7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表4.财政拨款收支预算总表</w:t>
      </w:r>
    </w:p>
    <w:p w14:paraId="47D2B2C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表5.财政拨款支出预算表（部门经济分类科目）</w:t>
      </w:r>
    </w:p>
    <w:p w14:paraId="2140BEC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表6.一般公共预算支出预算表</w:t>
      </w:r>
    </w:p>
    <w:p w14:paraId="4273E55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表7.一般公共预算基本支出预算表</w:t>
      </w:r>
    </w:p>
    <w:p w14:paraId="25B93AD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表8.一般公共预算项目支出预算表</w:t>
      </w:r>
    </w:p>
    <w:p w14:paraId="0003639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表9.一般公共预算“三公”经费支出预算表</w:t>
      </w:r>
    </w:p>
    <w:p w14:paraId="246241A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表10.政府性基金支出预算表</w:t>
      </w:r>
    </w:p>
    <w:p w14:paraId="244B6AB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表11.政府性基金预算“三公”经费支出预算表</w:t>
      </w:r>
    </w:p>
    <w:p w14:paraId="3C1B65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表12.国有资本经营预算支出预算表</w:t>
      </w:r>
    </w:p>
    <w:p w14:paraId="152E06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表13.部门项目支出绩效目标表（2026年度）</w:t>
      </w:r>
    </w:p>
    <w:p w14:paraId="78A2DDFD">
      <w:pPr>
        <w:rPr>
          <w:rFonts w:hint="eastAsia" w:ascii="仿宋" w:hAnsi="仿宋" w:eastAsia="仿宋" w:cs="仿宋"/>
          <w:sz w:val="32"/>
          <w:szCs w:val="32"/>
        </w:rPr>
      </w:pPr>
    </w:p>
    <w:p w14:paraId="698218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小标宋">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17BF9"/>
    <w:rsid w:val="2B700490"/>
    <w:rsid w:val="36A17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章标题"/>
    <w:basedOn w:val="1"/>
    <w:next w:val="3"/>
    <w:autoRedefine/>
    <w:qFormat/>
    <w:uiPriority w:val="99"/>
    <w:pPr>
      <w:widowControl/>
      <w:spacing w:before="158" w:after="153" w:line="323" w:lineRule="atLeast"/>
      <w:ind w:right="-120"/>
      <w:jc w:val="center"/>
      <w:textAlignment w:val="baseline"/>
    </w:pPr>
    <w:rPr>
      <w:color w:val="FF0000"/>
      <w:sz w:val="18"/>
    </w:rPr>
  </w:style>
  <w:style w:type="paragraph" w:customStyle="1" w:styleId="3">
    <w:name w:val="节标题"/>
    <w:basedOn w:val="1"/>
    <w:next w:val="1"/>
    <w:autoRedefine/>
    <w:qFormat/>
    <w:uiPriority w:val="99"/>
    <w:pPr>
      <w:widowControl/>
      <w:spacing w:line="289" w:lineRule="atLeast"/>
      <w:jc w:val="center"/>
      <w:textAlignment w:val="baseline"/>
    </w:pPr>
    <w:rPr>
      <w:color w:val="000000"/>
      <w:sz w:val="28"/>
    </w:rPr>
  </w:style>
  <w:style w:type="paragraph" w:styleId="4">
    <w:name w:val="Body Text"/>
    <w:basedOn w:val="1"/>
    <w:qFormat/>
    <w:uiPriority w:val="0"/>
    <w:pPr>
      <w:spacing w:before="93" w:beforeLines="30"/>
    </w:pPr>
    <w:rPr>
      <w:rFonts w:ascii="仿宋_GB2312" w:eastAsia="仿宋_GB2312"/>
      <w:sz w:val="30"/>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1747</Words>
  <Characters>1857</Characters>
  <Lines>0</Lines>
  <Paragraphs>0</Paragraphs>
  <TotalTime>21</TotalTime>
  <ScaleCrop>false</ScaleCrop>
  <LinksUpToDate>false</LinksUpToDate>
  <CharactersWithSpaces>1882</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2026-02-01T11:53:00Z</dcterms:created>
  <dc:creator>投资股-李仕昂</dc:creator>
  <cp:lastModifiedBy>杰</cp:lastModifiedBy>
  <dcterms:modified xsi:type="dcterms:W3CDTF">2026-02-09T08:33:06Z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eyJoZGlkIjoiNzliMDZiMWQwMDkzYTU0NjBjM2RkZTA4ZjQyOTI3Y2MiLCJ1c2VySWQiOiIzMTM0MjczMDMifQ==</vt:lpwstr>
  </property>
  <property fmtid="{D5CDD505-2E9C-101B-9397-08002B2CF9AE}" pid="4" name="ICV">
    <vt:lpwstr>BF745940EF404BF88602FF12088D053E_12</vt:lpwstr>
  </property>
</Properties>
</file>