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eastAsia" w:ascii="方正小标宋简体" w:hAnsi="方正小标宋简体" w:eastAsia="方正小标宋简体" w:cs="方正小标宋简体"/>
          <w:b w:val="0"/>
          <w:bCs/>
          <w:sz w:val="44"/>
          <w:szCs w:val="44"/>
        </w:rPr>
      </w:pPr>
      <w:bookmarkStart w:id="0" w:name="_GoBack"/>
      <w:bookmarkEnd w:id="0"/>
      <w:r>
        <w:rPr>
          <w:rFonts w:hint="eastAsia" w:ascii="方正小标宋简体" w:hAnsi="方正小标宋简体" w:eastAsia="方正小标宋简体" w:cs="方正小标宋简体"/>
          <w:b w:val="0"/>
          <w:bCs/>
          <w:sz w:val="44"/>
          <w:szCs w:val="44"/>
          <w:lang w:eastAsia="zh-CN"/>
        </w:rPr>
        <w:t>红原县人民政府办公室</w:t>
      </w:r>
    </w:p>
    <w:p>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lang w:eastAsia="zh-CN"/>
        </w:rPr>
        <w:t>202</w:t>
      </w:r>
      <w:r>
        <w:rPr>
          <w:rFonts w:hint="default" w:ascii="方正小标宋简体" w:hAnsi="方正小标宋简体" w:eastAsia="方正小标宋简体" w:cs="方正小标宋简体"/>
          <w:b w:val="0"/>
          <w:bCs/>
          <w:sz w:val="44"/>
          <w:szCs w:val="44"/>
          <w:lang w:val="en-US" w:eastAsia="zh-CN"/>
        </w:rPr>
        <w:t>6</w:t>
      </w:r>
      <w:r>
        <w:rPr>
          <w:rFonts w:hint="eastAsia" w:ascii="方正小标宋简体" w:hAnsi="方正小标宋简体" w:eastAsia="方正小标宋简体" w:cs="方正小标宋简体"/>
          <w:b w:val="0"/>
          <w:bCs/>
          <w:sz w:val="44"/>
          <w:szCs w:val="44"/>
          <w:lang w:eastAsia="zh-CN"/>
        </w:rPr>
        <w:t>年</w:t>
      </w:r>
      <w:r>
        <w:rPr>
          <w:rFonts w:hint="eastAsia" w:ascii="方正小标宋简体" w:hAnsi="方正小标宋简体" w:eastAsia="方正小标宋简体" w:cs="方正小标宋简体"/>
          <w:b w:val="0"/>
          <w:bCs/>
          <w:sz w:val="44"/>
          <w:szCs w:val="44"/>
        </w:rPr>
        <w:t>部门预算编制的说明</w:t>
      </w:r>
    </w:p>
    <w:p>
      <w:pPr>
        <w:pStyle w:val="2"/>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textAlignment w:val="auto"/>
        <w:rPr>
          <w:rFonts w:hint="eastAsia" w:ascii="宋体" w:hAnsi="宋体" w:eastAsia="宋体"/>
          <w:b/>
          <w:sz w:val="44"/>
          <w:szCs w:val="44"/>
        </w:rPr>
      </w:pPr>
      <w:r>
        <w:rPr>
          <w:rFonts w:hint="eastAsia" w:ascii="宋体" w:hAnsi="宋体" w:eastAsia="宋体"/>
          <w:b/>
          <w:sz w:val="44"/>
          <w:szCs w:val="44"/>
        </w:rPr>
        <w:t xml:space="preserve">    </w:t>
      </w:r>
    </w:p>
    <w:p>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40" w:firstLineChars="200"/>
        <w:textAlignment w:val="auto"/>
        <w:rPr>
          <w:rFonts w:hint="eastAsia" w:ascii="宋体" w:hAnsi="宋体" w:eastAsia="宋体"/>
          <w:b/>
          <w:sz w:val="44"/>
          <w:szCs w:val="44"/>
        </w:rPr>
      </w:pPr>
      <w:r>
        <w:rPr>
          <w:rFonts w:hint="eastAsia"/>
          <w:sz w:val="32"/>
          <w:szCs w:val="32"/>
        </w:rPr>
        <w:t>按照预算管理有关规定，目前部门预算的编制实行综合预算制度，即全部收入和支出都反映在预算中。</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一、基本职能及主要工作</w:t>
      </w:r>
    </w:p>
    <w:p>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74" w:firstLineChars="210"/>
        <w:textAlignment w:val="auto"/>
        <w:rPr>
          <w:rFonts w:hint="eastAsia" w:ascii="楷体_GB2312" w:hAnsi="楷体_GB2312" w:eastAsia="楷体_GB2312" w:cs="楷体_GB2312"/>
          <w:b/>
          <w:bCs w:val="0"/>
          <w:sz w:val="32"/>
          <w:szCs w:val="32"/>
          <w:lang w:eastAsia="zh-CN"/>
        </w:rPr>
      </w:pPr>
      <w:r>
        <w:rPr>
          <w:rFonts w:hint="eastAsia" w:ascii="楷体_GB2312" w:hAnsi="楷体_GB2312" w:eastAsia="楷体_GB2312" w:cs="楷体_GB2312"/>
          <w:b/>
          <w:bCs w:val="0"/>
          <w:sz w:val="32"/>
          <w:szCs w:val="32"/>
          <w:lang w:eastAsia="zh-CN"/>
        </w:rPr>
        <w:t>（一）基本职能</w:t>
      </w:r>
    </w:p>
    <w:p>
      <w:pPr>
        <w:pStyle w:val="2"/>
        <w:adjustRightInd w:val="0"/>
        <w:snapToGrid w:val="0"/>
        <w:spacing w:before="93" w:line="560" w:lineRule="exact"/>
        <w:ind w:firstLine="640" w:firstLineChars="200"/>
        <w:rPr>
          <w:sz w:val="32"/>
          <w:szCs w:val="32"/>
        </w:rPr>
      </w:pPr>
      <w:r>
        <w:rPr>
          <w:rFonts w:hint="eastAsia"/>
          <w:sz w:val="32"/>
          <w:szCs w:val="32"/>
        </w:rPr>
        <w:t>协助县政府领导组织起草或审核以县政府、县政府办公室名义发布的公文。办理州政府、州政府办公室及各州直部门发送县政府的文电。指导全县行政机关公文处理工作。</w:t>
      </w:r>
    </w:p>
    <w:p>
      <w:pPr>
        <w:pStyle w:val="2"/>
        <w:adjustRightInd w:val="0"/>
        <w:snapToGrid w:val="0"/>
        <w:spacing w:before="93" w:line="560" w:lineRule="exact"/>
        <w:ind w:firstLine="640" w:firstLineChars="200"/>
        <w:rPr>
          <w:sz w:val="32"/>
          <w:szCs w:val="32"/>
        </w:rPr>
      </w:pPr>
      <w:r>
        <w:rPr>
          <w:rFonts w:hint="eastAsia"/>
          <w:sz w:val="32"/>
          <w:szCs w:val="32"/>
        </w:rPr>
        <w:t>研究县政府各部门和各乡、镇人民政府请示县政府的事项，提出审核意见，报县政府领导审批。</w:t>
      </w:r>
    </w:p>
    <w:p>
      <w:pPr>
        <w:pStyle w:val="2"/>
        <w:adjustRightInd w:val="0"/>
        <w:snapToGrid w:val="0"/>
        <w:spacing w:before="93" w:line="560" w:lineRule="exact"/>
        <w:ind w:firstLine="640" w:firstLineChars="200"/>
        <w:rPr>
          <w:sz w:val="32"/>
          <w:szCs w:val="32"/>
        </w:rPr>
      </w:pPr>
      <w:r>
        <w:rPr>
          <w:rFonts w:hint="eastAsia"/>
          <w:sz w:val="32"/>
          <w:szCs w:val="32"/>
        </w:rPr>
        <w:t>负责县政府会议的准备工作，协助县政府领导组织实施会议决定事项。根据县政府领导的指示，对县政府各部门和各乡、镇人民政府间争议问题提出处理意见和建议，报县政府领导决定。</w:t>
      </w:r>
    </w:p>
    <w:p>
      <w:pPr>
        <w:pStyle w:val="2"/>
        <w:adjustRightInd w:val="0"/>
        <w:snapToGrid w:val="0"/>
        <w:spacing w:before="93" w:line="560" w:lineRule="exact"/>
        <w:ind w:firstLine="640" w:firstLineChars="200"/>
        <w:rPr>
          <w:sz w:val="32"/>
          <w:szCs w:val="32"/>
        </w:rPr>
      </w:pPr>
      <w:r>
        <w:rPr>
          <w:rFonts w:hint="eastAsia"/>
          <w:sz w:val="32"/>
          <w:szCs w:val="32"/>
        </w:rPr>
        <w:t>督促检查县政府各部门和各乡、镇人民政府对县政府决定事项及县政府领导指示的贯彻落实情况，及时向县政府领导报告。</w:t>
      </w:r>
    </w:p>
    <w:p>
      <w:pPr>
        <w:pStyle w:val="2"/>
        <w:adjustRightInd w:val="0"/>
        <w:snapToGrid w:val="0"/>
        <w:spacing w:before="93" w:line="560" w:lineRule="exact"/>
        <w:ind w:firstLine="640" w:firstLineChars="200"/>
        <w:rPr>
          <w:sz w:val="32"/>
          <w:szCs w:val="32"/>
        </w:rPr>
      </w:pPr>
      <w:r>
        <w:rPr>
          <w:rFonts w:hint="eastAsia"/>
          <w:sz w:val="32"/>
          <w:szCs w:val="32"/>
        </w:rPr>
        <w:t>负责县政府值班工作，指导各乡、镇人民政府和全县政府各部门值班工作，及时报告重要情况。</w:t>
      </w:r>
    </w:p>
    <w:p>
      <w:pPr>
        <w:widowControl/>
        <w:ind w:firstLine="640" w:firstLineChars="200"/>
        <w:jc w:val="left"/>
        <w:rPr>
          <w:rFonts w:ascii="仿宋_GB2312" w:hAnsi="仿宋_GB2312" w:eastAsia="仿宋_GB2312" w:cs="仿宋_GB2312"/>
          <w:color w:val="333333"/>
          <w:kern w:val="0"/>
          <w:sz w:val="32"/>
          <w:szCs w:val="32"/>
          <w:shd w:val="clear" w:color="auto" w:fill="FFFFFF"/>
        </w:rPr>
      </w:pPr>
      <w:r>
        <w:rPr>
          <w:rFonts w:hint="eastAsia" w:ascii="仿宋_GB2312" w:hAnsi="仿宋_GB2312" w:eastAsia="仿宋_GB2312" w:cs="仿宋_GB2312"/>
          <w:color w:val="333333"/>
          <w:kern w:val="0"/>
          <w:sz w:val="32"/>
          <w:szCs w:val="32"/>
          <w:shd w:val="clear" w:color="auto" w:fill="FFFFFF"/>
        </w:rPr>
        <w:t>指导、监督全县政府信息公开工作和机关行政效能建设工作，指导、监督全县政府系统电子政务工作和政府网站建设。</w:t>
      </w:r>
    </w:p>
    <w:p>
      <w:pPr>
        <w:pStyle w:val="2"/>
        <w:adjustRightInd w:val="0"/>
        <w:snapToGrid w:val="0"/>
        <w:spacing w:before="93" w:line="560" w:lineRule="exact"/>
        <w:ind w:firstLine="640" w:firstLineChars="200"/>
        <w:rPr>
          <w:sz w:val="32"/>
          <w:szCs w:val="32"/>
        </w:rPr>
      </w:pPr>
      <w:r>
        <w:rPr>
          <w:rFonts w:hint="eastAsia"/>
          <w:sz w:val="32"/>
          <w:szCs w:val="32"/>
        </w:rPr>
        <w:t>组织办理涉及县政府工作的人大代表议案、批评、建议和政协委员提案、建议案工作。</w:t>
      </w:r>
    </w:p>
    <w:p>
      <w:pPr>
        <w:pStyle w:val="2"/>
        <w:adjustRightInd w:val="0"/>
        <w:snapToGrid w:val="0"/>
        <w:spacing w:before="93" w:line="560" w:lineRule="exact"/>
        <w:ind w:firstLine="640" w:firstLineChars="200"/>
        <w:rPr>
          <w:sz w:val="32"/>
          <w:szCs w:val="32"/>
        </w:rPr>
      </w:pPr>
      <w:r>
        <w:rPr>
          <w:rFonts w:hint="eastAsia"/>
          <w:sz w:val="32"/>
          <w:szCs w:val="32"/>
        </w:rPr>
        <w:t>指导全县应急管理工作，协助县政府领导做好需由县政府组织处理的突发事件的应急处置工作。</w:t>
      </w:r>
    </w:p>
    <w:p>
      <w:pPr>
        <w:pStyle w:val="2"/>
        <w:adjustRightInd w:val="0"/>
        <w:snapToGrid w:val="0"/>
        <w:spacing w:before="93" w:line="560" w:lineRule="exact"/>
        <w:ind w:firstLine="640" w:firstLineChars="200"/>
        <w:rPr>
          <w:sz w:val="32"/>
          <w:szCs w:val="32"/>
        </w:rPr>
      </w:pPr>
      <w:r>
        <w:rPr>
          <w:rFonts w:hint="eastAsia"/>
          <w:sz w:val="32"/>
          <w:szCs w:val="32"/>
        </w:rPr>
        <w:t>围绕县政府中心工作和县政府领导的指示，组织专题调查研究，及时反映情况，提出政策性建议。</w:t>
      </w:r>
    </w:p>
    <w:p>
      <w:pPr>
        <w:pStyle w:val="2"/>
        <w:adjustRightInd w:val="0"/>
        <w:snapToGrid w:val="0"/>
        <w:spacing w:before="93" w:line="560" w:lineRule="exact"/>
        <w:ind w:firstLine="640" w:firstLineChars="200"/>
        <w:rPr>
          <w:sz w:val="32"/>
          <w:szCs w:val="32"/>
        </w:rPr>
      </w:pPr>
      <w:r>
        <w:rPr>
          <w:rFonts w:hint="eastAsia"/>
          <w:sz w:val="32"/>
          <w:szCs w:val="32"/>
        </w:rPr>
        <w:t>指导全县政务服务中心建设，组织全县各部门集中开展行政审批和公共服务。</w:t>
      </w:r>
    </w:p>
    <w:p>
      <w:pPr>
        <w:pStyle w:val="2"/>
        <w:adjustRightInd w:val="0"/>
        <w:snapToGrid w:val="0"/>
        <w:spacing w:before="93" w:line="560" w:lineRule="exact"/>
        <w:ind w:firstLine="640" w:firstLineChars="200"/>
        <w:rPr>
          <w:sz w:val="32"/>
          <w:szCs w:val="32"/>
        </w:rPr>
      </w:pPr>
      <w:r>
        <w:rPr>
          <w:rFonts w:hint="eastAsia"/>
          <w:sz w:val="32"/>
          <w:szCs w:val="32"/>
        </w:rPr>
        <w:t>负责县政府人民防空和民防工作，指导全县人民防空和民防工作。</w:t>
      </w:r>
    </w:p>
    <w:p>
      <w:pPr>
        <w:widowControl/>
        <w:ind w:firstLine="640" w:firstLineChars="200"/>
        <w:jc w:val="left"/>
        <w:rPr>
          <w:rFonts w:ascii="仿宋_GB2312" w:hAnsi="仿宋_GB2312" w:eastAsia="仿宋_GB2312" w:cs="仿宋_GB2312"/>
          <w:color w:val="333333"/>
          <w:kern w:val="0"/>
          <w:sz w:val="32"/>
          <w:szCs w:val="32"/>
          <w:shd w:val="clear" w:color="auto" w:fill="FFFFFF"/>
        </w:rPr>
      </w:pPr>
      <w:r>
        <w:rPr>
          <w:rFonts w:hint="eastAsia" w:ascii="仿宋_GB2312" w:hAnsi="仿宋_GB2312" w:eastAsia="仿宋_GB2312" w:cs="仿宋_GB2312"/>
          <w:color w:val="333333"/>
          <w:kern w:val="0"/>
          <w:sz w:val="32"/>
          <w:szCs w:val="32"/>
          <w:shd w:val="clear" w:color="auto" w:fill="FFFFFF"/>
        </w:rPr>
        <w:t>负责全县机关</w:t>
      </w:r>
      <w:r>
        <w:rPr>
          <w:rFonts w:hint="eastAsia" w:ascii="仿宋_GB2312" w:hAnsi="仿宋_GB2312" w:eastAsia="仿宋_GB2312" w:cs="仿宋_GB2312"/>
          <w:color w:val="333333"/>
          <w:kern w:val="0"/>
          <w:sz w:val="32"/>
          <w:szCs w:val="32"/>
          <w:shd w:val="clear" w:color="auto" w:fill="FFFFFF"/>
          <w:lang w:eastAsia="zh-CN"/>
        </w:rPr>
        <w:t>事务工作，开展机关节能单位创建，对</w:t>
      </w:r>
      <w:r>
        <w:rPr>
          <w:rFonts w:hint="eastAsia" w:ascii="仿宋_GB2312" w:hAnsi="仿宋_GB2312" w:eastAsia="仿宋_GB2312" w:cs="仿宋_GB2312"/>
          <w:color w:val="333333"/>
          <w:kern w:val="0"/>
          <w:sz w:val="32"/>
          <w:szCs w:val="32"/>
          <w:shd w:val="clear" w:color="auto" w:fill="FFFFFF"/>
        </w:rPr>
        <w:t>事业单位小汽车编制</w:t>
      </w:r>
      <w:r>
        <w:rPr>
          <w:rFonts w:hint="eastAsia" w:ascii="仿宋_GB2312" w:hAnsi="仿宋_GB2312" w:eastAsia="仿宋_GB2312" w:cs="仿宋_GB2312"/>
          <w:color w:val="333333"/>
          <w:kern w:val="0"/>
          <w:sz w:val="32"/>
          <w:szCs w:val="32"/>
          <w:shd w:val="clear" w:color="auto" w:fill="FFFFFF"/>
          <w:lang w:eastAsia="zh-CN"/>
        </w:rPr>
        <w:t>进行</w:t>
      </w:r>
      <w:r>
        <w:rPr>
          <w:rFonts w:hint="eastAsia" w:ascii="仿宋_GB2312" w:hAnsi="仿宋_GB2312" w:eastAsia="仿宋_GB2312" w:cs="仿宋_GB2312"/>
          <w:color w:val="333333"/>
          <w:kern w:val="0"/>
          <w:sz w:val="32"/>
          <w:szCs w:val="32"/>
          <w:shd w:val="clear" w:color="auto" w:fill="FFFFFF"/>
        </w:rPr>
        <w:t>审核报批事项。</w:t>
      </w:r>
    </w:p>
    <w:p>
      <w:pPr>
        <w:widowControl/>
        <w:ind w:firstLine="640" w:firstLineChars="200"/>
        <w:jc w:val="left"/>
        <w:rPr>
          <w:rFonts w:hint="eastAsia"/>
          <w:bCs/>
          <w:sz w:val="32"/>
          <w:szCs w:val="32"/>
          <w:lang w:eastAsia="zh-CN"/>
        </w:rPr>
      </w:pPr>
      <w:r>
        <w:rPr>
          <w:rFonts w:hint="eastAsia" w:ascii="仿宋_GB2312" w:hAnsi="仿宋_GB2312" w:eastAsia="仿宋_GB2312" w:cs="仿宋_GB2312"/>
          <w:color w:val="333333"/>
          <w:kern w:val="0"/>
          <w:sz w:val="32"/>
          <w:szCs w:val="32"/>
          <w:shd w:val="clear" w:color="auto" w:fill="FFFFFF"/>
        </w:rPr>
        <w:t>承办县政府和县政府领导交办的其他事项。</w:t>
      </w:r>
    </w:p>
    <w:p>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74" w:firstLineChars="210"/>
        <w:textAlignment w:val="auto"/>
        <w:rPr>
          <w:rFonts w:hint="eastAsia" w:ascii="楷体_GB2312" w:hAnsi="楷体_GB2312" w:eastAsia="楷体_GB2312" w:cs="楷体_GB2312"/>
          <w:b/>
          <w:bCs w:val="0"/>
          <w:sz w:val="32"/>
          <w:szCs w:val="32"/>
          <w:lang w:eastAsia="zh-CN"/>
        </w:rPr>
      </w:pPr>
      <w:r>
        <w:rPr>
          <w:rFonts w:hint="eastAsia" w:ascii="楷体_GB2312" w:hAnsi="楷体_GB2312" w:eastAsia="楷体_GB2312" w:cs="楷体_GB2312"/>
          <w:b/>
          <w:bCs w:val="0"/>
          <w:sz w:val="32"/>
          <w:szCs w:val="32"/>
          <w:lang w:eastAsia="zh-CN"/>
        </w:rPr>
        <w:t>（二）202</w:t>
      </w:r>
      <w:r>
        <w:rPr>
          <w:rFonts w:hint="default" w:ascii="楷体_GB2312" w:hAnsi="楷体_GB2312" w:eastAsia="楷体_GB2312" w:cs="楷体_GB2312"/>
          <w:b/>
          <w:bCs w:val="0"/>
          <w:sz w:val="32"/>
          <w:szCs w:val="32"/>
          <w:lang w:val="en-US" w:eastAsia="zh-CN"/>
        </w:rPr>
        <w:t>6</w:t>
      </w:r>
      <w:r>
        <w:rPr>
          <w:rFonts w:hint="eastAsia" w:ascii="楷体_GB2312" w:hAnsi="楷体_GB2312" w:eastAsia="楷体_GB2312" w:cs="楷体_GB2312"/>
          <w:b/>
          <w:bCs w:val="0"/>
          <w:sz w:val="32"/>
          <w:szCs w:val="32"/>
          <w:lang w:eastAsia="zh-CN"/>
        </w:rPr>
        <w:t>年重点工作任务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rPr>
      </w:pPr>
      <w:r>
        <w:rPr>
          <w:rFonts w:hint="default" w:ascii="Times New Roman" w:hAnsi="Times New Roman" w:eastAsia="仿宋" w:cs="Times New Roman"/>
          <w:sz w:val="32"/>
          <w:szCs w:val="32"/>
        </w:rPr>
        <w:t>2026</w:t>
      </w:r>
      <w:r>
        <w:rPr>
          <w:rFonts w:hint="eastAsia" w:ascii="仿宋" w:hAnsi="仿宋" w:eastAsia="仿宋" w:cs="仿宋"/>
          <w:sz w:val="32"/>
          <w:szCs w:val="32"/>
        </w:rPr>
        <w:t>年是“十五五”规划开局之年，也是推动红原县高质量发展的关键一年。红原县人民政府办公室将坚持以政治建设为根本，始终把忠诚履职贯穿政务服务全过程，紧扣“十五五”规划开局部署，围绕全县经济社会发展核心目标，聚焦能力提升、效能优化、服务提质，着力破解工作瓶颈、补齐能力短板，全面强化参谋辅政的前瞻性、统筹协调的系统性、督查落实的实效性、服务保障的精细化、队伍建设的专业化，着力打造模范机关，推动政务服务工作提质增效、争先进位，确保县委、县政府各项决策部署落地落细、见行见效。</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rPr>
        <w:t>（一）聚焦参谋辅政提质，筑牢科学决策支撑</w:t>
      </w:r>
      <w:r>
        <w:rPr>
          <w:rFonts w:hint="eastAsia" w:ascii="楷体" w:hAnsi="楷体" w:eastAsia="楷体" w:cs="楷体"/>
          <w:b/>
          <w:bCs/>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rPr>
      </w:pPr>
      <w:r>
        <w:rPr>
          <w:rFonts w:hint="default" w:ascii="Times New Roman" w:hAnsi="Times New Roman" w:eastAsia="仿宋" w:cs="Times New Roman"/>
          <w:sz w:val="32"/>
          <w:szCs w:val="32"/>
        </w:rPr>
        <w:t>1</w:t>
      </w:r>
      <w:r>
        <w:rPr>
          <w:rFonts w:hint="eastAsia" w:ascii="仿宋" w:hAnsi="仿宋" w:eastAsia="仿宋" w:cs="仿宋"/>
          <w:sz w:val="32"/>
          <w:szCs w:val="32"/>
        </w:rPr>
        <w:t>.精准开展专题调研。围绕牦牛全产业链提质、纯绿电清洁能源基地建设、文旅融合高质量发展、城乡融合发展、民生福祉提升等重点领域，采取实地走访、座谈交流、数据分析等方式，深入基层一线开展调研研判，聚焦发展堵点、基层难点、群众痛点，形成高质量调研</w:t>
      </w:r>
      <w:r>
        <w:rPr>
          <w:rFonts w:hint="eastAsia" w:ascii="仿宋" w:hAnsi="仿宋" w:eastAsia="仿宋" w:cs="仿宋"/>
          <w:sz w:val="32"/>
          <w:szCs w:val="32"/>
          <w:lang w:eastAsia="zh-CN"/>
        </w:rPr>
        <w:t>报告</w:t>
      </w:r>
      <w:r>
        <w:rPr>
          <w:rFonts w:hint="eastAsia" w:ascii="仿宋" w:hAnsi="仿宋" w:eastAsia="仿宋" w:cs="仿宋"/>
          <w:sz w:val="32"/>
          <w:szCs w:val="32"/>
        </w:rPr>
        <w:t>，提出切实可行、贴合实际的对策建议，为决策部署提供有力支撑。</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rPr>
      </w:pPr>
      <w:r>
        <w:rPr>
          <w:rFonts w:hint="default" w:ascii="Times New Roman" w:hAnsi="Times New Roman" w:eastAsia="仿宋" w:cs="Times New Roman"/>
          <w:sz w:val="32"/>
          <w:szCs w:val="32"/>
        </w:rPr>
        <w:t>2</w:t>
      </w:r>
      <w:r>
        <w:rPr>
          <w:rFonts w:hint="eastAsia" w:ascii="仿宋" w:hAnsi="仿宋" w:eastAsia="仿宋" w:cs="仿宋"/>
          <w:sz w:val="32"/>
          <w:szCs w:val="32"/>
        </w:rPr>
        <w:t>.精心打磨文稿精品。严格遵循公文处理规范，聚焦文稿政治性、针对性、实效性和地方特色，精准完成政府工作报告、常务会议材料、政策性文件、工作汇报等各类文稿，严把起草、审核、修改各环节，力求文稿精炼务实、重点突出、贴合红原发展实际，确保政令传达精准、工作部署明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rPr>
      </w:pPr>
      <w:r>
        <w:rPr>
          <w:rFonts w:hint="default" w:ascii="Times New Roman" w:hAnsi="Times New Roman" w:eastAsia="仿宋" w:cs="Times New Roman"/>
          <w:sz w:val="32"/>
          <w:szCs w:val="32"/>
        </w:rPr>
        <w:t>3</w:t>
      </w:r>
      <w:r>
        <w:rPr>
          <w:rFonts w:hint="eastAsia" w:ascii="仿宋" w:hAnsi="仿宋" w:eastAsia="仿宋" w:cs="仿宋"/>
          <w:sz w:val="32"/>
          <w:szCs w:val="32"/>
        </w:rPr>
        <w:t>.优化政务信息报送。健全信息搜集、审核、报送工作机制，拓宽信息来源渠道，聚焦经济运行、项目建设、生态保护、安全稳定、民生实事等重点工作，精准捕捉工作亮点、及时反映工作动态，</w:t>
      </w:r>
      <w:r>
        <w:rPr>
          <w:rFonts w:hint="eastAsia" w:ascii="仿宋" w:hAnsi="仿宋" w:eastAsia="仿宋" w:cs="仿宋"/>
          <w:sz w:val="32"/>
          <w:szCs w:val="32"/>
          <w:lang w:eastAsia="zh-CN"/>
        </w:rPr>
        <w:t>积极</w:t>
      </w:r>
      <w:r>
        <w:rPr>
          <w:rFonts w:hint="eastAsia" w:ascii="仿宋" w:hAnsi="仿宋" w:eastAsia="仿宋" w:cs="仿宋"/>
          <w:sz w:val="32"/>
          <w:szCs w:val="32"/>
        </w:rPr>
        <w:t>向上报送信息</w:t>
      </w:r>
      <w:r>
        <w:rPr>
          <w:rFonts w:hint="eastAsia" w:ascii="仿宋" w:hAnsi="仿宋" w:eastAsia="仿宋" w:cs="仿宋"/>
          <w:sz w:val="32"/>
          <w:szCs w:val="32"/>
          <w:lang w:eastAsia="zh-CN"/>
        </w:rPr>
        <w:t>简报</w:t>
      </w:r>
      <w:r>
        <w:rPr>
          <w:rFonts w:hint="eastAsia" w:ascii="仿宋" w:hAnsi="仿宋" w:eastAsia="仿宋" w:cs="仿宋"/>
          <w:sz w:val="32"/>
          <w:szCs w:val="32"/>
        </w:rPr>
        <w:t>，着力提升信息报送质量，力争更多信息获得省、州认可，充分发挥信息辅政作用。</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rPr>
        <w:t>（二）聚焦统筹协调提效，保障政务有序运转</w:t>
      </w:r>
      <w:r>
        <w:rPr>
          <w:rFonts w:hint="eastAsia" w:ascii="楷体" w:hAnsi="楷体" w:eastAsia="楷体" w:cs="楷体"/>
          <w:b/>
          <w:bCs/>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rPr>
      </w:pPr>
      <w:r>
        <w:rPr>
          <w:rFonts w:hint="default" w:ascii="Times New Roman" w:hAnsi="Times New Roman" w:eastAsia="仿宋" w:cs="Times New Roman"/>
          <w:sz w:val="32"/>
          <w:szCs w:val="32"/>
        </w:rPr>
        <w:t>1</w:t>
      </w:r>
      <w:r>
        <w:rPr>
          <w:rFonts w:hint="eastAsia" w:ascii="仿宋" w:hAnsi="仿宋" w:eastAsia="仿宋" w:cs="仿宋"/>
          <w:sz w:val="32"/>
          <w:szCs w:val="32"/>
        </w:rPr>
        <w:t>.规范会议活动管控。严格执行会议审批制度，坚持“能合并不单独、能精简不冗余”原则，合理压缩会议数量和时长，优化会议组织流程，细化议题审核、材料准备、纪要印发、事项督办等环节，提升会议实效，推动会议部署快速落地见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rPr>
      </w:pPr>
      <w:r>
        <w:rPr>
          <w:rFonts w:hint="default" w:ascii="Times New Roman" w:hAnsi="Times New Roman" w:eastAsia="仿宋" w:cs="Times New Roman"/>
          <w:sz w:val="32"/>
          <w:szCs w:val="32"/>
        </w:rPr>
        <w:t>2</w:t>
      </w:r>
      <w:r>
        <w:rPr>
          <w:rFonts w:hint="eastAsia" w:ascii="仿宋" w:hAnsi="仿宋" w:eastAsia="仿宋" w:cs="仿宋"/>
          <w:sz w:val="32"/>
          <w:szCs w:val="32"/>
        </w:rPr>
        <w:t>.提升公文处理质效。推进公文处理数字化、规范化建设，优化公文收、发、办、存、归档全流程流转机制，简化办理环节、压缩办理时限，严格落实公文审核把关制度，杜绝公文积压、延误、错办等问题，实现公文处理零差错、高效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rPr>
      </w:pPr>
      <w:r>
        <w:rPr>
          <w:rFonts w:hint="default" w:ascii="Times New Roman" w:hAnsi="Times New Roman" w:eastAsia="仿宋" w:cs="Times New Roman"/>
          <w:sz w:val="32"/>
          <w:szCs w:val="32"/>
        </w:rPr>
        <w:t>3</w:t>
      </w:r>
      <w:r>
        <w:rPr>
          <w:rFonts w:hint="eastAsia" w:ascii="仿宋" w:hAnsi="仿宋" w:eastAsia="仿宋" w:cs="仿宋"/>
          <w:sz w:val="32"/>
          <w:szCs w:val="32"/>
        </w:rPr>
        <w:t>.强化协同联动保障。健全与</w:t>
      </w:r>
      <w:r>
        <w:rPr>
          <w:rFonts w:hint="eastAsia" w:ascii="仿宋" w:hAnsi="仿宋" w:eastAsia="仿宋" w:cs="仿宋"/>
          <w:sz w:val="32"/>
          <w:szCs w:val="32"/>
          <w:lang w:eastAsia="zh-CN"/>
        </w:rPr>
        <w:t>各单位</w:t>
      </w:r>
      <w:r>
        <w:rPr>
          <w:rFonts w:hint="eastAsia" w:ascii="仿宋" w:hAnsi="仿宋" w:eastAsia="仿宋" w:cs="仿宋"/>
          <w:sz w:val="32"/>
          <w:szCs w:val="32"/>
        </w:rPr>
        <w:t>的常态化沟通协作机制，加强工作衔接，主动对接、靠前协调，</w:t>
      </w:r>
      <w:r>
        <w:rPr>
          <w:rFonts w:hint="eastAsia" w:ascii="仿宋" w:hAnsi="仿宋" w:eastAsia="仿宋" w:cs="仿宋"/>
          <w:sz w:val="32"/>
          <w:szCs w:val="32"/>
          <w:lang w:eastAsia="zh-CN"/>
        </w:rPr>
        <w:t>高质量</w:t>
      </w:r>
      <w:r>
        <w:rPr>
          <w:rFonts w:hint="eastAsia" w:ascii="仿宋" w:hAnsi="仿宋" w:eastAsia="仿宋" w:cs="仿宋"/>
          <w:sz w:val="32"/>
          <w:szCs w:val="32"/>
        </w:rPr>
        <w:t>协调推进重大项目、重要会议、重点工作等事项，及时化解工作衔接中的难点堵点，确保政令畅通、协同发力、高效推进。</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eastAsia" w:ascii="仿宋" w:hAnsi="仿宋" w:eastAsia="仿宋" w:cs="仿宋"/>
          <w:sz w:val="32"/>
          <w:szCs w:val="32"/>
        </w:rPr>
      </w:pPr>
      <w:r>
        <w:rPr>
          <w:rFonts w:hint="eastAsia" w:ascii="楷体" w:hAnsi="楷体" w:eastAsia="楷体" w:cs="楷体"/>
          <w:b/>
          <w:bCs/>
          <w:sz w:val="32"/>
          <w:szCs w:val="32"/>
        </w:rPr>
        <w:t>（三）聚焦督查落实提劲，推动工作落地见效</w:t>
      </w:r>
      <w:r>
        <w:rPr>
          <w:rFonts w:hint="eastAsia" w:ascii="楷体" w:hAnsi="楷体" w:eastAsia="楷体" w:cs="楷体"/>
          <w:b/>
          <w:bCs/>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rPr>
      </w:pPr>
      <w:r>
        <w:rPr>
          <w:rFonts w:hint="default" w:ascii="Times New Roman" w:hAnsi="Times New Roman" w:eastAsia="仿宋" w:cs="Times New Roman"/>
          <w:sz w:val="32"/>
          <w:szCs w:val="32"/>
        </w:rPr>
        <w:t>1</w:t>
      </w:r>
      <w:r>
        <w:rPr>
          <w:rFonts w:hint="eastAsia" w:ascii="仿宋" w:hAnsi="仿宋" w:eastAsia="仿宋" w:cs="仿宋"/>
          <w:sz w:val="32"/>
          <w:szCs w:val="32"/>
        </w:rPr>
        <w:t>.精准开展专项督查。围绕县政府</w:t>
      </w:r>
      <w:r>
        <w:rPr>
          <w:rFonts w:hint="default" w:ascii="Times New Roman" w:hAnsi="Times New Roman" w:eastAsia="仿宋" w:cs="Times New Roman"/>
          <w:sz w:val="32"/>
          <w:szCs w:val="32"/>
        </w:rPr>
        <w:t>2026</w:t>
      </w:r>
      <w:r>
        <w:rPr>
          <w:rFonts w:hint="eastAsia" w:ascii="仿宋" w:hAnsi="仿宋" w:eastAsia="仿宋" w:cs="仿宋"/>
          <w:sz w:val="32"/>
          <w:szCs w:val="32"/>
        </w:rPr>
        <w:t>年重点工作、重大项目、民生实事，建立“清单化管理、项目化推进、常态化督查、销号式整改”工作机制，重点围绕</w:t>
      </w:r>
      <w:r>
        <w:rPr>
          <w:rFonts w:hint="eastAsia" w:ascii="仿宋" w:hAnsi="仿宋" w:eastAsia="仿宋" w:cs="仿宋"/>
          <w:sz w:val="32"/>
          <w:szCs w:val="32"/>
          <w:lang w:eastAsia="zh-CN"/>
        </w:rPr>
        <w:t>城市更新（二期）</w:t>
      </w:r>
      <w:r>
        <w:rPr>
          <w:rFonts w:hint="eastAsia" w:ascii="仿宋" w:hAnsi="仿宋" w:eastAsia="仿宋" w:cs="仿宋"/>
          <w:sz w:val="32"/>
          <w:szCs w:val="32"/>
        </w:rPr>
        <w:t>、</w:t>
      </w:r>
      <w:r>
        <w:rPr>
          <w:rFonts w:hint="eastAsia" w:ascii="仿宋" w:hAnsi="仿宋" w:eastAsia="仿宋" w:cs="仿宋"/>
          <w:sz w:val="32"/>
          <w:szCs w:val="32"/>
          <w:lang w:val="en-US" w:eastAsia="zh-CN"/>
        </w:rPr>
        <w:t>G248过境段改造</w:t>
      </w:r>
      <w:r>
        <w:rPr>
          <w:rFonts w:hint="eastAsia" w:ascii="仿宋" w:hAnsi="仿宋" w:eastAsia="仿宋" w:cs="仿宋"/>
          <w:sz w:val="32"/>
          <w:szCs w:val="32"/>
        </w:rPr>
        <w:t>、安曲</w:t>
      </w:r>
      <w:r>
        <w:rPr>
          <w:rFonts w:hint="default" w:ascii="Times New Roman" w:hAnsi="Times New Roman" w:eastAsia="仿宋" w:cs="Times New Roman"/>
          <w:sz w:val="32"/>
          <w:szCs w:val="32"/>
        </w:rPr>
        <w:t>75</w:t>
      </w:r>
      <w:r>
        <w:rPr>
          <w:rFonts w:hint="eastAsia" w:ascii="仿宋" w:hAnsi="仿宋" w:eastAsia="仿宋" w:cs="仿宋"/>
          <w:sz w:val="32"/>
          <w:szCs w:val="32"/>
        </w:rPr>
        <w:t>万千瓦光伏二期等重大项目建设，以及畜牧产业转型、文旅融合、城乡环境整治、民生保障等重点工作，</w:t>
      </w:r>
      <w:r>
        <w:rPr>
          <w:rFonts w:hint="eastAsia" w:ascii="仿宋" w:hAnsi="仿宋" w:eastAsia="仿宋" w:cs="仿宋"/>
          <w:sz w:val="32"/>
          <w:szCs w:val="32"/>
          <w:lang w:eastAsia="zh-CN"/>
        </w:rPr>
        <w:t>常态化</w:t>
      </w:r>
      <w:r>
        <w:rPr>
          <w:rFonts w:hint="eastAsia" w:ascii="仿宋" w:hAnsi="仿宋" w:eastAsia="仿宋" w:cs="仿宋"/>
          <w:sz w:val="32"/>
          <w:szCs w:val="32"/>
        </w:rPr>
        <w:t>开展专项督查，确保督查靶向精准、直击要害。</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rPr>
      </w:pPr>
      <w:r>
        <w:rPr>
          <w:rFonts w:hint="default" w:ascii="Times New Roman" w:hAnsi="Times New Roman" w:eastAsia="仿宋" w:cs="Times New Roman"/>
          <w:sz w:val="32"/>
          <w:szCs w:val="32"/>
        </w:rPr>
        <w:t>2</w:t>
      </w:r>
      <w:r>
        <w:rPr>
          <w:rFonts w:hint="eastAsia" w:ascii="仿宋" w:hAnsi="仿宋" w:eastAsia="仿宋" w:cs="仿宋"/>
          <w:sz w:val="32"/>
          <w:szCs w:val="32"/>
        </w:rPr>
        <w:t>.健全闭环整改机制。对督查发现的问题，分类建立整改台账，明确整改责任、整改时限、整改措施，实行“销号管理+回头看”制度，坚决杜绝整改流于形式、敷衍塞责，推动各项工作落地落细、见实见效。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rPr>
      </w:pPr>
      <w:r>
        <w:rPr>
          <w:rFonts w:hint="default" w:ascii="Times New Roman" w:hAnsi="Times New Roman" w:eastAsia="仿宋" w:cs="Times New Roman"/>
          <w:sz w:val="32"/>
          <w:szCs w:val="32"/>
        </w:rPr>
        <w:t>3</w:t>
      </w:r>
      <w:r>
        <w:rPr>
          <w:rFonts w:hint="eastAsia" w:ascii="仿宋" w:hAnsi="仿宋" w:eastAsia="仿宋" w:cs="仿宋"/>
          <w:sz w:val="32"/>
          <w:szCs w:val="32"/>
        </w:rPr>
        <w:t>.提升建议提案办理质量。坚持“以人为本、实事求是”原则，规范人大代表建议和政协委员提案办理流程，加强与代表委员的沟通对接，主动征求意见建议，注重办理实效，推动建议提案办理从“按期办结”向“优质办好”转变，确保办复率、满意率均保持</w:t>
      </w:r>
      <w:r>
        <w:rPr>
          <w:rFonts w:hint="default" w:ascii="Times New Roman" w:hAnsi="Times New Roman" w:eastAsia="仿宋" w:cs="Times New Roman"/>
          <w:sz w:val="32"/>
          <w:szCs w:val="32"/>
        </w:rPr>
        <w:t>100</w:t>
      </w:r>
      <w:r>
        <w:rPr>
          <w:rFonts w:hint="eastAsia" w:ascii="仿宋" w:hAnsi="仿宋" w:eastAsia="仿宋" w:cs="仿宋"/>
          <w:sz w:val="32"/>
          <w:szCs w:val="32"/>
        </w:rPr>
        <w:t>%，切实把代表委员的意见建议转化为推动工作的具体举措。</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rPr>
        <w:t>（四）聚焦服务保障提档，增进群众民生福祉</w:t>
      </w:r>
      <w:r>
        <w:rPr>
          <w:rFonts w:hint="eastAsia" w:ascii="楷体" w:hAnsi="楷体" w:eastAsia="楷体" w:cs="楷体"/>
          <w:b/>
          <w:bCs/>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rPr>
      </w:pPr>
      <w:r>
        <w:rPr>
          <w:rFonts w:hint="default" w:ascii="Times New Roman" w:hAnsi="Times New Roman" w:eastAsia="仿宋" w:cs="Times New Roman"/>
          <w:sz w:val="32"/>
          <w:szCs w:val="32"/>
        </w:rPr>
        <w:t>1</w:t>
      </w:r>
      <w:r>
        <w:rPr>
          <w:rFonts w:hint="eastAsia" w:ascii="仿宋" w:hAnsi="仿宋" w:eastAsia="仿宋" w:cs="仿宋"/>
          <w:sz w:val="32"/>
          <w:szCs w:val="32"/>
        </w:rPr>
        <w:t>.优化政务服务供给。推动更多政务服务事项“一网通办”，进一步压缩群众办事时限、提升办事效率。优化</w:t>
      </w:r>
      <w:r>
        <w:rPr>
          <w:rFonts w:hint="default" w:ascii="Times New Roman" w:hAnsi="Times New Roman" w:eastAsia="仿宋" w:cs="Times New Roman"/>
          <w:sz w:val="32"/>
          <w:szCs w:val="32"/>
        </w:rPr>
        <w:t>12345</w:t>
      </w:r>
      <w:r>
        <w:rPr>
          <w:rFonts w:hint="eastAsia" w:ascii="仿宋" w:hAnsi="仿宋" w:eastAsia="仿宋" w:cs="仿宋"/>
          <w:sz w:val="32"/>
          <w:szCs w:val="32"/>
        </w:rPr>
        <w:t>政务服务便民热线办理机制，健全诉求受理、转办、督办、反馈全流程闭环管理，确保办结率、满意率均保持</w:t>
      </w:r>
      <w:r>
        <w:rPr>
          <w:rFonts w:hint="default" w:ascii="Times New Roman" w:hAnsi="Times New Roman" w:eastAsia="仿宋" w:cs="Times New Roman"/>
          <w:sz w:val="32"/>
          <w:szCs w:val="32"/>
        </w:rPr>
        <w:t>100</w:t>
      </w:r>
      <w:r>
        <w:rPr>
          <w:rFonts w:hint="eastAsia" w:ascii="仿宋" w:hAnsi="仿宋" w:eastAsia="仿宋" w:cs="仿宋"/>
          <w:sz w:val="32"/>
          <w:szCs w:val="32"/>
        </w:rPr>
        <w:t>%，切实解决群众急难愁盼问题。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rPr>
      </w:pPr>
      <w:r>
        <w:rPr>
          <w:rFonts w:hint="default" w:ascii="Times New Roman" w:hAnsi="Times New Roman" w:eastAsia="仿宋" w:cs="Times New Roman"/>
          <w:sz w:val="32"/>
          <w:szCs w:val="32"/>
        </w:rPr>
        <w:t>2</w:t>
      </w:r>
      <w:r>
        <w:rPr>
          <w:rFonts w:hint="eastAsia" w:ascii="仿宋" w:hAnsi="仿宋" w:eastAsia="仿宋" w:cs="仿宋"/>
          <w:sz w:val="32"/>
          <w:szCs w:val="32"/>
        </w:rPr>
        <w:t>.细化机关后勤保障。严格落实“过紧日子”要求，进一步压缩一般性支出和“三公”经费，规范公务接待、公车管理、办公用品采购、机关节能等工作，提升后勤服务精细化、规范化水平，全力保障县政府机关正常高效运行；扎实推进机关事务管理提质，有序开展节能单位创建，规范单位</w:t>
      </w:r>
      <w:r>
        <w:rPr>
          <w:rFonts w:hint="eastAsia" w:ascii="仿宋" w:hAnsi="仿宋" w:eastAsia="仿宋" w:cs="仿宋"/>
          <w:sz w:val="32"/>
          <w:szCs w:val="32"/>
          <w:lang w:eastAsia="zh-CN"/>
        </w:rPr>
        <w:t>车辆</w:t>
      </w:r>
      <w:r>
        <w:rPr>
          <w:rFonts w:hint="eastAsia" w:ascii="仿宋" w:hAnsi="仿宋" w:eastAsia="仿宋" w:cs="仿宋"/>
          <w:sz w:val="32"/>
          <w:szCs w:val="32"/>
        </w:rPr>
        <w:t>编制审核报批工作。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rPr>
      </w:pPr>
      <w:r>
        <w:rPr>
          <w:rFonts w:hint="default" w:ascii="Times New Roman" w:hAnsi="Times New Roman" w:eastAsia="仿宋" w:cs="Times New Roman"/>
          <w:sz w:val="32"/>
          <w:szCs w:val="32"/>
        </w:rPr>
        <w:t>3</w:t>
      </w:r>
      <w:r>
        <w:rPr>
          <w:rFonts w:hint="eastAsia" w:ascii="仿宋" w:hAnsi="仿宋" w:eastAsia="仿宋" w:cs="仿宋"/>
          <w:sz w:val="32"/>
          <w:szCs w:val="32"/>
        </w:rPr>
        <w:t>.强化应急处置能力。严格落实</w:t>
      </w:r>
      <w:r>
        <w:rPr>
          <w:rFonts w:hint="default" w:ascii="Times New Roman" w:hAnsi="Times New Roman" w:eastAsia="仿宋" w:cs="Times New Roman"/>
          <w:sz w:val="32"/>
          <w:szCs w:val="32"/>
        </w:rPr>
        <w:t>24</w:t>
      </w:r>
      <w:r>
        <w:rPr>
          <w:rFonts w:hint="eastAsia" w:ascii="仿宋" w:hAnsi="仿宋" w:eastAsia="仿宋" w:cs="仿宋"/>
          <w:sz w:val="32"/>
          <w:szCs w:val="32"/>
        </w:rPr>
        <w:t>小时值班和领导带班制度，健全值班信息报送机制，规范突发事件应急处置流程，协助县政府领导做好突发公共事件统筹协调、应急处置工作，加强应急物资储备和应急演练衔接，提升突发公共事件快速响应、协同处置能力，全力保障群众生命财产安全和社会稳定。</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rPr>
        <w:t>（五）聚焦自身建设提能，锻造过硬干部队伍</w:t>
      </w:r>
      <w:r>
        <w:rPr>
          <w:rFonts w:hint="eastAsia" w:ascii="楷体" w:hAnsi="楷体" w:eastAsia="楷体" w:cs="楷体"/>
          <w:b/>
          <w:bCs/>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rPr>
      </w:pPr>
      <w:r>
        <w:rPr>
          <w:rFonts w:hint="default" w:ascii="Times New Roman" w:hAnsi="Times New Roman" w:eastAsia="仿宋" w:cs="Times New Roman"/>
          <w:sz w:val="32"/>
          <w:szCs w:val="32"/>
        </w:rPr>
        <w:t>1</w:t>
      </w:r>
      <w:r>
        <w:rPr>
          <w:rFonts w:hint="eastAsia" w:ascii="仿宋" w:hAnsi="仿宋" w:eastAsia="仿宋" w:cs="仿宋"/>
          <w:sz w:val="32"/>
          <w:szCs w:val="32"/>
        </w:rPr>
        <w:t>.提升专业履职能力。围绕文稿起草、调研分析、督查落实、公文处理、应急处置等核心业务，开展针对性业务培训</w:t>
      </w:r>
      <w:r>
        <w:rPr>
          <w:rFonts w:hint="eastAsia" w:ascii="仿宋" w:hAnsi="仿宋" w:eastAsia="仿宋" w:cs="仿宋"/>
          <w:sz w:val="32"/>
          <w:szCs w:val="32"/>
          <w:lang w:eastAsia="zh-CN"/>
        </w:rPr>
        <w:t>，</w:t>
      </w:r>
      <w:r>
        <w:rPr>
          <w:rFonts w:hint="eastAsia" w:ascii="仿宋" w:hAnsi="仿宋" w:eastAsia="仿宋" w:cs="仿宋"/>
          <w:sz w:val="32"/>
          <w:szCs w:val="32"/>
        </w:rPr>
        <w:t>鼓励干部职工加强政策学习和实践锻炼，补齐能力短板、提升专业素养，着力打造“提笔能写、开口能讲、遇事能办”的复合型干部队伍。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rPr>
      </w:pPr>
      <w:r>
        <w:rPr>
          <w:rFonts w:hint="eastAsia" w:ascii="Times New Roman" w:hAnsi="Times New Roman" w:eastAsia="仿宋" w:cs="Times New Roman"/>
          <w:sz w:val="32"/>
          <w:szCs w:val="32"/>
          <w:lang w:val="en-US" w:eastAsia="zh-CN"/>
        </w:rPr>
        <w:t>2</w:t>
      </w:r>
      <w:r>
        <w:rPr>
          <w:rFonts w:hint="eastAsia" w:ascii="仿宋" w:hAnsi="仿宋" w:eastAsia="仿宋" w:cs="仿宋"/>
          <w:sz w:val="32"/>
          <w:szCs w:val="32"/>
        </w:rPr>
        <w:t>.锤炼求真务实作风。持续整治形式主义、官僚主义，坚决落实为基层减负各项要求，精简文件会议、规范督查检查考核，着力培育求真务实、真抓实干、廉洁高效的工作作风，严格落实中央八项规定及其实施细则精神，坚决杜绝“四风”问题反弹回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rPr>
      </w:pPr>
      <w:r>
        <w:rPr>
          <w:rFonts w:hint="eastAsia" w:ascii="Times New Roman" w:hAnsi="Times New Roman" w:eastAsia="仿宋" w:cs="Times New Roman"/>
          <w:sz w:val="32"/>
          <w:szCs w:val="32"/>
          <w:lang w:val="en-US" w:eastAsia="zh-CN"/>
        </w:rPr>
        <w:t>3</w:t>
      </w:r>
      <w:r>
        <w:rPr>
          <w:rFonts w:hint="eastAsia" w:ascii="仿宋" w:hAnsi="仿宋" w:eastAsia="仿宋" w:cs="仿宋"/>
          <w:sz w:val="32"/>
          <w:szCs w:val="32"/>
        </w:rPr>
        <w:t>.筑牢廉洁自律防线。严格落实党风廉政建设责任制，层层压实廉政责任，常态化开展廉政警示教育，强化重点岗位、关键环节廉政风险防控，引导干部职工知敬畏、存戒惧、守底线，营造风清气正、干事创业的良好政治生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三、保障措施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rPr>
      </w:pPr>
      <w:r>
        <w:rPr>
          <w:rFonts w:hint="eastAsia" w:ascii="Times New Roman" w:hAnsi="Times New Roman" w:eastAsia="仿宋" w:cs="Times New Roman"/>
          <w:sz w:val="32"/>
          <w:szCs w:val="32"/>
          <w:lang w:val="en-US" w:eastAsia="zh-CN"/>
        </w:rPr>
        <w:t>1</w:t>
      </w:r>
      <w:r>
        <w:rPr>
          <w:rFonts w:hint="eastAsia" w:ascii="仿宋" w:hAnsi="仿宋" w:eastAsia="仿宋" w:cs="仿宋"/>
          <w:sz w:val="32"/>
          <w:szCs w:val="32"/>
        </w:rPr>
        <w:t>.严格督查督办。建立工作计划落实常态化督查机制，定期对各项工作任务推进情况进行督查检查，及时发现问题、督促整改，对工作推进不力、进展缓慢、落实不到位的股室和个人，严肃通报批评、督促限期整改，确保各项工作按时保质完成。</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rPr>
      </w:pPr>
      <w:r>
        <w:rPr>
          <w:rFonts w:hint="eastAsia" w:ascii="Times New Roman" w:hAnsi="Times New Roman" w:eastAsia="仿宋" w:cs="Times New Roman"/>
          <w:sz w:val="32"/>
          <w:szCs w:val="32"/>
          <w:lang w:val="en-US" w:eastAsia="zh-CN"/>
        </w:rPr>
        <w:t>2</w:t>
      </w:r>
      <w:r>
        <w:rPr>
          <w:rFonts w:hint="eastAsia" w:ascii="仿宋" w:hAnsi="仿宋" w:eastAsia="仿宋" w:cs="仿宋"/>
          <w:sz w:val="32"/>
          <w:szCs w:val="32"/>
        </w:rPr>
        <w:t>.健全激励机制。完善干部考核评价体系，将工作计划落实情况与干部评优评先、绩效考核、岗位调整挂钩，树立“重实干、重实绩、重担当”的鲜明导向，鼓励干部职工担当作为、真抓实干，营造比学赶超、争先创优的良好干事氛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eastAsia="黑体"/>
          <w:sz w:val="32"/>
          <w:szCs w:val="32"/>
        </w:rPr>
      </w:pPr>
      <w:r>
        <w:rPr>
          <w:rFonts w:hint="eastAsia" w:ascii="Times New Roman" w:hAnsi="Times New Roman" w:eastAsia="仿宋" w:cs="Times New Roman"/>
          <w:sz w:val="32"/>
          <w:szCs w:val="32"/>
          <w:lang w:val="en-US" w:eastAsia="zh-CN"/>
        </w:rPr>
        <w:t>3</w:t>
      </w:r>
      <w:r>
        <w:rPr>
          <w:rFonts w:hint="eastAsia" w:ascii="仿宋" w:hAnsi="仿宋" w:eastAsia="仿宋" w:cs="仿宋"/>
          <w:sz w:val="32"/>
          <w:szCs w:val="32"/>
        </w:rPr>
        <w:t>.注重总结提升。定期对各项工作开展情况进行总结梳理，提炼好经验、好做法，查找工作中的问题和不足，不断优化工作举措、提升工作质效，推动办公室工作持续改进、全面提升，为红原县“十五五”规划开好局、起好步贡献政务服务力量。</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二、部门</w:t>
      </w:r>
      <w:r>
        <w:rPr>
          <w:rFonts w:hint="eastAsia" w:ascii="黑体" w:eastAsia="黑体"/>
          <w:sz w:val="32"/>
          <w:szCs w:val="32"/>
          <w:lang w:eastAsia="zh-CN"/>
        </w:rPr>
        <w:t>预算单位构成</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红原县人民政府办公室下设单位（股室）7个，其中行政单位1个，下属事业单位2个。分别是：红原县政府信息公开中心、红原县国防动员事务中心。</w:t>
      </w:r>
      <w:r>
        <w:rPr>
          <w:rFonts w:hint="default" w:ascii="仿宋" w:hAnsi="仿宋" w:eastAsia="仿宋" w:cs="仿宋"/>
          <w:sz w:val="32"/>
          <w:szCs w:val="32"/>
          <w:lang w:val="en-US" w:eastAsia="zh-CN"/>
        </w:rPr>
        <w:t>核定总编制49名，其中行政人员24名，</w:t>
      </w:r>
      <w:r>
        <w:rPr>
          <w:rFonts w:hint="eastAsia" w:ascii="仿宋" w:hAnsi="仿宋" w:eastAsia="仿宋" w:cs="仿宋"/>
          <w:sz w:val="32"/>
          <w:szCs w:val="32"/>
          <w:lang w:val="en-US" w:eastAsia="zh-CN"/>
        </w:rPr>
        <w:t>行政工勤11名，</w:t>
      </w:r>
      <w:r>
        <w:rPr>
          <w:rFonts w:hint="default" w:ascii="仿宋" w:hAnsi="仿宋" w:eastAsia="仿宋" w:cs="仿宋"/>
          <w:sz w:val="32"/>
          <w:szCs w:val="32"/>
          <w:lang w:val="en-US" w:eastAsia="zh-CN"/>
        </w:rPr>
        <w:t>事业人员1</w:t>
      </w:r>
      <w:r>
        <w:rPr>
          <w:rFonts w:hint="eastAsia" w:ascii="仿宋" w:hAnsi="仿宋" w:eastAsia="仿宋" w:cs="仿宋"/>
          <w:sz w:val="32"/>
          <w:szCs w:val="32"/>
          <w:lang w:val="en-US" w:eastAsia="zh-CN"/>
        </w:rPr>
        <w:t>4</w:t>
      </w:r>
      <w:r>
        <w:rPr>
          <w:rFonts w:hint="default" w:ascii="仿宋" w:hAnsi="仿宋" w:eastAsia="仿宋" w:cs="仿宋"/>
          <w:sz w:val="32"/>
          <w:szCs w:val="32"/>
          <w:lang w:val="en-US" w:eastAsia="zh-CN"/>
        </w:rPr>
        <w:t>名。本年度年末实有在职人员</w:t>
      </w:r>
      <w:r>
        <w:rPr>
          <w:rFonts w:hint="eastAsia" w:ascii="仿宋" w:hAnsi="仿宋" w:eastAsia="仿宋" w:cs="仿宋"/>
          <w:sz w:val="32"/>
          <w:szCs w:val="32"/>
          <w:lang w:val="en-US" w:eastAsia="zh-CN"/>
        </w:rPr>
        <w:t>39</w:t>
      </w:r>
      <w:r>
        <w:rPr>
          <w:rFonts w:hint="default" w:ascii="仿宋" w:hAnsi="仿宋" w:eastAsia="仿宋" w:cs="仿宋"/>
          <w:sz w:val="32"/>
          <w:szCs w:val="32"/>
          <w:lang w:val="en-US" w:eastAsia="zh-CN"/>
        </w:rPr>
        <w:t>名，其中行政</w:t>
      </w:r>
      <w:r>
        <w:rPr>
          <w:rFonts w:hint="eastAsia" w:ascii="仿宋" w:hAnsi="仿宋" w:eastAsia="仿宋" w:cs="仿宋"/>
          <w:sz w:val="32"/>
          <w:szCs w:val="32"/>
          <w:lang w:val="en-US" w:eastAsia="zh-CN"/>
        </w:rPr>
        <w:t>20</w:t>
      </w:r>
      <w:r>
        <w:rPr>
          <w:rFonts w:hint="default" w:ascii="仿宋" w:hAnsi="仿宋" w:eastAsia="仿宋" w:cs="仿宋"/>
          <w:sz w:val="32"/>
          <w:szCs w:val="32"/>
          <w:lang w:val="en-US" w:eastAsia="zh-CN"/>
        </w:rPr>
        <w:t>人，工勤1</w:t>
      </w:r>
      <w:r>
        <w:rPr>
          <w:rFonts w:hint="eastAsia" w:ascii="仿宋" w:hAnsi="仿宋" w:eastAsia="仿宋" w:cs="仿宋"/>
          <w:sz w:val="32"/>
          <w:szCs w:val="32"/>
          <w:lang w:val="en-US" w:eastAsia="zh-CN"/>
        </w:rPr>
        <w:t>0</w:t>
      </w:r>
      <w:r>
        <w:rPr>
          <w:rFonts w:hint="default" w:ascii="仿宋" w:hAnsi="仿宋" w:eastAsia="仿宋" w:cs="仿宋"/>
          <w:sz w:val="32"/>
          <w:szCs w:val="32"/>
          <w:lang w:val="en-US" w:eastAsia="zh-CN"/>
        </w:rPr>
        <w:t>人；事业管理9人。</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eastAsia="zh-CN"/>
        </w:rPr>
      </w:pPr>
      <w:r>
        <w:rPr>
          <w:rFonts w:hint="eastAsia" w:ascii="黑体" w:eastAsia="黑体"/>
          <w:sz w:val="32"/>
          <w:szCs w:val="32"/>
        </w:rPr>
        <w:t>三、收支预算总体情况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2026年红原县人民政府办公室收入预算总额为1463.69万元，其中：当年财政拨款收入1450.18万元。相应安排支出预算1450.18万元，其中：一般公共服务1157.54万元，国防支出3万元，社会保障和就业150.62万元，卫生健康支出55.65万元，住房保障支出83.36万元。</w:t>
      </w:r>
    </w:p>
    <w:p>
      <w:pPr>
        <w:keepNext w:val="0"/>
        <w:keepLines w:val="0"/>
        <w:pageBreakBefore w:val="0"/>
        <w:numPr>
          <w:ilvl w:val="0"/>
          <w:numId w:val="1"/>
        </w:numPr>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支出预算安排情况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红原县人民政府办公室预算安排支出主要用于保障该部门机构正常运转、完成日常工作任务以及承担信息收集上报发展、人防建设等相关工作。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基本支出1185.02万元。其中人员经费支出1012.52万元，机关运行经费154.3万元，其中：办公费11.79万元，印刷费2万元，水费1.5万元，电费4万元，邮电费3万元，取暖费2.6万元，维修维（护）费差旅费5万元，培训费2万元，公务接待0.97万元，劳务费0.5万元，委托业务费2万元，工会经费6.07万元，公务用车运行维护费87万元，其他商品服务支出22.88万元，对其他个人和家庭补助支出22.88万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按支出功能分类主要用于以下方面:</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（一）一般公共服务</w:t>
      </w:r>
      <w:r>
        <w:rPr>
          <w:rFonts w:hint="eastAsia" w:ascii="仿宋_GB2312" w:eastAsia="仿宋_GB2312"/>
          <w:sz w:val="32"/>
          <w:szCs w:val="32"/>
          <w:lang w:val="en-US" w:eastAsia="zh-CN"/>
        </w:rPr>
        <w:t>1157.54</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，主要用于机关及下属事业单位人员工资、日常运转以及为完成特定行政工作任务和事业发展目标而安排的年度项目支出。</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（二）社会保障和就业</w:t>
      </w:r>
      <w:r>
        <w:rPr>
          <w:rFonts w:hint="eastAsia" w:ascii="仿宋_GB2312" w:eastAsia="仿宋_GB2312"/>
          <w:sz w:val="32"/>
          <w:szCs w:val="32"/>
          <w:lang w:val="en-US" w:eastAsia="zh-CN"/>
        </w:rPr>
        <w:t>150.02</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w:t>
      </w:r>
      <w:r>
        <w:rPr>
          <w:rFonts w:hint="eastAsia" w:ascii="仿宋_GB2312" w:eastAsia="仿宋_GB2312"/>
          <w:sz w:val="32"/>
          <w:szCs w:val="32"/>
          <w:lang w:eastAsia="zh-CN"/>
        </w:rPr>
        <w:t>养老保险及职业年金缴费</w:t>
      </w:r>
      <w:r>
        <w:rPr>
          <w:rFonts w:hint="eastAsia" w:ascii="仿宋_GB2312" w:eastAsia="仿宋_GB2312"/>
          <w:sz w:val="32"/>
          <w:szCs w:val="32"/>
        </w:rPr>
        <w:t>。</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（三）医疗卫生</w:t>
      </w:r>
      <w:r>
        <w:rPr>
          <w:rFonts w:hint="eastAsia" w:ascii="仿宋_GB2312" w:eastAsia="仿宋_GB2312"/>
          <w:sz w:val="32"/>
          <w:szCs w:val="32"/>
          <w:lang w:val="en-US" w:eastAsia="zh-CN"/>
        </w:rPr>
        <w:t>55.65</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，主要用于机关及下属事业单位按照规定标准为职工缴纳的基本医疗保险及公务员医疗补助等支出。</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rPr>
        <w:t>（四）住房保障支出</w:t>
      </w:r>
      <w:r>
        <w:rPr>
          <w:rFonts w:hint="eastAsia" w:ascii="仿宋_GB2312" w:eastAsia="仿宋_GB2312"/>
          <w:sz w:val="32"/>
          <w:szCs w:val="32"/>
          <w:lang w:val="en-US" w:eastAsia="zh-CN"/>
        </w:rPr>
        <w:t>83.36</w:t>
      </w:r>
      <w:r>
        <w:rPr>
          <w:rFonts w:hint="eastAsia" w:ascii="仿宋_GB2312" w:eastAsia="仿宋_GB2312"/>
          <w:sz w:val="32"/>
          <w:szCs w:val="32"/>
          <w:lang w:eastAsia="zh-CN"/>
        </w:rPr>
        <w:t>万元</w:t>
      </w:r>
      <w:r>
        <w:rPr>
          <w:rFonts w:hint="eastAsia" w:ascii="仿宋_GB2312" w:eastAsia="仿宋_GB2312"/>
          <w:sz w:val="32"/>
          <w:szCs w:val="32"/>
        </w:rPr>
        <w:t>，用于机关及下属事业单位按照规定标准为职工缴纳住房公积金等支出。</w:t>
      </w:r>
      <w:r>
        <w:rPr>
          <w:rFonts w:hint="eastAsia" w:ascii="仿宋_GB2312" w:eastAsia="仿宋_GB2312"/>
          <w:sz w:val="32"/>
          <w:szCs w:val="32"/>
          <w:lang w:eastAsia="zh-CN"/>
        </w:rPr>
        <w:t>项目支出</w:t>
      </w:r>
      <w:r>
        <w:rPr>
          <w:rFonts w:hint="eastAsia" w:ascii="仿宋_GB2312" w:eastAsia="仿宋_GB2312"/>
          <w:sz w:val="32"/>
          <w:szCs w:val="32"/>
          <w:lang w:val="en-US" w:eastAsia="zh-CN"/>
        </w:rPr>
        <w:t>265.16万元。</w:t>
      </w:r>
    </w:p>
    <w:p>
      <w:pPr>
        <w:keepNext w:val="0"/>
        <w:keepLines w:val="0"/>
        <w:pageBreakBefore w:val="0"/>
        <w:widowControl w:val="0"/>
        <w:numPr>
          <w:ilvl w:val="0"/>
          <w:numId w:val="0"/>
        </w:numPr>
        <w:pBdr>
          <w:bottom w:val="single" w:color="FFFFFF" w:sz="4" w:space="29"/>
        </w:pBdr>
        <w:kinsoku/>
        <w:wordWrap/>
        <w:overflowPunct/>
        <w:topLinePunct w:val="0"/>
        <w:autoSpaceDE/>
        <w:autoSpaceDN/>
        <w:bidi w:val="0"/>
        <w:adjustRightInd w:val="0"/>
        <w:snapToGrid w:val="0"/>
        <w:spacing w:after="0" w:line="576" w:lineRule="exact"/>
        <w:ind w:left="0" w:leftChars="0"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按支出功能分类主要用于以下方面:</w:t>
      </w:r>
    </w:p>
    <w:p>
      <w:pPr>
        <w:keepNext w:val="0"/>
        <w:keepLines w:val="0"/>
        <w:pageBreakBefore w:val="0"/>
        <w:widowControl w:val="0"/>
        <w:numPr>
          <w:ilvl w:val="0"/>
          <w:numId w:val="0"/>
        </w:numPr>
        <w:pBdr>
          <w:bottom w:val="single" w:color="FFFFFF" w:sz="4" w:space="29"/>
        </w:pBdr>
        <w:kinsoku/>
        <w:wordWrap/>
        <w:overflowPunct/>
        <w:topLinePunct w:val="0"/>
        <w:autoSpaceDE/>
        <w:autoSpaceDN/>
        <w:bidi w:val="0"/>
        <w:adjustRightInd w:val="0"/>
        <w:snapToGrid w:val="0"/>
        <w:spacing w:after="0" w:line="576" w:lineRule="exact"/>
        <w:ind w:left="0" w:leftChars="0" w:firstLine="640" w:firstLineChars="200"/>
        <w:jc w:val="both"/>
        <w:textAlignment w:val="auto"/>
        <w:outlineLvl w:val="9"/>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（一）2010</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01</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行政运行</w:t>
      </w:r>
      <w:r>
        <w:rPr>
          <w:rFonts w:hint="eastAsia" w:ascii="Times New Roman" w:hAnsi="Times New Roman" w:eastAsia="仿宋_GB2312" w:cs="Times New Roman"/>
          <w:sz w:val="32"/>
          <w:szCs w:val="32"/>
          <w:lang w:val="en-US" w:eastAsia="zh-CN"/>
        </w:rPr>
        <w:t>734.81</w:t>
      </w:r>
      <w:r>
        <w:rPr>
          <w:rFonts w:hint="default" w:ascii="Times New Roman" w:hAnsi="Times New Roman" w:eastAsia="仿宋_GB2312" w:cs="Times New Roman"/>
          <w:sz w:val="32"/>
          <w:szCs w:val="32"/>
          <w:lang w:eastAsia="zh-CN"/>
        </w:rPr>
        <w:t>万元</w:t>
      </w:r>
      <w:r>
        <w:rPr>
          <w:rFonts w:hint="default" w:ascii="Times New Roman" w:hAnsi="Times New Roman" w:eastAsia="仿宋_GB2312" w:cs="Times New Roman"/>
          <w:sz w:val="32"/>
          <w:szCs w:val="32"/>
        </w:rPr>
        <w:t>，主要用于</w:t>
      </w:r>
      <w:r>
        <w:rPr>
          <w:rFonts w:hint="default" w:ascii="Times New Roman" w:hAnsi="Times New Roman" w:eastAsia="仿宋_GB2312" w:cs="Times New Roman"/>
          <w:sz w:val="32"/>
          <w:szCs w:val="32"/>
          <w:lang w:eastAsia="zh-CN"/>
        </w:rPr>
        <w:t>行政</w:t>
      </w:r>
      <w:r>
        <w:rPr>
          <w:rFonts w:hint="default" w:ascii="Times New Roman" w:hAnsi="Times New Roman" w:eastAsia="仿宋_GB2312" w:cs="Times New Roman"/>
          <w:sz w:val="32"/>
          <w:szCs w:val="32"/>
        </w:rPr>
        <w:t>单位人员工资</w:t>
      </w:r>
      <w:r>
        <w:rPr>
          <w:rFonts w:hint="default" w:ascii="Times New Roman" w:hAnsi="Times New Roman" w:eastAsia="仿宋_GB2312" w:cs="Times New Roman"/>
          <w:sz w:val="32"/>
          <w:szCs w:val="32"/>
          <w:lang w:eastAsia="zh-CN"/>
        </w:rPr>
        <w:t>、个人部分保险</w:t>
      </w:r>
      <w:r>
        <w:rPr>
          <w:rFonts w:hint="default" w:ascii="Times New Roman" w:hAnsi="Times New Roman" w:eastAsia="仿宋_GB2312" w:cs="Times New Roman"/>
          <w:sz w:val="32"/>
          <w:szCs w:val="32"/>
        </w:rPr>
        <w:t>、日常运转</w:t>
      </w:r>
      <w:r>
        <w:rPr>
          <w:rFonts w:hint="default" w:ascii="Times New Roman" w:hAnsi="Times New Roman" w:eastAsia="仿宋_GB2312" w:cs="Times New Roman"/>
          <w:sz w:val="32"/>
          <w:szCs w:val="32"/>
          <w:lang w:eastAsia="zh-CN"/>
        </w:rPr>
        <w:t>等</w:t>
      </w:r>
      <w:r>
        <w:rPr>
          <w:rFonts w:hint="default" w:ascii="Times New Roman" w:hAnsi="Times New Roman" w:eastAsia="仿宋_GB2312" w:cs="Times New Roman"/>
          <w:sz w:val="32"/>
          <w:szCs w:val="32"/>
        </w:rPr>
        <w:t>支出</w:t>
      </w:r>
      <w:r>
        <w:rPr>
          <w:rFonts w:hint="default" w:ascii="Times New Roman" w:hAnsi="Times New Roman" w:eastAsia="仿宋_GB2312" w:cs="Times New Roman"/>
          <w:sz w:val="32"/>
          <w:szCs w:val="32"/>
          <w:lang w:eastAsia="zh-CN"/>
        </w:rPr>
        <w:t>；</w:t>
      </w:r>
    </w:p>
    <w:p>
      <w:pPr>
        <w:keepNext w:val="0"/>
        <w:keepLines w:val="0"/>
        <w:pageBreakBefore w:val="0"/>
        <w:widowControl w:val="0"/>
        <w:numPr>
          <w:ilvl w:val="0"/>
          <w:numId w:val="0"/>
        </w:numPr>
        <w:pBdr>
          <w:bottom w:val="single" w:color="FFFFFF" w:sz="4" w:space="29"/>
        </w:pBdr>
        <w:kinsoku/>
        <w:wordWrap/>
        <w:overflowPunct/>
        <w:topLinePunct w:val="0"/>
        <w:autoSpaceDE/>
        <w:autoSpaceDN/>
        <w:bidi w:val="0"/>
        <w:adjustRightInd w:val="0"/>
        <w:snapToGrid w:val="0"/>
        <w:spacing w:after="0" w:line="576" w:lineRule="exact"/>
        <w:ind w:left="0" w:leftChars="0" w:firstLine="640" w:firstLineChars="200"/>
        <w:jc w:val="both"/>
        <w:textAlignment w:val="auto"/>
        <w:outlineLvl w:val="9"/>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二</w:t>
      </w:r>
      <w:r>
        <w:rPr>
          <w:rFonts w:hint="default" w:ascii="Times New Roman" w:hAnsi="Times New Roman" w:eastAsia="仿宋_GB2312" w:cs="Times New Roman"/>
          <w:sz w:val="32"/>
          <w:szCs w:val="32"/>
        </w:rPr>
        <w:t>）2010</w:t>
      </w:r>
      <w:r>
        <w:rPr>
          <w:rFonts w:hint="default" w:ascii="Times New Roman" w:hAnsi="Times New Roman" w:eastAsia="仿宋_GB2312" w:cs="Times New Roman"/>
          <w:sz w:val="32"/>
          <w:szCs w:val="32"/>
          <w:lang w:val="en-US" w:eastAsia="zh-CN"/>
        </w:rPr>
        <w:t>350-</w:t>
      </w:r>
      <w:r>
        <w:rPr>
          <w:rFonts w:hint="default" w:ascii="Times New Roman" w:hAnsi="Times New Roman" w:eastAsia="仿宋_GB2312" w:cs="Times New Roman"/>
          <w:sz w:val="32"/>
          <w:szCs w:val="32"/>
          <w:lang w:eastAsia="zh-CN"/>
        </w:rPr>
        <w:t>事业</w:t>
      </w:r>
      <w:r>
        <w:rPr>
          <w:rFonts w:hint="default" w:ascii="Times New Roman" w:hAnsi="Times New Roman" w:eastAsia="仿宋_GB2312" w:cs="Times New Roman"/>
          <w:sz w:val="32"/>
          <w:szCs w:val="32"/>
        </w:rPr>
        <w:t>运</w:t>
      </w:r>
      <w:r>
        <w:rPr>
          <w:rFonts w:hint="default" w:ascii="Times New Roman" w:hAnsi="Times New Roman" w:eastAsia="仿宋_GB2312" w:cs="Times New Roman"/>
          <w:sz w:val="32"/>
          <w:szCs w:val="32"/>
          <w:lang w:eastAsia="zh-CN"/>
        </w:rPr>
        <w:t>行</w:t>
      </w:r>
      <w:r>
        <w:rPr>
          <w:rFonts w:hint="eastAsia" w:ascii="Times New Roman" w:hAnsi="Times New Roman" w:eastAsia="仿宋_GB2312" w:cs="Times New Roman"/>
          <w:sz w:val="32"/>
          <w:szCs w:val="32"/>
          <w:lang w:val="en-US" w:eastAsia="zh-CN"/>
        </w:rPr>
        <w:t>160.57</w:t>
      </w:r>
      <w:r>
        <w:rPr>
          <w:rFonts w:hint="default" w:ascii="Times New Roman" w:hAnsi="Times New Roman" w:eastAsia="仿宋_GB2312" w:cs="Times New Roman"/>
          <w:sz w:val="32"/>
          <w:szCs w:val="32"/>
          <w:lang w:eastAsia="zh-CN"/>
        </w:rPr>
        <w:t>万元</w:t>
      </w:r>
      <w:r>
        <w:rPr>
          <w:rFonts w:hint="default" w:ascii="Times New Roman" w:hAnsi="Times New Roman" w:eastAsia="仿宋_GB2312" w:cs="Times New Roman"/>
          <w:sz w:val="32"/>
          <w:szCs w:val="32"/>
        </w:rPr>
        <w:t>，主要用于</w:t>
      </w:r>
      <w:r>
        <w:rPr>
          <w:rFonts w:hint="default" w:ascii="Times New Roman" w:hAnsi="Times New Roman" w:eastAsia="仿宋_GB2312" w:cs="Times New Roman"/>
          <w:sz w:val="32"/>
          <w:szCs w:val="32"/>
          <w:lang w:eastAsia="zh-CN"/>
        </w:rPr>
        <w:t>事业</w:t>
      </w:r>
      <w:r>
        <w:rPr>
          <w:rFonts w:hint="default" w:ascii="Times New Roman" w:hAnsi="Times New Roman" w:eastAsia="仿宋_GB2312" w:cs="Times New Roman"/>
          <w:sz w:val="32"/>
          <w:szCs w:val="32"/>
        </w:rPr>
        <w:t>单位人员工资</w:t>
      </w:r>
      <w:r>
        <w:rPr>
          <w:rFonts w:hint="default" w:ascii="Times New Roman" w:hAnsi="Times New Roman" w:eastAsia="仿宋_GB2312" w:cs="Times New Roman"/>
          <w:sz w:val="32"/>
          <w:szCs w:val="32"/>
          <w:lang w:eastAsia="zh-CN"/>
        </w:rPr>
        <w:t>、个人部分保险</w:t>
      </w:r>
      <w:r>
        <w:rPr>
          <w:rFonts w:hint="default" w:ascii="Times New Roman" w:hAnsi="Times New Roman" w:eastAsia="仿宋_GB2312" w:cs="Times New Roman"/>
          <w:sz w:val="32"/>
          <w:szCs w:val="32"/>
        </w:rPr>
        <w:t>、日常运转</w:t>
      </w:r>
      <w:r>
        <w:rPr>
          <w:rFonts w:hint="default" w:ascii="Times New Roman" w:hAnsi="Times New Roman" w:eastAsia="仿宋_GB2312" w:cs="Times New Roman"/>
          <w:sz w:val="32"/>
          <w:szCs w:val="32"/>
          <w:lang w:eastAsia="zh-CN"/>
        </w:rPr>
        <w:t>等</w:t>
      </w:r>
      <w:r>
        <w:rPr>
          <w:rFonts w:hint="default" w:ascii="Times New Roman" w:hAnsi="Times New Roman" w:eastAsia="仿宋_GB2312" w:cs="Times New Roman"/>
          <w:sz w:val="32"/>
          <w:szCs w:val="32"/>
        </w:rPr>
        <w:t>支出</w:t>
      </w:r>
      <w:r>
        <w:rPr>
          <w:rFonts w:hint="default" w:ascii="Times New Roman" w:hAnsi="Times New Roman" w:eastAsia="仿宋_GB2312" w:cs="Times New Roman"/>
          <w:sz w:val="32"/>
          <w:szCs w:val="32"/>
          <w:lang w:eastAsia="zh-CN"/>
        </w:rPr>
        <w:t>；</w:t>
      </w:r>
    </w:p>
    <w:p>
      <w:pPr>
        <w:keepNext w:val="0"/>
        <w:keepLines w:val="0"/>
        <w:pageBreakBefore w:val="0"/>
        <w:widowControl w:val="0"/>
        <w:numPr>
          <w:ilvl w:val="0"/>
          <w:numId w:val="0"/>
        </w:numPr>
        <w:pBdr>
          <w:bottom w:val="single" w:color="FFFFFF" w:sz="4" w:space="29"/>
        </w:pBdr>
        <w:kinsoku/>
        <w:wordWrap/>
        <w:overflowPunct/>
        <w:topLinePunct w:val="0"/>
        <w:autoSpaceDE/>
        <w:autoSpaceDN/>
        <w:bidi w:val="0"/>
        <w:adjustRightInd w:val="0"/>
        <w:snapToGrid w:val="0"/>
        <w:spacing w:after="0" w:line="576" w:lineRule="exact"/>
        <w:ind w:left="0" w:leftChars="0" w:firstLine="640" w:firstLineChars="200"/>
        <w:jc w:val="both"/>
        <w:textAlignment w:val="auto"/>
        <w:outlineLvl w:val="9"/>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（三）2010</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eastAsia="zh-CN"/>
        </w:rPr>
        <w:t>02</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eastAsia="zh-CN"/>
        </w:rPr>
        <w:t>一般行政管理事务</w:t>
      </w:r>
      <w:r>
        <w:rPr>
          <w:rFonts w:hint="eastAsia" w:ascii="Times New Roman" w:hAnsi="Times New Roman" w:eastAsia="仿宋_GB2312" w:cs="Times New Roman"/>
          <w:sz w:val="32"/>
          <w:szCs w:val="32"/>
          <w:lang w:val="en-US" w:eastAsia="zh-CN"/>
        </w:rPr>
        <w:t>262.16</w:t>
      </w:r>
      <w:r>
        <w:rPr>
          <w:rFonts w:hint="default" w:ascii="Times New Roman" w:hAnsi="Times New Roman" w:eastAsia="仿宋_GB2312" w:cs="Times New Roman"/>
          <w:sz w:val="32"/>
          <w:szCs w:val="32"/>
          <w:lang w:eastAsia="zh-CN"/>
        </w:rPr>
        <w:t>万元主要用于</w:t>
      </w:r>
      <w:r>
        <w:rPr>
          <w:rFonts w:hint="default" w:ascii="Times New Roman" w:hAnsi="Times New Roman" w:eastAsia="仿宋_GB2312" w:cs="Times New Roman"/>
          <w:sz w:val="32"/>
          <w:szCs w:val="32"/>
          <w:lang w:val="en-US" w:eastAsia="zh-CN"/>
        </w:rPr>
        <w:t>政务大厅</w:t>
      </w:r>
      <w:r>
        <w:rPr>
          <w:rFonts w:hint="default" w:ascii="Times New Roman" w:hAnsi="Times New Roman" w:eastAsia="仿宋_GB2312" w:cs="Times New Roman"/>
          <w:sz w:val="32"/>
          <w:szCs w:val="32"/>
          <w:lang w:eastAsia="zh-CN"/>
        </w:rPr>
        <w:t>等工作开展费用，车辆保障、</w:t>
      </w:r>
      <w:r>
        <w:rPr>
          <w:rFonts w:hint="default" w:ascii="Times New Roman" w:hAnsi="Times New Roman" w:eastAsia="仿宋_GB2312" w:cs="Times New Roman"/>
          <w:sz w:val="32"/>
          <w:szCs w:val="32"/>
          <w:lang w:val="en-US" w:eastAsia="zh-CN"/>
        </w:rPr>
        <w:t>集采目录内专家劳务费用</w:t>
      </w:r>
      <w:r>
        <w:rPr>
          <w:rFonts w:hint="default" w:ascii="Times New Roman" w:hAnsi="Times New Roman" w:eastAsia="仿宋_GB2312" w:cs="Times New Roman"/>
          <w:sz w:val="32"/>
          <w:szCs w:val="32"/>
          <w:lang w:eastAsia="zh-CN"/>
        </w:rPr>
        <w:t>等费用；</w:t>
      </w:r>
    </w:p>
    <w:p>
      <w:pPr>
        <w:keepNext w:val="0"/>
        <w:keepLines w:val="0"/>
        <w:pageBreakBefore w:val="0"/>
        <w:widowControl w:val="0"/>
        <w:numPr>
          <w:ilvl w:val="0"/>
          <w:numId w:val="0"/>
        </w:numPr>
        <w:pBdr>
          <w:bottom w:val="single" w:color="FFFFFF" w:sz="4" w:space="29"/>
        </w:pBdr>
        <w:kinsoku/>
        <w:wordWrap/>
        <w:overflowPunct/>
        <w:topLinePunct w:val="0"/>
        <w:autoSpaceDE/>
        <w:autoSpaceDN/>
        <w:bidi w:val="0"/>
        <w:adjustRightInd w:val="0"/>
        <w:snapToGrid w:val="0"/>
        <w:spacing w:after="0" w:line="576" w:lineRule="exact"/>
        <w:ind w:left="0" w:leftChars="0" w:firstLine="640" w:firstLineChars="200"/>
        <w:jc w:val="both"/>
        <w:textAlignment w:val="auto"/>
        <w:outlineLvl w:val="9"/>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eastAsia="zh-CN"/>
        </w:rPr>
        <w:t>四</w:t>
      </w:r>
      <w:r>
        <w:rPr>
          <w:rFonts w:hint="default" w:ascii="Times New Roman" w:hAnsi="Times New Roman" w:eastAsia="仿宋_GB2312" w:cs="Times New Roman"/>
          <w:sz w:val="32"/>
          <w:szCs w:val="32"/>
          <w:lang w:eastAsia="zh-CN"/>
        </w:rPr>
        <w:t>）2080505</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eastAsia="zh-CN"/>
        </w:rPr>
        <w:t>机关事业单位基本养老保险缴费支出</w:t>
      </w:r>
      <w:r>
        <w:rPr>
          <w:rFonts w:hint="eastAsia" w:ascii="Times New Roman" w:hAnsi="Times New Roman" w:eastAsia="仿宋_GB2312" w:cs="Times New Roman"/>
          <w:sz w:val="32"/>
          <w:szCs w:val="32"/>
          <w:lang w:val="en-US" w:eastAsia="zh-CN"/>
        </w:rPr>
        <w:t>80.9</w:t>
      </w:r>
      <w:r>
        <w:rPr>
          <w:rFonts w:hint="default" w:ascii="Times New Roman" w:hAnsi="Times New Roman" w:eastAsia="仿宋_GB2312" w:cs="Times New Roman"/>
          <w:sz w:val="32"/>
          <w:szCs w:val="32"/>
          <w:lang w:eastAsia="zh-CN"/>
        </w:rPr>
        <w:t>万元，全部用于行政及事业在职职工缴纳单位部分养老保险；</w:t>
      </w:r>
    </w:p>
    <w:p>
      <w:pPr>
        <w:keepNext w:val="0"/>
        <w:keepLines w:val="0"/>
        <w:pageBreakBefore w:val="0"/>
        <w:widowControl w:val="0"/>
        <w:numPr>
          <w:ilvl w:val="0"/>
          <w:numId w:val="0"/>
        </w:numPr>
        <w:pBdr>
          <w:bottom w:val="single" w:color="FFFFFF" w:sz="4" w:space="29"/>
        </w:pBdr>
        <w:kinsoku/>
        <w:wordWrap/>
        <w:overflowPunct/>
        <w:topLinePunct w:val="0"/>
        <w:autoSpaceDE/>
        <w:autoSpaceDN/>
        <w:bidi w:val="0"/>
        <w:adjustRightInd w:val="0"/>
        <w:snapToGrid w:val="0"/>
        <w:spacing w:after="0" w:line="576" w:lineRule="exact"/>
        <w:ind w:left="0" w:lef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五</w:t>
      </w:r>
      <w:r>
        <w:rPr>
          <w:rFonts w:hint="default" w:ascii="Times New Roman" w:hAnsi="Times New Roman" w:eastAsia="仿宋_GB2312" w:cs="Times New Roman"/>
          <w:sz w:val="32"/>
          <w:szCs w:val="32"/>
          <w:lang w:val="en-US" w:eastAsia="zh-CN"/>
        </w:rPr>
        <w:t>）2080506-机关事业单位职业年金缴费支出</w:t>
      </w:r>
      <w:r>
        <w:rPr>
          <w:rFonts w:hint="eastAsia" w:ascii="Times New Roman" w:hAnsi="Times New Roman" w:eastAsia="仿宋_GB2312" w:cs="Times New Roman"/>
          <w:sz w:val="32"/>
          <w:szCs w:val="32"/>
          <w:lang w:val="en-US" w:eastAsia="zh-CN"/>
        </w:rPr>
        <w:t>40.45</w:t>
      </w:r>
      <w:r>
        <w:rPr>
          <w:rFonts w:hint="default" w:ascii="Times New Roman" w:hAnsi="Times New Roman" w:eastAsia="仿宋_GB2312" w:cs="Times New Roman"/>
          <w:sz w:val="32"/>
          <w:szCs w:val="32"/>
          <w:lang w:val="en-US" w:eastAsia="zh-CN"/>
        </w:rPr>
        <w:t>万元，全部用于</w:t>
      </w:r>
      <w:r>
        <w:rPr>
          <w:rFonts w:hint="default" w:ascii="Times New Roman" w:hAnsi="Times New Roman" w:eastAsia="仿宋_GB2312" w:cs="Times New Roman"/>
          <w:sz w:val="32"/>
          <w:szCs w:val="32"/>
          <w:lang w:eastAsia="zh-CN"/>
        </w:rPr>
        <w:t>行政及事业</w:t>
      </w:r>
      <w:r>
        <w:rPr>
          <w:rFonts w:hint="default" w:ascii="Times New Roman" w:hAnsi="Times New Roman" w:eastAsia="仿宋_GB2312" w:cs="Times New Roman"/>
          <w:sz w:val="32"/>
          <w:szCs w:val="32"/>
          <w:lang w:val="en-US" w:eastAsia="zh-CN"/>
        </w:rPr>
        <w:t xml:space="preserve">在职职工缴纳单位部分职业年金；      </w:t>
      </w:r>
    </w:p>
    <w:p>
      <w:pPr>
        <w:keepNext w:val="0"/>
        <w:keepLines w:val="0"/>
        <w:pageBreakBefore w:val="0"/>
        <w:widowControl w:val="0"/>
        <w:numPr>
          <w:ilvl w:val="0"/>
          <w:numId w:val="0"/>
        </w:numPr>
        <w:pBdr>
          <w:bottom w:val="single" w:color="FFFFFF" w:sz="4" w:space="29"/>
        </w:pBdr>
        <w:kinsoku/>
        <w:wordWrap/>
        <w:overflowPunct/>
        <w:topLinePunct w:val="0"/>
        <w:autoSpaceDE/>
        <w:autoSpaceDN/>
        <w:bidi w:val="0"/>
        <w:adjustRightInd w:val="0"/>
        <w:snapToGrid w:val="0"/>
        <w:spacing w:after="0" w:line="576" w:lineRule="exact"/>
        <w:ind w:left="0" w:lef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六</w:t>
      </w:r>
      <w:r>
        <w:rPr>
          <w:rFonts w:hint="default" w:ascii="Times New Roman" w:hAnsi="Times New Roman" w:eastAsia="仿宋_GB2312" w:cs="Times New Roman"/>
          <w:sz w:val="32"/>
          <w:szCs w:val="32"/>
          <w:lang w:val="en-US" w:eastAsia="zh-CN"/>
        </w:rPr>
        <w:t>）2101101-行政单位医疗</w:t>
      </w:r>
      <w:r>
        <w:rPr>
          <w:rFonts w:hint="eastAsia" w:ascii="Times New Roman" w:hAnsi="Times New Roman" w:eastAsia="仿宋_GB2312" w:cs="Times New Roman"/>
          <w:sz w:val="32"/>
          <w:szCs w:val="32"/>
          <w:lang w:val="en-US" w:eastAsia="zh-CN"/>
        </w:rPr>
        <w:t>35.39</w:t>
      </w:r>
      <w:r>
        <w:rPr>
          <w:rFonts w:hint="default" w:ascii="Times New Roman" w:hAnsi="Times New Roman" w:eastAsia="仿宋_GB2312" w:cs="Times New Roman"/>
          <w:sz w:val="32"/>
          <w:szCs w:val="32"/>
          <w:lang w:val="en-US" w:eastAsia="zh-CN"/>
        </w:rPr>
        <w:t>万元，全部用于缴纳行政在职职工单位部分医疗保险；</w:t>
      </w:r>
    </w:p>
    <w:p>
      <w:pPr>
        <w:keepNext w:val="0"/>
        <w:keepLines w:val="0"/>
        <w:pageBreakBefore w:val="0"/>
        <w:widowControl w:val="0"/>
        <w:numPr>
          <w:ilvl w:val="0"/>
          <w:numId w:val="0"/>
        </w:numPr>
        <w:pBdr>
          <w:bottom w:val="single" w:color="FFFFFF" w:sz="4" w:space="29"/>
        </w:pBdr>
        <w:kinsoku/>
        <w:wordWrap/>
        <w:overflowPunct/>
        <w:topLinePunct w:val="0"/>
        <w:autoSpaceDE/>
        <w:autoSpaceDN/>
        <w:bidi w:val="0"/>
        <w:adjustRightInd w:val="0"/>
        <w:snapToGrid w:val="0"/>
        <w:spacing w:after="0" w:line="576" w:lineRule="exact"/>
        <w:ind w:left="0" w:lef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七</w:t>
      </w:r>
      <w:r>
        <w:rPr>
          <w:rFonts w:hint="default" w:ascii="Times New Roman" w:hAnsi="Times New Roman" w:eastAsia="仿宋_GB2312" w:cs="Times New Roman"/>
          <w:sz w:val="32"/>
          <w:szCs w:val="32"/>
          <w:lang w:val="en-US" w:eastAsia="zh-CN"/>
        </w:rPr>
        <w:t>）2101102-事业单位医疗8.</w:t>
      </w:r>
      <w:r>
        <w:rPr>
          <w:rFonts w:hint="eastAsia" w:ascii="Times New Roman" w:hAnsi="Times New Roman" w:eastAsia="仿宋_GB2312" w:cs="Times New Roman"/>
          <w:sz w:val="32"/>
          <w:szCs w:val="32"/>
          <w:lang w:val="en-US" w:eastAsia="zh-CN"/>
        </w:rPr>
        <w:t>54</w:t>
      </w:r>
      <w:r>
        <w:rPr>
          <w:rFonts w:hint="default" w:ascii="Times New Roman" w:hAnsi="Times New Roman" w:eastAsia="仿宋_GB2312" w:cs="Times New Roman"/>
          <w:sz w:val="32"/>
          <w:szCs w:val="32"/>
          <w:lang w:val="en-US" w:eastAsia="zh-CN"/>
        </w:rPr>
        <w:t>万元，全部用于缴纳事业在职职工单位部分医疗保险；</w:t>
      </w:r>
    </w:p>
    <w:p>
      <w:pPr>
        <w:keepNext w:val="0"/>
        <w:keepLines w:val="0"/>
        <w:pageBreakBefore w:val="0"/>
        <w:widowControl w:val="0"/>
        <w:numPr>
          <w:ilvl w:val="0"/>
          <w:numId w:val="0"/>
        </w:numPr>
        <w:pBdr>
          <w:bottom w:val="single" w:color="FFFFFF" w:sz="4" w:space="29"/>
        </w:pBdr>
        <w:kinsoku/>
        <w:wordWrap/>
        <w:overflowPunct/>
        <w:topLinePunct w:val="0"/>
        <w:autoSpaceDE/>
        <w:autoSpaceDN/>
        <w:bidi w:val="0"/>
        <w:adjustRightInd w:val="0"/>
        <w:snapToGrid w:val="0"/>
        <w:spacing w:after="0" w:line="576" w:lineRule="exact"/>
        <w:ind w:left="0" w:lef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八</w:t>
      </w:r>
      <w:r>
        <w:rPr>
          <w:rFonts w:hint="default" w:ascii="Times New Roman" w:hAnsi="Times New Roman" w:eastAsia="仿宋_GB2312" w:cs="Times New Roman"/>
          <w:sz w:val="32"/>
          <w:szCs w:val="32"/>
          <w:lang w:val="en-US" w:eastAsia="zh-CN"/>
        </w:rPr>
        <w:t>）2101103-公务员医疗补助支出</w:t>
      </w:r>
      <w:r>
        <w:rPr>
          <w:rFonts w:hint="eastAsia" w:ascii="Times New Roman" w:hAnsi="Times New Roman" w:eastAsia="仿宋_GB2312" w:cs="Times New Roman"/>
          <w:sz w:val="32"/>
          <w:szCs w:val="32"/>
          <w:lang w:val="en-US" w:eastAsia="zh-CN"/>
        </w:rPr>
        <w:t>9.76</w:t>
      </w:r>
      <w:r>
        <w:rPr>
          <w:rFonts w:hint="default" w:ascii="Times New Roman" w:hAnsi="Times New Roman" w:eastAsia="仿宋_GB2312" w:cs="Times New Roman"/>
          <w:sz w:val="32"/>
          <w:szCs w:val="32"/>
          <w:lang w:val="en-US" w:eastAsia="zh-CN"/>
        </w:rPr>
        <w:t>万元，全部用于缴纳行政在职职工公务员医疗保险；</w:t>
      </w:r>
    </w:p>
    <w:p>
      <w:pPr>
        <w:keepNext w:val="0"/>
        <w:keepLines w:val="0"/>
        <w:pageBreakBefore w:val="0"/>
        <w:widowControl w:val="0"/>
        <w:numPr>
          <w:ilvl w:val="0"/>
          <w:numId w:val="0"/>
        </w:numPr>
        <w:pBdr>
          <w:bottom w:val="single" w:color="FFFFFF" w:sz="4" w:space="29"/>
        </w:pBdr>
        <w:kinsoku/>
        <w:wordWrap/>
        <w:overflowPunct/>
        <w:topLinePunct w:val="0"/>
        <w:autoSpaceDE/>
        <w:autoSpaceDN/>
        <w:bidi w:val="0"/>
        <w:adjustRightInd w:val="0"/>
        <w:snapToGrid w:val="0"/>
        <w:spacing w:after="0" w:line="576" w:lineRule="exact"/>
        <w:ind w:left="0" w:lef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九</w:t>
      </w:r>
      <w:r>
        <w:rPr>
          <w:rFonts w:hint="default" w:ascii="Times New Roman" w:hAnsi="Times New Roman" w:eastAsia="仿宋_GB2312" w:cs="Times New Roman"/>
          <w:sz w:val="32"/>
          <w:szCs w:val="32"/>
          <w:lang w:val="en-US" w:eastAsia="zh-CN"/>
        </w:rPr>
        <w:t>）2101199-其他行政事业单位医疗支出</w:t>
      </w:r>
      <w:r>
        <w:rPr>
          <w:rFonts w:hint="eastAsia" w:ascii="Times New Roman" w:hAnsi="Times New Roman" w:eastAsia="仿宋_GB2312" w:cs="Times New Roman"/>
          <w:sz w:val="32"/>
          <w:szCs w:val="32"/>
          <w:lang w:val="en-US" w:eastAsia="zh-CN"/>
        </w:rPr>
        <w:t>2.65</w:t>
      </w:r>
      <w:r>
        <w:rPr>
          <w:rFonts w:hint="default" w:ascii="Times New Roman" w:hAnsi="Times New Roman" w:eastAsia="仿宋_GB2312" w:cs="Times New Roman"/>
          <w:sz w:val="32"/>
          <w:szCs w:val="32"/>
          <w:lang w:val="en-US" w:eastAsia="zh-CN"/>
        </w:rPr>
        <w:t>万元，全部用于缴纳事业在职职工公务员医疗保险；</w:t>
      </w:r>
    </w:p>
    <w:p>
      <w:pPr>
        <w:keepNext w:val="0"/>
        <w:keepLines w:val="0"/>
        <w:pageBreakBefore w:val="0"/>
        <w:widowControl w:val="0"/>
        <w:numPr>
          <w:ilvl w:val="0"/>
          <w:numId w:val="0"/>
        </w:numPr>
        <w:pBdr>
          <w:bottom w:val="single" w:color="FFFFFF" w:sz="4" w:space="29"/>
        </w:pBdr>
        <w:kinsoku/>
        <w:wordWrap/>
        <w:overflowPunct/>
        <w:topLinePunct w:val="0"/>
        <w:autoSpaceDE/>
        <w:autoSpaceDN/>
        <w:bidi w:val="0"/>
        <w:adjustRightInd w:val="0"/>
        <w:snapToGrid w:val="0"/>
        <w:spacing w:after="0" w:line="576" w:lineRule="exact"/>
        <w:ind w:left="0" w:leftChars="0" w:firstLine="640" w:firstLineChars="200"/>
        <w:jc w:val="both"/>
        <w:textAlignment w:val="auto"/>
        <w:outlineLvl w:val="9"/>
        <w:rPr>
          <w:rFonts w:hint="eastAsia"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（十）2210201-住房公积金支出</w:t>
      </w:r>
      <w:r>
        <w:rPr>
          <w:rFonts w:hint="eastAsia" w:ascii="Times New Roman" w:hAnsi="Times New Roman" w:eastAsia="仿宋_GB2312" w:cs="Times New Roman"/>
          <w:sz w:val="32"/>
          <w:szCs w:val="32"/>
          <w:lang w:val="en-US" w:eastAsia="zh-CN"/>
        </w:rPr>
        <w:t>83.36</w:t>
      </w:r>
      <w:r>
        <w:rPr>
          <w:rFonts w:hint="default" w:ascii="Times New Roman" w:hAnsi="Times New Roman" w:eastAsia="仿宋_GB2312" w:cs="Times New Roman"/>
          <w:sz w:val="32"/>
          <w:szCs w:val="32"/>
          <w:lang w:val="en-US" w:eastAsia="zh-CN"/>
        </w:rPr>
        <w:t>万元，全部用于缴纳行政及事业在职职工单位部分住房公积金</w:t>
      </w:r>
      <w:r>
        <w:rPr>
          <w:rFonts w:hint="eastAsia" w:ascii="Times New Roman" w:hAnsi="Times New Roman" w:eastAsia="仿宋_GB2312" w:cs="Times New Roman"/>
          <w:sz w:val="32"/>
          <w:szCs w:val="32"/>
          <w:lang w:val="en-US" w:eastAsia="zh-CN"/>
        </w:rPr>
        <w:t>。</w:t>
      </w:r>
    </w:p>
    <w:p>
      <w:pPr>
        <w:keepNext w:val="0"/>
        <w:keepLines w:val="0"/>
        <w:pageBreakBefore w:val="0"/>
        <w:widowControl w:val="0"/>
        <w:numPr>
          <w:ilvl w:val="0"/>
          <w:numId w:val="1"/>
        </w:numPr>
        <w:pBdr>
          <w:bottom w:val="single" w:color="FFFFFF" w:sz="4" w:space="29"/>
        </w:pBdr>
        <w:kinsoku/>
        <w:wordWrap/>
        <w:overflowPunct/>
        <w:topLinePunct w:val="0"/>
        <w:autoSpaceDE/>
        <w:autoSpaceDN/>
        <w:bidi w:val="0"/>
        <w:adjustRightInd w:val="0"/>
        <w:snapToGrid w:val="0"/>
        <w:spacing w:after="0" w:line="576" w:lineRule="exact"/>
        <w:ind w:left="0" w:leftChars="0" w:firstLine="640" w:firstLineChars="200"/>
        <w:jc w:val="both"/>
        <w:textAlignment w:val="auto"/>
        <w:outlineLvl w:val="9"/>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较上年度增减变化</w:t>
      </w:r>
    </w:p>
    <w:p>
      <w:pPr>
        <w:keepNext w:val="0"/>
        <w:keepLines w:val="0"/>
        <w:pageBreakBefore w:val="0"/>
        <w:widowControl w:val="0"/>
        <w:numPr>
          <w:ilvl w:val="0"/>
          <w:numId w:val="0"/>
        </w:numPr>
        <w:pBdr>
          <w:bottom w:val="single" w:color="FFFFFF" w:sz="4" w:space="29"/>
        </w:pBdr>
        <w:kinsoku/>
        <w:wordWrap/>
        <w:overflowPunct/>
        <w:topLinePunct w:val="0"/>
        <w:autoSpaceDE/>
        <w:autoSpaceDN/>
        <w:bidi w:val="0"/>
        <w:adjustRightInd w:val="0"/>
        <w:snapToGrid w:val="0"/>
        <w:spacing w:after="0" w:line="576" w:lineRule="exact"/>
        <w:ind w:firstLine="640" w:firstLineChars="2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本年度预算拨款收入1450.18万元较上年度预算1463.69万元减少了9%，其中基本行政运行经费预算734.81万元，占全部总预算的50.67%，较上年719万元增加了2%，原因为压缩各项开支，人员增加保险支出增加；专项业务工作经费预算265.16万元，占总预算的18.28%，较上年预算270.35元减少了1.96%，主要原因为缩减了项目经费开支，减少相关支出。 </w:t>
      </w:r>
      <w:r>
        <w:rPr>
          <w:rFonts w:hint="eastAsia" w:ascii="黑体" w:hAnsi="黑体" w:eastAsia="黑体" w:cs="黑体"/>
          <w:color w:val="333333"/>
          <w:kern w:val="0"/>
          <w:sz w:val="32"/>
          <w:szCs w:val="32"/>
          <w:shd w:val="clear" w:color="auto" w:fill="FFFFFF"/>
          <w:lang w:val="en-US" w:eastAsia="zh-CN" w:bidi="ar"/>
        </w:rPr>
        <w:t xml:space="preserve"> </w:t>
      </w:r>
      <w:r>
        <w:rPr>
          <w:rFonts w:hint="eastAsia" w:ascii="仿宋_GB2312" w:eastAsia="仿宋_GB2312"/>
          <w:sz w:val="32"/>
          <w:szCs w:val="32"/>
          <w:lang w:val="en-US" w:eastAsia="zh-CN"/>
        </w:rPr>
        <w:t xml:space="preserve"> </w:t>
      </w:r>
    </w:p>
    <w:p>
      <w:pPr>
        <w:keepNext w:val="0"/>
        <w:keepLines w:val="0"/>
        <w:pageBreakBefore w:val="0"/>
        <w:widowControl w:val="0"/>
        <w:numPr>
          <w:ilvl w:val="0"/>
          <w:numId w:val="1"/>
        </w:numPr>
        <w:pBdr>
          <w:bottom w:val="single" w:color="FFFFFF" w:sz="4" w:space="29"/>
        </w:pBdr>
        <w:kinsoku/>
        <w:wordWrap/>
        <w:overflowPunct/>
        <w:topLinePunct w:val="0"/>
        <w:autoSpaceDE/>
        <w:autoSpaceDN/>
        <w:bidi w:val="0"/>
        <w:adjustRightInd w:val="0"/>
        <w:snapToGrid w:val="0"/>
        <w:spacing w:after="0" w:line="576" w:lineRule="exact"/>
        <w:ind w:left="0" w:leftChars="0" w:firstLine="640" w:firstLineChars="200"/>
        <w:jc w:val="both"/>
        <w:textAlignment w:val="auto"/>
        <w:outlineLvl w:val="9"/>
        <w:rPr>
          <w:rFonts w:hint="eastAsia" w:ascii="Times New Roman" w:hAnsi="Times New Roman" w:eastAsia="仿宋" w:cs="Times New Roman"/>
          <w:sz w:val="32"/>
          <w:szCs w:val="32"/>
          <w:lang w:val="en-US" w:eastAsia="zh-CN"/>
        </w:rPr>
      </w:pPr>
      <w:r>
        <w:rPr>
          <w:rFonts w:hint="eastAsia" w:ascii="黑体" w:hAnsi="黑体" w:eastAsia="黑体" w:cs="黑体"/>
          <w:color w:val="333333"/>
          <w:kern w:val="0"/>
          <w:sz w:val="32"/>
          <w:szCs w:val="32"/>
          <w:shd w:val="clear" w:color="auto" w:fill="FFFFFF"/>
          <w:lang w:val="en-US" w:eastAsia="zh-CN" w:bidi="ar"/>
        </w:rPr>
        <w:t>“三公”经费预算</w:t>
      </w:r>
    </w:p>
    <w:p>
      <w:pPr>
        <w:keepNext w:val="0"/>
        <w:keepLines w:val="0"/>
        <w:pageBreakBefore w:val="0"/>
        <w:widowControl w:val="0"/>
        <w:numPr>
          <w:ilvl w:val="0"/>
          <w:numId w:val="0"/>
        </w:numPr>
        <w:pBdr>
          <w:bottom w:val="single" w:color="FFFFFF" w:sz="4" w:space="29"/>
        </w:pBdr>
        <w:kinsoku/>
        <w:wordWrap/>
        <w:overflowPunct/>
        <w:topLinePunct w:val="0"/>
        <w:autoSpaceDE/>
        <w:autoSpaceDN/>
        <w:bidi w:val="0"/>
        <w:adjustRightInd w:val="0"/>
        <w:snapToGrid w:val="0"/>
        <w:spacing w:after="0" w:line="576" w:lineRule="exact"/>
        <w:ind w:firstLine="640" w:firstLineChars="200"/>
        <w:jc w:val="both"/>
        <w:textAlignment w:val="auto"/>
        <w:outlineLvl w:val="9"/>
        <w:rPr>
          <w:rFonts w:hint="eastAsia" w:ascii="Times New Roman" w:hAnsi="Times New Roman" w:eastAsia="仿宋" w:cs="Times New Roman"/>
          <w:sz w:val="32"/>
          <w:szCs w:val="32"/>
          <w:lang w:val="en-US" w:eastAsia="zh-CN"/>
        </w:rPr>
      </w:pPr>
      <w:r>
        <w:rPr>
          <w:rFonts w:hint="default" w:ascii="Times New Roman" w:hAnsi="Times New Roman" w:eastAsia="仿宋" w:cs="Times New Roman"/>
          <w:sz w:val="32"/>
          <w:szCs w:val="32"/>
          <w:lang w:val="en-US" w:eastAsia="zh-CN"/>
        </w:rPr>
        <w:t>2026年三公经费预算安排支出为</w:t>
      </w:r>
      <w:r>
        <w:rPr>
          <w:rFonts w:hint="eastAsia" w:ascii="Times New Roman" w:hAnsi="Times New Roman" w:eastAsia="仿宋" w:cs="Times New Roman"/>
          <w:sz w:val="32"/>
          <w:szCs w:val="32"/>
          <w:lang w:val="en-US" w:eastAsia="zh-CN"/>
        </w:rPr>
        <w:t>162.47</w:t>
      </w:r>
      <w:r>
        <w:rPr>
          <w:rFonts w:hint="default" w:ascii="Times New Roman" w:hAnsi="Times New Roman" w:eastAsia="仿宋" w:cs="Times New Roman"/>
          <w:sz w:val="32"/>
          <w:szCs w:val="32"/>
          <w:lang w:val="en-US" w:eastAsia="zh-CN"/>
        </w:rPr>
        <w:t>万元，比上年</w:t>
      </w:r>
      <w:r>
        <w:rPr>
          <w:rFonts w:hint="eastAsia" w:ascii="Times New Roman" w:hAnsi="Times New Roman" w:eastAsia="仿宋" w:cs="Times New Roman"/>
          <w:sz w:val="32"/>
          <w:szCs w:val="32"/>
          <w:lang w:val="en-US" w:eastAsia="zh-CN"/>
        </w:rPr>
        <w:t>169.19</w:t>
      </w:r>
      <w:r>
        <w:rPr>
          <w:rFonts w:hint="default" w:ascii="Times New Roman" w:hAnsi="Times New Roman" w:eastAsia="仿宋" w:cs="Times New Roman"/>
          <w:sz w:val="32"/>
          <w:szCs w:val="32"/>
          <w:lang w:val="en-US" w:eastAsia="zh-CN"/>
        </w:rPr>
        <w:t>万元减少</w:t>
      </w:r>
      <w:r>
        <w:rPr>
          <w:rFonts w:hint="eastAsia" w:ascii="Times New Roman" w:hAnsi="Times New Roman" w:eastAsia="仿宋" w:cs="Times New Roman"/>
          <w:sz w:val="32"/>
          <w:szCs w:val="32"/>
          <w:lang w:val="en-US" w:eastAsia="zh-CN"/>
        </w:rPr>
        <w:t>6.72</w:t>
      </w:r>
      <w:r>
        <w:rPr>
          <w:rFonts w:hint="default" w:ascii="Times New Roman" w:hAnsi="Times New Roman" w:eastAsia="仿宋" w:cs="Times New Roman"/>
          <w:sz w:val="32"/>
          <w:szCs w:val="32"/>
          <w:lang w:val="en-US" w:eastAsia="zh-CN"/>
        </w:rPr>
        <w:t>万元，下降</w:t>
      </w:r>
      <w:r>
        <w:rPr>
          <w:rFonts w:hint="eastAsia" w:ascii="Times New Roman" w:hAnsi="Times New Roman" w:eastAsia="仿宋" w:cs="Times New Roman"/>
          <w:sz w:val="32"/>
          <w:szCs w:val="32"/>
          <w:lang w:val="en-US" w:eastAsia="zh-CN"/>
        </w:rPr>
        <w:t>4.14</w:t>
      </w:r>
      <w:r>
        <w:rPr>
          <w:rFonts w:hint="default" w:ascii="Times New Roman" w:hAnsi="Times New Roman" w:eastAsia="仿宋" w:cs="Times New Roman"/>
          <w:sz w:val="32"/>
          <w:szCs w:val="32"/>
          <w:lang w:val="en-US" w:eastAsia="zh-CN"/>
        </w:rPr>
        <w:t>%，下降主要原因是根据实际工作需要，严格落实中央八项规定，减少不必要的开支，如接待费。其中：出国费0万元，与上年持平，主要原因为未安排因公出国；公务用车维护费支出</w:t>
      </w:r>
      <w:r>
        <w:rPr>
          <w:rFonts w:hint="eastAsia" w:ascii="Times New Roman" w:hAnsi="Times New Roman" w:eastAsia="仿宋" w:cs="Times New Roman"/>
          <w:sz w:val="32"/>
          <w:szCs w:val="32"/>
          <w:lang w:val="en-US" w:eastAsia="zh-CN"/>
        </w:rPr>
        <w:t>161.5</w:t>
      </w:r>
      <w:r>
        <w:rPr>
          <w:rFonts w:hint="default" w:ascii="Times New Roman" w:hAnsi="Times New Roman" w:eastAsia="仿宋" w:cs="Times New Roman"/>
          <w:sz w:val="32"/>
          <w:szCs w:val="32"/>
          <w:lang w:val="en-US" w:eastAsia="zh-CN"/>
        </w:rPr>
        <w:t>万元，与上年基本持平，主要是按照厉行节约要求减少公车开支；公务接待费0.</w:t>
      </w:r>
      <w:r>
        <w:rPr>
          <w:rFonts w:hint="eastAsia" w:ascii="Times New Roman" w:hAnsi="Times New Roman" w:eastAsia="仿宋" w:cs="Times New Roman"/>
          <w:sz w:val="32"/>
          <w:szCs w:val="32"/>
          <w:lang w:val="en-US" w:eastAsia="zh-CN"/>
        </w:rPr>
        <w:t>97</w:t>
      </w:r>
      <w:r>
        <w:rPr>
          <w:rFonts w:hint="default" w:ascii="Times New Roman" w:hAnsi="Times New Roman" w:eastAsia="仿宋" w:cs="Times New Roman"/>
          <w:sz w:val="32"/>
          <w:szCs w:val="32"/>
          <w:lang w:val="en-US" w:eastAsia="zh-CN"/>
        </w:rPr>
        <w:t>万元，较上年度预算减少0.0</w:t>
      </w:r>
      <w:r>
        <w:rPr>
          <w:rFonts w:hint="eastAsia" w:ascii="Times New Roman" w:hAnsi="Times New Roman" w:eastAsia="仿宋" w:cs="Times New Roman"/>
          <w:sz w:val="32"/>
          <w:szCs w:val="32"/>
          <w:lang w:val="en-US" w:eastAsia="zh-CN"/>
        </w:rPr>
        <w:t>1</w:t>
      </w:r>
      <w:r>
        <w:rPr>
          <w:rFonts w:hint="default" w:ascii="Times New Roman" w:hAnsi="Times New Roman" w:eastAsia="仿宋" w:cs="Times New Roman"/>
          <w:sz w:val="32"/>
          <w:szCs w:val="32"/>
          <w:lang w:val="en-US" w:eastAsia="zh-CN"/>
        </w:rPr>
        <w:t>万元，下降</w:t>
      </w:r>
      <w:r>
        <w:rPr>
          <w:rFonts w:hint="eastAsia" w:ascii="Times New Roman" w:hAnsi="Times New Roman" w:eastAsia="仿宋" w:cs="Times New Roman"/>
          <w:sz w:val="32"/>
          <w:szCs w:val="32"/>
          <w:lang w:val="en-US" w:eastAsia="zh-CN"/>
        </w:rPr>
        <w:t>1</w:t>
      </w:r>
      <w:r>
        <w:rPr>
          <w:rFonts w:hint="default" w:ascii="Times New Roman" w:hAnsi="Times New Roman" w:eastAsia="仿宋" w:cs="Times New Roman"/>
          <w:sz w:val="32"/>
          <w:szCs w:val="32"/>
          <w:lang w:val="en-US" w:eastAsia="zh-CN"/>
        </w:rPr>
        <w:t>%，主要原因是2026年我</w:t>
      </w:r>
      <w:r>
        <w:rPr>
          <w:rFonts w:hint="eastAsia" w:ascii="Times New Roman" w:hAnsi="Times New Roman" w:eastAsia="仿宋" w:cs="Times New Roman"/>
          <w:sz w:val="32"/>
          <w:szCs w:val="32"/>
          <w:lang w:val="en-US" w:eastAsia="zh-CN"/>
        </w:rPr>
        <w:t>办</w:t>
      </w:r>
      <w:r>
        <w:rPr>
          <w:rFonts w:hint="default" w:ascii="Times New Roman" w:hAnsi="Times New Roman" w:eastAsia="仿宋" w:cs="Times New Roman"/>
          <w:sz w:val="32"/>
          <w:szCs w:val="32"/>
          <w:lang w:val="en-US" w:eastAsia="zh-CN"/>
        </w:rPr>
        <w:t>将结合本年度工作需要，厉行节约，严格按照扫码支付相关要求，</w:t>
      </w:r>
      <w:r>
        <w:rPr>
          <w:rFonts w:hint="eastAsia" w:ascii="Times New Roman" w:hAnsi="Times New Roman" w:eastAsia="仿宋" w:cs="Times New Roman"/>
          <w:sz w:val="32"/>
          <w:szCs w:val="32"/>
          <w:lang w:val="en-US" w:eastAsia="zh-CN"/>
        </w:rPr>
        <w:t>将有关股室的工作有机地结合起来，减少不必要的资源浪费。</w:t>
      </w:r>
    </w:p>
    <w:p>
      <w:pPr>
        <w:keepNext w:val="0"/>
        <w:keepLines w:val="0"/>
        <w:pageBreakBefore w:val="0"/>
        <w:widowControl w:val="0"/>
        <w:numPr>
          <w:ilvl w:val="0"/>
          <w:numId w:val="1"/>
        </w:numPr>
        <w:pBdr>
          <w:bottom w:val="single" w:color="FFFFFF" w:sz="4" w:space="29"/>
        </w:pBdr>
        <w:kinsoku/>
        <w:wordWrap/>
        <w:overflowPunct/>
        <w:topLinePunct w:val="0"/>
        <w:autoSpaceDE/>
        <w:autoSpaceDN/>
        <w:bidi w:val="0"/>
        <w:adjustRightInd w:val="0"/>
        <w:snapToGrid w:val="0"/>
        <w:spacing w:after="0" w:line="576" w:lineRule="exact"/>
        <w:ind w:left="0" w:leftChars="0" w:firstLine="640" w:firstLineChars="200"/>
        <w:jc w:val="both"/>
        <w:textAlignment w:val="auto"/>
        <w:outlineLvl w:val="9"/>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政府性基金预算收支情况说明</w:t>
      </w:r>
    </w:p>
    <w:p>
      <w:pPr>
        <w:keepNext w:val="0"/>
        <w:keepLines w:val="0"/>
        <w:pageBreakBefore w:val="0"/>
        <w:widowControl w:val="0"/>
        <w:numPr>
          <w:ilvl w:val="0"/>
          <w:numId w:val="0"/>
        </w:numPr>
        <w:pBdr>
          <w:bottom w:val="single" w:color="FFFFFF" w:sz="4" w:space="29"/>
        </w:pBdr>
        <w:kinsoku/>
        <w:wordWrap/>
        <w:overflowPunct/>
        <w:topLinePunct w:val="0"/>
        <w:autoSpaceDE/>
        <w:autoSpaceDN/>
        <w:bidi w:val="0"/>
        <w:adjustRightInd w:val="0"/>
        <w:snapToGrid w:val="0"/>
        <w:spacing w:after="0" w:line="576" w:lineRule="exact"/>
        <w:ind w:firstLine="640" w:firstLineChars="200"/>
        <w:jc w:val="both"/>
        <w:textAlignment w:val="auto"/>
        <w:outlineLvl w:val="9"/>
        <w:rPr>
          <w:rFonts w:hint="eastAsia" w:ascii="Times New Roman" w:hAnsi="Times New Roman" w:eastAsia="仿宋" w:cs="Times New Roman"/>
          <w:sz w:val="32"/>
          <w:szCs w:val="32"/>
          <w:lang w:val="en-US" w:eastAsia="zh-CN"/>
        </w:rPr>
      </w:pPr>
      <w:r>
        <w:rPr>
          <w:rFonts w:hint="eastAsia" w:ascii="Times New Roman" w:hAnsi="Times New Roman" w:eastAsia="仿宋" w:cs="Times New Roman"/>
          <w:sz w:val="32"/>
          <w:szCs w:val="32"/>
          <w:lang w:val="en-US" w:eastAsia="zh-CN"/>
        </w:rPr>
        <w:t>2026年无使用政府性基金预算拨款安排的支出。</w:t>
      </w:r>
    </w:p>
    <w:p>
      <w:pPr>
        <w:keepNext w:val="0"/>
        <w:keepLines w:val="0"/>
        <w:pageBreakBefore w:val="0"/>
        <w:widowControl w:val="0"/>
        <w:numPr>
          <w:ilvl w:val="0"/>
          <w:numId w:val="1"/>
        </w:numPr>
        <w:pBdr>
          <w:bottom w:val="single" w:color="FFFFFF" w:sz="4" w:space="29"/>
        </w:pBdr>
        <w:kinsoku/>
        <w:wordWrap/>
        <w:overflowPunct/>
        <w:topLinePunct w:val="0"/>
        <w:autoSpaceDE/>
        <w:autoSpaceDN/>
        <w:bidi w:val="0"/>
        <w:adjustRightInd w:val="0"/>
        <w:snapToGrid w:val="0"/>
        <w:spacing w:after="0" w:line="576" w:lineRule="exact"/>
        <w:ind w:left="0" w:leftChars="0" w:firstLine="640" w:firstLineChars="200"/>
        <w:jc w:val="both"/>
        <w:textAlignment w:val="auto"/>
        <w:outlineLvl w:val="9"/>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国有资本经营预算收支情况说明</w:t>
      </w:r>
    </w:p>
    <w:p>
      <w:pPr>
        <w:keepNext w:val="0"/>
        <w:keepLines w:val="0"/>
        <w:pageBreakBefore w:val="0"/>
        <w:widowControl w:val="0"/>
        <w:numPr>
          <w:ilvl w:val="0"/>
          <w:numId w:val="0"/>
        </w:numPr>
        <w:pBdr>
          <w:bottom w:val="single" w:color="FFFFFF" w:sz="4" w:space="29"/>
        </w:pBdr>
        <w:kinsoku/>
        <w:wordWrap/>
        <w:overflowPunct/>
        <w:topLinePunct w:val="0"/>
        <w:autoSpaceDE/>
        <w:autoSpaceDN/>
        <w:bidi w:val="0"/>
        <w:adjustRightInd w:val="0"/>
        <w:snapToGrid w:val="0"/>
        <w:spacing w:after="0" w:line="576" w:lineRule="exact"/>
        <w:ind w:firstLine="640" w:firstLineChars="200"/>
        <w:jc w:val="both"/>
        <w:textAlignment w:val="auto"/>
        <w:outlineLvl w:val="9"/>
        <w:rPr>
          <w:rFonts w:hint="eastAsia" w:ascii="仿宋_GB2312" w:eastAsia="仿宋_GB2312"/>
          <w:sz w:val="32"/>
          <w:szCs w:val="32"/>
          <w:lang w:val="en-US" w:eastAsia="zh-CN"/>
        </w:rPr>
      </w:pPr>
      <w:r>
        <w:rPr>
          <w:rFonts w:hint="eastAsia" w:ascii="Times New Roman" w:hAnsi="Times New Roman" w:eastAsia="仿宋" w:cs="Times New Roman"/>
          <w:sz w:val="32"/>
          <w:szCs w:val="32"/>
          <w:lang w:val="en-US" w:eastAsia="zh-CN"/>
        </w:rPr>
        <w:t>2026年无使用国有资本经营预算拨款安排的支出。</w:t>
      </w:r>
    </w:p>
    <w:p>
      <w:pPr>
        <w:keepNext w:val="0"/>
        <w:keepLines w:val="0"/>
        <w:pageBreakBefore w:val="0"/>
        <w:widowControl w:val="0"/>
        <w:numPr>
          <w:ilvl w:val="0"/>
          <w:numId w:val="1"/>
        </w:numPr>
        <w:pBdr>
          <w:bottom w:val="single" w:color="FFFFFF" w:sz="4" w:space="29"/>
        </w:pBdr>
        <w:kinsoku/>
        <w:wordWrap/>
        <w:overflowPunct/>
        <w:topLinePunct w:val="0"/>
        <w:autoSpaceDE/>
        <w:autoSpaceDN/>
        <w:bidi w:val="0"/>
        <w:adjustRightInd w:val="0"/>
        <w:snapToGrid w:val="0"/>
        <w:spacing w:after="0" w:line="576" w:lineRule="exact"/>
        <w:ind w:left="0" w:leftChars="0" w:firstLine="640" w:firstLineChars="200"/>
        <w:jc w:val="both"/>
        <w:textAlignment w:val="auto"/>
        <w:outlineLvl w:val="9"/>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其他重要事项的情况说明</w:t>
      </w:r>
    </w:p>
    <w:p>
      <w:pPr>
        <w:keepNext w:val="0"/>
        <w:keepLines w:val="0"/>
        <w:pageBreakBefore w:val="0"/>
        <w:widowControl w:val="0"/>
        <w:numPr>
          <w:ilvl w:val="0"/>
          <w:numId w:val="0"/>
        </w:numPr>
        <w:pBdr>
          <w:bottom w:val="single" w:color="FFFFFF" w:sz="4" w:space="29"/>
        </w:pBdr>
        <w:kinsoku/>
        <w:wordWrap/>
        <w:overflowPunct/>
        <w:topLinePunct w:val="0"/>
        <w:autoSpaceDE/>
        <w:autoSpaceDN/>
        <w:bidi w:val="0"/>
        <w:adjustRightInd w:val="0"/>
        <w:snapToGrid w:val="0"/>
        <w:spacing w:after="0" w:line="576" w:lineRule="exact"/>
        <w:ind w:leftChars="200"/>
        <w:jc w:val="both"/>
        <w:textAlignment w:val="auto"/>
        <w:outlineLvl w:val="9"/>
        <w:rPr>
          <w:rFonts w:hint="eastAsia" w:ascii="黑体" w:hAnsi="黑体" w:eastAsia="黑体" w:cs="黑体"/>
          <w:color w:val="333333"/>
          <w:kern w:val="0"/>
          <w:sz w:val="32"/>
          <w:szCs w:val="32"/>
          <w:shd w:val="clear" w:color="auto" w:fill="FFFFFF"/>
          <w:lang w:val="en-US" w:eastAsia="zh-CN" w:bidi="ar"/>
        </w:rPr>
      </w:pPr>
      <w:r>
        <w:rPr>
          <w:rFonts w:hint="eastAsia" w:ascii="楷体_GB2312" w:hAnsi="楷体_GB2312" w:eastAsia="楷体_GB2312" w:cs="楷体_GB2312"/>
          <w:b/>
          <w:bCs/>
          <w:color w:val="333333"/>
          <w:kern w:val="0"/>
          <w:sz w:val="32"/>
          <w:szCs w:val="32"/>
          <w:shd w:val="clear" w:color="auto" w:fill="FFFFFF"/>
          <w:lang w:val="en-US" w:eastAsia="zh-CN" w:bidi="ar"/>
        </w:rPr>
        <w:t>（一）政府采购预算情况</w:t>
      </w:r>
      <w:r>
        <w:rPr>
          <w:rFonts w:hint="eastAsia" w:ascii="黑体" w:hAnsi="黑体" w:eastAsia="黑体" w:cs="黑体"/>
          <w:color w:val="333333"/>
          <w:kern w:val="0"/>
          <w:sz w:val="32"/>
          <w:szCs w:val="32"/>
          <w:shd w:val="clear" w:color="auto" w:fill="FFFFFF"/>
          <w:lang w:val="en-US" w:eastAsia="zh-CN" w:bidi="ar"/>
        </w:rPr>
        <w:t xml:space="preserve">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2026年度安排政府采购预算0万元。</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pPr>
      <w:r>
        <w:rPr>
          <w:rFonts w:hint="eastAsia" w:ascii="楷体_GB2312" w:hAnsi="楷体_GB2312" w:eastAsia="楷体_GB2312" w:cs="楷体_GB2312"/>
          <w:b/>
          <w:bCs/>
          <w:color w:val="333333"/>
          <w:kern w:val="0"/>
          <w:sz w:val="32"/>
          <w:szCs w:val="32"/>
          <w:shd w:val="clear" w:color="auto" w:fill="FFFFFF"/>
          <w:lang w:val="en-US" w:eastAsia="zh-CN" w:bidi="ar"/>
        </w:rPr>
        <w:t>（二）政府财政国有资产占用情况</w:t>
      </w:r>
      <w:r>
        <w:rPr>
          <w:rFonts w:hint="eastAsia" w:ascii="微软雅黑" w:hAnsi="微软雅黑" w:eastAsia="微软雅黑" w:cs="微软雅黑"/>
          <w:color w:val="333333"/>
          <w:kern w:val="0"/>
          <w:sz w:val="24"/>
          <w:szCs w:val="24"/>
          <w:shd w:val="clear" w:color="auto" w:fill="FFFFFF"/>
          <w:lang w:val="en-US" w:eastAsia="zh-CN" w:bidi="ar"/>
        </w:rPr>
        <w:t xml:space="preserve"> </w:t>
      </w:r>
    </w:p>
    <w:p>
      <w:pPr>
        <w:keepNext w:val="0"/>
        <w:keepLines w:val="0"/>
        <w:pageBreakBefore w:val="0"/>
        <w:widowControl w:val="0"/>
        <w:numPr>
          <w:ilvl w:val="0"/>
          <w:numId w:val="0"/>
        </w:numPr>
        <w:pBdr>
          <w:bottom w:val="single" w:color="FFFFFF" w:sz="4" w:space="29"/>
        </w:pBdr>
        <w:kinsoku/>
        <w:wordWrap/>
        <w:overflowPunct/>
        <w:topLinePunct w:val="0"/>
        <w:autoSpaceDE/>
        <w:autoSpaceDN/>
        <w:bidi w:val="0"/>
        <w:adjustRightInd w:val="0"/>
        <w:snapToGrid w:val="0"/>
        <w:spacing w:after="0" w:line="576" w:lineRule="exact"/>
        <w:ind w:left="0" w:leftChars="0" w:firstLine="640" w:firstLineChars="200"/>
        <w:jc w:val="both"/>
        <w:textAlignment w:val="auto"/>
        <w:outlineLvl w:val="9"/>
        <w:rPr>
          <w:rFonts w:hint="eastAsia" w:ascii="仿宋_GB2312" w:eastAsia="仿宋_GB2312"/>
          <w:sz w:val="32"/>
          <w:szCs w:val="32"/>
          <w:lang w:val="en-US" w:eastAsia="zh-CN"/>
        </w:rPr>
      </w:pPr>
      <w:r>
        <w:rPr>
          <w:rFonts w:hint="default" w:ascii="Times New Roman" w:hAnsi="Times New Roman" w:eastAsia="仿宋_GB2312" w:cs="Times New Roman"/>
          <w:color w:val="000000"/>
          <w:sz w:val="32"/>
          <w:szCs w:val="32"/>
          <w:lang w:val="en-US" w:eastAsia="zh-CN"/>
        </w:rPr>
        <w:t>2025年固定资产（原值下同）</w:t>
      </w:r>
      <w:r>
        <w:rPr>
          <w:rFonts w:hint="eastAsia" w:ascii="Times New Roman" w:hAnsi="Times New Roman" w:eastAsia="仿宋_GB2312" w:cs="Times New Roman"/>
          <w:color w:val="000000"/>
          <w:sz w:val="32"/>
          <w:szCs w:val="32"/>
          <w:lang w:val="en-US" w:eastAsia="zh-CN"/>
        </w:rPr>
        <w:t>1625.08</w:t>
      </w:r>
      <w:r>
        <w:rPr>
          <w:rFonts w:hint="default" w:ascii="Times New Roman" w:hAnsi="Times New Roman" w:eastAsia="仿宋_GB2312" w:cs="Times New Roman"/>
          <w:color w:val="000000"/>
          <w:sz w:val="32"/>
          <w:szCs w:val="32"/>
          <w:lang w:val="en-US" w:eastAsia="zh-CN"/>
        </w:rPr>
        <w:t>万元，较上年新增固定资产</w:t>
      </w:r>
      <w:r>
        <w:rPr>
          <w:rFonts w:hint="eastAsia" w:ascii="Times New Roman" w:hAnsi="Times New Roman" w:eastAsia="仿宋_GB2312" w:cs="Times New Roman"/>
          <w:color w:val="000000"/>
          <w:sz w:val="32"/>
          <w:szCs w:val="32"/>
          <w:lang w:val="en-US" w:eastAsia="zh-CN"/>
        </w:rPr>
        <w:t>64.75</w:t>
      </w:r>
      <w:r>
        <w:rPr>
          <w:rFonts w:hint="default" w:ascii="Times New Roman" w:hAnsi="Times New Roman" w:eastAsia="仿宋_GB2312" w:cs="Times New Roman"/>
          <w:color w:val="000000"/>
          <w:sz w:val="32"/>
          <w:szCs w:val="32"/>
          <w:lang w:val="en-US" w:eastAsia="zh-CN"/>
        </w:rPr>
        <w:t>万元，其中设备增加</w:t>
      </w:r>
      <w:r>
        <w:rPr>
          <w:rFonts w:hint="eastAsia" w:ascii="Times New Roman" w:hAnsi="Times New Roman" w:eastAsia="仿宋_GB2312" w:cs="Times New Roman"/>
          <w:color w:val="000000"/>
          <w:sz w:val="32"/>
          <w:szCs w:val="32"/>
          <w:lang w:val="en-US" w:eastAsia="zh-CN"/>
        </w:rPr>
        <w:t>60</w:t>
      </w:r>
      <w:r>
        <w:rPr>
          <w:rFonts w:hint="default" w:ascii="Times New Roman" w:hAnsi="Times New Roman" w:eastAsia="仿宋_GB2312" w:cs="Times New Roman"/>
          <w:color w:val="000000"/>
          <w:sz w:val="32"/>
          <w:szCs w:val="32"/>
          <w:lang w:val="en-US" w:eastAsia="zh-CN"/>
        </w:rPr>
        <w:t>万元、家具</w:t>
      </w:r>
      <w:r>
        <w:rPr>
          <w:rFonts w:hint="eastAsia" w:ascii="Times New Roman" w:hAnsi="Times New Roman" w:eastAsia="仿宋_GB2312" w:cs="Times New Roman"/>
          <w:color w:val="000000"/>
          <w:sz w:val="32"/>
          <w:szCs w:val="32"/>
          <w:lang w:val="en-US" w:eastAsia="zh-CN"/>
        </w:rPr>
        <w:t>4.75</w:t>
      </w:r>
      <w:r>
        <w:rPr>
          <w:rFonts w:hint="default" w:ascii="Times New Roman" w:hAnsi="Times New Roman" w:eastAsia="仿宋_GB2312" w:cs="Times New Roman"/>
          <w:color w:val="000000"/>
          <w:sz w:val="32"/>
          <w:szCs w:val="32"/>
          <w:lang w:val="en-US" w:eastAsia="zh-CN"/>
        </w:rPr>
        <w:t>万元。2025年固定资产为：房屋构筑物</w:t>
      </w:r>
      <w:r>
        <w:rPr>
          <w:rFonts w:hint="eastAsia" w:ascii="Times New Roman" w:hAnsi="Times New Roman" w:eastAsia="仿宋_GB2312" w:cs="Times New Roman"/>
          <w:color w:val="000000"/>
          <w:sz w:val="32"/>
          <w:szCs w:val="32"/>
          <w:lang w:val="en-US" w:eastAsia="zh-CN"/>
        </w:rPr>
        <w:t>230.94</w:t>
      </w:r>
      <w:r>
        <w:rPr>
          <w:rFonts w:hint="default" w:ascii="Times New Roman" w:hAnsi="Times New Roman" w:eastAsia="仿宋_GB2312" w:cs="Times New Roman"/>
          <w:color w:val="000000"/>
          <w:sz w:val="32"/>
          <w:szCs w:val="32"/>
          <w:lang w:val="en-US" w:eastAsia="zh-CN"/>
        </w:rPr>
        <w:t>万元，设备</w:t>
      </w:r>
      <w:r>
        <w:rPr>
          <w:rFonts w:hint="eastAsia" w:ascii="Times New Roman" w:hAnsi="Times New Roman" w:eastAsia="仿宋_GB2312" w:cs="Times New Roman"/>
          <w:color w:val="000000"/>
          <w:sz w:val="32"/>
          <w:szCs w:val="32"/>
          <w:lang w:val="en-US" w:eastAsia="zh-CN"/>
        </w:rPr>
        <w:t>1365.16</w:t>
      </w:r>
      <w:r>
        <w:rPr>
          <w:rFonts w:hint="default" w:ascii="Times New Roman" w:hAnsi="Times New Roman" w:eastAsia="仿宋_GB2312" w:cs="Times New Roman"/>
          <w:color w:val="000000"/>
          <w:sz w:val="32"/>
          <w:szCs w:val="32"/>
          <w:lang w:val="en-US" w:eastAsia="zh-CN"/>
        </w:rPr>
        <w:t>万元，家具和用具</w:t>
      </w:r>
      <w:r>
        <w:rPr>
          <w:rFonts w:hint="eastAsia" w:ascii="Times New Roman" w:hAnsi="Times New Roman" w:eastAsia="仿宋_GB2312" w:cs="Times New Roman"/>
          <w:color w:val="000000"/>
          <w:sz w:val="32"/>
          <w:szCs w:val="32"/>
          <w:lang w:val="en-US" w:eastAsia="zh-CN"/>
        </w:rPr>
        <w:t>28.97</w:t>
      </w:r>
      <w:r>
        <w:rPr>
          <w:rFonts w:hint="default" w:ascii="Times New Roman" w:hAnsi="Times New Roman" w:eastAsia="仿宋_GB2312" w:cs="Times New Roman"/>
          <w:color w:val="000000"/>
          <w:sz w:val="32"/>
          <w:szCs w:val="32"/>
          <w:lang w:val="en-US" w:eastAsia="zh-CN"/>
        </w:rPr>
        <w:t>万元</w:t>
      </w:r>
      <w:r>
        <w:rPr>
          <w:rFonts w:hint="eastAsia" w:ascii="Times New Roman" w:hAnsi="Times New Roman" w:eastAsia="仿宋_GB2312" w:cs="Times New Roman"/>
          <w:color w:val="000000"/>
          <w:sz w:val="32"/>
          <w:szCs w:val="32"/>
          <w:lang w:val="en-US" w:eastAsia="zh-CN"/>
        </w:rPr>
        <w:t>。</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楷体_GB2312" w:hAnsi="楷体_GB2312" w:eastAsia="楷体_GB2312" w:cs="楷体_GB2312"/>
          <w:b/>
          <w:bCs/>
          <w:color w:val="333333"/>
          <w:kern w:val="0"/>
          <w:sz w:val="32"/>
          <w:szCs w:val="32"/>
          <w:shd w:val="clear" w:color="auto" w:fill="FFFFFF"/>
          <w:lang w:val="en-US" w:eastAsia="zh-CN" w:bidi="ar"/>
        </w:rPr>
      </w:pPr>
      <w:r>
        <w:rPr>
          <w:rFonts w:hint="eastAsia" w:ascii="楷体_GB2312" w:hAnsi="楷体_GB2312" w:eastAsia="楷体_GB2312" w:cs="楷体_GB2312"/>
          <w:b/>
          <w:bCs/>
          <w:color w:val="333333"/>
          <w:kern w:val="0"/>
          <w:sz w:val="32"/>
          <w:szCs w:val="32"/>
          <w:shd w:val="clear" w:color="auto" w:fill="FFFFFF"/>
          <w:lang w:val="en-US" w:eastAsia="zh-CN" w:bidi="ar"/>
        </w:rPr>
        <w:t>（三）绩效目标设置情况</w:t>
      </w:r>
    </w:p>
    <w:p>
      <w:pPr>
        <w:keepNext w:val="0"/>
        <w:keepLines w:val="0"/>
        <w:pageBreakBefore w:val="0"/>
        <w:widowControl w:val="0"/>
        <w:numPr>
          <w:ilvl w:val="0"/>
          <w:numId w:val="0"/>
        </w:numPr>
        <w:pBdr>
          <w:bottom w:val="single" w:color="FFFFFF" w:sz="4" w:space="29"/>
        </w:pBdr>
        <w:kinsoku/>
        <w:wordWrap/>
        <w:overflowPunct/>
        <w:topLinePunct w:val="0"/>
        <w:autoSpaceDE/>
        <w:autoSpaceDN/>
        <w:bidi w:val="0"/>
        <w:adjustRightInd w:val="0"/>
        <w:snapToGrid w:val="0"/>
        <w:spacing w:after="0" w:line="576" w:lineRule="exact"/>
        <w:ind w:firstLine="640" w:firstLineChars="200"/>
        <w:jc w:val="both"/>
        <w:textAlignment w:val="auto"/>
        <w:outlineLvl w:val="9"/>
        <w:rPr>
          <w:rFonts w:hint="default" w:ascii="Times New Roman" w:hAnsi="Times New Roman" w:eastAsia="黑体" w:cs="Times New Roman"/>
          <w:color w:val="333333"/>
          <w:kern w:val="0"/>
          <w:sz w:val="32"/>
          <w:szCs w:val="32"/>
          <w:shd w:val="clear" w:color="auto" w:fill="FFFFFF"/>
          <w:lang w:val="en-US" w:eastAsia="zh-CN" w:bidi="ar"/>
        </w:rPr>
      </w:pPr>
      <w:r>
        <w:rPr>
          <w:rFonts w:hint="default" w:ascii="Times New Roman" w:hAnsi="Times New Roman" w:eastAsia="仿宋_GB2312" w:cs="Times New Roman"/>
          <w:sz w:val="32"/>
          <w:szCs w:val="32"/>
          <w:lang w:val="en-US" w:eastAsia="zh-CN"/>
        </w:rPr>
        <w:t xml:space="preserve">绩效目标是预算编制的前提和基础，按照“费随事定”的原则，2026年我单位项目支出按要求编制了绩效目标，从项目完成、项目效益、满意度等方面做了测评，具体情况详见附表6。 </w:t>
      </w:r>
      <w:r>
        <w:rPr>
          <w:rFonts w:hint="default" w:ascii="Times New Roman" w:hAnsi="Times New Roman" w:eastAsia="黑体" w:cs="Times New Roman"/>
          <w:color w:val="333333"/>
          <w:kern w:val="0"/>
          <w:sz w:val="32"/>
          <w:szCs w:val="32"/>
          <w:shd w:val="clear" w:color="auto" w:fill="FFFFFF"/>
          <w:lang w:val="en-US" w:eastAsia="zh-CN" w:bidi="ar"/>
        </w:rPr>
        <w:t xml:space="preserve">     </w:t>
      </w:r>
    </w:p>
    <w:p>
      <w:pPr>
        <w:keepNext w:val="0"/>
        <w:keepLines w:val="0"/>
        <w:pageBreakBefore w:val="0"/>
        <w:widowControl w:val="0"/>
        <w:numPr>
          <w:ilvl w:val="0"/>
          <w:numId w:val="0"/>
        </w:numPr>
        <w:pBdr>
          <w:bottom w:val="single" w:color="FFFFFF" w:sz="4" w:space="29"/>
        </w:pBdr>
        <w:kinsoku/>
        <w:wordWrap/>
        <w:overflowPunct/>
        <w:topLinePunct w:val="0"/>
        <w:autoSpaceDE/>
        <w:autoSpaceDN/>
        <w:bidi w:val="0"/>
        <w:adjustRightInd w:val="0"/>
        <w:snapToGrid w:val="0"/>
        <w:spacing w:after="0" w:line="576" w:lineRule="exact"/>
        <w:ind w:firstLine="640" w:firstLineChars="200"/>
        <w:jc w:val="both"/>
        <w:textAlignment w:val="auto"/>
        <w:outlineLvl w:val="9"/>
        <w:rPr>
          <w:rFonts w:hint="default" w:ascii="Times New Roman" w:hAnsi="Times New Roman" w:eastAsia="黑体" w:cs="Times New Roman"/>
          <w:color w:val="333333"/>
          <w:kern w:val="0"/>
          <w:sz w:val="32"/>
          <w:szCs w:val="32"/>
          <w:shd w:val="clear" w:color="auto" w:fill="FFFFFF"/>
          <w:lang w:val="en-US" w:eastAsia="zh-CN" w:bidi="ar"/>
        </w:rPr>
      </w:pPr>
    </w:p>
    <w:p>
      <w:pPr>
        <w:keepNext w:val="0"/>
        <w:keepLines w:val="0"/>
        <w:pageBreakBefore w:val="0"/>
        <w:widowControl w:val="0"/>
        <w:numPr>
          <w:ilvl w:val="0"/>
          <w:numId w:val="0"/>
        </w:numPr>
        <w:pBdr>
          <w:bottom w:val="single" w:color="FFFFFF" w:sz="4" w:space="29"/>
        </w:pBdr>
        <w:kinsoku/>
        <w:wordWrap/>
        <w:overflowPunct/>
        <w:topLinePunct w:val="0"/>
        <w:autoSpaceDE/>
        <w:autoSpaceDN/>
        <w:bidi w:val="0"/>
        <w:adjustRightInd w:val="0"/>
        <w:snapToGrid w:val="0"/>
        <w:spacing w:after="0" w:line="576" w:lineRule="exact"/>
        <w:ind w:firstLine="640" w:firstLineChars="200"/>
        <w:jc w:val="both"/>
        <w:textAlignment w:val="auto"/>
        <w:outlineLvl w:val="9"/>
        <w:rPr>
          <w:rFonts w:hint="eastAsia" w:ascii="仿宋_GB2312" w:eastAsia="仿宋_GB2312"/>
          <w:sz w:val="32"/>
          <w:szCs w:val="32"/>
          <w:lang w:val="en-US" w:eastAsia="zh-CN"/>
        </w:rPr>
      </w:pPr>
      <w:r>
        <w:rPr>
          <w:rFonts w:hint="eastAsia" w:ascii="黑体" w:hAnsi="黑体" w:eastAsia="黑体" w:cs="黑体"/>
          <w:color w:val="333333"/>
          <w:kern w:val="0"/>
          <w:sz w:val="32"/>
          <w:szCs w:val="32"/>
          <w:shd w:val="clear" w:color="auto" w:fill="FFFFFF"/>
          <w:lang w:val="en-US" w:eastAsia="zh-CN" w:bidi="ar"/>
        </w:rPr>
        <w:t>十、名词解释</w:t>
      </w:r>
      <w:r>
        <w:rPr>
          <w:rFonts w:hint="eastAsia" w:ascii="宋体" w:hAnsi="宋体" w:eastAsia="宋体" w:cs="宋体"/>
          <w:sz w:val="28"/>
          <w:szCs w:val="28"/>
          <w:lang w:val="en-US" w:eastAsia="zh-CN"/>
        </w:rPr>
        <w:br w:type="textWrapping"/>
      </w:r>
      <w:r>
        <w:rPr>
          <w:rFonts w:hint="eastAsia" w:ascii="仿宋_GB2312" w:eastAsia="仿宋_GB2312"/>
          <w:sz w:val="32"/>
          <w:szCs w:val="32"/>
          <w:lang w:val="en-US" w:eastAsia="zh-CN"/>
        </w:rPr>
        <w:t xml:space="preserve">1.财政拨款收入：指财政部门核拨给单位的财政预算资金。 </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2.其他收入：指除上述财政部门拨付单位以外的收入。</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3.基本支出：指为保障单位机关正常运转、完成日常工作任务而发生的人员支出和公用支出。</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4.项目支出：指在基本支出之外为完成特定行政任务和事业发展目标所发生的支出。</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5.机关运行经费：为保障单位机关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附件：表1.部门收支总表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表2.部门收入总表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表3.部门支出总表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表4.财政拨款收支预算总表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表5.财政拨款支出预算表（部门经济分类科目）</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表6.一般公共预算支出预算表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表7.一般公共预算基本支出预算表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表8.一般公共预算项目支出预算表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表9.一般公共预算“三公”经费支出预算表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表10.政府性基金支出预算表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表11.政府性基金预算“三公”经费支出预算表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表12.国有资本经营预算支出预算表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default" w:ascii="仿宋_GB2312" w:eastAsia="仿宋_GB2312"/>
          <w:sz w:val="32"/>
          <w:szCs w:val="32"/>
          <w:lang w:val="en-US" w:eastAsia="zh-CN"/>
        </w:rPr>
      </w:pPr>
      <w:r>
        <w:rPr>
          <w:rFonts w:hint="eastAsia" w:ascii="仿宋_GB2312" w:eastAsia="仿宋_GB2312"/>
          <w:sz w:val="32"/>
          <w:szCs w:val="32"/>
          <w:lang w:val="en-US" w:eastAsia="zh-CN"/>
        </w:rPr>
        <w:t>表13.部门项目支出绩效目标表（2025年度）</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altName w:val="黑体"/>
    <w:panose1 w:val="020B0503020204020204"/>
    <w:charset w:val="86"/>
    <w:family w:val="auto"/>
    <w:pitch w:val="default"/>
    <w:sig w:usb0="00000000" w:usb1="00000000" w:usb2="00000016" w:usb3="00000000" w:csb0="0004001F" w:csb1="00000000"/>
  </w:font>
  <w:font w:name="DejaVu Sans">
    <w:panose1 w:val="020B0603030804020204"/>
    <w:charset w:val="00"/>
    <w:family w:val="auto"/>
    <w:pitch w:val="default"/>
    <w:sig w:usb0="E7006EFF" w:usb1="D200FDFF" w:usb2="0A246029" w:usb3="0400200C" w:csb0="600001FF" w:csb1="D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717D6F"/>
    <w:multiLevelType w:val="singleLevel"/>
    <w:tmpl w:val="5A717D6F"/>
    <w:lvl w:ilvl="0" w:tentative="0">
      <w:start w:val="4"/>
      <w:numFmt w:val="chineseCounting"/>
      <w:suff w:val="nothing"/>
      <w:lvlText w:val="%1、"/>
      <w:lvlJc w:val="left"/>
      <w:rPr>
        <w:rFonts w:hint="eastAsia"/>
        <w:b/>
        <w:bC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IwNWIwZTJhNGRlNzY4ZWFhMGUwZjdhZmE4NzhkZjIifQ=="/>
  </w:docVars>
  <w:rsids>
    <w:rsidRoot w:val="5F78432A"/>
    <w:rsid w:val="08BA0DE0"/>
    <w:rsid w:val="0B185CF6"/>
    <w:rsid w:val="0CF72D4D"/>
    <w:rsid w:val="14B0492B"/>
    <w:rsid w:val="19C1402F"/>
    <w:rsid w:val="358E64A4"/>
    <w:rsid w:val="41045256"/>
    <w:rsid w:val="425C64EC"/>
    <w:rsid w:val="4B29791F"/>
    <w:rsid w:val="4D392738"/>
    <w:rsid w:val="54E26736"/>
    <w:rsid w:val="556C2BCC"/>
    <w:rsid w:val="5F78432A"/>
    <w:rsid w:val="691D25A9"/>
    <w:rsid w:val="694158E3"/>
    <w:rsid w:val="6A3D0CF6"/>
    <w:rsid w:val="70B414D6"/>
    <w:rsid w:val="72475FCF"/>
    <w:rsid w:val="73677AAD"/>
    <w:rsid w:val="76382288"/>
    <w:rsid w:val="76435907"/>
    <w:rsid w:val="7C1B14DD"/>
    <w:rsid w:val="DADF21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asciiTheme="minorHAnsi" w:hAnsiTheme="minorHAnsi" w:cstheme="minorBidi"/>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before="93" w:beforeLines="30"/>
    </w:pPr>
    <w:rPr>
      <w:rFonts w:ascii="仿宋_GB2312" w:eastAsia="仿宋_GB2312"/>
      <w:sz w:val="30"/>
    </w:rPr>
  </w:style>
  <w:style w:type="paragraph" w:styleId="3">
    <w:name w:val="Body Text Indent"/>
    <w:basedOn w:val="1"/>
    <w:next w:val="4"/>
    <w:qFormat/>
    <w:uiPriority w:val="0"/>
    <w:pPr>
      <w:spacing w:line="560" w:lineRule="atLeast"/>
      <w:ind w:firstLine="200" w:firstLineChars="200"/>
    </w:pPr>
    <w:rPr>
      <w:rFonts w:ascii="仿宋_GB2312"/>
    </w:rPr>
  </w:style>
  <w:style w:type="paragraph" w:styleId="4">
    <w:name w:val="Body Text First Indent 2"/>
    <w:basedOn w:val="3"/>
    <w:next w:val="5"/>
    <w:qFormat/>
    <w:uiPriority w:val="0"/>
  </w:style>
  <w:style w:type="paragraph" w:styleId="5">
    <w:name w:val="Plain Text"/>
    <w:basedOn w:val="1"/>
    <w:unhideWhenUsed/>
    <w:qFormat/>
    <w:uiPriority w:val="99"/>
    <w:rPr>
      <w:rFonts w:ascii="宋体" w:hAnsi="Courier New"/>
      <w:szCs w:val="20"/>
    </w:rPr>
  </w:style>
  <w:style w:type="paragraph" w:styleId="6">
    <w:name w:val="footer"/>
    <w:basedOn w:val="1"/>
    <w:qFormat/>
    <w:uiPriority w:val="0"/>
    <w:pPr>
      <w:tabs>
        <w:tab w:val="center" w:pos="4153"/>
        <w:tab w:val="right" w:pos="8306"/>
      </w:tabs>
      <w:snapToGrid w:val="0"/>
      <w:jc w:val="left"/>
    </w:pPr>
    <w:rPr>
      <w:sz w:val="18"/>
    </w:rPr>
  </w:style>
  <w:style w:type="paragraph" w:styleId="7">
    <w:name w:val="Body Text First Indent"/>
    <w:basedOn w:val="2"/>
    <w:next w:val="1"/>
    <w:qFormat/>
    <w:uiPriority w:val="0"/>
    <w:pPr>
      <w:spacing w:before="100" w:beforeAutospacing="1" w:after="100" w:afterAutospacing="1" w:line="500" w:lineRule="exact"/>
      <w:ind w:left="120" w:firstLine="420"/>
    </w:pPr>
    <w:rPr>
      <w:rFonts w:ascii="宋体" w:cs="宋体"/>
      <w:sz w:val="28"/>
      <w:szCs w:val="28"/>
      <w:lang w:bidi="ar-SA"/>
    </w:rPr>
  </w:style>
  <w:style w:type="character" w:customStyle="1" w:styleId="10">
    <w:name w:val="NormalCharacter"/>
    <w:qFormat/>
    <w:uiPriority w:val="0"/>
  </w:style>
  <w:style w:type="paragraph" w:customStyle="1" w:styleId="11">
    <w:name w:val="UserStyle_0"/>
    <w:basedOn w:val="1"/>
    <w:next w:val="1"/>
    <w:qFormat/>
    <w:uiPriority w:val="0"/>
    <w:pPr>
      <w:ind w:left="400" w:leftChars="200" w:hanging="200" w:hangingChars="200"/>
      <w:jc w:val="both"/>
      <w:textAlignment w:val="baseline"/>
    </w:pPr>
    <w:rPr>
      <w:rFonts w:ascii="Calibri" w:hAnsi="Calibri" w:eastAsia="宋体" w:cs="Arial"/>
      <w:kern w:val="2"/>
      <w:sz w:val="21"/>
      <w:szCs w:val="20"/>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14</TotalTime>
  <ScaleCrop>false</ScaleCrop>
  <LinksUpToDate>false</LinksUpToDate>
  <CharactersWithSpaces>0</CharactersWithSpaces>
  <Application>WPS Office_11.1.0.10161_F1E327BC-269C-435d-A152-05C5408002CA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2025-05-27T13:07:00Z</dcterms:created>
  <dc:creator>投资股-李仕昂</dc:creator>
  <cp:lastModifiedBy>user</cp:lastModifiedBy>
  <dcterms:modified xsi:type="dcterms:W3CDTF">2026-02-13T10:10:58Z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2052-11.1.0.10161</vt:lpwstr>
  </property>
  <property fmtid="{D5CDD505-2E9C-101B-9397-08002B2CF9AE}" pid="3" name="ICV">
    <vt:lpwstr>869362AD24304CAB82D29B1E0C68B83D_13</vt:lpwstr>
  </property>
</Properties>
</file>