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514BA">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lang w:val="en-US" w:eastAsia="zh-CN"/>
        </w:rPr>
      </w:pPr>
      <w:r>
        <w:rPr>
          <w:rFonts w:hint="eastAsia" w:ascii="小标宋" w:hAnsi="小标宋" w:eastAsia="小标宋" w:cs="小标宋"/>
          <w:b w:val="0"/>
          <w:bCs/>
          <w:sz w:val="44"/>
          <w:szCs w:val="44"/>
          <w:lang w:val="en-US" w:eastAsia="zh-CN"/>
        </w:rPr>
        <w:t>红原县司法局</w:t>
      </w:r>
    </w:p>
    <w:p w14:paraId="2A0D6E8C">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rPr>
      </w:pPr>
      <w:r>
        <w:rPr>
          <w:rFonts w:hint="eastAsia" w:ascii="小标宋" w:hAnsi="小标宋" w:eastAsia="小标宋" w:cs="小标宋"/>
          <w:b w:val="0"/>
          <w:bCs/>
          <w:sz w:val="44"/>
          <w:szCs w:val="44"/>
          <w:lang w:eastAsia="zh-CN"/>
        </w:rPr>
        <w:t>202</w:t>
      </w:r>
      <w:r>
        <w:rPr>
          <w:rFonts w:hint="eastAsia" w:ascii="小标宋" w:hAnsi="小标宋" w:eastAsia="小标宋" w:cs="小标宋"/>
          <w:b w:val="0"/>
          <w:bCs/>
          <w:sz w:val="44"/>
          <w:szCs w:val="44"/>
          <w:lang w:val="en-US" w:eastAsia="zh-CN"/>
        </w:rPr>
        <w:t>6</w:t>
      </w:r>
      <w:r>
        <w:rPr>
          <w:rFonts w:hint="eastAsia" w:ascii="小标宋" w:hAnsi="小标宋" w:eastAsia="小标宋" w:cs="小标宋"/>
          <w:b w:val="0"/>
          <w:bCs/>
          <w:sz w:val="44"/>
          <w:szCs w:val="44"/>
          <w:lang w:eastAsia="zh-CN"/>
        </w:rPr>
        <w:t>年</w:t>
      </w:r>
      <w:r>
        <w:rPr>
          <w:rFonts w:hint="eastAsia" w:ascii="小标宋" w:hAnsi="小标宋" w:eastAsia="小标宋" w:cs="小标宋"/>
          <w:b w:val="0"/>
          <w:bCs/>
          <w:sz w:val="44"/>
          <w:szCs w:val="44"/>
        </w:rPr>
        <w:t>部门预算编制的说明</w:t>
      </w:r>
    </w:p>
    <w:p w14:paraId="30D76A1C">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2B38AA21">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 w:hAnsi="仿宋" w:eastAsia="仿宋" w:cs="仿宋"/>
          <w:b/>
          <w:sz w:val="32"/>
          <w:szCs w:val="32"/>
        </w:rPr>
      </w:pPr>
      <w:r>
        <w:rPr>
          <w:rFonts w:hint="eastAsia" w:ascii="仿宋" w:hAnsi="仿宋" w:eastAsia="仿宋" w:cs="仿宋"/>
          <w:sz w:val="32"/>
          <w:szCs w:val="32"/>
        </w:rPr>
        <w:t>按照预算管理有关规定，目前部门预算的编制实行综合预算制度，即全部收入和支出都反映在预算中。</w:t>
      </w:r>
    </w:p>
    <w:p w14:paraId="1CED6FC9">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14:paraId="2827ED33">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C0B932F">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color w:val="000000" w:themeColor="text1"/>
          <w:sz w:val="32"/>
          <w:szCs w:val="32"/>
          <w14:textFill>
            <w14:solidFill>
              <w14:schemeClr w14:val="tx1"/>
            </w14:solidFill>
          </w14:textFill>
        </w:rPr>
        <w:t>贯彻执行国家、省、州、县关于司法行政工作的方针、政策和法律、法规及规章，制订司法行政规范性文件和工作发展规划、工作计划并组织实施。</w:t>
      </w:r>
    </w:p>
    <w:p w14:paraId="44A23528">
      <w:pPr>
        <w:pStyle w:val="4"/>
        <w:shd w:val="clear" w:fill="FFFFFF" w:themeFill="background1"/>
        <w:adjustRightInd w:val="0"/>
        <w:snapToGrid w:val="0"/>
        <w:spacing w:before="93" w:line="560" w:lineRule="exact"/>
        <w:ind w:firstLine="672" w:firstLineChars="210"/>
        <w:rPr>
          <w:rFonts w:hint="eastAsia" w:hAnsi="仿宋_GB2312" w:cs="仿宋_GB2312"/>
          <w:b w:val="0"/>
          <w:bCs/>
          <w:color w:val="000000" w:themeColor="text1"/>
          <w:sz w:val="32"/>
          <w:szCs w:val="32"/>
          <w:lang w:val="en-US" w:eastAsia="zh-CN"/>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2、按照县委全面依法治县委员会要求，贯彻落实依法治县决策部署。承担全面依法治县重大问题的政策研究，协调有关方面提出全面依法治县规划建议，负责重大决策部署督察工作。</w:t>
      </w:r>
    </w:p>
    <w:p w14:paraId="52E4BFEF">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3、负责县政府规范性文件、重大行政决策发布前的合法性审查。承办县政府规范性文件报送备案工作。负责各乡（镇）人民政府和县政府各部门规范性文件报送县政府的备案审查工作。组织开展规范性文件清理。</w:t>
      </w:r>
    </w:p>
    <w:p w14:paraId="6504855E">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4、承担统筹推进法治政府建设的责任。指导监督县政府各部门、各乡（镇）人民政府依法行政工作。负责综合协调、监督检查行政执法，承担推进行政执法体制改革有关工作，推进严格规范公正文明执法。指导监督全县行政复议、行政应诉和行政赔偿工作，承办向县政府申请的行政复议、行政赔偿案件，代理县政府行政应诉案件。</w:t>
      </w:r>
    </w:p>
    <w:p w14:paraId="73F9F215">
      <w:pPr>
        <w:pStyle w:val="4"/>
        <w:shd w:val="clear" w:fill="FFFFFF" w:themeFill="background1"/>
        <w:adjustRightInd w:val="0"/>
        <w:snapToGrid w:val="0"/>
        <w:spacing w:before="93" w:line="560" w:lineRule="exact"/>
        <w:ind w:firstLine="672" w:firstLineChars="210"/>
        <w:rPr>
          <w:rFonts w:hint="eastAsia" w:hAnsi="仿宋_GB2312" w:cs="仿宋_GB2312"/>
          <w:b w:val="0"/>
          <w:bCs/>
          <w:color w:val="000000" w:themeColor="text1"/>
          <w:sz w:val="32"/>
          <w:szCs w:val="32"/>
          <w:lang w:val="en-US" w:eastAsia="zh-CN"/>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5、负责拟定法治宣传教育规划，组织实施普法宣传工作，指导全县各行业的法治宣传和依法治理工作。</w:t>
      </w:r>
    </w:p>
    <w:p w14:paraId="184051E4">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6、负责拟定全县公共法律服务体系建设规划并指导实施。指导、监督全县律师、公证、法律援助工作。</w:t>
      </w:r>
    </w:p>
    <w:p w14:paraId="5924FEAD">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7、指导、监督基层司法所建设和人民调解、基层法律服务管理工作。指导人民陪审员、人民监督员选任管理工作。</w:t>
      </w:r>
    </w:p>
    <w:p w14:paraId="5A8785BB">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8、指导管理社区矫正工作。指导刑满释放人员帮教安置工作。</w:t>
      </w:r>
      <w:r>
        <w:rPr>
          <w:rFonts w:hint="eastAsia" w:ascii="仿宋_GB2312" w:hAnsi="仿宋_GB2312" w:eastAsia="仿宋_GB2312" w:cs="仿宋_GB2312"/>
          <w:b w:val="0"/>
          <w:bCs/>
          <w:color w:val="000000" w:themeColor="text1"/>
          <w:sz w:val="32"/>
          <w:szCs w:val="32"/>
          <w14:textFill>
            <w14:solidFill>
              <w14:schemeClr w14:val="tx1"/>
            </w14:solidFill>
          </w14:textFill>
        </w:rPr>
        <w:t>主管司法鉴定机构和司法鉴定人的管理、审查登记工作。</w:t>
      </w:r>
    </w:p>
    <w:p w14:paraId="07DC64D9">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9、协助上级主管部门开展国家司法考试、司法鉴定工作。</w:t>
      </w:r>
    </w:p>
    <w:p w14:paraId="21BAF61D">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32"/>
          <w:szCs w:val="32"/>
          <w14:textFill>
            <w14:solidFill>
              <w14:schemeClr w14:val="tx1"/>
            </w14:solidFill>
          </w14:textFill>
        </w:rPr>
        <w:t>指导管理全县司法行政系统的计划、财务、车辆、服装等物资装备工作。</w:t>
      </w:r>
    </w:p>
    <w:p w14:paraId="1B1F12F1">
      <w:pPr>
        <w:pStyle w:val="4"/>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b w:val="0"/>
          <w:bCs/>
          <w:color w:val="000000" w:themeColor="text1"/>
          <w:sz w:val="32"/>
          <w:szCs w:val="32"/>
          <w14:textFill>
            <w14:solidFill>
              <w14:schemeClr w14:val="tx1"/>
            </w14:solidFill>
          </w14:textFill>
        </w:rPr>
        <w:t>指导、监督全县司法行政系统队伍建设和思想政治工作，负责本系统人事警务和干警培训工作。</w:t>
      </w:r>
    </w:p>
    <w:p w14:paraId="37D99C28">
      <w:pPr>
        <w:pStyle w:val="4"/>
        <w:shd w:val="clear" w:fill="FFFFFF" w:themeFill="background1"/>
        <w:adjustRightInd w:val="0"/>
        <w:snapToGrid w:val="0"/>
        <w:spacing w:before="93" w:line="560" w:lineRule="exact"/>
        <w:ind w:firstLine="672" w:firstLineChars="210"/>
        <w:rPr>
          <w:rFonts w:hint="eastAsia" w:hAnsi="仿宋_GB2312" w:cs="仿宋_GB2312"/>
          <w:b w:val="0"/>
          <w:bCs/>
          <w:color w:val="000000" w:themeColor="text1"/>
          <w:sz w:val="32"/>
          <w:szCs w:val="32"/>
          <w:lang w:val="en-US" w:eastAsia="zh-CN"/>
          <w14:textFill>
            <w14:solidFill>
              <w14:schemeClr w14:val="tx1"/>
            </w14:solidFill>
          </w14:textFill>
        </w:rPr>
      </w:pPr>
      <w:r>
        <w:rPr>
          <w:rFonts w:hint="eastAsia" w:hAnsi="仿宋_GB2312" w:cs="仿宋_GB2312"/>
          <w:b w:val="0"/>
          <w:bCs/>
          <w:color w:val="000000" w:themeColor="text1"/>
          <w:sz w:val="32"/>
          <w:szCs w:val="32"/>
          <w:lang w:val="en-US" w:eastAsia="zh-CN"/>
          <w14:textFill>
            <w14:solidFill>
              <w14:schemeClr w14:val="tx1"/>
            </w14:solidFill>
          </w14:textFill>
        </w:rPr>
        <w:t>12、完成县委、县政府交办的其他任务。</w:t>
      </w:r>
    </w:p>
    <w:p w14:paraId="60CD0A8C">
      <w:pPr>
        <w:pStyle w:val="4"/>
        <w:keepNext w:val="0"/>
        <w:keepLines w:val="0"/>
        <w:pageBreakBefore w:val="0"/>
        <w:kinsoku/>
        <w:wordWrap/>
        <w:overflowPunct/>
        <w:topLinePunct w:val="0"/>
        <w:autoSpaceDE/>
        <w:autoSpaceDN/>
        <w:bidi w:val="0"/>
        <w:adjustRightInd w:val="0"/>
        <w:snapToGrid w:val="0"/>
        <w:spacing w:line="560" w:lineRule="exact"/>
        <w:ind w:right="0" w:rightChars="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（二）202</w:t>
      </w:r>
      <w:r>
        <w:rPr>
          <w:rFonts w:hint="eastAsia" w:ascii="楷体" w:hAnsi="楷体" w:eastAsia="楷体" w:cs="楷体"/>
          <w:b/>
          <w:bCs w:val="0"/>
          <w:sz w:val="32"/>
          <w:szCs w:val="32"/>
          <w:lang w:val="en-US" w:eastAsia="zh-CN"/>
        </w:rPr>
        <w:t>6</w:t>
      </w:r>
      <w:r>
        <w:rPr>
          <w:rFonts w:hint="eastAsia" w:ascii="楷体" w:hAnsi="楷体" w:eastAsia="楷体" w:cs="楷体"/>
          <w:b/>
          <w:bCs w:val="0"/>
          <w:sz w:val="32"/>
          <w:szCs w:val="32"/>
          <w:lang w:eastAsia="zh-CN"/>
        </w:rPr>
        <w:t>年重点工作任务</w:t>
      </w:r>
    </w:p>
    <w:p w14:paraId="72633D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楷体" w:cs="Times New Roman"/>
          <w:b/>
          <w:bCs/>
          <w:sz w:val="32"/>
          <w:szCs w:val="32"/>
          <w:lang w:val="en-US" w:eastAsia="zh-CN"/>
        </w:rPr>
        <w:t>（一）深化党建引领，建强司法行政队伍。</w:t>
      </w:r>
      <w:r>
        <w:rPr>
          <w:rFonts w:hint="default" w:ascii="Times New Roman" w:hAnsi="Times New Roman" w:eastAsia="仿宋" w:cs="Times New Roman"/>
          <w:b w:val="0"/>
          <w:bCs w:val="0"/>
          <w:sz w:val="32"/>
          <w:szCs w:val="32"/>
          <w:lang w:val="en-US" w:eastAsia="zh-CN"/>
        </w:rPr>
        <w:t>持续巩固党纪学习教育成果，常态化开展理论学习和党性教育，不断提升队伍政治判断力、政治领悟力、政治执行力。</w:t>
      </w:r>
    </w:p>
    <w:p w14:paraId="5F1355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楷体" w:cs="Times New Roman"/>
          <w:b/>
          <w:bCs/>
          <w:sz w:val="32"/>
          <w:szCs w:val="32"/>
          <w:lang w:val="en-US" w:eastAsia="zh-CN"/>
        </w:rPr>
        <w:t>（二）聚焦中心大局，提升法治保障水平。</w:t>
      </w:r>
      <w:r>
        <w:rPr>
          <w:rFonts w:hint="default" w:ascii="Times New Roman" w:hAnsi="Times New Roman" w:eastAsia="仿宋" w:cs="Times New Roman"/>
          <w:b w:val="0"/>
          <w:bCs w:val="0"/>
          <w:sz w:val="32"/>
          <w:szCs w:val="32"/>
          <w:lang w:val="en-US" w:eastAsia="zh-CN"/>
        </w:rPr>
        <w:t>强化重点领域法治保障，全力做好“八五”普法总结验收和“九五”普法规划，创新普法形式，营造良好法治氛围；围绕重大项目、民生工程建立法律服务绿色通道，提供全流程法治支持。</w:t>
      </w:r>
    </w:p>
    <w:p w14:paraId="0FAD8E7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楷体" w:cs="Times New Roman"/>
          <w:b/>
          <w:bCs/>
          <w:sz w:val="32"/>
          <w:szCs w:val="32"/>
          <w:lang w:val="en-US" w:eastAsia="zh-CN"/>
        </w:rPr>
        <w:t>（三）夯实基层治理，筑牢平安稳定防线。</w:t>
      </w:r>
      <w:r>
        <w:rPr>
          <w:rFonts w:hint="default" w:ascii="Times New Roman" w:hAnsi="Times New Roman" w:eastAsia="仿宋" w:cs="Times New Roman"/>
          <w:b w:val="0"/>
          <w:bCs w:val="0"/>
          <w:sz w:val="32"/>
          <w:szCs w:val="32"/>
          <w:lang w:val="en-US" w:eastAsia="zh-CN"/>
        </w:rPr>
        <w:t>加强社区矫正对象、安置帮教对象“两类重点人群”服务管理，杜绝脱管漏管和重新违法犯罪；深化司法所规范化建设，夯实基层基础。</w:t>
      </w:r>
    </w:p>
    <w:p w14:paraId="262B10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sz w:val="32"/>
          <w:szCs w:val="32"/>
        </w:rPr>
      </w:pPr>
      <w:r>
        <w:rPr>
          <w:rFonts w:hint="default" w:ascii="Times New Roman" w:hAnsi="Times New Roman" w:eastAsia="楷体" w:cs="Times New Roman"/>
          <w:b/>
          <w:bCs/>
          <w:sz w:val="32"/>
          <w:szCs w:val="32"/>
          <w:lang w:val="en-US" w:eastAsia="zh-CN"/>
        </w:rPr>
        <w:t>（四）深化依法行政，优化法治营商环境。</w:t>
      </w:r>
      <w:r>
        <w:rPr>
          <w:rFonts w:hint="default" w:ascii="Times New Roman" w:hAnsi="Times New Roman" w:eastAsia="仿宋" w:cs="Times New Roman"/>
          <w:b w:val="0"/>
          <w:bCs w:val="0"/>
          <w:sz w:val="32"/>
          <w:szCs w:val="32"/>
          <w:lang w:val="en-US" w:eastAsia="zh-CN"/>
        </w:rPr>
        <w:t>聚焦法治化营商环境痛点堵点，强化行政执法协调监督，规范执法程序，提升执法透明度和公信力。</w:t>
      </w:r>
    </w:p>
    <w:p w14:paraId="4F732F09">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w:t>
      </w:r>
      <w:r>
        <w:rPr>
          <w:rFonts w:hint="eastAsia" w:ascii="黑体" w:hAnsi="黑体" w:eastAsia="黑体" w:cs="黑体"/>
          <w:sz w:val="32"/>
          <w:szCs w:val="32"/>
          <w:lang w:eastAsia="zh-CN"/>
        </w:rPr>
        <w:t>预算单位构成</w:t>
      </w:r>
    </w:p>
    <w:p w14:paraId="312A267B">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红原县司法局</w:t>
      </w:r>
      <w:r>
        <w:rPr>
          <w:rFonts w:hint="eastAsia" w:ascii="仿宋_GB2312" w:hAnsi="仿宋_GB2312" w:eastAsia="仿宋_GB2312" w:cs="仿宋_GB2312"/>
          <w:bCs/>
          <w:sz w:val="32"/>
          <w:szCs w:val="32"/>
        </w:rPr>
        <w:t>为独立核算全额拨款行政单位，下设</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eastAsia="zh-CN"/>
        </w:rPr>
        <w:t>机构</w:t>
      </w:r>
      <w:r>
        <w:rPr>
          <w:rFonts w:hint="eastAsia" w:ascii="仿宋_GB2312" w:hAnsi="仿宋_GB2312" w:eastAsia="仿宋_GB2312" w:cs="仿宋_GB2312"/>
          <w:bCs/>
          <w:sz w:val="32"/>
          <w:szCs w:val="32"/>
        </w:rPr>
        <w:t>：办公室、</w:t>
      </w:r>
      <w:r>
        <w:rPr>
          <w:rFonts w:hint="eastAsia" w:ascii="仿宋_GB2312" w:hAnsi="仿宋_GB2312" w:eastAsia="仿宋_GB2312" w:cs="仿宋_GB2312"/>
          <w:bCs/>
          <w:sz w:val="32"/>
          <w:szCs w:val="32"/>
          <w:lang w:eastAsia="zh-CN"/>
        </w:rPr>
        <w:t>法制股、</w:t>
      </w:r>
      <w:r>
        <w:rPr>
          <w:rFonts w:hint="eastAsia" w:ascii="仿宋_GB2312" w:hAnsi="仿宋_GB2312" w:eastAsia="仿宋_GB2312" w:cs="仿宋_GB2312"/>
          <w:bCs/>
          <w:sz w:val="32"/>
          <w:szCs w:val="32"/>
        </w:rPr>
        <w:t>基层工作股、法治宣传</w:t>
      </w:r>
      <w:r>
        <w:rPr>
          <w:rFonts w:hint="eastAsia" w:ascii="仿宋_GB2312" w:hAnsi="仿宋_GB2312" w:eastAsia="仿宋_GB2312" w:cs="仿宋_GB2312"/>
          <w:bCs/>
          <w:sz w:val="32"/>
          <w:szCs w:val="32"/>
          <w:lang w:eastAsia="zh-CN"/>
        </w:rPr>
        <w:t>教育</w:t>
      </w:r>
      <w:r>
        <w:rPr>
          <w:rFonts w:hint="eastAsia" w:ascii="仿宋_GB2312" w:hAnsi="仿宋_GB2312" w:eastAsia="仿宋_GB2312" w:cs="仿宋_GB2312"/>
          <w:bCs/>
          <w:sz w:val="32"/>
          <w:szCs w:val="32"/>
        </w:rPr>
        <w:t>股、</w:t>
      </w:r>
      <w:r>
        <w:rPr>
          <w:rFonts w:hint="eastAsia" w:ascii="仿宋_GB2312" w:hAnsi="仿宋_GB2312" w:eastAsia="仿宋_GB2312" w:cs="仿宋_GB2312"/>
          <w:bCs/>
          <w:sz w:val="32"/>
          <w:szCs w:val="32"/>
          <w:lang w:eastAsia="zh-CN"/>
        </w:rPr>
        <w:t>装备财务保障股、公共法律服务管理股、政工室、社区矫正执法大队、行政复议与应诉股。</w:t>
      </w:r>
    </w:p>
    <w:p w14:paraId="3E7B6071">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截止2025年底我单位共有编制35个，其中公务员编制28个，行政工勤编制2个，事业编制5个;在职35人，其中公务员28人，事业5人，工勤2人。</w:t>
      </w:r>
    </w:p>
    <w:p w14:paraId="1EE15326">
      <w:pPr>
        <w:keepNext w:val="0"/>
        <w:keepLines w:val="0"/>
        <w:pageBreakBefore w:val="0"/>
        <w:widowControl w:val="0"/>
        <w:numPr>
          <w:ilvl w:val="0"/>
          <w:numId w:val="1"/>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收支预算总体情况</w:t>
      </w:r>
    </w:p>
    <w:p w14:paraId="40F1131C">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年红原县司法局</w:t>
      </w:r>
      <w:r>
        <w:rPr>
          <w:rFonts w:hint="eastAsia" w:ascii="仿宋" w:hAnsi="仿宋" w:eastAsia="仿宋" w:cs="仿宋"/>
          <w:sz w:val="32"/>
          <w:szCs w:val="32"/>
        </w:rPr>
        <w:t>收入预算总额为</w:t>
      </w:r>
      <w:r>
        <w:rPr>
          <w:rFonts w:hint="eastAsia" w:ascii="仿宋" w:hAnsi="仿宋" w:eastAsia="仿宋" w:cs="仿宋"/>
          <w:sz w:val="32"/>
          <w:szCs w:val="32"/>
          <w:lang w:val="en-US" w:eastAsia="zh-CN"/>
        </w:rPr>
        <w:t>1270.70</w:t>
      </w:r>
      <w:r>
        <w:rPr>
          <w:rFonts w:hint="eastAsia" w:ascii="仿宋" w:hAnsi="仿宋" w:eastAsia="仿宋" w:cs="仿宋"/>
          <w:sz w:val="32"/>
          <w:szCs w:val="32"/>
        </w:rPr>
        <w:t>万元，其中：当年财政拨款收入</w:t>
      </w:r>
      <w:r>
        <w:rPr>
          <w:rFonts w:hint="eastAsia" w:ascii="仿宋" w:hAnsi="仿宋" w:eastAsia="仿宋" w:cs="仿宋"/>
          <w:sz w:val="32"/>
          <w:szCs w:val="32"/>
          <w:lang w:val="en-US" w:eastAsia="zh-CN"/>
        </w:rPr>
        <w:t>1146.70</w:t>
      </w:r>
      <w:r>
        <w:rPr>
          <w:rFonts w:hint="eastAsia" w:ascii="仿宋" w:hAnsi="仿宋" w:eastAsia="仿宋" w:cs="仿宋"/>
          <w:sz w:val="32"/>
          <w:szCs w:val="32"/>
        </w:rPr>
        <w:t>万元。相应安排支出预算</w:t>
      </w:r>
      <w:r>
        <w:rPr>
          <w:rFonts w:hint="eastAsia" w:ascii="仿宋" w:hAnsi="仿宋" w:eastAsia="仿宋" w:cs="仿宋"/>
          <w:sz w:val="32"/>
          <w:szCs w:val="32"/>
          <w:lang w:val="en-US" w:eastAsia="zh-CN"/>
        </w:rPr>
        <w:t>1270.70</w:t>
      </w:r>
      <w:r>
        <w:rPr>
          <w:rFonts w:hint="eastAsia" w:ascii="仿宋" w:hAnsi="仿宋" w:eastAsia="仿宋" w:cs="仿宋"/>
          <w:sz w:val="32"/>
          <w:szCs w:val="32"/>
        </w:rPr>
        <w:t>万元，其中：一般公共服务</w:t>
      </w:r>
      <w:r>
        <w:rPr>
          <w:rFonts w:hint="eastAsia" w:ascii="仿宋" w:hAnsi="仿宋" w:eastAsia="仿宋" w:cs="仿宋"/>
          <w:sz w:val="32"/>
          <w:szCs w:val="32"/>
          <w:lang w:val="en-US" w:eastAsia="zh-CN"/>
        </w:rPr>
        <w:t>22.96</w:t>
      </w:r>
      <w:r>
        <w:rPr>
          <w:rFonts w:hint="eastAsia" w:ascii="仿宋" w:hAnsi="仿宋" w:eastAsia="仿宋" w:cs="仿宋"/>
          <w:sz w:val="32"/>
          <w:szCs w:val="32"/>
        </w:rPr>
        <w:t>万元，社会保障和就业</w:t>
      </w:r>
      <w:r>
        <w:rPr>
          <w:rFonts w:hint="eastAsia" w:ascii="仿宋" w:hAnsi="仿宋" w:eastAsia="仿宋" w:cs="仿宋"/>
          <w:sz w:val="32"/>
          <w:szCs w:val="32"/>
          <w:lang w:val="en-US" w:eastAsia="zh-CN"/>
        </w:rPr>
        <w:t>146.56</w:t>
      </w:r>
      <w:r>
        <w:rPr>
          <w:rFonts w:hint="eastAsia" w:ascii="仿宋" w:hAnsi="仿宋" w:eastAsia="仿宋" w:cs="仿宋"/>
          <w:sz w:val="32"/>
          <w:szCs w:val="32"/>
        </w:rPr>
        <w:t>万元，医疗卫生</w:t>
      </w:r>
      <w:r>
        <w:rPr>
          <w:rFonts w:hint="eastAsia" w:ascii="仿宋" w:hAnsi="仿宋" w:eastAsia="仿宋" w:cs="仿宋"/>
          <w:sz w:val="32"/>
          <w:szCs w:val="32"/>
          <w:lang w:val="en-US" w:eastAsia="zh-CN"/>
        </w:rPr>
        <w:t>53.14</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79.60</w:t>
      </w:r>
      <w:r>
        <w:rPr>
          <w:rFonts w:hint="eastAsia" w:ascii="仿宋" w:hAnsi="仿宋" w:eastAsia="仿宋" w:cs="仿宋"/>
          <w:sz w:val="32"/>
          <w:szCs w:val="32"/>
        </w:rPr>
        <w:t>万元</w:t>
      </w:r>
      <w:r>
        <w:rPr>
          <w:rFonts w:hint="eastAsia" w:ascii="仿宋" w:hAnsi="仿宋" w:eastAsia="仿宋" w:cs="仿宋"/>
          <w:sz w:val="32"/>
          <w:szCs w:val="32"/>
          <w:lang w:val="en-US" w:eastAsia="zh-CN"/>
        </w:rPr>
        <w:t>,公共安全支出968.44万元</w:t>
      </w:r>
      <w:r>
        <w:rPr>
          <w:rFonts w:hint="eastAsia" w:ascii="仿宋" w:hAnsi="仿宋" w:eastAsia="仿宋" w:cs="仿宋"/>
          <w:sz w:val="32"/>
          <w:szCs w:val="32"/>
        </w:rPr>
        <w:t>。</w:t>
      </w:r>
    </w:p>
    <w:p w14:paraId="0248B65D">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eastAsia="zh-CN"/>
        </w:rPr>
      </w:pPr>
    </w:p>
    <w:p w14:paraId="66F8D112">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支出预算安排情况</w:t>
      </w:r>
    </w:p>
    <w:p w14:paraId="71772F34">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eastAsia="仿宋_GB2312"/>
          <w:sz w:val="32"/>
          <w:szCs w:val="32"/>
          <w:lang w:val="en-US" w:eastAsia="zh-CN"/>
        </w:rPr>
      </w:pPr>
      <w:r>
        <w:rPr>
          <w:rFonts w:hint="eastAsia" w:ascii="仿宋" w:hAnsi="仿宋" w:eastAsia="仿宋" w:cs="仿宋"/>
          <w:sz w:val="32"/>
          <w:szCs w:val="32"/>
          <w:lang w:val="en-US" w:eastAsia="zh-CN"/>
        </w:rPr>
        <w:t xml:space="preserve">   </w:t>
      </w:r>
      <w:r>
        <w:rPr>
          <w:rFonts w:hint="eastAsia" w:ascii="仿宋_GB2312" w:eastAsia="仿宋_GB2312"/>
          <w:sz w:val="32"/>
          <w:szCs w:val="32"/>
          <w:lang w:val="en-US" w:eastAsia="zh-CN"/>
        </w:rPr>
        <w:t>红原县司法局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法律服务</w:t>
      </w:r>
      <w:r>
        <w:rPr>
          <w:rFonts w:hint="eastAsia" w:ascii="仿宋_GB2312" w:eastAsia="仿宋_GB2312"/>
          <w:sz w:val="32"/>
          <w:szCs w:val="32"/>
        </w:rPr>
        <w:t>事业发展相关工作。  基本支出</w:t>
      </w:r>
      <w:r>
        <w:rPr>
          <w:rFonts w:hint="eastAsia" w:ascii="仿宋_GB2312" w:eastAsia="仿宋_GB2312"/>
          <w:sz w:val="32"/>
          <w:szCs w:val="32"/>
          <w:lang w:val="en-US" w:eastAsia="zh-CN"/>
        </w:rPr>
        <w:t>1093.86</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982.75万元，机关运行经费111.11万元，其中：办公费24.91万元，印刷费4.80万元,水费0.5万元，电费4.00万元,邮电费8.00万元，取暖费4.00万元，差旅费9.00万元，培训费0.50万元,公务接待费1.40万元,劳务费4.00万元，工会经费7.33万元，公务用车运行维护费15万元，其他商品和服务支出27.68万元。</w:t>
      </w:r>
    </w:p>
    <w:p w14:paraId="1FA81EE9">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14:paraId="4667FA92">
      <w:pPr>
        <w:keepNext w:val="0"/>
        <w:keepLines w:val="0"/>
        <w:pageBreakBefore w:val="0"/>
        <w:widowControl w:val="0"/>
        <w:numPr>
          <w:ilvl w:val="0"/>
          <w:numId w:val="2"/>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一般公共服务</w:t>
      </w:r>
      <w:r>
        <w:rPr>
          <w:rFonts w:hint="eastAsia" w:ascii="仿宋" w:hAnsi="仿宋" w:eastAsia="仿宋" w:cs="仿宋"/>
          <w:sz w:val="32"/>
          <w:szCs w:val="32"/>
          <w:lang w:val="en-US" w:eastAsia="zh-CN"/>
        </w:rPr>
        <w:t>22.96</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，主要用于机关及下属事业单位人员工资、日常运转以及为完成特定行政工作任务和事业发展目标而安排的年度项目支出。</w:t>
      </w:r>
    </w:p>
    <w:p w14:paraId="449F1AAA">
      <w:pPr>
        <w:keepNext w:val="0"/>
        <w:keepLines w:val="0"/>
        <w:pageBreakBefore w:val="0"/>
        <w:widowControl w:val="0"/>
        <w:numPr>
          <w:ilvl w:val="0"/>
          <w:numId w:val="2"/>
        </w:numPr>
        <w:pBdr>
          <w:bottom w:val="single" w:color="FFFFFF" w:sz="4" w:space="28"/>
        </w:pBdr>
        <w:tabs>
          <w:tab w:val="left" w:pos="1440"/>
        </w:tabs>
        <w:kinsoku/>
        <w:wordWrap/>
        <w:overflowPunct/>
        <w:topLinePunct w:val="0"/>
        <w:autoSpaceDE/>
        <w:autoSpaceDN/>
        <w:bidi w:val="0"/>
        <w:adjustRightInd w:val="0"/>
        <w:snapToGrid w:val="0"/>
        <w:spacing w:line="54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社会保障和就业</w:t>
      </w:r>
      <w:r>
        <w:rPr>
          <w:rFonts w:hint="eastAsia" w:ascii="仿宋" w:hAnsi="仿宋" w:eastAsia="仿宋" w:cs="仿宋"/>
          <w:sz w:val="32"/>
          <w:szCs w:val="32"/>
          <w:lang w:val="en-US" w:eastAsia="zh-CN"/>
        </w:rPr>
        <w:t>146.56</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w:t>
      </w:r>
      <w:r>
        <w:rPr>
          <w:rFonts w:hint="eastAsia" w:ascii="仿宋" w:hAnsi="仿宋" w:eastAsia="仿宋" w:cs="仿宋"/>
          <w:sz w:val="32"/>
          <w:szCs w:val="32"/>
          <w:lang w:eastAsia="zh-CN"/>
        </w:rPr>
        <w:t>养老保险及职业年金缴费</w:t>
      </w:r>
      <w:r>
        <w:rPr>
          <w:rFonts w:hint="eastAsia" w:ascii="仿宋" w:hAnsi="仿宋" w:eastAsia="仿宋" w:cs="仿宋"/>
          <w:sz w:val="32"/>
          <w:szCs w:val="32"/>
        </w:rPr>
        <w:t>。</w:t>
      </w:r>
    </w:p>
    <w:p w14:paraId="345E5BFB">
      <w:pPr>
        <w:keepNext w:val="0"/>
        <w:keepLines w:val="0"/>
        <w:pageBreakBefore w:val="0"/>
        <w:widowControl w:val="0"/>
        <w:numPr>
          <w:ilvl w:val="0"/>
          <w:numId w:val="2"/>
        </w:numPr>
        <w:pBdr>
          <w:bottom w:val="single" w:color="FFFFFF" w:sz="4" w:space="28"/>
        </w:pBdr>
        <w:tabs>
          <w:tab w:val="left" w:pos="1440"/>
        </w:tabs>
        <w:kinsoku/>
        <w:wordWrap/>
        <w:overflowPunct/>
        <w:topLinePunct w:val="0"/>
        <w:autoSpaceDE/>
        <w:autoSpaceDN/>
        <w:bidi w:val="0"/>
        <w:adjustRightInd w:val="0"/>
        <w:snapToGrid w:val="0"/>
        <w:spacing w:line="540" w:lineRule="exact"/>
        <w:ind w:left="0" w:leftChars="0"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医疗卫生</w:t>
      </w:r>
      <w:r>
        <w:rPr>
          <w:rFonts w:hint="eastAsia" w:ascii="仿宋" w:hAnsi="仿宋" w:eastAsia="仿宋" w:cs="仿宋"/>
          <w:sz w:val="32"/>
          <w:szCs w:val="32"/>
          <w:lang w:val="en-US" w:eastAsia="zh-CN"/>
        </w:rPr>
        <w:t>53.14</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，主要用于机关及下属事业单位按照规定标准为职工缴纳的基本医疗保险及公务员医疗补助等支出。</w:t>
      </w:r>
    </w:p>
    <w:p w14:paraId="40DD8F92">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（四）住房保障支出</w:t>
      </w:r>
      <w:r>
        <w:rPr>
          <w:rFonts w:hint="eastAsia" w:ascii="仿宋" w:hAnsi="仿宋" w:eastAsia="仿宋" w:cs="仿宋"/>
          <w:sz w:val="32"/>
          <w:szCs w:val="32"/>
          <w:lang w:val="en-US" w:eastAsia="zh-CN"/>
        </w:rPr>
        <w:t>79.60</w:t>
      </w:r>
      <w:r>
        <w:rPr>
          <w:rFonts w:hint="eastAsia" w:ascii="仿宋" w:hAnsi="仿宋" w:eastAsia="仿宋" w:cs="仿宋"/>
          <w:sz w:val="32"/>
          <w:szCs w:val="32"/>
          <w:lang w:eastAsia="zh-CN"/>
        </w:rPr>
        <w:t>万元</w:t>
      </w:r>
      <w:r>
        <w:rPr>
          <w:rFonts w:hint="eastAsia" w:ascii="仿宋" w:hAnsi="仿宋" w:eastAsia="仿宋" w:cs="仿宋"/>
          <w:sz w:val="32"/>
          <w:szCs w:val="32"/>
        </w:rPr>
        <w:t>，用于机关及下属事业单位按照规定标准为职工缴纳住房公积金等支出。</w:t>
      </w:r>
    </w:p>
    <w:p w14:paraId="56886218">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40" w:firstLineChars="200"/>
        <w:textAlignment w:val="auto"/>
        <w:outlineLvl w:val="9"/>
        <w:rPr>
          <w:rFonts w:hint="eastAsia" w:ascii="仿宋_GB2312" w:eastAsia="仿宋_GB2312"/>
          <w:sz w:val="32"/>
          <w:szCs w:val="32"/>
        </w:rPr>
      </w:pPr>
      <w:r>
        <w:rPr>
          <w:rFonts w:hint="eastAsia" w:ascii="仿宋" w:hAnsi="仿宋" w:eastAsia="仿宋" w:cs="仿宋"/>
          <w:sz w:val="32"/>
          <w:szCs w:val="32"/>
        </w:rPr>
        <w:t>（五）</w:t>
      </w:r>
      <w:r>
        <w:rPr>
          <w:rFonts w:hint="eastAsia" w:ascii="仿宋_GB2312" w:eastAsia="仿宋_GB2312"/>
          <w:sz w:val="32"/>
          <w:szCs w:val="32"/>
          <w:lang w:eastAsia="zh-CN"/>
        </w:rPr>
        <w:t>公共安全</w:t>
      </w:r>
      <w:r>
        <w:rPr>
          <w:rFonts w:hint="eastAsia" w:ascii="仿宋_GB2312" w:eastAsia="仿宋_GB2312"/>
          <w:sz w:val="32"/>
          <w:szCs w:val="32"/>
          <w:lang w:val="en-US" w:eastAsia="zh-CN"/>
        </w:rPr>
        <w:t>968.44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71B4E8D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p>
    <w:p w14:paraId="0094FDE3">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五、较上年度增减变化</w:t>
      </w:r>
    </w:p>
    <w:p w14:paraId="53F0296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本年度预算拨款收入1146.70万元较上年度预算1040.91元增加了10.16%，其中基本行政运行经费预算726.62万元，占全部总预算的57.18%，较上年989.07万元减少了26.54%，原因为压缩各项开支，减少基本支出；专项业务工作经费预算52.84万元，占总预算的13.92%，较上年预算51.84万元增加了1.93%，主要原因增加了法律援助经费。 </w:t>
      </w:r>
      <w:r>
        <w:rPr>
          <w:rFonts w:hint="eastAsia" w:ascii="仿宋" w:hAnsi="仿宋" w:eastAsia="仿宋" w:cs="仿宋"/>
          <w:color w:val="333333"/>
          <w:kern w:val="0"/>
          <w:sz w:val="32"/>
          <w:szCs w:val="32"/>
          <w:shd w:val="clear" w:color="auto" w:fill="FFFFFF"/>
          <w:lang w:val="en-US" w:eastAsia="zh-CN" w:bidi="ar"/>
        </w:rPr>
        <w:t xml:space="preserve"> </w:t>
      </w:r>
      <w:r>
        <w:rPr>
          <w:rFonts w:hint="eastAsia" w:ascii="仿宋" w:hAnsi="仿宋" w:eastAsia="仿宋" w:cs="仿宋"/>
          <w:sz w:val="32"/>
          <w:szCs w:val="32"/>
          <w:lang w:val="en-US" w:eastAsia="zh-CN"/>
        </w:rPr>
        <w:t xml:space="preserve"> </w:t>
      </w:r>
    </w:p>
    <w:p w14:paraId="60F5076B">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六、“三公”经费预算</w:t>
      </w:r>
    </w:p>
    <w:p w14:paraId="5AFCE65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三公经费预算安排支出为16.40万元，其中：出国费0万元，与上年持平，主要原因为未安排因公出国；公车购置费0元，与上年持平；公务用车维护费支出15万元，较上年度预算15万元持平，公务接待费1.40万元，较上年度预算1.32万元,增加0.08万元，人员增加，公经经费增加。</w:t>
      </w:r>
    </w:p>
    <w:p w14:paraId="0EBAAFAA">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w:t>
      </w:r>
      <w:bookmarkStart w:id="0" w:name="_GoBack"/>
      <w:bookmarkEnd w:id="0"/>
      <w:r>
        <w:rPr>
          <w:rFonts w:hint="eastAsia" w:ascii="黑体" w:hAnsi="黑体" w:eastAsia="黑体" w:cs="黑体"/>
          <w:sz w:val="32"/>
          <w:szCs w:val="32"/>
          <w:lang w:val="en-US" w:eastAsia="zh-CN"/>
        </w:rPr>
        <w:t>性基金预算收支情况说明</w:t>
      </w:r>
    </w:p>
    <w:p w14:paraId="7C7D35E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2026年无使用政府性基金预算拨款安排的支出</w:t>
      </w:r>
      <w:r>
        <w:rPr>
          <w:rFonts w:hint="eastAsia" w:ascii="仿宋" w:hAnsi="仿宋" w:eastAsia="仿宋" w:cs="仿宋"/>
          <w:sz w:val="32"/>
          <w:szCs w:val="32"/>
        </w:rPr>
        <w:t>。</w:t>
      </w:r>
    </w:p>
    <w:p w14:paraId="58BE93DE">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八、国有资本经营预算收支情况说明</w:t>
      </w:r>
    </w:p>
    <w:p w14:paraId="0A90013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2026年无使用国有资本经营预算拨款安排的支出。</w:t>
      </w:r>
    </w:p>
    <w:p w14:paraId="0975C7E0">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九、其他重要事项的情况说明</w:t>
      </w:r>
    </w:p>
    <w:p w14:paraId="291C26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 w:hAnsi="仿宋" w:eastAsia="仿宋" w:cs="仿宋"/>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（一）政府采购预算情况</w:t>
      </w:r>
      <w:r>
        <w:rPr>
          <w:rFonts w:hint="eastAsia" w:ascii="仿宋" w:hAnsi="仿宋" w:eastAsia="仿宋" w:cs="仿宋"/>
          <w:b/>
          <w:bCs/>
          <w:color w:val="333333"/>
          <w:kern w:val="0"/>
          <w:sz w:val="32"/>
          <w:szCs w:val="32"/>
          <w:shd w:val="clear" w:color="auto" w:fill="FFFFFF"/>
          <w:lang w:val="en-US" w:eastAsia="zh-CN" w:bidi="ar"/>
        </w:rPr>
        <w:t xml:space="preserve"> </w:t>
      </w:r>
    </w:p>
    <w:p w14:paraId="5A5E8AF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2026年度安排政府采购预算0万元。</w:t>
      </w:r>
    </w:p>
    <w:p w14:paraId="6AE13F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 xml:space="preserve">（二）政府财政国有资产占用情况 </w:t>
      </w:r>
    </w:p>
    <w:p w14:paraId="457DA26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截止2025年底，实际共有固定资产价值655.80</w:t>
      </w:r>
      <w:r>
        <w:rPr>
          <w:rFonts w:hint="eastAsia" w:ascii="仿宋" w:hAnsi="仿宋" w:eastAsia="仿宋" w:cs="仿宋"/>
          <w:sz w:val="32"/>
          <w:szCs w:val="32"/>
          <w:lang w:eastAsia="zh-CN"/>
        </w:rPr>
        <w:t>万元：其中：公务用车</w:t>
      </w:r>
      <w:r>
        <w:rPr>
          <w:rFonts w:hint="eastAsia" w:ascii="仿宋" w:hAnsi="仿宋" w:eastAsia="仿宋" w:cs="仿宋"/>
          <w:sz w:val="32"/>
          <w:szCs w:val="32"/>
          <w:lang w:val="en-US" w:eastAsia="zh-CN"/>
        </w:rPr>
        <w:t>56.83</w:t>
      </w:r>
      <w:r>
        <w:rPr>
          <w:rFonts w:hint="eastAsia" w:ascii="仿宋" w:hAnsi="仿宋" w:eastAsia="仿宋" w:cs="仿宋"/>
          <w:sz w:val="32"/>
          <w:szCs w:val="32"/>
          <w:lang w:eastAsia="zh-CN"/>
        </w:rPr>
        <w:t>万元</w:t>
      </w:r>
      <w:r>
        <w:rPr>
          <w:rFonts w:hint="eastAsia" w:ascii="仿宋_GB2312" w:eastAsia="仿宋_GB2312"/>
          <w:sz w:val="32"/>
          <w:szCs w:val="32"/>
          <w:lang w:eastAsia="zh-CN"/>
        </w:rPr>
        <w:t>（包括应急保障车辆：摩托车一辆，价值</w:t>
      </w:r>
      <w:r>
        <w:rPr>
          <w:rFonts w:hint="eastAsia" w:ascii="仿宋_GB2312" w:eastAsia="仿宋_GB2312"/>
          <w:sz w:val="32"/>
          <w:szCs w:val="32"/>
          <w:lang w:val="en-US" w:eastAsia="zh-CN"/>
        </w:rPr>
        <w:t>6120元</w:t>
      </w:r>
      <w:r>
        <w:rPr>
          <w:rFonts w:hint="eastAsia" w:ascii="仿宋_GB2312" w:eastAsia="仿宋_GB2312"/>
          <w:sz w:val="32"/>
          <w:szCs w:val="32"/>
          <w:lang w:eastAsia="zh-CN"/>
        </w:rPr>
        <w:t>）</w:t>
      </w:r>
      <w:r>
        <w:rPr>
          <w:rFonts w:hint="eastAsia" w:ascii="仿宋" w:hAnsi="仿宋" w:eastAsia="仿宋" w:cs="仿宋"/>
          <w:sz w:val="32"/>
          <w:szCs w:val="32"/>
          <w:lang w:eastAsia="zh-CN"/>
        </w:rPr>
        <w:t>，业务用房</w:t>
      </w:r>
      <w:r>
        <w:rPr>
          <w:rFonts w:hint="eastAsia" w:ascii="仿宋" w:hAnsi="仿宋" w:eastAsia="仿宋" w:cs="仿宋"/>
          <w:sz w:val="32"/>
          <w:szCs w:val="32"/>
          <w:lang w:val="en-US" w:eastAsia="zh-CN"/>
        </w:rPr>
        <w:t>274.00</w:t>
      </w:r>
      <w:r>
        <w:rPr>
          <w:rFonts w:hint="eastAsia" w:ascii="仿宋" w:hAnsi="仿宋" w:eastAsia="仿宋" w:cs="仿宋"/>
          <w:sz w:val="32"/>
          <w:szCs w:val="32"/>
          <w:lang w:eastAsia="zh-CN"/>
        </w:rPr>
        <w:t>万元</w:t>
      </w:r>
      <w:r>
        <w:rPr>
          <w:rFonts w:hint="eastAsia" w:ascii="仿宋_GB2312" w:eastAsia="仿宋_GB2312"/>
          <w:sz w:val="32"/>
          <w:szCs w:val="32"/>
          <w:lang w:eastAsia="zh-CN"/>
        </w:rPr>
        <w:t>，其他固定资产</w:t>
      </w:r>
      <w:r>
        <w:rPr>
          <w:rFonts w:hint="eastAsia" w:ascii="仿宋_GB2312" w:eastAsia="仿宋_GB2312"/>
          <w:sz w:val="32"/>
          <w:szCs w:val="32"/>
          <w:lang w:val="en-US" w:eastAsia="zh-CN"/>
        </w:rPr>
        <w:t>324.97万元</w:t>
      </w:r>
      <w:r>
        <w:rPr>
          <w:rFonts w:hint="eastAsia" w:ascii="仿宋" w:hAnsi="仿宋" w:eastAsia="仿宋" w:cs="仿宋"/>
          <w:sz w:val="32"/>
          <w:szCs w:val="32"/>
          <w:lang w:val="en-US" w:eastAsia="zh-CN"/>
        </w:rPr>
        <w:t>。</w:t>
      </w:r>
    </w:p>
    <w:p w14:paraId="355AC8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（三）绩效目标设置情况</w:t>
      </w:r>
    </w:p>
    <w:p w14:paraId="214C47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绩效目标是预算编制的前提和基础，按照“费随事定”的原则，2026年我单位项目支出按要求编制了绩效目标，从项目完成、项目效益、满意度。</w:t>
      </w:r>
    </w:p>
    <w:p w14:paraId="4F1CF047">
      <w:pPr>
        <w:keepNext w:val="0"/>
        <w:keepLines w:val="0"/>
        <w:pageBreakBefore w:val="0"/>
        <w:kinsoku/>
        <w:wordWrap/>
        <w:overflowPunct/>
        <w:topLinePunct w:val="0"/>
        <w:autoSpaceDE/>
        <w:autoSpaceDN/>
        <w:bidi w:val="0"/>
        <w:spacing w:line="560" w:lineRule="exact"/>
        <w:ind w:left="638" w:leftChars="304" w:right="0" w:rightChars="0" w:firstLine="0" w:firstLineChars="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十、名词解释</w:t>
      </w:r>
      <w:r>
        <w:rPr>
          <w:rFonts w:hint="eastAsia" w:ascii="黑体" w:hAnsi="黑体" w:eastAsia="黑体" w:cs="黑体"/>
          <w:sz w:val="32"/>
          <w:szCs w:val="32"/>
          <w:lang w:val="en-US" w:eastAsia="zh-CN"/>
        </w:rPr>
        <w:br w:type="textWrapping"/>
      </w:r>
      <w:r>
        <w:rPr>
          <w:rFonts w:hint="eastAsia" w:ascii="仿宋" w:hAnsi="仿宋" w:eastAsia="仿宋" w:cs="仿宋"/>
          <w:sz w:val="32"/>
          <w:szCs w:val="32"/>
          <w:lang w:val="en-US" w:eastAsia="zh-CN"/>
        </w:rPr>
        <w:t xml:space="preserve">1.财政拨款收入：指财政部门核拨给单位的财政预算资金。 </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2.其他收入：指除上述财政部门拨付单位以外的收入。</w:t>
      </w:r>
    </w:p>
    <w:p w14:paraId="30A9469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3.基本支出：指为保障单位机关正常运转、完成日常工作任务而发生的人员支出和公用支出。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4.项目支出：指在基本支出之外为完成特定行政任务和事业发展目标所发生的支出。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C27090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p>
    <w:p w14:paraId="4456698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附件：表1.部门收支总表</w:t>
      </w:r>
    </w:p>
    <w:p w14:paraId="7B83E5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表2.部门收入总表</w:t>
      </w:r>
    </w:p>
    <w:p w14:paraId="45F9DB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表3.部门支出总表</w:t>
      </w:r>
    </w:p>
    <w:p w14:paraId="467A854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表4.财政拨款收支预算总表</w:t>
      </w:r>
    </w:p>
    <w:p w14:paraId="056C67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表5.财政拨款支出预算表（部门经济分类科目）</w:t>
      </w:r>
    </w:p>
    <w:p w14:paraId="6C10F9A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表6.一般公共预算支出预算表</w:t>
      </w:r>
    </w:p>
    <w:p w14:paraId="0B2918C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表7.一般公共预算基本支出预算表</w:t>
      </w:r>
    </w:p>
    <w:p w14:paraId="728EE3B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表8.一般公共预算项目支出预算表</w:t>
      </w:r>
    </w:p>
    <w:p w14:paraId="0327759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表9.一般公共预算“三公”经费支出预算表</w:t>
      </w:r>
    </w:p>
    <w:p w14:paraId="31A7DC5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表10.政府性基金支出预算表</w:t>
      </w:r>
    </w:p>
    <w:p w14:paraId="23B1B4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表11.政府性基金预算“三公”经费支出预算表</w:t>
      </w:r>
    </w:p>
    <w:p w14:paraId="1DEB61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表12.国有资本经营预算支出预算表</w:t>
      </w:r>
    </w:p>
    <w:p w14:paraId="1CFEEE7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表13.部门项目支出绩效目标表（2026年度）</w:t>
      </w:r>
    </w:p>
    <w:p w14:paraId="67899C5A">
      <w:pPr>
        <w:rPr>
          <w:rFonts w:hint="eastAsia" w:ascii="仿宋" w:hAnsi="仿宋" w:eastAsia="仿宋" w:cs="仿宋"/>
          <w:sz w:val="32"/>
          <w:szCs w:val="32"/>
        </w:rPr>
      </w:pPr>
    </w:p>
    <w:p w14:paraId="15E237B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B7C57"/>
    <w:multiLevelType w:val="singleLevel"/>
    <w:tmpl w:val="173B7C57"/>
    <w:lvl w:ilvl="0" w:tentative="0">
      <w:start w:val="3"/>
      <w:numFmt w:val="chineseCounting"/>
      <w:suff w:val="nothing"/>
      <w:lvlText w:val="%1、"/>
      <w:lvlJc w:val="left"/>
      <w:rPr>
        <w:rFonts w:hint="eastAsia"/>
      </w:rPr>
    </w:lvl>
  </w:abstractNum>
  <w:abstractNum w:abstractNumId="1">
    <w:nsid w:val="6B129978"/>
    <w:multiLevelType w:val="singleLevel"/>
    <w:tmpl w:val="6B12997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17BF9"/>
    <w:rsid w:val="10187C0B"/>
    <w:rsid w:val="36A17BF9"/>
    <w:rsid w:val="3B262E4C"/>
    <w:rsid w:val="41F401F7"/>
    <w:rsid w:val="48BD2F4D"/>
    <w:rsid w:val="4E686078"/>
    <w:rsid w:val="630D0F5C"/>
    <w:rsid w:val="70F262CD"/>
    <w:rsid w:val="7E775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widowControl w:val="0"/>
      <w:spacing w:before="0" w:after="120"/>
      <w:ind w:left="420" w:leftChars="200" w:right="0" w:firstLine="420" w:firstLineChars="200"/>
      <w:jc w:val="both"/>
    </w:pPr>
    <w:rPr>
      <w:rFonts w:hint="eastAsia" w:ascii="Times New Roman" w:hAnsi="Times New Roman" w:eastAsia="宋体" w:cs="Times New Roman"/>
      <w:kern w:val="2"/>
      <w:sz w:val="21"/>
      <w:lang w:val="en-US" w:eastAsia="zh-CN"/>
    </w:rPr>
  </w:style>
  <w:style w:type="paragraph" w:styleId="3">
    <w:name w:val="Body Text Indent"/>
    <w:basedOn w:val="1"/>
    <w:next w:val="2"/>
    <w:unhideWhenUsed/>
    <w:qFormat/>
    <w:uiPriority w:val="99"/>
    <w:pPr>
      <w:widowControl w:val="0"/>
      <w:spacing w:before="0" w:after="120"/>
      <w:ind w:left="420" w:leftChars="200" w:right="0"/>
      <w:jc w:val="both"/>
    </w:pPr>
    <w:rPr>
      <w:rFonts w:hint="eastAsia" w:ascii="Times New Roman" w:hAnsi="Times New Roman" w:eastAsia="宋体" w:cs="Times New Roman"/>
      <w:kern w:val="2"/>
      <w:sz w:val="21"/>
      <w:lang w:val="en-US" w:eastAsia="zh-CN"/>
    </w:rPr>
  </w:style>
  <w:style w:type="paragraph" w:styleId="4">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2848</Words>
  <Characters>3114</Characters>
  <Lines>0</Lines>
  <Paragraphs>0</Paragraphs>
  <TotalTime>5</TotalTime>
  <ScaleCrop>false</ScaleCrop>
  <LinksUpToDate>false</LinksUpToDate>
  <CharactersWithSpaces>3138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2026-02-01T11:53:00Z</dcterms:created>
  <dc:creator>投资股-李仕昂</dc:creator>
  <cp:lastModifiedBy>企业用户_546927485</cp:lastModifiedBy>
  <dcterms:modified xsi:type="dcterms:W3CDTF">2026-02-05T09:23:33Z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17892EE172FE4A68A0221DD09E000C94_13</vt:lpwstr>
  </property>
  <property fmtid="{D5CDD505-2E9C-101B-9397-08002B2CF9AE}" pid="4" name="KSOTemplateDocerSaveRecord">
    <vt:lpwstr>eyJoZGlkIjoiYTM4YjA5Y2Q3YjgwNGQ0MDE4N2Y5MGIxZDI5ZjUzZjYiLCJ1c2VySWQiOiIxNjMyOTk4MDkzIn0=</vt:lpwstr>
  </property>
</Properties>
</file>