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DE9E80">
      <w:pPr>
        <w:keepNext w:val="0"/>
        <w:keepLines w:val="0"/>
        <w:pageBreakBefore w:val="0"/>
        <w:kinsoku/>
        <w:wordWrap/>
        <w:overflowPunct/>
        <w:topLinePunct w:val="0"/>
        <w:autoSpaceDE/>
        <w:autoSpaceDN/>
        <w:bidi w:val="0"/>
        <w:spacing w:line="560" w:lineRule="exact"/>
        <w:ind w:left="0" w:leftChars="0" w:right="0" w:rightChars="0"/>
        <w:jc w:val="center"/>
        <w:textAlignment w:val="auto"/>
        <w:rPr>
          <w:rFonts w:hint="eastAsia" w:ascii="方正小标宋简体" w:hAnsi="方正小标宋简体" w:eastAsia="方正小标宋简体" w:cs="方正小标宋简体"/>
          <w:b w:val="0"/>
          <w:bCs/>
          <w:sz w:val="44"/>
          <w:szCs w:val="44"/>
          <w:lang w:eastAsia="zh-CN"/>
        </w:rPr>
      </w:pPr>
      <w:bookmarkStart w:id="0" w:name="_GoBack"/>
      <w:bookmarkEnd w:id="0"/>
      <w:r>
        <w:rPr>
          <w:rFonts w:hint="eastAsia" w:ascii="方正小标宋简体" w:hAnsi="方正小标宋简体" w:eastAsia="方正小标宋简体" w:cs="方正小标宋简体"/>
          <w:b w:val="0"/>
          <w:bCs/>
          <w:sz w:val="44"/>
          <w:szCs w:val="44"/>
          <w:lang w:val="en-US" w:eastAsia="zh-CN"/>
        </w:rPr>
        <w:t>麦洼</w:t>
      </w:r>
      <w:r>
        <w:rPr>
          <w:rFonts w:hint="eastAsia" w:ascii="方正小标宋简体" w:hAnsi="方正小标宋简体" w:eastAsia="方正小标宋简体" w:cs="方正小标宋简体"/>
          <w:b w:val="0"/>
          <w:bCs/>
          <w:sz w:val="44"/>
          <w:szCs w:val="44"/>
          <w:lang w:eastAsia="zh-CN"/>
        </w:rPr>
        <w:t>乡人民政府</w:t>
      </w:r>
    </w:p>
    <w:p w14:paraId="12F54AB9">
      <w:pPr>
        <w:keepNext w:val="0"/>
        <w:keepLines w:val="0"/>
        <w:widowControl/>
        <w:suppressLineNumbers w:val="0"/>
        <w:snapToGrid w:val="0"/>
        <w:spacing w:before="0" w:beforeAutospacing="0" w:after="0" w:afterAutospacing="0" w:line="576" w:lineRule="exact"/>
        <w:ind w:right="0" w:firstLine="1320" w:firstLineChars="300"/>
        <w:jc w:val="both"/>
        <w:rPr>
          <w:rFonts w:hint="default" w:ascii="Times New Roman" w:hAnsi="Times New Roman" w:eastAsia="方正小标宋简体" w:cs="Times New Roman"/>
          <w:color w:val="000000"/>
          <w:kern w:val="0"/>
          <w:sz w:val="36"/>
          <w:szCs w:val="36"/>
        </w:rPr>
      </w:pPr>
      <w:r>
        <w:rPr>
          <w:rFonts w:hint="eastAsia" w:ascii="方正小标宋简体" w:hAnsi="方正小标宋简体" w:eastAsia="方正小标宋简体" w:cs="方正小标宋简体"/>
          <w:b w:val="0"/>
          <w:bCs/>
          <w:sz w:val="44"/>
          <w:szCs w:val="44"/>
          <w:lang w:eastAsia="zh-CN"/>
        </w:rPr>
        <w:t>202</w:t>
      </w:r>
      <w:r>
        <w:rPr>
          <w:rFonts w:hint="eastAsia" w:ascii="方正小标宋简体" w:hAnsi="方正小标宋简体" w:eastAsia="方正小标宋简体" w:cs="方正小标宋简体"/>
          <w:b w:val="0"/>
          <w:bCs/>
          <w:sz w:val="44"/>
          <w:szCs w:val="44"/>
          <w:lang w:val="en-US" w:eastAsia="zh-CN"/>
        </w:rPr>
        <w:t>6</w:t>
      </w:r>
      <w:r>
        <w:rPr>
          <w:rFonts w:hint="eastAsia" w:ascii="方正小标宋简体" w:hAnsi="方正小标宋简体" w:eastAsia="方正小标宋简体" w:cs="方正小标宋简体"/>
          <w:b w:val="0"/>
          <w:bCs/>
          <w:sz w:val="44"/>
          <w:szCs w:val="44"/>
          <w:lang w:eastAsia="zh-CN"/>
        </w:rPr>
        <w:t>年</w:t>
      </w:r>
      <w:r>
        <w:rPr>
          <w:rFonts w:hint="eastAsia" w:ascii="方正小标宋简体" w:hAnsi="方正小标宋简体" w:eastAsia="方正小标宋简体" w:cs="方正小标宋简体"/>
          <w:b w:val="0"/>
          <w:bCs/>
          <w:sz w:val="44"/>
          <w:szCs w:val="44"/>
        </w:rPr>
        <w:t>部门预算编制的说明</w:t>
      </w:r>
    </w:p>
    <w:p w14:paraId="417E8DD6">
      <w:pPr>
        <w:keepNext w:val="0"/>
        <w:keepLines w:val="0"/>
        <w:widowControl/>
        <w:suppressLineNumbers w:val="0"/>
        <w:snapToGrid w:val="0"/>
        <w:spacing w:before="0" w:beforeAutospacing="0" w:after="0" w:afterAutospacing="0" w:line="576" w:lineRule="exact"/>
        <w:ind w:left="0" w:right="0"/>
        <w:jc w:val="both"/>
        <w:rPr>
          <w:rFonts w:hint="default" w:ascii="Times New Roman" w:hAnsi="Times New Roman" w:eastAsia="方正小标宋简体" w:cs="Times New Roman"/>
          <w:color w:val="000000"/>
          <w:kern w:val="0"/>
          <w:sz w:val="36"/>
          <w:szCs w:val="36"/>
          <w:lang w:val="en-US" w:eastAsia="zh-CN" w:bidi="ar"/>
        </w:rPr>
      </w:pPr>
      <w:r>
        <w:rPr>
          <w:rFonts w:hint="default" w:ascii="Times New Roman" w:hAnsi="Times New Roman" w:eastAsia="方正小标宋简体" w:cs="Times New Roman"/>
          <w:color w:val="000000"/>
          <w:kern w:val="0"/>
          <w:sz w:val="36"/>
          <w:szCs w:val="36"/>
          <w:lang w:val="en-US" w:eastAsia="zh-CN" w:bidi="ar"/>
        </w:rPr>
        <w:t xml:space="preserve"> </w:t>
      </w:r>
    </w:p>
    <w:p w14:paraId="09CD177D">
      <w:pPr>
        <w:keepNext w:val="0"/>
        <w:keepLines w:val="0"/>
        <w:pageBreakBefore w:val="0"/>
        <w:widowControl/>
        <w:suppressLineNumbers w:val="0"/>
        <w:kinsoku/>
        <w:wordWrap/>
        <w:overflowPunct/>
        <w:topLinePunct w:val="0"/>
        <w:autoSpaceDE/>
        <w:autoSpaceDN/>
        <w:bidi w:val="0"/>
        <w:adjustRightInd/>
        <w:snapToGrid w:val="0"/>
        <w:spacing w:before="0" w:beforeAutospacing="0" w:after="0" w:afterAutospacing="0" w:line="576" w:lineRule="exact"/>
        <w:ind w:left="0" w:right="0" w:firstLine="640" w:firstLineChars="200"/>
        <w:jc w:val="both"/>
        <w:textAlignment w:val="auto"/>
        <w:rPr>
          <w:rFonts w:hint="eastAsia" w:ascii="宋体" w:hAnsi="宋体" w:eastAsia="宋体"/>
          <w:b/>
          <w:sz w:val="44"/>
          <w:szCs w:val="44"/>
        </w:rPr>
      </w:pPr>
      <w:r>
        <w:rPr>
          <w:rFonts w:hint="eastAsia"/>
          <w:sz w:val="32"/>
          <w:szCs w:val="32"/>
        </w:rPr>
        <w:t>按照预算管理有关规定，目前部门预算的编制实行综合预算制度，即全部收入和支出都反映在预算中。</w:t>
      </w:r>
    </w:p>
    <w:p w14:paraId="38E5FE3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一、基本职能及主要工作</w:t>
      </w:r>
    </w:p>
    <w:p w14:paraId="0AE00EA2">
      <w:pPr>
        <w:pStyle w:val="5"/>
        <w:keepNext w:val="0"/>
        <w:keepLines w:val="0"/>
        <w:pageBreakBefore w:val="0"/>
        <w:kinsoku/>
        <w:wordWrap/>
        <w:overflowPunct/>
        <w:topLinePunct w:val="0"/>
        <w:autoSpaceDE/>
        <w:autoSpaceDN/>
        <w:bidi w:val="0"/>
        <w:adjustRightInd w:val="0"/>
        <w:snapToGrid w:val="0"/>
        <w:spacing w:line="576" w:lineRule="exact"/>
        <w:ind w:left="0" w:leftChars="0" w:right="0" w:rightChars="0" w:firstLine="643" w:firstLineChars="20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（一）基本职能</w:t>
      </w:r>
    </w:p>
    <w:p w14:paraId="37D5E785">
      <w:pPr>
        <w:keepNext w:val="0"/>
        <w:keepLines w:val="0"/>
        <w:pageBreakBefore w:val="0"/>
        <w:widowControl w:val="0"/>
        <w:kinsoku/>
        <w:wordWrap/>
        <w:overflowPunct/>
        <w:topLinePunct w:val="0"/>
        <w:autoSpaceDE/>
        <w:autoSpaceDN/>
        <w:bidi w:val="0"/>
        <w:adjustRightInd/>
        <w:snapToGrid/>
        <w:spacing w:after="0" w:line="576" w:lineRule="exact"/>
        <w:ind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1.乡党委工作职责</w:t>
      </w:r>
    </w:p>
    <w:p w14:paraId="75ABD6F1">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（1）宣传和贯彻执行党的路线方针政策和党中央、上级党组织及辖区内党委（或党员大会）的决议;</w:t>
      </w:r>
    </w:p>
    <w:p w14:paraId="4F8B4BB8">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讨论和决定辖区内经济建设、政治建设、文化建设、社会建设、生态文明建设、党的建、乡村振兴和社会发展中的重大问题。需由乡政权机关或者集体经济组织决定的重要事项，经乡党委研究讨论后,由乡政权机关或者集体经济组织依照法律和有关规定作出决定;</w:t>
      </w:r>
    </w:p>
    <w:p w14:paraId="7CD19E00">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（3）领导乡政府机关、群众组织和其他各类组织，加强指导和规范,支持和保证这些机关和组织依照国家法律法规以及各自章程履行职责;</w:t>
      </w:r>
    </w:p>
    <w:p w14:paraId="36A0D378">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加强党委自身建设和以党支部为核心的村级组织建设，以及其他隶属乡党委的党组织建设，抓好发展党员工作，加强党员队伍建设。维护和执行党的纪律,监督党员干部和其他任何工作人员严格遵守国家法律法规;</w:t>
      </w:r>
    </w:p>
    <w:p w14:paraId="0259F1E2">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（5）按照干部管理权限，负责对本级乡村干部的教育、培训、管理、选拔和监督工作。协助管理上级有关部门驻乡单位的干部。做好人才服务和引进工作;</w:t>
      </w:r>
    </w:p>
    <w:p w14:paraId="161FF378">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（6）领导本乡的基层治理，加强社会主义民主法治建设和精神文明建设，加强社会治安综合治理，做好生态环保、美丽乡村建设、民生保障、巩固脱贫攻坚成果、民族宗教、微网实格、群众工作等工作;</w:t>
      </w:r>
    </w:p>
    <w:p w14:paraId="05E4931F">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（7）完成县委交办的其他工作任务。</w:t>
      </w:r>
    </w:p>
    <w:p w14:paraId="0AAB39A4">
      <w:pPr>
        <w:keepNext w:val="0"/>
        <w:keepLines w:val="0"/>
        <w:pageBreakBefore w:val="0"/>
        <w:widowControl w:val="0"/>
        <w:kinsoku/>
        <w:wordWrap/>
        <w:overflowPunct/>
        <w:topLinePunct w:val="0"/>
        <w:autoSpaceDE/>
        <w:autoSpaceDN/>
        <w:bidi w:val="0"/>
        <w:adjustRightInd/>
        <w:snapToGrid/>
        <w:spacing w:after="0" w:line="576"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2.乡人民代表大会工作职责</w:t>
      </w:r>
    </w:p>
    <w:p w14:paraId="4B33D6F3">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（1）坚持党的领导，监督保证宪法、法律、法规及乡人民代表大会和上级人民代表大会及其常务委员会决议、决定在本行政区域内的遵守和执行;</w:t>
      </w:r>
    </w:p>
    <w:p w14:paraId="25C0493C">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（2）决定召集和主持本届人民代表大会会议，对本届人民代表大会负责并报告工作,决定召集下届人民代表大会第一次会议;</w:t>
      </w:r>
    </w:p>
    <w:p w14:paraId="5D042D64">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（3）听取、审议本级人民政府工作报告，通过相应决议、决定，检查、督促本级人民政府对乡人民代表大会决议、决定的贯彻执行;</w:t>
      </w:r>
    </w:p>
    <w:p w14:paraId="67A65991">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（4）讨论辖区内的重大事项，向乡人民政府提出建议或者提请乡人民代表大会会议审议决定;撤销本级人民政府不适当的决定。</w:t>
      </w:r>
    </w:p>
    <w:p w14:paraId="62AD4F9E">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（5）根据乡人民政府的建议，决定乡人民代表大会通过的建设计划、财政预算的部分变更;</w:t>
      </w:r>
    </w:p>
    <w:p w14:paraId="190BDC6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（6）督促乡人民政府研究办理乡人民代表大会代表的视察和调查，指导代表小组开展活动，密切联系代表，听取和反映他们的意见和要求;</w:t>
      </w:r>
    </w:p>
    <w:p w14:paraId="67052F77">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（7）受理人民群众对本级国家机关和工作人员的申诉和意见;</w:t>
      </w:r>
    </w:p>
    <w:p w14:paraId="0E2F14DC">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（8）决定接受乡长、副乡长的辞职，并报下一次人民代表大会会议备案。乡长因故不能担任职务时，从副乡长中决定代理人选;</w:t>
      </w:r>
    </w:p>
    <w:p w14:paraId="32ADB3E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（9）指导选区依法罢免和补选人民代表大会代表;</w:t>
      </w:r>
    </w:p>
    <w:p w14:paraId="0F4B0E8F">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（10）完成乡人民代表大会和上级人民代表大会常务委员会交办的其他事项。</w:t>
      </w:r>
    </w:p>
    <w:p w14:paraId="0F1CF9D4">
      <w:pPr>
        <w:keepNext w:val="0"/>
        <w:keepLines w:val="0"/>
        <w:pageBreakBefore w:val="0"/>
        <w:widowControl w:val="0"/>
        <w:kinsoku/>
        <w:wordWrap/>
        <w:overflowPunct/>
        <w:topLinePunct w:val="0"/>
        <w:autoSpaceDE/>
        <w:autoSpaceDN/>
        <w:bidi w:val="0"/>
        <w:adjustRightInd/>
        <w:snapToGrid/>
        <w:spacing w:after="0" w:line="576"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3.乡人民政府工作职责</w:t>
      </w:r>
    </w:p>
    <w:p w14:paraId="3C2BAFE2">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落实国家政策，严格依法行政，发挥经济管理职能，加强政策引导，制定发展规划，服务市场主体和营造发展环境，搞好市场监管，大力促进社会事业发展，发展乡村经济、文化和社会事业，提供公共服务，维护社会稳定，构建社会主义和谐社会；</w:t>
      </w:r>
    </w:p>
    <w:p w14:paraId="49E17D3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（2）执行本级人民代表大会的决议和上级国家行政机关的决定和命令，发布决定、命令;</w:t>
      </w:r>
    </w:p>
    <w:p w14:paraId="6FC8D183">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 xml:space="preserve">（3）编制和执行辖区内国民经济和社会发展计划、领导管理全乡经济、教育、科学、文化、卫生、城乡建设、环境保护事业和财政、民政、公安、司法行政、行政监察、审计、计划生育等行政工作;  </w:t>
      </w:r>
    </w:p>
    <w:p w14:paraId="5053AB31">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（4）保护社会主义的全民所有的财产和劳动群众集体所有的财产，保护公民私人所有的合法财产，维护社会秩序，保障公民的人身权利、民主权利和其他权利;</w:t>
      </w:r>
    </w:p>
    <w:p w14:paraId="2C430EC0">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（5）保护各种经济组织的合法权益;</w:t>
      </w:r>
    </w:p>
    <w:p w14:paraId="755D2F0D">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（6）保障少数民族的权利和尊重少数民族的风俗习惯;</w:t>
      </w:r>
    </w:p>
    <w:p w14:paraId="0108830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（7）完成县委、县政府交办的其他事项。</w:t>
      </w:r>
    </w:p>
    <w:p w14:paraId="6157828F">
      <w:pPr>
        <w:keepNext w:val="0"/>
        <w:keepLines w:val="0"/>
        <w:pageBreakBefore w:val="0"/>
        <w:widowControl w:val="0"/>
        <w:kinsoku/>
        <w:wordWrap/>
        <w:overflowPunct/>
        <w:topLinePunct w:val="0"/>
        <w:autoSpaceDE/>
        <w:autoSpaceDN/>
        <w:bidi w:val="0"/>
        <w:adjustRightInd/>
        <w:snapToGrid/>
        <w:spacing w:after="0" w:line="576"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4.乡纪检监察工作职责</w:t>
      </w:r>
    </w:p>
    <w:p w14:paraId="32D12BF1">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（1）监督检查基层党支部、党员干部贯彻执行国家的法律法规、党的方针政策、乡党委、政府各种规章制度的情况;</w:t>
      </w:r>
    </w:p>
    <w:p w14:paraId="4B5BD320">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（2）协助乡党委抓好农村基层党风廉政建设工作，监督检查落实党风廉政建设责任制的情况;</w:t>
      </w:r>
    </w:p>
    <w:p w14:paraId="693FB492">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（3）受理基层党支部、党员和领导干部违反党纪政纪的信访和举报;</w:t>
      </w:r>
    </w:p>
    <w:p w14:paraId="4B0C3466">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（4）调查处理基层党支部和党员、领导干部违反党纪政纪的行为或提出处理建议;</w:t>
      </w:r>
    </w:p>
    <w:p w14:paraId="7846CA13">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（5）受理党员、党员领导干部及行政干部不服党纪政纪处分的申诉;</w:t>
      </w:r>
    </w:p>
    <w:p w14:paraId="56820986">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（6）会同有关部门做好党风党纪和廉洁从政的教育、宣传、调研等工作;</w:t>
      </w:r>
    </w:p>
    <w:p w14:paraId="664C2CB9">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（7）做好执法监察工作;</w:t>
      </w:r>
    </w:p>
    <w:p w14:paraId="55F9057B">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（8）完成乡党委、乡政府和上级纪检监察机关交办的有关工作。</w:t>
      </w:r>
    </w:p>
    <w:p w14:paraId="06231D5D">
      <w:pPr>
        <w:keepNext w:val="0"/>
        <w:keepLines w:val="0"/>
        <w:pageBreakBefore w:val="0"/>
        <w:widowControl w:val="0"/>
        <w:kinsoku/>
        <w:wordWrap/>
        <w:overflowPunct/>
        <w:topLinePunct w:val="0"/>
        <w:autoSpaceDE/>
        <w:autoSpaceDN/>
        <w:bidi w:val="0"/>
        <w:adjustRightInd/>
        <w:snapToGrid/>
        <w:spacing w:after="0" w:line="576" w:lineRule="exact"/>
        <w:ind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5.乡人民武装部工作职责</w:t>
      </w:r>
    </w:p>
    <w:p w14:paraId="2DE526F6">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（1）负责本区域的民兵组织建设、政治教育、军事训练和、武装装备管理;</w:t>
      </w:r>
    </w:p>
    <w:p w14:paraId="7F16699F">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（2）组织带领民兵完成战备执勤任务，配合公安部门维护社会治安;</w:t>
      </w:r>
    </w:p>
    <w:p w14:paraId="37B758F9">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（3）发动和组织民兵参加三个文明建设，开展以劳养武活动，完成急难险重任务;</w:t>
      </w:r>
    </w:p>
    <w:p w14:paraId="7CBD4D27">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（4）战时组织带领民兵参军参战，支援前线;</w:t>
      </w:r>
    </w:p>
    <w:p w14:paraId="4BF688AF">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（5）负责辖区的征兵工作和预备役士兵，预备役军官登记统计工作;</w:t>
      </w:r>
    </w:p>
    <w:p w14:paraId="0B84CC93">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（6）会同有关部门进行战争潜力调查，做好相关的动员准备工作;</w:t>
      </w:r>
    </w:p>
    <w:p w14:paraId="200F655D">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（7）协同预备役部(分)队落实参训人员，做好兵役管理、动员集结等工作;</w:t>
      </w:r>
    </w:p>
    <w:p w14:paraId="1703F0E9">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（8）协助有关部门开展国防教育，做好退伍军人的安置和烈军属的优抚工作;</w:t>
      </w:r>
    </w:p>
    <w:p w14:paraId="3ECFC7C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（9）协助军队做好本区域的军事设施保护工作;</w:t>
      </w:r>
    </w:p>
    <w:p w14:paraId="12674931">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（10）完成乡党委、乡政府和上级军事机关交办的其他工作任务。</w:t>
      </w:r>
    </w:p>
    <w:p w14:paraId="4808934E">
      <w:pPr>
        <w:pStyle w:val="5"/>
        <w:keepNext w:val="0"/>
        <w:keepLines w:val="0"/>
        <w:pageBreakBefore w:val="0"/>
        <w:kinsoku/>
        <w:wordWrap/>
        <w:overflowPunct/>
        <w:topLinePunct w:val="0"/>
        <w:autoSpaceDE/>
        <w:autoSpaceDN/>
        <w:bidi w:val="0"/>
        <w:adjustRightInd w:val="0"/>
        <w:snapToGrid w:val="0"/>
        <w:spacing w:line="560" w:lineRule="exact"/>
        <w:ind w:left="0" w:leftChars="0" w:right="0" w:rightChars="0" w:firstLine="675" w:firstLineChars="210"/>
        <w:textAlignment w:val="auto"/>
        <w:rPr>
          <w:rFonts w:hint="eastAsia" w:ascii="楷体_GB2312" w:hAnsi="楷体_GB2312" w:eastAsia="楷体_GB2312" w:cs="楷体_GB2312"/>
          <w:b/>
          <w:bCs w:val="0"/>
          <w:sz w:val="32"/>
          <w:szCs w:val="32"/>
          <w:lang w:eastAsia="zh-CN"/>
        </w:rPr>
      </w:pPr>
      <w:r>
        <w:rPr>
          <w:rFonts w:hint="eastAsia" w:ascii="楷体_GB2312" w:hAnsi="楷体_GB2312" w:eastAsia="楷体_GB2312" w:cs="楷体_GB2312"/>
          <w:b/>
          <w:bCs w:val="0"/>
          <w:sz w:val="32"/>
          <w:szCs w:val="32"/>
          <w:lang w:eastAsia="zh-CN"/>
        </w:rPr>
        <w:t>（二）202</w:t>
      </w:r>
      <w:r>
        <w:rPr>
          <w:rFonts w:hint="eastAsia" w:ascii="楷体_GB2312" w:hAnsi="楷体_GB2312" w:eastAsia="楷体_GB2312" w:cs="楷体_GB2312"/>
          <w:b/>
          <w:bCs w:val="0"/>
          <w:sz w:val="32"/>
          <w:szCs w:val="32"/>
          <w:lang w:val="en-US" w:eastAsia="zh-CN"/>
        </w:rPr>
        <w:t>6</w:t>
      </w:r>
      <w:r>
        <w:rPr>
          <w:rFonts w:hint="eastAsia" w:ascii="楷体_GB2312" w:hAnsi="楷体_GB2312" w:eastAsia="楷体_GB2312" w:cs="楷体_GB2312"/>
          <w:b/>
          <w:bCs w:val="0"/>
          <w:sz w:val="32"/>
          <w:szCs w:val="32"/>
          <w:lang w:eastAsia="zh-CN"/>
        </w:rPr>
        <w:t>年重点工作任务</w:t>
      </w:r>
    </w:p>
    <w:p w14:paraId="4DC2EE8A">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仿宋_GB2312" w:hAnsi="仿宋_GB2312" w:eastAsia="仿宋_GB2312" w:cs="仿宋_GB2312"/>
          <w:b w:val="0"/>
          <w:bCs w:val="0"/>
          <w:sz w:val="32"/>
          <w:szCs w:val="32"/>
          <w:lang w:val="en-US" w:eastAsia="zh-CN"/>
        </w:rPr>
        <w:t>一是</w:t>
      </w:r>
      <w:r>
        <w:rPr>
          <w:rFonts w:hint="default" w:ascii="仿宋_GB2312" w:hAnsi="仿宋_GB2312" w:eastAsia="仿宋_GB2312" w:cs="仿宋_GB2312"/>
          <w:b w:val="0"/>
          <w:bCs w:val="0"/>
          <w:sz w:val="32"/>
          <w:szCs w:val="32"/>
          <w:lang w:val="en-US" w:eastAsia="zh-CN"/>
        </w:rPr>
        <w:t>持续强化党建引领工作力度。</w:t>
      </w:r>
      <w:r>
        <w:rPr>
          <w:rFonts w:hint="eastAsia" w:ascii="仿宋_GB2312" w:hAnsi="仿宋_GB2312" w:eastAsia="仿宋_GB2312" w:cs="仿宋_GB2312"/>
          <w:kern w:val="0"/>
          <w:sz w:val="32"/>
          <w:szCs w:val="32"/>
          <w:lang w:val="en-US" w:eastAsia="zh-CN" w:bidi="ar"/>
        </w:rPr>
        <w:t>夯实基层组织基础，</w:t>
      </w:r>
      <w:r>
        <w:rPr>
          <w:rFonts w:hint="eastAsia" w:ascii="仿宋_GB2312" w:hAnsi="仿宋_GB2312" w:eastAsia="仿宋_GB2312" w:cs="仿宋_GB2312"/>
          <w:b w:val="0"/>
          <w:bCs w:val="0"/>
          <w:sz w:val="32"/>
          <w:szCs w:val="32"/>
          <w:lang w:val="en-US" w:eastAsia="zh-CN"/>
        </w:rPr>
        <w:t>开展“党支部提质增效行动”，深化“党建+网格”治理，实现网格服务“一站式”办理</w:t>
      </w:r>
      <w:r>
        <w:rPr>
          <w:rFonts w:hint="eastAsia" w:ascii="仿宋_GB2312" w:hAnsi="仿宋_GB2312" w:eastAsia="仿宋_GB2312" w:cs="仿宋_GB2312"/>
          <w:kern w:val="0"/>
          <w:sz w:val="32"/>
          <w:szCs w:val="32"/>
          <w:lang w:val="en-US" w:eastAsia="zh-CN" w:bidi="ar"/>
        </w:rPr>
        <w:t xml:space="preserve">；锻造过硬干部队伍，开展素质提升行动，完善选人用人机制，为乡高质量发展提供坚实组织保障。 </w:t>
      </w:r>
    </w:p>
    <w:p w14:paraId="51CA7605">
      <w:pPr>
        <w:keepNext w:val="0"/>
        <w:keepLines w:val="0"/>
        <w:pageBreakBefore w:val="0"/>
        <w:widowControl w:val="0"/>
        <w:kinsoku/>
        <w:wordWrap/>
        <w:overflowPunct/>
        <w:topLinePunct w:val="0"/>
        <w:autoSpaceDE/>
        <w:autoSpaceDN/>
        <w:bidi w:val="0"/>
        <w:adjustRightInd/>
        <w:snapToGrid/>
        <w:spacing w:after="0" w:line="576"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二是</w:t>
      </w:r>
      <w:r>
        <w:rPr>
          <w:rFonts w:hint="default" w:ascii="仿宋_GB2312" w:hAnsi="仿宋_GB2312" w:eastAsia="仿宋_GB2312" w:cs="仿宋_GB2312"/>
          <w:b w:val="0"/>
          <w:bCs w:val="0"/>
          <w:sz w:val="32"/>
          <w:szCs w:val="32"/>
          <w:lang w:val="en-US" w:eastAsia="zh-CN"/>
        </w:rPr>
        <w:t>持续加大经济发展推进力度。</w:t>
      </w:r>
      <w:r>
        <w:rPr>
          <w:rFonts w:hint="eastAsia" w:ascii="仿宋_GB2312" w:hAnsi="仿宋_GB2312" w:eastAsia="仿宋_GB2312" w:cs="仿宋_GB2312"/>
          <w:sz w:val="32"/>
          <w:szCs w:val="32"/>
          <w:lang w:val="en-US" w:eastAsia="zh-CN"/>
        </w:rPr>
        <w:t>持续推动麦洼牦牛种源保护与产业化开发，积极推广现代化畜牧业养殖技术，推进畜牧业转型升级，建强草原畜牧产业；</w:t>
      </w:r>
      <w:r>
        <w:rPr>
          <w:rFonts w:hint="eastAsia" w:ascii="仿宋_GB2312" w:hAnsi="仿宋_GB2312" w:eastAsia="仿宋_GB2312" w:cs="仿宋_GB2312"/>
          <w:sz w:val="32"/>
          <w:szCs w:val="32"/>
        </w:rPr>
        <w:t>依托辖区川红高速</w:t>
      </w:r>
      <w:r>
        <w:rPr>
          <w:rFonts w:hint="eastAsia" w:ascii="仿宋_GB2312" w:hAnsi="仿宋_GB2312" w:eastAsia="仿宋_GB2312" w:cs="仿宋_GB2312"/>
          <w:sz w:val="32"/>
          <w:szCs w:val="32"/>
          <w:lang w:val="en-US" w:eastAsia="zh-CN"/>
        </w:rPr>
        <w:t>等重点</w:t>
      </w:r>
      <w:r>
        <w:rPr>
          <w:rFonts w:hint="eastAsia" w:ascii="仿宋_GB2312" w:hAnsi="仿宋_GB2312" w:eastAsia="仿宋_GB2312" w:cs="仿宋_GB2312"/>
          <w:sz w:val="32"/>
          <w:szCs w:val="32"/>
        </w:rPr>
        <w:t>项目建设平台，</w:t>
      </w:r>
      <w:r>
        <w:rPr>
          <w:rFonts w:hint="eastAsia" w:ascii="仿宋_GB2312" w:hAnsi="仿宋_GB2312" w:eastAsia="仿宋_GB2312" w:cs="仿宋_GB2312"/>
          <w:sz w:val="32"/>
          <w:szCs w:val="32"/>
          <w:lang w:val="en-US" w:eastAsia="zh-CN"/>
        </w:rPr>
        <w:t>带动辖区经济；</w:t>
      </w:r>
      <w:r>
        <w:rPr>
          <w:rFonts w:hint="default" w:ascii="仿宋_GB2312" w:hAnsi="仿宋_GB2312" w:eastAsia="仿宋_GB2312" w:cs="仿宋_GB2312"/>
          <w:sz w:val="32"/>
          <w:szCs w:val="32"/>
          <w:lang w:val="en-US" w:eastAsia="zh-CN"/>
        </w:rPr>
        <w:t>依托“麦洼藏戏”、“麦洼锅庄”、“百旺弹唱”等非遗文化和特色文化，培育壮大牧旅融合产业，推动草原畜牧业与文化、旅游深度融合</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发展林下经济，带动中草药经济，实现“绿富”双赢。</w:t>
      </w:r>
    </w:p>
    <w:p w14:paraId="1770EA65">
      <w:pPr>
        <w:pStyle w:val="10"/>
        <w:keepNext w:val="0"/>
        <w:keepLines w:val="0"/>
        <w:pageBreakBefore w:val="0"/>
        <w:numPr>
          <w:ilvl w:val="0"/>
          <w:numId w:val="0"/>
        </w:numPr>
        <w:kinsoku/>
        <w:wordWrap/>
        <w:overflowPunct/>
        <w:topLinePunct w:val="0"/>
        <w:bidi w:val="0"/>
        <w:spacing w:line="576"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三是</w:t>
      </w:r>
      <w:r>
        <w:rPr>
          <w:rFonts w:hint="default" w:ascii="仿宋_GB2312" w:hAnsi="仿宋_GB2312" w:eastAsia="仿宋_GB2312" w:cs="仿宋_GB2312"/>
          <w:sz w:val="32"/>
          <w:szCs w:val="32"/>
          <w:lang w:val="en-US" w:eastAsia="zh-CN"/>
        </w:rPr>
        <w:t>持续提升乡村振兴实施力度。</w:t>
      </w:r>
      <w:r>
        <w:rPr>
          <w:rFonts w:hint="eastAsia" w:ascii="仿宋_GB2312" w:hAnsi="仿宋_GB2312" w:eastAsia="仿宋_GB2312" w:cs="仿宋_GB2312"/>
          <w:sz w:val="32"/>
          <w:szCs w:val="32"/>
          <w:lang w:val="en-US" w:eastAsia="zh-CN"/>
        </w:rPr>
        <w:t>开展巩固成果“回头看”工作，对脱贫攻坚期形成的资产开展全面清查，完善确权移交、管护运营、收益分配全流程监管制度，确保经营性资产保值增效、公益性资产持续发挥作用；强化防止返贫致贫监测力度，建立“早发现—早干预—早帮扶”闭环流程，确保风险在萌芽状态得到化解。</w:t>
      </w:r>
    </w:p>
    <w:p w14:paraId="24812537">
      <w:pPr>
        <w:pStyle w:val="10"/>
        <w:keepNext w:val="0"/>
        <w:keepLines w:val="0"/>
        <w:pageBreakBefore w:val="0"/>
        <w:numPr>
          <w:ilvl w:val="0"/>
          <w:numId w:val="0"/>
        </w:numPr>
        <w:kinsoku/>
        <w:wordWrap/>
        <w:overflowPunct/>
        <w:topLinePunct w:val="0"/>
        <w:bidi w:val="0"/>
        <w:spacing w:line="576"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四是持续保障改善民生福祉力度。健全多层次社会保障体系，加强对“一老一小”、残疾人等群体的关爱服务。提升教育、医疗、文化等公共服务供给质量，“不断满足人民群众对美好生活的新期待。</w:t>
      </w:r>
    </w:p>
    <w:p w14:paraId="2E0E8836">
      <w:pPr>
        <w:pStyle w:val="10"/>
        <w:keepNext w:val="0"/>
        <w:keepLines w:val="0"/>
        <w:pageBreakBefore w:val="0"/>
        <w:numPr>
          <w:ilvl w:val="0"/>
          <w:numId w:val="0"/>
        </w:numPr>
        <w:kinsoku/>
        <w:wordWrap/>
        <w:overflowPunct/>
        <w:topLinePunct w:val="0"/>
        <w:bidi w:val="0"/>
        <w:spacing w:line="576" w:lineRule="exact"/>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是持续加大安生产全保障力度。牢固树立安全发展理念，持续深化重点领域安全生产专项整治，提升防灾减灾救灾能力。完善持续依托“微网实格”群众工作平台，完善社会治安防控体系，有效化解信访积案和矛盾纠纷。深化法治乡镇建设，确保社会大局和谐稳定。</w:t>
      </w:r>
    </w:p>
    <w:p w14:paraId="58E9A6F9">
      <w:pPr>
        <w:keepNext w:val="0"/>
        <w:keepLines w:val="0"/>
        <w:pageBreakBefore w:val="0"/>
        <w:widowControl/>
        <w:numPr>
          <w:ilvl w:val="0"/>
          <w:numId w:val="0"/>
        </w:numPr>
        <w:kinsoku/>
        <w:wordWrap/>
        <w:overflowPunct/>
        <w:topLinePunct w:val="0"/>
        <w:autoSpaceDE/>
        <w:autoSpaceDN/>
        <w:bidi w:val="0"/>
        <w:adjustRightInd w:val="0"/>
        <w:snapToGrid w:val="0"/>
        <w:spacing w:after="0" w:line="576"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特色亮点工作：</w:t>
      </w:r>
    </w:p>
    <w:p w14:paraId="5BDFC9D6">
      <w:pPr>
        <w:keepNext w:val="0"/>
        <w:keepLines w:val="0"/>
        <w:pageBreakBefore w:val="0"/>
        <w:widowControl w:val="0"/>
        <w:kinsoku/>
        <w:wordWrap/>
        <w:overflowPunct/>
        <w:topLinePunct w:val="0"/>
        <w:autoSpaceDE/>
        <w:autoSpaceDN/>
        <w:bidi w:val="0"/>
        <w:adjustRightInd/>
        <w:snapToGrid/>
        <w:spacing w:after="0" w:line="576" w:lineRule="exact"/>
        <w:ind w:firstLine="643"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w:t>
      </w:r>
      <w:r>
        <w:rPr>
          <w:rFonts w:hint="eastAsia" w:ascii="仿宋_GB2312" w:hAnsi="仿宋_GB2312" w:eastAsia="仿宋_GB2312" w:cs="仿宋_GB2312"/>
          <w:sz w:val="32"/>
          <w:szCs w:val="32"/>
          <w:lang w:val="en-US" w:eastAsia="zh-CN"/>
        </w:rPr>
        <w:t>是集中开展</w:t>
      </w:r>
      <w:r>
        <w:rPr>
          <w:rFonts w:hint="default" w:ascii="仿宋_GB2312" w:hAnsi="仿宋_GB2312" w:eastAsia="仿宋_GB2312" w:cs="仿宋_GB2312"/>
          <w:sz w:val="32"/>
          <w:szCs w:val="32"/>
          <w:lang w:val="en-US" w:eastAsia="zh-CN"/>
        </w:rPr>
        <w:t>破旧经幡、露天造像治理专项行动。聚焦经幡乱搭乱挂、公路沿线露天造像问题，</w:t>
      </w:r>
      <w:r>
        <w:rPr>
          <w:rFonts w:hint="eastAsia" w:ascii="仿宋_GB2312" w:hAnsi="仿宋_GB2312" w:eastAsia="仿宋_GB2312" w:cs="仿宋_GB2312"/>
          <w:sz w:val="32"/>
          <w:szCs w:val="32"/>
          <w:lang w:val="en-US" w:eastAsia="zh-CN"/>
        </w:rPr>
        <w:t>动员党员、引导群众</w:t>
      </w:r>
      <w:r>
        <w:rPr>
          <w:rFonts w:hint="default" w:ascii="仿宋_GB2312" w:hAnsi="仿宋_GB2312" w:eastAsia="仿宋_GB2312" w:cs="仿宋_GB2312"/>
          <w:sz w:val="32"/>
          <w:szCs w:val="32"/>
          <w:lang w:val="en-US" w:eastAsia="zh-CN"/>
        </w:rPr>
        <w:t>对修行点周边、公共设施、交通要道、生产生活等区域进行全面排查清理，清理褪色破损、违规悬挂的经幡以及违规搭建的悬挂点；对公路沿线露天造像，进行规范清理和有序迁移。</w:t>
      </w:r>
    </w:p>
    <w:p w14:paraId="0A806093">
      <w:pPr>
        <w:keepNext w:val="0"/>
        <w:keepLines w:val="0"/>
        <w:pageBreakBefore w:val="0"/>
        <w:widowControl/>
        <w:suppressLineNumbers w:val="0"/>
        <w:kinsoku/>
        <w:wordWrap/>
        <w:overflowPunct/>
        <w:topLinePunct w:val="0"/>
        <w:autoSpaceDE/>
        <w:autoSpaceDN/>
        <w:bidi w:val="0"/>
        <w:adjustRightInd w:val="0"/>
        <w:snapToGrid w:val="0"/>
        <w:spacing w:after="0" w:line="576" w:lineRule="exact"/>
        <w:ind w:firstLine="643"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0"/>
          <w:sz w:val="32"/>
          <w:szCs w:val="32"/>
          <w:lang w:val="en-US" w:eastAsia="zh-CN" w:bidi="ar-SA"/>
        </w:rPr>
        <w:t>二</w:t>
      </w:r>
      <w:r>
        <w:rPr>
          <w:rFonts w:hint="eastAsia" w:ascii="仿宋_GB2312" w:hAnsi="仿宋_GB2312" w:eastAsia="仿宋_GB2312" w:cs="仿宋_GB2312"/>
          <w:sz w:val="32"/>
          <w:szCs w:val="32"/>
          <w:lang w:val="en-US" w:eastAsia="zh-CN"/>
        </w:rPr>
        <w:t>是“雅克”流动便民服务队“三个转变”实现服务群众“零距离”。“定点”变“动点”，服务形态“零距离”，将便民服务大厅变为“流动服务大厅”。“坐诊”变“出诊”，问题发现“零死角”，变坐等群众上门反映问题为主动下村调研查究、解决问题。“单一”变“综合”，服务解难“多元化”，整合资源，针对性地解决收集到的各类复杂、深层次问题。</w:t>
      </w:r>
    </w:p>
    <w:p w14:paraId="25BC6243">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二、部门</w:t>
      </w:r>
      <w:r>
        <w:rPr>
          <w:rFonts w:hint="eastAsia" w:ascii="黑体" w:eastAsia="黑体"/>
          <w:sz w:val="32"/>
          <w:szCs w:val="32"/>
          <w:lang w:eastAsia="zh-CN"/>
        </w:rPr>
        <w:t>预算单位构成</w:t>
      </w:r>
    </w:p>
    <w:p w14:paraId="7A426E8A">
      <w:pPr>
        <w:pStyle w:val="11"/>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76" w:lineRule="exact"/>
        <w:ind w:left="0" w:right="0" w:firstLine="640"/>
        <w:jc w:val="both"/>
        <w:textAlignment w:val="auto"/>
        <w:rPr>
          <w:rFonts w:hint="eastAsia" w:ascii="仿宋_GB2312" w:eastAsia="仿宋_GB2312" w:cs="仿宋_GB2312"/>
          <w:kern w:val="2"/>
          <w:sz w:val="32"/>
          <w:szCs w:val="32"/>
          <w:shd w:val="clear" w:color="auto" w:fill="auto"/>
          <w:lang w:val="en-US" w:eastAsia="zh-CN"/>
        </w:rPr>
      </w:pPr>
      <w:r>
        <w:rPr>
          <w:rFonts w:hint="eastAsia" w:ascii="仿宋_GB2312" w:eastAsia="仿宋_GB2312" w:cs="仿宋_GB2312"/>
          <w:kern w:val="2"/>
          <w:sz w:val="32"/>
          <w:szCs w:val="32"/>
          <w:shd w:val="clear" w:color="auto" w:fill="auto"/>
          <w:lang w:val="en-US" w:eastAsia="zh-CN"/>
        </w:rPr>
        <w:t>红原县麦洼乡人民政府下属二级预算单位2个，其中行政单位1个，参照公务员法管理的事业单位0个，其他事业单位1个。总编制35名，其中行政编制24名，参照公务员法管理的事业编0名，行政工勤0名，其他事业编11名。在职人员总数28名，其中行政人员19名，参照公务员法管理的事业人员0名，行政工勤0名，其他事业编9名；离休人员0名，退休人员5名，编外长期聘用人员0名。</w:t>
      </w:r>
    </w:p>
    <w:p w14:paraId="468D062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三、收支预算总体情况</w:t>
      </w:r>
    </w:p>
    <w:p w14:paraId="10BE2D40">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default" w:ascii="仿宋_GB2312" w:eastAsia="仿宋_GB2312"/>
          <w:sz w:val="32"/>
          <w:szCs w:val="32"/>
          <w:lang w:val="en-US"/>
        </w:rPr>
      </w:pPr>
      <w:r>
        <w:rPr>
          <w:rFonts w:hint="eastAsia" w:ascii="仿宋_GB2312" w:eastAsia="仿宋_GB2312"/>
          <w:sz w:val="32"/>
          <w:szCs w:val="32"/>
          <w:lang w:eastAsia="zh-CN"/>
        </w:rPr>
        <w:t>202</w:t>
      </w:r>
      <w:r>
        <w:rPr>
          <w:rFonts w:hint="eastAsia" w:ascii="仿宋_GB2312" w:eastAsia="仿宋_GB2312"/>
          <w:sz w:val="32"/>
          <w:szCs w:val="32"/>
          <w:lang w:val="en-US" w:eastAsia="zh-CN"/>
        </w:rPr>
        <w:t>6</w:t>
      </w:r>
      <w:r>
        <w:rPr>
          <w:rFonts w:hint="eastAsia" w:ascii="仿宋_GB2312" w:eastAsia="仿宋_GB2312"/>
          <w:sz w:val="32"/>
          <w:szCs w:val="32"/>
          <w:lang w:eastAsia="zh-CN"/>
        </w:rPr>
        <w:t>年红原县</w:t>
      </w:r>
      <w:r>
        <w:rPr>
          <w:rFonts w:hint="eastAsia" w:ascii="仿宋_GB2312" w:eastAsia="仿宋_GB2312"/>
          <w:sz w:val="32"/>
          <w:szCs w:val="32"/>
          <w:lang w:val="en-US" w:eastAsia="zh-CN"/>
        </w:rPr>
        <w:t>麦洼乡人民政府</w:t>
      </w:r>
      <w:r>
        <w:rPr>
          <w:rFonts w:hint="eastAsia" w:ascii="仿宋_GB2312" w:eastAsia="仿宋_GB2312"/>
          <w:sz w:val="32"/>
          <w:szCs w:val="32"/>
        </w:rPr>
        <w:t>收入预算总额为</w:t>
      </w:r>
      <w:r>
        <w:rPr>
          <w:rFonts w:hint="eastAsia" w:ascii="仿宋_GB2312" w:eastAsia="仿宋_GB2312"/>
          <w:sz w:val="32"/>
          <w:szCs w:val="32"/>
          <w:lang w:val="en-US" w:eastAsia="zh-CN"/>
        </w:rPr>
        <w:t>1000.51</w:t>
      </w:r>
      <w:r>
        <w:rPr>
          <w:rFonts w:hint="eastAsia" w:ascii="仿宋_GB2312" w:eastAsia="仿宋_GB2312"/>
          <w:sz w:val="32"/>
          <w:szCs w:val="32"/>
        </w:rPr>
        <w:t>万元，其中：当年财政拨款收入</w:t>
      </w:r>
      <w:r>
        <w:rPr>
          <w:rFonts w:hint="eastAsia" w:ascii="仿宋_GB2312" w:eastAsia="仿宋_GB2312"/>
          <w:sz w:val="32"/>
          <w:szCs w:val="32"/>
          <w:lang w:val="en-US" w:eastAsia="zh-CN"/>
        </w:rPr>
        <w:t>1000.51</w:t>
      </w:r>
      <w:r>
        <w:rPr>
          <w:rFonts w:hint="eastAsia" w:ascii="仿宋_GB2312" w:eastAsia="仿宋_GB2312"/>
          <w:sz w:val="32"/>
          <w:szCs w:val="32"/>
        </w:rPr>
        <w:t>万元。相应安排支出预算</w:t>
      </w:r>
      <w:r>
        <w:rPr>
          <w:rFonts w:hint="eastAsia" w:ascii="仿宋_GB2312" w:eastAsia="仿宋_GB2312"/>
          <w:sz w:val="32"/>
          <w:szCs w:val="32"/>
          <w:lang w:val="en-US" w:eastAsia="zh-CN"/>
        </w:rPr>
        <w:t>1000.51</w:t>
      </w:r>
      <w:r>
        <w:rPr>
          <w:rFonts w:hint="eastAsia" w:ascii="仿宋_GB2312" w:eastAsia="仿宋_GB2312"/>
          <w:sz w:val="32"/>
          <w:szCs w:val="32"/>
        </w:rPr>
        <w:t>万元，其中：一般公共服务</w:t>
      </w:r>
      <w:r>
        <w:rPr>
          <w:rFonts w:hint="eastAsia" w:ascii="仿宋_GB2312" w:eastAsia="仿宋_GB2312"/>
          <w:sz w:val="32"/>
          <w:szCs w:val="32"/>
          <w:lang w:val="en-US" w:eastAsia="zh-CN"/>
        </w:rPr>
        <w:t>702.94</w:t>
      </w:r>
      <w:r>
        <w:rPr>
          <w:rFonts w:hint="eastAsia" w:ascii="仿宋_GB2312" w:eastAsia="仿宋_GB2312"/>
          <w:sz w:val="32"/>
          <w:szCs w:val="32"/>
        </w:rPr>
        <w:t>万元，社会保障和就业</w:t>
      </w:r>
      <w:r>
        <w:rPr>
          <w:rFonts w:hint="eastAsia" w:ascii="仿宋_GB2312" w:eastAsia="仿宋_GB2312"/>
          <w:sz w:val="32"/>
          <w:szCs w:val="32"/>
          <w:lang w:val="en-US" w:eastAsia="zh-CN"/>
        </w:rPr>
        <w:t>112.56</w:t>
      </w:r>
      <w:r>
        <w:rPr>
          <w:rFonts w:hint="eastAsia" w:ascii="仿宋_GB2312" w:eastAsia="仿宋_GB2312"/>
          <w:sz w:val="32"/>
          <w:szCs w:val="32"/>
        </w:rPr>
        <w:t>万元，医疗卫生</w:t>
      </w:r>
      <w:r>
        <w:rPr>
          <w:rFonts w:hint="eastAsia" w:ascii="仿宋_GB2312" w:eastAsia="仿宋_GB2312"/>
          <w:sz w:val="32"/>
          <w:szCs w:val="32"/>
          <w:lang w:val="en-US" w:eastAsia="zh-CN"/>
        </w:rPr>
        <w:t>40.13</w:t>
      </w:r>
      <w:r>
        <w:rPr>
          <w:rFonts w:hint="eastAsia" w:ascii="仿宋_GB2312" w:eastAsia="仿宋_GB2312"/>
          <w:sz w:val="32"/>
          <w:szCs w:val="32"/>
        </w:rPr>
        <w:t>万元，住房保障支出</w:t>
      </w:r>
      <w:r>
        <w:rPr>
          <w:rFonts w:hint="eastAsia" w:ascii="仿宋_GB2312" w:eastAsia="仿宋_GB2312"/>
          <w:sz w:val="32"/>
          <w:szCs w:val="32"/>
          <w:lang w:val="en-US" w:eastAsia="zh-CN"/>
        </w:rPr>
        <w:t>62.4</w:t>
      </w:r>
      <w:r>
        <w:rPr>
          <w:rFonts w:hint="eastAsia" w:ascii="仿宋_GB2312" w:eastAsia="仿宋_GB2312"/>
          <w:sz w:val="32"/>
          <w:szCs w:val="32"/>
        </w:rPr>
        <w:t>万元</w:t>
      </w:r>
      <w:r>
        <w:rPr>
          <w:rFonts w:hint="eastAsia" w:ascii="仿宋_GB2312" w:eastAsia="仿宋_GB2312"/>
          <w:sz w:val="32"/>
          <w:szCs w:val="32"/>
          <w:lang w:eastAsia="zh-CN"/>
        </w:rPr>
        <w:t>，城乡社区</w:t>
      </w:r>
      <w:r>
        <w:rPr>
          <w:rFonts w:hint="eastAsia" w:ascii="仿宋_GB2312" w:eastAsia="仿宋_GB2312"/>
          <w:sz w:val="32"/>
          <w:szCs w:val="32"/>
          <w:lang w:val="en-US" w:eastAsia="zh-CN"/>
        </w:rPr>
        <w:t>0</w:t>
      </w:r>
      <w:r>
        <w:rPr>
          <w:rFonts w:hint="eastAsia" w:ascii="仿宋_GB2312" w:eastAsia="仿宋_GB2312"/>
          <w:sz w:val="32"/>
          <w:szCs w:val="32"/>
          <w:lang w:eastAsia="zh-CN"/>
        </w:rPr>
        <w:t>万元，农林水</w:t>
      </w:r>
      <w:r>
        <w:rPr>
          <w:rFonts w:hint="eastAsia" w:ascii="仿宋_GB2312" w:eastAsia="仿宋_GB2312"/>
          <w:sz w:val="32"/>
          <w:szCs w:val="32"/>
          <w:lang w:val="en-US" w:eastAsia="zh-CN"/>
        </w:rPr>
        <w:t>82.47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p>
    <w:p w14:paraId="0981BA15">
      <w:pPr>
        <w:keepNext w:val="0"/>
        <w:keepLines w:val="0"/>
        <w:pageBreakBefore w:val="0"/>
        <w:numPr>
          <w:ilvl w:val="0"/>
          <w:numId w:val="1"/>
        </w:numPr>
        <w:kinsoku/>
        <w:wordWrap/>
        <w:overflowPunct/>
        <w:topLinePunct w:val="0"/>
        <w:autoSpaceDE/>
        <w:autoSpaceDN/>
        <w:bidi w:val="0"/>
        <w:spacing w:line="560" w:lineRule="exact"/>
        <w:ind w:left="0" w:leftChars="0" w:right="0" w:rightChars="0" w:firstLine="640" w:firstLineChars="200"/>
        <w:textAlignment w:val="auto"/>
        <w:rPr>
          <w:rFonts w:hint="eastAsia" w:ascii="黑体" w:eastAsia="黑体"/>
          <w:sz w:val="32"/>
          <w:szCs w:val="32"/>
        </w:rPr>
      </w:pPr>
      <w:r>
        <w:rPr>
          <w:rFonts w:hint="eastAsia" w:ascii="黑体" w:eastAsia="黑体"/>
          <w:sz w:val="32"/>
          <w:szCs w:val="32"/>
        </w:rPr>
        <w:t>支出预算安排情况</w:t>
      </w:r>
    </w:p>
    <w:p w14:paraId="34614329">
      <w:pPr>
        <w:keepNext w:val="0"/>
        <w:keepLines w:val="0"/>
        <w:pageBreakBefore w:val="0"/>
        <w:numPr>
          <w:ilvl w:val="0"/>
          <w:numId w:val="0"/>
        </w:numPr>
        <w:kinsoku/>
        <w:wordWrap/>
        <w:overflowPunct/>
        <w:topLinePunct w:val="0"/>
        <w:autoSpaceDE/>
        <w:autoSpaceDN/>
        <w:bidi w:val="0"/>
        <w:spacing w:line="560" w:lineRule="exact"/>
        <w:ind w:left="0" w:leftChars="0" w:right="0" w:rightChars="0"/>
        <w:textAlignment w:val="auto"/>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lang w:eastAsia="zh-CN"/>
        </w:rPr>
        <w:t>红原县</w:t>
      </w:r>
      <w:r>
        <w:rPr>
          <w:rFonts w:hint="eastAsia" w:ascii="仿宋_GB2312" w:eastAsia="仿宋_GB2312"/>
          <w:sz w:val="32"/>
          <w:szCs w:val="32"/>
          <w:lang w:val="en-US" w:eastAsia="zh-CN"/>
        </w:rPr>
        <w:t>麦洼乡人民政府</w:t>
      </w:r>
      <w:r>
        <w:rPr>
          <w:rFonts w:hint="eastAsia" w:ascii="仿宋_GB2312" w:eastAsia="仿宋_GB2312"/>
          <w:sz w:val="32"/>
          <w:szCs w:val="32"/>
        </w:rPr>
        <w:t>预算安排支出主要用于保障该部门机构正常运转、完成日常工作任务以及承担</w:t>
      </w:r>
      <w:r>
        <w:rPr>
          <w:rFonts w:hint="eastAsia" w:ascii="仿宋_GB2312" w:eastAsia="仿宋_GB2312"/>
          <w:sz w:val="32"/>
          <w:szCs w:val="32"/>
          <w:lang w:eastAsia="zh-CN"/>
        </w:rPr>
        <w:t>政府</w:t>
      </w:r>
      <w:r>
        <w:rPr>
          <w:rFonts w:hint="eastAsia" w:ascii="仿宋_GB2312" w:eastAsia="仿宋_GB2312"/>
          <w:sz w:val="32"/>
          <w:szCs w:val="32"/>
        </w:rPr>
        <w:t xml:space="preserve">事业发展相关工作。  </w:t>
      </w:r>
    </w:p>
    <w:p w14:paraId="2F919D80">
      <w:pPr>
        <w:keepNext w:val="0"/>
        <w:keepLines w:val="0"/>
        <w:pageBreakBefore w:val="0"/>
        <w:kinsoku/>
        <w:wordWrap/>
        <w:overflowPunct/>
        <w:topLinePunct w:val="0"/>
        <w:autoSpaceDE/>
        <w:autoSpaceDN/>
        <w:bidi w:val="0"/>
        <w:spacing w:line="576" w:lineRule="exact"/>
        <w:ind w:right="0" w:rightChars="0" w:firstLine="640" w:firstLineChars="200"/>
        <w:jc w:val="left"/>
        <w:textAlignment w:val="auto"/>
        <w:outlineLvl w:val="9"/>
        <w:rPr>
          <w:rFonts w:hint="eastAsia" w:ascii="仿宋_GB2312" w:eastAsia="仿宋_GB2312"/>
          <w:sz w:val="32"/>
          <w:szCs w:val="32"/>
        </w:rPr>
      </w:pPr>
      <w:r>
        <w:rPr>
          <w:rFonts w:hint="eastAsia" w:ascii="仿宋_GB2312" w:eastAsia="仿宋_GB2312"/>
          <w:sz w:val="32"/>
          <w:szCs w:val="32"/>
        </w:rPr>
        <w:t>基本支出</w:t>
      </w:r>
      <w:r>
        <w:rPr>
          <w:rFonts w:hint="eastAsia" w:ascii="仿宋_GB2312" w:eastAsia="仿宋_GB2312"/>
          <w:sz w:val="32"/>
          <w:szCs w:val="32"/>
          <w:lang w:val="en-US" w:eastAsia="zh-CN"/>
        </w:rPr>
        <w:t>935.87</w:t>
      </w:r>
      <w:r>
        <w:rPr>
          <w:rFonts w:hint="eastAsia" w:ascii="仿宋_GB2312" w:eastAsia="仿宋_GB2312"/>
          <w:sz w:val="32"/>
          <w:szCs w:val="32"/>
          <w:lang w:eastAsia="zh-CN"/>
        </w:rPr>
        <w:t>万元</w:t>
      </w:r>
      <w:r>
        <w:rPr>
          <w:rFonts w:hint="eastAsia" w:ascii="仿宋_GB2312" w:eastAsia="仿宋_GB2312"/>
          <w:sz w:val="32"/>
          <w:szCs w:val="32"/>
          <w:lang w:val="en-US" w:eastAsia="zh-CN"/>
        </w:rPr>
        <w:t>。</w:t>
      </w:r>
      <w:r>
        <w:rPr>
          <w:rFonts w:hint="eastAsia" w:ascii="仿宋_GB2312" w:eastAsia="仿宋_GB2312"/>
          <w:sz w:val="32"/>
          <w:szCs w:val="32"/>
          <w:lang w:eastAsia="zh-CN"/>
        </w:rPr>
        <w:t>其中人员经费支出</w:t>
      </w:r>
      <w:r>
        <w:rPr>
          <w:rFonts w:hint="eastAsia" w:ascii="仿宋_GB2312" w:eastAsia="仿宋_GB2312"/>
          <w:sz w:val="32"/>
          <w:szCs w:val="32"/>
          <w:lang w:val="en-US" w:eastAsia="zh-CN"/>
        </w:rPr>
        <w:t>838.27万元，机关运行经费97.6万元，其中：办公费20.69万元，印刷费8万元，电费7.5万元，邮电费5万元，取暖费10.5万元，差旅费2.5万元， 维修（护）费1万元， 会议费0.5万元，  培训费0.5万元，2.5万元，工会经费5.62万元，商品和服务支出27.29万元，公务用车运行维护费12万元，  其他商品和服务支出21.28万元。</w:t>
      </w:r>
    </w:p>
    <w:p w14:paraId="6716489C">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rPr>
      </w:pPr>
      <w:r>
        <w:rPr>
          <w:rFonts w:hint="eastAsia" w:ascii="仿宋_GB2312" w:eastAsia="仿宋_GB2312"/>
          <w:sz w:val="32"/>
          <w:szCs w:val="32"/>
        </w:rPr>
        <w:t>按支出功能分类主要用于以下方面:</w:t>
      </w:r>
    </w:p>
    <w:p w14:paraId="6A4A239A">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（一）一般公共服务702.94万元，主要用于机关及下属事业单位人员工资、日常运转以及为完成特定行政工作任务和事业发展目标而安排的年度项目支出。</w:t>
      </w:r>
    </w:p>
    <w:p w14:paraId="37F3A09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（二）国防3万元，主要用于乡武装力量建设、武装工作开展、军民融合等方面费用。</w:t>
      </w:r>
    </w:p>
    <w:p w14:paraId="26762E52">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（三）社会保障和就业112.56万元，主要用于机关及下属事业单位养老保险及职业年金缴费。</w:t>
      </w:r>
    </w:p>
    <w:p w14:paraId="30CFBCFF">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（四）卫生健康40.13万元，主要用于机关及下属事业单位按照规定标准为职工缴纳的基本医疗保险及公务员医疗补助等支出。</w:t>
      </w:r>
    </w:p>
    <w:p w14:paraId="46E42D4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（五）城乡社区0万元，主要用于政府城乡事业支出。</w:t>
      </w:r>
    </w:p>
    <w:p w14:paraId="3928222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（六）农林水82.47万元，主要用于村干部生活补助及对村民委员会的补助支出，村运维经费及村办公费。</w:t>
      </w:r>
    </w:p>
    <w:p w14:paraId="4EA76464">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（七）住房保障62.4万元，用于机关及下属事业单位按照规定标准为职工缴纳住房公积金等支出。</w:t>
      </w:r>
    </w:p>
    <w:p w14:paraId="584D6A8B">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p>
    <w:p w14:paraId="4353875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sz w:val="32"/>
          <w:szCs w:val="32"/>
        </w:rPr>
      </w:pPr>
      <w:r>
        <w:rPr>
          <w:rFonts w:hint="eastAsia" w:ascii="黑体" w:hAnsi="黑体" w:eastAsia="黑体" w:cs="黑体"/>
          <w:color w:val="333333"/>
          <w:kern w:val="0"/>
          <w:sz w:val="32"/>
          <w:szCs w:val="32"/>
          <w:shd w:val="clear" w:color="auto" w:fill="FFFFFF"/>
          <w:lang w:val="en-US" w:eastAsia="zh-CN" w:bidi="ar"/>
        </w:rPr>
        <w:t>五、较上年度增减变化</w:t>
      </w:r>
    </w:p>
    <w:p w14:paraId="46EEDD7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本年度预算拨款收入1000.51万元，较上年度预算</w:t>
      </w:r>
      <w:r>
        <w:rPr>
          <w:rFonts w:hint="eastAsia" w:ascii="仿宋_GB2312" w:eastAsia="仿宋_GB2312"/>
          <w:sz w:val="32"/>
          <w:szCs w:val="32"/>
        </w:rPr>
        <w:t>1</w:t>
      </w:r>
      <w:r>
        <w:rPr>
          <w:rFonts w:hint="eastAsia" w:ascii="仿宋_GB2312" w:eastAsia="仿宋_GB2312"/>
          <w:sz w:val="32"/>
          <w:szCs w:val="32"/>
          <w:lang w:val="en-US" w:eastAsia="zh-CN"/>
        </w:rPr>
        <w:t>057.95万元减少了5.4%，其中基本行政运行经费预算935.87万元较上年992.96万元减少了5.74%，原因为运行经费调整。</w:t>
      </w:r>
    </w:p>
    <w:p w14:paraId="165770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六、“三公”经费预算</w:t>
      </w:r>
    </w:p>
    <w:p w14:paraId="370D835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年度三公经费预算安排支出为12万元，其中：出国费0万元，与上年持平，主要原因为未安排因公出国；公车购置费0万元，与上年持平；公务用车维护费支出12万元，较上年度预算持平；公务接待费0万元，较上年度预算持平。</w:t>
      </w:r>
    </w:p>
    <w:p w14:paraId="006639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七、政府性基金预算收支情况说明</w:t>
      </w:r>
    </w:p>
    <w:p w14:paraId="51633CA4">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2026年未使用政府性基金预算拨款安排的支出</w:t>
      </w:r>
      <w:r>
        <w:rPr>
          <w:rFonts w:hint="eastAsia" w:ascii="仿宋_GB2312" w:eastAsia="仿宋_GB2312"/>
          <w:sz w:val="32"/>
          <w:szCs w:val="32"/>
        </w:rPr>
        <w:t>。</w:t>
      </w:r>
    </w:p>
    <w:p w14:paraId="1CB3900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八、国有资本经营预算收支情况说明</w:t>
      </w:r>
    </w:p>
    <w:p w14:paraId="3AF53799">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2026年未使用国有资本经营预算拨款安排的支出。</w:t>
      </w:r>
    </w:p>
    <w:p w14:paraId="4ABE26E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黑体" w:hAnsi="黑体" w:eastAsia="黑体" w:cs="黑体"/>
          <w:color w:val="333333"/>
          <w:kern w:val="0"/>
          <w:sz w:val="32"/>
          <w:szCs w:val="32"/>
          <w:shd w:val="clear" w:color="auto" w:fill="FFFFFF"/>
          <w:lang w:val="en-US" w:eastAsia="zh-CN" w:bidi="ar"/>
        </w:rPr>
        <w:t>九、其他重要事项的情况说明</w:t>
      </w:r>
    </w:p>
    <w:p w14:paraId="045C39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rightChars="0" w:firstLine="480"/>
        <w:jc w:val="left"/>
        <w:textAlignment w:val="auto"/>
        <w:rPr>
          <w:rFonts w:hint="eastAsia" w:ascii="黑体" w:hAnsi="黑体" w:eastAsia="黑体" w:cs="黑体"/>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（一）政府采购预算情况</w:t>
      </w:r>
      <w:r>
        <w:rPr>
          <w:rFonts w:hint="eastAsia" w:ascii="黑体" w:hAnsi="黑体" w:eastAsia="黑体" w:cs="黑体"/>
          <w:color w:val="333333"/>
          <w:kern w:val="0"/>
          <w:sz w:val="32"/>
          <w:szCs w:val="32"/>
          <w:shd w:val="clear" w:color="auto" w:fill="FFFFFF"/>
          <w:lang w:val="en-US" w:eastAsia="zh-CN" w:bidi="ar"/>
        </w:rPr>
        <w:t xml:space="preserve"> </w:t>
      </w:r>
    </w:p>
    <w:p w14:paraId="4A0F32A5">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2026年度未安排政府采购。</w:t>
      </w:r>
    </w:p>
    <w:p w14:paraId="4E1C24B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480" w:leftChars="0" w:right="0" w:rightChars="0"/>
        <w:jc w:val="left"/>
        <w:textAlignment w:val="auto"/>
      </w:pPr>
      <w:r>
        <w:rPr>
          <w:rFonts w:hint="eastAsia" w:ascii="楷体_GB2312" w:hAnsi="楷体_GB2312" w:eastAsia="楷体_GB2312" w:cs="楷体_GB2312"/>
          <w:b/>
          <w:bCs/>
          <w:color w:val="333333"/>
          <w:kern w:val="0"/>
          <w:sz w:val="32"/>
          <w:szCs w:val="32"/>
          <w:shd w:val="clear" w:color="auto" w:fill="FFFFFF"/>
          <w:lang w:val="en-US" w:eastAsia="zh-CN" w:bidi="ar"/>
        </w:rPr>
        <w:t>（二）政府财政国有资产占用情况</w:t>
      </w:r>
      <w:r>
        <w:rPr>
          <w:rFonts w:hint="eastAsia" w:ascii="微软雅黑" w:hAnsi="微软雅黑" w:eastAsia="微软雅黑" w:cs="微软雅黑"/>
          <w:color w:val="333333"/>
          <w:kern w:val="0"/>
          <w:sz w:val="24"/>
          <w:szCs w:val="24"/>
          <w:shd w:val="clear" w:color="auto" w:fill="FFFFFF"/>
          <w:lang w:val="en-US" w:eastAsia="zh-CN" w:bidi="ar"/>
        </w:rPr>
        <w:t xml:space="preserve"> </w:t>
      </w:r>
    </w:p>
    <w:p w14:paraId="42B68FE5">
      <w:pPr>
        <w:keepNext w:val="0"/>
        <w:keepLines w:val="0"/>
        <w:pageBreakBefore w:val="0"/>
        <w:kinsoku/>
        <w:wordWrap/>
        <w:overflowPunct/>
        <w:topLinePunct w:val="0"/>
        <w:autoSpaceDE/>
        <w:autoSpaceDN/>
        <w:bidi w:val="0"/>
        <w:spacing w:line="576"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截止2025年底，实际共有固定资产价值227.95</w:t>
      </w:r>
      <w:r>
        <w:rPr>
          <w:rFonts w:hint="eastAsia" w:ascii="仿宋_GB2312" w:eastAsia="仿宋_GB2312"/>
          <w:sz w:val="32"/>
          <w:szCs w:val="32"/>
          <w:lang w:eastAsia="zh-CN"/>
        </w:rPr>
        <w:t>万元：其中：公务用车</w:t>
      </w:r>
      <w:r>
        <w:rPr>
          <w:rFonts w:hint="eastAsia" w:ascii="仿宋_GB2312" w:eastAsia="仿宋_GB2312"/>
          <w:sz w:val="32"/>
          <w:szCs w:val="32"/>
          <w:lang w:val="en-US" w:eastAsia="zh-CN"/>
        </w:rPr>
        <w:t>23.58</w:t>
      </w:r>
      <w:r>
        <w:rPr>
          <w:rFonts w:hint="eastAsia" w:ascii="仿宋_GB2312" w:eastAsia="仿宋_GB2312"/>
          <w:sz w:val="32"/>
          <w:szCs w:val="32"/>
          <w:lang w:eastAsia="zh-CN"/>
        </w:rPr>
        <w:t>万元，业务用房</w:t>
      </w:r>
      <w:r>
        <w:rPr>
          <w:rFonts w:hint="eastAsia" w:ascii="仿宋_GB2312" w:eastAsia="仿宋_GB2312"/>
          <w:sz w:val="32"/>
          <w:szCs w:val="32"/>
          <w:lang w:val="en-US" w:eastAsia="zh-CN"/>
        </w:rPr>
        <w:t>20</w:t>
      </w:r>
      <w:r>
        <w:rPr>
          <w:rFonts w:hint="eastAsia" w:ascii="仿宋_GB2312" w:eastAsia="仿宋_GB2312"/>
          <w:sz w:val="32"/>
          <w:szCs w:val="32"/>
          <w:lang w:eastAsia="zh-CN"/>
        </w:rPr>
        <w:t>万元，办公用房</w:t>
      </w:r>
      <w:r>
        <w:rPr>
          <w:rFonts w:hint="eastAsia" w:ascii="仿宋_GB2312" w:eastAsia="仿宋_GB2312"/>
          <w:sz w:val="32"/>
          <w:szCs w:val="32"/>
          <w:lang w:val="en-US" w:eastAsia="zh-CN"/>
        </w:rPr>
        <w:t>141.58万元。</w:t>
      </w:r>
    </w:p>
    <w:p w14:paraId="1716374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rightChars="0" w:firstLine="321" w:firstLineChars="100"/>
        <w:jc w:val="left"/>
        <w:textAlignment w:val="auto"/>
        <w:rPr>
          <w:rFonts w:hint="eastAsia" w:ascii="楷体_GB2312" w:hAnsi="楷体_GB2312" w:eastAsia="楷体_GB2312" w:cs="楷体_GB2312"/>
          <w:b/>
          <w:bCs/>
          <w:color w:val="333333"/>
          <w:kern w:val="0"/>
          <w:sz w:val="32"/>
          <w:szCs w:val="32"/>
          <w:shd w:val="clear" w:color="auto" w:fill="FFFFFF"/>
          <w:lang w:val="en-US" w:eastAsia="zh-CN" w:bidi="ar"/>
        </w:rPr>
      </w:pPr>
      <w:r>
        <w:rPr>
          <w:rFonts w:hint="eastAsia" w:ascii="楷体_GB2312" w:hAnsi="楷体_GB2312" w:eastAsia="楷体_GB2312" w:cs="楷体_GB2312"/>
          <w:b/>
          <w:bCs/>
          <w:color w:val="333333"/>
          <w:kern w:val="0"/>
          <w:sz w:val="32"/>
          <w:szCs w:val="32"/>
          <w:shd w:val="clear" w:color="auto" w:fill="FFFFFF"/>
          <w:lang w:val="en-US" w:eastAsia="zh-CN" w:bidi="ar"/>
        </w:rPr>
        <w:t>（三）绩效目标设置情况</w:t>
      </w:r>
    </w:p>
    <w:p w14:paraId="75D9386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绩效目标是预算编制的前提和基础，按照“费随事定”的原则，2026年我单位项目支出按要求编制了绩效目标，从项目完成、项目效益、满意度。</w:t>
      </w:r>
    </w:p>
    <w:p w14:paraId="2C7A40EB">
      <w:pPr>
        <w:keepNext w:val="0"/>
        <w:keepLines w:val="0"/>
        <w:pageBreakBefore w:val="0"/>
        <w:kinsoku/>
        <w:wordWrap/>
        <w:overflowPunct/>
        <w:topLinePunct w:val="0"/>
        <w:autoSpaceDE/>
        <w:autoSpaceDN/>
        <w:bidi w:val="0"/>
        <w:spacing w:line="560" w:lineRule="exact"/>
        <w:ind w:left="640" w:leftChars="0" w:right="0" w:rightChars="0" w:hanging="640" w:hangingChars="200"/>
        <w:textAlignment w:val="auto"/>
        <w:rPr>
          <w:rFonts w:hint="eastAsia" w:ascii="仿宋_GB2312" w:eastAsia="仿宋_GB2312"/>
          <w:sz w:val="32"/>
          <w:szCs w:val="32"/>
          <w:lang w:val="en-US" w:eastAsia="zh-CN"/>
        </w:rPr>
      </w:pPr>
      <w:r>
        <w:rPr>
          <w:rFonts w:hint="eastAsia" w:ascii="黑体" w:hAnsi="黑体" w:eastAsia="黑体" w:cs="黑体"/>
          <w:color w:val="333333"/>
          <w:kern w:val="0"/>
          <w:sz w:val="32"/>
          <w:szCs w:val="32"/>
          <w:shd w:val="clear" w:color="auto" w:fill="FFFFFF"/>
          <w:lang w:val="en-US" w:eastAsia="zh-CN" w:bidi="ar"/>
        </w:rPr>
        <w:t xml:space="preserve">    十、名词解释</w:t>
      </w:r>
      <w:r>
        <w:rPr>
          <w:rFonts w:hint="eastAsia" w:ascii="宋体" w:hAnsi="宋体" w:eastAsia="宋体" w:cs="宋体"/>
          <w:sz w:val="28"/>
          <w:szCs w:val="28"/>
          <w:lang w:val="en-US" w:eastAsia="zh-CN"/>
        </w:rPr>
        <w:br w:type="textWrapping"/>
      </w:r>
      <w:r>
        <w:rPr>
          <w:rFonts w:hint="eastAsia" w:ascii="仿宋_GB2312" w:eastAsia="仿宋_GB2312"/>
          <w:sz w:val="32"/>
          <w:szCs w:val="32"/>
          <w:lang w:val="en-US" w:eastAsia="zh-CN"/>
        </w:rPr>
        <w:t xml:space="preserve">1.财政拨款收入：指财政部门核拨给单位的财政预算资金。 </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2.其他收入：指除上述财政部门拨付单位以外的收入。</w:t>
      </w:r>
    </w:p>
    <w:p w14:paraId="7CA4333D">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3.基本支出：指为保障单位机关正常运转、完成日常工作任务而发生的人员支出和公用支出。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4.项目支出：指在基本支出之外为完成特定行政任务和事业发展目标所发生的支出。</w:t>
      </w:r>
      <w:r>
        <w:rPr>
          <w:rFonts w:hint="eastAsia" w:ascii="仿宋_GB2312" w:eastAsia="仿宋_GB2312"/>
          <w:sz w:val="32"/>
          <w:szCs w:val="32"/>
          <w:lang w:val="en-US" w:eastAsia="zh-CN"/>
        </w:rPr>
        <w:br w:type="textWrapping"/>
      </w:r>
      <w:r>
        <w:rPr>
          <w:rFonts w:hint="eastAsia" w:ascii="仿宋_GB2312" w:eastAsia="仿宋_GB2312"/>
          <w:sz w:val="32"/>
          <w:szCs w:val="32"/>
          <w:lang w:val="en-US" w:eastAsia="zh-CN"/>
        </w:rP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2601B7E6">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p>
    <w:p w14:paraId="160C234E">
      <w:pPr>
        <w:keepNext w:val="0"/>
        <w:keepLines w:val="0"/>
        <w:pageBreakBefore w:val="0"/>
        <w:kinsoku/>
        <w:wordWrap/>
        <w:overflowPunct/>
        <w:topLinePunct w:val="0"/>
        <w:autoSpaceDE/>
        <w:autoSpaceDN/>
        <w:bidi w:val="0"/>
        <w:spacing w:line="560" w:lineRule="exact"/>
        <w:ind w:left="0" w:leftChars="0" w:right="0" w:rightChars="0"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附件：表1.部门收支总表</w:t>
      </w:r>
    </w:p>
    <w:p w14:paraId="0C85D02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表2.部门收入总表</w:t>
      </w:r>
    </w:p>
    <w:p w14:paraId="4AE6D62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表3.部门支出总表</w:t>
      </w:r>
    </w:p>
    <w:p w14:paraId="771BC3A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表4.财政拨款收支预算总表</w:t>
      </w:r>
    </w:p>
    <w:p w14:paraId="08B71AE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表5.财政拨款支出预算表（部门经济分类科目）</w:t>
      </w:r>
    </w:p>
    <w:p w14:paraId="3F8FA13F">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表6.一般公共预算支出预算表</w:t>
      </w:r>
    </w:p>
    <w:p w14:paraId="729C447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表7.一般公共预算基本支出预算表</w:t>
      </w:r>
    </w:p>
    <w:p w14:paraId="25220E7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表8.一般公共预算项目支出预算表</w:t>
      </w:r>
    </w:p>
    <w:p w14:paraId="0E43248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表9.一般公共预算“三公”经费支出预算表</w:t>
      </w:r>
    </w:p>
    <w:p w14:paraId="2D4DD8C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表10.政府性基金支出预算表</w:t>
      </w:r>
    </w:p>
    <w:p w14:paraId="3107B29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表11.政府性基金预算“三公”经费支出预算表</w:t>
      </w:r>
    </w:p>
    <w:p w14:paraId="03B6DAF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val="en-US" w:eastAsia="zh-CN"/>
        </w:rPr>
        <w:t>表12.国有资本经营预算支出预算表</w:t>
      </w:r>
    </w:p>
    <w:p w14:paraId="3F1CE27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1600" w:firstLineChars="500"/>
        <w:jc w:val="both"/>
        <w:textAlignment w:val="auto"/>
        <w:outlineLvl w:val="9"/>
        <w:rPr>
          <w:rFonts w:hint="default" w:ascii="仿宋_GB2312" w:eastAsia="仿宋_GB2312"/>
          <w:sz w:val="32"/>
          <w:szCs w:val="32"/>
          <w:lang w:val="en-US" w:eastAsia="zh-CN"/>
        </w:rPr>
      </w:pPr>
      <w:r>
        <w:rPr>
          <w:rFonts w:hint="eastAsia" w:ascii="仿宋_GB2312" w:eastAsia="仿宋_GB2312"/>
          <w:sz w:val="32"/>
          <w:szCs w:val="32"/>
          <w:lang w:val="en-US" w:eastAsia="zh-CN"/>
        </w:rPr>
        <w:t>表13.部门项目支出绩效目标表（2025年度）</w:t>
      </w:r>
    </w:p>
    <w:p w14:paraId="40FE1742">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p>
    <w:p w14:paraId="1DAE549A">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p>
    <w:p w14:paraId="5FA9B4F1">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eastAsia="仿宋_GB2312"/>
          <w:sz w:val="32"/>
          <w:szCs w:val="32"/>
          <w:lang w:val="en-US" w:eastAsia="zh-CN"/>
        </w:rPr>
      </w:pPr>
    </w:p>
    <w:p w14:paraId="648C1307">
      <w:pPr>
        <w:keepNext w:val="0"/>
        <w:keepLines w:val="0"/>
        <w:pageBreakBefore w:val="0"/>
        <w:kinsoku/>
        <w:wordWrap/>
        <w:overflowPunct/>
        <w:topLinePunct w:val="0"/>
        <w:autoSpaceDE/>
        <w:autoSpaceDN/>
        <w:bidi w:val="0"/>
        <w:spacing w:line="576" w:lineRule="exact"/>
        <w:ind w:firstLine="4800" w:firstLineChars="1500"/>
        <w:textAlignment w:val="auto"/>
        <w:rPr>
          <w:rFonts w:hint="eastAsia" w:ascii="仿宋_GB2312" w:eastAsia="仿宋_GB2312"/>
          <w:sz w:val="32"/>
          <w:szCs w:val="32"/>
          <w:lang w:val="en-US" w:eastAsia="zh-CN"/>
        </w:rPr>
      </w:pPr>
    </w:p>
    <w:p w14:paraId="545D4226">
      <w:pPr>
        <w:keepNext w:val="0"/>
        <w:keepLines w:val="0"/>
        <w:pageBreakBefore w:val="0"/>
        <w:kinsoku/>
        <w:wordWrap/>
        <w:overflowPunct/>
        <w:topLinePunct w:val="0"/>
        <w:autoSpaceDE/>
        <w:autoSpaceDN/>
        <w:bidi w:val="0"/>
        <w:spacing w:line="576" w:lineRule="exact"/>
        <w:ind w:firstLine="4800" w:firstLineChars="15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红原县麦洼乡人民政府</w:t>
      </w:r>
    </w:p>
    <w:p w14:paraId="059449CB">
      <w:pPr>
        <w:pStyle w:val="4"/>
        <w:keepNext w:val="0"/>
        <w:keepLines w:val="0"/>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val="en-US" w:eastAsia="zh-CN"/>
        </w:rPr>
        <w:t xml:space="preserve">                            2026年2月13日</w:t>
      </w:r>
    </w:p>
    <w:p w14:paraId="0A32326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17D6F"/>
    <w:multiLevelType w:val="singleLevel"/>
    <w:tmpl w:val="5A717D6F"/>
    <w:lvl w:ilvl="0" w:tentative="0">
      <w:start w:val="4"/>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78432A"/>
    <w:rsid w:val="013228D0"/>
    <w:rsid w:val="19C1402F"/>
    <w:rsid w:val="1F030543"/>
    <w:rsid w:val="1F485A62"/>
    <w:rsid w:val="23E40A13"/>
    <w:rsid w:val="477D3D17"/>
    <w:rsid w:val="52432384"/>
    <w:rsid w:val="5F78432A"/>
    <w:rsid w:val="656F16D3"/>
    <w:rsid w:val="68781D15"/>
    <w:rsid w:val="70286EF9"/>
    <w:rsid w:val="73016E4A"/>
    <w:rsid w:val="7C5C1516"/>
    <w:rsid w:val="7E151B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style>
  <w:style w:type="paragraph" w:styleId="3">
    <w:name w:val="Body Text Indent"/>
    <w:basedOn w:val="1"/>
    <w:next w:val="2"/>
    <w:qFormat/>
    <w:uiPriority w:val="0"/>
    <w:pPr>
      <w:ind w:firstLine="155" w:firstLineChars="155"/>
    </w:pPr>
    <w:rPr>
      <w:rFonts w:ascii="FangSong_GB2312" w:hAnsi="宋体" w:eastAsia="Times New Roman"/>
      <w:color w:val="000000"/>
      <w:sz w:val="32"/>
      <w:szCs w:val="20"/>
    </w:rPr>
  </w:style>
  <w:style w:type="paragraph" w:styleId="4">
    <w:name w:val="toa heading"/>
    <w:basedOn w:val="1"/>
    <w:next w:val="1"/>
    <w:qFormat/>
    <w:uiPriority w:val="0"/>
    <w:pPr>
      <w:spacing w:before="120" w:beforeAutospacing="0"/>
    </w:pPr>
    <w:rPr>
      <w:rFonts w:ascii="Arial" w:hAnsi="Arial"/>
      <w:sz w:val="24"/>
    </w:rPr>
  </w:style>
  <w:style w:type="paragraph" w:styleId="5">
    <w:name w:val="Body Text"/>
    <w:basedOn w:val="1"/>
    <w:qFormat/>
    <w:uiPriority w:val="0"/>
    <w:pPr>
      <w:spacing w:before="93" w:beforeLines="30"/>
    </w:pPr>
    <w:rPr>
      <w:rFonts w:ascii="仿宋_GB2312" w:eastAsia="仿宋_GB2312"/>
      <w:sz w:val="30"/>
    </w:rPr>
  </w:style>
  <w:style w:type="paragraph" w:styleId="6">
    <w:name w:val="toc 2"/>
    <w:basedOn w:val="1"/>
    <w:next w:val="1"/>
    <w:qFormat/>
    <w:uiPriority w:val="0"/>
    <w:pPr>
      <w:ind w:left="420"/>
    </w:pPr>
  </w:style>
  <w:style w:type="paragraph" w:styleId="7">
    <w:name w:val="Normal (Web)"/>
    <w:basedOn w:val="1"/>
    <w:qFormat/>
    <w:uiPriority w:val="0"/>
    <w:pPr>
      <w:spacing w:before="0" w:beforeAutospacing="1" w:after="0" w:afterAutospacing="1"/>
      <w:ind w:left="0" w:right="0"/>
      <w:jc w:val="left"/>
    </w:pPr>
    <w:rPr>
      <w:kern w:val="0"/>
      <w:sz w:val="24"/>
      <w:lang w:val="en-US" w:eastAsia="zh-CN"/>
    </w:rPr>
  </w:style>
  <w:style w:type="paragraph" w:customStyle="1" w:styleId="10">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11">
    <w:name w:val="p40"/>
    <w:basedOn w:val="1"/>
    <w:qFormat/>
    <w:uiPriority w:val="0"/>
    <w:pPr>
      <w:spacing w:before="100" w:beforeAutospacing="0" w:after="100" w:afterAutospacing="0"/>
      <w:jc w:val="left"/>
    </w:pPr>
    <w:rPr>
      <w:rFonts w:hint="eastAsia" w:ascii="宋体" w:hAnsi="宋体" w:eastAsia="宋体" w:cs="宋体"/>
      <w:kern w:val="0"/>
      <w:sz w:val="24"/>
      <w:szCs w:val="24"/>
      <w:lang w:val="en-US" w:eastAsia="zh-CN" w:bidi="ar"/>
    </w:rPr>
  </w:style>
  <w:style w:type="paragraph" w:customStyle="1" w:styleId="12">
    <w:name w:val="p0"/>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3">
    <w:name w:val="普通(网站) Char"/>
    <w:basedOn w:val="1"/>
    <w:next w:val="6"/>
    <w:qFormat/>
    <w:uiPriority w:val="0"/>
    <w:pPr>
      <w:keepNext w:val="0"/>
      <w:keepLines w:val="0"/>
      <w:widowControl/>
      <w:suppressLineNumbers w:val="0"/>
      <w:spacing w:before="100" w:beforeAutospacing="1" w:after="100" w:afterAutospacing="1"/>
      <w:ind w:left="0" w:right="0"/>
      <w:jc w:val="left"/>
    </w:pPr>
    <w:rPr>
      <w:rFonts w:ascii="仿宋_GB2312" w:eastAsia="仿宋_GB2312" w:cs="宋体"/>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4719</Words>
  <Characters>4932</Characters>
  <Lines>0</Lines>
  <Paragraphs>0</Paragraphs>
  <TotalTime>3</TotalTime>
  <ScaleCrop>false</ScaleCrop>
  <LinksUpToDate>false</LinksUpToDate>
  <CharactersWithSpaces>4991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2025-05-27T13:07:00Z</dcterms:created>
  <dc:creator>投资股-李仕昂</dc:creator>
  <cp:lastModifiedBy>夕阳余晖</cp:lastModifiedBy>
  <cp:lastPrinted>2026-02-11T02:34:00Z</cp:lastPrinted>
  <dcterms:modified xsi:type="dcterms:W3CDTF">2026-02-14T03:39:01Z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eyJoZGlkIjoiZDc4OGM1NDgzZWI2OTVmMjQ4Mjg0MjYyMDhiNzZlMmEiLCJ1c2VySWQiOiI2ODkyMTg3MDcifQ==</vt:lpwstr>
  </property>
  <property fmtid="{D5CDD505-2E9C-101B-9397-08002B2CF9AE}" pid="4" name="ICV">
    <vt:lpwstr>0EC0F340880444EE8FE2A53A896369F5_13</vt:lpwstr>
  </property>
</Properties>
</file>