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B2DF09">
      <w:pPr>
        <w:pStyle w:val="3"/>
        <w:rPr>
          <w:rFonts w:hint="eastAsia" w:ascii="Times New Roman" w:hAnsi="Times New Roman" w:eastAsia="方正小标宋简体" w:cs="Times New Roman"/>
          <w:color w:val="auto"/>
          <w:kern w:val="2"/>
          <w:sz w:val="72"/>
          <w:szCs w:val="72"/>
          <w:highlight w:val="none"/>
          <w:lang w:val="en-US" w:eastAsia="zh-CN" w:bidi="ar-SA"/>
        </w:rPr>
      </w:pPr>
      <w:bookmarkStart w:id="61" w:name="_GoBack"/>
      <w:bookmarkEnd w:id="61"/>
      <w:bookmarkStart w:id="0" w:name="_Toc15396475"/>
      <w:bookmarkStart w:id="1" w:name="_Toc15377193"/>
      <w:bookmarkStart w:id="2" w:name="_Toc15378441"/>
      <w:bookmarkStart w:id="3" w:name="_Toc15377425"/>
      <w:bookmarkStart w:id="4" w:name="_Toc15306267"/>
      <w:bookmarkStart w:id="5" w:name="_Toc15396597"/>
    </w:p>
    <w:p w14:paraId="0C4D259C">
      <w:pPr>
        <w:pStyle w:val="3"/>
        <w:rPr>
          <w:rFonts w:hint="eastAsia" w:ascii="Times New Roman" w:hAnsi="Times New Roman" w:eastAsia="方正小标宋简体" w:cs="Times New Roman"/>
          <w:color w:val="auto"/>
          <w:kern w:val="2"/>
          <w:sz w:val="72"/>
          <w:szCs w:val="72"/>
          <w:highlight w:val="none"/>
          <w:lang w:val="en-US" w:eastAsia="zh-CN" w:bidi="ar-SA"/>
        </w:rPr>
      </w:pPr>
    </w:p>
    <w:p w14:paraId="69960B2F">
      <w:pPr>
        <w:pStyle w:val="3"/>
        <w:rPr>
          <w:rFonts w:hint="eastAsia" w:ascii="Times New Roman" w:hAnsi="Times New Roman" w:eastAsia="方正小标宋简体" w:cs="Times New Roman"/>
          <w:color w:val="auto"/>
          <w:kern w:val="2"/>
          <w:sz w:val="220"/>
          <w:szCs w:val="220"/>
          <w:highlight w:val="none"/>
          <w:lang w:val="en-US" w:eastAsia="zh-CN" w:bidi="ar-SA"/>
        </w:rPr>
      </w:pPr>
    </w:p>
    <w:p w14:paraId="728039F4">
      <w:pPr>
        <w:jc w:val="both"/>
        <w:rPr>
          <w:rFonts w:hint="eastAsia" w:ascii="方正小标宋简体" w:hAnsi="方正小标宋简体" w:eastAsia="方正小标宋简体" w:cs="方正小标宋简体"/>
          <w:bCs/>
          <w:color w:val="000000" w:themeColor="text1"/>
          <w:sz w:val="74"/>
          <w:szCs w:val="74"/>
          <w:lang w:eastAsia="zh-CN"/>
          <w14:textFill>
            <w14:solidFill>
              <w14:schemeClr w14:val="tx1"/>
            </w14:solidFill>
          </w14:textFill>
        </w:rPr>
      </w:pPr>
      <w:r>
        <w:rPr>
          <w:rFonts w:hint="eastAsia" w:ascii="方正小标宋简体" w:hAnsi="方正小标宋简体" w:eastAsia="方正小标宋简体" w:cs="方正小标宋简体"/>
          <w:bCs/>
          <w:color w:val="000000" w:themeColor="text1"/>
          <w:sz w:val="74"/>
          <w:szCs w:val="74"/>
          <w14:textFill>
            <w14:solidFill>
              <w14:schemeClr w14:val="tx1"/>
            </w14:solidFill>
          </w14:textFill>
        </w:rPr>
        <w:t>2024</w:t>
      </w:r>
      <w:r>
        <w:rPr>
          <w:rFonts w:hint="eastAsia" w:ascii="方正小标宋简体" w:hAnsi="方正小标宋简体" w:eastAsia="方正小标宋简体" w:cs="方正小标宋简体"/>
          <w:color w:val="000000"/>
          <w:sz w:val="74"/>
          <w:szCs w:val="74"/>
        </w:rPr>
        <w:t>年度</w:t>
      </w:r>
      <w:r>
        <w:rPr>
          <w:rFonts w:hint="eastAsia" w:ascii="方正小标宋简体" w:hAnsi="方正小标宋简体" w:eastAsia="方正小标宋简体" w:cs="方正小标宋简体"/>
          <w:bCs/>
          <w:color w:val="000000" w:themeColor="text1"/>
          <w:sz w:val="74"/>
          <w:szCs w:val="74"/>
          <w14:textFill>
            <w14:solidFill>
              <w14:schemeClr w14:val="tx1"/>
            </w14:solidFill>
          </w14:textFill>
        </w:rPr>
        <w:t>红原县</w:t>
      </w:r>
      <w:r>
        <w:rPr>
          <w:rFonts w:hint="eastAsia" w:ascii="方正小标宋简体" w:hAnsi="方正小标宋简体" w:eastAsia="方正小标宋简体" w:cs="方正小标宋简体"/>
          <w:bCs/>
          <w:color w:val="000000" w:themeColor="text1"/>
          <w:sz w:val="74"/>
          <w:szCs w:val="74"/>
          <w:lang w:eastAsia="zh-CN"/>
          <w14:textFill>
            <w14:solidFill>
              <w14:schemeClr w14:val="tx1"/>
            </w14:solidFill>
          </w14:textFill>
        </w:rPr>
        <w:t>查尔玛乡</w:t>
      </w:r>
    </w:p>
    <w:p w14:paraId="247DB4D9">
      <w:pPr>
        <w:jc w:val="center"/>
        <w:rPr>
          <w:rFonts w:hint="eastAsia" w:ascii="方正小标宋简体" w:hAnsi="方正小标宋简体" w:eastAsia="方正小标宋简体" w:cs="方正小标宋简体"/>
          <w:bCs/>
          <w:color w:val="000000" w:themeColor="text1"/>
          <w:sz w:val="74"/>
          <w:szCs w:val="74"/>
          <w14:textFill>
            <w14:solidFill>
              <w14:schemeClr w14:val="tx1"/>
            </w14:solidFill>
          </w14:textFill>
        </w:rPr>
      </w:pPr>
      <w:r>
        <w:rPr>
          <w:rFonts w:hint="eastAsia" w:ascii="方正小标宋简体" w:hAnsi="方正小标宋简体" w:eastAsia="方正小标宋简体" w:cs="方正小标宋简体"/>
          <w:bCs/>
          <w:color w:val="000000" w:themeColor="text1"/>
          <w:sz w:val="74"/>
          <w:szCs w:val="74"/>
          <w:lang w:eastAsia="zh-CN"/>
          <w14:textFill>
            <w14:solidFill>
              <w14:schemeClr w14:val="tx1"/>
            </w14:solidFill>
          </w14:textFill>
        </w:rPr>
        <w:t>卫生院</w:t>
      </w:r>
      <w:r>
        <w:rPr>
          <w:rFonts w:hint="eastAsia" w:ascii="方正小标宋简体" w:hAnsi="方正小标宋简体" w:eastAsia="方正小标宋简体" w:cs="方正小标宋简体"/>
          <w:color w:val="000000"/>
          <w:sz w:val="74"/>
          <w:szCs w:val="74"/>
        </w:rPr>
        <w:t>单位决算</w:t>
      </w:r>
    </w:p>
    <w:p w14:paraId="315A983A">
      <w:pPr>
        <w:spacing w:line="600" w:lineRule="exact"/>
        <w:jc w:val="center"/>
        <w:outlineLvl w:val="0"/>
        <w:rPr>
          <w:rFonts w:ascii="Times New Roman" w:hAnsi="Times New Roman" w:eastAsia="方正小标宋简体"/>
          <w:color w:val="auto"/>
          <w:sz w:val="74"/>
          <w:szCs w:val="74"/>
          <w:highlight w:val="none"/>
        </w:rPr>
      </w:pPr>
    </w:p>
    <w:p w14:paraId="1CFB704B">
      <w:pPr>
        <w:pStyle w:val="21"/>
        <w:rPr>
          <w:rFonts w:ascii="Times New Roman" w:hAnsi="Times New Roman"/>
          <w:sz w:val="74"/>
          <w:szCs w:val="74"/>
        </w:rPr>
        <w:sectPr>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14:paraId="1D2C8435">
      <w:pPr>
        <w:rPr>
          <w:rFonts w:ascii="Times New Roman" w:hAnsi="Times New Roman"/>
        </w:rPr>
      </w:pPr>
    </w:p>
    <w:bookmarkEnd w:id="0"/>
    <w:bookmarkEnd w:id="1"/>
    <w:bookmarkEnd w:id="2"/>
    <w:bookmarkEnd w:id="3"/>
    <w:bookmarkEnd w:id="4"/>
    <w:bookmarkEnd w:id="5"/>
    <w:p w14:paraId="7A339E51">
      <w:pPr>
        <w:widowControl/>
        <w:jc w:val="center"/>
        <w:rPr>
          <w:rFonts w:ascii="Times New Roman" w:hAnsi="Times New Roman" w:eastAsia="黑体" w:cstheme="minorBidi"/>
          <w:color w:val="auto"/>
          <w:sz w:val="28"/>
          <w:szCs w:val="28"/>
          <w:highlight w:val="none"/>
        </w:rPr>
      </w:pPr>
      <w:r>
        <w:rPr>
          <w:rFonts w:hint="eastAsia" w:ascii="Times New Roman" w:hAnsi="Times New Roman" w:eastAsia="黑体"/>
          <w:b/>
          <w:bCs/>
          <w:color w:val="auto"/>
          <w:sz w:val="48"/>
          <w:szCs w:val="48"/>
          <w:highlight w:val="none"/>
        </w:rPr>
        <w:t>目</w:t>
      </w:r>
      <w:r>
        <w:rPr>
          <w:rFonts w:hint="eastAsia" w:eastAsia="黑体"/>
          <w:b/>
          <w:bCs/>
          <w:color w:val="auto"/>
          <w:sz w:val="48"/>
          <w:szCs w:val="48"/>
          <w:highlight w:val="none"/>
          <w:lang w:val="en-US" w:eastAsia="zh-CN"/>
        </w:rPr>
        <w:t xml:space="preserve">  </w:t>
      </w:r>
      <w:r>
        <w:rPr>
          <w:rFonts w:hint="eastAsia" w:ascii="Times New Roman" w:hAnsi="Times New Roman" w:eastAsia="黑体"/>
          <w:b/>
          <w:bCs/>
          <w:color w:val="auto"/>
          <w:sz w:val="48"/>
          <w:szCs w:val="48"/>
          <w:highlight w:val="none"/>
        </w:rPr>
        <w:t>录</w:t>
      </w:r>
    </w:p>
    <w:p w14:paraId="63F74A88">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24</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28</w:t>
      </w:r>
      <w:r>
        <w:rPr>
          <w:rFonts w:hint="eastAsia" w:ascii="Times New Roman" w:hAnsi="Times New Roman" w:eastAsia="仿宋_GB2312" w:cs="仿宋_GB2312"/>
          <w:color w:val="auto"/>
          <w:sz w:val="32"/>
          <w:szCs w:val="32"/>
          <w:highlight w:val="none"/>
        </w:rPr>
        <w:t>日</w:t>
      </w:r>
    </w:p>
    <w:p w14:paraId="1F30FD88">
      <w:pPr>
        <w:rPr>
          <w:rFonts w:ascii="Times New Roman" w:hAnsi="Times New Roman"/>
          <w:color w:val="auto"/>
          <w:highlight w:val="none"/>
        </w:rPr>
      </w:pPr>
    </w:p>
    <w:p w14:paraId="19735409">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0" w:firstLineChars="0"/>
        <w:jc w:val="left"/>
        <w:textAlignment w:val="auto"/>
        <w:rPr>
          <w:rFonts w:hint="eastAsia" w:ascii="Times New Roman" w:hAnsi="Times New Roman" w:eastAsia="黑体" w:cs="黑体"/>
          <w:b/>
          <w:bCs/>
          <w:color w:val="auto"/>
          <w:sz w:val="32"/>
          <w:szCs w:val="32"/>
          <w:highlight w:val="none"/>
          <w:lang w:eastAsia="zh-CN"/>
        </w:rPr>
      </w:pPr>
      <w:r>
        <w:rPr>
          <w:rFonts w:hint="eastAsia" w:ascii="Times New Roman" w:hAnsi="Times New Roman" w:eastAsia="黑体" w:cs="黑体"/>
          <w:b/>
          <w:bCs/>
          <w:color w:val="auto"/>
          <w:sz w:val="32"/>
          <w:szCs w:val="32"/>
          <w:highlight w:val="none"/>
        </w:rPr>
        <w:t>第一部分 部门概况</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0"/>
          <w:sz w:val="32"/>
          <w:szCs w:val="32"/>
          <w:highlight w:val="none"/>
          <w:lang w:eastAsia="zh-CN"/>
        </w:rPr>
        <w:t>…</w:t>
      </w:r>
      <w:r>
        <w:rPr>
          <w:rFonts w:hint="eastAsia" w:eastAsia="仿宋_GB2312" w:cs="仿宋_GB2312"/>
          <w:color w:val="auto"/>
          <w:spacing w:val="17"/>
          <w:sz w:val="32"/>
          <w:szCs w:val="32"/>
          <w:highlight w:val="none"/>
          <w:lang w:eastAsia="zh-CN"/>
        </w:rPr>
        <w:t>……………</w:t>
      </w:r>
      <w:r>
        <w:rPr>
          <w:rFonts w:hint="eastAsia" w:eastAsia="仿宋_GB2312" w:cs="仿宋_GB2312"/>
          <w:color w:val="auto"/>
          <w:spacing w:val="0"/>
          <w:sz w:val="32"/>
          <w:szCs w:val="32"/>
          <w:highlight w:val="none"/>
          <w:lang w:eastAsia="zh-CN"/>
        </w:rPr>
        <w:t>…</w:t>
      </w:r>
      <w:r>
        <w:rPr>
          <w:rFonts w:hint="eastAsia" w:eastAsia="仿宋_GB2312" w:cs="仿宋_GB2312"/>
          <w:color w:val="auto"/>
          <w:sz w:val="32"/>
          <w:szCs w:val="32"/>
          <w:highlight w:val="none"/>
          <w:lang w:val="en-US" w:eastAsia="zh-CN"/>
        </w:rPr>
        <w:t>1</w:t>
      </w:r>
    </w:p>
    <w:p w14:paraId="3BF2C606">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1</w:t>
      </w:r>
    </w:p>
    <w:p w14:paraId="5488165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二、机构设置</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1</w:t>
      </w:r>
    </w:p>
    <w:p w14:paraId="4B5DFE77">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b/>
          <w:bCs/>
          <w:color w:val="auto"/>
          <w:sz w:val="32"/>
          <w:szCs w:val="32"/>
          <w:highlight w:val="none"/>
        </w:rPr>
      </w:pPr>
      <w:r>
        <w:rPr>
          <w:rFonts w:hint="eastAsia" w:ascii="Times New Roman" w:hAnsi="Times New Roman" w:eastAsia="黑体" w:cs="黑体"/>
          <w:b/>
          <w:bCs/>
          <w:color w:val="auto"/>
          <w:sz w:val="32"/>
          <w:szCs w:val="32"/>
          <w:highlight w:val="none"/>
        </w:rPr>
        <w:t>第二部分</w:t>
      </w:r>
      <w:r>
        <w:rPr>
          <w:rFonts w:hint="eastAsia" w:ascii="Times New Roman" w:hAnsi="Times New Roman" w:eastAsia="黑体" w:cs="黑体"/>
          <w:b/>
          <w:bCs/>
          <w:color w:val="auto"/>
          <w:sz w:val="32"/>
          <w:szCs w:val="32"/>
          <w:highlight w:val="none"/>
          <w:lang w:val="en-US" w:eastAsia="zh-CN"/>
        </w:rPr>
        <w:t xml:space="preserve"> 2024年度</w:t>
      </w:r>
      <w:r>
        <w:rPr>
          <w:rFonts w:hint="eastAsia" w:ascii="Times New Roman" w:hAnsi="Times New Roman" w:eastAsia="黑体" w:cs="黑体"/>
          <w:b/>
          <w:bCs/>
          <w:color w:val="auto"/>
          <w:sz w:val="32"/>
          <w:szCs w:val="32"/>
          <w:highlight w:val="none"/>
        </w:rPr>
        <w:t>部门决算情况说明</w:t>
      </w:r>
    </w:p>
    <w:p w14:paraId="39408D4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2</w:t>
      </w:r>
    </w:p>
    <w:p w14:paraId="3BD3FC08">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2</w:t>
      </w:r>
    </w:p>
    <w:p w14:paraId="708EC636">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3</w:t>
      </w:r>
    </w:p>
    <w:p w14:paraId="007C7646">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3</w:t>
      </w:r>
    </w:p>
    <w:p w14:paraId="04722026">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4</w:t>
      </w:r>
    </w:p>
    <w:p w14:paraId="6138EF3D">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6</w:t>
      </w:r>
    </w:p>
    <w:p w14:paraId="075F5A46">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7</w:t>
      </w:r>
    </w:p>
    <w:p w14:paraId="41D4D231">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八、政府性基金预算支出决算情况说明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8</w:t>
      </w:r>
    </w:p>
    <w:p w14:paraId="2B68CC62">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8</w:t>
      </w:r>
    </w:p>
    <w:p w14:paraId="7FAAC83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 xml:space="preserve"> 9</w:t>
      </w:r>
    </w:p>
    <w:p w14:paraId="1F57B209">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b/>
          <w:bCs/>
          <w:color w:val="auto"/>
          <w:sz w:val="32"/>
          <w:szCs w:val="32"/>
          <w:highlight w:val="none"/>
          <w:lang w:val="en-US"/>
        </w:rPr>
      </w:pPr>
      <w:r>
        <w:rPr>
          <w:rFonts w:hint="eastAsia" w:ascii="Times New Roman" w:hAnsi="Times New Roman" w:eastAsia="黑体" w:cs="黑体"/>
          <w:b/>
          <w:bCs/>
          <w:color w:val="auto"/>
          <w:sz w:val="32"/>
          <w:szCs w:val="32"/>
          <w:highlight w:val="none"/>
        </w:rPr>
        <w:t>第三部分 名词解释</w:t>
      </w:r>
      <w:r>
        <w:rPr>
          <w:rFonts w:hint="eastAsia" w:eastAsia="仿宋_GB2312" w:cs="仿宋_GB2312"/>
          <w:color w:val="auto"/>
          <w:spacing w:val="-6"/>
          <w:sz w:val="32"/>
          <w:szCs w:val="32"/>
          <w:highlight w:val="none"/>
          <w:lang w:eastAsia="zh-CN"/>
        </w:rPr>
        <w:t>……………………………………………</w:t>
      </w:r>
      <w:r>
        <w:rPr>
          <w:rFonts w:hint="eastAsia" w:ascii="Times New Roman" w:hAnsi="Times New Roman" w:eastAsia="仿宋_GB2312" w:cs="仿宋_GB2312"/>
          <w:color w:val="auto"/>
          <w:kern w:val="2"/>
          <w:sz w:val="32"/>
          <w:szCs w:val="32"/>
          <w:highlight w:val="none"/>
          <w:lang w:val="en-US" w:eastAsia="zh-CN" w:bidi="ar-SA"/>
        </w:rPr>
        <w:t>12</w:t>
      </w:r>
    </w:p>
    <w:p w14:paraId="3E4A4579">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b/>
          <w:bCs/>
          <w:color w:val="auto"/>
          <w:sz w:val="32"/>
          <w:szCs w:val="32"/>
          <w:highlight w:val="none"/>
          <w:lang w:val="en-US"/>
        </w:rPr>
      </w:pPr>
      <w:r>
        <w:rPr>
          <w:rFonts w:hint="eastAsia" w:ascii="Times New Roman" w:hAnsi="Times New Roman" w:eastAsia="黑体" w:cs="黑体"/>
          <w:b/>
          <w:bCs/>
          <w:color w:val="auto"/>
          <w:sz w:val="32"/>
          <w:szCs w:val="32"/>
          <w:highlight w:val="none"/>
        </w:rPr>
        <w:t>第四部分 附件</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11"/>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11"/>
          <w:sz w:val="32"/>
          <w:szCs w:val="32"/>
          <w:highlight w:val="none"/>
          <w:lang w:eastAsia="zh-CN"/>
        </w:rPr>
        <w:t>…………………</w:t>
      </w:r>
      <w:r>
        <w:rPr>
          <w:rFonts w:hint="eastAsia" w:ascii="Times New Roman" w:hAnsi="Times New Roman" w:eastAsia="仿宋_GB2312" w:cs="仿宋_GB2312"/>
          <w:color w:val="auto"/>
          <w:kern w:val="2"/>
          <w:sz w:val="32"/>
          <w:szCs w:val="32"/>
          <w:highlight w:val="none"/>
          <w:lang w:val="en-US" w:eastAsia="zh-CN" w:bidi="ar-SA"/>
        </w:rPr>
        <w:t>15</w:t>
      </w:r>
    </w:p>
    <w:p w14:paraId="1F7E8D44">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rPr>
      </w:pPr>
      <w:r>
        <w:rPr>
          <w:rFonts w:hint="eastAsia" w:ascii="Times New Roman" w:hAnsi="Times New Roman" w:eastAsia="黑体" w:cs="黑体"/>
          <w:b/>
          <w:bCs/>
          <w:color w:val="auto"/>
          <w:sz w:val="32"/>
          <w:szCs w:val="32"/>
          <w:highlight w:val="none"/>
        </w:rPr>
        <w:t>第五部分 附表</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0"/>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eastAsia="仿宋_GB2312" w:cs="仿宋_GB2312"/>
          <w:color w:val="auto"/>
          <w:spacing w:val="0"/>
          <w:sz w:val="32"/>
          <w:szCs w:val="32"/>
          <w:highlight w:val="none"/>
          <w:lang w:eastAsia="zh-CN"/>
        </w:rPr>
        <w:t>…</w:t>
      </w:r>
      <w:r>
        <w:rPr>
          <w:rFonts w:hint="eastAsia" w:eastAsia="仿宋_GB2312" w:cs="仿宋_GB2312"/>
          <w:color w:val="auto"/>
          <w:spacing w:val="-6"/>
          <w:sz w:val="32"/>
          <w:szCs w:val="32"/>
          <w:highlight w:val="none"/>
          <w:lang w:eastAsia="zh-CN"/>
        </w:rPr>
        <w:t>…………………</w:t>
      </w:r>
      <w:r>
        <w:rPr>
          <w:rFonts w:hint="eastAsia" w:ascii="Times New Roman" w:hAnsi="Times New Roman" w:eastAsia="仿宋_GB2312" w:cs="仿宋_GB2312"/>
          <w:color w:val="auto"/>
          <w:kern w:val="2"/>
          <w:sz w:val="32"/>
          <w:szCs w:val="32"/>
          <w:highlight w:val="none"/>
          <w:lang w:val="en-US" w:eastAsia="zh-CN" w:bidi="ar-SA"/>
        </w:rPr>
        <w:t>24</w:t>
      </w:r>
    </w:p>
    <w:p w14:paraId="491466D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一、收入支出决算总表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24</w:t>
      </w:r>
    </w:p>
    <w:p w14:paraId="5BCADAF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24</w:t>
      </w:r>
    </w:p>
    <w:p w14:paraId="270207F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24</w:t>
      </w:r>
    </w:p>
    <w:p w14:paraId="0EAEB9CD">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24</w:t>
      </w:r>
    </w:p>
    <w:p w14:paraId="4494A5E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24</w:t>
      </w:r>
    </w:p>
    <w:p w14:paraId="6951EC8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24</w:t>
      </w:r>
    </w:p>
    <w:p w14:paraId="6A1DBBC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24</w:t>
      </w:r>
    </w:p>
    <w:p w14:paraId="11F3B08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24</w:t>
      </w:r>
    </w:p>
    <w:p w14:paraId="1CB0288A">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24</w:t>
      </w:r>
    </w:p>
    <w:p w14:paraId="1D0DFEA0">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24</w:t>
      </w:r>
    </w:p>
    <w:p w14:paraId="78C3E7F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24</w:t>
      </w:r>
    </w:p>
    <w:p w14:paraId="6A881C0B">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24</w:t>
      </w:r>
    </w:p>
    <w:p w14:paraId="2AEC2605">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r>
        <w:rPr>
          <w:rFonts w:hint="eastAsia" w:eastAsia="仿宋_GB2312" w:cs="仿宋_GB2312"/>
          <w:color w:val="auto"/>
          <w:sz w:val="32"/>
          <w:szCs w:val="32"/>
          <w:highlight w:val="none"/>
          <w:lang w:eastAsia="zh-CN"/>
        </w:rPr>
        <w:t>……………</w:t>
      </w:r>
      <w:r>
        <w:rPr>
          <w:rFonts w:hint="eastAsia" w:eastAsia="仿宋_GB2312" w:cs="仿宋_GB2312"/>
          <w:color w:val="auto"/>
          <w:sz w:val="32"/>
          <w:szCs w:val="32"/>
          <w:highlight w:val="none"/>
          <w:lang w:val="en-US" w:eastAsia="zh-CN"/>
        </w:rPr>
        <w:t>24</w:t>
      </w:r>
    </w:p>
    <w:p w14:paraId="7B9A68FF">
      <w:pPr>
        <w:pStyle w:val="15"/>
        <w:keepNext w:val="0"/>
        <w:keepLines w:val="0"/>
        <w:pageBreakBefore w:val="0"/>
        <w:widowControl w:val="0"/>
        <w:kinsoku/>
        <w:wordWrap/>
        <w:overflowPunct/>
        <w:topLinePunct w:val="0"/>
        <w:autoSpaceDE/>
        <w:autoSpaceDN/>
        <w:bidi w:val="0"/>
        <w:adjustRightInd w:val="0"/>
        <w:snapToGrid w:val="0"/>
        <w:spacing w:line="560" w:lineRule="exact"/>
        <w:ind w:left="0" w:leftChars="0" w:firstLine="643"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14:paraId="314E7DDF">
      <w:pPr>
        <w:pStyle w:val="4"/>
        <w:keepNext/>
        <w:keepLines/>
        <w:pageBreakBefore w:val="0"/>
        <w:widowControl w:val="0"/>
        <w:kinsoku/>
        <w:wordWrap/>
        <w:overflowPunct/>
        <w:topLinePunct w:val="0"/>
        <w:autoSpaceDE/>
        <w:autoSpaceDN/>
        <w:bidi w:val="0"/>
        <w:adjustRightInd w:val="0"/>
        <w:snapToGrid w:val="0"/>
        <w:spacing w:before="0" w:after="0" w:line="644" w:lineRule="exact"/>
        <w:jc w:val="center"/>
        <w:textAlignment w:val="auto"/>
        <w:rPr>
          <w:rFonts w:hint="eastAsia" w:ascii="Times New Roman" w:hAnsi="Times New Roman" w:eastAsia="方正小标宋简体" w:cs="方正小标宋简体"/>
          <w:b w:val="0"/>
          <w:color w:val="auto"/>
          <w:highlight w:val="none"/>
        </w:rPr>
        <w:sectPr>
          <w:footerReference r:id="rId6" w:type="first"/>
          <w:footerReference r:id="rId5" w:type="default"/>
          <w:pgSz w:w="11906" w:h="16838"/>
          <w:pgMar w:top="1440" w:right="1800" w:bottom="1440" w:left="1800" w:header="851" w:footer="992" w:gutter="0"/>
          <w:pgNumType w:fmt="decimal" w:start="1"/>
          <w:cols w:space="425" w:num="1"/>
          <w:titlePg/>
          <w:docGrid w:type="lines" w:linePitch="312" w:charSpace="0"/>
        </w:sectPr>
      </w:pPr>
      <w:bookmarkStart w:id="6" w:name="_Toc15377196"/>
      <w:bookmarkStart w:id="7" w:name="_Toc15396599"/>
    </w:p>
    <w:p w14:paraId="520E1365">
      <w:pPr>
        <w:pStyle w:val="4"/>
        <w:keepNext/>
        <w:keepLines/>
        <w:pageBreakBefore w:val="0"/>
        <w:widowControl w:val="0"/>
        <w:kinsoku/>
        <w:wordWrap/>
        <w:overflowPunct/>
        <w:topLinePunct w:val="0"/>
        <w:autoSpaceDE/>
        <w:autoSpaceDN/>
        <w:bidi w:val="0"/>
        <w:adjustRightInd w:val="0"/>
        <w:snapToGrid w:val="0"/>
        <w:spacing w:before="0" w:after="0" w:line="644" w:lineRule="exact"/>
        <w:jc w:val="center"/>
        <w:textAlignment w:val="auto"/>
        <w:rPr>
          <w:rStyle w:val="30"/>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30"/>
          <w:rFonts w:hint="eastAsia" w:ascii="Times New Roman" w:hAnsi="Times New Roman" w:eastAsia="方正小标宋简体" w:cs="方正小标宋简体"/>
          <w:b w:val="0"/>
          <w:bCs w:val="0"/>
          <w:color w:val="auto"/>
          <w:highlight w:val="none"/>
        </w:rPr>
        <w:t>部门概况</w:t>
      </w:r>
      <w:bookmarkEnd w:id="6"/>
      <w:bookmarkEnd w:id="7"/>
    </w:p>
    <w:p w14:paraId="5F897A06">
      <w:pPr>
        <w:widowControl/>
        <w:jc w:val="left"/>
        <w:rPr>
          <w:rFonts w:ascii="Times New Roman" w:hAnsi="Times New Roman" w:eastAsia="黑体"/>
          <w:color w:val="auto"/>
          <w:sz w:val="32"/>
          <w:szCs w:val="32"/>
          <w:highlight w:val="none"/>
        </w:rPr>
      </w:pPr>
    </w:p>
    <w:p w14:paraId="7AF6E2C7">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黑体" w:hAnsi="黑体" w:eastAsia="黑体" w:cs="黑体"/>
          <w:b/>
          <w:bCs/>
          <w:sz w:val="32"/>
          <w:szCs w:val="32"/>
          <w:lang w:eastAsia="zh-CN"/>
        </w:rPr>
      </w:pPr>
      <w:r>
        <w:rPr>
          <w:rFonts w:hint="eastAsia" w:ascii="黑体" w:hAnsi="黑体" w:eastAsia="黑体" w:cs="黑体"/>
          <w:b/>
          <w:bCs/>
          <w:kern w:val="2"/>
          <w:sz w:val="32"/>
          <w:szCs w:val="32"/>
          <w:lang w:val="en-US" w:eastAsia="zh-CN" w:bidi="ar-SA"/>
        </w:rPr>
        <w:t>一、</w:t>
      </w:r>
      <w:r>
        <w:rPr>
          <w:rFonts w:hint="eastAsia" w:ascii="黑体" w:hAnsi="黑体" w:eastAsia="黑体" w:cs="黑体"/>
          <w:b/>
          <w:bCs/>
          <w:color w:val="auto"/>
          <w:highlight w:val="none"/>
          <w:lang w:eastAsia="zh-CN"/>
        </w:rPr>
        <w:t>部门职责</w:t>
      </w:r>
      <w:bookmarkStart w:id="8" w:name="_Toc15377200"/>
      <w:bookmarkStart w:id="9" w:name="_Toc15396601"/>
    </w:p>
    <w:p w14:paraId="30D19F81">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0" w:firstLineChars="200"/>
        <w:textAlignment w:val="auto"/>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宣传贯彻党和政府的各项医疗卫生方针政策，协助政府实施农村医改工作；提供基本医疗服务，开展农村常见病、多发病以及诊断明确的慢性非传染性疾病的诊疗、护理；贯彻落实国家基本药物制度，使用基本药物；实行网上统一采购、统一配送的基本药物采购机制；实施基本药物零差率销售；协助开展突发公共卫生事件应急调查和处置工作，承担区域内公共卫生相关信息的收集和报告。对所属行政村卫生室实行一体化管理，承担对村卫生室和乡村医生的业务管理</w:t>
      </w: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lang w:eastAsia="zh-CN"/>
        </w:rPr>
        <w:t>和指导。协助做好区域内食品卫生、饮用水卫生、化共场所卫生、职业卫生等爱国卫生工作；协助做好新型农村合作医疗工作；提供基本公共卫生服务，包括建立居民健康档案、健康档案、预防接种、传染病防治、高血压糖尿病等慢性病管理、重性精神疾病管理、儿童保健、孕产妇保健、老年人保健等；协助处置突发公共卫生事件。</w:t>
      </w:r>
    </w:p>
    <w:bookmarkEnd w:id="8"/>
    <w:bookmarkEnd w:id="9"/>
    <w:p w14:paraId="53F2BB7C">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二、机构设置</w:t>
      </w:r>
    </w:p>
    <w:p w14:paraId="6C2D463E">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640" w:firstLineChars="200"/>
        <w:jc w:val="left"/>
        <w:rPr>
          <w:rFonts w:hint="eastAsia" w:ascii="仿宋_GB2312" w:hAnsi="仿宋_GB2312" w:eastAsia="仿宋_GB2312" w:cs="仿宋_GB2312"/>
          <w:color w:val="000000"/>
          <w:kern w:val="0"/>
          <w:sz w:val="32"/>
          <w:szCs w:val="32"/>
          <w:lang w:val="en-US" w:eastAsia="zh-CN"/>
        </w:rPr>
      </w:pPr>
      <w:bookmarkStart w:id="10" w:name="_Toc15396602"/>
      <w:bookmarkStart w:id="11" w:name="_Toc15377204"/>
      <w:r>
        <w:rPr>
          <w:rFonts w:hint="eastAsia" w:ascii="仿宋_GB2312" w:hAnsi="仿宋_GB2312" w:eastAsia="仿宋_GB2312" w:cs="仿宋_GB2312"/>
          <w:color w:val="auto"/>
          <w:sz w:val="32"/>
          <w:szCs w:val="32"/>
          <w:highlight w:val="none"/>
        </w:rPr>
        <w:t>红原县</w:t>
      </w:r>
      <w:r>
        <w:rPr>
          <w:rFonts w:hint="eastAsia" w:ascii="仿宋_GB2312" w:hAnsi="仿宋_GB2312" w:eastAsia="仿宋_GB2312" w:cs="仿宋_GB2312"/>
          <w:color w:val="auto"/>
          <w:sz w:val="32"/>
          <w:szCs w:val="32"/>
          <w:highlight w:val="none"/>
          <w:lang w:eastAsia="zh-CN"/>
        </w:rPr>
        <w:t>查尔玛</w:t>
      </w:r>
      <w:r>
        <w:rPr>
          <w:rFonts w:hint="eastAsia" w:ascii="仿宋_GB2312" w:hAnsi="仿宋_GB2312" w:eastAsia="仿宋_GB2312" w:cs="仿宋_GB2312"/>
          <w:color w:val="auto"/>
          <w:sz w:val="32"/>
          <w:szCs w:val="32"/>
          <w:highlight w:val="none"/>
        </w:rPr>
        <w:t>乡卫生院下属二级</w:t>
      </w:r>
      <w:r>
        <w:rPr>
          <w:rFonts w:hint="eastAsia" w:ascii="仿宋_GB2312" w:hAnsi="仿宋_GB2312" w:eastAsia="仿宋_GB2312" w:cs="仿宋_GB2312"/>
          <w:color w:val="auto"/>
          <w:sz w:val="32"/>
          <w:szCs w:val="32"/>
          <w:highlight w:val="none"/>
          <w:lang w:eastAsia="zh-CN"/>
        </w:rPr>
        <w:t>预算</w:t>
      </w:r>
      <w:r>
        <w:rPr>
          <w:rFonts w:hint="eastAsia" w:ascii="仿宋_GB2312" w:hAnsi="仿宋_GB2312" w:eastAsia="仿宋_GB2312" w:cs="仿宋_GB2312"/>
          <w:color w:val="auto"/>
          <w:sz w:val="32"/>
          <w:szCs w:val="32"/>
          <w:highlight w:val="none"/>
        </w:rPr>
        <w:t>单位</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个</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bCs/>
          <w:sz w:val="32"/>
          <w:szCs w:val="32"/>
        </w:rPr>
        <w:t>我单位为独立核算全额拨款事业单位，</w:t>
      </w:r>
      <w:r>
        <w:rPr>
          <w:rFonts w:hint="eastAsia" w:ascii="仿宋_GB2312" w:hAnsi="仿宋_GB2312" w:eastAsia="仿宋_GB2312" w:cs="仿宋_GB2312"/>
          <w:bCs/>
          <w:sz w:val="32"/>
          <w:szCs w:val="32"/>
          <w:lang w:eastAsia="zh-CN"/>
        </w:rPr>
        <w:t>下设</w:t>
      </w:r>
      <w:r>
        <w:rPr>
          <w:rFonts w:hint="eastAsia" w:ascii="仿宋_GB2312" w:hAnsi="仿宋_GB2312" w:eastAsia="仿宋_GB2312" w:cs="仿宋_GB2312"/>
          <w:bCs/>
          <w:sz w:val="32"/>
          <w:szCs w:val="32"/>
          <w:lang w:val="en-US" w:eastAsia="zh-CN"/>
        </w:rPr>
        <w:t>1机构。</w:t>
      </w:r>
      <w:r>
        <w:rPr>
          <w:rFonts w:hint="eastAsia" w:ascii="仿宋_GB2312" w:hAnsi="仿宋_GB2312" w:eastAsia="仿宋_GB2312" w:cs="仿宋_GB2312"/>
          <w:bCs/>
          <w:sz w:val="32"/>
          <w:szCs w:val="32"/>
        </w:rPr>
        <w:t>截止20</w:t>
      </w:r>
      <w:r>
        <w:rPr>
          <w:rFonts w:hint="eastAsia" w:ascii="仿宋_GB2312" w:hAnsi="仿宋_GB2312" w:eastAsia="仿宋_GB2312" w:cs="仿宋_GB2312"/>
          <w:bCs/>
          <w:sz w:val="32"/>
          <w:szCs w:val="32"/>
          <w:lang w:val="en-US" w:eastAsia="zh-CN"/>
        </w:rPr>
        <w:t>24</w:t>
      </w:r>
      <w:r>
        <w:rPr>
          <w:rFonts w:hint="eastAsia" w:ascii="仿宋_GB2312" w:hAnsi="仿宋_GB2312" w:eastAsia="仿宋_GB2312" w:cs="仿宋_GB2312"/>
          <w:bCs/>
          <w:sz w:val="32"/>
          <w:szCs w:val="32"/>
        </w:rPr>
        <w:t>年底我单位</w:t>
      </w:r>
      <w:r>
        <w:rPr>
          <w:rFonts w:hint="eastAsia" w:ascii="仿宋_GB2312" w:hAnsi="仿宋_GB2312" w:eastAsia="仿宋_GB2312" w:cs="仿宋_GB2312"/>
          <w:color w:val="000000"/>
          <w:kern w:val="0"/>
          <w:sz w:val="32"/>
          <w:szCs w:val="32"/>
          <w:lang w:val="en-US" w:eastAsia="zh-CN" w:bidi="ar"/>
        </w:rPr>
        <w:t>共有编制8个，其中事业编8个，在职8人,</w:t>
      </w:r>
      <w:r>
        <w:rPr>
          <w:rFonts w:hint="eastAsia" w:ascii="仿宋_GB2312" w:hAnsi="仿宋_GB2312" w:eastAsia="仿宋_GB2312" w:cs="仿宋_GB2312"/>
          <w:bCs/>
          <w:sz w:val="32"/>
          <w:szCs w:val="32"/>
        </w:rPr>
        <w:t>事业编制</w:t>
      </w:r>
      <w:r>
        <w:rPr>
          <w:rFonts w:hint="eastAsia" w:ascii="仿宋_GB2312" w:hAnsi="仿宋_GB2312" w:eastAsia="仿宋_GB2312" w:cs="仿宋_GB2312"/>
          <w:bCs/>
          <w:sz w:val="32"/>
          <w:szCs w:val="32"/>
          <w:lang w:val="en-US" w:eastAsia="zh-CN"/>
        </w:rPr>
        <w:t>9</w:t>
      </w:r>
      <w:r>
        <w:rPr>
          <w:rFonts w:hint="eastAsia" w:ascii="仿宋_GB2312" w:hAnsi="仿宋_GB2312" w:eastAsia="仿宋_GB2312" w:cs="仿宋_GB2312"/>
          <w:bCs/>
          <w:sz w:val="32"/>
          <w:szCs w:val="32"/>
        </w:rPr>
        <w:t>人。</w:t>
      </w:r>
    </w:p>
    <w:p w14:paraId="36D9F8E0">
      <w:pPr>
        <w:pStyle w:val="3"/>
        <w:keepNext w:val="0"/>
        <w:keepLines w:val="0"/>
        <w:pageBreakBefore w:val="0"/>
        <w:widowControl w:val="0"/>
        <w:kinsoku/>
        <w:wordWrap/>
        <w:overflowPunct/>
        <w:topLinePunct w:val="0"/>
        <w:autoSpaceDE/>
        <w:autoSpaceDN/>
        <w:bidi w:val="0"/>
        <w:adjustRightInd w:val="0"/>
        <w:snapToGrid w:val="0"/>
        <w:spacing w:beforeLines="0" w:line="576" w:lineRule="exact"/>
        <w:ind w:firstLine="672" w:firstLineChars="21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纳入红原县查尔玛乡卫生院2024年度部门决算编制范围的二级预算单位无。</w:t>
      </w:r>
    </w:p>
    <w:p w14:paraId="14F0119C">
      <w:pPr>
        <w:pStyle w:val="4"/>
        <w:keepNext/>
        <w:keepLines/>
        <w:pageBreakBefore w:val="0"/>
        <w:widowControl w:val="0"/>
        <w:kinsoku/>
        <w:wordWrap/>
        <w:overflowPunct/>
        <w:topLinePunct w:val="0"/>
        <w:autoSpaceDE/>
        <w:autoSpaceDN/>
        <w:bidi w:val="0"/>
        <w:adjustRightInd w:val="0"/>
        <w:snapToGrid w:val="0"/>
        <w:spacing w:before="0" w:after="0" w:line="644" w:lineRule="exact"/>
        <w:jc w:val="center"/>
        <w:textAlignment w:val="auto"/>
        <w:rPr>
          <w:rFonts w:hint="eastAsia" w:ascii="Times New Roman" w:hAnsi="Times New Roman" w:eastAsia="方正小标宋简体" w:cs="方正小标宋简体"/>
          <w:b w:val="0"/>
          <w:color w:val="auto"/>
          <w:highlight w:val="none"/>
        </w:rPr>
        <w:sectPr>
          <w:footerReference r:id="rId8" w:type="first"/>
          <w:footerReference r:id="rId7" w:type="default"/>
          <w:pgSz w:w="11906" w:h="16838"/>
          <w:pgMar w:top="1440" w:right="1800" w:bottom="1440" w:left="1800" w:header="851" w:footer="992" w:gutter="0"/>
          <w:pgNumType w:fmt="decimal" w:start="1"/>
          <w:cols w:space="425" w:num="1"/>
          <w:docGrid w:type="lines" w:linePitch="312" w:charSpace="0"/>
        </w:sectPr>
      </w:pPr>
    </w:p>
    <w:p w14:paraId="5568E0A2">
      <w:pPr>
        <w:pStyle w:val="4"/>
        <w:keepNext/>
        <w:keepLines/>
        <w:pageBreakBefore w:val="0"/>
        <w:widowControl w:val="0"/>
        <w:kinsoku/>
        <w:wordWrap/>
        <w:overflowPunct/>
        <w:topLinePunct w:val="0"/>
        <w:autoSpaceDE/>
        <w:autoSpaceDN/>
        <w:bidi w:val="0"/>
        <w:adjustRightInd w:val="0"/>
        <w:snapToGrid w:val="0"/>
        <w:spacing w:before="0" w:after="0" w:line="644" w:lineRule="exact"/>
        <w:jc w:val="center"/>
        <w:textAlignment w:val="auto"/>
        <w:rPr>
          <w:rFonts w:hint="eastAsia" w:ascii="Times New Roman" w:hAnsi="Times New Roman" w:eastAsia="方正小标宋简体" w:cs="方正小标宋简体"/>
          <w:b w:val="0"/>
          <w:color w:val="auto"/>
          <w:highlight w:val="none"/>
        </w:rPr>
      </w:pPr>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0"/>
      <w:bookmarkEnd w:id="11"/>
    </w:p>
    <w:p w14:paraId="1FF7BA23">
      <w:pPr>
        <w:keepNext w:val="0"/>
        <w:keepLines w:val="0"/>
        <w:pageBreakBefore w:val="0"/>
        <w:widowControl w:val="0"/>
        <w:kinsoku/>
        <w:wordWrap/>
        <w:overflowPunct/>
        <w:topLinePunct w:val="0"/>
        <w:autoSpaceDE/>
        <w:autoSpaceDN/>
        <w:bidi w:val="0"/>
        <w:adjustRightInd w:val="0"/>
        <w:snapToGrid w:val="0"/>
        <w:textAlignment w:val="auto"/>
      </w:pPr>
    </w:p>
    <w:p w14:paraId="36237763">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黑体" w:hAnsi="黑体" w:eastAsia="黑体" w:cs="黑体"/>
          <w:b/>
          <w:bCs/>
          <w:kern w:val="2"/>
          <w:sz w:val="32"/>
          <w:szCs w:val="32"/>
          <w:lang w:val="en-US" w:eastAsia="zh-CN" w:bidi="ar-SA"/>
        </w:rPr>
      </w:pPr>
      <w:bookmarkStart w:id="12" w:name="_Toc15377205"/>
      <w:bookmarkStart w:id="13" w:name="_Toc15396603"/>
      <w:r>
        <w:rPr>
          <w:rFonts w:hint="eastAsia" w:ascii="黑体" w:hAnsi="黑体" w:eastAsia="黑体" w:cs="黑体"/>
          <w:b/>
          <w:bCs/>
          <w:kern w:val="2"/>
          <w:sz w:val="32"/>
          <w:szCs w:val="32"/>
          <w:lang w:val="en-US" w:eastAsia="zh-CN" w:bidi="ar-SA"/>
        </w:rPr>
        <w:t>一、收入支出决算总体情况说明</w:t>
      </w:r>
      <w:bookmarkEnd w:id="12"/>
      <w:bookmarkEnd w:id="13"/>
    </w:p>
    <w:p w14:paraId="1EBD7D2F">
      <w:pPr>
        <w:pStyle w:val="3"/>
        <w:keepNext w:val="0"/>
        <w:keepLines w:val="0"/>
        <w:pageBreakBefore w:val="0"/>
        <w:widowControl w:val="0"/>
        <w:kinsoku/>
        <w:wordWrap/>
        <w:overflowPunct/>
        <w:topLinePunct w:val="0"/>
        <w:autoSpaceDE/>
        <w:autoSpaceDN/>
        <w:bidi w:val="0"/>
        <w:adjustRightInd w:val="0"/>
        <w:snapToGrid w:val="0"/>
        <w:spacing w:beforeLines="0" w:line="576" w:lineRule="exact"/>
        <w:ind w:firstLine="672" w:firstLineChars="21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drawing>
          <wp:anchor distT="0" distB="0" distL="114300" distR="114300" simplePos="0" relativeHeight="251659264" behindDoc="0" locked="0" layoutInCell="1" allowOverlap="1">
            <wp:simplePos x="0" y="0"/>
            <wp:positionH relativeFrom="column">
              <wp:posOffset>-9525</wp:posOffset>
            </wp:positionH>
            <wp:positionV relativeFrom="paragraph">
              <wp:posOffset>1102360</wp:posOffset>
            </wp:positionV>
            <wp:extent cx="5647690" cy="1800225"/>
            <wp:effectExtent l="4445" t="4445" r="5715" b="508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_GB2312" w:hAnsi="仿宋_GB2312" w:eastAsia="仿宋_GB2312" w:cs="仿宋_GB2312"/>
          <w:bCs/>
          <w:kern w:val="2"/>
          <w:sz w:val="32"/>
          <w:szCs w:val="32"/>
          <w:lang w:val="en-US" w:eastAsia="zh-CN" w:bidi="ar-SA"/>
        </w:rPr>
        <w:t>2024年度收入、支出总计均为200.74万元。与2023年度224.03相比，收入、支出总计各减少23.29万元，下降11.6%。主要变动原因是人员经费。</w:t>
      </w:r>
    </w:p>
    <w:p w14:paraId="50C8A048">
      <w:pPr>
        <w:pStyle w:val="3"/>
        <w:keepNext w:val="0"/>
        <w:keepLines w:val="0"/>
        <w:pageBreakBefore w:val="0"/>
        <w:widowControl w:val="0"/>
        <w:kinsoku/>
        <w:wordWrap/>
        <w:overflowPunct/>
        <w:topLinePunct w:val="0"/>
        <w:autoSpaceDE/>
        <w:autoSpaceDN/>
        <w:bidi w:val="0"/>
        <w:adjustRightInd w:val="0"/>
        <w:snapToGrid w:val="0"/>
        <w:spacing w:beforeLines="0" w:line="576" w:lineRule="exact"/>
        <w:ind w:firstLine="672" w:firstLineChars="21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（图1：收入、支出决算总计变动情况图）（柱状图）</w:t>
      </w:r>
    </w:p>
    <w:p w14:paraId="6478F50E">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36" w:lineRule="exact"/>
        <w:ind w:firstLine="643" w:firstLineChars="200"/>
        <w:textAlignment w:val="auto"/>
        <w:rPr>
          <w:rFonts w:hint="eastAsia" w:ascii="黑体" w:hAnsi="黑体" w:eastAsia="黑体" w:cs="黑体"/>
          <w:b/>
          <w:bCs/>
          <w:kern w:val="2"/>
          <w:sz w:val="32"/>
          <w:szCs w:val="32"/>
          <w:lang w:val="en-US" w:eastAsia="zh-CN" w:bidi="ar-SA"/>
        </w:rPr>
      </w:pPr>
      <w:bookmarkStart w:id="14" w:name="_Toc15396604"/>
      <w:bookmarkStart w:id="15" w:name="_Toc15377206"/>
      <w:r>
        <w:rPr>
          <w:rFonts w:hint="eastAsia" w:ascii="黑体" w:hAnsi="黑体" w:eastAsia="黑体" w:cs="黑体"/>
          <w:b/>
          <w:bCs/>
          <w:kern w:val="2"/>
          <w:sz w:val="32"/>
          <w:szCs w:val="32"/>
          <w:lang w:val="en-US" w:eastAsia="zh-CN" w:bidi="ar-SA"/>
        </w:rPr>
        <w:t>二、收入决算情况说明</w:t>
      </w:r>
      <w:bookmarkEnd w:id="14"/>
      <w:bookmarkEnd w:id="15"/>
    </w:p>
    <w:p w14:paraId="52DE058C">
      <w:pPr>
        <w:pStyle w:val="29"/>
        <w:keepNext w:val="0"/>
        <w:keepLines w:val="0"/>
        <w:pageBreakBefore w:val="0"/>
        <w:widowControl w:val="0"/>
        <w:numPr>
          <w:ilvl w:val="0"/>
          <w:numId w:val="0"/>
        </w:numPr>
        <w:kinsoku/>
        <w:wordWrap/>
        <w:overflowPunct/>
        <w:topLinePunct w:val="0"/>
        <w:autoSpaceDE/>
        <w:autoSpaceDN/>
        <w:bidi w:val="0"/>
        <w:adjustRightInd w:val="0"/>
        <w:snapToGrid w:val="0"/>
        <w:spacing w:line="536"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bCs/>
          <w:kern w:val="2"/>
          <w:sz w:val="32"/>
          <w:szCs w:val="32"/>
          <w:lang w:val="en-US" w:eastAsia="zh-CN" w:bidi="ar-SA"/>
        </w:rPr>
        <w:t>2024年度本年收入合计200.74万元，其中：一般公共预算财政拨款收入200.74万元，占100%；政府性基金预算财政拨款收入0万元，占0%%；国有资本经营预算财政拨款收入0万元，占0%；上级补助收入0万元，占0%；事业收入0万元，占0%；经营收入0万元，占0%；附属单位上缴收入0万元，占0%；其他收入0万元，占0%。</w:t>
      </w:r>
      <w:r>
        <w:rPr>
          <w:rFonts w:hint="eastAsia" w:ascii="Times New Roman" w:hAnsi="Times New Roman" w:eastAsia="仿宋_GB2312" w:cs="仿宋_GB2312"/>
          <w:b/>
          <w:bCs/>
          <w:color w:val="auto"/>
          <w:sz w:val="32"/>
          <w:szCs w:val="32"/>
          <w:highlight w:val="none"/>
          <w:lang w:eastAsia="zh-CN"/>
        </w:rPr>
        <w:t>（注：仅罗列本部门涉及的收入）</w:t>
      </w:r>
    </w:p>
    <w:p w14:paraId="24E21808">
      <w:pPr>
        <w:pageBreakBefore w:val="0"/>
        <w:widowControl w:val="0"/>
        <w:kinsoku/>
        <w:wordWrap/>
        <w:overflowPunct/>
        <w:topLinePunct w:val="0"/>
        <w:autoSpaceDE/>
        <w:autoSpaceDN/>
        <w:bidi w:val="0"/>
        <w:adjustRightInd w:val="0"/>
        <w:snapToGrid w:val="0"/>
        <w:spacing w:line="536" w:lineRule="exact"/>
        <w:ind w:firstLine="800" w:firstLineChars="250"/>
        <w:textAlignment w:val="auto"/>
        <w:rPr>
          <w:rFonts w:hint="eastAsia" w:ascii="Times New Roman" w:hAnsi="Times New Roman" w:eastAsia="仿宋_GB2312" w:cs="仿宋_GB2312"/>
          <w:color w:val="auto"/>
          <w:sz w:val="32"/>
          <w:szCs w:val="32"/>
          <w:highlight w:val="none"/>
          <w:lang w:eastAsia="zh-CN"/>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0288" behindDoc="0" locked="0" layoutInCell="1" allowOverlap="1">
            <wp:simplePos x="0" y="0"/>
            <wp:positionH relativeFrom="column">
              <wp:posOffset>-38735</wp:posOffset>
            </wp:positionH>
            <wp:positionV relativeFrom="paragraph">
              <wp:posOffset>79375</wp:posOffset>
            </wp:positionV>
            <wp:extent cx="5708650" cy="1470025"/>
            <wp:effectExtent l="4445" t="4445" r="20955" b="11430"/>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rFonts w:hint="eastAsia" w:ascii="Times New Roman" w:hAnsi="Times New Roman" w:eastAsia="仿宋_GB2312" w:cs="仿宋_GB2312"/>
          <w:color w:val="auto"/>
          <w:sz w:val="32"/>
          <w:szCs w:val="32"/>
          <w:highlight w:val="none"/>
          <w:lang w:eastAsia="zh-CN"/>
        </w:rPr>
        <w:t>（图2：收入决算结构图）（饼状图）</w:t>
      </w:r>
    </w:p>
    <w:p w14:paraId="434DDDC0">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黑体" w:hAnsi="黑体" w:eastAsia="黑体" w:cs="黑体"/>
          <w:b/>
          <w:bCs/>
          <w:kern w:val="2"/>
          <w:sz w:val="32"/>
          <w:szCs w:val="32"/>
          <w:lang w:val="en-US" w:eastAsia="zh-CN" w:bidi="ar-SA"/>
        </w:rPr>
      </w:pPr>
      <w:bookmarkStart w:id="16" w:name="_Toc15377207"/>
      <w:bookmarkStart w:id="17" w:name="_Toc15396605"/>
      <w:r>
        <w:rPr>
          <w:rFonts w:hint="eastAsia" w:ascii="黑体" w:hAnsi="黑体" w:eastAsia="黑体" w:cs="黑体"/>
          <w:b/>
          <w:bCs/>
          <w:kern w:val="2"/>
          <w:sz w:val="32"/>
          <w:szCs w:val="32"/>
          <w:lang w:val="en-US" w:eastAsia="zh-CN" w:bidi="ar-SA"/>
        </w:rPr>
        <w:t>三、支出决算情况说明</w:t>
      </w:r>
      <w:bookmarkEnd w:id="16"/>
      <w:bookmarkEnd w:id="17"/>
    </w:p>
    <w:p w14:paraId="6B128492">
      <w:pPr>
        <w:pStyle w:val="29"/>
        <w:keepNext w:val="0"/>
        <w:keepLines w:val="0"/>
        <w:pageBreakBefore w:val="0"/>
        <w:widowControl w:val="0"/>
        <w:numPr>
          <w:ilvl w:val="0"/>
          <w:numId w:val="0"/>
        </w:numPr>
        <w:kinsoku/>
        <w:wordWrap/>
        <w:overflowPunct/>
        <w:topLinePunct w:val="0"/>
        <w:autoSpaceDE/>
        <w:autoSpaceDN/>
        <w:bidi w:val="0"/>
        <w:adjustRightInd w:val="0"/>
        <w:snapToGrid w:val="0"/>
        <w:spacing w:line="576"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bCs/>
          <w:kern w:val="2"/>
          <w:sz w:val="32"/>
          <w:szCs w:val="32"/>
          <w:lang w:val="en-US" w:eastAsia="zh-CN" w:bidi="ar-SA"/>
        </w:rPr>
        <w:t>2024年度本年支出合计200.74万元，其中：基本支出192.83万元，占96.05%；项目支出7.91万元，占3.94%；上缴上级支出0万元，占0%；经营支出0万元，占0%；对附属单位补助支出0万元，占0%%。</w:t>
      </w:r>
      <w:r>
        <w:rPr>
          <w:rFonts w:hint="eastAsia" w:ascii="Times New Roman" w:hAnsi="Times New Roman" w:eastAsia="仿宋_GB2312" w:cs="仿宋_GB2312"/>
          <w:b/>
          <w:bCs/>
          <w:color w:val="auto"/>
          <w:sz w:val="32"/>
          <w:szCs w:val="32"/>
          <w:highlight w:val="none"/>
          <w:lang w:eastAsia="zh-CN"/>
        </w:rPr>
        <w:t>（注：仅罗列本部门涉及的支出）</w:t>
      </w:r>
    </w:p>
    <w:p w14:paraId="384F9C49">
      <w:pPr>
        <w:pageBreakBefore w:val="0"/>
        <w:widowControl w:val="0"/>
        <w:kinsoku/>
        <w:wordWrap/>
        <w:overflowPunct/>
        <w:topLinePunct w:val="0"/>
        <w:autoSpaceDE/>
        <w:autoSpaceDN/>
        <w:bidi w:val="0"/>
        <w:adjustRightInd w:val="0"/>
        <w:snapToGrid w:val="0"/>
        <w:spacing w:line="576" w:lineRule="exact"/>
        <w:ind w:firstLine="803" w:firstLineChars="250"/>
        <w:textAlignment w:val="auto"/>
        <w:rPr>
          <w:rFonts w:hint="eastAsia" w:ascii="Times New Roman" w:hAnsi="Times New Roman" w:eastAsia="仿宋_GB2312" w:cs="仿宋_GB2312"/>
          <w:color w:val="auto"/>
          <w:sz w:val="32"/>
          <w:szCs w:val="32"/>
          <w:highlight w:val="none"/>
          <w:lang w:eastAsia="zh-CN"/>
        </w:rPr>
      </w:pPr>
      <w:r>
        <w:rPr>
          <w:rFonts w:hint="eastAsia" w:ascii="黑体" w:hAnsi="黑体" w:eastAsia="黑体" w:cs="黑体"/>
          <w:b/>
          <w:bCs/>
          <w:kern w:val="2"/>
          <w:sz w:val="32"/>
          <w:szCs w:val="32"/>
          <w:lang w:val="en-US" w:eastAsia="zh-CN" w:bidi="ar-SA"/>
        </w:rPr>
        <w:drawing>
          <wp:anchor distT="0" distB="0" distL="114300" distR="114300" simplePos="0" relativeHeight="251661312" behindDoc="0" locked="0" layoutInCell="1" allowOverlap="1">
            <wp:simplePos x="0" y="0"/>
            <wp:positionH relativeFrom="column">
              <wp:posOffset>106680</wp:posOffset>
            </wp:positionH>
            <wp:positionV relativeFrom="paragraph">
              <wp:posOffset>129540</wp:posOffset>
            </wp:positionV>
            <wp:extent cx="5203190" cy="1308100"/>
            <wp:effectExtent l="4445" t="4445" r="12065" b="2095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Pr>
          <w:rFonts w:hint="eastAsia" w:ascii="Times New Roman" w:hAnsi="Times New Roman" w:eastAsia="仿宋_GB2312" w:cs="仿宋_GB2312"/>
          <w:color w:val="auto"/>
          <w:sz w:val="32"/>
          <w:szCs w:val="32"/>
          <w:highlight w:val="none"/>
          <w:lang w:eastAsia="zh-CN"/>
        </w:rPr>
        <w:t>（图3：支出决算结构图）（饼状图）</w:t>
      </w:r>
    </w:p>
    <w:p w14:paraId="2F544E0F">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黑体" w:hAnsi="黑体" w:eastAsia="黑体" w:cs="黑体"/>
          <w:b/>
          <w:bCs/>
          <w:kern w:val="2"/>
          <w:sz w:val="32"/>
          <w:szCs w:val="32"/>
          <w:lang w:val="en-US" w:eastAsia="zh-CN" w:bidi="ar-SA"/>
        </w:rPr>
      </w:pPr>
      <w:bookmarkStart w:id="18" w:name="_Toc15377208"/>
      <w:bookmarkStart w:id="19" w:name="_Toc15396606"/>
      <w:r>
        <w:rPr>
          <w:rFonts w:hint="eastAsia" w:ascii="黑体" w:hAnsi="黑体" w:eastAsia="黑体" w:cs="黑体"/>
          <w:b/>
          <w:bCs/>
          <w:kern w:val="2"/>
          <w:sz w:val="32"/>
          <w:szCs w:val="32"/>
          <w:lang w:val="en-US" w:eastAsia="zh-CN" w:bidi="ar-SA"/>
        </w:rPr>
        <w:t>四、财政拨款收入支出决算总体情况说明</w:t>
      </w:r>
      <w:bookmarkEnd w:id="18"/>
      <w:bookmarkEnd w:id="19"/>
    </w:p>
    <w:p w14:paraId="0EC74993">
      <w:pPr>
        <w:pStyle w:val="3"/>
        <w:pageBreakBefore w:val="0"/>
        <w:widowControl w:val="0"/>
        <w:kinsoku/>
        <w:wordWrap/>
        <w:overflowPunct/>
        <w:topLinePunct w:val="0"/>
        <w:autoSpaceDE/>
        <w:autoSpaceDN/>
        <w:bidi w:val="0"/>
        <w:adjustRightInd w:val="0"/>
        <w:snapToGrid w:val="0"/>
        <w:spacing w:before="93" w:line="576" w:lineRule="exact"/>
        <w:ind w:firstLine="672" w:firstLineChars="21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2024年度财政拨款收入、支出总计均为200.74万元。与2023年度220.59相比，财政拨款收入总计、支出总计各减少19.85万元，下降0.99%。主要变动原因是人员变动，退休。</w:t>
      </w:r>
    </w:p>
    <w:p w14:paraId="6901B991">
      <w:pPr>
        <w:pStyle w:val="3"/>
        <w:pageBreakBefore w:val="0"/>
        <w:widowControl w:val="0"/>
        <w:kinsoku/>
        <w:wordWrap/>
        <w:overflowPunct/>
        <w:topLinePunct w:val="0"/>
        <w:autoSpaceDE/>
        <w:autoSpaceDN/>
        <w:bidi w:val="0"/>
        <w:adjustRightInd w:val="0"/>
        <w:snapToGrid w:val="0"/>
        <w:spacing w:before="93" w:line="576" w:lineRule="exact"/>
        <w:ind w:left="638" w:leftChars="304" w:firstLine="29" w:firstLineChars="9"/>
        <w:textAlignment w:val="auto"/>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drawing>
          <wp:anchor distT="0" distB="0" distL="114300" distR="114300" simplePos="0" relativeHeight="251662336" behindDoc="0" locked="0" layoutInCell="1" allowOverlap="1">
            <wp:simplePos x="0" y="0"/>
            <wp:positionH relativeFrom="column">
              <wp:posOffset>40640</wp:posOffset>
            </wp:positionH>
            <wp:positionV relativeFrom="paragraph">
              <wp:posOffset>9525</wp:posOffset>
            </wp:positionV>
            <wp:extent cx="5379720" cy="1590040"/>
            <wp:effectExtent l="4445" t="4445" r="6985" b="571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hint="eastAsia" w:ascii="仿宋_GB2312" w:hAnsi="仿宋_GB2312" w:eastAsia="仿宋_GB2312" w:cs="仿宋_GB2312"/>
          <w:bCs/>
          <w:kern w:val="2"/>
          <w:sz w:val="32"/>
          <w:szCs w:val="32"/>
          <w:lang w:val="en-US" w:eastAsia="zh-CN" w:bidi="ar-SA"/>
        </w:rPr>
        <w:t>（图4：财政拨款收、支决算总计变动情况）（柱状图）</w:t>
      </w:r>
      <w:bookmarkStart w:id="20" w:name="_Toc15377209"/>
      <w:bookmarkStart w:id="21" w:name="_Toc15396607"/>
      <w:r>
        <w:rPr>
          <w:rFonts w:hint="eastAsia" w:ascii="黑体" w:hAnsi="黑体" w:eastAsia="黑体" w:cs="黑体"/>
          <w:b/>
          <w:bCs/>
          <w:kern w:val="2"/>
          <w:sz w:val="32"/>
          <w:szCs w:val="32"/>
          <w:lang w:val="en-US" w:eastAsia="zh-CN" w:bidi="ar-SA"/>
        </w:rPr>
        <w:t>五、一般公共预算财政拨款支出决算情况说明</w:t>
      </w:r>
      <w:bookmarkEnd w:id="20"/>
      <w:bookmarkEnd w:id="21"/>
    </w:p>
    <w:p w14:paraId="5BE485B7">
      <w:pPr>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22"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2"/>
    </w:p>
    <w:p w14:paraId="45C89F31">
      <w:pPr>
        <w:keepNext w:val="0"/>
        <w:keepLines w:val="0"/>
        <w:pageBreakBefore w:val="0"/>
        <w:widowControl w:val="0"/>
        <w:kinsoku/>
        <w:wordWrap/>
        <w:overflowPunct/>
        <w:topLinePunct w:val="0"/>
        <w:autoSpaceDE/>
        <w:autoSpaceDN/>
        <w:bidi w:val="0"/>
        <w:adjustRightInd w:val="0"/>
        <w:snapToGrid w:val="0"/>
        <w:spacing w:line="576" w:lineRule="exact"/>
        <w:ind w:firstLine="641"/>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color w:val="auto"/>
          <w:kern w:val="2"/>
          <w:sz w:val="32"/>
          <w:szCs w:val="32"/>
          <w:highlight w:val="none"/>
          <w:lang w:val="en-US" w:eastAsia="zh-CN" w:bidi="ar-SA"/>
        </w:rPr>
        <w:t>2</w:t>
      </w:r>
      <w:r>
        <w:rPr>
          <w:rFonts w:hint="eastAsia" w:ascii="仿宋_GB2312" w:hAnsi="仿宋_GB2312" w:eastAsia="仿宋_GB2312" w:cs="仿宋_GB2312"/>
          <w:bCs/>
          <w:kern w:val="2"/>
          <w:sz w:val="32"/>
          <w:szCs w:val="32"/>
          <w:lang w:val="en-US" w:eastAsia="zh-CN" w:bidi="ar-SA"/>
        </w:rPr>
        <w:t>024年度一般公共预算财政拨款支出200.74万元，占本年支出合计的100%。与2023年度220.59万元相比，一般公共预算财政拨款支出减少19.85万元，下降0.99%。主要变动原因是人员变动，退休。</w:t>
      </w:r>
    </w:p>
    <w:p w14:paraId="2E6F73CB">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lang w:val="en-US" w:eastAsia="zh-CN"/>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3360" behindDoc="0" locked="0" layoutInCell="1" allowOverlap="1">
            <wp:simplePos x="0" y="0"/>
            <wp:positionH relativeFrom="column">
              <wp:posOffset>-94615</wp:posOffset>
            </wp:positionH>
            <wp:positionV relativeFrom="paragraph">
              <wp:posOffset>8890</wp:posOffset>
            </wp:positionV>
            <wp:extent cx="5922010" cy="1686560"/>
            <wp:effectExtent l="4445" t="4445" r="17145" b="2349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Pr>
          <w:rFonts w:hint="eastAsia" w:ascii="仿宋_GB2312" w:hAnsi="仿宋_GB2312" w:eastAsia="仿宋_GB2312" w:cs="仿宋_GB2312"/>
          <w:bCs/>
          <w:kern w:val="2"/>
          <w:sz w:val="32"/>
          <w:szCs w:val="32"/>
          <w:lang w:val="en-US" w:eastAsia="zh-CN" w:bidi="ar-SA"/>
        </w:rPr>
        <w:t>（图5：一般公共预算财政拨款支出决算变动情况）（柱状图）</w:t>
      </w:r>
    </w:p>
    <w:p w14:paraId="3AB08D3A">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23"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3"/>
    </w:p>
    <w:p w14:paraId="45CB60F0">
      <w:pPr>
        <w:keepNext w:val="0"/>
        <w:keepLines w:val="0"/>
        <w:pageBreakBefore w:val="0"/>
        <w:widowControl w:val="0"/>
        <w:kinsoku/>
        <w:wordWrap/>
        <w:overflowPunct/>
        <w:topLinePunct w:val="0"/>
        <w:autoSpaceDE/>
        <w:autoSpaceDN/>
        <w:bidi w:val="0"/>
        <w:adjustRightInd w:val="0"/>
        <w:snapToGrid w:val="0"/>
        <w:spacing w:line="576" w:lineRule="exact"/>
        <w:ind w:firstLine="640"/>
        <w:textAlignment w:val="auto"/>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200.74</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w:t>
      </w:r>
      <w:r>
        <w:rPr>
          <w:rFonts w:hint="eastAsia" w:ascii="仿宋_GB2312" w:hAnsi="仿宋_GB2312" w:eastAsia="仿宋_GB2312" w:cs="仿宋_GB2312"/>
          <w:bCs/>
          <w:kern w:val="2"/>
          <w:sz w:val="32"/>
          <w:szCs w:val="32"/>
          <w:lang w:val="en-US" w:eastAsia="zh-CN" w:bidi="ar-SA"/>
        </w:rPr>
        <w:t>要用于以下方面：一般公共服务支出**万元，占**%；教育支出**万元，占**%；科学技术支出**万元，占**%；文化旅游体育与传媒支出**万元，占**%；社会保障和就业支出25.02万元，占12.46%；卫生健康支出160.05万元，占79.73%；住房保障支出15.68万元，占7.81%；</w:t>
      </w: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（注：仅罗列本部门涉及的全部功能分类科目，至类级）</w:t>
      </w:r>
    </w:p>
    <w:p w14:paraId="00BB9D4D">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4384" behindDoc="0" locked="0" layoutInCell="1" allowOverlap="1">
            <wp:simplePos x="0" y="0"/>
            <wp:positionH relativeFrom="column">
              <wp:posOffset>83820</wp:posOffset>
            </wp:positionH>
            <wp:positionV relativeFrom="paragraph">
              <wp:posOffset>20955</wp:posOffset>
            </wp:positionV>
            <wp:extent cx="5467350" cy="1588770"/>
            <wp:effectExtent l="4445" t="4445" r="14605" b="6985"/>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14:paraId="0295ECDA">
      <w:pPr>
        <w:keepNext w:val="0"/>
        <w:keepLines w:val="0"/>
        <w:pageBreakBefore w:val="0"/>
        <w:widowControl w:val="0"/>
        <w:kinsoku/>
        <w:wordWrap/>
        <w:overflowPunct/>
        <w:topLinePunct w:val="0"/>
        <w:autoSpaceDE/>
        <w:autoSpaceDN/>
        <w:bidi w:val="0"/>
        <w:adjustRightInd w:val="0"/>
        <w:snapToGrid w:val="0"/>
        <w:spacing w:line="576" w:lineRule="exac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24"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24"/>
    </w:p>
    <w:p w14:paraId="026D2B72">
      <w:pPr>
        <w:pStyle w:val="3"/>
        <w:keepNext w:val="0"/>
        <w:keepLines w:val="0"/>
        <w:pageBreakBefore w:val="0"/>
        <w:widowControl w:val="0"/>
        <w:kinsoku/>
        <w:wordWrap/>
        <w:overflowPunct/>
        <w:topLinePunct w:val="0"/>
        <w:autoSpaceDE/>
        <w:autoSpaceDN/>
        <w:bidi w:val="0"/>
        <w:adjustRightInd w:val="0"/>
        <w:snapToGrid w:val="0"/>
        <w:spacing w:beforeLines="0" w:afterAutospacing="0" w:line="576" w:lineRule="atLeast"/>
        <w:ind w:firstLine="672" w:firstLineChars="210"/>
        <w:textAlignment w:val="auto"/>
        <w:rPr>
          <w:rFonts w:hint="eastAsia" w:ascii="仿宋_GB2312" w:hAnsi="仿宋_GB2312" w:eastAsia="仿宋_GB2312" w:cs="仿宋_GB2312"/>
          <w:bCs/>
          <w:kern w:val="2"/>
          <w:sz w:val="32"/>
          <w:szCs w:val="32"/>
          <w:lang w:val="en-US" w:eastAsia="zh-CN" w:bidi="ar-SA"/>
        </w:rPr>
      </w:pPr>
      <w:bookmarkStart w:id="25" w:name="_Toc15378460"/>
      <w:bookmarkStart w:id="26" w:name="_Toc15377213"/>
      <w:bookmarkStart w:id="27" w:name="_Toc15377444"/>
      <w:r>
        <w:rPr>
          <w:rFonts w:hint="eastAsia" w:ascii="Times New Roman" w:hAnsi="Times New Roman" w:eastAsia="仿宋_GB2312" w:cs="仿宋_GB2312"/>
          <w:color w:val="auto"/>
          <w:kern w:val="2"/>
          <w:sz w:val="32"/>
          <w:szCs w:val="32"/>
          <w:highlight w:val="none"/>
          <w:lang w:val="en-US" w:eastAsia="zh-CN" w:bidi="ar-SA"/>
        </w:rPr>
        <w:t>2</w:t>
      </w:r>
      <w:r>
        <w:rPr>
          <w:rFonts w:hint="eastAsia" w:ascii="仿宋_GB2312" w:hAnsi="仿宋_GB2312" w:eastAsia="仿宋_GB2312" w:cs="仿宋_GB2312"/>
          <w:bCs/>
          <w:kern w:val="2"/>
          <w:sz w:val="32"/>
          <w:szCs w:val="32"/>
          <w:lang w:val="en-US" w:eastAsia="zh-CN" w:bidi="ar-SA"/>
        </w:rPr>
        <w:t>024年度一般公共预算财政拨款支出决算数为200.74，完成预算100%。其中：</w:t>
      </w:r>
      <w:bookmarkEnd w:id="25"/>
      <w:bookmarkEnd w:id="26"/>
      <w:bookmarkEnd w:id="27"/>
    </w:p>
    <w:p w14:paraId="3213BF01">
      <w:pPr>
        <w:pStyle w:val="3"/>
        <w:keepNext w:val="0"/>
        <w:keepLines w:val="0"/>
        <w:pageBreakBefore w:val="0"/>
        <w:widowControl w:val="0"/>
        <w:kinsoku/>
        <w:wordWrap/>
        <w:overflowPunct/>
        <w:topLinePunct w:val="0"/>
        <w:autoSpaceDE/>
        <w:autoSpaceDN/>
        <w:bidi w:val="0"/>
        <w:adjustRightInd w:val="0"/>
        <w:snapToGrid w:val="0"/>
        <w:spacing w:beforeLines="0" w:afterAutospacing="0" w:line="576" w:lineRule="atLeast"/>
        <w:ind w:firstLine="672" w:firstLineChars="21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1.社会保障和就业支出（208）行政事业单位养老支出（05）机关事业单位基本养老保险缴费支出（05）:支出决算25.02万元，完成预算100%。</w:t>
      </w:r>
      <w:r>
        <w:rPr>
          <w:rFonts w:hint="eastAsia" w:ascii="仿宋_GB2312" w:hAnsi="仿宋_GB2312" w:eastAsia="仿宋_GB2312" w:cs="仿宋_GB2312"/>
          <w:bCs/>
          <w:kern w:val="2"/>
          <w:sz w:val="32"/>
          <w:szCs w:val="32"/>
          <w:lang w:val="en-US" w:eastAsia="zh-CN" w:bidi="ar-SA"/>
        </w:rPr>
        <w:br w:type="textWrapping"/>
      </w:r>
      <w:r>
        <w:rPr>
          <w:rFonts w:hint="eastAsia" w:ascii="仿宋_GB2312" w:hAnsi="仿宋_GB2312" w:eastAsia="仿宋_GB2312" w:cs="仿宋_GB2312"/>
          <w:bCs/>
          <w:kern w:val="2"/>
          <w:sz w:val="32"/>
          <w:szCs w:val="32"/>
          <w:lang w:val="en-US" w:eastAsia="zh-CN" w:bidi="ar-SA"/>
        </w:rPr>
        <w:t xml:space="preserve">    2.社会保障和就业支出（208）行政事业单位养老支出（05）机关事业单位职业年金缴费支出（06）:支出决算8.34万元，完成预算100%。</w:t>
      </w:r>
    </w:p>
    <w:p w14:paraId="3F8F763D">
      <w:pPr>
        <w:pStyle w:val="3"/>
        <w:keepNext w:val="0"/>
        <w:keepLines w:val="0"/>
        <w:pageBreakBefore w:val="0"/>
        <w:widowControl w:val="0"/>
        <w:kinsoku/>
        <w:wordWrap/>
        <w:overflowPunct/>
        <w:topLinePunct w:val="0"/>
        <w:autoSpaceDE/>
        <w:autoSpaceDN/>
        <w:bidi w:val="0"/>
        <w:adjustRightInd w:val="0"/>
        <w:snapToGrid w:val="0"/>
        <w:spacing w:beforeLines="0" w:afterAutospacing="0" w:line="576" w:lineRule="atLeast"/>
        <w:ind w:firstLine="672" w:firstLineChars="21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3.卫生健康支出（210）公共卫生（03）基层医疗机构卫生（02）:支出决算142.13万元，完成预算100%。</w:t>
      </w:r>
    </w:p>
    <w:p w14:paraId="61B07554">
      <w:pPr>
        <w:pStyle w:val="3"/>
        <w:keepNext w:val="0"/>
        <w:keepLines w:val="0"/>
        <w:pageBreakBefore w:val="0"/>
        <w:widowControl w:val="0"/>
        <w:kinsoku/>
        <w:wordWrap/>
        <w:overflowPunct/>
        <w:topLinePunct w:val="0"/>
        <w:autoSpaceDE/>
        <w:autoSpaceDN/>
        <w:bidi w:val="0"/>
        <w:adjustRightInd w:val="0"/>
        <w:snapToGrid w:val="0"/>
        <w:spacing w:beforeLines="0" w:afterAutospacing="0" w:line="576" w:lineRule="atLeast"/>
        <w:ind w:firstLine="672" w:firstLineChars="21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4.卫生健康支出（210）其他卫生健康支出（03）其他卫生健康支出（99）:支出决算5.22万元，完成预算100%。</w:t>
      </w:r>
    </w:p>
    <w:p w14:paraId="769748DE">
      <w:pPr>
        <w:pStyle w:val="3"/>
        <w:keepNext w:val="0"/>
        <w:keepLines w:val="0"/>
        <w:pageBreakBefore w:val="0"/>
        <w:widowControl w:val="0"/>
        <w:kinsoku/>
        <w:wordWrap/>
        <w:overflowPunct/>
        <w:topLinePunct w:val="0"/>
        <w:autoSpaceDE/>
        <w:autoSpaceDN/>
        <w:bidi w:val="0"/>
        <w:adjustRightInd w:val="0"/>
        <w:snapToGrid w:val="0"/>
        <w:spacing w:beforeLines="0" w:afterAutospacing="0" w:line="576" w:lineRule="atLeast"/>
        <w:ind w:firstLine="672" w:firstLineChars="21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5.卫生健康支出（210）公共卫生（04）基本公共卫生服务（08）:支出决算1.48万元，完成预算100%。</w:t>
      </w:r>
    </w:p>
    <w:p w14:paraId="048A24E6">
      <w:pPr>
        <w:pStyle w:val="3"/>
        <w:keepNext w:val="0"/>
        <w:keepLines w:val="0"/>
        <w:pageBreakBefore w:val="0"/>
        <w:widowControl w:val="0"/>
        <w:kinsoku/>
        <w:wordWrap/>
        <w:overflowPunct/>
        <w:topLinePunct w:val="0"/>
        <w:autoSpaceDE/>
        <w:autoSpaceDN/>
        <w:bidi w:val="0"/>
        <w:adjustRightInd w:val="0"/>
        <w:snapToGrid w:val="0"/>
        <w:spacing w:beforeLines="0" w:afterAutospacing="0" w:line="576" w:lineRule="atLeast"/>
        <w:ind w:firstLine="672" w:firstLineChars="21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6.卫生健康支出（210）行政事业单位医疗（11）事业单位医疗（02）:支出决算9.45万元，完成预算100%。</w:t>
      </w:r>
    </w:p>
    <w:p w14:paraId="115AE3D7">
      <w:pPr>
        <w:pStyle w:val="3"/>
        <w:keepNext w:val="0"/>
        <w:keepLines w:val="0"/>
        <w:pageBreakBefore w:val="0"/>
        <w:widowControl w:val="0"/>
        <w:kinsoku/>
        <w:wordWrap/>
        <w:overflowPunct/>
        <w:topLinePunct w:val="0"/>
        <w:autoSpaceDE/>
        <w:autoSpaceDN/>
        <w:bidi w:val="0"/>
        <w:adjustRightInd w:val="0"/>
        <w:snapToGrid w:val="0"/>
        <w:spacing w:beforeLines="0" w:afterAutospacing="0" w:line="576" w:lineRule="atLeast"/>
        <w:ind w:firstLine="672" w:firstLineChars="21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7.卫生健康支出（210）其他卫生健康支出（11）其他卫生健康支出（99）:支出决算1.77万元，完成预算100%。</w:t>
      </w:r>
    </w:p>
    <w:p w14:paraId="4FB074F2">
      <w:pPr>
        <w:pStyle w:val="3"/>
        <w:keepNext w:val="0"/>
        <w:keepLines w:val="0"/>
        <w:pageBreakBefore w:val="0"/>
        <w:widowControl w:val="0"/>
        <w:kinsoku/>
        <w:wordWrap/>
        <w:overflowPunct/>
        <w:topLinePunct w:val="0"/>
        <w:autoSpaceDE/>
        <w:autoSpaceDN/>
        <w:bidi w:val="0"/>
        <w:adjustRightInd w:val="0"/>
        <w:snapToGrid w:val="0"/>
        <w:spacing w:beforeLines="0" w:afterAutospacing="0" w:line="576" w:lineRule="atLeast"/>
        <w:ind w:firstLine="672" w:firstLineChars="21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8.住房保障支出（221）住房改革支出（02）住房公积金（01）:支出决算15.68万元，完成预算100%。</w:t>
      </w:r>
    </w:p>
    <w:p w14:paraId="2C499BE2">
      <w:pPr>
        <w:pageBreakBefore w:val="0"/>
        <w:kinsoku/>
        <w:wordWrap/>
        <w:overflowPunct/>
        <w:topLinePunct w:val="0"/>
        <w:autoSpaceDE/>
        <w:autoSpaceDN/>
        <w:bidi w:val="0"/>
        <w:adjustRightInd w:val="0"/>
        <w:snapToGrid w:val="0"/>
        <w:spacing w:afterAutospacing="0" w:line="576"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（注：仅罗列本部门涉及的全部功能分类科目，至项级。上述“预算”口径为全年预算数。增减变动原因为决算数&lt;项级&gt;和全年预算数&lt;项级&gt;比较，与预算数持平可以不写原因）</w:t>
      </w:r>
    </w:p>
    <w:p w14:paraId="7671046E">
      <w:pPr>
        <w:keepNext w:val="0"/>
        <w:keepLines w:val="0"/>
        <w:pageBreakBefore w:val="0"/>
        <w:widowControl w:val="0"/>
        <w:tabs>
          <w:tab w:val="right" w:pos="8306"/>
        </w:tabs>
        <w:kinsoku/>
        <w:wordWrap/>
        <w:overflowPunct/>
        <w:topLinePunct w:val="0"/>
        <w:autoSpaceDE/>
        <w:autoSpaceDN/>
        <w:bidi w:val="0"/>
        <w:adjustRightInd w:val="0"/>
        <w:snapToGrid w:val="0"/>
        <w:spacing w:afterAutospacing="0" w:line="576" w:lineRule="atLeast"/>
        <w:ind w:firstLine="641"/>
        <w:textAlignment w:val="auto"/>
        <w:outlineLvl w:val="1"/>
        <w:rPr>
          <w:rStyle w:val="31"/>
          <w:rFonts w:ascii="Times New Roman" w:hAnsi="Times New Roman"/>
          <w:color w:val="auto"/>
          <w:highlight w:val="none"/>
        </w:rPr>
      </w:pPr>
      <w:bookmarkStart w:id="28" w:name="_Toc15377214"/>
      <w:bookmarkStart w:id="29" w:name="_Toc15396608"/>
      <w:r>
        <w:rPr>
          <w:rFonts w:hint="eastAsia" w:ascii="黑体" w:hAnsi="黑体" w:eastAsia="黑体" w:cs="黑体"/>
          <w:b/>
          <w:bCs/>
          <w:kern w:val="2"/>
          <w:sz w:val="32"/>
          <w:szCs w:val="32"/>
          <w:lang w:val="en-US" w:eastAsia="zh-CN" w:bidi="ar-SA"/>
        </w:rPr>
        <w:t>六、一般公共预算财政拨款基本支出决算情况说明</w:t>
      </w:r>
      <w:bookmarkEnd w:id="28"/>
      <w:bookmarkEnd w:id="29"/>
      <w:r>
        <w:rPr>
          <w:rFonts w:hint="eastAsia" w:ascii="黑体" w:hAnsi="黑体" w:eastAsia="黑体" w:cs="黑体"/>
          <w:b/>
          <w:bCs/>
          <w:kern w:val="2"/>
          <w:sz w:val="32"/>
          <w:szCs w:val="32"/>
          <w:lang w:val="en-US" w:eastAsia="zh-CN" w:bidi="ar-SA"/>
        </w:rPr>
        <w:tab/>
      </w:r>
    </w:p>
    <w:p w14:paraId="7AA03EB4">
      <w:pPr>
        <w:pStyle w:val="3"/>
        <w:pageBreakBefore w:val="0"/>
        <w:kinsoku/>
        <w:wordWrap/>
        <w:overflowPunct/>
        <w:topLinePunct w:val="0"/>
        <w:autoSpaceDE/>
        <w:autoSpaceDN/>
        <w:bidi w:val="0"/>
        <w:adjustRightInd w:val="0"/>
        <w:snapToGrid w:val="0"/>
        <w:spacing w:beforeLines="0" w:afterAutospacing="0" w:line="576" w:lineRule="atLeast"/>
        <w:ind w:firstLine="672" w:firstLineChars="21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2024年度一般公共预算财政拨款基本支出192.83万元，其中：</w:t>
      </w:r>
    </w:p>
    <w:p w14:paraId="62392FB6">
      <w:pPr>
        <w:pStyle w:val="3"/>
        <w:pageBreakBefore w:val="0"/>
        <w:kinsoku/>
        <w:wordWrap/>
        <w:overflowPunct/>
        <w:topLinePunct w:val="0"/>
        <w:autoSpaceDE/>
        <w:autoSpaceDN/>
        <w:bidi w:val="0"/>
        <w:adjustRightInd w:val="0"/>
        <w:snapToGrid w:val="0"/>
        <w:spacing w:beforeLines="0" w:afterAutospacing="0" w:line="576" w:lineRule="atLeast"/>
        <w:ind w:firstLine="672" w:firstLineChars="21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人员经费191.34万元，主要包括：基本工资28.28万元、津贴补贴44.22万元、奖金39.05万元、绩效工资24.73万元、机关事业单位基本养老保险缴费16.68万元、职业年金缴费8.34万元、职工基本医疗保险缴费9.45万元、公务员医疗补助缴费1.77万元、其他社会保障缴费2.47万元、住房公积金15.68万元、医疗费0.68万元。</w:t>
      </w:r>
    </w:p>
    <w:p w14:paraId="741FCF54">
      <w:pPr>
        <w:pStyle w:val="3"/>
        <w:pageBreakBefore w:val="0"/>
        <w:kinsoku/>
        <w:wordWrap/>
        <w:overflowPunct/>
        <w:topLinePunct w:val="0"/>
        <w:autoSpaceDE/>
        <w:autoSpaceDN/>
        <w:bidi w:val="0"/>
        <w:adjustRightInd w:val="0"/>
        <w:snapToGrid w:val="0"/>
        <w:spacing w:beforeLines="0" w:afterAutospacing="0" w:line="576" w:lineRule="atLeast"/>
        <w:ind w:firstLine="672" w:firstLineChars="21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公用经费1.5万元，主要包括：工会经费1.5万元。</w:t>
      </w:r>
    </w:p>
    <w:p w14:paraId="23691600">
      <w:pPr>
        <w:pageBreakBefore w:val="0"/>
        <w:kinsoku/>
        <w:wordWrap/>
        <w:overflowPunct/>
        <w:topLinePunct w:val="0"/>
        <w:autoSpaceDE/>
        <w:autoSpaceDN/>
        <w:bidi w:val="0"/>
        <w:adjustRightInd w:val="0"/>
        <w:snapToGrid w:val="0"/>
        <w:spacing w:afterAutospacing="0" w:line="576"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（注：仅罗列本部门实际支出涉及的经济分类科目）</w:t>
      </w:r>
    </w:p>
    <w:p w14:paraId="4EB176F9">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afterAutospacing="0" w:line="576" w:lineRule="atLeast"/>
        <w:ind w:firstLine="643" w:firstLineChars="200"/>
        <w:textAlignment w:val="auto"/>
        <w:rPr>
          <w:rFonts w:hint="eastAsia" w:ascii="黑体" w:hAnsi="黑体" w:eastAsia="黑体" w:cs="黑体"/>
          <w:b/>
          <w:bCs/>
          <w:kern w:val="2"/>
          <w:sz w:val="32"/>
          <w:szCs w:val="32"/>
          <w:lang w:val="en-US" w:eastAsia="zh-CN" w:bidi="ar-SA"/>
        </w:rPr>
      </w:pPr>
      <w:bookmarkStart w:id="30" w:name="_Toc15396609"/>
      <w:bookmarkStart w:id="31" w:name="_Toc15377215"/>
      <w:r>
        <w:rPr>
          <w:rFonts w:hint="eastAsia" w:ascii="黑体" w:hAnsi="黑体" w:eastAsia="黑体" w:cs="黑体"/>
          <w:b/>
          <w:bCs/>
          <w:kern w:val="2"/>
          <w:sz w:val="32"/>
          <w:szCs w:val="32"/>
          <w:lang w:val="en-US" w:eastAsia="zh-CN" w:bidi="ar-SA"/>
        </w:rPr>
        <w:t>七、财政拨款“三公”经费支出决算情况说明</w:t>
      </w:r>
      <w:bookmarkEnd w:id="30"/>
      <w:bookmarkEnd w:id="31"/>
    </w:p>
    <w:p w14:paraId="0E85BED2">
      <w:pPr>
        <w:pageBreakBefore w:val="0"/>
        <w:kinsoku/>
        <w:wordWrap/>
        <w:overflowPunct/>
        <w:topLinePunct w:val="0"/>
        <w:autoSpaceDE/>
        <w:autoSpaceDN/>
        <w:bidi w:val="0"/>
        <w:adjustRightInd w:val="0"/>
        <w:snapToGrid w:val="0"/>
        <w:spacing w:afterAutospacing="0" w:line="576" w:lineRule="atLeas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32"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2"/>
    </w:p>
    <w:p w14:paraId="56CC1504">
      <w:pPr>
        <w:pageBreakBefore w:val="0"/>
        <w:kinsoku/>
        <w:wordWrap/>
        <w:overflowPunct/>
        <w:topLinePunct w:val="0"/>
        <w:autoSpaceDE/>
        <w:autoSpaceDN/>
        <w:bidi w:val="0"/>
        <w:adjustRightInd w:val="0"/>
        <w:snapToGrid w:val="0"/>
        <w:spacing w:afterAutospacing="0" w:line="576" w:lineRule="atLeast"/>
        <w:ind w:firstLine="640"/>
        <w:textAlignment w:val="auto"/>
        <w:rPr>
          <w:rFonts w:hint="eastAsia" w:ascii="仿宋_GB2312" w:hAnsi="仿宋_GB2312" w:eastAsia="仿宋_GB2312" w:cs="仿宋_GB2312"/>
          <w:bCs/>
          <w:kern w:val="2"/>
          <w:sz w:val="32"/>
          <w:szCs w:val="32"/>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w:t>
      </w:r>
      <w:r>
        <w:rPr>
          <w:rFonts w:hint="eastAsia" w:ascii="仿宋_GB2312" w:hAnsi="仿宋_GB2312" w:eastAsia="仿宋_GB2312" w:cs="仿宋_GB2312"/>
          <w:bCs/>
          <w:kern w:val="2"/>
          <w:sz w:val="32"/>
          <w:szCs w:val="32"/>
          <w:lang w:val="en-US" w:eastAsia="zh-CN" w:bidi="ar-SA"/>
        </w:rPr>
        <w:t>024年度“三公”经费财政拨款支出决算为2.6万元，完成预算100%，决算数小于预算数（或与预算数持平）的主要原因是救护车发生公务用车购置及运行维护费。</w:t>
      </w:r>
    </w:p>
    <w:p w14:paraId="31D9CF6B">
      <w:pPr>
        <w:pageBreakBefore w:val="0"/>
        <w:kinsoku/>
        <w:wordWrap/>
        <w:overflowPunct/>
        <w:topLinePunct w:val="0"/>
        <w:autoSpaceDE/>
        <w:autoSpaceDN/>
        <w:bidi w:val="0"/>
        <w:adjustRightInd w:val="0"/>
        <w:snapToGrid w:val="0"/>
        <w:spacing w:afterAutospacing="0" w:line="576" w:lineRule="atLeast"/>
        <w:ind w:firstLine="640"/>
        <w:textAlignment w:val="auto"/>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（注：上述“预算”口径为全年预算数，包括一般公共预算和政府性基金预算财政拨款支出决算情况）</w:t>
      </w:r>
      <w:bookmarkStart w:id="33" w:name="_Toc15377217"/>
    </w:p>
    <w:p w14:paraId="01CDB52B">
      <w:pPr>
        <w:pageBreakBefore w:val="0"/>
        <w:kinsoku/>
        <w:wordWrap/>
        <w:overflowPunct/>
        <w:topLinePunct w:val="0"/>
        <w:autoSpaceDE/>
        <w:autoSpaceDN/>
        <w:bidi w:val="0"/>
        <w:adjustRightInd w:val="0"/>
        <w:snapToGrid w:val="0"/>
        <w:spacing w:afterAutospacing="0" w:line="576" w:lineRule="atLeast"/>
        <w:ind w:firstLine="640"/>
        <w:textAlignment w:val="auto"/>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（二）“三公”经费财政拨款支出决算具体情况说明</w:t>
      </w:r>
      <w:bookmarkEnd w:id="33"/>
    </w:p>
    <w:p w14:paraId="273B95AA">
      <w:pPr>
        <w:pageBreakBefore w:val="0"/>
        <w:kinsoku/>
        <w:wordWrap/>
        <w:overflowPunct/>
        <w:topLinePunct w:val="0"/>
        <w:autoSpaceDE/>
        <w:autoSpaceDN/>
        <w:bidi w:val="0"/>
        <w:adjustRightInd w:val="0"/>
        <w:snapToGrid w:val="0"/>
        <w:spacing w:afterAutospacing="0" w:line="576" w:lineRule="atLeast"/>
        <w:ind w:firstLine="64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2024年度“三公”经费财政拨款支出决算中，因公出国（境）费支出决算0万元，占**%；公务用车购置及运行维护费支出决算2.6万元，占100%；公务接待费支出决算0万元，占**%。具体情况如下：</w:t>
      </w:r>
    </w:p>
    <w:p w14:paraId="2A4A096B">
      <w:pPr>
        <w:pStyle w:val="3"/>
        <w:pageBreakBefore w:val="0"/>
        <w:kinsoku/>
        <w:wordWrap/>
        <w:overflowPunct/>
        <w:topLinePunct w:val="0"/>
        <w:autoSpaceDE/>
        <w:autoSpaceDN/>
        <w:bidi w:val="0"/>
        <w:adjustRightInd w:val="0"/>
        <w:snapToGrid w:val="0"/>
        <w:spacing w:beforeLines="0" w:afterAutospacing="0" w:line="576" w:lineRule="atLeast"/>
        <w:ind w:firstLine="672" w:firstLineChars="21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（图7：“三公”经费财政拨款支出结构）（饼状图）</w:t>
      </w:r>
    </w:p>
    <w:p w14:paraId="7E2F8055">
      <w:pPr>
        <w:pageBreakBefore w:val="0"/>
        <w:kinsoku/>
        <w:wordWrap/>
        <w:overflowPunct/>
        <w:topLinePunct w:val="0"/>
        <w:autoSpaceDE/>
        <w:autoSpaceDN/>
        <w:bidi w:val="0"/>
        <w:adjustRightInd w:val="0"/>
        <w:snapToGrid w:val="0"/>
        <w:spacing w:afterAutospacing="0" w:line="576"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1.因公出国（境）经费支出**万元，完成预算**%。</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。因公出国（境）支出决算比2023年增加/减少**万元，增长/下降**%。主要原因是……</w:t>
      </w:r>
    </w:p>
    <w:p w14:paraId="72FD856C">
      <w:pPr>
        <w:pageBreakBefore w:val="0"/>
        <w:kinsoku/>
        <w:wordWrap/>
        <w:overflowPunct/>
        <w:topLinePunct w:val="0"/>
        <w:autoSpaceDE/>
        <w:autoSpaceDN/>
        <w:bidi w:val="0"/>
        <w:adjustRightInd w:val="0"/>
        <w:snapToGrid w:val="0"/>
        <w:spacing w:afterAutospacing="0" w:line="576"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开支内容包括：……（团组名称、出访地点、取得成效等）</w:t>
      </w:r>
    </w:p>
    <w:p w14:paraId="4CFC7CAC">
      <w:pPr>
        <w:pageBreakBefore w:val="0"/>
        <w:kinsoku/>
        <w:wordWrap/>
        <w:overflowPunct/>
        <w:topLinePunct w:val="0"/>
        <w:autoSpaceDE/>
        <w:autoSpaceDN/>
        <w:bidi w:val="0"/>
        <w:adjustRightInd w:val="0"/>
        <w:snapToGrid w:val="0"/>
        <w:spacing w:afterAutospacing="0" w:line="576"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2.6万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公务用车购置及运行维护费支出决算比2023年度增。主要原因是</w:t>
      </w:r>
      <w:r>
        <w:rPr>
          <w:rFonts w:hint="eastAsia" w:eastAsia="仿宋_GB2312" w:cs="仿宋_GB2312"/>
          <w:color w:val="auto"/>
          <w:kern w:val="2"/>
          <w:sz w:val="32"/>
          <w:szCs w:val="32"/>
          <w:highlight w:val="none"/>
          <w:lang w:val="en-US" w:eastAsia="zh-CN" w:bidi="ar-SA"/>
        </w:rPr>
        <w:t>发生</w:t>
      </w:r>
      <w:r>
        <w:rPr>
          <w:rFonts w:hint="eastAsia" w:ascii="Times New Roman" w:hAnsi="Times New Roman" w:eastAsia="仿宋_GB2312" w:cs="仿宋_GB2312"/>
          <w:color w:val="auto"/>
          <w:kern w:val="2"/>
          <w:sz w:val="32"/>
          <w:szCs w:val="32"/>
          <w:highlight w:val="none"/>
          <w:lang w:val="en-US" w:eastAsia="zh-CN" w:bidi="ar-SA"/>
        </w:rPr>
        <w:t>公务用车购置及运行维护费。</w:t>
      </w:r>
    </w:p>
    <w:p w14:paraId="76607236">
      <w:pPr>
        <w:pageBreakBefore w:val="0"/>
        <w:kinsoku/>
        <w:wordWrap/>
        <w:overflowPunct/>
        <w:topLinePunct w:val="0"/>
        <w:autoSpaceDE/>
        <w:autoSpaceDN/>
        <w:bidi w:val="0"/>
        <w:adjustRightInd w:val="0"/>
        <w:snapToGrid w:val="0"/>
        <w:spacing w:afterAutospacing="0" w:line="576"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辆，其中：轿车**辆、金额**万元，越野车**辆、金额**万元，载客汽车**辆、金额**万元，主要用于……。截至2024年12月31日，单位共有公务用车**辆，其中：轿车**辆、越野车**辆、载客汽车**辆。</w:t>
      </w:r>
    </w:p>
    <w:p w14:paraId="293A9822">
      <w:pPr>
        <w:pageBreakBefore w:val="0"/>
        <w:kinsoku/>
        <w:wordWrap/>
        <w:overflowPunct/>
        <w:topLinePunct w:val="0"/>
        <w:autoSpaceDE/>
        <w:autoSpaceDN/>
        <w:bidi w:val="0"/>
        <w:adjustRightInd w:val="0"/>
        <w:snapToGrid w:val="0"/>
        <w:spacing w:afterAutospacing="0" w:line="576"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2.6</w:t>
      </w:r>
      <w:r>
        <w:rPr>
          <w:rFonts w:hint="eastAsia" w:ascii="Times New Roman" w:hAnsi="Times New Roman" w:eastAsia="仿宋_GB2312" w:cs="仿宋_GB2312"/>
          <w:color w:val="auto"/>
          <w:kern w:val="2"/>
          <w:sz w:val="32"/>
          <w:szCs w:val="32"/>
          <w:highlight w:val="none"/>
          <w:lang w:val="en-US" w:eastAsia="zh-CN" w:bidi="ar-SA"/>
        </w:rPr>
        <w:t>万元。主要用于所需的公务用车燃料费、维修费、过路过桥费、保险费等支出。</w:t>
      </w:r>
    </w:p>
    <w:p w14:paraId="78F487E2">
      <w:pPr>
        <w:pageBreakBefore w:val="0"/>
        <w:kinsoku/>
        <w:wordWrap/>
        <w:overflowPunct/>
        <w:topLinePunct w:val="0"/>
        <w:autoSpaceDE/>
        <w:autoSpaceDN/>
        <w:bidi w:val="0"/>
        <w:adjustRightInd w:val="0"/>
        <w:snapToGrid w:val="0"/>
        <w:spacing w:afterAutospacing="0" w:line="576"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ascii="Times New Roman" w:hAnsi="Times New Roman" w:eastAsia="仿宋_GB2312" w:cs="仿宋_GB2312"/>
          <w:color w:val="auto"/>
          <w:kern w:val="2"/>
          <w:sz w:val="32"/>
          <w:szCs w:val="32"/>
          <w:highlight w:val="none"/>
          <w:lang w:val="en-US" w:eastAsia="zh-CN" w:bidi="ar-SA"/>
        </w:rPr>
        <w:t>公务接待费支出决算比2023年度增加/减少**万元，增长/下降**%。主要原因是……。其中：</w:t>
      </w:r>
    </w:p>
    <w:p w14:paraId="4E5BBCF5">
      <w:pPr>
        <w:pageBreakBefore w:val="0"/>
        <w:kinsoku/>
        <w:wordWrap/>
        <w:overflowPunct/>
        <w:topLinePunct w:val="0"/>
        <w:autoSpaceDE/>
        <w:autoSpaceDN/>
        <w:bidi w:val="0"/>
        <w:adjustRightInd w:val="0"/>
        <w:snapToGrid w:val="0"/>
        <w:spacing w:afterAutospacing="0" w:line="576"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元，主要用于……(执行公务、开展业务活动开支的交通费、住宿费、用餐费等)。国内公务接</w:t>
      </w:r>
      <w:r>
        <w:rPr>
          <w:rFonts w:hint="eastAsia" w:ascii="仿宋_GB2312" w:hAnsi="仿宋_GB2312" w:eastAsia="仿宋_GB2312" w:cs="仿宋_GB2312"/>
          <w:color w:val="auto"/>
          <w:kern w:val="2"/>
          <w:sz w:val="32"/>
          <w:szCs w:val="32"/>
          <w:highlight w:val="none"/>
          <w:lang w:val="en-US" w:eastAsia="zh-CN" w:bidi="ar-SA"/>
        </w:rPr>
        <w:t>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人次（不包括陪同人员），共计支出**万元，具体内容包括：……（接待具体项目、金额）。</w:t>
      </w:r>
    </w:p>
    <w:p w14:paraId="2BA711E6">
      <w:pPr>
        <w:pageBreakBefore w:val="0"/>
        <w:kinsoku/>
        <w:wordWrap/>
        <w:overflowPunct/>
        <w:topLinePunct w:val="0"/>
        <w:autoSpaceDE/>
        <w:autoSpaceDN/>
        <w:bidi w:val="0"/>
        <w:adjustRightInd w:val="0"/>
        <w:snapToGrid w:val="0"/>
        <w:spacing w:afterAutospacing="0" w:line="576"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万元，主要用于……（具体项目）。外事接待</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批次，</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人次（不包括陪同人员），共计支出**万</w:t>
      </w:r>
      <w:r>
        <w:rPr>
          <w:rFonts w:hint="eastAsia" w:ascii="Times New Roman" w:hAnsi="Times New Roman" w:eastAsia="仿宋_GB2312" w:cs="仿宋_GB2312"/>
          <w:color w:val="auto"/>
          <w:kern w:val="2"/>
          <w:sz w:val="32"/>
          <w:szCs w:val="32"/>
          <w:highlight w:val="none"/>
          <w:lang w:val="en-US" w:eastAsia="zh-CN" w:bidi="ar-SA"/>
        </w:rPr>
        <w:t>元。</w:t>
      </w:r>
      <w:bookmarkStart w:id="34" w:name="_Toc15377218"/>
      <w:bookmarkStart w:id="35" w:name="_Toc15396610"/>
    </w:p>
    <w:p w14:paraId="0AC90350">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afterAutospacing="0" w:line="576" w:lineRule="atLeast"/>
        <w:ind w:firstLine="643" w:firstLineChars="200"/>
        <w:textAlignment w:val="auto"/>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八、政府性基金预算支出决算情况说明</w:t>
      </w:r>
      <w:bookmarkEnd w:id="34"/>
      <w:bookmarkEnd w:id="35"/>
    </w:p>
    <w:p w14:paraId="561D5AA9">
      <w:pPr>
        <w:pageBreakBefore w:val="0"/>
        <w:kinsoku/>
        <w:wordWrap/>
        <w:overflowPunct/>
        <w:topLinePunct w:val="0"/>
        <w:autoSpaceDE/>
        <w:autoSpaceDN/>
        <w:bidi w:val="0"/>
        <w:adjustRightInd w:val="0"/>
        <w:snapToGrid w:val="0"/>
        <w:spacing w:afterAutospacing="0" w:line="576"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。与2023年度相比，政府性基金预算财政拨款支出增加/减少**万元，增长/下降**%。主要变动原因是……</w:t>
      </w:r>
      <w:r>
        <w:rPr>
          <w:rFonts w:hint="eastAsia" w:ascii="Times New Roman" w:hAnsi="Times New Roman" w:eastAsia="仿宋_GB2312" w:cs="仿宋_GB2312"/>
          <w:b/>
          <w:bCs/>
          <w:color w:val="auto"/>
          <w:kern w:val="2"/>
          <w:sz w:val="32"/>
          <w:szCs w:val="32"/>
          <w:highlight w:val="none"/>
          <w:lang w:val="en-US" w:eastAsia="zh-CN" w:bidi="ar-SA"/>
        </w:rPr>
        <w:t>（注：支出数与上年持平可以不写原因）</w:t>
      </w:r>
    </w:p>
    <w:p w14:paraId="5025F39F">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afterAutospacing="0" w:line="576" w:lineRule="atLeast"/>
        <w:ind w:firstLine="643" w:firstLineChars="200"/>
        <w:textAlignment w:val="auto"/>
        <w:rPr>
          <w:rFonts w:hint="eastAsia" w:ascii="黑体" w:hAnsi="黑体" w:eastAsia="黑体" w:cs="黑体"/>
          <w:b/>
          <w:bCs/>
          <w:kern w:val="2"/>
          <w:sz w:val="32"/>
          <w:szCs w:val="32"/>
          <w:lang w:val="en-US" w:eastAsia="zh-CN" w:bidi="ar-SA"/>
        </w:rPr>
      </w:pPr>
      <w:bookmarkStart w:id="36" w:name="_Toc15396611"/>
      <w:bookmarkStart w:id="37" w:name="_Toc15377219"/>
      <w:r>
        <w:rPr>
          <w:rFonts w:hint="eastAsia" w:ascii="黑体" w:hAnsi="黑体" w:eastAsia="黑体" w:cs="黑体"/>
          <w:b/>
          <w:bCs/>
          <w:kern w:val="2"/>
          <w:sz w:val="32"/>
          <w:szCs w:val="32"/>
          <w:lang w:val="en-US" w:eastAsia="zh-CN" w:bidi="ar-SA"/>
        </w:rPr>
        <w:t>九、国有资本经营预算支出决算情况说明</w:t>
      </w:r>
      <w:bookmarkEnd w:id="36"/>
      <w:bookmarkEnd w:id="37"/>
    </w:p>
    <w:p w14:paraId="2B47D30C">
      <w:pPr>
        <w:pageBreakBefore w:val="0"/>
        <w:kinsoku/>
        <w:wordWrap/>
        <w:overflowPunct/>
        <w:topLinePunct w:val="0"/>
        <w:autoSpaceDE/>
        <w:autoSpaceDN/>
        <w:bidi w:val="0"/>
        <w:adjustRightInd w:val="0"/>
        <w:snapToGrid w:val="0"/>
        <w:spacing w:afterAutospacing="0" w:line="576"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。与2023年度相比，国有资本经营预算财政拨款支出增加/减少**万元，增长/下降**%。主要变动原因是……</w:t>
      </w:r>
      <w:r>
        <w:rPr>
          <w:rFonts w:hint="eastAsia" w:ascii="Times New Roman" w:hAnsi="Times New Roman" w:eastAsia="仿宋_GB2312" w:cs="仿宋_GB2312"/>
          <w:b/>
          <w:bCs/>
          <w:color w:val="auto"/>
          <w:kern w:val="2"/>
          <w:sz w:val="32"/>
          <w:szCs w:val="32"/>
          <w:highlight w:val="none"/>
          <w:lang w:val="en-US" w:eastAsia="zh-CN" w:bidi="ar-SA"/>
        </w:rPr>
        <w:t>（注：支出数与上年持平可以不写原因）</w:t>
      </w:r>
    </w:p>
    <w:p w14:paraId="3D36A7BB">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afterAutospacing="0" w:line="576" w:lineRule="atLeast"/>
        <w:ind w:firstLine="643" w:firstLineChars="200"/>
        <w:textAlignment w:val="auto"/>
        <w:rPr>
          <w:rFonts w:hint="eastAsia" w:ascii="黑体" w:hAnsi="黑体" w:eastAsia="黑体" w:cs="黑体"/>
          <w:b/>
          <w:bCs/>
          <w:kern w:val="2"/>
          <w:sz w:val="32"/>
          <w:szCs w:val="32"/>
          <w:lang w:val="en-US" w:eastAsia="zh-CN" w:bidi="ar-SA"/>
        </w:rPr>
      </w:pPr>
      <w:bookmarkStart w:id="38" w:name="_Toc15396612"/>
      <w:bookmarkStart w:id="39" w:name="_Toc15377221"/>
      <w:r>
        <w:rPr>
          <w:rFonts w:hint="eastAsia" w:ascii="黑体" w:hAnsi="黑体" w:eastAsia="黑体" w:cs="黑体"/>
          <w:b/>
          <w:bCs/>
          <w:kern w:val="2"/>
          <w:sz w:val="32"/>
          <w:szCs w:val="32"/>
          <w:lang w:val="en-US" w:eastAsia="zh-CN" w:bidi="ar-SA"/>
        </w:rPr>
        <w:t>十、其他重要事项的情况说明</w:t>
      </w:r>
      <w:bookmarkEnd w:id="38"/>
      <w:bookmarkEnd w:id="39"/>
    </w:p>
    <w:p w14:paraId="3DB2380C">
      <w:pPr>
        <w:pageBreakBefore w:val="0"/>
        <w:kinsoku/>
        <w:wordWrap/>
        <w:overflowPunct/>
        <w:topLinePunct w:val="0"/>
        <w:autoSpaceDE/>
        <w:autoSpaceDN/>
        <w:bidi w:val="0"/>
        <w:adjustRightInd w:val="0"/>
        <w:snapToGrid w:val="0"/>
        <w:spacing w:afterAutospacing="0" w:line="576" w:lineRule="atLeas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40" w:name="_Toc15377222"/>
      <w:r>
        <w:rPr>
          <w:rFonts w:hint="eastAsia" w:ascii="Times New Roman" w:hAnsi="Times New Roman" w:eastAsia="楷体_GB2312" w:cs="楷体_GB2312"/>
          <w:b/>
          <w:color w:val="auto"/>
          <w:sz w:val="32"/>
          <w:szCs w:val="32"/>
          <w:highlight w:val="none"/>
        </w:rPr>
        <w:t>（一）机关运行经费支出情况</w:t>
      </w:r>
      <w:bookmarkEnd w:id="40"/>
    </w:p>
    <w:p w14:paraId="541DA730">
      <w:pPr>
        <w:pageBreakBefore w:val="0"/>
        <w:kinsoku/>
        <w:wordWrap/>
        <w:overflowPunct/>
        <w:topLinePunct w:val="0"/>
        <w:autoSpaceDE/>
        <w:autoSpaceDN/>
        <w:bidi w:val="0"/>
        <w:adjustRightInd w:val="0"/>
        <w:snapToGrid w:val="0"/>
        <w:spacing w:afterAutospacing="0" w:line="576"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红原县查尔玛乡卫生院</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元，比2023年度增加/减少**万元，增长/下降**%（或与2023年度决算数持平）。主要原因是……</w:t>
      </w:r>
    </w:p>
    <w:p w14:paraId="173DBA9A">
      <w:pPr>
        <w:pageBreakBefore w:val="0"/>
        <w:kinsoku/>
        <w:wordWrap/>
        <w:overflowPunct/>
        <w:topLinePunct w:val="0"/>
        <w:autoSpaceDE/>
        <w:autoSpaceDN/>
        <w:bidi w:val="0"/>
        <w:adjustRightInd w:val="0"/>
        <w:snapToGrid w:val="0"/>
        <w:spacing w:afterAutospacing="0" w:line="576" w:lineRule="atLeas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41" w:name="_Toc15377223"/>
      <w:r>
        <w:rPr>
          <w:rFonts w:hint="eastAsia" w:ascii="Times New Roman" w:hAnsi="Times New Roman" w:eastAsia="楷体_GB2312" w:cs="楷体_GB2312"/>
          <w:b/>
          <w:color w:val="auto"/>
          <w:sz w:val="32"/>
          <w:szCs w:val="32"/>
          <w:highlight w:val="none"/>
        </w:rPr>
        <w:t>（二）政府采购支出情况</w:t>
      </w:r>
      <w:bookmarkEnd w:id="41"/>
    </w:p>
    <w:p w14:paraId="5BD3E406">
      <w:pPr>
        <w:pageBreakBefore w:val="0"/>
        <w:kinsoku/>
        <w:wordWrap/>
        <w:overflowPunct/>
        <w:topLinePunct w:val="0"/>
        <w:autoSpaceDE/>
        <w:autoSpaceDN/>
        <w:bidi w:val="0"/>
        <w:adjustRightInd w:val="0"/>
        <w:snapToGrid w:val="0"/>
        <w:spacing w:afterAutospacing="0" w:line="576"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红原县查尔玛乡卫生院</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万元。主要用于……（具体工作）。授予中小企业合同金额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p>
    <w:p w14:paraId="663B4E8D">
      <w:pPr>
        <w:pageBreakBefore w:val="0"/>
        <w:kinsoku/>
        <w:wordWrap/>
        <w:overflowPunct/>
        <w:topLinePunct w:val="0"/>
        <w:autoSpaceDE/>
        <w:autoSpaceDN/>
        <w:bidi w:val="0"/>
        <w:adjustRightInd w:val="0"/>
        <w:snapToGrid w:val="0"/>
        <w:spacing w:afterAutospacing="0" w:line="576" w:lineRule="atLeast"/>
        <w:ind w:firstLine="643" w:firstLineChars="200"/>
        <w:textAlignment w:val="auto"/>
        <w:outlineLvl w:val="2"/>
        <w:rPr>
          <w:rFonts w:hint="eastAsia" w:ascii="Times New Roman" w:hAnsi="Times New Roman" w:eastAsia="楷体_GB2312" w:cs="楷体_GB2312"/>
          <w:b/>
          <w:color w:val="auto"/>
          <w:sz w:val="32"/>
          <w:szCs w:val="32"/>
          <w:highlight w:val="none"/>
        </w:rPr>
      </w:pPr>
      <w:bookmarkStart w:id="42" w:name="_Toc15377224"/>
      <w:r>
        <w:rPr>
          <w:rFonts w:hint="eastAsia" w:ascii="Times New Roman" w:hAnsi="Times New Roman" w:eastAsia="楷体_GB2312" w:cs="楷体_GB2312"/>
          <w:b/>
          <w:color w:val="auto"/>
          <w:sz w:val="32"/>
          <w:szCs w:val="32"/>
          <w:highlight w:val="none"/>
        </w:rPr>
        <w:t>（三）国有资产占有使用情况</w:t>
      </w:r>
      <w:bookmarkEnd w:id="42"/>
    </w:p>
    <w:p w14:paraId="1E2A3FBD">
      <w:pPr>
        <w:pageBreakBefore w:val="0"/>
        <w:kinsoku/>
        <w:wordWrap/>
        <w:overflowPunct/>
        <w:topLinePunct w:val="0"/>
        <w:autoSpaceDE/>
        <w:autoSpaceDN/>
        <w:bidi w:val="0"/>
        <w:adjustRightInd w:val="0"/>
        <w:snapToGrid w:val="0"/>
        <w:spacing w:afterAutospacing="0" w:line="576"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红原县查尔玛乡卫生院</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3</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3</w:t>
      </w:r>
      <w:r>
        <w:rPr>
          <w:rFonts w:hint="eastAsia" w:ascii="仿宋_GB2312" w:hAnsi="仿宋_GB2312" w:eastAsia="仿宋_GB2312" w:cs="仿宋_GB2312"/>
          <w:color w:val="auto"/>
          <w:kern w:val="2"/>
          <w:sz w:val="32"/>
          <w:szCs w:val="32"/>
          <w:highlight w:val="none"/>
          <w:lang w:val="en-US" w:eastAsia="zh-CN" w:bidi="ar-SA"/>
        </w:rPr>
        <w:t>辆，其他用车主要是用于</w:t>
      </w:r>
      <w:r>
        <w:rPr>
          <w:rFonts w:hint="eastAsia" w:ascii="Times New Roman" w:hAnsi="Times New Roman" w:eastAsia="仿宋_GB2312" w:cs="仿宋_GB2312"/>
          <w:color w:val="auto"/>
          <w:kern w:val="2"/>
          <w:sz w:val="32"/>
          <w:szCs w:val="32"/>
          <w:highlight w:val="none"/>
          <w:lang w:val="en-US" w:eastAsia="zh-CN" w:bidi="ar-SA"/>
        </w:rPr>
        <w:t>主要用于</w:t>
      </w:r>
      <w:r>
        <w:rPr>
          <w:rFonts w:hint="eastAsia" w:eastAsia="仿宋_GB2312" w:cs="仿宋_GB2312"/>
          <w:color w:val="auto"/>
          <w:kern w:val="2"/>
          <w:sz w:val="32"/>
          <w:szCs w:val="32"/>
          <w:highlight w:val="none"/>
          <w:lang w:val="en-US" w:eastAsia="zh-CN" w:bidi="ar-SA"/>
        </w:rPr>
        <w:t>购买救护车保险及救护车维修维护，下村燃油费。</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14:paraId="277D22EE">
      <w:pPr>
        <w:pageBreakBefore w:val="0"/>
        <w:kinsoku/>
        <w:wordWrap/>
        <w:overflowPunct/>
        <w:topLinePunct w:val="0"/>
        <w:autoSpaceDE/>
        <w:autoSpaceDN/>
        <w:bidi w:val="0"/>
        <w:adjustRightInd w:val="0"/>
        <w:snapToGrid w:val="0"/>
        <w:spacing w:afterAutospacing="0" w:line="576" w:lineRule="atLeas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74E124E4">
      <w:pPr>
        <w:pageBreakBefore w:val="0"/>
        <w:kinsoku/>
        <w:wordWrap/>
        <w:overflowPunct/>
        <w:topLinePunct w:val="0"/>
        <w:autoSpaceDE/>
        <w:autoSpaceDN/>
        <w:bidi w:val="0"/>
        <w:adjustRightInd w:val="0"/>
        <w:snapToGrid w:val="0"/>
        <w:spacing w:afterAutospacing="0" w:line="576" w:lineRule="atLeast"/>
        <w:ind w:firstLine="643" w:firstLineChars="200"/>
        <w:textAlignment w:val="auto"/>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049409A0">
      <w:pPr>
        <w:pStyle w:val="1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atLeast"/>
        <w:ind w:right="0" w:rightChars="0" w:firstLine="640" w:firstLineChars="200"/>
        <w:jc w:val="left"/>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本单位在年初预算编制阶段，组织对2个项目（项目：基本公共卫生及基本药物补助）开展了预算事前绩效评估，对2个项目编制了绩效目标，预算执行过程中，选取2个项目开展绩效监控，年终执行完毕后，对2个项目开展了绩效目标完成情况自评。</w:t>
      </w:r>
    </w:p>
    <w:p w14:paraId="5BF9C4AC">
      <w:pPr>
        <w:rPr>
          <w:rFonts w:hint="eastAsia" w:ascii="宋体" w:hAnsi="宋体" w:eastAsia="宋体" w:cs="宋体"/>
          <w:b/>
          <w:i w:val="0"/>
          <w:color w:val="000000"/>
          <w:kern w:val="0"/>
          <w:sz w:val="30"/>
          <w:szCs w:val="30"/>
          <w:u w:val="none"/>
          <w:lang w:val="en-US" w:eastAsia="zh-CN" w:bidi="ar"/>
        </w:rPr>
      </w:pPr>
      <w:r>
        <w:rPr>
          <w:rFonts w:hint="eastAsia" w:ascii="宋体" w:hAnsi="宋体" w:eastAsia="宋体" w:cs="宋体"/>
          <w:b/>
          <w:i w:val="0"/>
          <w:color w:val="000000"/>
          <w:kern w:val="0"/>
          <w:sz w:val="30"/>
          <w:szCs w:val="30"/>
          <w:u w:val="none"/>
          <w:lang w:val="en-US" w:eastAsia="zh-CN" w:bidi="ar"/>
        </w:rPr>
        <w:br w:type="page"/>
      </w:r>
    </w:p>
    <w:p w14:paraId="1E48CF8E">
      <w:pPr>
        <w:pStyle w:val="1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atLeast"/>
        <w:ind w:right="0" w:rightChars="0"/>
        <w:jc w:val="center"/>
        <w:textAlignment w:val="auto"/>
        <w:rPr>
          <w:rFonts w:hint="eastAsia" w:ascii="方正小标宋简体" w:hAnsi="方正小标宋简体" w:eastAsia="方正小标宋简体" w:cs="方正小标宋简体"/>
          <w:b w:val="0"/>
          <w:bCs/>
          <w:i w:val="0"/>
          <w:color w:val="000000"/>
          <w:kern w:val="0"/>
          <w:sz w:val="44"/>
          <w:szCs w:val="44"/>
          <w:u w:val="none"/>
          <w:lang w:val="en-US" w:eastAsia="zh-CN" w:bidi="ar"/>
        </w:rPr>
      </w:pPr>
      <w:r>
        <w:rPr>
          <w:rFonts w:hint="eastAsia" w:ascii="方正小标宋简体" w:hAnsi="方正小标宋简体" w:eastAsia="方正小标宋简体" w:cs="方正小标宋简体"/>
          <w:b w:val="0"/>
          <w:bCs/>
          <w:i w:val="0"/>
          <w:color w:val="000000"/>
          <w:kern w:val="0"/>
          <w:sz w:val="44"/>
          <w:szCs w:val="44"/>
          <w:u w:val="none"/>
          <w:lang w:val="en-US" w:eastAsia="zh-CN" w:bidi="ar"/>
        </w:rPr>
        <w:t>部门预算项目绩效目标表（2025年度）</w:t>
      </w:r>
    </w:p>
    <w:p w14:paraId="6B45116B">
      <w:pPr>
        <w:pStyle w:val="16"/>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76" w:lineRule="atLeast"/>
        <w:ind w:right="0" w:rightChars="0"/>
        <w:jc w:val="center"/>
        <w:textAlignment w:val="auto"/>
        <w:rPr>
          <w:rFonts w:hint="eastAsia" w:ascii="仿宋_GB2312" w:hAnsi="仿宋_GB2312" w:eastAsia="仿宋_GB2312" w:cs="仿宋_GB2312"/>
          <w:b w:val="0"/>
          <w:bCs/>
          <w:i w:val="0"/>
          <w:color w:val="000000"/>
          <w:kern w:val="0"/>
          <w:sz w:val="32"/>
          <w:szCs w:val="32"/>
          <w:u w:val="none"/>
          <w:lang w:val="en-US" w:eastAsia="zh-CN" w:bidi="ar"/>
        </w:rPr>
      </w:pPr>
      <w:r>
        <w:rPr>
          <w:rFonts w:hint="eastAsia" w:ascii="仿宋_GB2312" w:hAnsi="仿宋_GB2312" w:eastAsia="仿宋_GB2312" w:cs="仿宋_GB2312"/>
          <w:b w:val="0"/>
          <w:bCs/>
          <w:i w:val="0"/>
          <w:color w:val="000000"/>
          <w:kern w:val="0"/>
          <w:sz w:val="32"/>
          <w:szCs w:val="32"/>
          <w:u w:val="none"/>
          <w:lang w:val="en-US" w:eastAsia="zh-CN" w:bidi="ar"/>
        </w:rPr>
        <w:t xml:space="preserve">                                     金额：万元</w:t>
      </w:r>
    </w:p>
    <w:tbl>
      <w:tblPr>
        <w:tblStyle w:val="17"/>
        <w:tblW w:w="9375" w:type="dxa"/>
        <w:tblInd w:w="-55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80"/>
        <w:gridCol w:w="765"/>
        <w:gridCol w:w="660"/>
        <w:gridCol w:w="1275"/>
        <w:gridCol w:w="735"/>
        <w:gridCol w:w="1035"/>
        <w:gridCol w:w="1305"/>
        <w:gridCol w:w="465"/>
        <w:gridCol w:w="540"/>
        <w:gridCol w:w="405"/>
        <w:gridCol w:w="405"/>
        <w:gridCol w:w="705"/>
      </w:tblGrid>
      <w:tr w14:paraId="3DA87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49" w:hRule="atLeast"/>
        </w:trPr>
        <w:tc>
          <w:tcPr>
            <w:tcW w:w="108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E39F6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单位名称</w:t>
            </w:r>
          </w:p>
        </w:tc>
        <w:tc>
          <w:tcPr>
            <w:tcW w:w="76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69BE79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66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73FD21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预算数</w:t>
            </w:r>
          </w:p>
        </w:tc>
        <w:tc>
          <w:tcPr>
            <w:tcW w:w="127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8673DE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年度目标</w:t>
            </w:r>
          </w:p>
        </w:tc>
        <w:tc>
          <w:tcPr>
            <w:tcW w:w="73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8B81C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103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0B6B26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130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3E9352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46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24D530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指标性质</w:t>
            </w:r>
          </w:p>
        </w:tc>
        <w:tc>
          <w:tcPr>
            <w:tcW w:w="54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55C7B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40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08C5E8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度量单位</w:t>
            </w:r>
          </w:p>
        </w:tc>
        <w:tc>
          <w:tcPr>
            <w:tcW w:w="40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957DDA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权重</w:t>
            </w:r>
          </w:p>
        </w:tc>
        <w:tc>
          <w:tcPr>
            <w:tcW w:w="70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692B26B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指标方向性</w:t>
            </w:r>
          </w:p>
        </w:tc>
      </w:tr>
      <w:tr w14:paraId="0CE4D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2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5B43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122-红原县卫生健康局</w:t>
            </w:r>
          </w:p>
        </w:tc>
        <w:tc>
          <w:tcPr>
            <w:tcW w:w="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B3C52">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EDB0E">
            <w:pPr>
              <w:keepNext w:val="0"/>
              <w:keepLines w:val="0"/>
              <w:pageBreakBefore w:val="0"/>
              <w:widowControl/>
              <w:suppressLineNumbers w:val="0"/>
              <w:kinsoku/>
              <w:wordWrap/>
              <w:overflowPunct/>
              <w:topLinePunct w:val="0"/>
              <w:autoSpaceDE/>
              <w:autoSpaceDN/>
              <w:bidi w:val="0"/>
              <w:adjustRightInd w:val="0"/>
              <w:snapToGrid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2.31</w:t>
            </w:r>
          </w:p>
        </w:tc>
        <w:tc>
          <w:tcPr>
            <w:tcW w:w="12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9C9B2">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7B791">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E7729">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8DB10">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64560">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6F7B0">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3F19A">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05D96">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522C9">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r>
      <w:tr w14:paraId="563FA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9"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1C715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122011-红原县查尔玛乡卫生院</w:t>
            </w: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46B4F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县级配套基本公共卫生</w:t>
            </w: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61F37C">
            <w:pPr>
              <w:keepNext w:val="0"/>
              <w:keepLines w:val="0"/>
              <w:pageBreakBefore w:val="0"/>
              <w:widowControl/>
              <w:suppressLineNumbers w:val="0"/>
              <w:kinsoku/>
              <w:wordWrap/>
              <w:overflowPunct/>
              <w:topLinePunct w:val="0"/>
              <w:autoSpaceDE/>
              <w:autoSpaceDN/>
              <w:bidi w:val="0"/>
              <w:adjustRightInd w:val="0"/>
              <w:snapToGrid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1.61</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65B19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乡镇卫生院开展基本公共卫生服务，包括建立居民健康档案，预防接种、传染病防治、高血压糖尿病等慢性病管理重型精神病管理、儿童保健、孕产妇保健、老年人保健；协助处置突发公共卫生事件。开展基本公共卫生服产生的办公费，邮电费等支出。</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6F18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1621C7C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84F1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36B0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2型糖尿病患者管理人数</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1E5B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1953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859A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A8E0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15A3C">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30655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8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D7F21">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49AF27">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24B4A">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7F997D">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AD2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221C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A58A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基层群众满意度</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4DAC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EF72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12C3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C5F1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501D5">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06DA4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3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3E19D">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0F91A">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CE2B0F">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F9BE44">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B224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3EFC674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CD35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6A90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高血压患者管理人数</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030C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F1EF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106</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22AC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4712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72735">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478B5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9"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9869D">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5CB3B">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5ABB4">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0FFA4">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B885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效益</w:t>
            </w:r>
          </w:p>
          <w:p w14:paraId="10E2525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ED61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73C5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提高公共卫生服务均等化水平</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8569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F0B0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优良中低</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A3F65">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1965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01F35">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658A5B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7590A">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37BACA">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0EDA18">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FFD0EB">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900A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306C010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2914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FBBA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居民电子健康档案管理人数</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49CE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C0BA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2322</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444D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A605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864E8">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28CEA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99"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5B1351">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8E280">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918B6">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E5F81">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C86C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成本</w:t>
            </w:r>
          </w:p>
          <w:p w14:paraId="26C95AC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D6A3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经济成本指标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24D3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基本公共卫生服务县级配套项目成本</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E79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33F5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1.609146</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77B9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63C95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8E66A">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02250F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7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B52EB8">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01931">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DC892">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906BD">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E849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7071601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C646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6082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老年人中医药健康管理率</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AB7A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B98B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FB7D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55B9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E577F">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771D6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0AE99E">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6ACC9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县级配套基本药物</w:t>
            </w: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C0FAB5">
            <w:pPr>
              <w:keepNext w:val="0"/>
              <w:keepLines w:val="0"/>
              <w:pageBreakBefore w:val="0"/>
              <w:widowControl/>
              <w:suppressLineNumbers w:val="0"/>
              <w:kinsoku/>
              <w:wordWrap/>
              <w:overflowPunct/>
              <w:topLinePunct w:val="0"/>
              <w:autoSpaceDE/>
              <w:autoSpaceDN/>
              <w:bidi w:val="0"/>
              <w:adjustRightInd w:val="0"/>
              <w:snapToGrid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0.70</w:t>
            </w:r>
          </w:p>
        </w:tc>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A81E4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县级配套基本药物用于卫生院日常开支，包含办公费、邮电费、电费等</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EEB8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2AB751B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F241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ABAB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基层医疗机构基本药物网购置次数</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968B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A5E0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9676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8ACE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4C019">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3F80D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9"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859628">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24641">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60A6C">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A7325">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37E1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效益</w:t>
            </w:r>
          </w:p>
          <w:p w14:paraId="74A64B1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271E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D9CC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确保药品采购公平、公正、公开</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51C6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34F2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优良中低差</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F205E">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1CE5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9B26A">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09C5A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1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0906B">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2EC78">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F58E2">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A59C52">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5446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5D394AC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81D2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1916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实行基本药物补助县级配套的基层医疗机构个数</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B2A2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C83F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30DB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B7DF8">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4DE73">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50443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9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BDDD3">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D0D44">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0DF00">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5330CA">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9581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2A52610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138F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A3F9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基本药物补助县级配套资金支付准确率</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12D5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FA92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1006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DD59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7D214">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18480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BB8D1">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C12633">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20635">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21AD5">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D65F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B530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CB97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基层医疗机构工作人员满意度</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8D48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BB88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90F5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4B50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2C1AF">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1CD5B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5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15C002">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D992C">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010A3">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B94395">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E9F2D">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w:t>
            </w:r>
          </w:p>
          <w:p w14:paraId="38ADBA0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BEC5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8FBD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基本药物补助县级配套资金支付及时率</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A975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C3BC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6AED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B903C">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E1FC1">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53DB45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2F8D42">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E2FA7A">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4FD77">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D9FF4">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0849A">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效益</w:t>
            </w:r>
          </w:p>
          <w:p w14:paraId="1BB803B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381C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FA0D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基层医疗机构药品零差率</w:t>
            </w:r>
          </w:p>
        </w:tc>
        <w:tc>
          <w:tcPr>
            <w:tcW w:w="4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00D4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F2E8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等于100</w:t>
            </w: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FF309">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8FA0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49FF8">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bl>
    <w:p w14:paraId="7E9161C0">
      <w:pPr>
        <w:numPr>
          <w:ilvl w:val="0"/>
          <w:numId w:val="0"/>
        </w:numPr>
        <w:spacing w:line="600" w:lineRule="exact"/>
        <w:jc w:val="center"/>
        <w:outlineLvl w:val="0"/>
        <w:rPr>
          <w:rFonts w:hint="eastAsia" w:ascii="方正小标宋简体" w:hAnsi="方正小标宋简体" w:eastAsia="方正小标宋简体" w:cs="方正小标宋简体"/>
          <w:color w:val="auto"/>
          <w:sz w:val="44"/>
          <w:szCs w:val="44"/>
          <w:highlight w:val="none"/>
        </w:rPr>
      </w:pPr>
      <w:bookmarkStart w:id="43" w:name="_Toc15396613"/>
      <w:bookmarkStart w:id="44" w:name="_Toc15377225"/>
      <w:r>
        <w:rPr>
          <w:rFonts w:hint="eastAsia" w:ascii="方正小标宋简体" w:hAnsi="方正小标宋简体" w:eastAsia="方正小标宋简体" w:cs="方正小标宋简体"/>
          <w:color w:val="auto"/>
          <w:sz w:val="44"/>
          <w:szCs w:val="44"/>
          <w:highlight w:val="none"/>
        </w:rPr>
        <w:t>第</w:t>
      </w:r>
      <w:r>
        <w:rPr>
          <w:rFonts w:hint="eastAsia" w:ascii="方正小标宋简体" w:hAnsi="方正小标宋简体" w:eastAsia="方正小标宋简体" w:cs="方正小标宋简体"/>
          <w:color w:val="auto"/>
          <w:sz w:val="44"/>
          <w:szCs w:val="44"/>
          <w:highlight w:val="none"/>
          <w:lang w:eastAsia="zh-CN"/>
        </w:rPr>
        <w:t>三</w:t>
      </w:r>
      <w:r>
        <w:rPr>
          <w:rFonts w:hint="eastAsia" w:ascii="方正小标宋简体" w:hAnsi="方正小标宋简体" w:eastAsia="方正小标宋简体" w:cs="方正小标宋简体"/>
          <w:color w:val="auto"/>
          <w:sz w:val="44"/>
          <w:szCs w:val="44"/>
          <w:highlight w:val="none"/>
        </w:rPr>
        <w:t>部分</w:t>
      </w:r>
      <w:r>
        <w:rPr>
          <w:rFonts w:hint="eastAsia" w:ascii="方正小标宋简体" w:hAnsi="方正小标宋简体" w:eastAsia="方正小标宋简体" w:cs="方正小标宋简体"/>
          <w:color w:val="auto"/>
          <w:sz w:val="44"/>
          <w:szCs w:val="44"/>
          <w:highlight w:val="none"/>
          <w:lang w:val="en-US" w:eastAsia="zh-CN"/>
        </w:rPr>
        <w:t xml:space="preserve">  </w:t>
      </w:r>
      <w:r>
        <w:rPr>
          <w:rFonts w:hint="eastAsia" w:ascii="方正小标宋简体" w:hAnsi="方正小标宋简体" w:eastAsia="方正小标宋简体" w:cs="方正小标宋简体"/>
          <w:color w:val="auto"/>
          <w:sz w:val="44"/>
          <w:szCs w:val="44"/>
          <w:highlight w:val="none"/>
        </w:rPr>
        <w:t>名词解释</w:t>
      </w:r>
      <w:bookmarkEnd w:id="43"/>
      <w:bookmarkEnd w:id="44"/>
    </w:p>
    <w:p w14:paraId="2EF92A8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ascii="Times New Roman" w:hAnsi="Times New Roman"/>
          <w:b/>
          <w:color w:val="auto"/>
          <w:sz w:val="44"/>
          <w:szCs w:val="44"/>
          <w:highlight w:val="none"/>
        </w:rPr>
      </w:pPr>
    </w:p>
    <w:p w14:paraId="607DC18E">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1.财政拨款收入：指单位从同级财政部门取得的财政预算资金。</w:t>
      </w:r>
    </w:p>
    <w:p w14:paraId="70F2DB6A">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2.事业收入：指事业单位开展专业业务活动及辅助活动取得的收入。如……（二级预算单位事业收入情况）等。</w:t>
      </w:r>
    </w:p>
    <w:p w14:paraId="04062211">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3.经营收入：指事业单位在专业业务活动及其辅助活动之外开展非独立核算经营活动取得的收入。如……（二级预算单位经营收入情况）等。</w:t>
      </w:r>
    </w:p>
    <w:p w14:paraId="6FADBBA5">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 xml:space="preserve">4.其他收入：指单位取得的除上述收入以外的各项收入。主要是……（收入类型）等。 </w:t>
      </w:r>
    </w:p>
    <w:p w14:paraId="50C32F30">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 xml:space="preserve">5.使用非财政拨款结余（含专用结余）：指事业单位使用以前年度积累的非财政拨款结余弥补当年收支差额的金额。 </w:t>
      </w:r>
    </w:p>
    <w:p w14:paraId="77B9A063">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 xml:space="preserve">6.年初结转和结余：指以前年度尚未完成、结转到本年按有关规定继续使用的资金。 </w:t>
      </w:r>
    </w:p>
    <w:p w14:paraId="5C5478DB">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7.结余分配：指事业单位按照会计制度规定缴纳的所得税、提取的专用结余以及转入非财政拨款结余的金额等。</w:t>
      </w:r>
    </w:p>
    <w:p w14:paraId="6ECBF04A">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8.年末结转和结余：指单位按有关规定结转到下年或</w:t>
      </w:r>
      <w:r>
        <w:rPr>
          <w:rFonts w:hint="eastAsia" w:ascii="Times New Roman" w:hAnsi="Times New Roman" w:eastAsia="仿宋_GB2312" w:cs="仿宋_GB2312"/>
          <w:color w:val="auto"/>
          <w:kern w:val="2"/>
          <w:sz w:val="32"/>
          <w:szCs w:val="32"/>
          <w:highlight w:val="none"/>
          <w:lang w:val="en-US" w:eastAsia="zh-CN" w:bidi="ar-SA"/>
        </w:rPr>
        <w:t>以</w:t>
      </w:r>
      <w:r>
        <w:rPr>
          <w:rFonts w:hint="eastAsia" w:ascii="仿宋_GB2312" w:hAnsi="仿宋_GB2312" w:eastAsia="仿宋_GB2312" w:cs="仿宋_GB2312"/>
          <w:color w:val="auto"/>
          <w:kern w:val="2"/>
          <w:sz w:val="32"/>
          <w:szCs w:val="32"/>
          <w:highlight w:val="none"/>
          <w:lang w:val="en-US" w:eastAsia="zh-CN" w:bidi="ar-SA"/>
        </w:rPr>
        <w:t>后年度继续使用的资金。</w:t>
      </w:r>
    </w:p>
    <w:p w14:paraId="32760770">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9.一般公共服务（类）……（款）……（项）：指……</w:t>
      </w:r>
    </w:p>
    <w:p w14:paraId="0F1C3371">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10.外交（类）……（款）……（项）：指……</w:t>
      </w:r>
    </w:p>
    <w:p w14:paraId="1A903A67">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11.公共安全（类）……（款）……（项）：指……</w:t>
      </w:r>
    </w:p>
    <w:p w14:paraId="46FA8A43">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12.教育（类）……（款）……（项）：指……</w:t>
      </w:r>
    </w:p>
    <w:p w14:paraId="5092F020">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13.科学技术（类）……（款）……（项）：指……</w:t>
      </w:r>
    </w:p>
    <w:p w14:paraId="26BE3CCF">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14.文化旅游体育与传媒（类）……（款）……（项）：指……</w:t>
      </w:r>
    </w:p>
    <w:p w14:paraId="32894A8D">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15.社会保障和就业（类）……（款）……（项）：指……</w:t>
      </w:r>
    </w:p>
    <w:p w14:paraId="379D8758">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16.卫生健康（类）……（款）……（项）：指……</w:t>
      </w:r>
    </w:p>
    <w:p w14:paraId="01AF4524">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17.节能环保（类）……（款）……（项）：指……</w:t>
      </w:r>
    </w:p>
    <w:p w14:paraId="3877205E">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18.城乡社区（类）……（款）……（项）：指……</w:t>
      </w:r>
    </w:p>
    <w:p w14:paraId="61DF2F1F">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19.农林水（类）……（款）……（项）：指……</w:t>
      </w:r>
    </w:p>
    <w:p w14:paraId="20B727BB">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20.交通运输（类）……（款）……（项）：指……</w:t>
      </w:r>
    </w:p>
    <w:p w14:paraId="0EFC81CF">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21.资源勘探工业信息等（类）……（款）……（项）：指……</w:t>
      </w:r>
    </w:p>
    <w:p w14:paraId="5F251CDE">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22.商业服务业（类）……（款）……（项）：指……</w:t>
      </w:r>
    </w:p>
    <w:p w14:paraId="01689677">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23.金融（类）……（款）……（项）：指……</w:t>
      </w:r>
    </w:p>
    <w:p w14:paraId="6FE9C350">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24.自然资源海洋气象等（类）……（款）……（项）：指……</w:t>
      </w:r>
    </w:p>
    <w:p w14:paraId="38E21BD2">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25.住房保障（类）……（款）……（项）：指……</w:t>
      </w:r>
    </w:p>
    <w:p w14:paraId="17A3A70B">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26.粮油物资储备（类）……（款）……（项）：指……</w:t>
      </w:r>
    </w:p>
    <w:p w14:paraId="336147D3">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w:t>
      </w:r>
    </w:p>
    <w:p w14:paraId="4A49208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解释本部门决算报表中涉及的全部功能分类科目至项级，不涉及的科目请自行删除。请参照</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202</w:t>
      </w:r>
      <w:r>
        <w:rPr>
          <w:rFonts w:hint="eastAsia" w:eastAsia="仿宋_GB2312" w:cs="仿宋_GB2312"/>
          <w:b/>
          <w:bCs/>
          <w:color w:val="auto"/>
          <w:kern w:val="2"/>
          <w:sz w:val="32"/>
          <w:szCs w:val="32"/>
          <w:highlight w:val="none"/>
          <w:lang w:val="en-US" w:eastAsia="zh-CN" w:bidi="ar-SA"/>
        </w:rPr>
        <w:t>4</w:t>
      </w:r>
      <w:r>
        <w:rPr>
          <w:rFonts w:hint="eastAsia" w:ascii="Times New Roman" w:hAnsi="Times New Roman" w:eastAsia="仿宋_GB2312" w:cs="仿宋_GB2312"/>
          <w:b/>
          <w:bCs/>
          <w:color w:val="auto"/>
          <w:kern w:val="2"/>
          <w:sz w:val="32"/>
          <w:szCs w:val="32"/>
          <w:highlight w:val="none"/>
          <w:lang w:val="en-US" w:eastAsia="zh-CN" w:bidi="ar-SA"/>
        </w:rPr>
        <w:t>年政府收支分类科目</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增减内容）</w:t>
      </w:r>
    </w:p>
    <w:p w14:paraId="7768A13C">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27.基本支出：指为保障机构正常运转、完成日常工作任务而发生的人员支出和公用支出。</w:t>
      </w:r>
    </w:p>
    <w:p w14:paraId="712C6987">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 xml:space="preserve">28.项目支出：指在基本支出之外为完成特定行政任务和事业发展目标所发生的支出。 </w:t>
      </w:r>
    </w:p>
    <w:p w14:paraId="6232D571">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29.经营支出：指事业单位在专业业务活动及其辅助活动之外开展非独立核算经营活动发生的支出。</w:t>
      </w:r>
    </w:p>
    <w:p w14:paraId="472B7A74">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006EB23">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0CE501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32.……</w:t>
      </w:r>
    </w:p>
    <w:p w14:paraId="0CD52FB9">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（注：名词解释部分请根据各部门实际列支情况罗列，并根据本部门职责职能增减名词解释内容）</w:t>
      </w:r>
    </w:p>
    <w:p w14:paraId="66921C3E">
      <w:pPr>
        <w:spacing w:line="600" w:lineRule="exact"/>
        <w:jc w:val="center"/>
        <w:rPr>
          <w:rFonts w:hint="eastAsia" w:ascii="Times New Roman" w:hAnsi="Times New Roman" w:eastAsia="黑体" w:cs="黑体"/>
          <w:color w:val="FF0000"/>
          <w:sz w:val="32"/>
          <w:szCs w:val="32"/>
          <w:highlight w:val="none"/>
        </w:rPr>
      </w:pPr>
      <w:bookmarkStart w:id="45" w:name="_Toc15377226"/>
      <w:r>
        <w:rPr>
          <w:rFonts w:hint="eastAsia" w:ascii="Times New Roman" w:hAnsi="Times New Roman" w:eastAsia="仿宋_GB2312" w:cs="仿宋_GB2312"/>
          <w:color w:val="auto"/>
          <w:kern w:val="2"/>
          <w:sz w:val="32"/>
          <w:szCs w:val="32"/>
          <w:highlight w:val="none"/>
          <w:lang w:val="en-US" w:eastAsia="zh-CN" w:bidi="ar-SA"/>
        </w:rPr>
        <w:br w:type="page"/>
      </w:r>
      <w:bookmarkStart w:id="46" w:name="_Toc15396614"/>
      <w:r>
        <w:rPr>
          <w:rFonts w:hint="eastAsia" w:ascii="方正小标宋简体" w:hAnsi="方正小标宋简体" w:eastAsia="方正小标宋简体" w:cs="方正小标宋简体"/>
          <w:color w:val="auto"/>
          <w:sz w:val="44"/>
          <w:szCs w:val="44"/>
          <w:highlight w:val="none"/>
        </w:rPr>
        <w:t>第四部分</w:t>
      </w:r>
      <w:r>
        <w:rPr>
          <w:rFonts w:hint="eastAsia" w:ascii="方正小标宋简体" w:hAnsi="方正小标宋简体" w:eastAsia="方正小标宋简体" w:cs="方正小标宋简体"/>
          <w:color w:val="auto"/>
          <w:sz w:val="44"/>
          <w:szCs w:val="44"/>
          <w:highlight w:val="none"/>
          <w:lang w:val="en-US" w:eastAsia="zh-CN"/>
        </w:rPr>
        <w:t xml:space="preserve"> </w:t>
      </w:r>
      <w:r>
        <w:rPr>
          <w:rFonts w:hint="eastAsia" w:ascii="方正小标宋简体" w:hAnsi="方正小标宋简体" w:eastAsia="方正小标宋简体" w:cs="方正小标宋简体"/>
          <w:color w:val="auto"/>
          <w:sz w:val="44"/>
          <w:szCs w:val="44"/>
          <w:highlight w:val="none"/>
        </w:rPr>
        <w:t xml:space="preserve"> 附件</w:t>
      </w:r>
      <w:bookmarkEnd w:id="46"/>
    </w:p>
    <w:p w14:paraId="09FE0F62">
      <w:pPr>
        <w:keepNext w:val="0"/>
        <w:keepLines w:val="0"/>
        <w:pageBreakBefore w:val="0"/>
        <w:kinsoku/>
        <w:wordWrap/>
        <w:overflowPunct/>
        <w:topLinePunct w:val="0"/>
        <w:autoSpaceDE/>
        <w:autoSpaceDN/>
        <w:bidi w:val="0"/>
        <w:spacing w:line="572" w:lineRule="exact"/>
        <w:jc w:val="left"/>
        <w:textAlignment w:val="auto"/>
        <w:outlineLvl w:val="0"/>
        <w:rPr>
          <w:rFonts w:hint="default"/>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0B45ECC7">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r>
        <w:rPr>
          <w:rFonts w:hint="default" w:ascii="Times New Roman" w:hAnsi="Times New Roman" w:eastAsia="方正小标宋简体" w:cs="Times New Roman"/>
          <w:b w:val="0"/>
          <w:bCs/>
          <w:sz w:val="44"/>
          <w:szCs w:val="44"/>
          <w:highlight w:val="none"/>
          <w:shd w:val="clear" w:color="auto" w:fill="FFFFFF"/>
        </w:rPr>
        <w:t>部门</w:t>
      </w:r>
      <w:r>
        <w:rPr>
          <w:rFonts w:hint="default" w:ascii="Times New Roman" w:hAnsi="Times New Roman" w:eastAsia="方正小标宋简体" w:cs="Times New Roman"/>
          <w:b w:val="0"/>
          <w:bCs/>
          <w:sz w:val="44"/>
          <w:szCs w:val="44"/>
          <w:highlight w:val="none"/>
          <w:shd w:val="clear" w:color="auto" w:fill="FFFFFF"/>
          <w:lang w:eastAsia="zh-CN"/>
        </w:rPr>
        <w:t>预算</w:t>
      </w:r>
      <w:r>
        <w:rPr>
          <w:rFonts w:hint="default" w:ascii="Times New Roman" w:hAnsi="Times New Roman" w:eastAsia="方正小标宋简体" w:cs="Times New Roman"/>
          <w:b w:val="0"/>
          <w:bCs/>
          <w:sz w:val="44"/>
          <w:szCs w:val="44"/>
          <w:highlight w:val="none"/>
          <w:shd w:val="clear" w:color="auto" w:fill="FFFFFF"/>
        </w:rPr>
        <w:t>绩效</w:t>
      </w:r>
      <w:r>
        <w:rPr>
          <w:rFonts w:hint="eastAsia" w:ascii="Times New Roman" w:hAnsi="Times New Roman" w:eastAsia="方正小标宋简体" w:cs="Times New Roman"/>
          <w:b w:val="0"/>
          <w:bCs/>
          <w:sz w:val="44"/>
          <w:szCs w:val="44"/>
          <w:highlight w:val="none"/>
          <w:shd w:val="clear" w:color="auto" w:fill="FFFFFF"/>
          <w:lang w:eastAsia="zh-CN"/>
        </w:rPr>
        <w:t>评价</w:t>
      </w:r>
      <w:r>
        <w:rPr>
          <w:rFonts w:hint="default" w:ascii="Times New Roman" w:hAnsi="Times New Roman" w:eastAsia="方正小标宋简体" w:cs="Times New Roman"/>
          <w:b w:val="0"/>
          <w:bCs/>
          <w:sz w:val="44"/>
          <w:szCs w:val="44"/>
          <w:highlight w:val="none"/>
          <w:shd w:val="clear" w:color="auto" w:fill="FFFFFF"/>
        </w:rPr>
        <w:t>报告范本</w:t>
      </w:r>
    </w:p>
    <w:p w14:paraId="304C6DAE">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仿宋_GB2312" w:cs="Times New Roman"/>
          <w:sz w:val="32"/>
          <w:szCs w:val="32"/>
          <w:highlight w:val="none"/>
          <w:shd w:val="clear" w:color="auto" w:fill="FFFFFF"/>
        </w:rPr>
      </w:pPr>
      <w:r>
        <w:rPr>
          <w:rFonts w:hint="default" w:ascii="Times New Roman" w:hAnsi="Times New Roman" w:eastAsia="仿宋_GB2312" w:cs="Times New Roman"/>
          <w:sz w:val="32"/>
          <w:szCs w:val="32"/>
          <w:highlight w:val="none"/>
          <w:shd w:val="clear" w:color="auto" w:fill="FFFFFF"/>
        </w:rPr>
        <w:t>（报告范围包括机关和下属单位）</w:t>
      </w:r>
    </w:p>
    <w:p w14:paraId="07FF0F46">
      <w:pPr>
        <w:pStyle w:val="2"/>
        <w:keepNext w:val="0"/>
        <w:keepLines w:val="0"/>
        <w:pageBreakBefore w:val="0"/>
        <w:widowControl w:val="0"/>
        <w:kinsoku/>
        <w:wordWrap/>
        <w:overflowPunct/>
        <w:topLinePunct w:val="0"/>
        <w:autoSpaceDE/>
        <w:autoSpaceDN/>
        <w:bidi w:val="0"/>
        <w:adjustRightInd w:val="0"/>
        <w:snapToGrid w:val="0"/>
        <w:spacing w:beforeLines="0"/>
        <w:textAlignment w:val="auto"/>
        <w:rPr>
          <w:rFonts w:hint="default"/>
        </w:rPr>
      </w:pPr>
    </w:p>
    <w:p w14:paraId="2EB58E03">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default" w:ascii="黑体" w:hAnsi="黑体" w:eastAsia="黑体" w:cs="黑体"/>
          <w:b/>
          <w:bCs/>
          <w:kern w:val="2"/>
          <w:sz w:val="32"/>
          <w:szCs w:val="32"/>
          <w:lang w:val="zh-CN" w:eastAsia="zh-CN" w:bidi="ar-SA"/>
        </w:rPr>
      </w:pPr>
      <w:r>
        <w:rPr>
          <w:rFonts w:hint="eastAsia" w:ascii="黑体" w:hAnsi="黑体" w:eastAsia="黑体" w:cs="黑体"/>
          <w:b/>
          <w:bCs/>
          <w:kern w:val="2"/>
          <w:sz w:val="32"/>
          <w:szCs w:val="32"/>
          <w:lang w:val="zh-CN" w:eastAsia="zh-CN" w:bidi="ar-SA"/>
        </w:rPr>
        <w:t>一、</w:t>
      </w:r>
      <w:r>
        <w:rPr>
          <w:rFonts w:hint="default" w:ascii="黑体" w:hAnsi="黑体" w:eastAsia="黑体" w:cs="黑体"/>
          <w:b/>
          <w:bCs/>
          <w:kern w:val="2"/>
          <w:sz w:val="32"/>
          <w:szCs w:val="32"/>
          <w:lang w:val="zh-CN" w:eastAsia="zh-CN" w:bidi="ar-SA"/>
        </w:rPr>
        <w:t>部门（单位）基本情况</w:t>
      </w:r>
    </w:p>
    <w:p w14:paraId="4DA3C9FF">
      <w:pPr>
        <w:spacing w:line="600" w:lineRule="exact"/>
        <w:ind w:firstLine="640"/>
        <w:rPr>
          <w:rFonts w:hint="default" w:ascii="仿宋_GB2312" w:hAnsi="仿宋_GB2312" w:eastAsia="仿宋_GB2312" w:cs="仿宋_GB2312"/>
          <w:color w:val="auto"/>
          <w:kern w:val="2"/>
          <w:sz w:val="32"/>
          <w:szCs w:val="32"/>
          <w:highlight w:val="none"/>
          <w:lang w:val="en-US" w:eastAsia="zh-CN" w:bidi="ar-SA"/>
        </w:rPr>
      </w:pPr>
      <w:r>
        <w:rPr>
          <w:rFonts w:hint="eastAsia" w:ascii="Times New Roman" w:hAnsi="Times New Roman" w:eastAsia="楷体_GB2312" w:cs="楷体_GB2312"/>
          <w:b/>
          <w:color w:val="auto"/>
          <w:sz w:val="32"/>
          <w:szCs w:val="32"/>
          <w:highlight w:val="none"/>
          <w:lang w:val="zh-CN"/>
        </w:rPr>
        <w:t>（一）</w:t>
      </w:r>
      <w:r>
        <w:rPr>
          <w:rFonts w:hint="default" w:ascii="Times New Roman" w:hAnsi="Times New Roman" w:eastAsia="楷体_GB2312" w:cs="楷体_GB2312"/>
          <w:b/>
          <w:color w:val="auto"/>
          <w:sz w:val="32"/>
          <w:szCs w:val="32"/>
          <w:highlight w:val="none"/>
          <w:lang w:val="zh-CN"/>
        </w:rPr>
        <w:t>机构组成</w:t>
      </w:r>
      <w:r>
        <w:rPr>
          <w:rFonts w:hint="eastAsia" w:ascii="仿宋_GB2312" w:hAnsi="仿宋_GB2312" w:eastAsia="仿宋_GB2312" w:cs="仿宋_GB2312"/>
          <w:b/>
          <w:color w:val="auto"/>
          <w:sz w:val="32"/>
          <w:szCs w:val="32"/>
          <w:highlight w:val="none"/>
          <w:lang w:val="zh-CN"/>
        </w:rPr>
        <w:t>。</w:t>
      </w:r>
      <w:r>
        <w:rPr>
          <w:rFonts w:hint="eastAsia" w:ascii="仿宋_GB2312" w:hAnsi="仿宋_GB2312" w:eastAsia="仿宋_GB2312" w:cs="仿宋_GB2312"/>
          <w:color w:val="auto"/>
          <w:kern w:val="2"/>
          <w:sz w:val="32"/>
          <w:szCs w:val="32"/>
          <w:highlight w:val="none"/>
          <w:lang w:val="zh-CN" w:eastAsia="zh-CN" w:bidi="ar-SA"/>
        </w:rPr>
        <w:t>我单位为独立核算全额拨款事业单位，下设</w:t>
      </w:r>
      <w:r>
        <w:rPr>
          <w:rFonts w:hint="eastAsia" w:ascii="仿宋_GB2312" w:hAnsi="仿宋_GB2312" w:eastAsia="仿宋_GB2312" w:cs="仿宋_GB2312"/>
          <w:color w:val="auto"/>
          <w:kern w:val="2"/>
          <w:sz w:val="32"/>
          <w:szCs w:val="32"/>
          <w:highlight w:val="none"/>
          <w:lang w:val="en-US" w:eastAsia="zh-CN" w:bidi="ar-SA"/>
        </w:rPr>
        <w:t>1机构。</w:t>
      </w:r>
    </w:p>
    <w:p w14:paraId="295E5CD1">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楷体_GB2312" w:cs="Times New Roman"/>
          <w:b/>
          <w:bCs/>
          <w:color w:val="000000"/>
          <w:kern w:val="0"/>
          <w:szCs w:val="32"/>
          <w:highlight w:val="none"/>
          <w:shd w:val="clear" w:color="auto" w:fill="FFFFFF"/>
          <w:lang w:val="zh-CN"/>
        </w:rPr>
      </w:pPr>
      <w:r>
        <w:rPr>
          <w:rFonts w:hint="default" w:ascii="Times New Roman" w:hAnsi="Times New Roman" w:eastAsia="楷体_GB2312" w:cs="楷体_GB2312"/>
          <w:b/>
          <w:color w:val="auto"/>
          <w:sz w:val="32"/>
          <w:szCs w:val="32"/>
          <w:highlight w:val="none"/>
          <w:lang w:val="zh-CN"/>
        </w:rPr>
        <w:t>（二）机构职能</w:t>
      </w:r>
      <w:r>
        <w:rPr>
          <w:rFonts w:hint="eastAsia" w:ascii="Times New Roman" w:hAnsi="Times New Roman" w:eastAsia="楷体_GB2312" w:cs="楷体_GB2312"/>
          <w:b/>
          <w:color w:val="auto"/>
          <w:sz w:val="32"/>
          <w:szCs w:val="32"/>
          <w:highlight w:val="none"/>
          <w:lang w:val="zh-CN"/>
        </w:rPr>
        <w:t>。</w:t>
      </w:r>
      <w:r>
        <w:rPr>
          <w:rFonts w:hint="eastAsia" w:ascii="仿宋_GB2312" w:hAnsi="仿宋_GB2312" w:eastAsia="仿宋_GB2312" w:cs="仿宋_GB2312"/>
          <w:color w:val="auto"/>
          <w:kern w:val="2"/>
          <w:sz w:val="32"/>
          <w:szCs w:val="32"/>
          <w:highlight w:val="none"/>
          <w:lang w:val="zh-CN" w:eastAsia="zh-CN" w:bidi="ar-SA"/>
        </w:rPr>
        <w:t>宣传贯彻党和政府的各项医疗卫生方针政策，协助政府实施农村医改工作；提供基本医疗服务，开展农村常见病、多发病以及诊断明确的慢性非传染性疾病的诊疗、护理；贯彻落实国家基本药物制度，使用基本药物；实行网上统一采购、统一配送的基本药物采购机制；实施基本药物零差率销售；协助开展突发公共卫生事件应急调查和处置工作，承担区域内公共卫生相关信息的收集和报告。对所属行政村卫生室实行一体化管理，承担对村卫生室和乡村医生的业务管理和指导。协助做好区域内食品卫生、饮用水卫生、化共场所卫生、职业卫生等爱国卫生工作；协助做好新型农村合作医疗工作；提供基本公共卫生服务，包括建立居民健康档案、健康档案、预防接种、传染病防治、高血压糖尿病等慢性病管理、重性精神疾病管理、儿童保健、孕产妇保健、老年人保健等；协助处置突发公共卫生事件。</w:t>
      </w:r>
    </w:p>
    <w:p w14:paraId="5D6604F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color w:val="auto"/>
          <w:kern w:val="2"/>
          <w:sz w:val="32"/>
          <w:szCs w:val="32"/>
          <w:highlight w:val="none"/>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）人员概况</w:t>
      </w:r>
      <w:r>
        <w:rPr>
          <w:rFonts w:hint="eastAsia" w:ascii="Times New Roman" w:hAnsi="Times New Roman" w:eastAsia="楷体_GB2312" w:cs="Times New Roman"/>
          <w:b/>
          <w:bCs/>
          <w:color w:val="000000"/>
          <w:kern w:val="0"/>
          <w:sz w:val="32"/>
          <w:szCs w:val="32"/>
          <w:highlight w:val="none"/>
          <w:shd w:val="clear" w:color="auto" w:fill="FFFFFF"/>
          <w:lang w:val="zh-CN"/>
        </w:rPr>
        <w:t>。</w:t>
      </w:r>
      <w:r>
        <w:rPr>
          <w:rFonts w:hint="default" w:ascii="仿宋_GB2312" w:hAnsi="仿宋_GB2312" w:eastAsia="仿宋_GB2312" w:cs="仿宋_GB2312"/>
          <w:color w:val="auto"/>
          <w:kern w:val="2"/>
          <w:sz w:val="32"/>
          <w:szCs w:val="32"/>
          <w:highlight w:val="none"/>
          <w:lang w:val="en-US" w:eastAsia="zh-CN" w:bidi="ar-SA"/>
        </w:rPr>
        <w:t>截至202</w:t>
      </w:r>
      <w:r>
        <w:rPr>
          <w:rFonts w:hint="eastAsia" w:ascii="仿宋_GB2312" w:hAnsi="仿宋_GB2312" w:eastAsia="仿宋_GB2312" w:cs="仿宋_GB2312"/>
          <w:color w:val="auto"/>
          <w:kern w:val="2"/>
          <w:sz w:val="32"/>
          <w:szCs w:val="32"/>
          <w:highlight w:val="none"/>
          <w:lang w:val="en-US" w:eastAsia="zh-CN" w:bidi="ar-SA"/>
        </w:rPr>
        <w:t>4</w:t>
      </w:r>
      <w:r>
        <w:rPr>
          <w:rFonts w:hint="default" w:ascii="仿宋_GB2312" w:hAnsi="仿宋_GB2312" w:eastAsia="仿宋_GB2312" w:cs="仿宋_GB2312"/>
          <w:color w:val="auto"/>
          <w:kern w:val="2"/>
          <w:sz w:val="32"/>
          <w:szCs w:val="32"/>
          <w:highlight w:val="none"/>
          <w:lang w:val="en-US" w:eastAsia="zh-CN" w:bidi="ar-SA"/>
        </w:rPr>
        <w:t>年末，</w:t>
      </w:r>
      <w:r>
        <w:rPr>
          <w:rFonts w:hint="eastAsia" w:ascii="仿宋_GB2312" w:hAnsi="仿宋_GB2312" w:eastAsia="仿宋_GB2312" w:cs="仿宋_GB2312"/>
          <w:color w:val="auto"/>
          <w:kern w:val="2"/>
          <w:sz w:val="32"/>
          <w:szCs w:val="32"/>
          <w:highlight w:val="none"/>
          <w:lang w:val="en-US" w:eastAsia="zh-CN" w:bidi="ar-SA"/>
        </w:rPr>
        <w:t>其中事业编8个，在职8人,</w:t>
      </w:r>
      <w:r>
        <w:rPr>
          <w:rFonts w:hint="eastAsia" w:ascii="仿宋_GB2312" w:hAnsi="仿宋_GB2312" w:eastAsia="仿宋_GB2312" w:cs="仿宋_GB2312"/>
          <w:color w:val="auto"/>
          <w:kern w:val="2"/>
          <w:sz w:val="32"/>
          <w:szCs w:val="32"/>
          <w:highlight w:val="none"/>
          <w:lang w:val="zh-CN" w:eastAsia="zh-CN" w:bidi="ar-SA"/>
        </w:rPr>
        <w:t>事业编制</w:t>
      </w:r>
      <w:r>
        <w:rPr>
          <w:rFonts w:hint="eastAsia" w:ascii="仿宋_GB2312" w:hAnsi="仿宋_GB2312" w:eastAsia="仿宋_GB2312" w:cs="仿宋_GB2312"/>
          <w:color w:val="auto"/>
          <w:kern w:val="2"/>
          <w:sz w:val="32"/>
          <w:szCs w:val="32"/>
          <w:highlight w:val="none"/>
          <w:lang w:val="en-US" w:eastAsia="zh-CN" w:bidi="ar-SA"/>
        </w:rPr>
        <w:t>8</w:t>
      </w:r>
      <w:r>
        <w:rPr>
          <w:rFonts w:hint="eastAsia" w:ascii="仿宋_GB2312" w:hAnsi="仿宋_GB2312" w:eastAsia="仿宋_GB2312" w:cs="仿宋_GB2312"/>
          <w:color w:val="auto"/>
          <w:kern w:val="2"/>
          <w:sz w:val="32"/>
          <w:szCs w:val="32"/>
          <w:highlight w:val="none"/>
          <w:lang w:val="zh-CN" w:eastAsia="zh-CN" w:bidi="ar-SA"/>
        </w:rPr>
        <w:t>人。</w:t>
      </w:r>
    </w:p>
    <w:p w14:paraId="7CCCBFF8">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default" w:ascii="黑体" w:hAnsi="黑体" w:eastAsia="黑体" w:cs="黑体"/>
          <w:b/>
          <w:bCs/>
          <w:kern w:val="2"/>
          <w:sz w:val="32"/>
          <w:szCs w:val="32"/>
          <w:lang w:val="zh-CN" w:eastAsia="zh-CN" w:bidi="ar-SA"/>
        </w:rPr>
      </w:pPr>
      <w:r>
        <w:rPr>
          <w:rFonts w:hint="default" w:ascii="黑体" w:hAnsi="黑体" w:eastAsia="黑体" w:cs="黑体"/>
          <w:b/>
          <w:bCs/>
          <w:kern w:val="2"/>
          <w:sz w:val="32"/>
          <w:szCs w:val="32"/>
          <w:lang w:val="zh-CN" w:eastAsia="zh-CN" w:bidi="ar-SA"/>
        </w:rPr>
        <w:t>二、部门资金收支情况</w:t>
      </w:r>
    </w:p>
    <w:p w14:paraId="504265C3">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仿宋_GB2312" w:hAnsi="仿宋_GB2312" w:eastAsia="仿宋_GB2312" w:cs="仿宋_GB2312"/>
          <w:color w:val="auto"/>
          <w:kern w:val="2"/>
          <w:sz w:val="32"/>
          <w:szCs w:val="32"/>
          <w:highlight w:val="none"/>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收入情况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hAnsi="仿宋_GB2312" w:eastAsia="仿宋_GB2312" w:cs="仿宋_GB2312"/>
          <w:color w:val="auto"/>
          <w:kern w:val="2"/>
          <w:sz w:val="32"/>
          <w:szCs w:val="32"/>
          <w:highlight w:val="none"/>
          <w:lang w:val="zh-CN" w:eastAsia="zh-CN" w:bidi="ar-SA"/>
        </w:rPr>
        <w:t>查尔玛乡卫生院</w:t>
      </w:r>
      <w:r>
        <w:rPr>
          <w:rFonts w:hint="eastAsia" w:ascii="仿宋_GB2312" w:hAnsi="仿宋_GB2312" w:eastAsia="仿宋_GB2312" w:cs="仿宋_GB2312"/>
          <w:color w:val="auto"/>
          <w:kern w:val="2"/>
          <w:sz w:val="32"/>
          <w:szCs w:val="32"/>
          <w:highlight w:val="none"/>
          <w:lang w:val="en-US" w:eastAsia="zh-CN" w:bidi="ar-SA"/>
        </w:rPr>
        <w:t>2024年年初预算收入为178.33万元、决算报表收入为200.74万元。</w:t>
      </w:r>
    </w:p>
    <w:p w14:paraId="3AC4F1F0">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仿宋_GB2312" w:hAnsi="仿宋_GB2312" w:eastAsia="仿宋_GB2312" w:cs="仿宋_GB2312"/>
          <w:color w:val="auto"/>
          <w:kern w:val="2"/>
          <w:sz w:val="32"/>
          <w:szCs w:val="32"/>
          <w:highlight w:val="none"/>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二</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支出情况</w:t>
      </w: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仿宋_GB2312" w:hAnsi="仿宋_GB2312" w:eastAsia="仿宋_GB2312" w:cs="仿宋_GB2312"/>
          <w:color w:val="auto"/>
          <w:kern w:val="2"/>
          <w:sz w:val="32"/>
          <w:szCs w:val="32"/>
          <w:highlight w:val="none"/>
          <w:lang w:val="zh-CN" w:eastAsia="zh-CN" w:bidi="ar-SA"/>
        </w:rPr>
        <w:t>查尔玛乡</w:t>
      </w:r>
      <w:r>
        <w:rPr>
          <w:rFonts w:hint="eastAsia" w:ascii="仿宋_GB2312" w:hAnsi="仿宋_GB2312" w:eastAsia="仿宋_GB2312" w:cs="仿宋_GB2312"/>
          <w:color w:val="auto"/>
          <w:kern w:val="2"/>
          <w:sz w:val="32"/>
          <w:szCs w:val="32"/>
          <w:highlight w:val="none"/>
          <w:lang w:val="en-US" w:eastAsia="zh-CN" w:bidi="ar-SA"/>
        </w:rPr>
        <w:t>卫生院2024年年初预算支出178.33万元、决算报表支出为200.74万元。</w:t>
      </w:r>
    </w:p>
    <w:p w14:paraId="60593279">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仿宋_GB2312" w:hAnsi="仿宋_GB2312" w:eastAsia="仿宋_GB2312" w:cs="仿宋_GB2312"/>
          <w:color w:val="auto"/>
          <w:kern w:val="2"/>
          <w:sz w:val="32"/>
          <w:szCs w:val="32"/>
          <w:highlight w:val="none"/>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w:t>
      </w:r>
      <w:r>
        <w:rPr>
          <w:rFonts w:hint="eastAsia" w:ascii="Times New Roman" w:hAnsi="Times New Roman" w:eastAsia="楷体_GB2312" w:cs="Times New Roman"/>
          <w:b/>
          <w:bCs/>
          <w:color w:val="000000"/>
          <w:kern w:val="0"/>
          <w:sz w:val="32"/>
          <w:szCs w:val="32"/>
          <w:highlight w:val="none"/>
          <w:shd w:val="clear" w:color="auto" w:fill="FFFFFF"/>
          <w:lang w:val="zh-CN"/>
        </w:rPr>
        <w:t>三</w:t>
      </w:r>
      <w:r>
        <w:rPr>
          <w:rFonts w:hint="default" w:ascii="Times New Roman" w:hAnsi="Times New Roman" w:eastAsia="楷体_GB2312" w:cs="Times New Roman"/>
          <w:b/>
          <w:bCs/>
          <w:color w:val="000000"/>
          <w:kern w:val="0"/>
          <w:sz w:val="32"/>
          <w:szCs w:val="32"/>
          <w:highlight w:val="none"/>
          <w:shd w:val="clear" w:color="auto" w:fill="FFFFFF"/>
          <w:lang w:val="zh-CN"/>
        </w:rPr>
        <w:t>）结余分配和结转结余情况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仿宋_GB2312" w:hAnsi="仿宋_GB2312" w:eastAsia="仿宋_GB2312" w:cs="仿宋_GB2312"/>
          <w:color w:val="auto"/>
          <w:kern w:val="2"/>
          <w:sz w:val="32"/>
          <w:szCs w:val="32"/>
          <w:highlight w:val="none"/>
          <w:lang w:val="zh-CN" w:eastAsia="zh-CN" w:bidi="ar-SA"/>
        </w:rPr>
        <w:t>查尔玛乡</w:t>
      </w:r>
      <w:r>
        <w:rPr>
          <w:rFonts w:hint="eastAsia" w:ascii="仿宋_GB2312" w:hAnsi="仿宋_GB2312" w:eastAsia="仿宋_GB2312" w:cs="仿宋_GB2312"/>
          <w:color w:val="auto"/>
          <w:kern w:val="2"/>
          <w:sz w:val="32"/>
          <w:szCs w:val="32"/>
          <w:highlight w:val="none"/>
          <w:lang w:val="en-US" w:eastAsia="zh-CN" w:bidi="ar-SA"/>
        </w:rPr>
        <w:t>卫生院2024年决算报表无</w:t>
      </w:r>
      <w:r>
        <w:rPr>
          <w:rFonts w:hint="default" w:ascii="仿宋_GB2312" w:hAnsi="仿宋_GB2312" w:eastAsia="仿宋_GB2312" w:cs="仿宋_GB2312"/>
          <w:color w:val="auto"/>
          <w:kern w:val="2"/>
          <w:sz w:val="32"/>
          <w:szCs w:val="32"/>
          <w:highlight w:val="none"/>
          <w:lang w:val="en-US" w:eastAsia="zh-CN" w:bidi="ar-SA"/>
        </w:rPr>
        <w:t>结转结余</w:t>
      </w:r>
      <w:r>
        <w:rPr>
          <w:rFonts w:hint="eastAsia" w:ascii="仿宋_GB2312" w:hAnsi="仿宋_GB2312" w:eastAsia="仿宋_GB2312" w:cs="仿宋_GB2312"/>
          <w:color w:val="auto"/>
          <w:kern w:val="2"/>
          <w:sz w:val="32"/>
          <w:szCs w:val="32"/>
          <w:highlight w:val="none"/>
          <w:lang w:val="en-US" w:eastAsia="zh-CN" w:bidi="ar-SA"/>
        </w:rPr>
        <w:t>情况</w:t>
      </w:r>
      <w:r>
        <w:rPr>
          <w:rFonts w:hint="default" w:ascii="仿宋_GB2312" w:hAnsi="仿宋_GB2312" w:eastAsia="仿宋_GB2312" w:cs="仿宋_GB2312"/>
          <w:color w:val="auto"/>
          <w:kern w:val="2"/>
          <w:sz w:val="32"/>
          <w:szCs w:val="32"/>
          <w:highlight w:val="none"/>
          <w:lang w:val="en-US" w:eastAsia="zh-CN" w:bidi="ar-SA"/>
        </w:rPr>
        <w:t>。</w:t>
      </w:r>
    </w:p>
    <w:p w14:paraId="33FF5EEC">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default" w:ascii="黑体" w:hAnsi="黑体" w:eastAsia="黑体" w:cs="黑体"/>
          <w:b/>
          <w:bCs/>
          <w:kern w:val="2"/>
          <w:sz w:val="32"/>
          <w:szCs w:val="32"/>
          <w:lang w:val="zh-CN" w:eastAsia="zh-CN" w:bidi="ar-SA"/>
        </w:rPr>
      </w:pPr>
      <w:r>
        <w:rPr>
          <w:rFonts w:hint="default" w:ascii="黑体" w:hAnsi="黑体" w:eastAsia="黑体" w:cs="黑体"/>
          <w:b/>
          <w:bCs/>
          <w:kern w:val="2"/>
          <w:sz w:val="32"/>
          <w:szCs w:val="32"/>
          <w:lang w:val="zh-CN" w:eastAsia="zh-CN" w:bidi="ar-SA"/>
        </w:rPr>
        <w:t>三、部门预算绩效分析</w:t>
      </w:r>
    </w:p>
    <w:p w14:paraId="0758CF18">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仿宋_GB2312" w:hAnsi="仿宋_GB2312" w:eastAsia="仿宋_GB2312" w:cs="仿宋_GB2312"/>
          <w:color w:val="auto"/>
          <w:kern w:val="2"/>
          <w:sz w:val="32"/>
          <w:szCs w:val="32"/>
          <w:highlight w:val="none"/>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（一）</w:t>
      </w:r>
      <w:r>
        <w:rPr>
          <w:rFonts w:hint="eastAsia" w:ascii="Times New Roman" w:hAnsi="Times New Roman" w:eastAsia="楷体_GB2312" w:cs="Times New Roman"/>
          <w:b/>
          <w:bCs/>
          <w:color w:val="000000"/>
          <w:kern w:val="0"/>
          <w:sz w:val="32"/>
          <w:szCs w:val="32"/>
          <w:highlight w:val="none"/>
          <w:shd w:val="clear" w:color="auto" w:fill="FFFFFF"/>
          <w:lang w:val="zh-CN"/>
        </w:rPr>
        <w:t>部门预算</w:t>
      </w:r>
      <w:r>
        <w:rPr>
          <w:rFonts w:hint="default" w:ascii="Times New Roman" w:hAnsi="Times New Roman" w:eastAsia="楷体_GB2312" w:cs="Times New Roman"/>
          <w:b/>
          <w:bCs/>
          <w:color w:val="000000"/>
          <w:kern w:val="0"/>
          <w:sz w:val="32"/>
          <w:szCs w:val="32"/>
          <w:highlight w:val="none"/>
          <w:shd w:val="clear" w:color="auto" w:fill="FFFFFF"/>
          <w:lang w:val="zh-CN"/>
        </w:rPr>
        <w:t>总体绩效分析。</w:t>
      </w:r>
      <w:r>
        <w:rPr>
          <w:rFonts w:hint="default" w:ascii="仿宋_GB2312" w:hAnsi="仿宋_GB2312" w:eastAsia="仿宋_GB2312" w:cs="仿宋_GB2312"/>
          <w:color w:val="auto"/>
          <w:kern w:val="2"/>
          <w:sz w:val="32"/>
          <w:szCs w:val="32"/>
          <w:highlight w:val="none"/>
          <w:lang w:val="zh-CN" w:eastAsia="zh-CN" w:bidi="ar-SA"/>
        </w:rPr>
        <w:t>根据部门预算绩效评价指标体系</w:t>
      </w:r>
      <w:r>
        <w:rPr>
          <w:rFonts w:hint="eastAsia" w:ascii="仿宋_GB2312" w:hAnsi="仿宋_GB2312" w:eastAsia="仿宋_GB2312" w:cs="仿宋_GB2312"/>
          <w:color w:val="auto"/>
          <w:kern w:val="2"/>
          <w:sz w:val="32"/>
          <w:szCs w:val="32"/>
          <w:highlight w:val="none"/>
          <w:lang w:val="zh-CN" w:eastAsia="zh-CN" w:bidi="ar-SA"/>
        </w:rPr>
        <w:t>“</w:t>
      </w:r>
      <w:r>
        <w:rPr>
          <w:rFonts w:hint="default" w:ascii="仿宋_GB2312" w:hAnsi="仿宋_GB2312" w:eastAsia="仿宋_GB2312" w:cs="仿宋_GB2312"/>
          <w:color w:val="auto"/>
          <w:kern w:val="2"/>
          <w:sz w:val="32"/>
          <w:szCs w:val="32"/>
          <w:highlight w:val="none"/>
          <w:lang w:val="zh-CN" w:eastAsia="zh-CN" w:bidi="ar-SA"/>
        </w:rPr>
        <w:t>总体绩效</w:t>
      </w:r>
      <w:r>
        <w:rPr>
          <w:rFonts w:hint="eastAsia" w:ascii="仿宋_GB2312" w:hAnsi="仿宋_GB2312" w:eastAsia="仿宋_GB2312" w:cs="仿宋_GB2312"/>
          <w:color w:val="auto"/>
          <w:kern w:val="2"/>
          <w:sz w:val="32"/>
          <w:szCs w:val="32"/>
          <w:highlight w:val="none"/>
          <w:lang w:val="zh-CN" w:eastAsia="zh-CN" w:bidi="ar-SA"/>
        </w:rPr>
        <w:t>”</w:t>
      </w:r>
      <w:r>
        <w:rPr>
          <w:rFonts w:hint="default" w:ascii="仿宋_GB2312" w:hAnsi="仿宋_GB2312" w:eastAsia="仿宋_GB2312" w:cs="仿宋_GB2312"/>
          <w:color w:val="auto"/>
          <w:kern w:val="2"/>
          <w:sz w:val="32"/>
          <w:szCs w:val="32"/>
          <w:highlight w:val="none"/>
          <w:lang w:val="zh-CN" w:eastAsia="zh-CN" w:bidi="ar-SA"/>
        </w:rPr>
        <w:t>涉及</w:t>
      </w:r>
      <w:r>
        <w:rPr>
          <w:rFonts w:hint="eastAsia" w:ascii="仿宋_GB2312" w:hAnsi="仿宋_GB2312" w:eastAsia="仿宋_GB2312" w:cs="仿宋_GB2312"/>
          <w:color w:val="auto"/>
          <w:kern w:val="2"/>
          <w:sz w:val="32"/>
          <w:szCs w:val="32"/>
          <w:highlight w:val="none"/>
          <w:lang w:val="zh-CN" w:eastAsia="zh-CN" w:bidi="ar-SA"/>
        </w:rPr>
        <w:t>二、三级</w:t>
      </w:r>
      <w:r>
        <w:rPr>
          <w:rFonts w:hint="default" w:ascii="仿宋_GB2312" w:hAnsi="仿宋_GB2312" w:eastAsia="仿宋_GB2312" w:cs="仿宋_GB2312"/>
          <w:color w:val="auto"/>
          <w:kern w:val="2"/>
          <w:sz w:val="32"/>
          <w:szCs w:val="32"/>
          <w:highlight w:val="none"/>
          <w:lang w:val="zh-CN" w:eastAsia="zh-CN" w:bidi="ar-SA"/>
        </w:rPr>
        <w:t>指标进行</w:t>
      </w:r>
      <w:r>
        <w:rPr>
          <w:rFonts w:hint="eastAsia" w:ascii="仿宋_GB2312" w:hAnsi="仿宋_GB2312" w:eastAsia="仿宋_GB2312" w:cs="仿宋_GB2312"/>
          <w:color w:val="auto"/>
          <w:kern w:val="2"/>
          <w:sz w:val="32"/>
          <w:szCs w:val="32"/>
          <w:highlight w:val="none"/>
          <w:lang w:val="zh-CN" w:eastAsia="zh-CN" w:bidi="ar-SA"/>
        </w:rPr>
        <w:t>逐项</w:t>
      </w:r>
      <w:r>
        <w:rPr>
          <w:rFonts w:hint="default" w:ascii="仿宋_GB2312" w:hAnsi="仿宋_GB2312" w:eastAsia="仿宋_GB2312" w:cs="仿宋_GB2312"/>
          <w:color w:val="auto"/>
          <w:kern w:val="2"/>
          <w:sz w:val="32"/>
          <w:szCs w:val="32"/>
          <w:highlight w:val="none"/>
          <w:lang w:val="zh-CN" w:eastAsia="zh-CN" w:bidi="ar-SA"/>
        </w:rPr>
        <w:t>绩效分析</w:t>
      </w:r>
      <w:r>
        <w:rPr>
          <w:rFonts w:hint="eastAsia" w:ascii="仿宋_GB2312" w:hAnsi="仿宋_GB2312" w:eastAsia="仿宋_GB2312" w:cs="仿宋_GB2312"/>
          <w:color w:val="auto"/>
          <w:kern w:val="2"/>
          <w:sz w:val="32"/>
          <w:szCs w:val="32"/>
          <w:highlight w:val="none"/>
          <w:lang w:val="zh-CN" w:eastAsia="zh-CN" w:bidi="ar-SA"/>
        </w:rPr>
        <w:t>并评分</w:t>
      </w:r>
      <w:r>
        <w:rPr>
          <w:rFonts w:hint="default" w:ascii="仿宋_GB2312" w:hAnsi="仿宋_GB2312" w:eastAsia="仿宋_GB2312" w:cs="仿宋_GB2312"/>
          <w:color w:val="auto"/>
          <w:kern w:val="2"/>
          <w:sz w:val="32"/>
          <w:szCs w:val="32"/>
          <w:highlight w:val="none"/>
          <w:lang w:val="zh-CN" w:eastAsia="zh-CN" w:bidi="ar-SA"/>
        </w:rPr>
        <w:t>，依次包括履职效能、预算管理、财务管理、资产管理、采购管理等情况。</w:t>
      </w:r>
    </w:p>
    <w:p w14:paraId="6AB5651E">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1.</w:t>
      </w:r>
      <w:r>
        <w:rPr>
          <w:rFonts w:hint="eastAsia" w:ascii="仿宋_GB2312" w:hAnsi="仿宋_GB2312" w:eastAsia="仿宋_GB2312" w:cs="仿宋_GB2312"/>
          <w:b/>
          <w:bCs/>
          <w:color w:val="auto"/>
          <w:kern w:val="2"/>
          <w:sz w:val="32"/>
          <w:szCs w:val="32"/>
          <w:highlight w:val="none"/>
          <w:lang w:val="zh-CN" w:eastAsia="zh-CN" w:bidi="ar-SA"/>
        </w:rPr>
        <w:t>履职效能。</w:t>
      </w:r>
      <w:r>
        <w:rPr>
          <w:rFonts w:hint="eastAsia" w:ascii="仿宋_GB2312" w:hAnsi="仿宋_GB2312" w:eastAsia="仿宋_GB2312" w:cs="仿宋_GB2312"/>
          <w:color w:val="auto"/>
          <w:kern w:val="2"/>
          <w:sz w:val="32"/>
          <w:szCs w:val="32"/>
          <w:highlight w:val="none"/>
          <w:lang w:val="en-US" w:eastAsia="zh-CN" w:bidi="ar-SA"/>
        </w:rPr>
        <w:t>本年度医院严格按照《政府会计制度》《事业单位财务规则》及相关财政管理要求，扎实推进年度财务决算工作。各部门协同配合，数据填报及时准确，报表体系完整规范，财务分析深入细致，顺利完成了年终决算编制、审核、上报及信息公开等各项任务，实现了账实相符、账账相符、账表一致的目标，为医院战略决策和运营管理提供了有力支撑。</w:t>
      </w:r>
    </w:p>
    <w:p w14:paraId="2A7B48E7">
      <w:pPr>
        <w:pStyle w:val="16"/>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540" w:lineRule="exact"/>
        <w:ind w:right="0" w:rightChars="0" w:firstLine="643"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w:t>
      </w:r>
      <w:r>
        <w:rPr>
          <w:rFonts w:hint="default" w:ascii="Times New Roman" w:hAnsi="Times New Roman" w:eastAsia="仿宋_GB2312" w:cs="仿宋_GB2312"/>
          <w:b/>
          <w:bCs/>
          <w:color w:val="auto"/>
          <w:kern w:val="2"/>
          <w:sz w:val="32"/>
          <w:szCs w:val="32"/>
          <w:highlight w:val="none"/>
          <w:lang w:val="zh-CN" w:eastAsia="zh-CN" w:bidi="ar-SA"/>
        </w:rPr>
        <w:t>预算管理</w:t>
      </w:r>
      <w:r>
        <w:rPr>
          <w:rFonts w:hint="eastAsia" w:ascii="Times New Roman" w:hAnsi="Times New Roman" w:eastAsia="仿宋_GB2312" w:cs="仿宋_GB2312"/>
          <w:b/>
          <w:bCs/>
          <w:color w:val="auto"/>
          <w:kern w:val="2"/>
          <w:sz w:val="32"/>
          <w:szCs w:val="32"/>
          <w:highlight w:val="none"/>
          <w:lang w:val="zh-CN" w:eastAsia="zh-CN" w:bidi="ar-SA"/>
        </w:rPr>
        <w:t>。</w:t>
      </w:r>
      <w:r>
        <w:rPr>
          <w:rFonts w:hint="eastAsia" w:ascii="仿宋_GB2312" w:hAnsi="仿宋_GB2312" w:eastAsia="仿宋_GB2312" w:cs="仿宋_GB2312"/>
          <w:color w:val="auto"/>
          <w:kern w:val="2"/>
          <w:sz w:val="32"/>
          <w:szCs w:val="32"/>
          <w:highlight w:val="none"/>
          <w:lang w:val="en-US" w:eastAsia="zh-CN" w:bidi="ar-SA"/>
        </w:rPr>
        <w:t>我单位加强和规范内部控制，提高内部管理水平和风险防范能力，杜绝违法违纪行为，推进廉政建设，维护社会公众利益，根据《中华人民共和国会计法》、《中华人民共和国预算法》、《行政事业单位内部控制规范》(试行)和其他有关法律法规。</w:t>
      </w:r>
    </w:p>
    <w:p w14:paraId="2DEF0DE3">
      <w:pPr>
        <w:pStyle w:val="16"/>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540" w:lineRule="exact"/>
        <w:ind w:right="0" w:rightChars="0" w:firstLine="643"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w:t>
      </w:r>
      <w:r>
        <w:rPr>
          <w:rFonts w:hint="default" w:ascii="Times New Roman" w:hAnsi="Times New Roman" w:eastAsia="仿宋_GB2312" w:cs="仿宋_GB2312"/>
          <w:b/>
          <w:bCs/>
          <w:color w:val="auto"/>
          <w:kern w:val="2"/>
          <w:sz w:val="32"/>
          <w:szCs w:val="32"/>
          <w:highlight w:val="none"/>
          <w:lang w:val="zh-CN" w:eastAsia="zh-CN" w:bidi="ar-SA"/>
        </w:rPr>
        <w:t>财务管理</w:t>
      </w:r>
      <w:r>
        <w:rPr>
          <w:rFonts w:hint="eastAsia" w:ascii="Times New Roman" w:hAnsi="Times New Roman" w:eastAsia="仿宋_GB2312" w:cs="仿宋_GB2312"/>
          <w:b/>
          <w:bCs/>
          <w:color w:val="auto"/>
          <w:kern w:val="2"/>
          <w:sz w:val="32"/>
          <w:szCs w:val="32"/>
          <w:highlight w:val="none"/>
          <w:lang w:val="zh-CN" w:eastAsia="zh-CN" w:bidi="ar-SA"/>
        </w:rPr>
        <w:t>。</w:t>
      </w:r>
      <w:r>
        <w:rPr>
          <w:rFonts w:hint="eastAsia" w:ascii="仿宋_GB2312" w:hAnsi="仿宋_GB2312" w:eastAsia="仿宋_GB2312" w:cs="仿宋_GB2312"/>
          <w:color w:val="auto"/>
          <w:kern w:val="2"/>
          <w:sz w:val="32"/>
          <w:szCs w:val="32"/>
          <w:highlight w:val="none"/>
          <w:lang w:val="en-US" w:eastAsia="zh-CN" w:bidi="ar-SA"/>
        </w:rPr>
        <w:t>经核对我单位2024年度总账、明细账、决算报表，其结果账账、账表相符；财务信息资料真实、完整、准确。</w:t>
      </w:r>
    </w:p>
    <w:p w14:paraId="2BD29B8D">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4.</w:t>
      </w:r>
      <w:r>
        <w:rPr>
          <w:rFonts w:hint="default" w:ascii="Times New Roman" w:hAnsi="Times New Roman" w:eastAsia="仿宋_GB2312" w:cs="仿宋_GB2312"/>
          <w:b/>
          <w:bCs/>
          <w:color w:val="auto"/>
          <w:kern w:val="2"/>
          <w:sz w:val="32"/>
          <w:szCs w:val="32"/>
          <w:highlight w:val="none"/>
          <w:lang w:val="zh-CN" w:eastAsia="zh-CN" w:bidi="ar-SA"/>
        </w:rPr>
        <w:t>资产管理</w:t>
      </w:r>
      <w:r>
        <w:rPr>
          <w:rFonts w:hint="eastAsia" w:ascii="Times New Roman" w:hAnsi="Times New Roman" w:eastAsia="仿宋_GB2312" w:cs="仿宋_GB2312"/>
          <w:b/>
          <w:bCs/>
          <w:color w:val="auto"/>
          <w:kern w:val="2"/>
          <w:sz w:val="32"/>
          <w:szCs w:val="32"/>
          <w:highlight w:val="none"/>
          <w:lang w:val="zh-CN" w:eastAsia="zh-CN" w:bidi="ar-SA"/>
        </w:rPr>
        <w:t>。</w:t>
      </w:r>
      <w:r>
        <w:rPr>
          <w:rFonts w:hint="eastAsia" w:ascii="仿宋_GB2312" w:hAnsi="仿宋_GB2312" w:eastAsia="仿宋_GB2312" w:cs="仿宋_GB2312"/>
          <w:color w:val="auto"/>
          <w:kern w:val="2"/>
          <w:sz w:val="32"/>
          <w:szCs w:val="32"/>
          <w:highlight w:val="none"/>
          <w:lang w:val="en-US" w:eastAsia="zh-CN" w:bidi="ar-SA"/>
        </w:rPr>
        <w:t>组织开展全院资产盘点，覆盖率达100%，账实相符率提升至100%；完善资产卡片信息登记。</w:t>
      </w:r>
    </w:p>
    <w:p w14:paraId="73303F18">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b/>
          <w:bCs/>
          <w:color w:val="auto"/>
          <w:kern w:val="2"/>
          <w:sz w:val="32"/>
          <w:szCs w:val="32"/>
          <w:highlight w:val="none"/>
          <w:lang w:val="en-US" w:eastAsia="zh-CN" w:bidi="ar-SA"/>
        </w:rPr>
        <w:t>5.</w:t>
      </w:r>
      <w:r>
        <w:rPr>
          <w:rFonts w:hint="default" w:ascii="仿宋_GB2312" w:hAnsi="仿宋_GB2312" w:eastAsia="仿宋_GB2312" w:cs="仿宋_GB2312"/>
          <w:b/>
          <w:bCs/>
          <w:color w:val="auto"/>
          <w:kern w:val="2"/>
          <w:sz w:val="32"/>
          <w:szCs w:val="32"/>
          <w:highlight w:val="none"/>
          <w:lang w:val="zh-CN" w:eastAsia="zh-CN" w:bidi="ar-SA"/>
        </w:rPr>
        <w:t>采购管理</w:t>
      </w:r>
      <w:r>
        <w:rPr>
          <w:rFonts w:hint="eastAsia" w:ascii="仿宋_GB2312" w:hAnsi="仿宋_GB2312" w:eastAsia="仿宋_GB2312" w:cs="仿宋_GB2312"/>
          <w:b/>
          <w:bCs/>
          <w:color w:val="auto"/>
          <w:kern w:val="2"/>
          <w:sz w:val="32"/>
          <w:szCs w:val="32"/>
          <w:highlight w:val="none"/>
          <w:lang w:val="zh-CN" w:eastAsia="zh-CN" w:bidi="ar-SA"/>
        </w:rPr>
        <w:t>。</w:t>
      </w:r>
      <w:r>
        <w:rPr>
          <w:rFonts w:hint="eastAsia" w:ascii="仿宋_GB2312" w:hAnsi="仿宋_GB2312" w:eastAsia="仿宋_GB2312" w:cs="仿宋_GB2312"/>
          <w:color w:val="auto"/>
          <w:kern w:val="2"/>
          <w:sz w:val="32"/>
          <w:szCs w:val="32"/>
          <w:highlight w:val="none"/>
          <w:lang w:val="zh-CN" w:eastAsia="zh-CN" w:bidi="ar-SA"/>
        </w:rPr>
        <w:t>围绕支持中小企业发展、采购执行率</w:t>
      </w:r>
      <w:r>
        <w:rPr>
          <w:rFonts w:hint="default" w:ascii="仿宋_GB2312" w:hAnsi="仿宋_GB2312" w:eastAsia="仿宋_GB2312" w:cs="仿宋_GB2312"/>
          <w:color w:val="auto"/>
          <w:kern w:val="2"/>
          <w:sz w:val="32"/>
          <w:szCs w:val="32"/>
          <w:highlight w:val="none"/>
          <w:lang w:val="zh-CN" w:eastAsia="zh-CN" w:bidi="ar-SA"/>
        </w:rPr>
        <w:t>进行绩效分析</w:t>
      </w:r>
      <w:r>
        <w:rPr>
          <w:rFonts w:hint="eastAsia" w:ascii="仿宋_GB2312" w:hAnsi="仿宋_GB2312" w:eastAsia="仿宋_GB2312" w:cs="仿宋_GB2312"/>
          <w:color w:val="auto"/>
          <w:kern w:val="2"/>
          <w:sz w:val="32"/>
          <w:szCs w:val="32"/>
          <w:highlight w:val="none"/>
          <w:lang w:val="zh-CN" w:eastAsia="zh-CN" w:bidi="ar-SA"/>
        </w:rPr>
        <w:t>。</w:t>
      </w:r>
    </w:p>
    <w:p w14:paraId="5108FA13">
      <w:pPr>
        <w:keepNext w:val="0"/>
        <w:keepLines w:val="0"/>
        <w:pageBreakBefore w:val="0"/>
        <w:widowControl w:val="0"/>
        <w:numPr>
          <w:ilvl w:val="0"/>
          <w:numId w:val="0"/>
        </w:numPr>
        <w:kinsoku/>
        <w:wordWrap/>
        <w:overflowPunct/>
        <w:topLinePunct w:val="0"/>
        <w:autoSpaceDE/>
        <w:autoSpaceDN/>
        <w:bidi w:val="0"/>
        <w:adjustRightInd w:val="0"/>
        <w:snapToGrid w:val="0"/>
        <w:spacing w:line="578" w:lineRule="exact"/>
        <w:ind w:firstLine="643" w:firstLineChars="200"/>
        <w:contextualSpacing/>
        <w:jc w:val="both"/>
        <w:textAlignment w:val="auto"/>
        <w:outlineLvl w:val="9"/>
        <w:rPr>
          <w:rFonts w:hint="default" w:ascii="仿宋_GB2312" w:hAnsi="仿宋_GB2312" w:eastAsia="仿宋_GB2312" w:cs="仿宋_GB2312"/>
          <w:color w:val="auto"/>
          <w:kern w:val="2"/>
          <w:sz w:val="32"/>
          <w:szCs w:val="32"/>
          <w:highlight w:val="none"/>
          <w:lang w:val="en-US"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rPr>
        <w:t>（二）部门预算项目绩效分析。</w:t>
      </w:r>
      <w:r>
        <w:rPr>
          <w:rFonts w:hint="eastAsia" w:ascii="仿宋_GB2312" w:hAnsi="仿宋_GB2312" w:eastAsia="仿宋_GB2312" w:cs="仿宋_GB2312"/>
          <w:color w:val="auto"/>
          <w:kern w:val="2"/>
          <w:sz w:val="32"/>
          <w:szCs w:val="32"/>
          <w:highlight w:val="none"/>
          <w:lang w:val="zh-CN" w:eastAsia="zh-CN" w:bidi="ar-SA"/>
        </w:rPr>
        <w:t>填报以下数据，并</w:t>
      </w:r>
      <w:r>
        <w:rPr>
          <w:rFonts w:hint="default" w:ascii="仿宋_GB2312" w:hAnsi="仿宋_GB2312" w:eastAsia="仿宋_GB2312" w:cs="仿宋_GB2312"/>
          <w:color w:val="auto"/>
          <w:kern w:val="2"/>
          <w:sz w:val="32"/>
          <w:szCs w:val="32"/>
          <w:highlight w:val="none"/>
          <w:lang w:val="zh-CN" w:eastAsia="zh-CN" w:bidi="ar-SA"/>
        </w:rPr>
        <w:t>根据部门预算绩效评价指标体系</w:t>
      </w:r>
      <w:r>
        <w:rPr>
          <w:rFonts w:hint="eastAsia" w:ascii="仿宋_GB2312" w:hAnsi="仿宋_GB2312" w:eastAsia="仿宋_GB2312" w:cs="仿宋_GB2312"/>
          <w:color w:val="auto"/>
          <w:kern w:val="2"/>
          <w:sz w:val="32"/>
          <w:szCs w:val="32"/>
          <w:highlight w:val="none"/>
          <w:lang w:val="zh-CN" w:eastAsia="zh-CN" w:bidi="ar-SA"/>
        </w:rPr>
        <w:t>“</w:t>
      </w:r>
      <w:r>
        <w:rPr>
          <w:rFonts w:hint="default" w:ascii="仿宋_GB2312" w:hAnsi="仿宋_GB2312" w:eastAsia="仿宋_GB2312" w:cs="仿宋_GB2312"/>
          <w:color w:val="auto"/>
          <w:kern w:val="2"/>
          <w:sz w:val="32"/>
          <w:szCs w:val="32"/>
          <w:highlight w:val="none"/>
          <w:lang w:val="zh-CN" w:eastAsia="zh-CN" w:bidi="ar-SA"/>
        </w:rPr>
        <w:t>项目绩效</w:t>
      </w:r>
      <w:r>
        <w:rPr>
          <w:rFonts w:hint="eastAsia" w:ascii="仿宋_GB2312" w:hAnsi="仿宋_GB2312" w:eastAsia="仿宋_GB2312" w:cs="仿宋_GB2312"/>
          <w:color w:val="auto"/>
          <w:kern w:val="2"/>
          <w:sz w:val="32"/>
          <w:szCs w:val="32"/>
          <w:highlight w:val="none"/>
          <w:lang w:val="zh-CN" w:eastAsia="zh-CN" w:bidi="ar-SA"/>
        </w:rPr>
        <w:t>”</w:t>
      </w:r>
      <w:r>
        <w:rPr>
          <w:rFonts w:hint="default" w:ascii="仿宋_GB2312" w:hAnsi="仿宋_GB2312" w:eastAsia="仿宋_GB2312" w:cs="仿宋_GB2312"/>
          <w:color w:val="auto"/>
          <w:kern w:val="2"/>
          <w:sz w:val="32"/>
          <w:szCs w:val="32"/>
          <w:highlight w:val="none"/>
          <w:lang w:val="zh-CN" w:eastAsia="zh-CN" w:bidi="ar-SA"/>
        </w:rPr>
        <w:t>涉及</w:t>
      </w:r>
      <w:r>
        <w:rPr>
          <w:rFonts w:hint="eastAsia" w:ascii="仿宋_GB2312" w:hAnsi="仿宋_GB2312" w:eastAsia="仿宋_GB2312" w:cs="仿宋_GB2312"/>
          <w:color w:val="auto"/>
          <w:kern w:val="2"/>
          <w:sz w:val="32"/>
          <w:szCs w:val="32"/>
          <w:highlight w:val="none"/>
          <w:lang w:val="zh-CN" w:eastAsia="zh-CN" w:bidi="ar-SA"/>
        </w:rPr>
        <w:t>二、三级</w:t>
      </w:r>
      <w:r>
        <w:rPr>
          <w:rFonts w:hint="default" w:ascii="仿宋_GB2312" w:hAnsi="仿宋_GB2312" w:eastAsia="仿宋_GB2312" w:cs="仿宋_GB2312"/>
          <w:color w:val="auto"/>
          <w:kern w:val="2"/>
          <w:sz w:val="32"/>
          <w:szCs w:val="32"/>
          <w:highlight w:val="none"/>
          <w:lang w:val="zh-CN" w:eastAsia="zh-CN" w:bidi="ar-SA"/>
        </w:rPr>
        <w:t>指标进行</w:t>
      </w:r>
      <w:r>
        <w:rPr>
          <w:rFonts w:hint="eastAsia" w:ascii="仿宋_GB2312" w:hAnsi="仿宋_GB2312" w:eastAsia="仿宋_GB2312" w:cs="仿宋_GB2312"/>
          <w:color w:val="auto"/>
          <w:kern w:val="2"/>
          <w:sz w:val="32"/>
          <w:szCs w:val="32"/>
          <w:highlight w:val="none"/>
          <w:lang w:val="zh-CN" w:eastAsia="zh-CN" w:bidi="ar-SA"/>
        </w:rPr>
        <w:t>逐项</w:t>
      </w:r>
      <w:r>
        <w:rPr>
          <w:rFonts w:hint="default" w:ascii="仿宋_GB2312" w:hAnsi="仿宋_GB2312" w:eastAsia="仿宋_GB2312" w:cs="仿宋_GB2312"/>
          <w:color w:val="auto"/>
          <w:kern w:val="2"/>
          <w:sz w:val="32"/>
          <w:szCs w:val="32"/>
          <w:highlight w:val="none"/>
          <w:lang w:val="zh-CN" w:eastAsia="zh-CN" w:bidi="ar-SA"/>
        </w:rPr>
        <w:t>绩效分析</w:t>
      </w:r>
      <w:r>
        <w:rPr>
          <w:rFonts w:hint="eastAsia" w:ascii="仿宋_GB2312" w:hAnsi="仿宋_GB2312" w:eastAsia="仿宋_GB2312" w:cs="仿宋_GB2312"/>
          <w:color w:val="auto"/>
          <w:kern w:val="2"/>
          <w:sz w:val="32"/>
          <w:szCs w:val="32"/>
          <w:highlight w:val="none"/>
          <w:lang w:val="zh-CN" w:eastAsia="zh-CN" w:bidi="ar-SA"/>
        </w:rPr>
        <w:t>并评分</w:t>
      </w:r>
      <w:r>
        <w:rPr>
          <w:rFonts w:hint="default" w:ascii="仿宋_GB2312" w:hAnsi="仿宋_GB2312" w:eastAsia="仿宋_GB2312" w:cs="仿宋_GB2312"/>
          <w:color w:val="auto"/>
          <w:kern w:val="2"/>
          <w:sz w:val="32"/>
          <w:szCs w:val="32"/>
          <w:highlight w:val="none"/>
          <w:lang w:val="zh-CN" w:eastAsia="zh-CN" w:bidi="ar-SA"/>
        </w:rPr>
        <w:t>，依次包括项目</w:t>
      </w:r>
      <w:r>
        <w:rPr>
          <w:rFonts w:hint="default" w:ascii="仿宋_GB2312" w:hAnsi="仿宋_GB2312" w:eastAsia="仿宋_GB2312" w:cs="仿宋_GB2312"/>
          <w:color w:val="auto"/>
          <w:kern w:val="2"/>
          <w:sz w:val="32"/>
          <w:szCs w:val="32"/>
          <w:highlight w:val="none"/>
          <w:lang w:val="en-US" w:eastAsia="zh-CN" w:bidi="ar-SA"/>
        </w:rPr>
        <w:t>决策、项目执行、目标实现等情况</w:t>
      </w:r>
      <w:r>
        <w:rPr>
          <w:rFonts w:hint="eastAsia" w:ascii="仿宋_GB2312" w:hAnsi="仿宋_GB2312" w:eastAsia="仿宋_GB2312" w:cs="仿宋_GB2312"/>
          <w:color w:val="auto"/>
          <w:kern w:val="2"/>
          <w:sz w:val="32"/>
          <w:szCs w:val="32"/>
          <w:highlight w:val="none"/>
          <w:lang w:val="en-US" w:eastAsia="zh-CN" w:bidi="ar-SA"/>
        </w:rPr>
        <w:t>。</w:t>
      </w:r>
    </w:p>
    <w:p w14:paraId="66FAFE09">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仿宋_GB2312" w:hAnsi="仿宋_GB2312" w:eastAsia="仿宋_GB2312" w:cs="仿宋_GB2312"/>
          <w:color w:val="auto"/>
          <w:kern w:val="2"/>
          <w:sz w:val="32"/>
          <w:szCs w:val="32"/>
          <w:highlight w:val="none"/>
          <w:lang w:val="zh-CN" w:eastAsia="zh-CN" w:bidi="ar-SA"/>
        </w:rPr>
      </w:pPr>
      <w:r>
        <w:rPr>
          <w:rFonts w:hint="default" w:ascii="仿宋_GB2312" w:hAnsi="仿宋_GB2312" w:eastAsia="仿宋_GB2312" w:cs="仿宋_GB2312"/>
          <w:b/>
          <w:bCs/>
          <w:color w:val="auto"/>
          <w:kern w:val="2"/>
          <w:sz w:val="32"/>
          <w:szCs w:val="32"/>
          <w:highlight w:val="none"/>
          <w:lang w:val="en-US" w:eastAsia="zh-CN" w:bidi="ar-SA"/>
        </w:rPr>
        <w:t>常年项目绩效分析。</w:t>
      </w:r>
      <w:r>
        <w:rPr>
          <w:rFonts w:hint="default" w:ascii="仿宋_GB2312" w:hAnsi="仿宋_GB2312" w:eastAsia="仿宋_GB2312" w:cs="仿宋_GB2312"/>
          <w:color w:val="auto"/>
          <w:kern w:val="2"/>
          <w:sz w:val="32"/>
          <w:szCs w:val="32"/>
          <w:highlight w:val="none"/>
          <w:lang w:val="zh-CN" w:eastAsia="zh-CN" w:bidi="ar-SA"/>
        </w:rPr>
        <w:t>该类项目总数</w:t>
      </w:r>
      <w:r>
        <w:rPr>
          <w:rFonts w:hint="eastAsia" w:ascii="仿宋_GB2312" w:hAnsi="仿宋_GB2312" w:eastAsia="仿宋_GB2312" w:cs="仿宋_GB2312"/>
          <w:color w:val="auto"/>
          <w:kern w:val="2"/>
          <w:sz w:val="32"/>
          <w:szCs w:val="32"/>
          <w:highlight w:val="none"/>
          <w:lang w:val="en-US" w:eastAsia="zh-CN" w:bidi="ar-SA"/>
        </w:rPr>
        <w:t>2</w:t>
      </w:r>
      <w:r>
        <w:rPr>
          <w:rFonts w:hint="default" w:ascii="仿宋_GB2312" w:hAnsi="仿宋_GB2312" w:eastAsia="仿宋_GB2312" w:cs="仿宋_GB2312"/>
          <w:color w:val="auto"/>
          <w:kern w:val="2"/>
          <w:sz w:val="32"/>
          <w:szCs w:val="32"/>
          <w:highlight w:val="none"/>
          <w:lang w:val="zh-CN" w:eastAsia="zh-CN" w:bidi="ar-SA"/>
        </w:rPr>
        <w:t>个，涉及预算总金额</w:t>
      </w:r>
      <w:r>
        <w:rPr>
          <w:rFonts w:hint="eastAsia" w:ascii="仿宋_GB2312" w:hAnsi="仿宋_GB2312" w:eastAsia="仿宋_GB2312" w:cs="仿宋_GB2312"/>
          <w:color w:val="auto"/>
          <w:kern w:val="2"/>
          <w:sz w:val="32"/>
          <w:szCs w:val="32"/>
          <w:highlight w:val="none"/>
          <w:lang w:val="en-US" w:eastAsia="zh-CN" w:bidi="ar-SA"/>
        </w:rPr>
        <w:t>2.3</w:t>
      </w:r>
      <w:r>
        <w:rPr>
          <w:rFonts w:hint="default" w:ascii="仿宋_GB2312" w:hAnsi="仿宋_GB2312" w:eastAsia="仿宋_GB2312" w:cs="仿宋_GB2312"/>
          <w:color w:val="auto"/>
          <w:kern w:val="2"/>
          <w:sz w:val="32"/>
          <w:szCs w:val="32"/>
          <w:highlight w:val="none"/>
          <w:lang w:val="zh-CN" w:eastAsia="zh-CN" w:bidi="ar-SA"/>
        </w:rPr>
        <w:t>万元，1</w:t>
      </w:r>
      <w:r>
        <w:rPr>
          <w:rFonts w:hint="eastAsia" w:ascii="仿宋_GB2312" w:hAnsi="仿宋_GB2312" w:eastAsia="仿宋_GB2312" w:cs="仿宋_GB2312"/>
          <w:color w:val="auto"/>
          <w:kern w:val="2"/>
          <w:sz w:val="32"/>
          <w:szCs w:val="32"/>
          <w:highlight w:val="none"/>
          <w:lang w:val="zh-CN" w:eastAsia="zh-CN" w:bidi="ar-SA"/>
        </w:rPr>
        <w:t>—</w:t>
      </w:r>
      <w:r>
        <w:rPr>
          <w:rFonts w:hint="default" w:ascii="仿宋_GB2312" w:hAnsi="仿宋_GB2312" w:eastAsia="仿宋_GB2312" w:cs="仿宋_GB2312"/>
          <w:color w:val="auto"/>
          <w:kern w:val="2"/>
          <w:sz w:val="32"/>
          <w:szCs w:val="32"/>
          <w:highlight w:val="none"/>
          <w:lang w:val="zh-CN" w:eastAsia="zh-CN" w:bidi="ar-SA"/>
        </w:rPr>
        <w:t>1</w:t>
      </w:r>
      <w:r>
        <w:rPr>
          <w:rFonts w:hint="default" w:ascii="仿宋_GB2312" w:hAnsi="仿宋_GB2312" w:eastAsia="仿宋_GB2312" w:cs="仿宋_GB2312"/>
          <w:color w:val="auto"/>
          <w:kern w:val="2"/>
          <w:sz w:val="32"/>
          <w:szCs w:val="32"/>
          <w:highlight w:val="none"/>
          <w:lang w:val="en-US" w:eastAsia="zh-CN" w:bidi="ar-SA"/>
        </w:rPr>
        <w:t>2</w:t>
      </w:r>
      <w:r>
        <w:rPr>
          <w:rFonts w:hint="default" w:ascii="仿宋_GB2312" w:hAnsi="仿宋_GB2312" w:eastAsia="仿宋_GB2312" w:cs="仿宋_GB2312"/>
          <w:color w:val="auto"/>
          <w:kern w:val="2"/>
          <w:sz w:val="32"/>
          <w:szCs w:val="32"/>
          <w:highlight w:val="none"/>
          <w:lang w:val="zh-CN" w:eastAsia="zh-CN" w:bidi="ar-SA"/>
        </w:rPr>
        <w:t>月预算执行总体进度为</w:t>
      </w:r>
      <w:r>
        <w:rPr>
          <w:rFonts w:hint="eastAsia" w:ascii="仿宋_GB2312" w:hAnsi="仿宋_GB2312" w:eastAsia="仿宋_GB2312" w:cs="仿宋_GB2312"/>
          <w:color w:val="auto"/>
          <w:kern w:val="2"/>
          <w:sz w:val="32"/>
          <w:szCs w:val="32"/>
          <w:highlight w:val="none"/>
          <w:lang w:val="en-US" w:eastAsia="zh-CN" w:bidi="ar-SA"/>
        </w:rPr>
        <w:t>100</w:t>
      </w:r>
      <w:r>
        <w:rPr>
          <w:rFonts w:hint="default" w:ascii="仿宋_GB2312" w:hAnsi="仿宋_GB2312" w:eastAsia="仿宋_GB2312" w:cs="仿宋_GB2312"/>
          <w:color w:val="auto"/>
          <w:kern w:val="2"/>
          <w:sz w:val="32"/>
          <w:szCs w:val="32"/>
          <w:highlight w:val="none"/>
          <w:lang w:val="zh-CN" w:eastAsia="zh-CN" w:bidi="ar-SA"/>
        </w:rPr>
        <w:t>%，其中：预算结余率大于</w:t>
      </w:r>
      <w:r>
        <w:rPr>
          <w:rFonts w:hint="default" w:ascii="仿宋_GB2312" w:hAnsi="仿宋_GB2312" w:eastAsia="仿宋_GB2312" w:cs="仿宋_GB2312"/>
          <w:color w:val="auto"/>
          <w:kern w:val="2"/>
          <w:sz w:val="32"/>
          <w:szCs w:val="32"/>
          <w:highlight w:val="none"/>
          <w:lang w:val="en-US" w:eastAsia="zh-CN" w:bidi="ar-SA"/>
        </w:rPr>
        <w:t>10%</w:t>
      </w:r>
      <w:r>
        <w:rPr>
          <w:rFonts w:hint="default" w:ascii="仿宋_GB2312" w:hAnsi="仿宋_GB2312" w:eastAsia="仿宋_GB2312" w:cs="仿宋_GB2312"/>
          <w:color w:val="auto"/>
          <w:kern w:val="2"/>
          <w:sz w:val="32"/>
          <w:szCs w:val="32"/>
          <w:highlight w:val="none"/>
          <w:lang w:val="zh-CN" w:eastAsia="zh-CN" w:bidi="ar-SA"/>
        </w:rPr>
        <w:t>的项目共计</w:t>
      </w:r>
      <w:r>
        <w:rPr>
          <w:rFonts w:hint="eastAsia" w:ascii="仿宋_GB2312" w:hAnsi="仿宋_GB2312" w:eastAsia="仿宋_GB2312" w:cs="仿宋_GB2312"/>
          <w:color w:val="auto"/>
          <w:kern w:val="2"/>
          <w:sz w:val="32"/>
          <w:szCs w:val="32"/>
          <w:highlight w:val="none"/>
          <w:lang w:val="en-US" w:eastAsia="zh-CN" w:bidi="ar-SA"/>
        </w:rPr>
        <w:t>0</w:t>
      </w:r>
      <w:r>
        <w:rPr>
          <w:rFonts w:hint="default" w:ascii="仿宋_GB2312" w:hAnsi="仿宋_GB2312" w:eastAsia="仿宋_GB2312" w:cs="仿宋_GB2312"/>
          <w:color w:val="auto"/>
          <w:kern w:val="2"/>
          <w:sz w:val="32"/>
          <w:szCs w:val="32"/>
          <w:highlight w:val="none"/>
          <w:lang w:val="zh-CN" w:eastAsia="zh-CN" w:bidi="ar-SA"/>
        </w:rPr>
        <w:t>个。</w:t>
      </w:r>
    </w:p>
    <w:p w14:paraId="415F211E">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仿宋_GB2312" w:hAnsi="仿宋_GB2312" w:eastAsia="仿宋_GB2312" w:cs="仿宋_GB2312"/>
          <w:color w:val="auto"/>
          <w:kern w:val="2"/>
          <w:sz w:val="32"/>
          <w:szCs w:val="32"/>
          <w:highlight w:val="none"/>
          <w:lang w:val="zh-CN" w:eastAsia="zh-CN" w:bidi="ar-SA"/>
        </w:rPr>
      </w:pPr>
      <w:r>
        <w:rPr>
          <w:rFonts w:hint="default" w:ascii="仿宋_GB2312" w:hAnsi="仿宋_GB2312" w:eastAsia="仿宋_GB2312" w:cs="仿宋_GB2312"/>
          <w:b/>
          <w:bCs/>
          <w:color w:val="auto"/>
          <w:kern w:val="2"/>
          <w:sz w:val="32"/>
          <w:szCs w:val="32"/>
          <w:highlight w:val="none"/>
          <w:lang w:val="en-US" w:eastAsia="zh-CN" w:bidi="ar-SA"/>
        </w:rPr>
        <w:t>阶段</w:t>
      </w:r>
      <w:r>
        <w:rPr>
          <w:rFonts w:hint="eastAsia" w:ascii="仿宋_GB2312" w:hAnsi="仿宋_GB2312" w:eastAsia="仿宋_GB2312" w:cs="仿宋_GB2312"/>
          <w:b/>
          <w:bCs/>
          <w:color w:val="auto"/>
          <w:kern w:val="2"/>
          <w:sz w:val="32"/>
          <w:szCs w:val="32"/>
          <w:highlight w:val="none"/>
          <w:lang w:val="en-US" w:eastAsia="zh-CN" w:bidi="ar-SA"/>
        </w:rPr>
        <w:t>（</w:t>
      </w:r>
      <w:r>
        <w:rPr>
          <w:rFonts w:hint="default" w:ascii="仿宋_GB2312" w:hAnsi="仿宋_GB2312" w:eastAsia="仿宋_GB2312" w:cs="仿宋_GB2312"/>
          <w:b/>
          <w:bCs/>
          <w:color w:val="auto"/>
          <w:kern w:val="2"/>
          <w:sz w:val="32"/>
          <w:szCs w:val="32"/>
          <w:highlight w:val="none"/>
          <w:lang w:val="en-US" w:eastAsia="zh-CN" w:bidi="ar-SA"/>
        </w:rPr>
        <w:t>一次性</w:t>
      </w:r>
      <w:r>
        <w:rPr>
          <w:rFonts w:hint="eastAsia" w:ascii="仿宋_GB2312" w:hAnsi="仿宋_GB2312" w:eastAsia="仿宋_GB2312" w:cs="仿宋_GB2312"/>
          <w:b/>
          <w:bCs/>
          <w:color w:val="auto"/>
          <w:kern w:val="2"/>
          <w:sz w:val="32"/>
          <w:szCs w:val="32"/>
          <w:highlight w:val="none"/>
          <w:lang w:val="en-US" w:eastAsia="zh-CN" w:bidi="ar-SA"/>
        </w:rPr>
        <w:t>）</w:t>
      </w:r>
      <w:r>
        <w:rPr>
          <w:rFonts w:hint="default" w:ascii="仿宋_GB2312" w:hAnsi="仿宋_GB2312" w:eastAsia="仿宋_GB2312" w:cs="仿宋_GB2312"/>
          <w:b/>
          <w:bCs/>
          <w:color w:val="auto"/>
          <w:kern w:val="2"/>
          <w:sz w:val="32"/>
          <w:szCs w:val="32"/>
          <w:highlight w:val="none"/>
          <w:lang w:val="en-US" w:eastAsia="zh-CN" w:bidi="ar-SA"/>
        </w:rPr>
        <w:t>项目绩效分析。</w:t>
      </w:r>
      <w:r>
        <w:rPr>
          <w:rFonts w:hint="default" w:ascii="仿宋_GB2312" w:hAnsi="仿宋_GB2312" w:eastAsia="仿宋_GB2312" w:cs="仿宋_GB2312"/>
          <w:color w:val="auto"/>
          <w:kern w:val="2"/>
          <w:sz w:val="32"/>
          <w:szCs w:val="32"/>
          <w:highlight w:val="none"/>
          <w:lang w:val="zh-CN" w:eastAsia="zh-CN" w:bidi="ar-SA"/>
        </w:rPr>
        <w:t>该类项目总数</w:t>
      </w:r>
      <w:r>
        <w:rPr>
          <w:rFonts w:hint="eastAsia" w:ascii="仿宋_GB2312" w:hAnsi="仿宋_GB2312" w:eastAsia="仿宋_GB2312" w:cs="仿宋_GB2312"/>
          <w:color w:val="auto"/>
          <w:kern w:val="2"/>
          <w:sz w:val="32"/>
          <w:szCs w:val="32"/>
          <w:highlight w:val="none"/>
          <w:lang w:val="en-US" w:eastAsia="zh-CN" w:bidi="ar-SA"/>
        </w:rPr>
        <w:t>0</w:t>
      </w:r>
      <w:r>
        <w:rPr>
          <w:rFonts w:hint="default" w:ascii="仿宋_GB2312" w:hAnsi="仿宋_GB2312" w:eastAsia="仿宋_GB2312" w:cs="仿宋_GB2312"/>
          <w:color w:val="auto"/>
          <w:kern w:val="2"/>
          <w:sz w:val="32"/>
          <w:szCs w:val="32"/>
          <w:highlight w:val="none"/>
          <w:lang w:val="zh-CN" w:eastAsia="zh-CN" w:bidi="ar-SA"/>
        </w:rPr>
        <w:t>个，涉及预算总金额</w:t>
      </w:r>
      <w:r>
        <w:rPr>
          <w:rFonts w:hint="eastAsia" w:ascii="仿宋_GB2312" w:hAnsi="仿宋_GB2312" w:eastAsia="仿宋_GB2312" w:cs="仿宋_GB2312"/>
          <w:color w:val="auto"/>
          <w:kern w:val="2"/>
          <w:sz w:val="32"/>
          <w:szCs w:val="32"/>
          <w:highlight w:val="none"/>
          <w:lang w:val="en-US" w:eastAsia="zh-CN" w:bidi="ar-SA"/>
        </w:rPr>
        <w:t>0</w:t>
      </w:r>
      <w:r>
        <w:rPr>
          <w:rFonts w:hint="default" w:ascii="仿宋_GB2312" w:hAnsi="仿宋_GB2312" w:eastAsia="仿宋_GB2312" w:cs="仿宋_GB2312"/>
          <w:color w:val="auto"/>
          <w:kern w:val="2"/>
          <w:sz w:val="32"/>
          <w:szCs w:val="32"/>
          <w:highlight w:val="none"/>
          <w:lang w:val="zh-CN" w:eastAsia="zh-CN" w:bidi="ar-SA"/>
        </w:rPr>
        <w:t>万元，1</w:t>
      </w:r>
      <w:r>
        <w:rPr>
          <w:rFonts w:hint="eastAsia" w:ascii="仿宋_GB2312" w:hAnsi="仿宋_GB2312" w:eastAsia="仿宋_GB2312" w:cs="仿宋_GB2312"/>
          <w:color w:val="auto"/>
          <w:kern w:val="2"/>
          <w:sz w:val="32"/>
          <w:szCs w:val="32"/>
          <w:highlight w:val="none"/>
          <w:lang w:val="zh-CN" w:eastAsia="zh-CN" w:bidi="ar-SA"/>
        </w:rPr>
        <w:t>—</w:t>
      </w:r>
      <w:r>
        <w:rPr>
          <w:rFonts w:hint="default" w:ascii="仿宋_GB2312" w:hAnsi="仿宋_GB2312" w:eastAsia="仿宋_GB2312" w:cs="仿宋_GB2312"/>
          <w:color w:val="auto"/>
          <w:kern w:val="2"/>
          <w:sz w:val="32"/>
          <w:szCs w:val="32"/>
          <w:highlight w:val="none"/>
          <w:lang w:val="zh-CN" w:eastAsia="zh-CN" w:bidi="ar-SA"/>
        </w:rPr>
        <w:t>1</w:t>
      </w:r>
      <w:r>
        <w:rPr>
          <w:rFonts w:hint="default" w:ascii="仿宋_GB2312" w:hAnsi="仿宋_GB2312" w:eastAsia="仿宋_GB2312" w:cs="仿宋_GB2312"/>
          <w:color w:val="auto"/>
          <w:kern w:val="2"/>
          <w:sz w:val="32"/>
          <w:szCs w:val="32"/>
          <w:highlight w:val="none"/>
          <w:lang w:val="en-US" w:eastAsia="zh-CN" w:bidi="ar-SA"/>
        </w:rPr>
        <w:t>2</w:t>
      </w:r>
      <w:r>
        <w:rPr>
          <w:rFonts w:hint="default" w:ascii="仿宋_GB2312" w:hAnsi="仿宋_GB2312" w:eastAsia="仿宋_GB2312" w:cs="仿宋_GB2312"/>
          <w:color w:val="auto"/>
          <w:kern w:val="2"/>
          <w:sz w:val="32"/>
          <w:szCs w:val="32"/>
          <w:highlight w:val="none"/>
          <w:lang w:val="zh-CN" w:eastAsia="zh-CN" w:bidi="ar-SA"/>
        </w:rPr>
        <w:t>月预算执行总体进度为</w:t>
      </w:r>
      <w:r>
        <w:rPr>
          <w:rFonts w:hint="eastAsia" w:ascii="仿宋_GB2312" w:hAnsi="仿宋_GB2312" w:eastAsia="仿宋_GB2312" w:cs="仿宋_GB2312"/>
          <w:color w:val="auto"/>
          <w:kern w:val="2"/>
          <w:sz w:val="32"/>
          <w:szCs w:val="32"/>
          <w:highlight w:val="none"/>
          <w:lang w:val="en-US" w:eastAsia="zh-CN" w:bidi="ar-SA"/>
        </w:rPr>
        <w:t>0</w:t>
      </w:r>
      <w:r>
        <w:rPr>
          <w:rFonts w:hint="default" w:ascii="仿宋_GB2312" w:hAnsi="仿宋_GB2312" w:eastAsia="仿宋_GB2312" w:cs="仿宋_GB2312"/>
          <w:color w:val="auto"/>
          <w:kern w:val="2"/>
          <w:sz w:val="32"/>
          <w:szCs w:val="32"/>
          <w:highlight w:val="none"/>
          <w:lang w:val="zh-CN" w:eastAsia="zh-CN" w:bidi="ar-SA"/>
        </w:rPr>
        <w:t>%，其中：预算结余率大于</w:t>
      </w:r>
      <w:r>
        <w:rPr>
          <w:rFonts w:hint="default" w:ascii="仿宋_GB2312" w:hAnsi="仿宋_GB2312" w:eastAsia="仿宋_GB2312" w:cs="仿宋_GB2312"/>
          <w:color w:val="auto"/>
          <w:kern w:val="2"/>
          <w:sz w:val="32"/>
          <w:szCs w:val="32"/>
          <w:highlight w:val="none"/>
          <w:lang w:val="en-US" w:eastAsia="zh-CN" w:bidi="ar-SA"/>
        </w:rPr>
        <w:t>10%</w:t>
      </w:r>
      <w:r>
        <w:rPr>
          <w:rFonts w:hint="default" w:ascii="仿宋_GB2312" w:hAnsi="仿宋_GB2312" w:eastAsia="仿宋_GB2312" w:cs="仿宋_GB2312"/>
          <w:color w:val="auto"/>
          <w:kern w:val="2"/>
          <w:sz w:val="32"/>
          <w:szCs w:val="32"/>
          <w:highlight w:val="none"/>
          <w:lang w:val="zh-CN" w:eastAsia="zh-CN" w:bidi="ar-SA"/>
        </w:rPr>
        <w:t>的项目共计</w:t>
      </w:r>
      <w:r>
        <w:rPr>
          <w:rFonts w:hint="eastAsia" w:ascii="仿宋_GB2312" w:hAnsi="仿宋_GB2312" w:eastAsia="仿宋_GB2312" w:cs="仿宋_GB2312"/>
          <w:color w:val="auto"/>
          <w:kern w:val="2"/>
          <w:sz w:val="32"/>
          <w:szCs w:val="32"/>
          <w:highlight w:val="none"/>
          <w:lang w:val="en-US" w:eastAsia="zh-CN" w:bidi="ar-SA"/>
        </w:rPr>
        <w:t>0</w:t>
      </w:r>
      <w:r>
        <w:rPr>
          <w:rFonts w:hint="default" w:ascii="仿宋_GB2312" w:hAnsi="仿宋_GB2312" w:eastAsia="仿宋_GB2312" w:cs="仿宋_GB2312"/>
          <w:color w:val="auto"/>
          <w:kern w:val="2"/>
          <w:sz w:val="32"/>
          <w:szCs w:val="32"/>
          <w:highlight w:val="none"/>
          <w:lang w:val="zh-CN" w:eastAsia="zh-CN" w:bidi="ar-SA"/>
        </w:rPr>
        <w:t>个。</w:t>
      </w:r>
    </w:p>
    <w:p w14:paraId="1949BA41">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b/>
          <w:bCs/>
          <w:color w:val="auto"/>
          <w:kern w:val="2"/>
          <w:sz w:val="32"/>
          <w:szCs w:val="32"/>
          <w:highlight w:val="none"/>
          <w:lang w:val="en-US" w:eastAsia="zh-CN" w:bidi="ar-SA"/>
        </w:rPr>
        <w:t>1.</w:t>
      </w:r>
      <w:r>
        <w:rPr>
          <w:rFonts w:hint="eastAsia" w:ascii="仿宋_GB2312" w:hAnsi="仿宋_GB2312" w:eastAsia="仿宋_GB2312" w:cs="仿宋_GB2312"/>
          <w:b/>
          <w:bCs/>
          <w:color w:val="auto"/>
          <w:kern w:val="2"/>
          <w:sz w:val="32"/>
          <w:szCs w:val="32"/>
          <w:highlight w:val="none"/>
          <w:lang w:val="zh-CN" w:eastAsia="zh-CN" w:bidi="ar-SA"/>
        </w:rPr>
        <w:t>项目决策。</w:t>
      </w:r>
      <w:r>
        <w:rPr>
          <w:rFonts w:hint="eastAsia" w:ascii="仿宋_GB2312" w:hAnsi="仿宋_GB2312" w:eastAsia="仿宋_GB2312" w:cs="仿宋_GB2312"/>
          <w:color w:val="auto"/>
          <w:kern w:val="2"/>
          <w:sz w:val="32"/>
          <w:szCs w:val="32"/>
          <w:highlight w:val="none"/>
          <w:lang w:val="zh-CN" w:eastAsia="zh-CN" w:bidi="ar-SA"/>
        </w:rPr>
        <w:t>围绕决策程序、目标设置、项目入库</w:t>
      </w:r>
      <w:r>
        <w:rPr>
          <w:rFonts w:hint="default" w:ascii="仿宋_GB2312" w:hAnsi="仿宋_GB2312" w:eastAsia="仿宋_GB2312" w:cs="仿宋_GB2312"/>
          <w:color w:val="auto"/>
          <w:kern w:val="2"/>
          <w:sz w:val="32"/>
          <w:szCs w:val="32"/>
          <w:highlight w:val="none"/>
          <w:lang w:val="zh-CN" w:eastAsia="zh-CN" w:bidi="ar-SA"/>
        </w:rPr>
        <w:t>进行绩效分析</w:t>
      </w:r>
      <w:r>
        <w:rPr>
          <w:rFonts w:hint="eastAsia" w:ascii="仿宋_GB2312" w:hAnsi="仿宋_GB2312" w:eastAsia="仿宋_GB2312" w:cs="仿宋_GB2312"/>
          <w:color w:val="auto"/>
          <w:kern w:val="2"/>
          <w:sz w:val="32"/>
          <w:szCs w:val="32"/>
          <w:highlight w:val="none"/>
          <w:lang w:val="zh-CN" w:eastAsia="zh-CN" w:bidi="ar-SA"/>
        </w:rPr>
        <w:t>。</w:t>
      </w:r>
    </w:p>
    <w:p w14:paraId="0078AACE">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b/>
          <w:bCs/>
          <w:color w:val="auto"/>
          <w:kern w:val="2"/>
          <w:sz w:val="32"/>
          <w:szCs w:val="32"/>
          <w:highlight w:val="none"/>
          <w:lang w:val="en-US" w:eastAsia="zh-CN" w:bidi="ar-SA"/>
        </w:rPr>
        <w:t>2.项目执行</w:t>
      </w:r>
      <w:r>
        <w:rPr>
          <w:rFonts w:hint="eastAsia" w:ascii="仿宋_GB2312" w:hAnsi="仿宋_GB2312" w:eastAsia="仿宋_GB2312" w:cs="仿宋_GB2312"/>
          <w:b/>
          <w:bCs/>
          <w:color w:val="auto"/>
          <w:kern w:val="2"/>
          <w:sz w:val="32"/>
          <w:szCs w:val="32"/>
          <w:highlight w:val="none"/>
          <w:lang w:val="zh-CN" w:eastAsia="zh-CN" w:bidi="ar-SA"/>
        </w:rPr>
        <w:t>。</w:t>
      </w:r>
      <w:r>
        <w:rPr>
          <w:rFonts w:hint="eastAsia" w:ascii="仿宋_GB2312" w:hAnsi="仿宋_GB2312" w:eastAsia="仿宋_GB2312" w:cs="仿宋_GB2312"/>
          <w:color w:val="auto"/>
          <w:kern w:val="2"/>
          <w:sz w:val="32"/>
          <w:szCs w:val="32"/>
          <w:highlight w:val="none"/>
          <w:lang w:val="zh-CN" w:eastAsia="zh-CN" w:bidi="ar-SA"/>
        </w:rPr>
        <w:t>围绕资金执行同向、项目调整、执行结果</w:t>
      </w:r>
      <w:r>
        <w:rPr>
          <w:rFonts w:hint="default" w:ascii="仿宋_GB2312" w:hAnsi="仿宋_GB2312" w:eastAsia="仿宋_GB2312" w:cs="仿宋_GB2312"/>
          <w:color w:val="auto"/>
          <w:kern w:val="2"/>
          <w:sz w:val="32"/>
          <w:szCs w:val="32"/>
          <w:highlight w:val="none"/>
          <w:lang w:val="zh-CN" w:eastAsia="zh-CN" w:bidi="ar-SA"/>
        </w:rPr>
        <w:t>进行绩效分析</w:t>
      </w:r>
      <w:r>
        <w:rPr>
          <w:rFonts w:hint="eastAsia" w:ascii="仿宋_GB2312" w:hAnsi="仿宋_GB2312" w:eastAsia="仿宋_GB2312" w:cs="仿宋_GB2312"/>
          <w:color w:val="auto"/>
          <w:kern w:val="2"/>
          <w:sz w:val="32"/>
          <w:szCs w:val="32"/>
          <w:highlight w:val="none"/>
          <w:lang w:val="zh-CN" w:eastAsia="zh-CN" w:bidi="ar-SA"/>
        </w:rPr>
        <w:t>。</w:t>
      </w:r>
    </w:p>
    <w:p w14:paraId="1FE52FEB">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b/>
          <w:bCs/>
          <w:color w:val="auto"/>
          <w:kern w:val="2"/>
          <w:sz w:val="32"/>
          <w:szCs w:val="32"/>
          <w:highlight w:val="none"/>
          <w:lang w:val="en-US" w:eastAsia="zh-CN" w:bidi="ar-SA"/>
        </w:rPr>
        <w:t>3.</w:t>
      </w:r>
      <w:r>
        <w:rPr>
          <w:rFonts w:hint="eastAsia" w:ascii="仿宋_GB2312" w:hAnsi="仿宋_GB2312" w:eastAsia="仿宋_GB2312" w:cs="仿宋_GB2312"/>
          <w:b/>
          <w:bCs/>
          <w:color w:val="auto"/>
          <w:kern w:val="2"/>
          <w:sz w:val="32"/>
          <w:szCs w:val="32"/>
          <w:highlight w:val="none"/>
          <w:lang w:val="zh-CN" w:eastAsia="zh-CN" w:bidi="ar-SA"/>
        </w:rPr>
        <w:t>目标实现。</w:t>
      </w:r>
      <w:r>
        <w:rPr>
          <w:rFonts w:hint="eastAsia" w:ascii="仿宋_GB2312" w:hAnsi="仿宋_GB2312" w:eastAsia="仿宋_GB2312" w:cs="仿宋_GB2312"/>
          <w:color w:val="auto"/>
          <w:kern w:val="2"/>
          <w:sz w:val="32"/>
          <w:szCs w:val="32"/>
          <w:highlight w:val="none"/>
          <w:lang w:val="zh-CN" w:eastAsia="zh-CN" w:bidi="ar-SA"/>
        </w:rPr>
        <w:t>围绕目标完成、目标偏离、实现效果</w:t>
      </w:r>
      <w:r>
        <w:rPr>
          <w:rFonts w:hint="default" w:ascii="仿宋_GB2312" w:hAnsi="仿宋_GB2312" w:eastAsia="仿宋_GB2312" w:cs="仿宋_GB2312"/>
          <w:color w:val="auto"/>
          <w:kern w:val="2"/>
          <w:sz w:val="32"/>
          <w:szCs w:val="32"/>
          <w:highlight w:val="none"/>
          <w:lang w:val="zh-CN" w:eastAsia="zh-CN" w:bidi="ar-SA"/>
        </w:rPr>
        <w:t>进行绩效分析</w:t>
      </w:r>
      <w:r>
        <w:rPr>
          <w:rFonts w:hint="eastAsia" w:ascii="仿宋_GB2312" w:hAnsi="仿宋_GB2312" w:eastAsia="仿宋_GB2312" w:cs="仿宋_GB2312"/>
          <w:color w:val="auto"/>
          <w:kern w:val="2"/>
          <w:sz w:val="32"/>
          <w:szCs w:val="32"/>
          <w:highlight w:val="none"/>
          <w:lang w:val="zh-CN" w:eastAsia="zh-CN" w:bidi="ar-SA"/>
        </w:rPr>
        <w:t>。</w:t>
      </w:r>
    </w:p>
    <w:p w14:paraId="266029A7">
      <w:pPr>
        <w:pStyle w:val="2"/>
        <w:rPr>
          <w:rFonts w:hint="eastAsia" w:ascii="仿宋_GB2312" w:hAnsi="仿宋_GB2312" w:eastAsia="仿宋_GB2312" w:cs="仿宋_GB2312"/>
          <w:color w:val="auto"/>
          <w:kern w:val="2"/>
          <w:sz w:val="32"/>
          <w:szCs w:val="32"/>
          <w:highlight w:val="none"/>
          <w:lang w:val="zh-CN" w:eastAsia="zh-CN" w:bidi="ar-SA"/>
        </w:rPr>
      </w:pPr>
    </w:p>
    <w:p w14:paraId="1019B8A6">
      <w:pPr>
        <w:pStyle w:val="2"/>
        <w:keepNext w:val="0"/>
        <w:keepLines w:val="0"/>
        <w:pageBreakBefore w:val="0"/>
        <w:widowControl w:val="0"/>
        <w:kinsoku/>
        <w:wordWrap/>
        <w:overflowPunct/>
        <w:topLinePunct w:val="0"/>
        <w:autoSpaceDE/>
        <w:autoSpaceDN/>
        <w:bidi w:val="0"/>
        <w:adjustRightInd w:val="0"/>
        <w:snapToGrid w:val="0"/>
        <w:spacing w:beforeLines="0" w:line="576" w:lineRule="exact"/>
        <w:ind w:left="0" w:leftChars="0" w:firstLine="0" w:firstLineChars="0"/>
        <w:jc w:val="center"/>
        <w:textAlignment w:val="auto"/>
        <w:rPr>
          <w:rFonts w:hint="eastAsia" w:ascii="方正小标宋简体" w:hAnsi="方正小标宋简体" w:eastAsia="方正小标宋简体" w:cs="方正小标宋简体"/>
          <w:b w:val="0"/>
          <w:bCs/>
          <w:i w:val="0"/>
          <w:color w:val="000000"/>
          <w:kern w:val="0"/>
          <w:sz w:val="44"/>
          <w:szCs w:val="44"/>
          <w:u w:val="none"/>
          <w:lang w:val="en-US" w:eastAsia="zh-CN" w:bidi="ar"/>
        </w:rPr>
      </w:pPr>
      <w:r>
        <w:rPr>
          <w:rFonts w:hint="eastAsia" w:ascii="方正小标宋简体" w:hAnsi="方正小标宋简体" w:eastAsia="方正小标宋简体" w:cs="方正小标宋简体"/>
          <w:b w:val="0"/>
          <w:bCs/>
          <w:i w:val="0"/>
          <w:color w:val="000000"/>
          <w:kern w:val="0"/>
          <w:sz w:val="44"/>
          <w:szCs w:val="44"/>
          <w:u w:val="none"/>
          <w:lang w:val="en-US" w:eastAsia="zh-CN" w:bidi="ar"/>
        </w:rPr>
        <w:t>部门预算项目绩效目标表（2025年度）</w:t>
      </w:r>
    </w:p>
    <w:p w14:paraId="512B490B">
      <w:pPr>
        <w:pStyle w:val="2"/>
        <w:keepNext w:val="0"/>
        <w:keepLines w:val="0"/>
        <w:pageBreakBefore w:val="0"/>
        <w:widowControl w:val="0"/>
        <w:kinsoku/>
        <w:wordWrap/>
        <w:overflowPunct/>
        <w:topLinePunct w:val="0"/>
        <w:autoSpaceDE/>
        <w:autoSpaceDN/>
        <w:bidi w:val="0"/>
        <w:adjustRightInd w:val="0"/>
        <w:snapToGrid/>
        <w:spacing w:beforeLines="0"/>
        <w:ind w:left="0" w:leftChars="0" w:firstLine="0" w:firstLineChars="0"/>
        <w:jc w:val="center"/>
        <w:textAlignment w:val="auto"/>
        <w:rPr>
          <w:rFonts w:hint="eastAsia" w:ascii="仿宋_GB2312" w:hAnsi="仿宋_GB2312" w:eastAsia="仿宋_GB2312" w:cs="仿宋_GB2312"/>
          <w:b w:val="0"/>
          <w:bCs/>
          <w:i w:val="0"/>
          <w:color w:val="000000"/>
          <w:kern w:val="0"/>
          <w:sz w:val="32"/>
          <w:szCs w:val="32"/>
          <w:u w:val="none"/>
          <w:lang w:val="en-US" w:eastAsia="zh-CN" w:bidi="ar"/>
        </w:rPr>
      </w:pPr>
      <w:r>
        <w:rPr>
          <w:rFonts w:hint="eastAsia" w:hAnsi="仿宋_GB2312" w:cs="仿宋_GB2312"/>
          <w:b w:val="0"/>
          <w:bCs/>
          <w:i w:val="0"/>
          <w:color w:val="000000"/>
          <w:kern w:val="0"/>
          <w:sz w:val="32"/>
          <w:szCs w:val="32"/>
          <w:u w:val="none"/>
          <w:lang w:val="en-US" w:eastAsia="zh-CN" w:bidi="ar"/>
        </w:rPr>
        <w:t xml:space="preserve">                                   </w:t>
      </w:r>
      <w:r>
        <w:rPr>
          <w:rFonts w:hint="eastAsia" w:ascii="仿宋_GB2312" w:hAnsi="仿宋_GB2312" w:eastAsia="仿宋_GB2312" w:cs="仿宋_GB2312"/>
          <w:b w:val="0"/>
          <w:bCs/>
          <w:i w:val="0"/>
          <w:color w:val="000000"/>
          <w:kern w:val="0"/>
          <w:sz w:val="32"/>
          <w:szCs w:val="32"/>
          <w:u w:val="none"/>
          <w:lang w:val="en-US" w:eastAsia="zh-CN" w:bidi="ar"/>
        </w:rPr>
        <w:t>金额：万元</w:t>
      </w:r>
    </w:p>
    <w:tbl>
      <w:tblPr>
        <w:tblStyle w:val="17"/>
        <w:tblW w:w="9641" w:type="dxa"/>
        <w:tblInd w:w="-6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95"/>
        <w:gridCol w:w="982"/>
        <w:gridCol w:w="655"/>
        <w:gridCol w:w="1077"/>
        <w:gridCol w:w="1145"/>
        <w:gridCol w:w="996"/>
        <w:gridCol w:w="1200"/>
        <w:gridCol w:w="463"/>
        <w:gridCol w:w="750"/>
        <w:gridCol w:w="410"/>
        <w:gridCol w:w="354"/>
        <w:gridCol w:w="614"/>
      </w:tblGrid>
      <w:tr w14:paraId="63CFD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629" w:hRule="atLeast"/>
        </w:trPr>
        <w:tc>
          <w:tcPr>
            <w:tcW w:w="99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4C0EAB64">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单位名称</w:t>
            </w:r>
          </w:p>
        </w:tc>
        <w:tc>
          <w:tcPr>
            <w:tcW w:w="982"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07F5940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65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58476D1E">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预算数</w:t>
            </w:r>
          </w:p>
        </w:tc>
        <w:tc>
          <w:tcPr>
            <w:tcW w:w="1077"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57AC32A8">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年度目标</w:t>
            </w:r>
          </w:p>
        </w:tc>
        <w:tc>
          <w:tcPr>
            <w:tcW w:w="1145"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D7A7801">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996"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E98E65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120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3F35B5EC">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463"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159C0395">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指标性质</w:t>
            </w:r>
          </w:p>
        </w:tc>
        <w:tc>
          <w:tcPr>
            <w:tcW w:w="75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5585C82D">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410"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607FE7C3">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度量单位</w:t>
            </w:r>
          </w:p>
        </w:tc>
        <w:tc>
          <w:tcPr>
            <w:tcW w:w="354"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568710F0">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权重</w:t>
            </w:r>
          </w:p>
        </w:tc>
        <w:tc>
          <w:tcPr>
            <w:tcW w:w="614" w:type="dxa"/>
            <w:tcBorders>
              <w:top w:val="single" w:color="000000" w:sz="4" w:space="0"/>
              <w:left w:val="single" w:color="000000" w:sz="4" w:space="0"/>
              <w:bottom w:val="single" w:color="000000" w:sz="4" w:space="0"/>
              <w:right w:val="single" w:color="000000" w:sz="4" w:space="0"/>
            </w:tcBorders>
            <w:shd w:val="clear" w:color="EFF2F7" w:fill="EFF2F7"/>
            <w:vAlign w:val="center"/>
          </w:tcPr>
          <w:p w14:paraId="7A04A23F">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指标方向性</w:t>
            </w:r>
          </w:p>
        </w:tc>
      </w:tr>
      <w:tr w14:paraId="16E27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9" w:hRule="atLeast"/>
        </w:trPr>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E2B25">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122-红原县卫生健康局</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64E9B">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A5A93">
            <w:pPr>
              <w:keepNext w:val="0"/>
              <w:keepLines w:val="0"/>
              <w:pageBreakBefore w:val="0"/>
              <w:widowControl/>
              <w:suppressLineNumbers w:val="0"/>
              <w:kinsoku/>
              <w:wordWrap/>
              <w:overflowPunct/>
              <w:topLinePunct w:val="0"/>
              <w:autoSpaceDE/>
              <w:autoSpaceDN/>
              <w:bidi w:val="0"/>
              <w:adjustRightInd w:val="0"/>
              <w:snapToGrid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2.31</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26513">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B3C77">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D081E">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47F30">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77518">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52B63">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167C0">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EA109">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F1E46">
            <w:pPr>
              <w:keepNext w:val="0"/>
              <w:keepLines w:val="0"/>
              <w:pageBreakBefore w:val="0"/>
              <w:kinsoku/>
              <w:wordWrap/>
              <w:overflowPunct/>
              <w:topLinePunct w:val="0"/>
              <w:autoSpaceDE/>
              <w:autoSpaceDN/>
              <w:bidi w:val="0"/>
              <w:adjustRightInd w:val="0"/>
              <w:snapToGrid w:val="0"/>
              <w:rPr>
                <w:rFonts w:hint="eastAsia" w:ascii="宋体" w:hAnsi="宋体" w:eastAsia="宋体" w:cs="宋体"/>
                <w:i w:val="0"/>
                <w:color w:val="000000"/>
                <w:sz w:val="18"/>
                <w:szCs w:val="18"/>
                <w:u w:val="none"/>
              </w:rPr>
            </w:pPr>
          </w:p>
        </w:tc>
      </w:tr>
      <w:tr w14:paraId="2B0FB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95" w:hRule="atLeast"/>
        </w:trPr>
        <w:tc>
          <w:tcPr>
            <w:tcW w:w="99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1F1BD7">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122011-红原县查尔玛乡卫生院</w:t>
            </w: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76D1D2">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县级配套基本公共卫生</w:t>
            </w:r>
          </w:p>
        </w:tc>
        <w:tc>
          <w:tcPr>
            <w:tcW w:w="6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BA9DC4">
            <w:pPr>
              <w:keepNext w:val="0"/>
              <w:keepLines w:val="0"/>
              <w:pageBreakBefore w:val="0"/>
              <w:widowControl/>
              <w:suppressLineNumbers w:val="0"/>
              <w:kinsoku/>
              <w:wordWrap/>
              <w:overflowPunct/>
              <w:topLinePunct w:val="0"/>
              <w:autoSpaceDE/>
              <w:autoSpaceDN/>
              <w:bidi w:val="0"/>
              <w:adjustRightInd w:val="0"/>
              <w:snapToGrid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1.61</w:t>
            </w:r>
          </w:p>
        </w:tc>
        <w:tc>
          <w:tcPr>
            <w:tcW w:w="10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E8F74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乡镇卫生院开展基本公共卫生服务，包括建立居民健康档案，预防接种、传染病防治、高血压糖尿病等慢性病管理重型精神病管理、儿童保健、孕产妇保健、老年人保健；协助处置突发公共卫生事件。开展基本公共卫生服产生的办公费，邮电费等支出。</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6DA3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1BF5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6CA6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2型糖尿病患者管理人数</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C33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EE0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B07A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52EF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1E5E5">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1DD27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46" w:hRule="atLeast"/>
        </w:trPr>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A2B62">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221102">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F39DD">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02D15">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2C30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3BBE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DC734">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基层群众满意度</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55C0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B5CC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292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E940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37676">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5F4BB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89" w:hRule="atLeast"/>
        </w:trPr>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9EA2B">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2798F">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A3ED1">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C1EFAD">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C43D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802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8FC9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高血压患者管理人数</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BE31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0231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106</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720B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7BC9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08B34">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30061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09" w:hRule="atLeast"/>
        </w:trPr>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E2FAC">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0DA4D">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40C04">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2CF8FD">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AC74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CA85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264D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提高公共卫生服务均等化水平</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5E77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4A5F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优良中低</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38AD7">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8973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DE524">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30A39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8" w:hRule="atLeast"/>
        </w:trPr>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6056B">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2F94F">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4D1FF">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EFBCA">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F5C9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4895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1E009">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居民电子健康档案管理人数</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D9E9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424F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2322</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43B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ECB8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B7A2E">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25D1F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1" w:hRule="atLeast"/>
        </w:trPr>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12F462">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0A1E5">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A896F">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BAEDE">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0CA7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D120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经济成本指标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B775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基本公共卫生服务县级配套项目成本</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8CE2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5A57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1.609146</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71EC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2D74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04D6C">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7C3F4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37" w:hRule="atLeast"/>
        </w:trPr>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3254BE">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6ECCB">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22A292">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4D95C">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AE8E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3439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D5D56">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老年人中医药健康管理率</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E414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9042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C65A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53AB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BB8A7">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070D8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5" w:hRule="atLeast"/>
        </w:trPr>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598B99">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9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118ED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县级配套基本药物</w:t>
            </w:r>
          </w:p>
        </w:tc>
        <w:tc>
          <w:tcPr>
            <w:tcW w:w="6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1D9186">
            <w:pPr>
              <w:keepNext w:val="0"/>
              <w:keepLines w:val="0"/>
              <w:pageBreakBefore w:val="0"/>
              <w:widowControl/>
              <w:suppressLineNumbers w:val="0"/>
              <w:kinsoku/>
              <w:wordWrap/>
              <w:overflowPunct/>
              <w:topLinePunct w:val="0"/>
              <w:autoSpaceDE/>
              <w:autoSpaceDN/>
              <w:bidi w:val="0"/>
              <w:adjustRightInd w:val="0"/>
              <w:snapToGrid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0.70</w:t>
            </w:r>
          </w:p>
        </w:tc>
        <w:tc>
          <w:tcPr>
            <w:tcW w:w="10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A48BB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县级配套基本药物用于卫生院日常开支，包含办公费、邮电费、电费等</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6198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9115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AFC0B">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基层医疗机构基本药物网购置次数</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C54A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6534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C919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904F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FD6C9">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686C0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17" w:hRule="atLeast"/>
        </w:trPr>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2B435">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F1764">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814F8">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BF89CB">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45A4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169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861BE">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确保药品采购公平、公正、公开</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EC1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86B5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优良中低差</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E59DC">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905A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4F289">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1E592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24" w:hRule="atLeast"/>
        </w:trPr>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65C04">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204BD">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E2859">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984CA">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FDCE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94E2F">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F4B53">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实行基本药物补助县级配套的基层医疗机构个数</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EB65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DD44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D49C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ED400">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0FDAF">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70AE4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trPr>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0A1EEC">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60D4F">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E7FA2">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9934B">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724C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C9E1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8331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基本药物补助县级配套资金支付准确率</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B42AD">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662B1">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F506E">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4380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EC2CC">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4F7D3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49" w:hRule="atLeast"/>
        </w:trPr>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02EC3">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26354">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BE2878">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3133D">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DCEE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8BB75">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F3E41">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基层医疗机构工作人员满意度</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C50A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483D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2609C">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EB70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FE180">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12058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14" w:hRule="atLeast"/>
        </w:trPr>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A2EBF">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79118">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CC422D">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E29B4">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C710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36ACA">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E8C30">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基本药物补助县级配套资金支付及时率</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1CA1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5F7D3">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96</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40B86">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2D8B9">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5039E">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r w14:paraId="52400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34" w:hRule="atLeast"/>
        </w:trPr>
        <w:tc>
          <w:tcPr>
            <w:tcW w:w="99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B3F6B">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9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E3B20">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4C4EC">
            <w:pPr>
              <w:keepNext w:val="0"/>
              <w:keepLines w:val="0"/>
              <w:pageBreakBefore w:val="0"/>
              <w:kinsoku/>
              <w:wordWrap/>
              <w:overflowPunct/>
              <w:topLinePunct w:val="0"/>
              <w:autoSpaceDE/>
              <w:autoSpaceDN/>
              <w:bidi w:val="0"/>
              <w:adjustRightInd w:val="0"/>
              <w:snapToGrid w:val="0"/>
              <w:jc w:val="right"/>
              <w:rPr>
                <w:rFonts w:hint="eastAsia" w:ascii="宋体" w:hAnsi="宋体" w:eastAsia="宋体" w:cs="宋体"/>
                <w:i w:val="0"/>
                <w:color w:val="000000"/>
                <w:sz w:val="18"/>
                <w:szCs w:val="18"/>
                <w:u w:val="none"/>
              </w:rPr>
            </w:pPr>
          </w:p>
        </w:tc>
        <w:tc>
          <w:tcPr>
            <w:tcW w:w="10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3852A">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76BAB">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9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D8A32">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8FF4F">
            <w:pPr>
              <w:keepNext w:val="0"/>
              <w:keepLines w:val="0"/>
              <w:pageBreakBefore w:val="0"/>
              <w:widowControl/>
              <w:suppressLineNumbers w:val="0"/>
              <w:kinsoku/>
              <w:wordWrap/>
              <w:overflowPunct/>
              <w:topLinePunct w:val="0"/>
              <w:autoSpaceDE/>
              <w:autoSpaceDN/>
              <w:bidi w:val="0"/>
              <w:adjustRightInd w:val="0"/>
              <w:snapToGrid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基层医疗机构药品零差率</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33A58">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31177">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等于100</w:t>
            </w:r>
          </w:p>
        </w:tc>
        <w:tc>
          <w:tcPr>
            <w:tcW w:w="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2A86F">
            <w:pPr>
              <w:keepNext w:val="0"/>
              <w:keepLines w:val="0"/>
              <w:pageBreakBefore w:val="0"/>
              <w:kinsoku/>
              <w:wordWrap/>
              <w:overflowPunct/>
              <w:topLinePunct w:val="0"/>
              <w:autoSpaceDE/>
              <w:autoSpaceDN/>
              <w:bidi w:val="0"/>
              <w:adjustRightInd w:val="0"/>
              <w:snapToGrid w:val="0"/>
              <w:jc w:val="center"/>
              <w:rPr>
                <w:rFonts w:hint="eastAsia" w:ascii="宋体" w:hAnsi="宋体" w:eastAsia="宋体" w:cs="宋体"/>
                <w:i w:val="0"/>
                <w:color w:val="000000"/>
                <w:sz w:val="18"/>
                <w:szCs w:val="18"/>
                <w:u w:val="none"/>
              </w:rPr>
            </w:pPr>
          </w:p>
        </w:tc>
        <w:tc>
          <w:tcPr>
            <w:tcW w:w="3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E44A4">
            <w:pPr>
              <w:keepNext w:val="0"/>
              <w:keepLines w:val="0"/>
              <w:pageBreakBefore w:val="0"/>
              <w:widowControl/>
              <w:suppressLineNumbers w:val="0"/>
              <w:kinsoku/>
              <w:wordWrap/>
              <w:overflowPunct/>
              <w:topLinePunct w:val="0"/>
              <w:autoSpaceDE/>
              <w:autoSpaceDN/>
              <w:bidi w:val="0"/>
              <w:adjustRightInd w:val="0"/>
              <w:snapToGrid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60A22">
            <w:pPr>
              <w:keepNext w:val="0"/>
              <w:keepLines w:val="0"/>
              <w:pageBreakBefore w:val="0"/>
              <w:kinsoku/>
              <w:wordWrap/>
              <w:overflowPunct/>
              <w:topLinePunct w:val="0"/>
              <w:autoSpaceDE/>
              <w:autoSpaceDN/>
              <w:bidi w:val="0"/>
              <w:adjustRightInd w:val="0"/>
              <w:snapToGrid w:val="0"/>
              <w:jc w:val="left"/>
              <w:rPr>
                <w:rFonts w:hint="eastAsia" w:ascii="宋体" w:hAnsi="宋体" w:eastAsia="宋体" w:cs="宋体"/>
                <w:i w:val="0"/>
                <w:color w:val="000000"/>
                <w:sz w:val="18"/>
                <w:szCs w:val="18"/>
                <w:u w:val="none"/>
              </w:rPr>
            </w:pPr>
          </w:p>
        </w:tc>
      </w:tr>
    </w:tbl>
    <w:p w14:paraId="30178C9F">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default" w:ascii="仿宋_GB2312" w:hAnsi="仿宋_GB2312" w:eastAsia="仿宋_GB2312" w:cs="仿宋_GB2312"/>
          <w:color w:val="auto"/>
          <w:kern w:val="2"/>
          <w:sz w:val="32"/>
          <w:szCs w:val="32"/>
          <w:highlight w:val="none"/>
          <w:lang w:val="en-US" w:eastAsia="zh-CN" w:bidi="ar-SA"/>
        </w:rPr>
        <w:t>省级部门对2024年度一般公共预算、政府性基金预算、国有资本经营预算安排的常年项目、阶段项目绩效目标完成情况，以及债券资金、政府购买服务有关情况进行梳理阐述</w:t>
      </w:r>
      <w:r>
        <w:rPr>
          <w:rFonts w:hint="eastAsia" w:ascii="仿宋_GB2312" w:hAnsi="仿宋_GB2312" w:eastAsia="仿宋_GB2312" w:cs="仿宋_GB2312"/>
          <w:color w:val="auto"/>
          <w:kern w:val="2"/>
          <w:sz w:val="32"/>
          <w:szCs w:val="32"/>
          <w:highlight w:val="none"/>
          <w:lang w:val="en-US" w:eastAsia="zh-CN" w:bidi="ar-SA"/>
        </w:rPr>
        <w:t>。</w:t>
      </w:r>
    </w:p>
    <w:p w14:paraId="38CDB6B0">
      <w:pPr>
        <w:keepNext w:val="0"/>
        <w:keepLines w:val="0"/>
        <w:pageBreakBefore w:val="0"/>
        <w:widowControl w:val="0"/>
        <w:kinsoku/>
        <w:wordWrap/>
        <w:overflowPunct/>
        <w:topLinePunct w:val="0"/>
        <w:autoSpaceDE/>
        <w:autoSpaceDN/>
        <w:bidi w:val="0"/>
        <w:snapToGrid w:val="0"/>
        <w:spacing w:line="600" w:lineRule="exact"/>
        <w:ind w:firstLine="643" w:firstLineChars="200"/>
        <w:textAlignment w:val="auto"/>
        <w:rPr>
          <w:rFonts w:hint="eastAsia" w:ascii="仿宋_GB2312" w:hAnsi="仿宋_GB2312" w:eastAsia="仿宋_GB2312" w:cs="仿宋_GB2312"/>
          <w:color w:val="auto"/>
          <w:kern w:val="2"/>
          <w:sz w:val="32"/>
          <w:szCs w:val="32"/>
          <w:highlight w:val="none"/>
          <w:lang w:val="zh-CN" w:eastAsia="zh-CN" w:bidi="ar-SA"/>
        </w:rPr>
      </w:pPr>
      <w:r>
        <w:rPr>
          <w:rFonts w:hint="default"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eastAsia="楷体_GB2312" w:cs="Times New Roman"/>
          <w:b/>
          <w:bCs/>
          <w:color w:val="000000"/>
          <w:kern w:val="0"/>
          <w:sz w:val="32"/>
          <w:szCs w:val="32"/>
          <w:highlight w:val="none"/>
          <w:shd w:val="clear" w:color="auto" w:fill="FFFFFF"/>
          <w:lang w:val="en-US" w:eastAsia="zh-CN"/>
        </w:rPr>
        <w:t>三</w:t>
      </w:r>
      <w:r>
        <w:rPr>
          <w:rFonts w:hint="default" w:ascii="Times New Roman" w:hAnsi="Times New Roman" w:eastAsia="楷体_GB2312" w:cs="Times New Roman"/>
          <w:b/>
          <w:bCs/>
          <w:color w:val="000000"/>
          <w:kern w:val="0"/>
          <w:sz w:val="32"/>
          <w:szCs w:val="32"/>
          <w:highlight w:val="none"/>
          <w:shd w:val="clear" w:color="auto" w:fill="FFFFFF"/>
          <w:lang w:val="zh-CN" w:eastAsia="zh-CN"/>
        </w:rPr>
        <w:t>）绩效结果应用情况</w:t>
      </w:r>
      <w:r>
        <w:rPr>
          <w:rFonts w:hint="eastAsia" w:ascii="Times New Roman" w:hAnsi="Times New Roman" w:eastAsia="楷体_GB2312" w:cs="Times New Roman"/>
          <w:b/>
          <w:bCs/>
          <w:color w:val="000000"/>
          <w:kern w:val="0"/>
          <w:sz w:val="32"/>
          <w:szCs w:val="32"/>
          <w:highlight w:val="none"/>
          <w:shd w:val="clear" w:color="auto" w:fill="FFFFFF"/>
          <w:lang w:val="zh-CN" w:eastAsia="zh-CN"/>
        </w:rPr>
        <w:t>。</w:t>
      </w:r>
      <w:r>
        <w:rPr>
          <w:rFonts w:hint="eastAsia" w:ascii="仿宋_GB2312" w:hAnsi="仿宋_GB2312" w:eastAsia="仿宋_GB2312" w:cs="仿宋_GB2312"/>
          <w:color w:val="auto"/>
          <w:kern w:val="2"/>
          <w:sz w:val="32"/>
          <w:szCs w:val="32"/>
          <w:highlight w:val="none"/>
          <w:lang w:val="zh-CN" w:eastAsia="zh-CN" w:bidi="ar-SA"/>
        </w:rPr>
        <w:t>围绕内部应用情况、</w:t>
      </w:r>
      <w:r>
        <w:rPr>
          <w:rFonts w:hint="default" w:ascii="仿宋_GB2312" w:hAnsi="仿宋_GB2312" w:eastAsia="仿宋_GB2312" w:cs="仿宋_GB2312"/>
          <w:color w:val="auto"/>
          <w:kern w:val="2"/>
          <w:sz w:val="32"/>
          <w:szCs w:val="32"/>
          <w:highlight w:val="none"/>
          <w:lang w:val="zh-CN" w:eastAsia="zh-CN" w:bidi="ar-SA"/>
        </w:rPr>
        <w:t>信息公开情况</w:t>
      </w:r>
      <w:r>
        <w:rPr>
          <w:rFonts w:hint="eastAsia" w:ascii="仿宋_GB2312" w:hAnsi="仿宋_GB2312" w:eastAsia="仿宋_GB2312" w:cs="仿宋_GB2312"/>
          <w:color w:val="auto"/>
          <w:kern w:val="2"/>
          <w:sz w:val="32"/>
          <w:szCs w:val="32"/>
          <w:highlight w:val="none"/>
          <w:lang w:val="zh-CN" w:eastAsia="zh-CN" w:bidi="ar-SA"/>
        </w:rPr>
        <w:t>、</w:t>
      </w:r>
      <w:r>
        <w:rPr>
          <w:rFonts w:hint="default" w:ascii="仿宋_GB2312" w:hAnsi="仿宋_GB2312" w:eastAsia="仿宋_GB2312" w:cs="仿宋_GB2312"/>
          <w:color w:val="auto"/>
          <w:kern w:val="2"/>
          <w:sz w:val="32"/>
          <w:szCs w:val="32"/>
          <w:highlight w:val="none"/>
          <w:lang w:val="zh-CN" w:eastAsia="zh-CN" w:bidi="ar-SA"/>
        </w:rPr>
        <w:t>整改反馈情况</w:t>
      </w:r>
      <w:r>
        <w:rPr>
          <w:rFonts w:hint="eastAsia" w:ascii="仿宋_GB2312" w:hAnsi="仿宋_GB2312" w:eastAsia="仿宋_GB2312" w:cs="仿宋_GB2312"/>
          <w:color w:val="auto"/>
          <w:kern w:val="2"/>
          <w:sz w:val="32"/>
          <w:szCs w:val="32"/>
          <w:highlight w:val="none"/>
          <w:lang w:val="zh-CN" w:eastAsia="zh-CN" w:bidi="ar-SA"/>
        </w:rPr>
        <w:t>进行分析。</w:t>
      </w:r>
    </w:p>
    <w:p w14:paraId="5740672D">
      <w:pPr>
        <w:keepNext w:val="0"/>
        <w:keepLines w:val="0"/>
        <w:pageBreakBefore w:val="0"/>
        <w:widowControl w:val="0"/>
        <w:kinsoku/>
        <w:wordWrap/>
        <w:overflowPunct/>
        <w:topLinePunct w:val="0"/>
        <w:autoSpaceDE/>
        <w:autoSpaceDN/>
        <w:bidi w:val="0"/>
        <w:snapToGrid w:val="0"/>
        <w:spacing w:line="600" w:lineRule="exact"/>
        <w:ind w:firstLine="643" w:firstLineChars="200"/>
        <w:textAlignment w:val="auto"/>
        <w:rPr>
          <w:rFonts w:hint="default" w:ascii="黑体" w:hAnsi="黑体" w:eastAsia="黑体" w:cs="黑体"/>
          <w:b/>
          <w:bCs/>
          <w:kern w:val="2"/>
          <w:sz w:val="32"/>
          <w:szCs w:val="32"/>
          <w:lang w:val="zh-CN" w:eastAsia="zh-CN" w:bidi="ar-SA"/>
        </w:rPr>
      </w:pPr>
      <w:r>
        <w:rPr>
          <w:rFonts w:hint="default" w:ascii="黑体" w:hAnsi="黑体" w:eastAsia="黑体" w:cs="黑体"/>
          <w:b/>
          <w:bCs/>
          <w:kern w:val="2"/>
          <w:sz w:val="32"/>
          <w:szCs w:val="32"/>
          <w:lang w:val="zh-CN" w:eastAsia="zh-CN" w:bidi="ar-SA"/>
        </w:rPr>
        <w:t>四、评价结论及建议</w:t>
      </w:r>
    </w:p>
    <w:p w14:paraId="37CA3984">
      <w:pPr>
        <w:pStyle w:val="16"/>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540" w:lineRule="exact"/>
        <w:ind w:right="0" w:rightChars="0" w:firstLine="643" w:firstLineChars="200"/>
        <w:textAlignment w:val="auto"/>
        <w:rPr>
          <w:rFonts w:hint="eastAsia" w:ascii="楷体_GB2312" w:hAnsi="楷体_GB2312" w:eastAsia="楷体_GB2312" w:cs="楷体_GB2312"/>
          <w:b/>
          <w:bCs/>
          <w:color w:val="000000"/>
          <w:kern w:val="2"/>
          <w:sz w:val="32"/>
          <w:szCs w:val="32"/>
          <w:lang w:val="en-US" w:eastAsia="zh-CN" w:bidi="ar-SA"/>
        </w:rPr>
      </w:pPr>
      <w:r>
        <w:rPr>
          <w:rFonts w:hint="eastAsia" w:ascii="楷体_GB2312" w:hAnsi="楷体_GB2312" w:eastAsia="楷体_GB2312" w:cs="楷体_GB2312"/>
          <w:b/>
          <w:bCs/>
          <w:color w:val="000000"/>
          <w:kern w:val="2"/>
          <w:sz w:val="32"/>
          <w:szCs w:val="32"/>
          <w:lang w:val="en-US" w:eastAsia="zh-CN" w:bidi="ar-SA"/>
        </w:rPr>
        <w:t>（一）评价结论。</w:t>
      </w:r>
    </w:p>
    <w:p w14:paraId="216C5216">
      <w:pPr>
        <w:pStyle w:val="16"/>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540" w:lineRule="exact"/>
        <w:ind w:right="0" w:righ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2024年部门预算编制基础数据真实可靠，按照年度</w:t>
      </w:r>
      <w:r>
        <w:rPr>
          <w:rFonts w:hint="eastAsia" w:ascii="仿宋_GB2312" w:hAnsi="仿宋_GB2312" w:eastAsia="仿宋_GB2312" w:cs="仿宋_GB2312"/>
          <w:color w:val="auto"/>
          <w:kern w:val="2"/>
          <w:sz w:val="32"/>
          <w:szCs w:val="32"/>
          <w:highlight w:val="none"/>
          <w:lang w:val="en-US" w:eastAsia="zh-CN" w:bidi="ar-SA"/>
        </w:rPr>
        <w:fldChar w:fldCharType="begin"/>
      </w:r>
      <w:r>
        <w:rPr>
          <w:rFonts w:hint="eastAsia" w:ascii="仿宋_GB2312" w:hAnsi="仿宋_GB2312" w:eastAsia="仿宋_GB2312" w:cs="仿宋_GB2312"/>
          <w:color w:val="auto"/>
          <w:kern w:val="2"/>
          <w:sz w:val="32"/>
          <w:szCs w:val="32"/>
          <w:highlight w:val="none"/>
          <w:lang w:val="en-US" w:eastAsia="zh-CN" w:bidi="ar-SA"/>
        </w:rPr>
        <w:instrText xml:space="preserve"> HYPERLINK "http://www.91wenmi.com/wenmi/zongjie/gongzuojihua/" \t "_blank" </w:instrText>
      </w:r>
      <w:r>
        <w:rPr>
          <w:rFonts w:hint="eastAsia" w:ascii="仿宋_GB2312" w:hAnsi="仿宋_GB2312" w:eastAsia="仿宋_GB2312" w:cs="仿宋_GB2312"/>
          <w:color w:val="auto"/>
          <w:kern w:val="2"/>
          <w:sz w:val="32"/>
          <w:szCs w:val="32"/>
          <w:highlight w:val="none"/>
          <w:lang w:val="en-US" w:eastAsia="zh-CN" w:bidi="ar-SA"/>
        </w:rPr>
        <w:fldChar w:fldCharType="separate"/>
      </w:r>
      <w:r>
        <w:rPr>
          <w:rFonts w:hint="eastAsia" w:ascii="仿宋_GB2312" w:hAnsi="仿宋_GB2312" w:eastAsia="仿宋_GB2312" w:cs="仿宋_GB2312"/>
          <w:color w:val="auto"/>
          <w:kern w:val="2"/>
          <w:sz w:val="32"/>
          <w:szCs w:val="32"/>
          <w:highlight w:val="none"/>
          <w:lang w:val="en-US" w:eastAsia="zh-CN" w:bidi="ar-SA"/>
        </w:rPr>
        <w:t>工作计划</w:t>
      </w:r>
      <w:r>
        <w:rPr>
          <w:rFonts w:hint="eastAsia" w:ascii="仿宋_GB2312" w:hAnsi="仿宋_GB2312" w:eastAsia="仿宋_GB2312" w:cs="仿宋_GB2312"/>
          <w:color w:val="auto"/>
          <w:kern w:val="2"/>
          <w:sz w:val="32"/>
          <w:szCs w:val="32"/>
          <w:highlight w:val="none"/>
          <w:lang w:val="en-US" w:eastAsia="zh-CN" w:bidi="ar-SA"/>
        </w:rPr>
        <w:fldChar w:fldCharType="end"/>
      </w:r>
      <w:r>
        <w:rPr>
          <w:rFonts w:hint="eastAsia" w:ascii="仿宋_GB2312" w:hAnsi="仿宋_GB2312" w:eastAsia="仿宋_GB2312" w:cs="仿宋_GB2312"/>
          <w:color w:val="auto"/>
          <w:kern w:val="2"/>
          <w:sz w:val="32"/>
          <w:szCs w:val="32"/>
          <w:highlight w:val="none"/>
          <w:lang w:val="en-US" w:eastAsia="zh-CN" w:bidi="ar-SA"/>
        </w:rPr>
        <w:t>和支出标准合理编制预算方案，预算数据按要求及时报送。基本支出按时间进度支付，达到执行进度，年终无结余。严格执行“三公经费”预算，严格审批，无超预算、无预算执行的情况。</w:t>
      </w:r>
    </w:p>
    <w:p w14:paraId="0686BA64">
      <w:pPr>
        <w:pStyle w:val="16"/>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540" w:lineRule="exact"/>
        <w:ind w:right="0" w:rightChars="0" w:firstLine="643" w:firstLineChars="200"/>
        <w:textAlignment w:val="auto"/>
        <w:rPr>
          <w:rFonts w:hint="eastAsia" w:ascii="楷体_GB2312" w:hAnsi="楷体_GB2312" w:eastAsia="楷体_GB2312" w:cs="楷体_GB2312"/>
          <w:b/>
          <w:bCs/>
          <w:color w:val="000000"/>
          <w:kern w:val="2"/>
          <w:sz w:val="32"/>
          <w:szCs w:val="32"/>
          <w:lang w:val="en-US" w:eastAsia="zh-CN" w:bidi="ar-SA"/>
        </w:rPr>
      </w:pPr>
      <w:r>
        <w:rPr>
          <w:rFonts w:hint="eastAsia" w:ascii="楷体_GB2312" w:hAnsi="楷体_GB2312" w:eastAsia="楷体_GB2312" w:cs="楷体_GB2312"/>
          <w:b/>
          <w:bCs/>
          <w:color w:val="000000"/>
          <w:kern w:val="2"/>
          <w:sz w:val="32"/>
          <w:szCs w:val="32"/>
          <w:lang w:val="en-US" w:eastAsia="zh-CN" w:bidi="ar-SA"/>
        </w:rPr>
        <w:t>（二）存在问题。</w:t>
      </w:r>
    </w:p>
    <w:p w14:paraId="567EAA23">
      <w:pPr>
        <w:pStyle w:val="16"/>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540" w:lineRule="exact"/>
        <w:ind w:right="0" w:righ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专项资金执行进度有待进一步加快，固定资产管理继续加强中。账务处理有待于提高。</w:t>
      </w:r>
    </w:p>
    <w:p w14:paraId="5B70F55A">
      <w:pPr>
        <w:pStyle w:val="16"/>
        <w:keepNext w:val="0"/>
        <w:keepLines w:val="0"/>
        <w:pageBreakBefore w:val="0"/>
        <w:widowControl/>
        <w:numPr>
          <w:ilvl w:val="0"/>
          <w:numId w:val="0"/>
        </w:numPr>
        <w:suppressLineNumbers w:val="0"/>
        <w:kinsoku/>
        <w:wordWrap/>
        <w:overflowPunct/>
        <w:topLinePunct w:val="0"/>
        <w:autoSpaceDE/>
        <w:autoSpaceDN/>
        <w:bidi w:val="0"/>
        <w:adjustRightInd/>
        <w:spacing w:before="0" w:beforeAutospacing="0" w:after="0" w:afterAutospacing="0" w:line="540" w:lineRule="exact"/>
        <w:ind w:right="0" w:rightChars="0" w:firstLine="643" w:firstLineChars="200"/>
        <w:textAlignment w:val="auto"/>
        <w:rPr>
          <w:rFonts w:hint="eastAsia" w:ascii="楷体_GB2312" w:hAnsi="楷体_GB2312" w:eastAsia="楷体_GB2312" w:cs="楷体_GB2312"/>
          <w:b/>
          <w:bCs/>
          <w:color w:val="000000"/>
          <w:kern w:val="2"/>
          <w:sz w:val="32"/>
          <w:szCs w:val="32"/>
          <w:lang w:val="en-US" w:eastAsia="zh-CN" w:bidi="ar-SA"/>
        </w:rPr>
      </w:pPr>
      <w:r>
        <w:rPr>
          <w:rFonts w:hint="eastAsia" w:ascii="楷体_GB2312" w:hAnsi="楷体_GB2312" w:eastAsia="楷体_GB2312" w:cs="楷体_GB2312"/>
          <w:b/>
          <w:bCs/>
          <w:color w:val="000000"/>
          <w:kern w:val="2"/>
          <w:sz w:val="32"/>
          <w:szCs w:val="32"/>
          <w:lang w:val="en-US" w:eastAsia="zh-CN" w:bidi="ar-SA"/>
        </w:rPr>
        <w:t>（三）改进建议。</w:t>
      </w:r>
    </w:p>
    <w:p w14:paraId="48EFAA57">
      <w:pPr>
        <w:pStyle w:val="8"/>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color w:val="auto"/>
          <w:kern w:val="2"/>
          <w:sz w:val="32"/>
          <w:szCs w:val="32"/>
          <w:highlight w:val="none"/>
          <w:lang w:val="en-US" w:eastAsia="zh-CN" w:bidi="ar-SA"/>
        </w:rPr>
        <w:t>深入学习贯彻《预算法》等相关法律、法规，进一步增强预算意识，始终坚持先有预算、后有支出，没有预算不得支出的原则。科学合理编制部门预算，推进预算编制科学化、准确化。年度预算编制后，根据实际情况，定期做好预算执行分析，适时掌握预算执行进度，及时找出预算实际执行情况与预算目标之间存在的差距，进一步加快预算执行。加强与业务部门工作对接，做好提前准备工作，资金下达后及时开展项目工作，加快执行进度，充分发挥项目资金效益。</w:t>
      </w:r>
      <w:r>
        <w:rPr>
          <w:rFonts w:hint="eastAsia" w:ascii="仿宋_GB2312" w:hAnsi="仿宋_GB2312" w:eastAsia="仿宋_GB2312" w:cs="仿宋_GB2312"/>
          <w:color w:val="auto"/>
          <w:kern w:val="2"/>
          <w:sz w:val="32"/>
          <w:szCs w:val="32"/>
          <w:highlight w:val="none"/>
          <w:lang w:val="zh-CN" w:eastAsia="zh-CN" w:bidi="ar-SA"/>
        </w:rPr>
        <w:t>附表：</w:t>
      </w:r>
      <w:r>
        <w:rPr>
          <w:rFonts w:hint="eastAsia" w:ascii="仿宋_GB2312" w:hAnsi="仿宋_GB2312" w:eastAsia="仿宋_GB2312" w:cs="仿宋_GB2312"/>
          <w:color w:val="auto"/>
          <w:kern w:val="2"/>
          <w:sz w:val="32"/>
          <w:szCs w:val="32"/>
          <w:highlight w:val="none"/>
          <w:lang w:val="en-US" w:eastAsia="zh-CN" w:bidi="ar-SA"/>
        </w:rPr>
        <w:t>部门预算项目支出绩效自评表（2024年度）</w:t>
      </w:r>
    </w:p>
    <w:p w14:paraId="42CD78DB">
      <w:pPr>
        <w:pStyle w:val="8"/>
        <w:keepNext w:val="0"/>
        <w:keepLines w:val="0"/>
        <w:pageBreakBefore w:val="0"/>
        <w:numPr>
          <w:ilvl w:val="0"/>
          <w:numId w:val="0"/>
        </w:numPr>
        <w:kinsoku/>
        <w:wordWrap/>
        <w:overflowPunct/>
        <w:topLinePunct w:val="0"/>
        <w:autoSpaceDE/>
        <w:autoSpaceDN/>
        <w:bidi w:val="0"/>
        <w:spacing w:line="560" w:lineRule="exact"/>
        <w:ind w:firstLine="643" w:firstLineChars="200"/>
        <w:textAlignment w:val="auto"/>
        <w:rPr>
          <w:rFonts w:hint="eastAsia" w:ascii="仿宋_GB2312" w:hAnsi="仿宋_GB2312" w:eastAsia="仿宋_GB2312" w:cs="仿宋_GB2312"/>
          <w:b/>
          <w:bCs/>
          <w:color w:val="auto"/>
          <w:kern w:val="2"/>
          <w:sz w:val="32"/>
          <w:szCs w:val="32"/>
          <w:highlight w:val="none"/>
          <w:lang w:val="zh-CN" w:eastAsia="zh-CN" w:bidi="ar-SA"/>
        </w:rPr>
      </w:pPr>
      <w:r>
        <w:rPr>
          <w:rFonts w:hint="eastAsia" w:ascii="仿宋_GB2312" w:hAnsi="仿宋_GB2312" w:eastAsia="仿宋_GB2312" w:cs="仿宋_GB2312"/>
          <w:b/>
          <w:bCs/>
          <w:color w:val="auto"/>
          <w:kern w:val="2"/>
          <w:sz w:val="32"/>
          <w:szCs w:val="32"/>
          <w:highlight w:val="none"/>
          <w:lang w:val="en-US" w:eastAsia="zh-CN" w:bidi="ar-SA"/>
        </w:rPr>
        <w:t>（注：按照绩效自评工作安排，各部门已在预算管理一体化系统绩效自评模块上传“部门预算项目支出绩效自评表（2024年度）”，该表格应作为附表予以公开）</w:t>
      </w:r>
    </w:p>
    <w:p w14:paraId="0820695B">
      <w:pPr>
        <w:pStyle w:val="8"/>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6DF0F614">
      <w:pPr>
        <w:pStyle w:val="3"/>
        <w:rPr>
          <w:rFonts w:hint="eastAsia" w:ascii="Times New Roman" w:hAnsi="Times New Roman" w:cs="宋体"/>
          <w:color w:val="FF0000"/>
          <w:kern w:val="0"/>
          <w:sz w:val="32"/>
          <w:szCs w:val="32"/>
          <w:highlight w:val="yellow"/>
          <w:shd w:val="clear" w:color="auto" w:fill="FFFFFF"/>
          <w:lang w:val="zh-CN"/>
        </w:rPr>
      </w:pPr>
    </w:p>
    <w:p w14:paraId="0171E6B8">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p w14:paraId="6A72B5B9">
      <w:pPr>
        <w:pStyle w:val="3"/>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黑体" w:cs="黑体"/>
          <w:color w:val="auto"/>
          <w:kern w:val="0"/>
          <w:sz w:val="32"/>
          <w:szCs w:val="32"/>
          <w:highlight w:val="none"/>
          <w:shd w:val="clear" w:color="auto" w:fill="FFFFFF"/>
          <w:lang w:val="zh-CN"/>
        </w:rPr>
        <w:t>附件</w:t>
      </w:r>
      <w:r>
        <w:rPr>
          <w:rFonts w:hint="eastAsia" w:ascii="Times New Roman" w:hAnsi="Times New Roman" w:eastAsia="黑体" w:cs="黑体"/>
          <w:color w:val="auto"/>
          <w:kern w:val="0"/>
          <w:sz w:val="32"/>
          <w:szCs w:val="32"/>
          <w:highlight w:val="none"/>
          <w:shd w:val="clear" w:color="auto" w:fill="FFFFFF"/>
          <w:lang w:val="en-US" w:eastAsia="zh-CN"/>
        </w:rPr>
        <w:t>2</w:t>
      </w:r>
    </w:p>
    <w:p w14:paraId="30AACB09">
      <w:pPr>
        <w:pStyle w:val="36"/>
        <w:keepNext w:val="0"/>
        <w:keepLines w:val="0"/>
        <w:pageBreakBefore w:val="0"/>
        <w:widowControl w:val="0"/>
        <w:kinsoku/>
        <w:wordWrap/>
        <w:overflowPunct/>
        <w:topLinePunct w:val="0"/>
        <w:autoSpaceDE/>
        <w:autoSpaceDN/>
        <w:bidi w:val="0"/>
        <w:spacing w:line="578" w:lineRule="exact"/>
        <w:ind w:left="0" w:leftChars="0"/>
        <w:jc w:val="center"/>
        <w:textAlignment w:val="auto"/>
        <w:rPr>
          <w:rFonts w:hint="eastAsia" w:ascii="Times New Roman" w:hAnsi="Times New Roman" w:eastAsia="方正小标宋简体" w:cs="方正小标宋简体"/>
          <w:color w:val="auto"/>
          <w:kern w:val="2"/>
          <w:sz w:val="44"/>
          <w:szCs w:val="44"/>
          <w:highlight w:val="none"/>
          <w:lang w:val="en-US" w:eastAsia="zh-CN"/>
        </w:rPr>
      </w:pPr>
      <w:r>
        <w:rPr>
          <w:rFonts w:hint="eastAsia" w:ascii="Times New Roman" w:hAnsi="Times New Roman" w:eastAsia="方正小标宋简体" w:cs="方正小标宋简体"/>
          <w:color w:val="auto"/>
          <w:kern w:val="2"/>
          <w:sz w:val="44"/>
          <w:szCs w:val="44"/>
          <w:highlight w:val="none"/>
          <w:lang w:val="en-US" w:eastAsia="zh-CN"/>
        </w:rPr>
        <w:t>专项预算项目绩效评价报告范本</w:t>
      </w:r>
    </w:p>
    <w:p w14:paraId="77BED760">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textAlignment w:val="auto"/>
        <w:rPr>
          <w:rFonts w:hint="eastAsia" w:ascii="黑体" w:hAnsi="黑体" w:eastAsia="黑体" w:cs="黑体"/>
          <w:b/>
          <w:bCs/>
          <w:kern w:val="2"/>
          <w:sz w:val="32"/>
          <w:szCs w:val="32"/>
          <w:lang w:val="en-US" w:eastAsia="zh-CN" w:bidi="ar-SA"/>
        </w:rPr>
      </w:pPr>
    </w:p>
    <w:p w14:paraId="40542B5A">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黑体" w:hAnsi="黑体" w:eastAsia="黑体" w:cs="黑体"/>
          <w:b/>
          <w:bCs/>
          <w:kern w:val="2"/>
          <w:sz w:val="32"/>
          <w:szCs w:val="32"/>
          <w:lang w:val="zh-CN" w:eastAsia="zh-CN" w:bidi="ar-SA"/>
        </w:rPr>
      </w:pPr>
      <w:r>
        <w:rPr>
          <w:rFonts w:hint="eastAsia" w:ascii="黑体" w:hAnsi="黑体" w:eastAsia="黑体" w:cs="黑体"/>
          <w:b/>
          <w:bCs/>
          <w:kern w:val="2"/>
          <w:sz w:val="32"/>
          <w:szCs w:val="32"/>
          <w:lang w:val="en-US" w:eastAsia="zh-CN" w:bidi="ar-SA"/>
        </w:rPr>
        <w:t>一、</w:t>
      </w:r>
      <w:r>
        <w:rPr>
          <w:rFonts w:hint="eastAsia" w:ascii="黑体" w:hAnsi="黑体" w:eastAsia="黑体" w:cs="黑体"/>
          <w:b/>
          <w:bCs/>
          <w:kern w:val="2"/>
          <w:sz w:val="32"/>
          <w:szCs w:val="32"/>
          <w:lang w:val="zh-CN" w:eastAsia="zh-CN" w:bidi="ar-SA"/>
        </w:rPr>
        <w:t>项目概况</w:t>
      </w:r>
    </w:p>
    <w:p w14:paraId="2A993BAF">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（一）设立背景及基本情况。</w:t>
      </w:r>
      <w:r>
        <w:rPr>
          <w:rFonts w:hint="eastAsia" w:ascii="仿宋_GB2312" w:hAnsi="仿宋_GB2312" w:eastAsia="仿宋_GB2312" w:cs="仿宋_GB2312"/>
          <w:color w:val="auto"/>
          <w:kern w:val="2"/>
          <w:sz w:val="32"/>
          <w:szCs w:val="32"/>
          <w:highlight w:val="none"/>
          <w:lang w:val="en-US" w:eastAsia="zh-CN" w:bidi="ar-SA"/>
        </w:rPr>
        <w:t>项目设立原因及背景，</w:t>
      </w:r>
      <w:r>
        <w:rPr>
          <w:rFonts w:hint="eastAsia" w:ascii="仿宋_GB2312" w:hAnsi="仿宋_GB2312" w:eastAsia="仿宋_GB2312" w:cs="仿宋_GB2312"/>
          <w:color w:val="auto"/>
          <w:kern w:val="2"/>
          <w:sz w:val="32"/>
          <w:szCs w:val="32"/>
          <w:highlight w:val="none"/>
          <w:lang w:val="zh-CN" w:eastAsia="zh-CN" w:bidi="ar-SA"/>
        </w:rPr>
        <w:t>项目立项、资金申报的依据，项目主要内容</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color w:val="auto"/>
          <w:kern w:val="2"/>
          <w:sz w:val="32"/>
          <w:szCs w:val="32"/>
          <w:highlight w:val="none"/>
          <w:lang w:val="zh-CN" w:eastAsia="zh-CN" w:bidi="ar-SA"/>
        </w:rPr>
        <w:t>主管部门职能。</w:t>
      </w:r>
    </w:p>
    <w:p w14:paraId="6BCC3F09">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w:t>
      </w:r>
      <w:r>
        <w:rPr>
          <w:rFonts w:hint="eastAsia" w:ascii="Times New Roman" w:hAnsi="Times New Roman" w:eastAsia="楷体_GB2312" w:cs="Times New Roman"/>
          <w:b/>
          <w:color w:val="auto"/>
          <w:sz w:val="32"/>
          <w:szCs w:val="32"/>
          <w:highlight w:val="none"/>
          <w:u w:val="none"/>
          <w:lang w:val="zh-CN"/>
        </w:rPr>
        <w:t>二）</w:t>
      </w:r>
      <w:r>
        <w:rPr>
          <w:rFonts w:hint="default" w:ascii="Times New Roman" w:hAnsi="Times New Roman" w:eastAsia="楷体_GB2312" w:cs="Times New Roman"/>
          <w:b/>
          <w:color w:val="auto"/>
          <w:sz w:val="32"/>
          <w:szCs w:val="32"/>
          <w:highlight w:val="none"/>
          <w:u w:val="none"/>
          <w:lang w:val="en-US" w:eastAsia="zh-CN"/>
        </w:rPr>
        <w:t>实施目的及支持方向</w:t>
      </w:r>
      <w:r>
        <w:rPr>
          <w:rFonts w:hint="eastAsia" w:ascii="Times New Roman" w:hAnsi="Times New Roman" w:eastAsia="楷体_GB2312" w:cs="Times New Roman"/>
          <w:b/>
          <w:color w:val="auto"/>
          <w:sz w:val="32"/>
          <w:szCs w:val="32"/>
          <w:highlight w:val="none"/>
          <w:u w:val="none"/>
          <w:lang w:val="en-US" w:eastAsia="zh-CN"/>
        </w:rPr>
        <w:t>。</w:t>
      </w:r>
      <w:r>
        <w:rPr>
          <w:rFonts w:hint="eastAsia" w:ascii="仿宋_GB2312" w:hAnsi="仿宋_GB2312" w:eastAsia="仿宋_GB2312" w:cs="仿宋_GB2312"/>
          <w:color w:val="auto"/>
          <w:kern w:val="2"/>
          <w:sz w:val="32"/>
          <w:szCs w:val="32"/>
          <w:highlight w:val="none"/>
          <w:lang w:val="en-US" w:eastAsia="zh-CN" w:bidi="ar-SA"/>
        </w:rPr>
        <w:t>项目资金</w:t>
      </w:r>
      <w:r>
        <w:rPr>
          <w:rFonts w:hint="eastAsia" w:ascii="仿宋_GB2312" w:hAnsi="仿宋_GB2312" w:eastAsia="仿宋_GB2312" w:cs="仿宋_GB2312"/>
          <w:color w:val="auto"/>
          <w:kern w:val="2"/>
          <w:sz w:val="32"/>
          <w:szCs w:val="32"/>
          <w:highlight w:val="none"/>
          <w:lang w:val="zh-CN" w:eastAsia="zh-CN" w:bidi="ar-SA"/>
        </w:rPr>
        <w:t>管理办法制定情况，项目实施目的和主要工作任务，项目支持方向。</w:t>
      </w:r>
    </w:p>
    <w:p w14:paraId="6D0FFB33">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（三）</w:t>
      </w:r>
      <w:r>
        <w:rPr>
          <w:rFonts w:hint="default" w:ascii="Times New Roman" w:hAnsi="Times New Roman" w:eastAsia="楷体_GB2312" w:cs="Times New Roman"/>
          <w:b/>
          <w:color w:val="auto"/>
          <w:sz w:val="32"/>
          <w:szCs w:val="32"/>
          <w:highlight w:val="none"/>
          <w:u w:val="none"/>
          <w:lang w:val="en-US" w:eastAsia="zh-CN"/>
        </w:rPr>
        <w:t>预算安排及分配管理</w:t>
      </w:r>
      <w:r>
        <w:rPr>
          <w:rFonts w:hint="eastAsia" w:ascii="Times New Roman" w:hAnsi="Times New Roman" w:eastAsia="楷体_GB2312" w:cs="Times New Roman"/>
          <w:b/>
          <w:color w:val="auto"/>
          <w:sz w:val="32"/>
          <w:szCs w:val="32"/>
          <w:highlight w:val="none"/>
          <w:u w:val="none"/>
          <w:lang w:val="zh-CN" w:eastAsia="zh-CN"/>
        </w:rPr>
        <w:t>。</w:t>
      </w:r>
      <w:r>
        <w:rPr>
          <w:rFonts w:hint="eastAsia" w:ascii="仿宋_GB2312" w:hAnsi="仿宋_GB2312" w:eastAsia="仿宋_GB2312" w:cs="仿宋_GB2312"/>
          <w:color w:val="auto"/>
          <w:kern w:val="2"/>
          <w:sz w:val="32"/>
          <w:szCs w:val="32"/>
          <w:highlight w:val="none"/>
          <w:lang w:val="zh-CN" w:eastAsia="zh-CN" w:bidi="ar-SA"/>
        </w:rPr>
        <w:t>项目预算安排情况，项目资金分配原则及考虑因素，项目资金分配情况。</w:t>
      </w:r>
    </w:p>
    <w:p w14:paraId="3902E19A">
      <w:pPr>
        <w:keepNext w:val="0"/>
        <w:keepLines w:val="0"/>
        <w:pageBreakBefore w:val="0"/>
        <w:kinsoku/>
        <w:wordWrap/>
        <w:overflowPunct/>
        <w:topLinePunct w:val="0"/>
        <w:autoSpaceDE/>
        <w:autoSpaceDN/>
        <w:bidi w:val="0"/>
        <w:adjustRightInd w:val="0"/>
        <w:snapToGrid w:val="0"/>
        <w:spacing w:line="578" w:lineRule="exact"/>
        <w:ind w:left="0" w:leftChars="0" w:firstLine="643" w:firstLineChars="200"/>
        <w:textAlignment w:val="auto"/>
        <w:rPr>
          <w:rFonts w:hint="default" w:ascii="仿宋_GB2312" w:hAnsi="仿宋_GB2312" w:eastAsia="仿宋_GB2312" w:cs="仿宋_GB2312"/>
          <w:color w:val="auto"/>
          <w:kern w:val="2"/>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eastAsia="zh-CN"/>
        </w:rPr>
        <w:t>（四）项目绩效目标设置。</w:t>
      </w:r>
      <w:r>
        <w:rPr>
          <w:rFonts w:hint="eastAsia" w:ascii="仿宋_GB2312" w:hAnsi="仿宋_GB2312" w:eastAsia="仿宋_GB2312" w:cs="仿宋_GB2312"/>
          <w:color w:val="auto"/>
          <w:kern w:val="2"/>
          <w:sz w:val="32"/>
          <w:szCs w:val="32"/>
          <w:highlight w:val="none"/>
          <w:lang w:val="zh-CN" w:eastAsia="zh-CN" w:bidi="ar-SA"/>
        </w:rPr>
        <w:t>项目整体、区域和具体绩效目标设置情况，项目自评工作开展情况。</w:t>
      </w:r>
    </w:p>
    <w:p w14:paraId="4953DB7C">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二、评价实施</w:t>
      </w:r>
    </w:p>
    <w:p w14:paraId="775DF13F">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（一）评价目的。</w:t>
      </w:r>
      <w:r>
        <w:rPr>
          <w:rFonts w:hint="eastAsia" w:ascii="仿宋_GB2312" w:hAnsi="仿宋_GB2312" w:eastAsia="仿宋_GB2312" w:cs="仿宋_GB2312"/>
          <w:color w:val="auto"/>
          <w:kern w:val="2"/>
          <w:sz w:val="32"/>
          <w:szCs w:val="32"/>
          <w:highlight w:val="none"/>
          <w:lang w:val="zh-CN" w:eastAsia="zh-CN" w:bidi="ar-SA"/>
        </w:rPr>
        <w:t>通过项目绩效自评要实现的目的。</w:t>
      </w:r>
    </w:p>
    <w:p w14:paraId="1196228F">
      <w:pPr>
        <w:keepNext w:val="0"/>
        <w:keepLines w:val="0"/>
        <w:pageBreakBefore w:val="0"/>
        <w:widowControl w:val="0"/>
        <w:kinsoku/>
        <w:wordWrap/>
        <w:overflowPunct/>
        <w:topLinePunct w:val="0"/>
        <w:autoSpaceDE/>
        <w:autoSpaceDN/>
        <w:bidi w:val="0"/>
        <w:adjustRightInd w:val="0"/>
        <w:snapToGrid w:val="0"/>
        <w:spacing w:line="578" w:lineRule="exact"/>
        <w:ind w:left="0" w:leftChars="0" w:firstLine="643" w:firstLineChars="200"/>
        <w:textAlignment w:val="auto"/>
        <w:outlineLvl w:val="9"/>
        <w:rPr>
          <w:rFonts w:hint="eastAsia" w:ascii="仿宋_GB2312" w:hAnsi="仿宋_GB2312" w:eastAsia="仿宋_GB2312" w:cs="仿宋_GB2312"/>
          <w:color w:val="auto"/>
          <w:kern w:val="2"/>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（二）预设问题及评价重点。</w:t>
      </w:r>
      <w:r>
        <w:rPr>
          <w:rFonts w:hint="eastAsia" w:ascii="仿宋_GB2312" w:hAnsi="仿宋_GB2312" w:eastAsia="仿宋_GB2312" w:cs="仿宋_GB2312"/>
          <w:color w:val="auto"/>
          <w:kern w:val="2"/>
          <w:sz w:val="32"/>
          <w:szCs w:val="32"/>
          <w:highlight w:val="none"/>
          <w:lang w:val="zh-CN" w:eastAsia="zh-CN" w:bidi="ar-SA"/>
        </w:rPr>
        <w:t>按照绩效评价指标体系，对资金支出使用全过程及其实施效果进行综合评价和判断。</w:t>
      </w:r>
    </w:p>
    <w:p w14:paraId="33DBF5B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_GB2312" w:eastAsia="仿宋_GB2312" w:cs="仿宋_GB2312"/>
          <w:color w:val="auto"/>
          <w:kern w:val="2"/>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（三）评价选点。</w:t>
      </w:r>
      <w:r>
        <w:rPr>
          <w:rFonts w:hint="eastAsia" w:ascii="仿宋_GB2312" w:hAnsi="仿宋_GB2312" w:eastAsia="仿宋_GB2312" w:cs="仿宋_GB2312"/>
          <w:color w:val="auto"/>
          <w:kern w:val="2"/>
          <w:sz w:val="32"/>
          <w:szCs w:val="32"/>
          <w:highlight w:val="none"/>
          <w:lang w:val="zh-CN" w:eastAsia="zh-CN" w:bidi="ar-SA"/>
        </w:rPr>
        <w:t>项目绩效自评所抽样点位情况。每个专项预算项目应选取专项资金分配涉及市县总数的20%、总计不超过20个的市县点位进行实地踏勘，且点位清单应作为自评附表。</w:t>
      </w:r>
    </w:p>
    <w:p w14:paraId="58F29763">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_GB2312" w:eastAsia="仿宋_GB2312" w:cs="仿宋_GB2312"/>
          <w:color w:val="auto"/>
          <w:kern w:val="2"/>
          <w:sz w:val="32"/>
          <w:szCs w:val="32"/>
          <w:highlight w:val="none"/>
          <w:lang w:val="zh-CN" w:eastAsia="zh-CN" w:bidi="ar-SA"/>
        </w:rPr>
      </w:pPr>
      <w:r>
        <w:rPr>
          <w:rFonts w:hint="eastAsia" w:ascii="Times New Roman" w:hAnsi="Times New Roman" w:eastAsia="楷体_GB2312"/>
          <w:b/>
          <w:color w:val="auto"/>
          <w:sz w:val="32"/>
          <w:szCs w:val="32"/>
          <w:highlight w:val="none"/>
          <w:u w:val="none"/>
          <w:lang w:val="zh-CN"/>
        </w:rPr>
        <w:t>（四）评价方法。</w:t>
      </w:r>
      <w:r>
        <w:rPr>
          <w:rFonts w:hint="eastAsia" w:ascii="仿宋_GB2312" w:hAnsi="仿宋_GB2312" w:eastAsia="仿宋_GB2312" w:cs="仿宋_GB2312"/>
          <w:color w:val="auto"/>
          <w:kern w:val="2"/>
          <w:sz w:val="32"/>
          <w:szCs w:val="32"/>
          <w:highlight w:val="none"/>
          <w:lang w:val="zh-CN" w:eastAsia="zh-CN" w:bidi="ar-SA"/>
        </w:rPr>
        <w:t>根据项目情况和评价重点，用来收集相关材料和开展具体评价的方法。包括：采用成本效益分析法、标杆管理法、案卷研究法、单位自评法、实地勘察法</w:t>
      </w:r>
      <w:r>
        <w:rPr>
          <w:rFonts w:hint="eastAsia" w:ascii="Times New Roman" w:hAnsi="Times New Roman" w:eastAsia="仿宋_GB2312" w:cs="仿宋_GB2312"/>
          <w:b w:val="0"/>
          <w:bCs w:val="0"/>
          <w:kern w:val="0"/>
          <w:position w:val="0"/>
          <w:sz w:val="32"/>
          <w:szCs w:val="32"/>
          <w:highlight w:val="none"/>
          <w:lang w:val="zh-CN" w:eastAsia="zh-CN" w:bidi="ar-SA"/>
        </w:rPr>
        <w:t>、</w:t>
      </w:r>
      <w:r>
        <w:rPr>
          <w:rFonts w:hint="eastAsia" w:ascii="仿宋_GB2312" w:hAnsi="仿宋_GB2312" w:eastAsia="仿宋_GB2312" w:cs="仿宋_GB2312"/>
          <w:color w:val="auto"/>
          <w:kern w:val="2"/>
          <w:sz w:val="32"/>
          <w:szCs w:val="32"/>
          <w:highlight w:val="none"/>
          <w:lang w:val="zh-CN" w:eastAsia="zh-CN" w:bidi="ar-SA"/>
        </w:rPr>
        <w:t>问卷调查法、座谈调研法等多种方法。</w:t>
      </w:r>
    </w:p>
    <w:p w14:paraId="567CCE2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Times New Roman"/>
          <w:bCs/>
          <w:lang w:eastAsia="zh-CN"/>
        </w:rPr>
      </w:pPr>
      <w:r>
        <w:rPr>
          <w:rFonts w:hint="eastAsia" w:ascii="Times New Roman" w:hAnsi="Times New Roman" w:eastAsia="楷体_GB2312"/>
          <w:b/>
          <w:color w:val="auto"/>
          <w:sz w:val="32"/>
          <w:szCs w:val="32"/>
          <w:highlight w:val="none"/>
          <w:u w:val="none"/>
          <w:lang w:val="zh-CN"/>
        </w:rPr>
        <w:t>（五）评价组织。</w:t>
      </w:r>
      <w:r>
        <w:rPr>
          <w:rFonts w:hint="eastAsia" w:ascii="仿宋_GB2312" w:hAnsi="仿宋_GB2312" w:eastAsia="仿宋_GB2312" w:cs="仿宋_GB2312"/>
          <w:color w:val="auto"/>
          <w:kern w:val="2"/>
          <w:sz w:val="32"/>
          <w:szCs w:val="32"/>
          <w:highlight w:val="none"/>
          <w:lang w:val="zh-CN" w:eastAsia="zh-CN" w:bidi="ar-SA"/>
        </w:rPr>
        <w:t>评价组人员构成和职责分工。</w:t>
      </w:r>
    </w:p>
    <w:p w14:paraId="4A878244">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黑体" w:hAnsi="黑体" w:eastAsia="黑体" w:cs="黑体"/>
          <w:b/>
          <w:bCs/>
          <w:kern w:val="2"/>
          <w:sz w:val="32"/>
          <w:szCs w:val="32"/>
          <w:lang w:val="zh-CN" w:eastAsia="zh-CN" w:bidi="ar-SA"/>
        </w:rPr>
      </w:pPr>
      <w:r>
        <w:rPr>
          <w:rFonts w:hint="eastAsia" w:ascii="黑体" w:hAnsi="黑体" w:eastAsia="黑体" w:cs="黑体"/>
          <w:b/>
          <w:bCs/>
          <w:kern w:val="2"/>
          <w:sz w:val="32"/>
          <w:szCs w:val="32"/>
          <w:lang w:val="en-US" w:eastAsia="zh-CN" w:bidi="ar-SA"/>
        </w:rPr>
        <w:t>三、绩效分析</w:t>
      </w:r>
      <w:r>
        <w:rPr>
          <w:rFonts w:hint="eastAsia" w:ascii="黑体" w:hAnsi="黑体" w:eastAsia="黑体" w:cs="黑体"/>
          <w:b/>
          <w:bCs/>
          <w:kern w:val="2"/>
          <w:sz w:val="32"/>
          <w:szCs w:val="32"/>
          <w:lang w:val="zh-CN" w:eastAsia="zh-CN" w:bidi="ar-SA"/>
        </w:rPr>
        <w:tab/>
      </w:r>
    </w:p>
    <w:p w14:paraId="1C9762C6">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default" w:ascii="Times New Roman" w:hAnsi="Times New Roman" w:eastAsia="仿宋_GB2312" w:cs="仿宋_GB2312"/>
          <w:b w:val="0"/>
          <w:bCs w:val="0"/>
          <w:kern w:val="0"/>
          <w:position w:val="0"/>
          <w:sz w:val="32"/>
          <w:szCs w:val="32"/>
          <w:highlight w:val="none"/>
          <w:lang w:val="zh-CN" w:eastAsia="zh-CN" w:bidi="ar-SA"/>
        </w:rPr>
        <w:t>根</w:t>
      </w:r>
      <w:r>
        <w:rPr>
          <w:rFonts w:hint="default" w:ascii="仿宋_GB2312" w:hAnsi="仿宋_GB2312" w:eastAsia="仿宋_GB2312" w:cs="仿宋_GB2312"/>
          <w:color w:val="auto"/>
          <w:kern w:val="2"/>
          <w:sz w:val="32"/>
          <w:szCs w:val="32"/>
          <w:highlight w:val="none"/>
          <w:lang w:val="zh-CN" w:eastAsia="zh-CN" w:bidi="ar-SA"/>
        </w:rPr>
        <w:t>据</w:t>
      </w:r>
      <w:r>
        <w:rPr>
          <w:rFonts w:hint="eastAsia" w:ascii="仿宋_GB2312" w:hAnsi="仿宋_GB2312" w:eastAsia="仿宋_GB2312" w:cs="仿宋_GB2312"/>
          <w:color w:val="auto"/>
          <w:kern w:val="2"/>
          <w:sz w:val="32"/>
          <w:szCs w:val="32"/>
          <w:highlight w:val="none"/>
          <w:lang w:val="zh-CN" w:eastAsia="zh-CN" w:bidi="ar-SA"/>
        </w:rPr>
        <w:t>项目</w:t>
      </w:r>
      <w:r>
        <w:rPr>
          <w:rFonts w:hint="default" w:ascii="仿宋_GB2312" w:hAnsi="仿宋_GB2312" w:eastAsia="仿宋_GB2312" w:cs="仿宋_GB2312"/>
          <w:color w:val="auto"/>
          <w:kern w:val="2"/>
          <w:sz w:val="32"/>
          <w:szCs w:val="32"/>
          <w:highlight w:val="none"/>
          <w:lang w:val="zh-CN" w:eastAsia="zh-CN" w:bidi="ar-SA"/>
        </w:rPr>
        <w:t>预算绩效评价指标体系</w:t>
      </w:r>
      <w:r>
        <w:rPr>
          <w:rFonts w:hint="eastAsia" w:ascii="仿宋_GB2312" w:hAnsi="仿宋_GB2312" w:eastAsia="仿宋_GB2312" w:cs="仿宋_GB2312"/>
          <w:color w:val="auto"/>
          <w:kern w:val="2"/>
          <w:sz w:val="32"/>
          <w:szCs w:val="32"/>
          <w:highlight w:val="none"/>
          <w:lang w:val="zh-CN" w:eastAsia="zh-CN" w:bidi="ar-SA"/>
        </w:rPr>
        <w:t>通用指标、专用指标、个性指标</w:t>
      </w:r>
      <w:r>
        <w:rPr>
          <w:rFonts w:hint="default" w:ascii="仿宋_GB2312" w:hAnsi="仿宋_GB2312" w:eastAsia="仿宋_GB2312" w:cs="仿宋_GB2312"/>
          <w:color w:val="auto"/>
          <w:kern w:val="2"/>
          <w:sz w:val="32"/>
          <w:szCs w:val="32"/>
          <w:highlight w:val="none"/>
          <w:lang w:val="zh-CN" w:eastAsia="zh-CN" w:bidi="ar-SA"/>
        </w:rPr>
        <w:t>涉及</w:t>
      </w:r>
      <w:r>
        <w:rPr>
          <w:rFonts w:hint="eastAsia" w:ascii="仿宋_GB2312" w:hAnsi="仿宋_GB2312" w:eastAsia="仿宋_GB2312" w:cs="仿宋_GB2312"/>
          <w:color w:val="auto"/>
          <w:kern w:val="2"/>
          <w:sz w:val="32"/>
          <w:szCs w:val="32"/>
          <w:highlight w:val="none"/>
          <w:lang w:val="zh-CN" w:eastAsia="zh-CN" w:bidi="ar-SA"/>
        </w:rPr>
        <w:t>二、三级</w:t>
      </w:r>
      <w:r>
        <w:rPr>
          <w:rFonts w:hint="default" w:ascii="仿宋_GB2312" w:hAnsi="仿宋_GB2312" w:eastAsia="仿宋_GB2312" w:cs="仿宋_GB2312"/>
          <w:color w:val="auto"/>
          <w:kern w:val="2"/>
          <w:sz w:val="32"/>
          <w:szCs w:val="32"/>
          <w:highlight w:val="none"/>
          <w:lang w:val="zh-CN" w:eastAsia="zh-CN" w:bidi="ar-SA"/>
        </w:rPr>
        <w:t>指标进行</w:t>
      </w:r>
      <w:r>
        <w:rPr>
          <w:rFonts w:hint="eastAsia" w:ascii="仿宋_GB2312" w:hAnsi="仿宋_GB2312" w:eastAsia="仿宋_GB2312" w:cs="仿宋_GB2312"/>
          <w:color w:val="auto"/>
          <w:kern w:val="2"/>
          <w:sz w:val="32"/>
          <w:szCs w:val="32"/>
          <w:highlight w:val="none"/>
          <w:lang w:val="zh-CN" w:eastAsia="zh-CN" w:bidi="ar-SA"/>
        </w:rPr>
        <w:t>逐项</w:t>
      </w:r>
      <w:r>
        <w:rPr>
          <w:rFonts w:hint="default" w:ascii="仿宋_GB2312" w:hAnsi="仿宋_GB2312" w:eastAsia="仿宋_GB2312" w:cs="仿宋_GB2312"/>
          <w:color w:val="auto"/>
          <w:kern w:val="2"/>
          <w:sz w:val="32"/>
          <w:szCs w:val="32"/>
          <w:highlight w:val="none"/>
          <w:lang w:val="zh-CN" w:eastAsia="zh-CN" w:bidi="ar-SA"/>
        </w:rPr>
        <w:t>绩效分析</w:t>
      </w:r>
      <w:r>
        <w:rPr>
          <w:rFonts w:hint="eastAsia" w:ascii="仿宋_GB2312" w:hAnsi="仿宋_GB2312" w:eastAsia="仿宋_GB2312" w:cs="仿宋_GB2312"/>
          <w:color w:val="auto"/>
          <w:kern w:val="2"/>
          <w:sz w:val="32"/>
          <w:szCs w:val="32"/>
          <w:highlight w:val="none"/>
          <w:lang w:val="zh-CN" w:eastAsia="zh-CN" w:bidi="ar-SA"/>
        </w:rPr>
        <w:t>并评分</w:t>
      </w:r>
      <w:r>
        <w:rPr>
          <w:rFonts w:hint="eastAsia" w:ascii="仿宋_GB2312" w:hAnsi="仿宋_GB2312" w:eastAsia="仿宋_GB2312" w:cs="仿宋_GB2312"/>
          <w:color w:val="auto"/>
          <w:kern w:val="2"/>
          <w:sz w:val="32"/>
          <w:szCs w:val="32"/>
          <w:highlight w:val="none"/>
          <w:lang w:val="en-US" w:eastAsia="zh-CN" w:bidi="ar-SA"/>
        </w:rPr>
        <w:t>。</w:t>
      </w:r>
    </w:p>
    <w:p w14:paraId="6AFEA3C3">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Times New Roman" w:hAnsi="Times New Roman" w:eastAsia="楷体_GB2312" w:cs="Times New Roman"/>
          <w:b/>
          <w:color w:val="auto"/>
          <w:sz w:val="32"/>
          <w:szCs w:val="32"/>
          <w:highlight w:val="none"/>
          <w:u w:val="none"/>
          <w:lang w:val="en-US" w:eastAsia="zh-CN"/>
        </w:rPr>
      </w:pPr>
      <w:r>
        <w:rPr>
          <w:rFonts w:hint="eastAsia" w:ascii="Times New Roman" w:hAnsi="Times New Roman" w:eastAsia="楷体_GB2312" w:cs="Times New Roman"/>
          <w:b/>
          <w:color w:val="auto"/>
          <w:sz w:val="32"/>
          <w:szCs w:val="32"/>
          <w:highlight w:val="none"/>
          <w:u w:val="none"/>
          <w:lang w:val="zh-CN"/>
        </w:rPr>
        <w:t>（一）</w:t>
      </w:r>
      <w:r>
        <w:rPr>
          <w:rFonts w:hint="eastAsia" w:ascii="Times New Roman" w:hAnsi="Times New Roman" w:eastAsia="楷体_GB2312" w:cs="Times New Roman"/>
          <w:b/>
          <w:color w:val="auto"/>
          <w:sz w:val="32"/>
          <w:szCs w:val="32"/>
          <w:highlight w:val="none"/>
          <w:u w:val="none"/>
          <w:lang w:val="en-US" w:eastAsia="zh-CN"/>
        </w:rPr>
        <w:t>通用指标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p>
    <w:p w14:paraId="12BBFC9C">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b/>
          <w:bCs/>
          <w:color w:val="auto"/>
          <w:kern w:val="2"/>
          <w:sz w:val="32"/>
          <w:szCs w:val="32"/>
          <w:highlight w:val="none"/>
          <w:lang w:val="en-US" w:eastAsia="zh-CN" w:bidi="ar-SA"/>
        </w:rPr>
        <w:t>1.</w:t>
      </w:r>
      <w:r>
        <w:rPr>
          <w:rFonts w:hint="eastAsia" w:ascii="仿宋_GB2312" w:hAnsi="仿宋_GB2312" w:eastAsia="仿宋_GB2312" w:cs="仿宋_GB2312"/>
          <w:b/>
          <w:bCs/>
          <w:color w:val="auto"/>
          <w:kern w:val="2"/>
          <w:sz w:val="32"/>
          <w:szCs w:val="32"/>
          <w:highlight w:val="none"/>
          <w:lang w:val="zh-CN" w:eastAsia="zh-CN" w:bidi="ar-SA"/>
        </w:rPr>
        <w:t>项目决策。</w:t>
      </w:r>
      <w:r>
        <w:rPr>
          <w:rFonts w:hint="eastAsia" w:ascii="仿宋_GB2312" w:hAnsi="仿宋_GB2312" w:eastAsia="仿宋_GB2312" w:cs="仿宋_GB2312"/>
          <w:color w:val="auto"/>
          <w:kern w:val="2"/>
          <w:sz w:val="32"/>
          <w:szCs w:val="32"/>
          <w:highlight w:val="none"/>
          <w:lang w:val="zh-CN" w:eastAsia="zh-CN" w:bidi="ar-SA"/>
        </w:rPr>
        <w:t>围绕决策程序、规划论证、资金投向进行绩效分析。</w:t>
      </w:r>
    </w:p>
    <w:p w14:paraId="34CDA07D">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b/>
          <w:bCs/>
          <w:color w:val="auto"/>
          <w:kern w:val="2"/>
          <w:sz w:val="32"/>
          <w:szCs w:val="32"/>
          <w:highlight w:val="none"/>
          <w:lang w:val="en-US" w:eastAsia="zh-CN" w:bidi="ar-SA"/>
        </w:rPr>
        <w:t>2.</w:t>
      </w:r>
      <w:r>
        <w:rPr>
          <w:rFonts w:hint="eastAsia" w:ascii="仿宋_GB2312" w:hAnsi="仿宋_GB2312" w:eastAsia="仿宋_GB2312" w:cs="仿宋_GB2312"/>
          <w:b/>
          <w:bCs/>
          <w:color w:val="auto"/>
          <w:kern w:val="2"/>
          <w:sz w:val="32"/>
          <w:szCs w:val="32"/>
          <w:highlight w:val="none"/>
          <w:lang w:val="zh-CN" w:eastAsia="zh-CN" w:bidi="ar-SA"/>
        </w:rPr>
        <w:t>项目管理。</w:t>
      </w:r>
      <w:r>
        <w:rPr>
          <w:rFonts w:hint="eastAsia" w:ascii="仿宋_GB2312" w:hAnsi="仿宋_GB2312" w:eastAsia="仿宋_GB2312" w:cs="仿宋_GB2312"/>
          <w:color w:val="auto"/>
          <w:kern w:val="2"/>
          <w:sz w:val="32"/>
          <w:szCs w:val="32"/>
          <w:highlight w:val="none"/>
          <w:lang w:val="zh-CN" w:eastAsia="zh-CN" w:bidi="ar-SA"/>
        </w:rPr>
        <w:t>围绕制度办法、分配管理、绩效监管进行绩效分析。</w:t>
      </w:r>
    </w:p>
    <w:p w14:paraId="3AFAA478">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b/>
          <w:bCs/>
          <w:color w:val="auto"/>
          <w:kern w:val="2"/>
          <w:sz w:val="32"/>
          <w:szCs w:val="32"/>
          <w:highlight w:val="none"/>
          <w:lang w:val="en-US" w:eastAsia="zh-CN" w:bidi="ar-SA"/>
        </w:rPr>
        <w:t>3.项目实施。</w:t>
      </w:r>
      <w:r>
        <w:rPr>
          <w:rFonts w:hint="eastAsia" w:ascii="仿宋_GB2312" w:hAnsi="仿宋_GB2312" w:eastAsia="仿宋_GB2312" w:cs="仿宋_GB2312"/>
          <w:color w:val="auto"/>
          <w:kern w:val="2"/>
          <w:sz w:val="32"/>
          <w:szCs w:val="32"/>
          <w:highlight w:val="none"/>
          <w:lang w:val="zh-CN" w:eastAsia="zh-CN" w:bidi="ar-SA"/>
        </w:rPr>
        <w:t>围绕预算执行、资金使用进行绩效分析。</w:t>
      </w:r>
    </w:p>
    <w:p w14:paraId="70DCA98C">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仿宋_GB2312" w:hAnsi="仿宋_GB2312" w:eastAsia="仿宋_GB2312" w:cs="仿宋_GB2312"/>
          <w:b/>
          <w:bCs/>
          <w:color w:val="auto"/>
          <w:kern w:val="2"/>
          <w:sz w:val="32"/>
          <w:szCs w:val="32"/>
          <w:highlight w:val="none"/>
          <w:lang w:val="en-US" w:eastAsia="zh-CN" w:bidi="ar-SA"/>
        </w:rPr>
        <w:t>4.项目结果。</w:t>
      </w:r>
      <w:r>
        <w:rPr>
          <w:rFonts w:hint="eastAsia" w:ascii="仿宋_GB2312" w:hAnsi="仿宋_GB2312" w:eastAsia="仿宋_GB2312" w:cs="仿宋_GB2312"/>
          <w:color w:val="auto"/>
          <w:kern w:val="2"/>
          <w:sz w:val="32"/>
          <w:szCs w:val="32"/>
          <w:highlight w:val="none"/>
          <w:lang w:val="en-US" w:eastAsia="zh-CN" w:bidi="ar-SA"/>
        </w:rPr>
        <w:t>围绕</w:t>
      </w:r>
      <w:r>
        <w:rPr>
          <w:rFonts w:hint="eastAsia" w:ascii="仿宋_GB2312" w:hAnsi="仿宋_GB2312" w:eastAsia="仿宋_GB2312" w:cs="仿宋_GB2312"/>
          <w:color w:val="auto"/>
          <w:kern w:val="2"/>
          <w:sz w:val="32"/>
          <w:szCs w:val="32"/>
          <w:highlight w:val="none"/>
          <w:lang w:val="zh-CN" w:eastAsia="zh-CN" w:bidi="ar-SA"/>
        </w:rPr>
        <w:t>目标完成、完成时效进行绩效分析。</w:t>
      </w:r>
    </w:p>
    <w:p w14:paraId="30F6CEC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Times New Roman" w:hAnsi="Times New Roman" w:eastAsia="楷体_GB2312" w:cs="Times New Roman"/>
          <w:b/>
          <w:color w:val="auto"/>
          <w:sz w:val="32"/>
          <w:szCs w:val="32"/>
          <w:highlight w:val="none"/>
          <w:u w:val="none"/>
          <w:lang w:val="zh-CN"/>
        </w:rPr>
        <w:t>（二）</w:t>
      </w:r>
      <w:r>
        <w:rPr>
          <w:rFonts w:hint="eastAsia" w:ascii="Times New Roman" w:hAnsi="Times New Roman" w:eastAsia="楷体_GB2312" w:cs="Times New Roman"/>
          <w:b/>
          <w:color w:val="auto"/>
          <w:sz w:val="32"/>
          <w:szCs w:val="32"/>
          <w:highlight w:val="none"/>
          <w:u w:val="none"/>
          <w:lang w:val="en-US" w:eastAsia="zh-CN"/>
        </w:rPr>
        <w:t>专用指标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eastAsia" w:ascii="仿宋_GB2312" w:hAnsi="仿宋_GB2312" w:eastAsia="仿宋_GB2312" w:cs="仿宋_GB2312"/>
          <w:color w:val="auto"/>
          <w:kern w:val="2"/>
          <w:sz w:val="32"/>
          <w:szCs w:val="32"/>
          <w:highlight w:val="none"/>
          <w:lang w:val="zh-CN" w:eastAsia="zh-CN" w:bidi="ar-SA"/>
        </w:rPr>
        <w:t>根据</w:t>
      </w:r>
      <w:r>
        <w:rPr>
          <w:rFonts w:hint="eastAsia" w:ascii="仿宋_GB2312" w:hAnsi="仿宋_GB2312" w:eastAsia="仿宋_GB2312" w:cs="仿宋_GB2312"/>
          <w:color w:val="auto"/>
          <w:kern w:val="2"/>
          <w:sz w:val="32"/>
          <w:szCs w:val="32"/>
          <w:highlight w:val="none"/>
          <w:lang w:val="en-US" w:eastAsia="zh-CN" w:bidi="ar-SA"/>
        </w:rPr>
        <w:t>专项预算项目资金支持对象选择所属指标进行绩效分析。支持对象</w:t>
      </w:r>
      <w:r>
        <w:rPr>
          <w:rFonts w:hint="eastAsia" w:ascii="仿宋_GB2312" w:hAnsi="仿宋_GB2312" w:eastAsia="仿宋_GB2312" w:cs="仿宋_GB2312"/>
          <w:color w:val="auto"/>
          <w:kern w:val="2"/>
          <w:sz w:val="32"/>
          <w:szCs w:val="32"/>
          <w:highlight w:val="none"/>
          <w:lang w:val="zh-CN" w:eastAsia="zh-CN" w:bidi="ar-SA"/>
        </w:rPr>
        <w:t>包括产业发展、民生保障、基础设施、行政运转等方面。</w:t>
      </w:r>
    </w:p>
    <w:p w14:paraId="0545C259">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1.产业发展。</w:t>
      </w:r>
      <w:r>
        <w:rPr>
          <w:rFonts w:hint="eastAsia" w:ascii="仿宋_GB2312" w:hAnsi="仿宋_GB2312" w:eastAsia="仿宋_GB2312" w:cs="仿宋_GB2312"/>
          <w:color w:val="auto"/>
          <w:kern w:val="2"/>
          <w:sz w:val="32"/>
          <w:szCs w:val="32"/>
          <w:highlight w:val="none"/>
          <w:lang w:val="en-US" w:eastAsia="zh-CN" w:bidi="ar-SA"/>
        </w:rPr>
        <w:t>围绕符合性、成长性、经济性进行绩效分析。</w:t>
      </w:r>
    </w:p>
    <w:p w14:paraId="0FBDB44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2.</w:t>
      </w:r>
      <w:r>
        <w:rPr>
          <w:rFonts w:hint="eastAsia" w:ascii="仿宋_GB2312" w:hAnsi="仿宋_GB2312" w:eastAsia="仿宋_GB2312" w:cs="仿宋_GB2312"/>
          <w:b/>
          <w:bCs/>
          <w:color w:val="auto"/>
          <w:kern w:val="2"/>
          <w:sz w:val="32"/>
          <w:szCs w:val="32"/>
          <w:highlight w:val="none"/>
          <w:lang w:val="zh-CN" w:eastAsia="zh-CN" w:bidi="ar-SA"/>
        </w:rPr>
        <w:t>民生保障。</w:t>
      </w:r>
      <w:r>
        <w:rPr>
          <w:rFonts w:hint="eastAsia" w:ascii="仿宋_GB2312" w:hAnsi="仿宋_GB2312" w:eastAsia="仿宋_GB2312" w:cs="仿宋_GB2312"/>
          <w:color w:val="auto"/>
          <w:kern w:val="2"/>
          <w:sz w:val="32"/>
          <w:szCs w:val="32"/>
          <w:highlight w:val="none"/>
          <w:lang w:val="en-US" w:eastAsia="zh-CN" w:bidi="ar-SA"/>
        </w:rPr>
        <w:t>围绕区域均衡性、对象精准性、标准合理性、群众满意度进行绩效分析。</w:t>
      </w:r>
    </w:p>
    <w:p w14:paraId="6FF2D438">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3.基础设施。</w:t>
      </w:r>
      <w:r>
        <w:rPr>
          <w:rFonts w:hint="eastAsia" w:ascii="仿宋_GB2312" w:hAnsi="仿宋_GB2312" w:eastAsia="仿宋_GB2312" w:cs="仿宋_GB2312"/>
          <w:color w:val="auto"/>
          <w:kern w:val="2"/>
          <w:sz w:val="32"/>
          <w:szCs w:val="32"/>
          <w:highlight w:val="none"/>
          <w:lang w:val="en-US" w:eastAsia="zh-CN" w:bidi="ar-SA"/>
        </w:rPr>
        <w:t>在建项目围绕工程进度和资金拨付进行绩效分析；建成项目围绕项目验收、功能实现、后续管护进行</w:t>
      </w:r>
      <w:r>
        <w:rPr>
          <w:rFonts w:hint="eastAsia" w:ascii="仿宋_GB2312" w:hAnsi="仿宋_GB2312" w:eastAsia="仿宋_GB2312" w:cs="仿宋_GB2312"/>
          <w:color w:val="auto"/>
          <w:kern w:val="2"/>
          <w:sz w:val="32"/>
          <w:szCs w:val="32"/>
          <w:highlight w:val="none"/>
          <w:lang w:val="zh-CN" w:eastAsia="zh-CN" w:bidi="ar-SA"/>
        </w:rPr>
        <w:t>绩效分析。</w:t>
      </w:r>
    </w:p>
    <w:p w14:paraId="47398A42">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bCs/>
          <w:color w:val="auto"/>
          <w:kern w:val="2"/>
          <w:sz w:val="32"/>
          <w:szCs w:val="32"/>
          <w:highlight w:val="none"/>
          <w:lang w:val="en-US" w:eastAsia="zh-CN" w:bidi="ar-SA"/>
        </w:rPr>
        <w:t>4.</w:t>
      </w:r>
      <w:r>
        <w:rPr>
          <w:rFonts w:hint="eastAsia" w:ascii="仿宋_GB2312" w:hAnsi="仿宋_GB2312" w:eastAsia="仿宋_GB2312" w:cs="仿宋_GB2312"/>
          <w:b/>
          <w:bCs/>
          <w:color w:val="auto"/>
          <w:kern w:val="2"/>
          <w:sz w:val="32"/>
          <w:szCs w:val="32"/>
          <w:highlight w:val="none"/>
          <w:lang w:val="zh-CN" w:eastAsia="zh-CN" w:bidi="ar-SA"/>
        </w:rPr>
        <w:t>行政运转。</w:t>
      </w:r>
      <w:r>
        <w:rPr>
          <w:rFonts w:hint="eastAsia" w:ascii="仿宋_GB2312" w:hAnsi="仿宋_GB2312" w:eastAsia="仿宋_GB2312" w:cs="仿宋_GB2312"/>
          <w:color w:val="auto"/>
          <w:kern w:val="2"/>
          <w:sz w:val="32"/>
          <w:szCs w:val="32"/>
          <w:highlight w:val="none"/>
          <w:lang w:val="zh-CN" w:eastAsia="zh-CN" w:bidi="ar-SA"/>
        </w:rPr>
        <w:t>围绕用途合规性、程序合规性、标准合规性进行绩效分析。</w:t>
      </w:r>
    </w:p>
    <w:p w14:paraId="43A112DC">
      <w:pPr>
        <w:keepNext w:val="0"/>
        <w:keepLines w:val="0"/>
        <w:pageBreakBefore w:val="0"/>
        <w:widowControl w:val="0"/>
        <w:kinsoku/>
        <w:wordWrap/>
        <w:overflowPunct/>
        <w:topLinePunct w:val="0"/>
        <w:autoSpaceDE/>
        <w:autoSpaceDN/>
        <w:bidi w:val="0"/>
        <w:adjustRightInd/>
        <w:snapToGrid/>
        <w:spacing w:line="578" w:lineRule="exact"/>
        <w:ind w:firstLine="640"/>
        <w:textAlignment w:val="auto"/>
        <w:outlineLvl w:val="9"/>
        <w:rPr>
          <w:rFonts w:hint="eastAsia" w:ascii="仿宋_GB2312" w:hAnsi="仿宋_GB2312" w:eastAsia="仿宋_GB2312" w:cs="仿宋_GB2312"/>
          <w:color w:val="auto"/>
          <w:kern w:val="2"/>
          <w:sz w:val="32"/>
          <w:szCs w:val="32"/>
          <w:highlight w:val="none"/>
          <w:lang w:val="en-US" w:eastAsia="zh-CN" w:bidi="ar-SA"/>
        </w:rPr>
      </w:pPr>
      <w:r>
        <w:rPr>
          <w:rFonts w:hint="eastAsia" w:ascii="Times New Roman" w:hAnsi="Times New Roman" w:eastAsia="楷体_GB2312" w:cs="Times New Roman"/>
          <w:b/>
          <w:color w:val="auto"/>
          <w:sz w:val="32"/>
          <w:szCs w:val="32"/>
          <w:highlight w:val="none"/>
          <w:u w:val="none"/>
          <w:lang w:val="zh-CN"/>
        </w:rPr>
        <w:t>（三）</w:t>
      </w:r>
      <w:r>
        <w:rPr>
          <w:rFonts w:hint="eastAsia" w:ascii="Times New Roman" w:hAnsi="Times New Roman" w:eastAsia="楷体_GB2312" w:cs="Times New Roman"/>
          <w:b/>
          <w:color w:val="auto"/>
          <w:sz w:val="32"/>
          <w:szCs w:val="32"/>
          <w:highlight w:val="none"/>
          <w:u w:val="none"/>
          <w:lang w:val="en-US" w:eastAsia="zh-CN"/>
        </w:rPr>
        <w:t>个性指标</w:t>
      </w:r>
      <w:r>
        <w:rPr>
          <w:rFonts w:hint="default" w:ascii="Times New Roman" w:hAnsi="Times New Roman" w:eastAsia="楷体_GB2312" w:cs="Times New Roman"/>
          <w:b/>
          <w:bCs/>
          <w:color w:val="000000"/>
          <w:kern w:val="0"/>
          <w:sz w:val="32"/>
          <w:szCs w:val="32"/>
          <w:highlight w:val="none"/>
          <w:shd w:val="clear" w:color="auto" w:fill="FFFFFF"/>
          <w:lang w:val="zh-CN"/>
        </w:rPr>
        <w:t>绩效分析。</w:t>
      </w:r>
      <w:r>
        <w:rPr>
          <w:rFonts w:hint="eastAsia" w:ascii="仿宋_GB2312" w:hAnsi="仿宋_GB2312" w:eastAsia="仿宋_GB2312" w:cs="仿宋_GB2312"/>
          <w:color w:val="auto"/>
          <w:kern w:val="2"/>
          <w:sz w:val="32"/>
          <w:szCs w:val="32"/>
          <w:highlight w:val="none"/>
          <w:lang w:val="zh-CN" w:eastAsia="zh-CN" w:bidi="ar-SA"/>
        </w:rPr>
        <w:t>根据项目个性自行设定部分指标，反映该项指标执行完成情况。</w:t>
      </w:r>
    </w:p>
    <w:p w14:paraId="71A9EB4D">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四、评价结论</w:t>
      </w:r>
    </w:p>
    <w:p w14:paraId="24C40775">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简要阐述专项预算项目绩效自评总体结论，包含评价总分、</w:t>
      </w:r>
      <w:r>
        <w:rPr>
          <w:rFonts w:hint="eastAsia" w:ascii="仿宋_GB2312" w:hAnsi="仿宋_GB2312" w:eastAsia="仿宋_GB2312" w:cs="仿宋_GB2312"/>
          <w:color w:val="auto"/>
          <w:kern w:val="2"/>
          <w:sz w:val="32"/>
          <w:szCs w:val="32"/>
          <w:highlight w:val="none"/>
          <w:lang w:val="zh-CN" w:eastAsia="zh-CN" w:bidi="ar-SA"/>
        </w:rPr>
        <w:t>项目实施情况。</w:t>
      </w:r>
    </w:p>
    <w:p w14:paraId="685255B0">
      <w:pPr>
        <w:pStyle w:val="5"/>
        <w:keepNext/>
        <w:keepLines/>
        <w:pageBreakBefore w:val="0"/>
        <w:widowControl w:val="0"/>
        <w:numPr>
          <w:ilvl w:val="0"/>
          <w:numId w:val="0"/>
        </w:numPr>
        <w:kinsoku/>
        <w:wordWrap/>
        <w:overflowPunct/>
        <w:topLinePunct w:val="0"/>
        <w:autoSpaceDE/>
        <w:autoSpaceDN/>
        <w:bidi w:val="0"/>
        <w:adjustRightInd w:val="0"/>
        <w:snapToGrid w:val="0"/>
        <w:spacing w:before="0" w:after="0" w:line="576" w:lineRule="exact"/>
        <w:ind w:firstLine="643" w:firstLineChars="200"/>
        <w:textAlignment w:val="auto"/>
        <w:rPr>
          <w:rFonts w:hint="eastAsia" w:ascii="黑体" w:hAnsi="黑体" w:eastAsia="黑体" w:cs="黑体"/>
          <w:b/>
          <w:bCs/>
          <w:kern w:val="2"/>
          <w:sz w:val="32"/>
          <w:szCs w:val="32"/>
          <w:lang w:val="en-US" w:eastAsia="zh-CN" w:bidi="ar-SA"/>
        </w:rPr>
      </w:pPr>
      <w:r>
        <w:rPr>
          <w:rFonts w:hint="eastAsia" w:ascii="黑体" w:hAnsi="黑体" w:eastAsia="黑体" w:cs="黑体"/>
          <w:b/>
          <w:bCs/>
          <w:kern w:val="2"/>
          <w:sz w:val="32"/>
          <w:szCs w:val="32"/>
          <w:lang w:val="en-US" w:eastAsia="zh-CN" w:bidi="ar-SA"/>
        </w:rPr>
        <w:t>五、存在主要问题</w:t>
      </w:r>
    </w:p>
    <w:p w14:paraId="6BF2BD6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简要阐述专项预算项目绩效自评发现的主要问题。</w:t>
      </w:r>
    </w:p>
    <w:p w14:paraId="3C4D2D0D">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3" w:firstLineChars="200"/>
        <w:contextualSpacing/>
        <w:jc w:val="left"/>
        <w:textAlignment w:val="auto"/>
        <w:rPr>
          <w:rFonts w:hint="eastAsia" w:ascii="仿宋_GB2312" w:hAnsi="仿宋_GB2312" w:eastAsia="仿宋_GB2312" w:cs="仿宋_GB2312"/>
          <w:color w:val="auto"/>
          <w:kern w:val="2"/>
          <w:sz w:val="32"/>
          <w:szCs w:val="32"/>
          <w:highlight w:val="none"/>
          <w:lang w:val="zh-CN" w:eastAsia="zh-CN" w:bidi="ar-SA"/>
        </w:rPr>
      </w:pPr>
      <w:r>
        <w:rPr>
          <w:rFonts w:hint="eastAsia" w:ascii="黑体" w:hAnsi="黑体" w:eastAsia="黑体" w:cs="黑体"/>
          <w:b/>
          <w:bCs/>
          <w:kern w:val="2"/>
          <w:sz w:val="32"/>
          <w:szCs w:val="32"/>
          <w:lang w:val="zh-CN" w:eastAsia="zh-CN" w:bidi="ar-SA"/>
        </w:rPr>
        <w:t>六、改进建议</w:t>
      </w:r>
    </w:p>
    <w:p w14:paraId="695C094E">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简要阐述专项预算项目在</w:t>
      </w:r>
      <w:r>
        <w:rPr>
          <w:rFonts w:hint="eastAsia" w:ascii="仿宋_GB2312" w:hAnsi="仿宋_GB2312" w:eastAsia="仿宋_GB2312" w:cs="仿宋_GB2312"/>
          <w:color w:val="auto"/>
          <w:kern w:val="2"/>
          <w:sz w:val="32"/>
          <w:szCs w:val="32"/>
          <w:highlight w:val="none"/>
          <w:lang w:val="en" w:eastAsia="zh-CN" w:bidi="ar-SA"/>
        </w:rPr>
        <w:t>预算安排、完善政策、改进管理等方面的</w:t>
      </w:r>
      <w:r>
        <w:rPr>
          <w:rFonts w:hint="eastAsia" w:ascii="仿宋_GB2312" w:hAnsi="仿宋_GB2312" w:eastAsia="仿宋_GB2312" w:cs="仿宋_GB2312"/>
          <w:color w:val="auto"/>
          <w:kern w:val="2"/>
          <w:sz w:val="32"/>
          <w:szCs w:val="32"/>
          <w:highlight w:val="none"/>
          <w:lang w:val="en-US" w:eastAsia="zh-CN" w:bidi="ar-SA"/>
        </w:rPr>
        <w:t>措施</w:t>
      </w:r>
      <w:r>
        <w:rPr>
          <w:rFonts w:hint="eastAsia" w:ascii="仿宋_GB2312" w:hAnsi="仿宋_GB2312" w:eastAsia="仿宋_GB2312" w:cs="仿宋_GB2312"/>
          <w:color w:val="auto"/>
          <w:kern w:val="2"/>
          <w:sz w:val="32"/>
          <w:szCs w:val="32"/>
          <w:highlight w:val="none"/>
          <w:lang w:val="en" w:eastAsia="zh-CN" w:bidi="ar-SA"/>
        </w:rPr>
        <w:t>建议，其中</w:t>
      </w:r>
      <w:r>
        <w:rPr>
          <w:rFonts w:hint="eastAsia" w:ascii="仿宋_GB2312" w:hAnsi="仿宋_GB2312" w:eastAsia="仿宋_GB2312" w:cs="仿宋_GB2312"/>
          <w:color w:val="auto"/>
          <w:kern w:val="2"/>
          <w:sz w:val="32"/>
          <w:szCs w:val="32"/>
          <w:highlight w:val="none"/>
          <w:lang w:val="en-US" w:eastAsia="zh-CN" w:bidi="ar-SA"/>
        </w:rPr>
        <w:t>必须对应评价发现的主要问题一一提出措施建议。</w:t>
      </w:r>
    </w:p>
    <w:p w14:paraId="789C7CB4">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left="0" w:leftChars="0" w:firstLine="640" w:firstLineChars="200"/>
        <w:contextualSpacing/>
        <w:jc w:val="left"/>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（注：以上绩效自评报告，除涉密敏感内容外，原则上都应予以公开）</w:t>
      </w:r>
    </w:p>
    <w:p w14:paraId="5FCA131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31E34C4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2EAF31B4">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47"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14:paraId="7D0D2386">
      <w:pPr>
        <w:widowControl/>
        <w:jc w:val="center"/>
        <w:rPr>
          <w:rFonts w:hint="eastAsia" w:ascii="方正小标宋简体" w:hAnsi="方正小标宋简体" w:eastAsia="方正小标宋简体" w:cs="方正小标宋简体"/>
          <w:b w:val="0"/>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第</w:t>
      </w:r>
      <w:r>
        <w:rPr>
          <w:rStyle w:val="30"/>
          <w:rFonts w:hint="eastAsia" w:ascii="方正小标宋简体" w:hAnsi="方正小标宋简体" w:eastAsia="方正小标宋简体" w:cs="方正小标宋简体"/>
          <w:b w:val="0"/>
          <w:color w:val="auto"/>
          <w:sz w:val="44"/>
          <w:szCs w:val="44"/>
          <w:highlight w:val="none"/>
        </w:rPr>
        <w:t>五部分 附表</w:t>
      </w:r>
      <w:bookmarkEnd w:id="45"/>
      <w:bookmarkEnd w:id="47"/>
      <w:bookmarkStart w:id="48" w:name="_Toc15396619"/>
    </w:p>
    <w:p w14:paraId="0D5F907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46B2F981">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48"/>
    </w:p>
    <w:p w14:paraId="5C4E6AB9">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49" w:name="_Toc15396620"/>
      <w:r>
        <w:rPr>
          <w:rFonts w:hint="eastAsia" w:ascii="Times New Roman" w:hAnsi="Times New Roman" w:eastAsia="仿宋_GB2312" w:cs="仿宋_GB2312"/>
          <w:color w:val="auto"/>
          <w:sz w:val="32"/>
          <w:szCs w:val="32"/>
          <w:highlight w:val="none"/>
        </w:rPr>
        <w:t>二、收入决算表</w:t>
      </w:r>
      <w:bookmarkEnd w:id="49"/>
    </w:p>
    <w:p w14:paraId="5732ED1E">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0" w:name="_Toc15396621"/>
      <w:r>
        <w:rPr>
          <w:rFonts w:hint="eastAsia" w:ascii="Times New Roman" w:hAnsi="Times New Roman" w:eastAsia="仿宋_GB2312" w:cs="仿宋_GB2312"/>
          <w:color w:val="auto"/>
          <w:sz w:val="32"/>
          <w:szCs w:val="32"/>
          <w:highlight w:val="none"/>
        </w:rPr>
        <w:t>三、支出决算表</w:t>
      </w:r>
      <w:bookmarkEnd w:id="50"/>
    </w:p>
    <w:p w14:paraId="49B9F545">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1" w:name="_Toc15396622"/>
      <w:r>
        <w:rPr>
          <w:rFonts w:hint="eastAsia" w:ascii="Times New Roman" w:hAnsi="Times New Roman" w:eastAsia="仿宋_GB2312" w:cs="仿宋_GB2312"/>
          <w:color w:val="auto"/>
          <w:sz w:val="32"/>
          <w:szCs w:val="32"/>
          <w:highlight w:val="none"/>
        </w:rPr>
        <w:t>四、财政拨款收入支出决算总表</w:t>
      </w:r>
      <w:bookmarkEnd w:id="51"/>
    </w:p>
    <w:p w14:paraId="0650DF3F">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2" w:name="_Toc15396623"/>
      <w:r>
        <w:rPr>
          <w:rFonts w:hint="eastAsia" w:ascii="Times New Roman" w:hAnsi="Times New Roman" w:eastAsia="仿宋_GB2312" w:cs="仿宋_GB2312"/>
          <w:color w:val="auto"/>
          <w:sz w:val="32"/>
          <w:szCs w:val="32"/>
          <w:highlight w:val="none"/>
        </w:rPr>
        <w:t>五、财政拨款支出决算明细表</w:t>
      </w:r>
      <w:bookmarkEnd w:id="52"/>
      <w:bookmarkStart w:id="53" w:name="_Toc15396624"/>
    </w:p>
    <w:p w14:paraId="43D6005F">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3"/>
    </w:p>
    <w:p w14:paraId="2BC318F4">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4" w:name="_Toc15396625"/>
      <w:r>
        <w:rPr>
          <w:rFonts w:hint="eastAsia" w:ascii="Times New Roman" w:hAnsi="Times New Roman" w:eastAsia="仿宋_GB2312" w:cs="仿宋_GB2312"/>
          <w:color w:val="auto"/>
          <w:sz w:val="32"/>
          <w:szCs w:val="32"/>
          <w:highlight w:val="none"/>
        </w:rPr>
        <w:t>七、一般公共预算财政拨款支出决算明细表</w:t>
      </w:r>
      <w:bookmarkEnd w:id="54"/>
    </w:p>
    <w:p w14:paraId="7082C5E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6"/>
      <w:r>
        <w:rPr>
          <w:rFonts w:hint="eastAsia" w:ascii="Times New Roman" w:hAnsi="Times New Roman" w:eastAsia="仿宋_GB2312" w:cs="仿宋_GB2312"/>
          <w:color w:val="auto"/>
          <w:sz w:val="32"/>
          <w:szCs w:val="32"/>
          <w:highlight w:val="none"/>
        </w:rPr>
        <w:t>八、一般公共预算财政拨款基本支出决算表</w:t>
      </w:r>
      <w:bookmarkEnd w:id="55"/>
    </w:p>
    <w:p w14:paraId="6E77F0FA">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7"/>
      <w:r>
        <w:rPr>
          <w:rFonts w:hint="eastAsia" w:ascii="Times New Roman" w:hAnsi="Times New Roman" w:eastAsia="仿宋_GB2312" w:cs="仿宋_GB2312"/>
          <w:color w:val="auto"/>
          <w:sz w:val="32"/>
          <w:szCs w:val="32"/>
          <w:highlight w:val="none"/>
        </w:rPr>
        <w:t>九、一般公共预算财政拨款项目支出决算表</w:t>
      </w:r>
      <w:bookmarkEnd w:id="56"/>
    </w:p>
    <w:p w14:paraId="3AA76D55">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8"/>
      <w:r>
        <w:rPr>
          <w:rFonts w:hint="eastAsia" w:ascii="Times New Roman" w:hAnsi="Times New Roman" w:eastAsia="仿宋_GB2312" w:cs="仿宋_GB2312"/>
          <w:color w:val="auto"/>
          <w:sz w:val="32"/>
          <w:szCs w:val="32"/>
          <w:highlight w:val="none"/>
        </w:rPr>
        <w:t>十、</w:t>
      </w:r>
      <w:bookmarkEnd w:id="57"/>
      <w:r>
        <w:rPr>
          <w:rFonts w:hint="eastAsia" w:ascii="Times New Roman" w:hAnsi="Times New Roman" w:eastAsia="仿宋_GB2312" w:cs="仿宋_GB2312"/>
          <w:color w:val="auto"/>
          <w:sz w:val="32"/>
          <w:szCs w:val="32"/>
          <w:highlight w:val="none"/>
        </w:rPr>
        <w:t>政府性基金预算财政拨款收入支出决算表</w:t>
      </w:r>
    </w:p>
    <w:p w14:paraId="30800CF6">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9"/>
      <w:r>
        <w:rPr>
          <w:rFonts w:hint="eastAsia" w:ascii="Times New Roman" w:hAnsi="Times New Roman" w:eastAsia="仿宋_GB2312" w:cs="仿宋_GB2312"/>
          <w:color w:val="auto"/>
          <w:sz w:val="32"/>
          <w:szCs w:val="32"/>
          <w:highlight w:val="none"/>
        </w:rPr>
        <w:t>十一、</w:t>
      </w:r>
      <w:bookmarkEnd w:id="58"/>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2E1AB375">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30"/>
      <w:r>
        <w:rPr>
          <w:rFonts w:hint="eastAsia" w:ascii="Times New Roman" w:hAnsi="Times New Roman" w:eastAsia="仿宋_GB2312" w:cs="仿宋_GB2312"/>
          <w:color w:val="auto"/>
          <w:sz w:val="32"/>
          <w:szCs w:val="32"/>
          <w:highlight w:val="none"/>
        </w:rPr>
        <w:t>十二、</w:t>
      </w:r>
      <w:bookmarkEnd w:id="59"/>
      <w:r>
        <w:rPr>
          <w:rFonts w:hint="eastAsia" w:ascii="Times New Roman" w:hAnsi="Times New Roman" w:eastAsia="仿宋_GB2312" w:cs="仿宋_GB2312"/>
          <w:color w:val="auto"/>
          <w:sz w:val="32"/>
          <w:szCs w:val="32"/>
          <w:highlight w:val="none"/>
          <w:lang w:eastAsia="zh-CN"/>
        </w:rPr>
        <w:t>国有资本经营预算财政拨款支出决算表</w:t>
      </w:r>
    </w:p>
    <w:p w14:paraId="35239806">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0" w:name="_Toc15396631"/>
      <w:r>
        <w:rPr>
          <w:rFonts w:hint="eastAsia" w:ascii="Times New Roman" w:hAnsi="Times New Roman" w:eastAsia="仿宋_GB2312" w:cs="仿宋_GB2312"/>
          <w:color w:val="auto"/>
          <w:sz w:val="32"/>
          <w:szCs w:val="32"/>
          <w:highlight w:val="none"/>
        </w:rPr>
        <w:t>十三、</w:t>
      </w:r>
      <w:bookmarkEnd w:id="60"/>
      <w:r>
        <w:rPr>
          <w:rFonts w:hint="eastAsia" w:ascii="Times New Roman" w:hAnsi="Times New Roman" w:eastAsia="仿宋_GB2312" w:cs="仿宋_GB2312"/>
          <w:color w:val="auto"/>
          <w:sz w:val="32"/>
          <w:szCs w:val="32"/>
          <w:highlight w:val="none"/>
          <w:lang w:eastAsia="zh-CN"/>
        </w:rPr>
        <w:t>财政拨款“三公”经费支出决算表</w:t>
      </w:r>
    </w:p>
    <w:p w14:paraId="03BFE1EC">
      <w:pPr>
        <w:rPr>
          <w:rFonts w:hint="eastAsia" w:ascii="Times New Roman" w:hAnsi="Times New Roman"/>
          <w:lang w:eastAsia="zh-CN"/>
        </w:rPr>
      </w:pPr>
    </w:p>
    <w:sectPr>
      <w:footerReference r:id="rId10" w:type="first"/>
      <w:footerReference r:id="rId9"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仿宋_GB2312"/>
    <w:panose1 w:val="02010601030101010101"/>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CB1B1">
    <w:pPr>
      <w:pStyle w:val="11"/>
      <w:jc w:val="center"/>
    </w:pPr>
  </w:p>
  <w:p w14:paraId="60B92C1A">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453D0">
    <w:pPr>
      <w:pStyle w:val="11"/>
      <w:jc w:val="center"/>
      <w:rPr>
        <w:sz w:val="24"/>
        <w:szCs w:val="24"/>
      </w:rPr>
    </w:pPr>
  </w:p>
  <w:p w14:paraId="6E5065AA">
    <w:pPr>
      <w:pStyle w:val="11"/>
      <w:rPr>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EE677">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301A9">
    <w:pPr>
      <w:pStyle w:val="11"/>
      <w:jc w:val="center"/>
      <w:rPr>
        <w:sz w:val="24"/>
        <w:szCs w:val="24"/>
      </w:rPr>
    </w:pPr>
    <w:r>
      <w:rPr>
        <w:sz w:val="24"/>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11ADBF">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3211ADBF">
                    <w:pPr>
                      <w:pStyle w:val="11"/>
                    </w:pPr>
                    <w:r>
                      <w:fldChar w:fldCharType="begin"/>
                    </w:r>
                    <w:r>
                      <w:instrText xml:space="preserve"> PAGE  \* MERGEFORMAT </w:instrText>
                    </w:r>
                    <w:r>
                      <w:fldChar w:fldCharType="separate"/>
                    </w:r>
                    <w:r>
                      <w:t>1</w:t>
                    </w:r>
                    <w:r>
                      <w:fldChar w:fldCharType="end"/>
                    </w:r>
                  </w:p>
                </w:txbxContent>
              </v:textbox>
            </v:shape>
          </w:pict>
        </mc:Fallback>
      </mc:AlternateContent>
    </w:r>
  </w:p>
  <w:p w14:paraId="7B199BBE">
    <w:pPr>
      <w:pStyle w:val="11"/>
      <w:rPr>
        <w:sz w:val="24"/>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FF5E39">
    <w:pPr>
      <w:pStyle w:val="11"/>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3195DB">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193195DB">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3A417">
    <w:pPr>
      <w:pStyle w:val="11"/>
      <w:jc w:val="center"/>
      <w:rPr>
        <w:sz w:val="24"/>
        <w:szCs w:val="24"/>
      </w:rPr>
    </w:pPr>
    <w:r>
      <w:rPr>
        <w:sz w:val="24"/>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9860E9">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759860E9">
                    <w:pPr>
                      <w:pStyle w:val="11"/>
                    </w:pPr>
                    <w:r>
                      <w:fldChar w:fldCharType="begin"/>
                    </w:r>
                    <w:r>
                      <w:instrText xml:space="preserve"> PAGE  \* MERGEFORMAT </w:instrText>
                    </w:r>
                    <w:r>
                      <w:fldChar w:fldCharType="separate"/>
                    </w:r>
                    <w:r>
                      <w:t>2</w:t>
                    </w:r>
                    <w:r>
                      <w:fldChar w:fldCharType="end"/>
                    </w:r>
                  </w:p>
                </w:txbxContent>
              </v:textbox>
            </v:shape>
          </w:pict>
        </mc:Fallback>
      </mc:AlternateContent>
    </w:r>
  </w:p>
  <w:p w14:paraId="05239CBE">
    <w:pPr>
      <w:pStyle w:val="11"/>
      <w:rPr>
        <w:sz w:val="24"/>
        <w:szCs w:val="24"/>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FFF70">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B3B5E2">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01B3B5E2">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698340">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EwYzM4ODU2Mzc1NWJlMDFkNjNjMGNjOGVhYTRmNm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3665CE"/>
    <w:rsid w:val="015975B8"/>
    <w:rsid w:val="02D06B21"/>
    <w:rsid w:val="02FEBE30"/>
    <w:rsid w:val="04916F1E"/>
    <w:rsid w:val="0545753D"/>
    <w:rsid w:val="061E35DE"/>
    <w:rsid w:val="066E0107"/>
    <w:rsid w:val="07996F6E"/>
    <w:rsid w:val="07DFD8BA"/>
    <w:rsid w:val="07EF6C3E"/>
    <w:rsid w:val="09867E8F"/>
    <w:rsid w:val="0A2032A3"/>
    <w:rsid w:val="0B667433"/>
    <w:rsid w:val="0CA8290A"/>
    <w:rsid w:val="0D35B1ED"/>
    <w:rsid w:val="0E254B6B"/>
    <w:rsid w:val="0ED643AC"/>
    <w:rsid w:val="0F8C772D"/>
    <w:rsid w:val="0F98263C"/>
    <w:rsid w:val="101860EC"/>
    <w:rsid w:val="101F47CC"/>
    <w:rsid w:val="10C055FF"/>
    <w:rsid w:val="11694EBD"/>
    <w:rsid w:val="11772AA4"/>
    <w:rsid w:val="118107EC"/>
    <w:rsid w:val="12E24EE2"/>
    <w:rsid w:val="13D50BC4"/>
    <w:rsid w:val="13FC0595"/>
    <w:rsid w:val="14B17F78"/>
    <w:rsid w:val="165E0673"/>
    <w:rsid w:val="16B831D5"/>
    <w:rsid w:val="16BB723D"/>
    <w:rsid w:val="17E50567"/>
    <w:rsid w:val="186504BB"/>
    <w:rsid w:val="19A445FC"/>
    <w:rsid w:val="1A065CF4"/>
    <w:rsid w:val="1BA052A0"/>
    <w:rsid w:val="1BE8440E"/>
    <w:rsid w:val="1D155CEE"/>
    <w:rsid w:val="1D1638FE"/>
    <w:rsid w:val="1DE94B2B"/>
    <w:rsid w:val="1E312DEB"/>
    <w:rsid w:val="1E740ACF"/>
    <w:rsid w:val="1FF35744"/>
    <w:rsid w:val="1FF6BC77"/>
    <w:rsid w:val="20763DFD"/>
    <w:rsid w:val="2186353C"/>
    <w:rsid w:val="219F0310"/>
    <w:rsid w:val="23860B96"/>
    <w:rsid w:val="240371BF"/>
    <w:rsid w:val="244F3473"/>
    <w:rsid w:val="24C97D99"/>
    <w:rsid w:val="25A718F0"/>
    <w:rsid w:val="25BB59F6"/>
    <w:rsid w:val="260F557C"/>
    <w:rsid w:val="26970054"/>
    <w:rsid w:val="281408E2"/>
    <w:rsid w:val="285F0435"/>
    <w:rsid w:val="29FD04D3"/>
    <w:rsid w:val="2BFF7BC6"/>
    <w:rsid w:val="2C8A61B5"/>
    <w:rsid w:val="2DF04E50"/>
    <w:rsid w:val="2E490F38"/>
    <w:rsid w:val="2E586DFA"/>
    <w:rsid w:val="2E8F03D3"/>
    <w:rsid w:val="2F040D46"/>
    <w:rsid w:val="2F6B035B"/>
    <w:rsid w:val="2FAE5751"/>
    <w:rsid w:val="2FB1A395"/>
    <w:rsid w:val="2FD9A7D8"/>
    <w:rsid w:val="2FDBF714"/>
    <w:rsid w:val="2FE22328"/>
    <w:rsid w:val="30453FCB"/>
    <w:rsid w:val="30822B09"/>
    <w:rsid w:val="30AB6865"/>
    <w:rsid w:val="31781283"/>
    <w:rsid w:val="319F7F4E"/>
    <w:rsid w:val="32BD1EF1"/>
    <w:rsid w:val="3304709D"/>
    <w:rsid w:val="33A773CB"/>
    <w:rsid w:val="349D6851"/>
    <w:rsid w:val="36555842"/>
    <w:rsid w:val="36AA5135"/>
    <w:rsid w:val="36BE0DA7"/>
    <w:rsid w:val="376B6AA6"/>
    <w:rsid w:val="376D39B2"/>
    <w:rsid w:val="37E16F03"/>
    <w:rsid w:val="37F53A3B"/>
    <w:rsid w:val="389B6C89"/>
    <w:rsid w:val="38D469F0"/>
    <w:rsid w:val="391D7533"/>
    <w:rsid w:val="39627CCD"/>
    <w:rsid w:val="397BAF1F"/>
    <w:rsid w:val="3AB79AF3"/>
    <w:rsid w:val="3AE834C0"/>
    <w:rsid w:val="3B7EF35A"/>
    <w:rsid w:val="3B9FDB6C"/>
    <w:rsid w:val="3BAB633B"/>
    <w:rsid w:val="3BEE5F98"/>
    <w:rsid w:val="3BF5BC2F"/>
    <w:rsid w:val="3CEBA265"/>
    <w:rsid w:val="3D98207C"/>
    <w:rsid w:val="3DEE7CF3"/>
    <w:rsid w:val="3E4E66D5"/>
    <w:rsid w:val="3E740A63"/>
    <w:rsid w:val="3E78745D"/>
    <w:rsid w:val="3EE17838"/>
    <w:rsid w:val="3F2231FC"/>
    <w:rsid w:val="3F55381A"/>
    <w:rsid w:val="3F69229D"/>
    <w:rsid w:val="3F7F7599"/>
    <w:rsid w:val="3FF4CAE0"/>
    <w:rsid w:val="3FF7B227"/>
    <w:rsid w:val="40D73F5E"/>
    <w:rsid w:val="418F45AD"/>
    <w:rsid w:val="4245314A"/>
    <w:rsid w:val="43B82746"/>
    <w:rsid w:val="44E268DA"/>
    <w:rsid w:val="450D13D7"/>
    <w:rsid w:val="45506656"/>
    <w:rsid w:val="46261BB1"/>
    <w:rsid w:val="463F7735"/>
    <w:rsid w:val="486A6C7A"/>
    <w:rsid w:val="48D74D97"/>
    <w:rsid w:val="49F879BD"/>
    <w:rsid w:val="4A627F82"/>
    <w:rsid w:val="4AC20D6D"/>
    <w:rsid w:val="4B0B5917"/>
    <w:rsid w:val="4B0E749A"/>
    <w:rsid w:val="4B2477C4"/>
    <w:rsid w:val="4B4F25DA"/>
    <w:rsid w:val="4BE068DB"/>
    <w:rsid w:val="4CA10AF1"/>
    <w:rsid w:val="4D577224"/>
    <w:rsid w:val="4DBF1CEB"/>
    <w:rsid w:val="4DF0007C"/>
    <w:rsid w:val="4EAB630A"/>
    <w:rsid w:val="4ECE2238"/>
    <w:rsid w:val="4F5F40E9"/>
    <w:rsid w:val="4F833267"/>
    <w:rsid w:val="4FE9BD67"/>
    <w:rsid w:val="4FFB052F"/>
    <w:rsid w:val="51F31729"/>
    <w:rsid w:val="52774974"/>
    <w:rsid w:val="537E6D0A"/>
    <w:rsid w:val="53F74C96"/>
    <w:rsid w:val="55170BA8"/>
    <w:rsid w:val="553218C9"/>
    <w:rsid w:val="567E1AA5"/>
    <w:rsid w:val="56E47B74"/>
    <w:rsid w:val="57175D52"/>
    <w:rsid w:val="57BD3DD4"/>
    <w:rsid w:val="587115FB"/>
    <w:rsid w:val="58AD0025"/>
    <w:rsid w:val="59A46235"/>
    <w:rsid w:val="5A471DB3"/>
    <w:rsid w:val="5AF92295"/>
    <w:rsid w:val="5B250254"/>
    <w:rsid w:val="5BDD79E6"/>
    <w:rsid w:val="5BF561CA"/>
    <w:rsid w:val="5BFF5DFC"/>
    <w:rsid w:val="5CD71FC4"/>
    <w:rsid w:val="5D1F11B5"/>
    <w:rsid w:val="5D5F31C7"/>
    <w:rsid w:val="5D695134"/>
    <w:rsid w:val="5DAE1B18"/>
    <w:rsid w:val="5DE7D9E5"/>
    <w:rsid w:val="5ECEC941"/>
    <w:rsid w:val="5FBF9FF3"/>
    <w:rsid w:val="5FCD4E2C"/>
    <w:rsid w:val="5FEF394A"/>
    <w:rsid w:val="5FF67715"/>
    <w:rsid w:val="61510CBD"/>
    <w:rsid w:val="6250377D"/>
    <w:rsid w:val="62BF3928"/>
    <w:rsid w:val="63B3701E"/>
    <w:rsid w:val="647F5392"/>
    <w:rsid w:val="65E66580"/>
    <w:rsid w:val="664B1D71"/>
    <w:rsid w:val="664B4E8E"/>
    <w:rsid w:val="667E42F1"/>
    <w:rsid w:val="67277B67"/>
    <w:rsid w:val="67AA3209"/>
    <w:rsid w:val="698D0931"/>
    <w:rsid w:val="69FC3E5C"/>
    <w:rsid w:val="6A7FE5F3"/>
    <w:rsid w:val="6B053271"/>
    <w:rsid w:val="6B2A6E31"/>
    <w:rsid w:val="6BDD78B3"/>
    <w:rsid w:val="6C4A05C8"/>
    <w:rsid w:val="6C8742B8"/>
    <w:rsid w:val="6CE53219"/>
    <w:rsid w:val="6DBF5E93"/>
    <w:rsid w:val="6DFF077E"/>
    <w:rsid w:val="6E714EF0"/>
    <w:rsid w:val="6E7E3605"/>
    <w:rsid w:val="6E7FDCC7"/>
    <w:rsid w:val="6ED6A62E"/>
    <w:rsid w:val="6EE00B15"/>
    <w:rsid w:val="6F6FB3EB"/>
    <w:rsid w:val="6F8731EA"/>
    <w:rsid w:val="6F993668"/>
    <w:rsid w:val="6FC51443"/>
    <w:rsid w:val="6FCE6052"/>
    <w:rsid w:val="6FD57C00"/>
    <w:rsid w:val="6FEFFFD8"/>
    <w:rsid w:val="6FF5CC65"/>
    <w:rsid w:val="6FFB47EC"/>
    <w:rsid w:val="6FFF034A"/>
    <w:rsid w:val="70484440"/>
    <w:rsid w:val="71051303"/>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862727"/>
    <w:rsid w:val="78E875D7"/>
    <w:rsid w:val="79086DAD"/>
    <w:rsid w:val="793876B6"/>
    <w:rsid w:val="79D7FD79"/>
    <w:rsid w:val="79EE5BA4"/>
    <w:rsid w:val="7A0340C8"/>
    <w:rsid w:val="7A894339"/>
    <w:rsid w:val="7AD284E8"/>
    <w:rsid w:val="7AFF7572"/>
    <w:rsid w:val="7B0C1CA3"/>
    <w:rsid w:val="7B6C7DFB"/>
    <w:rsid w:val="7BBFBED0"/>
    <w:rsid w:val="7BC3E394"/>
    <w:rsid w:val="7C1F3737"/>
    <w:rsid w:val="7CBFC87B"/>
    <w:rsid w:val="7CFE0F48"/>
    <w:rsid w:val="7D272ABC"/>
    <w:rsid w:val="7D7EC23E"/>
    <w:rsid w:val="7E287212"/>
    <w:rsid w:val="7E556D42"/>
    <w:rsid w:val="7E8ADEBF"/>
    <w:rsid w:val="7EEF11D3"/>
    <w:rsid w:val="7EFE4840"/>
    <w:rsid w:val="7F0971A6"/>
    <w:rsid w:val="7F1D62E7"/>
    <w:rsid w:val="7F3F679B"/>
    <w:rsid w:val="7F4FC4EF"/>
    <w:rsid w:val="7F5E4D54"/>
    <w:rsid w:val="7F622239"/>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99"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99"/>
    <w:pPr>
      <w:tabs>
        <w:tab w:val="left" w:pos="2160"/>
      </w:tabs>
      <w:ind w:firstLineChars="100"/>
    </w:pPr>
  </w:style>
  <w:style w:type="paragraph" w:styleId="3">
    <w:name w:val="Body Text"/>
    <w:basedOn w:val="1"/>
    <w:next w:val="1"/>
    <w:link w:val="27"/>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semiHidden/>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footnote text"/>
    <w:basedOn w:val="1"/>
    <w:next w:val="8"/>
    <w:semiHidden/>
    <w:qFormat/>
    <w:uiPriority w:val="0"/>
    <w:pPr>
      <w:snapToGrid w:val="0"/>
      <w:jc w:val="left"/>
    </w:pPr>
    <w:rPr>
      <w:sz w:val="18"/>
      <w:szCs w:val="1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3"/>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4"/>
    <w:qFormat/>
    <w:uiPriority w:val="9"/>
    <w:rPr>
      <w:rFonts w:ascii="Times New Roman" w:hAnsi="Times New Roman"/>
      <w:b/>
      <w:bCs/>
      <w:kern w:val="44"/>
      <w:sz w:val="44"/>
      <w:szCs w:val="44"/>
    </w:rPr>
  </w:style>
  <w:style w:type="character" w:customStyle="1" w:styleId="31">
    <w:name w:val="标题 2 Char"/>
    <w:basedOn w:val="18"/>
    <w:link w:val="5"/>
    <w:qFormat/>
    <w:uiPriority w:val="9"/>
    <w:rPr>
      <w:rFonts w:asciiTheme="majorHAnsi" w:hAnsiTheme="majorHAnsi" w:eastAsiaTheme="majorEastAsia" w:cstheme="majorBidi"/>
      <w:b/>
      <w:bCs/>
      <w:kern w:val="2"/>
      <w:sz w:val="32"/>
      <w:szCs w:val="32"/>
    </w:rPr>
  </w:style>
  <w:style w:type="paragraph" w:customStyle="1" w:styleId="32">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10"/>
    <w:semiHidden/>
    <w:qFormat/>
    <w:uiPriority w:val="99"/>
    <w:rPr>
      <w:rFonts w:ascii="Times New Roman" w:hAnsi="Times New Roman"/>
      <w:kern w:val="2"/>
      <w:sz w:val="18"/>
      <w:szCs w:val="18"/>
    </w:rPr>
  </w:style>
  <w:style w:type="character" w:customStyle="1" w:styleId="34">
    <w:name w:val="标题 3 Char"/>
    <w:basedOn w:val="18"/>
    <w:link w:val="6"/>
    <w:qFormat/>
    <w:uiPriority w:val="9"/>
    <w:rPr>
      <w:rFonts w:ascii="Times New Roman" w:hAnsi="Times New Roman"/>
      <w:b/>
      <w:bCs/>
      <w:kern w:val="2"/>
      <w:sz w:val="32"/>
      <w:szCs w:val="32"/>
    </w:rPr>
  </w:style>
  <w:style w:type="paragraph" w:customStyle="1" w:styleId="35">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chart" Target="charts/chart6.xml"/><Relationship Id="rId16" Type="http://schemas.openxmlformats.org/officeDocument/2006/relationships/chart" Target="charts/chart5.xml"/><Relationship Id="rId15" Type="http://schemas.openxmlformats.org/officeDocument/2006/relationships/chart" Target="charts/chart4.xml"/><Relationship Id="rId14" Type="http://schemas.openxmlformats.org/officeDocument/2006/relationships/chart" Target="charts/chart3.xml"/><Relationship Id="rId13" Type="http://schemas.openxmlformats.org/officeDocument/2006/relationships/chart" Target="charts/chart2.xml"/><Relationship Id="rId12" Type="http://schemas.openxmlformats.org/officeDocument/2006/relationships/chart" Target="charts/chart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a:t>
            </a:r>
            <a:r>
              <a:rPr lang="en-US" altLang="zh-CN"/>
              <a:t>1</a:t>
            </a:r>
            <a:endParaRPr lang="en-US" altLang="zh-CN"/>
          </a:p>
        </c:rich>
      </c:tx>
      <c:layout>
        <c:manualLayout>
          <c:xMode val="edge"/>
          <c:yMode val="edge"/>
          <c:x val="0.35063130684392"/>
          <c:y val="0.0761388169749922"/>
        </c:manualLayout>
      </c:layout>
      <c:overlay val="0"/>
      <c:spPr>
        <a:noFill/>
        <a:ln>
          <a:noFill/>
        </a:ln>
        <a:effectLst/>
      </c:spPr>
    </c:title>
    <c:autoTitleDeleted val="0"/>
    <c:plotArea>
      <c:layout>
        <c:manualLayout>
          <c:layoutTarget val="inner"/>
          <c:xMode val="edge"/>
          <c:yMode val="edge"/>
          <c:x val="0.0647874799928864"/>
          <c:y val="0.283233532934132"/>
          <c:w val="0.93254490485506"/>
          <c:h val="0.489940119760479"/>
        </c:manualLayout>
      </c:layout>
      <c:barChart>
        <c:barDir val="col"/>
        <c:grouping val="clustered"/>
        <c:varyColors val="0"/>
        <c:ser>
          <c:idx val="0"/>
          <c:order val="0"/>
          <c:tx>
            <c:strRef>
              <c:f>Sheet1!$B$1</c:f>
              <c:strCache>
                <c:ptCount val="1"/>
                <c:pt idx="0">
                  <c:v>收、支决算总计变动情况图</c:v>
                </c:pt>
              </c:strCache>
            </c:strRef>
          </c:tx>
          <c:spPr>
            <a:solidFill>
              <a:schemeClr val="accent1"/>
            </a:solidFill>
            <a:ln w="19050">
              <a:solidFill>
                <a:schemeClr val="lt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23年收入</c:v>
                </c:pt>
                <c:pt idx="1">
                  <c:v>24年收入</c:v>
                </c:pt>
              </c:strCache>
            </c:strRef>
          </c:cat>
          <c:val>
            <c:numRef>
              <c:f>Sheet1!$B$2:$B$3</c:f>
              <c:numCache>
                <c:formatCode>General</c:formatCode>
                <c:ptCount val="2"/>
                <c:pt idx="0">
                  <c:v>224.03</c:v>
                </c:pt>
                <c:pt idx="1">
                  <c:v>200.74</c:v>
                </c:pt>
              </c:numCache>
            </c:numRef>
          </c:val>
        </c:ser>
        <c:dLbls>
          <c:showLegendKey val="0"/>
          <c:showVal val="1"/>
          <c:showCatName val="0"/>
          <c:showSerName val="0"/>
          <c:showPercent val="0"/>
          <c:showBubbleSize val="0"/>
        </c:dLbls>
        <c:gapWidth val="150"/>
        <c:overlap val="0"/>
        <c:axId val="23641863"/>
        <c:axId val="103582683"/>
      </c:barChart>
      <c:catAx>
        <c:axId val="23641863"/>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3582683"/>
        <c:crosses val="autoZero"/>
        <c:auto val="1"/>
        <c:lblAlgn val="ctr"/>
        <c:lblOffset val="100"/>
        <c:noMultiLvlLbl val="0"/>
      </c:catAx>
      <c:valAx>
        <c:axId val="1035826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64186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1daf30e-b210-4bc9-baa3-5b9b757953b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a:t>
            </a:r>
            <a:r>
              <a:rPr lang="en-US" altLang="zh-CN"/>
              <a:t>24</a:t>
            </a:r>
            <a:r>
              <a:t>年全年收入结构图</a:t>
            </a:r>
            <a:r>
              <a:rPr lang="en-US" altLang="zh-CN"/>
              <a:t>2</a:t>
            </a:r>
            <a:endParaRPr lang="en-US" altLang="zh-CN"/>
          </a:p>
        </c:rich>
      </c:tx>
      <c:layout>
        <c:manualLayout>
          <c:xMode val="edge"/>
          <c:yMode val="edge"/>
          <c:x val="0.35063130684392"/>
          <c:y val="0.0761388169749922"/>
        </c:manualLayout>
      </c:layout>
      <c:overlay val="0"/>
      <c:spPr>
        <a:noFill/>
        <a:ln>
          <a:noFill/>
        </a:ln>
        <a:effectLst/>
      </c:spPr>
    </c:title>
    <c:autoTitleDeleted val="0"/>
    <c:plotArea>
      <c:layout/>
      <c:pieChart>
        <c:varyColors val="1"/>
        <c:ser>
          <c:idx val="0"/>
          <c:order val="0"/>
          <c:tx>
            <c:strRef>
              <c:f>Sheet1!$B$1</c:f>
              <c:strCache>
                <c:ptCount val="1"/>
                <c:pt idx="0">
                  <c:v>2024年本年收入结构图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事业收入</c:v>
                </c:pt>
              </c:strCache>
            </c:strRef>
          </c:cat>
          <c:val>
            <c:numRef>
              <c:f>Sheet1!$B$2:$B$3</c:f>
              <c:numCache>
                <c:formatCode>General</c:formatCode>
                <c:ptCount val="2"/>
                <c:pt idx="0">
                  <c:v>200.74</c:v>
                </c:pt>
                <c:pt idx="1">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336337601078167"/>
          <c:y val="0.851249273678094"/>
          <c:w val="0.380559299191375"/>
          <c:h val="0.11388727484020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0f2905f-ec77-41c0-a2ec-be9805c9df9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202</a:t>
            </a:r>
            <a:r>
              <a:rPr lang="en-US" altLang="zh-CN"/>
              <a:t>4</a:t>
            </a:r>
            <a:r>
              <a:t>年本年支出结构图</a:t>
            </a:r>
            <a:r>
              <a:rPr lang="en-US" altLang="zh-CN"/>
              <a:t>3</a:t>
            </a:r>
            <a:endParaRPr lang="en-US" altLang="zh-CN"/>
          </a:p>
        </c:rich>
      </c:tx>
      <c:layout>
        <c:manualLayout>
          <c:xMode val="edge"/>
          <c:yMode val="edge"/>
          <c:x val="0.353507374475086"/>
          <c:y val="0.105891866662585"/>
        </c:manualLayout>
      </c:layout>
      <c:overlay val="0"/>
      <c:spPr>
        <a:noFill/>
        <a:ln>
          <a:noFill/>
        </a:ln>
        <a:effectLst/>
      </c:spPr>
    </c:title>
    <c:autoTitleDeleted val="0"/>
    <c:plotArea>
      <c:layout/>
      <c:pieChart>
        <c:varyColors val="1"/>
        <c:ser>
          <c:idx val="0"/>
          <c:order val="0"/>
          <c:tx>
            <c:strRef>
              <c:f>Sheet1!$B$1</c:f>
              <c:strCache>
                <c:ptCount val="1"/>
                <c:pt idx="0">
                  <c:v>2023年本年支出结构图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192.83</c:v>
                </c:pt>
                <c:pt idx="1">
                  <c:v>7.91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336337601078167"/>
          <c:y val="0.851249273678094"/>
          <c:w val="0.380559299191375"/>
          <c:h val="0.11388727484020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cc675fa-1cf3-4ce3-949e-aa656802900a}"/>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财政拨款收支决算总计变动情况图</a:t>
            </a:r>
            <a:r>
              <a:rPr lang="en-US" altLang="zh-CN"/>
              <a:t>4</a:t>
            </a:r>
            <a:endParaRPr lang="en-US" altLang="zh-CN"/>
          </a:p>
        </c:rich>
      </c:tx>
      <c:layout>
        <c:manualLayout>
          <c:xMode val="edge"/>
          <c:yMode val="edge"/>
          <c:x val="0.35063130684392"/>
          <c:y val="0.0761388169749922"/>
        </c:manualLayout>
      </c:layout>
      <c:overlay val="0"/>
      <c:spPr>
        <a:noFill/>
        <a:ln>
          <a:noFill/>
        </a:ln>
        <a:effectLst/>
      </c:spPr>
    </c:title>
    <c:autoTitleDeleted val="0"/>
    <c:plotArea>
      <c:layout>
        <c:manualLayout>
          <c:layoutTarget val="inner"/>
          <c:xMode val="edge"/>
          <c:yMode val="edge"/>
          <c:x val="0.0416681486750845"/>
          <c:y val="0.406903103229892"/>
          <c:w val="0.93254490485506"/>
          <c:h val="0.462127929069031"/>
        </c:manualLayout>
      </c:layout>
      <c:barChart>
        <c:barDir val="col"/>
        <c:grouping val="clustered"/>
        <c:varyColors val="0"/>
        <c:ser>
          <c:idx val="0"/>
          <c:order val="0"/>
          <c:tx>
            <c:strRef>
              <c:f>Sheet1!$B$1</c:f>
              <c:strCache>
                <c:ptCount val="1"/>
                <c:pt idx="0">
                  <c:v>财政拨款收支决算总计变动情况图</c:v>
                </c:pt>
              </c:strCache>
            </c:strRef>
          </c:tx>
          <c:spPr>
            <a:solidFill>
              <a:schemeClr val="accent1"/>
            </a:solidFill>
            <a:ln w="19050">
              <a:solidFill>
                <a:schemeClr val="lt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24年财政收入</c:v>
                </c:pt>
                <c:pt idx="1">
                  <c:v>23年财政收入</c:v>
                </c:pt>
              </c:strCache>
            </c:strRef>
          </c:cat>
          <c:val>
            <c:numRef>
              <c:f>Sheet1!$B$2:$B$4</c:f>
              <c:numCache>
                <c:formatCode>General</c:formatCode>
                <c:ptCount val="3"/>
                <c:pt idx="0">
                  <c:v>220.74</c:v>
                </c:pt>
                <c:pt idx="1">
                  <c:v>220.59</c:v>
                </c:pt>
              </c:numCache>
            </c:numRef>
          </c:val>
        </c:ser>
        <c:dLbls>
          <c:showLegendKey val="0"/>
          <c:showVal val="1"/>
          <c:showCatName val="0"/>
          <c:showSerName val="0"/>
          <c:showPercent val="0"/>
          <c:showBubbleSize val="0"/>
        </c:dLbls>
        <c:gapWidth val="150"/>
        <c:overlap val="0"/>
        <c:axId val="23641863"/>
        <c:axId val="103582683"/>
      </c:barChart>
      <c:catAx>
        <c:axId val="23641863"/>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3582683"/>
        <c:crosses val="autoZero"/>
        <c:auto val="1"/>
        <c:lblAlgn val="ctr"/>
        <c:lblOffset val="100"/>
        <c:noMultiLvlLbl val="0"/>
      </c:catAx>
      <c:valAx>
        <c:axId val="1035826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641863"/>
        <c:crosses val="autoZero"/>
        <c:crossBetween val="between"/>
      </c:valAx>
      <c:spPr>
        <a:noFill/>
        <a:ln>
          <a:noFill/>
        </a:ln>
        <a:effectLst/>
      </c:spPr>
    </c:plotArea>
    <c:plotVisOnly val="1"/>
    <c:dispBlanksAs val="gap"/>
    <c:showDLblsOverMax val="0"/>
    <c:extLst>
      <c:ext uri="{0b15fc19-7d7d-44ad-8c2d-2c3a37ce22c3}">
        <chartProps xmlns="https://web.wps.cn/et/2018/main" chartId="{b41b071c-4831-4ab4-b72a-ed14b71b647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r>
              <a:rPr lang="en-US" altLang="zh-CN"/>
              <a:t>5</a:t>
            </a:r>
            <a:endParaRPr lang="en-US" altLang="zh-CN"/>
          </a:p>
        </c:rich>
      </c:tx>
      <c:layout>
        <c:manualLayout>
          <c:xMode val="edge"/>
          <c:yMode val="edge"/>
          <c:x val="0.163758467763102"/>
          <c:y val="0.00898203592814371"/>
        </c:manualLayout>
      </c:layout>
      <c:overlay val="0"/>
      <c:spPr>
        <a:noFill/>
        <a:ln>
          <a:noFill/>
        </a:ln>
        <a:effectLst/>
      </c:spPr>
    </c:title>
    <c:autoTitleDeleted val="0"/>
    <c:plotArea>
      <c:layout>
        <c:manualLayout>
          <c:layoutTarget val="inner"/>
          <c:xMode val="edge"/>
          <c:yMode val="edge"/>
          <c:x val="0.0646466323102647"/>
          <c:y val="0.38622754491018"/>
          <c:w val="0.93254490485506"/>
          <c:h val="0.489940119760479"/>
        </c:manualLayout>
      </c:layout>
      <c:barChart>
        <c:barDir val="col"/>
        <c:grouping val="clustered"/>
        <c:varyColors val="0"/>
        <c:ser>
          <c:idx val="0"/>
          <c:order val="0"/>
          <c:tx>
            <c:strRef>
              <c:f>Sheet1!$B$1</c:f>
              <c:strCache>
                <c:ptCount val="1"/>
                <c:pt idx="0">
                  <c:v>一般公共预算财政拨款支出决算变动情况</c:v>
                </c:pt>
              </c:strCache>
            </c:strRef>
          </c:tx>
          <c:spPr>
            <a:solidFill>
              <a:schemeClr val="accent1"/>
            </a:solidFill>
            <a:ln w="19050">
              <a:solidFill>
                <a:schemeClr val="lt1"/>
              </a:soli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23年财政支出</c:v>
                </c:pt>
                <c:pt idx="1">
                  <c:v>24年财政支出</c:v>
                </c:pt>
              </c:strCache>
            </c:strRef>
          </c:cat>
          <c:val>
            <c:numRef>
              <c:f>Sheet1!$B$2:$B$3</c:f>
              <c:numCache>
                <c:formatCode>General</c:formatCode>
                <c:ptCount val="2"/>
                <c:pt idx="0">
                  <c:v>220.74</c:v>
                </c:pt>
                <c:pt idx="1">
                  <c:v>200.74</c:v>
                </c:pt>
              </c:numCache>
            </c:numRef>
          </c:val>
        </c:ser>
        <c:dLbls>
          <c:showLegendKey val="0"/>
          <c:showVal val="1"/>
          <c:showCatName val="0"/>
          <c:showSerName val="0"/>
          <c:showPercent val="0"/>
          <c:showBubbleSize val="0"/>
        </c:dLbls>
        <c:gapWidth val="150"/>
        <c:overlap val="0"/>
        <c:axId val="23641863"/>
        <c:axId val="103582683"/>
      </c:barChart>
      <c:catAx>
        <c:axId val="23641863"/>
        <c:scaling>
          <c:orientation val="minMax"/>
        </c:scaling>
        <c:delete val="0"/>
        <c:axPos val="b"/>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3582683"/>
        <c:crosses val="autoZero"/>
        <c:auto val="1"/>
        <c:lblAlgn val="ctr"/>
        <c:lblOffset val="100"/>
        <c:noMultiLvlLbl val="0"/>
      </c:catAx>
      <c:valAx>
        <c:axId val="1035826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3641863"/>
        <c:crosses val="autoZero"/>
        <c:crossBetween val="between"/>
      </c:valAx>
      <c:spPr>
        <a:noFill/>
        <a:ln>
          <a:noFill/>
        </a:ln>
        <a:effectLst/>
      </c:spPr>
    </c:plotArea>
    <c:legend>
      <c:legendPos val="b"/>
      <c:layout>
        <c:manualLayout>
          <c:xMode val="edge"/>
          <c:yMode val="edge"/>
          <c:x val="0.344692005242464"/>
          <c:y val="0.20658682634730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ae61a7f-7332-44b6-97de-d796ab34aa1d}"/>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一般公共预算财政拨款支出决算结构图</a:t>
            </a:r>
            <a:r>
              <a:rPr lang="en-US" altLang="zh-CN"/>
              <a:t>6</a:t>
            </a:r>
            <a:endParaRPr lang="en-US" altLang="zh-CN"/>
          </a:p>
        </c:rich>
      </c:tx>
      <c:layout>
        <c:manualLayout>
          <c:xMode val="edge"/>
          <c:yMode val="edge"/>
          <c:x val="0.202902635170893"/>
          <c:y val="0.0930802089163841"/>
        </c:manualLayout>
      </c:layout>
      <c:overlay val="0"/>
      <c:spPr>
        <a:noFill/>
        <a:ln>
          <a:noFill/>
        </a:ln>
        <a:effectLst/>
      </c:spPr>
    </c:title>
    <c:autoTitleDeleted val="0"/>
    <c:plotArea>
      <c:layout/>
      <c:pieChart>
        <c:varyColors val="1"/>
        <c:ser>
          <c:idx val="0"/>
          <c:order val="0"/>
          <c:tx>
            <c:strRef>
              <c:f>Sheet1!$B$1</c:f>
              <c:strCache>
                <c:ptCount val="1"/>
                <c:pt idx="0">
                  <c:v>一般公共预算财政拨款支出决算结构图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社会保障和就业类</c:v>
                </c:pt>
                <c:pt idx="1">
                  <c:v>卫生健康支出</c:v>
                </c:pt>
                <c:pt idx="2">
                  <c:v>住房保障支出</c:v>
                </c:pt>
              </c:strCache>
            </c:strRef>
          </c:cat>
          <c:val>
            <c:numRef>
              <c:f>Sheet1!$B$2:$B$4</c:f>
              <c:numCache>
                <c:formatCode>General</c:formatCode>
                <c:ptCount val="3"/>
                <c:pt idx="0">
                  <c:v>25.02</c:v>
                </c:pt>
                <c:pt idx="1">
                  <c:v>160.05</c:v>
                </c:pt>
                <c:pt idx="2">
                  <c:v>15.68</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社会保障和就业类</c:v>
                </c:pt>
                <c:pt idx="1">
                  <c:v>卫生健康支出</c:v>
                </c:pt>
                <c:pt idx="2">
                  <c:v>住房保障支出</c:v>
                </c:pt>
              </c:strCache>
            </c:strRef>
          </c:cat>
          <c:val>
            <c:numRef>
              <c:f>Sheet1!$C$2:$C$4</c:f>
              <c:numCache>
                <c:formatCode>General</c:formatCode>
                <c:ptCount val="3"/>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334463270481951"/>
          <c:y val="0.84533211391478"/>
          <c:w val="0.380559299191375"/>
          <c:h val="0.113887274840209"/>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067f6a1-3b50-40aa-94fc-c2cd19fea60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27</Pages>
  <Words>10297</Words>
  <Characters>11034</Characters>
  <Lines>61</Lines>
  <Paragraphs>17</Paragraphs>
  <TotalTime>72</TotalTime>
  <ScaleCrop>false</ScaleCrop>
  <LinksUpToDate>false</LinksUpToDate>
  <CharactersWithSpaces>11144</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Administrator</cp:lastModifiedBy>
  <cp:lastPrinted>2025-08-06T17:34:00Z</cp:lastPrinted>
  <dcterms:modified xsi:type="dcterms:W3CDTF">2025-09-29T02:05:18Z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067B42B0B8E94B6BBB29F8D0003A264E_13</vt:lpwstr>
  </property>
</Properties>
</file>