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94EE0">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8441"/>
      <w:bookmarkStart w:id="1" w:name="_Toc15377425"/>
      <w:bookmarkStart w:id="2" w:name="_Toc15396597"/>
      <w:bookmarkStart w:id="3" w:name="_Toc15377193"/>
      <w:bookmarkStart w:id="4" w:name="_Toc15396475"/>
      <w:bookmarkStart w:id="5" w:name="_Toc15306267"/>
    </w:p>
    <w:p w14:paraId="0407031D">
      <w:pPr>
        <w:pStyle w:val="8"/>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326D1C00">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023DC51B">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52B9B93D">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bookmarkStart w:id="83" w:name="_GoBack"/>
      <w:bookmarkEnd w:id="83"/>
    </w:p>
    <w:p w14:paraId="573BE136">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4</w:t>
      </w:r>
      <w:r>
        <w:rPr>
          <w:rFonts w:ascii="方正小标宋简体" w:hAnsi="方正小标宋简体" w:eastAsia="方正小标宋简体" w:cs="方正小标宋简体"/>
          <w:b w:val="0"/>
          <w:bCs/>
          <w:color w:val="000000"/>
          <w:sz w:val="44"/>
          <w:u w:color="auto"/>
        </w:rPr>
        <w:t>年度</w:t>
      </w:r>
      <w:bookmarkEnd w:id="0"/>
      <w:bookmarkEnd w:id="1"/>
      <w:bookmarkEnd w:id="2"/>
      <w:bookmarkEnd w:id="3"/>
      <w:bookmarkEnd w:id="4"/>
    </w:p>
    <w:bookmarkEnd w:id="5"/>
    <w:p w14:paraId="6D261EBF">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bookmarkStart w:id="6" w:name="_Toc15377426"/>
      <w:bookmarkStart w:id="7" w:name="_Toc15396476"/>
      <w:bookmarkStart w:id="8" w:name="_Toc15396598"/>
      <w:bookmarkStart w:id="9" w:name="_Toc15377194"/>
      <w:bookmarkStart w:id="10" w:name="_Toc15378442"/>
      <w:bookmarkStart w:id="11" w:name="_Toc15306268"/>
      <w:r>
        <w:rPr>
          <w:rFonts w:hint="eastAsia" w:ascii="方正小标宋简体" w:hAnsi="方正小标宋简体" w:eastAsia="方正小标宋简体" w:cs="方正小标宋简体"/>
          <w:b w:val="0"/>
          <w:bCs/>
          <w:color w:val="000000"/>
          <w:sz w:val="44"/>
          <w:u w:color="auto"/>
        </w:rPr>
        <w:t>红原县民政局</w:t>
      </w:r>
      <w:r>
        <w:rPr>
          <w:rFonts w:ascii="方正小标宋简体" w:hAnsi="方正小标宋简体" w:eastAsia="方正小标宋简体" w:cs="方正小标宋简体"/>
          <w:b w:val="0"/>
          <w:bCs/>
          <w:color w:val="000000"/>
          <w:sz w:val="44"/>
          <w:u w:color="auto"/>
        </w:rPr>
        <w:t>部门决算</w:t>
      </w:r>
      <w:bookmarkEnd w:id="6"/>
      <w:bookmarkEnd w:id="7"/>
      <w:bookmarkEnd w:id="8"/>
      <w:bookmarkEnd w:id="9"/>
      <w:bookmarkEnd w:id="10"/>
      <w:bookmarkEnd w:id="11"/>
    </w:p>
    <w:p w14:paraId="23AA8E98">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5DF9239">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1E208826">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DC66674">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2356B57B">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5190243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7969AF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7D0E0D3">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59360EEF">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05E115B2">
      <w:pPr>
        <w:pStyle w:val="8"/>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349CA921">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29BFD609">
      <w:pPr>
        <w:pStyle w:val="15"/>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12016BC4">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4E587280">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bookmarkStart w:id="12" w:name="_Toc15377196"/>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TOC \o "1-2" \h \z \u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instrText xml:space="preserve"> HYPERLINK \l _Toc8113 </w:instrTex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第一部分 部门概况</w: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ab/>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instrText xml:space="preserve"> PAGEREF _Toc8113 </w:instrTex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1</w: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end"/>
      </w:r>
    </w:p>
    <w:p w14:paraId="03745021">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_Toc14329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一、部门职责</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_Toc14329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1</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20FFC242">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_Toc31013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二、机构设置</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_Toc31013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619F1E0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pP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instrText xml:space="preserve"> HYPERLINK \l _Toc9475 </w:instrTex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第二部分 2024年度部门决算情况说明</w: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ab/>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instrText xml:space="preserve"> PAGEREF _Toc9475 </w:instrTex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6</w: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end"/>
      </w:r>
    </w:p>
    <w:p w14:paraId="706AC73E">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_Toc27380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一、收入支出决算总体情况说明</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_Toc27380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6</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61E863FC">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_Toc13684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二、收入决算情况说明</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_Toc13684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6</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274BC102">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_Toc22056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三、支出决算情况说明</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_Toc22056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7</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493E99FC">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_Toc13276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四、财政拨款收入支出决算总体情况说明</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_Toc13276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8</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3479DA2F">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_Toc23041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五、一般公共预算财政拨款支出决算情况说明</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_Toc23041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8</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591D532D">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_Toc28099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六、一般公共预算财政拨款基本支出决算情况说明</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_Toc28099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12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2BBF329A">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_Toc5150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七、“三公”经费财政拨款支出决算情况说明</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_Toc5150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13</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2191CD96">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_Toc24471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八、政府性基金预算支出决算情况说明</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_Toc24471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15</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20E6A245">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_Toc22335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九、国有资本经营预算支出决算情况说明</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_Toc22335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15</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24172AD3">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pP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instrText xml:space="preserve"> HYPERLINK \l _Toc24831 </w:instrTex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第三部分 名词解释</w: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ab/>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instrText xml:space="preserve"> PAGEREF _Toc24831 </w:instrTex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16</w: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end"/>
      </w:r>
    </w:p>
    <w:p w14:paraId="2D135D7F">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0" w:firstLineChars="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instrText xml:space="preserve"> HYPERLINK \l _Toc13514 </w:instrTex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第四部分 附表</w: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ab/>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instrText xml:space="preserve"> PAGEREF _Toc13514 </w:instrTex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t>22</w:t>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8"/>
          <w:szCs w:val="28"/>
          <w:lang w:val="en-US" w:eastAsia="zh-CN" w:bidi="ar-SA"/>
          <w14:textFill>
            <w14:solidFill>
              <w14:schemeClr w14:val="tx1"/>
            </w14:solidFill>
          </w14:textFill>
        </w:rPr>
        <w:fldChar w:fldCharType="end"/>
      </w:r>
    </w:p>
    <w:p w14:paraId="615B59AD">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_Toc23734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一、收入支出决算总表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_Toc23734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6DCD2307">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_Toc22452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二、收入决算表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_Toc22452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6A6C9A5F">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_Toc14437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三、支出决算表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_Toc14437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35A17A5F">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_Toc25474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四、财政拨款收入支出决算总表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_Toc25474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3B74C23A">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_Toc29709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五、财政拨款支出决算明细表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_Toc29709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6ED759E8">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_Toc24697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六、一般公共预算财政拨款支出决算表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_Toc24697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7CDB622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_Toc1535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七、一般公共预算财政拨款支出决算明细表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_Toc1535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26D0721A">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_Toc17982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八、一般公共预算财政拨款基本支出决算表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_Toc17982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349C05BC">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_Toc24448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九、一般公共预算财政拨款项目支出决算表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_Toc24448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35E93F5A">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_Toc107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十、政府性基金预算财政拨款收入支出决算表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_Toc107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1D419A43">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_Toc10113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十一、国有资本经营预算财政拨款收入支出决算表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_Toc10113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096CE21C">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_Toc25838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十二、国有资本经营预算财政拨款支出决算表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_Toc25838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5AB78CC4">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HYPERLINK \l _Toc25614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十三、财政拨款“三公”经费支出决算表</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ab/>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instrText xml:space="preserve"> PAGEREF _Toc25614 </w:instrTex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separate"/>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t>22</w:t>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6859C621">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pPr>
      <w:r>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fldChar w:fldCharType="end"/>
      </w:r>
    </w:p>
    <w:p w14:paraId="4E0DB45C">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ind w:firstLine="480" w:firstLineChars="200"/>
        <w:jc w:val="left"/>
        <w:textAlignment w:val="auto"/>
        <w:rPr>
          <w:rFonts w:hint="eastAsia" w:ascii="宋体" w:hAnsi="宋体" w:eastAsia="宋体" w:cs="宋体"/>
          <w:smallCaps/>
          <w:color w:val="000000" w:themeColor="text1"/>
          <w:kern w:val="2"/>
          <w:sz w:val="24"/>
          <w:szCs w:val="24"/>
          <w:lang w:val="en-US" w:eastAsia="zh-CN" w:bidi="ar-SA"/>
          <w14:textFill>
            <w14:solidFill>
              <w14:schemeClr w14:val="tx1"/>
            </w14:solidFill>
          </w14:textFill>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p>
    <w:p w14:paraId="1F6181CC">
      <w:pPr>
        <w:pStyle w:val="5"/>
        <w:jc w:val="center"/>
        <w:rPr>
          <w:rFonts w:hint="eastAsia" w:ascii="黑体" w:hAnsi="黑体" w:eastAsia="黑体" w:cs="黑体"/>
          <w:b w:val="0"/>
          <w:bCs w:val="0"/>
        </w:rPr>
      </w:pPr>
      <w:bookmarkStart w:id="14" w:name="_Toc8113"/>
      <w:r>
        <w:rPr>
          <w:rFonts w:hint="eastAsia" w:ascii="黑体" w:hAnsi="黑体" w:eastAsia="黑体" w:cs="黑体"/>
          <w:b w:val="0"/>
          <w:bCs w:val="0"/>
        </w:rPr>
        <w:t xml:space="preserve">第一部分 </w:t>
      </w:r>
      <w:r>
        <w:rPr>
          <w:rStyle w:val="32"/>
          <w:rFonts w:hint="eastAsia" w:ascii="黑体" w:hAnsi="黑体" w:eastAsia="黑体" w:cs="黑体"/>
          <w:b w:val="0"/>
          <w:bCs w:val="0"/>
        </w:rPr>
        <w:t>部门</w:t>
      </w:r>
      <w:r>
        <w:rPr>
          <w:rStyle w:val="32"/>
          <w:rFonts w:ascii="黑体" w:hAnsi="黑体" w:eastAsia="黑体" w:cs="黑体"/>
          <w:b w:val="0"/>
          <w:bCs w:val="0"/>
          <w:u w:color="auto"/>
        </w:rPr>
        <w:t>概况</w:t>
      </w:r>
      <w:bookmarkEnd w:id="12"/>
      <w:bookmarkEnd w:id="13"/>
      <w:bookmarkEnd w:id="14"/>
    </w:p>
    <w:p w14:paraId="39367CD9">
      <w:pPr>
        <w:pStyle w:val="6"/>
        <w:ind w:firstLine="640" w:firstLineChars="200"/>
        <w:rPr>
          <w:rFonts w:hint="eastAsia" w:ascii="黑体" w:hAnsi="黑体" w:eastAsia="黑体" w:cs="黑体"/>
          <w:b w:val="0"/>
          <w:bCs/>
          <w:color w:val="000000"/>
          <w:lang w:val="en-US" w:eastAsia="zh-CN"/>
        </w:rPr>
      </w:pPr>
      <w:bookmarkStart w:id="15" w:name="_Toc15377197"/>
      <w:bookmarkStart w:id="16" w:name="_Toc113981010"/>
      <w:bookmarkStart w:id="17" w:name="_Toc111208496"/>
      <w:bookmarkStart w:id="18" w:name="_Toc14329"/>
      <w:bookmarkStart w:id="19" w:name="_Toc15377204"/>
      <w:r>
        <w:rPr>
          <w:rFonts w:hint="eastAsia" w:ascii="黑体" w:hAnsi="黑体" w:eastAsia="黑体" w:cs="黑体"/>
          <w:b w:val="0"/>
          <w:bCs/>
          <w:color w:val="000000"/>
        </w:rPr>
        <w:t>一、</w:t>
      </w:r>
      <w:bookmarkEnd w:id="15"/>
      <w:bookmarkEnd w:id="16"/>
      <w:bookmarkEnd w:id="17"/>
      <w:bookmarkStart w:id="20" w:name="_Toc15378445"/>
      <w:bookmarkStart w:id="21" w:name="_Toc15377198"/>
      <w:r>
        <w:rPr>
          <w:rFonts w:hint="eastAsia" w:ascii="黑体" w:hAnsi="黑体" w:eastAsia="黑体" w:cs="黑体"/>
          <w:b w:val="0"/>
          <w:bCs/>
          <w:color w:val="000000"/>
          <w:lang w:val="en-US" w:eastAsia="zh-CN"/>
        </w:rPr>
        <w:t>部门职责</w:t>
      </w:r>
      <w:bookmarkEnd w:id="18"/>
    </w:p>
    <w:bookmarkEnd w:id="20"/>
    <w:bookmarkEnd w:id="21"/>
    <w:p w14:paraId="4EAF98F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rPr>
      </w:pPr>
      <w:r>
        <w:rPr>
          <w:rFonts w:hint="eastAsia" w:ascii="仿宋" w:hAnsi="仿宋" w:eastAsia="仿宋" w:cs="仿宋"/>
          <w:color w:val="000000"/>
          <w:sz w:val="32"/>
          <w:szCs w:val="32"/>
        </w:rPr>
        <w:t>（一）贯彻执行党和国家有关民政工作的方针政策和法律法规，起草民政工作地方性法规、规章草案，拟订全县民政事业发展规划、工作计划和政策并组织实施和监督检查。</w:t>
      </w:r>
      <w:r>
        <w:rPr>
          <w:rFonts w:hint="eastAsia" w:ascii="仿宋" w:hAnsi="仿宋" w:eastAsia="仿宋" w:cs="仿宋"/>
          <w:color w:val="000000"/>
          <w:sz w:val="32"/>
          <w:szCs w:val="32"/>
        </w:rPr>
        <w:cr/>
      </w:r>
      <w:r>
        <w:rPr>
          <w:rFonts w:hint="eastAsia" w:ascii="仿宋" w:hAnsi="仿宋" w:eastAsia="仿宋" w:cs="仿宋"/>
          <w:color w:val="000000"/>
          <w:sz w:val="32"/>
          <w:szCs w:val="32"/>
        </w:rPr>
        <w:t>（二）承担对社会团体、基金会、社会服务机构等社会组织</w:t>
      </w:r>
      <w:r>
        <w:rPr>
          <w:rFonts w:hint="eastAsia" w:ascii="仿宋" w:hAnsi="仿宋" w:eastAsia="仿宋" w:cs="仿宋"/>
          <w:color w:val="000000"/>
          <w:sz w:val="32"/>
          <w:szCs w:val="32"/>
        </w:rPr>
        <w:cr/>
      </w:r>
      <w:r>
        <w:rPr>
          <w:rFonts w:hint="eastAsia" w:ascii="仿宋" w:hAnsi="仿宋" w:eastAsia="仿宋" w:cs="仿宋"/>
          <w:color w:val="000000"/>
          <w:sz w:val="32"/>
          <w:szCs w:val="32"/>
        </w:rPr>
        <w:t>和民办非企业单位登记和监督管理责任。</w:t>
      </w:r>
      <w:r>
        <w:rPr>
          <w:rFonts w:hint="eastAsia" w:ascii="仿宋" w:hAnsi="仿宋" w:eastAsia="仿宋" w:cs="仿宋"/>
          <w:color w:val="000000"/>
          <w:sz w:val="32"/>
          <w:szCs w:val="32"/>
        </w:rPr>
        <w:cr/>
      </w:r>
      <w:r>
        <w:rPr>
          <w:rFonts w:hint="eastAsia" w:ascii="仿宋" w:hAnsi="仿宋" w:eastAsia="仿宋" w:cs="仿宋"/>
          <w:color w:val="000000"/>
          <w:sz w:val="32"/>
          <w:szCs w:val="32"/>
        </w:rPr>
        <w:t>（三）牵头拟订县社会救助规划、政策和标准，统筹推进社</w:t>
      </w:r>
      <w:r>
        <w:rPr>
          <w:rFonts w:hint="eastAsia" w:ascii="仿宋" w:hAnsi="仿宋" w:eastAsia="仿宋" w:cs="仿宋"/>
          <w:color w:val="000000"/>
          <w:sz w:val="32"/>
          <w:szCs w:val="32"/>
        </w:rPr>
        <w:cr/>
      </w:r>
      <w:r>
        <w:rPr>
          <w:rFonts w:hint="eastAsia" w:ascii="仿宋" w:hAnsi="仿宋" w:eastAsia="仿宋" w:cs="仿宋"/>
          <w:color w:val="000000"/>
          <w:sz w:val="32"/>
          <w:szCs w:val="32"/>
        </w:rPr>
        <w:t>会救助体系建设，负责城乡居民最低生活保障、特困人员救助供养、临时救助和生活无着流浪乞讨人员救助工作。</w:t>
      </w:r>
      <w:r>
        <w:rPr>
          <w:rFonts w:hint="eastAsia" w:ascii="仿宋" w:hAnsi="仿宋" w:eastAsia="仿宋" w:cs="仿宋"/>
          <w:color w:val="000000"/>
          <w:sz w:val="32"/>
          <w:szCs w:val="32"/>
        </w:rPr>
        <w:cr/>
      </w:r>
      <w:r>
        <w:rPr>
          <w:rFonts w:hint="eastAsia" w:ascii="仿宋" w:hAnsi="仿宋" w:eastAsia="仿宋" w:cs="仿宋"/>
          <w:color w:val="000000"/>
          <w:sz w:val="32"/>
          <w:szCs w:val="32"/>
        </w:rPr>
        <w:t>（四）拟订行政区划、行政区域界线管理和地名管理政策，</w:t>
      </w:r>
      <w:r>
        <w:rPr>
          <w:rFonts w:hint="eastAsia" w:ascii="仿宋" w:hAnsi="仿宋" w:eastAsia="仿宋" w:cs="仿宋"/>
          <w:color w:val="000000"/>
          <w:sz w:val="32"/>
          <w:szCs w:val="32"/>
        </w:rPr>
        <w:cr/>
      </w:r>
      <w:r>
        <w:rPr>
          <w:rFonts w:hint="eastAsia" w:ascii="仿宋" w:hAnsi="仿宋" w:eastAsia="仿宋" w:cs="仿宋"/>
          <w:color w:val="000000"/>
          <w:sz w:val="32"/>
          <w:szCs w:val="32"/>
        </w:rPr>
        <w:t>组织拟订全州行政区划优化设置建议方案，按照管理权限牵头负责全州行政区划设立、命名、撤销、变更和政府驻地迁移等审核报批工作。按照管理权限确定、公布行政区划代码，组织并指导全州行政区域界线的勘定、管理工作，调处行政区域边界争议，负责全州地名工作的统一监督管理工作。</w:t>
      </w:r>
      <w:r>
        <w:rPr>
          <w:rFonts w:hint="eastAsia" w:ascii="仿宋" w:hAnsi="仿宋" w:eastAsia="仿宋" w:cs="仿宋"/>
          <w:color w:val="000000"/>
          <w:sz w:val="32"/>
          <w:szCs w:val="32"/>
        </w:rPr>
        <w:cr/>
      </w:r>
      <w:r>
        <w:rPr>
          <w:rFonts w:hint="eastAsia" w:ascii="仿宋" w:hAnsi="仿宋" w:eastAsia="仿宋" w:cs="仿宋"/>
          <w:color w:val="000000"/>
          <w:sz w:val="32"/>
          <w:szCs w:val="32"/>
        </w:rPr>
        <w:t>（五）拟订婚姻管理政策并组织实施，推进婚俗改革。</w:t>
      </w:r>
      <w:r>
        <w:rPr>
          <w:rFonts w:hint="eastAsia" w:ascii="仿宋" w:hAnsi="仿宋" w:eastAsia="仿宋" w:cs="仿宋"/>
          <w:color w:val="000000"/>
          <w:sz w:val="32"/>
          <w:szCs w:val="32"/>
        </w:rPr>
        <w:cr/>
      </w:r>
      <w:r>
        <w:rPr>
          <w:rFonts w:hint="eastAsia" w:ascii="仿宋" w:hAnsi="仿宋" w:eastAsia="仿宋" w:cs="仿宋"/>
          <w:color w:val="000000"/>
          <w:sz w:val="32"/>
          <w:szCs w:val="32"/>
        </w:rPr>
        <w:t>（六）拟订殡葬管理政策、服务规范并组织实施，负责殡葬</w:t>
      </w:r>
      <w:r>
        <w:rPr>
          <w:rFonts w:hint="eastAsia" w:ascii="仿宋" w:hAnsi="仿宋" w:eastAsia="仿宋" w:cs="仿宋"/>
          <w:color w:val="000000"/>
          <w:sz w:val="32"/>
          <w:szCs w:val="32"/>
        </w:rPr>
        <w:cr/>
      </w:r>
      <w:r>
        <w:rPr>
          <w:rFonts w:hint="eastAsia" w:ascii="仿宋" w:hAnsi="仿宋" w:eastAsia="仿宋" w:cs="仿宋"/>
          <w:color w:val="000000"/>
          <w:sz w:val="32"/>
          <w:szCs w:val="32"/>
        </w:rPr>
        <w:t>管理工作，推进殡葬改革。</w:t>
      </w:r>
      <w:r>
        <w:rPr>
          <w:rFonts w:hint="eastAsia" w:ascii="仿宋" w:hAnsi="仿宋" w:eastAsia="仿宋" w:cs="仿宋"/>
          <w:color w:val="000000"/>
          <w:sz w:val="32"/>
          <w:szCs w:val="32"/>
        </w:rPr>
        <w:cr/>
      </w:r>
      <w:r>
        <w:rPr>
          <w:rFonts w:hint="eastAsia" w:ascii="仿宋" w:hAnsi="仿宋" w:eastAsia="仿宋" w:cs="仿宋"/>
          <w:color w:val="000000"/>
          <w:sz w:val="32"/>
          <w:szCs w:val="32"/>
        </w:rPr>
        <w:t>（七）拟订社会福利事业发展规划、政策、标准，拟订社会</w:t>
      </w:r>
      <w:r>
        <w:rPr>
          <w:rFonts w:hint="eastAsia" w:ascii="仿宋" w:hAnsi="仿宋" w:eastAsia="仿宋" w:cs="仿宋"/>
          <w:color w:val="000000"/>
          <w:sz w:val="32"/>
          <w:szCs w:val="32"/>
        </w:rPr>
        <w:cr/>
      </w:r>
      <w:r>
        <w:rPr>
          <w:rFonts w:hint="eastAsia" w:ascii="仿宋" w:hAnsi="仿宋" w:eastAsia="仿宋" w:cs="仿宋"/>
          <w:color w:val="000000"/>
          <w:sz w:val="32"/>
          <w:szCs w:val="32"/>
        </w:rPr>
        <w:t>福利机构管理办法并指导实施，拟订残疾人权益保护政策并监督实施。统筹推进残疾人福利制度建设和康复辅助器具产业发展。</w:t>
      </w:r>
      <w:r>
        <w:rPr>
          <w:rFonts w:hint="eastAsia" w:ascii="仿宋" w:hAnsi="仿宋" w:eastAsia="仿宋" w:cs="仿宋"/>
          <w:color w:val="000000"/>
          <w:sz w:val="32"/>
          <w:szCs w:val="32"/>
        </w:rPr>
        <w:cr/>
      </w:r>
      <w:r>
        <w:rPr>
          <w:rFonts w:hint="eastAsia" w:ascii="仿宋" w:hAnsi="仿宋" w:eastAsia="仿宋" w:cs="仿宋"/>
          <w:color w:val="000000"/>
          <w:sz w:val="32"/>
          <w:szCs w:val="32"/>
        </w:rPr>
        <w:t>（八）承担州老龄工作委员会的具体工作。组织拟订并协调</w:t>
      </w:r>
      <w:r>
        <w:rPr>
          <w:rFonts w:hint="eastAsia" w:ascii="仿宋" w:hAnsi="仿宋" w:eastAsia="仿宋" w:cs="仿宋"/>
          <w:color w:val="000000"/>
          <w:sz w:val="32"/>
          <w:szCs w:val="32"/>
        </w:rPr>
        <w:cr/>
      </w:r>
      <w:r>
        <w:rPr>
          <w:rFonts w:hint="eastAsia" w:ascii="仿宋" w:hAnsi="仿宋" w:eastAsia="仿宋" w:cs="仿宋"/>
          <w:color w:val="000000"/>
          <w:sz w:val="32"/>
          <w:szCs w:val="32"/>
        </w:rPr>
        <w:t>落实积极应对人口老龄化政策措施。指导协调老年人权益保障工作。组织拟订老年人社会参与政策并组织实施。</w:t>
      </w:r>
      <w:r>
        <w:rPr>
          <w:rFonts w:hint="eastAsia" w:ascii="仿宋" w:hAnsi="仿宋" w:eastAsia="仿宋" w:cs="仿宋"/>
          <w:color w:val="000000"/>
          <w:sz w:val="32"/>
          <w:szCs w:val="32"/>
        </w:rPr>
        <w:cr/>
      </w:r>
      <w:r>
        <w:rPr>
          <w:rFonts w:hint="eastAsia" w:ascii="仿宋" w:hAnsi="仿宋" w:eastAsia="仿宋" w:cs="仿宋"/>
          <w:color w:val="000000"/>
          <w:sz w:val="32"/>
          <w:szCs w:val="32"/>
        </w:rPr>
        <w:t>（九）组织拟订并协调落实促进养老事业发展的政策措施。</w:t>
      </w:r>
      <w:r>
        <w:rPr>
          <w:rFonts w:hint="eastAsia" w:ascii="仿宋" w:hAnsi="仿宋" w:eastAsia="仿宋" w:cs="仿宋"/>
          <w:color w:val="000000"/>
          <w:sz w:val="32"/>
          <w:szCs w:val="32"/>
        </w:rPr>
        <w:cr/>
      </w:r>
      <w:r>
        <w:rPr>
          <w:rFonts w:hint="eastAsia" w:ascii="仿宋" w:hAnsi="仿宋" w:eastAsia="仿宋" w:cs="仿宋"/>
          <w:color w:val="000000"/>
          <w:sz w:val="32"/>
          <w:szCs w:val="32"/>
        </w:rPr>
        <w:t>统筹推进、督促指导、监督管理养老服务工作，拟订养老服务体系建设规划、政策、标准并组织实施，承担老年人福利和特殊困难老年人救助工作，协调推进农村留守老年人关爱服务工作。</w:t>
      </w:r>
      <w:r>
        <w:rPr>
          <w:rFonts w:hint="eastAsia" w:ascii="仿宋" w:hAnsi="仿宋" w:eastAsia="仿宋" w:cs="仿宋"/>
          <w:color w:val="000000"/>
          <w:sz w:val="32"/>
          <w:szCs w:val="32"/>
        </w:rPr>
        <w:cr/>
      </w:r>
      <w:r>
        <w:rPr>
          <w:rFonts w:hint="eastAsia" w:ascii="仿宋" w:hAnsi="仿宋" w:eastAsia="仿宋" w:cs="仿宋"/>
          <w:color w:val="000000"/>
          <w:sz w:val="32"/>
          <w:szCs w:val="32"/>
        </w:rPr>
        <w:t>（十）拟订儿童福利、孤弃儿童保障、儿童收养、儿童救助</w:t>
      </w:r>
      <w:r>
        <w:rPr>
          <w:rFonts w:hint="eastAsia" w:ascii="仿宋" w:hAnsi="仿宋" w:eastAsia="仿宋" w:cs="仿宋"/>
          <w:color w:val="000000"/>
          <w:sz w:val="32"/>
          <w:szCs w:val="32"/>
        </w:rPr>
        <w:cr/>
      </w:r>
      <w:r>
        <w:rPr>
          <w:rFonts w:hint="eastAsia" w:ascii="仿宋" w:hAnsi="仿宋" w:eastAsia="仿宋" w:cs="仿宋"/>
          <w:color w:val="000000"/>
          <w:sz w:val="32"/>
          <w:szCs w:val="32"/>
        </w:rPr>
        <w:t>保护政策和标准并组织实施，健全农村留守儿童关爱服务体系和困境儿童保障制度。</w:t>
      </w:r>
      <w:r>
        <w:rPr>
          <w:rFonts w:hint="eastAsia" w:ascii="仿宋" w:hAnsi="仿宋" w:eastAsia="仿宋" w:cs="仿宋"/>
          <w:color w:val="000000"/>
          <w:sz w:val="32"/>
          <w:szCs w:val="32"/>
        </w:rPr>
        <w:cr/>
      </w:r>
      <w:r>
        <w:rPr>
          <w:rFonts w:hint="eastAsia" w:ascii="仿宋" w:hAnsi="仿宋" w:eastAsia="仿宋" w:cs="仿宋"/>
          <w:color w:val="000000"/>
          <w:sz w:val="32"/>
          <w:szCs w:val="32"/>
        </w:rPr>
        <w:t>（十一）组织拟订促进慈善事业发展政策，指导社会捐助工</w:t>
      </w:r>
      <w:r>
        <w:rPr>
          <w:rFonts w:hint="eastAsia" w:ascii="仿宋" w:hAnsi="仿宋" w:eastAsia="仿宋" w:cs="仿宋"/>
          <w:color w:val="000000"/>
          <w:sz w:val="32"/>
          <w:szCs w:val="32"/>
        </w:rPr>
        <w:cr/>
      </w:r>
      <w:r>
        <w:rPr>
          <w:rFonts w:hint="eastAsia" w:ascii="仿宋" w:hAnsi="仿宋" w:eastAsia="仿宋" w:cs="仿宋"/>
          <w:color w:val="000000"/>
          <w:sz w:val="32"/>
          <w:szCs w:val="32"/>
        </w:rPr>
        <w:t>作。负责职责范围内的福利彩票有关工作。</w:t>
      </w:r>
      <w:r>
        <w:rPr>
          <w:rFonts w:hint="eastAsia" w:ascii="仿宋" w:hAnsi="仿宋" w:eastAsia="仿宋" w:cs="仿宋"/>
          <w:color w:val="000000"/>
          <w:sz w:val="32"/>
          <w:szCs w:val="32"/>
        </w:rPr>
        <w:cr/>
      </w:r>
      <w:r>
        <w:rPr>
          <w:rFonts w:hint="eastAsia" w:ascii="仿宋" w:hAnsi="仿宋" w:eastAsia="仿宋" w:cs="仿宋"/>
          <w:color w:val="000000"/>
          <w:sz w:val="32"/>
          <w:szCs w:val="32"/>
        </w:rPr>
        <w:t>（十二）依法依规负责社会福利、养老服务、殡葬服务、救</w:t>
      </w:r>
      <w:r>
        <w:rPr>
          <w:rFonts w:hint="eastAsia" w:ascii="仿宋" w:hAnsi="仿宋" w:eastAsia="仿宋" w:cs="仿宋"/>
          <w:color w:val="000000"/>
          <w:sz w:val="32"/>
          <w:szCs w:val="32"/>
        </w:rPr>
        <w:cr/>
      </w:r>
      <w:r>
        <w:rPr>
          <w:rFonts w:hint="eastAsia" w:ascii="仿宋" w:hAnsi="仿宋" w:eastAsia="仿宋" w:cs="仿宋"/>
          <w:color w:val="000000"/>
          <w:sz w:val="32"/>
          <w:szCs w:val="32"/>
        </w:rPr>
        <w:t>助管理等机构安全生产监督管理工作。负责职责范围内的职业健康、生态环境保护、审批服务便民化等工作。</w:t>
      </w:r>
      <w:r>
        <w:rPr>
          <w:rFonts w:hint="eastAsia" w:ascii="仿宋" w:hAnsi="仿宋" w:eastAsia="仿宋" w:cs="仿宋"/>
          <w:color w:val="000000"/>
          <w:sz w:val="32"/>
          <w:szCs w:val="32"/>
        </w:rPr>
        <w:cr/>
      </w:r>
      <w:r>
        <w:rPr>
          <w:rFonts w:hint="eastAsia" w:ascii="仿宋" w:hAnsi="仿宋" w:eastAsia="仿宋" w:cs="仿宋"/>
          <w:color w:val="000000"/>
          <w:sz w:val="32"/>
          <w:szCs w:val="32"/>
        </w:rPr>
        <w:t>（十三）完成县委、政府交办的其他任务。</w:t>
      </w:r>
    </w:p>
    <w:p w14:paraId="4CF3B08A">
      <w:pPr>
        <w:pStyle w:val="6"/>
        <w:rPr>
          <w:rFonts w:hint="eastAsia" w:ascii="黑体" w:hAnsi="黑体" w:eastAsia="黑体" w:cs="黑体"/>
          <w:b w:val="0"/>
          <w:bCs/>
          <w:color w:val="000000"/>
        </w:rPr>
      </w:pPr>
      <w:bookmarkStart w:id="22" w:name="_Toc31013"/>
      <w:bookmarkStart w:id="23" w:name="_Toc113981011"/>
      <w:bookmarkStart w:id="24" w:name="_Toc15377200"/>
      <w:bookmarkStart w:id="25" w:name="_Toc111208497"/>
      <w:r>
        <w:rPr>
          <w:rFonts w:hint="eastAsia" w:ascii="黑体" w:hAnsi="黑体" w:eastAsia="黑体" w:cs="黑体"/>
          <w:b w:val="0"/>
          <w:bCs/>
          <w:color w:val="000000"/>
        </w:rPr>
        <w:t>二、机构设置</w:t>
      </w:r>
      <w:bookmarkEnd w:id="22"/>
      <w:bookmarkEnd w:id="23"/>
      <w:bookmarkEnd w:id="24"/>
      <w:bookmarkEnd w:id="25"/>
    </w:p>
    <w:p w14:paraId="214B6C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一）综合办公室。负责文电、会务、档案、机要、后勤保障等机关日常运转工作。承担保密、信息、财务、统计、党建工作、党风廉政建设工作、精神文明、宣传、民族宗教、目标绩效管理、政务公开、信访、社会治安综合治理、法制教育、新闻宣传、有关综合性文稿起草和史志编纂工作。组织办理人大代表建议、政协委员提案。负责信访事项的接待、处理、分析，督查督办重大信访案件。依法依规履行民政相关行业领域安全生产和职业健康监督管理综合工作。同时负责拟订行政区划管理政策和行政区域界线、地名管理办法。承担乡镇行政区域的设立、撤销、变更和政府驻地迁移以及乡镇以上行政区划名称命名、更名的审核报批工作。组织并指导乡镇、村等地名标志的设置和管理工作。组织指导行政区域界线的勘定和管理工作，调处行政区域边界争议；有关基层治理、基层政权建设等职责划入县委社会工作部后，涉及村民委员会、居民委员会工作中需以政府名义出面的，民政局协助做好工作。民政局与县委社会工作部密切配合，形成基层治理合力。</w:t>
      </w:r>
      <w:r>
        <w:rPr>
          <w:rFonts w:hint="eastAsia" w:ascii="仿宋" w:hAnsi="仿宋" w:eastAsia="仿宋" w:cs="仿宋"/>
          <w:color w:val="000000"/>
          <w:sz w:val="32"/>
          <w:szCs w:val="32"/>
        </w:rPr>
        <w:cr/>
      </w:r>
      <w:r>
        <w:rPr>
          <w:rFonts w:hint="eastAsia" w:ascii="仿宋" w:hAnsi="仿宋" w:eastAsia="仿宋" w:cs="仿宋"/>
          <w:color w:val="000000"/>
          <w:sz w:val="32"/>
          <w:szCs w:val="32"/>
        </w:rPr>
        <w:t>（二）社会事务和救助股。拟订社会团体、基金会、社会服</w:t>
      </w:r>
      <w:r>
        <w:rPr>
          <w:rFonts w:hint="eastAsia" w:ascii="仿宋" w:hAnsi="仿宋" w:eastAsia="仿宋" w:cs="仿宋"/>
          <w:color w:val="000000"/>
          <w:sz w:val="32"/>
          <w:szCs w:val="32"/>
        </w:rPr>
        <w:cr/>
      </w:r>
      <w:r>
        <w:rPr>
          <w:rFonts w:hint="eastAsia" w:ascii="仿宋" w:hAnsi="仿宋" w:eastAsia="仿宋" w:cs="仿宋"/>
          <w:color w:val="000000"/>
          <w:sz w:val="32"/>
          <w:szCs w:val="32"/>
        </w:rPr>
        <w:t>务机构等社会组织监督管理办法，按照管辖权限进行管理和执法监督，查处违法组织，取缔非法组织。负责县本级民间组织年检、培训和信息管理工作，负责推进社会团体、民办非企业单位的登记管理工作和社会组织信息管理工作；拟订儿童福利、孤弃儿童保障、儿童收养、儿童救助保护政策、标准并组织实施。健全农村留守儿童关爱服务体系和困境儿童保障制度，指导、监督儿童福利、收养登记、流浪未成年人救助保护机构管理工作。推进婚俗和殡葬改革；拟订全县婚姻、殡葬、生活无着落流浪乞讨人员救助管理机构相关工作。负责组织拟订并协调落实积极应对人口老龄化、促进养老事业发展的政策措施，拟订养老服务体系建设规划、地方性法规、政策、标准并组织实施，承担老年人福利和特殊困难老年人救助以及城乡老年社会组织管理等工作。拟订残疾人和其他特殊困难群体福利事业发展规划、政策、标准并组织实施。拟订社会服务机构管理办法；拟订残疾人孝义保护政策并监督实施。拟订促进慈善事业发展政策、慈善组织及其活动管理办法。负责统筹推进、督促指导、监督管理养老服务工作；促进慈善事业发展，指导社会捐助工作，推动社会工作和志愿服务健康发展；拟订养老服务体系建设规划、政策、标准并组织实施，承担老年人救助工作；拟订社会工作政策，组织推进社会工作人才队伍建设。负责老年大学（学校）管理指导工作。同时负责拟订全县社会救助规划、政策和标准并监督实施，统筹推进社会救助体系建设，负责城乡居民最低生活保障、特困人员救助供养、临时救助和生活无着落流浪乞讨人员救助工作。承办中央和省、州级财政困难群众救助补助资金发放和监管工作。参与拟订医疗、住房、教育、就业等救助相关办法。指导开展最低生活保障、特困人员供养、临时救助等社会救助工作中居民家庭经济状况核</w:t>
      </w:r>
      <w:r>
        <w:rPr>
          <w:rFonts w:hint="eastAsia" w:ascii="仿宋" w:hAnsi="仿宋" w:eastAsia="仿宋" w:cs="仿宋"/>
          <w:color w:val="000000"/>
          <w:sz w:val="32"/>
          <w:szCs w:val="32"/>
        </w:rPr>
        <w:cr/>
      </w:r>
      <w:r>
        <w:rPr>
          <w:rFonts w:hint="eastAsia" w:ascii="仿宋" w:hAnsi="仿宋" w:eastAsia="仿宋" w:cs="仿宋"/>
          <w:color w:val="000000"/>
          <w:sz w:val="32"/>
          <w:szCs w:val="32"/>
        </w:rPr>
        <w:t>对工作。指导敬老院和社会福利服务中心建设。</w:t>
      </w:r>
    </w:p>
    <w:p w14:paraId="550D5D48">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F5000D1">
      <w:pPr>
        <w:pStyle w:val="5"/>
        <w:jc w:val="center"/>
        <w:rPr>
          <w:rFonts w:hint="eastAsia" w:ascii="黑体" w:hAnsi="黑体" w:eastAsia="黑体" w:cs="黑体"/>
          <w:b w:val="0"/>
          <w:bCs w:val="0"/>
        </w:rPr>
      </w:pPr>
      <w:bookmarkStart w:id="26" w:name="_Toc9475"/>
      <w:bookmarkStart w:id="27" w:name="_Toc111208498"/>
      <w:r>
        <w:rPr>
          <w:rFonts w:hint="eastAsia" w:ascii="黑体" w:hAnsi="黑体" w:eastAsia="黑体" w:cs="黑体"/>
          <w:b w:val="0"/>
          <w:bCs w:val="0"/>
        </w:rPr>
        <w:t xml:space="preserve">第二部分 </w:t>
      </w:r>
      <w:r>
        <w:rPr>
          <w:rFonts w:ascii="黑体" w:hAnsi="黑体" w:eastAsia="黑体" w:cs="黑体"/>
          <w:u w:color="auto"/>
        </w:rPr>
        <w:t>202</w:t>
      </w:r>
      <w:r>
        <w:rPr>
          <w:rFonts w:hint="eastAsia" w:ascii="黑体" w:hAnsi="黑体" w:eastAsia="黑体" w:cs="黑体"/>
          <w:u w:color="auto"/>
          <w:lang w:val="en-US" w:eastAsia="zh-CN"/>
        </w:rPr>
        <w:t>4</w:t>
      </w:r>
      <w:r>
        <w:rPr>
          <w:rFonts w:ascii="黑体" w:hAnsi="黑体" w:eastAsia="黑体" w:cs="黑体"/>
          <w:u w:color="auto"/>
        </w:rPr>
        <w:t>年度</w:t>
      </w:r>
      <w:r>
        <w:rPr>
          <w:rFonts w:hint="eastAsia" w:ascii="黑体" w:hAnsi="黑体" w:eastAsia="黑体" w:cs="黑体"/>
          <w:b w:val="0"/>
          <w:bCs w:val="0"/>
          <w:lang w:val="en-US" w:eastAsia="zh-CN"/>
        </w:rPr>
        <w:t>部门</w:t>
      </w:r>
      <w:r>
        <w:rPr>
          <w:rFonts w:hint="eastAsia" w:ascii="黑体" w:hAnsi="黑体" w:eastAsia="黑体" w:cs="黑体"/>
          <w:b w:val="0"/>
          <w:bCs w:val="0"/>
        </w:rPr>
        <w:t>决算情况说明</w:t>
      </w:r>
      <w:bookmarkEnd w:id="19"/>
      <w:bookmarkEnd w:id="26"/>
      <w:bookmarkEnd w:id="27"/>
    </w:p>
    <w:p w14:paraId="25248212">
      <w:pPr>
        <w:pStyle w:val="6"/>
        <w:ind w:firstLine="640" w:firstLineChars="200"/>
        <w:rPr>
          <w:rFonts w:hint="eastAsia" w:ascii="黑体" w:hAnsi="黑体" w:eastAsia="黑体" w:cs="黑体"/>
          <w:b w:val="0"/>
          <w:bCs/>
          <w:color w:val="000000"/>
        </w:rPr>
      </w:pPr>
      <w:bookmarkStart w:id="28" w:name="_Toc15377205"/>
      <w:bookmarkStart w:id="29" w:name="_Toc111208499"/>
      <w:bookmarkStart w:id="30" w:name="_Toc27380"/>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17591969">
      <w:pPr>
        <w:spacing w:line="600" w:lineRule="exact"/>
        <w:ind w:firstLine="640" w:firstLineChars="200"/>
        <w:rPr>
          <w:rFonts w:ascii="仿宋" w:hAnsi="仿宋" w:eastAsia="仿宋" w:cs="仿宋"/>
          <w:color w:val="000000"/>
          <w:sz w:val="32"/>
          <w:u w:color="auto"/>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w:t>
      </w:r>
      <w:r>
        <w:rPr>
          <w:rFonts w:ascii="仿宋" w:hAnsi="仿宋" w:eastAsia="仿宋" w:cs="仿宋"/>
          <w:color w:val="000000"/>
          <w:sz w:val="32"/>
          <w:u w:color="auto"/>
        </w:rPr>
        <w:t>年度收、支总计均为</w:t>
      </w:r>
      <w:r>
        <w:rPr>
          <w:rFonts w:hint="eastAsia" w:ascii="仿宋" w:hAnsi="仿宋" w:eastAsia="仿宋" w:cs="仿宋"/>
          <w:color w:val="000000"/>
          <w:sz w:val="32"/>
          <w:u w:color="auto"/>
          <w:lang w:val="en-US" w:eastAsia="zh-CN"/>
        </w:rPr>
        <w:t>5032.84</w:t>
      </w:r>
      <w:r>
        <w:rPr>
          <w:rFonts w:hint="eastAsia" w:ascii="仿宋" w:hAnsi="仿宋" w:eastAsia="仿宋" w:cs="仿宋"/>
          <w:color w:val="000000"/>
          <w:sz w:val="32"/>
          <w:szCs w:val="32"/>
        </w:rPr>
        <w:t>万元。与</w:t>
      </w:r>
      <w:r>
        <w:rPr>
          <w:rFonts w:ascii="仿宋" w:hAnsi="仿宋" w:eastAsia="仿宋" w:cs="仿宋"/>
          <w:color w:val="000000"/>
          <w:sz w:val="32"/>
          <w:u w:color="auto"/>
        </w:rPr>
        <w:t>202</w:t>
      </w:r>
      <w:r>
        <w:rPr>
          <w:rFonts w:hint="eastAsia" w:ascii="仿宋" w:hAnsi="仿宋" w:eastAsia="仿宋" w:cs="仿宋"/>
          <w:color w:val="000000"/>
          <w:sz w:val="32"/>
          <w:u w:color="auto"/>
          <w:lang w:val="en-US" w:eastAsia="zh-CN"/>
        </w:rPr>
        <w:t>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相比，收、支总计各</w:t>
      </w:r>
      <w:r>
        <w:rPr>
          <w:rFonts w:hint="eastAsia" w:ascii="仿宋" w:hAnsi="仿宋" w:eastAsia="仿宋" w:cs="仿宋"/>
          <w:color w:val="000000"/>
          <w:sz w:val="32"/>
          <w:szCs w:val="32"/>
          <w:lang w:eastAsia="zh-CN"/>
        </w:rPr>
        <w:t>增加</w:t>
      </w:r>
      <w:r>
        <w:rPr>
          <w:rFonts w:hint="eastAsia" w:ascii="仿宋" w:hAnsi="仿宋" w:eastAsia="仿宋" w:cs="仿宋"/>
          <w:color w:val="000000"/>
          <w:sz w:val="32"/>
          <w:u w:color="auto"/>
          <w:lang w:val="en-US" w:eastAsia="zh-CN"/>
        </w:rPr>
        <w:t>426.35</w:t>
      </w:r>
      <w:r>
        <w:rPr>
          <w:rFonts w:ascii="仿宋" w:hAnsi="仿宋" w:eastAsia="仿宋" w:cs="仿宋"/>
          <w:color w:val="000000"/>
          <w:sz w:val="32"/>
          <w:u w:color="auto"/>
        </w:rPr>
        <w:t>万元，</w:t>
      </w:r>
      <w:r>
        <w:rPr>
          <w:rFonts w:hint="eastAsia" w:ascii="仿宋" w:hAnsi="仿宋" w:eastAsia="仿宋" w:cs="仿宋"/>
          <w:color w:val="000000"/>
          <w:sz w:val="32"/>
          <w:u w:color="auto"/>
          <w:lang w:eastAsia="zh-CN"/>
        </w:rPr>
        <w:t>增加</w:t>
      </w:r>
      <w:r>
        <w:rPr>
          <w:rFonts w:hint="eastAsia" w:ascii="仿宋" w:hAnsi="仿宋" w:eastAsia="仿宋" w:cs="仿宋"/>
          <w:color w:val="000000"/>
          <w:sz w:val="32"/>
          <w:u w:color="auto"/>
          <w:lang w:val="en-US" w:eastAsia="zh-CN"/>
        </w:rPr>
        <w:t>9.26</w:t>
      </w:r>
      <w:r>
        <w:rPr>
          <w:rFonts w:ascii="仿宋" w:hAnsi="仿宋" w:eastAsia="仿宋" w:cs="仿宋"/>
          <w:color w:val="000000"/>
          <w:sz w:val="32"/>
          <w:u w:color="auto"/>
        </w:rPr>
        <w:t>%</w:t>
      </w:r>
      <w:r>
        <w:rPr>
          <w:rFonts w:hint="eastAsia" w:ascii="仿宋" w:hAnsi="仿宋" w:eastAsia="仿宋" w:cs="仿宋"/>
          <w:color w:val="000000"/>
          <w:sz w:val="32"/>
          <w:u w:color="auto"/>
          <w:lang w:eastAsia="zh-CN"/>
        </w:rPr>
        <w:t>，增加原因是</w:t>
      </w:r>
      <w:r>
        <w:rPr>
          <w:rFonts w:hint="eastAsia" w:ascii="仿宋" w:hAnsi="仿宋" w:eastAsia="仿宋" w:cs="仿宋"/>
          <w:color w:val="000000"/>
          <w:sz w:val="32"/>
          <w:u w:color="auto"/>
          <w:lang w:val="en-US" w:eastAsia="zh-CN"/>
        </w:rPr>
        <w:t>2024年度的项目增加，故此收支增加</w:t>
      </w:r>
      <w:r>
        <w:rPr>
          <w:rFonts w:ascii="仿宋" w:hAnsi="仿宋" w:eastAsia="仿宋" w:cs="仿宋"/>
          <w:color w:val="000000"/>
          <w:sz w:val="32"/>
          <w:u w:color="auto"/>
        </w:rPr>
        <w:t xml:space="preserve">。 </w:t>
      </w:r>
    </w:p>
    <w:p w14:paraId="6DD9FD9C">
      <w:pPr>
        <w:pStyle w:val="2"/>
        <w:rPr>
          <w:rFonts w:hint="eastAsia" w:eastAsia="仿宋"/>
          <w:lang w:eastAsia="zh-CN"/>
        </w:rPr>
      </w:pPr>
    </w:p>
    <w:p w14:paraId="7110EABC">
      <w:pPr>
        <w:pStyle w:val="8"/>
        <w:rPr>
          <w:rFonts w:hint="eastAsia" w:ascii="思源黑体 CN Normal" w:hAnsi="思源黑体 CN Normal" w:eastAsia="思源黑体 CN Normal" w:cs="思源黑体 CN Normal"/>
        </w:rPr>
      </w:pPr>
      <w:r>
        <w:drawing>
          <wp:inline distT="0" distB="0" distL="114300" distR="114300">
            <wp:extent cx="4572000" cy="2743200"/>
            <wp:effectExtent l="4445" t="4445" r="14605" b="14605"/>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72C000">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（图1：收、支决算总计变动情况图）</w:t>
      </w:r>
    </w:p>
    <w:p w14:paraId="0DF8B94E">
      <w:pPr>
        <w:pStyle w:val="6"/>
        <w:ind w:firstLine="640" w:firstLineChars="200"/>
        <w:rPr>
          <w:rFonts w:hint="eastAsia" w:ascii="黑体" w:hAnsi="黑体" w:eastAsia="黑体" w:cs="黑体"/>
          <w:bCs w:val="0"/>
          <w:color w:val="000000"/>
        </w:rPr>
      </w:pPr>
      <w:bookmarkStart w:id="31" w:name="_Toc15377206"/>
      <w:bookmarkStart w:id="32" w:name="_Toc13684"/>
      <w:bookmarkStart w:id="33" w:name="_Toc111208500"/>
      <w:r>
        <w:rPr>
          <w:rFonts w:hint="eastAsia" w:ascii="黑体" w:hAnsi="黑体" w:eastAsia="黑体" w:cs="黑体"/>
          <w:b w:val="0"/>
          <w:bCs/>
          <w:color w:val="000000"/>
        </w:rPr>
        <w:t>二、收入决算情况说明</w:t>
      </w:r>
      <w:bookmarkEnd w:id="31"/>
      <w:bookmarkEnd w:id="32"/>
      <w:bookmarkEnd w:id="33"/>
    </w:p>
    <w:p w14:paraId="079B9068">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本年收入合计</w:t>
      </w:r>
      <w:r>
        <w:rPr>
          <w:rFonts w:hint="eastAsia" w:ascii="仿宋" w:hAnsi="仿宋" w:eastAsia="仿宋" w:cs="仿宋"/>
          <w:color w:val="000000"/>
          <w:sz w:val="32"/>
          <w:u w:color="auto"/>
          <w:lang w:val="en-US" w:eastAsia="zh-CN"/>
        </w:rPr>
        <w:t>5032.84</w:t>
      </w:r>
      <w:r>
        <w:rPr>
          <w:rFonts w:ascii="仿宋" w:hAnsi="仿宋" w:eastAsia="仿宋" w:cs="仿宋"/>
          <w:color w:val="000000"/>
          <w:sz w:val="32"/>
          <w:u w:color="auto"/>
        </w:rPr>
        <w:t>万元</w:t>
      </w:r>
      <w:r>
        <w:rPr>
          <w:rFonts w:hint="eastAsia" w:ascii="仿宋" w:hAnsi="仿宋" w:eastAsia="仿宋" w:cs="仿宋"/>
          <w:color w:val="000000"/>
          <w:sz w:val="32"/>
          <w:szCs w:val="32"/>
          <w:lang w:val="en-US" w:eastAsia="zh-CN"/>
        </w:rPr>
        <w:t>，其中:一般公共预算财政拨款收入4900.03万元，占97.36%；政府性基金预算财政拨款收入61.66万元，占1.23%；其他收入71.15万元，占1.41%</w:t>
      </w:r>
      <w:r>
        <w:rPr>
          <w:rFonts w:hint="eastAsia" w:ascii="仿宋" w:hAnsi="仿宋" w:eastAsia="仿宋" w:cs="仿宋"/>
          <w:color w:val="000000"/>
          <w:sz w:val="32"/>
          <w:szCs w:val="32"/>
        </w:rPr>
        <w:t>。</w:t>
      </w:r>
    </w:p>
    <w:p w14:paraId="4F17BD5D">
      <w:pPr>
        <w:pStyle w:val="16"/>
        <w:ind w:left="1060" w:hanging="640"/>
        <w:jc w:val="center"/>
        <w:rPr>
          <w:rFonts w:hint="eastAsia" w:ascii="思源黑体 CN Normal" w:hAnsi="思源黑体 CN Normal" w:eastAsia="思源黑体 CN Normal" w:cs="思源黑体 CN Normal"/>
          <w:color w:val="FF0000"/>
          <w:sz w:val="32"/>
          <w:szCs w:val="32"/>
        </w:rPr>
      </w:pPr>
      <w:r>
        <w:drawing>
          <wp:inline distT="0" distB="0" distL="114300" distR="114300">
            <wp:extent cx="4572000" cy="2743200"/>
            <wp:effectExtent l="4445" t="4445" r="14605" b="14605"/>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622906">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14:paraId="7E904EE1">
      <w:pPr>
        <w:pStyle w:val="6"/>
        <w:ind w:firstLine="640" w:firstLineChars="200"/>
        <w:rPr>
          <w:rFonts w:hint="eastAsia" w:ascii="黑体" w:hAnsi="黑体" w:eastAsia="黑体" w:cs="黑体"/>
          <w:b w:val="0"/>
          <w:bCs/>
          <w:color w:val="000000"/>
        </w:rPr>
      </w:pPr>
      <w:bookmarkStart w:id="34" w:name="_Toc111208501"/>
      <w:bookmarkStart w:id="35" w:name="_Toc15377207"/>
      <w:bookmarkStart w:id="36" w:name="_Toc22056"/>
      <w:r>
        <w:rPr>
          <w:rFonts w:hint="eastAsia" w:ascii="黑体" w:hAnsi="黑体" w:eastAsia="黑体" w:cs="黑体"/>
          <w:b w:val="0"/>
          <w:bCs/>
          <w:color w:val="000000"/>
        </w:rPr>
        <w:t>三、支出决算情况说明</w:t>
      </w:r>
      <w:bookmarkEnd w:id="34"/>
      <w:bookmarkEnd w:id="35"/>
      <w:bookmarkEnd w:id="36"/>
    </w:p>
    <w:p w14:paraId="66C0C6A5">
      <w:pPr>
        <w:pStyle w:val="8"/>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本年支出合计</w:t>
      </w:r>
      <w:r>
        <w:rPr>
          <w:rFonts w:hint="eastAsia" w:ascii="仿宋" w:hAnsi="仿宋" w:eastAsia="仿宋" w:cs="仿宋"/>
          <w:color w:val="000000"/>
          <w:sz w:val="32"/>
          <w:u w:color="auto"/>
          <w:lang w:val="en-US" w:eastAsia="zh-CN"/>
        </w:rPr>
        <w:t>5032.84</w:t>
      </w:r>
      <w:r>
        <w:rPr>
          <w:rFonts w:ascii="仿宋" w:hAnsi="仿宋" w:eastAsia="仿宋" w:cs="仿宋"/>
          <w:color w:val="000000"/>
          <w:sz w:val="32"/>
          <w:u w:color="auto"/>
        </w:rPr>
        <w:t>万元</w:t>
      </w:r>
      <w:r>
        <w:rPr>
          <w:rFonts w:hint="eastAsia" w:ascii="仿宋" w:hAnsi="仿宋" w:eastAsia="仿宋" w:cs="仿宋"/>
          <w:color w:val="000000"/>
          <w:sz w:val="32"/>
          <w:szCs w:val="32"/>
          <w:lang w:val="en-US" w:eastAsia="zh-CN"/>
        </w:rPr>
        <w:t>，其中:基本支出1121.1万元，占22.28%；项目支出3911.75万元，占77.72%</w:t>
      </w:r>
      <w:r>
        <w:rPr>
          <w:rFonts w:hint="eastAsia" w:ascii="仿宋" w:hAnsi="仿宋" w:eastAsia="仿宋" w:cs="仿宋"/>
          <w:color w:val="000000"/>
          <w:sz w:val="32"/>
          <w:szCs w:val="32"/>
        </w:rPr>
        <w:t>。</w:t>
      </w:r>
    </w:p>
    <w:p w14:paraId="5D2EF797">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3429000"/>
            <wp:effectExtent l="4445" t="4445" r="6350"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CD6ADA">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14:paraId="6E256E5C">
      <w:pPr>
        <w:pStyle w:val="6"/>
        <w:ind w:firstLine="640" w:firstLineChars="200"/>
        <w:rPr>
          <w:rFonts w:hint="eastAsia" w:ascii="黑体" w:hAnsi="黑体" w:eastAsia="黑体" w:cs="黑体"/>
          <w:b w:val="0"/>
          <w:bCs/>
          <w:color w:val="000000"/>
        </w:rPr>
      </w:pPr>
      <w:bookmarkStart w:id="37" w:name="_Toc15377208"/>
      <w:bookmarkStart w:id="38" w:name="_Toc111208502"/>
      <w:bookmarkStart w:id="39" w:name="_Toc13276"/>
      <w:r>
        <w:rPr>
          <w:rFonts w:hint="eastAsia" w:ascii="黑体" w:hAnsi="黑体" w:eastAsia="黑体" w:cs="黑体"/>
          <w:b w:val="0"/>
          <w:bCs/>
          <w:color w:val="000000"/>
        </w:rPr>
        <w:t>四、财政拨款收入支出决算总体情况说明</w:t>
      </w:r>
      <w:bookmarkEnd w:id="37"/>
      <w:bookmarkEnd w:id="38"/>
      <w:bookmarkEnd w:id="39"/>
    </w:p>
    <w:p w14:paraId="34074684">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财政拨款收、支总计均为</w:t>
      </w:r>
      <w:r>
        <w:rPr>
          <w:rFonts w:hint="eastAsia" w:ascii="仿宋" w:hAnsi="仿宋" w:eastAsia="仿宋" w:cs="仿宋"/>
          <w:color w:val="000000"/>
          <w:sz w:val="32"/>
          <w:u w:color="auto"/>
          <w:lang w:val="en-US" w:eastAsia="zh-CN"/>
        </w:rPr>
        <w:t>4961.69</w:t>
      </w:r>
      <w:r>
        <w:rPr>
          <w:rFonts w:ascii="仿宋" w:hAnsi="仿宋" w:eastAsia="仿宋" w:cs="仿宋"/>
          <w:color w:val="000000"/>
          <w:sz w:val="32"/>
          <w:u w:color="auto"/>
        </w:rPr>
        <w:t>万元。与202</w:t>
      </w:r>
      <w:r>
        <w:rPr>
          <w:rFonts w:hint="eastAsia" w:ascii="仿宋" w:hAnsi="仿宋" w:eastAsia="仿宋" w:cs="仿宋"/>
          <w:color w:val="000000"/>
          <w:sz w:val="32"/>
          <w:u w:color="auto"/>
          <w:lang w:val="en-US" w:eastAsia="zh-CN"/>
        </w:rPr>
        <w:t>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相比，财政拨款收、支总计各</w:t>
      </w:r>
      <w:r>
        <w:rPr>
          <w:rFonts w:hint="eastAsia" w:ascii="仿宋" w:hAnsi="仿宋" w:eastAsia="仿宋" w:cs="仿宋"/>
          <w:color w:val="000000"/>
          <w:sz w:val="32"/>
          <w:u w:color="auto"/>
          <w:lang w:eastAsia="zh-CN"/>
        </w:rPr>
        <w:t>增加</w:t>
      </w:r>
      <w:r>
        <w:rPr>
          <w:rFonts w:hint="eastAsia" w:ascii="仿宋" w:hAnsi="仿宋" w:eastAsia="仿宋" w:cs="仿宋"/>
          <w:color w:val="000000"/>
          <w:sz w:val="32"/>
          <w:u w:color="auto"/>
          <w:lang w:val="en-US" w:eastAsia="zh-CN"/>
        </w:rPr>
        <w:t>390.86</w:t>
      </w:r>
      <w:r>
        <w:rPr>
          <w:rFonts w:ascii="仿宋" w:hAnsi="仿宋" w:eastAsia="仿宋" w:cs="仿宋"/>
          <w:color w:val="000000"/>
          <w:sz w:val="32"/>
          <w:u w:color="auto"/>
        </w:rPr>
        <w:t>万元，</w:t>
      </w:r>
      <w:r>
        <w:rPr>
          <w:rFonts w:hint="eastAsia" w:ascii="仿宋" w:hAnsi="仿宋" w:eastAsia="仿宋" w:cs="仿宋"/>
          <w:color w:val="000000"/>
          <w:sz w:val="32"/>
          <w:u w:color="auto"/>
          <w:lang w:eastAsia="zh-CN"/>
        </w:rPr>
        <w:t>增加</w:t>
      </w:r>
      <w:r>
        <w:rPr>
          <w:rFonts w:hint="eastAsia" w:ascii="仿宋" w:hAnsi="仿宋" w:eastAsia="仿宋" w:cs="仿宋"/>
          <w:color w:val="000000"/>
          <w:sz w:val="32"/>
          <w:u w:color="auto"/>
          <w:lang w:val="en-US" w:eastAsia="zh-CN"/>
        </w:rPr>
        <w:t>8.55</w:t>
      </w:r>
      <w:r>
        <w:rPr>
          <w:rFonts w:ascii="仿宋" w:hAnsi="仿宋" w:eastAsia="仿宋" w:cs="仿宋"/>
          <w:color w:val="000000"/>
          <w:sz w:val="32"/>
          <w:u w:color="auto"/>
        </w:rPr>
        <w:t>%</w:t>
      </w:r>
      <w:r>
        <w:rPr>
          <w:rFonts w:hint="eastAsia" w:ascii="仿宋" w:hAnsi="仿宋" w:eastAsia="仿宋" w:cs="仿宋"/>
          <w:color w:val="000000"/>
          <w:sz w:val="32"/>
          <w:u w:color="auto"/>
          <w:lang w:eastAsia="zh-CN"/>
        </w:rPr>
        <w:t>，增加原因是项目增加，故此收支增加</w:t>
      </w:r>
      <w:r>
        <w:rPr>
          <w:rFonts w:ascii="仿宋" w:hAnsi="仿宋" w:eastAsia="仿宋" w:cs="仿宋"/>
          <w:color w:val="000000"/>
          <w:sz w:val="32"/>
          <w:u w:color="auto"/>
        </w:rPr>
        <w:t xml:space="preserve">。 </w:t>
      </w:r>
    </w:p>
    <w:p w14:paraId="279C72D5">
      <w:pPr>
        <w:rPr>
          <w:rFonts w:hint="eastAsia" w:ascii="思源黑体 CN Normal" w:hAnsi="思源黑体 CN Normal" w:eastAsia="思源黑体 CN Normal" w:cs="思源黑体 CN Normal"/>
          <w:color w:val="000000"/>
          <w:sz w:val="32"/>
          <w:szCs w:val="32"/>
        </w:rPr>
      </w:pPr>
      <w:r>
        <w:rPr>
          <w:rFonts w:hint="eastAsia"/>
          <w:lang w:val="en-US" w:eastAsia="zh-CN"/>
        </w:rPr>
        <w:t xml:space="preserve">    </w:t>
      </w:r>
      <w:r>
        <w:drawing>
          <wp:inline distT="0" distB="0" distL="114300" distR="114300">
            <wp:extent cx="4572000" cy="2743200"/>
            <wp:effectExtent l="4445" t="4445" r="14605" b="14605"/>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451111">
      <w:pPr>
        <w:spacing w:line="600" w:lineRule="exact"/>
        <w:ind w:firstLine="960" w:firstLineChars="300"/>
        <w:jc w:val="both"/>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14:paraId="063184F3">
      <w:pPr>
        <w:pStyle w:val="6"/>
        <w:rPr>
          <w:rFonts w:hint="eastAsia" w:ascii="黑体" w:hAnsi="黑体" w:eastAsia="黑体" w:cs="黑体"/>
          <w:b w:val="0"/>
          <w:bCs/>
          <w:color w:val="000000"/>
        </w:rPr>
      </w:pPr>
      <w:bookmarkStart w:id="40" w:name="_Toc15377209"/>
      <w:bookmarkStart w:id="41" w:name="_Toc23041"/>
      <w:bookmarkStart w:id="42" w:name="_Toc111208503"/>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41C74728">
      <w:pPr>
        <w:spacing w:line="600" w:lineRule="exact"/>
        <w:ind w:firstLine="643" w:firstLineChars="200"/>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14:paraId="1A096D04">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bookmarkStart w:id="44" w:name="_Toc15377211"/>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一般公共预算财政拨款支出</w:t>
      </w:r>
      <w:r>
        <w:rPr>
          <w:rFonts w:hint="eastAsia" w:ascii="仿宋" w:hAnsi="仿宋" w:eastAsia="仿宋" w:cs="仿宋"/>
          <w:color w:val="000000"/>
          <w:sz w:val="32"/>
          <w:u w:color="auto"/>
          <w:lang w:val="en-US" w:eastAsia="zh-CN"/>
        </w:rPr>
        <w:t>4900.03</w:t>
      </w:r>
      <w:r>
        <w:rPr>
          <w:rFonts w:ascii="仿宋" w:hAnsi="仿宋" w:eastAsia="仿宋" w:cs="仿宋"/>
          <w:color w:val="000000"/>
          <w:sz w:val="32"/>
          <w:u w:color="auto"/>
        </w:rPr>
        <w:t>万元，占本年支出合计的97.</w:t>
      </w:r>
      <w:r>
        <w:rPr>
          <w:rFonts w:hint="eastAsia" w:ascii="仿宋" w:hAnsi="仿宋" w:eastAsia="仿宋" w:cs="仿宋"/>
          <w:color w:val="000000"/>
          <w:sz w:val="32"/>
          <w:u w:color="auto"/>
          <w:lang w:val="en-US" w:eastAsia="zh-CN"/>
        </w:rPr>
        <w:t>36</w:t>
      </w:r>
      <w:r>
        <w:rPr>
          <w:rFonts w:ascii="仿宋" w:hAnsi="仿宋" w:eastAsia="仿宋" w:cs="仿宋"/>
          <w:color w:val="000000"/>
          <w:sz w:val="32"/>
          <w:u w:color="auto"/>
        </w:rPr>
        <w:t>%。与202</w:t>
      </w:r>
      <w:r>
        <w:rPr>
          <w:rFonts w:hint="eastAsia" w:ascii="仿宋" w:hAnsi="仿宋" w:eastAsia="仿宋" w:cs="仿宋"/>
          <w:color w:val="000000"/>
          <w:sz w:val="32"/>
          <w:u w:color="auto"/>
          <w:lang w:val="en-US" w:eastAsia="zh-CN"/>
        </w:rPr>
        <w:t>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hint="eastAsia" w:ascii="仿宋" w:hAnsi="仿宋" w:eastAsia="仿宋" w:cs="仿宋"/>
          <w:color w:val="000000"/>
          <w:sz w:val="32"/>
          <w:u w:color="auto"/>
          <w:lang w:eastAsia="zh-CN"/>
        </w:rPr>
        <w:t>增加</w:t>
      </w:r>
      <w:r>
        <w:rPr>
          <w:rFonts w:hint="eastAsia" w:ascii="仿宋" w:hAnsi="仿宋" w:eastAsia="仿宋" w:cs="仿宋"/>
          <w:color w:val="000000"/>
          <w:sz w:val="32"/>
          <w:u w:color="auto"/>
          <w:lang w:val="en-US" w:eastAsia="zh-CN"/>
        </w:rPr>
        <w:t>438.82</w:t>
      </w:r>
      <w:r>
        <w:rPr>
          <w:rFonts w:ascii="仿宋" w:hAnsi="仿宋" w:eastAsia="仿宋" w:cs="仿宋"/>
          <w:color w:val="000000"/>
          <w:sz w:val="32"/>
          <w:u w:color="auto"/>
        </w:rPr>
        <w:t>万元，</w:t>
      </w:r>
      <w:r>
        <w:rPr>
          <w:rFonts w:hint="eastAsia" w:ascii="仿宋" w:hAnsi="仿宋" w:eastAsia="仿宋" w:cs="仿宋"/>
          <w:color w:val="000000"/>
          <w:sz w:val="32"/>
          <w:u w:color="auto"/>
          <w:lang w:eastAsia="zh-CN"/>
        </w:rPr>
        <w:t>增加</w:t>
      </w:r>
      <w:r>
        <w:rPr>
          <w:rFonts w:hint="eastAsia" w:ascii="仿宋" w:hAnsi="仿宋" w:eastAsia="仿宋" w:cs="仿宋"/>
          <w:color w:val="000000"/>
          <w:sz w:val="32"/>
          <w:u w:color="auto"/>
          <w:lang w:val="en-US" w:eastAsia="zh-CN"/>
        </w:rPr>
        <w:t>9.84</w:t>
      </w:r>
      <w:r>
        <w:rPr>
          <w:rFonts w:ascii="仿宋" w:hAnsi="仿宋" w:eastAsia="仿宋" w:cs="仿宋"/>
          <w:color w:val="000000"/>
          <w:sz w:val="32"/>
          <w:u w:color="auto"/>
        </w:rPr>
        <w:t xml:space="preserve"> %</w:t>
      </w:r>
      <w:r>
        <w:rPr>
          <w:rFonts w:hint="eastAsia" w:ascii="仿宋" w:hAnsi="仿宋" w:eastAsia="仿宋" w:cs="仿宋"/>
          <w:color w:val="000000"/>
          <w:sz w:val="32"/>
          <w:u w:color="auto"/>
          <w:lang w:eastAsia="zh-CN"/>
        </w:rPr>
        <w:t>，增加原因是项目增加，故此收支增加</w:t>
      </w:r>
      <w:r>
        <w:rPr>
          <w:rFonts w:ascii="仿宋" w:hAnsi="仿宋" w:eastAsia="仿宋" w:cs="仿宋"/>
          <w:color w:val="000000"/>
          <w:sz w:val="32"/>
          <w:u w:color="auto"/>
        </w:rPr>
        <w:t xml:space="preserve">。 </w:t>
      </w:r>
    </w:p>
    <w:p w14:paraId="725D5E15">
      <w:pPr>
        <w:pStyle w:val="8"/>
        <w:ind w:firstLine="0"/>
        <w:rPr>
          <w:rFonts w:hint="eastAsia" w:ascii="思源黑体 CN Normal" w:hAnsi="思源黑体 CN Normal" w:eastAsia="思源黑体 CN Normal" w:cs="思源黑体 CN Normal"/>
          <w:b/>
          <w:color w:val="000000"/>
          <w:sz w:val="32"/>
          <w:szCs w:val="32"/>
        </w:rPr>
      </w:pPr>
      <w:r>
        <w:rPr>
          <w:rFonts w:hint="eastAsia"/>
          <w:lang w:val="en-US" w:eastAsia="zh-CN"/>
        </w:rPr>
        <w:t xml:space="preserve">     </w:t>
      </w:r>
      <w:r>
        <w:drawing>
          <wp:inline distT="0" distB="0" distL="114300" distR="114300">
            <wp:extent cx="4572000" cy="2743200"/>
            <wp:effectExtent l="4445" t="4445" r="14605" b="14605"/>
            <wp:docPr id="1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7882012">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14:paraId="78B836DF">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p>
    <w:p w14:paraId="488F580E">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一般公共预算财政拨款支出</w:t>
      </w:r>
      <w:r>
        <w:rPr>
          <w:rFonts w:hint="eastAsia" w:ascii="仿宋" w:hAnsi="仿宋" w:eastAsia="仿宋" w:cs="仿宋"/>
          <w:color w:val="000000"/>
          <w:sz w:val="32"/>
          <w:u w:color="auto"/>
          <w:lang w:val="en-US" w:eastAsia="zh-CN"/>
        </w:rPr>
        <w:t>4900.03</w:t>
      </w:r>
      <w:r>
        <w:rPr>
          <w:rFonts w:ascii="仿宋" w:hAnsi="仿宋" w:eastAsia="仿宋" w:cs="仿宋"/>
          <w:color w:val="000000"/>
          <w:sz w:val="32"/>
          <w:u w:color="auto"/>
        </w:rPr>
        <w:t>万元，主要用于以下方面: 社会保障和就业支出</w:t>
      </w:r>
      <w:r>
        <w:rPr>
          <w:rFonts w:hint="eastAsia" w:ascii="仿宋" w:hAnsi="仿宋" w:eastAsia="仿宋" w:cs="仿宋"/>
          <w:color w:val="000000"/>
          <w:sz w:val="32"/>
          <w:u w:color="auto"/>
          <w:lang w:val="en-US" w:eastAsia="zh-CN"/>
        </w:rPr>
        <w:t>4792.45</w:t>
      </w:r>
      <w:r>
        <w:rPr>
          <w:rFonts w:ascii="仿宋" w:hAnsi="仿宋" w:eastAsia="仿宋" w:cs="仿宋"/>
          <w:color w:val="000000"/>
          <w:sz w:val="32"/>
          <w:u w:color="auto"/>
        </w:rPr>
        <w:t>万元，占97.</w:t>
      </w:r>
      <w:r>
        <w:rPr>
          <w:rFonts w:hint="eastAsia" w:ascii="仿宋" w:hAnsi="仿宋" w:eastAsia="仿宋" w:cs="仿宋"/>
          <w:color w:val="000000"/>
          <w:sz w:val="32"/>
          <w:u w:color="auto"/>
          <w:lang w:val="en-US" w:eastAsia="zh-CN"/>
        </w:rPr>
        <w:t>80</w:t>
      </w:r>
      <w:r>
        <w:rPr>
          <w:rFonts w:ascii="仿宋" w:hAnsi="仿宋" w:eastAsia="仿宋" w:cs="仿宋"/>
          <w:color w:val="000000"/>
          <w:sz w:val="32"/>
          <w:u w:color="auto"/>
        </w:rPr>
        <w:t>%；卫生健康支出</w:t>
      </w:r>
      <w:r>
        <w:rPr>
          <w:rFonts w:hint="eastAsia" w:ascii="仿宋" w:hAnsi="仿宋" w:eastAsia="仿宋" w:cs="仿宋"/>
          <w:color w:val="000000"/>
          <w:sz w:val="32"/>
          <w:u w:color="auto"/>
          <w:lang w:val="en-US" w:eastAsia="zh-CN"/>
        </w:rPr>
        <w:t>50.77</w:t>
      </w:r>
      <w:r>
        <w:rPr>
          <w:rFonts w:ascii="仿宋" w:hAnsi="仿宋" w:eastAsia="仿宋" w:cs="仿宋"/>
          <w:color w:val="000000"/>
          <w:sz w:val="32"/>
          <w:u w:color="auto"/>
        </w:rPr>
        <w:t>万元，占</w:t>
      </w:r>
      <w:r>
        <w:rPr>
          <w:rFonts w:hint="eastAsia" w:ascii="仿宋" w:hAnsi="仿宋" w:eastAsia="仿宋" w:cs="仿宋"/>
          <w:color w:val="000000"/>
          <w:sz w:val="32"/>
          <w:u w:color="auto"/>
          <w:lang w:val="en-US" w:eastAsia="zh-CN"/>
        </w:rPr>
        <w:t>1.04</w:t>
      </w:r>
      <w:r>
        <w:rPr>
          <w:rFonts w:ascii="仿宋" w:hAnsi="仿宋" w:eastAsia="仿宋" w:cs="仿宋"/>
          <w:color w:val="000000"/>
          <w:sz w:val="32"/>
          <w:u w:color="auto"/>
        </w:rPr>
        <w:t>%；住房保障支出</w:t>
      </w:r>
      <w:r>
        <w:rPr>
          <w:rFonts w:hint="eastAsia" w:ascii="仿宋" w:hAnsi="仿宋" w:eastAsia="仿宋" w:cs="仿宋"/>
          <w:color w:val="000000"/>
          <w:sz w:val="32"/>
          <w:u w:color="auto"/>
          <w:lang w:val="en-US" w:eastAsia="zh-CN"/>
        </w:rPr>
        <w:t>56.81</w:t>
      </w:r>
      <w:r>
        <w:rPr>
          <w:rFonts w:ascii="仿宋" w:hAnsi="仿宋" w:eastAsia="仿宋" w:cs="仿宋"/>
          <w:color w:val="000000"/>
          <w:sz w:val="32"/>
          <w:u w:color="auto"/>
        </w:rPr>
        <w:t>万元，占1.</w:t>
      </w:r>
      <w:r>
        <w:rPr>
          <w:rFonts w:hint="eastAsia" w:ascii="仿宋" w:hAnsi="仿宋" w:eastAsia="仿宋" w:cs="仿宋"/>
          <w:color w:val="000000"/>
          <w:sz w:val="32"/>
          <w:u w:color="auto"/>
          <w:lang w:val="en-US" w:eastAsia="zh-CN"/>
        </w:rPr>
        <w:t>16</w:t>
      </w:r>
      <w:r>
        <w:rPr>
          <w:rFonts w:ascii="仿宋" w:hAnsi="仿宋" w:eastAsia="仿宋" w:cs="仿宋"/>
          <w:color w:val="000000"/>
          <w:sz w:val="32"/>
          <w:u w:color="auto"/>
        </w:rPr>
        <w:t>%。</w:t>
      </w:r>
    </w:p>
    <w:p w14:paraId="00F8E93A">
      <w:pPr>
        <w:pStyle w:val="8"/>
        <w:rPr>
          <w:rFonts w:hint="eastAsia" w:ascii="思源黑体 CN Normal" w:hAnsi="思源黑体 CN Normal" w:eastAsia="思源黑体 CN Normal" w:cs="思源黑体 CN Normal"/>
        </w:rPr>
      </w:pPr>
      <w:bookmarkStart w:id="45" w:name="_Toc15377212"/>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BA1E3E">
      <w:pPr>
        <w:spacing w:line="600" w:lineRule="exact"/>
        <w:ind w:firstLine="640" w:firstLineChars="20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14:paraId="43B52957">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14:paraId="1B97AD75">
      <w:pPr>
        <w:spacing w:line="600" w:lineRule="exact"/>
        <w:ind w:firstLine="640"/>
        <w:rPr>
          <w:rFonts w:hint="eastAsia" w:ascii="仿宋" w:hAnsi="仿宋" w:eastAsia="仿宋" w:cs="仿宋"/>
          <w:color w:val="000000"/>
          <w:sz w:val="32"/>
          <w:szCs w:val="32"/>
        </w:rPr>
      </w:pPr>
      <w:bookmarkStart w:id="46" w:name="_Toc15378460"/>
      <w:bookmarkStart w:id="47" w:name="_Toc15377213"/>
      <w:bookmarkStart w:id="48" w:name="_Toc15377444"/>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一般公共预算支出决算数为</w:t>
      </w:r>
      <w:r>
        <w:rPr>
          <w:rFonts w:hint="eastAsia" w:ascii="仿宋" w:hAnsi="仿宋" w:eastAsia="仿宋" w:cs="仿宋"/>
          <w:color w:val="000000"/>
          <w:sz w:val="32"/>
          <w:u w:color="auto"/>
          <w:lang w:val="en-US" w:eastAsia="zh-CN"/>
        </w:rPr>
        <w:t>4900.03</w:t>
      </w:r>
      <w:r>
        <w:rPr>
          <w:rFonts w:ascii="仿宋" w:hAnsi="仿宋" w:eastAsia="仿宋" w:cs="仿宋"/>
          <w:color w:val="000000"/>
          <w:sz w:val="32"/>
          <w:u w:color="auto"/>
        </w:rPr>
        <w:t>万元，完成预算100%。其中：</w:t>
      </w:r>
      <w:bookmarkEnd w:id="46"/>
      <w:bookmarkEnd w:id="47"/>
      <w:bookmarkEnd w:id="48"/>
    </w:p>
    <w:p w14:paraId="0FDA3DB9">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1.社会保障和就业支出（类）民政管理事务（款）行政运行（项）:支出决算</w:t>
      </w:r>
      <w:r>
        <w:rPr>
          <w:rFonts w:hint="eastAsia" w:ascii="仿宋" w:hAnsi="仿宋" w:eastAsia="仿宋" w:cs="仿宋"/>
          <w:color w:val="000000"/>
          <w:sz w:val="32"/>
          <w:szCs w:val="32"/>
          <w:lang w:val="en-US" w:eastAsia="zh-CN"/>
        </w:rPr>
        <w:t>151.87</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2.社会保障和就业支出（类）民政管理事务（款）一般行政管理事务（项）:支出决算</w:t>
      </w:r>
      <w:r>
        <w:rPr>
          <w:rFonts w:hint="eastAsia" w:ascii="仿宋" w:hAnsi="仿宋" w:eastAsia="仿宋" w:cs="仿宋"/>
          <w:color w:val="000000"/>
          <w:sz w:val="32"/>
          <w:szCs w:val="32"/>
          <w:lang w:val="en-US" w:eastAsia="zh-CN"/>
        </w:rPr>
        <w:t>30.34</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3.社会保障和就业支出（类）民政管理事务（款）行政区划和地名管理（项）:支出决算</w:t>
      </w:r>
      <w:r>
        <w:rPr>
          <w:rFonts w:hint="eastAsia" w:ascii="仿宋" w:hAnsi="仿宋" w:eastAsia="仿宋" w:cs="仿宋"/>
          <w:color w:val="000000"/>
          <w:sz w:val="32"/>
          <w:szCs w:val="32"/>
          <w:lang w:val="en-US" w:eastAsia="zh-CN"/>
        </w:rPr>
        <w:t>362.69</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4.社会保障和就业支出（类）民政管理事务（款）其他民政管理事务支出（项）:支出决算</w:t>
      </w:r>
      <w:r>
        <w:rPr>
          <w:rFonts w:hint="eastAsia" w:ascii="仿宋" w:hAnsi="仿宋" w:eastAsia="仿宋" w:cs="仿宋"/>
          <w:color w:val="000000"/>
          <w:sz w:val="32"/>
          <w:szCs w:val="32"/>
          <w:lang w:val="en-US" w:eastAsia="zh-CN"/>
        </w:rPr>
        <w:t>12</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5.社会保障和就业支出（类）行政事业单位养老支出（款）机关事业单位基本养老保险缴费支出（项）:支出决算</w:t>
      </w:r>
      <w:r>
        <w:rPr>
          <w:rFonts w:hint="eastAsia" w:ascii="仿宋" w:hAnsi="仿宋" w:eastAsia="仿宋" w:cs="仿宋"/>
          <w:color w:val="000000"/>
          <w:sz w:val="32"/>
          <w:szCs w:val="32"/>
          <w:lang w:val="en-US" w:eastAsia="zh-CN"/>
        </w:rPr>
        <w:t>68.81</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6.社会保障和就业支出（类）行政事业单位养老支出（款）机关事业单位职业年金缴费支出（项）:支出决算</w:t>
      </w:r>
      <w:r>
        <w:rPr>
          <w:rFonts w:hint="eastAsia" w:ascii="仿宋" w:hAnsi="仿宋" w:eastAsia="仿宋" w:cs="仿宋"/>
          <w:color w:val="000000"/>
          <w:sz w:val="32"/>
          <w:szCs w:val="32"/>
          <w:lang w:val="en-US" w:eastAsia="zh-CN"/>
        </w:rPr>
        <w:t>34.44</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7.社会保障和就业支出（类）社会福利（款）儿童福利（项）:支出决算</w:t>
      </w:r>
      <w:r>
        <w:rPr>
          <w:rFonts w:hint="eastAsia" w:ascii="仿宋" w:hAnsi="仿宋" w:eastAsia="仿宋" w:cs="仿宋"/>
          <w:color w:val="000000"/>
          <w:sz w:val="32"/>
          <w:szCs w:val="32"/>
          <w:lang w:val="en-US" w:eastAsia="zh-CN"/>
        </w:rPr>
        <w:t>98.58</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8.社会保障和就业支出（类）社会福利（款）老年福利（项）:支出决算</w:t>
      </w:r>
      <w:r>
        <w:rPr>
          <w:rFonts w:hint="eastAsia" w:ascii="仿宋" w:hAnsi="仿宋" w:eastAsia="仿宋" w:cs="仿宋"/>
          <w:color w:val="000000"/>
          <w:sz w:val="32"/>
          <w:szCs w:val="32"/>
          <w:lang w:val="en-US" w:eastAsia="zh-CN"/>
        </w:rPr>
        <w:t>88.48</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9.社会保障和就业支出（类）社会福利（款）社会福利事业单位（项）:支出决算</w:t>
      </w:r>
      <w:r>
        <w:rPr>
          <w:rFonts w:hint="eastAsia" w:ascii="仿宋" w:hAnsi="仿宋" w:eastAsia="仿宋" w:cs="仿宋"/>
          <w:color w:val="000000"/>
          <w:sz w:val="32"/>
          <w:szCs w:val="32"/>
          <w:lang w:val="en-US" w:eastAsia="zh-CN"/>
        </w:rPr>
        <w:t>1141.17</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10.社会保障和就业支出（类）社会福利（款）养老服务（项）:支出决算</w:t>
      </w:r>
      <w:r>
        <w:rPr>
          <w:rFonts w:hint="eastAsia" w:ascii="仿宋" w:hAnsi="仿宋" w:eastAsia="仿宋" w:cs="仿宋"/>
          <w:color w:val="000000"/>
          <w:sz w:val="32"/>
          <w:szCs w:val="32"/>
          <w:lang w:val="en-US" w:eastAsia="zh-CN"/>
        </w:rPr>
        <w:t>16.58</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11.社会保障和就业支出（类）社会福利（款）其他社会福利支出（项）:支出决算</w:t>
      </w:r>
      <w:r>
        <w:rPr>
          <w:rFonts w:hint="eastAsia" w:ascii="仿宋" w:hAnsi="仿宋" w:eastAsia="仿宋" w:cs="仿宋"/>
          <w:color w:val="000000"/>
          <w:sz w:val="32"/>
          <w:szCs w:val="32"/>
          <w:lang w:val="en-US" w:eastAsia="zh-CN"/>
        </w:rPr>
        <w:t>5.23</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12.社会保障和就业支出（类）残疾人事业（款）残疾人生活和护理补贴（项）:支出决算</w:t>
      </w:r>
      <w:r>
        <w:rPr>
          <w:rFonts w:hint="eastAsia" w:ascii="仿宋" w:hAnsi="仿宋" w:eastAsia="仿宋" w:cs="仿宋"/>
          <w:color w:val="000000"/>
          <w:sz w:val="32"/>
          <w:szCs w:val="32"/>
          <w:lang w:val="en-US" w:eastAsia="zh-CN"/>
        </w:rPr>
        <w:t>129.89</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13.社会保障和就业支出（类）残疾人事业（款）其他残疾人事业支出（项）:支出决算</w:t>
      </w:r>
      <w:r>
        <w:rPr>
          <w:rFonts w:hint="eastAsia" w:ascii="仿宋" w:hAnsi="仿宋" w:eastAsia="仿宋" w:cs="仿宋"/>
          <w:color w:val="000000"/>
          <w:sz w:val="32"/>
          <w:szCs w:val="32"/>
          <w:lang w:val="en-US" w:eastAsia="zh-CN"/>
        </w:rPr>
        <w:t>52.69</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14.社会保障和就业支出（类）最低生活保障（款）城市最低生活保障金支出（项）:支出决算</w:t>
      </w:r>
      <w:r>
        <w:rPr>
          <w:rFonts w:hint="eastAsia" w:ascii="仿宋" w:hAnsi="仿宋" w:eastAsia="仿宋" w:cs="仿宋"/>
          <w:color w:val="000000"/>
          <w:sz w:val="32"/>
          <w:szCs w:val="32"/>
          <w:lang w:val="en-US" w:eastAsia="zh-CN"/>
        </w:rPr>
        <w:t>64.42</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15.社会保障和就业支出（类）最低生活保障（款）农村最低生活保障金支出（项）:支出决算</w:t>
      </w:r>
      <w:r>
        <w:rPr>
          <w:rFonts w:hint="eastAsia" w:ascii="仿宋" w:hAnsi="仿宋" w:eastAsia="仿宋" w:cs="仿宋"/>
          <w:color w:val="000000"/>
          <w:sz w:val="32"/>
          <w:szCs w:val="32"/>
          <w:lang w:val="en-US" w:eastAsia="zh-CN"/>
        </w:rPr>
        <w:t>2261.43</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16.社会保障和就业支出（类）临时救助（款）临时救助支出（项）:支出决算</w:t>
      </w:r>
      <w:r>
        <w:rPr>
          <w:rFonts w:hint="eastAsia" w:ascii="仿宋" w:hAnsi="仿宋" w:eastAsia="仿宋" w:cs="仿宋"/>
          <w:color w:val="000000"/>
          <w:sz w:val="32"/>
          <w:szCs w:val="32"/>
          <w:lang w:val="en-US" w:eastAsia="zh-CN"/>
        </w:rPr>
        <w:t>23.53</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17.社会保障和就业支出（类）临时救助（款）流浪乞讨人员救助支出（项）:支出决算</w:t>
      </w:r>
      <w:r>
        <w:rPr>
          <w:rFonts w:hint="eastAsia" w:ascii="仿宋" w:hAnsi="仿宋" w:eastAsia="仿宋" w:cs="仿宋"/>
          <w:color w:val="000000"/>
          <w:sz w:val="32"/>
          <w:szCs w:val="32"/>
          <w:lang w:val="en-US" w:eastAsia="zh-CN"/>
        </w:rPr>
        <w:t>0.24</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18.社会保障和就业支出（类）特困人员救助供养（款）特困人员救助供养支出（项）:支出决算</w:t>
      </w:r>
      <w:r>
        <w:rPr>
          <w:rFonts w:hint="eastAsia" w:ascii="仿宋" w:hAnsi="仿宋" w:eastAsia="仿宋" w:cs="仿宋"/>
          <w:color w:val="000000"/>
          <w:sz w:val="32"/>
          <w:szCs w:val="32"/>
          <w:lang w:val="en-US" w:eastAsia="zh-CN"/>
        </w:rPr>
        <w:t>181.77</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19.社会保障和就业支出（类）</w:t>
      </w:r>
      <w:r>
        <w:rPr>
          <w:rFonts w:hint="eastAsia" w:ascii="仿宋" w:hAnsi="仿宋" w:eastAsia="仿宋" w:cs="仿宋"/>
          <w:color w:val="000000"/>
          <w:sz w:val="32"/>
          <w:szCs w:val="32"/>
          <w:lang w:eastAsia="zh-CN"/>
        </w:rPr>
        <w:t>其他生活救助</w:t>
      </w:r>
      <w:r>
        <w:rPr>
          <w:rFonts w:hint="eastAsia" w:ascii="仿宋" w:hAnsi="仿宋" w:eastAsia="仿宋" w:cs="仿宋"/>
          <w:color w:val="000000"/>
          <w:sz w:val="32"/>
          <w:szCs w:val="32"/>
        </w:rPr>
        <w:t>（款）</w:t>
      </w:r>
      <w:r>
        <w:rPr>
          <w:rFonts w:hint="eastAsia" w:ascii="仿宋" w:hAnsi="仿宋" w:eastAsia="仿宋" w:cs="仿宋"/>
          <w:color w:val="000000"/>
          <w:sz w:val="32"/>
          <w:szCs w:val="32"/>
          <w:lang w:eastAsia="zh-CN"/>
        </w:rPr>
        <w:t>其他生活救助</w:t>
      </w:r>
      <w:r>
        <w:rPr>
          <w:rFonts w:hint="eastAsia" w:ascii="仿宋" w:hAnsi="仿宋" w:eastAsia="仿宋" w:cs="仿宋"/>
          <w:color w:val="000000"/>
          <w:sz w:val="32"/>
          <w:szCs w:val="32"/>
        </w:rPr>
        <w:t>支出（项）:支出决算</w:t>
      </w:r>
      <w:r>
        <w:rPr>
          <w:rFonts w:hint="eastAsia" w:ascii="仿宋" w:hAnsi="仿宋" w:eastAsia="仿宋" w:cs="仿宋"/>
          <w:color w:val="000000"/>
          <w:sz w:val="32"/>
          <w:szCs w:val="32"/>
          <w:lang w:val="en-US" w:eastAsia="zh-CN"/>
        </w:rPr>
        <w:t>68.30</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20.社会保障和就业支出（类）其他社会保障和就业支出（款）其他社会保障和就业支出（项）:支出决算3.56万元，完成预算100%。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21.卫生健康支出（类）行政事业单位医疗（款）行政单位医疗（项）:支出决算</w:t>
      </w:r>
      <w:r>
        <w:rPr>
          <w:rFonts w:hint="eastAsia" w:ascii="仿宋" w:hAnsi="仿宋" w:eastAsia="仿宋" w:cs="仿宋"/>
          <w:color w:val="000000"/>
          <w:sz w:val="32"/>
          <w:szCs w:val="32"/>
          <w:lang w:val="en-US" w:eastAsia="zh-CN"/>
        </w:rPr>
        <w:t>10.41</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22.卫生健康支出（类）行政事业单位医疗（款）事业单位医疗（项）:支出决算</w:t>
      </w:r>
      <w:r>
        <w:rPr>
          <w:rFonts w:hint="eastAsia" w:ascii="仿宋" w:hAnsi="仿宋" w:eastAsia="仿宋" w:cs="仿宋"/>
          <w:color w:val="000000"/>
          <w:sz w:val="32"/>
          <w:szCs w:val="32"/>
          <w:lang w:val="en-US" w:eastAsia="zh-CN"/>
        </w:rPr>
        <w:t>30.90</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23.卫生健康支出（类）行政事业单位医疗（款）公务员医疗补助（项）:支出决算3.</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24.卫生健康支出（类）行政事业单位医疗（款）其他行政事业单位医疗支出（项）:支出决算6.</w:t>
      </w:r>
      <w:r>
        <w:rPr>
          <w:rFonts w:hint="eastAsia" w:ascii="仿宋" w:hAnsi="仿宋" w:eastAsia="仿宋" w:cs="仿宋"/>
          <w:color w:val="000000"/>
          <w:sz w:val="32"/>
          <w:szCs w:val="32"/>
          <w:lang w:val="en-US" w:eastAsia="zh-CN"/>
        </w:rPr>
        <w:t>25</w:t>
      </w:r>
      <w:r>
        <w:rPr>
          <w:rFonts w:hint="eastAsia" w:ascii="仿宋" w:hAnsi="仿宋" w:eastAsia="仿宋" w:cs="仿宋"/>
          <w:color w:val="000000"/>
          <w:sz w:val="32"/>
          <w:szCs w:val="32"/>
        </w:rPr>
        <w:t>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25.住房保障支出（类）住房改革支出（款）住房公积金（项）:支出决算</w:t>
      </w:r>
      <w:r>
        <w:rPr>
          <w:rFonts w:hint="eastAsia" w:ascii="仿宋" w:hAnsi="仿宋" w:eastAsia="仿宋" w:cs="仿宋"/>
          <w:color w:val="000000"/>
          <w:sz w:val="32"/>
          <w:szCs w:val="32"/>
          <w:lang w:val="en-US" w:eastAsia="zh-CN"/>
        </w:rPr>
        <w:t>56.81</w:t>
      </w:r>
      <w:r>
        <w:rPr>
          <w:rFonts w:hint="eastAsia" w:ascii="仿宋" w:hAnsi="仿宋" w:eastAsia="仿宋" w:cs="仿宋"/>
          <w:color w:val="000000"/>
          <w:sz w:val="32"/>
          <w:szCs w:val="32"/>
        </w:rPr>
        <w:t>万元，完成预算100%。</w:t>
      </w:r>
    </w:p>
    <w:p w14:paraId="0129D6EE">
      <w:pPr>
        <w:pStyle w:val="6"/>
        <w:ind w:firstLine="640" w:firstLineChars="200"/>
        <w:rPr>
          <w:rFonts w:hint="eastAsia" w:ascii="黑体" w:hAnsi="黑体" w:eastAsia="黑体" w:cs="黑体"/>
          <w:b w:val="0"/>
          <w:color w:val="000000"/>
        </w:rPr>
      </w:pPr>
      <w:bookmarkStart w:id="49" w:name="_Toc15377214"/>
      <w:bookmarkStart w:id="50" w:name="_Toc111208504"/>
      <w:bookmarkStart w:id="51" w:name="_Toc28099"/>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78A1CC5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一般公共预算财政拨款基本支出</w:t>
      </w:r>
      <w:r>
        <w:rPr>
          <w:rFonts w:hint="eastAsia" w:ascii="仿宋" w:hAnsi="仿宋" w:eastAsia="仿宋" w:cs="仿宋"/>
          <w:color w:val="000000"/>
          <w:sz w:val="32"/>
          <w:u w:color="auto"/>
          <w:lang w:val="en-US" w:eastAsia="zh-CN"/>
        </w:rPr>
        <w:t>1049.94</w:t>
      </w:r>
      <w:r>
        <w:rPr>
          <w:rFonts w:ascii="仿宋" w:hAnsi="仿宋" w:eastAsia="仿宋" w:cs="仿宋"/>
          <w:color w:val="000000"/>
          <w:sz w:val="32"/>
          <w:u w:color="auto"/>
        </w:rPr>
        <w:t>万元，其中：</w:t>
      </w:r>
    </w:p>
    <w:p w14:paraId="1F2AB06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人员经费</w:t>
      </w:r>
      <w:r>
        <w:rPr>
          <w:rFonts w:hint="eastAsia" w:ascii="仿宋" w:hAnsi="仿宋" w:eastAsia="仿宋" w:cs="仿宋"/>
          <w:color w:val="000000"/>
          <w:sz w:val="32"/>
          <w:u w:color="auto"/>
          <w:lang w:val="en-US" w:eastAsia="zh-CN"/>
        </w:rPr>
        <w:t>1006.14</w:t>
      </w:r>
      <w:r>
        <w:rPr>
          <w:rFonts w:ascii="仿宋" w:hAnsi="仿宋" w:eastAsia="仿宋" w:cs="仿宋"/>
          <w:color w:val="000000"/>
          <w:sz w:val="32"/>
          <w:u w:color="auto"/>
        </w:rPr>
        <w:t>万元，主要包括：基本工资</w:t>
      </w:r>
      <w:r>
        <w:rPr>
          <w:rFonts w:hint="eastAsia" w:ascii="仿宋" w:hAnsi="仿宋" w:eastAsia="仿宋" w:cs="仿宋"/>
          <w:color w:val="000000"/>
          <w:sz w:val="32"/>
          <w:u w:color="auto"/>
          <w:lang w:val="en-US" w:eastAsia="zh-CN"/>
        </w:rPr>
        <w:t>117.65</w:t>
      </w:r>
      <w:r>
        <w:rPr>
          <w:rFonts w:ascii="仿宋" w:hAnsi="仿宋" w:eastAsia="仿宋" w:cs="仿宋"/>
          <w:color w:val="000000"/>
          <w:sz w:val="32"/>
          <w:u w:color="auto"/>
        </w:rPr>
        <w:t>万元、津贴补贴</w:t>
      </w:r>
      <w:r>
        <w:rPr>
          <w:rFonts w:hint="eastAsia" w:ascii="仿宋" w:hAnsi="仿宋" w:eastAsia="仿宋" w:cs="仿宋"/>
          <w:color w:val="000000"/>
          <w:sz w:val="32"/>
          <w:u w:color="auto"/>
          <w:lang w:val="en-US" w:eastAsia="zh-CN"/>
        </w:rPr>
        <w:t>140.47</w:t>
      </w:r>
      <w:r>
        <w:rPr>
          <w:rFonts w:ascii="仿宋" w:hAnsi="仿宋" w:eastAsia="仿宋" w:cs="仿宋"/>
          <w:color w:val="000000"/>
          <w:sz w:val="32"/>
          <w:u w:color="auto"/>
        </w:rPr>
        <w:t>万元、奖金</w:t>
      </w:r>
      <w:r>
        <w:rPr>
          <w:rFonts w:hint="eastAsia" w:ascii="仿宋" w:hAnsi="仿宋" w:eastAsia="仿宋" w:cs="仿宋"/>
          <w:color w:val="000000"/>
          <w:sz w:val="32"/>
          <w:u w:color="auto"/>
          <w:lang w:val="en-US" w:eastAsia="zh-CN"/>
        </w:rPr>
        <w:t>117.62</w:t>
      </w:r>
      <w:r>
        <w:rPr>
          <w:rFonts w:ascii="仿宋" w:hAnsi="仿宋" w:eastAsia="仿宋" w:cs="仿宋"/>
          <w:color w:val="000000"/>
          <w:sz w:val="32"/>
          <w:u w:color="auto"/>
        </w:rPr>
        <w:t>万元、绩效工资</w:t>
      </w:r>
      <w:r>
        <w:rPr>
          <w:rFonts w:hint="eastAsia" w:ascii="仿宋" w:hAnsi="仿宋" w:eastAsia="仿宋" w:cs="仿宋"/>
          <w:color w:val="000000"/>
          <w:sz w:val="32"/>
          <w:u w:color="auto"/>
          <w:lang w:val="en-US" w:eastAsia="zh-CN"/>
        </w:rPr>
        <w:t>74.42</w:t>
      </w:r>
      <w:r>
        <w:rPr>
          <w:rFonts w:ascii="仿宋" w:hAnsi="仿宋" w:eastAsia="仿宋" w:cs="仿宋"/>
          <w:color w:val="000000"/>
          <w:sz w:val="32"/>
          <w:u w:color="auto"/>
        </w:rPr>
        <w:t>万元、机关事业单位基本养老保险缴费</w:t>
      </w:r>
      <w:r>
        <w:rPr>
          <w:rFonts w:hint="eastAsia" w:ascii="仿宋" w:hAnsi="仿宋" w:eastAsia="仿宋" w:cs="仿宋"/>
          <w:color w:val="000000"/>
          <w:sz w:val="32"/>
          <w:u w:color="auto"/>
          <w:lang w:val="en-US" w:eastAsia="zh-CN"/>
        </w:rPr>
        <w:t>68.81</w:t>
      </w:r>
      <w:r>
        <w:rPr>
          <w:rFonts w:ascii="仿宋" w:hAnsi="仿宋" w:eastAsia="仿宋" w:cs="仿宋"/>
          <w:color w:val="000000"/>
          <w:sz w:val="32"/>
          <w:u w:color="auto"/>
        </w:rPr>
        <w:t>万元、职业年金缴费</w:t>
      </w:r>
      <w:r>
        <w:rPr>
          <w:rFonts w:hint="eastAsia" w:ascii="仿宋" w:hAnsi="仿宋" w:eastAsia="仿宋" w:cs="仿宋"/>
          <w:color w:val="000000"/>
          <w:sz w:val="32"/>
          <w:u w:color="auto"/>
          <w:lang w:val="en-US" w:eastAsia="zh-CN"/>
        </w:rPr>
        <w:t>34.44</w:t>
      </w:r>
      <w:r>
        <w:rPr>
          <w:rFonts w:ascii="仿宋" w:hAnsi="仿宋" w:eastAsia="仿宋" w:cs="仿宋"/>
          <w:color w:val="000000"/>
          <w:sz w:val="32"/>
          <w:u w:color="auto"/>
        </w:rPr>
        <w:t>万元、职工基本医疗保险缴费</w:t>
      </w:r>
      <w:r>
        <w:rPr>
          <w:rFonts w:hint="eastAsia" w:ascii="仿宋" w:hAnsi="仿宋" w:eastAsia="仿宋" w:cs="仿宋"/>
          <w:color w:val="000000"/>
          <w:sz w:val="32"/>
          <w:u w:color="auto"/>
          <w:lang w:val="en-US" w:eastAsia="zh-CN"/>
        </w:rPr>
        <w:t>41.31</w:t>
      </w:r>
      <w:r>
        <w:rPr>
          <w:rFonts w:ascii="仿宋" w:hAnsi="仿宋" w:eastAsia="仿宋" w:cs="仿宋"/>
          <w:color w:val="000000"/>
          <w:sz w:val="32"/>
          <w:u w:color="auto"/>
        </w:rPr>
        <w:t>万元、公务员医疗补助缴费</w:t>
      </w:r>
      <w:r>
        <w:rPr>
          <w:rFonts w:hint="eastAsia" w:ascii="仿宋" w:hAnsi="仿宋" w:eastAsia="仿宋" w:cs="仿宋"/>
          <w:color w:val="000000"/>
          <w:sz w:val="32"/>
          <w:u w:color="auto"/>
          <w:lang w:val="en-US" w:eastAsia="zh-CN"/>
        </w:rPr>
        <w:t>9.45</w:t>
      </w:r>
      <w:r>
        <w:rPr>
          <w:rFonts w:ascii="仿宋" w:hAnsi="仿宋" w:eastAsia="仿宋" w:cs="仿宋"/>
          <w:color w:val="000000"/>
          <w:sz w:val="32"/>
          <w:u w:color="auto"/>
        </w:rPr>
        <w:t>万元、其他社会保障缴费</w:t>
      </w:r>
      <w:r>
        <w:rPr>
          <w:rFonts w:hint="eastAsia" w:ascii="仿宋" w:hAnsi="仿宋" w:eastAsia="仿宋" w:cs="仿宋"/>
          <w:color w:val="000000"/>
          <w:sz w:val="32"/>
          <w:u w:color="auto"/>
          <w:lang w:val="en-US" w:eastAsia="zh-CN"/>
        </w:rPr>
        <w:t>8.40</w:t>
      </w:r>
      <w:r>
        <w:rPr>
          <w:rFonts w:ascii="仿宋" w:hAnsi="仿宋" w:eastAsia="仿宋" w:cs="仿宋"/>
          <w:color w:val="000000"/>
          <w:sz w:val="32"/>
          <w:u w:color="auto"/>
        </w:rPr>
        <w:t>万元、住房公积金</w:t>
      </w:r>
      <w:r>
        <w:rPr>
          <w:rFonts w:hint="eastAsia" w:ascii="仿宋" w:hAnsi="仿宋" w:eastAsia="仿宋" w:cs="仿宋"/>
          <w:color w:val="000000"/>
          <w:sz w:val="32"/>
          <w:u w:color="auto"/>
          <w:lang w:val="en-US" w:eastAsia="zh-CN"/>
        </w:rPr>
        <w:t>56.81</w:t>
      </w:r>
      <w:r>
        <w:rPr>
          <w:rFonts w:ascii="仿宋" w:hAnsi="仿宋" w:eastAsia="仿宋" w:cs="仿宋"/>
          <w:color w:val="000000"/>
          <w:sz w:val="32"/>
          <w:u w:color="auto"/>
        </w:rPr>
        <w:t>万元、医疗费</w:t>
      </w:r>
      <w:r>
        <w:rPr>
          <w:rFonts w:hint="eastAsia" w:ascii="仿宋" w:hAnsi="仿宋" w:eastAsia="仿宋" w:cs="仿宋"/>
          <w:color w:val="000000"/>
          <w:sz w:val="32"/>
          <w:u w:color="auto"/>
          <w:lang w:val="en-US" w:eastAsia="zh-CN"/>
        </w:rPr>
        <w:t>1.42</w:t>
      </w:r>
      <w:r>
        <w:rPr>
          <w:rFonts w:ascii="仿宋" w:hAnsi="仿宋" w:eastAsia="仿宋" w:cs="仿宋"/>
          <w:color w:val="000000"/>
          <w:sz w:val="32"/>
          <w:u w:color="auto"/>
        </w:rPr>
        <w:t>万元、其他工资福利支出</w:t>
      </w:r>
      <w:r>
        <w:rPr>
          <w:rFonts w:hint="eastAsia" w:ascii="仿宋" w:hAnsi="仿宋" w:eastAsia="仿宋" w:cs="仿宋"/>
          <w:color w:val="000000"/>
          <w:sz w:val="32"/>
          <w:u w:color="auto"/>
          <w:lang w:val="en-US" w:eastAsia="zh-CN"/>
        </w:rPr>
        <w:t>266.27</w:t>
      </w:r>
      <w:r>
        <w:rPr>
          <w:rFonts w:ascii="仿宋" w:hAnsi="仿宋" w:eastAsia="仿宋" w:cs="仿宋"/>
          <w:color w:val="000000"/>
          <w:sz w:val="32"/>
          <w:u w:color="auto"/>
        </w:rPr>
        <w:t>万元、生活补助</w:t>
      </w:r>
      <w:r>
        <w:rPr>
          <w:rFonts w:hint="eastAsia" w:ascii="仿宋" w:hAnsi="仿宋" w:eastAsia="仿宋" w:cs="仿宋"/>
          <w:color w:val="000000"/>
          <w:sz w:val="32"/>
          <w:u w:color="auto"/>
          <w:lang w:val="en-US" w:eastAsia="zh-CN"/>
        </w:rPr>
        <w:t>10.48</w:t>
      </w:r>
      <w:r>
        <w:rPr>
          <w:rFonts w:ascii="仿宋" w:hAnsi="仿宋" w:eastAsia="仿宋" w:cs="仿宋"/>
          <w:color w:val="000000"/>
          <w:sz w:val="32"/>
          <w:u w:color="auto"/>
        </w:rPr>
        <w:t>万元。</w:t>
      </w:r>
    </w:p>
    <w:p w14:paraId="1DFCC5B1">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公用经费</w:t>
      </w:r>
      <w:r>
        <w:rPr>
          <w:rFonts w:hint="eastAsia" w:ascii="仿宋" w:hAnsi="仿宋" w:eastAsia="仿宋" w:cs="仿宋"/>
          <w:color w:val="000000"/>
          <w:sz w:val="32"/>
          <w:u w:color="auto"/>
          <w:lang w:val="en-US" w:eastAsia="zh-CN"/>
        </w:rPr>
        <w:t>43.80</w:t>
      </w:r>
      <w:r>
        <w:rPr>
          <w:rFonts w:ascii="仿宋" w:hAnsi="仿宋" w:eastAsia="仿宋" w:cs="仿宋"/>
          <w:color w:val="000000"/>
          <w:sz w:val="32"/>
          <w:u w:color="auto"/>
        </w:rPr>
        <w:t>万元，主要包括：办公费</w:t>
      </w:r>
      <w:r>
        <w:rPr>
          <w:rFonts w:hint="eastAsia" w:ascii="仿宋" w:hAnsi="仿宋" w:eastAsia="仿宋" w:cs="仿宋"/>
          <w:color w:val="000000"/>
          <w:sz w:val="32"/>
          <w:u w:color="auto"/>
          <w:lang w:val="en-US" w:eastAsia="zh-CN"/>
        </w:rPr>
        <w:t>7.78</w:t>
      </w:r>
      <w:r>
        <w:rPr>
          <w:rFonts w:ascii="仿宋" w:hAnsi="仿宋" w:eastAsia="仿宋" w:cs="仿宋"/>
          <w:color w:val="000000"/>
          <w:sz w:val="32"/>
          <w:u w:color="auto"/>
        </w:rPr>
        <w:t>万元、印刷费</w:t>
      </w:r>
      <w:r>
        <w:rPr>
          <w:rFonts w:hint="eastAsia" w:ascii="仿宋" w:hAnsi="仿宋" w:eastAsia="仿宋" w:cs="仿宋"/>
          <w:color w:val="000000"/>
          <w:sz w:val="32"/>
          <w:u w:color="auto"/>
          <w:lang w:val="en-US" w:eastAsia="zh-CN"/>
        </w:rPr>
        <w:t>0.60</w:t>
      </w:r>
      <w:r>
        <w:rPr>
          <w:rFonts w:ascii="仿宋" w:hAnsi="仿宋" w:eastAsia="仿宋" w:cs="仿宋"/>
          <w:color w:val="000000"/>
          <w:sz w:val="32"/>
          <w:u w:color="auto"/>
        </w:rPr>
        <w:t>万元、水费0.8</w:t>
      </w:r>
      <w:r>
        <w:rPr>
          <w:rFonts w:hint="eastAsia" w:ascii="仿宋" w:hAnsi="仿宋" w:eastAsia="仿宋" w:cs="仿宋"/>
          <w:color w:val="000000"/>
          <w:sz w:val="32"/>
          <w:u w:color="auto"/>
          <w:lang w:val="en-US" w:eastAsia="zh-CN"/>
        </w:rPr>
        <w:t>4</w:t>
      </w:r>
      <w:r>
        <w:rPr>
          <w:rFonts w:ascii="仿宋" w:hAnsi="仿宋" w:eastAsia="仿宋" w:cs="仿宋"/>
          <w:color w:val="000000"/>
          <w:sz w:val="32"/>
          <w:u w:color="auto"/>
        </w:rPr>
        <w:t>万元、</w:t>
      </w:r>
      <w:r>
        <w:rPr>
          <w:rFonts w:hint="eastAsia" w:ascii="仿宋" w:hAnsi="仿宋" w:eastAsia="仿宋" w:cs="仿宋"/>
          <w:color w:val="000000"/>
          <w:sz w:val="32"/>
          <w:u w:color="auto"/>
          <w:lang w:eastAsia="zh-CN"/>
        </w:rPr>
        <w:t>电费</w:t>
      </w:r>
      <w:r>
        <w:rPr>
          <w:rFonts w:hint="eastAsia" w:ascii="仿宋" w:hAnsi="仿宋" w:eastAsia="仿宋" w:cs="仿宋"/>
          <w:color w:val="000000"/>
          <w:sz w:val="32"/>
          <w:u w:color="auto"/>
          <w:lang w:val="en-US" w:eastAsia="zh-CN"/>
        </w:rPr>
        <w:t>1.398万元、</w:t>
      </w:r>
      <w:r>
        <w:rPr>
          <w:rFonts w:ascii="仿宋" w:hAnsi="仿宋" w:eastAsia="仿宋" w:cs="仿宋"/>
          <w:color w:val="000000"/>
          <w:sz w:val="32"/>
          <w:u w:color="auto"/>
        </w:rPr>
        <w:t>邮电费</w:t>
      </w:r>
      <w:r>
        <w:rPr>
          <w:rFonts w:hint="eastAsia" w:ascii="仿宋" w:hAnsi="仿宋" w:eastAsia="仿宋" w:cs="仿宋"/>
          <w:color w:val="000000"/>
          <w:sz w:val="32"/>
          <w:u w:color="auto"/>
          <w:lang w:val="en-US" w:eastAsia="zh-CN"/>
        </w:rPr>
        <w:t>3.86</w:t>
      </w:r>
      <w:r>
        <w:rPr>
          <w:rFonts w:ascii="仿宋" w:hAnsi="仿宋" w:eastAsia="仿宋" w:cs="仿宋"/>
          <w:color w:val="000000"/>
          <w:sz w:val="32"/>
          <w:u w:color="auto"/>
        </w:rPr>
        <w:t>万元、差旅费11.</w:t>
      </w:r>
      <w:r>
        <w:rPr>
          <w:rFonts w:hint="eastAsia" w:ascii="仿宋" w:hAnsi="仿宋" w:eastAsia="仿宋" w:cs="仿宋"/>
          <w:color w:val="000000"/>
          <w:sz w:val="32"/>
          <w:u w:color="auto"/>
          <w:lang w:val="en-US" w:eastAsia="zh-CN"/>
        </w:rPr>
        <w:t>09</w:t>
      </w:r>
      <w:r>
        <w:rPr>
          <w:rFonts w:ascii="仿宋" w:hAnsi="仿宋" w:eastAsia="仿宋" w:cs="仿宋"/>
          <w:color w:val="000000"/>
          <w:sz w:val="32"/>
          <w:u w:color="auto"/>
        </w:rPr>
        <w:t>万元、培训费</w:t>
      </w:r>
      <w:r>
        <w:rPr>
          <w:rFonts w:hint="eastAsia" w:ascii="仿宋" w:hAnsi="仿宋" w:eastAsia="仿宋" w:cs="仿宋"/>
          <w:color w:val="000000"/>
          <w:sz w:val="32"/>
          <w:u w:color="auto"/>
          <w:lang w:val="en-US" w:eastAsia="zh-CN"/>
        </w:rPr>
        <w:t>2.04</w:t>
      </w:r>
      <w:r>
        <w:rPr>
          <w:rFonts w:ascii="仿宋" w:hAnsi="仿宋" w:eastAsia="仿宋" w:cs="仿宋"/>
          <w:color w:val="000000"/>
          <w:sz w:val="32"/>
          <w:u w:color="auto"/>
        </w:rPr>
        <w:t>万元、公务接待费</w:t>
      </w:r>
      <w:r>
        <w:rPr>
          <w:rFonts w:hint="eastAsia" w:ascii="仿宋" w:hAnsi="仿宋" w:eastAsia="仿宋" w:cs="仿宋"/>
          <w:color w:val="000000"/>
          <w:sz w:val="32"/>
          <w:u w:color="auto"/>
          <w:lang w:val="en-US" w:eastAsia="zh-CN"/>
        </w:rPr>
        <w:t>0.15</w:t>
      </w:r>
      <w:r>
        <w:rPr>
          <w:rFonts w:ascii="仿宋" w:hAnsi="仿宋" w:eastAsia="仿宋" w:cs="仿宋"/>
          <w:color w:val="000000"/>
          <w:sz w:val="32"/>
          <w:u w:color="auto"/>
        </w:rPr>
        <w:t>万元、劳务费</w:t>
      </w:r>
      <w:r>
        <w:rPr>
          <w:rFonts w:hint="eastAsia" w:ascii="仿宋" w:hAnsi="仿宋" w:eastAsia="仿宋" w:cs="仿宋"/>
          <w:color w:val="000000"/>
          <w:sz w:val="32"/>
          <w:u w:color="auto"/>
          <w:lang w:val="en-US" w:eastAsia="zh-CN"/>
        </w:rPr>
        <w:t>2.70</w:t>
      </w:r>
      <w:r>
        <w:rPr>
          <w:rFonts w:ascii="仿宋" w:hAnsi="仿宋" w:eastAsia="仿宋" w:cs="仿宋"/>
          <w:color w:val="000000"/>
          <w:sz w:val="32"/>
          <w:u w:color="auto"/>
        </w:rPr>
        <w:t>万元、</w:t>
      </w:r>
      <w:r>
        <w:rPr>
          <w:rFonts w:hint="eastAsia" w:ascii="仿宋" w:hAnsi="仿宋" w:eastAsia="仿宋" w:cs="仿宋"/>
          <w:color w:val="000000"/>
          <w:sz w:val="32"/>
          <w:u w:color="auto"/>
          <w:lang w:eastAsia="zh-CN"/>
        </w:rPr>
        <w:t>委托业务费</w:t>
      </w:r>
      <w:r>
        <w:rPr>
          <w:rFonts w:hint="eastAsia" w:ascii="仿宋" w:hAnsi="仿宋" w:eastAsia="仿宋" w:cs="仿宋"/>
          <w:color w:val="000000"/>
          <w:sz w:val="32"/>
          <w:u w:color="auto"/>
          <w:lang w:val="en-US" w:eastAsia="zh-CN"/>
        </w:rPr>
        <w:t>0.74万元、</w:t>
      </w:r>
      <w:r>
        <w:rPr>
          <w:rFonts w:ascii="仿宋" w:hAnsi="仿宋" w:eastAsia="仿宋" w:cs="仿宋"/>
          <w:color w:val="000000"/>
          <w:sz w:val="32"/>
          <w:u w:color="auto"/>
        </w:rPr>
        <w:t>工会经费</w:t>
      </w:r>
      <w:r>
        <w:rPr>
          <w:rFonts w:hint="eastAsia" w:ascii="仿宋" w:hAnsi="仿宋" w:eastAsia="仿宋" w:cs="仿宋"/>
          <w:color w:val="000000"/>
          <w:sz w:val="32"/>
          <w:u w:color="auto"/>
          <w:lang w:val="en-US" w:eastAsia="zh-CN"/>
        </w:rPr>
        <w:t>5.02</w:t>
      </w:r>
      <w:r>
        <w:rPr>
          <w:rFonts w:ascii="仿宋" w:hAnsi="仿宋" w:eastAsia="仿宋" w:cs="仿宋"/>
          <w:color w:val="000000"/>
          <w:sz w:val="32"/>
          <w:u w:color="auto"/>
        </w:rPr>
        <w:t>万元、福利费</w:t>
      </w:r>
      <w:r>
        <w:rPr>
          <w:rFonts w:hint="eastAsia" w:ascii="仿宋" w:hAnsi="仿宋" w:eastAsia="仿宋" w:cs="仿宋"/>
          <w:color w:val="000000"/>
          <w:sz w:val="32"/>
          <w:u w:color="auto"/>
          <w:lang w:val="en-US" w:eastAsia="zh-CN"/>
        </w:rPr>
        <w:t>0.00</w:t>
      </w:r>
      <w:r>
        <w:rPr>
          <w:rFonts w:ascii="仿宋" w:hAnsi="仿宋" w:eastAsia="仿宋" w:cs="仿宋"/>
          <w:color w:val="000000"/>
          <w:sz w:val="32"/>
          <w:u w:color="auto"/>
        </w:rPr>
        <w:t>万元、公务用车运行维护费</w:t>
      </w:r>
      <w:r>
        <w:rPr>
          <w:rFonts w:hint="eastAsia" w:ascii="仿宋" w:hAnsi="仿宋" w:eastAsia="仿宋" w:cs="仿宋"/>
          <w:color w:val="000000"/>
          <w:sz w:val="32"/>
          <w:u w:color="auto"/>
          <w:lang w:val="en-US" w:eastAsia="zh-CN"/>
        </w:rPr>
        <w:t>7.6</w:t>
      </w:r>
      <w:r>
        <w:rPr>
          <w:rFonts w:ascii="仿宋" w:hAnsi="仿宋" w:eastAsia="仿宋" w:cs="仿宋"/>
          <w:color w:val="000000"/>
          <w:sz w:val="32"/>
          <w:u w:color="auto"/>
        </w:rPr>
        <w:t>万元。</w:t>
      </w:r>
    </w:p>
    <w:p w14:paraId="251CB8E7">
      <w:pPr>
        <w:pStyle w:val="6"/>
        <w:ind w:firstLine="640" w:firstLineChars="200"/>
        <w:rPr>
          <w:rFonts w:hint="eastAsia" w:ascii="黑体" w:hAnsi="黑体" w:eastAsia="黑体" w:cs="黑体"/>
          <w:b w:val="0"/>
          <w:bCs/>
          <w:color w:val="000000"/>
        </w:rPr>
      </w:pPr>
      <w:bookmarkStart w:id="52" w:name="_Toc5150"/>
      <w:bookmarkStart w:id="53" w:name="_Toc111208505"/>
      <w:bookmarkStart w:id="54" w:name="_Toc15377215"/>
      <w:r>
        <w:rPr>
          <w:rFonts w:hint="eastAsia" w:ascii="黑体" w:hAnsi="黑体" w:eastAsia="黑体" w:cs="黑体"/>
          <w:b w:val="0"/>
          <w:bCs/>
          <w:color w:val="000000"/>
        </w:rPr>
        <w:t>七、“三公”经费财政拨款支出决算情况说明</w:t>
      </w:r>
      <w:bookmarkEnd w:id="52"/>
      <w:bookmarkEnd w:id="53"/>
      <w:bookmarkEnd w:id="54"/>
    </w:p>
    <w:p w14:paraId="05C5163E">
      <w:pPr>
        <w:spacing w:line="600" w:lineRule="exact"/>
        <w:ind w:firstLine="643" w:firstLineChars="200"/>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153BC89E">
      <w:pPr>
        <w:spacing w:line="600" w:lineRule="exact"/>
        <w:ind w:firstLine="640"/>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“三公”经费财政拨款支出决算为</w:t>
      </w:r>
      <w:r>
        <w:rPr>
          <w:rFonts w:hint="eastAsia" w:ascii="仿宋" w:hAnsi="仿宋" w:eastAsia="仿宋" w:cs="仿宋"/>
          <w:color w:val="000000"/>
          <w:sz w:val="32"/>
          <w:u w:color="auto"/>
          <w:lang w:val="en-US" w:eastAsia="zh-CN"/>
        </w:rPr>
        <w:t>7.75</w:t>
      </w:r>
      <w:r>
        <w:rPr>
          <w:rFonts w:ascii="仿宋" w:hAnsi="仿宋" w:eastAsia="仿宋" w:cs="仿宋"/>
          <w:color w:val="000000"/>
          <w:sz w:val="32"/>
          <w:u w:color="auto"/>
        </w:rPr>
        <w:t>万元，完成预算100.00%，较上年度增加</w:t>
      </w:r>
      <w:r>
        <w:rPr>
          <w:rFonts w:hint="eastAsia" w:ascii="仿宋" w:hAnsi="仿宋" w:eastAsia="仿宋" w:cs="仿宋"/>
          <w:color w:val="000000"/>
          <w:sz w:val="32"/>
          <w:u w:color="auto"/>
          <w:lang w:val="en-US" w:eastAsia="zh-CN"/>
        </w:rPr>
        <w:t>2.7</w:t>
      </w:r>
      <w:r>
        <w:rPr>
          <w:rFonts w:ascii="仿宋" w:hAnsi="仿宋" w:eastAsia="仿宋" w:cs="仿宋"/>
          <w:color w:val="000000"/>
          <w:sz w:val="32"/>
          <w:u w:color="auto"/>
        </w:rPr>
        <w:t>万元，增加</w:t>
      </w:r>
      <w:r>
        <w:rPr>
          <w:rFonts w:hint="eastAsia" w:ascii="仿宋" w:hAnsi="仿宋" w:eastAsia="仿宋" w:cs="仿宋"/>
          <w:color w:val="000000"/>
          <w:sz w:val="32"/>
          <w:u w:color="auto"/>
          <w:lang w:val="en-US" w:eastAsia="zh-CN"/>
        </w:rPr>
        <w:t>34.84</w:t>
      </w:r>
      <w:r>
        <w:rPr>
          <w:rFonts w:ascii="仿宋" w:hAnsi="仿宋" w:eastAsia="仿宋" w:cs="仿宋"/>
          <w:color w:val="000000"/>
          <w:sz w:val="32"/>
          <w:u w:color="auto"/>
        </w:rPr>
        <w:t>%。决算数小于预算数（或与预算数持平）的主要原因是</w:t>
      </w:r>
      <w:r>
        <w:rPr>
          <w:rFonts w:hint="eastAsia" w:ascii="仿宋" w:hAnsi="仿宋" w:eastAsia="仿宋" w:cs="仿宋"/>
          <w:color w:val="000000"/>
          <w:sz w:val="32"/>
          <w:u w:color="auto"/>
          <w:lang w:val="en-US" w:eastAsia="zh-CN"/>
        </w:rPr>
        <w:t>2023年的</w:t>
      </w:r>
      <w:r>
        <w:rPr>
          <w:rFonts w:hint="eastAsia" w:ascii="仿宋" w:hAnsi="仿宋" w:eastAsia="仿宋" w:cs="仿宋"/>
          <w:color w:val="000000"/>
          <w:sz w:val="32"/>
          <w:u w:color="auto"/>
          <w:lang w:eastAsia="zh-CN"/>
        </w:rPr>
        <w:t>公车维修</w:t>
      </w:r>
      <w:r>
        <w:rPr>
          <w:rFonts w:hint="eastAsia" w:ascii="仿宋" w:hAnsi="仿宋" w:eastAsia="仿宋" w:cs="仿宋"/>
          <w:color w:val="000000"/>
          <w:sz w:val="32"/>
          <w:u w:color="auto"/>
          <w:lang w:val="en-US" w:eastAsia="zh-CN"/>
        </w:rPr>
        <w:t>未结账，在2024年结账，维修</w:t>
      </w:r>
      <w:r>
        <w:rPr>
          <w:rFonts w:hint="eastAsia" w:ascii="仿宋" w:hAnsi="仿宋" w:eastAsia="仿宋" w:cs="仿宋"/>
          <w:color w:val="000000"/>
          <w:sz w:val="32"/>
          <w:u w:color="auto"/>
          <w:lang w:eastAsia="zh-CN"/>
        </w:rPr>
        <w:t>事务增加，故此导致公务用车运行维护费支出增加</w:t>
      </w:r>
      <w:r>
        <w:rPr>
          <w:rFonts w:ascii="仿宋" w:hAnsi="仿宋" w:eastAsia="仿宋" w:cs="仿宋"/>
          <w:color w:val="000000"/>
          <w:sz w:val="32"/>
          <w:u w:color="auto"/>
        </w:rPr>
        <w:t>。</w:t>
      </w:r>
      <w:bookmarkStart w:id="56" w:name="_Toc15377217"/>
      <w:r>
        <w:rPr>
          <w:rFonts w:hint="eastAsia" w:ascii="仿宋" w:hAnsi="仿宋" w:eastAsia="仿宋" w:cs="仿宋"/>
          <w:color w:val="000000"/>
          <w:sz w:val="32"/>
          <w:u w:color="auto"/>
          <w:lang w:val="en-US" w:eastAsia="zh-CN"/>
        </w:rPr>
        <w:t xml:space="preserve"> </w:t>
      </w:r>
      <w:r>
        <w:rPr>
          <w:rFonts w:hint="eastAsia" w:ascii="仿宋" w:hAnsi="仿宋" w:eastAsia="仿宋" w:cs="仿宋"/>
          <w:color w:val="000000"/>
          <w:sz w:val="32"/>
          <w:u w:color="auto"/>
          <w:lang w:val="en-US" w:eastAsia="zh-CN"/>
        </w:rPr>
        <w:tab/>
      </w:r>
    </w:p>
    <w:p w14:paraId="6E0D8507">
      <w:pPr>
        <w:spacing w:line="600" w:lineRule="exact"/>
        <w:ind w:firstLine="640"/>
        <w:rPr>
          <w:rFonts w:hint="eastAsia"/>
        </w:rPr>
      </w:pPr>
      <w:r>
        <w:rPr>
          <w:rFonts w:hint="eastAsia" w:ascii="仿宋" w:hAnsi="仿宋" w:eastAsia="仿宋"/>
          <w:b/>
          <w:color w:val="auto"/>
          <w:sz w:val="32"/>
          <w:szCs w:val="32"/>
          <w:highlight w:val="none"/>
        </w:rPr>
        <w:t>（注：上述“预算”口径为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数，包括</w:t>
      </w:r>
      <w:r>
        <w:rPr>
          <w:rFonts w:hint="eastAsia" w:ascii="仿宋" w:hAnsi="仿宋" w:eastAsia="仿宋"/>
          <w:b/>
          <w:color w:val="auto"/>
          <w:sz w:val="32"/>
          <w:szCs w:val="32"/>
          <w:highlight w:val="none"/>
          <w:lang w:eastAsia="zh-CN"/>
        </w:rPr>
        <w:t>一般公共预算和</w:t>
      </w:r>
      <w:r>
        <w:rPr>
          <w:rFonts w:hint="eastAsia" w:ascii="仿宋" w:hAnsi="仿宋" w:eastAsia="仿宋"/>
          <w:b/>
          <w:color w:val="auto"/>
          <w:sz w:val="32"/>
          <w:szCs w:val="32"/>
          <w:highlight w:val="none"/>
        </w:rPr>
        <w:t>政府性基金</w:t>
      </w:r>
      <w:r>
        <w:rPr>
          <w:rFonts w:hint="eastAsia" w:ascii="仿宋" w:hAnsi="仿宋" w:eastAsia="仿宋"/>
          <w:b/>
          <w:color w:val="auto"/>
          <w:sz w:val="32"/>
          <w:szCs w:val="32"/>
          <w:highlight w:val="none"/>
          <w:lang w:eastAsia="zh-CN"/>
        </w:rPr>
        <w:t>预算财政拨款</w:t>
      </w:r>
      <w:r>
        <w:rPr>
          <w:rFonts w:hint="eastAsia" w:ascii="仿宋" w:hAnsi="仿宋" w:eastAsia="仿宋"/>
          <w:b/>
          <w:color w:val="auto"/>
          <w:sz w:val="32"/>
          <w:szCs w:val="32"/>
          <w:highlight w:val="none"/>
        </w:rPr>
        <w:t>支出决算情况。）</w:t>
      </w:r>
    </w:p>
    <w:p w14:paraId="0A8035E9">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0FB60EF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“三公”经费财政拨款支出</w:t>
      </w:r>
      <w:r>
        <w:rPr>
          <w:rFonts w:hint="eastAsia" w:ascii="仿宋" w:hAnsi="仿宋" w:eastAsia="仿宋" w:cs="仿宋"/>
          <w:color w:val="000000"/>
          <w:sz w:val="32"/>
          <w:u w:color="auto"/>
          <w:lang w:val="en-US" w:eastAsia="zh-CN"/>
        </w:rPr>
        <w:t>7.75</w:t>
      </w:r>
      <w:r>
        <w:rPr>
          <w:rFonts w:ascii="仿宋" w:hAnsi="仿宋" w:eastAsia="仿宋" w:cs="仿宋"/>
          <w:color w:val="000000"/>
          <w:sz w:val="32"/>
          <w:u w:color="auto"/>
        </w:rPr>
        <w:t>万元，因公出国（境）费支出决算0.00万元，占0.00%；公务用车购置及运行维护费支出决算</w:t>
      </w:r>
      <w:r>
        <w:rPr>
          <w:rFonts w:hint="eastAsia" w:ascii="仿宋" w:hAnsi="仿宋" w:eastAsia="仿宋" w:cs="仿宋"/>
          <w:color w:val="000000"/>
          <w:sz w:val="32"/>
          <w:u w:color="auto"/>
          <w:lang w:val="en-US" w:eastAsia="zh-CN"/>
        </w:rPr>
        <w:t>7.60</w:t>
      </w:r>
      <w:r>
        <w:rPr>
          <w:rFonts w:ascii="仿宋" w:hAnsi="仿宋" w:eastAsia="仿宋" w:cs="仿宋"/>
          <w:color w:val="000000"/>
          <w:sz w:val="32"/>
          <w:u w:color="auto"/>
        </w:rPr>
        <w:t>万元，占</w:t>
      </w:r>
      <w:r>
        <w:rPr>
          <w:rFonts w:hint="eastAsia" w:ascii="仿宋" w:hAnsi="仿宋" w:eastAsia="仿宋" w:cs="仿宋"/>
          <w:color w:val="000000"/>
          <w:sz w:val="32"/>
          <w:u w:color="auto"/>
          <w:lang w:val="en-US" w:eastAsia="zh-CN"/>
        </w:rPr>
        <w:t>98.06</w:t>
      </w:r>
      <w:r>
        <w:rPr>
          <w:rFonts w:ascii="仿宋" w:hAnsi="仿宋" w:eastAsia="仿宋" w:cs="仿宋"/>
          <w:color w:val="000000"/>
          <w:sz w:val="32"/>
          <w:u w:color="auto"/>
        </w:rPr>
        <w:t>%；公务接待费支出决算</w:t>
      </w:r>
      <w:r>
        <w:rPr>
          <w:rFonts w:hint="eastAsia" w:ascii="仿宋" w:hAnsi="仿宋" w:eastAsia="仿宋" w:cs="仿宋"/>
          <w:color w:val="000000"/>
          <w:sz w:val="32"/>
          <w:u w:color="auto"/>
          <w:lang w:val="en-US" w:eastAsia="zh-CN"/>
        </w:rPr>
        <w:t>0.15</w:t>
      </w:r>
      <w:r>
        <w:rPr>
          <w:rFonts w:ascii="仿宋" w:hAnsi="仿宋" w:eastAsia="仿宋" w:cs="仿宋"/>
          <w:color w:val="000000"/>
          <w:sz w:val="32"/>
          <w:u w:color="auto"/>
        </w:rPr>
        <w:t>万元，占</w:t>
      </w:r>
      <w:r>
        <w:rPr>
          <w:rFonts w:hint="eastAsia" w:ascii="仿宋" w:hAnsi="仿宋" w:eastAsia="仿宋" w:cs="仿宋"/>
          <w:color w:val="000000"/>
          <w:sz w:val="32"/>
          <w:u w:color="auto"/>
          <w:lang w:val="en-US" w:eastAsia="zh-CN"/>
        </w:rPr>
        <w:t>1.94</w:t>
      </w:r>
      <w:r>
        <w:rPr>
          <w:rFonts w:ascii="仿宋" w:hAnsi="仿宋" w:eastAsia="仿宋" w:cs="仿宋"/>
          <w:color w:val="000000"/>
          <w:sz w:val="32"/>
          <w:u w:color="auto"/>
        </w:rPr>
        <w:t>%。具体情况如下：</w:t>
      </w:r>
    </w:p>
    <w:p w14:paraId="65F6030B">
      <w:pPr>
        <w:pStyle w:val="8"/>
        <w:rPr>
          <w:rFonts w:hint="eastAsia" w:ascii="思源黑体 CN Normal" w:hAnsi="思源黑体 CN Normal" w:eastAsia="思源黑体 CN Normal" w:cs="思源黑体 CN Normal"/>
        </w:rPr>
      </w:pPr>
      <w:r>
        <w:drawing>
          <wp:inline distT="0" distB="0" distL="114300" distR="114300">
            <wp:extent cx="4572000" cy="2743200"/>
            <wp:effectExtent l="4445" t="4445" r="14605" b="1460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04F370">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14:paraId="275C1952">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1.因公出国（境）经费支出</w:t>
      </w:r>
      <w:r>
        <w:rPr>
          <w:rFonts w:hint="eastAsia" w:ascii="仿宋" w:hAnsi="仿宋" w:eastAsia="仿宋" w:cs="仿宋"/>
          <w:color w:val="000000"/>
          <w:sz w:val="32"/>
          <w:szCs w:val="32"/>
        </w:rPr>
        <w:t>0.00</w:t>
      </w:r>
      <w:r>
        <w:rPr>
          <w:rFonts w:ascii="仿宋" w:hAnsi="仿宋" w:eastAsia="仿宋" w:cs="仿宋"/>
          <w:color w:val="000000"/>
          <w:sz w:val="32"/>
          <w:u w:color="auto"/>
        </w:rPr>
        <w:t>万元,完成预算100%。全年安排因公出国（境）团组0次，出国（境）0人。因公出国（境）支出决算比202</w:t>
      </w:r>
      <w:r>
        <w:rPr>
          <w:rFonts w:hint="eastAsia" w:ascii="仿宋" w:hAnsi="仿宋" w:eastAsia="仿宋" w:cs="仿宋"/>
          <w:color w:val="000000"/>
          <w:sz w:val="32"/>
          <w:u w:color="auto"/>
          <w:lang w:val="en-US" w:eastAsia="zh-CN"/>
        </w:rPr>
        <w:t>3</w:t>
      </w:r>
      <w:r>
        <w:rPr>
          <w:rFonts w:ascii="仿宋" w:hAnsi="仿宋" w:eastAsia="仿宋" w:cs="仿宋"/>
          <w:color w:val="000000"/>
          <w:sz w:val="32"/>
          <w:u w:color="auto"/>
        </w:rPr>
        <w:t xml:space="preserve">年增加0.00万元，增加0.00 %。 </w:t>
      </w:r>
    </w:p>
    <w:p w14:paraId="3B32F42E">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2.公务用车购置及运行维护费支出</w:t>
      </w:r>
      <w:r>
        <w:rPr>
          <w:rFonts w:hint="eastAsia" w:ascii="仿宋" w:hAnsi="仿宋" w:eastAsia="仿宋" w:cs="仿宋"/>
          <w:color w:val="000000"/>
          <w:sz w:val="32"/>
          <w:szCs w:val="32"/>
          <w:lang w:val="en-US" w:eastAsia="zh-CN"/>
        </w:rPr>
        <w:t>7.60</w:t>
      </w:r>
      <w:r>
        <w:rPr>
          <w:rFonts w:ascii="仿宋" w:hAnsi="仿宋" w:eastAsia="仿宋" w:cs="仿宋"/>
          <w:color w:val="000000"/>
          <w:sz w:val="32"/>
          <w:u w:color="auto"/>
        </w:rPr>
        <w:t>万元,完成预算100.00%。公务用车购置及运行维护费支出决算比202</w:t>
      </w:r>
      <w:r>
        <w:rPr>
          <w:rFonts w:hint="eastAsia" w:ascii="仿宋" w:hAnsi="仿宋" w:eastAsia="仿宋" w:cs="仿宋"/>
          <w:color w:val="000000"/>
          <w:sz w:val="32"/>
          <w:u w:color="auto"/>
          <w:lang w:val="en-US" w:eastAsia="zh-CN"/>
        </w:rPr>
        <w:t>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增加</w:t>
      </w:r>
      <w:r>
        <w:rPr>
          <w:rFonts w:hint="eastAsia" w:ascii="仿宋" w:hAnsi="仿宋" w:eastAsia="仿宋" w:cs="仿宋"/>
          <w:color w:val="000000"/>
          <w:sz w:val="32"/>
          <w:szCs w:val="32"/>
          <w:lang w:val="en-US" w:eastAsia="zh-CN"/>
        </w:rPr>
        <w:t>3.00</w:t>
      </w:r>
      <w:r>
        <w:rPr>
          <w:rFonts w:ascii="仿宋" w:hAnsi="仿宋" w:eastAsia="仿宋" w:cs="仿宋"/>
          <w:color w:val="000000"/>
          <w:sz w:val="32"/>
          <w:u w:color="auto"/>
        </w:rPr>
        <w:t>万元，增加</w:t>
      </w:r>
      <w:r>
        <w:rPr>
          <w:rFonts w:hint="eastAsia" w:ascii="仿宋" w:hAnsi="仿宋" w:eastAsia="仿宋" w:cs="仿宋"/>
          <w:color w:val="000000"/>
          <w:sz w:val="32"/>
          <w:u w:color="auto"/>
          <w:lang w:val="en-US" w:eastAsia="zh-CN"/>
        </w:rPr>
        <w:t>65.22</w:t>
      </w:r>
      <w:r>
        <w:rPr>
          <w:rFonts w:ascii="仿宋" w:hAnsi="仿宋" w:eastAsia="仿宋" w:cs="仿宋"/>
          <w:color w:val="000000"/>
          <w:sz w:val="32"/>
          <w:u w:color="auto"/>
        </w:rPr>
        <w:t xml:space="preserve">%。 </w:t>
      </w:r>
    </w:p>
    <w:p w14:paraId="3F111DDF">
      <w:pPr>
        <w:spacing w:line="60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其中：</w:t>
      </w:r>
      <w:r>
        <w:rPr>
          <w:rFonts w:hint="eastAsia" w:ascii="仿宋" w:hAnsi="仿宋" w:eastAsia="仿宋" w:cs="仿宋"/>
          <w:b/>
          <w:bCs/>
          <w:color w:val="000000"/>
          <w:sz w:val="32"/>
          <w:szCs w:val="32"/>
        </w:rPr>
        <w:t>公务用车购置支出</w:t>
      </w:r>
      <w:r>
        <w:rPr>
          <w:rFonts w:hint="eastAsia" w:ascii="仿宋" w:hAnsi="仿宋" w:eastAsia="仿宋" w:cs="仿宋"/>
          <w:color w:val="000000"/>
          <w:sz w:val="32"/>
          <w:szCs w:val="32"/>
        </w:rPr>
        <w:t>0.00</w:t>
      </w:r>
      <w:r>
        <w:rPr>
          <w:rFonts w:ascii="仿宋" w:hAnsi="仿宋" w:eastAsia="仿宋" w:cs="仿宋"/>
          <w:color w:val="000000"/>
          <w:sz w:val="32"/>
          <w:u w:color="auto"/>
        </w:rPr>
        <w:t>万元。全年按规定更新购置公务用车0辆，其中：轿车0辆、金额0.00万元，越野车0辆、金额0.00万元，载客汽车0辆、金额0.00万元。截至202</w:t>
      </w:r>
      <w:r>
        <w:rPr>
          <w:rFonts w:hint="eastAsia" w:ascii="仿宋" w:hAnsi="仿宋" w:eastAsia="仿宋" w:cs="仿宋"/>
          <w:color w:val="000000"/>
          <w:sz w:val="32"/>
          <w:u w:color="auto"/>
          <w:lang w:val="en-US" w:eastAsia="zh-CN"/>
        </w:rPr>
        <w:t>4</w:t>
      </w:r>
      <w:r>
        <w:rPr>
          <w:rFonts w:ascii="仿宋" w:hAnsi="仿宋" w:eastAsia="仿宋" w:cs="仿宋"/>
          <w:color w:val="000000"/>
          <w:sz w:val="32"/>
          <w:u w:color="auto"/>
        </w:rPr>
        <w:t>年12月</w:t>
      </w:r>
      <w:r>
        <w:rPr>
          <w:rFonts w:hint="eastAsia" w:ascii="仿宋" w:hAnsi="仿宋" w:eastAsia="仿宋" w:cs="仿宋"/>
          <w:color w:val="000000"/>
          <w:sz w:val="32"/>
          <w:szCs w:val="32"/>
          <w:lang w:val="en-US" w:eastAsia="zh-CN"/>
        </w:rPr>
        <w:t>31日</w:t>
      </w:r>
      <w:r>
        <w:rPr>
          <w:rFonts w:hint="eastAsia" w:ascii="仿宋" w:hAnsi="仿宋" w:eastAsia="仿宋" w:cs="仿宋"/>
          <w:color w:val="000000"/>
          <w:sz w:val="32"/>
          <w:szCs w:val="32"/>
        </w:rPr>
        <w:t>，单位共有公务用车</w:t>
      </w:r>
      <w:r>
        <w:rPr>
          <w:rFonts w:ascii="仿宋" w:hAnsi="仿宋" w:eastAsia="仿宋" w:cs="仿宋"/>
          <w:color w:val="000000"/>
          <w:sz w:val="32"/>
          <w:u w:color="auto"/>
        </w:rPr>
        <w:t>2辆，其中：轿车0辆、越野车2辆、载客汽车0辆</w:t>
      </w:r>
      <w:r>
        <w:rPr>
          <w:rFonts w:hint="eastAsia" w:ascii="仿宋" w:hAnsi="仿宋" w:eastAsia="仿宋" w:cs="仿宋"/>
          <w:color w:val="000000"/>
          <w:sz w:val="32"/>
          <w:szCs w:val="32"/>
          <w:lang w:val="en-US" w:eastAsia="zh-CN"/>
        </w:rPr>
        <w:t>。</w:t>
      </w:r>
    </w:p>
    <w:p w14:paraId="3EFD56D9">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公务用车运行维护费支出</w:t>
      </w:r>
      <w:r>
        <w:rPr>
          <w:rFonts w:hint="eastAsia" w:ascii="仿宋" w:hAnsi="仿宋" w:eastAsia="仿宋" w:cs="仿宋"/>
          <w:color w:val="000000"/>
          <w:sz w:val="32"/>
          <w:szCs w:val="32"/>
          <w:lang w:val="en-US" w:eastAsia="zh-CN"/>
        </w:rPr>
        <w:t>7.60</w:t>
      </w:r>
      <w:r>
        <w:rPr>
          <w:rFonts w:ascii="仿宋" w:hAnsi="仿宋" w:eastAsia="仿宋" w:cs="仿宋"/>
          <w:color w:val="000000"/>
          <w:sz w:val="32"/>
          <w:u w:color="auto"/>
        </w:rPr>
        <w:t xml:space="preserve">万元。 </w:t>
      </w:r>
    </w:p>
    <w:p w14:paraId="52C0E921">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 w:hAnsi="仿宋" w:eastAsia="仿宋" w:cs="仿宋"/>
          <w:color w:val="000000"/>
          <w:sz w:val="32"/>
          <w:szCs w:val="32"/>
        </w:rPr>
        <w:t>0.</w:t>
      </w:r>
      <w:r>
        <w:rPr>
          <w:rFonts w:hint="eastAsia" w:ascii="仿宋" w:hAnsi="仿宋" w:eastAsia="仿宋" w:cs="仿宋"/>
          <w:color w:val="000000"/>
          <w:sz w:val="32"/>
          <w:szCs w:val="32"/>
          <w:lang w:val="en-US" w:eastAsia="zh-CN"/>
        </w:rPr>
        <w:t>15</w:t>
      </w:r>
      <w:r>
        <w:rPr>
          <w:rFonts w:ascii="仿宋" w:hAnsi="仿宋" w:eastAsia="仿宋" w:cs="仿宋"/>
          <w:color w:val="000000"/>
          <w:sz w:val="32"/>
          <w:u w:color="auto"/>
        </w:rPr>
        <w:t>万元，完成预算100.00%。公务接待费支出决算比202</w:t>
      </w:r>
      <w:r>
        <w:rPr>
          <w:rFonts w:hint="eastAsia" w:ascii="仿宋" w:hAnsi="仿宋" w:eastAsia="仿宋" w:cs="仿宋"/>
          <w:color w:val="000000"/>
          <w:sz w:val="32"/>
          <w:u w:color="auto"/>
          <w:lang w:val="en-US" w:eastAsia="zh-CN"/>
        </w:rPr>
        <w:t>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lang w:eastAsia="zh-CN"/>
        </w:rPr>
        <w:t>减少</w:t>
      </w:r>
      <w:r>
        <w:rPr>
          <w:rFonts w:hint="eastAsia" w:ascii="仿宋" w:hAnsi="仿宋" w:eastAsia="仿宋" w:cs="仿宋"/>
          <w:color w:val="000000"/>
          <w:sz w:val="32"/>
          <w:szCs w:val="32"/>
        </w:rPr>
        <w:t>0.</w:t>
      </w:r>
      <w:r>
        <w:rPr>
          <w:rFonts w:hint="eastAsia" w:ascii="仿宋" w:hAnsi="仿宋" w:eastAsia="仿宋" w:cs="仿宋"/>
          <w:color w:val="000000"/>
          <w:sz w:val="32"/>
          <w:szCs w:val="32"/>
          <w:lang w:val="en-US" w:eastAsia="zh-CN"/>
        </w:rPr>
        <w:t>30</w:t>
      </w:r>
      <w:r>
        <w:rPr>
          <w:rFonts w:ascii="仿宋" w:hAnsi="仿宋" w:eastAsia="仿宋" w:cs="仿宋"/>
          <w:color w:val="000000"/>
          <w:sz w:val="32"/>
          <w:u w:color="auto"/>
        </w:rPr>
        <w:t>万元，</w:t>
      </w:r>
      <w:r>
        <w:rPr>
          <w:rFonts w:hint="eastAsia" w:ascii="仿宋" w:hAnsi="仿宋" w:eastAsia="仿宋" w:cs="仿宋"/>
          <w:color w:val="000000"/>
          <w:sz w:val="32"/>
          <w:u w:color="auto"/>
          <w:lang w:eastAsia="zh-CN"/>
        </w:rPr>
        <w:t>减少</w:t>
      </w:r>
      <w:r>
        <w:rPr>
          <w:rFonts w:hint="eastAsia" w:ascii="仿宋" w:hAnsi="仿宋" w:eastAsia="仿宋" w:cs="仿宋"/>
          <w:color w:val="000000"/>
          <w:sz w:val="32"/>
          <w:u w:color="auto"/>
          <w:lang w:val="en-US" w:eastAsia="zh-CN"/>
        </w:rPr>
        <w:t>66.67</w:t>
      </w:r>
      <w:r>
        <w:rPr>
          <w:rFonts w:ascii="仿宋" w:hAnsi="仿宋" w:eastAsia="仿宋" w:cs="仿宋"/>
          <w:color w:val="000000"/>
          <w:sz w:val="32"/>
          <w:u w:color="auto"/>
        </w:rPr>
        <w:t>%。</w:t>
      </w:r>
      <w:bookmarkStart w:id="57" w:name="_Toc15377218"/>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其中：</w:t>
      </w:r>
    </w:p>
    <w:p w14:paraId="053988C0">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国内公务接待支出</w:t>
      </w:r>
      <w:r>
        <w:rPr>
          <w:rFonts w:hint="eastAsia" w:ascii="仿宋" w:hAnsi="仿宋" w:eastAsia="仿宋" w:cs="仿宋"/>
          <w:color w:val="000000"/>
          <w:sz w:val="32"/>
          <w:szCs w:val="32"/>
        </w:rPr>
        <w:t>0.</w:t>
      </w:r>
      <w:r>
        <w:rPr>
          <w:rFonts w:hint="eastAsia" w:ascii="仿宋" w:hAnsi="仿宋" w:eastAsia="仿宋" w:cs="仿宋"/>
          <w:color w:val="000000"/>
          <w:sz w:val="32"/>
          <w:szCs w:val="32"/>
          <w:lang w:val="en-US" w:eastAsia="zh-CN"/>
        </w:rPr>
        <w:t>15</w:t>
      </w:r>
      <w:r>
        <w:rPr>
          <w:rFonts w:ascii="仿宋" w:hAnsi="仿宋" w:eastAsia="仿宋" w:cs="仿宋"/>
          <w:color w:val="000000"/>
          <w:sz w:val="32"/>
          <w:u w:color="auto"/>
        </w:rPr>
        <w:t>万元，主要用于执行公务、开展业务活动开支的交通费、住宿费、用餐费等。国内公务接待</w:t>
      </w:r>
      <w:r>
        <w:rPr>
          <w:rFonts w:hint="eastAsia" w:ascii="仿宋" w:hAnsi="仿宋" w:eastAsia="仿宋" w:cs="仿宋"/>
          <w:color w:val="000000"/>
          <w:sz w:val="32"/>
          <w:u w:color="auto"/>
          <w:lang w:val="en-US" w:eastAsia="zh-CN"/>
        </w:rPr>
        <w:t>1</w:t>
      </w:r>
      <w:r>
        <w:rPr>
          <w:rFonts w:ascii="仿宋" w:hAnsi="仿宋" w:eastAsia="仿宋" w:cs="仿宋"/>
          <w:color w:val="000000"/>
          <w:sz w:val="32"/>
          <w:u w:color="auto"/>
        </w:rPr>
        <w:t>批次，</w:t>
      </w:r>
      <w:r>
        <w:rPr>
          <w:rFonts w:hint="eastAsia" w:ascii="仿宋" w:hAnsi="仿宋" w:eastAsia="仿宋" w:cs="仿宋"/>
          <w:color w:val="000000"/>
          <w:sz w:val="32"/>
          <w:u w:color="auto"/>
          <w:lang w:val="en-US" w:eastAsia="zh-CN"/>
        </w:rPr>
        <w:t>3</w:t>
      </w:r>
      <w:r>
        <w:rPr>
          <w:rFonts w:ascii="仿宋" w:hAnsi="仿宋" w:eastAsia="仿宋" w:cs="仿宋"/>
          <w:color w:val="000000"/>
          <w:sz w:val="32"/>
          <w:u w:color="auto"/>
        </w:rPr>
        <w:t>人次（不包括陪同人员），共计支出0.</w:t>
      </w:r>
      <w:r>
        <w:rPr>
          <w:rFonts w:hint="eastAsia" w:ascii="仿宋" w:hAnsi="仿宋" w:eastAsia="仿宋" w:cs="仿宋"/>
          <w:color w:val="000000"/>
          <w:sz w:val="32"/>
          <w:u w:color="auto"/>
          <w:lang w:val="en-US" w:eastAsia="zh-CN"/>
        </w:rPr>
        <w:t>15</w:t>
      </w:r>
      <w:r>
        <w:rPr>
          <w:rFonts w:ascii="仿宋" w:hAnsi="仿宋" w:eastAsia="仿宋" w:cs="仿宋"/>
          <w:color w:val="000000"/>
          <w:sz w:val="32"/>
          <w:u w:color="auto"/>
        </w:rPr>
        <w:t>万元，具体内容包括：</w:t>
      </w:r>
      <w:r>
        <w:rPr>
          <w:rFonts w:hint="eastAsia" w:ascii="仿宋" w:hAnsi="仿宋" w:eastAsia="仿宋" w:cs="仿宋"/>
          <w:color w:val="000000"/>
          <w:sz w:val="32"/>
          <w:u w:color="auto"/>
          <w:lang w:eastAsia="zh-CN"/>
        </w:rPr>
        <w:t>接待四川省电视台工作人员，</w:t>
      </w:r>
      <w:r>
        <w:rPr>
          <w:rFonts w:hint="eastAsia" w:ascii="仿宋" w:hAnsi="仿宋" w:eastAsia="仿宋" w:cs="仿宋"/>
          <w:color w:val="000000"/>
          <w:sz w:val="32"/>
          <w:u w:color="auto"/>
          <w:lang w:val="en-US" w:eastAsia="zh-CN"/>
        </w:rPr>
        <w:t>0.15万元</w:t>
      </w:r>
      <w:r>
        <w:rPr>
          <w:rFonts w:ascii="仿宋" w:hAnsi="仿宋" w:eastAsia="仿宋" w:cs="仿宋"/>
          <w:color w:val="000000"/>
          <w:sz w:val="32"/>
          <w:u w:color="auto"/>
        </w:rPr>
        <w:t>（接待具体项目、金额</w:t>
      </w:r>
      <w:r>
        <w:rPr>
          <w:rFonts w:hint="eastAsia" w:ascii="仿宋" w:hAnsi="仿宋" w:eastAsia="仿宋" w:cs="仿宋"/>
          <w:color w:val="000000"/>
          <w:sz w:val="32"/>
          <w:u w:color="auto"/>
          <w:lang w:eastAsia="zh-CN"/>
        </w:rPr>
        <w:t>）</w:t>
      </w:r>
      <w:r>
        <w:rPr>
          <w:rFonts w:ascii="仿宋" w:hAnsi="仿宋" w:eastAsia="仿宋" w:cs="仿宋"/>
          <w:color w:val="000000"/>
          <w:sz w:val="32"/>
          <w:u w:color="auto"/>
        </w:rPr>
        <w:t>。</w:t>
      </w:r>
    </w:p>
    <w:p w14:paraId="2A3D7E43">
      <w:pPr>
        <w:pStyle w:val="8"/>
        <w:rPr>
          <w:rFonts w:hint="eastAsia" w:ascii="仿宋" w:hAnsi="仿宋" w:eastAsia="仿宋" w:cs="仿宋"/>
          <w:color w:val="000000"/>
          <w:sz w:val="32"/>
          <w:szCs w:val="32"/>
        </w:rPr>
      </w:pPr>
      <w:r>
        <w:rPr>
          <w:rFonts w:hint="eastAsia" w:ascii="仿宋" w:hAnsi="仿宋" w:eastAsia="仿宋" w:cs="仿宋"/>
          <w:b/>
          <w:bCs/>
          <w:color w:val="000000"/>
          <w:sz w:val="32"/>
          <w:szCs w:val="32"/>
        </w:rPr>
        <w:t>外事接待支出</w:t>
      </w:r>
      <w:r>
        <w:rPr>
          <w:rFonts w:hint="eastAsia" w:ascii="仿宋" w:hAnsi="仿宋" w:eastAsia="仿宋" w:cs="仿宋"/>
          <w:color w:val="000000"/>
          <w:sz w:val="32"/>
          <w:szCs w:val="32"/>
        </w:rPr>
        <w:t>0.00</w:t>
      </w:r>
      <w:r>
        <w:rPr>
          <w:rFonts w:ascii="仿宋" w:hAnsi="仿宋" w:eastAsia="仿宋" w:cs="仿宋"/>
          <w:color w:val="000000"/>
          <w:sz w:val="32"/>
          <w:u w:color="auto"/>
        </w:rPr>
        <w:t>万元，主</w:t>
      </w:r>
      <w:r>
        <w:rPr>
          <w:rFonts w:hint="eastAsia" w:ascii="仿宋" w:hAnsi="仿宋" w:eastAsia="仿宋" w:cs="仿宋"/>
          <w:color w:val="000000"/>
          <w:sz w:val="32"/>
          <w:u w:color="auto"/>
          <w:lang w:eastAsia="zh-CN"/>
        </w:rPr>
        <w:t>无外事接待工作</w:t>
      </w:r>
      <w:r>
        <w:rPr>
          <w:rFonts w:ascii="仿宋" w:hAnsi="仿宋" w:eastAsia="仿宋" w:cs="仿宋"/>
          <w:color w:val="000000"/>
          <w:sz w:val="32"/>
          <w:u w:color="auto"/>
        </w:rPr>
        <w:t>。外事接待0批次，0人次（不包括陪同人员），共计支出0.00万元。</w:t>
      </w:r>
    </w:p>
    <w:p w14:paraId="7D46EE41">
      <w:pPr>
        <w:pStyle w:val="6"/>
        <w:ind w:firstLine="640" w:firstLineChars="200"/>
        <w:rPr>
          <w:rFonts w:hint="eastAsia" w:ascii="黑体" w:hAnsi="黑体" w:eastAsia="黑体" w:cs="黑体"/>
          <w:b w:val="0"/>
          <w:bCs/>
          <w:color w:val="000000"/>
        </w:rPr>
      </w:pPr>
      <w:bookmarkStart w:id="58" w:name="_Toc111208506"/>
      <w:bookmarkStart w:id="59" w:name="_Toc24471"/>
      <w:r>
        <w:rPr>
          <w:rFonts w:hint="eastAsia" w:ascii="黑体" w:hAnsi="黑体" w:eastAsia="黑体" w:cs="黑体"/>
          <w:b w:val="0"/>
          <w:bCs/>
          <w:color w:val="000000"/>
        </w:rPr>
        <w:t>八、政府性基金预算支出决算情况说明</w:t>
      </w:r>
      <w:bookmarkEnd w:id="57"/>
      <w:bookmarkEnd w:id="58"/>
      <w:bookmarkEnd w:id="59"/>
    </w:p>
    <w:p w14:paraId="129A461A">
      <w:pPr>
        <w:spacing w:line="600" w:lineRule="exact"/>
        <w:ind w:firstLine="640"/>
        <w:rPr>
          <w:rFonts w:hint="eastAsia" w:ascii="仿宋" w:hAnsi="仿宋" w:eastAsia="仿宋" w:cs="仿宋"/>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年政府性基金预算拨款支出</w:t>
      </w:r>
      <w:r>
        <w:rPr>
          <w:rFonts w:hint="eastAsia" w:ascii="仿宋" w:hAnsi="仿宋" w:eastAsia="仿宋" w:cs="仿宋"/>
          <w:color w:val="000000"/>
          <w:sz w:val="32"/>
          <w:u w:color="auto"/>
          <w:lang w:val="en-US" w:eastAsia="zh-CN"/>
        </w:rPr>
        <w:t>61.66</w:t>
      </w:r>
      <w:r>
        <w:rPr>
          <w:rFonts w:ascii="仿宋" w:hAnsi="仿宋" w:eastAsia="仿宋" w:cs="仿宋"/>
          <w:color w:val="000000"/>
          <w:sz w:val="32"/>
          <w:u w:color="auto"/>
        </w:rPr>
        <w:t>万元。</w:t>
      </w:r>
      <w:bookmarkStart w:id="60" w:name="_Toc15377219"/>
    </w:p>
    <w:p w14:paraId="7EAE8A57">
      <w:pPr>
        <w:pStyle w:val="6"/>
        <w:ind w:firstLine="640" w:firstLineChars="200"/>
        <w:rPr>
          <w:rFonts w:hint="eastAsia" w:ascii="黑体" w:hAnsi="黑体" w:eastAsia="黑体" w:cs="黑体"/>
          <w:b w:val="0"/>
          <w:bCs/>
          <w:color w:val="000000"/>
        </w:rPr>
      </w:pPr>
      <w:bookmarkStart w:id="61" w:name="_Toc22335"/>
      <w:bookmarkStart w:id="62" w:name="_Toc111208507"/>
      <w:r>
        <w:rPr>
          <w:rFonts w:hint="eastAsia" w:ascii="黑体" w:hAnsi="黑体" w:eastAsia="黑体" w:cs="黑体"/>
          <w:b w:val="0"/>
          <w:bCs/>
          <w:color w:val="000000"/>
        </w:rPr>
        <w:t>九、国有资本经营预算支出决算情况说明</w:t>
      </w:r>
      <w:bookmarkEnd w:id="60"/>
      <w:bookmarkEnd w:id="61"/>
      <w:bookmarkEnd w:id="62"/>
    </w:p>
    <w:p w14:paraId="3A2D5E3B">
      <w:pPr>
        <w:spacing w:line="600" w:lineRule="exact"/>
        <w:ind w:firstLine="640"/>
        <w:rPr>
          <w:rFonts w:hint="eastAsia"/>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4年度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0.00万元。</w:t>
      </w:r>
    </w:p>
    <w:p w14:paraId="50DAE51A">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23A67C67">
      <w:pPr>
        <w:pStyle w:val="5"/>
        <w:jc w:val="center"/>
        <w:rPr>
          <w:rFonts w:hint="eastAsia" w:ascii="黑体" w:hAnsi="黑体" w:eastAsia="黑体" w:cs="黑体"/>
          <w:b w:val="0"/>
          <w:bCs w:val="0"/>
        </w:rPr>
      </w:pPr>
      <w:bookmarkStart w:id="63" w:name="_Toc111208509"/>
      <w:bookmarkStart w:id="64" w:name="_Toc24831"/>
      <w:bookmarkStart w:id="65" w:name="_Toc15377225"/>
      <w:r>
        <w:rPr>
          <w:rFonts w:hint="eastAsia" w:ascii="黑体" w:hAnsi="黑体" w:eastAsia="黑体" w:cs="黑体"/>
          <w:b w:val="0"/>
          <w:bCs w:val="0"/>
        </w:rPr>
        <w:t>第三部分 名词解释</w:t>
      </w:r>
      <w:bookmarkEnd w:id="63"/>
      <w:bookmarkEnd w:id="64"/>
      <w:bookmarkEnd w:id="65"/>
    </w:p>
    <w:p w14:paraId="2F62F199">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61CAA5D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0B4C9105">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0DFB1EA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63675A8B">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6A91D6E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0EA8D53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50E1943A">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7EB4EE7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9.社会保障和就业支出（类）民政管理事务（款）行政运行（项）:反映行政单位（包括实行公务员管理的事业单位）的基本支出。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10.社会保障和就业支出（类）民政管理事务（款）一般行政管理事务（项）:反映行政单位（包括实行公务员管理的事业单位）未单独设置项级科目的其他项目支出。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11.社会保障和就业支出（类）民政管理事务（款）行政区划和地名管理（项）:反映行政区域界线勘定、管理，以及行政区划和地名管理支出。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12.社会保障和就业支出（类）民政管理事务（款）其他民政管理事务支出（项）:反映除上述项目以外其他用于民政管理事务的支出。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14.社会保障和就业支出（类）行政事业单位养老支出（款）机关事业单位职业年金缴费支出（项）:反映机关事业单位实施养老保险制度由单位实际缴纳的职业年金支出。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15.社会保障和就业支出（类）社会福利（款）儿童福利（项）:反映对儿童提供福利服务方面的支出。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16.社会保障和就业支出（类）社会福利（款）老年福利（项）:反映对老年人提供福利服务方面的支出，包括为经济困难的高龄、失能等老年人提供基本养老服务保障的资金补助等支出。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17.社会保障和就业支出（类）社会福利（款）社会福利事业单位（项）:反映民政部门举办的社会福利事业单位的支出，以及对集体社会福利事业单位的补助费。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18.社会保障和就业支出（类）社会福利（款）养老服务（项）:反映财政在养老服务方面的补助支出，包括支持居家养老服务、社区养老服务和机构养老服务的支出，对养老服务机构的运营、建设补助支出等，不包括对社会福利事业单位的补助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19.社会保障和就业支出（类）社会福利（款）其他社会福利支出（项）:反映除上述项目以外其他用于社会福利方面的支出。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20.社会保障和就业支出（类）残疾人事业（款）残疾人生活和护理补贴（项）:反映困难残疾人生活补贴和重度残疾人护理补贴支出。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21.社会保障和就业支出（类）残疾人事业（款）其他残疾人事业支出（项）:反映除上述项目以外其他用于残疾人事业方面的支出。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22.社会保障和就业支出（类）最低生活保障（款）城市最低生活保障金支出（项）:反映用于城市最低生活保障对象的最低生活保障金支出。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23.社会保障和就业支出（类）最低生活保障（款）农村最低生活保障金支出（项）:反映用于农村最低生活保障对象的最低生活保障金支出。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24.社会保障和就业支出（类）临时救助（款）临时救助支出（项）:反映用于城乡生活困难居民的临时救助支出。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25.社会保障和就业支出（类）临时救助（款）流浪乞讨人员救助支出（项）:反映用于生活无着的流浪乞讨人员的救助支出和救助管理机构的运转支出。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26.社会保障和就业支出（类）特困人员救助供养（款）城市特困人员救助供养支出（项）:反映城市特困人员救助供养支出。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27.社会保障和就业支出（类）特困人员救助供养（款）农村特困人员救助供养支出（项）:反映农村特困人员救助供养支出。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28.社会保障和就业支出（类）其他社会保障和就业支出（款）其他社会保障和就业支出（项）:反映除上述项i以外其他用于社会保障和就业方面的支出。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29.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30.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31.卫生健康支出（类）行政事业单位医疗（款）公务员医疗补助（项）:反映财政部门安排的公务员医疗补助经费。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32.卫生健康支出（类）行政事业单位医疗（款）其他行政事业单位医疗支出（项）:反映除上述项目以外的其他用于行政事业单位医疗方面的支出。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33.住房保障支出（类）住房改革支出（款）住房公积金（项）:反映行政事业单位按人力资源和社会保障部、财政部规定的基本工资和津贴补贴以及规定比例为职工缴纳的住房公积金。</w:t>
      </w:r>
    </w:p>
    <w:p w14:paraId="57CEA254">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34</w:t>
      </w:r>
      <w:r>
        <w:rPr>
          <w:rFonts w:ascii="仿宋" w:hAnsi="仿宋" w:eastAsia="仿宋" w:cs="仿宋"/>
          <w:color w:val="000000"/>
          <w:sz w:val="32"/>
          <w:u w:color="auto"/>
        </w:rPr>
        <w:t>.基本支出：指为保障机构正常运转、完成日常工作任务而发生的人员支出和公用支出。</w:t>
      </w:r>
    </w:p>
    <w:p w14:paraId="0604E83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35</w:t>
      </w:r>
      <w:r>
        <w:rPr>
          <w:rFonts w:ascii="仿宋" w:hAnsi="仿宋" w:eastAsia="仿宋" w:cs="仿宋"/>
          <w:color w:val="000000"/>
          <w:sz w:val="32"/>
          <w:u w:color="auto"/>
        </w:rPr>
        <w:t xml:space="preserve">.项目支出：指在基本支出之外为完成特定行政任务和事业发展目标所发生的支出。 </w:t>
      </w:r>
    </w:p>
    <w:p w14:paraId="70CF826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36</w:t>
      </w:r>
      <w:r>
        <w:rPr>
          <w:rFonts w:ascii="仿宋" w:hAnsi="仿宋" w:eastAsia="仿宋" w:cs="仿宋"/>
          <w:color w:val="000000"/>
          <w:sz w:val="32"/>
          <w:u w:color="auto"/>
        </w:rPr>
        <w:t>.经营支出：指事业单位在专业业务活动及其辅助活动之外开展非独立核算经营活动发生的支出。</w:t>
      </w:r>
    </w:p>
    <w:p w14:paraId="7BA7883B">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37</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A3EDF2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38</w:t>
      </w:r>
      <w:r>
        <w:rPr>
          <w:rFonts w:ascii="仿宋" w:hAnsi="仿宋" w:eastAsia="仿宋" w:cs="仿宋"/>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5C72A69">
      <w:pPr>
        <w:spacing w:line="60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39</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14:paraId="3AE1DB0D">
      <w:pPr>
        <w:widowControl/>
        <w:jc w:val="left"/>
        <w:rPr>
          <w:rStyle w:val="32"/>
          <w:rFonts w:hint="eastAsia" w:ascii="思源黑体 CN Normal" w:hAnsi="思源黑体 CN Normal" w:eastAsia="思源黑体 CN Normal" w:cs="思源黑体 CN Normal"/>
        </w:rPr>
      </w:pPr>
      <w:r>
        <w:rPr>
          <w:rStyle w:val="32"/>
          <w:rFonts w:hint="eastAsia" w:ascii="思源黑体 CN Normal" w:hAnsi="思源黑体 CN Normal" w:eastAsia="思源黑体 CN Normal" w:cs="思源黑体 CN Normal"/>
        </w:rPr>
        <w:br w:type="page"/>
      </w:r>
    </w:p>
    <w:p w14:paraId="698DA960">
      <w:pPr>
        <w:pStyle w:val="5"/>
        <w:jc w:val="center"/>
        <w:rPr>
          <w:rFonts w:hint="eastAsia" w:ascii="思源黑体 CN Normal" w:hAnsi="思源黑体 CN Normal" w:eastAsia="思源黑体 CN Normal" w:cs="思源黑体 CN Normal"/>
          <w:b w:val="0"/>
          <w:bCs w:val="0"/>
        </w:rPr>
      </w:pPr>
      <w:bookmarkStart w:id="66" w:name="_Toc79163885"/>
      <w:bookmarkStart w:id="67" w:name="_Toc111208512"/>
      <w:bookmarkStart w:id="68" w:name="_Toc79163635"/>
      <w:bookmarkStart w:id="69" w:name="_Toc13514"/>
      <w:r>
        <w:rPr>
          <w:rStyle w:val="37"/>
          <w:rFonts w:hint="eastAsia" w:ascii="黑体" w:hAnsi="黑体" w:eastAsia="黑体"/>
          <w:b w:val="0"/>
          <w:bCs/>
          <w:color w:val="auto"/>
          <w:highlight w:val="none"/>
        </w:rPr>
        <w:t>第</w:t>
      </w:r>
      <w:r>
        <w:rPr>
          <w:rStyle w:val="37"/>
          <w:rFonts w:hint="eastAsia" w:ascii="黑体" w:hAnsi="黑体" w:eastAsia="黑体"/>
          <w:b w:val="0"/>
          <w:bCs/>
          <w:color w:val="auto"/>
          <w:highlight w:val="none"/>
          <w:lang w:eastAsia="zh-CN"/>
        </w:rPr>
        <w:t>四</w:t>
      </w:r>
      <w:r>
        <w:rPr>
          <w:rStyle w:val="37"/>
          <w:rFonts w:hint="eastAsia" w:ascii="黑体" w:hAnsi="黑体" w:eastAsia="黑体"/>
          <w:b w:val="0"/>
          <w:bCs/>
          <w:color w:val="auto"/>
          <w:highlight w:val="none"/>
        </w:rPr>
        <w:t>部分 附表</w:t>
      </w:r>
      <w:bookmarkEnd w:id="66"/>
      <w:bookmarkEnd w:id="67"/>
      <w:bookmarkEnd w:id="68"/>
      <w:bookmarkEnd w:id="69"/>
    </w:p>
    <w:p w14:paraId="658A3C65">
      <w:pPr>
        <w:pStyle w:val="6"/>
        <w:ind w:firstLine="640" w:firstLineChars="200"/>
        <w:rPr>
          <w:rFonts w:hint="eastAsia" w:ascii="仿宋" w:hAnsi="仿宋" w:eastAsia="仿宋" w:cs="仿宋"/>
          <w:b w:val="0"/>
          <w:bCs/>
          <w:color w:val="000000"/>
        </w:rPr>
      </w:pPr>
      <w:bookmarkStart w:id="70" w:name="_Toc23734"/>
      <w:r>
        <w:rPr>
          <w:rFonts w:hint="eastAsia" w:ascii="仿宋" w:hAnsi="仿宋" w:eastAsia="仿宋" w:cs="仿宋"/>
          <w:b w:val="0"/>
          <w:bCs/>
          <w:color w:val="000000"/>
        </w:rPr>
        <w:t>一、收入支出决算总表</w:t>
      </w:r>
      <w:bookmarkEnd w:id="70"/>
    </w:p>
    <w:p w14:paraId="794AB21A">
      <w:pPr>
        <w:pStyle w:val="6"/>
        <w:ind w:firstLine="640" w:firstLineChars="200"/>
        <w:rPr>
          <w:rFonts w:hint="eastAsia" w:ascii="仿宋" w:hAnsi="仿宋" w:eastAsia="仿宋" w:cs="仿宋"/>
          <w:b w:val="0"/>
          <w:bCs/>
          <w:color w:val="000000"/>
        </w:rPr>
      </w:pPr>
      <w:bookmarkStart w:id="71" w:name="_Toc22452"/>
      <w:r>
        <w:rPr>
          <w:rFonts w:hint="eastAsia" w:ascii="仿宋" w:hAnsi="仿宋" w:eastAsia="仿宋" w:cs="仿宋"/>
          <w:b w:val="0"/>
          <w:bCs/>
          <w:color w:val="000000"/>
        </w:rPr>
        <w:t>二、收入决算表</w:t>
      </w:r>
      <w:bookmarkEnd w:id="71"/>
    </w:p>
    <w:p w14:paraId="7B3930C7">
      <w:pPr>
        <w:pStyle w:val="6"/>
        <w:ind w:firstLine="640" w:firstLineChars="200"/>
        <w:rPr>
          <w:rFonts w:hint="eastAsia" w:ascii="仿宋" w:hAnsi="仿宋" w:eastAsia="仿宋" w:cs="仿宋"/>
          <w:b w:val="0"/>
          <w:bCs/>
          <w:color w:val="000000"/>
        </w:rPr>
      </w:pPr>
      <w:bookmarkStart w:id="72" w:name="_Toc14437"/>
      <w:r>
        <w:rPr>
          <w:rFonts w:hint="eastAsia" w:ascii="仿宋" w:hAnsi="仿宋" w:eastAsia="仿宋" w:cs="仿宋"/>
          <w:b w:val="0"/>
          <w:bCs/>
          <w:color w:val="000000"/>
        </w:rPr>
        <w:t>三、支出决算表</w:t>
      </w:r>
      <w:bookmarkEnd w:id="72"/>
    </w:p>
    <w:p w14:paraId="66B98F43">
      <w:pPr>
        <w:pStyle w:val="6"/>
        <w:ind w:firstLine="640" w:firstLineChars="200"/>
        <w:rPr>
          <w:rFonts w:hint="eastAsia" w:ascii="仿宋" w:hAnsi="仿宋" w:eastAsia="仿宋" w:cs="仿宋"/>
          <w:b w:val="0"/>
          <w:bCs/>
          <w:color w:val="000000"/>
        </w:rPr>
      </w:pPr>
      <w:bookmarkStart w:id="73" w:name="_Toc25474"/>
      <w:r>
        <w:rPr>
          <w:rFonts w:hint="eastAsia" w:ascii="仿宋" w:hAnsi="仿宋" w:eastAsia="仿宋" w:cs="仿宋"/>
          <w:b w:val="0"/>
          <w:bCs/>
          <w:color w:val="000000"/>
        </w:rPr>
        <w:t>四、财政拨款收入支出决算总表</w:t>
      </w:r>
      <w:bookmarkEnd w:id="73"/>
    </w:p>
    <w:p w14:paraId="6305D83E">
      <w:pPr>
        <w:pStyle w:val="6"/>
        <w:ind w:firstLine="640" w:firstLineChars="200"/>
        <w:rPr>
          <w:rFonts w:hint="eastAsia" w:ascii="仿宋" w:hAnsi="仿宋" w:eastAsia="仿宋" w:cs="仿宋"/>
          <w:b w:val="0"/>
          <w:bCs/>
          <w:color w:val="000000"/>
        </w:rPr>
      </w:pPr>
      <w:bookmarkStart w:id="74" w:name="_Toc29709"/>
      <w:r>
        <w:rPr>
          <w:rFonts w:hint="eastAsia" w:ascii="仿宋" w:hAnsi="仿宋" w:eastAsia="仿宋" w:cs="仿宋"/>
          <w:b w:val="0"/>
          <w:bCs/>
          <w:color w:val="000000"/>
        </w:rPr>
        <w:t>五、财政拨款支出决算明细表</w:t>
      </w:r>
      <w:bookmarkEnd w:id="74"/>
    </w:p>
    <w:p w14:paraId="01AA091D">
      <w:pPr>
        <w:pStyle w:val="6"/>
        <w:ind w:firstLine="640" w:firstLineChars="200"/>
        <w:rPr>
          <w:rFonts w:hint="eastAsia" w:ascii="仿宋" w:hAnsi="仿宋" w:eastAsia="仿宋" w:cs="仿宋"/>
          <w:b w:val="0"/>
          <w:bCs/>
          <w:color w:val="000000"/>
        </w:rPr>
      </w:pPr>
      <w:bookmarkStart w:id="75" w:name="_Toc24697"/>
      <w:r>
        <w:rPr>
          <w:rFonts w:hint="eastAsia" w:ascii="仿宋" w:hAnsi="仿宋" w:eastAsia="仿宋" w:cs="仿宋"/>
          <w:b w:val="0"/>
          <w:bCs/>
          <w:color w:val="000000"/>
        </w:rPr>
        <w:t>六、一般公共预算财政拨款支出决算表</w:t>
      </w:r>
      <w:bookmarkEnd w:id="75"/>
    </w:p>
    <w:p w14:paraId="01DE9FC1">
      <w:pPr>
        <w:pStyle w:val="6"/>
        <w:ind w:firstLine="640" w:firstLineChars="200"/>
        <w:rPr>
          <w:rFonts w:hint="eastAsia" w:ascii="仿宋" w:hAnsi="仿宋" w:eastAsia="仿宋" w:cs="仿宋"/>
          <w:b w:val="0"/>
          <w:bCs/>
          <w:color w:val="000000"/>
        </w:rPr>
      </w:pPr>
      <w:bookmarkStart w:id="76" w:name="_Toc1535"/>
      <w:r>
        <w:rPr>
          <w:rFonts w:hint="eastAsia" w:ascii="仿宋" w:hAnsi="仿宋" w:eastAsia="仿宋" w:cs="仿宋"/>
          <w:b w:val="0"/>
          <w:bCs/>
          <w:color w:val="000000"/>
        </w:rPr>
        <w:t>七、一般公共预算财政拨款支出决算明细表</w:t>
      </w:r>
      <w:bookmarkEnd w:id="76"/>
    </w:p>
    <w:p w14:paraId="25FE6D50">
      <w:pPr>
        <w:pStyle w:val="6"/>
        <w:ind w:firstLine="640" w:firstLineChars="200"/>
        <w:rPr>
          <w:rFonts w:hint="eastAsia" w:ascii="仿宋" w:hAnsi="仿宋" w:eastAsia="仿宋" w:cs="仿宋"/>
          <w:b w:val="0"/>
          <w:bCs/>
          <w:color w:val="000000"/>
        </w:rPr>
      </w:pPr>
      <w:bookmarkStart w:id="77" w:name="_Toc17982"/>
      <w:r>
        <w:rPr>
          <w:rFonts w:hint="eastAsia" w:ascii="仿宋" w:hAnsi="仿宋" w:eastAsia="仿宋" w:cs="仿宋"/>
          <w:b w:val="0"/>
          <w:bCs/>
          <w:color w:val="000000"/>
        </w:rPr>
        <w:t>八、一般公共预算财政拨款基本支出决算表</w:t>
      </w:r>
      <w:bookmarkEnd w:id="77"/>
    </w:p>
    <w:p w14:paraId="2F9D9641">
      <w:pPr>
        <w:pStyle w:val="6"/>
        <w:ind w:firstLine="640" w:firstLineChars="200"/>
        <w:rPr>
          <w:rFonts w:hint="eastAsia" w:ascii="仿宋" w:hAnsi="仿宋" w:eastAsia="仿宋" w:cs="仿宋"/>
          <w:b w:val="0"/>
          <w:bCs/>
          <w:color w:val="000000"/>
        </w:rPr>
      </w:pPr>
      <w:bookmarkStart w:id="78" w:name="_Toc24448"/>
      <w:r>
        <w:rPr>
          <w:rFonts w:hint="eastAsia" w:ascii="仿宋" w:hAnsi="仿宋" w:eastAsia="仿宋" w:cs="仿宋"/>
          <w:b w:val="0"/>
          <w:bCs/>
          <w:color w:val="000000"/>
        </w:rPr>
        <w:t>九、一般公共预算财政拨款项目支出决算表</w:t>
      </w:r>
      <w:bookmarkEnd w:id="78"/>
    </w:p>
    <w:p w14:paraId="7F0C61F2">
      <w:pPr>
        <w:pStyle w:val="6"/>
        <w:ind w:firstLine="640" w:firstLineChars="200"/>
        <w:rPr>
          <w:rFonts w:hint="eastAsia" w:ascii="仿宋" w:hAnsi="仿宋" w:eastAsia="仿宋" w:cs="仿宋"/>
          <w:b w:val="0"/>
          <w:bCs/>
          <w:color w:val="000000"/>
        </w:rPr>
      </w:pPr>
      <w:bookmarkStart w:id="79" w:name="_Toc107"/>
      <w:r>
        <w:rPr>
          <w:rFonts w:hint="eastAsia" w:ascii="仿宋" w:hAnsi="仿宋" w:eastAsia="仿宋" w:cs="仿宋"/>
          <w:b w:val="0"/>
          <w:bCs/>
          <w:color w:val="000000"/>
        </w:rPr>
        <w:t>十、政府性基金预算财政拨款收入支出决算表</w:t>
      </w:r>
      <w:bookmarkEnd w:id="79"/>
    </w:p>
    <w:p w14:paraId="6B9FD59E">
      <w:pPr>
        <w:pStyle w:val="6"/>
        <w:ind w:firstLine="640" w:firstLineChars="200"/>
        <w:rPr>
          <w:rFonts w:hint="eastAsia" w:ascii="仿宋" w:hAnsi="仿宋" w:eastAsia="仿宋" w:cs="仿宋"/>
          <w:b w:val="0"/>
          <w:bCs/>
          <w:color w:val="000000"/>
        </w:rPr>
      </w:pPr>
      <w:bookmarkStart w:id="80" w:name="_Toc10113"/>
      <w:r>
        <w:rPr>
          <w:rFonts w:hint="eastAsia" w:ascii="仿宋" w:hAnsi="仿宋" w:eastAsia="仿宋" w:cs="仿宋"/>
          <w:b w:val="0"/>
          <w:bCs/>
          <w:color w:val="000000"/>
        </w:rPr>
        <w:t>十一、国有资本经营预算财政拨款收入支出决算表</w:t>
      </w:r>
      <w:bookmarkEnd w:id="80"/>
    </w:p>
    <w:p w14:paraId="571328DF">
      <w:pPr>
        <w:pStyle w:val="6"/>
        <w:ind w:firstLine="640" w:firstLineChars="200"/>
        <w:rPr>
          <w:rFonts w:hint="eastAsia" w:ascii="仿宋" w:hAnsi="仿宋" w:eastAsia="仿宋" w:cs="仿宋"/>
          <w:b w:val="0"/>
          <w:bCs/>
          <w:color w:val="000000"/>
        </w:rPr>
      </w:pPr>
      <w:bookmarkStart w:id="81" w:name="_Toc25838"/>
      <w:r>
        <w:rPr>
          <w:rFonts w:hint="eastAsia" w:ascii="仿宋" w:hAnsi="仿宋" w:eastAsia="仿宋" w:cs="仿宋"/>
          <w:b w:val="0"/>
          <w:bCs/>
          <w:color w:val="000000"/>
        </w:rPr>
        <w:t>十二、国有资本经营预算财政拨款支出决算表</w:t>
      </w:r>
      <w:bookmarkEnd w:id="81"/>
    </w:p>
    <w:p w14:paraId="71DF3E19">
      <w:pPr>
        <w:pStyle w:val="6"/>
        <w:ind w:firstLine="640" w:firstLineChars="200"/>
        <w:rPr>
          <w:rFonts w:hint="eastAsia" w:ascii="仿宋" w:hAnsi="仿宋" w:eastAsia="仿宋" w:cs="仿宋"/>
          <w:b w:val="0"/>
          <w:bCs/>
          <w:color w:val="000000"/>
        </w:rPr>
      </w:pPr>
      <w:bookmarkStart w:id="82" w:name="_Toc25614"/>
      <w:r>
        <w:rPr>
          <w:rFonts w:hint="eastAsia" w:ascii="仿宋" w:hAnsi="仿宋" w:eastAsia="仿宋" w:cs="仿宋"/>
          <w:b w:val="0"/>
          <w:bCs/>
          <w:color w:val="000000"/>
        </w:rPr>
        <w:t>十三、财政拨款“三公”经费支出决算表</w:t>
      </w:r>
      <w:bookmarkEnd w:id="82"/>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142F5E-E744-44A0-9CFD-22702E691C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48920257-79DF-4C69-B64D-35853E64A262}"/>
  </w:font>
  <w:font w:name="思源黑体 CN Normal">
    <w:altName w:val="黑体"/>
    <w:panose1 w:val="020B0400000000000000"/>
    <w:charset w:val="86"/>
    <w:family w:val="auto"/>
    <w:pitch w:val="default"/>
    <w:sig w:usb0="00000000" w:usb1="00000000" w:usb2="00000016" w:usb3="00000000" w:csb0="60060107" w:csb1="00000000"/>
    <w:embedRegular r:id="rId3" w:fontKey="{F6B4E948-1FB2-4FC1-9F82-DC8C0AED4ED5}"/>
  </w:font>
  <w:font w:name="方正小标宋简体">
    <w:panose1 w:val="03000509000000000000"/>
    <w:charset w:val="86"/>
    <w:family w:val="auto"/>
    <w:pitch w:val="default"/>
    <w:sig w:usb0="00000001" w:usb1="080E0000" w:usb2="00000000" w:usb3="00000000" w:csb0="00040000" w:csb1="00000000"/>
    <w:embedRegular r:id="rId4" w:fontKey="{A7FE0F20-3225-4215-AACD-3937B4153EE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D5B98">
    <w:pPr>
      <w:pStyle w:val="13"/>
      <w:jc w:val="center"/>
    </w:pPr>
  </w:p>
  <w:p w14:paraId="5FA171D8">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1D7E7">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2A0A01A3">
                              <w:pPr>
                                <w:pStyle w:val="13"/>
                                <w:jc w:val="center"/>
                              </w:pPr>
                              <w:r>
                                <w:fldChar w:fldCharType="begin"/>
                              </w:r>
                              <w:r>
                                <w:instrText xml:space="preserve">PAGE   \* MERGEFORMAT</w:instrText>
                              </w:r>
                              <w:r>
                                <w:fldChar w:fldCharType="separate"/>
                              </w:r>
                              <w:r>
                                <w:rPr>
                                  <w:lang w:val="zh-CN"/>
                                </w:rPr>
                                <w:t>4</w:t>
                              </w:r>
                              <w:r>
                                <w:fldChar w:fldCharType="end"/>
                              </w:r>
                            </w:p>
                          </w:sdtContent>
                        </w:sdt>
                        <w:p w14:paraId="5333743F">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2A0A01A3">
                        <w:pPr>
                          <w:pStyle w:val="13"/>
                          <w:jc w:val="center"/>
                        </w:pPr>
                        <w:r>
                          <w:fldChar w:fldCharType="begin"/>
                        </w:r>
                        <w:r>
                          <w:instrText xml:space="preserve">PAGE   \* MERGEFORMAT</w:instrText>
                        </w:r>
                        <w:r>
                          <w:fldChar w:fldCharType="separate"/>
                        </w:r>
                        <w:r>
                          <w:rPr>
                            <w:lang w:val="zh-CN"/>
                          </w:rPr>
                          <w:t>4</w:t>
                        </w:r>
                        <w:r>
                          <w:fldChar w:fldCharType="end"/>
                        </w:r>
                      </w:p>
                    </w:sdtContent>
                  </w:sdt>
                  <w:p w14:paraId="5333743F">
                    <w:pPr>
                      <w:pStyle w:val="2"/>
                    </w:pPr>
                  </w:p>
                </w:txbxContent>
              </v:textbox>
            </v:shape>
          </w:pict>
        </mc:Fallback>
      </mc:AlternateContent>
    </w:r>
  </w:p>
  <w:p w14:paraId="5FAD3D93">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0499D">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BB2725">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9BB2725">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33751">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iYTU0NTc2ZTg5ZjUyZDlhODMxNjk4MDZmMDI4NGU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2CBF"/>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2344DBB"/>
    <w:rsid w:val="028A6846"/>
    <w:rsid w:val="02E11680"/>
    <w:rsid w:val="03203934"/>
    <w:rsid w:val="037508AC"/>
    <w:rsid w:val="037A757D"/>
    <w:rsid w:val="03A4384F"/>
    <w:rsid w:val="03F359AA"/>
    <w:rsid w:val="042351BE"/>
    <w:rsid w:val="045647CC"/>
    <w:rsid w:val="0463543B"/>
    <w:rsid w:val="046A712A"/>
    <w:rsid w:val="048D6B52"/>
    <w:rsid w:val="04A56E6E"/>
    <w:rsid w:val="04D45254"/>
    <w:rsid w:val="04D550AF"/>
    <w:rsid w:val="051A6F96"/>
    <w:rsid w:val="05C25E8C"/>
    <w:rsid w:val="05EE65B1"/>
    <w:rsid w:val="06951176"/>
    <w:rsid w:val="07001BE1"/>
    <w:rsid w:val="07161BB0"/>
    <w:rsid w:val="07267DE7"/>
    <w:rsid w:val="0761741D"/>
    <w:rsid w:val="0787232E"/>
    <w:rsid w:val="07B443C5"/>
    <w:rsid w:val="084232B0"/>
    <w:rsid w:val="088F55D5"/>
    <w:rsid w:val="089C4B49"/>
    <w:rsid w:val="09081517"/>
    <w:rsid w:val="091B747D"/>
    <w:rsid w:val="092E626A"/>
    <w:rsid w:val="098C18D9"/>
    <w:rsid w:val="09A572B6"/>
    <w:rsid w:val="0A19737C"/>
    <w:rsid w:val="0A327DB7"/>
    <w:rsid w:val="0A581364"/>
    <w:rsid w:val="0A83308D"/>
    <w:rsid w:val="0ADE7614"/>
    <w:rsid w:val="0B7218AA"/>
    <w:rsid w:val="0B99373B"/>
    <w:rsid w:val="0BA37CB5"/>
    <w:rsid w:val="0BAA38B5"/>
    <w:rsid w:val="0C416C48"/>
    <w:rsid w:val="0D0429D6"/>
    <w:rsid w:val="0D093B48"/>
    <w:rsid w:val="0D322B40"/>
    <w:rsid w:val="0D322E51"/>
    <w:rsid w:val="0D42705A"/>
    <w:rsid w:val="0D635E25"/>
    <w:rsid w:val="0D636B49"/>
    <w:rsid w:val="0D6C338E"/>
    <w:rsid w:val="0D887163"/>
    <w:rsid w:val="0DB37F58"/>
    <w:rsid w:val="0E6D2010"/>
    <w:rsid w:val="0EB4618A"/>
    <w:rsid w:val="0EC00B7E"/>
    <w:rsid w:val="0F5E6610"/>
    <w:rsid w:val="0FB52B86"/>
    <w:rsid w:val="0FDB629D"/>
    <w:rsid w:val="0FFD0B0D"/>
    <w:rsid w:val="103747CF"/>
    <w:rsid w:val="103F4D68"/>
    <w:rsid w:val="10A072F5"/>
    <w:rsid w:val="10C055FF"/>
    <w:rsid w:val="116A6D7C"/>
    <w:rsid w:val="11761AF6"/>
    <w:rsid w:val="11851C0B"/>
    <w:rsid w:val="11D56DF6"/>
    <w:rsid w:val="11ED6591"/>
    <w:rsid w:val="11F85D8C"/>
    <w:rsid w:val="13367661"/>
    <w:rsid w:val="136F089E"/>
    <w:rsid w:val="13D81ACD"/>
    <w:rsid w:val="14013A26"/>
    <w:rsid w:val="14103E3C"/>
    <w:rsid w:val="1489146A"/>
    <w:rsid w:val="14D728AA"/>
    <w:rsid w:val="150D6C75"/>
    <w:rsid w:val="15DC5267"/>
    <w:rsid w:val="15F1786F"/>
    <w:rsid w:val="16451054"/>
    <w:rsid w:val="16502668"/>
    <w:rsid w:val="1665477F"/>
    <w:rsid w:val="168017EC"/>
    <w:rsid w:val="16BB723D"/>
    <w:rsid w:val="16D93CC8"/>
    <w:rsid w:val="17283764"/>
    <w:rsid w:val="17562080"/>
    <w:rsid w:val="17BC7656"/>
    <w:rsid w:val="17EA348C"/>
    <w:rsid w:val="1840212F"/>
    <w:rsid w:val="184656CF"/>
    <w:rsid w:val="18C2403E"/>
    <w:rsid w:val="18C828E7"/>
    <w:rsid w:val="193C261A"/>
    <w:rsid w:val="195E3DB8"/>
    <w:rsid w:val="19715294"/>
    <w:rsid w:val="19934117"/>
    <w:rsid w:val="19943114"/>
    <w:rsid w:val="19DE22C0"/>
    <w:rsid w:val="1AB026BC"/>
    <w:rsid w:val="1ABB32B6"/>
    <w:rsid w:val="1AE878CB"/>
    <w:rsid w:val="1B576557"/>
    <w:rsid w:val="1B787B60"/>
    <w:rsid w:val="1B9E0B52"/>
    <w:rsid w:val="1BBC6D15"/>
    <w:rsid w:val="1BF70747"/>
    <w:rsid w:val="1C06153F"/>
    <w:rsid w:val="1C3F596E"/>
    <w:rsid w:val="1C572235"/>
    <w:rsid w:val="1C986C96"/>
    <w:rsid w:val="1D51766F"/>
    <w:rsid w:val="1D7371C3"/>
    <w:rsid w:val="1DDC2BB3"/>
    <w:rsid w:val="1E051D23"/>
    <w:rsid w:val="1E34479D"/>
    <w:rsid w:val="1E9C3AF7"/>
    <w:rsid w:val="1EF317BA"/>
    <w:rsid w:val="1EF81F78"/>
    <w:rsid w:val="1F620905"/>
    <w:rsid w:val="1F924FF7"/>
    <w:rsid w:val="1FB57B5F"/>
    <w:rsid w:val="1FC413A2"/>
    <w:rsid w:val="1FD12B34"/>
    <w:rsid w:val="201A6AB0"/>
    <w:rsid w:val="203B66A0"/>
    <w:rsid w:val="206D278F"/>
    <w:rsid w:val="208B434A"/>
    <w:rsid w:val="21090433"/>
    <w:rsid w:val="211A679A"/>
    <w:rsid w:val="21253DA0"/>
    <w:rsid w:val="220C1C0F"/>
    <w:rsid w:val="2265188B"/>
    <w:rsid w:val="22857975"/>
    <w:rsid w:val="22D03B92"/>
    <w:rsid w:val="22D27F37"/>
    <w:rsid w:val="22E17CEB"/>
    <w:rsid w:val="23844B7E"/>
    <w:rsid w:val="23902475"/>
    <w:rsid w:val="23EE6D76"/>
    <w:rsid w:val="23FA0B3C"/>
    <w:rsid w:val="240371BF"/>
    <w:rsid w:val="2435534E"/>
    <w:rsid w:val="244017F7"/>
    <w:rsid w:val="24534F10"/>
    <w:rsid w:val="245A3AC1"/>
    <w:rsid w:val="24DF6C66"/>
    <w:rsid w:val="253D03DB"/>
    <w:rsid w:val="253F66D1"/>
    <w:rsid w:val="2552165D"/>
    <w:rsid w:val="25A20B86"/>
    <w:rsid w:val="25B1070F"/>
    <w:rsid w:val="25DD571A"/>
    <w:rsid w:val="265C1D1F"/>
    <w:rsid w:val="26625C9F"/>
    <w:rsid w:val="269D4D4D"/>
    <w:rsid w:val="26BB36DB"/>
    <w:rsid w:val="271C5A93"/>
    <w:rsid w:val="276F1834"/>
    <w:rsid w:val="27915D7F"/>
    <w:rsid w:val="27943580"/>
    <w:rsid w:val="279500E3"/>
    <w:rsid w:val="27B459F9"/>
    <w:rsid w:val="27C51E91"/>
    <w:rsid w:val="27D068AC"/>
    <w:rsid w:val="280173B2"/>
    <w:rsid w:val="28513369"/>
    <w:rsid w:val="28582FF6"/>
    <w:rsid w:val="28BF6D42"/>
    <w:rsid w:val="28C822A0"/>
    <w:rsid w:val="28F02C7B"/>
    <w:rsid w:val="292E058E"/>
    <w:rsid w:val="29F95C2E"/>
    <w:rsid w:val="29FD04D3"/>
    <w:rsid w:val="2A0334BE"/>
    <w:rsid w:val="2A4B06EF"/>
    <w:rsid w:val="2AAE7ADA"/>
    <w:rsid w:val="2AE00A82"/>
    <w:rsid w:val="2C1E1BB4"/>
    <w:rsid w:val="2CAE1BBE"/>
    <w:rsid w:val="2CCF04B2"/>
    <w:rsid w:val="2D134E34"/>
    <w:rsid w:val="2D241E1A"/>
    <w:rsid w:val="2D567046"/>
    <w:rsid w:val="2D5B32DC"/>
    <w:rsid w:val="2DF079DB"/>
    <w:rsid w:val="2E341BBA"/>
    <w:rsid w:val="2E4C04E0"/>
    <w:rsid w:val="2E67588F"/>
    <w:rsid w:val="2EA65A36"/>
    <w:rsid w:val="2F803D16"/>
    <w:rsid w:val="2F9C677E"/>
    <w:rsid w:val="2FD00CB0"/>
    <w:rsid w:val="2FF22B1D"/>
    <w:rsid w:val="300859B8"/>
    <w:rsid w:val="3036557C"/>
    <w:rsid w:val="304D4BA4"/>
    <w:rsid w:val="30CB71E3"/>
    <w:rsid w:val="30D57EDB"/>
    <w:rsid w:val="30D744FA"/>
    <w:rsid w:val="30E36C85"/>
    <w:rsid w:val="312B230B"/>
    <w:rsid w:val="31810DA9"/>
    <w:rsid w:val="31903F88"/>
    <w:rsid w:val="319F7F4E"/>
    <w:rsid w:val="31B72CAD"/>
    <w:rsid w:val="32004B5E"/>
    <w:rsid w:val="323A1C2F"/>
    <w:rsid w:val="329448A6"/>
    <w:rsid w:val="32C50987"/>
    <w:rsid w:val="32F45598"/>
    <w:rsid w:val="33204932"/>
    <w:rsid w:val="33447C07"/>
    <w:rsid w:val="33E03E16"/>
    <w:rsid w:val="345D075E"/>
    <w:rsid w:val="35244754"/>
    <w:rsid w:val="35254F26"/>
    <w:rsid w:val="357252B8"/>
    <w:rsid w:val="361C390A"/>
    <w:rsid w:val="36206DAB"/>
    <w:rsid w:val="364D41F6"/>
    <w:rsid w:val="366B3E8C"/>
    <w:rsid w:val="36805FD5"/>
    <w:rsid w:val="36AE294D"/>
    <w:rsid w:val="36FD0156"/>
    <w:rsid w:val="37063E3D"/>
    <w:rsid w:val="375E769E"/>
    <w:rsid w:val="38207F4E"/>
    <w:rsid w:val="384B792B"/>
    <w:rsid w:val="38C04A0E"/>
    <w:rsid w:val="38E8303B"/>
    <w:rsid w:val="38F8371D"/>
    <w:rsid w:val="39226F5F"/>
    <w:rsid w:val="39902098"/>
    <w:rsid w:val="39AA37AA"/>
    <w:rsid w:val="39DE519C"/>
    <w:rsid w:val="39F758A0"/>
    <w:rsid w:val="39FD5F33"/>
    <w:rsid w:val="3A3A0F35"/>
    <w:rsid w:val="3A4E1148"/>
    <w:rsid w:val="3AA8270A"/>
    <w:rsid w:val="3AF15A98"/>
    <w:rsid w:val="3B8E3992"/>
    <w:rsid w:val="3C8D2F9D"/>
    <w:rsid w:val="3CD05DC7"/>
    <w:rsid w:val="3CE0510E"/>
    <w:rsid w:val="3CE61717"/>
    <w:rsid w:val="3D0E3B71"/>
    <w:rsid w:val="3D1927CA"/>
    <w:rsid w:val="3D1E4B3E"/>
    <w:rsid w:val="3D6F2272"/>
    <w:rsid w:val="3D8344ED"/>
    <w:rsid w:val="3E03620E"/>
    <w:rsid w:val="3E343C22"/>
    <w:rsid w:val="3EC82D1A"/>
    <w:rsid w:val="3F512FA9"/>
    <w:rsid w:val="3F7C601F"/>
    <w:rsid w:val="3F8D566F"/>
    <w:rsid w:val="3FAC4683"/>
    <w:rsid w:val="3FEA5DFB"/>
    <w:rsid w:val="40035B02"/>
    <w:rsid w:val="400E0E9A"/>
    <w:rsid w:val="401C35B7"/>
    <w:rsid w:val="401F43D9"/>
    <w:rsid w:val="40EF099C"/>
    <w:rsid w:val="4119235A"/>
    <w:rsid w:val="41677310"/>
    <w:rsid w:val="417E3522"/>
    <w:rsid w:val="41FD05B9"/>
    <w:rsid w:val="422C2C46"/>
    <w:rsid w:val="4251506E"/>
    <w:rsid w:val="42B75819"/>
    <w:rsid w:val="42C43863"/>
    <w:rsid w:val="42C8148E"/>
    <w:rsid w:val="43323FE3"/>
    <w:rsid w:val="43684120"/>
    <w:rsid w:val="43A12D44"/>
    <w:rsid w:val="43D22C2F"/>
    <w:rsid w:val="444F07DA"/>
    <w:rsid w:val="44517BAE"/>
    <w:rsid w:val="44601E28"/>
    <w:rsid w:val="44AC2AD2"/>
    <w:rsid w:val="44BE22D7"/>
    <w:rsid w:val="451E29DA"/>
    <w:rsid w:val="455549D3"/>
    <w:rsid w:val="45953117"/>
    <w:rsid w:val="471370A8"/>
    <w:rsid w:val="472E4611"/>
    <w:rsid w:val="47570197"/>
    <w:rsid w:val="475E72DC"/>
    <w:rsid w:val="47832460"/>
    <w:rsid w:val="47F514AF"/>
    <w:rsid w:val="4839282C"/>
    <w:rsid w:val="48FD75BD"/>
    <w:rsid w:val="49243056"/>
    <w:rsid w:val="492C622F"/>
    <w:rsid w:val="494C4A06"/>
    <w:rsid w:val="49662C1D"/>
    <w:rsid w:val="496E2F32"/>
    <w:rsid w:val="49BF00DB"/>
    <w:rsid w:val="4A113668"/>
    <w:rsid w:val="4A1369C4"/>
    <w:rsid w:val="4A3D4856"/>
    <w:rsid w:val="4A620865"/>
    <w:rsid w:val="4A745623"/>
    <w:rsid w:val="4A842988"/>
    <w:rsid w:val="4B1002D9"/>
    <w:rsid w:val="4B187071"/>
    <w:rsid w:val="4B2B2DCB"/>
    <w:rsid w:val="4B6A5BC2"/>
    <w:rsid w:val="4B6D2BD3"/>
    <w:rsid w:val="4B774E91"/>
    <w:rsid w:val="4BB909F9"/>
    <w:rsid w:val="4BF840C0"/>
    <w:rsid w:val="4C7555EC"/>
    <w:rsid w:val="4C88712C"/>
    <w:rsid w:val="4CDA56AD"/>
    <w:rsid w:val="4CDB7580"/>
    <w:rsid w:val="4D135D42"/>
    <w:rsid w:val="4D1F1235"/>
    <w:rsid w:val="4D5076B9"/>
    <w:rsid w:val="4D5F4AE3"/>
    <w:rsid w:val="4D846266"/>
    <w:rsid w:val="4D8D78A2"/>
    <w:rsid w:val="4DD10DFD"/>
    <w:rsid w:val="4DD71BA2"/>
    <w:rsid w:val="4DF123A8"/>
    <w:rsid w:val="4E290981"/>
    <w:rsid w:val="4E832A53"/>
    <w:rsid w:val="4E9E44C2"/>
    <w:rsid w:val="4EBC1A30"/>
    <w:rsid w:val="4F2A6030"/>
    <w:rsid w:val="4F395B30"/>
    <w:rsid w:val="4F3B530F"/>
    <w:rsid w:val="4F5E630D"/>
    <w:rsid w:val="4F6F7A34"/>
    <w:rsid w:val="4FB33210"/>
    <w:rsid w:val="4FD74194"/>
    <w:rsid w:val="4FDA49F5"/>
    <w:rsid w:val="50732C80"/>
    <w:rsid w:val="508D3FAC"/>
    <w:rsid w:val="50AE413E"/>
    <w:rsid w:val="51C55C28"/>
    <w:rsid w:val="51E1640E"/>
    <w:rsid w:val="51EE42CA"/>
    <w:rsid w:val="520379C5"/>
    <w:rsid w:val="52195E38"/>
    <w:rsid w:val="52302EF2"/>
    <w:rsid w:val="52694C25"/>
    <w:rsid w:val="526E48F5"/>
    <w:rsid w:val="52D8640D"/>
    <w:rsid w:val="52ED6284"/>
    <w:rsid w:val="53015B47"/>
    <w:rsid w:val="5322283B"/>
    <w:rsid w:val="532B0C13"/>
    <w:rsid w:val="533D4F08"/>
    <w:rsid w:val="53BA6F17"/>
    <w:rsid w:val="53BE2B80"/>
    <w:rsid w:val="53F727BF"/>
    <w:rsid w:val="54136CE6"/>
    <w:rsid w:val="541505F1"/>
    <w:rsid w:val="542D2749"/>
    <w:rsid w:val="54992FD0"/>
    <w:rsid w:val="555E1B24"/>
    <w:rsid w:val="557436D6"/>
    <w:rsid w:val="55872E29"/>
    <w:rsid w:val="55A25C7D"/>
    <w:rsid w:val="55AE4B44"/>
    <w:rsid w:val="565A5D44"/>
    <w:rsid w:val="56D0674C"/>
    <w:rsid w:val="56FD2143"/>
    <w:rsid w:val="572E0E47"/>
    <w:rsid w:val="5776723D"/>
    <w:rsid w:val="57B54D51"/>
    <w:rsid w:val="57D23F06"/>
    <w:rsid w:val="583D16B8"/>
    <w:rsid w:val="58AB6E51"/>
    <w:rsid w:val="58B87443"/>
    <w:rsid w:val="58BA52C3"/>
    <w:rsid w:val="58BC5D23"/>
    <w:rsid w:val="59177DCC"/>
    <w:rsid w:val="59E040FC"/>
    <w:rsid w:val="59E11CD3"/>
    <w:rsid w:val="5A442200"/>
    <w:rsid w:val="5A857BDE"/>
    <w:rsid w:val="5B0168DC"/>
    <w:rsid w:val="5B2A4567"/>
    <w:rsid w:val="5BD41CE8"/>
    <w:rsid w:val="5BD47E53"/>
    <w:rsid w:val="5BE202EA"/>
    <w:rsid w:val="5C715079"/>
    <w:rsid w:val="5CAD7C22"/>
    <w:rsid w:val="5CE95B0C"/>
    <w:rsid w:val="5CFA7F1D"/>
    <w:rsid w:val="5D577E65"/>
    <w:rsid w:val="5D6F6B2F"/>
    <w:rsid w:val="5D7C3A9B"/>
    <w:rsid w:val="5E2506F8"/>
    <w:rsid w:val="5E3B3241"/>
    <w:rsid w:val="5E5E7F75"/>
    <w:rsid w:val="5EA316D6"/>
    <w:rsid w:val="5EA71DCC"/>
    <w:rsid w:val="5ECE1AC8"/>
    <w:rsid w:val="5EF556B7"/>
    <w:rsid w:val="5F3A07D2"/>
    <w:rsid w:val="5F593A88"/>
    <w:rsid w:val="5FC71F29"/>
    <w:rsid w:val="5FE356D0"/>
    <w:rsid w:val="5FF901AE"/>
    <w:rsid w:val="60651EAC"/>
    <w:rsid w:val="60BB3927"/>
    <w:rsid w:val="60D55433"/>
    <w:rsid w:val="61C14138"/>
    <w:rsid w:val="6200749A"/>
    <w:rsid w:val="620F0B35"/>
    <w:rsid w:val="620F1D9F"/>
    <w:rsid w:val="6240022D"/>
    <w:rsid w:val="625A2E89"/>
    <w:rsid w:val="625C3D7A"/>
    <w:rsid w:val="626C050A"/>
    <w:rsid w:val="62A42EE2"/>
    <w:rsid w:val="62F14F12"/>
    <w:rsid w:val="630D013F"/>
    <w:rsid w:val="63347FC4"/>
    <w:rsid w:val="63604CB9"/>
    <w:rsid w:val="63904073"/>
    <w:rsid w:val="643656AA"/>
    <w:rsid w:val="64A36D0B"/>
    <w:rsid w:val="64C656C1"/>
    <w:rsid w:val="64F77166"/>
    <w:rsid w:val="65201386"/>
    <w:rsid w:val="652A5B36"/>
    <w:rsid w:val="654615E6"/>
    <w:rsid w:val="657571ED"/>
    <w:rsid w:val="657F4183"/>
    <w:rsid w:val="658466A7"/>
    <w:rsid w:val="658913E6"/>
    <w:rsid w:val="6596487B"/>
    <w:rsid w:val="65DF63C9"/>
    <w:rsid w:val="65E0451B"/>
    <w:rsid w:val="65E15527"/>
    <w:rsid w:val="65E62724"/>
    <w:rsid w:val="662A7F2C"/>
    <w:rsid w:val="663444DF"/>
    <w:rsid w:val="66380EDE"/>
    <w:rsid w:val="66627873"/>
    <w:rsid w:val="66872C60"/>
    <w:rsid w:val="66D65FFA"/>
    <w:rsid w:val="675A6C40"/>
    <w:rsid w:val="676D71E8"/>
    <w:rsid w:val="676E3AA8"/>
    <w:rsid w:val="67AB0171"/>
    <w:rsid w:val="67C24194"/>
    <w:rsid w:val="67EB36EB"/>
    <w:rsid w:val="6819685E"/>
    <w:rsid w:val="68247579"/>
    <w:rsid w:val="68434080"/>
    <w:rsid w:val="68DA2DB6"/>
    <w:rsid w:val="69331835"/>
    <w:rsid w:val="6972241B"/>
    <w:rsid w:val="69725134"/>
    <w:rsid w:val="6A5E5104"/>
    <w:rsid w:val="6A655BEC"/>
    <w:rsid w:val="6A667259"/>
    <w:rsid w:val="6AD17322"/>
    <w:rsid w:val="6B4666B6"/>
    <w:rsid w:val="6BB306BC"/>
    <w:rsid w:val="6C64470F"/>
    <w:rsid w:val="6CC85DA9"/>
    <w:rsid w:val="6D1712F6"/>
    <w:rsid w:val="6D2A5F93"/>
    <w:rsid w:val="6D7B2F11"/>
    <w:rsid w:val="6D8F2D6B"/>
    <w:rsid w:val="6DB91990"/>
    <w:rsid w:val="6DC31436"/>
    <w:rsid w:val="6E6F4E2B"/>
    <w:rsid w:val="6E9966CE"/>
    <w:rsid w:val="6ECB49CF"/>
    <w:rsid w:val="6ECB5A2B"/>
    <w:rsid w:val="6F5A2653"/>
    <w:rsid w:val="6F806E0F"/>
    <w:rsid w:val="6FF121CE"/>
    <w:rsid w:val="70202A42"/>
    <w:rsid w:val="704E65E0"/>
    <w:rsid w:val="70ED3F4C"/>
    <w:rsid w:val="71053684"/>
    <w:rsid w:val="71852D2F"/>
    <w:rsid w:val="71B97036"/>
    <w:rsid w:val="71C824E9"/>
    <w:rsid w:val="71E75650"/>
    <w:rsid w:val="72227D09"/>
    <w:rsid w:val="72A36220"/>
    <w:rsid w:val="72C95865"/>
    <w:rsid w:val="72E476B5"/>
    <w:rsid w:val="72F22338"/>
    <w:rsid w:val="73327580"/>
    <w:rsid w:val="733572FD"/>
    <w:rsid w:val="739039B5"/>
    <w:rsid w:val="73BE3A62"/>
    <w:rsid w:val="742207A0"/>
    <w:rsid w:val="746C7E4B"/>
    <w:rsid w:val="74E90FB2"/>
    <w:rsid w:val="750E6C6B"/>
    <w:rsid w:val="755E374E"/>
    <w:rsid w:val="75884CEA"/>
    <w:rsid w:val="75B310E7"/>
    <w:rsid w:val="75B318F4"/>
    <w:rsid w:val="761A4623"/>
    <w:rsid w:val="76377F56"/>
    <w:rsid w:val="76406A2B"/>
    <w:rsid w:val="764B35A7"/>
    <w:rsid w:val="768B4C33"/>
    <w:rsid w:val="76907D27"/>
    <w:rsid w:val="769136B0"/>
    <w:rsid w:val="769472B7"/>
    <w:rsid w:val="769E6A57"/>
    <w:rsid w:val="77B238DE"/>
    <w:rsid w:val="78A4106B"/>
    <w:rsid w:val="78ED1252"/>
    <w:rsid w:val="79975481"/>
    <w:rsid w:val="79B4511D"/>
    <w:rsid w:val="79C020AC"/>
    <w:rsid w:val="79F60BE5"/>
    <w:rsid w:val="7A1B4027"/>
    <w:rsid w:val="7A965738"/>
    <w:rsid w:val="7A9C5596"/>
    <w:rsid w:val="7ABC1C9C"/>
    <w:rsid w:val="7AF76618"/>
    <w:rsid w:val="7B022DCE"/>
    <w:rsid w:val="7B272834"/>
    <w:rsid w:val="7B8F71DF"/>
    <w:rsid w:val="7C0A638A"/>
    <w:rsid w:val="7C1568F9"/>
    <w:rsid w:val="7C7B5B0B"/>
    <w:rsid w:val="7CB2612E"/>
    <w:rsid w:val="7CC25607"/>
    <w:rsid w:val="7D1F24A7"/>
    <w:rsid w:val="7D354082"/>
    <w:rsid w:val="7D5611AF"/>
    <w:rsid w:val="7D926A62"/>
    <w:rsid w:val="7DE859ED"/>
    <w:rsid w:val="7E1C07CA"/>
    <w:rsid w:val="7E241398"/>
    <w:rsid w:val="7E3612BE"/>
    <w:rsid w:val="7E4C610E"/>
    <w:rsid w:val="7E605866"/>
    <w:rsid w:val="7ECA59B1"/>
    <w:rsid w:val="7EF02D9A"/>
    <w:rsid w:val="7F09108F"/>
    <w:rsid w:val="7F83742C"/>
    <w:rsid w:val="7F967ECB"/>
    <w:rsid w:val="7FAC3308"/>
    <w:rsid w:val="7FDC49A0"/>
    <w:rsid w:val="7FDD016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unhideWhenUsed/>
    <w:qFormat/>
    <w:uiPriority w:val="99"/>
    <w:pPr>
      <w:ind w:firstLine="680"/>
    </w:pPr>
  </w:style>
  <w:style w:type="paragraph" w:styleId="9">
    <w:name w:val="annotation text"/>
    <w:basedOn w:val="1"/>
    <w:semiHidden/>
    <w:unhideWhenUsed/>
    <w:qFormat/>
    <w:uiPriority w:val="99"/>
    <w:pPr>
      <w:jc w:val="left"/>
    </w:pPr>
  </w:style>
  <w:style w:type="paragraph" w:styleId="10">
    <w:name w:val="Body Text"/>
    <w:basedOn w:val="1"/>
    <w:link w:val="30"/>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5"/>
    <w:semiHidden/>
    <w:unhideWhenUsed/>
    <w:qFormat/>
    <w:uiPriority w:val="99"/>
    <w:rPr>
      <w:sz w:val="18"/>
      <w:szCs w:val="18"/>
    </w:rPr>
  </w:style>
  <w:style w:type="paragraph" w:styleId="13">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able of figures"/>
    <w:basedOn w:val="1"/>
    <w:next w:val="1"/>
    <w:qFormat/>
    <w:uiPriority w:val="0"/>
    <w:pPr>
      <w:ind w:left="200" w:leftChars="200" w:hanging="200" w:hangingChars="200"/>
    </w:pPr>
  </w:style>
  <w:style w:type="paragraph" w:styleId="17">
    <w:name w:val="toc 2"/>
    <w:basedOn w:val="1"/>
    <w:next w:val="1"/>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4"/>
    <w:semiHidden/>
    <w:qFormat/>
    <w:locked/>
    <w:uiPriority w:val="99"/>
    <w:rPr>
      <w:sz w:val="18"/>
    </w:rPr>
  </w:style>
  <w:style w:type="character" w:customStyle="1" w:styleId="27">
    <w:name w:val="Footer Char"/>
    <w:basedOn w:val="20"/>
    <w:semiHidden/>
    <w:qFormat/>
    <w:uiPriority w:val="99"/>
    <w:rPr>
      <w:rFonts w:ascii="Times New Roman" w:hAnsi="Times New Roman"/>
      <w:sz w:val="18"/>
      <w:szCs w:val="18"/>
    </w:rPr>
  </w:style>
  <w:style w:type="character" w:customStyle="1" w:styleId="28">
    <w:name w:val="页脚 字符"/>
    <w:link w:val="13"/>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10"/>
    <w:qFormat/>
    <w:locked/>
    <w:uiPriority w:val="99"/>
    <w:rPr>
      <w:rFonts w:ascii="仿宋_GB2312" w:hAnsi="Times New Roman" w:eastAsia="仿宋_GB2312"/>
      <w:sz w:val="24"/>
    </w:rPr>
  </w:style>
  <w:style w:type="paragraph" w:styleId="31">
    <w:name w:val="List Paragraph"/>
    <w:basedOn w:val="1"/>
    <w:qFormat/>
    <w:uiPriority w:val="34"/>
    <w:pPr>
      <w:ind w:firstLine="420" w:firstLineChars="200"/>
    </w:pPr>
  </w:style>
  <w:style w:type="character" w:customStyle="1" w:styleId="32">
    <w:name w:val="标题 1 字符"/>
    <w:basedOn w:val="20"/>
    <w:link w:val="5"/>
    <w:qFormat/>
    <w:uiPriority w:val="9"/>
    <w:rPr>
      <w:rFonts w:ascii="Times New Roman" w:hAnsi="Times New Roman"/>
      <w:b/>
      <w:bCs/>
      <w:kern w:val="44"/>
      <w:sz w:val="44"/>
      <w:szCs w:val="44"/>
    </w:rPr>
  </w:style>
  <w:style w:type="character" w:customStyle="1" w:styleId="33">
    <w:name w:val="标题 2 字符"/>
    <w:basedOn w:val="20"/>
    <w:link w:val="6"/>
    <w:qFormat/>
    <w:uiPriority w:val="9"/>
    <w:rPr>
      <w:rFonts w:asciiTheme="majorHAnsi" w:hAnsiTheme="majorHAnsi" w:eastAsiaTheme="majorEastAsia" w:cstheme="majorBidi"/>
      <w:b/>
      <w:bCs/>
      <w:kern w:val="2"/>
      <w:sz w:val="32"/>
      <w:szCs w:val="32"/>
    </w:rPr>
  </w:style>
  <w:style w:type="paragraph" w:customStyle="1" w:styleId="34">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2"/>
    <w:semiHidden/>
    <w:qFormat/>
    <w:uiPriority w:val="99"/>
    <w:rPr>
      <w:rFonts w:ascii="Times New Roman" w:hAnsi="Times New Roman"/>
      <w:kern w:val="2"/>
      <w:sz w:val="18"/>
      <w:szCs w:val="18"/>
    </w:rPr>
  </w:style>
  <w:style w:type="character" w:customStyle="1" w:styleId="36">
    <w:name w:val="标题 3 字符"/>
    <w:basedOn w:val="20"/>
    <w:link w:val="7"/>
    <w:qFormat/>
    <w:uiPriority w:val="9"/>
    <w:rPr>
      <w:rFonts w:ascii="Times New Roman" w:hAnsi="Times New Roman"/>
      <w:b/>
      <w:bCs/>
      <w:kern w:val="2"/>
      <w:sz w:val="32"/>
      <w:szCs w:val="32"/>
    </w:rPr>
  </w:style>
  <w:style w:type="character" w:customStyle="1" w:styleId="37">
    <w:name w:val="标题 1 Char"/>
    <w:basedOn w:val="20"/>
    <w:link w:val="5"/>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1\AppData\Local\Temp\wps.pH4856\Workbook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1\AppData\Local\Temp\wps.gq4856\Workbook5.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1\AppData\Local\Temp\wps.em4856\Workbook7.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[Workbook1.xlsx]Sheet0!$A$2</c:f>
              <c:strCache>
                <c:ptCount val="1"/>
                <c:pt idx="0">
                  <c:v>收支决算总计变动图            单位：万元</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[Workbook1.xlsx]Sheet0!$B$1:$C$1</c:f>
              <c:strCache>
                <c:ptCount val="2"/>
                <c:pt idx="0">
                  <c:v>2023年</c:v>
                </c:pt>
                <c:pt idx="1">
                  <c:v>2024年</c:v>
                </c:pt>
              </c:strCache>
            </c:strRef>
          </c:cat>
          <c:val>
            <c:numRef>
              <c:f>[Workbook1.xlsx]Sheet0!$B$2:$C$2</c:f>
              <c:numCache>
                <c:formatCode>General</c:formatCode>
                <c:ptCount val="2"/>
                <c:pt idx="0">
                  <c:v>4606.49</c:v>
                </c:pt>
                <c:pt idx="1">
                  <c:v>5032.84</c:v>
                </c:pt>
              </c:numCache>
            </c:numRef>
          </c:val>
        </c:ser>
        <c:dLbls>
          <c:showLegendKey val="0"/>
          <c:showVal val="1"/>
          <c:showCatName val="0"/>
          <c:showSerName val="0"/>
          <c:showPercent val="0"/>
          <c:showBubbleSize val="0"/>
        </c:dLbls>
        <c:gapWidth val="75"/>
        <c:overlap val="40"/>
        <c:axId val="916843190"/>
        <c:axId val="245731319"/>
      </c:barChart>
      <c:catAx>
        <c:axId val="91684319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5731319"/>
        <c:crosses val="autoZero"/>
        <c:auto val="1"/>
        <c:lblAlgn val="ctr"/>
        <c:lblOffset val="100"/>
        <c:noMultiLvlLbl val="0"/>
      </c:catAx>
      <c:valAx>
        <c:axId val="245731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843190"/>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6893778-66af-48f5-a34d-45b212bc1ed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[Workbook5.xlsx]Sheet1!$B$1:$B$2</c:f>
              <c:strCache>
                <c:ptCount val="1"/>
                <c:pt idx="0">
                  <c:v>收入决算结构图   单位：万元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[Workbook5.xlsx]Sheet1!$A$3:$A$5</c:f>
              <c:strCache>
                <c:ptCount val="3"/>
                <c:pt idx="0">
                  <c:v>一般公共预算财政拨款收入</c:v>
                </c:pt>
                <c:pt idx="1">
                  <c:v>政府性基金预算财政拨款收入</c:v>
                </c:pt>
                <c:pt idx="2">
                  <c:v>其他收入</c:v>
                </c:pt>
              </c:strCache>
            </c:strRef>
          </c:cat>
          <c:val>
            <c:numRef>
              <c:f>[Workbook5.xlsx]Sheet1!$B$3:$B$5</c:f>
              <c:numCache>
                <c:formatCode>General</c:formatCode>
                <c:ptCount val="3"/>
                <c:pt idx="0">
                  <c:v>4900.03</c:v>
                </c:pt>
                <c:pt idx="1">
                  <c:v>61.66</c:v>
                </c:pt>
                <c:pt idx="2">
                  <c:v>71.15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868bd12-7cc3-40c5-b220-c3406b487eb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2</a:t>
                    </a:r>
                    <a:r>
                      <a:rPr lang="en-US" altLang="zh-CN"/>
                      <a:t>2.28</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77</a:t>
                    </a:r>
                    <a:r>
                      <a:rPr lang="en-US" altLang="zh-CN"/>
                      <a:t>.72</a:t>
                    </a:r>
                    <a:r>
                      <a:t>%</a:t>
                    </a:r>
                  </a:p>
                </c:rich>
              </c:tx>
              <c:dLblPos val="bestFit"/>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{1042.68,3563.81}</c:f>
              <c:numCache>
                <c:formatCode>General</c:formatCode>
                <c:ptCount val="2"/>
                <c:pt idx="0">
                  <c:v>1042.68</c:v>
                </c:pt>
                <c:pt idx="1">
                  <c:v>3563.81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874000ef-11fe-449a-b6bb-b3bcb8788650}"/>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财政拨款收、支决算变动情况图</a:t>
            </a:r>
          </a:p>
        </c:rich>
      </c:tx>
      <c:layout>
        <c:manualLayout>
          <c:xMode val="edge"/>
          <c:yMode val="edge"/>
          <c:x val="0.219791666666667"/>
          <c:y val="0.0277777777777778"/>
        </c:manualLayout>
      </c:layout>
      <c:overlay val="0"/>
      <c:spPr>
        <a:noFill/>
        <a:ln>
          <a:noFill/>
        </a:ln>
        <a:effectLst/>
      </c:spPr>
    </c:title>
    <c:autoTitleDeleted val="0"/>
    <c:plotArea>
      <c:layout/>
      <c:barChart>
        <c:barDir val="col"/>
        <c:grouping val="clustered"/>
        <c:varyColors val="0"/>
        <c:ser>
          <c:idx val="0"/>
          <c:order val="0"/>
          <c:tx>
            <c:strRef>
              <c:f>Sheet1!$B$1:$B$2</c:f>
              <c:strCache>
                <c:ptCount val="1"/>
                <c:pt idx="0">
                  <c:v>财政拨款收、支总计 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Sheet1!$A$3:$A$4</c:f>
              <c:strCache>
                <c:ptCount val="2"/>
                <c:pt idx="0">
                  <c:v>2023年</c:v>
                </c:pt>
                <c:pt idx="1">
                  <c:v>2024年</c:v>
                </c:pt>
              </c:strCache>
            </c:strRef>
          </c:cat>
          <c:val>
            <c:numRef>
              <c:f>Sheet1!$B$3:$B$4</c:f>
              <c:numCache>
                <c:formatCode>General</c:formatCode>
                <c:ptCount val="2"/>
                <c:pt idx="0">
                  <c:v>4570.83</c:v>
                </c:pt>
                <c:pt idx="1">
                  <c:v>4961.69</c:v>
                </c:pt>
              </c:numCache>
            </c:numRef>
          </c:val>
        </c:ser>
        <c:dLbls>
          <c:showLegendKey val="0"/>
          <c:showVal val="1"/>
          <c:showCatName val="0"/>
          <c:showSerName val="0"/>
          <c:showPercent val="0"/>
          <c:showBubbleSize val="0"/>
        </c:dLbls>
        <c:gapWidth val="219"/>
        <c:overlap val="-27"/>
        <c:axId val="538560792"/>
        <c:axId val="832268665"/>
      </c:barChart>
      <c:catAx>
        <c:axId val="5385607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2268665"/>
        <c:crosses val="autoZero"/>
        <c:auto val="1"/>
        <c:lblAlgn val="ctr"/>
        <c:lblOffset val="100"/>
        <c:noMultiLvlLbl val="0"/>
      </c:catAx>
      <c:valAx>
        <c:axId val="83226866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8560792"/>
        <c:crosses val="autoZero"/>
        <c:crossBetween val="between"/>
      </c:valAx>
      <c:spPr>
        <a:noFill/>
        <a:ln>
          <a:noFill/>
        </a:ln>
        <a:effectLst/>
      </c:spPr>
    </c:plotArea>
    <c:plotVisOnly val="1"/>
    <c:dispBlanksAs val="gap"/>
    <c:showDLblsOverMax val="0"/>
    <c:extLst>
      <c:ext uri="{0b15fc19-7d7d-44ad-8c2d-2c3a37ce22c3}">
        <chartProps xmlns="https://web.wps.cn/et/2018/main" chartId="{90d17af6-0528-4104-adf2-c17b3630ac6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2023年</c:v>
                </c:pt>
                <c:pt idx="1">
                  <c:v>2024年</c:v>
                </c:pt>
              </c:strCache>
            </c:strRef>
          </c:cat>
          <c:val>
            <c:numRef>
              <c:f>[工作簿1]Sheet1!$B$1:$B$2</c:f>
              <c:numCache>
                <c:formatCode>General</c:formatCode>
                <c:ptCount val="2"/>
                <c:pt idx="0">
                  <c:v>4461.21</c:v>
                </c:pt>
                <c:pt idx="1">
                  <c:v>4900.03</c:v>
                </c:pt>
              </c:numCache>
            </c:numRef>
          </c:val>
        </c:ser>
        <c:dLbls>
          <c:showLegendKey val="0"/>
          <c:showVal val="1"/>
          <c:showCatName val="0"/>
          <c:showSerName val="0"/>
          <c:showPercent val="0"/>
          <c:showBubbleSize val="0"/>
        </c:dLbls>
        <c:gapWidth val="219"/>
        <c:overlap val="-27"/>
        <c:axId val="695091027"/>
        <c:axId val="443478564"/>
      </c:barChart>
      <c:catAx>
        <c:axId val="6950910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3478564"/>
        <c:crosses val="autoZero"/>
        <c:auto val="1"/>
        <c:lblAlgn val="ctr"/>
        <c:lblOffset val="100"/>
        <c:noMultiLvlLbl val="0"/>
      </c:catAx>
      <c:valAx>
        <c:axId val="4434785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50910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81094b35-9058-48c1-bc0f-161e53ff8ac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[工作簿1]Sheet1!$A$8:$A$10</c:f>
              <c:strCache>
                <c:ptCount val="3"/>
                <c:pt idx="0">
                  <c:v>社会保障和就业支出</c:v>
                </c:pt>
                <c:pt idx="1">
                  <c:v>卫生健康支出</c:v>
                </c:pt>
                <c:pt idx="2">
                  <c:v>住房保障支出</c:v>
                </c:pt>
              </c:strCache>
            </c:strRef>
          </c:cat>
          <c:val>
            <c:numRef>
              <c:f>[工作簿1]Sheet1!$B$8:$B$10</c:f>
              <c:numCache>
                <c:formatCode>General</c:formatCode>
                <c:ptCount val="3"/>
                <c:pt idx="0">
                  <c:v>4792.45</c:v>
                </c:pt>
                <c:pt idx="1">
                  <c:v>50.77</c:v>
                </c:pt>
                <c:pt idx="2">
                  <c:v>56.81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84fc552-1a9a-4bfb-b8bd-8817f28f169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三公经费</a:t>
            </a:r>
            <a:endParaRPr b="1"/>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[工作簿1]Sheet1!$A$16:$A$18</c:f>
              <c:strCache>
                <c:ptCount val="3"/>
                <c:pt idx="0">
                  <c:v>公务用车运行维护费</c:v>
                </c:pt>
                <c:pt idx="1">
                  <c:v>公务接待费</c:v>
                </c:pt>
                <c:pt idx="2">
                  <c:v>因公出国（境）费</c:v>
                </c:pt>
              </c:strCache>
            </c:strRef>
          </c:cat>
          <c:val>
            <c:numRef>
              <c:f>[工作簿1]Sheet1!$B$16:$B$18</c:f>
              <c:numCache>
                <c:formatCode>General</c:formatCode>
                <c:ptCount val="3"/>
                <c:pt idx="0">
                  <c:v>7.6</c:v>
                </c:pt>
                <c:pt idx="1">
                  <c:v>0.15</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16ae0e0-9558-4e16-ba25-9883768bbb2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8285</Words>
  <Characters>9053</Characters>
  <Lines>48</Lines>
  <Paragraphs>13</Paragraphs>
  <TotalTime>1</TotalTime>
  <ScaleCrop>false</ScaleCrop>
  <LinksUpToDate>false</LinksUpToDate>
  <CharactersWithSpaces>9306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WPS_1490687677</cp:lastModifiedBy>
  <cp:lastPrinted>2021-09-26T08:39:00Z</cp:lastPrinted>
  <dcterms:modified xsi:type="dcterms:W3CDTF">2025-09-28T08:06:36Z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1299D18951BE410493814C5A7EEFB11E_13</vt:lpwstr>
  </property>
  <property fmtid="{D5CDD505-2E9C-101B-9397-08002B2CF9AE}" pid="4" name="KSOTemplateDocerSaveRecord">
    <vt:lpwstr>eyJoZGlkIjoiNGNlYmYzYjk3NWRhOWM0MWY2YjAzMGJjMTM0ZTM4ZjkiLCJ1c2VySWQiOiIyNzE5MDI5MTEifQ==</vt:lpwstr>
  </property>
</Properties>
</file>