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emf" ContentType="image/emf"/>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napToGrid w:val="0"/>
        <w:ind w:firstLineChars="200" w:firstLine="720"/>
        <w:jc w:val="center"/>
        <w:rPr>
          <w:rFonts w:ascii="华文中宋" w:eastAsia="华文中宋" w:hint="eastAsia"/>
          <w:sz w:val="36"/>
          <w:szCs w:val="36"/>
          <w:highlight w:val="auto"/>
        </w:rPr>
      </w:pPr>
      <w:bookmarkStart w:id="0" w:name="YS060100"/>
      <w:bookmarkStart w:id="1" w:name="第七部分部门决算分析报告撰写提纲"/>
      <w:bookmarkStart w:id="2" w:name="_GoBack"/>
      <w:bookmarkEnd w:id="2"/>
    </w:p>
    <w:p>
      <w:pPr>
        <w:snapToGrid w:val="0"/>
        <w:ind w:firstLineChars="200" w:firstLine="720"/>
        <w:jc w:val="center"/>
        <w:rPr>
          <w:rFonts w:ascii="仿宋_GB2312" w:eastAsia="仿宋_GB2312" w:hint="eastAsia"/>
          <w:sz w:val="32"/>
          <w:szCs w:val="32"/>
          <w:highlight w:val="auto"/>
        </w:rPr>
      </w:pPr>
      <w:bookmarkEnd w:id="0"/>
      <w:r>
        <w:rPr>
          <w:rFonts w:ascii="华文中宋" w:eastAsia="华文中宋" w:hint="eastAsia"/>
          <w:sz w:val="36"/>
          <w:szCs w:val="36"/>
        </w:rPr>
        <w:t>四川省阿坝州红原县查尔玛乡便民服务中心2024年度部门决算分析报告</w:t>
      </w:r>
    </w:p>
    <w:p>
      <w:pPr>
        <w:snapToGrid w:val="0"/>
        <w:spacing w:line="520" w:lineRule="exact"/>
        <w:ind w:firstLineChars="200" w:firstLine="640"/>
        <w:rPr>
          <w:rFonts w:ascii="黑体" w:eastAsia="黑体" w:hint="eastAsia"/>
          <w:sz w:val="32"/>
          <w:szCs w:val="32"/>
          <w:highlight w:val="auto"/>
        </w:rPr>
      </w:pPr>
      <w:bookmarkStart w:id="3" w:name="YS060101"/>
      <w:r>
        <w:rPr>
          <w:rFonts w:ascii="黑体" w:eastAsia="黑体" w:hint="eastAsia"/>
          <w:sz w:val="32"/>
          <w:szCs w:val="32"/>
          <w:highlight w:val="auto"/>
        </w:rPr>
        <w:t>一、单位情况</w:t>
      </w:r>
    </w:p>
    <w:p>
      <w:pPr>
        <w:snapToGrid w:val="0"/>
        <w:spacing w:line="520" w:lineRule="exact"/>
        <w:ind w:firstLineChars="200" w:firstLine="640"/>
        <w:rPr>
          <w:rFonts w:ascii="楷体_GB2312" w:eastAsia="楷体_GB2312" w:hint="eastAsia"/>
          <w:b/>
          <w:sz w:val="32"/>
          <w:szCs w:val="32"/>
          <w:highlight w:val="auto"/>
        </w:rPr>
      </w:pPr>
      <w:bookmarkEnd w:id="3"/>
      <w:r>
        <w:rPr>
          <w:rFonts w:ascii="楷体_GB2312" w:eastAsia="楷体_GB2312" w:hint="eastAsia"/>
          <w:b/>
          <w:sz w:val="32"/>
          <w:szCs w:val="32"/>
          <w:highlight w:val="auto"/>
        </w:rPr>
        <w:t>（一）基本情况。</w:t>
      </w:r>
    </w:p>
    <w:p>
      <w:pPr>
        <w:numPr>
          <w:ilvl w:val="0"/>
          <w:numId w:val="1"/>
        </w:numPr>
        <w:snapToGrid w:val="0"/>
        <w:spacing w:line="520" w:lineRule="exact"/>
        <w:rPr>
          <w:rFonts w:ascii="仿宋_GB2312" w:eastAsia="仿宋_GB2312" w:hint="eastAsia"/>
          <w:sz w:val="32"/>
          <w:szCs w:val="32"/>
          <w:highlight w:val="auto"/>
        </w:rPr>
      </w:pPr>
      <w:r>
        <w:rPr>
          <w:rFonts w:ascii="仿宋_GB2312" w:eastAsia="仿宋_GB2312" w:hint="eastAsia"/>
          <w:sz w:val="32"/>
          <w:szCs w:val="32"/>
          <w:highlight w:val="auto"/>
        </w:rPr>
        <w:t>主要职能。</w:t>
      </w:r>
    </w:p>
    <w:p>
      <w:pPr>
        <w:pStyle w:val="30"/>
        <w:ind w:firstLineChars="200" w:firstLine="640"/>
        <w:rPr>
          <w:rFonts w:hint="eastAsia"/>
        </w:rPr>
      </w:pPr>
      <w:r>
        <w:rPr>
          <w:rFonts w:ascii="仿宋_GB2312" w:eastAsia="仿宋_GB2312" w:cs="Times New Roman" w:hint="eastAsia"/>
          <w:sz w:val="32"/>
          <w:szCs w:val="32"/>
          <w:lang w:bidi="ar-SA"/>
        </w:rPr>
        <w:t>一是负责制定中心有关规章制度、管理办法并组织实施；按照政务服务事项清单，承担辖区内行政审批、证照办理和社会保障等民生服务职责；二是负责防汛、森林草原防灭火等自然灾害监测、预警和综合防治工作；三是负责辖区社会治安综合治理、信访维稳、矛盾纠纷排查和调处工作；四是负责国家财经政策和法规宣传、贯彻，负责上级各对口业务单位开展的专项调研安排、汇报材料撰写等工作；五是完成上级部门交办的其他事项。</w:t>
      </w:r>
    </w:p>
    <w:p>
      <w:pPr>
        <w:spacing w:line="580" w:lineRule="exact"/>
        <w:ind w:firstLineChars="200" w:firstLine="640"/>
        <w:rPr>
          <w:rFonts w:ascii="仿宋_GB2312" w:eastAsia="仿宋_GB2312" w:hint="eastAsia"/>
          <w:kern w:val="0"/>
          <w:sz w:val="32"/>
          <w:szCs w:val="32"/>
        </w:rPr>
      </w:pPr>
      <w:r>
        <w:rPr>
          <w:rFonts w:ascii="仿宋_GB2312" w:eastAsia="仿宋_GB2312" w:hint="eastAsia"/>
          <w:kern w:val="0"/>
          <w:sz w:val="32"/>
          <w:szCs w:val="32"/>
          <w:highlight w:val="auto"/>
        </w:rPr>
        <w:t>2．</w:t>
      </w:r>
      <w:r>
        <w:rPr>
          <w:rFonts w:ascii="仿宋_GB2312" w:eastAsia="仿宋_GB2312" w:hint="eastAsia"/>
          <w:bCs/>
          <w:kern w:val="0"/>
          <w:sz w:val="32"/>
          <w:szCs w:val="32"/>
        </w:rPr>
        <w:t>本单位本年度纳入本套决算编制范围的独立编制机构数共1个，比上年增加0个，独立核算机构数共1个，比上年增加0个。</w:t>
      </w:r>
    </w:p>
    <w:p>
      <w:pPr>
        <w:snapToGrid w:val="0"/>
        <w:spacing w:line="520" w:lineRule="exact"/>
        <w:ind w:firstLineChars="200" w:firstLine="640"/>
        <w:rPr>
          <w:rFonts w:ascii="仿宋_GB2312" w:eastAsia="仿宋_GB2312" w:cs="仿宋" w:hint="eastAsia"/>
          <w:bCs/>
          <w:kern w:val="0"/>
          <w:sz w:val="32"/>
          <w:szCs w:val="32"/>
          <w:lang w:bidi="ar-SA"/>
          <w:highlight w:val="auto"/>
        </w:rPr>
      </w:pPr>
      <w:r>
        <w:rPr>
          <w:rFonts w:ascii="仿宋_GB2312" w:eastAsia="仿宋_GB2312" w:cs="仿宋" w:hint="eastAsia"/>
          <w:bCs/>
          <w:kern w:val="0"/>
          <w:sz w:val="32"/>
          <w:szCs w:val="32"/>
          <w:lang w:bidi="ar-SA"/>
          <w:highlight w:val="auto"/>
        </w:rPr>
        <w:t>3．</w:t>
      </w:r>
      <w:r>
        <w:rPr>
          <w:rFonts w:ascii="仿宋_GB2312" w:eastAsia="仿宋_GB2312" w:cs="仿宋" w:hint="eastAsia"/>
          <w:bCs/>
          <w:kern w:val="0"/>
          <w:sz w:val="32"/>
          <w:szCs w:val="32"/>
          <w:lang w:bidi="ar-SA"/>
        </w:rPr>
        <w:t>本单位本年度年末实有人数为9人，比上年增加0人；年末实有离退休人数为0人，比上年增加0人；年末实有其他人数为0人，比上年增加0人。</w:t>
      </w:r>
    </w:p>
    <w:p>
      <w:pPr>
        <w:snapToGrid w:val="0"/>
        <w:spacing w:line="520" w:lineRule="exact"/>
        <w:ind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（二）当年取得的主要事业成效。</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Fonts w:ascii="Times New Roman" w:eastAsia="仿宋_GB2312" w:cs="Times New Roman" w:hAnsi="Times New Roman"/>
          <w:color w:val="000000"/>
          <w:sz w:val="32"/>
          <w:szCs w:val="32"/>
          <w:lang w:val="en-US" w:eastAsia="zh-CN" w:bidi="ar-SA"/>
        </w:rPr>
      </w:pPr>
      <w:r>
        <w:rPr>
          <w:rFonts w:ascii="Times New Roman" w:eastAsia="仿宋_GB2312" w:cs="Times New Roman" w:hAnsi="Times New Roman"/>
          <w:color w:val="000000"/>
          <w:kern w:val="2"/>
          <w:sz w:val="32"/>
          <w:szCs w:val="32"/>
          <w:lang w:val="en-US" w:eastAsia="zh-CN" w:bidi="ar-SA"/>
        </w:rPr>
        <w:t>2024年以来，在县委、县政府和乡党委的坚强领导下，</w:t>
      </w:r>
      <w:r>
        <w:rPr>
          <w:rFonts w:ascii="Times New Roman" w:eastAsia="仿宋_GB2312" w:cs="Times New Roman" w:hAnsi="Times New Roman"/>
          <w:color w:val="auto"/>
          <w:spacing w:val="0"/>
          <w:sz w:val="32"/>
          <w:szCs w:val="32"/>
          <w:shd w:val="clear" w:color="auto" w:fill="FFFFFF"/>
          <w:lang w:bidi="ar-SA"/>
        </w:rPr>
        <w:t>在县</w:t>
      </w:r>
      <w:r>
        <w:rPr>
          <w:rFonts w:ascii="Times New Roman" w:eastAsia="仿宋_GB2312" w:cs="Times New Roman" w:hAnsi="Times New Roman"/>
          <w:color w:val="auto"/>
          <w:spacing w:val="0"/>
          <w:sz w:val="32"/>
          <w:szCs w:val="32"/>
          <w:shd w:val="clear" w:color="auto" w:fill="FFFFFF"/>
          <w:lang w:val="en-US" w:eastAsia="zh-CN" w:bidi="ar-SA"/>
        </w:rPr>
        <w:t>级</w:t>
      </w:r>
      <w:r>
        <w:rPr>
          <w:rFonts w:ascii="Times New Roman" w:eastAsia="仿宋_GB2312" w:cs="Times New Roman" w:hAnsi="Times New Roman"/>
          <w:color w:val="auto"/>
          <w:spacing w:val="0"/>
          <w:sz w:val="32"/>
          <w:szCs w:val="32"/>
          <w:shd w:val="clear" w:color="auto" w:fill="FFFFFF"/>
          <w:lang w:bidi="ar-SA"/>
        </w:rPr>
        <w:t>各部门的大力支持下，</w:t>
      </w:r>
      <w:r>
        <w:rPr>
          <w:rFonts w:ascii="Times New Roman" w:eastAsia="仿宋_GB2312" w:cs="Times New Roman" w:hAnsi="Times New Roman"/>
          <w:color w:val="auto"/>
          <w:spacing w:val="0"/>
          <w:sz w:val="32"/>
          <w:szCs w:val="32"/>
          <w:shd w:val="clear" w:color="auto" w:fill="FFFFFF"/>
          <w:lang w:val="en-US" w:eastAsia="zh-CN" w:bidi="ar-SA"/>
        </w:rPr>
        <w:t>坚持</w:t>
      </w:r>
      <w:r>
        <w:rPr>
          <w:rFonts w:ascii="Times New Roman" w:eastAsia="仿宋_GB2312" w:cs="Times New Roman" w:hAnsi="Times New Roman"/>
          <w:color w:val="000000"/>
          <w:kern w:val="2"/>
          <w:sz w:val="32"/>
          <w:szCs w:val="32"/>
          <w:lang w:val="en-US" w:eastAsia="zh-CN" w:bidi="ar-SA"/>
        </w:rPr>
        <w:t>以习近平新时代中国特色社会主义思想为指导，深入贯彻落实党的二十大和省委、州委、县委历次全会精神，坚决贯彻执行</w:t>
      </w:r>
      <w:r>
        <w:rPr>
          <w:rFonts w:ascii="Times New Roman" w:eastAsia="仿宋_GB2312" w:cs="Times New Roman" w:hAnsi="Times New Roman"/>
          <w:color w:val="auto"/>
          <w:spacing w:val="0"/>
          <w:sz w:val="32"/>
          <w:szCs w:val="32"/>
          <w:shd w:val="clear" w:color="auto" w:fill="FFFFFF"/>
          <w:lang w:val="en-US" w:eastAsia="zh-CN" w:bidi="ar-SA"/>
        </w:rPr>
        <w:t>中央、省、州</w:t>
      </w:r>
      <w:r>
        <w:rPr>
          <w:rFonts w:ascii="Times New Roman" w:eastAsia="仿宋_GB2312" w:cs="Times New Roman" w:hAnsi="Times New Roman" w:hint="eastAsia"/>
          <w:color w:val="auto"/>
          <w:spacing w:val="0"/>
          <w:sz w:val="32"/>
          <w:szCs w:val="32"/>
          <w:shd w:val="clear" w:color="auto" w:fill="FFFFFF"/>
          <w:lang w:val="en-US" w:eastAsia="zh-CN" w:bidi="ar-SA"/>
        </w:rPr>
        <w:t>、县</w:t>
      </w:r>
      <w:r>
        <w:rPr>
          <w:rFonts w:ascii="Times New Roman" w:eastAsia="仿宋_GB2312" w:cs="Times New Roman" w:hAnsi="Times New Roman"/>
          <w:color w:val="auto"/>
          <w:spacing w:val="0"/>
          <w:sz w:val="32"/>
          <w:szCs w:val="32"/>
          <w:shd w:val="clear" w:color="auto" w:fill="FFFFFF"/>
          <w:lang w:val="en-US" w:eastAsia="zh-CN" w:bidi="ar-SA"/>
        </w:rPr>
        <w:t>各项决策部署，</w:t>
      </w:r>
      <w:r>
        <w:rPr>
          <w:rFonts w:ascii="Times New Roman" w:eastAsia="仿宋_GB2312" w:cs="Times New Roman" w:hAnsi="Times New Roman"/>
          <w:color w:val="000000"/>
          <w:sz w:val="32"/>
          <w:szCs w:val="32"/>
          <w:lang w:val="en-US" w:eastAsia="zh-CN" w:bidi="ar-SA"/>
        </w:rPr>
        <w:t>团结全乡干部群众，发展畜牧经济、改善民生设施、推进乡村振兴、强化生态环保、创新基层治理、维护社会稳定、提升服务能力，全乡</w:t>
      </w:r>
      <w:r>
        <w:rPr>
          <w:rFonts w:ascii="Times New Roman" w:eastAsia="仿宋_GB2312" w:cs="Times New Roman" w:hAnsi="Times New Roman"/>
          <w:color w:val="000000"/>
          <w:sz w:val="32"/>
          <w:szCs w:val="32"/>
          <w:shd w:val="clear" w:color="040000" w:fill="FFFFFF"/>
          <w:lang w:eastAsia="zh-CN" w:bidi="ar-SA"/>
        </w:rPr>
        <w:t>经济社会呈现稳中有进的</w:t>
      </w:r>
      <w:r>
        <w:rPr>
          <w:rFonts w:ascii="Times New Roman" w:eastAsia="仿宋_GB2312" w:cs="Times New Roman" w:hAnsi="Times New Roman"/>
          <w:color w:val="000000"/>
          <w:sz w:val="32"/>
          <w:szCs w:val="32"/>
          <w:lang w:val="en-US" w:eastAsia="zh-CN" w:bidi="ar-SA"/>
        </w:rPr>
        <w:t>良好局面。</w:t>
      </w:r>
    </w:p>
    <w:p>
      <w:pPr>
        <w:keepNext w:val="0"/>
        <w:keepLines w:val="0"/>
        <w:pageBreakBefore w:val="0"/>
        <w:widowControl w:val="0"/>
        <w:kinsoku/>
        <w:wordWrap/>
        <w:overflowPunct/>
        <w:topLinePunct w:val="0"/>
        <w:autoSpaceDE/>
        <w:autoSpaceDN/>
        <w:bidi w:val="0"/>
        <w:snapToGrid w:val="0"/>
        <w:spacing w:line="540" w:lineRule="exact"/>
        <w:ind w:firstLineChars="196" w:firstLine="627"/>
        <w:jc w:val="both"/>
        <w:textAlignment w:val="auto"/>
        <w:rPr>
          <w:rFonts w:ascii="Times New Roman" w:eastAsia="黑体" w:cs="Times New Roman" w:hAnsi="Times New Roman"/>
          <w:sz w:val="32"/>
          <w:szCs w:val="32"/>
          <w:lang w:val="en-US" w:bidi="ar-SA"/>
        </w:rPr>
      </w:pPr>
      <w:r>
        <w:rPr>
          <w:rFonts w:ascii="仿宋_GB2312" w:eastAsia="仿宋_GB2312" w:hint="eastAsia"/>
          <w:b/>
          <w:sz w:val="32"/>
        </w:rPr>
        <w:t>1.</w:t>
      </w:r>
      <w:r>
        <w:rPr>
          <w:rFonts w:ascii="Times New Roman" w:eastAsia="黑体" w:cs="Times New Roman" w:hAnsi="Times New Roman"/>
          <w:sz w:val="32"/>
          <w:szCs w:val="32"/>
          <w:lang w:val="en-US" w:eastAsia="zh-CN" w:bidi="ar-SA"/>
        </w:rPr>
        <w:t>多措并举防返贫</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乡村振兴有力有序</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Style w:val="28"/>
          <w:rFonts w:ascii="仿宋_GB2312" w:eastAsia="仿宋_GB2312" w:cs="Times New Roman" w:hint="eastAsia"/>
          <w:bCs/>
          <w:color w:val="auto"/>
          <w:kern w:val="2"/>
          <w:sz w:val="32"/>
          <w:szCs w:val="32"/>
          <w:lang w:bidi="ar-SA"/>
        </w:rPr>
      </w:pPr>
      <w:r>
        <w:rPr>
          <w:rFonts w:ascii="Times New Roman" w:eastAsia="仿宋_GB2312" w:cs="Times New Roman" w:hAnsi="Times New Roman"/>
          <w:color w:val="000000"/>
          <w:sz w:val="32"/>
          <w:szCs w:val="32"/>
          <w:lang w:val="en-US" w:eastAsia="zh-CN" w:bidi="ar-SA"/>
        </w:rPr>
        <w:t>聚焦教育、医疗、住房、产业、饮水等领域，抓实抓细巩固脱贫攻坚成果同乡村振兴有效衔接，</w:t>
      </w:r>
      <w:r>
        <w:rPr>
          <w:rFonts w:ascii="Times New Roman" w:eastAsia="仿宋_GB2312" w:cs="Times New Roman" w:hAnsi="Times New Roman"/>
          <w:kern w:val="2"/>
          <w:sz w:val="32"/>
          <w:szCs w:val="32"/>
          <w:lang w:val="en-US" w:eastAsia="zh-CN" w:bidi="ar-SA"/>
        </w:rPr>
        <w:t>全力做好兜底保障。截至目前，</w:t>
      </w:r>
      <w:r>
        <w:rPr>
          <w:rFonts w:ascii="Times New Roman" w:eastAsia="仿宋_GB2312" w:cs="Times New Roman" w:hAnsi="Times New Roman"/>
          <w:color w:val="auto"/>
          <w:kern w:val="2"/>
          <w:sz w:val="32"/>
          <w:szCs w:val="32"/>
          <w:lang w:val="en-US" w:eastAsia="zh-CN" w:bidi="ar-SA"/>
        </w:rPr>
        <w:t>全</w:t>
      </w:r>
      <w:r>
        <w:rPr>
          <w:rFonts w:ascii="Times New Roman" w:eastAsia="仿宋_GB2312" w:cs="Times New Roman" w:hAnsi="Times New Roman"/>
          <w:color w:val="auto"/>
          <w:spacing w:val="0"/>
          <w:sz w:val="32"/>
          <w:szCs w:val="32"/>
          <w:u w:val="none"/>
          <w:shd w:val="clear" w:color="auto" w:fill="FFFFFF"/>
          <w:lang w:val="en-US" w:eastAsia="zh-CN" w:bidi="ar-SA"/>
        </w:rPr>
        <w:t>乡32户144人</w:t>
      </w:r>
      <w:r>
        <w:rPr>
          <w:rFonts w:ascii="Times New Roman" w:eastAsia="仿宋_GB2312" w:cs="Times New Roman" w:hAnsi="Times New Roman"/>
          <w:color w:val="auto"/>
          <w:sz w:val="32"/>
          <w:szCs w:val="32"/>
          <w:lang w:val="en-US" w:eastAsia="zh-CN" w:bidi="ar-SA"/>
        </w:rPr>
        <w:t>脱贫群众实现人均</w:t>
      </w:r>
      <w:r>
        <w:rPr>
          <w:rFonts w:ascii="Times New Roman" w:eastAsia="仿宋_GB2312" w:cs="Times New Roman" w:hAnsi="Times New Roman" w:hint="eastAsia"/>
          <w:color w:val="auto"/>
          <w:sz w:val="32"/>
          <w:szCs w:val="32"/>
          <w:lang w:val="en-US" w:eastAsia="zh-CN" w:bidi="ar-SA"/>
        </w:rPr>
        <w:t>纯</w:t>
      </w:r>
      <w:r>
        <w:rPr>
          <w:rFonts w:ascii="Times New Roman" w:eastAsia="仿宋_GB2312" w:cs="Times New Roman" w:hAnsi="Times New Roman"/>
          <w:color w:val="auto"/>
          <w:sz w:val="32"/>
          <w:szCs w:val="32"/>
          <w:lang w:val="en-US" w:eastAsia="zh-CN" w:bidi="ar-SA"/>
        </w:rPr>
        <w:t>收入17972.52元</w:t>
      </w:r>
      <w:r>
        <w:rPr>
          <w:rFonts w:ascii="Times New Roman" w:eastAsia="仿宋_GB2312" w:cs="Times New Roman" w:hAnsi="Times New Roman"/>
          <w:color w:val="000000"/>
          <w:sz w:val="32"/>
          <w:szCs w:val="32"/>
          <w:lang w:val="en-US" w:eastAsia="zh-CN" w:bidi="ar-SA"/>
        </w:rPr>
        <w:t>。</w:t>
      </w:r>
      <w:r>
        <w:rPr>
          <w:rStyle w:val="26"/>
          <w:rFonts w:ascii="Times New Roman" w:eastAsia="楷体_GB2312" w:cs="Times New Roman" w:hAnsi="Times New Roman"/>
          <w:bCs w:val="0"/>
          <w:color w:val="000000"/>
          <w:sz w:val="32"/>
          <w:szCs w:val="32"/>
          <w:shd w:val="clear" w:color="auto" w:fill="FFFFFF"/>
          <w:lang w:val="en-US" w:eastAsia="zh-CN" w:bidi="ar-SA"/>
        </w:rPr>
        <w:t>一是激发稳产内生动力。</w:t>
      </w:r>
      <w:r>
        <w:rPr>
          <w:rFonts w:ascii="Times New Roman" w:eastAsia="仿宋_GB2312" w:cs="Times New Roman" w:hAnsi="Times New Roman"/>
          <w:color w:val="000000"/>
          <w:sz w:val="32"/>
          <w:szCs w:val="32"/>
          <w:lang w:val="en-US" w:eastAsia="zh-CN" w:bidi="ar-SA"/>
        </w:rPr>
        <w:t>为助力脱贫人群劳动力稳岗就业不返贫，积极落实生态、就业、光伏扶贫等公益性岗位，实现</w:t>
      </w:r>
      <w:r>
        <w:rPr>
          <w:rFonts w:ascii="Times New Roman" w:eastAsia="仿宋_GB2312" w:cs="Times New Roman" w:hAnsi="Times New Roman"/>
          <w:color w:val="000000"/>
          <w:kern w:val="2"/>
          <w:sz w:val="32"/>
          <w:szCs w:val="32"/>
          <w:lang w:val="en-US" w:eastAsia="zh-CN" w:bidi="ar-SA"/>
        </w:rPr>
        <w:t>就近就业和鼓励外出务工50人。</w:t>
      </w:r>
      <w:r>
        <w:rPr>
          <w:rFonts w:ascii="Times New Roman" w:eastAsia="仿宋_GB2312" w:cs="Times New Roman" w:hAnsi="Times New Roman"/>
          <w:kern w:val="2"/>
          <w:sz w:val="32"/>
          <w:szCs w:val="32"/>
          <w:lang w:val="en-US" w:eastAsia="zh-CN" w:bidi="ar-SA"/>
        </w:rPr>
        <w:t>实施脱贫户（监测户）产业到户项目，政府补助44.4万元为全乡32户脱贫户、1户监测户购买牦牛148头，有效促进脱贫群众稳定增收。</w:t>
      </w:r>
      <w:r>
        <w:rPr>
          <w:rStyle w:val="26"/>
          <w:rFonts w:ascii="Times New Roman" w:eastAsia="楷体_GB2312" w:cs="Times New Roman" w:hAnsi="Times New Roman"/>
          <w:bCs w:val="0"/>
          <w:color w:val="000000"/>
          <w:sz w:val="32"/>
          <w:szCs w:val="32"/>
          <w:shd w:val="clear" w:color="auto" w:fill="FFFFFF"/>
          <w:lang w:val="en-US" w:eastAsia="zh-CN" w:bidi="ar-SA"/>
        </w:rPr>
        <w:t>二是核实核细风险线索。</w:t>
      </w:r>
      <w:r>
        <w:rPr>
          <w:rFonts w:ascii="Times New Roman" w:eastAsia="仿宋_GB2312" w:cs="Times New Roman" w:hAnsi="Times New Roman"/>
          <w:kern w:val="2"/>
          <w:sz w:val="32"/>
          <w:szCs w:val="32"/>
          <w:lang w:val="en-US" w:eastAsia="zh-CN" w:bidi="ar-SA"/>
        </w:rPr>
        <w:t>针对省州县各级各部门推送的返贫致贫风险线索，组织乡、村两级干部入户开展核实研判，2024年新识别纳入监测户1户</w:t>
      </w:r>
      <w:r>
        <w:rPr>
          <w:rFonts w:ascii="Times New Roman" w:eastAsia="仿宋_GB2312" w:cs="Times New Roman" w:hAnsi="Times New Roman" w:hint="eastAsia"/>
          <w:kern w:val="2"/>
          <w:sz w:val="32"/>
          <w:szCs w:val="32"/>
          <w:lang w:val="en-US" w:eastAsia="zh-CN" w:bidi="ar-SA"/>
        </w:rPr>
        <w:t>3</w:t>
      </w:r>
      <w:r>
        <w:rPr>
          <w:rFonts w:ascii="Times New Roman" w:eastAsia="仿宋_GB2312" w:cs="Times New Roman" w:hAnsi="Times New Roman"/>
          <w:kern w:val="2"/>
          <w:sz w:val="32"/>
          <w:szCs w:val="32"/>
          <w:lang w:val="en-US" w:eastAsia="zh-CN" w:bidi="ar-SA"/>
        </w:rPr>
        <w:t>人，实现应纳尽纳、应帮尽帮。</w:t>
      </w:r>
      <w:r>
        <w:rPr>
          <w:rStyle w:val="26"/>
          <w:rFonts w:ascii="Times New Roman" w:eastAsia="楷体_GB2312" w:cs="Times New Roman" w:hAnsi="Times New Roman"/>
          <w:bCs w:val="0"/>
          <w:color w:val="000000"/>
          <w:sz w:val="32"/>
          <w:szCs w:val="32"/>
          <w:shd w:val="clear" w:color="auto" w:fill="FFFFFF"/>
          <w:lang w:val="en-US" w:eastAsia="zh-CN" w:bidi="ar-SA"/>
        </w:rPr>
        <w:t>三是建立防止返贫机制。</w:t>
      </w:r>
      <w:r>
        <w:rPr>
          <w:rFonts w:ascii="Times New Roman" w:eastAsia="仿宋_GB2312" w:cs="Times New Roman" w:hAnsi="Times New Roman"/>
          <w:kern w:val="2"/>
          <w:sz w:val="32"/>
          <w:szCs w:val="32"/>
          <w:lang w:val="en-US" w:eastAsia="zh-CN" w:bidi="ar-SA"/>
        </w:rPr>
        <w:t>强化防返贫动态监测工作业务培训，明确政策依据，规范工作程序。完善乡、村两级防返贫监测帮扶网格，优化人员构成，细化完善网格工作职责。顺利召开红原县宜居宜业和美乡村建设现场会议。</w:t>
      </w:r>
    </w:p>
    <w:p>
      <w:pPr>
        <w:pStyle w:val="17"/>
        <w:keepNext w:val="0"/>
        <w:keepLines w:val="0"/>
        <w:pageBreakBefore w:val="0"/>
        <w:widowControl w:val="0"/>
        <w:kinsoku/>
        <w:wordWrap/>
        <w:overflowPunct/>
        <w:topLinePunct w:val="0"/>
        <w:autoSpaceDE/>
        <w:autoSpaceDN/>
        <w:bidi w:val="0"/>
        <w:adjustRightInd w:val="0"/>
        <w:snapToGrid w:val="0"/>
        <w:spacing w:before="0"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2.</w:t>
      </w:r>
      <w:r>
        <w:rPr>
          <w:rFonts w:ascii="Times New Roman" w:eastAsia="黑体" w:cs="Times New Roman" w:hAnsi="Times New Roman"/>
          <w:sz w:val="32"/>
          <w:szCs w:val="32"/>
          <w:lang w:val="en-US" w:eastAsia="zh-CN" w:bidi="ar-SA"/>
        </w:rPr>
        <w:t>鼓足干劲抓发展</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社会</w:t>
      </w:r>
      <w:r>
        <w:rPr>
          <w:rFonts w:ascii="Times New Roman" w:eastAsia="黑体" w:cs="Times New Roman" w:hAnsi="Times New Roman"/>
          <w:sz w:val="32"/>
          <w:szCs w:val="32"/>
          <w:lang w:bidi="ar-SA"/>
        </w:rPr>
        <w:t>经济稳中有进</w:t>
      </w:r>
    </w:p>
    <w:p>
      <w:pPr>
        <w:keepNext w:val="0"/>
        <w:keepLines w:val="0"/>
        <w:pageBreakBefore w:val="0"/>
        <w:widowControl w:val="0"/>
        <w:kinsoku/>
        <w:wordWrap/>
        <w:autoSpaceDE/>
        <w:autoSpaceDN/>
        <w:bidi w:val="0"/>
        <w:adjustRightInd/>
        <w:snapToGrid/>
        <w:spacing w:line="576" w:lineRule="exact"/>
        <w:ind w:left="0" w:firstLineChars="200" w:firstLine="640"/>
        <w:textAlignment w:val="auto"/>
        <w:rPr>
          <w:rFonts w:ascii="仿宋_GB2312" w:eastAsia="仿宋_GB2312" w:cs="Times New Roman" w:hint="eastAsia"/>
          <w:color w:val="auto"/>
          <w:kern w:val="0"/>
          <w:sz w:val="32"/>
          <w:szCs w:val="32"/>
          <w:lang w:val="en-US" w:eastAsia="zh-CN" w:bidi="ar-SA"/>
        </w:rPr>
      </w:pPr>
      <w:r>
        <w:rPr>
          <w:rFonts w:ascii="Times New Roman" w:eastAsia="仿宋_GB2312" w:cs="Times New Roman" w:hAnsi="Times New Roman"/>
          <w:sz w:val="32"/>
          <w:szCs w:val="32"/>
          <w:lang w:val="en-US" w:eastAsia="zh-CN" w:bidi="ar-SA"/>
        </w:rPr>
        <w:t>持续发展</w:t>
      </w:r>
      <w:r>
        <w:rPr>
          <w:rFonts w:ascii="Times New Roman" w:eastAsia="仿宋_GB2312" w:cs="Times New Roman" w:hAnsi="Times New Roman"/>
          <w:sz w:val="32"/>
          <w:szCs w:val="32"/>
          <w:lang w:bidi="ar-SA"/>
        </w:rPr>
        <w:t>畜牧产业，探索旅游产业，</w:t>
      </w:r>
      <w:r>
        <w:rPr>
          <w:rFonts w:ascii="Times New Roman" w:eastAsia="仿宋_GB2312" w:cs="Times New Roman" w:hAnsi="Times New Roman"/>
          <w:sz w:val="32"/>
          <w:szCs w:val="32"/>
          <w:lang w:eastAsia="zh-CN" w:bidi="ar-SA"/>
        </w:rPr>
        <w:t>实现</w:t>
      </w:r>
      <w:r>
        <w:rPr>
          <w:rFonts w:ascii="Times New Roman" w:eastAsia="仿宋_GB2312" w:cs="Times New Roman" w:hAnsi="Times New Roman"/>
          <w:sz w:val="32"/>
          <w:szCs w:val="32"/>
          <w:lang w:bidi="ar-SA"/>
        </w:rPr>
        <w:t>群众</w:t>
      </w:r>
      <w:r>
        <w:rPr>
          <w:rFonts w:ascii="Times New Roman" w:eastAsia="仿宋_GB2312" w:cs="Times New Roman" w:hAnsi="Times New Roman"/>
          <w:sz w:val="32"/>
          <w:szCs w:val="32"/>
          <w:lang w:eastAsia="zh-CN" w:bidi="ar-SA"/>
        </w:rPr>
        <w:t>稳定</w:t>
      </w:r>
      <w:r>
        <w:rPr>
          <w:rFonts w:ascii="Times New Roman" w:eastAsia="仿宋_GB2312" w:cs="Times New Roman" w:hAnsi="Times New Roman"/>
          <w:sz w:val="32"/>
          <w:szCs w:val="32"/>
          <w:lang w:bidi="ar-SA"/>
        </w:rPr>
        <w:t>增收，</w:t>
      </w:r>
      <w:r>
        <w:rPr>
          <w:rFonts w:ascii="Times New Roman" w:eastAsia="仿宋_GB2312" w:cs="Times New Roman" w:hAnsi="Times New Roman"/>
          <w:color w:val="auto"/>
          <w:sz w:val="32"/>
          <w:szCs w:val="32"/>
          <w:lang w:val="en-US" w:eastAsia="zh-CN" w:bidi="ar-SA"/>
        </w:rPr>
        <w:t>2024年前三季度</w:t>
      </w:r>
      <w:r>
        <w:rPr>
          <w:rFonts w:ascii="Times New Roman" w:eastAsia="仿宋_GB2312" w:cs="Times New Roman" w:hAnsi="Times New Roman"/>
          <w:color w:val="auto"/>
          <w:sz w:val="32"/>
          <w:szCs w:val="32"/>
          <w:lang w:bidi="ar-SA"/>
        </w:rPr>
        <w:t>全乡农牧民人均纯收入</w:t>
      </w:r>
      <w:r>
        <w:rPr>
          <w:rFonts w:ascii="Times New Roman" w:eastAsia="仿宋_GB2312" w:cs="Times New Roman" w:hAnsi="Times New Roman" w:hint="eastAsia"/>
          <w:color w:val="auto"/>
          <w:sz w:val="32"/>
          <w:szCs w:val="32"/>
          <w:lang w:eastAsia="zh-CN" w:bidi="ar-SA"/>
        </w:rPr>
        <w:t>达</w:t>
      </w:r>
      <w:r>
        <w:rPr>
          <w:rFonts w:ascii="Times New Roman" w:eastAsia="仿宋_GB2312" w:cs="Times New Roman" w:hAnsi="Times New Roman"/>
          <w:color w:val="auto"/>
          <w:sz w:val="32"/>
          <w:szCs w:val="32"/>
          <w:lang w:val="en-US" w:eastAsia="zh-CN" w:bidi="ar-SA"/>
        </w:rPr>
        <w:t>15352</w:t>
      </w:r>
      <w:r>
        <w:rPr>
          <w:rFonts w:ascii="Times New Roman" w:eastAsia="仿宋_GB2312" w:cs="Times New Roman" w:hAnsi="Times New Roman"/>
          <w:color w:val="auto"/>
          <w:sz w:val="32"/>
          <w:szCs w:val="32"/>
          <w:lang w:bidi="ar-SA"/>
        </w:rPr>
        <w:t>元，较20</w:t>
      </w:r>
      <w:r>
        <w:rPr>
          <w:rFonts w:ascii="Times New Roman" w:eastAsia="仿宋_GB2312" w:cs="Times New Roman" w:hAnsi="Times New Roman"/>
          <w:color w:val="auto"/>
          <w:sz w:val="32"/>
          <w:szCs w:val="32"/>
          <w:lang w:val="en-US" w:eastAsia="zh-CN" w:bidi="ar-SA"/>
        </w:rPr>
        <w:t>23</w:t>
      </w:r>
      <w:r>
        <w:rPr>
          <w:rFonts w:ascii="Times New Roman" w:eastAsia="仿宋_GB2312" w:cs="Times New Roman" w:hAnsi="Times New Roman"/>
          <w:color w:val="auto"/>
          <w:sz w:val="32"/>
          <w:szCs w:val="32"/>
          <w:lang w:bidi="ar-SA"/>
        </w:rPr>
        <w:t>年</w:t>
      </w:r>
      <w:r>
        <w:rPr>
          <w:rFonts w:ascii="Times New Roman" w:eastAsia="仿宋_GB2312" w:cs="Times New Roman" w:hAnsi="Times New Roman"/>
          <w:color w:val="auto"/>
          <w:sz w:val="32"/>
          <w:szCs w:val="32"/>
          <w:lang w:val="en-US" w:eastAsia="zh-CN" w:bidi="ar-SA"/>
        </w:rPr>
        <w:t>1076.8</w:t>
      </w:r>
      <w:r>
        <w:rPr>
          <w:rFonts w:ascii="Times New Roman" w:eastAsia="仿宋_GB2312" w:cs="Times New Roman" w:hAnsi="Times New Roman"/>
          <w:color w:val="auto"/>
          <w:sz w:val="32"/>
          <w:szCs w:val="32"/>
          <w:lang w:bidi="ar-SA"/>
        </w:rPr>
        <w:t>元增长</w:t>
      </w:r>
      <w:r>
        <w:rPr>
          <w:rFonts w:ascii="Times New Roman" w:eastAsia="仿宋_GB2312" w:cs="Times New Roman" w:hAnsi="Times New Roman"/>
          <w:color w:val="auto"/>
          <w:sz w:val="32"/>
          <w:szCs w:val="32"/>
          <w:lang w:val="en-US" w:eastAsia="zh-CN" w:bidi="ar-SA"/>
        </w:rPr>
        <w:t>7.54</w:t>
      </w:r>
      <w:r>
        <w:rPr>
          <w:rFonts w:ascii="Times New Roman" w:eastAsia="仿宋_GB2312" w:cs="Times New Roman" w:hAnsi="Times New Roman"/>
          <w:color w:val="auto"/>
          <w:sz w:val="32"/>
          <w:szCs w:val="32"/>
          <w:lang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一是持续壮大集体经济。</w:t>
      </w:r>
      <w:r>
        <w:rPr>
          <w:rFonts w:ascii="Times New Roman" w:eastAsia="仿宋_GB2312" w:cs="Times New Roman" w:hAnsi="Times New Roman"/>
          <w:sz w:val="32"/>
          <w:szCs w:val="32"/>
          <w:lang w:bidi="ar-SA"/>
        </w:rPr>
        <w:t>投资</w:t>
      </w:r>
      <w:r>
        <w:rPr>
          <w:rFonts w:ascii="Times New Roman" w:eastAsia="仿宋_GB2312" w:cs="Times New Roman" w:hAnsi="Times New Roman"/>
          <w:color w:val="auto"/>
          <w:sz w:val="32"/>
          <w:szCs w:val="32"/>
          <w:lang w:val="en-US" w:eastAsia="zh-CN" w:bidi="ar-SA"/>
        </w:rPr>
        <w:t>350</w:t>
      </w:r>
      <w:r>
        <w:rPr>
          <w:rFonts w:ascii="Times New Roman" w:eastAsia="仿宋_GB2312" w:cs="Times New Roman" w:hAnsi="Times New Roman"/>
          <w:color w:val="auto"/>
          <w:sz w:val="32"/>
          <w:szCs w:val="32"/>
          <w:lang w:bidi="ar-SA"/>
        </w:rPr>
        <w:t>万元</w:t>
      </w:r>
      <w:r>
        <w:rPr>
          <w:rFonts w:ascii="Times New Roman" w:eastAsia="仿宋_GB2312" w:cs="Times New Roman" w:hAnsi="Times New Roman"/>
          <w:color w:val="auto"/>
          <w:sz w:val="32"/>
          <w:szCs w:val="32"/>
          <w:lang w:val="en-US" w:eastAsia="zh-CN" w:bidi="ar-SA"/>
        </w:rPr>
        <w:t>改</w:t>
      </w:r>
      <w:r>
        <w:rPr>
          <w:rFonts w:ascii="Times New Roman" w:eastAsia="仿宋_GB2312" w:cs="Times New Roman" w:hAnsi="Times New Roman"/>
          <w:sz w:val="32"/>
          <w:szCs w:val="32"/>
          <w:lang w:val="en-US" w:eastAsia="zh-CN" w:bidi="ar-SA"/>
        </w:rPr>
        <w:t>造</w:t>
      </w:r>
      <w:r>
        <w:rPr>
          <w:rFonts w:ascii="Times New Roman" w:eastAsia="仿宋_GB2312" w:cs="Times New Roman" w:hAnsi="Times New Roman"/>
          <w:sz w:val="32"/>
          <w:szCs w:val="32"/>
          <w:lang w:bidi="ar-SA"/>
        </w:rPr>
        <w:t>提升达尔龙村合作社</w:t>
      </w:r>
      <w:r>
        <w:rPr>
          <w:rFonts w:ascii="Times New Roman" w:eastAsia="仿宋_GB2312" w:cs="Times New Roman" w:hAnsi="Times New Roman"/>
          <w:sz w:val="32"/>
          <w:szCs w:val="32"/>
          <w:lang w:eastAsia="zh-CN" w:bidi="ar-SA"/>
        </w:rPr>
        <w:t>，配套食槽、水槽、围墙、路灯、钢丝网围栏等设施设备。投资</w:t>
      </w:r>
      <w:r>
        <w:rPr>
          <w:rFonts w:ascii="Times New Roman" w:eastAsia="仿宋_GB2312" w:cs="Times New Roman" w:hAnsi="Times New Roman"/>
          <w:sz w:val="32"/>
          <w:szCs w:val="32"/>
          <w:lang w:val="en-US" w:eastAsia="zh-CN" w:bidi="ar-SA"/>
        </w:rPr>
        <w:t>110万元，为</w:t>
      </w:r>
      <w:r>
        <w:rPr>
          <w:rFonts w:ascii="Times New Roman" w:eastAsia="仿宋_GB2312" w:cs="Times New Roman" w:hAnsi="Times New Roman"/>
          <w:sz w:val="32"/>
          <w:szCs w:val="32"/>
          <w:lang w:eastAsia="zh-CN" w:bidi="ar-SA"/>
        </w:rPr>
        <w:t>达尔龙村、什布龙村、查龙村集体经济购买牦牛共计</w:t>
      </w:r>
      <w:r>
        <w:rPr>
          <w:rFonts w:ascii="Times New Roman" w:eastAsia="仿宋_GB2312" w:cs="Times New Roman" w:hAnsi="Times New Roman"/>
          <w:sz w:val="32"/>
          <w:szCs w:val="32"/>
          <w:lang w:val="en-US" w:eastAsia="zh-CN" w:bidi="ar-SA"/>
        </w:rPr>
        <w:t>150头，畜群规模有效扩大</w:t>
      </w:r>
      <w:r>
        <w:rPr>
          <w:rStyle w:val="26"/>
          <w:rFonts w:ascii="Times New Roman" w:eastAsia="楷体_GB2312" w:cs="Times New Roman" w:hAnsi="Times New Roman"/>
          <w:bCs w:val="0"/>
          <w:color w:val="000000"/>
          <w:kern w:val="2"/>
          <w:sz w:val="32"/>
          <w:szCs w:val="32"/>
          <w:shd w:val="clear" w:color="auto" w:fill="FFFFFF"/>
          <w:lang w:val="en-US" w:eastAsia="zh-CN" w:bidi="ar-SA"/>
        </w:rPr>
        <w:t>。二是不断提升抵御风险能力。</w:t>
      </w:r>
      <w:r>
        <w:rPr>
          <w:rFonts w:ascii="Times New Roman" w:eastAsia="仿宋_GB2312" w:cs="Times New Roman" w:hAnsi="Times New Roman"/>
          <w:sz w:val="32"/>
          <w:szCs w:val="32"/>
          <w:lang w:bidi="ar-SA"/>
        </w:rPr>
        <w:t>本着“预防先行、防治结合”的原则，做好春秋防</w:t>
      </w:r>
      <w:r>
        <w:rPr>
          <w:rFonts w:ascii="Times New Roman" w:eastAsia="仿宋_GB2312" w:cs="Times New Roman" w:hAnsi="Times New Roman" w:hint="eastAsia"/>
          <w:sz w:val="32"/>
          <w:szCs w:val="32"/>
          <w:lang w:eastAsia="zh-CN" w:bidi="ar-SA"/>
        </w:rPr>
        <w:t>疫</w:t>
      </w:r>
      <w:r>
        <w:rPr>
          <w:rFonts w:ascii="Times New Roman" w:eastAsia="仿宋_GB2312" w:cs="Times New Roman" w:hAnsi="Times New Roman"/>
          <w:sz w:val="32"/>
          <w:szCs w:val="32"/>
          <w:lang w:bidi="ar-SA"/>
        </w:rPr>
        <w:t>工作，村“两委”积极组织牧民群众参加牦牛保险，全乡参保牦</w:t>
      </w:r>
      <w:r>
        <w:rPr>
          <w:rFonts w:ascii="Times New Roman" w:eastAsia="仿宋_GB2312" w:cs="Times New Roman" w:hAnsi="Times New Roman"/>
          <w:color w:val="auto"/>
          <w:sz w:val="32"/>
          <w:szCs w:val="32"/>
          <w:lang w:bidi="ar-SA"/>
        </w:rPr>
        <w:t>牛</w:t>
      </w:r>
      <w:r>
        <w:rPr>
          <w:rFonts w:ascii="Times New Roman" w:eastAsia="仿宋_GB2312" w:cs="Times New Roman" w:hAnsi="Times New Roman"/>
          <w:color w:val="auto"/>
          <w:sz w:val="32"/>
          <w:szCs w:val="32"/>
          <w:lang w:val="en-US" w:eastAsia="zh-CN" w:bidi="ar-SA"/>
        </w:rPr>
        <w:t>41833</w:t>
      </w:r>
      <w:r>
        <w:rPr>
          <w:rFonts w:ascii="Times New Roman" w:eastAsia="仿宋_GB2312" w:cs="Times New Roman" w:hAnsi="Times New Roman"/>
          <w:color w:val="auto"/>
          <w:sz w:val="32"/>
          <w:szCs w:val="32"/>
          <w:lang w:bidi="ar-SA"/>
        </w:rPr>
        <w:t>头，死亡</w:t>
      </w:r>
      <w:r>
        <w:rPr>
          <w:rFonts w:ascii="Times New Roman" w:eastAsia="仿宋_GB2312" w:cs="Times New Roman" w:hAnsi="Times New Roman"/>
          <w:color w:val="auto"/>
          <w:sz w:val="32"/>
          <w:szCs w:val="32"/>
          <w:lang w:val="en-US" w:eastAsia="zh-CN" w:bidi="ar-SA"/>
        </w:rPr>
        <w:t>2035</w:t>
      </w:r>
      <w:r>
        <w:rPr>
          <w:rFonts w:ascii="Times New Roman" w:eastAsia="仿宋_GB2312" w:cs="Times New Roman" w:hAnsi="Times New Roman"/>
          <w:color w:val="auto"/>
          <w:sz w:val="32"/>
          <w:szCs w:val="32"/>
          <w:lang w:bidi="ar-SA"/>
        </w:rPr>
        <w:t>头，</w:t>
      </w:r>
      <w:r>
        <w:rPr>
          <w:rFonts w:ascii="Times New Roman" w:eastAsia="仿宋_GB2312" w:cs="Times New Roman" w:hAnsi="Times New Roman"/>
          <w:sz w:val="32"/>
          <w:szCs w:val="32"/>
          <w:lang w:bidi="ar-SA"/>
        </w:rPr>
        <w:t>理</w:t>
      </w:r>
      <w:r>
        <w:rPr>
          <w:rFonts w:ascii="Times New Roman" w:eastAsia="仿宋_GB2312" w:cs="Times New Roman" w:hAnsi="Times New Roman"/>
          <w:color w:val="auto"/>
          <w:sz w:val="32"/>
          <w:szCs w:val="32"/>
          <w:lang w:bidi="ar-SA"/>
        </w:rPr>
        <w:t>赔</w:t>
      </w:r>
      <w:r>
        <w:rPr>
          <w:rFonts w:ascii="Times New Roman" w:eastAsia="仿宋_GB2312" w:cs="Times New Roman" w:hAnsi="Times New Roman"/>
          <w:color w:val="auto"/>
          <w:sz w:val="32"/>
          <w:szCs w:val="32"/>
          <w:lang w:val="en-US" w:eastAsia="zh-CN" w:bidi="ar-SA"/>
        </w:rPr>
        <w:t>380.8万</w:t>
      </w:r>
      <w:r>
        <w:rPr>
          <w:rFonts w:ascii="Times New Roman" w:eastAsia="仿宋_GB2312" w:cs="Times New Roman" w:hAnsi="Times New Roman"/>
          <w:sz w:val="32"/>
          <w:szCs w:val="32"/>
          <w:lang w:bidi="ar-SA"/>
        </w:rPr>
        <w:t>元</w:t>
      </w:r>
      <w:r>
        <w:rPr>
          <w:rFonts w:ascii="Times New Roman" w:eastAsia="仿宋_GB2312" w:cs="Times New Roman" w:hAnsi="Times New Roman"/>
          <w:sz w:val="32"/>
          <w:szCs w:val="32"/>
          <w:lang w:eastAsia="zh-CN"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三是足额兑现财政补贴。</w:t>
      </w:r>
      <w:r>
        <w:rPr>
          <w:rFonts w:ascii="Times New Roman" w:eastAsia="仿宋_GB2312" w:cs="Times New Roman" w:hAnsi="Times New Roman"/>
          <w:color w:val="auto"/>
          <w:sz w:val="32"/>
          <w:szCs w:val="32"/>
          <w:lang w:val="en-US" w:eastAsia="zh-CN" w:bidi="ar-SA"/>
        </w:rPr>
        <w:t>2024</w:t>
      </w:r>
      <w:r>
        <w:rPr>
          <w:rFonts w:ascii="Times New Roman" w:eastAsia="仿宋_GB2312" w:cs="Times New Roman" w:hAnsi="Times New Roman"/>
          <w:color w:val="auto"/>
          <w:sz w:val="32"/>
          <w:szCs w:val="32"/>
          <w:lang w:bidi="ar-SA"/>
        </w:rPr>
        <w:t>年底前全面兑现</w:t>
      </w:r>
      <w:r>
        <w:rPr>
          <w:rFonts w:ascii="Times New Roman" w:eastAsia="仿宋_GB2312" w:cs="Times New Roman" w:hAnsi="Times New Roman"/>
          <w:color w:val="auto"/>
          <w:sz w:val="32"/>
          <w:szCs w:val="32"/>
          <w:lang w:val="en-US" w:eastAsia="zh-CN" w:bidi="ar-SA"/>
        </w:rPr>
        <w:t>483</w:t>
      </w:r>
      <w:r>
        <w:rPr>
          <w:rFonts w:ascii="Times New Roman" w:eastAsia="仿宋_GB2312" w:cs="Times New Roman" w:hAnsi="Times New Roman"/>
          <w:color w:val="auto"/>
          <w:sz w:val="32"/>
          <w:szCs w:val="32"/>
          <w:lang w:bidi="ar-SA"/>
        </w:rPr>
        <w:t>户牧民禁牧和草畜平衡生态补奖资金421</w:t>
      </w:r>
      <w:r>
        <w:rPr>
          <w:rFonts w:ascii="Times New Roman" w:eastAsia="仿宋_GB2312" w:cs="Times New Roman" w:hAnsi="Times New Roman"/>
          <w:color w:val="auto"/>
          <w:sz w:val="32"/>
          <w:szCs w:val="32"/>
          <w:lang w:val="en-US" w:eastAsia="zh-CN" w:bidi="ar-SA"/>
        </w:rPr>
        <w:t>.</w:t>
      </w:r>
      <w:r>
        <w:rPr>
          <w:rFonts w:ascii="Times New Roman" w:eastAsia="仿宋_GB2312" w:cs="Times New Roman" w:hAnsi="Times New Roman"/>
          <w:color w:val="auto"/>
          <w:sz w:val="32"/>
          <w:szCs w:val="32"/>
          <w:lang w:bidi="ar-SA"/>
        </w:rPr>
        <w:t>983951</w:t>
      </w:r>
      <w:r>
        <w:rPr>
          <w:rFonts w:ascii="Times New Roman" w:eastAsia="仿宋_GB2312" w:cs="Times New Roman" w:hAnsi="Times New Roman"/>
          <w:color w:val="auto"/>
          <w:sz w:val="32"/>
          <w:szCs w:val="32"/>
          <w:lang w:eastAsia="zh-CN" w:bidi="ar-SA"/>
        </w:rPr>
        <w:t>万元</w:t>
      </w:r>
      <w:r>
        <w:rPr>
          <w:rFonts w:ascii="Times New Roman" w:eastAsia="仿宋_GB2312" w:cs="Times New Roman" w:hAnsi="Times New Roman"/>
          <w:color w:val="auto"/>
          <w:sz w:val="32"/>
          <w:szCs w:val="32"/>
          <w:lang w:bidi="ar-SA"/>
        </w:rPr>
        <w:t>，兑现</w:t>
      </w:r>
      <w:r>
        <w:rPr>
          <w:rFonts w:ascii="Times New Roman" w:eastAsia="仿宋_GB2312" w:cs="Times New Roman" w:hAnsi="Times New Roman"/>
          <w:color w:val="auto"/>
          <w:sz w:val="32"/>
          <w:szCs w:val="32"/>
          <w:lang w:val="en-US" w:eastAsia="zh-CN" w:bidi="ar-SA"/>
        </w:rPr>
        <w:t>429</w:t>
      </w:r>
      <w:r>
        <w:rPr>
          <w:rFonts w:ascii="Times New Roman" w:eastAsia="仿宋_GB2312" w:cs="Times New Roman" w:hAnsi="Times New Roman"/>
          <w:color w:val="auto"/>
          <w:sz w:val="32"/>
          <w:szCs w:val="32"/>
          <w:lang w:bidi="ar-SA"/>
        </w:rPr>
        <w:t>户牧民湿地生态效益补偿资金39</w:t>
      </w:r>
      <w:r>
        <w:rPr>
          <w:rFonts w:ascii="Times New Roman" w:eastAsia="仿宋_GB2312" w:cs="Times New Roman" w:hAnsi="Times New Roman"/>
          <w:color w:val="auto"/>
          <w:sz w:val="32"/>
          <w:szCs w:val="32"/>
          <w:lang w:val="en-US" w:bidi="ar-SA"/>
        </w:rPr>
        <w:t>.</w:t>
      </w:r>
      <w:r>
        <w:rPr>
          <w:rFonts w:ascii="Times New Roman" w:eastAsia="仿宋_GB2312" w:cs="Times New Roman" w:hAnsi="Times New Roman"/>
          <w:color w:val="auto"/>
          <w:sz w:val="32"/>
          <w:szCs w:val="32"/>
          <w:lang w:bidi="ar-SA"/>
        </w:rPr>
        <w:t>337704万元，兑现</w:t>
      </w:r>
      <w:r>
        <w:rPr>
          <w:rFonts w:ascii="Times New Roman" w:eastAsia="仿宋_GB2312" w:cs="Times New Roman" w:hAnsi="Times New Roman"/>
          <w:color w:val="auto"/>
          <w:sz w:val="32"/>
          <w:szCs w:val="32"/>
          <w:lang w:val="en-US" w:eastAsia="zh-CN" w:bidi="ar-SA"/>
        </w:rPr>
        <w:t>211</w:t>
      </w:r>
      <w:r>
        <w:rPr>
          <w:rFonts w:ascii="Times New Roman" w:eastAsia="仿宋_GB2312" w:cs="Times New Roman" w:hAnsi="Times New Roman"/>
          <w:color w:val="auto"/>
          <w:sz w:val="32"/>
          <w:szCs w:val="32"/>
          <w:lang w:bidi="ar-SA"/>
        </w:rPr>
        <w:t>户生态集体公益林补偿资金</w:t>
      </w:r>
      <w:r>
        <w:rPr>
          <w:rFonts w:ascii="Times New Roman" w:eastAsia="仿宋_GB2312" w:cs="Times New Roman" w:hAnsi="Times New Roman"/>
          <w:color w:val="auto"/>
          <w:sz w:val="32"/>
          <w:szCs w:val="32"/>
          <w:lang w:val="en-US" w:eastAsia="zh-CN" w:bidi="ar-SA"/>
        </w:rPr>
        <w:t>1.3568万元、商品林88.65万元，</w:t>
      </w:r>
      <w:r>
        <w:rPr>
          <w:rFonts w:ascii="Times New Roman" w:eastAsia="仿宋_GB2312" w:cs="Times New Roman" w:hAnsi="Times New Roman"/>
          <w:sz w:val="32"/>
          <w:szCs w:val="32"/>
          <w:lang w:bidi="ar-SA"/>
        </w:rPr>
        <w:t>管护</w:t>
      </w:r>
      <w:r>
        <w:rPr>
          <w:rFonts w:ascii="Times New Roman" w:eastAsia="仿宋_GB2312" w:cs="Times New Roman" w:hAnsi="Times New Roman"/>
          <w:color w:val="auto"/>
          <w:sz w:val="32"/>
          <w:szCs w:val="32"/>
          <w:lang w:bidi="ar-SA"/>
        </w:rPr>
        <w:t>人员工资</w:t>
      </w:r>
      <w:r>
        <w:rPr>
          <w:rFonts w:ascii="Times New Roman" w:eastAsia="仿宋_GB2312" w:cs="Times New Roman" w:hAnsi="Times New Roman"/>
          <w:color w:val="auto"/>
          <w:sz w:val="32"/>
          <w:szCs w:val="32"/>
          <w:lang w:val="en-US" w:eastAsia="zh-CN" w:bidi="ar-SA"/>
        </w:rPr>
        <w:t>6.6068万</w:t>
      </w:r>
      <w:r>
        <w:rPr>
          <w:rFonts w:ascii="Times New Roman" w:eastAsia="仿宋_GB2312" w:cs="Times New Roman" w:hAnsi="Times New Roman"/>
          <w:color w:val="auto"/>
          <w:sz w:val="32"/>
          <w:szCs w:val="32"/>
          <w:lang w:bidi="ar-SA"/>
        </w:rPr>
        <w:t>元</w:t>
      </w:r>
      <w:r>
        <w:rPr>
          <w:rFonts w:ascii="Times New Roman" w:eastAsia="仿宋_GB2312" w:cs="Times New Roman" w:hAnsi="Times New Roman"/>
          <w:color w:val="auto"/>
          <w:sz w:val="32"/>
          <w:szCs w:val="32"/>
          <w:lang w:eastAsia="zh-CN"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四是规范集体三资清理。</w:t>
      </w:r>
      <w:r>
        <w:rPr>
          <w:rFonts w:ascii="Times New Roman" w:eastAsia="仿宋_GB2312" w:cs="Times New Roman" w:hAnsi="Times New Roman"/>
          <w:sz w:val="32"/>
          <w:szCs w:val="32"/>
          <w:lang w:bidi="ar-SA"/>
        </w:rPr>
        <w:t>全面完成了</w:t>
      </w:r>
      <w:r>
        <w:rPr>
          <w:rFonts w:ascii="Times New Roman" w:eastAsia="仿宋_GB2312" w:cs="Times New Roman" w:hAnsi="Times New Roman"/>
          <w:sz w:val="32"/>
          <w:szCs w:val="32"/>
          <w:lang w:val="en-US" w:eastAsia="zh-CN" w:bidi="ar-SA"/>
        </w:rPr>
        <w:t>各村</w:t>
      </w:r>
      <w:r>
        <w:rPr>
          <w:rFonts w:ascii="Times New Roman" w:eastAsia="仿宋_GB2312" w:cs="Times New Roman" w:hAnsi="Times New Roman"/>
          <w:sz w:val="32"/>
          <w:szCs w:val="32"/>
          <w:lang w:bidi="ar-SA"/>
        </w:rPr>
        <w:t>集体经济</w:t>
      </w:r>
      <w:r>
        <w:rPr>
          <w:rFonts w:ascii="Times New Roman" w:eastAsia="仿宋_GB2312" w:cs="Times New Roman" w:hAnsi="Times New Roman"/>
          <w:sz w:val="32"/>
          <w:szCs w:val="32"/>
          <w:lang w:eastAsia="zh-CN" w:bidi="ar-SA"/>
        </w:rPr>
        <w:t>账务和</w:t>
      </w:r>
      <w:r>
        <w:rPr>
          <w:rFonts w:ascii="Times New Roman" w:eastAsia="仿宋_GB2312" w:cs="Times New Roman" w:hAnsi="Times New Roman"/>
          <w:sz w:val="32"/>
          <w:szCs w:val="32"/>
          <w:lang w:bidi="ar-SA"/>
        </w:rPr>
        <w:t>资产清理</w:t>
      </w:r>
      <w:r>
        <w:rPr>
          <w:rFonts w:ascii="Times New Roman" w:eastAsia="仿宋_GB2312" w:cs="Times New Roman" w:hAnsi="Times New Roman"/>
          <w:sz w:val="32"/>
          <w:szCs w:val="32"/>
          <w:lang w:eastAsia="zh-CN" w:bidi="ar-SA"/>
        </w:rPr>
        <w:t>核查</w:t>
      </w:r>
      <w:r>
        <w:rPr>
          <w:rFonts w:ascii="Times New Roman" w:eastAsia="仿宋_GB2312" w:cs="Times New Roman" w:hAnsi="Times New Roman"/>
          <w:sz w:val="32"/>
          <w:szCs w:val="32"/>
          <w:lang w:bidi="ar-SA"/>
        </w:rPr>
        <w:t>，健全了各项规章制度，规范了财务管理</w:t>
      </w:r>
      <w:r>
        <w:rPr>
          <w:rFonts w:ascii="Times New Roman" w:eastAsia="仿宋_GB2312" w:cs="Times New Roman" w:hAnsi="Times New Roman"/>
          <w:sz w:val="32"/>
          <w:szCs w:val="32"/>
          <w:lang w:val="en-US" w:eastAsia="zh-CN" w:bidi="ar-SA"/>
        </w:rPr>
        <w:t>制度</w:t>
      </w:r>
      <w:r>
        <w:rPr>
          <w:rFonts w:ascii="Times New Roman" w:eastAsia="仿宋_GB2312" w:cs="Times New Roman" w:hAnsi="Times New Roman"/>
          <w:sz w:val="32"/>
          <w:szCs w:val="32"/>
          <w:lang w:eastAsia="zh-CN" w:bidi="ar-SA"/>
        </w:rPr>
        <w:t>。</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val="en-US" w:eastAsia="zh-CN" w:bidi="ar-SA"/>
        </w:rPr>
      </w:pPr>
      <w:r>
        <w:rPr>
          <w:rFonts w:ascii="仿宋_GB2312" w:eastAsia="仿宋_GB2312" w:cs="Times New Roman" w:hint="eastAsia"/>
          <w:b/>
          <w:color w:val="auto"/>
          <w:kern w:val="2"/>
          <w:sz w:val="32"/>
          <w:szCs w:val="24"/>
          <w:lang w:val="en-US" w:eastAsia="zh-CN" w:bidi="ar-SA"/>
        </w:rPr>
        <w:t>3.</w:t>
      </w:r>
      <w:r>
        <w:rPr>
          <w:rFonts w:ascii="Times New Roman" w:eastAsia="黑体" w:cs="Times New Roman" w:hAnsi="Times New Roman"/>
          <w:sz w:val="32"/>
          <w:szCs w:val="32"/>
          <w:lang w:val="en-US" w:eastAsia="zh-CN" w:bidi="ar-SA"/>
        </w:rPr>
        <w:t>紧盯短板抓项目</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基础设施不断改善</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kern w:val="0"/>
          <w:sz w:val="32"/>
          <w:szCs w:val="32"/>
          <w:lang w:bidi="ar-SA"/>
        </w:rPr>
      </w:pPr>
      <w:r>
        <w:rPr>
          <w:rFonts w:ascii="Times New Roman" w:eastAsia="仿宋_GB2312" w:cs="Times New Roman" w:hAnsi="Times New Roman"/>
          <w:color w:val="auto"/>
          <w:sz w:val="32"/>
          <w:szCs w:val="32"/>
          <w:lang w:bidi="ar-SA"/>
        </w:rPr>
        <w:t>聚焦群众“急难愁盼”，</w:t>
      </w:r>
      <w:r>
        <w:rPr>
          <w:rFonts w:ascii="Times New Roman" w:eastAsia="仿宋_GB2312" w:cs="Times New Roman" w:hAnsi="Times New Roman"/>
          <w:color w:val="auto"/>
          <w:sz w:val="32"/>
          <w:szCs w:val="32"/>
          <w:lang w:val="en-US" w:eastAsia="zh-CN" w:bidi="ar-SA"/>
        </w:rPr>
        <w:t>积极争取项目资金757.4万元</w:t>
      </w:r>
      <w:r>
        <w:rPr>
          <w:rFonts w:ascii="Times New Roman" w:eastAsia="仿宋_GB2312" w:cs="Times New Roman" w:hAnsi="Times New Roman"/>
          <w:color w:val="000000"/>
          <w:sz w:val="32"/>
          <w:szCs w:val="32"/>
          <w:lang w:val="en-US" w:eastAsia="zh-CN" w:bidi="ar-SA"/>
        </w:rPr>
        <w:t>实施项目8个，群众生产生活条件持续改善。</w:t>
      </w:r>
      <w:r>
        <w:rPr>
          <w:rStyle w:val="26"/>
          <w:rFonts w:ascii="Times New Roman" w:eastAsia="楷体_GB2312" w:cs="Times New Roman" w:hAnsi="Times New Roman"/>
          <w:bCs w:val="0"/>
          <w:color w:val="000000"/>
          <w:kern w:val="2"/>
          <w:sz w:val="32"/>
          <w:szCs w:val="32"/>
          <w:shd w:val="clear" w:color="auto" w:fill="FFFFFF"/>
          <w:lang w:val="en-US" w:eastAsia="zh-CN" w:bidi="ar-SA"/>
        </w:rPr>
        <w:t>一是积极</w:t>
      </w:r>
      <w:r>
        <w:rPr>
          <w:rFonts w:ascii="Times New Roman" w:eastAsia="楷体_GB2312" w:cs="Times New Roman" w:hAnsi="Times New Roman"/>
          <w:b/>
          <w:bCs/>
          <w:color w:val="000000"/>
          <w:w w:val="100"/>
          <w:sz w:val="32"/>
          <w:szCs w:val="32"/>
          <w:lang w:val="en-US" w:eastAsia="zh-CN" w:bidi="ar-SA"/>
        </w:rPr>
        <w:t>改善生产设施</w:t>
      </w:r>
      <w:r>
        <w:rPr>
          <w:rStyle w:val="26"/>
          <w:rFonts w:ascii="Times New Roman" w:eastAsia="楷体_GB2312" w:cs="Times New Roman" w:hAnsi="Times New Roman"/>
          <w:bCs w:val="0"/>
          <w:color w:val="000000"/>
          <w:kern w:val="2"/>
          <w:sz w:val="32"/>
          <w:szCs w:val="32"/>
          <w:shd w:val="clear" w:color="auto" w:fill="FFFFFF"/>
          <w:lang w:val="en-US" w:eastAsia="zh-CN" w:bidi="ar-SA"/>
        </w:rPr>
        <w:t>。</w:t>
      </w:r>
      <w:r>
        <w:rPr>
          <w:rFonts w:ascii="Times New Roman" w:eastAsia="仿宋_GB2312" w:cs="Times New Roman" w:hAnsi="Times New Roman"/>
          <w:color w:val="000000"/>
          <w:sz w:val="32"/>
          <w:szCs w:val="32"/>
          <w:lang w:val="en-US" w:eastAsia="zh-CN" w:bidi="ar-SA"/>
        </w:rPr>
        <w:t>争取涉农整合项目资金70万元，维修</w:t>
      </w:r>
      <w:r>
        <w:rPr>
          <w:rFonts w:ascii="Times New Roman" w:eastAsia="仿宋_GB2312" w:cs="Times New Roman" w:hAnsi="Times New Roman"/>
          <w:color w:val="000000"/>
          <w:w w:val="100"/>
          <w:sz w:val="32"/>
          <w:szCs w:val="32"/>
          <w:lang w:val="en-US" w:eastAsia="zh-CN" w:bidi="ar-SA"/>
        </w:rPr>
        <w:t>生产性道</w:t>
      </w:r>
      <w:r>
        <w:rPr>
          <w:rFonts w:ascii="Times New Roman" w:eastAsia="仿宋_GB2312" w:cs="Times New Roman" w:hAnsi="Times New Roman"/>
          <w:color w:val="auto"/>
          <w:w w:val="100"/>
          <w:sz w:val="32"/>
          <w:szCs w:val="32"/>
          <w:lang w:val="en-US" w:eastAsia="zh-CN" w:bidi="ar-SA"/>
        </w:rPr>
        <w:t>路70公</w:t>
      </w:r>
      <w:r>
        <w:rPr>
          <w:rFonts w:ascii="Times New Roman" w:eastAsia="仿宋_GB2312" w:cs="Times New Roman" w:hAnsi="Times New Roman"/>
          <w:color w:val="000000"/>
          <w:w w:val="100"/>
          <w:sz w:val="32"/>
          <w:szCs w:val="32"/>
          <w:lang w:val="en-US" w:eastAsia="zh-CN" w:bidi="ar-SA"/>
        </w:rPr>
        <w:t>里。</w:t>
      </w:r>
      <w:r>
        <w:rPr>
          <w:rStyle w:val="26"/>
          <w:rFonts w:ascii="Times New Roman" w:eastAsia="楷体_GB2312" w:cs="Times New Roman" w:hAnsi="Times New Roman"/>
          <w:bCs w:val="0"/>
          <w:color w:val="000000"/>
          <w:kern w:val="2"/>
          <w:sz w:val="32"/>
          <w:szCs w:val="32"/>
          <w:shd w:val="clear" w:color="auto" w:fill="FFFFFF"/>
          <w:lang w:val="en-US" w:eastAsia="zh-CN" w:bidi="ar-SA"/>
        </w:rPr>
        <w:t>二是积极改善生活设施。</w:t>
      </w:r>
      <w:r>
        <w:rPr>
          <w:rFonts w:ascii="Times New Roman" w:eastAsia="仿宋_GB2312" w:cs="Times New Roman" w:hAnsi="Times New Roman"/>
          <w:color w:val="000000"/>
          <w:sz w:val="32"/>
          <w:szCs w:val="32"/>
          <w:lang w:val="en-US" w:eastAsia="zh-CN" w:bidi="ar-SA"/>
        </w:rPr>
        <w:t>投入20万元</w:t>
      </w:r>
      <w:r>
        <w:rPr>
          <w:rFonts w:ascii="Times New Roman" w:eastAsia="仿宋_GB2312" w:cs="Times New Roman" w:hAnsi="Times New Roman"/>
          <w:sz w:val="32"/>
          <w:szCs w:val="32"/>
          <w:lang w:eastAsia="zh-CN" w:bidi="ar-SA"/>
        </w:rPr>
        <w:t>拆除危厕并新建公共厕所</w:t>
      </w:r>
      <w:r>
        <w:rPr>
          <w:rFonts w:ascii="Times New Roman" w:eastAsia="仿宋_GB2312" w:cs="Times New Roman" w:hAnsi="Times New Roman"/>
          <w:sz w:val="32"/>
          <w:szCs w:val="32"/>
          <w:lang w:val="en-US" w:eastAsia="zh-CN" w:bidi="ar-SA"/>
        </w:rPr>
        <w:t>1座，</w:t>
      </w:r>
      <w:r>
        <w:rPr>
          <w:rFonts w:ascii="Times New Roman" w:eastAsia="仿宋_GB2312" w:cs="Times New Roman" w:hAnsi="Times New Roman"/>
          <w:color w:val="000000"/>
          <w:sz w:val="32"/>
          <w:szCs w:val="32"/>
          <w:lang w:val="en-US" w:eastAsia="zh-CN" w:bidi="ar-SA"/>
        </w:rPr>
        <w:t>完成定居点排水沟</w:t>
      </w:r>
      <w:r>
        <w:rPr>
          <w:rFonts w:ascii="Times New Roman" w:eastAsia="仿宋_GB2312" w:cs="Times New Roman" w:hAnsi="Times New Roman"/>
          <w:color w:val="000000"/>
          <w:sz w:val="32"/>
          <w:szCs w:val="32"/>
          <w:lang w:eastAsia="zh-CN" w:bidi="ar-SA"/>
        </w:rPr>
        <w:t>清淤</w:t>
      </w:r>
      <w:r>
        <w:rPr>
          <w:rFonts w:ascii="Times New Roman" w:eastAsia="仿宋_GB2312" w:cs="Times New Roman" w:hAnsi="Times New Roman"/>
          <w:color w:val="000000"/>
          <w:sz w:val="32"/>
          <w:szCs w:val="32"/>
          <w:lang w:val="en-US" w:eastAsia="zh-CN" w:bidi="ar-SA"/>
        </w:rPr>
        <w:t>4公里，搭建盖板270米;投入130万元，黑化定居点道路5000平方</w:t>
      </w:r>
      <w:r>
        <w:rPr>
          <w:rFonts w:ascii="Times New Roman" w:eastAsia="仿宋_GB2312" w:cs="Times New Roman" w:hAnsi="Times New Roman"/>
          <w:sz w:val="32"/>
          <w:szCs w:val="32"/>
          <w:lang w:bidi="ar-SA"/>
        </w:rPr>
        <w:t>。</w:t>
      </w:r>
      <w:r>
        <w:rPr>
          <w:rStyle w:val="26"/>
          <w:rFonts w:ascii="Times New Roman" w:eastAsia="楷体_GB2312" w:cs="Times New Roman" w:hAnsi="Times New Roman"/>
          <w:bCs w:val="0"/>
          <w:color w:val="000000"/>
          <w:kern w:val="2"/>
          <w:sz w:val="32"/>
          <w:szCs w:val="32"/>
          <w:shd w:val="clear" w:color="auto" w:fill="FFFFFF"/>
          <w:lang w:val="en-US" w:eastAsia="zh-CN" w:bidi="ar-SA"/>
        </w:rPr>
        <w:t>三是积极改善阵地功能。</w:t>
      </w:r>
      <w:r>
        <w:rPr>
          <w:rFonts w:ascii="Times New Roman" w:eastAsia="仿宋_GB2312" w:cs="Times New Roman" w:hAnsi="Times New Roman"/>
          <w:color w:val="000000"/>
          <w:sz w:val="32"/>
          <w:szCs w:val="32"/>
          <w:lang w:val="en-US" w:eastAsia="zh-CN" w:bidi="ar-SA"/>
        </w:rPr>
        <w:t>投入16.9181万元，规范制作各村村委会“一横四竖”标识标牌及党建文化墙，采购会议室桌椅，提升改造会议室线路等内容，更加满足党员、干部、群众开展活动需要。</w:t>
      </w:r>
      <w:r>
        <w:rPr>
          <w:rStyle w:val="26"/>
          <w:rFonts w:ascii="Times New Roman" w:eastAsia="楷体_GB2312" w:cs="Times New Roman" w:hAnsi="Times New Roman" w:hint="eastAsia"/>
          <w:bCs w:val="0"/>
          <w:color w:val="000000"/>
          <w:kern w:val="2"/>
          <w:sz w:val="32"/>
          <w:szCs w:val="32"/>
          <w:shd w:val="clear" w:color="auto" w:fill="FFFFFF"/>
          <w:lang w:val="en-US" w:eastAsia="zh-CN" w:bidi="ar-SA"/>
        </w:rPr>
        <w:t>四</w:t>
      </w:r>
      <w:r>
        <w:rPr>
          <w:rStyle w:val="26"/>
          <w:rFonts w:ascii="Times New Roman" w:eastAsia="楷体_GB2312" w:cs="Times New Roman" w:hAnsi="Times New Roman"/>
          <w:bCs w:val="0"/>
          <w:color w:val="000000"/>
          <w:kern w:val="2"/>
          <w:sz w:val="32"/>
          <w:szCs w:val="32"/>
          <w:shd w:val="clear" w:color="auto" w:fill="FFFFFF"/>
          <w:lang w:val="en-US" w:eastAsia="zh-CN" w:bidi="ar-SA"/>
        </w:rPr>
        <w:t>是积极改善寺庙设施。</w:t>
      </w:r>
      <w:r>
        <w:rPr>
          <w:rFonts w:ascii="Times New Roman" w:eastAsia="仿宋_GB2312" w:cs="Times New Roman" w:hAnsi="Times New Roman"/>
          <w:color w:val="auto"/>
          <w:sz w:val="32"/>
          <w:szCs w:val="32"/>
          <w:lang w:val="en-US" w:eastAsia="zh-CN" w:bidi="ar-SA"/>
        </w:rPr>
        <w:t>维修加固查龙寺公共房屋及民管会办公设施，对现有的布局重新规划，合理划分办公区、会议区和休息区，确保房屋结构安全、功能完善。</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val="en-US" w:eastAsia="zh-CN" w:bidi="ar-SA"/>
        </w:rPr>
      </w:pPr>
      <w:r>
        <w:rPr>
          <w:rFonts w:ascii="仿宋_GB2312" w:eastAsia="仿宋_GB2312" w:cs="Times New Roman" w:hint="eastAsia"/>
          <w:b/>
          <w:color w:val="auto"/>
          <w:kern w:val="2"/>
          <w:sz w:val="32"/>
          <w:szCs w:val="24"/>
          <w:lang w:val="en-US" w:eastAsia="zh-CN" w:bidi="ar-SA"/>
        </w:rPr>
        <w:t>4.</w:t>
      </w:r>
      <w:r>
        <w:rPr>
          <w:rFonts w:ascii="Times New Roman" w:eastAsia="黑体" w:cs="Times New Roman" w:hAnsi="Times New Roman"/>
          <w:sz w:val="32"/>
          <w:szCs w:val="32"/>
          <w:lang w:val="en-US" w:eastAsia="zh-CN" w:bidi="ar-SA"/>
        </w:rPr>
        <w:t>用情用力抓民生</w:t>
      </w:r>
      <w:r>
        <w:rPr>
          <w:rFonts w:ascii="Times New Roman" w:eastAsia="黑体" w:cs="Times New Roman" w:hAnsi="Times New Roman"/>
          <w:sz w:val="32"/>
          <w:szCs w:val="32"/>
          <w:lang w:bidi="ar-SA"/>
        </w:rPr>
        <w:t>，</w:t>
      </w:r>
      <w:r>
        <w:rPr>
          <w:rFonts w:ascii="Times New Roman" w:eastAsia="黑体" w:cs="Times New Roman" w:hAnsi="Times New Roman"/>
          <w:sz w:val="32"/>
          <w:szCs w:val="32"/>
          <w:lang w:val="en-US" w:eastAsia="zh-CN" w:bidi="ar-SA"/>
        </w:rPr>
        <w:t>社会事业蓬勃发展</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Times New Roman" w:eastAsia="仿宋_GB2312" w:cs="Times New Roman" w:hAnsi="Times New Roman"/>
          <w:color w:val="000000"/>
          <w:sz w:val="32"/>
          <w:szCs w:val="32"/>
          <w:lang w:bidi="ar-SA"/>
        </w:rPr>
        <w:t>始终坚持把</w:t>
      </w:r>
      <w:r>
        <w:rPr>
          <w:rFonts w:ascii="Times New Roman" w:eastAsia="仿宋_GB2312" w:cs="Times New Roman" w:hAnsi="Times New Roman"/>
          <w:color w:val="000000"/>
          <w:sz w:val="32"/>
          <w:szCs w:val="32"/>
          <w:lang w:eastAsia="zh-CN" w:bidi="ar-SA"/>
        </w:rPr>
        <w:t>社会</w:t>
      </w:r>
      <w:r>
        <w:rPr>
          <w:rFonts w:ascii="Times New Roman" w:eastAsia="仿宋_GB2312" w:cs="Times New Roman" w:hAnsi="Times New Roman"/>
          <w:color w:val="000000"/>
          <w:sz w:val="32"/>
          <w:szCs w:val="32"/>
          <w:lang w:bidi="ar-SA"/>
        </w:rPr>
        <w:t>保障作</w:t>
      </w:r>
      <w:r>
        <w:rPr>
          <w:rFonts w:ascii="Times New Roman" w:eastAsia="仿宋_GB2312" w:cs="Times New Roman" w:hAnsi="Times New Roman"/>
          <w:color w:val="000000"/>
          <w:sz w:val="32"/>
          <w:szCs w:val="32"/>
          <w:lang w:eastAsia="zh-CN" w:bidi="ar-SA"/>
        </w:rPr>
        <w:t>为民生工作重点，</w:t>
      </w:r>
      <w:r>
        <w:rPr>
          <w:rFonts w:ascii="Times New Roman" w:eastAsia="仿宋_GB2312" w:cs="Times New Roman" w:hAnsi="Times New Roman"/>
          <w:sz w:val="32"/>
          <w:szCs w:val="32"/>
          <w:lang w:bidi="ar-SA"/>
        </w:rPr>
        <w:t>努力开创社会事业新局面。</w:t>
      </w:r>
      <w:r>
        <w:rPr>
          <w:rFonts w:ascii="Times New Roman" w:eastAsia="楷体_GB2312" w:cs="Times New Roman" w:hAnsi="Times New Roman"/>
          <w:b/>
          <w:bCs/>
          <w:sz w:val="32"/>
          <w:szCs w:val="32"/>
          <w:lang w:bidi="ar-SA"/>
        </w:rPr>
        <w:t>一是加强社会保障。</w:t>
      </w:r>
      <w:r>
        <w:rPr>
          <w:rFonts w:ascii="Times New Roman" w:eastAsia="仿宋_GB2312" w:cs="Times New Roman" w:hAnsi="Times New Roman"/>
          <w:color w:val="auto"/>
          <w:sz w:val="32"/>
          <w:szCs w:val="32"/>
          <w:lang w:val="en-US" w:eastAsia="zh-CN" w:bidi="ar-SA"/>
        </w:rPr>
        <w:t>指导村“两委”制发《村集体经济补贴困难群众征缴医保费用工作实施办法》，减轻村民购买医保负担，力争2</w:t>
      </w:r>
      <w:r>
        <w:rPr>
          <w:rFonts w:ascii="Times New Roman" w:eastAsia="仿宋_GB2312" w:cs="Times New Roman" w:hAnsi="Times New Roman"/>
          <w:color w:val="auto"/>
          <w:sz w:val="32"/>
          <w:szCs w:val="32"/>
          <w:lang w:bidi="ar-SA"/>
        </w:rPr>
        <w:t>0</w:t>
      </w:r>
      <w:r>
        <w:rPr>
          <w:rFonts w:ascii="Times New Roman" w:eastAsia="仿宋_GB2312" w:cs="Times New Roman" w:hAnsi="Times New Roman"/>
          <w:color w:val="auto"/>
          <w:sz w:val="32"/>
          <w:szCs w:val="32"/>
          <w:lang w:val="en-US" w:eastAsia="zh-CN" w:bidi="ar-SA"/>
        </w:rPr>
        <w:t>24</w:t>
      </w:r>
      <w:r>
        <w:rPr>
          <w:rFonts w:ascii="Times New Roman" w:eastAsia="仿宋_GB2312" w:cs="Times New Roman" w:hAnsi="Times New Roman"/>
          <w:color w:val="auto"/>
          <w:sz w:val="32"/>
          <w:szCs w:val="32"/>
          <w:lang w:bidi="ar-SA"/>
        </w:rPr>
        <w:t>年城乡居民医疗保险参保率</w:t>
      </w:r>
      <w:r>
        <w:rPr>
          <w:rFonts w:ascii="Times New Roman" w:eastAsia="仿宋_GB2312" w:cs="Times New Roman" w:hAnsi="Times New Roman"/>
          <w:color w:val="auto"/>
          <w:sz w:val="32"/>
          <w:szCs w:val="32"/>
          <w:lang w:val="en-US" w:eastAsia="zh-CN" w:bidi="ar-SA"/>
        </w:rPr>
        <w:t>实现100</w:t>
      </w:r>
      <w:r>
        <w:rPr>
          <w:rFonts w:ascii="Times New Roman" w:eastAsia="仿宋_GB2312" w:cs="Times New Roman" w:hAnsi="Times New Roman"/>
          <w:color w:val="auto"/>
          <w:sz w:val="32"/>
          <w:szCs w:val="32"/>
          <w:lang w:bidi="ar-SA"/>
        </w:rPr>
        <w:t>%</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color w:val="auto"/>
          <w:sz w:val="32"/>
          <w:szCs w:val="32"/>
          <w:lang w:val="en-US" w:eastAsia="zh-CN" w:bidi="ar-SA"/>
        </w:rPr>
        <w:t>加大养老保险宣传力度，</w:t>
      </w:r>
      <w:r>
        <w:rPr>
          <w:rFonts w:ascii="Times New Roman" w:eastAsia="仿宋_GB2312" w:cs="Times New Roman" w:hAnsi="Times New Roman"/>
          <w:color w:val="auto"/>
          <w:sz w:val="32"/>
          <w:szCs w:val="32"/>
          <w:lang w:bidi="ar-SA"/>
        </w:rPr>
        <w:t>农村养老保险领取待遇</w:t>
      </w:r>
      <w:r>
        <w:rPr>
          <w:rFonts w:ascii="Times New Roman" w:eastAsia="仿宋_GB2312" w:cs="Times New Roman" w:hAnsi="Times New Roman"/>
          <w:color w:val="auto"/>
          <w:sz w:val="32"/>
          <w:szCs w:val="32"/>
          <w:lang w:val="en-US" w:eastAsia="zh-CN" w:bidi="ar-SA"/>
        </w:rPr>
        <w:t>220</w:t>
      </w:r>
      <w:r>
        <w:rPr>
          <w:rFonts w:ascii="Times New Roman" w:eastAsia="仿宋_GB2312" w:cs="Times New Roman" w:hAnsi="Times New Roman"/>
          <w:color w:val="auto"/>
          <w:sz w:val="32"/>
          <w:szCs w:val="32"/>
          <w:lang w:bidi="ar-SA"/>
        </w:rPr>
        <w:t>人</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color w:val="auto"/>
          <w:sz w:val="32"/>
          <w:szCs w:val="32"/>
          <w:lang w:bidi="ar-SA"/>
        </w:rPr>
        <w:t>兑现</w:t>
      </w:r>
      <w:r>
        <w:rPr>
          <w:rFonts w:ascii="Times New Roman" w:eastAsia="仿宋_GB2312" w:cs="Times New Roman" w:hAnsi="Times New Roman"/>
          <w:color w:val="auto"/>
          <w:sz w:val="32"/>
          <w:szCs w:val="32"/>
          <w:lang w:val="en-US" w:eastAsia="zh-CN" w:bidi="ar-SA"/>
        </w:rPr>
        <w:t>39</w:t>
      </w:r>
      <w:r>
        <w:rPr>
          <w:rFonts w:ascii="Times New Roman" w:eastAsia="仿宋_GB2312" w:cs="Times New Roman" w:hAnsi="Times New Roman"/>
          <w:color w:val="auto"/>
          <w:sz w:val="32"/>
          <w:szCs w:val="32"/>
          <w:lang w:bidi="ar-SA"/>
        </w:rPr>
        <w:t>名残疾人护理补贴</w:t>
      </w:r>
      <w:r>
        <w:rPr>
          <w:rFonts w:ascii="Times New Roman" w:eastAsia="仿宋_GB2312" w:cs="Times New Roman" w:hAnsi="Times New Roman"/>
          <w:color w:val="auto"/>
          <w:sz w:val="32"/>
          <w:szCs w:val="32"/>
          <w:lang w:val="en-US" w:eastAsia="zh-CN" w:bidi="ar-SA"/>
        </w:rPr>
        <w:t>3.1</w:t>
      </w:r>
      <w:r>
        <w:rPr>
          <w:rFonts w:ascii="Times New Roman" w:eastAsia="仿宋_GB2312" w:cs="Times New Roman" w:hAnsi="Times New Roman"/>
          <w:color w:val="auto"/>
          <w:sz w:val="32"/>
          <w:szCs w:val="32"/>
          <w:lang w:bidi="ar-SA"/>
        </w:rPr>
        <w:t>万元</w:t>
      </w:r>
      <w:r>
        <w:rPr>
          <w:rFonts w:ascii="Times New Roman" w:eastAsia="仿宋_GB2312" w:cs="Times New Roman" w:hAnsi="Times New Roman"/>
          <w:color w:val="auto"/>
          <w:sz w:val="32"/>
          <w:szCs w:val="32"/>
          <w:lang w:eastAsia="zh-CN" w:bidi="ar-SA"/>
        </w:rPr>
        <w:t>、</w:t>
      </w:r>
      <w:r>
        <w:rPr>
          <w:rFonts w:ascii="Times New Roman" w:eastAsia="仿宋_GB2312" w:cs="Times New Roman" w:hAnsi="Times New Roman"/>
          <w:sz w:val="32"/>
          <w:szCs w:val="32"/>
          <w:lang w:bidi="ar-SA"/>
        </w:rPr>
        <w:t>338</w:t>
      </w:r>
      <w:r>
        <w:rPr>
          <w:rFonts w:ascii="Times New Roman" w:eastAsia="仿宋_GB2312" w:cs="Times New Roman" w:hAnsi="Times New Roman"/>
          <w:sz w:val="32"/>
          <w:szCs w:val="32"/>
          <w:lang w:eastAsia="zh-CN" w:bidi="ar-SA"/>
        </w:rPr>
        <w:t>名</w:t>
      </w:r>
      <w:r>
        <w:rPr>
          <w:rFonts w:ascii="Times New Roman" w:eastAsia="仿宋_GB2312" w:cs="Times New Roman" w:hAnsi="Times New Roman"/>
          <w:sz w:val="32"/>
          <w:szCs w:val="32"/>
          <w:lang w:bidi="ar-SA"/>
        </w:rPr>
        <w:t>低保人员生活补助124.9万元</w:t>
      </w:r>
      <w:r>
        <w:rPr>
          <w:rFonts w:ascii="Times New Roman" w:eastAsia="仿宋_GB2312" w:cs="Times New Roman" w:hAnsi="Times New Roman"/>
          <w:sz w:val="32"/>
          <w:szCs w:val="32"/>
          <w:lang w:eastAsia="zh-CN" w:bidi="ar-SA"/>
        </w:rPr>
        <w:t>。</w:t>
      </w:r>
      <w:r>
        <w:rPr>
          <w:rFonts w:ascii="Times New Roman" w:eastAsia="楷体_GB2312" w:cs="Times New Roman" w:hAnsi="Times New Roman"/>
          <w:b/>
          <w:bCs/>
          <w:sz w:val="32"/>
          <w:szCs w:val="32"/>
          <w:lang w:bidi="ar-SA"/>
        </w:rPr>
        <w:t>二是提升卫生计生服务水平。</w:t>
      </w:r>
      <w:r>
        <w:rPr>
          <w:rFonts w:ascii="Times New Roman" w:eastAsia="仿宋_GB2312" w:cs="Times New Roman" w:hAnsi="Times New Roman"/>
          <w:color w:val="auto"/>
          <w:sz w:val="32"/>
          <w:szCs w:val="32"/>
          <w:lang w:bidi="ar-SA"/>
        </w:rPr>
        <w:t>卫生院开展0-6岁儿童预防接种共</w:t>
      </w:r>
      <w:r>
        <w:rPr>
          <w:rFonts w:ascii="Times New Roman" w:eastAsia="仿宋_GB2312" w:cs="Times New Roman" w:hAnsi="Times New Roman"/>
          <w:color w:val="auto"/>
          <w:sz w:val="32"/>
          <w:szCs w:val="32"/>
          <w:lang w:val="en-US" w:eastAsia="zh-CN" w:bidi="ar-SA"/>
        </w:rPr>
        <w:t>183</w:t>
      </w:r>
      <w:r>
        <w:rPr>
          <w:rFonts w:ascii="Times New Roman" w:eastAsia="仿宋_GB2312" w:cs="Times New Roman" w:hAnsi="Times New Roman"/>
          <w:color w:val="auto"/>
          <w:sz w:val="32"/>
          <w:szCs w:val="32"/>
          <w:lang w:bidi="ar-SA"/>
        </w:rPr>
        <w:t>人，</w:t>
      </w:r>
      <w:r>
        <w:rPr>
          <w:rFonts w:ascii="Times New Roman" w:eastAsia="仿宋_GB2312" w:cs="Times New Roman" w:hAnsi="Times New Roman"/>
          <w:color w:val="auto"/>
          <w:sz w:val="32"/>
          <w:szCs w:val="32"/>
          <w:lang w:val="en-US" w:eastAsia="zh-CN" w:bidi="ar-SA"/>
        </w:rPr>
        <w:t>533剂次，</w:t>
      </w:r>
      <w:r>
        <w:rPr>
          <w:rFonts w:ascii="Times New Roman" w:eastAsia="仿宋_GB2312" w:cs="Times New Roman" w:hAnsi="Times New Roman"/>
          <w:color w:val="auto"/>
          <w:sz w:val="32"/>
          <w:szCs w:val="32"/>
          <w:lang w:bidi="ar-SA"/>
        </w:rPr>
        <w:t>门诊</w:t>
      </w:r>
      <w:r>
        <w:rPr>
          <w:rFonts w:ascii="Times New Roman" w:eastAsia="仿宋_GB2312" w:cs="Times New Roman" w:hAnsi="Times New Roman"/>
          <w:color w:val="auto"/>
          <w:sz w:val="32"/>
          <w:szCs w:val="32"/>
          <w:lang w:val="en-US" w:eastAsia="zh-CN" w:bidi="ar-SA"/>
        </w:rPr>
        <w:t>输液</w:t>
      </w:r>
      <w:r>
        <w:rPr>
          <w:rFonts w:ascii="Times New Roman" w:eastAsia="仿宋_GB2312" w:cs="Times New Roman" w:hAnsi="Times New Roman"/>
          <w:color w:val="auto"/>
          <w:sz w:val="32"/>
          <w:szCs w:val="32"/>
          <w:lang w:bidi="ar-SA"/>
        </w:rPr>
        <w:t>患者</w:t>
      </w:r>
      <w:r>
        <w:rPr>
          <w:rFonts w:ascii="Times New Roman" w:eastAsia="仿宋_GB2312" w:cs="Times New Roman" w:hAnsi="Times New Roman"/>
          <w:color w:val="auto"/>
          <w:sz w:val="32"/>
          <w:szCs w:val="32"/>
          <w:lang w:val="en-US" w:eastAsia="zh-CN" w:bidi="ar-SA"/>
        </w:rPr>
        <w:t>40</w:t>
      </w:r>
      <w:r>
        <w:rPr>
          <w:rFonts w:ascii="Times New Roman" w:eastAsia="仿宋_GB2312" w:cs="Times New Roman" w:hAnsi="Times New Roman"/>
          <w:color w:val="auto"/>
          <w:sz w:val="32"/>
          <w:szCs w:val="32"/>
          <w:lang w:bidi="ar-SA"/>
        </w:rPr>
        <w:t>人次，巡回医疗服务</w:t>
      </w:r>
      <w:r>
        <w:rPr>
          <w:rFonts w:ascii="Times New Roman" w:eastAsia="仿宋_GB2312" w:cs="Times New Roman" w:hAnsi="Times New Roman"/>
          <w:color w:val="auto"/>
          <w:sz w:val="32"/>
          <w:szCs w:val="32"/>
          <w:lang w:val="en-US" w:eastAsia="zh-CN" w:bidi="ar-SA"/>
        </w:rPr>
        <w:t>5</w:t>
      </w:r>
      <w:r>
        <w:rPr>
          <w:rFonts w:ascii="Times New Roman" w:eastAsia="仿宋_GB2312" w:cs="Times New Roman" w:hAnsi="Times New Roman"/>
          <w:color w:val="auto"/>
          <w:sz w:val="32"/>
          <w:szCs w:val="32"/>
          <w:lang w:bidi="ar-SA"/>
        </w:rPr>
        <w:t>次，健康宣传12次</w:t>
      </w:r>
      <w:r>
        <w:rPr>
          <w:rFonts w:ascii="Times New Roman" w:eastAsia="仿宋_GB2312" w:cs="Times New Roman" w:hAnsi="Times New Roman"/>
          <w:color w:val="auto"/>
          <w:sz w:val="32"/>
          <w:szCs w:val="32"/>
          <w:lang w:eastAsia="zh-CN" w:bidi="ar-SA"/>
        </w:rPr>
        <w:t>。</w:t>
      </w:r>
      <w:r>
        <w:rPr>
          <w:rFonts w:ascii="Times New Roman" w:eastAsia="楷体_GB2312" w:cs="Times New Roman" w:hAnsi="Times New Roman"/>
          <w:b/>
          <w:bCs/>
          <w:sz w:val="32"/>
          <w:szCs w:val="32"/>
          <w:lang w:bidi="ar-SA"/>
        </w:rPr>
        <w:t>三是教育事业稳步发展。</w:t>
      </w:r>
      <w:r>
        <w:rPr>
          <w:rFonts w:ascii="Times New Roman" w:eastAsia="仿宋_GB2312" w:cs="Times New Roman" w:hAnsi="Times New Roman"/>
          <w:sz w:val="32"/>
          <w:szCs w:val="32"/>
          <w:lang w:bidi="ar-SA"/>
        </w:rPr>
        <w:t>乡</w:t>
      </w:r>
      <w:r>
        <w:rPr>
          <w:rFonts w:ascii="Times New Roman" w:eastAsia="仿宋_GB2312" w:cs="Times New Roman" w:hAnsi="Times New Roman"/>
          <w:sz w:val="32"/>
          <w:szCs w:val="32"/>
          <w:lang w:val="en-US" w:eastAsia="zh-CN" w:bidi="ar-SA"/>
        </w:rPr>
        <w:t>小学</w:t>
      </w:r>
      <w:r>
        <w:rPr>
          <w:rFonts w:ascii="Times New Roman" w:eastAsia="仿宋_GB2312" w:cs="Times New Roman" w:hAnsi="Times New Roman"/>
          <w:sz w:val="32"/>
          <w:szCs w:val="32"/>
          <w:lang w:bidi="ar-SA"/>
        </w:rPr>
        <w:t>管理</w:t>
      </w:r>
      <w:r>
        <w:rPr>
          <w:rFonts w:ascii="Times New Roman" w:eastAsia="仿宋_GB2312" w:cs="Times New Roman" w:hAnsi="Times New Roman"/>
          <w:sz w:val="32"/>
          <w:szCs w:val="32"/>
          <w:lang w:val="en-US" w:eastAsia="zh-CN" w:bidi="ar-SA"/>
        </w:rPr>
        <w:t>制度</w:t>
      </w:r>
      <w:r>
        <w:rPr>
          <w:rFonts w:ascii="Times New Roman" w:eastAsia="仿宋_GB2312" w:cs="Times New Roman" w:hAnsi="Times New Roman"/>
          <w:sz w:val="32"/>
          <w:szCs w:val="32"/>
          <w:lang w:bidi="ar-SA"/>
        </w:rPr>
        <w:t>、办学体制不断完善，学前教育稳步发展，适龄儿童的入学率已达99%，并加强宣传《义务教育法》，各项指标不断提升，同时</w:t>
      </w:r>
      <w:r>
        <w:rPr>
          <w:rFonts w:ascii="Times New Roman" w:eastAsia="仿宋_GB2312" w:cs="Times New Roman" w:hAnsi="Times New Roman"/>
          <w:color w:val="auto"/>
          <w:sz w:val="32"/>
          <w:szCs w:val="32"/>
          <w:lang w:bidi="ar-SA"/>
        </w:rPr>
        <w:t>全面落实“一免一补”、“三免两补”、“两免一助”等政策，全力控辍保学；</w:t>
      </w:r>
      <w:r>
        <w:rPr>
          <w:rFonts w:ascii="Times New Roman" w:eastAsia="楷体_GB2312" w:cs="Times New Roman" w:hAnsi="Times New Roman"/>
          <w:b/>
          <w:bCs/>
          <w:sz w:val="32"/>
          <w:szCs w:val="32"/>
          <w:lang w:bidi="ar-SA"/>
        </w:rPr>
        <w:t>四是丰富群众文化生活。</w:t>
      </w:r>
      <w:r>
        <w:rPr>
          <w:rFonts w:ascii="Times New Roman" w:eastAsia="仿宋_GB2312" w:cs="Times New Roman" w:hAnsi="Times New Roman"/>
          <w:color w:val="auto"/>
          <w:sz w:val="32"/>
          <w:szCs w:val="32"/>
          <w:lang w:bidi="ar-SA"/>
        </w:rPr>
        <w:t>组织群众</w:t>
      </w:r>
      <w:r>
        <w:rPr>
          <w:rFonts w:ascii="Times New Roman" w:eastAsia="仿宋_GB2312" w:cs="Times New Roman" w:hAnsi="Times New Roman"/>
          <w:color w:val="auto"/>
          <w:sz w:val="32"/>
          <w:szCs w:val="32"/>
          <w:lang w:val="en-US" w:eastAsia="zh-CN" w:bidi="ar-SA"/>
        </w:rPr>
        <w:t>参加农牧民</w:t>
      </w:r>
      <w:r>
        <w:rPr>
          <w:rFonts w:ascii="Times New Roman" w:eastAsia="仿宋_GB2312" w:cs="Times New Roman" w:hAnsi="Times New Roman"/>
          <w:color w:val="auto"/>
          <w:sz w:val="32"/>
          <w:szCs w:val="32"/>
          <w:lang w:bidi="ar-SA"/>
        </w:rPr>
        <w:t>篮球</w:t>
      </w:r>
      <w:r>
        <w:rPr>
          <w:rFonts w:ascii="Times New Roman" w:eastAsia="仿宋_GB2312" w:cs="Times New Roman" w:hAnsi="Times New Roman"/>
          <w:color w:val="auto"/>
          <w:sz w:val="32"/>
          <w:szCs w:val="32"/>
          <w:lang w:eastAsia="zh-CN" w:bidi="ar-SA"/>
        </w:rPr>
        <w:t>运动会及</w:t>
      </w:r>
      <w:r>
        <w:rPr>
          <w:rFonts w:ascii="Times New Roman" w:eastAsia="仿宋_GB2312" w:cs="Times New Roman" w:hAnsi="Times New Roman"/>
          <w:color w:val="auto"/>
          <w:sz w:val="32"/>
          <w:szCs w:val="32"/>
          <w:lang w:val="en-US" w:eastAsia="zh-CN" w:bidi="ar-SA"/>
        </w:rPr>
        <w:t>牦牛选美</w:t>
      </w:r>
      <w:r>
        <w:rPr>
          <w:rFonts w:ascii="Times New Roman" w:eastAsia="仿宋_GB2312" w:cs="Times New Roman" w:hAnsi="Times New Roman"/>
          <w:color w:val="auto"/>
          <w:sz w:val="32"/>
          <w:szCs w:val="32"/>
          <w:lang w:bidi="ar-SA"/>
        </w:rPr>
        <w:t>、</w:t>
      </w:r>
      <w:r>
        <w:rPr>
          <w:rFonts w:ascii="Times New Roman" w:eastAsia="仿宋_GB2312" w:cs="Times New Roman" w:hAnsi="Times New Roman"/>
          <w:color w:val="auto"/>
          <w:sz w:val="32"/>
          <w:szCs w:val="32"/>
          <w:lang w:eastAsia="zh-CN" w:bidi="ar-SA"/>
        </w:rPr>
        <w:t>开展</w:t>
      </w:r>
      <w:r>
        <w:rPr>
          <w:rFonts w:ascii="Times New Roman" w:eastAsia="仿宋_GB2312" w:cs="Times New Roman" w:hAnsi="Times New Roman"/>
          <w:color w:val="auto"/>
          <w:sz w:val="32"/>
          <w:szCs w:val="32"/>
          <w:lang w:bidi="ar-SA"/>
        </w:rPr>
        <w:t>庆祝“三八”国际妇女节活动等喜闻乐见的文体活动，不</w:t>
      </w:r>
      <w:r>
        <w:rPr>
          <w:rFonts w:ascii="Times New Roman" w:eastAsia="仿宋_GB2312" w:cs="Times New Roman" w:hAnsi="Times New Roman"/>
          <w:sz w:val="32"/>
          <w:szCs w:val="32"/>
          <w:lang w:bidi="ar-SA"/>
        </w:rPr>
        <w:t>断</w:t>
      </w:r>
      <w:r>
        <w:rPr>
          <w:rFonts w:ascii="Times New Roman" w:eastAsia="仿宋_GB2312" w:cs="Times New Roman" w:hAnsi="Times New Roman"/>
          <w:sz w:val="32"/>
          <w:szCs w:val="32"/>
          <w:lang w:eastAsia="zh-CN" w:bidi="ar-SA"/>
        </w:rPr>
        <w:t>丰富</w:t>
      </w:r>
      <w:r>
        <w:rPr>
          <w:rFonts w:ascii="Times New Roman" w:eastAsia="仿宋_GB2312" w:cs="Times New Roman" w:hAnsi="Times New Roman"/>
          <w:sz w:val="32"/>
          <w:szCs w:val="32"/>
          <w:lang w:bidi="ar-SA"/>
        </w:rPr>
        <w:t>群众</w:t>
      </w:r>
      <w:r>
        <w:rPr>
          <w:rFonts w:ascii="Times New Roman" w:eastAsia="仿宋_GB2312" w:cs="Times New Roman" w:hAnsi="Times New Roman"/>
          <w:sz w:val="32"/>
          <w:szCs w:val="32"/>
          <w:lang w:val="en-US" w:eastAsia="zh-CN" w:bidi="ar-SA"/>
        </w:rPr>
        <w:t>精神</w:t>
      </w:r>
      <w:r>
        <w:rPr>
          <w:rFonts w:ascii="Times New Roman" w:eastAsia="仿宋_GB2312" w:cs="Times New Roman" w:hAnsi="Times New Roman"/>
          <w:sz w:val="32"/>
          <w:szCs w:val="32"/>
          <w:lang w:bidi="ar-SA"/>
        </w:rPr>
        <w:t>文化</w:t>
      </w:r>
      <w:r>
        <w:rPr>
          <w:rFonts w:ascii="Times New Roman" w:eastAsia="仿宋_GB2312" w:cs="Times New Roman" w:hAnsi="Times New Roman"/>
          <w:sz w:val="32"/>
          <w:szCs w:val="32"/>
          <w:lang w:eastAsia="zh-CN" w:bidi="ar-SA"/>
        </w:rPr>
        <w:t>生活</w:t>
      </w:r>
      <w:r>
        <w:rPr>
          <w:rFonts w:ascii="Times New Roman" w:eastAsia="仿宋_GB2312" w:cs="Times New Roman" w:hAnsi="Times New Roman"/>
          <w:sz w:val="32"/>
          <w:szCs w:val="32"/>
          <w:lang w:bidi="ar-SA"/>
        </w:rPr>
        <w:t>。</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5.</w:t>
      </w:r>
      <w:r>
        <w:rPr>
          <w:rFonts w:ascii="Times New Roman" w:eastAsia="黑体" w:cs="Times New Roman" w:hAnsi="Times New Roman"/>
          <w:sz w:val="32"/>
          <w:szCs w:val="32"/>
          <w:lang w:bidi="ar-SA"/>
        </w:rPr>
        <w:t>强化效力抓环保，生态建设成效明显</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仿宋_GB2312" w:cs="Times New Roman" w:hAnsi="Times New Roman"/>
          <w:sz w:val="32"/>
          <w:szCs w:val="32"/>
          <w:lang w:eastAsia="zh-CN" w:bidi="ar-SA"/>
        </w:rPr>
      </w:pPr>
      <w:r>
        <w:rPr>
          <w:rFonts w:ascii="Times New Roman" w:eastAsia="仿宋_GB2312" w:cs="Times New Roman" w:hAnsi="Times New Roman"/>
          <w:sz w:val="32"/>
          <w:szCs w:val="32"/>
          <w:lang w:bidi="ar-SA"/>
        </w:rPr>
        <w:t>坚持“两山”科学理念和“生态优先、绿色发展”鲜明导向，强化生态保护和环境治理，乡村生态环境持续优化。</w:t>
      </w:r>
      <w:r>
        <w:rPr>
          <w:rFonts w:ascii="Times New Roman" w:eastAsia="楷体_GB2312" w:cs="Times New Roman" w:hAnsi="Times New Roman"/>
          <w:b/>
          <w:bCs/>
          <w:sz w:val="32"/>
          <w:szCs w:val="32"/>
          <w:lang w:bidi="ar-SA"/>
        </w:rPr>
        <w:t>一是环境治理日常化。</w:t>
      </w:r>
      <w:r>
        <w:rPr>
          <w:rFonts w:ascii="Times New Roman" w:eastAsia="仿宋_GB2312" w:cs="Times New Roman" w:hAnsi="Times New Roman"/>
          <w:sz w:val="32"/>
          <w:szCs w:val="32"/>
          <w:lang w:bidi="ar-SA"/>
        </w:rPr>
        <w:t>乡村</w:t>
      </w:r>
      <w:r>
        <w:rPr>
          <w:rFonts w:ascii="Times New Roman" w:eastAsia="仿宋_GB2312" w:cs="Times New Roman" w:hAnsi="Times New Roman"/>
          <w:sz w:val="32"/>
          <w:szCs w:val="32"/>
          <w:lang w:val="en-US" w:eastAsia="zh-CN" w:bidi="ar-SA"/>
        </w:rPr>
        <w:t>协力开展全域全员全天环境卫生整治活动</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bidi="ar-SA"/>
        </w:rPr>
        <w:t>新增</w:t>
      </w:r>
      <w:r>
        <w:rPr>
          <w:rFonts w:ascii="Times New Roman" w:eastAsia="仿宋_GB2312" w:cs="Times New Roman" w:hAnsi="Times New Roman"/>
          <w:sz w:val="32"/>
          <w:szCs w:val="32"/>
          <w:lang w:bidi="ar-SA"/>
        </w:rPr>
        <w:t>环卫设施</w:t>
      </w:r>
      <w:r>
        <w:rPr>
          <w:rFonts w:ascii="Times New Roman" w:eastAsia="仿宋_GB2312" w:cs="Times New Roman" w:hAnsi="Times New Roman"/>
          <w:color w:val="auto"/>
          <w:sz w:val="32"/>
          <w:szCs w:val="32"/>
          <w:lang w:val="en-US" w:eastAsia="zh-CN" w:bidi="ar-SA"/>
        </w:rPr>
        <w:t>10个</w:t>
      </w:r>
      <w:r>
        <w:rPr>
          <w:rFonts w:ascii="Times New Roman" w:eastAsia="仿宋_GB2312" w:cs="Times New Roman" w:hAnsi="Times New Roman"/>
          <w:sz w:val="32"/>
          <w:szCs w:val="32"/>
          <w:lang w:bidi="ar-SA"/>
        </w:rPr>
        <w:t>，落实保洁人员日常保洁制度，</w:t>
      </w:r>
      <w:r>
        <w:rPr>
          <w:rFonts w:ascii="Times New Roman" w:eastAsia="仿宋_GB2312" w:cs="Times New Roman" w:hAnsi="Times New Roman"/>
          <w:sz w:val="32"/>
          <w:szCs w:val="32"/>
          <w:lang w:eastAsia="zh-CN" w:bidi="ar-SA"/>
        </w:rPr>
        <w:t>组织党员</w:t>
      </w:r>
      <w:r>
        <w:rPr>
          <w:rFonts w:ascii="Times New Roman" w:eastAsia="仿宋_GB2312" w:cs="Times New Roman" w:hAnsi="Times New Roman"/>
          <w:sz w:val="32"/>
          <w:szCs w:val="32"/>
          <w:lang w:bidi="ar-SA"/>
        </w:rPr>
        <w:t>志愿</w:t>
      </w:r>
      <w:r>
        <w:rPr>
          <w:rFonts w:ascii="Times New Roman" w:eastAsia="仿宋_GB2312" w:cs="Times New Roman" w:hAnsi="Times New Roman"/>
          <w:sz w:val="32"/>
          <w:szCs w:val="32"/>
          <w:lang w:eastAsia="zh-CN" w:bidi="ar-SA"/>
        </w:rPr>
        <w:t>服务</w:t>
      </w:r>
      <w:r>
        <w:rPr>
          <w:rFonts w:ascii="Times New Roman" w:eastAsia="仿宋_GB2312" w:cs="Times New Roman" w:hAnsi="Times New Roman"/>
          <w:sz w:val="32"/>
          <w:szCs w:val="32"/>
          <w:lang w:bidi="ar-SA"/>
        </w:rPr>
        <w:t>队和机关干部常态化开展城乡环境综合治理，城乡面貌</w:t>
      </w:r>
      <w:r>
        <w:rPr>
          <w:rFonts w:ascii="Times New Roman" w:eastAsia="仿宋_GB2312" w:cs="Times New Roman" w:hAnsi="Times New Roman"/>
          <w:sz w:val="32"/>
          <w:szCs w:val="32"/>
          <w:lang w:val="en-US" w:eastAsia="zh-CN" w:bidi="ar-SA"/>
        </w:rPr>
        <w:t>焕然一新。</w:t>
      </w:r>
      <w:r>
        <w:rPr>
          <w:rFonts w:ascii="Times New Roman" w:eastAsia="楷体_GB2312" w:cs="Times New Roman" w:hAnsi="Times New Roman"/>
          <w:b/>
          <w:bCs/>
          <w:sz w:val="32"/>
          <w:szCs w:val="32"/>
          <w:lang w:bidi="ar-SA"/>
        </w:rPr>
        <w:t>二是生态管护常态化。</w:t>
      </w:r>
      <w:r>
        <w:rPr>
          <w:rFonts w:ascii="Times New Roman" w:eastAsia="仿宋_GB2312" w:cs="Times New Roman" w:hAnsi="Times New Roman"/>
          <w:sz w:val="32"/>
          <w:szCs w:val="32"/>
          <w:lang w:bidi="ar-SA"/>
        </w:rPr>
        <w:t>健全生态管护队伍，选</w:t>
      </w:r>
      <w:r>
        <w:rPr>
          <w:rFonts w:ascii="Times New Roman" w:eastAsia="仿宋_GB2312" w:cs="Times New Roman" w:hAnsi="Times New Roman"/>
          <w:color w:val="auto"/>
          <w:sz w:val="32"/>
          <w:szCs w:val="32"/>
          <w:lang w:bidi="ar-SA"/>
        </w:rPr>
        <w:t>聘</w:t>
      </w:r>
      <w:r>
        <w:rPr>
          <w:rFonts w:ascii="Times New Roman" w:eastAsia="仿宋_GB2312" w:cs="Times New Roman" w:hAnsi="Times New Roman"/>
          <w:color w:val="auto"/>
          <w:sz w:val="32"/>
          <w:szCs w:val="32"/>
          <w:lang w:val="en-US" w:eastAsia="zh-CN" w:bidi="ar-SA"/>
        </w:rPr>
        <w:t>29</w:t>
      </w:r>
      <w:r>
        <w:rPr>
          <w:rFonts w:ascii="Times New Roman" w:eastAsia="仿宋_GB2312" w:cs="Times New Roman" w:hAnsi="Times New Roman"/>
          <w:color w:val="auto"/>
          <w:sz w:val="32"/>
          <w:szCs w:val="32"/>
          <w:lang w:bidi="ar-SA"/>
        </w:rPr>
        <w:t>名生</w:t>
      </w:r>
      <w:r>
        <w:rPr>
          <w:rFonts w:ascii="Times New Roman" w:eastAsia="仿宋_GB2312" w:cs="Times New Roman" w:hAnsi="Times New Roman"/>
          <w:sz w:val="32"/>
          <w:szCs w:val="32"/>
          <w:lang w:bidi="ar-SA"/>
        </w:rPr>
        <w:t>态管护员，其中生态护林员</w:t>
      </w:r>
      <w:r>
        <w:rPr>
          <w:rFonts w:ascii="Times New Roman" w:eastAsia="仿宋_GB2312" w:cs="Times New Roman" w:hAnsi="Times New Roman"/>
          <w:sz w:val="32"/>
          <w:szCs w:val="32"/>
          <w:lang w:val="en-US" w:eastAsia="zh-CN" w:bidi="ar-SA"/>
        </w:rPr>
        <w:t>22</w:t>
      </w:r>
      <w:r>
        <w:rPr>
          <w:rFonts w:ascii="Times New Roman" w:eastAsia="仿宋_GB2312" w:cs="Times New Roman" w:hAnsi="Times New Roman"/>
          <w:sz w:val="32"/>
          <w:szCs w:val="32"/>
          <w:lang w:bidi="ar-SA"/>
        </w:rPr>
        <w:t>名、生态草</w:t>
      </w:r>
      <w:r>
        <w:rPr>
          <w:rFonts w:ascii="Times New Roman" w:eastAsia="仿宋_GB2312" w:cs="Times New Roman" w:hAnsi="Times New Roman"/>
          <w:color w:val="auto"/>
          <w:sz w:val="32"/>
          <w:szCs w:val="32"/>
          <w:lang w:bidi="ar-SA"/>
        </w:rPr>
        <w:t>管员</w:t>
      </w:r>
      <w:r>
        <w:rPr>
          <w:rFonts w:ascii="Times New Roman" w:eastAsia="仿宋_GB2312" w:cs="Times New Roman" w:hAnsi="Times New Roman"/>
          <w:color w:val="auto"/>
          <w:sz w:val="32"/>
          <w:szCs w:val="32"/>
          <w:lang w:val="en-US" w:eastAsia="zh-CN" w:bidi="ar-SA"/>
        </w:rPr>
        <w:t>4</w:t>
      </w:r>
      <w:r>
        <w:rPr>
          <w:rFonts w:ascii="Times New Roman" w:eastAsia="仿宋_GB2312" w:cs="Times New Roman" w:hAnsi="Times New Roman"/>
          <w:color w:val="auto"/>
          <w:sz w:val="32"/>
          <w:szCs w:val="32"/>
          <w:lang w:bidi="ar-SA"/>
        </w:rPr>
        <w:t>名</w:t>
      </w:r>
      <w:r>
        <w:rPr>
          <w:rFonts w:ascii="Times New Roman" w:eastAsia="仿宋_GB2312" w:cs="Times New Roman" w:hAnsi="Times New Roman"/>
          <w:sz w:val="32"/>
          <w:szCs w:val="32"/>
          <w:lang w:bidi="ar-SA"/>
        </w:rPr>
        <w:t>、湿地管</w:t>
      </w:r>
      <w:r>
        <w:rPr>
          <w:rFonts w:ascii="Times New Roman" w:eastAsia="仿宋_GB2312" w:cs="Times New Roman" w:hAnsi="Times New Roman"/>
          <w:color w:val="auto"/>
          <w:sz w:val="32"/>
          <w:szCs w:val="32"/>
          <w:lang w:bidi="ar-SA"/>
        </w:rPr>
        <w:t>护员</w:t>
      </w:r>
      <w:r>
        <w:rPr>
          <w:rFonts w:ascii="Times New Roman" w:eastAsia="仿宋_GB2312" w:cs="Times New Roman" w:hAnsi="Times New Roman"/>
          <w:color w:val="auto"/>
          <w:sz w:val="32"/>
          <w:szCs w:val="32"/>
          <w:lang w:val="en-US" w:eastAsia="zh-CN" w:bidi="ar-SA"/>
        </w:rPr>
        <w:t>3</w:t>
      </w:r>
      <w:r>
        <w:rPr>
          <w:rFonts w:ascii="Times New Roman" w:eastAsia="仿宋_GB2312" w:cs="Times New Roman" w:hAnsi="Times New Roman"/>
          <w:color w:val="auto"/>
          <w:sz w:val="32"/>
          <w:szCs w:val="32"/>
          <w:lang w:bidi="ar-SA"/>
        </w:rPr>
        <w:t>名，</w:t>
      </w:r>
      <w:r>
        <w:rPr>
          <w:rFonts w:ascii="Times New Roman" w:eastAsia="仿宋_GB2312" w:cs="Times New Roman" w:hAnsi="Times New Roman"/>
          <w:sz w:val="32"/>
          <w:szCs w:val="32"/>
          <w:lang w:bidi="ar-SA"/>
        </w:rPr>
        <w:t>分区管护森林、草原，并充分发挥</w:t>
      </w:r>
      <w:r>
        <w:rPr>
          <w:rFonts w:ascii="Times New Roman" w:eastAsia="仿宋_GB2312" w:cs="Times New Roman" w:hAnsi="Times New Roman"/>
          <w:sz w:val="32"/>
          <w:szCs w:val="32"/>
          <w:lang w:eastAsia="zh-CN" w:bidi="ar-SA"/>
        </w:rPr>
        <w:t>其在</w:t>
      </w:r>
      <w:r>
        <w:rPr>
          <w:rFonts w:ascii="Times New Roman" w:eastAsia="仿宋_GB2312" w:cs="Times New Roman" w:hAnsi="Times New Roman"/>
          <w:sz w:val="32"/>
          <w:szCs w:val="32"/>
          <w:lang w:bidi="ar-SA"/>
        </w:rPr>
        <w:t>森林</w:t>
      </w:r>
      <w:r>
        <w:rPr>
          <w:rFonts w:ascii="Times New Roman" w:eastAsia="仿宋_GB2312" w:cs="Times New Roman" w:hAnsi="Times New Roman"/>
          <w:sz w:val="32"/>
          <w:szCs w:val="32"/>
          <w:lang w:eastAsia="zh-CN" w:bidi="ar-SA"/>
        </w:rPr>
        <w:t>、</w:t>
      </w:r>
      <w:r>
        <w:rPr>
          <w:rFonts w:ascii="Times New Roman" w:eastAsia="仿宋_GB2312" w:cs="Times New Roman" w:hAnsi="Times New Roman"/>
          <w:sz w:val="32"/>
          <w:szCs w:val="32"/>
          <w:lang w:bidi="ar-SA"/>
        </w:rPr>
        <w:t>草原管护及环境保护工作中的主导作用，定期</w:t>
      </w:r>
      <w:r>
        <w:rPr>
          <w:rFonts w:ascii="Times New Roman" w:eastAsia="仿宋_GB2312" w:cs="Times New Roman" w:hAnsi="Times New Roman"/>
          <w:sz w:val="32"/>
          <w:szCs w:val="32"/>
          <w:lang w:eastAsia="zh-CN" w:bidi="ar-SA"/>
        </w:rPr>
        <w:t>开展</w:t>
      </w:r>
      <w:r>
        <w:rPr>
          <w:rFonts w:ascii="Times New Roman" w:eastAsia="仿宋_GB2312" w:cs="Times New Roman" w:hAnsi="Times New Roman"/>
          <w:sz w:val="32"/>
          <w:szCs w:val="32"/>
          <w:lang w:bidi="ar-SA"/>
        </w:rPr>
        <w:t>巡山巡逻，及时制止破坏森林、草场及盗猎野生动物的行为</w:t>
      </w:r>
      <w:r>
        <w:rPr>
          <w:rFonts w:ascii="Times New Roman" w:eastAsia="仿宋_GB2312" w:cs="Times New Roman" w:hAnsi="Times New Roman"/>
          <w:sz w:val="32"/>
          <w:szCs w:val="32"/>
          <w:lang w:eastAsia="zh-CN" w:bidi="ar-SA"/>
        </w:rPr>
        <w:t>。</w:t>
      </w:r>
      <w:r>
        <w:rPr>
          <w:rFonts w:ascii="Times New Roman" w:eastAsia="楷体" w:cs="Times New Roman" w:hAnsi="Times New Roman"/>
          <w:b/>
          <w:bCs/>
          <w:sz w:val="32"/>
          <w:szCs w:val="32"/>
          <w:lang w:bidi="ar-SA"/>
        </w:rPr>
        <w:t>三是河道管理责任化。</w:t>
      </w:r>
      <w:r>
        <w:rPr>
          <w:rFonts w:ascii="Times New Roman" w:eastAsia="仿宋_GB2312" w:cs="Times New Roman" w:hAnsi="Times New Roman"/>
          <w:sz w:val="32"/>
          <w:szCs w:val="32"/>
          <w:lang w:bidi="ar-SA"/>
        </w:rPr>
        <w:t>严格落实河长制，分流域不定期</w:t>
      </w:r>
      <w:r>
        <w:rPr>
          <w:rFonts w:ascii="Times New Roman" w:eastAsia="仿宋_GB2312" w:cs="Times New Roman" w:hAnsi="Times New Roman"/>
          <w:sz w:val="32"/>
          <w:szCs w:val="32"/>
          <w:lang w:val="en-US" w:eastAsia="zh-CN" w:bidi="ar-SA"/>
        </w:rPr>
        <w:t>组</w:t>
      </w:r>
      <w:r>
        <w:rPr>
          <w:rFonts w:ascii="Times New Roman" w:eastAsia="仿宋_GB2312" w:cs="Times New Roman" w:hAnsi="Times New Roman"/>
          <w:color w:val="auto"/>
          <w:sz w:val="32"/>
          <w:szCs w:val="32"/>
          <w:lang w:val="en-US" w:eastAsia="zh-CN" w:bidi="ar-SA"/>
        </w:rPr>
        <w:t>织7名</w:t>
      </w:r>
      <w:r>
        <w:rPr>
          <w:rFonts w:ascii="Times New Roman" w:eastAsia="仿宋_GB2312" w:cs="Times New Roman" w:hAnsi="Times New Roman"/>
          <w:sz w:val="32"/>
          <w:szCs w:val="32"/>
          <w:lang w:val="en-US" w:eastAsia="zh-CN" w:bidi="ar-SA"/>
        </w:rPr>
        <w:t>河长</w:t>
      </w:r>
      <w:r>
        <w:rPr>
          <w:rFonts w:ascii="Times New Roman" w:eastAsia="仿宋_GB2312" w:cs="Times New Roman" w:hAnsi="Times New Roman"/>
          <w:sz w:val="32"/>
          <w:szCs w:val="32"/>
          <w:lang w:eastAsia="zh-CN" w:bidi="ar-SA"/>
        </w:rPr>
        <w:t>进行</w:t>
      </w:r>
      <w:r>
        <w:rPr>
          <w:rFonts w:ascii="Times New Roman" w:eastAsia="仿宋_GB2312" w:cs="Times New Roman" w:hAnsi="Times New Roman"/>
          <w:sz w:val="32"/>
          <w:szCs w:val="32"/>
          <w:lang w:bidi="ar-SA"/>
        </w:rPr>
        <w:t>河道巡护，防止主要河道被污染破坏，使水生态系统实现良性循环，</w:t>
      </w:r>
      <w:r>
        <w:rPr>
          <w:rFonts w:ascii="Times New Roman" w:eastAsia="仿宋_GB2312" w:cs="Times New Roman" w:hAnsi="Times New Roman"/>
          <w:sz w:val="32"/>
          <w:szCs w:val="32"/>
          <w:lang w:val="en-US" w:eastAsia="zh-CN" w:bidi="ar-SA"/>
        </w:rPr>
        <w:t>实现了</w:t>
      </w:r>
      <w:r>
        <w:rPr>
          <w:rFonts w:ascii="Times New Roman" w:eastAsia="仿宋_GB2312" w:cs="Times New Roman" w:hAnsi="Times New Roman"/>
          <w:sz w:val="32"/>
          <w:szCs w:val="32"/>
          <w:lang w:bidi="ar-SA"/>
        </w:rPr>
        <w:t>辖区河流水清</w:t>
      </w:r>
      <w:r>
        <w:rPr>
          <w:rFonts w:ascii="Times New Roman" w:eastAsia="仿宋_GB2312" w:cs="Times New Roman" w:hAnsi="Times New Roman"/>
          <w:sz w:val="32"/>
          <w:szCs w:val="32"/>
          <w:lang w:eastAsia="zh-CN" w:bidi="ar-SA"/>
        </w:rPr>
        <w:t>、</w:t>
      </w:r>
      <w:r>
        <w:rPr>
          <w:rFonts w:ascii="Times New Roman" w:eastAsia="仿宋_GB2312" w:cs="Times New Roman" w:hAnsi="Times New Roman"/>
          <w:sz w:val="32"/>
          <w:szCs w:val="32"/>
          <w:lang w:val="en-US" w:eastAsia="zh-CN" w:bidi="ar-SA"/>
        </w:rPr>
        <w:t>河畅、</w:t>
      </w:r>
      <w:r>
        <w:rPr>
          <w:rFonts w:ascii="Times New Roman" w:eastAsia="仿宋_GB2312" w:cs="Times New Roman" w:hAnsi="Times New Roman"/>
          <w:sz w:val="32"/>
          <w:szCs w:val="32"/>
          <w:lang w:bidi="ar-SA"/>
        </w:rPr>
        <w:t>岸绿的管护目标</w:t>
      </w:r>
      <w:r>
        <w:rPr>
          <w:rFonts w:ascii="Times New Roman" w:eastAsia="仿宋_GB2312" w:cs="Times New Roman" w:hAnsi="Times New Roman"/>
          <w:sz w:val="32"/>
          <w:szCs w:val="32"/>
          <w:lang w:eastAsia="zh-CN" w:bidi="ar-SA"/>
        </w:rPr>
        <w:t>。</w:t>
      </w:r>
      <w:r>
        <w:rPr>
          <w:rFonts w:ascii="Times New Roman" w:eastAsia="楷体" w:cs="Times New Roman" w:hAnsi="Times New Roman"/>
          <w:b/>
          <w:bCs/>
          <w:sz w:val="32"/>
          <w:szCs w:val="32"/>
          <w:lang w:val="en-US" w:eastAsia="zh-CN" w:bidi="ar-SA"/>
        </w:rPr>
        <w:t>四是植树增绿多样化。</w:t>
      </w:r>
      <w:r>
        <w:rPr>
          <w:rFonts w:ascii="Times New Roman" w:eastAsia="仿宋_GB2312" w:cs="Times New Roman" w:hAnsi="Times New Roman"/>
          <w:color w:val="000000"/>
          <w:kern w:val="2"/>
          <w:sz w:val="32"/>
          <w:szCs w:val="32"/>
          <w:lang w:val="en-US" w:eastAsia="zh-CN" w:bidi="ar-SA"/>
        </w:rPr>
        <w:t>党员干部带头植树，群众、僧人、学生参与其中，全年植树600余株，进一步扩大了辖区植被覆盖率。</w:t>
      </w:r>
    </w:p>
    <w:p>
      <w:pPr>
        <w:pStyle w:val="19"/>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6.</w:t>
      </w:r>
      <w:r>
        <w:rPr>
          <w:rFonts w:ascii="Times New Roman" w:eastAsia="黑体" w:cs="Times New Roman" w:hAnsi="Times New Roman"/>
          <w:sz w:val="32"/>
          <w:szCs w:val="32"/>
          <w:lang w:bidi="ar-SA"/>
        </w:rPr>
        <w:t>齐心协力抓</w:t>
      </w:r>
      <w:r>
        <w:rPr>
          <w:rFonts w:ascii="Times New Roman" w:eastAsia="黑体" w:cs="Times New Roman" w:hAnsi="Times New Roman"/>
          <w:sz w:val="32"/>
          <w:szCs w:val="32"/>
          <w:lang w:val="en-US" w:eastAsia="zh-CN" w:bidi="ar-SA"/>
        </w:rPr>
        <w:t>治理</w:t>
      </w:r>
      <w:r>
        <w:rPr>
          <w:rFonts w:ascii="Times New Roman" w:eastAsia="黑体" w:cs="Times New Roman" w:hAnsi="Times New Roman"/>
          <w:sz w:val="32"/>
          <w:szCs w:val="32"/>
          <w:lang w:bidi="ar-SA"/>
        </w:rPr>
        <w:t>，</w:t>
      </w:r>
      <w:r>
        <w:rPr>
          <w:rFonts w:ascii="Times New Roman" w:eastAsia="黑体" w:cs="Times New Roman" w:hAnsi="Times New Roman"/>
          <w:color w:val="000000"/>
          <w:kern w:val="0"/>
          <w:sz w:val="32"/>
          <w:szCs w:val="32"/>
          <w:lang w:val="en-US" w:eastAsia="zh-CN" w:bidi="ar-SA"/>
        </w:rPr>
        <w:t>社会大局持续稳定</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right="0" w:firstLineChars="200" w:firstLine="640"/>
        <w:jc w:val="both"/>
        <w:textAlignment w:val="auto"/>
        <w:rPr>
          <w:rFonts w:ascii="仿宋_GB2312" w:eastAsia="仿宋_GB2312" w:cs="Times New Roman" w:hint="eastAsia"/>
          <w:color w:val="auto"/>
          <w:sz w:val="32"/>
          <w:szCs w:val="32"/>
          <w:shd w:val="clear" w:color="auto" w:fill="FFFFFF"/>
          <w:lang w:val="en-US" w:eastAsia="zh-CN" w:bidi="ar-SA"/>
        </w:rPr>
      </w:pPr>
      <w:r>
        <w:rPr>
          <w:rFonts w:ascii="Times New Roman" w:eastAsia="仿宋_GB2312" w:cs="Times New Roman" w:hAnsi="Times New Roman"/>
          <w:sz w:val="32"/>
          <w:szCs w:val="32"/>
          <w:lang w:bidi="ar-SA"/>
        </w:rPr>
        <w:t>以平安建设为载体，进一步深化</w:t>
      </w:r>
      <w:r>
        <w:rPr>
          <w:rFonts w:ascii="Times New Roman" w:eastAsia="仿宋_GB2312" w:cs="Times New Roman" w:hAnsi="Times New Roman"/>
          <w:sz w:val="32"/>
          <w:szCs w:val="32"/>
          <w:lang w:eastAsia="zh-CN" w:bidi="ar-SA"/>
        </w:rPr>
        <w:t>社会治安综合治理</w:t>
      </w:r>
      <w:r>
        <w:rPr>
          <w:rFonts w:ascii="Times New Roman" w:eastAsia="仿宋_GB2312" w:cs="Times New Roman" w:hAnsi="Times New Roman"/>
          <w:sz w:val="32"/>
          <w:szCs w:val="32"/>
          <w:lang w:bidi="ar-SA"/>
        </w:rPr>
        <w:t>基础建设</w:t>
      </w:r>
      <w:r>
        <w:rPr>
          <w:rFonts w:ascii="Times New Roman" w:eastAsia="仿宋_GB2312" w:cs="Times New Roman" w:hAnsi="Times New Roman"/>
          <w:sz w:val="32"/>
          <w:szCs w:val="32"/>
          <w:lang w:eastAsia="zh-CN" w:bidi="ar-SA"/>
        </w:rPr>
        <w:t>，依托“微网实格”平台，着力</w:t>
      </w:r>
      <w:r>
        <w:rPr>
          <w:rFonts w:ascii="Times New Roman" w:eastAsia="仿宋_GB2312" w:cs="Times New Roman" w:hAnsi="Times New Roman"/>
          <w:sz w:val="32"/>
          <w:szCs w:val="32"/>
          <w:lang w:val="en-US" w:eastAsia="zh-CN" w:bidi="ar-SA"/>
        </w:rPr>
        <w:t>做好</w:t>
      </w:r>
      <w:r>
        <w:rPr>
          <w:rFonts w:ascii="Times New Roman" w:eastAsia="仿宋_GB2312" w:cs="Times New Roman" w:hAnsi="Times New Roman"/>
          <w:sz w:val="32"/>
          <w:szCs w:val="32"/>
          <w:lang w:eastAsia="zh-CN" w:bidi="ar-SA"/>
        </w:rPr>
        <w:t>扫黑除恶、矛盾纠纷多元化解、</w:t>
      </w:r>
      <w:r>
        <w:rPr>
          <w:rFonts w:ascii="Times New Roman" w:eastAsia="仿宋_GB2312" w:cs="Times New Roman" w:hAnsi="Times New Roman"/>
          <w:sz w:val="32"/>
          <w:szCs w:val="32"/>
          <w:lang w:val="en-US" w:eastAsia="zh-CN" w:bidi="ar-SA"/>
        </w:rPr>
        <w:t>服务群众</w:t>
      </w:r>
      <w:r>
        <w:rPr>
          <w:rFonts w:ascii="Times New Roman" w:eastAsia="仿宋_GB2312" w:cs="Times New Roman" w:hAnsi="Times New Roman"/>
          <w:sz w:val="32"/>
          <w:szCs w:val="32"/>
          <w:lang w:eastAsia="zh-CN" w:bidi="ar-SA"/>
        </w:rPr>
        <w:t>等</w:t>
      </w:r>
      <w:r>
        <w:rPr>
          <w:rFonts w:ascii="Times New Roman" w:eastAsia="仿宋_GB2312" w:cs="Times New Roman" w:hAnsi="Times New Roman"/>
          <w:sz w:val="32"/>
          <w:szCs w:val="32"/>
          <w:lang w:val="en-US" w:eastAsia="zh-CN" w:bidi="ar-SA"/>
        </w:rPr>
        <w:t>工作。</w:t>
      </w:r>
      <w:r>
        <w:rPr>
          <w:rFonts w:ascii="Times New Roman" w:eastAsia="楷体_GB2312" w:cs="Times New Roman" w:hAnsi="Times New Roman"/>
          <w:b/>
          <w:bCs/>
          <w:sz w:val="32"/>
          <w:szCs w:val="32"/>
          <w:lang w:val="en-US" w:eastAsia="zh-CN" w:bidi="ar-SA"/>
        </w:rPr>
        <w:t>一是</w:t>
      </w:r>
      <w:r>
        <w:rPr>
          <w:rFonts w:ascii="Times New Roman" w:eastAsia="楷体_GB2312" w:cs="Times New Roman" w:hAnsi="Times New Roman"/>
          <w:b/>
          <w:bCs/>
          <w:color w:val="auto"/>
          <w:spacing w:val="0"/>
          <w:sz w:val="32"/>
          <w:szCs w:val="32"/>
          <w:shd w:val="clear" w:color="auto" w:fill="FFFFFF"/>
          <w:lang w:bidi="ar-SA"/>
        </w:rPr>
        <w:t>多元</w:t>
      </w:r>
      <w:r>
        <w:rPr>
          <w:rFonts w:ascii="Times New Roman" w:eastAsia="楷体_GB2312" w:cs="Times New Roman" w:hAnsi="Times New Roman"/>
          <w:b/>
          <w:bCs/>
          <w:color w:val="auto"/>
          <w:spacing w:val="0"/>
          <w:sz w:val="32"/>
          <w:szCs w:val="32"/>
          <w:shd w:val="clear" w:color="auto" w:fill="FFFFFF"/>
          <w:lang w:eastAsia="zh-CN" w:bidi="ar-SA"/>
        </w:rPr>
        <w:t>排查</w:t>
      </w:r>
      <w:r>
        <w:rPr>
          <w:rFonts w:ascii="Times New Roman" w:eastAsia="楷体_GB2312" w:cs="Times New Roman" w:hAnsi="Times New Roman"/>
          <w:b/>
          <w:bCs/>
          <w:color w:val="auto"/>
          <w:spacing w:val="0"/>
          <w:sz w:val="32"/>
          <w:szCs w:val="32"/>
          <w:shd w:val="clear" w:color="auto" w:fill="FFFFFF"/>
          <w:lang w:bidi="ar-SA"/>
        </w:rPr>
        <w:t>化解矛盾纠纷。</w:t>
      </w:r>
      <w:r>
        <w:rPr>
          <w:rFonts w:ascii="Times New Roman" w:eastAsia="仿宋_GB2312" w:cs="Times New Roman" w:hAnsi="Times New Roman"/>
          <w:color w:val="auto"/>
          <w:spacing w:val="0"/>
          <w:sz w:val="32"/>
          <w:szCs w:val="32"/>
          <w:shd w:val="clear" w:color="auto" w:fill="FFFFFF"/>
          <w:lang w:bidi="ar-SA"/>
        </w:rPr>
        <w:t>建立“两代表一委员”、“平安志愿者”、“调解委员会”等参与化解矛盾纠纷机制，</w:t>
      </w:r>
      <w:r>
        <w:rPr>
          <w:rFonts w:ascii="Times New Roman" w:eastAsia="仿宋_GB2312" w:cs="Times New Roman" w:hAnsi="Times New Roman"/>
          <w:color w:val="auto"/>
          <w:spacing w:val="0"/>
          <w:sz w:val="32"/>
          <w:szCs w:val="32"/>
          <w:shd w:val="clear" w:color="auto" w:fill="FFFFFF"/>
          <w:lang w:val="en-US" w:eastAsia="zh-CN" w:bidi="ar-SA"/>
        </w:rPr>
        <w:t>全年</w:t>
      </w:r>
      <w:r>
        <w:rPr>
          <w:rFonts w:ascii="Times New Roman" w:eastAsia="仿宋_GB2312" w:cs="Times New Roman" w:hAnsi="Times New Roman"/>
          <w:sz w:val="32"/>
          <w:szCs w:val="32"/>
          <w:lang w:eastAsia="zh-CN" w:bidi="ar-SA"/>
        </w:rPr>
        <w:t>排查矛盾纠纷</w:t>
      </w:r>
      <w:r>
        <w:rPr>
          <w:rFonts w:ascii="Times New Roman" w:eastAsia="仿宋_GB2312" w:cs="Times New Roman" w:hAnsi="Times New Roman"/>
          <w:sz w:val="32"/>
          <w:szCs w:val="32"/>
          <w:lang w:val="en-US" w:eastAsia="zh-CN" w:bidi="ar-SA"/>
        </w:rPr>
        <w:t>7</w:t>
      </w:r>
      <w:r>
        <w:rPr>
          <w:rFonts w:ascii="Times New Roman" w:eastAsia="仿宋_GB2312" w:cs="Times New Roman" w:hAnsi="Times New Roman"/>
          <w:sz w:val="32"/>
          <w:szCs w:val="32"/>
          <w:lang w:eastAsia="zh-CN" w:bidi="ar-SA"/>
        </w:rPr>
        <w:t>件，化解</w:t>
      </w:r>
      <w:r>
        <w:rPr>
          <w:rFonts w:ascii="Times New Roman" w:eastAsia="仿宋_GB2312" w:cs="Times New Roman" w:hAnsi="Times New Roman"/>
          <w:sz w:val="32"/>
          <w:szCs w:val="32"/>
          <w:lang w:val="en-US" w:eastAsia="zh-CN" w:bidi="ar-SA"/>
        </w:rPr>
        <w:t>6</w:t>
      </w:r>
      <w:r>
        <w:rPr>
          <w:rFonts w:ascii="Times New Roman" w:eastAsia="仿宋_GB2312" w:cs="Times New Roman" w:hAnsi="Times New Roman"/>
          <w:sz w:val="32"/>
          <w:szCs w:val="32"/>
          <w:lang w:eastAsia="zh-CN" w:bidi="ar-SA"/>
        </w:rPr>
        <w:t>件</w:t>
      </w:r>
      <w:r>
        <w:rPr>
          <w:rFonts w:ascii="Times New Roman" w:eastAsia="仿宋_GB2312" w:cs="Times New Roman" w:hAnsi="Times New Roman"/>
          <w:color w:val="auto"/>
          <w:spacing w:val="0"/>
          <w:sz w:val="32"/>
          <w:szCs w:val="32"/>
          <w:shd w:val="clear" w:color="auto" w:fill="FFFFFF"/>
          <w:lang w:bidi="ar-SA"/>
          <w:highlight w:val="auto"/>
        </w:rPr>
        <w:t>（其中一件属历史遗留矛盾纠纷）</w:t>
      </w:r>
      <w:r>
        <w:rPr>
          <w:rFonts w:ascii="Times New Roman" w:eastAsia="仿宋_GB2312" w:cs="Times New Roman" w:hAnsi="Times New Roman"/>
          <w:color w:val="auto"/>
          <w:spacing w:val="0"/>
          <w:sz w:val="32"/>
          <w:szCs w:val="32"/>
          <w:shd w:val="clear" w:color="auto" w:fill="FFFFFF"/>
          <w:lang w:bidi="ar-SA"/>
        </w:rPr>
        <w:t>。</w:t>
      </w:r>
      <w:r>
        <w:rPr>
          <w:rFonts w:ascii="Times New Roman" w:eastAsia="楷体_GB2312" w:cs="Times New Roman" w:hAnsi="Times New Roman"/>
          <w:b/>
          <w:bCs/>
          <w:sz w:val="32"/>
          <w:szCs w:val="32"/>
          <w:lang w:val="en-US" w:eastAsia="zh-CN" w:bidi="ar-SA"/>
        </w:rPr>
        <w:t>二是深化扫黑除恶专项斗争。</w:t>
      </w:r>
      <w:r>
        <w:rPr>
          <w:rFonts w:ascii="Times New Roman" w:eastAsia="仿宋_GB2312" w:cs="Times New Roman" w:hAnsi="Times New Roman"/>
          <w:color w:val="000000"/>
          <w:sz w:val="32"/>
          <w:szCs w:val="32"/>
          <w:lang w:val="en-US" w:eastAsia="zh-CN" w:bidi="ar-SA"/>
        </w:rPr>
        <w:t>以“微网实格”及</w:t>
      </w:r>
      <w:r>
        <w:rPr>
          <w:rFonts w:ascii="Times New Roman" w:eastAsia="仿宋_GB2312" w:cs="Times New Roman" w:hAnsi="Times New Roman"/>
          <w:color w:val="000000"/>
          <w:sz w:val="32"/>
          <w:szCs w:val="32"/>
          <w:lang w:eastAsia="zh-CN" w:bidi="ar-SA"/>
        </w:rPr>
        <w:t>“</w:t>
      </w:r>
      <w:r>
        <w:rPr>
          <w:rFonts w:ascii="Times New Roman" w:eastAsia="仿宋_GB2312" w:cs="Times New Roman" w:hAnsi="Times New Roman"/>
          <w:color w:val="000000"/>
          <w:sz w:val="32"/>
          <w:szCs w:val="32"/>
          <w:lang w:val="en-US" w:eastAsia="zh-CN" w:bidi="ar-SA"/>
        </w:rPr>
        <w:t>双联双进”</w:t>
      </w:r>
      <w:r>
        <w:rPr>
          <w:rFonts w:ascii="Times New Roman" w:eastAsia="仿宋_GB2312" w:cs="Times New Roman" w:hAnsi="Times New Roman"/>
          <w:color w:val="000000"/>
          <w:sz w:val="32"/>
          <w:szCs w:val="32"/>
          <w:lang w:eastAsia="zh-CN" w:bidi="ar-SA"/>
        </w:rPr>
        <w:t>工作为契机</w:t>
      </w:r>
      <w:r>
        <w:rPr>
          <w:rFonts w:ascii="Times New Roman" w:eastAsia="仿宋_GB2312" w:cs="Times New Roman" w:hAnsi="Times New Roman"/>
          <w:color w:val="auto"/>
          <w:spacing w:val="0"/>
          <w:sz w:val="32"/>
          <w:szCs w:val="32"/>
          <w:lang w:val="en-US" w:eastAsia="zh-CN" w:bidi="ar-SA"/>
        </w:rPr>
        <w:t>，统筹县、乡、村三级干部力量，</w:t>
      </w:r>
      <w:r>
        <w:rPr>
          <w:rFonts w:ascii="Times New Roman" w:eastAsia="仿宋_GB2312" w:cs="Times New Roman" w:hAnsi="Times New Roman"/>
          <w:sz w:val="32"/>
          <w:szCs w:val="32"/>
          <w:lang w:val="en-US" w:eastAsia="zh-CN" w:bidi="ar-SA"/>
        </w:rPr>
        <w:t>全面摸排</w:t>
      </w:r>
      <w:r>
        <w:rPr>
          <w:rFonts w:ascii="Times New Roman" w:eastAsia="仿宋_GB2312" w:cs="Times New Roman" w:hAnsi="Times New Roman"/>
          <w:sz w:val="32"/>
          <w:szCs w:val="32"/>
          <w:lang w:eastAsia="zh-CN" w:bidi="ar-SA"/>
        </w:rPr>
        <w:t>收集扫黑除恶专项斗争线索，</w:t>
      </w:r>
      <w:r>
        <w:rPr>
          <w:rFonts w:ascii="Times New Roman" w:eastAsia="仿宋_GB2312" w:cs="Times New Roman" w:hAnsi="Times New Roman"/>
          <w:sz w:val="32"/>
          <w:szCs w:val="32"/>
          <w:lang w:val="en-US" w:eastAsia="zh-CN" w:bidi="ar-SA"/>
        </w:rPr>
        <w:t>开展</w:t>
      </w:r>
      <w:r>
        <w:rPr>
          <w:rFonts w:ascii="Times New Roman" w:eastAsia="仿宋_GB2312" w:cs="Times New Roman" w:hAnsi="Times New Roman"/>
          <w:sz w:val="32"/>
          <w:szCs w:val="32"/>
          <w:lang w:eastAsia="zh-CN" w:bidi="ar-SA"/>
        </w:rPr>
        <w:t>社情民意调查，</w:t>
      </w:r>
      <w:r>
        <w:rPr>
          <w:rFonts w:ascii="Times New Roman" w:eastAsia="仿宋_GB2312" w:cs="Times New Roman" w:hAnsi="Times New Roman"/>
          <w:sz w:val="32"/>
          <w:szCs w:val="32"/>
          <w:lang w:bidi="ar-SA"/>
        </w:rPr>
        <w:t>宣传</w:t>
      </w:r>
      <w:r>
        <w:rPr>
          <w:rFonts w:ascii="Times New Roman" w:eastAsia="仿宋_GB2312" w:cs="Times New Roman" w:hAnsi="Times New Roman"/>
          <w:sz w:val="32"/>
          <w:szCs w:val="32"/>
          <w:lang w:val="en-US" w:eastAsia="zh-CN" w:bidi="ar-SA"/>
        </w:rPr>
        <w:t>宣讲</w:t>
      </w:r>
      <w:r>
        <w:rPr>
          <w:rFonts w:ascii="Times New Roman" w:eastAsia="仿宋_GB2312" w:cs="Times New Roman" w:hAnsi="Times New Roman"/>
          <w:sz w:val="32"/>
          <w:szCs w:val="32"/>
          <w:lang w:bidi="ar-SA"/>
        </w:rPr>
        <w:t>社会治安相关条例</w:t>
      </w:r>
      <w:r>
        <w:rPr>
          <w:rFonts w:ascii="Times New Roman" w:eastAsia="仿宋_GB2312" w:cs="Times New Roman" w:hAnsi="Times New Roman"/>
          <w:sz w:val="32"/>
          <w:szCs w:val="32"/>
          <w:lang w:eastAsia="zh-CN" w:bidi="ar-SA"/>
        </w:rPr>
        <w:t>法规</w:t>
      </w:r>
      <w:r>
        <w:rPr>
          <w:rFonts w:ascii="Times New Roman" w:eastAsia="仿宋_GB2312" w:cs="Times New Roman" w:hAnsi="Times New Roman"/>
          <w:sz w:val="32"/>
          <w:szCs w:val="32"/>
          <w:lang w:val="en-US" w:eastAsia="zh-CN" w:bidi="ar-SA"/>
        </w:rPr>
        <w:t>38次</w:t>
      </w:r>
      <w:r>
        <w:rPr>
          <w:rFonts w:ascii="Times New Roman" w:eastAsia="仿宋_GB2312" w:cs="Times New Roman" w:hAnsi="Times New Roman"/>
          <w:sz w:val="32"/>
          <w:szCs w:val="32"/>
          <w:lang w:eastAsia="zh-CN" w:bidi="ar-SA"/>
        </w:rPr>
        <w:t>，</w:t>
      </w:r>
      <w:r>
        <w:rPr>
          <w:rFonts w:ascii="Times New Roman" w:eastAsia="仿宋_GB2312" w:cs="Times New Roman" w:hAnsi="Times New Roman"/>
          <w:color w:val="000000"/>
          <w:sz w:val="32"/>
          <w:szCs w:val="32"/>
          <w:lang w:val="en-US" w:eastAsia="zh-CN" w:bidi="ar-SA"/>
        </w:rPr>
        <w:t>社会治安和谐稳定；</w:t>
      </w:r>
      <w:r>
        <w:rPr>
          <w:rFonts w:ascii="Times New Roman" w:eastAsia="楷体_GB2312" w:cs="Times New Roman" w:hAnsi="Times New Roman"/>
          <w:b/>
          <w:bCs/>
          <w:sz w:val="32"/>
          <w:szCs w:val="32"/>
          <w:lang w:val="en-US" w:eastAsia="zh-CN" w:bidi="ar-SA"/>
        </w:rPr>
        <w:t>三是切实树牢安全发展观。</w:t>
      </w:r>
      <w:r>
        <w:rPr>
          <w:rFonts w:ascii="Times New Roman" w:eastAsia="仿宋_GB2312" w:cs="Times New Roman" w:hAnsi="Times New Roman"/>
          <w:color w:val="000000"/>
          <w:sz w:val="32"/>
          <w:szCs w:val="32"/>
          <w:lang w:val="en-US" w:eastAsia="zh-CN" w:bidi="ar-SA"/>
        </w:rPr>
        <w:t>扎实推进</w:t>
      </w:r>
      <w:r>
        <w:rPr>
          <w:rFonts w:ascii="Times New Roman" w:eastAsia="仿宋_GB2312" w:cs="Times New Roman" w:hAnsi="Times New Roman"/>
          <w:color w:val="000000"/>
          <w:sz w:val="32"/>
          <w:szCs w:val="32"/>
          <w:lang w:eastAsia="zh-CN" w:bidi="ar-SA"/>
        </w:rPr>
        <w:t>森林草原防灭火、防汛减灾、</w:t>
      </w:r>
      <w:r>
        <w:rPr>
          <w:rFonts w:ascii="Times New Roman" w:eastAsia="仿宋_GB2312" w:cs="Times New Roman" w:hAnsi="Times New Roman"/>
          <w:color w:val="000000"/>
          <w:sz w:val="32"/>
          <w:szCs w:val="32"/>
          <w:lang w:val="en-US" w:eastAsia="zh-CN" w:bidi="ar-SA"/>
        </w:rPr>
        <w:t>道路交通、校园</w:t>
      </w:r>
      <w:r>
        <w:rPr>
          <w:rFonts w:ascii="Times New Roman" w:eastAsia="仿宋_GB2312" w:cs="Times New Roman" w:hAnsi="Times New Roman"/>
          <w:color w:val="000000"/>
          <w:sz w:val="32"/>
          <w:szCs w:val="32"/>
          <w:lang w:eastAsia="zh-CN" w:bidi="ar-SA"/>
        </w:rPr>
        <w:t>等方面安全生产工作，</w:t>
      </w:r>
      <w:r>
        <w:rPr>
          <w:rFonts w:ascii="Times New Roman" w:eastAsia="仿宋_GB2312" w:cs="Times New Roman" w:hAnsi="Times New Roman"/>
          <w:color w:val="auto"/>
          <w:spacing w:val="0"/>
          <w:sz w:val="32"/>
          <w:szCs w:val="32"/>
          <w:shd w:val="clear" w:color="auto" w:fill="FFFFFF"/>
          <w:lang w:bidi="ar-SA"/>
        </w:rPr>
        <w:t>常态化开展消防安全教育</w:t>
      </w:r>
      <w:r>
        <w:rPr>
          <w:rFonts w:ascii="Times New Roman" w:eastAsia="仿宋_GB2312" w:cs="Times New Roman" w:hAnsi="Times New Roman"/>
          <w:color w:val="auto"/>
          <w:spacing w:val="0"/>
          <w:sz w:val="32"/>
          <w:szCs w:val="32"/>
          <w:shd w:val="clear" w:color="auto" w:fill="FFFFFF"/>
          <w:lang w:val="en-US" w:eastAsia="zh-CN" w:bidi="ar-SA"/>
        </w:rPr>
        <w:t>20余</w:t>
      </w:r>
      <w:r>
        <w:rPr>
          <w:rFonts w:ascii="Times New Roman" w:eastAsia="仿宋_GB2312" w:cs="Times New Roman" w:hAnsi="Times New Roman"/>
          <w:color w:val="auto"/>
          <w:spacing w:val="0"/>
          <w:sz w:val="32"/>
          <w:szCs w:val="32"/>
          <w:shd w:val="clear" w:color="auto" w:fill="FFFFFF"/>
          <w:lang w:bidi="ar-SA"/>
        </w:rPr>
        <w:t>次，组织开展各类安全检查</w:t>
      </w:r>
      <w:r>
        <w:rPr>
          <w:rFonts w:ascii="Times New Roman" w:eastAsia="仿宋_GB2312" w:cs="Times New Roman" w:hAnsi="Times New Roman"/>
          <w:color w:val="auto"/>
          <w:spacing w:val="0"/>
          <w:sz w:val="32"/>
          <w:szCs w:val="32"/>
          <w:shd w:val="clear" w:color="auto" w:fill="FFFFFF"/>
          <w:lang w:val="en-US" w:eastAsia="zh-CN" w:bidi="ar-SA"/>
        </w:rPr>
        <w:t>360</w:t>
      </w:r>
      <w:r>
        <w:rPr>
          <w:rFonts w:ascii="Times New Roman" w:eastAsia="仿宋_GB2312" w:cs="Times New Roman" w:hAnsi="Times New Roman"/>
          <w:color w:val="auto"/>
          <w:spacing w:val="0"/>
          <w:sz w:val="32"/>
          <w:szCs w:val="32"/>
          <w:shd w:val="clear" w:color="auto" w:fill="FFFFFF"/>
          <w:lang w:bidi="ar-SA"/>
        </w:rPr>
        <w:t>余次，下发整改通知书</w:t>
      </w:r>
      <w:r>
        <w:rPr>
          <w:rFonts w:ascii="Times New Roman" w:eastAsia="仿宋_GB2312" w:cs="Times New Roman" w:hAnsi="Times New Roman"/>
          <w:color w:val="auto"/>
          <w:spacing w:val="0"/>
          <w:sz w:val="32"/>
          <w:szCs w:val="32"/>
          <w:shd w:val="clear" w:color="auto" w:fill="FFFFFF"/>
          <w:lang w:val="en-US" w:eastAsia="zh-CN" w:bidi="ar-SA"/>
        </w:rPr>
        <w:t>8</w:t>
      </w:r>
      <w:r>
        <w:rPr>
          <w:rFonts w:ascii="Times New Roman" w:eastAsia="仿宋_GB2312" w:cs="Times New Roman" w:hAnsi="Times New Roman"/>
          <w:color w:val="auto"/>
          <w:spacing w:val="0"/>
          <w:sz w:val="32"/>
          <w:szCs w:val="32"/>
          <w:shd w:val="clear" w:color="auto" w:fill="FFFFFF"/>
          <w:lang w:bidi="ar-SA"/>
        </w:rPr>
        <w:t>份</w:t>
      </w:r>
      <w:r>
        <w:rPr>
          <w:rFonts w:ascii="Times New Roman" w:eastAsia="仿宋_GB2312" w:cs="Times New Roman" w:hAnsi="Times New Roman"/>
          <w:color w:val="auto"/>
          <w:spacing w:val="0"/>
          <w:sz w:val="32"/>
          <w:szCs w:val="32"/>
          <w:shd w:val="clear" w:color="auto" w:fill="FFFFFF"/>
          <w:lang w:eastAsia="zh-CN" w:bidi="ar-SA"/>
        </w:rPr>
        <w:t>，</w:t>
      </w:r>
      <w:r>
        <w:rPr>
          <w:rFonts w:ascii="Times New Roman" w:eastAsia="仿宋_GB2312" w:cs="Times New Roman" w:hAnsi="Times New Roman"/>
          <w:color w:val="000000"/>
          <w:sz w:val="32"/>
          <w:szCs w:val="32"/>
          <w:lang w:eastAsia="zh-CN" w:bidi="ar-SA"/>
        </w:rPr>
        <w:t>落实宣传教育、隐患排查、应急准备、值班值守等工作举措，</w:t>
      </w:r>
      <w:r>
        <w:rPr>
          <w:rFonts w:ascii="Times New Roman" w:eastAsia="仿宋_GB2312" w:cs="Times New Roman" w:hAnsi="Times New Roman"/>
          <w:color w:val="000000"/>
          <w:sz w:val="32"/>
          <w:szCs w:val="32"/>
          <w:lang w:val="en-US" w:eastAsia="zh-CN" w:bidi="ar-SA"/>
        </w:rPr>
        <w:t>确保了辖区无重大安全事故发生。</w:t>
      </w:r>
    </w:p>
    <w:p>
      <w:pPr>
        <w:keepNext w:val="0"/>
        <w:keepLines w:val="0"/>
        <w:pageBreakBefore w:val="0"/>
        <w:widowControl w:val="0"/>
        <w:kinsoku/>
        <w:wordWrap/>
        <w:overflowPunct/>
        <w:topLinePunct w:val="0"/>
        <w:autoSpaceDE/>
        <w:autoSpaceDN/>
        <w:bidi w:val="0"/>
        <w:snapToGrid w:val="0"/>
        <w:spacing w:line="576" w:lineRule="exact"/>
        <w:ind w:firstLineChars="200" w:firstLine="640"/>
        <w:jc w:val="both"/>
        <w:textAlignment w:val="auto"/>
        <w:rPr>
          <w:rFonts w:ascii="Times New Roman" w:eastAsia="黑体" w:cs="Times New Roman" w:hAnsi="Times New Roman"/>
          <w:sz w:val="32"/>
          <w:szCs w:val="32"/>
          <w:lang w:bidi="ar-SA"/>
        </w:rPr>
      </w:pPr>
      <w:r>
        <w:rPr>
          <w:rFonts w:ascii="仿宋_GB2312" w:eastAsia="仿宋_GB2312" w:cs="Times New Roman" w:hint="eastAsia"/>
          <w:b/>
          <w:color w:val="auto"/>
          <w:kern w:val="2"/>
          <w:sz w:val="32"/>
          <w:szCs w:val="24"/>
          <w:lang w:val="en-US" w:eastAsia="zh-CN" w:bidi="ar-SA"/>
        </w:rPr>
        <w:t>7.</w:t>
      </w:r>
      <w:r>
        <w:rPr>
          <w:rFonts w:ascii="Times New Roman" w:eastAsia="黑体" w:cs="Times New Roman" w:hAnsi="Times New Roman"/>
          <w:sz w:val="32"/>
          <w:szCs w:val="32"/>
          <w:lang w:bidi="ar-SA"/>
        </w:rPr>
        <w:t>自加压力</w:t>
      </w:r>
      <w:r>
        <w:rPr>
          <w:rFonts w:ascii="Times New Roman" w:eastAsia="黑体" w:cs="Times New Roman" w:hAnsi="Times New Roman"/>
          <w:sz w:val="32"/>
          <w:szCs w:val="32"/>
          <w:lang w:val="en-US" w:eastAsia="zh-CN" w:bidi="ar-SA"/>
        </w:rPr>
        <w:t>抓</w:t>
      </w:r>
      <w:r>
        <w:rPr>
          <w:rFonts w:ascii="Times New Roman" w:eastAsia="黑体" w:cs="Times New Roman" w:hAnsi="Times New Roman"/>
          <w:sz w:val="32"/>
          <w:szCs w:val="32"/>
          <w:lang w:bidi="ar-SA"/>
        </w:rPr>
        <w:t>效能，自身建设不断加强</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sz w:val="32"/>
          <w:lang w:bidi="ar-SA"/>
        </w:rPr>
      </w:pPr>
      <w:r>
        <w:rPr>
          <w:rFonts w:ascii="Times New Roman" w:eastAsia="仿宋_GB2312" w:cs="Times New Roman" w:hAnsi="Times New Roman"/>
          <w:color w:val="000000"/>
          <w:sz w:val="32"/>
          <w:szCs w:val="32"/>
          <w:shd w:val="clear" w:color="auto" w:fill="FFFFFF"/>
          <w:lang w:eastAsia="zh-CN" w:bidi="ar-SA"/>
        </w:rPr>
        <w:t>坚持以人民为中心的服务理念，深化放管服工作和依法行政工作，简化办事流程，提升办事效率。</w:t>
      </w:r>
      <w:r>
        <w:rPr>
          <w:rFonts w:ascii="Times New Roman" w:eastAsia="楷体_GB2312" w:cs="Times New Roman" w:hAnsi="Times New Roman"/>
          <w:b/>
          <w:bCs/>
          <w:kern w:val="0"/>
          <w:sz w:val="32"/>
          <w:szCs w:val="32"/>
          <w:lang w:val="en-US" w:eastAsia="zh-CN" w:bidi="ar-SA"/>
        </w:rPr>
        <w:t>一是推动干部队伍素质建设。</w:t>
      </w:r>
      <w:r>
        <w:rPr>
          <w:rFonts w:ascii="Times New Roman" w:eastAsia="仿宋_GB2312" w:cs="Times New Roman" w:hAnsi="Times New Roman"/>
          <w:color w:val="000000"/>
          <w:sz w:val="32"/>
          <w:szCs w:val="32"/>
          <w:shd w:val="clear" w:color="auto" w:fill="FFFFFF"/>
          <w:lang w:val="en-US" w:eastAsia="zh-CN" w:bidi="ar-SA"/>
        </w:rPr>
        <w:t>以党纪学习教育为契机，严格落实</w:t>
      </w:r>
      <w:r>
        <w:rPr>
          <w:rFonts w:ascii="Times New Roman" w:eastAsia="仿宋_GB2312" w:cs="Times New Roman" w:hAnsi="Times New Roman"/>
          <w:color w:val="000000"/>
          <w:sz w:val="32"/>
          <w:szCs w:val="32"/>
          <w:shd w:val="clear" w:color="auto" w:fill="FFFFFF"/>
          <w:lang w:eastAsia="zh-CN" w:bidi="ar-SA"/>
        </w:rPr>
        <w:t>“三会一课”、主题党日等组织生活制度，全面深入学习</w:t>
      </w:r>
      <w:r>
        <w:rPr>
          <w:rFonts w:ascii="Times New Roman" w:eastAsia="仿宋_GB2312" w:cs="Times New Roman" w:hAnsi="Times New Roman"/>
          <w:color w:val="000000"/>
          <w:sz w:val="32"/>
          <w:szCs w:val="32"/>
          <w:shd w:val="clear" w:color="auto" w:fill="FFFFFF"/>
          <w:lang w:val="en-US" w:eastAsia="zh-CN" w:bidi="ar-SA"/>
        </w:rPr>
        <w:t>党的政策理论及规章制度，全面增强党员干部规矩意识、纪律意识、服务意识；</w:t>
      </w:r>
      <w:r>
        <w:rPr>
          <w:rFonts w:ascii="Times New Roman" w:eastAsia="楷体_GB2312" w:cs="Times New Roman" w:hAnsi="Times New Roman"/>
          <w:b/>
          <w:bCs/>
          <w:kern w:val="0"/>
          <w:sz w:val="32"/>
          <w:szCs w:val="32"/>
          <w:lang w:val="en-US" w:eastAsia="zh-CN" w:bidi="ar-SA"/>
        </w:rPr>
        <w:t>二是密切干群关系转变作风。</w:t>
      </w:r>
      <w:r>
        <w:rPr>
          <w:rFonts w:ascii="Times New Roman" w:eastAsia="仿宋_GB2312" w:cs="Times New Roman" w:hAnsi="Times New Roman"/>
          <w:bCs/>
          <w:color w:val="000000"/>
          <w:spacing w:val="0"/>
          <w:sz w:val="32"/>
          <w:szCs w:val="32"/>
          <w:shd w:val="clear" w:color="auto" w:fill="FFFFFF"/>
          <w:lang w:val="en-US" w:eastAsia="zh-CN" w:bidi="ar-SA"/>
        </w:rPr>
        <w:t>深化</w:t>
      </w:r>
      <w:r>
        <w:rPr>
          <w:rFonts w:ascii="Times New Roman" w:eastAsia="仿宋_GB2312" w:cs="Times New Roman" w:hAnsi="Times New Roman"/>
          <w:bCs/>
          <w:color w:val="000000"/>
          <w:kern w:val="2"/>
          <w:sz w:val="32"/>
          <w:szCs w:val="20"/>
          <w:lang w:val="en-US" w:eastAsia="zh-CN" w:bidi="ar-SA"/>
        </w:rPr>
        <w:t>“双联双进”群众工作，</w:t>
      </w:r>
      <w:r>
        <w:rPr>
          <w:rFonts w:ascii="Times New Roman" w:eastAsia="仿宋_GB2312" w:cs="Times New Roman" w:hAnsi="Times New Roman"/>
          <w:color w:val="000000"/>
          <w:spacing w:val="0"/>
          <w:sz w:val="32"/>
          <w:szCs w:val="32"/>
          <w:shd w:val="clear" w:color="auto" w:fill="FFFFFF"/>
          <w:lang w:val="en-US" w:eastAsia="zh-CN" w:bidi="ar-SA"/>
        </w:rPr>
        <w:t>全乡党员干部走出机关、深入牧户、走进寺庙，全面摸排群众、僧人急难愁盼</w:t>
      </w:r>
      <w:r>
        <w:rPr>
          <w:rFonts w:ascii="Times New Roman" w:eastAsia="仿宋_GB2312" w:cs="Times New Roman" w:hAnsi="Times New Roman" w:hint="eastAsia"/>
          <w:color w:val="000000"/>
          <w:spacing w:val="0"/>
          <w:sz w:val="32"/>
          <w:szCs w:val="32"/>
          <w:shd w:val="clear" w:color="auto" w:fill="FFFFFF"/>
          <w:lang w:val="en-US" w:eastAsia="zh-CN" w:bidi="ar-SA"/>
        </w:rPr>
        <w:t>等诉求</w:t>
      </w:r>
      <w:r>
        <w:rPr>
          <w:rFonts w:ascii="Times New Roman" w:eastAsia="仿宋_GB2312" w:cs="Times New Roman" w:hAnsi="Times New Roman"/>
          <w:color w:val="000000"/>
          <w:spacing w:val="0"/>
          <w:sz w:val="32"/>
          <w:szCs w:val="32"/>
          <w:shd w:val="clear" w:color="auto" w:fill="FFFFFF"/>
          <w:lang w:val="en-US" w:eastAsia="zh-CN" w:bidi="ar-SA"/>
        </w:rPr>
        <w:t>，全年</w:t>
      </w:r>
      <w:r>
        <w:rPr>
          <w:rFonts w:ascii="Times New Roman" w:eastAsia="仿宋_GB2312" w:cs="Times New Roman" w:hAnsi="Times New Roman"/>
          <w:color w:val="000000"/>
          <w:spacing w:val="0"/>
          <w:sz w:val="32"/>
          <w:szCs w:val="32"/>
          <w:shd w:val="clear" w:color="auto" w:fill="FFFFFF"/>
          <w:lang w:bidi="ar-SA"/>
        </w:rPr>
        <w:t>走访</w:t>
      </w:r>
      <w:r>
        <w:rPr>
          <w:rFonts w:ascii="Times New Roman" w:eastAsia="仿宋_GB2312" w:cs="Times New Roman" w:hAnsi="Times New Roman"/>
          <w:color w:val="000000"/>
          <w:spacing w:val="0"/>
          <w:sz w:val="32"/>
          <w:szCs w:val="32"/>
          <w:shd w:val="clear" w:color="auto" w:fill="FFFFFF"/>
          <w:lang w:val="en-US" w:eastAsia="zh-CN" w:bidi="ar-SA"/>
        </w:rPr>
        <w:t>2000余人次，</w:t>
      </w:r>
      <w:r>
        <w:rPr>
          <w:rFonts w:ascii="Times New Roman" w:eastAsia="仿宋_GB2312" w:cs="Times New Roman" w:hAnsi="Times New Roman"/>
          <w:color w:val="000000"/>
          <w:kern w:val="2"/>
          <w:sz w:val="32"/>
          <w:szCs w:val="32"/>
          <w:lang w:val="en-US" w:eastAsia="zh-CN" w:bidi="ar-SA"/>
        </w:rPr>
        <w:t>发放各类宣传册1000余份，收集解决困难问题</w:t>
      </w:r>
      <w:r>
        <w:rPr>
          <w:rFonts w:ascii="Times New Roman" w:eastAsia="仿宋_GB2312" w:cs="Times New Roman" w:hAnsi="Times New Roman"/>
          <w:color w:val="auto"/>
          <w:kern w:val="2"/>
          <w:sz w:val="32"/>
          <w:szCs w:val="32"/>
          <w:lang w:val="en-US" w:eastAsia="zh-CN" w:bidi="ar-SA"/>
        </w:rPr>
        <w:t>60</w:t>
      </w:r>
      <w:r>
        <w:rPr>
          <w:rFonts w:ascii="Times New Roman" w:eastAsia="仿宋_GB2312" w:cs="Times New Roman" w:hAnsi="Times New Roman"/>
          <w:color w:val="000000"/>
          <w:kern w:val="2"/>
          <w:sz w:val="32"/>
          <w:szCs w:val="32"/>
          <w:lang w:val="en-US" w:eastAsia="zh-CN" w:bidi="ar-SA"/>
        </w:rPr>
        <w:t>余件，进一步密切党群、</w:t>
      </w:r>
      <w:r>
        <w:rPr>
          <w:rFonts w:ascii="Times New Roman" w:eastAsia="仿宋_GB2312" w:cs="Times New Roman" w:hAnsi="Times New Roman"/>
          <w:color w:val="000000"/>
          <w:spacing w:val="0"/>
          <w:sz w:val="32"/>
          <w:szCs w:val="32"/>
          <w:shd w:val="clear" w:color="auto" w:fill="FFFFFF"/>
          <w:lang w:val="en-US" w:eastAsia="zh-CN" w:bidi="ar-SA"/>
        </w:rPr>
        <w:t>干群、干僧关系</w:t>
      </w:r>
      <w:r>
        <w:rPr>
          <w:rFonts w:ascii="Times New Roman" w:eastAsia="仿宋_GB2312" w:cs="Times New Roman" w:hAnsi="Times New Roman"/>
          <w:color w:val="000000"/>
          <w:kern w:val="2"/>
          <w:sz w:val="32"/>
          <w:szCs w:val="32"/>
          <w:lang w:val="en-US" w:eastAsia="zh-CN" w:bidi="ar-SA"/>
        </w:rPr>
        <w:t>；</w:t>
      </w:r>
      <w:r>
        <w:rPr>
          <w:rFonts w:ascii="Times New Roman" w:eastAsia="楷体_GB2312" w:cs="Times New Roman" w:hAnsi="Times New Roman"/>
          <w:b/>
          <w:bCs/>
          <w:kern w:val="0"/>
          <w:sz w:val="32"/>
          <w:szCs w:val="32"/>
          <w:lang w:val="en-US" w:eastAsia="zh-CN" w:bidi="ar-SA"/>
        </w:rPr>
        <w:t>三是廉洁奉公深化正风肃纪。</w:t>
      </w:r>
      <w:r>
        <w:rPr>
          <w:rFonts w:ascii="Times New Roman" w:eastAsia="仿宋_GB2312" w:cs="Times New Roman" w:hAnsi="Times New Roman"/>
          <w:color w:val="000000"/>
          <w:spacing w:val="0"/>
          <w:sz w:val="32"/>
          <w:szCs w:val="32"/>
          <w:shd w:val="clear" w:color="auto" w:fill="FFFFFF"/>
          <w:lang w:val="en-US" w:eastAsia="zh-CN" w:bidi="ar-SA"/>
        </w:rPr>
        <w:t>严格落实“三重一大”民主决策机制及党委会议，政府决策更加科学。以整治群众身边不正之风为契机，强化重点项目建设、惠民政策落实、集体经济等重点领域跟踪监督，保障各领域风清气正。</w:t>
      </w:r>
    </w:p>
    <w:p>
      <w:pPr>
        <w:keepNext w:val="0"/>
        <w:keepLines w:val="0"/>
        <w:pageBreakBefore w:val="0"/>
        <w:widowControl w:val="0"/>
        <w:kinsoku/>
        <w:wordWrap/>
        <w:autoSpaceDE/>
        <w:autoSpaceDN/>
        <w:bidi w:val="0"/>
        <w:adjustRightInd/>
        <w:snapToGrid/>
        <w:spacing w:line="576" w:lineRule="exact"/>
        <w:ind w:firstLineChars="200" w:firstLine="640"/>
        <w:textAlignment w:val="auto"/>
        <w:rPr>
          <w:rFonts w:ascii="仿宋_GB2312" w:eastAsia="仿宋_GB2312" w:cs="Times New Roman" w:hint="eastAsia"/>
          <w:color w:val="auto"/>
          <w:sz w:val="32"/>
          <w:lang w:bidi="ar-SA"/>
        </w:rPr>
      </w:pPr>
      <w:r>
        <w:rPr>
          <w:rFonts w:ascii="仿宋_GB2312" w:eastAsia="仿宋_GB2312" w:cs="Times New Roman" w:hint="eastAsia"/>
          <w:b/>
          <w:color w:val="auto"/>
          <w:kern w:val="2"/>
          <w:sz w:val="32"/>
          <w:szCs w:val="24"/>
          <w:lang w:val="en-US" w:eastAsia="zh-CN" w:bidi="ar-SA"/>
        </w:rPr>
        <w:t>8.</w:t>
      </w:r>
      <w:r>
        <w:rPr>
          <w:rFonts w:ascii="Times New Roman" w:eastAsia="黑体" w:cs="Times New Roman" w:hAnsi="Times New Roman"/>
          <w:sz w:val="32"/>
          <w:szCs w:val="32"/>
          <w:lang w:bidi="ar-SA"/>
        </w:rPr>
        <w:t>全乡</w:t>
      </w:r>
      <w:r>
        <w:rPr>
          <w:rFonts w:ascii="Times New Roman" w:eastAsia="黑体" w:cs="Times New Roman" w:hAnsi="Times New Roman"/>
          <w:sz w:val="32"/>
          <w:szCs w:val="32"/>
          <w:lang w:val="en-US" w:eastAsia="zh-CN" w:bidi="ar-SA"/>
        </w:rPr>
        <w:t>武装</w:t>
      </w:r>
      <w:r>
        <w:rPr>
          <w:rFonts w:ascii="Times New Roman" w:eastAsia="黑体" w:cs="Times New Roman" w:hAnsi="Times New Roman"/>
          <w:sz w:val="32"/>
          <w:szCs w:val="32"/>
          <w:lang w:bidi="ar-SA"/>
        </w:rPr>
        <w:t>、统计、粮食、保密、气象、</w:t>
      </w:r>
      <w:r>
        <w:rPr>
          <w:rFonts w:ascii="Times New Roman" w:eastAsia="黑体" w:cs="Times New Roman" w:hAnsi="Times New Roman"/>
          <w:sz w:val="32"/>
          <w:szCs w:val="32"/>
          <w:lang w:val="en-US" w:eastAsia="zh-CN" w:bidi="ar-SA"/>
        </w:rPr>
        <w:t>科协、</w:t>
      </w:r>
      <w:r>
        <w:rPr>
          <w:rFonts w:ascii="Times New Roman" w:eastAsia="黑体" w:cs="Times New Roman" w:hAnsi="Times New Roman"/>
          <w:sz w:val="32"/>
          <w:szCs w:val="32"/>
          <w:lang w:bidi="ar-SA"/>
        </w:rPr>
        <w:t>老龄、群团、</w:t>
      </w:r>
      <w:r>
        <w:rPr>
          <w:rFonts w:ascii="Times New Roman" w:eastAsia="黑体" w:cs="Times New Roman" w:hAnsi="Times New Roman"/>
          <w:sz w:val="32"/>
          <w:szCs w:val="32"/>
          <w:lang w:val="en-US" w:eastAsia="zh-CN" w:bidi="ar-SA"/>
        </w:rPr>
        <w:t>档案</w:t>
      </w:r>
      <w:r>
        <w:rPr>
          <w:rFonts w:ascii="Times New Roman" w:eastAsia="黑体" w:cs="Times New Roman" w:hAnsi="Times New Roman"/>
          <w:sz w:val="32"/>
          <w:szCs w:val="32"/>
          <w:lang w:bidi="ar-SA"/>
        </w:rPr>
        <w:t>等工作得到了加强。</w:t>
      </w:r>
    </w:p>
    <w:p>
      <w:pPr>
        <w:snapToGrid w:val="0"/>
        <w:spacing w:line="520" w:lineRule="exact"/>
        <w:ind w:firstLineChars="200" w:firstLine="640"/>
        <w:rPr>
          <w:rFonts w:ascii="黑体" w:eastAsia="黑体" w:hint="eastAsia"/>
          <w:sz w:val="32"/>
          <w:szCs w:val="32"/>
          <w:highlight w:val="auto"/>
        </w:rPr>
      </w:pPr>
      <w:bookmarkStart w:id="4" w:name="YS060102"/>
    </w:p>
    <w:p>
      <w:pPr>
        <w:snapToGrid w:val="0"/>
        <w:spacing w:line="520" w:lineRule="exact"/>
        <w:ind w:firstLineChars="200" w:firstLine="640"/>
        <w:rPr>
          <w:rFonts w:ascii="黑体" w:eastAsia="黑体" w:hint="eastAsia"/>
          <w:sz w:val="32"/>
          <w:szCs w:val="32"/>
          <w:highlight w:val="auto"/>
        </w:rPr>
      </w:pPr>
    </w:p>
    <w:p>
      <w:pPr>
        <w:snapToGrid w:val="0"/>
        <w:spacing w:line="520" w:lineRule="exact"/>
        <w:ind w:firstLineChars="200" w:firstLine="640"/>
        <w:rPr>
          <w:rFonts w:ascii="黑体" w:eastAsia="黑体" w:hint="eastAsia"/>
          <w:sz w:val="32"/>
          <w:szCs w:val="32"/>
          <w:highlight w:val="auto"/>
        </w:rPr>
      </w:pPr>
      <w:r>
        <w:rPr>
          <w:rFonts w:ascii="黑体" w:eastAsia="黑体" w:hint="eastAsia"/>
          <w:sz w:val="32"/>
          <w:szCs w:val="32"/>
          <w:highlight w:val="auto"/>
        </w:rPr>
        <w:t>二、收入支出预算执行情况分析</w:t>
      </w:r>
    </w:p>
    <w:p>
      <w:pPr>
        <w:snapToGrid w:val="0"/>
        <w:spacing w:line="520" w:lineRule="exact"/>
        <w:ind w:firstLineChars="200" w:firstLine="640"/>
        <w:rPr>
          <w:rFonts w:ascii="楷体_GB2312" w:eastAsia="楷体_GB2312" w:hint="eastAsia"/>
          <w:b/>
          <w:sz w:val="32"/>
          <w:szCs w:val="32"/>
          <w:highlight w:val="auto"/>
        </w:rPr>
      </w:pPr>
      <w:bookmarkEnd w:id="4"/>
      <w:r>
        <w:rPr>
          <w:rFonts w:ascii="楷体_GB2312" w:eastAsia="楷体_GB2312" w:hint="eastAsia"/>
          <w:b/>
          <w:sz w:val="32"/>
          <w:szCs w:val="32"/>
          <w:highlight w:val="auto"/>
        </w:rPr>
        <w:t>（一）收入支出预算安排情况。</w:t>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单位本年度收入的年初预算数为221.08万元，上年度收入的年初预算数为196.46万元，差异为24.62万元，主要原因为人员经费、公用经费增加；本年度支出的年初预算数为221.08万元，上年度支出的年初预算数为196.46万元，差异为24.62万元，主要原因为人员经费、公用经费增加。</w:t>
      </w:r>
    </w:p>
    <w:p>
      <w:r>
        <w:drawing>
          <wp:inline distT="0" distB="0" distL="85089" distR="85089">
            <wp:extent cx="5495290" cy="2171064"/>
            <wp:effectExtent l="0" t="0" r="0" b="0"/>
            <wp:docPr id="1" name="对象"/>
            <wp:cNvGraphicFramePr>
              <a:graphicFrameLocks noChangeAspect="1"/>
            </wp:cNvGraphicFramePr>
            <a:graphic>
              <a:graphicData uri="http://schemas.openxmlformats.org/drawingml/2006/chart">
                <c:chart xmlns:c="http://schemas.openxmlformats.org/drawingml/2006/chart" r:id="rId3"/>
              </a:graphicData>
            </a:graphic>
          </wp:inline>
        </w:drawing>
      </w:r>
    </w:p>
    <w:p>
      <w:pPr>
        <w:snapToGrid w:val="0"/>
        <w:spacing w:line="520" w:lineRule="exact"/>
        <w:ind w:firstLineChars="200" w:firstLine="640"/>
        <w:outlineLvl w:val="0"/>
        <w:rPr>
          <w:rFonts w:ascii="楷体_GB2312" w:eastAsia="楷体_GB2312" w:hint="eastAsia"/>
          <w:b/>
          <w:sz w:val="32"/>
          <w:szCs w:val="32"/>
          <w:highlight w:val="auto"/>
        </w:rPr>
      </w:pP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（二）收入支出预算执行情况。</w:t>
      </w:r>
    </w:p>
    <w:p>
      <w:pPr>
        <w:snapToGrid w:val="0"/>
        <w:spacing w:line="520" w:lineRule="exact"/>
        <w:ind w:firstLineChars="150" w:firstLine="480"/>
        <w:rPr>
          <w:rFonts w:ascii="仿宋_GB2312" w:eastAsia="仿宋_GB2312" w:hint="eastAsia"/>
          <w:sz w:val="32"/>
          <w:szCs w:val="32"/>
        </w:rPr>
      </w:pPr>
      <w:r>
        <w:rPr>
          <w:rFonts w:ascii="仿宋_GB2312" w:eastAsia="仿宋_GB2312" w:hint="eastAsia"/>
          <w:sz w:val="32"/>
          <w:szCs w:val="32"/>
        </w:rPr>
        <w:t>本单位本年度收入全年预算数为224.05万元，收入决算数为224.05万元，预算完成度为100.00%，上年度收入决算数为261.01万元，差异为-36.96万元，主要原因为人员经费、公用经费增加；本年度支出全年预算数为224.05万元，支出决算数为224.05万元，预算完成度为100.00%，上年支出决算数为213.93万元，差异为10.12万元，主要原因为人员经费、公用经费增加。</w:t>
      </w:r>
    </w:p>
    <w:p>
      <w:pPr>
        <w:pStyle w:val="30"/>
        <w:ind w:firstLineChars="0" w:firstLine="0"/>
      </w:pPr>
      <w:r>
        <w:drawing>
          <wp:inline distT="0" distB="0" distL="85089" distR="85089">
            <wp:extent cx="5278120" cy="2085339"/>
            <wp:effectExtent l="0" t="0" r="0" b="0"/>
            <wp:docPr id="2" name="对象"/>
            <wp:cNvGraphicFramePr>
              <a:graphicFrameLocks noChangeAspect="1"/>
            </wp:cNvGraphicFramePr>
            <a:graphic>
              <a:graphicData uri="http://schemas.openxmlformats.org/drawingml/2006/chart">
                <c:chart xmlns:c="http://schemas.openxmlformats.org/drawingml/2006/chart" r:id="rId4"/>
              </a:graphicData>
            </a:graphic>
          </wp:inline>
        </w:drawing>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1．收入支出与预算对比分析。</w:t>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本年度预算收入为224.05万元，决算数收入为224.05万元，无差异。本年度支出预算224.05万元，决算数支出为224.05万元，无差异。其中一般公共服务支出预算金额为169.59万元，决算金额为169.59万元；社会保障和就业支出预算金额为26.79万元，决算金额为26.79万元；卫生健康支出预算金额为11.03万元，决算金额为11.03万元；住房保障支出预算金额为16.64万元，决算金额为16.64万元。</w:t>
      </w:r>
    </w:p>
    <w:p>
      <w:pPr>
        <w:pStyle w:val="30"/>
        <w:ind w:firstLineChars="0" w:firstLine="0"/>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38.75pt;height:243.0pt;" o:ole="">
            <v:stroke color="#000000"/>
            <v:imagedata r:id="rId5" o:title="image1"/>
            <o:lock aspectratio="t"/>
            <w10:anchorLock/>
          </v:shape>
          <o:OLEObject Type="Embed" ProgID="Package" ShapeID="_x0000_i1" DrawAspect="Content" ObjectID="_1393063351" r:id="rId6"/>
        </w:object>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2．收入支出结构分析。</w:t>
      </w:r>
    </w:p>
    <w:p>
      <w:pPr>
        <w:snapToGrid w:val="0"/>
        <w:spacing w:line="520" w:lineRule="exact"/>
        <w:ind w:firstLine="72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（1）本年收支结构分析</w:t>
      </w:r>
    </w:p>
    <w:p>
      <w:pPr>
        <w:snapToGrid w:val="0"/>
        <w:spacing w:line="520" w:lineRule="exact"/>
        <w:ind w:firstLine="720"/>
        <w:rPr>
          <w:rFonts w:ascii="仿宋_GB2312" w:eastAsia="仿宋_GB2312" w:hint="eastAsia"/>
          <w:sz w:val="32"/>
          <w:szCs w:val="32"/>
          <w:lang w:eastAsia="zh-CN"/>
          <w:highlight w:val="auto"/>
        </w:rPr>
      </w:pPr>
      <w:r>
        <w:rPr>
          <w:rFonts w:ascii="仿宋_GB2312" w:eastAsia="仿宋_GB2312" w:hint="eastAsia"/>
          <w:sz w:val="32"/>
          <w:szCs w:val="32"/>
          <w:lang w:eastAsia="zh-CN"/>
          <w:highlight w:val="auto"/>
        </w:rPr>
        <w:t>本年度收入合计224.05万元，其中一般公共预算财政拨款收入224.05万元，占比100.00%。</w:t>
      </w:r>
    </w:p>
    <w:p>
      <w:pPr>
        <w:pStyle w:val="30"/>
        <w:ind w:left="0" w:firstLineChars="0" w:firstLine="0"/>
        <w:rPr>
          <w:rFonts w:hint="eastAsia"/>
          <w:lang w:eastAsia="zh-CN"/>
        </w:rPr>
      </w:pPr>
      <w:r>
        <w:object>
          <v:shape id="_x0000_i2" type="#_x0000_t75" filled="f" stroked="f" style="width:419.65002pt;height:276.15pt;" o:ole="">
            <v:stroke color="#000000"/>
            <v:imagedata r:id="rId7" o:title="image2"/>
            <o:lock aspectratio="t"/>
            <w10:anchorLock/>
          </v:shape>
          <o:OLEObject Type="Embed" ProgID="Package" ShapeID="_x0000_i2" DrawAspect="Content" ObjectID="_1393063352" r:id="rId8"/>
        </w:object>
      </w:r>
    </w:p>
    <w:p>
      <w:pPr>
        <w:snapToGrid w:val="0"/>
        <w:spacing w:line="520" w:lineRule="exact"/>
        <w:ind w:firstLine="720"/>
        <w:rPr>
          <w:rFonts w:ascii="仿宋_GB2312" w:eastAsia="仿宋_GB2312" w:hint="eastAsia"/>
          <w:sz w:val="32"/>
          <w:szCs w:val="32"/>
        </w:rPr>
      </w:pPr>
      <w:r>
        <w:rPr>
          <w:rFonts w:ascii="仿宋_GB2312" w:eastAsia="仿宋_GB2312" w:hint="eastAsia"/>
          <w:sz w:val="32"/>
          <w:szCs w:val="32"/>
          <w:lang w:eastAsia="zh-CN"/>
          <w:highlight w:val="auto"/>
        </w:rPr>
        <w:t>本年度支出合计224.05万元，其中一般公共服务支出金额169.59万元，占比75.69%；社会保障和就业支出金额26.79万元，占比11.96%；卫生健康支出金额11.03万元，占比4.92%；住房保障支出金额16.64万元，占比7.43%。</w:t>
      </w:r>
    </w:p>
    <w:p>
      <w:pPr>
        <w:pStyle w:val="30"/>
        <w:ind w:firstLineChars="0" w:firstLine="0"/>
      </w:pPr>
      <w:r>
        <w:drawing>
          <wp:inline distT="0" distB="0" distL="85089" distR="85089">
            <wp:extent cx="5206365" cy="3429000"/>
            <wp:effectExtent l="0" t="0" r="0" b="0"/>
            <wp:docPr id="7" name="对象"/>
            <wp:cNvGraphicFramePr>
              <a:graphicFrameLocks noChangeAspect="1"/>
            </wp:cNvGraphicFramePr>
            <a:graphic>
              <a:graphicData uri="http://schemas.openxmlformats.org/drawingml/2006/chart">
                <c:chart xmlns:c="http://schemas.openxmlformats.org/drawingml/2006/chart" r:id="rId9"/>
              </a:graphicData>
            </a:graphic>
          </wp:inline>
        </w:drawing>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highlight w:val="auto"/>
        </w:rPr>
        <w:t>（2）</w:t>
      </w:r>
      <w:r>
        <w:rPr>
          <w:rFonts w:ascii="仿宋_GB2312" w:eastAsia="仿宋_GB2312" w:hint="eastAsia"/>
          <w:sz w:val="32"/>
          <w:szCs w:val="32"/>
        </w:rPr>
        <w:t>收入支出与上年度对比情况及原因分析</w:t>
      </w:r>
    </w:p>
    <w:p>
      <w:pPr>
        <w:pStyle w:val="30"/>
        <w:ind w:firstLineChars="0" w:firstLine="0"/>
      </w:pPr>
      <w:r>
        <w:drawing>
          <wp:inline distT="0" distB="0" distL="85089" distR="85089">
            <wp:extent cx="5302250" cy="2094864"/>
            <wp:effectExtent l="0" t="0" r="0" b="0"/>
            <wp:docPr id="8" name="对象"/>
            <wp:cNvGraphicFramePr>
              <a:graphicFrameLocks noChangeAspect="1"/>
            </wp:cNvGraphicFramePr>
            <a:graphic>
              <a:graphicData uri="http://schemas.openxmlformats.org/drawingml/2006/chart">
                <c:chart xmlns:c="http://schemas.openxmlformats.org/drawingml/2006/chart" r:id="rId10"/>
              </a:graphicData>
            </a:graphic>
          </wp:inline>
        </w:drawing>
      </w:r>
    </w:p>
    <w:p>
      <w:pPr>
        <w:snapToGrid w:val="0"/>
        <w:spacing w:line="520" w:lineRule="exact"/>
        <w:ind w:firstLineChars="200" w:firstLine="640"/>
        <w:rPr>
          <w:rFonts w:ascii="仿宋_GB2312" w:eastAsia="仿宋_GB2312" w:cs="仿宋" w:hint="eastAsia"/>
          <w:bCs/>
          <w:kern w:val="0"/>
          <w:sz w:val="32"/>
          <w:szCs w:val="32"/>
          <w:lang w:val="en-US" w:eastAsia="zh-CN" w:bidi="ar-SA"/>
        </w:rPr>
      </w:pPr>
      <w:r>
        <w:rPr>
          <w:rFonts w:ascii="仿宋_GB2312" w:eastAsia="仿宋_GB2312" w:cs="仿宋" w:hint="eastAsia"/>
          <w:bCs/>
          <w:kern w:val="0"/>
          <w:sz w:val="32"/>
          <w:szCs w:val="32"/>
          <w:lang w:val="en-US" w:eastAsia="zh-CN" w:bidi="ar-SA"/>
        </w:rPr>
        <w:t>本年度预算收入相比上年度减少36.96万元,幅度为14.16%,主要原因为人员经费、公用经费增加；本年度预算支出相比上年度增加10.12万元,幅度为4.73%,主要原因为人员经费、公用经费增加。</w:t>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highlight w:val="auto"/>
        </w:rPr>
        <w:t>3．支出按经济分类科目分析。</w:t>
      </w:r>
    </w:p>
    <w:p>
      <w:pPr>
        <w:snapToGrid w:val="0"/>
        <w:spacing w:line="520" w:lineRule="exact"/>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（1）“三公”经费支出情况：本单位本年度“三公”经费支出决算数为0.00万元，相比上年减少0.00万元。</w:t>
      </w:r>
    </w:p>
    <w:p>
      <w:pPr>
        <w:pStyle w:val="30"/>
        <w:rPr>
          <w:rFonts w:ascii="仿宋_GB2312" w:eastAsia="仿宋_GB2312" w:hint="eastAsia"/>
          <w:sz w:val="32"/>
          <w:szCs w:val="32"/>
          <w:lang w:val="en-US" w:eastAsia="zh-CN"/>
          <w:highlight w:val="auto"/>
        </w:rPr>
      </w:pPr>
      <w:r>
        <w:rPr>
          <w:rFonts w:ascii="仿宋_GB2312" w:eastAsia="仿宋_GB2312" w:hint="eastAsia"/>
          <w:sz w:val="32"/>
          <w:szCs w:val="32"/>
          <w:highlight w:val="auto"/>
        </w:rPr>
        <w:t>其中：因公出国（境）费决算数为0.00万元；公务用车购置及运行维护费决算数为0.00万元；公务接待费决算数为0.00万元。</w:t>
      </w:r>
    </w:p>
    <w:p>
      <w:pPr>
        <w:numPr>
          <w:ilvl w:val="0"/>
          <w:numId w:val="2"/>
        </w:numPr>
        <w:snapToGrid w:val="0"/>
        <w:spacing w:line="520" w:lineRule="exact"/>
        <w:ind w:left="0" w:firstLineChars="200" w:firstLine="640"/>
        <w:rPr>
          <w:rFonts w:ascii="仿宋_GB2312" w:eastAsia="仿宋_GB2312" w:cs="仿宋" w:hint="eastAsia"/>
          <w:bCs/>
          <w:sz w:val="32"/>
          <w:szCs w:val="32"/>
          <w:lang w:val="en-US" w:eastAsia="zh-CN" w:bidi="ar-SA"/>
        </w:rPr>
      </w:pPr>
      <w:r>
        <w:rPr>
          <w:rFonts w:ascii="仿宋_GB2312" w:eastAsia="仿宋_GB2312" w:hint="eastAsia"/>
          <w:sz w:val="32"/>
          <w:szCs w:val="32"/>
          <w:highlight w:val="auto"/>
        </w:rPr>
        <w:t>会议费支出情况：</w:t>
      </w:r>
      <w:r>
        <w:rPr>
          <w:rFonts w:ascii="仿宋_GB2312" w:eastAsia="仿宋_GB2312" w:cs="仿宋" w:hint="eastAsia"/>
          <w:bCs/>
          <w:sz w:val="32"/>
          <w:szCs w:val="32"/>
          <w:lang w:val="en-US" w:eastAsia="zh-CN" w:bidi="ar-SA"/>
        </w:rPr>
        <w:t>本单位本年度会议费支出决算数为0.00万元，相比上年减少0.00万元,幅度为0.00%。</w:t>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highlight w:val="auto"/>
        </w:rPr>
        <w:t>（3）培训费支出情况：</w:t>
      </w:r>
      <w:r>
        <w:rPr>
          <w:rFonts w:ascii="仿宋_GB2312" w:eastAsia="仿宋_GB2312" w:hint="eastAsia"/>
          <w:sz w:val="32"/>
          <w:szCs w:val="32"/>
        </w:rPr>
        <w:t>本单位本年度培训费支出决算数为0.00万元，相比上年减少0.00万元,幅度为0.00%。</w:t>
      </w:r>
    </w:p>
    <w:p>
      <w:pPr>
        <w:snapToGrid w:val="0"/>
        <w:spacing w:line="520" w:lineRule="exact"/>
        <w:ind w:firstLine="629"/>
        <w:rPr>
          <w:rFonts w:ascii="仿宋_GB2312" w:eastAsia="仿宋_GB2312" w:hint="eastAsia"/>
          <w:sz w:val="32"/>
          <w:szCs w:val="32"/>
        </w:rPr>
      </w:pPr>
      <w:r>
        <w:rPr>
          <w:rFonts w:ascii="仿宋_GB2312" w:eastAsia="仿宋_GB2312" w:cs="Times New Roman" w:hint="eastAsia"/>
          <w:sz w:val="32"/>
          <w:szCs w:val="32"/>
          <w:lang w:eastAsia="zh-CN" w:bidi="ar-SA"/>
          <w:highlight w:val="auto"/>
        </w:rPr>
        <w:t>（</w:t>
      </w:r>
      <w:r>
        <w:rPr>
          <w:rFonts w:ascii="仿宋_GB2312" w:eastAsia="仿宋_GB2312" w:cs="Times New Roman" w:hint="eastAsia"/>
          <w:sz w:val="32"/>
          <w:szCs w:val="32"/>
          <w:lang w:val="en-US" w:eastAsia="zh-CN" w:bidi="ar-SA"/>
          <w:highlight w:val="auto"/>
        </w:rPr>
        <w:t>4</w:t>
      </w:r>
      <w:r>
        <w:rPr>
          <w:rFonts w:ascii="仿宋_GB2312" w:eastAsia="仿宋_GB2312" w:cs="Times New Roman" w:hint="eastAsia"/>
          <w:sz w:val="32"/>
          <w:szCs w:val="32"/>
          <w:lang w:eastAsia="zh-CN" w:bidi="ar-SA"/>
          <w:highlight w:val="auto"/>
        </w:rPr>
        <w:t>）差旅</w:t>
      </w:r>
      <w:r>
        <w:rPr>
          <w:rFonts w:ascii="仿宋_GB2312" w:eastAsia="仿宋_GB2312" w:cs="Times New Roman" w:hint="eastAsia"/>
          <w:sz w:val="32"/>
          <w:szCs w:val="32"/>
          <w:lang w:bidi="ar-SA"/>
          <w:highlight w:val="auto"/>
        </w:rPr>
        <w:t>费支</w:t>
      </w:r>
      <w:r>
        <w:rPr>
          <w:rFonts w:ascii="仿宋_GB2312" w:eastAsia="仿宋_GB2312" w:hint="eastAsia"/>
          <w:sz w:val="32"/>
          <w:szCs w:val="32"/>
          <w:highlight w:val="auto"/>
        </w:rPr>
        <w:t>出情况：</w:t>
      </w:r>
      <w:r>
        <w:rPr>
          <w:rFonts w:ascii="仿宋_GB2312" w:eastAsia="仿宋_GB2312" w:hint="eastAsia"/>
          <w:sz w:val="32"/>
          <w:szCs w:val="32"/>
        </w:rPr>
        <w:t>本单位本年度差旅费支出决算数为0.97万元，相比上年减少0.79万元,幅度为44.89%，主要原因为厉行节约。</w:t>
      </w:r>
    </w:p>
    <w:p>
      <w:pPr>
        <w:bidi w:val="0"/>
      </w:pPr>
      <w:r>
        <w:drawing>
          <wp:inline distT="0" distB="0" distL="85089" distR="85089">
            <wp:extent cx="5495290" cy="2171064"/>
            <wp:effectExtent l="0" t="0" r="0" b="0"/>
            <wp:docPr id="9" name="对象"/>
            <wp:cNvGraphicFramePr>
              <a:graphicFrameLocks noChangeAspect="1"/>
            </wp:cNvGraphicFramePr>
            <a:graphic>
              <a:graphicData uri="http://schemas.openxmlformats.org/drawingml/2006/chart">
                <c:chart xmlns:c="http://schemas.openxmlformats.org/drawingml/2006/chart" r:id="rId11"/>
              </a:graphicData>
            </a:graphic>
          </wp:inline>
        </w:drawing>
      </w:r>
    </w:p>
    <w:p>
      <w:pPr>
        <w:snapToGrid w:val="0"/>
        <w:spacing w:line="520" w:lineRule="exact"/>
        <w:rPr>
          <w:rFonts w:ascii="仿宋_GB2312" w:eastAsia="仿宋_GB2312" w:hint="eastAsia"/>
          <w:sz w:val="32"/>
          <w:szCs w:val="32"/>
          <w:highlight w:val="auto"/>
        </w:rPr>
      </w:pP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w:t>
      </w:r>
      <w:r>
        <w:rPr>
          <w:rFonts w:ascii="仿宋_GB2312" w:eastAsia="仿宋_GB2312" w:hint="eastAsia"/>
          <w:sz w:val="32"/>
          <w:szCs w:val="32"/>
          <w:lang w:val="en-US" w:eastAsia="zh-CN"/>
          <w:highlight w:val="auto"/>
        </w:rPr>
        <w:t>5</w:t>
      </w:r>
      <w:r>
        <w:rPr>
          <w:rFonts w:ascii="仿宋_GB2312" w:eastAsia="仿宋_GB2312" w:hint="eastAsia"/>
          <w:sz w:val="32"/>
          <w:szCs w:val="32"/>
          <w:lang w:eastAsia="zh-CN"/>
          <w:highlight w:val="auto"/>
        </w:rPr>
        <w:t>）</w:t>
      </w:r>
      <w:r>
        <w:rPr>
          <w:rFonts w:ascii="仿宋_GB2312" w:eastAsia="仿宋_GB2312" w:hint="eastAsia"/>
          <w:sz w:val="32"/>
          <w:szCs w:val="32"/>
          <w:highlight w:val="auto"/>
        </w:rPr>
        <w:t>其他对单位影响较大的支出情况</w:t>
      </w:r>
      <w:r>
        <w:rPr>
          <w:rFonts w:ascii="仿宋_GB2312" w:eastAsia="仿宋_GB2312" w:hint="eastAsia"/>
          <w:sz w:val="32"/>
          <w:szCs w:val="32"/>
          <w:lang w:eastAsia="zh-CN"/>
          <w:highlight w:val="auto"/>
        </w:rPr>
        <w:t>。无</w:t>
      </w:r>
    </w:p>
    <w:p>
      <w:pPr>
        <w:snapToGrid w:val="0"/>
        <w:spacing w:line="520" w:lineRule="exact"/>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w:t>
      </w:r>
      <w:r>
        <w:rPr>
          <w:rFonts w:ascii="仿宋_GB2312" w:eastAsia="仿宋_GB2312" w:hint="eastAsia"/>
          <w:sz w:val="32"/>
          <w:szCs w:val="32"/>
          <w:lang w:val="en-US" w:eastAsia="zh-CN"/>
          <w:highlight w:val="auto"/>
        </w:rPr>
        <w:t>6</w:t>
      </w:r>
      <w:r>
        <w:rPr>
          <w:rFonts w:ascii="仿宋_GB2312" w:eastAsia="仿宋_GB2312" w:hint="eastAsia"/>
          <w:sz w:val="32"/>
          <w:szCs w:val="32"/>
          <w:lang w:eastAsia="zh-CN"/>
          <w:highlight w:val="auto"/>
        </w:rPr>
        <w:t>）</w:t>
      </w:r>
      <w:r>
        <w:rPr>
          <w:rFonts w:ascii="仿宋_GB2312" w:eastAsia="仿宋_GB2312" w:hint="eastAsia"/>
          <w:sz w:val="32"/>
          <w:szCs w:val="32"/>
          <w:highlight w:val="auto"/>
        </w:rPr>
        <w:t>重点经济分类支出中存在的问题及改进措施。无</w:t>
      </w:r>
    </w:p>
    <w:p>
      <w:pPr>
        <w:keepNext w:val="0"/>
        <w:keepLines w:val="0"/>
        <w:pageBreakBefore w:val="0"/>
        <w:widowControl w:val="0"/>
        <w:numPr>
          <w:ilvl w:val="0"/>
          <w:numId w:val="3"/>
        </w:numPr>
        <w:tabs>
          <w:tab w:val="clear" w:pos="0"/>
          <w:tab w:val="left" w:pos="312"/>
        </w:tabs>
        <w:kinsoku/>
        <w:wordWrap/>
        <w:overflowPunct/>
        <w:topLinePunct w:val="0"/>
        <w:autoSpaceDE/>
        <w:autoSpaceDN/>
        <w:bidi w:val="0"/>
        <w:adjustRightInd/>
        <w:snapToGrid w:val="0"/>
        <w:spacing w:line="520" w:lineRule="exact"/>
        <w:ind w:left="0" w:firstLineChars="200" w:firstLine="640"/>
        <w:textAlignment w:val="auto"/>
        <w:rPr>
          <w:rFonts w:ascii="仿宋_GB2312" w:eastAsia="仿宋_GB2312" w:hint="eastAsia"/>
          <w:b/>
          <w:bCs/>
          <w:sz w:val="32"/>
          <w:szCs w:val="32"/>
          <w:lang w:val="en-US" w:eastAsia="zh-CN"/>
          <w:highlight w:val="auto"/>
        </w:rPr>
      </w:pPr>
      <w:r>
        <w:rPr>
          <w:rFonts w:ascii="仿宋_GB2312" w:eastAsia="仿宋_GB2312" w:hint="eastAsia"/>
          <w:b/>
          <w:bCs/>
          <w:sz w:val="32"/>
          <w:szCs w:val="32"/>
          <w:lang w:val="en-US" w:eastAsia="zh-CN"/>
          <w:highlight w:val="auto"/>
        </w:rPr>
        <w:t>支出按功能分类科目分析。</w:t>
      </w:r>
    </w:p>
    <w:p>
      <w:pPr>
        <w:snapToGrid w:val="0"/>
        <w:spacing w:line="520" w:lineRule="exact"/>
        <w:ind w:firstLineChars="200" w:firstLine="640"/>
        <w:rPr>
          <w:rFonts w:ascii="仿宋_GB2312" w:eastAsia="仿宋_GB2312" w:cs="仿宋" w:hint="eastAsia"/>
          <w:bCs/>
          <w:kern w:val="0"/>
          <w:sz w:val="32"/>
          <w:szCs w:val="32"/>
          <w:lang w:val="en-US" w:eastAsia="zh-CN" w:bidi="ar-SA"/>
        </w:rPr>
      </w:pPr>
      <w:r>
        <w:rPr>
          <w:rFonts w:ascii="仿宋_GB2312" w:eastAsia="仿宋_GB2312" w:cs="仿宋" w:hint="eastAsia"/>
          <w:bCs/>
          <w:kern w:val="0"/>
          <w:sz w:val="32"/>
          <w:szCs w:val="32"/>
          <w:lang w:val="en-US" w:eastAsia="zh-CN" w:bidi="ar-SA"/>
          <w:highlight w:val="auto"/>
        </w:rPr>
        <w:t>一般公共服务支出相比上年增加9.58万元,幅度为5.99%，主要原因为人员经费、公用经费增加；社会保障和就业支出相比上年减少1.36万元,幅度为4.83%，主要原因为社保上调；卫生健康支出相比上年减少0.34万元,幅度为2.99%，主要原因为医疗保险调整；住房保障支出相比上年增加2.24万元,幅度为15.56%，主要原因为社保上调。</w:t>
      </w:r>
    </w:p>
    <w:p>
      <w:pPr>
        <w:pStyle w:val="30"/>
        <w:ind w:left="0" w:firstLineChars="0" w:firstLine="0"/>
        <w:rPr>
          <w:rFonts w:hint="eastAsia"/>
          <w:lang w:val="en-US" w:eastAsia="zh-CN"/>
        </w:rPr>
      </w:pPr>
      <w:r>
        <w:object>
          <v:shape id="_x0000_i3" type="#_x0000_t75" filled="f" stroked="f" style="width:414.50003pt;height:244.65pt;" o:ole="">
            <v:stroke color="#000000"/>
            <v:imagedata r:id="rId12" o:title="image3"/>
            <o:lock aspectratio="t"/>
            <w10:anchorLock/>
          </v:shape>
          <o:OLEObject Type="Embed" ProgID="Package" ShapeID="_x0000_i3" DrawAspect="Content" ObjectID="_1393063353" r:id="rId13"/>
        </w:object>
      </w:r>
    </w:p>
    <w:p>
      <w:pPr>
        <w:snapToGrid w:val="0"/>
        <w:spacing w:line="520" w:lineRule="exact"/>
        <w:ind w:firstLineChars="200" w:firstLine="640"/>
        <w:rPr>
          <w:rFonts w:ascii="仿宋_GB2312" w:eastAsia="仿宋_GB2312" w:hint="eastAsia"/>
          <w:b/>
          <w:sz w:val="32"/>
          <w:szCs w:val="32"/>
          <w:highlight w:val="auto"/>
        </w:rPr>
      </w:pPr>
      <w:r>
        <w:rPr>
          <w:rFonts w:ascii="仿宋_GB2312" w:eastAsia="仿宋_GB2312" w:hint="eastAsia"/>
          <w:b/>
          <w:sz w:val="32"/>
          <w:szCs w:val="32"/>
          <w:lang w:val="en-US" w:eastAsia="zh-CN"/>
          <w:highlight w:val="auto"/>
        </w:rPr>
        <w:t>5</w:t>
      </w:r>
      <w:r>
        <w:rPr>
          <w:rFonts w:ascii="仿宋_GB2312" w:eastAsia="仿宋_GB2312" w:hint="eastAsia"/>
          <w:b/>
          <w:sz w:val="32"/>
          <w:szCs w:val="32"/>
          <w:highlight w:val="auto"/>
        </w:rPr>
        <w:t>.财政拨款收入、支出分析。</w:t>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本年度财政拨款收入合计224.05万元，其中：一般公共预算财政拨款224.05万元，占比100.00%。</w:t>
      </w:r>
    </w:p>
    <w:p>
      <w:pPr>
        <w:pStyle w:val="30"/>
        <w:ind w:firstLineChars="200" w:firstLine="640"/>
        <w:rPr>
          <w:rFonts w:ascii="仿宋_GB2312" w:eastAsia="仿宋_GB2312" w:hint="eastAsia"/>
          <w:sz w:val="32"/>
          <w:szCs w:val="32"/>
        </w:rPr>
      </w:pPr>
      <w:r>
        <w:rPr>
          <w:rFonts w:ascii="仿宋_GB2312" w:eastAsia="仿宋_GB2312" w:hint="eastAsia"/>
          <w:sz w:val="32"/>
          <w:szCs w:val="32"/>
        </w:rPr>
        <w:t>本年度财政拨款支出合计224.05万元，其中：人员经费212.18万元，占比94.70%；公用经费11.87万元，占比5.30%；项目支出0.00万元，占比0.00%。</w:t>
      </w:r>
    </w:p>
    <w:p>
      <w:pPr>
        <w:rPr>
          <w:rFonts w:ascii="仿宋_GB2312" w:eastAsia="仿宋_GB2312" w:hint="eastAsia"/>
          <w:sz w:val="32"/>
          <w:szCs w:val="32"/>
        </w:rPr>
      </w:pPr>
      <w:r>
        <w:drawing>
          <wp:inline distT="0" distB="0" distL="85089" distR="85089">
            <wp:extent cx="5259705" cy="2771140"/>
            <wp:effectExtent l="0" t="0" r="0" b="0"/>
            <wp:docPr id="12" name="对象"/>
            <wp:cNvGraphicFramePr>
              <a:graphicFrameLocks noChangeAspect="1"/>
            </wp:cNvGraphicFramePr>
            <a:graphic>
              <a:graphicData uri="http://schemas.openxmlformats.org/drawingml/2006/chart">
                <c:chart xmlns:c="http://schemas.openxmlformats.org/drawingml/2006/chart" r:id="rId14"/>
              </a:graphicData>
            </a:graphic>
          </wp:inline>
        </w:drawing>
      </w:r>
    </w:p>
    <w:p>
      <w:pPr>
        <w:rPr>
          <w:rFonts w:hint="eastAsia"/>
        </w:rPr>
      </w:pPr>
    </w:p>
    <w:p>
      <w:pPr>
        <w:snapToGrid w:val="0"/>
        <w:spacing w:line="520" w:lineRule="exact"/>
        <w:ind w:firstLineChars="200" w:firstLine="640"/>
        <w:rPr>
          <w:rFonts w:ascii="仿宋_GB2312" w:eastAsia="仿宋_GB2312" w:hint="eastAsia"/>
          <w:b/>
          <w:sz w:val="32"/>
          <w:szCs w:val="32"/>
          <w:lang w:eastAsia="zh-CN"/>
          <w:highlight w:val="auto"/>
        </w:rPr>
      </w:pPr>
      <w:r>
        <w:rPr>
          <w:rFonts w:ascii="仿宋_GB2312" w:eastAsia="仿宋_GB2312" w:hint="eastAsia"/>
          <w:b/>
          <w:sz w:val="32"/>
          <w:szCs w:val="32"/>
          <w:lang w:val="en-US" w:eastAsia="zh-CN"/>
          <w:highlight w:val="auto"/>
        </w:rPr>
        <w:t>6</w:t>
      </w:r>
      <w:r>
        <w:rPr>
          <w:rFonts w:ascii="仿宋_GB2312" w:eastAsia="仿宋_GB2312" w:hint="eastAsia"/>
          <w:b/>
          <w:sz w:val="32"/>
          <w:szCs w:val="32"/>
          <w:highlight w:val="auto"/>
        </w:rPr>
        <w:t>.非财政拨款收入、支出分析。</w:t>
      </w:r>
    </w:p>
    <w:p>
      <w:pPr>
        <w:snapToGrid w:val="0"/>
        <w:spacing w:line="520" w:lineRule="exact"/>
        <w:ind w:firstLineChars="200" w:firstLine="640"/>
        <w:rPr>
          <w:rFonts w:ascii="仿宋_GB2312" w:eastAsia="仿宋_GB2312" w:hint="eastAsia"/>
          <w:sz w:val="32"/>
          <w:szCs w:val="32"/>
          <w:lang w:eastAsia="zh-CN"/>
          <w:highlight w:val="auto"/>
        </w:rPr>
      </w:pPr>
      <w:r>
        <w:rPr>
          <w:rFonts w:ascii="仿宋_GB2312" w:eastAsia="仿宋_GB2312" w:hint="eastAsia"/>
          <w:sz w:val="32"/>
          <w:szCs w:val="32"/>
        </w:rPr>
        <w:t>本单位不涉及此项经费。</w:t>
      </w: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（三）年末结转和结余情况。</w:t>
      </w:r>
    </w:p>
    <w:p>
      <w:pPr>
        <w:snapToGrid w:val="0"/>
        <w:spacing w:line="520" w:lineRule="exact"/>
        <w:ind w:firstLineChars="200" w:firstLine="64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1.财政拨款结转和结余</w:t>
      </w:r>
    </w:p>
    <w:p>
      <w:pPr>
        <w:snapToGrid w:val="0"/>
        <w:spacing w:line="520" w:lineRule="exact"/>
        <w:ind w:firstLineChars="200" w:firstLine="640"/>
        <w:rPr>
          <w:rFonts w:ascii="仿宋_GB2312" w:eastAsia="仿宋_GB2312" w:hint="eastAsia"/>
          <w:sz w:val="32"/>
          <w:szCs w:val="32"/>
          <w:highlight w:val="auto"/>
        </w:rPr>
      </w:pPr>
      <w:r>
        <w:rPr>
          <w:rFonts w:ascii="仿宋_GB2312" w:eastAsia="仿宋_GB2312" w:cs="仿宋" w:hint="eastAsia"/>
          <w:bCs/>
          <w:sz w:val="32"/>
          <w:szCs w:val="32"/>
          <w:lang w:val="en-US" w:eastAsia="zh-CN" w:bidi="ar-SA"/>
        </w:rPr>
        <w:t>本年末无结转结余资金。</w:t>
      </w:r>
    </w:p>
    <w:p>
      <w:pPr>
        <w:snapToGrid w:val="0"/>
        <w:spacing w:line="520" w:lineRule="exact"/>
        <w:ind w:left="0" w:firstLineChars="200" w:firstLine="640"/>
        <w:rPr>
          <w:rFonts w:ascii="仿宋_GB2312" w:eastAsia="仿宋_GB2312" w:hint="eastAsia"/>
          <w:sz w:val="32"/>
          <w:szCs w:val="32"/>
          <w:lang w:val="en-US" w:eastAsia="zh-CN"/>
          <w:highlight w:val="auto"/>
        </w:rPr>
      </w:pPr>
      <w:r>
        <w:rPr>
          <w:rFonts w:ascii="仿宋_GB2312" w:eastAsia="仿宋_GB2312" w:hint="eastAsia"/>
          <w:sz w:val="32"/>
          <w:szCs w:val="32"/>
          <w:lang w:val="en-US" w:eastAsia="zh-CN"/>
          <w:highlight w:val="auto"/>
        </w:rPr>
        <w:t>2.非财政拨款结转和结余</w:t>
      </w:r>
    </w:p>
    <w:p>
      <w:pPr>
        <w:snapToGrid w:val="0"/>
        <w:spacing w:line="520" w:lineRule="exact"/>
        <w:ind w:firstLineChars="200" w:firstLine="640"/>
        <w:rPr>
          <w:rFonts w:ascii="仿宋_GB2312" w:eastAsia="仿宋_GB2312" w:hint="eastAsia"/>
          <w:sz w:val="32"/>
          <w:szCs w:val="32"/>
          <w:lang w:eastAsia="zh-CN"/>
          <w:highlight w:val="auto"/>
        </w:rPr>
      </w:pPr>
      <w:bookmarkStart w:id="5" w:name="YS060103"/>
      <w:bookmarkEnd w:id="1"/>
      <w:r>
        <w:rPr>
          <w:rFonts w:ascii="仿宋_GB2312" w:eastAsia="仿宋_GB2312" w:hint="eastAsia"/>
          <w:sz w:val="32"/>
          <w:szCs w:val="32"/>
        </w:rPr>
        <w:t>本单位不涉及此项经费。</w:t>
      </w:r>
    </w:p>
    <w:p>
      <w:pPr>
        <w:numPr>
          <w:ilvl w:val="0"/>
          <w:numId w:val="4"/>
        </w:numPr>
        <w:snapToGrid w:val="0"/>
        <w:spacing w:line="520" w:lineRule="exact"/>
        <w:ind w:left="0"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与预算支出相关的其他指标分析。</w:t>
      </w:r>
    </w:p>
    <w:p>
      <w:pPr>
        <w:snapToGrid w:val="0"/>
        <w:spacing w:line="520" w:lineRule="exact"/>
        <w:ind w:firstLineChars="200" w:firstLine="640"/>
        <w:outlineLvl w:val="0"/>
        <w:rPr>
          <w:rFonts w:ascii="楷体_GB2312" w:eastAsia="楷体_GB2312" w:hint="eastAsia"/>
          <w:b/>
          <w:sz w:val="32"/>
          <w:szCs w:val="32"/>
          <w:highlight w:val="auto"/>
        </w:rPr>
      </w:pPr>
      <w:r>
        <w:rPr>
          <w:rFonts w:ascii="仿宋_GB2312" w:eastAsia="仿宋_GB2312" w:cs="仿宋_GB2312" w:hint="eastAsia"/>
          <w:sz w:val="32"/>
          <w:szCs w:val="32"/>
          <w:shd w:val="clear" w:color="auto" w:fill="FFFFFF"/>
          <w:lang w:val="en-US" w:eastAsia="zh-CN"/>
        </w:rPr>
        <w:t>无</w:t>
      </w:r>
    </w:p>
    <w:p>
      <w:pPr>
        <w:snapToGrid w:val="0"/>
        <w:spacing w:line="520" w:lineRule="exact"/>
        <w:ind w:firstLineChars="200" w:firstLine="640"/>
        <w:outlineLvl w:val="0"/>
        <w:rPr>
          <w:rFonts w:ascii="楷体_GB2312" w:eastAsia="楷体_GB2312" w:hint="eastAsia"/>
          <w:b/>
          <w:sz w:val="32"/>
          <w:szCs w:val="32"/>
          <w:highlight w:val="auto"/>
        </w:rPr>
      </w:pPr>
      <w:r>
        <w:rPr>
          <w:rFonts w:ascii="楷体_GB2312" w:eastAsia="楷体_GB2312" w:hint="eastAsia"/>
          <w:b/>
          <w:sz w:val="32"/>
          <w:szCs w:val="32"/>
          <w:highlight w:val="auto"/>
        </w:rPr>
        <w:t>（五）绩效目标完成情况。</w:t>
      </w:r>
    </w:p>
    <w:p>
      <w:pPr>
        <w:snapToGrid w:val="0"/>
        <w:spacing w:line="520" w:lineRule="exact"/>
        <w:ind w:firstLineChars="200" w:firstLine="640"/>
        <w:rPr>
          <w:rFonts w:ascii="仿宋_GB2312" w:eastAsia="仿宋_GB2312" w:cs="仿宋" w:hint="eastAsia"/>
          <w:bCs/>
          <w:sz w:val="32"/>
          <w:szCs w:val="32"/>
          <w:lang w:val="en-US" w:bidi="ar-SA"/>
        </w:rPr>
      </w:pPr>
      <w:r>
        <w:rPr>
          <w:rFonts w:ascii="仿宋_GB2312" w:eastAsia="仿宋_GB2312" w:cs="仿宋" w:hint="eastAsia"/>
          <w:bCs/>
          <w:sz w:val="32"/>
          <w:szCs w:val="32"/>
          <w:lang w:val="en-US" w:bidi="ar-SA"/>
        </w:rPr>
        <w:t>本年及时完成本年的资金支付和项目开展进度有达到预期。</w:t>
      </w:r>
    </w:p>
    <w:p>
      <w:pPr>
        <w:snapToGrid w:val="0"/>
        <w:spacing w:line="520" w:lineRule="exact"/>
        <w:ind w:firstLineChars="200" w:firstLine="640"/>
        <w:rPr>
          <w:rFonts w:ascii="楷体_GB2312" w:eastAsia="楷体_GB2312" w:hint="eastAsia"/>
          <w:b/>
          <w:sz w:val="32"/>
          <w:szCs w:val="32"/>
          <w:highlight w:val="auto"/>
        </w:rPr>
      </w:pPr>
      <w:r>
        <w:rPr>
          <w:rFonts w:ascii="楷体_GB2312" w:eastAsia="楷体_GB2312" w:hint="eastAsia"/>
          <w:b/>
          <w:sz w:val="32"/>
          <w:szCs w:val="32"/>
          <w:highlight w:val="auto"/>
        </w:rPr>
        <w:t>（六）当年预算执行及绩效管理中存在问题、原因及</w:t>
      </w:r>
      <w:bookmarkStart w:id="6" w:name="YS060104"/>
      <w:bookmarkEnd w:id="5"/>
      <w:r>
        <w:rPr>
          <w:rFonts w:ascii="楷体_GB2312" w:eastAsia="楷体_GB2312" w:hint="eastAsia"/>
          <w:b/>
          <w:sz w:val="32"/>
          <w:szCs w:val="32"/>
          <w:highlight w:val="auto"/>
        </w:rPr>
        <w:t>改进措施。</w:t>
      </w:r>
    </w:p>
    <w:p>
      <w:pPr>
        <w:pStyle w:val="31"/>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Chars="200" w:firstLine="640"/>
        <w:jc w:val="both"/>
        <w:textAlignment w:val="auto"/>
        <w:rPr>
          <w:rFonts w:ascii="仿宋_GB2312" w:eastAsia="仿宋_GB2312" w:cs="仿宋_GB2312"/>
          <w:sz w:val="32"/>
          <w:szCs w:val="32"/>
          <w:shd w:val="clear" w:color="auto" w:fill="FFFFFF"/>
        </w:rPr>
      </w:pPr>
      <w:r>
        <w:rPr>
          <w:rFonts w:ascii="仿宋_GB2312" w:eastAsia="仿宋_GB2312" w:cs="仿宋_GB2312"/>
          <w:sz w:val="32"/>
          <w:szCs w:val="32"/>
          <w:shd w:val="clear" w:color="auto" w:fill="FFFFFF"/>
        </w:rPr>
        <w:t>本年预算执行及绩效管理中没有存在问题。</w:t>
      </w:r>
    </w:p>
    <w:p>
      <w:pPr>
        <w:snapToGrid w:val="0"/>
        <w:spacing w:line="520" w:lineRule="exact"/>
        <w:ind w:firstLineChars="200" w:firstLine="640"/>
        <w:rPr>
          <w:rFonts w:ascii="黑体" w:eastAsia="黑体" w:hint="eastAsia"/>
          <w:sz w:val="32"/>
          <w:szCs w:val="32"/>
          <w:highlight w:val="auto"/>
        </w:rPr>
      </w:pPr>
      <w:r>
        <w:rPr>
          <w:rFonts w:ascii="黑体" w:eastAsia="黑体" w:hint="eastAsia"/>
          <w:sz w:val="32"/>
          <w:szCs w:val="32"/>
          <w:highlight w:val="auto"/>
        </w:rPr>
        <w:t>三、本年度部门决算等财务工</w:t>
      </w:r>
      <w:bookmarkEnd w:id="6"/>
      <w:r>
        <w:rPr>
          <w:rFonts w:ascii="黑体" w:eastAsia="黑体" w:hint="eastAsia"/>
          <w:sz w:val="32"/>
          <w:szCs w:val="32"/>
          <w:highlight w:val="auto"/>
        </w:rPr>
        <w:t>作开展情况</w:t>
      </w:r>
    </w:p>
    <w:p>
      <w:pPr>
        <w:snapToGrid w:val="0"/>
        <w:spacing w:line="520" w:lineRule="exact"/>
        <w:ind w:firstLineChars="200" w:firstLine="640"/>
        <w:rPr>
          <w:rFonts w:ascii="仿宋_GB2312" w:eastAsia="仿宋_GB2312" w:hint="eastAsia"/>
          <w:sz w:val="32"/>
          <w:szCs w:val="32"/>
          <w:highlight w:val="auto"/>
        </w:rPr>
      </w:pPr>
      <w:bookmarkStart w:id="7" w:name="YS060200"/>
      <w:r>
        <w:rPr>
          <w:rFonts w:ascii="仿宋_GB2312" w:eastAsia="仿宋_GB2312" w:hint="eastAsia"/>
          <w:sz w:val="32"/>
          <w:szCs w:val="32"/>
          <w:highlight w:val="auto"/>
        </w:rPr>
        <w:t>2024年度，我单位按照勤俭节约原则和财务收支管理相关规定坚持以预算为中心，以节约为重点，以求真务实的工作作风，严格遵守改革新制《政府会计制度》，抓好单位财务管理，较好地完成了各项工作任务。</w:t>
      </w:r>
    </w:p>
    <w:p>
      <w:pPr>
        <w:snapToGrid w:val="0"/>
        <w:rPr>
          <w:rFonts w:ascii="仿宋_GB2312" w:eastAsia="仿宋_GB2312" w:hint="eastAsia"/>
          <w:sz w:val="32"/>
          <w:szCs w:val="32"/>
          <w:highlight w:val="auto"/>
        </w:rPr>
      </w:pPr>
      <w:r>
        <w:rPr>
          <w:rFonts w:ascii="仿宋_GB2312" w:eastAsia="仿宋_GB2312" w:hint="eastAsia"/>
          <w:sz w:val="32"/>
          <w:szCs w:val="32"/>
          <w:highlight w:val="auto"/>
        </w:rPr>
        <w:br w:type="page"/>
        <w:t>附：</w:t>
      </w:r>
    </w:p>
    <w:p>
      <w:pPr>
        <w:snapToGrid w:val="0"/>
        <w:ind w:firstLineChars="200" w:firstLine="640"/>
        <w:jc w:val="center"/>
        <w:rPr>
          <w:rFonts w:ascii="华文中宋" w:eastAsia="华文中宋" w:hint="eastAsia"/>
          <w:sz w:val="32"/>
          <w:szCs w:val="32"/>
          <w:highlight w:val="auto"/>
        </w:rPr>
      </w:pPr>
    </w:p>
    <w:p>
      <w:pPr>
        <w:snapToGrid w:val="0"/>
        <w:ind w:firstLineChars="200" w:firstLine="640"/>
        <w:jc w:val="center"/>
        <w:rPr>
          <w:rFonts w:ascii="华文中宋" w:eastAsia="华文中宋" w:hint="eastAsia"/>
          <w:sz w:val="32"/>
          <w:szCs w:val="32"/>
          <w:highlight w:val="auto"/>
        </w:rPr>
      </w:pPr>
      <w:r>
        <w:rPr>
          <w:rFonts w:ascii="华文中宋" w:eastAsia="华文中宋" w:hint="eastAsia"/>
          <w:sz w:val="32"/>
          <w:szCs w:val="32"/>
          <w:highlight w:val="auto"/>
        </w:rPr>
        <w:t>行政事业单位财</w:t>
      </w:r>
      <w:bookmarkEnd w:id="7"/>
      <w:r>
        <w:rPr>
          <w:rFonts w:ascii="华文中宋" w:eastAsia="华文中宋" w:hint="eastAsia"/>
          <w:sz w:val="32"/>
          <w:szCs w:val="32"/>
          <w:highlight w:val="auto"/>
        </w:rPr>
        <w:t>务</w:t>
      </w:r>
      <w:bookmarkStart w:id="8" w:name="YS060201"/>
      <w:r>
        <w:rPr>
          <w:rFonts w:ascii="华文中宋" w:eastAsia="华文中宋" w:hint="eastAsia"/>
          <w:sz w:val="32"/>
          <w:szCs w:val="32"/>
          <w:highlight w:val="auto"/>
        </w:rPr>
        <w:t>分析指标</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黑体" w:eastAsia="黑体" w:hint="eastAsia"/>
          <w:sz w:val="32"/>
          <w:szCs w:val="32"/>
          <w:highlight w:val="auto"/>
        </w:rPr>
      </w:pPr>
      <w:r>
        <w:rPr>
          <w:rFonts w:ascii="黑体" w:eastAsia="黑体" w:hint="eastAsia"/>
          <w:sz w:val="32"/>
          <w:szCs w:val="32"/>
          <w:highlight w:val="auto"/>
        </w:rPr>
        <w:t>一、行政单位财</w:t>
      </w:r>
      <w:bookmarkEnd w:id="8"/>
      <w:r>
        <w:rPr>
          <w:rFonts w:ascii="黑体" w:eastAsia="黑体" w:hint="eastAsia"/>
          <w:sz w:val="32"/>
          <w:szCs w:val="32"/>
          <w:highlight w:val="auto"/>
        </w:rPr>
        <w:t>务分析指标</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1.支出增长率，衡量行政单位支出的增长水平。计算公式为：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支出增长率＝(本期支出总额÷上期支出总额-1)×100%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2.当年预算支出完成率，衡量行政单位当年支出总预算及分项预算完成的程度。计算公式为：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当年预算支出完成率＝年终执行数÷全年预算数×100%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年终执行数不含上年结转和结余支出数。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3.人均开支，衡量行政单位人均年消耗经费水平。计算公式为：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人均开支＝本期支出数÷本期平均在职人员数×100%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4.项目支出占总支出的比率，衡量行政单位的支出结构。计算公式为：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项目支出比率=本期项目支出数÷本期支出总数×100%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5.人员支出、公用支出占总支出的比率，衡量行政单位的支出结构。计算公式为：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人员支出比率=本期人员支出数÷本期支出总数×100%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公用支出比率=本期公用支出数÷本期支出总数×100%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6.人均办公使用面积，衡量行政单位办公用房配备情况。计算公式为：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人均办公使用面积=本期末单位办公用房使用面积÷本期末在职人员数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7.人车比例，衡量行政单位公务用车配备情况。计算公式为：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人车比例=本期末在职人员数÷本期末公务用</w:t>
      </w:r>
      <w:bookmarkStart w:id="9" w:name="YS060202"/>
      <w:r>
        <w:rPr>
          <w:rFonts w:ascii="仿宋_GB2312" w:eastAsia="仿宋_GB2312" w:hint="eastAsia"/>
          <w:sz w:val="32"/>
          <w:szCs w:val="32"/>
          <w:highlight w:val="auto"/>
        </w:rPr>
        <w:t>车实有数</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黑体" w:eastAsia="黑体" w:hint="eastAsia"/>
          <w:sz w:val="32"/>
          <w:szCs w:val="32"/>
          <w:highlight w:val="auto"/>
        </w:rPr>
      </w:pPr>
      <w:r>
        <w:rPr>
          <w:rFonts w:ascii="黑体" w:eastAsia="黑体" w:hint="eastAsia"/>
          <w:sz w:val="32"/>
          <w:szCs w:val="32"/>
          <w:highlight w:val="auto"/>
        </w:rPr>
        <w:t>二、事业单位财</w:t>
      </w:r>
      <w:bookmarkEnd w:id="9"/>
      <w:r>
        <w:rPr>
          <w:rFonts w:ascii="黑体" w:eastAsia="黑体" w:hint="eastAsia"/>
          <w:sz w:val="32"/>
          <w:szCs w:val="32"/>
          <w:highlight w:val="auto"/>
        </w:rPr>
        <w:t>务分析指标</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1.预算收入和支出完成率，衡量事业单位收入和支出总预算及分项预算完成的程度。计算公式为：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预算收入完成率＝年终执行数÷全年预算数×100%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年终执行数不含上年结转和结余收入数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预算支出完成率＝年终执行数÷全年预算数×100%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年终执行数不含上年结转和结余支出数</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2.人员支出、公用支出占事业支出的比率，衡量事业单位事业支出结构。计算公式为：</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人员支出比率＝人员支出÷事业支出×100%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公用支出比率＝公用支出÷事业支出×100%</w:t>
      </w: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3.人均基本支出，衡量事业单位按照实际在编人数平均的基本支出水平。计算公式为：</w:t>
      </w:r>
    </w:p>
    <w:p>
      <w:pPr>
        <w:snapToGrid w:val="0"/>
        <w:ind w:firstLineChars="200" w:firstLine="640"/>
        <w:rPr>
          <w:rFonts w:ascii="仿宋_GB2312" w:eastAsia="仿宋_GB2312" w:hint="eastAsia"/>
          <w:b/>
          <w:sz w:val="32"/>
          <w:szCs w:val="32"/>
          <w:highlight w:val="auto"/>
        </w:rPr>
      </w:pPr>
      <w:r>
        <w:rPr>
          <w:rFonts w:ascii="仿宋_GB2312" w:eastAsia="仿宋_GB2312" w:hint="eastAsia"/>
          <w:sz w:val="32"/>
          <w:szCs w:val="32"/>
          <w:highlight w:val="auto"/>
        </w:rPr>
        <w:t>人均基本支出＝（基本支出-离退休人员支出）÷实际在编人数</w:t>
      </w:r>
    </w:p>
    <w:p>
      <w:pPr>
        <w:snapToGrid w:val="0"/>
        <w:ind w:firstLineChars="200" w:firstLine="640"/>
        <w:rPr>
          <w:rFonts w:ascii="仿宋_GB2312" w:eastAsia="仿宋_GB2312" w:hint="eastAsia"/>
          <w:sz w:val="32"/>
          <w:szCs w:val="32"/>
          <w:highlight w:val="auto"/>
        </w:rPr>
      </w:pPr>
    </w:p>
    <w:p>
      <w:pPr>
        <w:snapToGrid w:val="0"/>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此外，行业事业单位还可根据相关财务制度规定和分析需要增加相关分析指标，如：</w:t>
      </w:r>
    </w:p>
    <w:p>
      <w:pPr>
        <w:ind w:firstLineChars="221" w:firstLine="707"/>
        <w:rPr>
          <w:rFonts w:ascii="仿宋_GB2312" w:eastAsia="仿宋_GB2312" w:hint="eastAsia"/>
          <w:sz w:val="32"/>
          <w:szCs w:val="32"/>
          <w:highlight w:val="auto"/>
        </w:rPr>
      </w:pPr>
      <w:r>
        <w:rPr>
          <w:rFonts w:ascii="仿宋_GB2312" w:eastAsia="仿宋_GB2312" w:hint="eastAsia"/>
          <w:sz w:val="32"/>
          <w:szCs w:val="32"/>
          <w:highlight w:val="auto"/>
        </w:rPr>
        <w:t>1.财政拨款依存度, 衡量部门（单位）对财政拨款的依赖程度。</w:t>
      </w:r>
    </w:p>
    <w:p>
      <w:pPr>
        <w:widowControl/>
        <w:ind w:firstLineChars="200" w:firstLine="640"/>
        <w:textAlignment w:val="center"/>
        <w:rPr>
          <w:rFonts w:ascii="仿宋_GB2312" w:eastAsia="仿宋_GB2312" w:hint="eastAsia"/>
          <w:sz w:val="32"/>
          <w:szCs w:val="32"/>
          <w:highlight w:val="auto"/>
        </w:rPr>
      </w:pPr>
      <w:r>
        <w:rPr>
          <w:rFonts w:ascii="仿宋_GB2312" w:eastAsia="仿宋_GB2312" w:hint="eastAsia"/>
          <w:sz w:val="32"/>
          <w:szCs w:val="32"/>
          <w:highlight w:val="auto"/>
        </w:rPr>
        <w:t>财政拨款依存度＝财政拨款收入÷收入总额×100%</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Arial">
    <w:altName w:val="DejaVu Sans"/>
    <w:panose1 w:val="020B0604020202020204"/>
    <w:charset w:val="01"/>
    <w:family w:val="swiss"/>
    <w:pitch w:val="variable"/>
    <w:sig w:usb0="E0002EFF" w:usb1="C000785B" w:usb2="00000009" w:usb3="00000000" w:csb0="400001FF" w:csb1="FFFF0000"/>
  </w:font>
  <w:font w:name="华文中宋">
    <w:altName w:val="宋体"/>
    <w:panose1 w:val="02010600040101010101"/>
    <w:charset w:val="86"/>
    <w:family w:val="auto"/>
    <w:pitch w:val="variable"/>
    <w:sig w:usb0="00000287" w:usb1="080F0000" w:usb2="00000000" w:usb3="00000000" w:csb0="0004009F" w:csb1="DFD7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Times New Roman">
    <w:panose1 w:val="02020603050405020304"/>
    <w:charset w:val="01"/>
    <w:family w:val="auto"/>
    <w:pitch w:val="variable"/>
    <w:sig w:usb0="E0002EFF" w:usb1="C000785B" w:usb2="00000009" w:usb3="00000000" w:csb0="400001FF" w:csb1="FFFF0000"/>
  </w:font>
  <w:font w:name="仿宋">
    <w:panose1 w:val="02010609060101010101"/>
    <w:charset w:val="86"/>
    <w:family w:val="modern"/>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Courier New">
    <w:altName w:val="DejaVu Sans"/>
    <w:panose1 w:val="02070309020205020404"/>
    <w:charset w:val="01"/>
    <w:family w:val="modern"/>
    <w:pitch w:val="variable"/>
    <w:sig w:usb0="E0002E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rPr>
        <w:rFonts w:ascii="Arial" w:cs="Arial" w:hAnsi="Arial"/>
        <w:sz w:val="24"/>
        <w:szCs w:val="24"/>
        <w:lang w:bidi="ar-SA"/>
      </w:rPr>
    </w:pPr>
    <w:r>
      <w:rPr>
        <w:rFonts w:ascii="Arial" w:cs="Arial" w:hAnsi="Arial"/>
        <w:sz w:val="24"/>
        <w:szCs w:val="24"/>
        <w:lang w:bidi="ar-SA"/>
      </w:rPr>
      <w:fldChar w:fldCharType="begin"/>
    </w:r>
    <w:r>
      <w:rPr>
        <w:rFonts w:ascii="Arial" w:cs="Arial" w:hAnsi="Arial"/>
        <w:sz w:val="24"/>
        <w:szCs w:val="24"/>
        <w:lang w:bidi="ar-SA"/>
      </w:rPr>
      <w:instrText xml:space="preserve"> PAGE   \* MERGEFORMAT </w:instrText>
    </w:r>
    <w:r>
      <w:rPr>
        <w:rFonts w:ascii="Arial" w:cs="Arial" w:hAnsi="Arial"/>
        <w:sz w:val="24"/>
        <w:szCs w:val="24"/>
        <w:lang w:bidi="ar-SA"/>
      </w:rPr>
      <w:fldChar w:fldCharType="separate"/>
    </w:r>
    <w:r>
      <w:rPr>
        <w:rFonts w:ascii="Arial" w:cs="Arial" w:hAnsi="Arial"/>
        <w:sz w:val="24"/>
        <w:szCs w:val="24"/>
        <w:lang w:val="zh-CN" w:eastAsia="zh-CN" w:bidi="ar-SA"/>
      </w:rPr>
      <w:t>3</w:t>
    </w:r>
    <w:r>
      <w:rPr>
        <w:rFonts w:ascii="Arial" w:cs="Arial" w:hAnsi="Arial"/>
        <w:sz w:val="24"/>
        <w:szCs w:val="24"/>
        <w:lang w:bidi="ar-SA"/>
      </w:rPr>
      <w:fldChar w:fldCharType="end"/>
    </w: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C6D3531"/>
    <w:multiLevelType w:val="multilevel"/>
    <w:tmpl w:val="0C6D3531"/>
    <w:lvl w:ilvl="0">
      <w:start w:val="1"/>
      <w:numFmt w:val="decimal"/>
      <w:lvlRestart w:val="0"/>
      <w:lvlText w:val="%1．"/>
      <w:lvlJc w:val="left"/>
      <w:pPr>
        <w:ind w:left="1120" w:hanging="480"/>
      </w:pPr>
      <w:rPr>
        <w:rFonts w:ascii="仿宋_GB2312" w:hAnsi="仿宋_GB2312" w:eastAsia="仿宋_GB2312" w:hint="default"/>
        <w:sz w:val="32"/>
        <w:szCs w:val="3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A305DA6B"/>
    <w:multiLevelType w:val="singleLevel"/>
    <w:tmpl w:val="A305DA6B"/>
    <w:lvl w:ilvl="0">
      <w:start w:val="2"/>
      <w:numFmt w:val="decimal"/>
      <w:lvlRestart w:val="0"/>
      <w:suff w:val="nothing"/>
      <w:lvlText w:val="（%1）"/>
      <w:lvlJc w:val="left"/>
      <w:pPr>
        <w:ind w:left="0" w:hanging="0"/>
      </w:pPr>
    </w:lvl>
  </w:abstractNum>
  <w:abstractNum w:abstractNumId="2">
    <w:nsid w:val="EFFC8AAD"/>
    <w:multiLevelType w:val="singleLevel"/>
    <w:tmpl w:val="EFFC8AAD"/>
    <w:lvl w:ilvl="0">
      <w:start w:val="4"/>
      <w:numFmt w:val="decimal"/>
      <w:lvlRestart w:val="0"/>
      <w:suff w:val="nothing"/>
      <w:lvlText w:val="%1."/>
      <w:lvlJc w:val="left"/>
      <w:pPr>
        <w:ind w:left="0" w:hanging="0"/>
      </w:pPr>
    </w:lvl>
  </w:abstractNum>
  <w:abstractNum w:abstractNumId="3">
    <w:nsid w:val="0655B5B8"/>
    <w:multiLevelType w:val="singleLevel"/>
    <w:tmpl w:val="0655B5B8"/>
    <w:lvl w:ilvl="0">
      <w:start w:val="4"/>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2"/>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2"/>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8"/>
    <w:basedOn w:val="0"/>
    <w:next w:val="0"/>
    <w:pPr>
      <w:ind w:left="2940"/>
    </w:pPr>
  </w:style>
  <w:style w:type="paragraph" w:styleId="16">
    <w:name w:val="Document Map"/>
    <w:basedOn w:val="0"/>
    <w:rPr>
      <w:rFonts w:ascii="宋体"/>
      <w:sz w:val="18"/>
      <w:szCs w:val="18"/>
    </w:rPr>
  </w:style>
  <w:style w:type="paragraph" w:styleId="17">
    <w:name w:val="toa heading"/>
    <w:basedOn w:val="0"/>
    <w:next w:val="0"/>
    <w:pPr>
      <w:widowControl w:val="0"/>
      <w:spacing w:before="120" w:beforeAutospacing="0"/>
      <w:jc w:val="both"/>
    </w:pPr>
    <w:rPr>
      <w:rFonts w:ascii="Arial" w:eastAsia="宋体" w:cs="Times New Roman" w:hAnsi="Arial"/>
      <w:kern w:val="2"/>
      <w:sz w:val="24"/>
      <w:szCs w:val="24"/>
      <w:lang w:val="en-US" w:eastAsia="zh-CN" w:bidi="ar-SA"/>
    </w:rPr>
  </w:style>
  <w:style w:type="paragraph" w:styleId="18">
    <w:name w:val="Body Text"/>
    <w:basedOn w:val="0"/>
    <w:pPr>
      <w:widowControl/>
      <w:spacing w:before="100" w:beforeAutospacing="1" w:after="100" w:afterAutospacing="1"/>
      <w:jc w:val="left"/>
    </w:pPr>
    <w:rPr>
      <w:rFonts w:ascii="宋体" w:cs="宋体"/>
      <w:kern w:val="0"/>
      <w:sz w:val="24"/>
      <w:lang w:bidi="ar-SA"/>
    </w:rPr>
  </w:style>
  <w:style w:type="paragraph" w:styleId="19">
    <w:name w:val="Plain Text"/>
    <w:basedOn w:val="0"/>
    <w:next w:val="20"/>
    <w:pPr>
      <w:widowControl w:val="0"/>
      <w:jc w:val="both"/>
    </w:pPr>
    <w:rPr>
      <w:rFonts w:ascii="宋体" w:eastAsia="宋体" w:cs="Courier New"/>
      <w:kern w:val="2"/>
      <w:sz w:val="21"/>
      <w:szCs w:val="21"/>
      <w:lang w:val="en-US" w:eastAsia="zh-CN" w:bidi="ar-SA"/>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table of figures"/>
    <w:basedOn w:val="0"/>
    <w:next w:val="0"/>
    <w:pPr>
      <w:widowControl w:val="0"/>
      <w:spacing w:before="100" w:beforeAutospacing="1" w:after="100" w:afterAutospacing="1"/>
      <w:ind w:leftChars="200" w:left="400" w:hangingChars="200" w:hanging="200"/>
      <w:jc w:val="both"/>
    </w:pPr>
    <w:rPr>
      <w:rFonts w:ascii="Times New Roman" w:eastAsia="宋体" w:cs="Times New Roman" w:hAnsi="Times New Roman"/>
      <w:kern w:val="0"/>
      <w:sz w:val="20"/>
      <w:szCs w:val="21"/>
      <w:lang w:val="en-US" w:eastAsia="zh-CN" w:bidi="ar-SA"/>
    </w:rPr>
  </w:style>
  <w:style w:type="paragraph" w:styleId="24">
    <w:name w:val="Normal (Web)"/>
    <w:basedOn w:val="0"/>
    <w:next w:val="25"/>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25">
    <w:name w:val="修订"/>
    <w:rPr>
      <w:rFonts w:ascii="Times New Roman" w:eastAsia="宋体" w:cs="Times New Roman" w:hAnsi="Times New Roman"/>
      <w:kern w:val="2"/>
      <w:sz w:val="21"/>
      <w:szCs w:val="24"/>
      <w:lang w:val="en-US" w:eastAsia="zh-CN" w:bidi="ar-SA"/>
    </w:rPr>
  </w:style>
  <w:style w:type="character" w:styleId="26">
    <w:name w:val="Strong"/>
    <w:rPr>
      <w:b/>
      <w:bCs/>
    </w:rPr>
  </w:style>
  <w:style w:type="character" w:styleId="27">
    <w:name w:val="Hyperlink"/>
    <w:rPr>
      <w:color w:val="0000FF"/>
      <w:u w:val="single"/>
    </w:rPr>
  </w:style>
  <w:style w:type="character" w:customStyle="1" w:styleId="28">
    <w:name w:val="15"/>
    <w:rPr>
      <w:rFonts w:ascii="Times New Roman" w:hAnsi="Times New Roman"/>
      <w:sz w:val="20"/>
    </w:r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0"/>
    <w:pPr>
      <w:widowControl w:val="0"/>
      <w:jc w:val="both"/>
    </w:pPr>
    <w:rPr>
      <w:rFonts w:ascii="Times New Roman" w:eastAsia="宋体" w:cs="Times New Roman" w:hAnsi="Times New Roman"/>
      <w:kern w:val="2"/>
      <w:sz w:val="21"/>
      <w:szCs w:val="20"/>
      <w:lang w:val="en-US" w:eastAsia="zh-CN" w:bidi="ar-SA"/>
    </w:rPr>
  </w:style>
  <w:style w:type="paragraph" w:customStyle="1" w:styleId="30">
    <w:name w:val="正文-公1"/>
    <w:basedOn w:val="29"/>
    <w:next w:val="0"/>
    <w:pPr>
      <w:ind w:firstLineChars="200" w:firstLine="200"/>
    </w:pPr>
  </w:style>
  <w:style w:type="paragraph" w:customStyle="1" w:styleId="31">
    <w:name w:val="普通(网站) Char"/>
    <w:basedOn w:val="0"/>
    <w:pPr>
      <w:keepNext w:val="0"/>
      <w:keepLines w:val="0"/>
      <w:widowControl/>
      <w:suppressLineNumbers w:val="0"/>
      <w:spacing w:before="100" w:beforeAutospacing="1" w:after="100" w:afterAutospacing="1"/>
      <w:ind w:left="0" w:right="0"/>
      <w:jc w:val="left"/>
    </w:pPr>
    <w:rPr>
      <w:rFonts w:ascii="仿宋_GB2312" w:eastAsia="仿宋_GB2312" w:cs="宋体"/>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image" Target="media/4.emf"/><Relationship Id="rId6" Type="http://schemas.openxmlformats.org/officeDocument/2006/relationships/oleObject" Target="embeddings/oleObject1.bin"/><Relationship Id="rId7" Type="http://schemas.openxmlformats.org/officeDocument/2006/relationships/image" Target="media/6.emf"/><Relationship Id="rId8" Type="http://schemas.openxmlformats.org/officeDocument/2006/relationships/oleObject" Target="embeddings/oleObject2.bin"/><Relationship Id="rId9" Type="http://schemas.openxmlformats.org/officeDocument/2006/relationships/chart" Target="charts/chart3.xml"/><Relationship Id="rId10" Type="http://schemas.openxmlformats.org/officeDocument/2006/relationships/chart" Target="charts/chart4.xml"/><Relationship Id="rId11" Type="http://schemas.openxmlformats.org/officeDocument/2006/relationships/chart" Target="charts/chart5.xml"/><Relationship Id="rId12" Type="http://schemas.openxmlformats.org/officeDocument/2006/relationships/image" Target="media/11.emf"/><Relationship Id="rId13" Type="http://schemas.openxmlformats.org/officeDocument/2006/relationships/oleObject" Target="embeddings/oleObject3.bin"/><Relationship Id="rId14" Type="http://schemas.openxmlformats.org/officeDocument/2006/relationships/chart" Target="charts/chart6.xml"/><Relationship Id="rId15" Type="http://schemas.openxmlformats.org/officeDocument/2006/relationships/styles" Target="styl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收入支出预算安排对比（单位：万元）</a:t>
            </a:r>
          </a:p>
        </c:rich>
      </c:tx>
      <c:layout/>
      <c:overlay val="0"/>
      <c:spPr>
        <a:ln>
          <a:noFill/>
        </a:ln>
      </c:spPr>
    </c:title>
    <c:autoTitleDeleted val="1"/>
    <c:plotArea>
      <c:layout/>
      <c:barChart>
        <c:barDir val="col"/>
        <c:grouping val="clustered"/>
        <c:varyColors val="0"/>
        <c:ser>
          <c:idx val="0"/>
          <c:order val="0"/>
          <c:tx>
            <c:strRef>
              <c:f>'工作表465538'!$A$2</c:f>
              <c:strCache>
                <c:ptCount val="1"/>
                <c:pt idx="0">
                  <c:v>收入预算数</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'工作表465538'!$B$1:$C$1</c:f>
              <c:strCache>
                <c:ptCount val="2"/>
                <c:pt idx="0">
                  <c:v>2023年</c:v>
                </c:pt>
                <c:pt idx="1">
                  <c:v>2024年</c:v>
                </c:pt>
              </c:strCache>
            </c:strRef>
          </c:cat>
          <c:val>
            <c:numRef>
              <c:f>'工作表465538'!$B$2:$C$2</c:f>
              <c:numCache>
                <c:formatCode>General</c:formatCode>
                <c:ptCount val="2"/>
                <c:pt idx="0">
                  <c:v>196.46</c:v>
                </c:pt>
                <c:pt idx="1">
                  <c:v>221.08</c:v>
                </c:pt>
              </c:numCache>
            </c:numRef>
          </c:val>
        </c:ser>
        <c:ser>
          <c:idx val="1"/>
          <c:order val="1"/>
          <c:tx>
            <c:strRef>
              <c:f>'工作表465538'!$A$3</c:f>
              <c:strCache>
                <c:ptCount val="1"/>
                <c:pt idx="0">
                  <c:v>支出预算数</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'工作表465538'!$B$1:$C$1</c:f>
              <c:strCache>
                <c:ptCount val="2"/>
                <c:pt idx="0">
                  <c:v>2023年</c:v>
                </c:pt>
                <c:pt idx="1">
                  <c:v>2024年</c:v>
                </c:pt>
              </c:strCache>
            </c:strRef>
          </c:cat>
          <c:val>
            <c:numRef>
              <c:f>'工作表465538'!$B$3:$C$3</c:f>
              <c:numCache>
                <c:formatCode>General</c:formatCode>
                <c:ptCount val="2"/>
                <c:pt idx="0">
                  <c:v>196.46</c:v>
                </c:pt>
                <c:pt idx="1">
                  <c:v>221.08</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0.00_ "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收入支出预算执行情况对比（单位：万元）</a:t>
            </a:r>
          </a:p>
        </c:rich>
      </c:tx>
      <c:layout>
        <c:manualLayout>
          <c:xMode val="edge"/>
          <c:yMode val="edge"/>
          <c:x val="0.12925"/>
          <c:y val="0.022"/>
        </c:manualLayout>
      </c:layout>
      <c:overlay val="0"/>
      <c:spPr>
        <a:ln>
          <a:noFill/>
        </a:ln>
      </c:spPr>
    </c:title>
    <c:autoTitleDeleted val="1"/>
    <c:plotArea>
      <c:layout>
        <c:manualLayout>
          <c:layoutTarget val="outer"/>
          <c:xMode val="edge"/>
          <c:yMode val="edge"/>
          <c:x val="0.01475"/>
          <c:y val="0.1445"/>
          <c:w val="0.8465"/>
          <c:h val="0.827"/>
        </c:manualLayout>
      </c:layout>
      <c:barChart>
        <c:barDir val="col"/>
        <c:grouping val="clustered"/>
        <c:varyColors val="0"/>
        <c:ser>
          <c:idx val="0"/>
          <c:order val="0"/>
          <c:tx>
            <c:strRef>
              <c:f>'工作表465540'!$A$2</c:f>
              <c:strCache>
                <c:ptCount val="1"/>
                <c:pt idx="0">
                  <c:v>收入预算数</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'工作表465540'!$B$2:$C$2</c:f>
              <c:numCache>
                <c:formatCode>General</c:formatCode>
                <c:ptCount val="2"/>
                <c:pt idx="0">
                  <c:v>261.01</c:v>
                </c:pt>
                <c:pt idx="1">
                  <c:v>224.05</c:v>
                </c:pt>
              </c:numCache>
            </c:numRef>
          </c:val>
        </c:ser>
        <c:ser>
          <c:idx val="1"/>
          <c:order val="1"/>
          <c:tx>
            <c:strRef>
              <c:f>'工作表465540'!$A$3</c:f>
              <c:strCache>
                <c:ptCount val="1"/>
                <c:pt idx="0">
                  <c:v>收入决算数</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'工作表465540'!$B$3:$C$3</c:f>
              <c:numCache>
                <c:formatCode>General</c:formatCode>
                <c:ptCount val="2"/>
                <c:pt idx="0">
                  <c:v>261.01</c:v>
                </c:pt>
                <c:pt idx="1">
                  <c:v>224.05</c:v>
                </c:pt>
              </c:numCache>
            </c:numRef>
          </c:val>
        </c:ser>
        <c:ser>
          <c:idx val="2"/>
          <c:order val="2"/>
          <c:tx>
            <c:strRef>
              <c:f>'工作表465540'!$A$4</c:f>
              <c:strCache>
                <c:ptCount val="1"/>
                <c:pt idx="0">
                  <c:v>支出预算数</c:v>
                </c:pt>
              </c:strCache>
            </c:strRef>
          </c:tx>
          <c:spPr>
            <a:gradFill rotWithShape="0">
              <a:gsLst>
                <a:gs pos="0">
                  <a:srgbClr val="A5A5A5">
                    <a:alpha val="100000"/>
                  </a:srgbClr>
                </a:gs>
                <a:gs pos="50000">
                  <a:srgbClr val="A5A5A5">
                    <a:alpha val="100000"/>
                  </a:srgbClr>
                </a:gs>
                <a:gs pos="100000">
                  <a:srgbClr val="A5A5A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'工作表465540'!$B$4:$C$4</c:f>
              <c:numCache>
                <c:formatCode>General</c:formatCode>
                <c:ptCount val="2"/>
                <c:pt idx="0">
                  <c:v>261.01</c:v>
                </c:pt>
                <c:pt idx="1">
                  <c:v>224.05</c:v>
                </c:pt>
              </c:numCache>
            </c:numRef>
          </c:val>
        </c:ser>
        <c:ser>
          <c:idx val="3"/>
          <c:order val="3"/>
          <c:tx>
            <c:strRef>
              <c:f>'工作表465540'!$A$5</c:f>
              <c:strCache>
                <c:ptCount val="1"/>
                <c:pt idx="0">
                  <c:v>支出决算数</c:v>
                </c:pt>
              </c:strCache>
            </c:strRef>
          </c:tx>
          <c:spPr>
            <a:solidFill>
              <a:srgbClr val="8064A2"/>
            </a:solidFill>
          </c:spPr>
          <c:invertIfNegative val="0"/>
          <c:dLbls>
            <c:spPr>
              <a:noFill/>
              <a:ln>
                <a:noFill/>
              </a:ln>
            </c:spPr>
            <c:txPr>
              <a:bodyPr vert="horz"/>
              <a:lstStyle/>
              <a:p>
                <a:pPr>
                  <a:defRPr sz="900" b="0" i="0" u="none" strike="noStrike" baseline="0">
                    <a:solidFill>
                      <a:srgbClr val="000000"/>
                    </a:solidFill>
                    <a:latin typeface="宋体"/>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'工作表465540'!$B$1:$C$1</c:f>
              <c:strCache>
                <c:ptCount val="2"/>
                <c:pt idx="0">
                  <c:v>2023年</c:v>
                </c:pt>
                <c:pt idx="1">
                  <c:v>2024年</c:v>
                </c:pt>
              </c:strCache>
            </c:strRef>
          </c:cat>
          <c:val>
            <c:numRef>
              <c:f>'工作表465540'!$B$5:$C$5</c:f>
              <c:numCache>
                <c:formatCode>General</c:formatCode>
                <c:ptCount val="2"/>
                <c:pt idx="0">
                  <c:v>213.93</c:v>
                </c:pt>
                <c:pt idx="1">
                  <c:v>224.05</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0.00_ "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manualLayout>
          <c:xMode val="edge"/>
          <c:yMode val="edge"/>
          <c:x val="0.83175"/>
          <c:y val="0.31125"/>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各项支出占总支出比例</a:t>
            </a:r>
          </a:p>
        </c:rich>
      </c:tx>
      <c:layout/>
      <c:overlay val="0"/>
      <c:spPr>
        <a:ln>
          <a:noFill/>
        </a:ln>
      </c:spPr>
    </c:title>
    <c:autoTitleDeleted val="1"/>
    <c:plotArea>
      <c:layout>
        <c:manualLayout>
          <c:layoutTarget val="outer"/>
          <c:xMode val="edge"/>
          <c:yMode val="edge"/>
          <c:x val="0.1015"/>
          <c:y val="0.14225"/>
          <c:w val="0.519"/>
          <c:h val="0.847"/>
        </c:manualLayout>
      </c:layout>
      <c:pieChart>
        <c:varyColors val="1"/>
        <c:ser>
          <c:idx val="0"/>
          <c:order val="0"/>
          <c:tx>
            <c:strRef>
              <c:f>'工作表465544'!$B$1</c:f>
              <c:strCache>
                <c:ptCount val="1"/>
                <c:pt idx="0">
                  <c:v/>
                </c:pt>
              </c:strCache>
            </c:strRef>
          </c:tx>
          <c:spPr>
            <a:solidFill>
              <a:srgbClr val="9999FF"/>
            </a:solidFill>
          </c:spPr>
          <c:dPt>
            <c:idx val="0"/>
            <c:bubble3D val="0"/>
            <c:explosion val="0"/>
            <c:spPr>
              <a:solidFill>
                <a:srgbClr val="9999FF"/>
              </a:solidFill>
              <a:ln>
                <a:noFill/>
              </a:ln>
            </c:spPr>
          </c:dPt>
          <c:dPt>
            <c:idx val="1"/>
            <c:bubble3D val="0"/>
            <c:explosion val="0"/>
            <c:spPr>
              <a:solidFill>
                <a:srgbClr val="993366"/>
              </a:solidFill>
              <a:ln>
                <a:noFill/>
              </a:ln>
            </c:spPr>
          </c:dPt>
          <c:dPt>
            <c:idx val="2"/>
            <c:bubble3D val="0"/>
            <c:explosion val="0"/>
            <c:spPr>
              <a:solidFill>
                <a:srgbClr val="FFFFCC"/>
              </a:solidFill>
              <a:ln>
                <a:noFill/>
              </a:ln>
            </c:spPr>
          </c:dPt>
          <c:dPt>
            <c:idx val="3"/>
            <c:bubble3D val="0"/>
            <c:explosion val="0"/>
            <c:spPr>
              <a:solidFill>
                <a:srgbClr val="CCFFFF"/>
              </a:solidFill>
              <a:ln>
                <a:noFill/>
              </a:ln>
            </c:spPr>
          </c:dPt>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1"/>
              <c:layout>
                <c:manualLayout>
                  <c:x val="0.0075502465"/>
                  <c:y val="9.4684906E-4"/>
                </c:manualLayout>
              </c:layout>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2"/>
              <c:layout>
                <c:manualLayout>
                  <c:x val="0.025444634"/>
                  <c:y val="-0.004362847"/>
                </c:manualLayout>
              </c:layout>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3"/>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showLegendKey val="0"/>
            <c:showVal val="1"/>
            <c:showCatName val="0"/>
            <c:showSerName val="0"/>
            <c:showPercent val="1"/>
            <c:showBubbleSize val="0"/>
            <c:separator>
</c:separator>
            <c:showLeaderLines val="1"/>
          </c:dLbls>
          <c:cat>
            <c:strRef>
              <c:f>'工作表465544'!$A$2:$A$5</c:f>
              <c:strCache>
                <c:ptCount val="4"/>
                <c:pt idx="0">
                  <c:v>一般公共服务支出</c:v>
                </c:pt>
                <c:pt idx="1">
                  <c:v>社会保障和就业支出</c:v>
                </c:pt>
                <c:pt idx="2">
                  <c:v>卫生健康支出</c:v>
                </c:pt>
                <c:pt idx="3">
                  <c:v>住房保障支出</c:v>
                </c:pt>
              </c:strCache>
            </c:strRef>
          </c:cat>
          <c:val>
            <c:numRef>
              <c:f>'工作表465544'!$B$2:$B$5</c:f>
              <c:numCache>
                <c:formatCode>#,##0.00_ </c:formatCode>
                <c:ptCount val="4"/>
                <c:pt idx="0">
                  <c:v>169.59</c:v>
                </c:pt>
                <c:pt idx="1">
                  <c:v>26.79</c:v>
                </c:pt>
                <c:pt idx="2">
                  <c:v>11.03</c:v>
                </c:pt>
                <c:pt idx="3">
                  <c:v>16.64</c:v>
                </c:pt>
              </c:numCache>
            </c:numRef>
          </c:val>
        </c:ser>
        <c:firstSliceAng val="0"/>
      </c:pieChart>
      <c:spPr>
        <a:noFill/>
        <a:ln>
          <a:noFill/>
        </a:ln>
      </c:spPr>
    </c:plotArea>
    <c:legend>
      <c:legendPos val="r"/>
      <c:layout>
        <c:manualLayout>
          <c:xMode val="edge"/>
          <c:yMode val="edge"/>
          <c:x val="0.71118426"/>
          <c:y val="0.08648148"/>
          <c:w val="0.27247226"/>
          <c:h val="0.8885185"/>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收入支出同上年对比（单位：万元）</a:t>
            </a:r>
          </a:p>
        </c:rich>
      </c:tx>
      <c:layout/>
      <c:overlay val="0"/>
      <c:spPr>
        <a:ln>
          <a:noFill/>
        </a:ln>
      </c:spPr>
    </c:title>
    <c:autoTitleDeleted val="1"/>
    <c:plotArea>
      <c:layout/>
      <c:barChart>
        <c:barDir val="col"/>
        <c:grouping val="clustered"/>
        <c:varyColors val="0"/>
        <c:ser>
          <c:idx val="0"/>
          <c:order val="0"/>
          <c:tx>
            <c:strRef>
              <c:f>'工作表465546'!$A$2</c:f>
              <c:strCache>
                <c:ptCount val="1"/>
                <c:pt idx="0">
                  <c:v>2024年</c:v>
                </c:pt>
              </c:strCache>
            </c:strRef>
          </c:tx>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'工作表465546'!$B$1:$D$1</c:f>
              <c:strCache>
                <c:ptCount val="3"/>
                <c:pt idx="0">
                  <c:v>年初结转和结余</c:v>
                </c:pt>
                <c:pt idx="1">
                  <c:v>收入</c:v>
                </c:pt>
                <c:pt idx="2">
                  <c:v>支出</c:v>
                </c:pt>
              </c:strCache>
            </c:strRef>
          </c:cat>
          <c:val>
            <c:numRef>
              <c:f>'工作表465546'!$B$2:$D$2</c:f>
              <c:numCache>
                <c:formatCode>General</c:formatCode>
                <c:ptCount val="3"/>
                <c:pt idx="1">
                  <c:v>224.05</c:v>
                </c:pt>
                <c:pt idx="2">
                  <c:v>224.05</c:v>
                </c:pt>
              </c:numCache>
            </c:numRef>
          </c:val>
        </c:ser>
        <c:ser>
          <c:idx val="1"/>
          <c:order val="1"/>
          <c:tx>
            <c:strRef>
              <c:f>'工作表465546'!$A$3</c:f>
              <c:strCache>
                <c:ptCount val="1"/>
                <c:pt idx="0">
                  <c:v>2023年</c:v>
                </c:pt>
              </c:strCache>
            </c:strRef>
          </c:tx>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invertIfNegative val="0"/>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0"/>
          </c:dLbls>
          <c:cat>
            <c:strRef>
              <c:f>'工作表465546'!$B$1:$D$1</c:f>
              <c:strCache>
                <c:ptCount val="3"/>
                <c:pt idx="0">
                  <c:v>年初结转和结余</c:v>
                </c:pt>
                <c:pt idx="1">
                  <c:v>收入</c:v>
                </c:pt>
                <c:pt idx="2">
                  <c:v>支出</c:v>
                </c:pt>
              </c:strCache>
            </c:strRef>
          </c:cat>
          <c:val>
            <c:numRef>
              <c:f>'工作表465546'!$B$3:$D$3</c:f>
              <c:numCache>
                <c:formatCode>General</c:formatCode>
                <c:ptCount val="3"/>
                <c:pt idx="1">
                  <c:v>261.01</c:v>
                </c:pt>
                <c:pt idx="2">
                  <c:v>213.93</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差旅费同上年对比（单位：万元）</a:t>
            </a:r>
          </a:p>
        </c:rich>
      </c:tx>
      <c:layout/>
      <c:overlay val="0"/>
      <c:spPr>
        <a:ln>
          <a:noFill/>
        </a:ln>
      </c:spPr>
    </c:title>
    <c:autoTitleDeleted val="1"/>
    <c:plotArea>
      <c:layout/>
      <c:barChart>
        <c:barDir val="col"/>
        <c:grouping val="clustered"/>
        <c:varyColors val="0"/>
        <c:ser>
          <c:idx val="0"/>
          <c:order val="0"/>
          <c:tx>
            <c:v>差旅费</c:v>
          </c:tx>
          <c:spPr>
            <a:solidFill>
              <a:srgbClr val="4F81BD"/>
            </a:solidFill>
          </c:spPr>
          <c:invertIfNegative val="0"/>
          <c:dLbls>
            <c:spPr>
              <a:noFill/>
              <a:ln>
                <a:noFill/>
              </a:ln>
            </c:spPr>
            <c:txPr>
              <a:bodyPr vert="horz"/>
              <a:lstStyle/>
              <a:p>
                <a:pPr>
                  <a:defRPr sz="9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2004年</c:v>
              </c:pt>
              <c:pt idx="1">
                <c:v>2003年</c:v>
              </c:pt>
            </c:strLit>
          </c:cat>
          <c:val>
            <c:numRef>
              <c:f/>
              <c:numCache>
                <c:formatCode>General</c:formatCode>
                <c:ptCount val="2"/>
                <c:pt idx="0">
                  <c:v>0.97</c:v>
                </c:pt>
                <c:pt idx="1">
                  <c:v>1.76</c:v>
                </c:pt>
              </c:numCache>
            </c:numRef>
          </c:val>
        </c:ser>
        <c:gapWidth val="150"/>
        <c:axId val="0"/>
        <c:axId val="1"/>
      </c:barChart>
      <c:catAx>
        <c:axId val="0"/>
        <c:scaling>
          <c:orientation val="minMax"/>
        </c:scaling>
        <c:delete val="0"/>
        <c:axPos val="b"/>
        <c:numFmt formatCode="General" sourceLinked="0"/>
        <c:majorTickMark val="none"/>
        <c:minorTickMark val="none"/>
        <c:tickLblPos val="nextTo"/>
        <c:spPr>
          <a:ln w="6350">
            <a:solidFill>
              <a:srgbClr val="D8D8D8"/>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8D8D8"/>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0" u="none" strike="noStrike" baseline="0">
                <a:solidFill>
                  <a:srgbClr val="000000"/>
                </a:solidFill>
                <a:latin typeface="宋体"/>
                <a:ea typeface="宋体"/>
                <a:cs typeface="Lucida Sans"/>
              </a:defRPr>
            </a:pPr>
            <a:r>
              <a:rPr lang="zh-CN" sz="1400" b="0" i="0" u="none" strike="noStrike" baseline="0">
                <a:solidFill>
                  <a:srgbClr val="595959"/>
                </a:solidFill>
                <a:latin typeface="Times New Roman"/>
                <a:ea typeface="宋体"/>
                <a:cs typeface="Lucida Sans"/>
              </a:rPr>
              <a:t>财政拨款</a:t>
            </a:r>
            <a:r>
              <a:rPr lang="zh-CN" sz="1400" b="0" i="0" u="none" strike="noStrike" baseline="0">
                <a:solidFill>
                  <a:srgbClr val="595959"/>
                </a:solidFill>
                <a:latin typeface="Times New Roman"/>
                <a:ea typeface="宋体"/>
                <a:cs typeface="Lucida Sans"/>
              </a:rPr>
              <a:t>支出占比分析</a:t>
            </a:r>
          </a:p>
        </c:rich>
      </c:tx>
      <c:layout>
        <c:manualLayout>
          <c:xMode val="edge"/>
          <c:yMode val="edge"/>
          <c:x val="0.37492454"/>
          <c:y val="0.024060495"/>
        </c:manualLayout>
      </c:layout>
      <c:overlay val="0"/>
      <c:spPr>
        <a:ln>
          <a:noFill/>
        </a:ln>
      </c:spPr>
    </c:title>
    <c:autoTitleDeleted val="1"/>
    <c:plotArea>
      <c:layout/>
      <c:pieChart>
        <c:varyColors val="1"/>
        <c:ser>
          <c:idx val="0"/>
          <c:order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idx val="0"/>
            <c:bubble3D val="0"/>
            <c:explosion val="0"/>
            <c:spPr>
              <a:gradFill rotWithShape="0">
                <a:gsLst>
                  <a:gs pos="0">
                    <a:srgbClr val="5B9BD5">
                      <a:alpha val="100000"/>
                    </a:srgbClr>
                  </a:gs>
                  <a:gs pos="50000">
                    <a:srgbClr val="5B9BD5">
                      <a:alpha val="100000"/>
                    </a:srgbClr>
                  </a:gs>
                  <a:gs pos="100000">
                    <a:srgbClr val="5B9BD5">
                      <a:alpha val="100000"/>
                    </a:srgbClr>
                  </a:gs>
                </a:gsLst>
                <a:lin ang="5400000" scaled="1"/>
              </a:gradFill>
              <a:ln>
                <a:noFill/>
              </a:ln>
            </c:spPr>
          </c:dPt>
          <c:dPt>
            <c:idx val="1"/>
            <c:bubble3D val="0"/>
            <c:explosion val="0"/>
            <c:spPr>
              <a:gradFill rotWithShape="0">
                <a:gsLst>
                  <a:gs pos="0">
                    <a:srgbClr val="ED7D31">
                      <a:alpha val="100000"/>
                    </a:srgbClr>
                  </a:gs>
                  <a:gs pos="50000">
                    <a:srgbClr val="ED7D31">
                      <a:alpha val="100000"/>
                    </a:srgbClr>
                  </a:gs>
                  <a:gs pos="100000">
                    <a:srgbClr val="ED7D31">
                      <a:alpha val="100000"/>
                    </a:srgbClr>
                  </a:gs>
                </a:gsLst>
                <a:lin ang="5400000" scaled="1"/>
              </a:gradFill>
              <a:ln>
                <a:noFill/>
              </a:ln>
            </c:spPr>
          </c:dPt>
          <c:dPt>
            <c:idx val="2"/>
            <c:bubble3D val="0"/>
            <c:explosion val="0"/>
            <c:spPr>
              <a:gradFill rotWithShape="0">
                <a:gsLst>
                  <a:gs pos="0">
                    <a:srgbClr val="A5A5A5">
                      <a:alpha val="100000"/>
                    </a:srgbClr>
                  </a:gs>
                  <a:gs pos="50000">
                    <a:srgbClr val="A5A5A5">
                      <a:alpha val="100000"/>
                    </a:srgbClr>
                  </a:gs>
                  <a:gs pos="100000">
                    <a:srgbClr val="A5A5A5">
                      <a:alpha val="100000"/>
                    </a:srgbClr>
                  </a:gs>
                </a:gsLst>
                <a:lin ang="5400000" scaled="1"/>
              </a:gradFill>
              <a:ln>
                <a:noFill/>
              </a:ln>
            </c:spPr>
          </c:dPt>
          <c:dLbls>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1"/>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dLbl>
              <c:idx val="2"/>
              <c:layout>
                <c:manualLayout>
                  <c:x val="0.06881533"/>
                  <c:y val="0.01879056"/>
                </c:manualLayout>
              </c:layout>
              <c:numFmt formatCode="0.00%" sourceLinked="0"/>
              <c:spPr>
                <a:noFill/>
                <a:ln>
                  <a:noFill/>
                </a:ln>
              </c:spPr>
              <c:txPr>
                <a:bodyPr vert="horz"/>
                <a:lstStyle/>
                <a:p>
                  <a:pPr>
                    <a:defRPr sz="900" b="0" i="0" u="none" strike="noStrike" baseline="0">
                      <a:solidFill>
                        <a:srgbClr val="3F3F3F"/>
                      </a:solidFill>
                      <a:latin typeface="Times New Roman"/>
                      <a:ea typeface="宋体"/>
                      <a:cs typeface="Lucida Sans"/>
                    </a:defRPr>
                  </a:pPr>
                  <a:endParaRPr lang="zh-CN"/>
                </a:p>
              </c:txPr>
              <c:showLegendKey val="0"/>
              <c:showVal val="1"/>
              <c:showCatName val="0"/>
              <c:showSerName val="0"/>
              <c:showPercent val="1"/>
              <c:showBubbleSize val="0"/>
              <c:separator>
</c:separator>
            </c:dLbl>
            <c:showLegendKey val="0"/>
            <c:showVal val="1"/>
            <c:showCatName val="0"/>
            <c:showSerName val="0"/>
            <c:showPercent val="1"/>
            <c:showBubbleSize val="0"/>
            <c:separator>
</c:separator>
            <c:showLeaderLines val="1"/>
          </c:dLbls>
          <c:cat>
            <c:strRef>
              <c:f>'工作表465556'!$B$2:$B$4</c:f>
              <c:strCache>
                <c:ptCount val="3"/>
                <c:pt idx="0">
                  <c:v>人员经费</c:v>
                </c:pt>
                <c:pt idx="1">
                  <c:v>公用经费</c:v>
                </c:pt>
                <c:pt idx="2">
                  <c:v>项目支出</c:v>
                </c:pt>
              </c:strCache>
            </c:strRef>
          </c:cat>
          <c:val>
            <c:numRef>
              <c:f>'工作表465556'!$C$2:$C$4</c:f>
              <c:numCache>
                <c:formatCode>#,##0.00_ </c:formatCode>
                <c:ptCount val="3"/>
                <c:pt idx="0">
                  <c:v>212.18</c:v>
                </c:pt>
                <c:pt idx="1">
                  <c:v>11.87</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8D8D8"/>
      </a:solidFill>
      <a:prstDash val="solid"/>
    </a:ln>
  </c:spPr>
  <c:txPr>
    <a:bodyPr/>
    <a:lstStyle/>
    <a:p>
      <a:pPr>
        <a:defRPr sz="9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15875" cmpd="sng" cap="flat">
          <a:solidFill>
            <a:srgbClr val="739CC3"/>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5875" cmpd="sng" cap="flat">
          <a:solidFill>
            <a:srgbClr val="739CC3"/>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docProps/app.xml><?xml version="1.0" encoding="utf-8"?>
<Properties xmlns="http://schemas.openxmlformats.org/officeDocument/2006/extended-properties">
  <Template>Normal.eit</Template>
  <TotalTime>74</TotalTime>
  <Application>Yozo_Office27021597764231179</Application>
  <Pages>15</Pages>
  <Words>5651</Words>
  <Characters>6207</Characters>
  <Lines>296</Lines>
  <Paragraphs>98</Paragraphs>
  <CharactersWithSpaces>6217</CharactersWithSpaces>
  <Company>Freesoho</Company>
</Properties>
</file>

<file path=docProps/core.xml><?xml version="1.0" encoding="utf-8"?>
<cp:coreProperties xmlns:cp="http://schemas.openxmlformats.org/package/2006/metadata/core-properties" xmlns:dc="http://purl.org/dc/elements/1.1/" xmlns:dcterms="http://purl.org/dc/terms/" xmlns:xsi="http://www.w3.org/2001/XMLSchema-instance">
  <dc:title>部门决算分析报告撰写提纲（部门用）</dc:title>
  <dc:creator>lfq</dc:creator>
  <cp:lastModifiedBy>user</cp:lastModifiedBy>
  <cp:revision>10</cp:revision>
  <dcterms:created xsi:type="dcterms:W3CDTF">2023-09-15T18:48:00Z</dcterms:created>
  <dcterms:modified xsi:type="dcterms:W3CDTF">2025-02-19T09:11:46Z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2052-11.1.0.10168</vt:lpwstr>
  </property>
</Properties>
</file>