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77193"/>
      <w:bookmarkStart w:id="2" w:name="_Toc15396597"/>
      <w:bookmarkStart w:id="3" w:name="_Toc15378441"/>
      <w:bookmarkStart w:id="4" w:name="_Toc15396475"/>
      <w:bookmarkStart w:id="5" w:name="_Toc15306267"/>
    </w:p>
    <w:p w14:paraId="7D73BD19">
      <w:pPr>
        <w:pStyle w:val="6"/>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402783EE">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0164890B">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597C79E">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609AE7C3">
      <w:pPr>
        <w:jc w:val="center"/>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bookmarkEnd w:id="4"/>
    </w:p>
    <w:bookmarkEnd w:id="5"/>
    <w:p w14:paraId="6DBC95DC">
      <w:pPr>
        <w:jc w:val="center"/>
        <w:rPr>
          <w:rFonts w:hint="eastAsia" w:ascii="黑体" w:hAnsi="黑体" w:eastAsia="黑体" w:cs="黑体"/>
          <w:b w:val="0"/>
          <w:bCs/>
          <w:color w:val="000000" w:themeColor="text1"/>
          <w:sz w:val="44"/>
          <w:szCs w:val="44"/>
          <w14:textFill>
            <w14:solidFill>
              <w14:schemeClr w14:val="tx1"/>
            </w14:solidFill>
          </w14:textFill>
        </w:rPr>
      </w:pPr>
      <w:bookmarkStart w:id="6" w:name="_Toc15377426"/>
      <w:bookmarkStart w:id="7" w:name="_Toc15396598"/>
      <w:bookmarkStart w:id="8" w:name="_Toc15378442"/>
      <w:bookmarkStart w:id="9" w:name="_Toc15396476"/>
      <w:bookmarkStart w:id="10" w:name="_Toc15306268"/>
      <w:bookmarkStart w:id="11" w:name="_Toc15377194"/>
      <w:r>
        <w:rPr>
          <w:rFonts w:hint="eastAsia" w:ascii="黑体" w:hAnsi="黑体" w:eastAsia="黑体" w:cs="黑体"/>
          <w:b w:val="0"/>
          <w:bCs/>
          <w:color w:val="000000" w:themeColor="text1"/>
          <w:sz w:val="44"/>
          <w:szCs w:val="44"/>
          <w14:textFill>
            <w14:solidFill>
              <w14:schemeClr w14:val="tx1"/>
            </w14:solidFill>
          </w14:textFill>
        </w:rPr>
        <w:t>红原县疾病预防控制中心</w:t>
      </w:r>
      <w:r>
        <w:rPr>
          <w:rFonts w:ascii="黑体" w:hAnsi="黑体" w:eastAsia="黑体" w:cs="黑体"/>
          <w:color w:val="000000"/>
          <w:sz w:val="44"/>
          <w:u w:color="auto"/>
        </w:rPr>
        <w:t>单位决算</w:t>
      </w:r>
      <w:bookmarkEnd w:id="6"/>
      <w:bookmarkEnd w:id="7"/>
      <w:bookmarkEnd w:id="8"/>
      <w:bookmarkEnd w:id="9"/>
      <w:bookmarkEnd w:id="10"/>
      <w:bookmarkEnd w:id="11"/>
    </w:p>
    <w:p w14:paraId="0E2C97A9">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6"/>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日</w:t>
      </w:r>
    </w:p>
    <w:p w14:paraId="49203D4D">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4</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372F6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567BA5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1EF486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F5F4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C39B0B7">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185CA32">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15</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49EB3F66">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_Toc21200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15</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1D314EC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7C5159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44CBCE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1C1D86">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67FA2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0B0EA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F11141">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81F5848">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3984A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DAFCA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A4664BE">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E3B3EF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168567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2FF81B7">
      <w:pPr>
        <w:pStyle w:val="6"/>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3"/>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14:paraId="521E39E1">
      <w:pPr>
        <w:pStyle w:val="3"/>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Style w:val="34"/>
          <w:rFonts w:hint="eastAsia" w:ascii="黑体" w:hAnsi="黑体" w:eastAsia="黑体" w:cs="黑体"/>
          <w:b w:val="0"/>
          <w:bCs w:val="0"/>
        </w:rPr>
        <w:t>单位</w:t>
      </w:r>
      <w:r>
        <w:rPr>
          <w:rStyle w:val="34"/>
          <w:rFonts w:ascii="黑体" w:hAnsi="黑体" w:eastAsia="黑体" w:cs="黑体"/>
          <w:b w:val="0"/>
          <w:bCs w:val="0"/>
          <w:u w:color="auto"/>
        </w:rPr>
        <w:t>概况</w:t>
      </w:r>
      <w:bookmarkEnd w:id="12"/>
      <w:bookmarkEnd w:id="13"/>
      <w:bookmarkEnd w:id="14"/>
    </w:p>
    <w:p w14:paraId="24C03C62">
      <w:pPr>
        <w:pStyle w:val="4"/>
        <w:ind w:firstLine="640" w:firstLineChars="200"/>
        <w:rPr>
          <w:rFonts w:hint="eastAsia" w:ascii="黑体" w:hAnsi="黑体" w:eastAsia="黑体" w:cs="黑体"/>
          <w:b w:val="0"/>
          <w:bCs/>
          <w:color w:val="000000"/>
          <w:lang w:val="en-US" w:eastAsia="zh-CN"/>
        </w:rPr>
      </w:pPr>
      <w:bookmarkStart w:id="15" w:name="_Toc111208496"/>
      <w:bookmarkStart w:id="16" w:name="_Toc28564"/>
      <w:bookmarkStart w:id="17" w:name="_Toc15377197"/>
      <w:bookmarkStart w:id="18" w:name="_Toc113981010"/>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p>
    <w:bookmarkEnd w:id="20"/>
    <w:bookmarkEnd w:id="21"/>
    <w:p w14:paraId="2F4B16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rPr>
      </w:pPr>
      <w:r>
        <w:rPr>
          <w:rFonts w:hint="eastAsia" w:ascii="仿宋" w:hAnsi="仿宋" w:eastAsia="仿宋" w:cs="仿宋"/>
          <w:color w:val="000000"/>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为社会人群提供预防性疫苗接种等工作。</w:t>
      </w:r>
    </w:p>
    <w:p w14:paraId="2CF1E803">
      <w:pPr>
        <w:pStyle w:val="4"/>
        <w:ind w:firstLine="640" w:firstLineChars="200"/>
        <w:rPr>
          <w:rFonts w:hint="eastAsia" w:ascii="黑体" w:hAnsi="黑体" w:eastAsia="黑体" w:cs="黑体"/>
          <w:b w:val="0"/>
          <w:bCs/>
          <w:color w:val="000000"/>
        </w:rPr>
      </w:pPr>
      <w:bookmarkStart w:id="22" w:name="_Toc113981011"/>
      <w:bookmarkStart w:id="23" w:name="_Toc111208497"/>
      <w:bookmarkStart w:id="24" w:name="_Toc15377200"/>
      <w:bookmarkStart w:id="25" w:name="_Toc22056"/>
      <w:r>
        <w:rPr>
          <w:rFonts w:hint="eastAsia" w:ascii="黑体" w:hAnsi="黑体" w:eastAsia="黑体" w:cs="黑体"/>
          <w:b w:val="0"/>
          <w:bCs/>
          <w:color w:val="000000"/>
        </w:rPr>
        <w:t>二、机构设置</w:t>
      </w:r>
      <w:bookmarkEnd w:id="22"/>
      <w:bookmarkEnd w:id="23"/>
      <w:bookmarkEnd w:id="24"/>
      <w:bookmarkEnd w:id="25"/>
    </w:p>
    <w:p w14:paraId="35A282C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我单位为红原县卫生健康局下属二级预算单位，属全额拨款公益一类事业单位，下设办公室、结艾监测科、传管科、、财务科、免规科、地方病防治科、检验科、公卫科，共8个科室。截止2024年底我单位共有编制39个，其中事业编制39个，在职34人，事业编制34人,其中专业技术人员29人，管理人员3人，工勤2人；退休16人。</w:t>
      </w: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3"/>
        <w:jc w:val="center"/>
        <w:rPr>
          <w:rFonts w:hint="eastAsia" w:ascii="黑体" w:hAnsi="黑体" w:eastAsia="黑体" w:cs="黑体"/>
          <w:b w:val="0"/>
          <w:bCs w:val="0"/>
        </w:rPr>
      </w:pPr>
      <w:bookmarkStart w:id="26" w:name="_Toc111208498"/>
      <w:bookmarkStart w:id="27" w:name="_Toc905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b/>
          <w:bCs/>
          <w:lang w:val="en-US" w:eastAsia="zh-CN"/>
        </w:rPr>
        <w:t>单位</w:t>
      </w:r>
      <w:r>
        <w:rPr>
          <w:rFonts w:hint="eastAsia" w:ascii="黑体" w:hAnsi="黑体" w:eastAsia="黑体" w:cs="黑体"/>
          <w:b/>
          <w:bCs/>
        </w:rPr>
        <w:t>决算情况说明</w:t>
      </w:r>
      <w:bookmarkEnd w:id="19"/>
      <w:bookmarkEnd w:id="26"/>
      <w:bookmarkEnd w:id="27"/>
    </w:p>
    <w:p w14:paraId="778F85CC">
      <w:pPr>
        <w:pStyle w:val="4"/>
        <w:ind w:firstLine="640" w:firstLineChars="200"/>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ascii="仿宋" w:hAnsi="仿宋" w:eastAsia="仿宋" w:cs="仿宋"/>
          <w:color w:val="000000"/>
          <w:sz w:val="32"/>
          <w:u w:color="auto"/>
        </w:rPr>
        <w:t>年度收入、支出总计均为1,628.68</w:t>
      </w:r>
      <w:r>
        <w:rPr>
          <w:rFonts w:hint="eastAsia" w:ascii="仿宋" w:hAnsi="仿宋" w:eastAsia="仿宋" w:cs="仿宋"/>
          <w:color w:val="000000"/>
          <w:sz w:val="32"/>
          <w:szCs w:val="32"/>
        </w:rPr>
        <w:t>万元。与</w:t>
      </w:r>
      <w:r>
        <w:rPr>
          <w:rFonts w:ascii="仿宋" w:hAnsi="仿宋" w:eastAsia="仿宋" w:cs="仿宋"/>
          <w:color w:val="000000"/>
          <w:sz w:val="32"/>
          <w:u w:color="auto"/>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相比，收入、支出总计各</w:t>
      </w:r>
      <w:r>
        <w:rPr>
          <w:rFonts w:ascii="仿宋" w:hAnsi="仿宋" w:eastAsia="仿宋" w:cs="仿宋"/>
          <w:color w:val="000000"/>
          <w:sz w:val="32"/>
          <w:u w:color="auto"/>
        </w:rPr>
        <w:t xml:space="preserve">增加432.45万元，增长36.2%。主要变动原因是2024年支付2023年能力建设项目288万元，支付往年项目增加。。 </w:t>
      </w:r>
    </w:p>
    <w:p w14:paraId="61134D0D">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590810">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（图1：收、支决算总计变动情况图）</w:t>
      </w:r>
    </w:p>
    <w:p w14:paraId="43B3D363">
      <w:pPr>
        <w:pStyle w:val="4"/>
        <w:ind w:firstLine="640" w:firstLineChars="200"/>
        <w:rPr>
          <w:rFonts w:hint="eastAsia" w:ascii="黑体" w:hAnsi="黑体" w:eastAsia="黑体" w:cs="黑体"/>
          <w:bCs w:val="0"/>
          <w:color w:val="000000"/>
        </w:rPr>
      </w:pPr>
      <w:bookmarkStart w:id="31" w:name="_Toc8125"/>
      <w:bookmarkStart w:id="32" w:name="_Toc15377206"/>
      <w:bookmarkStart w:id="33" w:name="_Toc111208500"/>
      <w:r>
        <w:rPr>
          <w:rFonts w:hint="eastAsia" w:ascii="黑体" w:hAnsi="黑体" w:eastAsia="黑体" w:cs="黑体"/>
          <w:b w:val="0"/>
          <w:bCs/>
          <w:color w:val="000000"/>
        </w:rPr>
        <w:t>二、收入决算情况说明</w:t>
      </w:r>
      <w:bookmarkEnd w:id="31"/>
      <w:bookmarkEnd w:id="32"/>
      <w:bookmarkEnd w:id="33"/>
    </w:p>
    <w:p w14:paraId="7DAB4092">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1,628.68万元</w:t>
      </w:r>
      <w:r>
        <w:rPr>
          <w:rFonts w:hint="eastAsia" w:ascii="仿宋" w:hAnsi="仿宋" w:eastAsia="仿宋" w:cs="仿宋"/>
          <w:color w:val="000000"/>
          <w:sz w:val="32"/>
          <w:szCs w:val="32"/>
          <w:lang w:val="en-US" w:eastAsia="zh-CN"/>
        </w:rPr>
        <w:t>，其中:一般公共预算财政拨款收入1,623.85万元，占99.7%；其他收入4.82万元，占0.3%</w:t>
      </w:r>
      <w:r>
        <w:rPr>
          <w:rFonts w:hint="eastAsia" w:ascii="仿宋" w:hAnsi="仿宋" w:eastAsia="仿宋" w:cs="仿宋"/>
          <w:color w:val="000000"/>
          <w:sz w:val="32"/>
          <w:szCs w:val="32"/>
        </w:rPr>
        <w:t>。</w:t>
      </w:r>
    </w:p>
    <w:p w14:paraId="6E48941D">
      <w:pPr>
        <w:pStyle w:val="17"/>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D541CD">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7196F3EB">
      <w:pPr>
        <w:pStyle w:val="4"/>
        <w:ind w:firstLine="640" w:firstLineChars="200"/>
        <w:rPr>
          <w:rFonts w:hint="eastAsia" w:ascii="黑体" w:hAnsi="黑体" w:eastAsia="黑体" w:cs="黑体"/>
          <w:b w:val="0"/>
          <w:bCs/>
          <w:color w:val="000000"/>
        </w:rPr>
      </w:pPr>
      <w:bookmarkStart w:id="34" w:name="_Toc111208501"/>
      <w:bookmarkStart w:id="35" w:name="_Toc28283"/>
      <w:bookmarkStart w:id="36" w:name="_Toc15377207"/>
      <w:r>
        <w:rPr>
          <w:rFonts w:hint="eastAsia" w:ascii="黑体" w:hAnsi="黑体" w:eastAsia="黑体" w:cs="黑体"/>
          <w:b w:val="0"/>
          <w:bCs/>
          <w:color w:val="000000"/>
        </w:rPr>
        <w:t>三、支出决算情况说明</w:t>
      </w:r>
      <w:bookmarkEnd w:id="34"/>
      <w:bookmarkEnd w:id="35"/>
      <w:bookmarkEnd w:id="36"/>
    </w:p>
    <w:p w14:paraId="1753835D">
      <w:pPr>
        <w:pStyle w:val="6"/>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1,628.68万元</w:t>
      </w:r>
      <w:r>
        <w:rPr>
          <w:rFonts w:hint="eastAsia" w:ascii="仿宋" w:hAnsi="仿宋" w:eastAsia="仿宋" w:cs="仿宋"/>
          <w:color w:val="000000"/>
          <w:sz w:val="32"/>
          <w:szCs w:val="32"/>
          <w:lang w:val="en-US" w:eastAsia="zh-CN"/>
        </w:rPr>
        <w:t>，其中:基本支出867.91万元，占53.3%；项目支出760.76万元，占46.7%</w:t>
      </w:r>
      <w:r>
        <w:rPr>
          <w:rFonts w:hint="eastAsia" w:ascii="仿宋" w:hAnsi="仿宋" w:eastAsia="仿宋" w:cs="仿宋"/>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E40098">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0429694F">
      <w:pPr>
        <w:pStyle w:val="4"/>
        <w:ind w:firstLine="640" w:firstLineChars="200"/>
        <w:rPr>
          <w:rFonts w:hint="eastAsia" w:ascii="黑体" w:hAnsi="黑体" w:eastAsia="黑体" w:cs="黑体"/>
          <w:b w:val="0"/>
          <w:bCs/>
          <w:color w:val="000000"/>
        </w:rPr>
      </w:pPr>
      <w:bookmarkStart w:id="37" w:name="_Toc15377208"/>
      <w:bookmarkStart w:id="38" w:name="_Toc19521"/>
      <w:bookmarkStart w:id="39" w:name="_Toc111208502"/>
      <w:r>
        <w:rPr>
          <w:rFonts w:hint="eastAsia" w:ascii="黑体" w:hAnsi="黑体" w:eastAsia="黑体" w:cs="黑体"/>
          <w:b w:val="0"/>
          <w:bCs/>
          <w:color w:val="000000"/>
        </w:rPr>
        <w:t>四、财政拨款收入支出决算总体情况说明</w:t>
      </w:r>
      <w:bookmarkEnd w:id="37"/>
      <w:bookmarkEnd w:id="38"/>
      <w:bookmarkEnd w:id="39"/>
    </w:p>
    <w:p w14:paraId="66D81735">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总计均为</w:t>
      </w:r>
      <w:r>
        <w:rPr>
          <w:rFonts w:ascii="仿宋" w:hAnsi="仿宋" w:eastAsia="仿宋" w:cs="仿宋"/>
          <w:color w:val="000000"/>
          <w:sz w:val="32"/>
          <w:u w:color="auto"/>
        </w:rPr>
        <w:t>1,623.85万元。与2023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总计各</w:t>
      </w:r>
      <w:r>
        <w:rPr>
          <w:rFonts w:ascii="仿宋" w:hAnsi="仿宋" w:eastAsia="仿宋" w:cs="仿宋"/>
          <w:color w:val="000000"/>
          <w:sz w:val="32"/>
          <w:u w:color="auto"/>
        </w:rPr>
        <w:t xml:space="preserve">增加427.62万元，增长35.8%。主要变动原因是2024年支付2023年能力建设项目288万元，支付往年项目增加。。 </w:t>
      </w:r>
    </w:p>
    <w:p w14:paraId="48830107">
      <w:pPr>
        <w:rPr>
          <w:rFonts w:hint="eastAsia" w:ascii="仿宋" w:hAnsi="仿宋" w:eastAsia="仿宋" w:cs="仿宋"/>
          <w:color w:val="000000"/>
          <w:sz w:val="32"/>
          <w:szCs w:val="32"/>
        </w:rPr>
      </w:pPr>
      <w:r>
        <w:rPr>
          <w:rFonts w:hint="eastAsia" w:ascii="仿宋" w:hAnsi="仿宋" w:eastAsia="仿宋" w:cs="仿宋"/>
          <w:color w:val="000000"/>
          <w:sz w:val="32"/>
          <w:szCs w:val="32"/>
        </w:rPr>
        <w:br w:type="page"/>
      </w:r>
    </w:p>
    <w:p w14:paraId="74768A39">
      <w:pPr>
        <w:pStyle w:val="6"/>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19EF256">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094987CA">
      <w:pPr>
        <w:pStyle w:val="4"/>
        <w:ind w:firstLine="640" w:firstLineChars="200"/>
        <w:rPr>
          <w:rFonts w:hint="eastAsia" w:ascii="黑体" w:hAnsi="黑体" w:eastAsia="黑体" w:cs="黑体"/>
          <w:b w:val="0"/>
          <w:bCs/>
          <w:color w:val="000000"/>
        </w:rPr>
      </w:pPr>
      <w:bookmarkStart w:id="40" w:name="_Toc15377209"/>
      <w:bookmarkStart w:id="41" w:name="_Toc111208503"/>
      <w:bookmarkStart w:id="42" w:name="_Toc14368"/>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spacing w:line="600" w:lineRule="exact"/>
        <w:ind w:firstLine="643" w:firstLineChars="200"/>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371C2FB4">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1,623.85万元，占本年支出合计的99.7%。与2023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 xml:space="preserve">增加427.62万元，增长35.8%。主要变动原因是2024年支付2023年能力建设项目288万元，支付往年项目增加。。 </w:t>
      </w:r>
    </w:p>
    <w:p w14:paraId="1392859B">
      <w:pPr>
        <w:pStyle w:val="6"/>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DE6975">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75A4B7C4">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1E3404D8">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1,623.85万元，主要用于以下方面: 社会保障和就业支出115.89万元，占7.1%；卫生健康支出1,441.87万元，占88.8%；住房保障支出66.09万元，占4.1%。</w:t>
      </w:r>
    </w:p>
    <w:p w14:paraId="68BC5887">
      <w:pPr>
        <w:pStyle w:val="6"/>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886075"/>
            <wp:effectExtent l="4445" t="4445" r="5715" b="508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2D2F421">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14:paraId="7B678BDA">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3506E72">
      <w:pPr>
        <w:spacing w:line="600" w:lineRule="exact"/>
        <w:ind w:firstLine="640"/>
        <w:rPr>
          <w:rFonts w:hint="eastAsia" w:ascii="仿宋" w:hAnsi="仿宋" w:eastAsia="仿宋" w:cs="仿宋"/>
          <w:color w:val="000000"/>
          <w:sz w:val="32"/>
          <w:szCs w:val="32"/>
        </w:rPr>
      </w:pPr>
      <w:bookmarkStart w:id="46" w:name="_Toc15378460"/>
      <w:bookmarkStart w:id="47" w:name="_Toc15377444"/>
      <w:bookmarkStart w:id="48" w:name="_Toc15377213"/>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1,623.85万元，完成预算100%。其中：</w:t>
      </w:r>
      <w:bookmarkEnd w:id="46"/>
      <w:bookmarkEnd w:id="47"/>
      <w:bookmarkEnd w:id="48"/>
    </w:p>
    <w:p w14:paraId="7AED4EF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1.社会保障和就业支出（208）行政事业单位养老支出（05）机关事业单位基本养老保险缴费支出（05）:支出决算77.27万元，完成预算100%。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2.社会保障和就业支出（208）行政事业单位养老支出（05）机关事业单位职业年金缴费支出（06）:支出决算38.62万元，完成预算100%。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3.卫生健康支出（210）公共卫生（04）疾病预防控制机构（01）:支出决算638.74万元，完成预算100%。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4.卫生健康支出（210）公共卫生（04）基本公共卫生服务（08）:支出决算133.97万元，完成预算100%。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5.卫生健康支出（210）公共卫生（04）重大公共卫生服务（09）:支出决算209.88万元，完成预算100%。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6.卫生健康支出（210）行政事业单位医疗（11）事业单位医疗（02）:支出决算38.31万元，完成预算100%。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7.卫生健康支出（210）行政事业单位医疗（11）其他行政事业单位医疗支出（99）:支出决算11.11万元，完成预算100%。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8.卫生健康支出（210）疾病预防控制事务（18）其他疾病预防控制事务支出（99）:支出决算36.85万元，完成预算100%。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9.卫生健康支出（210）其他卫生健康支出（99）其他卫生健康支出（99）:支出决算373万元，完成预算100%。</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10.住房保障支出（221）住房改革支出（02）住房公积金（01）:支出决算66.09万元，完成预算100%。</w:t>
      </w:r>
    </w:p>
    <w:p w14:paraId="5F1461C4">
      <w:pPr>
        <w:pStyle w:val="4"/>
        <w:ind w:firstLine="640" w:firstLineChars="200"/>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867.91万元，其中：</w:t>
      </w:r>
    </w:p>
    <w:p w14:paraId="116EF1F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820.59万元，主要包括：基本工资133.56万元、津贴补贴143.47万元、奖金176.12万元、绩效工资109.78万元、机关事业单位基本养老保险缴费77.27万元、职业年金缴费38.62万元、职工基本医疗保险缴费38.31万元、公务员医疗补助缴费11.11万元、其他社会保障缴费10.44万元、住房公积金66.09万元、生活补助14万元、医疗费补助1.8万元、奖励金0.02万元。</w:t>
      </w:r>
    </w:p>
    <w:p w14:paraId="39B6CA0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公用经费</w:t>
      </w:r>
      <w:r>
        <w:rPr>
          <w:rFonts w:ascii="仿宋" w:hAnsi="仿宋" w:eastAsia="仿宋" w:cs="仿宋"/>
          <w:color w:val="000000"/>
          <w:sz w:val="32"/>
          <w:u w:color="auto"/>
        </w:rPr>
        <w:t>47.33万元，主要包括：办公费15.58万元、印刷费0.36万元、手续费0.07万元、电费1.3万元、取暖费2.27万元、差旅费5.35万元、维修（护）费0.24万元、培训费0.64万元、公务接待费0.7万元、劳务费6.09万元、工会经费6.23万元、公务用车运行维护费5.49万元。</w:t>
      </w:r>
    </w:p>
    <w:p w14:paraId="151B178E">
      <w:pPr>
        <w:pStyle w:val="4"/>
        <w:ind w:firstLine="640" w:firstLineChars="200"/>
        <w:rPr>
          <w:rFonts w:hint="eastAsia" w:ascii="黑体" w:hAnsi="黑体" w:eastAsia="黑体" w:cs="黑体"/>
          <w:b w:val="0"/>
          <w:bCs/>
          <w:color w:val="000000"/>
        </w:rPr>
      </w:pPr>
      <w:bookmarkStart w:id="52" w:name="_Toc15377215"/>
      <w:bookmarkStart w:id="53" w:name="_Toc111208505"/>
      <w:bookmarkStart w:id="54" w:name="_Toc6614"/>
      <w:r>
        <w:rPr>
          <w:rFonts w:hint="eastAsia" w:ascii="黑体" w:hAnsi="黑体" w:eastAsia="黑体" w:cs="黑体"/>
          <w:b w:val="0"/>
          <w:bCs/>
          <w:color w:val="000000"/>
        </w:rPr>
        <w:t>七、“三公”经费财政拨款支出决算情况说明</w:t>
      </w:r>
      <w:bookmarkEnd w:id="52"/>
      <w:bookmarkEnd w:id="53"/>
      <w:bookmarkEnd w:id="54"/>
    </w:p>
    <w:p w14:paraId="613FE387">
      <w:pPr>
        <w:spacing w:line="600" w:lineRule="exact"/>
        <w:ind w:firstLine="643"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0C6B4B9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18.33万元，完成预算100%，较上年度增加5.43万元，增长42.1%。</w:t>
      </w:r>
      <w:bookmarkStart w:id="56" w:name="_Toc15377217"/>
    </w:p>
    <w:p w14:paraId="1F750F0C">
      <w:pPr>
        <w:spacing w:line="600" w:lineRule="exact"/>
        <w:ind w:firstLine="640"/>
        <w:rPr>
          <w:rFonts w:hint="eastAsia"/>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14:paraId="5BC57BE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18.33万元，因公出国（境）费支出决算0万元，占0%；公务用车购置及运行维护费支出决算17.63万元，占96.2%；公务接待费支出决算0.7万元，占3.8%。具体情况如下：</w:t>
      </w:r>
    </w:p>
    <w:p w14:paraId="35A33F8D">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793809">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14:paraId="1E9D76AF">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w:t>
      </w:r>
      <w:r>
        <w:rPr>
          <w:rFonts w:ascii="仿宋" w:hAnsi="仿宋" w:eastAsia="仿宋" w:cs="仿宋"/>
          <w:color w:val="000000"/>
          <w:sz w:val="32"/>
          <w:u w:color="auto"/>
        </w:rPr>
        <w:t xml:space="preserve">万元,完成预算100%。全年安排因公出国（境）团组0次，出国（境）0人。因公出国（境）支出决算比2023年增加0万元，增长0%。 </w:t>
      </w:r>
    </w:p>
    <w:p w14:paraId="327BF985">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17.63</w:t>
      </w:r>
      <w:r>
        <w:rPr>
          <w:rFonts w:ascii="仿宋" w:hAnsi="仿宋" w:eastAsia="仿宋" w:cs="仿宋"/>
          <w:color w:val="000000"/>
          <w:sz w:val="32"/>
          <w:u w:color="auto"/>
        </w:rPr>
        <w:t>万元,完成预算100%。公务用车购置及运行维护费支出决算比2023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增加5.05</w:t>
      </w:r>
      <w:r>
        <w:rPr>
          <w:rFonts w:ascii="仿宋" w:hAnsi="仿宋" w:eastAsia="仿宋" w:cs="仿宋"/>
          <w:color w:val="000000"/>
          <w:sz w:val="32"/>
          <w:u w:color="auto"/>
        </w:rPr>
        <w:t xml:space="preserve">万元，增长40.1%。主要原因是2024年支付往年车辆维修费。。 </w:t>
      </w:r>
    </w:p>
    <w:p w14:paraId="7D2B639A">
      <w:pPr>
        <w:spacing w:line="600" w:lineRule="exact"/>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其中：</w:t>
      </w:r>
      <w:r>
        <w:rPr>
          <w:rFonts w:hint="eastAsia" w:ascii="仿宋" w:hAnsi="仿宋" w:eastAsia="仿宋" w:cs="仿宋"/>
          <w:b/>
          <w:bCs/>
          <w:color w:val="000000"/>
          <w:sz w:val="32"/>
          <w:szCs w:val="32"/>
          <w:highlight w:val="none"/>
        </w:rPr>
        <w:t>公务用车购置支出</w:t>
      </w:r>
      <w:r>
        <w:rPr>
          <w:rFonts w:hint="eastAsia" w:ascii="仿宋" w:hAnsi="仿宋" w:eastAsia="仿宋" w:cs="仿宋"/>
          <w:color w:val="000000"/>
          <w:sz w:val="32"/>
          <w:szCs w:val="32"/>
          <w:highlight w:val="none"/>
        </w:rPr>
        <w:t>0</w:t>
      </w:r>
      <w:r>
        <w:rPr>
          <w:rFonts w:ascii="仿宋" w:hAnsi="仿宋" w:eastAsia="仿宋" w:cs="仿宋"/>
          <w:color w:val="000000"/>
          <w:sz w:val="32"/>
          <w:highlight w:val="none"/>
          <w:u w:color="auto"/>
        </w:rPr>
        <w:t>万元。全年按规定更新购置公务用车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万元。截至</w:t>
      </w:r>
      <w:r>
        <w:rPr>
          <w:rFonts w:ascii="仿宋" w:hAnsi="仿宋" w:eastAsia="仿宋" w:cs="仿宋"/>
          <w:color w:val="000000"/>
          <w:sz w:val="32"/>
          <w:highlight w:val="none"/>
          <w:u w:color="auto"/>
        </w:rPr>
        <w:t>2024年12月</w:t>
      </w:r>
      <w:r>
        <w:rPr>
          <w:rFonts w:hint="eastAsia" w:ascii="仿宋" w:hAnsi="仿宋" w:eastAsia="仿宋" w:cs="仿宋"/>
          <w:color w:val="000000"/>
          <w:sz w:val="32"/>
          <w:szCs w:val="32"/>
          <w:highlight w:val="none"/>
          <w:lang w:val="en-US" w:eastAsia="zh-CN"/>
        </w:rPr>
        <w:t>31日</w:t>
      </w:r>
      <w:r>
        <w:rPr>
          <w:rFonts w:hint="eastAsia" w:ascii="仿宋" w:hAnsi="仿宋" w:eastAsia="仿宋" w:cs="仿宋"/>
          <w:color w:val="000000"/>
          <w:sz w:val="32"/>
          <w:szCs w:val="32"/>
          <w:highlight w:val="none"/>
        </w:rPr>
        <w:t>，单位共有公务用车</w:t>
      </w:r>
      <w:r>
        <w:rPr>
          <w:rFonts w:ascii="仿宋" w:hAnsi="仿宋" w:eastAsia="仿宋" w:cs="仿宋"/>
          <w:color w:val="000000"/>
          <w:sz w:val="32"/>
          <w:highlight w:val="none"/>
          <w:u w:color="auto"/>
        </w:rPr>
        <w:t>5辆，其中：轿车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w:t>
      </w:r>
      <w:r>
        <w:rPr>
          <w:rFonts w:hint="eastAsia" w:ascii="仿宋" w:hAnsi="仿宋" w:eastAsia="仿宋" w:cs="仿宋"/>
          <w:color w:val="000000"/>
          <w:sz w:val="32"/>
          <w:szCs w:val="32"/>
          <w:highlight w:val="none"/>
          <w:lang w:val="en-US" w:eastAsia="zh-CN"/>
        </w:rPr>
        <w:t>。</w:t>
      </w:r>
    </w:p>
    <w:p w14:paraId="2ED6A1A6">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17.63</w:t>
      </w:r>
      <w:r>
        <w:rPr>
          <w:rFonts w:ascii="仿宋" w:hAnsi="仿宋" w:eastAsia="仿宋" w:cs="仿宋"/>
          <w:color w:val="000000"/>
          <w:sz w:val="32"/>
          <w:u w:color="auto"/>
        </w:rPr>
        <w:t xml:space="preserve">万元。主要用于2024年支付往年车辆维修费。。 </w:t>
      </w:r>
    </w:p>
    <w:p w14:paraId="2C1431EB">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0.7</w:t>
      </w:r>
      <w:r>
        <w:rPr>
          <w:rFonts w:ascii="仿宋" w:hAnsi="仿宋" w:eastAsia="仿宋" w:cs="仿宋"/>
          <w:color w:val="000000"/>
          <w:sz w:val="32"/>
          <w:u w:color="auto"/>
        </w:rPr>
        <w:t>万元，完成预算100%。公务接待费支出决算比2023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增加0.38</w:t>
      </w:r>
      <w:r>
        <w:rPr>
          <w:rFonts w:ascii="仿宋" w:hAnsi="仿宋" w:eastAsia="仿宋" w:cs="仿宋"/>
          <w:color w:val="000000"/>
          <w:sz w:val="32"/>
          <w:u w:color="auto"/>
        </w:rPr>
        <w:t>万元，增长121.7%。</w:t>
      </w:r>
      <w:bookmarkStart w:id="57" w:name="_Toc15377218"/>
      <w:r>
        <w:rPr>
          <w:rFonts w:hint="eastAsia" w:ascii="仿宋" w:hAnsi="仿宋" w:eastAsia="仿宋" w:cs="仿宋"/>
          <w:color w:val="000000"/>
          <w:sz w:val="32"/>
          <w:szCs w:val="32"/>
        </w:rPr>
        <w:t xml:space="preserve">主要原因是省，州相关部门检查，督导工作增加。。 </w:t>
      </w:r>
      <w:r>
        <w:rPr>
          <w:rFonts w:hint="eastAsia" w:ascii="仿宋" w:hAnsi="仿宋" w:eastAsia="仿宋" w:cs="仿宋"/>
          <w:color w:val="000000"/>
          <w:sz w:val="32"/>
          <w:szCs w:val="32"/>
          <w:lang w:val="en-US" w:eastAsia="zh-CN"/>
        </w:rPr>
        <w:t>其中：</w:t>
      </w:r>
    </w:p>
    <w:p w14:paraId="7F3EE578">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0.7</w:t>
      </w:r>
      <w:r>
        <w:rPr>
          <w:rFonts w:ascii="仿宋" w:hAnsi="仿宋" w:eastAsia="仿宋" w:cs="仿宋"/>
          <w:color w:val="000000"/>
          <w:sz w:val="32"/>
          <w:u w:color="auto"/>
        </w:rPr>
        <w:t>万元，主要用于执行公务、开展业务活动开支的交通费、住宿费、用餐费等。国内公务接待15批次，85人次（不包括陪同人员），共计支出0.7万元，具体内容包括：…（接待具体项目、金额）。</w:t>
      </w:r>
    </w:p>
    <w:p w14:paraId="662C5F0F">
      <w:pPr>
        <w:pStyle w:val="6"/>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w:t>
      </w:r>
      <w:r>
        <w:rPr>
          <w:rFonts w:ascii="仿宋" w:hAnsi="仿宋" w:eastAsia="仿宋" w:cs="仿宋"/>
          <w:color w:val="000000"/>
          <w:sz w:val="32"/>
          <w:u w:color="auto"/>
        </w:rPr>
        <w:t>万元，主要用于接待…（具体项目）。外事接待0批次，0人次（不包括陪同人员），共计支出0万元。</w:t>
      </w:r>
    </w:p>
    <w:p w14:paraId="5DA11626">
      <w:pPr>
        <w:pStyle w:val="4"/>
        <w:ind w:firstLine="640" w:firstLineChars="200"/>
        <w:rPr>
          <w:rFonts w:hint="eastAsia" w:ascii="黑体" w:hAnsi="黑体" w:eastAsia="黑体" w:cs="黑体"/>
          <w:b w:val="0"/>
          <w:bCs/>
          <w:color w:val="000000"/>
        </w:rPr>
      </w:pPr>
      <w:bookmarkStart w:id="58" w:name="_Toc20439"/>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14:paraId="1C230691">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政府性基金预算拨款支出</w:t>
      </w:r>
      <w:r>
        <w:rPr>
          <w:rFonts w:ascii="仿宋" w:hAnsi="仿宋" w:eastAsia="仿宋" w:cs="仿宋"/>
          <w:color w:val="000000"/>
          <w:sz w:val="32"/>
          <w:u w:color="auto"/>
        </w:rPr>
        <w:t>0万元</w:t>
      </w:r>
      <w:bookmarkStart w:id="60" w:name="_Toc15377219"/>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年度相比，政府性基金预算财政拨款支出</w:t>
      </w:r>
      <w:r>
        <w:rPr>
          <w:rFonts w:hint="eastAsia" w:ascii="仿宋" w:hAnsi="仿宋" w:eastAsia="仿宋" w:cs="仿宋"/>
          <w:color w:val="000000"/>
          <w:sz w:val="32"/>
          <w:szCs w:val="32"/>
        </w:rPr>
        <w:t>增加0万元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s="仿宋"/>
          <w:color w:val="000000"/>
          <w:sz w:val="32"/>
          <w:szCs w:val="32"/>
        </w:rPr>
        <w:t>增长0%。</w:t>
      </w:r>
      <w:r>
        <w:rPr>
          <w:rFonts w:ascii="仿宋" w:hAnsi="仿宋" w:eastAsia="仿宋" w:cs="仿宋"/>
          <w:color w:val="000000"/>
          <w:sz w:val="32"/>
          <w:u w:color="auto"/>
        </w:rPr>
        <w:t xml:space="preserve"> </w:t>
      </w:r>
    </w:p>
    <w:p w14:paraId="79E1D034">
      <w:pPr>
        <w:pStyle w:val="4"/>
        <w:ind w:firstLine="640" w:firstLineChars="200"/>
        <w:rPr>
          <w:rFonts w:hint="eastAsia" w:ascii="黑体" w:hAnsi="黑体" w:eastAsia="黑体" w:cs="黑体"/>
          <w:b w:val="0"/>
          <w:bCs/>
          <w:color w:val="000000"/>
        </w:rPr>
      </w:pPr>
      <w:bookmarkStart w:id="61" w:name="_Toc111208507"/>
      <w:bookmarkStart w:id="62" w:name="_Toc23467"/>
      <w:r>
        <w:rPr>
          <w:rFonts w:hint="eastAsia" w:ascii="黑体" w:hAnsi="黑体" w:eastAsia="黑体" w:cs="黑体"/>
          <w:b w:val="0"/>
          <w:bCs/>
          <w:color w:val="000000"/>
        </w:rPr>
        <w:t>九、国有资本经营预算支出决算情况说明</w:t>
      </w:r>
      <w:bookmarkEnd w:id="60"/>
      <w:bookmarkEnd w:id="61"/>
      <w:bookmarkEnd w:id="62"/>
    </w:p>
    <w:p w14:paraId="19F0375D">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0万元</w:t>
      </w:r>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年度相比，国有资本经营预算财政拨款支出</w:t>
      </w:r>
      <w:r>
        <w:rPr>
          <w:rFonts w:hint="eastAsia" w:ascii="仿宋" w:hAnsi="仿宋" w:eastAsia="仿宋" w:cs="仿宋"/>
          <w:color w:val="000000"/>
          <w:sz w:val="32"/>
          <w:szCs w:val="32"/>
        </w:rPr>
        <w:t>增加0万元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hAnsi="仿宋" w:eastAsia="仿宋" w:cs="仿宋"/>
          <w:color w:val="000000"/>
          <w:sz w:val="32"/>
          <w:szCs w:val="32"/>
        </w:rPr>
        <w:t>增长0%。</w:t>
      </w:r>
      <w:r>
        <w:rPr>
          <w:rFonts w:ascii="仿宋" w:hAnsi="仿宋" w:eastAsia="仿宋" w:cs="仿宋"/>
          <w:color w:val="000000"/>
          <w:sz w:val="32"/>
          <w:u w:color="auto"/>
        </w:rPr>
        <w:t xml:space="preserve"> </w:t>
      </w:r>
    </w:p>
    <w:p w14:paraId="3A5EDB82">
      <w:pPr>
        <w:spacing w:line="600" w:lineRule="exact"/>
        <w:ind w:firstLine="640"/>
        <w:rPr>
          <w:rFonts w:hint="eastAsia"/>
        </w:rPr>
      </w:pPr>
    </w:p>
    <w:p w14:paraId="76FD0E14">
      <w:pPr>
        <w:pStyle w:val="4"/>
        <w:ind w:firstLine="640" w:firstLineChars="200"/>
        <w:rPr>
          <w:rFonts w:hint="eastAsia" w:ascii="黑体" w:hAnsi="黑体" w:eastAsia="黑体" w:cs="黑体"/>
          <w:b w:val="0"/>
          <w:bCs/>
          <w:color w:val="000000"/>
        </w:rPr>
      </w:pPr>
      <w:bookmarkStart w:id="63" w:name="_Toc18455"/>
      <w:bookmarkStart w:id="64" w:name="_Toc111208508"/>
      <w:bookmarkStart w:id="65" w:name="_Toc15377221"/>
      <w:r>
        <w:rPr>
          <w:rFonts w:hint="eastAsia" w:ascii="黑体" w:hAnsi="黑体" w:eastAsia="黑体" w:cs="黑体"/>
          <w:b w:val="0"/>
          <w:bCs/>
          <w:color w:val="000000"/>
        </w:rPr>
        <w:t>十、其他重要事项的情况说明</w:t>
      </w:r>
      <w:bookmarkEnd w:id="63"/>
      <w:bookmarkEnd w:id="64"/>
      <w:bookmarkEnd w:id="65"/>
    </w:p>
    <w:p w14:paraId="019CBB22">
      <w:pPr>
        <w:spacing w:line="600" w:lineRule="exact"/>
        <w:ind w:firstLine="643" w:firstLineChars="200"/>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527675A8">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 xml:space="preserve">红原县疾病预防控制中心机关运行经费支出0万元，比2023年增加0万元，增长100%。 </w:t>
      </w:r>
    </w:p>
    <w:p w14:paraId="66094D57">
      <w:pPr>
        <w:spacing w:line="600" w:lineRule="exact"/>
        <w:ind w:firstLine="643"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2CEFD7A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红原县疾病预防控制中心政府采购支出总额0万元，其中：政府采购货物支出0万元、政府采购工程支出0万元、政府采购服务支出0万元。授予中小企业合同金额0万元，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0万元，占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0%。</w:t>
      </w:r>
    </w:p>
    <w:p w14:paraId="12B7C937">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17A0ED7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2024年12月31日，红原县疾病预防控制中心共有车辆5辆，其中：主要领导干部用车0辆、机要通信用车0辆、应急保障用车5辆、其他用车0辆。单价100万元以上专用设备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0</w:t>
      </w:r>
      <w:r>
        <w:rPr>
          <w:rFonts w:ascii="仿宋" w:hAnsi="仿宋" w:eastAsia="仿宋" w:cs="仿宋"/>
          <w:color w:val="000000"/>
          <w:sz w:val="32"/>
          <w:u w:color="auto"/>
        </w:rPr>
        <w:t>台（套）。</w:t>
      </w:r>
    </w:p>
    <w:p w14:paraId="4EF5086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2A14DC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2024年度预算编制阶段，组织对2项目（艾滋病；包虫病）等2个项目开展了预算事前绩效评估，对2个项目编制了绩效目标，预算执行过程中，选取2个项目开展绩效监控，组织对2个项目开展绩效自评，绩效自评表详见第四部分附件。</w:t>
      </w:r>
    </w:p>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3"/>
        <w:jc w:val="center"/>
        <w:rPr>
          <w:rFonts w:hint="eastAsia" w:ascii="黑体" w:hAnsi="黑体" w:eastAsia="黑体" w:cs="黑体"/>
          <w:b w:val="0"/>
          <w:bCs w:val="0"/>
        </w:rPr>
      </w:pPr>
      <w:bookmarkStart w:id="69" w:name="_Toc18122"/>
      <w:bookmarkStart w:id="70" w:name="_Toc15377225"/>
      <w:bookmarkStart w:id="71" w:name="_Toc111208509"/>
      <w:r>
        <w:rPr>
          <w:rFonts w:hint="eastAsia" w:ascii="黑体" w:hAnsi="黑体" w:eastAsia="黑体" w:cs="黑体"/>
          <w:b w:val="0"/>
          <w:bCs w:val="0"/>
        </w:rPr>
        <w:t>第三部分 名词解释</w:t>
      </w:r>
      <w:bookmarkEnd w:id="69"/>
      <w:bookmarkEnd w:id="70"/>
      <w:bookmarkEnd w:id="71"/>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11.卫生健康支出（类）公共卫生（款）疾病预防控制机构（项）:反映卫生健康部门所属疾病预防控制机构的支出。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12.卫生健康支出（类）公共卫生（款）基本公共卫生服务（项）:反映基本公共卫生服务支出。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13.卫生健康支出（类）公共卫生（款）重大公共卫生服务（项）:反映重大疾病、重大传染病预防控制等重大公共卫生服务项目支出。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15.卫生健康支出（类）行政事业单位医疗（款）其他行政事业单位医疗支出（项）:反映除上述项目以外的其他用于行政事业单位医疗方面的支出。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16.卫生健康支出（类）疾病预防控制事务（款）其他疾病预防控制事务支出（项）:无文字说明。</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17.卫生健康支出（类）其他卫生健康支出（款）其他卫生健康支出（项）:反映除上述项i以外其他用于卫生健康方面的支出。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18.住房保障支出（类）住房改革支出（款）住房公积金（项）:反映行政事业单位按人力资源和社会保障部、财政部规定的基本工资和津贴补贴以及规定比例为职工缴纳的住房公积金。</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19</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21</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22</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23</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E326A87">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24</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2D3D8A8E">
      <w:pPr>
        <w:widowControl/>
        <w:jc w:val="left"/>
        <w:rPr>
          <w:rStyle w:val="34"/>
          <w:rFonts w:hint="eastAsia" w:ascii="思源黑体 CN Normal" w:hAnsi="思源黑体 CN Normal" w:eastAsia="思源黑体 CN Normal" w:cs="思源黑体 CN Normal"/>
        </w:rPr>
      </w:pPr>
      <w:r>
        <w:rPr>
          <w:rStyle w:val="34"/>
          <w:rFonts w:hint="eastAsia" w:ascii="思源黑体 CN Normal" w:hAnsi="思源黑体 CN Normal" w:eastAsia="思源黑体 CN Normal" w:cs="思源黑体 CN Normal"/>
        </w:rPr>
        <w:br w:type="page"/>
      </w:r>
    </w:p>
    <w:p w14:paraId="06638D99">
      <w:pPr>
        <w:pStyle w:val="3"/>
        <w:jc w:val="center"/>
        <w:rPr>
          <w:rFonts w:hint="eastAsia" w:ascii="黑体" w:hAnsi="黑体" w:eastAsia="黑体" w:cs="黑体"/>
          <w:b w:val="0"/>
          <w:bCs w:val="0"/>
        </w:rPr>
      </w:pPr>
      <w:bookmarkStart w:id="72" w:name="_Toc111208510"/>
      <w:bookmarkStart w:id="73" w:name="_Toc25539"/>
      <w:r>
        <w:rPr>
          <w:rFonts w:hint="eastAsia" w:ascii="黑体" w:hAnsi="黑体" w:eastAsia="黑体" w:cs="黑体"/>
          <w:b w:val="0"/>
          <w:bCs w:val="0"/>
        </w:rPr>
        <w:t>第四部分 附件</w:t>
      </w:r>
      <w:bookmarkEnd w:id="72"/>
      <w:bookmarkEnd w:id="73"/>
    </w:p>
    <w:p w14:paraId="0EDB39E3">
      <w:pPr>
        <w:widowControl/>
        <w:spacing w:line="560" w:lineRule="exact"/>
        <w:contextualSpacing/>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红原县疾病预防控制中心</w:t>
      </w:r>
    </w:p>
    <w:p w14:paraId="4B18A730">
      <w:pPr>
        <w:widowControl/>
        <w:spacing w:line="560" w:lineRule="exact"/>
        <w:contextualSpacing/>
        <w:jc w:val="center"/>
        <w:rPr>
          <w:rFonts w:hint="eastAsia" w:ascii="黑体" w:hAnsi="宋体" w:eastAsia="黑体" w:cs="宋体"/>
          <w:color w:val="000000"/>
          <w:kern w:val="0"/>
        </w:rPr>
      </w:pPr>
      <w:r>
        <w:rPr>
          <w:rFonts w:hint="eastAsia" w:ascii="方正小标宋_GBK" w:hAnsi="方正小标宋_GBK" w:eastAsia="方正小标宋_GBK" w:cs="方正小标宋_GBK"/>
          <w:b w:val="0"/>
          <w:bCs/>
          <w:sz w:val="44"/>
          <w:szCs w:val="44"/>
          <w:shd w:val="clear" w:color="auto" w:fill="FFFFFF"/>
        </w:rPr>
        <w:t>2</w:t>
      </w:r>
      <w:r>
        <w:rPr>
          <w:rFonts w:hint="eastAsia" w:ascii="方正小标宋_GBK" w:hAnsi="方正小标宋_GBK" w:eastAsia="方正小标宋_GBK" w:cs="方正小标宋_GBK"/>
          <w:b w:val="0"/>
          <w:bCs/>
          <w:sz w:val="44"/>
          <w:szCs w:val="44"/>
          <w:shd w:val="clear" w:color="auto" w:fill="FFFFFF"/>
          <w:lang w:val="en-US" w:eastAsia="zh-CN"/>
        </w:rPr>
        <w:t>024</w:t>
      </w:r>
      <w:r>
        <w:rPr>
          <w:rFonts w:hint="eastAsia" w:ascii="方正小标宋_GBK" w:hAnsi="方正小标宋_GBK" w:eastAsia="方正小标宋_GBK" w:cs="方正小标宋_GBK"/>
          <w:b w:val="0"/>
          <w:bCs/>
          <w:sz w:val="44"/>
          <w:szCs w:val="44"/>
          <w:shd w:val="clear" w:color="auto" w:fill="FFFFFF"/>
        </w:rPr>
        <w:t>年</w:t>
      </w:r>
      <w:r>
        <w:rPr>
          <w:rFonts w:hint="eastAsia" w:ascii="方正小标宋_GBK" w:hAnsi="方正小标宋_GBK" w:eastAsia="方正小标宋_GBK" w:cs="方正小标宋_GBK"/>
          <w:b w:val="0"/>
          <w:bCs/>
          <w:sz w:val="44"/>
          <w:szCs w:val="44"/>
          <w:shd w:val="clear" w:color="auto" w:fill="FFFFFF"/>
          <w:lang w:eastAsia="zh-CN"/>
        </w:rPr>
        <w:t>度</w:t>
      </w:r>
      <w:r>
        <w:rPr>
          <w:rFonts w:hint="eastAsia" w:ascii="方正小标宋_GBK" w:hAnsi="方正小标宋_GBK" w:eastAsia="方正小标宋_GBK" w:cs="方正小标宋_GBK"/>
          <w:b w:val="0"/>
          <w:bCs/>
          <w:sz w:val="44"/>
          <w:szCs w:val="44"/>
          <w:shd w:val="clear" w:color="auto" w:fill="FFFFFF"/>
        </w:rPr>
        <w:t>部门整体支出绩效评价</w:t>
      </w:r>
      <w:r>
        <w:rPr>
          <w:rFonts w:hint="eastAsia" w:ascii="方正小标宋_GBK" w:hAnsi="方正小标宋_GBK" w:eastAsia="方正小标宋_GBK" w:cs="方正小标宋_GBK"/>
          <w:b w:val="0"/>
          <w:bCs/>
          <w:sz w:val="44"/>
          <w:szCs w:val="44"/>
          <w:shd w:val="clear" w:color="auto" w:fill="FFFFFF"/>
          <w:lang w:eastAsia="zh-CN"/>
        </w:rPr>
        <w:t>自评</w:t>
      </w:r>
      <w:r>
        <w:rPr>
          <w:rFonts w:hint="eastAsia" w:ascii="方正小标宋_GBK" w:hAnsi="方正小标宋_GBK" w:eastAsia="方正小标宋_GBK" w:cs="方正小标宋_GBK"/>
          <w:b w:val="0"/>
          <w:bCs/>
          <w:sz w:val="44"/>
          <w:szCs w:val="44"/>
          <w:shd w:val="clear" w:color="auto" w:fill="FFFFFF"/>
        </w:rPr>
        <w:t>报告</w:t>
      </w:r>
    </w:p>
    <w:p w14:paraId="0FC6AB58">
      <w:pPr>
        <w:widowControl/>
        <w:adjustRightInd w:val="0"/>
        <w:snapToGrid w:val="0"/>
        <w:spacing w:line="480" w:lineRule="exact"/>
        <w:ind w:firstLine="720"/>
        <w:jc w:val="left"/>
        <w:outlineLvl w:val="0"/>
        <w:rPr>
          <w:rFonts w:hint="eastAsia" w:ascii="黑体" w:hAnsi="宋体" w:eastAsia="黑体" w:cs="宋体"/>
          <w:color w:val="000000"/>
          <w:kern w:val="0"/>
        </w:rPr>
      </w:pPr>
    </w:p>
    <w:p w14:paraId="79496E49">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0"/>
        <w:rPr>
          <w:rFonts w:ascii="黑体" w:hAnsi="宋体" w:eastAsia="黑体" w:cs="宋体"/>
          <w:color w:val="000000"/>
          <w:kern w:val="0"/>
          <w:lang w:val="zh-CN"/>
        </w:rPr>
      </w:pPr>
      <w:r>
        <w:rPr>
          <w:rFonts w:hint="eastAsia" w:ascii="黑体" w:hAnsi="宋体" w:eastAsia="黑体" w:cs="宋体"/>
          <w:color w:val="000000"/>
          <w:kern w:val="0"/>
        </w:rPr>
        <w:t>一、</w:t>
      </w:r>
      <w:r>
        <w:rPr>
          <w:rFonts w:hint="eastAsia" w:ascii="黑体" w:hAnsi="宋体" w:eastAsia="黑体" w:cs="宋体"/>
          <w:color w:val="000000"/>
          <w:kern w:val="0"/>
          <w:lang w:val="zh-CN"/>
        </w:rPr>
        <w:t>单位概况</w:t>
      </w:r>
    </w:p>
    <w:p w14:paraId="2DAC8C69">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color w:val="000000"/>
          <w:kern w:val="0"/>
          <w:lang w:val="zh-CN"/>
        </w:rPr>
      </w:pPr>
      <w:r>
        <w:rPr>
          <w:rFonts w:hint="eastAsia" w:ascii="楷体_GB2312" w:hAnsi="楷体_GB2312" w:eastAsia="楷体_GB2312" w:cs="楷体_GB2312"/>
          <w:color w:val="000000"/>
          <w:kern w:val="0"/>
          <w:lang w:val="zh-CN"/>
        </w:rPr>
        <w:t>（一）机构组成</w:t>
      </w:r>
    </w:p>
    <w:p w14:paraId="663B504F">
      <w:pPr>
        <w:keepNext w:val="0"/>
        <w:keepLines w:val="0"/>
        <w:pageBreakBefore w:val="0"/>
        <w:kinsoku/>
        <w:wordWrap/>
        <w:overflowPunct/>
        <w:topLinePunct w:val="0"/>
        <w:autoSpaceDE/>
        <w:autoSpaceDN/>
        <w:bidi w:val="0"/>
        <w:spacing w:line="560" w:lineRule="exact"/>
        <w:ind w:firstLine="640" w:firstLineChars="200"/>
        <w:jc w:val="left"/>
        <w:textAlignment w:val="auto"/>
        <w:rPr>
          <w:rFonts w:ascii="仿宋_GB2312" w:hAnsi="宋体" w:cs="宋体"/>
          <w:color w:val="000000"/>
          <w:kern w:val="0"/>
          <w:sz w:val="32"/>
          <w:szCs w:val="32"/>
          <w:lang w:val="zh-CN"/>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eastAsia="zh-CN"/>
        </w:rPr>
        <w:t>单位</w:t>
      </w:r>
      <w:r>
        <w:rPr>
          <w:rFonts w:hint="eastAsia" w:ascii="仿宋_GB2312" w:hAnsi="仿宋_GB2312" w:eastAsia="仿宋_GB2312" w:cs="仿宋_GB2312"/>
          <w:bCs/>
          <w:sz w:val="32"/>
          <w:szCs w:val="32"/>
        </w:rPr>
        <w:t>为红原县卫生健康局下属二级预算单位，属全额拨款公益一类事业单位，下设</w:t>
      </w:r>
      <w:r>
        <w:rPr>
          <w:rFonts w:hint="eastAsia" w:ascii="仿宋_GB2312" w:hAnsi="仿宋_GB2312" w:eastAsia="仿宋_GB2312" w:cs="仿宋_GB2312"/>
          <w:bCs/>
          <w:sz w:val="32"/>
          <w:szCs w:val="32"/>
          <w:lang w:eastAsia="zh-CN"/>
        </w:rPr>
        <w:t>办公室</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结艾监测科</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传管科</w:t>
      </w:r>
      <w:r>
        <w:rPr>
          <w:rFonts w:hint="eastAsia" w:ascii="仿宋_GB2312" w:hAnsi="仿宋_GB2312" w:eastAsia="仿宋_GB2312" w:cs="仿宋_GB2312"/>
          <w:bCs/>
          <w:sz w:val="32"/>
          <w:szCs w:val="32"/>
        </w:rPr>
        <w:t>、财务科、</w:t>
      </w:r>
      <w:r>
        <w:rPr>
          <w:rFonts w:hint="eastAsia" w:ascii="仿宋_GB2312" w:hAnsi="仿宋_GB2312" w:cs="仿宋_GB2312"/>
          <w:bCs/>
          <w:sz w:val="32"/>
          <w:szCs w:val="32"/>
          <w:lang w:val="en-US" w:eastAsia="zh-CN"/>
        </w:rPr>
        <w:t>免规科</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地方病防治</w:t>
      </w:r>
      <w:r>
        <w:rPr>
          <w:rFonts w:hint="eastAsia" w:ascii="仿宋_GB2312" w:hAnsi="仿宋_GB2312" w:eastAsia="仿宋_GB2312" w:cs="仿宋_GB2312"/>
          <w:bCs/>
          <w:sz w:val="32"/>
          <w:szCs w:val="32"/>
        </w:rPr>
        <w:t>科、</w:t>
      </w:r>
      <w:r>
        <w:rPr>
          <w:rFonts w:hint="eastAsia" w:ascii="仿宋_GB2312" w:hAnsi="仿宋_GB2312" w:eastAsia="仿宋_GB2312" w:cs="仿宋_GB2312"/>
          <w:bCs/>
          <w:sz w:val="32"/>
          <w:szCs w:val="32"/>
          <w:lang w:eastAsia="zh-CN"/>
        </w:rPr>
        <w:t>检验科</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公卫</w:t>
      </w:r>
      <w:r>
        <w:rPr>
          <w:rFonts w:hint="eastAsia" w:ascii="仿宋_GB2312" w:hAnsi="仿宋_GB2312" w:eastAsia="仿宋_GB2312" w:cs="仿宋_GB2312"/>
          <w:bCs/>
          <w:sz w:val="32"/>
          <w:szCs w:val="32"/>
        </w:rPr>
        <w:t>科</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共</w:t>
      </w:r>
      <w:r>
        <w:rPr>
          <w:rFonts w:hint="eastAsia" w:ascii="仿宋_GB2312" w:hAnsi="仿宋_GB2312" w:cs="仿宋_GB2312"/>
          <w:bCs/>
          <w:sz w:val="32"/>
          <w:szCs w:val="32"/>
          <w:lang w:val="en-US" w:eastAsia="zh-CN"/>
        </w:rPr>
        <w:t>8</w:t>
      </w:r>
      <w:r>
        <w:rPr>
          <w:rFonts w:hint="eastAsia" w:ascii="仿宋_GB2312" w:hAnsi="仿宋_GB2312" w:eastAsia="仿宋_GB2312" w:cs="仿宋_GB2312"/>
          <w:bCs/>
          <w:sz w:val="32"/>
          <w:szCs w:val="32"/>
        </w:rPr>
        <w:t>个科室。</w:t>
      </w:r>
    </w:p>
    <w:p w14:paraId="293E1D89">
      <w:pPr>
        <w:pStyle w:val="8"/>
        <w:adjustRightInd w:val="0"/>
        <w:snapToGrid w:val="0"/>
        <w:spacing w:line="520" w:lineRule="exact"/>
        <w:ind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（二）机构职能</w:t>
      </w:r>
    </w:p>
    <w:p w14:paraId="307EE96C">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ascii="仿宋_GB2312" w:hAnsi="宋体" w:cs="宋体"/>
          <w:color w:val="000000"/>
          <w:kern w:val="0"/>
          <w:lang w:val="zh-CN"/>
        </w:rPr>
      </w:pPr>
      <w:r>
        <w:rPr>
          <w:rFonts w:hint="eastAsia" w:ascii="仿宋_GB2312" w:hAnsi="仿宋" w:eastAsia="仿宋_GB2312"/>
          <w:sz w:val="32"/>
          <w:szCs w:val="32"/>
        </w:rPr>
        <w:t>全面履行政府赋予的卫生防病职能, 做好传染病等突发公共卫生事件应急、监测、报告与管理；信息与网络管理；加强疾病及健康相关因素监测和分析评估能力的储备及应用；完成国家、省、州下达的重大疾病预防控制指令性任务；实施疾病预防控制规划、方案，组织开展辖区内疾病爆发调查处理和报告；负责全县慢性传染病、慢性非传染性疾病的流行病学调查、监测，营养健康，健康教育与健康促进，实施儿童计划免疫及预防性生物制品管理；推行重大公共卫生服务项目，免费为艾滋病患者提供“四免一关怀”服务；制定我县结核病预防控制规划并组织实施；负责本辖区内大骨节病、包虫病、地氟病、碘缺乏病的综合防治和研究；提供消毒、杀虫、灭蝇等相关技术性服务；对食品卫生、公共场所、工矿企业、学校及生产经营单位的卫生具有监测职能和卫生学评价职能；为社会人群提供预防性疫苗接种等工作。</w:t>
      </w:r>
    </w:p>
    <w:p w14:paraId="4DAF200C">
      <w:pPr>
        <w:pStyle w:val="8"/>
        <w:adjustRightInd w:val="0"/>
        <w:snapToGrid w:val="0"/>
        <w:spacing w:line="520" w:lineRule="exact"/>
        <w:ind w:firstLine="640" w:firstLineChars="200"/>
        <w:jc w:val="left"/>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（三）人员概况</w:t>
      </w:r>
    </w:p>
    <w:p w14:paraId="7FA5A0B8">
      <w:pPr>
        <w:keepNext w:val="0"/>
        <w:keepLines w:val="0"/>
        <w:pageBreakBefore w:val="0"/>
        <w:kinsoku/>
        <w:wordWrap/>
        <w:overflowPunct/>
        <w:topLinePunct w:val="0"/>
        <w:autoSpaceDE/>
        <w:autoSpaceDN/>
        <w:bidi w:val="0"/>
        <w:spacing w:line="560" w:lineRule="exact"/>
        <w:ind w:left="0" w:firstLine="640" w:firstLineChars="200"/>
        <w:textAlignment w:val="auto"/>
        <w:rPr>
          <w:rFonts w:ascii="仿宋_GB2312" w:hAnsi="宋体" w:cs="宋体"/>
          <w:color w:val="000000"/>
          <w:kern w:val="0"/>
          <w:lang w:val="zh-CN"/>
        </w:rPr>
      </w:pPr>
      <w:r>
        <w:rPr>
          <w:rFonts w:hint="eastAsia" w:ascii="仿宋_GB2312" w:hAnsi="仿宋_GB2312" w:eastAsia="仿宋_GB2312" w:cs="仿宋_GB2312"/>
          <w:sz w:val="32"/>
          <w:szCs w:val="32"/>
          <w:lang w:eastAsia="zh-CN"/>
        </w:rPr>
        <w:t>我单位截止</w:t>
      </w:r>
      <w:r>
        <w:rPr>
          <w:rFonts w:hint="eastAsia" w:ascii="仿宋_GB2312" w:hAnsi="仿宋_GB2312" w:eastAsia="仿宋_GB2312" w:cs="仿宋_GB2312"/>
          <w:sz w:val="32"/>
          <w:szCs w:val="32"/>
          <w:lang w:val="en-US"/>
        </w:rPr>
        <w:t>202</w:t>
      </w: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eastAsia="zh-CN"/>
        </w:rPr>
        <w:t>年底我单位共有编制</w:t>
      </w:r>
      <w:r>
        <w:rPr>
          <w:rFonts w:hint="eastAsia" w:ascii="仿宋_GB2312" w:hAnsi="仿宋_GB2312" w:eastAsia="仿宋_GB2312" w:cs="仿宋_GB2312"/>
          <w:sz w:val="32"/>
          <w:szCs w:val="32"/>
          <w:lang w:val="en-US"/>
        </w:rPr>
        <w:t>39</w:t>
      </w:r>
      <w:r>
        <w:rPr>
          <w:rFonts w:hint="eastAsia" w:ascii="仿宋_GB2312" w:hAnsi="仿宋_GB2312" w:eastAsia="仿宋_GB2312" w:cs="仿宋_GB2312"/>
          <w:sz w:val="32"/>
          <w:szCs w:val="32"/>
          <w:lang w:eastAsia="zh-CN"/>
        </w:rPr>
        <w:t>个，其中事业编制</w:t>
      </w:r>
      <w:r>
        <w:rPr>
          <w:rFonts w:hint="eastAsia" w:ascii="仿宋_GB2312" w:hAnsi="仿宋_GB2312" w:eastAsia="仿宋_GB2312" w:cs="仿宋_GB2312"/>
          <w:sz w:val="32"/>
          <w:szCs w:val="32"/>
          <w:lang w:val="en-US"/>
        </w:rPr>
        <w:t>39</w:t>
      </w:r>
      <w:r>
        <w:rPr>
          <w:rFonts w:hint="eastAsia" w:ascii="仿宋_GB2312" w:hAnsi="仿宋_GB2312" w:eastAsia="仿宋_GB2312" w:cs="仿宋_GB2312"/>
          <w:sz w:val="32"/>
          <w:szCs w:val="32"/>
          <w:lang w:eastAsia="zh-CN"/>
        </w:rPr>
        <w:t>个，在职</w:t>
      </w:r>
      <w:r>
        <w:rPr>
          <w:rFonts w:hint="eastAsia" w:ascii="仿宋_GB2312" w:hAnsi="仿宋_GB2312" w:cs="仿宋_GB2312"/>
          <w:sz w:val="32"/>
          <w:szCs w:val="32"/>
          <w:lang w:val="en-US" w:eastAsia="zh-CN"/>
        </w:rPr>
        <w:t>34</w:t>
      </w:r>
      <w:r>
        <w:rPr>
          <w:rFonts w:hint="eastAsia" w:ascii="仿宋_GB2312" w:hAnsi="仿宋_GB2312" w:eastAsia="仿宋_GB2312" w:cs="仿宋_GB2312"/>
          <w:sz w:val="32"/>
          <w:szCs w:val="32"/>
          <w:lang w:eastAsia="zh-CN"/>
        </w:rPr>
        <w:t>人，事业编制</w:t>
      </w:r>
      <w:r>
        <w:rPr>
          <w:rFonts w:hint="eastAsia" w:ascii="仿宋_GB2312" w:hAnsi="仿宋_GB2312" w:cs="仿宋_GB2312"/>
          <w:sz w:val="32"/>
          <w:szCs w:val="32"/>
          <w:lang w:val="en-US" w:eastAsia="zh-CN"/>
        </w:rPr>
        <w:t>34</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lang w:val="en-US"/>
        </w:rPr>
        <w:t>,</w:t>
      </w:r>
      <w:r>
        <w:rPr>
          <w:rFonts w:hint="eastAsia" w:ascii="仿宋_GB2312" w:hAnsi="仿宋_GB2312" w:eastAsia="仿宋_GB2312" w:cs="仿宋_GB2312"/>
          <w:sz w:val="32"/>
          <w:szCs w:val="32"/>
          <w:lang w:eastAsia="zh-CN"/>
        </w:rPr>
        <w:t>其中专业技术人员</w:t>
      </w:r>
      <w:r>
        <w:rPr>
          <w:rFonts w:hint="eastAsia" w:ascii="仿宋_GB2312" w:hAnsi="仿宋_GB2312" w:cs="仿宋_GB2312"/>
          <w:sz w:val="32"/>
          <w:szCs w:val="32"/>
          <w:lang w:val="en-US" w:eastAsia="zh-CN"/>
        </w:rPr>
        <w:t>29</w:t>
      </w:r>
      <w:r>
        <w:rPr>
          <w:rFonts w:hint="eastAsia" w:ascii="仿宋_GB2312" w:hAnsi="仿宋_GB2312" w:eastAsia="仿宋_GB2312" w:cs="仿宋_GB2312"/>
          <w:sz w:val="32"/>
          <w:szCs w:val="32"/>
          <w:lang w:eastAsia="zh-CN"/>
        </w:rPr>
        <w:t>人，管理人员</w:t>
      </w: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eastAsia="zh-CN"/>
        </w:rPr>
        <w:t>人，工勤</w:t>
      </w: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eastAsia="zh-CN"/>
        </w:rPr>
        <w:t>人；退休</w:t>
      </w:r>
      <w:r>
        <w:rPr>
          <w:rFonts w:hint="eastAsia" w:ascii="仿宋_GB2312" w:hAnsi="仿宋_GB2312" w:eastAsia="仿宋_GB2312" w:cs="仿宋_GB2312"/>
          <w:sz w:val="32"/>
          <w:szCs w:val="32"/>
          <w:lang w:val="en-US"/>
        </w:rPr>
        <w:t>1</w:t>
      </w: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lang w:eastAsia="zh-CN"/>
        </w:rPr>
        <w:t>人。</w:t>
      </w:r>
    </w:p>
    <w:p w14:paraId="7EC604A9">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0"/>
        <w:rPr>
          <w:rFonts w:ascii="黑体" w:hAnsi="宋体" w:eastAsia="黑体" w:cs="宋体"/>
          <w:color w:val="000000"/>
          <w:kern w:val="0"/>
        </w:rPr>
      </w:pPr>
      <w:r>
        <w:rPr>
          <w:rFonts w:hint="eastAsia" w:ascii="黑体" w:hAnsi="宋体" w:eastAsia="黑体" w:cs="宋体"/>
          <w:color w:val="000000"/>
          <w:kern w:val="0"/>
        </w:rPr>
        <w:t>二、部门财政资金收支情况</w:t>
      </w:r>
    </w:p>
    <w:p w14:paraId="24259CE4">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(一)部门财政资金收入情况</w:t>
      </w:r>
    </w:p>
    <w:p w14:paraId="1E3BE6DB">
      <w:pPr>
        <w:pStyle w:val="42"/>
        <w:keepNext w:val="0"/>
        <w:keepLines w:val="0"/>
        <w:pageBreakBefore w:val="0"/>
        <w:kinsoku/>
        <w:wordWrap/>
        <w:overflowPunct/>
        <w:topLinePunct w:val="0"/>
        <w:autoSpaceDE/>
        <w:autoSpaceDN/>
        <w:bidi w:val="0"/>
        <w:spacing w:before="0" w:after="0" w:line="560" w:lineRule="exact"/>
        <w:ind w:firstLine="720"/>
        <w:jc w:val="both"/>
        <w:textAlignment w:val="auto"/>
      </w:pPr>
      <w:r>
        <w:rPr>
          <w:rFonts w:ascii="仿宋_GB2312" w:hAnsi="仿宋_GB2312" w:eastAsia="仿宋_GB2312" w:cs="仿宋_GB2312"/>
          <w:sz w:val="32"/>
          <w:szCs w:val="32"/>
        </w:rPr>
        <w:t>本年度全年预算收入数为1,628.68万元，上年度全年预算收入数为1,444.49万元，比去年增加184.19万元，原因：2024年支付2023年能力建设项目288万元，支付往年项目增加。。本年度全年预算支出数为1,628.68万元，上年度全年预算支出数为1,444.49万元，比去年增加184.19万元，原因：2024年支付2023年能力建设项目288万元，支付往年项目增加。。</w:t>
      </w:r>
    </w:p>
    <w:p w14:paraId="59D72E33">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lang w:val="zh-CN"/>
        </w:rPr>
      </w:pPr>
      <w:r>
        <w:rPr>
          <w:rFonts w:hint="eastAsia" w:ascii="楷体_GB2312" w:hAnsi="楷体_GB2312" w:eastAsia="楷体_GB2312" w:cs="楷体_GB2312"/>
          <w:color w:val="000000"/>
          <w:kern w:val="0"/>
          <w:lang w:val="zh-CN"/>
        </w:rPr>
        <w:t>部门财政资金支出情况</w:t>
      </w:r>
    </w:p>
    <w:p w14:paraId="5DFCAC0D">
      <w:pPr>
        <w:pStyle w:val="42"/>
        <w:keepNext w:val="0"/>
        <w:keepLines w:val="0"/>
        <w:pageBreakBefore w:val="0"/>
        <w:kinsoku/>
        <w:wordWrap/>
        <w:overflowPunct/>
        <w:topLinePunct w:val="0"/>
        <w:autoSpaceDE/>
        <w:autoSpaceDN/>
        <w:bidi w:val="0"/>
        <w:spacing w:before="0" w:after="0" w:line="560" w:lineRule="exact"/>
        <w:ind w:firstLine="720"/>
        <w:jc w:val="both"/>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本年预算收入数为1,628.68万元，收入决算数为1,628.68万元，预算完成度100%，预算数未完成的原因是：2024年支付2023年能力建设项目288万元，支付往年项目增加。。本年度预算支出数为1,628.68万元，支出决算数为1,628.68万元，预算完成度100%，支出数未完成的原因是：2024年支付2023年能力建设项目288万元，支付往年项目增加。</w:t>
      </w:r>
    </w:p>
    <w:p w14:paraId="0D42CB36">
      <w:pPr>
        <w:pStyle w:val="42"/>
        <w:spacing w:before="0" w:after="0" w:line="520" w:lineRule="atLeast"/>
        <w:ind w:firstLine="720"/>
        <w:jc w:val="both"/>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shd w:val="clear" w:color="auto" w:fill="FFFFFF"/>
          <w:lang w:eastAsia="zh-CN"/>
        </w:rPr>
        <w:t>三、</w:t>
      </w:r>
      <w:r>
        <w:rPr>
          <w:rFonts w:hint="eastAsia" w:ascii="黑体" w:hAnsi="黑体" w:eastAsia="黑体" w:cs="黑体"/>
          <w:color w:val="000000"/>
          <w:kern w:val="0"/>
          <w:sz w:val="32"/>
          <w:szCs w:val="32"/>
          <w:shd w:val="clear" w:color="auto" w:fill="FFFFFF"/>
        </w:rPr>
        <w:t>部门整体预算绩效管理情况</w:t>
      </w:r>
    </w:p>
    <w:p w14:paraId="7EE35480">
      <w:pPr>
        <w:widowControl/>
        <w:adjustRightInd w:val="0"/>
        <w:snapToGrid w:val="0"/>
        <w:spacing w:line="480" w:lineRule="exact"/>
        <w:ind w:firstLine="720"/>
        <w:jc w:val="left"/>
        <w:outlineLvl w:val="1"/>
        <w:rPr>
          <w:rFonts w:ascii="楷体" w:hAnsi="楷体" w:eastAsia="楷体" w:cs="宋体"/>
          <w:color w:val="000000"/>
          <w:kern w:val="0"/>
          <w:lang w:val="zh-CN"/>
        </w:rPr>
      </w:pPr>
      <w:r>
        <w:rPr>
          <w:rFonts w:hint="eastAsia" w:ascii="楷体" w:hAnsi="楷体" w:eastAsia="楷体" w:cs="宋体"/>
          <w:color w:val="000000"/>
          <w:kern w:val="0"/>
          <w:lang w:val="zh-CN"/>
        </w:rPr>
        <w:t>（一）预算编制情况</w:t>
      </w:r>
    </w:p>
    <w:p w14:paraId="2E2E6C30">
      <w:pPr>
        <w:pStyle w:val="20"/>
        <w:shd w:val="clear" w:fill="FFFFFF"/>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color w:val="000000"/>
          <w:sz w:val="32"/>
          <w:szCs w:val="32"/>
          <w:shd w:val="clear" w:fill="FFFFFF"/>
          <w:lang w:eastAsia="zh-CN"/>
        </w:rPr>
        <w:t>根据《中华人民共和国预算法》及红原县财政局印发的《关于下达</w:t>
      </w:r>
      <w:r>
        <w:rPr>
          <w:rFonts w:hint="eastAsia" w:ascii="仿宋_GB2312" w:hAnsi="仿宋_GB2312" w:eastAsia="仿宋_GB2312" w:cs="仿宋_GB2312"/>
          <w:color w:val="000000"/>
          <w:sz w:val="32"/>
          <w:szCs w:val="32"/>
          <w:shd w:val="clear" w:fill="FFFFFF"/>
          <w:lang w:val="en-US"/>
        </w:rPr>
        <w:t>202</w:t>
      </w:r>
      <w:r>
        <w:rPr>
          <w:rFonts w:hint="eastAsia" w:ascii="仿宋_GB2312" w:hAnsi="仿宋_GB2312" w:cs="仿宋_GB2312"/>
          <w:color w:val="000000"/>
          <w:sz w:val="32"/>
          <w:szCs w:val="32"/>
          <w:shd w:val="clear" w:fill="FFFFFF"/>
          <w:lang w:val="en-US" w:eastAsia="zh-CN"/>
        </w:rPr>
        <w:t>4</w:t>
      </w:r>
      <w:r>
        <w:rPr>
          <w:rFonts w:hint="eastAsia" w:ascii="仿宋_GB2312" w:hAnsi="仿宋_GB2312" w:eastAsia="仿宋_GB2312" w:cs="仿宋_GB2312"/>
          <w:color w:val="000000"/>
          <w:sz w:val="32"/>
          <w:szCs w:val="32"/>
          <w:shd w:val="clear" w:fill="FFFFFF"/>
          <w:lang w:eastAsia="zh-CN"/>
        </w:rPr>
        <w:t>年部门预算的通知》要求，结合本单位实际，按照增收节支、厉行节约、绩效优化的原则，严控“三公”经费管理，从严从紧编制预算。细化支出预算编制，推进预算信息公开，深化预算绩效管理，提高资金使用效益。</w:t>
      </w:r>
    </w:p>
    <w:p w14:paraId="6DAF995A">
      <w:pPr>
        <w:pStyle w:val="20"/>
        <w:shd w:val="clear" w:fill="FFFFFF"/>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z w:val="32"/>
          <w:szCs w:val="32"/>
          <w:shd w:val="clear" w:fill="FFFFFF"/>
          <w:lang w:val="en-US"/>
        </w:rPr>
        <w:t>202</w:t>
      </w:r>
      <w:r>
        <w:rPr>
          <w:rFonts w:hint="eastAsia" w:ascii="仿宋_GB2312" w:hAnsi="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lang w:eastAsia="zh-CN"/>
        </w:rPr>
        <w:t>年预算人员支出对照</w:t>
      </w:r>
      <w:r>
        <w:rPr>
          <w:rFonts w:hint="eastAsia" w:ascii="仿宋_GB2312" w:hAnsi="仿宋_GB2312" w:eastAsia="仿宋_GB2312" w:cs="仿宋_GB2312"/>
          <w:sz w:val="32"/>
          <w:szCs w:val="32"/>
          <w:shd w:val="clear" w:fill="FFFFFF"/>
          <w:lang w:val="en-US"/>
        </w:rPr>
        <w:t>202</w:t>
      </w:r>
      <w:r>
        <w:rPr>
          <w:rFonts w:hint="eastAsia" w:ascii="仿宋_GB2312" w:hAnsi="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lang w:eastAsia="zh-CN"/>
        </w:rPr>
        <w:t>年</w:t>
      </w:r>
      <w:r>
        <w:rPr>
          <w:rFonts w:hint="eastAsia" w:ascii="仿宋_GB2312" w:hAnsi="仿宋_GB2312" w:eastAsia="仿宋_GB2312" w:cs="仿宋_GB2312"/>
          <w:sz w:val="32"/>
          <w:szCs w:val="32"/>
          <w:shd w:val="clear" w:fill="FFFFFF"/>
          <w:lang w:val="en-US"/>
        </w:rPr>
        <w:t>1</w:t>
      </w:r>
      <w:r>
        <w:rPr>
          <w:rFonts w:hint="eastAsia" w:ascii="仿宋_GB2312" w:hAnsi="仿宋_GB2312" w:cs="仿宋_GB2312"/>
          <w:sz w:val="32"/>
          <w:szCs w:val="32"/>
          <w:shd w:val="clear" w:fill="FFFFFF"/>
          <w:lang w:val="en-US" w:eastAsia="zh-CN"/>
        </w:rPr>
        <w:t>0</w:t>
      </w:r>
      <w:r>
        <w:rPr>
          <w:rFonts w:hint="eastAsia" w:ascii="仿宋_GB2312" w:hAnsi="仿宋_GB2312" w:eastAsia="仿宋_GB2312" w:cs="仿宋_GB2312"/>
          <w:sz w:val="32"/>
          <w:szCs w:val="32"/>
          <w:shd w:val="clear" w:fill="FFFFFF"/>
          <w:lang w:eastAsia="zh-CN"/>
        </w:rPr>
        <w:t>月份人员及工资信息编制，日常公用支出按照“经费包干、明细编报”的原则进行编制，重点做好“三公”经费、会议费、培训费等预算编制。</w:t>
      </w:r>
    </w:p>
    <w:p w14:paraId="7A96B923">
      <w:pPr>
        <w:pStyle w:val="42"/>
        <w:spacing w:before="0" w:after="0" w:line="520" w:lineRule="atLeast"/>
        <w:ind w:firstLine="640"/>
        <w:jc w:val="both"/>
      </w:pPr>
      <w:r>
        <w:rPr>
          <w:rFonts w:ascii="仿宋_GB2312" w:hAnsi="仿宋_GB2312" w:eastAsia="仿宋_GB2312" w:cs="仿宋_GB2312"/>
          <w:sz w:val="32"/>
          <w:szCs w:val="32"/>
        </w:rPr>
        <w:t>本年年初预算收入1,628.68万元，全年预算收入1,628.68万元，全年决算收入1,628.68万元：</w:t>
      </w:r>
      <w:r>
        <w:rPr>
          <w:rFonts w:ascii="仿宋_GB2312" w:hAnsi="仿宋_GB2312" w:eastAsia="仿宋_GB2312" w:cs="仿宋_GB2312"/>
          <w:sz w:val="32"/>
          <w:szCs w:val="32"/>
        </w:rPr>
        <w:br w:type="textWrapping"/>
      </w:r>
    </w:p>
    <w:tbl>
      <w:tblPr>
        <w:tblStyle w:val="4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2025"/>
        <w:gridCol w:w="2040"/>
        <w:gridCol w:w="1966"/>
      </w:tblGrid>
      <w:tr w14:paraId="34A2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tcBorders>
              <w:bottom w:val="single" w:color="666666" w:themeColor="text1" w:themeTint="99" w:sz="12" w:space="0"/>
              <w:insideH w:val="single" w:sz="12" w:space="0"/>
            </w:tcBorders>
            <w:vAlign w:val="center"/>
          </w:tcPr>
          <w:p w14:paraId="30FE5955">
            <w:pPr>
              <w:spacing w:after="0" w:line="240" w:lineRule="auto"/>
              <w:jc w:val="center"/>
              <w:rPr>
                <w:b/>
                <w:bCs/>
                <w:sz w:val="28"/>
                <w:szCs w:val="28"/>
              </w:rPr>
            </w:pPr>
            <w:r>
              <w:rPr>
                <w:b/>
                <w:bCs/>
                <w:sz w:val="28"/>
                <w:szCs w:val="28"/>
              </w:rPr>
              <w:t>项目</w:t>
            </w:r>
          </w:p>
        </w:tc>
        <w:tc>
          <w:tcPr>
            <w:tcW w:w="2025" w:type="dxa"/>
            <w:tcBorders>
              <w:bottom w:val="single" w:color="666666" w:themeColor="text1" w:themeTint="99" w:sz="12" w:space="0"/>
              <w:insideH w:val="single" w:sz="12" w:space="0"/>
            </w:tcBorders>
            <w:vAlign w:val="center"/>
          </w:tcPr>
          <w:p w14:paraId="63B5B23E">
            <w:pPr>
              <w:spacing w:after="0" w:line="240" w:lineRule="auto"/>
              <w:jc w:val="center"/>
              <w:rPr>
                <w:b/>
                <w:bCs/>
                <w:sz w:val="28"/>
                <w:szCs w:val="28"/>
              </w:rPr>
            </w:pPr>
            <w:r>
              <w:rPr>
                <w:b/>
                <w:bCs/>
                <w:sz w:val="28"/>
                <w:szCs w:val="28"/>
              </w:rPr>
              <w:t>年初预算收入</w:t>
            </w:r>
          </w:p>
        </w:tc>
        <w:tc>
          <w:tcPr>
            <w:tcW w:w="2040" w:type="dxa"/>
            <w:tcBorders>
              <w:bottom w:val="single" w:color="666666" w:themeColor="text1" w:themeTint="99" w:sz="12" w:space="0"/>
              <w:insideH w:val="single" w:sz="12" w:space="0"/>
            </w:tcBorders>
            <w:vAlign w:val="center"/>
          </w:tcPr>
          <w:p w14:paraId="63303290">
            <w:pPr>
              <w:spacing w:after="0" w:line="240" w:lineRule="auto"/>
              <w:jc w:val="center"/>
              <w:rPr>
                <w:b/>
                <w:bCs/>
                <w:sz w:val="28"/>
                <w:szCs w:val="28"/>
              </w:rPr>
            </w:pPr>
            <w:r>
              <w:rPr>
                <w:b/>
                <w:bCs/>
                <w:sz w:val="28"/>
                <w:szCs w:val="28"/>
              </w:rPr>
              <w:t>全年预算收入</w:t>
            </w:r>
          </w:p>
        </w:tc>
        <w:tc>
          <w:tcPr>
            <w:tcW w:w="1966" w:type="dxa"/>
            <w:tcBorders>
              <w:bottom w:val="single" w:color="666666" w:themeColor="text1" w:themeTint="99" w:sz="12" w:space="0"/>
              <w:insideH w:val="single" w:sz="12" w:space="0"/>
            </w:tcBorders>
            <w:vAlign w:val="center"/>
          </w:tcPr>
          <w:p w14:paraId="00BBA093">
            <w:pPr>
              <w:spacing w:after="0" w:line="240" w:lineRule="auto"/>
              <w:jc w:val="center"/>
              <w:rPr>
                <w:b/>
                <w:bCs/>
                <w:sz w:val="28"/>
                <w:szCs w:val="28"/>
              </w:rPr>
            </w:pPr>
            <w:r>
              <w:rPr>
                <w:b/>
                <w:bCs/>
                <w:sz w:val="28"/>
                <w:szCs w:val="28"/>
              </w:rPr>
              <w:t>全年决算收入</w:t>
            </w:r>
          </w:p>
        </w:tc>
      </w:tr>
      <w:tr w14:paraId="3C0E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045438E3">
            <w:pPr>
              <w:spacing w:after="0" w:line="240" w:lineRule="auto"/>
              <w:jc w:val="center"/>
              <w:rPr>
                <w:b/>
                <w:bCs/>
                <w:sz w:val="28"/>
                <w:szCs w:val="28"/>
              </w:rPr>
            </w:pPr>
            <w:r>
              <w:rPr>
                <w:b/>
                <w:bCs/>
                <w:sz w:val="28"/>
                <w:szCs w:val="28"/>
              </w:rPr>
              <w:t>一般公共预算财政拨款收入</w:t>
            </w:r>
          </w:p>
        </w:tc>
        <w:tc>
          <w:tcPr>
            <w:tcW w:w="2025" w:type="dxa"/>
            <w:vAlign w:val="center"/>
          </w:tcPr>
          <w:p w14:paraId="6916BB7F">
            <w:pPr>
              <w:spacing w:after="0" w:line="240" w:lineRule="auto"/>
              <w:jc w:val="center"/>
              <w:rPr>
                <w:sz w:val="28"/>
                <w:szCs w:val="28"/>
              </w:rPr>
            </w:pPr>
            <w:r>
              <w:rPr>
                <w:sz w:val="28"/>
                <w:szCs w:val="28"/>
              </w:rPr>
              <w:t>1,623.85</w:t>
            </w:r>
          </w:p>
        </w:tc>
        <w:tc>
          <w:tcPr>
            <w:tcW w:w="2040" w:type="dxa"/>
            <w:vAlign w:val="center"/>
          </w:tcPr>
          <w:p w14:paraId="2A9FFE7C">
            <w:pPr>
              <w:spacing w:after="0" w:line="240" w:lineRule="auto"/>
              <w:jc w:val="center"/>
              <w:rPr>
                <w:sz w:val="28"/>
                <w:szCs w:val="28"/>
              </w:rPr>
            </w:pPr>
            <w:r>
              <w:rPr>
                <w:sz w:val="28"/>
                <w:szCs w:val="28"/>
              </w:rPr>
              <w:t>1,623.85</w:t>
            </w:r>
          </w:p>
        </w:tc>
        <w:tc>
          <w:tcPr>
            <w:tcW w:w="1966" w:type="dxa"/>
            <w:vAlign w:val="center"/>
          </w:tcPr>
          <w:p w14:paraId="2F352BBC">
            <w:pPr>
              <w:spacing w:after="0" w:line="240" w:lineRule="auto"/>
              <w:jc w:val="center"/>
              <w:rPr>
                <w:sz w:val="28"/>
                <w:szCs w:val="28"/>
              </w:rPr>
            </w:pPr>
            <w:r>
              <w:rPr>
                <w:sz w:val="28"/>
                <w:szCs w:val="28"/>
              </w:rPr>
              <w:t>1,623.85</w:t>
            </w:r>
          </w:p>
        </w:tc>
      </w:tr>
      <w:tr w14:paraId="28947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67D86CCB">
            <w:pPr>
              <w:spacing w:after="0" w:line="240" w:lineRule="auto"/>
              <w:jc w:val="center"/>
              <w:rPr>
                <w:b/>
                <w:bCs/>
                <w:sz w:val="28"/>
                <w:szCs w:val="28"/>
              </w:rPr>
            </w:pPr>
            <w:r>
              <w:rPr>
                <w:b/>
                <w:bCs/>
                <w:sz w:val="28"/>
                <w:szCs w:val="28"/>
              </w:rPr>
              <w:t>政府性基金预算财政拨款收入</w:t>
            </w:r>
          </w:p>
        </w:tc>
        <w:tc>
          <w:tcPr>
            <w:tcW w:w="2025" w:type="dxa"/>
            <w:vAlign w:val="center"/>
          </w:tcPr>
          <w:p w14:paraId="3165A966">
            <w:pPr>
              <w:spacing w:after="0" w:line="240" w:lineRule="auto"/>
              <w:jc w:val="center"/>
              <w:rPr>
                <w:sz w:val="28"/>
                <w:szCs w:val="28"/>
              </w:rPr>
            </w:pPr>
            <w:r>
              <w:rPr>
                <w:sz w:val="28"/>
                <w:szCs w:val="28"/>
              </w:rPr>
              <w:t>0.00</w:t>
            </w:r>
          </w:p>
        </w:tc>
        <w:tc>
          <w:tcPr>
            <w:tcW w:w="2040" w:type="dxa"/>
            <w:vAlign w:val="center"/>
          </w:tcPr>
          <w:p w14:paraId="7AF7C0D0">
            <w:pPr>
              <w:spacing w:after="0" w:line="240" w:lineRule="auto"/>
              <w:jc w:val="center"/>
              <w:rPr>
                <w:sz w:val="28"/>
                <w:szCs w:val="28"/>
              </w:rPr>
            </w:pPr>
            <w:r>
              <w:rPr>
                <w:sz w:val="28"/>
                <w:szCs w:val="28"/>
              </w:rPr>
              <w:t>0.00</w:t>
            </w:r>
          </w:p>
        </w:tc>
        <w:tc>
          <w:tcPr>
            <w:tcW w:w="1966" w:type="dxa"/>
            <w:vAlign w:val="center"/>
          </w:tcPr>
          <w:p w14:paraId="550E5A2B">
            <w:pPr>
              <w:spacing w:after="0" w:line="240" w:lineRule="auto"/>
              <w:jc w:val="center"/>
              <w:rPr>
                <w:sz w:val="28"/>
                <w:szCs w:val="28"/>
              </w:rPr>
            </w:pPr>
            <w:r>
              <w:rPr>
                <w:sz w:val="28"/>
                <w:szCs w:val="28"/>
              </w:rPr>
              <w:t>0.00</w:t>
            </w:r>
          </w:p>
        </w:tc>
      </w:tr>
      <w:tr w14:paraId="1817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1CABB92D">
            <w:pPr>
              <w:spacing w:after="0" w:line="240" w:lineRule="auto"/>
              <w:jc w:val="center"/>
              <w:rPr>
                <w:b/>
                <w:bCs/>
                <w:sz w:val="28"/>
                <w:szCs w:val="28"/>
              </w:rPr>
            </w:pPr>
            <w:r>
              <w:rPr>
                <w:b/>
                <w:bCs/>
                <w:sz w:val="28"/>
                <w:szCs w:val="28"/>
              </w:rPr>
              <w:t>国有资本经营预算财政拨款收入</w:t>
            </w:r>
          </w:p>
        </w:tc>
        <w:tc>
          <w:tcPr>
            <w:tcW w:w="2025" w:type="dxa"/>
            <w:vAlign w:val="center"/>
          </w:tcPr>
          <w:p w14:paraId="790E724B">
            <w:pPr>
              <w:spacing w:after="0" w:line="240" w:lineRule="auto"/>
              <w:jc w:val="center"/>
              <w:rPr>
                <w:sz w:val="28"/>
                <w:szCs w:val="28"/>
              </w:rPr>
            </w:pPr>
            <w:r>
              <w:rPr>
                <w:sz w:val="28"/>
                <w:szCs w:val="28"/>
              </w:rPr>
              <w:t>0.00</w:t>
            </w:r>
          </w:p>
        </w:tc>
        <w:tc>
          <w:tcPr>
            <w:tcW w:w="2040" w:type="dxa"/>
            <w:vAlign w:val="center"/>
          </w:tcPr>
          <w:p w14:paraId="038A98B5">
            <w:pPr>
              <w:spacing w:after="0" w:line="240" w:lineRule="auto"/>
              <w:jc w:val="center"/>
              <w:rPr>
                <w:sz w:val="28"/>
                <w:szCs w:val="28"/>
              </w:rPr>
            </w:pPr>
            <w:r>
              <w:rPr>
                <w:sz w:val="28"/>
                <w:szCs w:val="28"/>
              </w:rPr>
              <w:t>0.00</w:t>
            </w:r>
          </w:p>
        </w:tc>
        <w:tc>
          <w:tcPr>
            <w:tcW w:w="1966" w:type="dxa"/>
            <w:vAlign w:val="center"/>
          </w:tcPr>
          <w:p w14:paraId="2842B36D">
            <w:pPr>
              <w:spacing w:after="0" w:line="240" w:lineRule="auto"/>
              <w:jc w:val="center"/>
              <w:rPr>
                <w:sz w:val="28"/>
                <w:szCs w:val="28"/>
              </w:rPr>
            </w:pPr>
            <w:r>
              <w:rPr>
                <w:sz w:val="28"/>
                <w:szCs w:val="28"/>
              </w:rPr>
              <w:t>0.00</w:t>
            </w:r>
          </w:p>
        </w:tc>
      </w:tr>
      <w:tr w14:paraId="25B8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4B38093E">
            <w:pPr>
              <w:spacing w:after="0" w:line="240" w:lineRule="auto"/>
              <w:jc w:val="center"/>
              <w:rPr>
                <w:b/>
                <w:bCs/>
                <w:sz w:val="28"/>
                <w:szCs w:val="28"/>
              </w:rPr>
            </w:pPr>
            <w:r>
              <w:rPr>
                <w:b/>
                <w:bCs/>
                <w:sz w:val="28"/>
                <w:szCs w:val="28"/>
              </w:rPr>
              <w:t>上级补助收入</w:t>
            </w:r>
          </w:p>
        </w:tc>
        <w:tc>
          <w:tcPr>
            <w:tcW w:w="2025" w:type="dxa"/>
            <w:vAlign w:val="center"/>
          </w:tcPr>
          <w:p w14:paraId="10087E64">
            <w:pPr>
              <w:spacing w:after="0" w:line="240" w:lineRule="auto"/>
              <w:jc w:val="center"/>
              <w:rPr>
                <w:sz w:val="28"/>
                <w:szCs w:val="28"/>
              </w:rPr>
            </w:pPr>
            <w:r>
              <w:rPr>
                <w:sz w:val="28"/>
                <w:szCs w:val="28"/>
              </w:rPr>
              <w:t>0.00</w:t>
            </w:r>
          </w:p>
        </w:tc>
        <w:tc>
          <w:tcPr>
            <w:tcW w:w="2040" w:type="dxa"/>
            <w:vAlign w:val="center"/>
          </w:tcPr>
          <w:p w14:paraId="49B79BDC">
            <w:pPr>
              <w:spacing w:after="0" w:line="240" w:lineRule="auto"/>
              <w:jc w:val="center"/>
              <w:rPr>
                <w:sz w:val="28"/>
                <w:szCs w:val="28"/>
              </w:rPr>
            </w:pPr>
            <w:r>
              <w:rPr>
                <w:sz w:val="28"/>
                <w:szCs w:val="28"/>
              </w:rPr>
              <w:t>0.00</w:t>
            </w:r>
          </w:p>
        </w:tc>
        <w:tc>
          <w:tcPr>
            <w:tcW w:w="1966" w:type="dxa"/>
            <w:vAlign w:val="center"/>
          </w:tcPr>
          <w:p w14:paraId="38ED8651">
            <w:pPr>
              <w:spacing w:after="0" w:line="240" w:lineRule="auto"/>
              <w:jc w:val="center"/>
              <w:rPr>
                <w:sz w:val="28"/>
                <w:szCs w:val="28"/>
              </w:rPr>
            </w:pPr>
            <w:r>
              <w:rPr>
                <w:sz w:val="28"/>
                <w:szCs w:val="28"/>
              </w:rPr>
              <w:t>0.00</w:t>
            </w:r>
          </w:p>
        </w:tc>
      </w:tr>
      <w:tr w14:paraId="33F9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57D873C2">
            <w:pPr>
              <w:spacing w:after="0" w:line="240" w:lineRule="auto"/>
              <w:jc w:val="center"/>
              <w:rPr>
                <w:b/>
                <w:bCs/>
                <w:sz w:val="28"/>
                <w:szCs w:val="28"/>
              </w:rPr>
            </w:pPr>
            <w:r>
              <w:rPr>
                <w:b/>
                <w:bCs/>
                <w:sz w:val="28"/>
                <w:szCs w:val="28"/>
              </w:rPr>
              <w:t>事业收入</w:t>
            </w:r>
          </w:p>
        </w:tc>
        <w:tc>
          <w:tcPr>
            <w:tcW w:w="2025" w:type="dxa"/>
            <w:vAlign w:val="center"/>
          </w:tcPr>
          <w:p w14:paraId="68E94823">
            <w:pPr>
              <w:spacing w:after="0" w:line="240" w:lineRule="auto"/>
              <w:jc w:val="center"/>
              <w:rPr>
                <w:sz w:val="28"/>
                <w:szCs w:val="28"/>
              </w:rPr>
            </w:pPr>
            <w:r>
              <w:rPr>
                <w:sz w:val="28"/>
                <w:szCs w:val="28"/>
              </w:rPr>
              <w:t>0.00</w:t>
            </w:r>
          </w:p>
        </w:tc>
        <w:tc>
          <w:tcPr>
            <w:tcW w:w="2040" w:type="dxa"/>
            <w:vAlign w:val="center"/>
          </w:tcPr>
          <w:p w14:paraId="30772B4E">
            <w:pPr>
              <w:spacing w:after="0" w:line="240" w:lineRule="auto"/>
              <w:jc w:val="center"/>
              <w:rPr>
                <w:sz w:val="28"/>
                <w:szCs w:val="28"/>
              </w:rPr>
            </w:pPr>
            <w:r>
              <w:rPr>
                <w:sz w:val="28"/>
                <w:szCs w:val="28"/>
              </w:rPr>
              <w:t>0.00</w:t>
            </w:r>
          </w:p>
        </w:tc>
        <w:tc>
          <w:tcPr>
            <w:tcW w:w="1966" w:type="dxa"/>
            <w:vAlign w:val="center"/>
          </w:tcPr>
          <w:p w14:paraId="3B7C7BE1">
            <w:pPr>
              <w:spacing w:after="0" w:line="240" w:lineRule="auto"/>
              <w:jc w:val="center"/>
              <w:rPr>
                <w:sz w:val="28"/>
                <w:szCs w:val="28"/>
              </w:rPr>
            </w:pPr>
            <w:r>
              <w:rPr>
                <w:sz w:val="28"/>
                <w:szCs w:val="28"/>
              </w:rPr>
              <w:t>0.00</w:t>
            </w:r>
          </w:p>
        </w:tc>
      </w:tr>
      <w:tr w14:paraId="4720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3DBED0AC">
            <w:pPr>
              <w:spacing w:after="0" w:line="240" w:lineRule="auto"/>
              <w:jc w:val="center"/>
              <w:rPr>
                <w:b/>
                <w:bCs/>
                <w:sz w:val="28"/>
                <w:szCs w:val="28"/>
              </w:rPr>
            </w:pPr>
            <w:r>
              <w:rPr>
                <w:b/>
                <w:bCs/>
                <w:sz w:val="28"/>
                <w:szCs w:val="28"/>
              </w:rPr>
              <w:t>经营收入</w:t>
            </w:r>
          </w:p>
        </w:tc>
        <w:tc>
          <w:tcPr>
            <w:tcW w:w="2025" w:type="dxa"/>
            <w:vAlign w:val="center"/>
          </w:tcPr>
          <w:p w14:paraId="2E16BE06">
            <w:pPr>
              <w:spacing w:after="0" w:line="240" w:lineRule="auto"/>
              <w:jc w:val="center"/>
              <w:rPr>
                <w:sz w:val="28"/>
                <w:szCs w:val="28"/>
              </w:rPr>
            </w:pPr>
            <w:r>
              <w:rPr>
                <w:sz w:val="28"/>
                <w:szCs w:val="28"/>
              </w:rPr>
              <w:t>0.00</w:t>
            </w:r>
          </w:p>
        </w:tc>
        <w:tc>
          <w:tcPr>
            <w:tcW w:w="2040" w:type="dxa"/>
            <w:vAlign w:val="center"/>
          </w:tcPr>
          <w:p w14:paraId="7011D97F">
            <w:pPr>
              <w:spacing w:after="0" w:line="240" w:lineRule="auto"/>
              <w:jc w:val="center"/>
              <w:rPr>
                <w:sz w:val="28"/>
                <w:szCs w:val="28"/>
              </w:rPr>
            </w:pPr>
            <w:r>
              <w:rPr>
                <w:sz w:val="28"/>
                <w:szCs w:val="28"/>
              </w:rPr>
              <w:t>0.00</w:t>
            </w:r>
          </w:p>
        </w:tc>
        <w:tc>
          <w:tcPr>
            <w:tcW w:w="1966" w:type="dxa"/>
            <w:vAlign w:val="center"/>
          </w:tcPr>
          <w:p w14:paraId="3EB10C60">
            <w:pPr>
              <w:spacing w:after="0" w:line="240" w:lineRule="auto"/>
              <w:jc w:val="center"/>
              <w:rPr>
                <w:sz w:val="28"/>
                <w:szCs w:val="28"/>
              </w:rPr>
            </w:pPr>
            <w:r>
              <w:rPr>
                <w:sz w:val="28"/>
                <w:szCs w:val="28"/>
              </w:rPr>
              <w:t>0.00</w:t>
            </w:r>
          </w:p>
        </w:tc>
      </w:tr>
      <w:tr w14:paraId="54DF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5D815BCE">
            <w:pPr>
              <w:spacing w:after="0" w:line="240" w:lineRule="auto"/>
              <w:jc w:val="center"/>
              <w:rPr>
                <w:b/>
                <w:bCs/>
                <w:sz w:val="28"/>
                <w:szCs w:val="28"/>
              </w:rPr>
            </w:pPr>
            <w:r>
              <w:rPr>
                <w:b/>
                <w:bCs/>
                <w:sz w:val="28"/>
                <w:szCs w:val="28"/>
              </w:rPr>
              <w:t>附属单位上缴收入</w:t>
            </w:r>
          </w:p>
        </w:tc>
        <w:tc>
          <w:tcPr>
            <w:tcW w:w="2025" w:type="dxa"/>
            <w:vAlign w:val="center"/>
          </w:tcPr>
          <w:p w14:paraId="306A883D">
            <w:pPr>
              <w:spacing w:after="0" w:line="240" w:lineRule="auto"/>
              <w:jc w:val="center"/>
              <w:rPr>
                <w:sz w:val="28"/>
                <w:szCs w:val="28"/>
              </w:rPr>
            </w:pPr>
            <w:r>
              <w:rPr>
                <w:sz w:val="28"/>
                <w:szCs w:val="28"/>
              </w:rPr>
              <w:t>0.00</w:t>
            </w:r>
          </w:p>
        </w:tc>
        <w:tc>
          <w:tcPr>
            <w:tcW w:w="2040" w:type="dxa"/>
            <w:vAlign w:val="center"/>
          </w:tcPr>
          <w:p w14:paraId="14779566">
            <w:pPr>
              <w:spacing w:after="0" w:line="240" w:lineRule="auto"/>
              <w:jc w:val="center"/>
              <w:rPr>
                <w:sz w:val="28"/>
                <w:szCs w:val="28"/>
              </w:rPr>
            </w:pPr>
            <w:r>
              <w:rPr>
                <w:sz w:val="28"/>
                <w:szCs w:val="28"/>
              </w:rPr>
              <w:t>0.00</w:t>
            </w:r>
          </w:p>
        </w:tc>
        <w:tc>
          <w:tcPr>
            <w:tcW w:w="1966" w:type="dxa"/>
            <w:vAlign w:val="center"/>
          </w:tcPr>
          <w:p w14:paraId="5FDC060E">
            <w:pPr>
              <w:spacing w:after="0" w:line="240" w:lineRule="auto"/>
              <w:jc w:val="center"/>
              <w:rPr>
                <w:sz w:val="28"/>
                <w:szCs w:val="28"/>
              </w:rPr>
            </w:pPr>
            <w:r>
              <w:rPr>
                <w:sz w:val="28"/>
                <w:szCs w:val="28"/>
              </w:rPr>
              <w:t>0.00</w:t>
            </w:r>
          </w:p>
        </w:tc>
      </w:tr>
      <w:tr w14:paraId="0228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91" w:type="dxa"/>
            <w:vAlign w:val="center"/>
          </w:tcPr>
          <w:p w14:paraId="4F6F6FD8">
            <w:pPr>
              <w:spacing w:after="0" w:line="240" w:lineRule="auto"/>
              <w:jc w:val="center"/>
              <w:rPr>
                <w:b/>
                <w:bCs/>
                <w:sz w:val="28"/>
                <w:szCs w:val="28"/>
              </w:rPr>
            </w:pPr>
            <w:r>
              <w:rPr>
                <w:b/>
                <w:bCs/>
                <w:sz w:val="28"/>
                <w:szCs w:val="28"/>
              </w:rPr>
              <w:t>其他收入</w:t>
            </w:r>
          </w:p>
        </w:tc>
        <w:tc>
          <w:tcPr>
            <w:tcW w:w="2025" w:type="dxa"/>
            <w:vAlign w:val="center"/>
          </w:tcPr>
          <w:p w14:paraId="6423263B">
            <w:pPr>
              <w:spacing w:after="0" w:line="240" w:lineRule="auto"/>
              <w:jc w:val="center"/>
              <w:rPr>
                <w:sz w:val="28"/>
                <w:szCs w:val="28"/>
              </w:rPr>
            </w:pPr>
            <w:r>
              <w:rPr>
                <w:sz w:val="28"/>
                <w:szCs w:val="28"/>
              </w:rPr>
              <w:t>4.82</w:t>
            </w:r>
          </w:p>
        </w:tc>
        <w:tc>
          <w:tcPr>
            <w:tcW w:w="2040" w:type="dxa"/>
            <w:vAlign w:val="center"/>
          </w:tcPr>
          <w:p w14:paraId="7877B4CC">
            <w:pPr>
              <w:spacing w:after="0" w:line="240" w:lineRule="auto"/>
              <w:jc w:val="center"/>
              <w:rPr>
                <w:sz w:val="28"/>
                <w:szCs w:val="28"/>
              </w:rPr>
            </w:pPr>
            <w:r>
              <w:rPr>
                <w:sz w:val="28"/>
                <w:szCs w:val="28"/>
              </w:rPr>
              <w:t>4.82</w:t>
            </w:r>
          </w:p>
        </w:tc>
        <w:tc>
          <w:tcPr>
            <w:tcW w:w="1966" w:type="dxa"/>
            <w:vAlign w:val="center"/>
          </w:tcPr>
          <w:p w14:paraId="591556D3">
            <w:pPr>
              <w:spacing w:after="0" w:line="240" w:lineRule="auto"/>
              <w:jc w:val="center"/>
              <w:rPr>
                <w:sz w:val="28"/>
                <w:szCs w:val="28"/>
              </w:rPr>
            </w:pPr>
            <w:r>
              <w:rPr>
                <w:sz w:val="28"/>
                <w:szCs w:val="28"/>
              </w:rPr>
              <w:t>4.82</w:t>
            </w:r>
          </w:p>
        </w:tc>
      </w:tr>
    </w:tbl>
    <w:p w14:paraId="5AF4EA49"/>
    <w:p w14:paraId="6B79196F">
      <w:pPr>
        <w:pStyle w:val="42"/>
        <w:spacing w:before="0" w:after="0" w:line="520" w:lineRule="atLeast"/>
        <w:ind w:firstLine="720"/>
      </w:pPr>
      <w:r>
        <w:rPr>
          <w:rFonts w:ascii="仿宋_GB2312" w:hAnsi="仿宋_GB2312" w:eastAsia="仿宋_GB2312" w:cs="仿宋_GB2312"/>
          <w:sz w:val="32"/>
          <w:szCs w:val="32"/>
        </w:rPr>
        <w:t>本年年初预算支出1,628.68万元，全年预算支出1,628.68万元，全年决算支出1,628.68万元：</w:t>
      </w:r>
    </w:p>
    <w:p w14:paraId="56052E53">
      <w:pPr>
        <w:widowControl/>
        <w:adjustRightInd w:val="0"/>
        <w:snapToGrid w:val="0"/>
        <w:spacing w:line="480" w:lineRule="exact"/>
        <w:ind w:firstLine="720"/>
        <w:jc w:val="left"/>
        <w:outlineLvl w:val="1"/>
        <w:rPr>
          <w:rFonts w:ascii="楷体" w:hAnsi="楷体" w:eastAsia="楷体" w:cs="宋体"/>
          <w:color w:val="000000"/>
          <w:kern w:val="0"/>
          <w:lang w:val="zh-CN"/>
        </w:rPr>
      </w:pPr>
      <w:r>
        <w:rPr>
          <w:rFonts w:hint="eastAsia" w:ascii="楷体" w:hAnsi="楷体" w:eastAsia="楷体" w:cs="宋体"/>
          <w:color w:val="000000"/>
          <w:kern w:val="0"/>
          <w:lang w:val="zh-CN"/>
        </w:rPr>
        <w:t>（二）执行管理情况</w:t>
      </w:r>
      <w:r>
        <w:rPr>
          <w:rFonts w:ascii="楷体" w:hAnsi="楷体" w:eastAsia="楷体" w:cs="宋体"/>
          <w:color w:val="000000"/>
          <w:kern w:val="0"/>
          <w:lang w:val="zh-CN"/>
        </w:rPr>
        <w:tab/>
      </w:r>
    </w:p>
    <w:p w14:paraId="0FD43923">
      <w:pPr>
        <w:spacing w:line="560" w:lineRule="exact"/>
        <w:ind w:left="0" w:firstLine="602" w:firstLineChars="200"/>
        <w:rPr>
          <w:rFonts w:hint="eastAsia" w:ascii="仿宋_GB2312" w:hAnsi="仿宋_GB2312" w:eastAsia="仿宋_GB2312" w:cs="仿宋_GB2312"/>
          <w:b/>
          <w:bCs/>
          <w:color w:val="000000"/>
          <w:sz w:val="30"/>
          <w:szCs w:val="30"/>
          <w:lang w:val="en-US"/>
        </w:rPr>
      </w:pPr>
      <w:r>
        <w:rPr>
          <w:rFonts w:hint="eastAsia" w:ascii="仿宋_GB2312" w:hAnsi="仿宋_GB2312" w:eastAsia="仿宋_GB2312" w:cs="仿宋_GB2312"/>
          <w:b/>
          <w:bCs/>
          <w:color w:val="000000"/>
          <w:sz w:val="30"/>
          <w:szCs w:val="30"/>
          <w:lang w:val="en-US"/>
        </w:rPr>
        <w:t>1.</w:t>
      </w:r>
      <w:r>
        <w:rPr>
          <w:rFonts w:hint="eastAsia" w:ascii="仿宋_GB2312" w:hAnsi="仿宋_GB2312" w:eastAsia="仿宋_GB2312" w:cs="仿宋_GB2312"/>
          <w:b/>
          <w:bCs/>
          <w:color w:val="000000"/>
          <w:sz w:val="30"/>
          <w:szCs w:val="30"/>
          <w:lang w:eastAsia="zh-CN"/>
        </w:rPr>
        <w:t>本年度基本支出预算执行情况</w:t>
      </w:r>
    </w:p>
    <w:p w14:paraId="74851BF6">
      <w:pPr>
        <w:pStyle w:val="42"/>
        <w:spacing w:before="0" w:after="0" w:line="520" w:lineRule="atLeast"/>
        <w:ind w:firstLine="720"/>
      </w:pPr>
      <w:r>
        <w:rPr>
          <w:rFonts w:ascii="仿宋_GB2312" w:hAnsi="仿宋_GB2312" w:eastAsia="仿宋_GB2312" w:cs="仿宋_GB2312"/>
          <w:sz w:val="32"/>
          <w:szCs w:val="32"/>
        </w:rPr>
        <w:t>功能科目支出详情：</w:t>
      </w:r>
      <w:r>
        <w:rPr>
          <w:rFonts w:ascii="仿宋_GB2312" w:hAnsi="仿宋_GB2312" w:eastAsia="仿宋_GB2312" w:cs="仿宋_GB2312"/>
          <w:sz w:val="32"/>
          <w:szCs w:val="32"/>
        </w:rPr>
        <w:br w:type="textWrapping"/>
      </w:r>
    </w:p>
    <w:tbl>
      <w:tblPr>
        <w:tblStyle w:val="43"/>
        <w:tblW w:w="8910"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1965"/>
        <w:gridCol w:w="2010"/>
        <w:gridCol w:w="1965"/>
      </w:tblGrid>
      <w:tr w14:paraId="0650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tcBorders>
              <w:bottom w:val="single" w:color="666666" w:themeColor="text1" w:themeTint="99" w:sz="12" w:space="0"/>
              <w:insideH w:val="single" w:sz="12" w:space="0"/>
            </w:tcBorders>
            <w:vAlign w:val="center"/>
          </w:tcPr>
          <w:p w14:paraId="003CD1A1">
            <w:pPr>
              <w:spacing w:after="0" w:line="240" w:lineRule="auto"/>
              <w:jc w:val="center"/>
              <w:rPr>
                <w:b/>
                <w:bCs/>
                <w:sz w:val="28"/>
                <w:szCs w:val="28"/>
              </w:rPr>
            </w:pPr>
            <w:r>
              <w:rPr>
                <w:b/>
                <w:bCs/>
                <w:sz w:val="28"/>
                <w:szCs w:val="28"/>
              </w:rPr>
              <w:t>项目</w:t>
            </w:r>
          </w:p>
        </w:tc>
        <w:tc>
          <w:tcPr>
            <w:tcW w:w="1965" w:type="dxa"/>
            <w:tcBorders>
              <w:bottom w:val="single" w:color="666666" w:themeColor="text1" w:themeTint="99" w:sz="12" w:space="0"/>
              <w:insideH w:val="single" w:sz="12" w:space="0"/>
            </w:tcBorders>
            <w:vAlign w:val="center"/>
          </w:tcPr>
          <w:p w14:paraId="1E0D936A">
            <w:pPr>
              <w:spacing w:after="0" w:line="240" w:lineRule="auto"/>
              <w:jc w:val="center"/>
              <w:rPr>
                <w:b/>
                <w:bCs/>
                <w:sz w:val="28"/>
                <w:szCs w:val="28"/>
              </w:rPr>
            </w:pPr>
            <w:r>
              <w:rPr>
                <w:b/>
                <w:bCs/>
                <w:sz w:val="28"/>
                <w:szCs w:val="28"/>
              </w:rPr>
              <w:t>年初预算支出</w:t>
            </w:r>
          </w:p>
        </w:tc>
        <w:tc>
          <w:tcPr>
            <w:tcW w:w="2010" w:type="dxa"/>
            <w:tcBorders>
              <w:bottom w:val="single" w:color="666666" w:themeColor="text1" w:themeTint="99" w:sz="12" w:space="0"/>
              <w:insideH w:val="single" w:sz="12" w:space="0"/>
            </w:tcBorders>
            <w:vAlign w:val="center"/>
          </w:tcPr>
          <w:p w14:paraId="45184C75">
            <w:pPr>
              <w:spacing w:after="0" w:line="240" w:lineRule="auto"/>
              <w:jc w:val="center"/>
              <w:rPr>
                <w:b/>
                <w:bCs/>
                <w:sz w:val="28"/>
                <w:szCs w:val="28"/>
              </w:rPr>
            </w:pPr>
            <w:r>
              <w:rPr>
                <w:b/>
                <w:bCs/>
                <w:sz w:val="28"/>
                <w:szCs w:val="28"/>
              </w:rPr>
              <w:t>全年预算支出</w:t>
            </w:r>
          </w:p>
        </w:tc>
        <w:tc>
          <w:tcPr>
            <w:tcW w:w="1965" w:type="dxa"/>
            <w:tcBorders>
              <w:bottom w:val="single" w:color="666666" w:themeColor="text1" w:themeTint="99" w:sz="12" w:space="0"/>
              <w:insideH w:val="single" w:sz="12" w:space="0"/>
            </w:tcBorders>
            <w:vAlign w:val="center"/>
          </w:tcPr>
          <w:p w14:paraId="41CE2830">
            <w:pPr>
              <w:spacing w:after="0" w:line="240" w:lineRule="auto"/>
              <w:jc w:val="center"/>
              <w:rPr>
                <w:b/>
                <w:bCs/>
                <w:sz w:val="28"/>
                <w:szCs w:val="28"/>
              </w:rPr>
            </w:pPr>
            <w:r>
              <w:rPr>
                <w:b/>
                <w:bCs/>
                <w:sz w:val="28"/>
                <w:szCs w:val="28"/>
              </w:rPr>
              <w:t>全年决算支出</w:t>
            </w:r>
          </w:p>
        </w:tc>
      </w:tr>
      <w:tr w14:paraId="2372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17AD6DCE">
            <w:pPr>
              <w:spacing w:after="0" w:line="240" w:lineRule="auto"/>
              <w:jc w:val="center"/>
              <w:rPr>
                <w:b/>
                <w:bCs/>
                <w:sz w:val="28"/>
                <w:szCs w:val="28"/>
              </w:rPr>
            </w:pPr>
            <w:r>
              <w:rPr>
                <w:b/>
                <w:bCs/>
                <w:sz w:val="28"/>
                <w:szCs w:val="28"/>
              </w:rPr>
              <w:t>一般公共服务支出</w:t>
            </w:r>
          </w:p>
        </w:tc>
        <w:tc>
          <w:tcPr>
            <w:tcW w:w="1965" w:type="dxa"/>
            <w:vAlign w:val="center"/>
          </w:tcPr>
          <w:p w14:paraId="43B584A8">
            <w:pPr>
              <w:spacing w:after="0" w:line="240" w:lineRule="auto"/>
              <w:jc w:val="center"/>
              <w:rPr>
                <w:sz w:val="28"/>
                <w:szCs w:val="28"/>
              </w:rPr>
            </w:pPr>
            <w:r>
              <w:rPr>
                <w:sz w:val="28"/>
                <w:szCs w:val="28"/>
              </w:rPr>
              <w:t>0.00</w:t>
            </w:r>
          </w:p>
        </w:tc>
        <w:tc>
          <w:tcPr>
            <w:tcW w:w="2010" w:type="dxa"/>
            <w:vAlign w:val="center"/>
          </w:tcPr>
          <w:p w14:paraId="385F4970">
            <w:pPr>
              <w:spacing w:after="0" w:line="240" w:lineRule="auto"/>
              <w:jc w:val="center"/>
              <w:rPr>
                <w:sz w:val="28"/>
                <w:szCs w:val="28"/>
              </w:rPr>
            </w:pPr>
            <w:r>
              <w:rPr>
                <w:sz w:val="28"/>
                <w:szCs w:val="28"/>
              </w:rPr>
              <w:t>0.00</w:t>
            </w:r>
          </w:p>
        </w:tc>
        <w:tc>
          <w:tcPr>
            <w:tcW w:w="1965" w:type="dxa"/>
            <w:vAlign w:val="center"/>
          </w:tcPr>
          <w:p w14:paraId="4CCA0470">
            <w:pPr>
              <w:spacing w:after="0" w:line="240" w:lineRule="auto"/>
              <w:jc w:val="center"/>
              <w:rPr>
                <w:sz w:val="28"/>
                <w:szCs w:val="28"/>
              </w:rPr>
            </w:pPr>
            <w:r>
              <w:rPr>
                <w:sz w:val="28"/>
                <w:szCs w:val="28"/>
              </w:rPr>
              <w:t>0.00</w:t>
            </w:r>
          </w:p>
        </w:tc>
      </w:tr>
      <w:tr w14:paraId="7FE7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1AA601BE">
            <w:pPr>
              <w:spacing w:after="0" w:line="240" w:lineRule="auto"/>
              <w:jc w:val="center"/>
              <w:rPr>
                <w:b/>
                <w:bCs/>
                <w:sz w:val="28"/>
                <w:szCs w:val="28"/>
              </w:rPr>
            </w:pPr>
            <w:r>
              <w:rPr>
                <w:b/>
                <w:bCs/>
                <w:sz w:val="28"/>
                <w:szCs w:val="28"/>
              </w:rPr>
              <w:t>外交支出</w:t>
            </w:r>
          </w:p>
        </w:tc>
        <w:tc>
          <w:tcPr>
            <w:tcW w:w="1965" w:type="dxa"/>
            <w:vAlign w:val="center"/>
          </w:tcPr>
          <w:p w14:paraId="0D2F4839">
            <w:pPr>
              <w:spacing w:after="0" w:line="240" w:lineRule="auto"/>
              <w:jc w:val="center"/>
              <w:rPr>
                <w:sz w:val="28"/>
                <w:szCs w:val="28"/>
              </w:rPr>
            </w:pPr>
            <w:r>
              <w:rPr>
                <w:sz w:val="28"/>
                <w:szCs w:val="28"/>
              </w:rPr>
              <w:t>0.00</w:t>
            </w:r>
          </w:p>
        </w:tc>
        <w:tc>
          <w:tcPr>
            <w:tcW w:w="2010" w:type="dxa"/>
            <w:vAlign w:val="center"/>
          </w:tcPr>
          <w:p w14:paraId="0A537458">
            <w:pPr>
              <w:spacing w:after="0" w:line="240" w:lineRule="auto"/>
              <w:jc w:val="center"/>
              <w:rPr>
                <w:sz w:val="28"/>
                <w:szCs w:val="28"/>
              </w:rPr>
            </w:pPr>
            <w:r>
              <w:rPr>
                <w:sz w:val="28"/>
                <w:szCs w:val="28"/>
              </w:rPr>
              <w:t>0.00</w:t>
            </w:r>
          </w:p>
        </w:tc>
        <w:tc>
          <w:tcPr>
            <w:tcW w:w="1965" w:type="dxa"/>
            <w:vAlign w:val="center"/>
          </w:tcPr>
          <w:p w14:paraId="08DD2E22">
            <w:pPr>
              <w:spacing w:after="0" w:line="240" w:lineRule="auto"/>
              <w:jc w:val="center"/>
              <w:rPr>
                <w:sz w:val="28"/>
                <w:szCs w:val="28"/>
              </w:rPr>
            </w:pPr>
            <w:r>
              <w:rPr>
                <w:sz w:val="28"/>
                <w:szCs w:val="28"/>
              </w:rPr>
              <w:t>0.00</w:t>
            </w:r>
          </w:p>
        </w:tc>
      </w:tr>
      <w:tr w14:paraId="1A07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41C3FFD7">
            <w:pPr>
              <w:spacing w:after="0" w:line="240" w:lineRule="auto"/>
              <w:jc w:val="center"/>
              <w:rPr>
                <w:b/>
                <w:bCs/>
                <w:sz w:val="28"/>
                <w:szCs w:val="28"/>
              </w:rPr>
            </w:pPr>
            <w:r>
              <w:rPr>
                <w:b/>
                <w:bCs/>
                <w:sz w:val="28"/>
                <w:szCs w:val="28"/>
              </w:rPr>
              <w:t>国防支出</w:t>
            </w:r>
          </w:p>
        </w:tc>
        <w:tc>
          <w:tcPr>
            <w:tcW w:w="1965" w:type="dxa"/>
            <w:vAlign w:val="center"/>
          </w:tcPr>
          <w:p w14:paraId="35186808">
            <w:pPr>
              <w:spacing w:after="0" w:line="240" w:lineRule="auto"/>
              <w:jc w:val="center"/>
              <w:rPr>
                <w:sz w:val="28"/>
                <w:szCs w:val="28"/>
              </w:rPr>
            </w:pPr>
            <w:r>
              <w:rPr>
                <w:sz w:val="28"/>
                <w:szCs w:val="28"/>
              </w:rPr>
              <w:t>0.00</w:t>
            </w:r>
          </w:p>
        </w:tc>
        <w:tc>
          <w:tcPr>
            <w:tcW w:w="2010" w:type="dxa"/>
            <w:vAlign w:val="center"/>
          </w:tcPr>
          <w:p w14:paraId="010BC2F2">
            <w:pPr>
              <w:spacing w:after="0" w:line="240" w:lineRule="auto"/>
              <w:jc w:val="center"/>
              <w:rPr>
                <w:sz w:val="28"/>
                <w:szCs w:val="28"/>
              </w:rPr>
            </w:pPr>
            <w:r>
              <w:rPr>
                <w:sz w:val="28"/>
                <w:szCs w:val="28"/>
              </w:rPr>
              <w:t>0.00</w:t>
            </w:r>
          </w:p>
        </w:tc>
        <w:tc>
          <w:tcPr>
            <w:tcW w:w="1965" w:type="dxa"/>
            <w:vAlign w:val="center"/>
          </w:tcPr>
          <w:p w14:paraId="441A6697">
            <w:pPr>
              <w:spacing w:after="0" w:line="240" w:lineRule="auto"/>
              <w:jc w:val="center"/>
              <w:rPr>
                <w:sz w:val="28"/>
                <w:szCs w:val="28"/>
              </w:rPr>
            </w:pPr>
            <w:r>
              <w:rPr>
                <w:sz w:val="28"/>
                <w:szCs w:val="28"/>
              </w:rPr>
              <w:t>0.00</w:t>
            </w:r>
          </w:p>
        </w:tc>
      </w:tr>
      <w:tr w14:paraId="3A19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27583591">
            <w:pPr>
              <w:spacing w:after="0" w:line="240" w:lineRule="auto"/>
              <w:jc w:val="center"/>
              <w:rPr>
                <w:b/>
                <w:bCs/>
                <w:sz w:val="28"/>
                <w:szCs w:val="28"/>
              </w:rPr>
            </w:pPr>
            <w:r>
              <w:rPr>
                <w:b/>
                <w:bCs/>
                <w:sz w:val="28"/>
                <w:szCs w:val="28"/>
              </w:rPr>
              <w:t>公共安全支出</w:t>
            </w:r>
          </w:p>
        </w:tc>
        <w:tc>
          <w:tcPr>
            <w:tcW w:w="1965" w:type="dxa"/>
            <w:vAlign w:val="center"/>
          </w:tcPr>
          <w:p w14:paraId="23B6844A">
            <w:pPr>
              <w:spacing w:after="0" w:line="240" w:lineRule="auto"/>
              <w:jc w:val="center"/>
              <w:rPr>
                <w:sz w:val="28"/>
                <w:szCs w:val="28"/>
              </w:rPr>
            </w:pPr>
            <w:r>
              <w:rPr>
                <w:sz w:val="28"/>
                <w:szCs w:val="28"/>
              </w:rPr>
              <w:t>0.00</w:t>
            </w:r>
          </w:p>
        </w:tc>
        <w:tc>
          <w:tcPr>
            <w:tcW w:w="2010" w:type="dxa"/>
            <w:vAlign w:val="center"/>
          </w:tcPr>
          <w:p w14:paraId="70E5CC3E">
            <w:pPr>
              <w:spacing w:after="0" w:line="240" w:lineRule="auto"/>
              <w:jc w:val="center"/>
              <w:rPr>
                <w:sz w:val="28"/>
                <w:szCs w:val="28"/>
              </w:rPr>
            </w:pPr>
            <w:r>
              <w:rPr>
                <w:sz w:val="28"/>
                <w:szCs w:val="28"/>
              </w:rPr>
              <w:t>0.00</w:t>
            </w:r>
          </w:p>
        </w:tc>
        <w:tc>
          <w:tcPr>
            <w:tcW w:w="1965" w:type="dxa"/>
            <w:vAlign w:val="center"/>
          </w:tcPr>
          <w:p w14:paraId="72406178">
            <w:pPr>
              <w:spacing w:after="0" w:line="240" w:lineRule="auto"/>
              <w:jc w:val="center"/>
              <w:rPr>
                <w:sz w:val="28"/>
                <w:szCs w:val="28"/>
              </w:rPr>
            </w:pPr>
            <w:r>
              <w:rPr>
                <w:sz w:val="28"/>
                <w:szCs w:val="28"/>
              </w:rPr>
              <w:t>0.00</w:t>
            </w:r>
          </w:p>
        </w:tc>
      </w:tr>
      <w:tr w14:paraId="490C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53CF216C">
            <w:pPr>
              <w:spacing w:after="0" w:line="240" w:lineRule="auto"/>
              <w:jc w:val="center"/>
              <w:rPr>
                <w:b/>
                <w:bCs/>
                <w:sz w:val="28"/>
                <w:szCs w:val="28"/>
              </w:rPr>
            </w:pPr>
            <w:r>
              <w:rPr>
                <w:b/>
                <w:bCs/>
                <w:sz w:val="28"/>
                <w:szCs w:val="28"/>
              </w:rPr>
              <w:t>教育支出</w:t>
            </w:r>
          </w:p>
        </w:tc>
        <w:tc>
          <w:tcPr>
            <w:tcW w:w="1965" w:type="dxa"/>
            <w:vAlign w:val="center"/>
          </w:tcPr>
          <w:p w14:paraId="2F41BEF1">
            <w:pPr>
              <w:spacing w:after="0" w:line="240" w:lineRule="auto"/>
              <w:jc w:val="center"/>
              <w:rPr>
                <w:sz w:val="28"/>
                <w:szCs w:val="28"/>
              </w:rPr>
            </w:pPr>
            <w:r>
              <w:rPr>
                <w:sz w:val="28"/>
                <w:szCs w:val="28"/>
              </w:rPr>
              <w:t>0.00</w:t>
            </w:r>
          </w:p>
        </w:tc>
        <w:tc>
          <w:tcPr>
            <w:tcW w:w="2010" w:type="dxa"/>
            <w:vAlign w:val="center"/>
          </w:tcPr>
          <w:p w14:paraId="13469E50">
            <w:pPr>
              <w:spacing w:after="0" w:line="240" w:lineRule="auto"/>
              <w:jc w:val="center"/>
              <w:rPr>
                <w:sz w:val="28"/>
                <w:szCs w:val="28"/>
              </w:rPr>
            </w:pPr>
            <w:r>
              <w:rPr>
                <w:sz w:val="28"/>
                <w:szCs w:val="28"/>
              </w:rPr>
              <w:t>0.00</w:t>
            </w:r>
          </w:p>
        </w:tc>
        <w:tc>
          <w:tcPr>
            <w:tcW w:w="1965" w:type="dxa"/>
            <w:vAlign w:val="center"/>
          </w:tcPr>
          <w:p w14:paraId="3580B28B">
            <w:pPr>
              <w:spacing w:after="0" w:line="240" w:lineRule="auto"/>
              <w:jc w:val="center"/>
              <w:rPr>
                <w:sz w:val="28"/>
                <w:szCs w:val="28"/>
              </w:rPr>
            </w:pPr>
            <w:r>
              <w:rPr>
                <w:sz w:val="28"/>
                <w:szCs w:val="28"/>
              </w:rPr>
              <w:t>0.00</w:t>
            </w:r>
          </w:p>
        </w:tc>
      </w:tr>
      <w:tr w14:paraId="758A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6F83D10B">
            <w:pPr>
              <w:spacing w:after="0" w:line="240" w:lineRule="auto"/>
              <w:jc w:val="center"/>
              <w:rPr>
                <w:b/>
                <w:bCs/>
                <w:sz w:val="28"/>
                <w:szCs w:val="28"/>
              </w:rPr>
            </w:pPr>
            <w:r>
              <w:rPr>
                <w:b/>
                <w:bCs/>
                <w:sz w:val="28"/>
                <w:szCs w:val="28"/>
              </w:rPr>
              <w:t>科学技术支出</w:t>
            </w:r>
          </w:p>
        </w:tc>
        <w:tc>
          <w:tcPr>
            <w:tcW w:w="1965" w:type="dxa"/>
            <w:vAlign w:val="center"/>
          </w:tcPr>
          <w:p w14:paraId="09D33BDD">
            <w:pPr>
              <w:spacing w:after="0" w:line="240" w:lineRule="auto"/>
              <w:jc w:val="center"/>
              <w:rPr>
                <w:sz w:val="28"/>
                <w:szCs w:val="28"/>
              </w:rPr>
            </w:pPr>
            <w:r>
              <w:rPr>
                <w:sz w:val="28"/>
                <w:szCs w:val="28"/>
              </w:rPr>
              <w:t>0.00</w:t>
            </w:r>
          </w:p>
        </w:tc>
        <w:tc>
          <w:tcPr>
            <w:tcW w:w="2010" w:type="dxa"/>
            <w:vAlign w:val="center"/>
          </w:tcPr>
          <w:p w14:paraId="670D1598">
            <w:pPr>
              <w:spacing w:after="0" w:line="240" w:lineRule="auto"/>
              <w:jc w:val="center"/>
              <w:rPr>
                <w:sz w:val="28"/>
                <w:szCs w:val="28"/>
              </w:rPr>
            </w:pPr>
            <w:r>
              <w:rPr>
                <w:sz w:val="28"/>
                <w:szCs w:val="28"/>
              </w:rPr>
              <w:t>0.00</w:t>
            </w:r>
          </w:p>
        </w:tc>
        <w:tc>
          <w:tcPr>
            <w:tcW w:w="1965" w:type="dxa"/>
            <w:vAlign w:val="center"/>
          </w:tcPr>
          <w:p w14:paraId="796CA7E6">
            <w:pPr>
              <w:spacing w:after="0" w:line="240" w:lineRule="auto"/>
              <w:jc w:val="center"/>
              <w:rPr>
                <w:sz w:val="28"/>
                <w:szCs w:val="28"/>
              </w:rPr>
            </w:pPr>
            <w:r>
              <w:rPr>
                <w:sz w:val="28"/>
                <w:szCs w:val="28"/>
              </w:rPr>
              <w:t>0.00</w:t>
            </w:r>
          </w:p>
        </w:tc>
      </w:tr>
      <w:tr w14:paraId="4E5E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76191F44">
            <w:pPr>
              <w:spacing w:after="0" w:line="240" w:lineRule="auto"/>
              <w:jc w:val="center"/>
              <w:rPr>
                <w:b/>
                <w:bCs/>
                <w:sz w:val="28"/>
                <w:szCs w:val="28"/>
              </w:rPr>
            </w:pPr>
            <w:r>
              <w:rPr>
                <w:b/>
                <w:bCs/>
                <w:sz w:val="28"/>
                <w:szCs w:val="28"/>
              </w:rPr>
              <w:t>文化旅游体育与传媒支出</w:t>
            </w:r>
          </w:p>
        </w:tc>
        <w:tc>
          <w:tcPr>
            <w:tcW w:w="1965" w:type="dxa"/>
            <w:vAlign w:val="center"/>
          </w:tcPr>
          <w:p w14:paraId="3DE4D0C6">
            <w:pPr>
              <w:spacing w:after="0" w:line="240" w:lineRule="auto"/>
              <w:jc w:val="center"/>
              <w:rPr>
                <w:sz w:val="28"/>
                <w:szCs w:val="28"/>
              </w:rPr>
            </w:pPr>
            <w:r>
              <w:rPr>
                <w:sz w:val="28"/>
                <w:szCs w:val="28"/>
              </w:rPr>
              <w:t>0.00</w:t>
            </w:r>
          </w:p>
        </w:tc>
        <w:tc>
          <w:tcPr>
            <w:tcW w:w="2010" w:type="dxa"/>
            <w:vAlign w:val="center"/>
          </w:tcPr>
          <w:p w14:paraId="645CA314">
            <w:pPr>
              <w:spacing w:after="0" w:line="240" w:lineRule="auto"/>
              <w:jc w:val="center"/>
              <w:rPr>
                <w:sz w:val="28"/>
                <w:szCs w:val="28"/>
              </w:rPr>
            </w:pPr>
            <w:r>
              <w:rPr>
                <w:sz w:val="28"/>
                <w:szCs w:val="28"/>
              </w:rPr>
              <w:t>0.00</w:t>
            </w:r>
          </w:p>
        </w:tc>
        <w:tc>
          <w:tcPr>
            <w:tcW w:w="1965" w:type="dxa"/>
            <w:vAlign w:val="center"/>
          </w:tcPr>
          <w:p w14:paraId="0A883181">
            <w:pPr>
              <w:spacing w:after="0" w:line="240" w:lineRule="auto"/>
              <w:jc w:val="center"/>
              <w:rPr>
                <w:sz w:val="28"/>
                <w:szCs w:val="28"/>
              </w:rPr>
            </w:pPr>
            <w:r>
              <w:rPr>
                <w:sz w:val="28"/>
                <w:szCs w:val="28"/>
              </w:rPr>
              <w:t>0.00</w:t>
            </w:r>
          </w:p>
        </w:tc>
      </w:tr>
      <w:tr w14:paraId="6330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657F230D">
            <w:pPr>
              <w:spacing w:after="0" w:line="240" w:lineRule="auto"/>
              <w:jc w:val="center"/>
              <w:rPr>
                <w:b/>
                <w:bCs/>
                <w:sz w:val="28"/>
                <w:szCs w:val="28"/>
              </w:rPr>
            </w:pPr>
            <w:r>
              <w:rPr>
                <w:b/>
                <w:bCs/>
                <w:sz w:val="28"/>
                <w:szCs w:val="28"/>
              </w:rPr>
              <w:t>社会保障和就业支出</w:t>
            </w:r>
          </w:p>
        </w:tc>
        <w:tc>
          <w:tcPr>
            <w:tcW w:w="1965" w:type="dxa"/>
            <w:vAlign w:val="center"/>
          </w:tcPr>
          <w:p w14:paraId="173E3E3E">
            <w:pPr>
              <w:spacing w:after="0" w:line="240" w:lineRule="auto"/>
              <w:jc w:val="center"/>
              <w:rPr>
                <w:sz w:val="28"/>
                <w:szCs w:val="28"/>
              </w:rPr>
            </w:pPr>
            <w:r>
              <w:rPr>
                <w:sz w:val="28"/>
                <w:szCs w:val="28"/>
              </w:rPr>
              <w:t>115.89</w:t>
            </w:r>
          </w:p>
        </w:tc>
        <w:tc>
          <w:tcPr>
            <w:tcW w:w="2010" w:type="dxa"/>
            <w:vAlign w:val="center"/>
          </w:tcPr>
          <w:p w14:paraId="3BDA3ABD">
            <w:pPr>
              <w:spacing w:after="0" w:line="240" w:lineRule="auto"/>
              <w:jc w:val="center"/>
              <w:rPr>
                <w:sz w:val="28"/>
                <w:szCs w:val="28"/>
              </w:rPr>
            </w:pPr>
            <w:r>
              <w:rPr>
                <w:sz w:val="28"/>
                <w:szCs w:val="28"/>
              </w:rPr>
              <w:t>115.89</w:t>
            </w:r>
          </w:p>
        </w:tc>
        <w:tc>
          <w:tcPr>
            <w:tcW w:w="1965" w:type="dxa"/>
            <w:vAlign w:val="center"/>
          </w:tcPr>
          <w:p w14:paraId="7AD4AA78">
            <w:pPr>
              <w:spacing w:after="0" w:line="240" w:lineRule="auto"/>
              <w:jc w:val="center"/>
              <w:rPr>
                <w:sz w:val="28"/>
                <w:szCs w:val="28"/>
              </w:rPr>
            </w:pPr>
            <w:r>
              <w:rPr>
                <w:sz w:val="28"/>
                <w:szCs w:val="28"/>
              </w:rPr>
              <w:t>115.89</w:t>
            </w:r>
          </w:p>
        </w:tc>
      </w:tr>
      <w:tr w14:paraId="3A0C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6FFE4B79">
            <w:pPr>
              <w:spacing w:after="0" w:line="240" w:lineRule="auto"/>
              <w:jc w:val="center"/>
              <w:rPr>
                <w:b/>
                <w:bCs/>
                <w:sz w:val="28"/>
                <w:szCs w:val="28"/>
              </w:rPr>
            </w:pPr>
            <w:r>
              <w:rPr>
                <w:b/>
                <w:bCs/>
                <w:sz w:val="28"/>
                <w:szCs w:val="28"/>
              </w:rPr>
              <w:t>卫生健康支出</w:t>
            </w:r>
          </w:p>
        </w:tc>
        <w:tc>
          <w:tcPr>
            <w:tcW w:w="1965" w:type="dxa"/>
            <w:vAlign w:val="center"/>
          </w:tcPr>
          <w:p w14:paraId="653AC91C">
            <w:pPr>
              <w:spacing w:after="0" w:line="240" w:lineRule="auto"/>
              <w:jc w:val="center"/>
              <w:rPr>
                <w:sz w:val="28"/>
                <w:szCs w:val="28"/>
              </w:rPr>
            </w:pPr>
            <w:r>
              <w:rPr>
                <w:sz w:val="28"/>
                <w:szCs w:val="28"/>
              </w:rPr>
              <w:t>1,446.70</w:t>
            </w:r>
          </w:p>
        </w:tc>
        <w:tc>
          <w:tcPr>
            <w:tcW w:w="2010" w:type="dxa"/>
            <w:vAlign w:val="center"/>
          </w:tcPr>
          <w:p w14:paraId="3E33BE2F">
            <w:pPr>
              <w:spacing w:after="0" w:line="240" w:lineRule="auto"/>
              <w:jc w:val="center"/>
              <w:rPr>
                <w:sz w:val="28"/>
                <w:szCs w:val="28"/>
              </w:rPr>
            </w:pPr>
            <w:r>
              <w:rPr>
                <w:sz w:val="28"/>
                <w:szCs w:val="28"/>
              </w:rPr>
              <w:t>1,446.70</w:t>
            </w:r>
          </w:p>
        </w:tc>
        <w:tc>
          <w:tcPr>
            <w:tcW w:w="1965" w:type="dxa"/>
            <w:vAlign w:val="center"/>
          </w:tcPr>
          <w:p w14:paraId="77A63460">
            <w:pPr>
              <w:spacing w:after="0" w:line="240" w:lineRule="auto"/>
              <w:jc w:val="center"/>
              <w:rPr>
                <w:sz w:val="28"/>
                <w:szCs w:val="28"/>
              </w:rPr>
            </w:pPr>
            <w:r>
              <w:rPr>
                <w:sz w:val="28"/>
                <w:szCs w:val="28"/>
              </w:rPr>
              <w:t>1,446.70</w:t>
            </w:r>
          </w:p>
        </w:tc>
      </w:tr>
      <w:tr w14:paraId="4890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25B3616F">
            <w:pPr>
              <w:spacing w:after="0" w:line="240" w:lineRule="auto"/>
              <w:jc w:val="center"/>
              <w:rPr>
                <w:b/>
                <w:bCs/>
                <w:sz w:val="28"/>
                <w:szCs w:val="28"/>
              </w:rPr>
            </w:pPr>
            <w:r>
              <w:rPr>
                <w:b/>
                <w:bCs/>
                <w:sz w:val="28"/>
                <w:szCs w:val="28"/>
              </w:rPr>
              <w:t>节能环保支出</w:t>
            </w:r>
          </w:p>
        </w:tc>
        <w:tc>
          <w:tcPr>
            <w:tcW w:w="1965" w:type="dxa"/>
            <w:vAlign w:val="center"/>
          </w:tcPr>
          <w:p w14:paraId="2D2C4F19">
            <w:pPr>
              <w:spacing w:after="0" w:line="240" w:lineRule="auto"/>
              <w:jc w:val="center"/>
              <w:rPr>
                <w:sz w:val="28"/>
                <w:szCs w:val="28"/>
              </w:rPr>
            </w:pPr>
            <w:r>
              <w:rPr>
                <w:sz w:val="28"/>
                <w:szCs w:val="28"/>
              </w:rPr>
              <w:t>0.00</w:t>
            </w:r>
          </w:p>
        </w:tc>
        <w:tc>
          <w:tcPr>
            <w:tcW w:w="2010" w:type="dxa"/>
            <w:vAlign w:val="center"/>
          </w:tcPr>
          <w:p w14:paraId="5F853C0B">
            <w:pPr>
              <w:spacing w:after="0" w:line="240" w:lineRule="auto"/>
              <w:jc w:val="center"/>
              <w:rPr>
                <w:sz w:val="28"/>
                <w:szCs w:val="28"/>
              </w:rPr>
            </w:pPr>
            <w:r>
              <w:rPr>
                <w:sz w:val="28"/>
                <w:szCs w:val="28"/>
              </w:rPr>
              <w:t>0.00</w:t>
            </w:r>
          </w:p>
        </w:tc>
        <w:tc>
          <w:tcPr>
            <w:tcW w:w="1965" w:type="dxa"/>
            <w:vAlign w:val="center"/>
          </w:tcPr>
          <w:p w14:paraId="5682CF53">
            <w:pPr>
              <w:spacing w:after="0" w:line="240" w:lineRule="auto"/>
              <w:jc w:val="center"/>
              <w:rPr>
                <w:sz w:val="28"/>
                <w:szCs w:val="28"/>
              </w:rPr>
            </w:pPr>
            <w:r>
              <w:rPr>
                <w:sz w:val="28"/>
                <w:szCs w:val="28"/>
              </w:rPr>
              <w:t>0.00</w:t>
            </w:r>
          </w:p>
        </w:tc>
      </w:tr>
      <w:tr w14:paraId="7A50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040E0E2F">
            <w:pPr>
              <w:spacing w:after="0" w:line="240" w:lineRule="auto"/>
              <w:jc w:val="center"/>
              <w:rPr>
                <w:b/>
                <w:bCs/>
                <w:sz w:val="28"/>
                <w:szCs w:val="28"/>
              </w:rPr>
            </w:pPr>
            <w:r>
              <w:rPr>
                <w:b/>
                <w:bCs/>
                <w:sz w:val="28"/>
                <w:szCs w:val="28"/>
              </w:rPr>
              <w:t>城乡社区支出</w:t>
            </w:r>
          </w:p>
        </w:tc>
        <w:tc>
          <w:tcPr>
            <w:tcW w:w="1965" w:type="dxa"/>
            <w:vAlign w:val="center"/>
          </w:tcPr>
          <w:p w14:paraId="24D756AE">
            <w:pPr>
              <w:spacing w:after="0" w:line="240" w:lineRule="auto"/>
              <w:jc w:val="center"/>
              <w:rPr>
                <w:sz w:val="28"/>
                <w:szCs w:val="28"/>
              </w:rPr>
            </w:pPr>
            <w:r>
              <w:rPr>
                <w:sz w:val="28"/>
                <w:szCs w:val="28"/>
              </w:rPr>
              <w:t>0.00</w:t>
            </w:r>
          </w:p>
        </w:tc>
        <w:tc>
          <w:tcPr>
            <w:tcW w:w="2010" w:type="dxa"/>
            <w:vAlign w:val="center"/>
          </w:tcPr>
          <w:p w14:paraId="2AC14DF1">
            <w:pPr>
              <w:spacing w:after="0" w:line="240" w:lineRule="auto"/>
              <w:jc w:val="center"/>
              <w:rPr>
                <w:sz w:val="28"/>
                <w:szCs w:val="28"/>
              </w:rPr>
            </w:pPr>
            <w:r>
              <w:rPr>
                <w:sz w:val="28"/>
                <w:szCs w:val="28"/>
              </w:rPr>
              <w:t>0.00</w:t>
            </w:r>
          </w:p>
        </w:tc>
        <w:tc>
          <w:tcPr>
            <w:tcW w:w="1965" w:type="dxa"/>
            <w:vAlign w:val="center"/>
          </w:tcPr>
          <w:p w14:paraId="3D2E9A22">
            <w:pPr>
              <w:spacing w:after="0" w:line="240" w:lineRule="auto"/>
              <w:jc w:val="center"/>
              <w:rPr>
                <w:sz w:val="28"/>
                <w:szCs w:val="28"/>
              </w:rPr>
            </w:pPr>
            <w:r>
              <w:rPr>
                <w:sz w:val="28"/>
                <w:szCs w:val="28"/>
              </w:rPr>
              <w:t>0.00</w:t>
            </w:r>
          </w:p>
        </w:tc>
      </w:tr>
      <w:tr w14:paraId="14AD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533FCF82">
            <w:pPr>
              <w:spacing w:after="0" w:line="240" w:lineRule="auto"/>
              <w:jc w:val="center"/>
              <w:rPr>
                <w:b/>
                <w:bCs/>
                <w:sz w:val="28"/>
                <w:szCs w:val="28"/>
              </w:rPr>
            </w:pPr>
            <w:r>
              <w:rPr>
                <w:b/>
                <w:bCs/>
                <w:sz w:val="28"/>
                <w:szCs w:val="28"/>
              </w:rPr>
              <w:t>农林水支出</w:t>
            </w:r>
          </w:p>
        </w:tc>
        <w:tc>
          <w:tcPr>
            <w:tcW w:w="1965" w:type="dxa"/>
            <w:vAlign w:val="center"/>
          </w:tcPr>
          <w:p w14:paraId="1C1E3770">
            <w:pPr>
              <w:spacing w:after="0" w:line="240" w:lineRule="auto"/>
              <w:jc w:val="center"/>
              <w:rPr>
                <w:sz w:val="28"/>
                <w:szCs w:val="28"/>
              </w:rPr>
            </w:pPr>
            <w:r>
              <w:rPr>
                <w:sz w:val="28"/>
                <w:szCs w:val="28"/>
              </w:rPr>
              <w:t>0.00</w:t>
            </w:r>
          </w:p>
        </w:tc>
        <w:tc>
          <w:tcPr>
            <w:tcW w:w="2010" w:type="dxa"/>
            <w:vAlign w:val="center"/>
          </w:tcPr>
          <w:p w14:paraId="04B1D2C2">
            <w:pPr>
              <w:spacing w:after="0" w:line="240" w:lineRule="auto"/>
              <w:jc w:val="center"/>
              <w:rPr>
                <w:sz w:val="28"/>
                <w:szCs w:val="28"/>
              </w:rPr>
            </w:pPr>
            <w:r>
              <w:rPr>
                <w:sz w:val="28"/>
                <w:szCs w:val="28"/>
              </w:rPr>
              <w:t>0.00</w:t>
            </w:r>
          </w:p>
        </w:tc>
        <w:tc>
          <w:tcPr>
            <w:tcW w:w="1965" w:type="dxa"/>
            <w:vAlign w:val="center"/>
          </w:tcPr>
          <w:p w14:paraId="25E87B66">
            <w:pPr>
              <w:spacing w:after="0" w:line="240" w:lineRule="auto"/>
              <w:jc w:val="center"/>
              <w:rPr>
                <w:sz w:val="28"/>
                <w:szCs w:val="28"/>
              </w:rPr>
            </w:pPr>
            <w:r>
              <w:rPr>
                <w:sz w:val="28"/>
                <w:szCs w:val="28"/>
              </w:rPr>
              <w:t>0.00</w:t>
            </w:r>
          </w:p>
        </w:tc>
      </w:tr>
      <w:tr w14:paraId="2FD95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238ED5EF">
            <w:pPr>
              <w:spacing w:after="0" w:line="240" w:lineRule="auto"/>
              <w:jc w:val="center"/>
              <w:rPr>
                <w:b/>
                <w:bCs/>
                <w:sz w:val="28"/>
                <w:szCs w:val="28"/>
              </w:rPr>
            </w:pPr>
            <w:r>
              <w:rPr>
                <w:b/>
                <w:bCs/>
                <w:sz w:val="28"/>
                <w:szCs w:val="28"/>
              </w:rPr>
              <w:t>交通运输支出</w:t>
            </w:r>
          </w:p>
        </w:tc>
        <w:tc>
          <w:tcPr>
            <w:tcW w:w="1965" w:type="dxa"/>
            <w:vAlign w:val="center"/>
          </w:tcPr>
          <w:p w14:paraId="537C59D3">
            <w:pPr>
              <w:spacing w:after="0" w:line="240" w:lineRule="auto"/>
              <w:jc w:val="center"/>
              <w:rPr>
                <w:sz w:val="28"/>
                <w:szCs w:val="28"/>
              </w:rPr>
            </w:pPr>
            <w:r>
              <w:rPr>
                <w:sz w:val="28"/>
                <w:szCs w:val="28"/>
              </w:rPr>
              <w:t>0.00</w:t>
            </w:r>
          </w:p>
        </w:tc>
        <w:tc>
          <w:tcPr>
            <w:tcW w:w="2010" w:type="dxa"/>
            <w:vAlign w:val="center"/>
          </w:tcPr>
          <w:p w14:paraId="20CA7F61">
            <w:pPr>
              <w:spacing w:after="0" w:line="240" w:lineRule="auto"/>
              <w:jc w:val="center"/>
              <w:rPr>
                <w:sz w:val="28"/>
                <w:szCs w:val="28"/>
              </w:rPr>
            </w:pPr>
            <w:r>
              <w:rPr>
                <w:sz w:val="28"/>
                <w:szCs w:val="28"/>
              </w:rPr>
              <w:t>0.00</w:t>
            </w:r>
          </w:p>
        </w:tc>
        <w:tc>
          <w:tcPr>
            <w:tcW w:w="1965" w:type="dxa"/>
            <w:vAlign w:val="center"/>
          </w:tcPr>
          <w:p w14:paraId="7D2EFF83">
            <w:pPr>
              <w:spacing w:after="0" w:line="240" w:lineRule="auto"/>
              <w:jc w:val="center"/>
              <w:rPr>
                <w:sz w:val="28"/>
                <w:szCs w:val="28"/>
              </w:rPr>
            </w:pPr>
            <w:r>
              <w:rPr>
                <w:sz w:val="28"/>
                <w:szCs w:val="28"/>
              </w:rPr>
              <w:t>0.00</w:t>
            </w:r>
          </w:p>
        </w:tc>
      </w:tr>
      <w:tr w14:paraId="2B6D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0DF58A6D">
            <w:pPr>
              <w:spacing w:after="0" w:line="240" w:lineRule="auto"/>
              <w:jc w:val="center"/>
              <w:rPr>
                <w:b/>
                <w:bCs/>
                <w:sz w:val="28"/>
                <w:szCs w:val="28"/>
              </w:rPr>
            </w:pPr>
            <w:r>
              <w:rPr>
                <w:b/>
                <w:bCs/>
                <w:sz w:val="28"/>
                <w:szCs w:val="28"/>
              </w:rPr>
              <w:t>资源勘探工业信息等支出</w:t>
            </w:r>
          </w:p>
        </w:tc>
        <w:tc>
          <w:tcPr>
            <w:tcW w:w="1965" w:type="dxa"/>
            <w:vAlign w:val="center"/>
          </w:tcPr>
          <w:p w14:paraId="363C696F">
            <w:pPr>
              <w:spacing w:after="0" w:line="240" w:lineRule="auto"/>
              <w:jc w:val="center"/>
              <w:rPr>
                <w:sz w:val="28"/>
                <w:szCs w:val="28"/>
              </w:rPr>
            </w:pPr>
            <w:r>
              <w:rPr>
                <w:sz w:val="28"/>
                <w:szCs w:val="28"/>
              </w:rPr>
              <w:t>0.00</w:t>
            </w:r>
          </w:p>
        </w:tc>
        <w:tc>
          <w:tcPr>
            <w:tcW w:w="2010" w:type="dxa"/>
            <w:vAlign w:val="center"/>
          </w:tcPr>
          <w:p w14:paraId="1B6D153D">
            <w:pPr>
              <w:spacing w:after="0" w:line="240" w:lineRule="auto"/>
              <w:jc w:val="center"/>
              <w:rPr>
                <w:sz w:val="28"/>
                <w:szCs w:val="28"/>
              </w:rPr>
            </w:pPr>
            <w:r>
              <w:rPr>
                <w:sz w:val="28"/>
                <w:szCs w:val="28"/>
              </w:rPr>
              <w:t>0.00</w:t>
            </w:r>
          </w:p>
        </w:tc>
        <w:tc>
          <w:tcPr>
            <w:tcW w:w="1965" w:type="dxa"/>
            <w:vAlign w:val="center"/>
          </w:tcPr>
          <w:p w14:paraId="1E27EFC2">
            <w:pPr>
              <w:spacing w:after="0" w:line="240" w:lineRule="auto"/>
              <w:jc w:val="center"/>
              <w:rPr>
                <w:sz w:val="28"/>
                <w:szCs w:val="28"/>
              </w:rPr>
            </w:pPr>
            <w:r>
              <w:rPr>
                <w:sz w:val="28"/>
                <w:szCs w:val="28"/>
              </w:rPr>
              <w:t>0.00</w:t>
            </w:r>
          </w:p>
        </w:tc>
      </w:tr>
      <w:tr w14:paraId="2D36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07998936">
            <w:pPr>
              <w:spacing w:after="0" w:line="240" w:lineRule="auto"/>
              <w:jc w:val="center"/>
              <w:rPr>
                <w:b/>
                <w:bCs/>
                <w:sz w:val="28"/>
                <w:szCs w:val="28"/>
              </w:rPr>
            </w:pPr>
            <w:r>
              <w:rPr>
                <w:b/>
                <w:bCs/>
                <w:sz w:val="28"/>
                <w:szCs w:val="28"/>
              </w:rPr>
              <w:t>商业服务业等支出</w:t>
            </w:r>
          </w:p>
        </w:tc>
        <w:tc>
          <w:tcPr>
            <w:tcW w:w="1965" w:type="dxa"/>
            <w:vAlign w:val="center"/>
          </w:tcPr>
          <w:p w14:paraId="1B1FAD28">
            <w:pPr>
              <w:spacing w:after="0" w:line="240" w:lineRule="auto"/>
              <w:jc w:val="center"/>
              <w:rPr>
                <w:sz w:val="28"/>
                <w:szCs w:val="28"/>
              </w:rPr>
            </w:pPr>
            <w:r>
              <w:rPr>
                <w:sz w:val="28"/>
                <w:szCs w:val="28"/>
              </w:rPr>
              <w:t>0.00</w:t>
            </w:r>
          </w:p>
        </w:tc>
        <w:tc>
          <w:tcPr>
            <w:tcW w:w="2010" w:type="dxa"/>
            <w:vAlign w:val="center"/>
          </w:tcPr>
          <w:p w14:paraId="3BD131C2">
            <w:pPr>
              <w:spacing w:after="0" w:line="240" w:lineRule="auto"/>
              <w:jc w:val="center"/>
              <w:rPr>
                <w:sz w:val="28"/>
                <w:szCs w:val="28"/>
              </w:rPr>
            </w:pPr>
            <w:r>
              <w:rPr>
                <w:sz w:val="28"/>
                <w:szCs w:val="28"/>
              </w:rPr>
              <w:t>0.00</w:t>
            </w:r>
          </w:p>
        </w:tc>
        <w:tc>
          <w:tcPr>
            <w:tcW w:w="1965" w:type="dxa"/>
            <w:vAlign w:val="center"/>
          </w:tcPr>
          <w:p w14:paraId="0092868B">
            <w:pPr>
              <w:spacing w:after="0" w:line="240" w:lineRule="auto"/>
              <w:jc w:val="center"/>
              <w:rPr>
                <w:sz w:val="28"/>
                <w:szCs w:val="28"/>
              </w:rPr>
            </w:pPr>
            <w:r>
              <w:rPr>
                <w:sz w:val="28"/>
                <w:szCs w:val="28"/>
              </w:rPr>
              <w:t>0.00</w:t>
            </w:r>
          </w:p>
        </w:tc>
      </w:tr>
      <w:tr w14:paraId="6F82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6BAC784B">
            <w:pPr>
              <w:spacing w:after="0" w:line="240" w:lineRule="auto"/>
              <w:jc w:val="center"/>
              <w:rPr>
                <w:b/>
                <w:bCs/>
                <w:sz w:val="28"/>
                <w:szCs w:val="28"/>
              </w:rPr>
            </w:pPr>
            <w:r>
              <w:rPr>
                <w:b/>
                <w:bCs/>
                <w:sz w:val="28"/>
                <w:szCs w:val="28"/>
              </w:rPr>
              <w:t>金融支出</w:t>
            </w:r>
          </w:p>
        </w:tc>
        <w:tc>
          <w:tcPr>
            <w:tcW w:w="1965" w:type="dxa"/>
            <w:vAlign w:val="center"/>
          </w:tcPr>
          <w:p w14:paraId="370439B0">
            <w:pPr>
              <w:spacing w:after="0" w:line="240" w:lineRule="auto"/>
              <w:jc w:val="center"/>
              <w:rPr>
                <w:sz w:val="28"/>
                <w:szCs w:val="28"/>
              </w:rPr>
            </w:pPr>
            <w:r>
              <w:rPr>
                <w:sz w:val="28"/>
                <w:szCs w:val="28"/>
              </w:rPr>
              <w:t>0.00</w:t>
            </w:r>
          </w:p>
        </w:tc>
        <w:tc>
          <w:tcPr>
            <w:tcW w:w="2010" w:type="dxa"/>
            <w:vAlign w:val="center"/>
          </w:tcPr>
          <w:p w14:paraId="3F8A6F78">
            <w:pPr>
              <w:spacing w:after="0" w:line="240" w:lineRule="auto"/>
              <w:jc w:val="center"/>
              <w:rPr>
                <w:sz w:val="28"/>
                <w:szCs w:val="28"/>
              </w:rPr>
            </w:pPr>
            <w:r>
              <w:rPr>
                <w:sz w:val="28"/>
                <w:szCs w:val="28"/>
              </w:rPr>
              <w:t>0.00</w:t>
            </w:r>
          </w:p>
        </w:tc>
        <w:tc>
          <w:tcPr>
            <w:tcW w:w="1965" w:type="dxa"/>
            <w:vAlign w:val="center"/>
          </w:tcPr>
          <w:p w14:paraId="6BFC343A">
            <w:pPr>
              <w:spacing w:after="0" w:line="240" w:lineRule="auto"/>
              <w:jc w:val="center"/>
              <w:rPr>
                <w:sz w:val="28"/>
                <w:szCs w:val="28"/>
              </w:rPr>
            </w:pPr>
            <w:r>
              <w:rPr>
                <w:sz w:val="28"/>
                <w:szCs w:val="28"/>
              </w:rPr>
              <w:t>0.00</w:t>
            </w:r>
          </w:p>
        </w:tc>
      </w:tr>
      <w:tr w14:paraId="56EF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2F50D59F">
            <w:pPr>
              <w:spacing w:after="0" w:line="240" w:lineRule="auto"/>
              <w:jc w:val="center"/>
              <w:rPr>
                <w:b/>
                <w:bCs/>
                <w:sz w:val="28"/>
                <w:szCs w:val="28"/>
              </w:rPr>
            </w:pPr>
            <w:r>
              <w:rPr>
                <w:b/>
                <w:bCs/>
                <w:sz w:val="28"/>
                <w:szCs w:val="28"/>
              </w:rPr>
              <w:t>援助其他地区支出</w:t>
            </w:r>
          </w:p>
        </w:tc>
        <w:tc>
          <w:tcPr>
            <w:tcW w:w="1965" w:type="dxa"/>
            <w:vAlign w:val="center"/>
          </w:tcPr>
          <w:p w14:paraId="40E500E4">
            <w:pPr>
              <w:spacing w:after="0" w:line="240" w:lineRule="auto"/>
              <w:jc w:val="center"/>
              <w:rPr>
                <w:sz w:val="28"/>
                <w:szCs w:val="28"/>
              </w:rPr>
            </w:pPr>
            <w:r>
              <w:rPr>
                <w:sz w:val="28"/>
                <w:szCs w:val="28"/>
              </w:rPr>
              <w:t>0.00</w:t>
            </w:r>
          </w:p>
        </w:tc>
        <w:tc>
          <w:tcPr>
            <w:tcW w:w="2010" w:type="dxa"/>
            <w:vAlign w:val="center"/>
          </w:tcPr>
          <w:p w14:paraId="0D5E67FF">
            <w:pPr>
              <w:spacing w:after="0" w:line="240" w:lineRule="auto"/>
              <w:jc w:val="center"/>
              <w:rPr>
                <w:sz w:val="28"/>
                <w:szCs w:val="28"/>
              </w:rPr>
            </w:pPr>
            <w:r>
              <w:rPr>
                <w:sz w:val="28"/>
                <w:szCs w:val="28"/>
              </w:rPr>
              <w:t>0.00</w:t>
            </w:r>
          </w:p>
        </w:tc>
        <w:tc>
          <w:tcPr>
            <w:tcW w:w="1965" w:type="dxa"/>
            <w:vAlign w:val="center"/>
          </w:tcPr>
          <w:p w14:paraId="27C4B2F2">
            <w:pPr>
              <w:spacing w:after="0" w:line="240" w:lineRule="auto"/>
              <w:jc w:val="center"/>
              <w:rPr>
                <w:sz w:val="28"/>
                <w:szCs w:val="28"/>
              </w:rPr>
            </w:pPr>
            <w:r>
              <w:rPr>
                <w:sz w:val="28"/>
                <w:szCs w:val="28"/>
              </w:rPr>
              <w:t>0.00</w:t>
            </w:r>
          </w:p>
        </w:tc>
      </w:tr>
      <w:tr w14:paraId="2179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1FB008FF">
            <w:pPr>
              <w:spacing w:after="0" w:line="240" w:lineRule="auto"/>
              <w:jc w:val="center"/>
              <w:rPr>
                <w:b/>
                <w:bCs/>
                <w:sz w:val="28"/>
                <w:szCs w:val="28"/>
              </w:rPr>
            </w:pPr>
            <w:r>
              <w:rPr>
                <w:b/>
                <w:bCs/>
                <w:sz w:val="28"/>
                <w:szCs w:val="28"/>
              </w:rPr>
              <w:t>自然资源海洋气象等支出</w:t>
            </w:r>
          </w:p>
        </w:tc>
        <w:tc>
          <w:tcPr>
            <w:tcW w:w="1965" w:type="dxa"/>
            <w:vAlign w:val="center"/>
          </w:tcPr>
          <w:p w14:paraId="290DF2AE">
            <w:pPr>
              <w:spacing w:after="0" w:line="240" w:lineRule="auto"/>
              <w:jc w:val="center"/>
              <w:rPr>
                <w:sz w:val="28"/>
                <w:szCs w:val="28"/>
              </w:rPr>
            </w:pPr>
            <w:r>
              <w:rPr>
                <w:sz w:val="28"/>
                <w:szCs w:val="28"/>
              </w:rPr>
              <w:t>0.00</w:t>
            </w:r>
          </w:p>
        </w:tc>
        <w:tc>
          <w:tcPr>
            <w:tcW w:w="2010" w:type="dxa"/>
            <w:vAlign w:val="center"/>
          </w:tcPr>
          <w:p w14:paraId="009D2FCE">
            <w:pPr>
              <w:spacing w:after="0" w:line="240" w:lineRule="auto"/>
              <w:jc w:val="center"/>
              <w:rPr>
                <w:sz w:val="28"/>
                <w:szCs w:val="28"/>
              </w:rPr>
            </w:pPr>
            <w:r>
              <w:rPr>
                <w:sz w:val="28"/>
                <w:szCs w:val="28"/>
              </w:rPr>
              <w:t>0.00</w:t>
            </w:r>
          </w:p>
        </w:tc>
        <w:tc>
          <w:tcPr>
            <w:tcW w:w="1965" w:type="dxa"/>
            <w:vAlign w:val="center"/>
          </w:tcPr>
          <w:p w14:paraId="28C7A83F">
            <w:pPr>
              <w:spacing w:after="0" w:line="240" w:lineRule="auto"/>
              <w:jc w:val="center"/>
              <w:rPr>
                <w:sz w:val="28"/>
                <w:szCs w:val="28"/>
              </w:rPr>
            </w:pPr>
            <w:r>
              <w:rPr>
                <w:sz w:val="28"/>
                <w:szCs w:val="28"/>
              </w:rPr>
              <w:t>0.00</w:t>
            </w:r>
          </w:p>
        </w:tc>
      </w:tr>
      <w:tr w14:paraId="3981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548D18B0">
            <w:pPr>
              <w:spacing w:after="0" w:line="240" w:lineRule="auto"/>
              <w:jc w:val="center"/>
              <w:rPr>
                <w:b/>
                <w:bCs/>
                <w:sz w:val="28"/>
                <w:szCs w:val="28"/>
              </w:rPr>
            </w:pPr>
            <w:r>
              <w:rPr>
                <w:b/>
                <w:bCs/>
                <w:sz w:val="28"/>
                <w:szCs w:val="28"/>
              </w:rPr>
              <w:t>住房保障支出</w:t>
            </w:r>
          </w:p>
        </w:tc>
        <w:tc>
          <w:tcPr>
            <w:tcW w:w="1965" w:type="dxa"/>
            <w:vAlign w:val="center"/>
          </w:tcPr>
          <w:p w14:paraId="4B9D09F8">
            <w:pPr>
              <w:spacing w:after="0" w:line="240" w:lineRule="auto"/>
              <w:jc w:val="center"/>
              <w:rPr>
                <w:sz w:val="28"/>
                <w:szCs w:val="28"/>
              </w:rPr>
            </w:pPr>
            <w:r>
              <w:rPr>
                <w:sz w:val="28"/>
                <w:szCs w:val="28"/>
              </w:rPr>
              <w:t>66.09</w:t>
            </w:r>
          </w:p>
        </w:tc>
        <w:tc>
          <w:tcPr>
            <w:tcW w:w="2010" w:type="dxa"/>
            <w:vAlign w:val="center"/>
          </w:tcPr>
          <w:p w14:paraId="72AE6EA4">
            <w:pPr>
              <w:spacing w:after="0" w:line="240" w:lineRule="auto"/>
              <w:jc w:val="center"/>
              <w:rPr>
                <w:sz w:val="28"/>
                <w:szCs w:val="28"/>
              </w:rPr>
            </w:pPr>
            <w:r>
              <w:rPr>
                <w:sz w:val="28"/>
                <w:szCs w:val="28"/>
              </w:rPr>
              <w:t>66.09</w:t>
            </w:r>
          </w:p>
        </w:tc>
        <w:tc>
          <w:tcPr>
            <w:tcW w:w="1965" w:type="dxa"/>
            <w:vAlign w:val="center"/>
          </w:tcPr>
          <w:p w14:paraId="2595AEBB">
            <w:pPr>
              <w:spacing w:after="0" w:line="240" w:lineRule="auto"/>
              <w:jc w:val="center"/>
              <w:rPr>
                <w:sz w:val="28"/>
                <w:szCs w:val="28"/>
              </w:rPr>
            </w:pPr>
            <w:r>
              <w:rPr>
                <w:sz w:val="28"/>
                <w:szCs w:val="28"/>
              </w:rPr>
              <w:t>66.09</w:t>
            </w:r>
          </w:p>
        </w:tc>
      </w:tr>
      <w:tr w14:paraId="74AD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7E2A4DF1">
            <w:pPr>
              <w:spacing w:after="0" w:line="240" w:lineRule="auto"/>
              <w:jc w:val="center"/>
              <w:rPr>
                <w:b/>
                <w:bCs/>
                <w:sz w:val="28"/>
                <w:szCs w:val="28"/>
              </w:rPr>
            </w:pPr>
            <w:r>
              <w:rPr>
                <w:b/>
                <w:bCs/>
                <w:sz w:val="28"/>
                <w:szCs w:val="28"/>
              </w:rPr>
              <w:t>粮油物资储备支出</w:t>
            </w:r>
          </w:p>
        </w:tc>
        <w:tc>
          <w:tcPr>
            <w:tcW w:w="1965" w:type="dxa"/>
            <w:vAlign w:val="center"/>
          </w:tcPr>
          <w:p w14:paraId="1D741F44">
            <w:pPr>
              <w:spacing w:after="0" w:line="240" w:lineRule="auto"/>
              <w:jc w:val="center"/>
              <w:rPr>
                <w:sz w:val="28"/>
                <w:szCs w:val="28"/>
              </w:rPr>
            </w:pPr>
            <w:r>
              <w:rPr>
                <w:sz w:val="28"/>
                <w:szCs w:val="28"/>
              </w:rPr>
              <w:t>0.00</w:t>
            </w:r>
          </w:p>
        </w:tc>
        <w:tc>
          <w:tcPr>
            <w:tcW w:w="2010" w:type="dxa"/>
            <w:vAlign w:val="center"/>
          </w:tcPr>
          <w:p w14:paraId="6A79B673">
            <w:pPr>
              <w:spacing w:after="0" w:line="240" w:lineRule="auto"/>
              <w:jc w:val="center"/>
              <w:rPr>
                <w:sz w:val="28"/>
                <w:szCs w:val="28"/>
              </w:rPr>
            </w:pPr>
            <w:r>
              <w:rPr>
                <w:sz w:val="28"/>
                <w:szCs w:val="28"/>
              </w:rPr>
              <w:t>0.00</w:t>
            </w:r>
          </w:p>
        </w:tc>
        <w:tc>
          <w:tcPr>
            <w:tcW w:w="1965" w:type="dxa"/>
            <w:vAlign w:val="center"/>
          </w:tcPr>
          <w:p w14:paraId="33240CF5">
            <w:pPr>
              <w:spacing w:after="0" w:line="240" w:lineRule="auto"/>
              <w:jc w:val="center"/>
              <w:rPr>
                <w:sz w:val="28"/>
                <w:szCs w:val="28"/>
              </w:rPr>
            </w:pPr>
            <w:r>
              <w:rPr>
                <w:sz w:val="28"/>
                <w:szCs w:val="28"/>
              </w:rPr>
              <w:t>0.00</w:t>
            </w:r>
          </w:p>
        </w:tc>
      </w:tr>
      <w:tr w14:paraId="1991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2B5014B5">
            <w:pPr>
              <w:spacing w:after="0" w:line="240" w:lineRule="auto"/>
              <w:jc w:val="center"/>
              <w:rPr>
                <w:b/>
                <w:bCs/>
                <w:sz w:val="28"/>
                <w:szCs w:val="28"/>
              </w:rPr>
            </w:pPr>
            <w:r>
              <w:rPr>
                <w:b/>
                <w:bCs/>
                <w:sz w:val="28"/>
                <w:szCs w:val="28"/>
              </w:rPr>
              <w:t>国有资本经营预算支出</w:t>
            </w:r>
          </w:p>
        </w:tc>
        <w:tc>
          <w:tcPr>
            <w:tcW w:w="1965" w:type="dxa"/>
            <w:vAlign w:val="center"/>
          </w:tcPr>
          <w:p w14:paraId="1A376CEA">
            <w:pPr>
              <w:spacing w:after="0" w:line="240" w:lineRule="auto"/>
              <w:jc w:val="center"/>
              <w:rPr>
                <w:sz w:val="28"/>
                <w:szCs w:val="28"/>
              </w:rPr>
            </w:pPr>
            <w:r>
              <w:rPr>
                <w:sz w:val="28"/>
                <w:szCs w:val="28"/>
              </w:rPr>
              <w:t>0.00</w:t>
            </w:r>
          </w:p>
        </w:tc>
        <w:tc>
          <w:tcPr>
            <w:tcW w:w="2010" w:type="dxa"/>
            <w:vAlign w:val="center"/>
          </w:tcPr>
          <w:p w14:paraId="172E8FEC">
            <w:pPr>
              <w:spacing w:after="0" w:line="240" w:lineRule="auto"/>
              <w:jc w:val="center"/>
              <w:rPr>
                <w:sz w:val="28"/>
                <w:szCs w:val="28"/>
              </w:rPr>
            </w:pPr>
            <w:r>
              <w:rPr>
                <w:sz w:val="28"/>
                <w:szCs w:val="28"/>
              </w:rPr>
              <w:t>0.00</w:t>
            </w:r>
          </w:p>
        </w:tc>
        <w:tc>
          <w:tcPr>
            <w:tcW w:w="1965" w:type="dxa"/>
            <w:vAlign w:val="center"/>
          </w:tcPr>
          <w:p w14:paraId="777144D0">
            <w:pPr>
              <w:spacing w:after="0" w:line="240" w:lineRule="auto"/>
              <w:jc w:val="center"/>
              <w:rPr>
                <w:sz w:val="28"/>
                <w:szCs w:val="28"/>
              </w:rPr>
            </w:pPr>
            <w:r>
              <w:rPr>
                <w:sz w:val="28"/>
                <w:szCs w:val="28"/>
              </w:rPr>
              <w:t>0.00</w:t>
            </w:r>
          </w:p>
        </w:tc>
      </w:tr>
      <w:tr w14:paraId="1A53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2EA8F42A">
            <w:pPr>
              <w:spacing w:after="0" w:line="240" w:lineRule="auto"/>
              <w:jc w:val="center"/>
              <w:rPr>
                <w:b/>
                <w:bCs/>
                <w:sz w:val="28"/>
                <w:szCs w:val="28"/>
              </w:rPr>
            </w:pPr>
            <w:r>
              <w:rPr>
                <w:b/>
                <w:bCs/>
                <w:sz w:val="28"/>
                <w:szCs w:val="28"/>
              </w:rPr>
              <w:t>灾害防治及应急管理支出</w:t>
            </w:r>
          </w:p>
        </w:tc>
        <w:tc>
          <w:tcPr>
            <w:tcW w:w="1965" w:type="dxa"/>
            <w:vAlign w:val="center"/>
          </w:tcPr>
          <w:p w14:paraId="0CCE835B">
            <w:pPr>
              <w:spacing w:after="0" w:line="240" w:lineRule="auto"/>
              <w:jc w:val="center"/>
              <w:rPr>
                <w:sz w:val="28"/>
                <w:szCs w:val="28"/>
              </w:rPr>
            </w:pPr>
            <w:r>
              <w:rPr>
                <w:sz w:val="28"/>
                <w:szCs w:val="28"/>
              </w:rPr>
              <w:t>0.00</w:t>
            </w:r>
          </w:p>
        </w:tc>
        <w:tc>
          <w:tcPr>
            <w:tcW w:w="2010" w:type="dxa"/>
            <w:vAlign w:val="center"/>
          </w:tcPr>
          <w:p w14:paraId="72118E87">
            <w:pPr>
              <w:spacing w:after="0" w:line="240" w:lineRule="auto"/>
              <w:jc w:val="center"/>
              <w:rPr>
                <w:sz w:val="28"/>
                <w:szCs w:val="28"/>
              </w:rPr>
            </w:pPr>
            <w:r>
              <w:rPr>
                <w:sz w:val="28"/>
                <w:szCs w:val="28"/>
              </w:rPr>
              <w:t>0.00</w:t>
            </w:r>
          </w:p>
        </w:tc>
        <w:tc>
          <w:tcPr>
            <w:tcW w:w="1965" w:type="dxa"/>
            <w:vAlign w:val="center"/>
          </w:tcPr>
          <w:p w14:paraId="63FAE010">
            <w:pPr>
              <w:spacing w:after="0" w:line="240" w:lineRule="auto"/>
              <w:jc w:val="center"/>
              <w:rPr>
                <w:sz w:val="28"/>
                <w:szCs w:val="28"/>
              </w:rPr>
            </w:pPr>
            <w:r>
              <w:rPr>
                <w:sz w:val="28"/>
                <w:szCs w:val="28"/>
              </w:rPr>
              <w:t>0.00</w:t>
            </w:r>
          </w:p>
        </w:tc>
      </w:tr>
      <w:tr w14:paraId="48D8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5C69E1A1">
            <w:pPr>
              <w:spacing w:after="0" w:line="240" w:lineRule="auto"/>
              <w:jc w:val="center"/>
              <w:rPr>
                <w:b/>
                <w:bCs/>
                <w:sz w:val="28"/>
                <w:szCs w:val="28"/>
              </w:rPr>
            </w:pPr>
            <w:r>
              <w:rPr>
                <w:b/>
                <w:bCs/>
                <w:sz w:val="28"/>
                <w:szCs w:val="28"/>
              </w:rPr>
              <w:t>其他支出</w:t>
            </w:r>
          </w:p>
        </w:tc>
        <w:tc>
          <w:tcPr>
            <w:tcW w:w="1965" w:type="dxa"/>
            <w:vAlign w:val="center"/>
          </w:tcPr>
          <w:p w14:paraId="21E13320">
            <w:pPr>
              <w:spacing w:after="0" w:line="240" w:lineRule="auto"/>
              <w:jc w:val="center"/>
              <w:rPr>
                <w:sz w:val="28"/>
                <w:szCs w:val="28"/>
              </w:rPr>
            </w:pPr>
            <w:r>
              <w:rPr>
                <w:sz w:val="28"/>
                <w:szCs w:val="28"/>
              </w:rPr>
              <w:t>0.00</w:t>
            </w:r>
          </w:p>
        </w:tc>
        <w:tc>
          <w:tcPr>
            <w:tcW w:w="2010" w:type="dxa"/>
            <w:vAlign w:val="center"/>
          </w:tcPr>
          <w:p w14:paraId="5D743EAA">
            <w:pPr>
              <w:spacing w:after="0" w:line="240" w:lineRule="auto"/>
              <w:jc w:val="center"/>
              <w:rPr>
                <w:sz w:val="28"/>
                <w:szCs w:val="28"/>
              </w:rPr>
            </w:pPr>
            <w:r>
              <w:rPr>
                <w:sz w:val="28"/>
                <w:szCs w:val="28"/>
              </w:rPr>
              <w:t>0.00</w:t>
            </w:r>
          </w:p>
        </w:tc>
        <w:tc>
          <w:tcPr>
            <w:tcW w:w="1965" w:type="dxa"/>
            <w:vAlign w:val="center"/>
          </w:tcPr>
          <w:p w14:paraId="11E653E8">
            <w:pPr>
              <w:spacing w:after="0" w:line="240" w:lineRule="auto"/>
              <w:jc w:val="center"/>
              <w:rPr>
                <w:sz w:val="28"/>
                <w:szCs w:val="28"/>
              </w:rPr>
            </w:pPr>
            <w:r>
              <w:rPr>
                <w:sz w:val="28"/>
                <w:szCs w:val="28"/>
              </w:rPr>
              <w:t>0.00</w:t>
            </w:r>
          </w:p>
        </w:tc>
      </w:tr>
      <w:tr w14:paraId="132D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5E1D4A24">
            <w:pPr>
              <w:spacing w:after="0" w:line="240" w:lineRule="auto"/>
              <w:jc w:val="center"/>
              <w:rPr>
                <w:b/>
                <w:bCs/>
                <w:sz w:val="28"/>
                <w:szCs w:val="28"/>
              </w:rPr>
            </w:pPr>
            <w:r>
              <w:rPr>
                <w:b/>
                <w:bCs/>
                <w:sz w:val="28"/>
                <w:szCs w:val="28"/>
              </w:rPr>
              <w:t>债务还本支出</w:t>
            </w:r>
          </w:p>
        </w:tc>
        <w:tc>
          <w:tcPr>
            <w:tcW w:w="1965" w:type="dxa"/>
            <w:vAlign w:val="center"/>
          </w:tcPr>
          <w:p w14:paraId="591C0285">
            <w:pPr>
              <w:spacing w:after="0" w:line="240" w:lineRule="auto"/>
              <w:jc w:val="center"/>
              <w:rPr>
                <w:sz w:val="28"/>
                <w:szCs w:val="28"/>
              </w:rPr>
            </w:pPr>
            <w:r>
              <w:rPr>
                <w:sz w:val="28"/>
                <w:szCs w:val="28"/>
              </w:rPr>
              <w:t>0.00</w:t>
            </w:r>
          </w:p>
        </w:tc>
        <w:tc>
          <w:tcPr>
            <w:tcW w:w="2010" w:type="dxa"/>
            <w:vAlign w:val="center"/>
          </w:tcPr>
          <w:p w14:paraId="3C60F115">
            <w:pPr>
              <w:spacing w:after="0" w:line="240" w:lineRule="auto"/>
              <w:jc w:val="center"/>
              <w:rPr>
                <w:sz w:val="28"/>
                <w:szCs w:val="28"/>
              </w:rPr>
            </w:pPr>
            <w:r>
              <w:rPr>
                <w:sz w:val="28"/>
                <w:szCs w:val="28"/>
              </w:rPr>
              <w:t>0.00</w:t>
            </w:r>
          </w:p>
        </w:tc>
        <w:tc>
          <w:tcPr>
            <w:tcW w:w="1965" w:type="dxa"/>
            <w:vAlign w:val="center"/>
          </w:tcPr>
          <w:p w14:paraId="6F2A4EA7">
            <w:pPr>
              <w:spacing w:after="0" w:line="240" w:lineRule="auto"/>
              <w:jc w:val="center"/>
              <w:rPr>
                <w:sz w:val="28"/>
                <w:szCs w:val="28"/>
              </w:rPr>
            </w:pPr>
            <w:r>
              <w:rPr>
                <w:sz w:val="28"/>
                <w:szCs w:val="28"/>
              </w:rPr>
              <w:t>0.00</w:t>
            </w:r>
          </w:p>
        </w:tc>
      </w:tr>
      <w:tr w14:paraId="2596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314145D8">
            <w:pPr>
              <w:spacing w:after="0" w:line="240" w:lineRule="auto"/>
              <w:jc w:val="center"/>
              <w:rPr>
                <w:b/>
                <w:bCs/>
                <w:sz w:val="28"/>
                <w:szCs w:val="28"/>
              </w:rPr>
            </w:pPr>
            <w:r>
              <w:rPr>
                <w:b/>
                <w:bCs/>
                <w:sz w:val="28"/>
                <w:szCs w:val="28"/>
              </w:rPr>
              <w:t>债务付息支出</w:t>
            </w:r>
          </w:p>
        </w:tc>
        <w:tc>
          <w:tcPr>
            <w:tcW w:w="1965" w:type="dxa"/>
            <w:vAlign w:val="center"/>
          </w:tcPr>
          <w:p w14:paraId="418C7D04">
            <w:pPr>
              <w:spacing w:after="0" w:line="240" w:lineRule="auto"/>
              <w:jc w:val="center"/>
              <w:rPr>
                <w:sz w:val="28"/>
                <w:szCs w:val="28"/>
              </w:rPr>
            </w:pPr>
            <w:r>
              <w:rPr>
                <w:sz w:val="28"/>
                <w:szCs w:val="28"/>
              </w:rPr>
              <w:t>0.00</w:t>
            </w:r>
          </w:p>
        </w:tc>
        <w:tc>
          <w:tcPr>
            <w:tcW w:w="2010" w:type="dxa"/>
            <w:vAlign w:val="center"/>
          </w:tcPr>
          <w:p w14:paraId="5F08D267">
            <w:pPr>
              <w:spacing w:after="0" w:line="240" w:lineRule="auto"/>
              <w:jc w:val="center"/>
              <w:rPr>
                <w:sz w:val="28"/>
                <w:szCs w:val="28"/>
              </w:rPr>
            </w:pPr>
            <w:r>
              <w:rPr>
                <w:sz w:val="28"/>
                <w:szCs w:val="28"/>
              </w:rPr>
              <w:t>0.00</w:t>
            </w:r>
          </w:p>
        </w:tc>
        <w:tc>
          <w:tcPr>
            <w:tcW w:w="1965" w:type="dxa"/>
            <w:vAlign w:val="center"/>
          </w:tcPr>
          <w:p w14:paraId="73DF1A0A">
            <w:pPr>
              <w:spacing w:after="0" w:line="240" w:lineRule="auto"/>
              <w:jc w:val="center"/>
              <w:rPr>
                <w:sz w:val="28"/>
                <w:szCs w:val="28"/>
              </w:rPr>
            </w:pPr>
            <w:r>
              <w:rPr>
                <w:sz w:val="28"/>
                <w:szCs w:val="28"/>
              </w:rPr>
              <w:t>0.00</w:t>
            </w:r>
          </w:p>
        </w:tc>
      </w:tr>
      <w:tr w14:paraId="21AE2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70" w:type="dxa"/>
            <w:vAlign w:val="center"/>
          </w:tcPr>
          <w:p w14:paraId="0FAAF71F">
            <w:pPr>
              <w:spacing w:after="0" w:line="240" w:lineRule="auto"/>
              <w:jc w:val="center"/>
              <w:rPr>
                <w:b/>
                <w:bCs/>
                <w:sz w:val="28"/>
                <w:szCs w:val="28"/>
              </w:rPr>
            </w:pPr>
            <w:r>
              <w:rPr>
                <w:b/>
                <w:bCs/>
                <w:sz w:val="28"/>
                <w:szCs w:val="28"/>
              </w:rPr>
              <w:t>抗疫特别国债安排的支出</w:t>
            </w:r>
          </w:p>
        </w:tc>
        <w:tc>
          <w:tcPr>
            <w:tcW w:w="1965" w:type="dxa"/>
            <w:vAlign w:val="center"/>
          </w:tcPr>
          <w:p w14:paraId="7AD65FCF">
            <w:pPr>
              <w:spacing w:after="0" w:line="240" w:lineRule="auto"/>
              <w:jc w:val="center"/>
              <w:rPr>
                <w:sz w:val="28"/>
                <w:szCs w:val="28"/>
              </w:rPr>
            </w:pPr>
            <w:r>
              <w:rPr>
                <w:sz w:val="28"/>
                <w:szCs w:val="28"/>
              </w:rPr>
              <w:t>0.00</w:t>
            </w:r>
          </w:p>
        </w:tc>
        <w:tc>
          <w:tcPr>
            <w:tcW w:w="2010" w:type="dxa"/>
            <w:vAlign w:val="center"/>
          </w:tcPr>
          <w:p w14:paraId="08894DC6">
            <w:pPr>
              <w:spacing w:after="0" w:line="240" w:lineRule="auto"/>
              <w:jc w:val="center"/>
              <w:rPr>
                <w:sz w:val="28"/>
                <w:szCs w:val="28"/>
              </w:rPr>
            </w:pPr>
            <w:r>
              <w:rPr>
                <w:sz w:val="28"/>
                <w:szCs w:val="28"/>
              </w:rPr>
              <w:t>0.00</w:t>
            </w:r>
          </w:p>
        </w:tc>
        <w:tc>
          <w:tcPr>
            <w:tcW w:w="1965" w:type="dxa"/>
            <w:vAlign w:val="center"/>
          </w:tcPr>
          <w:p w14:paraId="56E2BF37">
            <w:pPr>
              <w:spacing w:after="0" w:line="240" w:lineRule="auto"/>
              <w:jc w:val="center"/>
              <w:rPr>
                <w:sz w:val="28"/>
                <w:szCs w:val="28"/>
              </w:rPr>
            </w:pPr>
            <w:r>
              <w:rPr>
                <w:sz w:val="28"/>
                <w:szCs w:val="28"/>
              </w:rPr>
              <w:t>0.00</w:t>
            </w:r>
          </w:p>
        </w:tc>
      </w:tr>
    </w:tbl>
    <w:p w14:paraId="600E378F"/>
    <w:p w14:paraId="02CA83C0">
      <w:pPr>
        <w:pStyle w:val="42"/>
        <w:spacing w:before="0" w:after="0" w:line="520" w:lineRule="atLeast"/>
        <w:ind w:firstLine="720"/>
      </w:pPr>
      <w:r>
        <w:rPr>
          <w:rFonts w:ascii="仿宋_GB2312" w:hAnsi="仿宋_GB2312" w:eastAsia="仿宋_GB2312" w:cs="仿宋_GB2312"/>
          <w:sz w:val="32"/>
          <w:szCs w:val="32"/>
        </w:rPr>
        <w:t>支出性质支出详情：</w:t>
      </w:r>
      <w:r>
        <w:rPr>
          <w:rFonts w:ascii="仿宋_GB2312" w:hAnsi="仿宋_GB2312" w:eastAsia="仿宋_GB2312" w:cs="仿宋_GB2312"/>
          <w:sz w:val="32"/>
          <w:szCs w:val="32"/>
        </w:rPr>
        <w:br w:type="textWrapping"/>
      </w:r>
    </w:p>
    <w:tbl>
      <w:tblPr>
        <w:tblStyle w:val="4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1"/>
        <w:gridCol w:w="1973"/>
        <w:gridCol w:w="2134"/>
        <w:gridCol w:w="2134"/>
      </w:tblGrid>
      <w:tr w14:paraId="0448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tcBorders>
              <w:bottom w:val="single" w:color="666666" w:themeColor="text1" w:themeTint="99" w:sz="12" w:space="0"/>
              <w:insideH w:val="single" w:sz="12" w:space="0"/>
            </w:tcBorders>
            <w:vAlign w:val="center"/>
          </w:tcPr>
          <w:p w14:paraId="69D63F68">
            <w:pPr>
              <w:spacing w:after="0" w:line="240" w:lineRule="auto"/>
              <w:jc w:val="center"/>
              <w:rPr>
                <w:b/>
                <w:bCs/>
                <w:sz w:val="28"/>
                <w:szCs w:val="28"/>
              </w:rPr>
            </w:pPr>
            <w:r>
              <w:rPr>
                <w:b/>
                <w:bCs/>
                <w:sz w:val="28"/>
                <w:szCs w:val="28"/>
              </w:rPr>
              <w:t>项目</w:t>
            </w:r>
          </w:p>
        </w:tc>
        <w:tc>
          <w:tcPr>
            <w:tcW w:w="1973" w:type="dxa"/>
            <w:tcBorders>
              <w:bottom w:val="single" w:color="666666" w:themeColor="text1" w:themeTint="99" w:sz="12" w:space="0"/>
              <w:insideH w:val="single" w:sz="12" w:space="0"/>
            </w:tcBorders>
            <w:vAlign w:val="center"/>
          </w:tcPr>
          <w:p w14:paraId="0397F1F0">
            <w:pPr>
              <w:spacing w:after="0" w:line="240" w:lineRule="auto"/>
              <w:jc w:val="center"/>
              <w:rPr>
                <w:b/>
                <w:bCs/>
                <w:sz w:val="28"/>
                <w:szCs w:val="28"/>
              </w:rPr>
            </w:pPr>
            <w:r>
              <w:rPr>
                <w:b/>
                <w:bCs/>
                <w:sz w:val="28"/>
                <w:szCs w:val="28"/>
              </w:rPr>
              <w:t>年初预算支出</w:t>
            </w:r>
          </w:p>
        </w:tc>
        <w:tc>
          <w:tcPr>
            <w:tcW w:w="2134" w:type="dxa"/>
            <w:tcBorders>
              <w:bottom w:val="single" w:color="666666" w:themeColor="text1" w:themeTint="99" w:sz="12" w:space="0"/>
              <w:insideH w:val="single" w:sz="12" w:space="0"/>
            </w:tcBorders>
            <w:vAlign w:val="center"/>
          </w:tcPr>
          <w:p w14:paraId="067DA4D8">
            <w:pPr>
              <w:spacing w:after="0" w:line="240" w:lineRule="auto"/>
              <w:jc w:val="center"/>
              <w:rPr>
                <w:b/>
                <w:bCs/>
                <w:sz w:val="28"/>
                <w:szCs w:val="28"/>
              </w:rPr>
            </w:pPr>
            <w:r>
              <w:rPr>
                <w:b/>
                <w:bCs/>
                <w:sz w:val="28"/>
                <w:szCs w:val="28"/>
              </w:rPr>
              <w:t>全年预算支出</w:t>
            </w:r>
          </w:p>
        </w:tc>
        <w:tc>
          <w:tcPr>
            <w:tcW w:w="2134" w:type="dxa"/>
            <w:tcBorders>
              <w:bottom w:val="single" w:color="666666" w:themeColor="text1" w:themeTint="99" w:sz="12" w:space="0"/>
              <w:insideH w:val="single" w:sz="12" w:space="0"/>
            </w:tcBorders>
            <w:vAlign w:val="center"/>
          </w:tcPr>
          <w:p w14:paraId="0CDD2BC7">
            <w:pPr>
              <w:spacing w:after="0" w:line="240" w:lineRule="auto"/>
              <w:jc w:val="center"/>
              <w:rPr>
                <w:b/>
                <w:bCs/>
                <w:sz w:val="28"/>
                <w:szCs w:val="28"/>
              </w:rPr>
            </w:pPr>
            <w:r>
              <w:rPr>
                <w:b/>
                <w:bCs/>
                <w:sz w:val="28"/>
                <w:szCs w:val="28"/>
              </w:rPr>
              <w:t>全年决算支出</w:t>
            </w:r>
          </w:p>
        </w:tc>
      </w:tr>
      <w:tr w14:paraId="2BEC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6AC83F82">
            <w:pPr>
              <w:spacing w:after="0" w:line="240" w:lineRule="auto"/>
              <w:jc w:val="center"/>
              <w:rPr>
                <w:b/>
                <w:bCs/>
                <w:sz w:val="28"/>
                <w:szCs w:val="28"/>
              </w:rPr>
            </w:pPr>
            <w:r>
              <w:rPr>
                <w:b/>
                <w:bCs/>
                <w:sz w:val="28"/>
                <w:szCs w:val="28"/>
              </w:rPr>
              <w:t>基本支出</w:t>
            </w:r>
          </w:p>
        </w:tc>
        <w:tc>
          <w:tcPr>
            <w:tcW w:w="1973" w:type="dxa"/>
            <w:vAlign w:val="center"/>
          </w:tcPr>
          <w:p w14:paraId="2C5CB0BD">
            <w:pPr>
              <w:spacing w:after="0" w:line="240" w:lineRule="auto"/>
              <w:jc w:val="center"/>
              <w:rPr>
                <w:sz w:val="28"/>
                <w:szCs w:val="28"/>
              </w:rPr>
            </w:pPr>
            <w:r>
              <w:rPr>
                <w:sz w:val="28"/>
                <w:szCs w:val="28"/>
              </w:rPr>
              <w:t>867.91</w:t>
            </w:r>
          </w:p>
        </w:tc>
        <w:tc>
          <w:tcPr>
            <w:tcW w:w="2134" w:type="dxa"/>
            <w:vAlign w:val="center"/>
          </w:tcPr>
          <w:p w14:paraId="5E782532">
            <w:pPr>
              <w:spacing w:after="0" w:line="240" w:lineRule="auto"/>
              <w:jc w:val="center"/>
              <w:rPr>
                <w:sz w:val="28"/>
                <w:szCs w:val="28"/>
              </w:rPr>
            </w:pPr>
            <w:r>
              <w:rPr>
                <w:sz w:val="28"/>
                <w:szCs w:val="28"/>
              </w:rPr>
              <w:t>867.91</w:t>
            </w:r>
          </w:p>
        </w:tc>
        <w:tc>
          <w:tcPr>
            <w:tcW w:w="2134" w:type="dxa"/>
            <w:vAlign w:val="center"/>
          </w:tcPr>
          <w:p w14:paraId="4E017122">
            <w:pPr>
              <w:spacing w:after="0" w:line="240" w:lineRule="auto"/>
              <w:jc w:val="center"/>
              <w:rPr>
                <w:sz w:val="28"/>
                <w:szCs w:val="28"/>
              </w:rPr>
            </w:pPr>
            <w:r>
              <w:rPr>
                <w:sz w:val="28"/>
                <w:szCs w:val="28"/>
              </w:rPr>
              <w:t>867.91</w:t>
            </w:r>
          </w:p>
        </w:tc>
      </w:tr>
      <w:tr w14:paraId="0D6C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34AF05F9">
            <w:pPr>
              <w:spacing w:after="0" w:line="240" w:lineRule="auto"/>
              <w:jc w:val="center"/>
              <w:rPr>
                <w:b/>
                <w:bCs/>
                <w:sz w:val="28"/>
                <w:szCs w:val="28"/>
              </w:rPr>
            </w:pPr>
            <w:r>
              <w:rPr>
                <w:b/>
                <w:bCs/>
                <w:sz w:val="28"/>
                <w:szCs w:val="28"/>
              </w:rPr>
              <w:t>人员经费</w:t>
            </w:r>
          </w:p>
        </w:tc>
        <w:tc>
          <w:tcPr>
            <w:tcW w:w="1973" w:type="dxa"/>
            <w:vAlign w:val="center"/>
          </w:tcPr>
          <w:p w14:paraId="23641E3C">
            <w:pPr>
              <w:spacing w:after="0" w:line="240" w:lineRule="auto"/>
              <w:jc w:val="center"/>
              <w:rPr>
                <w:sz w:val="28"/>
                <w:szCs w:val="28"/>
              </w:rPr>
            </w:pPr>
            <w:r>
              <w:rPr>
                <w:sz w:val="28"/>
                <w:szCs w:val="28"/>
              </w:rPr>
              <w:t>820.59</w:t>
            </w:r>
          </w:p>
        </w:tc>
        <w:tc>
          <w:tcPr>
            <w:tcW w:w="2134" w:type="dxa"/>
            <w:vAlign w:val="center"/>
          </w:tcPr>
          <w:p w14:paraId="1668BCCA">
            <w:pPr>
              <w:spacing w:after="0" w:line="240" w:lineRule="auto"/>
              <w:jc w:val="center"/>
              <w:rPr>
                <w:sz w:val="28"/>
                <w:szCs w:val="28"/>
              </w:rPr>
            </w:pPr>
            <w:r>
              <w:rPr>
                <w:sz w:val="28"/>
                <w:szCs w:val="28"/>
              </w:rPr>
              <w:t>820.59</w:t>
            </w:r>
          </w:p>
        </w:tc>
        <w:tc>
          <w:tcPr>
            <w:tcW w:w="2134" w:type="dxa"/>
            <w:vAlign w:val="center"/>
          </w:tcPr>
          <w:p w14:paraId="3AC1FAC3">
            <w:pPr>
              <w:spacing w:after="0" w:line="240" w:lineRule="auto"/>
              <w:jc w:val="center"/>
              <w:rPr>
                <w:sz w:val="28"/>
                <w:szCs w:val="28"/>
              </w:rPr>
            </w:pPr>
            <w:r>
              <w:rPr>
                <w:sz w:val="28"/>
                <w:szCs w:val="28"/>
              </w:rPr>
              <w:t>820.59</w:t>
            </w:r>
          </w:p>
        </w:tc>
      </w:tr>
      <w:tr w14:paraId="18BA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1BC4E8BC">
            <w:pPr>
              <w:spacing w:after="0" w:line="240" w:lineRule="auto"/>
              <w:jc w:val="center"/>
              <w:rPr>
                <w:b/>
                <w:bCs/>
                <w:sz w:val="28"/>
                <w:szCs w:val="28"/>
              </w:rPr>
            </w:pPr>
            <w:r>
              <w:rPr>
                <w:b/>
                <w:bCs/>
                <w:sz w:val="28"/>
                <w:szCs w:val="28"/>
              </w:rPr>
              <w:t>公用经费</w:t>
            </w:r>
          </w:p>
        </w:tc>
        <w:tc>
          <w:tcPr>
            <w:tcW w:w="1973" w:type="dxa"/>
            <w:vAlign w:val="center"/>
          </w:tcPr>
          <w:p w14:paraId="1EA06BBF">
            <w:pPr>
              <w:spacing w:after="0" w:line="240" w:lineRule="auto"/>
              <w:jc w:val="center"/>
              <w:rPr>
                <w:sz w:val="28"/>
                <w:szCs w:val="28"/>
              </w:rPr>
            </w:pPr>
            <w:r>
              <w:rPr>
                <w:sz w:val="28"/>
                <w:szCs w:val="28"/>
              </w:rPr>
              <w:t>47.33</w:t>
            </w:r>
          </w:p>
        </w:tc>
        <w:tc>
          <w:tcPr>
            <w:tcW w:w="2134" w:type="dxa"/>
            <w:vAlign w:val="center"/>
          </w:tcPr>
          <w:p w14:paraId="2F0CFD18">
            <w:pPr>
              <w:spacing w:after="0" w:line="240" w:lineRule="auto"/>
              <w:jc w:val="center"/>
              <w:rPr>
                <w:sz w:val="28"/>
                <w:szCs w:val="28"/>
              </w:rPr>
            </w:pPr>
            <w:r>
              <w:rPr>
                <w:sz w:val="28"/>
                <w:szCs w:val="28"/>
              </w:rPr>
              <w:t>47.33</w:t>
            </w:r>
          </w:p>
        </w:tc>
        <w:tc>
          <w:tcPr>
            <w:tcW w:w="2134" w:type="dxa"/>
            <w:vAlign w:val="center"/>
          </w:tcPr>
          <w:p w14:paraId="0C2D6C5D">
            <w:pPr>
              <w:spacing w:after="0" w:line="240" w:lineRule="auto"/>
              <w:jc w:val="center"/>
              <w:rPr>
                <w:sz w:val="28"/>
                <w:szCs w:val="28"/>
              </w:rPr>
            </w:pPr>
            <w:r>
              <w:rPr>
                <w:sz w:val="28"/>
                <w:szCs w:val="28"/>
              </w:rPr>
              <w:t>47.33</w:t>
            </w:r>
          </w:p>
        </w:tc>
      </w:tr>
      <w:tr w14:paraId="59DB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6FC46FE4">
            <w:pPr>
              <w:spacing w:after="0" w:line="240" w:lineRule="auto"/>
              <w:jc w:val="center"/>
              <w:rPr>
                <w:b/>
                <w:bCs/>
                <w:sz w:val="28"/>
                <w:szCs w:val="28"/>
              </w:rPr>
            </w:pPr>
            <w:r>
              <w:rPr>
                <w:b/>
                <w:bCs/>
                <w:sz w:val="28"/>
                <w:szCs w:val="28"/>
              </w:rPr>
              <w:t>项目支出</w:t>
            </w:r>
          </w:p>
        </w:tc>
        <w:tc>
          <w:tcPr>
            <w:tcW w:w="1973" w:type="dxa"/>
            <w:vAlign w:val="center"/>
          </w:tcPr>
          <w:p w14:paraId="5181CC31">
            <w:pPr>
              <w:spacing w:after="0" w:line="240" w:lineRule="auto"/>
              <w:jc w:val="center"/>
              <w:rPr>
                <w:sz w:val="28"/>
                <w:szCs w:val="28"/>
              </w:rPr>
            </w:pPr>
            <w:r>
              <w:rPr>
                <w:sz w:val="28"/>
                <w:szCs w:val="28"/>
              </w:rPr>
              <w:t>760.76</w:t>
            </w:r>
          </w:p>
        </w:tc>
        <w:tc>
          <w:tcPr>
            <w:tcW w:w="2134" w:type="dxa"/>
            <w:vAlign w:val="center"/>
          </w:tcPr>
          <w:p w14:paraId="00E1E7AB">
            <w:pPr>
              <w:spacing w:after="0" w:line="240" w:lineRule="auto"/>
              <w:jc w:val="center"/>
              <w:rPr>
                <w:sz w:val="28"/>
                <w:szCs w:val="28"/>
              </w:rPr>
            </w:pPr>
            <w:r>
              <w:rPr>
                <w:sz w:val="28"/>
                <w:szCs w:val="28"/>
              </w:rPr>
              <w:t>760.76</w:t>
            </w:r>
          </w:p>
        </w:tc>
        <w:tc>
          <w:tcPr>
            <w:tcW w:w="2134" w:type="dxa"/>
            <w:vAlign w:val="center"/>
          </w:tcPr>
          <w:p w14:paraId="1EDAB052">
            <w:pPr>
              <w:spacing w:after="0" w:line="240" w:lineRule="auto"/>
              <w:jc w:val="center"/>
              <w:rPr>
                <w:sz w:val="28"/>
                <w:szCs w:val="28"/>
              </w:rPr>
            </w:pPr>
            <w:r>
              <w:rPr>
                <w:sz w:val="28"/>
                <w:szCs w:val="28"/>
              </w:rPr>
              <w:t>760.76</w:t>
            </w:r>
          </w:p>
        </w:tc>
      </w:tr>
      <w:tr w14:paraId="6DB2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6F07BD34">
            <w:pPr>
              <w:spacing w:after="0" w:line="240" w:lineRule="auto"/>
              <w:jc w:val="center"/>
              <w:rPr>
                <w:b/>
                <w:bCs/>
                <w:sz w:val="28"/>
                <w:szCs w:val="28"/>
              </w:rPr>
            </w:pPr>
            <w:r>
              <w:rPr>
                <w:b/>
                <w:bCs/>
                <w:sz w:val="28"/>
                <w:szCs w:val="28"/>
              </w:rPr>
              <w:t>基本建设类项目</w:t>
            </w:r>
          </w:p>
        </w:tc>
        <w:tc>
          <w:tcPr>
            <w:tcW w:w="1973" w:type="dxa"/>
            <w:vAlign w:val="center"/>
          </w:tcPr>
          <w:p w14:paraId="3EAAD224">
            <w:pPr>
              <w:spacing w:after="0" w:line="240" w:lineRule="auto"/>
              <w:jc w:val="center"/>
              <w:rPr>
                <w:sz w:val="28"/>
                <w:szCs w:val="28"/>
              </w:rPr>
            </w:pPr>
            <w:r>
              <w:rPr>
                <w:sz w:val="28"/>
                <w:szCs w:val="28"/>
              </w:rPr>
              <w:t>0.00</w:t>
            </w:r>
          </w:p>
        </w:tc>
        <w:tc>
          <w:tcPr>
            <w:tcW w:w="2134" w:type="dxa"/>
            <w:vAlign w:val="center"/>
          </w:tcPr>
          <w:p w14:paraId="47FD9549">
            <w:pPr>
              <w:spacing w:after="0" w:line="240" w:lineRule="auto"/>
              <w:jc w:val="center"/>
              <w:rPr>
                <w:sz w:val="28"/>
                <w:szCs w:val="28"/>
              </w:rPr>
            </w:pPr>
            <w:r>
              <w:rPr>
                <w:sz w:val="28"/>
                <w:szCs w:val="28"/>
              </w:rPr>
              <w:t>0.00</w:t>
            </w:r>
          </w:p>
        </w:tc>
        <w:tc>
          <w:tcPr>
            <w:tcW w:w="2134" w:type="dxa"/>
            <w:vAlign w:val="center"/>
          </w:tcPr>
          <w:p w14:paraId="26D133D9">
            <w:pPr>
              <w:spacing w:after="0" w:line="240" w:lineRule="auto"/>
              <w:jc w:val="center"/>
              <w:rPr>
                <w:sz w:val="28"/>
                <w:szCs w:val="28"/>
              </w:rPr>
            </w:pPr>
            <w:r>
              <w:rPr>
                <w:sz w:val="28"/>
                <w:szCs w:val="28"/>
              </w:rPr>
              <w:t>0.00</w:t>
            </w:r>
          </w:p>
        </w:tc>
      </w:tr>
      <w:tr w14:paraId="77B75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014BC363">
            <w:pPr>
              <w:spacing w:after="0" w:line="240" w:lineRule="auto"/>
              <w:jc w:val="center"/>
              <w:rPr>
                <w:b/>
                <w:bCs/>
                <w:sz w:val="28"/>
                <w:szCs w:val="28"/>
              </w:rPr>
            </w:pPr>
            <w:r>
              <w:rPr>
                <w:b/>
                <w:bCs/>
                <w:sz w:val="28"/>
                <w:szCs w:val="28"/>
              </w:rPr>
              <w:t>上缴上级支出</w:t>
            </w:r>
          </w:p>
        </w:tc>
        <w:tc>
          <w:tcPr>
            <w:tcW w:w="1973" w:type="dxa"/>
            <w:vAlign w:val="center"/>
          </w:tcPr>
          <w:p w14:paraId="1B50C566">
            <w:pPr>
              <w:spacing w:after="0" w:line="240" w:lineRule="auto"/>
              <w:jc w:val="center"/>
              <w:rPr>
                <w:sz w:val="28"/>
                <w:szCs w:val="28"/>
              </w:rPr>
            </w:pPr>
            <w:r>
              <w:rPr>
                <w:sz w:val="28"/>
                <w:szCs w:val="28"/>
              </w:rPr>
              <w:t>0.00</w:t>
            </w:r>
          </w:p>
        </w:tc>
        <w:tc>
          <w:tcPr>
            <w:tcW w:w="2134" w:type="dxa"/>
            <w:vAlign w:val="center"/>
          </w:tcPr>
          <w:p w14:paraId="0D16553F">
            <w:pPr>
              <w:spacing w:after="0" w:line="240" w:lineRule="auto"/>
              <w:jc w:val="center"/>
              <w:rPr>
                <w:sz w:val="28"/>
                <w:szCs w:val="28"/>
              </w:rPr>
            </w:pPr>
            <w:r>
              <w:rPr>
                <w:sz w:val="28"/>
                <w:szCs w:val="28"/>
              </w:rPr>
              <w:t>0.00</w:t>
            </w:r>
          </w:p>
        </w:tc>
        <w:tc>
          <w:tcPr>
            <w:tcW w:w="2134" w:type="dxa"/>
            <w:vAlign w:val="center"/>
          </w:tcPr>
          <w:p w14:paraId="6F46ACBB">
            <w:pPr>
              <w:spacing w:after="0" w:line="240" w:lineRule="auto"/>
              <w:jc w:val="center"/>
              <w:rPr>
                <w:sz w:val="28"/>
                <w:szCs w:val="28"/>
              </w:rPr>
            </w:pPr>
            <w:r>
              <w:rPr>
                <w:sz w:val="28"/>
                <w:szCs w:val="28"/>
              </w:rPr>
              <w:t>0.00</w:t>
            </w:r>
          </w:p>
        </w:tc>
      </w:tr>
      <w:tr w14:paraId="5DE43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1D05D820">
            <w:pPr>
              <w:spacing w:after="0" w:line="240" w:lineRule="auto"/>
              <w:jc w:val="center"/>
              <w:rPr>
                <w:b/>
                <w:bCs/>
                <w:sz w:val="28"/>
                <w:szCs w:val="28"/>
              </w:rPr>
            </w:pPr>
            <w:r>
              <w:rPr>
                <w:b/>
                <w:bCs/>
                <w:sz w:val="28"/>
                <w:szCs w:val="28"/>
              </w:rPr>
              <w:t>经营支出</w:t>
            </w:r>
          </w:p>
        </w:tc>
        <w:tc>
          <w:tcPr>
            <w:tcW w:w="1973" w:type="dxa"/>
            <w:vAlign w:val="center"/>
          </w:tcPr>
          <w:p w14:paraId="73B1FA73">
            <w:pPr>
              <w:spacing w:after="0" w:line="240" w:lineRule="auto"/>
              <w:jc w:val="center"/>
              <w:rPr>
                <w:sz w:val="28"/>
                <w:szCs w:val="28"/>
              </w:rPr>
            </w:pPr>
            <w:r>
              <w:rPr>
                <w:sz w:val="28"/>
                <w:szCs w:val="28"/>
              </w:rPr>
              <w:t>0.00</w:t>
            </w:r>
          </w:p>
        </w:tc>
        <w:tc>
          <w:tcPr>
            <w:tcW w:w="2134" w:type="dxa"/>
            <w:vAlign w:val="center"/>
          </w:tcPr>
          <w:p w14:paraId="111515E2">
            <w:pPr>
              <w:spacing w:after="0" w:line="240" w:lineRule="auto"/>
              <w:jc w:val="center"/>
              <w:rPr>
                <w:sz w:val="28"/>
                <w:szCs w:val="28"/>
              </w:rPr>
            </w:pPr>
            <w:r>
              <w:rPr>
                <w:sz w:val="28"/>
                <w:szCs w:val="28"/>
              </w:rPr>
              <w:t>0.00</w:t>
            </w:r>
          </w:p>
        </w:tc>
        <w:tc>
          <w:tcPr>
            <w:tcW w:w="2134" w:type="dxa"/>
            <w:vAlign w:val="center"/>
          </w:tcPr>
          <w:p w14:paraId="004CE77A">
            <w:pPr>
              <w:spacing w:after="0" w:line="240" w:lineRule="auto"/>
              <w:jc w:val="center"/>
              <w:rPr>
                <w:sz w:val="28"/>
                <w:szCs w:val="28"/>
              </w:rPr>
            </w:pPr>
            <w:r>
              <w:rPr>
                <w:sz w:val="28"/>
                <w:szCs w:val="28"/>
              </w:rPr>
              <w:t>0.00</w:t>
            </w:r>
          </w:p>
        </w:tc>
      </w:tr>
      <w:tr w14:paraId="300B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281" w:type="dxa"/>
            <w:vAlign w:val="center"/>
          </w:tcPr>
          <w:p w14:paraId="13F23A56">
            <w:pPr>
              <w:spacing w:after="0" w:line="240" w:lineRule="auto"/>
              <w:jc w:val="center"/>
              <w:rPr>
                <w:b/>
                <w:bCs/>
                <w:sz w:val="28"/>
                <w:szCs w:val="28"/>
              </w:rPr>
            </w:pPr>
            <w:r>
              <w:rPr>
                <w:b/>
                <w:bCs/>
                <w:sz w:val="28"/>
                <w:szCs w:val="28"/>
              </w:rPr>
              <w:t>对附属单位补助支出</w:t>
            </w:r>
          </w:p>
        </w:tc>
        <w:tc>
          <w:tcPr>
            <w:tcW w:w="1973" w:type="dxa"/>
            <w:vAlign w:val="center"/>
          </w:tcPr>
          <w:p w14:paraId="4173A804">
            <w:pPr>
              <w:spacing w:after="0" w:line="240" w:lineRule="auto"/>
              <w:jc w:val="center"/>
              <w:rPr>
                <w:sz w:val="28"/>
                <w:szCs w:val="28"/>
              </w:rPr>
            </w:pPr>
            <w:r>
              <w:rPr>
                <w:sz w:val="28"/>
                <w:szCs w:val="28"/>
              </w:rPr>
              <w:t>0.00</w:t>
            </w:r>
          </w:p>
        </w:tc>
        <w:tc>
          <w:tcPr>
            <w:tcW w:w="2134" w:type="dxa"/>
            <w:vAlign w:val="center"/>
          </w:tcPr>
          <w:p w14:paraId="576DAD6E">
            <w:pPr>
              <w:spacing w:after="0" w:line="240" w:lineRule="auto"/>
              <w:jc w:val="center"/>
              <w:rPr>
                <w:sz w:val="28"/>
                <w:szCs w:val="28"/>
              </w:rPr>
            </w:pPr>
            <w:r>
              <w:rPr>
                <w:sz w:val="28"/>
                <w:szCs w:val="28"/>
              </w:rPr>
              <w:t>0.00</w:t>
            </w:r>
          </w:p>
        </w:tc>
        <w:tc>
          <w:tcPr>
            <w:tcW w:w="2134" w:type="dxa"/>
            <w:vAlign w:val="center"/>
          </w:tcPr>
          <w:p w14:paraId="0E1DEEA1">
            <w:pPr>
              <w:spacing w:after="0" w:line="240" w:lineRule="auto"/>
              <w:jc w:val="center"/>
              <w:rPr>
                <w:sz w:val="28"/>
                <w:szCs w:val="28"/>
              </w:rPr>
            </w:pPr>
            <w:r>
              <w:rPr>
                <w:sz w:val="28"/>
                <w:szCs w:val="28"/>
              </w:rPr>
              <w:t>0.00</w:t>
            </w:r>
          </w:p>
        </w:tc>
      </w:tr>
    </w:tbl>
    <w:p w14:paraId="70C06F22"/>
    <w:p w14:paraId="744FB6D7">
      <w:pPr>
        <w:spacing w:line="560" w:lineRule="exact"/>
        <w:ind w:left="0" w:firstLine="643" w:firstLineChars="200"/>
        <w:rPr>
          <w:rFonts w:hint="eastAsia" w:ascii="仿宋_GB2312" w:hAnsi="仿宋_GB2312" w:eastAsia="仿宋_GB2312" w:cs="仿宋_GB2312"/>
          <w:b/>
          <w:bCs/>
          <w:color w:val="000000"/>
          <w:sz w:val="32"/>
          <w:szCs w:val="32"/>
          <w:lang w:val="en-US"/>
        </w:rPr>
      </w:pPr>
      <w:r>
        <w:rPr>
          <w:rFonts w:hint="eastAsia" w:ascii="仿宋_GB2312" w:hAnsi="仿宋_GB2312" w:eastAsia="仿宋_GB2312" w:cs="仿宋_GB2312"/>
          <w:b/>
          <w:bCs/>
          <w:color w:val="000000"/>
          <w:sz w:val="32"/>
          <w:szCs w:val="32"/>
          <w:lang w:val="en-US"/>
        </w:rPr>
        <w:t>2.</w:t>
      </w:r>
      <w:r>
        <w:rPr>
          <w:rFonts w:hint="eastAsia" w:ascii="仿宋_GB2312" w:hAnsi="仿宋_GB2312" w:eastAsia="仿宋_GB2312" w:cs="仿宋_GB2312"/>
          <w:b/>
          <w:bCs/>
          <w:color w:val="000000"/>
          <w:sz w:val="32"/>
          <w:szCs w:val="32"/>
          <w:lang w:eastAsia="zh-CN"/>
        </w:rPr>
        <w:t>项目预算执行情况</w:t>
      </w:r>
    </w:p>
    <w:p w14:paraId="4620FE74">
      <w:pPr>
        <w:pStyle w:val="42"/>
        <w:keepNext w:val="0"/>
        <w:keepLines w:val="0"/>
        <w:pageBreakBefore w:val="0"/>
        <w:widowControl/>
        <w:shd w:val="clear" w:color="auto" w:fill="auto"/>
        <w:kinsoku/>
        <w:wordWrap/>
        <w:overflowPunct/>
        <w:topLinePunct w:val="0"/>
        <w:autoSpaceDE/>
        <w:autoSpaceDN/>
        <w:bidi w:val="0"/>
        <w:adjustRightInd/>
        <w:snapToGrid/>
        <w:spacing w:before="0" w:after="0" w:line="560" w:lineRule="exact"/>
        <w:ind w:firstLine="640"/>
        <w:jc w:val="both"/>
        <w:textAlignment w:val="auto"/>
        <w:rPr>
          <w:rFonts w:hint="eastAsia" w:ascii="仿宋" w:hAnsi="仿宋" w:eastAsia="仿宋" w:cs="仿宋"/>
        </w:rPr>
      </w:pPr>
      <w:r>
        <w:rPr>
          <w:rFonts w:hint="eastAsia" w:ascii="仿宋" w:hAnsi="仿宋" w:eastAsia="仿宋" w:cs="仿宋"/>
          <w:sz w:val="32"/>
          <w:szCs w:val="32"/>
        </w:rPr>
        <w:tab/>
      </w:r>
      <w:r>
        <w:rPr>
          <w:rFonts w:hint="eastAsia" w:ascii="仿宋" w:hAnsi="仿宋" w:eastAsia="仿宋" w:cs="仿宋"/>
          <w:sz w:val="32"/>
          <w:szCs w:val="32"/>
        </w:rPr>
        <w:t>项目支出为760.76万元，与上年相比增减456.70万元；</w:t>
      </w:r>
    </w:p>
    <w:p w14:paraId="69ADDD1E">
      <w:pPr>
        <w:pStyle w:val="42"/>
        <w:keepNext w:val="0"/>
        <w:keepLines w:val="0"/>
        <w:pageBreakBefore w:val="0"/>
        <w:widowControl/>
        <w:shd w:val="clear" w:color="auto" w:fill="auto"/>
        <w:kinsoku/>
        <w:wordWrap/>
        <w:overflowPunct/>
        <w:topLinePunct w:val="0"/>
        <w:autoSpaceDE/>
        <w:autoSpaceDN/>
        <w:bidi w:val="0"/>
        <w:adjustRightInd/>
        <w:snapToGrid/>
        <w:spacing w:before="0" w:after="0" w:line="560" w:lineRule="exact"/>
        <w:ind w:firstLine="720"/>
        <w:textAlignment w:val="auto"/>
      </w:pPr>
      <w:r>
        <w:rPr>
          <w:rFonts w:ascii="仿宋_GB2312" w:hAnsi="仿宋_GB2312" w:eastAsia="仿宋_GB2312" w:cs="仿宋_GB2312"/>
          <w:sz w:val="32"/>
          <w:szCs w:val="32"/>
        </w:rPr>
        <w:t>2100408-基本公共卫生服务本年支出数为138.</w:t>
      </w:r>
      <w:r>
        <w:rPr>
          <w:rFonts w:hint="eastAsia" w:ascii="仿宋_GB2312" w:hAnsi="仿宋_GB2312" w:eastAsia="仿宋_GB2312" w:cs="仿宋_GB2312"/>
          <w:sz w:val="32"/>
          <w:szCs w:val="32"/>
          <w:lang w:val="en-US" w:eastAsia="zh-CN"/>
        </w:rPr>
        <w:t>97</w:t>
      </w:r>
      <w:r>
        <w:rPr>
          <w:rFonts w:ascii="仿宋_GB2312" w:hAnsi="仿宋_GB2312" w:eastAsia="仿宋_GB2312" w:cs="仿宋_GB2312"/>
          <w:sz w:val="32"/>
          <w:szCs w:val="32"/>
        </w:rPr>
        <w:t>万元，占全年总支出数8.52%;</w:t>
      </w:r>
    </w:p>
    <w:p w14:paraId="5292B16B">
      <w:pPr>
        <w:pStyle w:val="42"/>
        <w:keepNext w:val="0"/>
        <w:keepLines w:val="0"/>
        <w:pageBreakBefore w:val="0"/>
        <w:widowControl/>
        <w:shd w:val="clear" w:color="auto" w:fill="auto"/>
        <w:kinsoku/>
        <w:wordWrap/>
        <w:overflowPunct/>
        <w:topLinePunct w:val="0"/>
        <w:autoSpaceDE/>
        <w:autoSpaceDN/>
        <w:bidi w:val="0"/>
        <w:adjustRightInd/>
        <w:snapToGrid/>
        <w:spacing w:before="0" w:after="0" w:line="560" w:lineRule="exact"/>
        <w:ind w:firstLine="720"/>
        <w:textAlignment w:val="auto"/>
      </w:pPr>
      <w:r>
        <w:rPr>
          <w:rFonts w:ascii="仿宋_GB2312" w:hAnsi="仿宋_GB2312" w:eastAsia="仿宋_GB2312" w:cs="仿宋_GB2312"/>
          <w:sz w:val="32"/>
          <w:szCs w:val="32"/>
        </w:rPr>
        <w:t>2100409-重大公共卫生服务本年支出数为209.88万元，占全年总支出数12.89%;</w:t>
      </w:r>
    </w:p>
    <w:p w14:paraId="44047E7F">
      <w:pPr>
        <w:pStyle w:val="42"/>
        <w:keepNext w:val="0"/>
        <w:keepLines w:val="0"/>
        <w:pageBreakBefore w:val="0"/>
        <w:widowControl/>
        <w:shd w:val="clear" w:color="auto" w:fill="auto"/>
        <w:kinsoku/>
        <w:wordWrap/>
        <w:overflowPunct/>
        <w:topLinePunct w:val="0"/>
        <w:autoSpaceDE/>
        <w:autoSpaceDN/>
        <w:bidi w:val="0"/>
        <w:adjustRightInd/>
        <w:snapToGrid/>
        <w:spacing w:before="0" w:after="0" w:line="560" w:lineRule="exact"/>
        <w:ind w:firstLine="720"/>
        <w:textAlignment w:val="auto"/>
      </w:pPr>
      <w:r>
        <w:rPr>
          <w:rFonts w:ascii="仿宋_GB2312" w:hAnsi="仿宋_GB2312" w:eastAsia="仿宋_GB2312" w:cs="仿宋_GB2312"/>
          <w:sz w:val="32"/>
          <w:szCs w:val="32"/>
        </w:rPr>
        <w:t>2101899-其他疾病预防控制事务支出本年支出数为36.85万元，占全年总支出数2.26%;</w:t>
      </w:r>
    </w:p>
    <w:p w14:paraId="6891382B">
      <w:pPr>
        <w:pStyle w:val="42"/>
        <w:keepNext w:val="0"/>
        <w:keepLines w:val="0"/>
        <w:pageBreakBefore w:val="0"/>
        <w:widowControl/>
        <w:shd w:val="clear" w:color="auto" w:fill="auto"/>
        <w:kinsoku/>
        <w:wordWrap/>
        <w:overflowPunct/>
        <w:topLinePunct w:val="0"/>
        <w:autoSpaceDE/>
        <w:autoSpaceDN/>
        <w:bidi w:val="0"/>
        <w:adjustRightInd/>
        <w:snapToGrid/>
        <w:spacing w:before="0" w:after="0" w:line="560" w:lineRule="exact"/>
        <w:ind w:firstLine="720"/>
        <w:textAlignment w:val="auto"/>
      </w:pPr>
      <w:r>
        <w:rPr>
          <w:rFonts w:ascii="仿宋_GB2312" w:hAnsi="仿宋_GB2312" w:eastAsia="仿宋_GB2312" w:cs="仿宋_GB2312"/>
          <w:sz w:val="32"/>
          <w:szCs w:val="32"/>
        </w:rPr>
        <w:t>2109999-其他卫生健康支出本年支出数为373.00万元，占全年总支出数22.9%;</w:t>
      </w:r>
    </w:p>
    <w:p w14:paraId="0B98F495">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outlineLvl w:val="1"/>
        <w:rPr>
          <w:rFonts w:ascii="楷体" w:hAnsi="楷体" w:eastAsia="楷体" w:cs="宋体"/>
          <w:color w:val="000000"/>
          <w:kern w:val="0"/>
          <w:lang w:val="zh-CN"/>
        </w:rPr>
      </w:pPr>
      <w:r>
        <w:rPr>
          <w:rFonts w:hint="eastAsia" w:ascii="楷体" w:hAnsi="楷体" w:eastAsia="楷体" w:cs="宋体"/>
          <w:color w:val="000000"/>
          <w:kern w:val="0"/>
          <w:lang w:val="zh-CN"/>
        </w:rPr>
        <w:t>（三）综合管理情况。</w:t>
      </w:r>
    </w:p>
    <w:p w14:paraId="5D8C326F">
      <w:pPr>
        <w:pStyle w:val="2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6"/>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w:t>
      </w:r>
      <w:r>
        <w:rPr>
          <w:rFonts w:hint="eastAsia" w:ascii="仿宋_GB2312" w:hAnsi="仿宋_GB2312" w:eastAsia="仿宋_GB2312" w:cs="仿宋_GB2312"/>
          <w:color w:val="000000"/>
          <w:sz w:val="32"/>
          <w:szCs w:val="32"/>
          <w:shd w:val="clear" w:color="auto" w:fill="FFFFFF"/>
        </w:rPr>
        <w:t>对照年初的预算，通过编制部门决算报表，全面、真实、准确的反映了红原县</w:t>
      </w:r>
      <w:r>
        <w:rPr>
          <w:rFonts w:hint="eastAsia" w:ascii="仿宋_GB2312" w:hAnsi="仿宋_GB2312" w:eastAsia="仿宋_GB2312" w:cs="仿宋_GB2312"/>
          <w:color w:val="000000"/>
          <w:sz w:val="32"/>
          <w:szCs w:val="32"/>
          <w:shd w:val="clear" w:color="auto" w:fill="FFFFFF"/>
          <w:lang w:eastAsia="zh-CN"/>
        </w:rPr>
        <w:t>疾病预防控制中心</w:t>
      </w:r>
      <w:r>
        <w:rPr>
          <w:rFonts w:hint="eastAsia" w:ascii="仿宋_GB2312" w:hAnsi="仿宋_GB2312" w:eastAsia="仿宋_GB2312" w:cs="仿宋_GB2312"/>
          <w:color w:val="000000"/>
          <w:sz w:val="32"/>
          <w:szCs w:val="32"/>
          <w:shd w:val="clear" w:color="auto" w:fill="FFFFFF"/>
        </w:rPr>
        <w:t>20</w:t>
      </w:r>
      <w:r>
        <w:rPr>
          <w:rFonts w:hint="eastAsia" w:ascii="仿宋_GB2312" w:hAnsi="仿宋_GB2312" w:cs="仿宋_GB2312"/>
          <w:color w:val="000000"/>
          <w:sz w:val="32"/>
          <w:szCs w:val="32"/>
          <w:shd w:val="clear" w:color="auto" w:fill="FFFFFF"/>
          <w:lang w:val="en-US" w:eastAsia="zh-CN"/>
        </w:rPr>
        <w:t>24</w:t>
      </w:r>
      <w:r>
        <w:rPr>
          <w:rFonts w:hint="eastAsia" w:ascii="仿宋_GB2312" w:hAnsi="仿宋_GB2312" w:eastAsia="仿宋_GB2312" w:cs="仿宋_GB2312"/>
          <w:color w:val="000000"/>
          <w:sz w:val="32"/>
          <w:szCs w:val="32"/>
          <w:shd w:val="clear" w:color="auto" w:fill="FFFFFF"/>
        </w:rPr>
        <w:t>年度财政资金的使用情况。</w:t>
      </w:r>
    </w:p>
    <w:p w14:paraId="70BBD13F">
      <w:pPr>
        <w:keepNext w:val="0"/>
        <w:keepLines w:val="0"/>
        <w:pageBreakBefore w:val="0"/>
        <w:numPr>
          <w:ilvl w:val="0"/>
          <w:numId w:val="0"/>
        </w:numPr>
        <w:kinsoku/>
        <w:wordWrap/>
        <w:overflowPunct/>
        <w:topLinePunct w:val="0"/>
        <w:autoSpaceDE/>
        <w:autoSpaceDN/>
        <w:bidi w:val="0"/>
        <w:adjustRightInd w:val="0"/>
        <w:snapToGrid w:val="0"/>
        <w:spacing w:line="560" w:lineRule="exact"/>
        <w:ind w:left="720" w:leftChars="0"/>
        <w:textAlignment w:val="auto"/>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en-US" w:eastAsia="zh-CN"/>
        </w:rPr>
        <w:t>四、</w:t>
      </w:r>
      <w:r>
        <w:rPr>
          <w:rFonts w:hint="eastAsia" w:ascii="黑体" w:hAnsi="黑体" w:eastAsia="黑体" w:cs="黑体"/>
          <w:color w:val="000000"/>
          <w:kern w:val="0"/>
          <w:sz w:val="32"/>
          <w:szCs w:val="32"/>
          <w:lang w:val="zh-CN"/>
        </w:rPr>
        <w:t>整体绩效</w:t>
      </w:r>
    </w:p>
    <w:p w14:paraId="7C25A38F">
      <w:pPr>
        <w:pStyle w:val="42"/>
        <w:keepNext w:val="0"/>
        <w:keepLines w:val="0"/>
        <w:pageBreakBefore w:val="0"/>
        <w:widowControl/>
        <w:kinsoku/>
        <w:wordWrap/>
        <w:overflowPunct/>
        <w:topLinePunct w:val="0"/>
        <w:autoSpaceDE/>
        <w:autoSpaceDN/>
        <w:bidi w:val="0"/>
        <w:adjustRightInd/>
        <w:snapToGrid/>
        <w:spacing w:before="0" w:after="0" w:line="560" w:lineRule="exact"/>
        <w:ind w:firstLine="641"/>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2024年本年支出合计1,628.68万元，与上年相比增加432.45万元； </w:t>
      </w:r>
    </w:p>
    <w:p w14:paraId="71FB5069">
      <w:pPr>
        <w:pStyle w:val="42"/>
        <w:keepNext w:val="0"/>
        <w:keepLines w:val="0"/>
        <w:pageBreakBefore w:val="0"/>
        <w:widowControl/>
        <w:kinsoku/>
        <w:wordWrap/>
        <w:overflowPunct/>
        <w:topLinePunct w:val="0"/>
        <w:autoSpaceDE/>
        <w:autoSpaceDN/>
        <w:bidi w:val="0"/>
        <w:adjustRightInd/>
        <w:snapToGrid/>
        <w:spacing w:before="0" w:after="0" w:line="560" w:lineRule="exact"/>
        <w:ind w:firstLine="641"/>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基本支出为867.91万元，与上年相比增</w:t>
      </w:r>
      <w:r>
        <w:rPr>
          <w:rFonts w:hint="eastAsia" w:ascii="仿宋_GB2312" w:hAnsi="仿宋_GB2312" w:eastAsia="仿宋_GB2312" w:cs="仿宋_GB2312"/>
          <w:sz w:val="32"/>
          <w:szCs w:val="32"/>
          <w:lang w:val="en-US" w:eastAsia="zh-CN"/>
        </w:rPr>
        <w:t>加</w:t>
      </w:r>
      <w:r>
        <w:rPr>
          <w:rFonts w:hint="eastAsia" w:ascii="仿宋_GB2312" w:hAnsi="仿宋_GB2312" w:eastAsia="仿宋_GB2312" w:cs="仿宋_GB2312"/>
          <w:sz w:val="32"/>
          <w:szCs w:val="32"/>
        </w:rPr>
        <w:t>-24.26万元；</w:t>
      </w:r>
    </w:p>
    <w:p w14:paraId="2BA8023E">
      <w:pPr>
        <w:pStyle w:val="42"/>
        <w:keepNext w:val="0"/>
        <w:keepLines w:val="0"/>
        <w:pageBreakBefore w:val="0"/>
        <w:widowControl/>
        <w:shd w:val="clear" w:color="auto" w:fill="auto"/>
        <w:kinsoku/>
        <w:wordWrap/>
        <w:overflowPunct/>
        <w:topLinePunct w:val="0"/>
        <w:autoSpaceDE/>
        <w:autoSpaceDN/>
        <w:bidi w:val="0"/>
        <w:adjustRightInd/>
        <w:snapToGrid/>
        <w:spacing w:before="0" w:after="0" w:line="560" w:lineRule="exact"/>
        <w:ind w:firstLine="641"/>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人员经费为820.59万元，与上年相比增</w:t>
      </w:r>
      <w:r>
        <w:rPr>
          <w:rFonts w:hint="eastAsia" w:ascii="仿宋_GB2312" w:hAnsi="仿宋_GB2312" w:eastAsia="仿宋_GB2312" w:cs="仿宋_GB2312"/>
          <w:sz w:val="32"/>
          <w:szCs w:val="32"/>
          <w:lang w:val="en-US" w:eastAsia="zh-CN"/>
        </w:rPr>
        <w:t>加</w:t>
      </w:r>
      <w:r>
        <w:rPr>
          <w:rFonts w:hint="eastAsia" w:ascii="仿宋_GB2312" w:hAnsi="仿宋_GB2312" w:eastAsia="仿宋_GB2312" w:cs="仿宋_GB2312"/>
          <w:sz w:val="32"/>
          <w:szCs w:val="32"/>
        </w:rPr>
        <w:t>-27.17万元；</w:t>
      </w:r>
    </w:p>
    <w:p w14:paraId="40B02314">
      <w:pPr>
        <w:pStyle w:val="42"/>
        <w:keepNext w:val="0"/>
        <w:keepLines w:val="0"/>
        <w:pageBreakBefore w:val="0"/>
        <w:widowControl/>
        <w:kinsoku/>
        <w:wordWrap/>
        <w:overflowPunct/>
        <w:topLinePunct w:val="0"/>
        <w:autoSpaceDE/>
        <w:autoSpaceDN/>
        <w:bidi w:val="0"/>
        <w:adjustRightInd/>
        <w:snapToGrid/>
        <w:spacing w:before="0" w:after="0" w:line="560" w:lineRule="exact"/>
        <w:ind w:firstLine="641"/>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sz w:val="32"/>
          <w:szCs w:val="32"/>
        </w:rPr>
        <w:t>日常公用经费为47.33万元，与上年相比增</w:t>
      </w:r>
      <w:r>
        <w:rPr>
          <w:rFonts w:hint="eastAsia" w:ascii="仿宋_GB2312" w:hAnsi="仿宋_GB2312" w:eastAsia="仿宋_GB2312" w:cs="仿宋_GB2312"/>
          <w:sz w:val="32"/>
          <w:szCs w:val="32"/>
          <w:lang w:val="en-US" w:eastAsia="zh-CN"/>
        </w:rPr>
        <w:t>加</w:t>
      </w:r>
      <w:r>
        <w:rPr>
          <w:rFonts w:hint="eastAsia" w:ascii="仿宋_GB2312" w:hAnsi="仿宋_GB2312" w:eastAsia="仿宋_GB2312" w:cs="仿宋_GB2312"/>
          <w:sz w:val="32"/>
          <w:szCs w:val="32"/>
        </w:rPr>
        <w:t>2.91万元；</w:t>
      </w:r>
      <w:r>
        <w:rPr>
          <w:rFonts w:hint="eastAsia" w:ascii="仿宋_GB2312" w:hAnsi="仿宋_GB2312" w:eastAsia="仿宋_GB2312" w:cs="仿宋_GB2312"/>
          <w:color w:val="000000"/>
          <w:sz w:val="32"/>
          <w:szCs w:val="32"/>
          <w:lang w:eastAsia="zh-CN"/>
        </w:rPr>
        <w:t>主要用于人员经费和日常公用经费；</w:t>
      </w:r>
      <w:r>
        <w:rPr>
          <w:rFonts w:hint="eastAsia" w:ascii="仿宋_GB2312" w:hAnsi="仿宋_GB2312" w:eastAsia="仿宋_GB2312" w:cs="仿宋_GB2312"/>
          <w:sz w:val="32"/>
          <w:szCs w:val="32"/>
        </w:rPr>
        <w:t>项目支出为760.76万元，与上年相比增</w:t>
      </w:r>
      <w:r>
        <w:rPr>
          <w:rFonts w:hint="eastAsia" w:ascii="仿宋_GB2312" w:hAnsi="仿宋_GB2312" w:eastAsia="仿宋_GB2312" w:cs="仿宋_GB2312"/>
          <w:sz w:val="32"/>
          <w:szCs w:val="32"/>
          <w:lang w:val="en-US" w:eastAsia="zh-CN"/>
        </w:rPr>
        <w:t>加</w:t>
      </w:r>
      <w:r>
        <w:rPr>
          <w:rFonts w:hint="eastAsia" w:ascii="仿宋_GB2312" w:hAnsi="仿宋_GB2312" w:eastAsia="仿宋_GB2312" w:cs="仿宋_GB2312"/>
          <w:sz w:val="32"/>
          <w:szCs w:val="32"/>
        </w:rPr>
        <w:t>456.70万元；</w:t>
      </w:r>
      <w:r>
        <w:rPr>
          <w:rFonts w:hint="eastAsia" w:ascii="仿宋_GB2312" w:hAnsi="仿宋_GB2312" w:eastAsia="仿宋_GB2312" w:cs="仿宋_GB2312"/>
          <w:color w:val="000000"/>
          <w:sz w:val="32"/>
          <w:szCs w:val="32"/>
          <w:lang w:eastAsia="zh-CN"/>
        </w:rPr>
        <w:t>主要用于各种传染病及地方病的筛查，宣传等项目工作；</w:t>
      </w:r>
      <w:r>
        <w:rPr>
          <w:rFonts w:hint="eastAsia" w:ascii="仿宋_GB2312" w:hAnsi="仿宋_GB2312" w:eastAsia="仿宋_GB2312" w:cs="仿宋_GB2312"/>
          <w:color w:val="000000"/>
          <w:sz w:val="32"/>
          <w:szCs w:val="32"/>
          <w:shd w:val="clear" w:fill="FFFFFF"/>
          <w:lang w:eastAsia="zh-CN"/>
        </w:rPr>
        <w:t>我单位严格执行《预算法》和各项财经纪律，机关制度健全，财务管理规范，预算编制合理</w:t>
      </w:r>
      <w:r>
        <w:rPr>
          <w:rFonts w:hint="eastAsia" w:ascii="仿宋_GB2312" w:hAnsi="仿宋_GB2312" w:eastAsia="仿宋_GB2312" w:cs="仿宋_GB2312"/>
          <w:color w:val="000000"/>
          <w:sz w:val="32"/>
          <w:szCs w:val="32"/>
          <w:shd w:val="clear" w:fill="FFFFFF"/>
          <w:lang w:val="en-US"/>
        </w:rPr>
        <w:t>;</w:t>
      </w:r>
      <w:r>
        <w:rPr>
          <w:rFonts w:hint="eastAsia" w:ascii="仿宋_GB2312" w:hAnsi="仿宋_GB2312" w:eastAsia="仿宋_GB2312" w:cs="仿宋_GB2312"/>
          <w:color w:val="000000"/>
          <w:sz w:val="32"/>
          <w:szCs w:val="32"/>
          <w:shd w:val="clear" w:fill="FFFFFF"/>
          <w:lang w:eastAsia="zh-CN"/>
        </w:rPr>
        <w:t>二是资金监管到位。经费开支按用途使用合理，做到专帐专管</w:t>
      </w:r>
      <w:r>
        <w:rPr>
          <w:rFonts w:hint="eastAsia" w:ascii="仿宋_GB2312" w:hAnsi="仿宋_GB2312" w:eastAsia="仿宋_GB2312" w:cs="仿宋_GB2312"/>
          <w:color w:val="000000"/>
          <w:sz w:val="32"/>
          <w:szCs w:val="32"/>
          <w:shd w:val="clear" w:fill="FFFFFF"/>
          <w:lang w:val="en-US"/>
        </w:rPr>
        <w:t>,</w:t>
      </w:r>
      <w:r>
        <w:rPr>
          <w:rFonts w:hint="eastAsia" w:ascii="仿宋_GB2312" w:hAnsi="仿宋_GB2312" w:eastAsia="仿宋_GB2312" w:cs="仿宋_GB2312"/>
          <w:color w:val="000000"/>
          <w:sz w:val="32"/>
          <w:szCs w:val="32"/>
          <w:shd w:val="clear" w:fill="FFFFFF"/>
          <w:lang w:eastAsia="zh-CN"/>
        </w:rPr>
        <w:t>专款专用；三是人员配备和帐务核算到位。财务人员帐务核算及时规范。</w:t>
      </w:r>
      <w:r>
        <w:rPr>
          <w:rFonts w:hint="eastAsia" w:ascii="仿宋_GB2312" w:hAnsi="仿宋_GB2312" w:eastAsia="仿宋_GB2312" w:cs="仿宋_GB2312"/>
          <w:color w:val="000000"/>
          <w:sz w:val="32"/>
          <w:szCs w:val="32"/>
          <w:lang w:eastAsia="zh-CN"/>
        </w:rPr>
        <w:t>我单位在财务上进行合理安排和运用，以“认真、严谨、细致”的精神，做好一切财务工作，圆满完成了各项工作任务，产生了良好的社会效益，得到广大老百姓的一致好评。</w:t>
      </w:r>
    </w:p>
    <w:p w14:paraId="16C6A4B4">
      <w:pPr>
        <w:pStyle w:val="42"/>
        <w:keepNext w:val="0"/>
        <w:keepLines w:val="0"/>
        <w:pageBreakBefore w:val="0"/>
        <w:kinsoku/>
        <w:wordWrap/>
        <w:overflowPunct/>
        <w:topLinePunct w:val="0"/>
        <w:autoSpaceDE/>
        <w:autoSpaceDN/>
        <w:bidi w:val="0"/>
        <w:spacing w:before="0" w:after="0" w:line="560" w:lineRule="exact"/>
        <w:ind w:firstLine="64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五、</w:t>
      </w:r>
      <w:r>
        <w:rPr>
          <w:rFonts w:hint="eastAsia" w:ascii="黑体" w:hAnsi="黑体" w:eastAsia="黑体" w:cs="黑体"/>
          <w:b w:val="0"/>
          <w:bCs w:val="0"/>
          <w:sz w:val="32"/>
          <w:szCs w:val="32"/>
        </w:rPr>
        <w:t>当年取得的主要事业成效</w:t>
      </w:r>
    </w:p>
    <w:p w14:paraId="12DCCE92">
      <w:pPr>
        <w:pStyle w:val="42"/>
        <w:keepNext w:val="0"/>
        <w:keepLines w:val="0"/>
        <w:pageBreakBefore w:val="0"/>
        <w:widowControl/>
        <w:kinsoku/>
        <w:wordWrap/>
        <w:overflowPunct/>
        <w:topLinePunct w:val="0"/>
        <w:autoSpaceDE/>
        <w:autoSpaceDN/>
        <w:bidi w:val="0"/>
        <w:adjustRightInd/>
        <w:snapToGrid/>
        <w:spacing w:before="0" w:after="0" w:line="560" w:lineRule="exact"/>
        <w:ind w:firstLine="640"/>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（一）传染病监测网络进一步完善。</w:t>
      </w:r>
      <w:r>
        <w:rPr>
          <w:rFonts w:ascii="仿宋_GB2312" w:hAnsi="仿宋_GB2312" w:eastAsia="仿宋_GB2312" w:cs="仿宋_GB2312"/>
          <w:sz w:val="32"/>
          <w:szCs w:val="32"/>
        </w:rPr>
        <w:t xml:space="preserve">一是传染病监测灵敏度有效提升。2024年1-11月，全县14个报告单位，共计报告甲、乙、丙类传染病15种，报告发病783例，发病率为1668.41/10万，较去年上升41.08%，其中，报告甲类传染病0例、乙类传染病564例、丙类传染病219例；无甲类传染病发生，无突发公共卫生事件，发病数居前三位的分别为乙肝、梅毒、肺结核。二是重大传染病防治进一步规范。全县累计结核病病例117例，发病率238.77/10万，较去年下降12.3%；存活在管艾滋病感染者和病人45例，其中2024年新增3例，较2023年下降40%；规范管理包虫病病例70例，接受药物治疗60例，新增包虫病病例4例，发病率39.81/10万，较去年上升0.01%，三是免疫规划疫苗接种率显著提升。截止目前，全县免疫规划疫苗应种21696剂次，实际接种19444剂次，总体接种率近90%。四是高质量完成了州县指定人群非免疫苗免费接种政策性任务。完成9～14岁二价宫颈癌疫苗接种528人，完成率100%，完成单亲母亲二价宫颈癌疫苗接种210人，完成率100%。五是顺利通过预防接种门诊创建工作验收。完成了辖区10个规范化接种门诊建设的复评工作，评审通过AAA预防接种门诊1个（瓦切镇中心卫生院）；创建数字化接种门诊1个（邛溪镇社区卫生服务中心）。 </w:t>
      </w:r>
    </w:p>
    <w:p w14:paraId="09FE49A3">
      <w:pPr>
        <w:pStyle w:val="42"/>
        <w:keepNext w:val="0"/>
        <w:keepLines w:val="0"/>
        <w:pageBreakBefore w:val="0"/>
        <w:widowControl/>
        <w:kinsoku/>
        <w:wordWrap/>
        <w:overflowPunct/>
        <w:topLinePunct w:val="0"/>
        <w:autoSpaceDE/>
        <w:autoSpaceDN/>
        <w:bidi w:val="0"/>
        <w:adjustRightInd/>
        <w:snapToGrid/>
        <w:spacing w:before="0" w:after="0" w:line="560" w:lineRule="exact"/>
        <w:ind w:firstLine="641"/>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（二）地方病防治工作有序开展。</w:t>
      </w:r>
      <w:r>
        <w:rPr>
          <w:rFonts w:ascii="仿宋_GB2312" w:hAnsi="仿宋_GB2312" w:eastAsia="仿宋_GB2312" w:cs="仿宋_GB2312"/>
          <w:sz w:val="32"/>
          <w:szCs w:val="32"/>
        </w:rPr>
        <w:t xml:space="preserve">一是常态开展大骨节病防治。全县现存活大骨节病病例2829人，年内无新增病例；上传现症患者基本信息2829人，完成拍片2716人，完成率96%；纳入规范治疗大骨节病患者1230例、氟骨症患者1500例。二是认真开展鼠疫监测工作。发现并开展自毙动物内脏标本解剖检测9只（獾5只、狐狸1只、野猪1头、猞猁1只、旱獭1只），采集并检测牧羊血清100份。三是麻风病持续保持在消除状态。 </w:t>
      </w:r>
    </w:p>
    <w:p w14:paraId="33197D55">
      <w:pPr>
        <w:pStyle w:val="42"/>
        <w:keepNext w:val="0"/>
        <w:keepLines w:val="0"/>
        <w:pageBreakBefore w:val="0"/>
        <w:widowControl/>
        <w:kinsoku/>
        <w:wordWrap/>
        <w:overflowPunct/>
        <w:topLinePunct w:val="0"/>
        <w:autoSpaceDE/>
        <w:autoSpaceDN/>
        <w:bidi w:val="0"/>
        <w:adjustRightInd/>
        <w:snapToGrid/>
        <w:spacing w:before="0" w:after="0" w:line="560" w:lineRule="exact"/>
        <w:ind w:firstLine="641"/>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（三）慢性病和精神卫生工作稳步推进。</w:t>
      </w:r>
      <w:r>
        <w:rPr>
          <w:rFonts w:ascii="仿宋_GB2312" w:hAnsi="仿宋_GB2312" w:eastAsia="仿宋_GB2312" w:cs="仿宋_GB2312"/>
          <w:sz w:val="32"/>
          <w:szCs w:val="32"/>
        </w:rPr>
        <w:t xml:space="preserve">一是规范严重精神障碍患者管理。全县登记在册重精患者163人，规范管理163例，规范服药142人，规范服药率86.59%（已达标），体检率75.61%，面访率95.73%，以上指标完成质量较2023年均有大幅提升。二是深入开展心脑血管疾病及死因监测。年内上报心脑血管疾病病例197例（已达标），监测覆盖率100%；三是全民健康生活方式行动得到有效推广。联合县总工会、县文体旅局成功举办了“健走天府·万步有约·爱在红原·迈向健康”全国第九届万步有约健走激励大赛红原拓展赛，评出全县健走促进单位5个、先进个人60名。 </w:t>
      </w:r>
    </w:p>
    <w:p w14:paraId="35A9CB05">
      <w:pPr>
        <w:pStyle w:val="42"/>
        <w:keepNext w:val="0"/>
        <w:keepLines w:val="0"/>
        <w:pageBreakBefore w:val="0"/>
        <w:widowControl/>
        <w:kinsoku/>
        <w:wordWrap/>
        <w:overflowPunct/>
        <w:topLinePunct w:val="0"/>
        <w:autoSpaceDE/>
        <w:autoSpaceDN/>
        <w:bidi w:val="0"/>
        <w:adjustRightInd/>
        <w:snapToGrid/>
        <w:spacing w:before="0" w:after="0" w:line="560" w:lineRule="exact"/>
        <w:ind w:firstLine="641"/>
        <w:jc w:val="both"/>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rPr>
        <w:t>（四）卫生监测能力得到进一步提升。</w:t>
      </w:r>
      <w:r>
        <w:rPr>
          <w:rFonts w:ascii="仿宋_GB2312" w:hAnsi="仿宋_GB2312" w:eastAsia="仿宋_GB2312" w:cs="仿宋_GB2312"/>
          <w:sz w:val="32"/>
          <w:szCs w:val="32"/>
        </w:rPr>
        <w:t xml:space="preserve">一是规范开展水质监测。全年共计采集并监测枯水期水样样本28份、丰水期水样样本41份，合格率分别为100%、82%；红原县城区合格率83.33%，乡镇合格率100%。二是常态开展医疗机构、营业场所及公共区域消毒监测和“双随机”监测工作。累计采集并检测样本208份。三是定期开展职业病监测。规范开展了县人民医院、县藏医院医用辐射监测和久马高速查针梁子隧道段施工场所职业病危害因素现状调查及现场监测，定期监测率≥90%（已达标）。卫生监测能力和检测质量较往年显著提高。 </w:t>
      </w:r>
    </w:p>
    <w:p w14:paraId="108EB0C4">
      <w:pPr>
        <w:pStyle w:val="42"/>
        <w:keepNext w:val="0"/>
        <w:keepLines w:val="0"/>
        <w:pageBreakBefore w:val="0"/>
        <w:widowControl/>
        <w:kinsoku/>
        <w:wordWrap/>
        <w:overflowPunct/>
        <w:topLinePunct w:val="0"/>
        <w:autoSpaceDE/>
        <w:autoSpaceDN/>
        <w:bidi w:val="0"/>
        <w:adjustRightInd/>
        <w:snapToGrid/>
        <w:spacing w:before="0" w:after="0" w:line="560" w:lineRule="exact"/>
        <w:ind w:firstLine="641"/>
        <w:jc w:val="both"/>
        <w:textAlignment w:val="auto"/>
        <w:rPr>
          <w:rFonts w:hint="eastAsia" w:ascii="仿宋_GB2312" w:hAnsi="仿宋_GB2312" w:eastAsia="仿宋_GB2312" w:cs="仿宋_GB2312"/>
          <w:color w:val="000000"/>
          <w:sz w:val="32"/>
          <w:szCs w:val="32"/>
        </w:rPr>
      </w:pPr>
      <w:r>
        <w:rPr>
          <w:rFonts w:hint="eastAsia" w:ascii="楷体_GB2312" w:hAnsi="楷体_GB2312" w:eastAsia="楷体_GB2312" w:cs="楷体_GB2312"/>
          <w:sz w:val="32"/>
          <w:szCs w:val="32"/>
        </w:rPr>
        <w:t>（五）公众疾病防控知识知晓率稳步提升。</w:t>
      </w:r>
      <w:r>
        <w:rPr>
          <w:rFonts w:ascii="仿宋_GB2312" w:hAnsi="仿宋_GB2312" w:eastAsia="仿宋_GB2312" w:cs="仿宋_GB2312"/>
          <w:sz w:val="32"/>
          <w:szCs w:val="32"/>
        </w:rPr>
        <w:t xml:space="preserve">2024年，我单位充分利用群众大会、家长课堂、“雅克门巴宣讲团”、“马背宣讲团”“草原阿妈宣讲团”、乡村振兴、微信公众号（红原疾控）等工作平台及新媒体咨询在全县范围内广泛普及疾病防控知识和国家相关政策，累计覆盖24000余人次，其中农牧民5200余人次、师生18400余人次、僧尼400余人次。群众疾病防控知识知晓率明显提高；居民健康素养水平达到20%以上，较上年上升4个百分点。 </w:t>
      </w:r>
    </w:p>
    <w:p w14:paraId="7E6E3CF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outlineLvl w:val="0"/>
        <w:rPr>
          <w:rFonts w:ascii="黑体" w:hAnsi="宋体" w:eastAsia="黑体" w:cs="宋体"/>
          <w:color w:val="000000"/>
          <w:kern w:val="0"/>
        </w:rPr>
      </w:pPr>
      <w:r>
        <w:rPr>
          <w:rFonts w:hint="eastAsia" w:ascii="黑体" w:hAnsi="宋体" w:eastAsia="黑体" w:cs="宋体"/>
          <w:color w:val="000000"/>
          <w:kern w:val="0"/>
          <w:lang w:val="en-US" w:eastAsia="zh-CN"/>
        </w:rPr>
        <w:t>六</w:t>
      </w:r>
      <w:r>
        <w:rPr>
          <w:rFonts w:hint="eastAsia" w:ascii="黑体" w:hAnsi="宋体" w:eastAsia="黑体" w:cs="宋体"/>
          <w:color w:val="000000"/>
          <w:kern w:val="0"/>
        </w:rPr>
        <w:t>、评价结论及建议</w:t>
      </w:r>
    </w:p>
    <w:p w14:paraId="176AEF97">
      <w:pPr>
        <w:keepNext w:val="0"/>
        <w:keepLines w:val="0"/>
        <w:pageBreakBefore w:val="0"/>
        <w:kinsoku/>
        <w:wordWrap/>
        <w:overflowPunct/>
        <w:topLinePunct w:val="0"/>
        <w:autoSpaceDE/>
        <w:autoSpaceDN/>
        <w:bidi w:val="0"/>
        <w:spacing w:line="560" w:lineRule="exact"/>
        <w:ind w:left="0" w:firstLine="640" w:firstLineChars="200"/>
        <w:textAlignment w:val="auto"/>
        <w:rPr>
          <w:rFonts w:hint="eastAsia" w:ascii="仿宋_GB2312" w:hAnsi="仿宋_GB2312" w:eastAsia="仿宋_GB2312" w:cs="仿宋_GB2312"/>
          <w:color w:val="000000"/>
          <w:sz w:val="32"/>
          <w:szCs w:val="32"/>
          <w:lang w:val="en-US"/>
        </w:rPr>
      </w:pPr>
      <w:r>
        <w:rPr>
          <w:rFonts w:hint="eastAsia" w:ascii="楷体_GB2312" w:hAnsi="楷体_GB2312" w:eastAsia="楷体_GB2312" w:cs="楷体_GB2312"/>
          <w:color w:val="000000"/>
          <w:sz w:val="32"/>
          <w:szCs w:val="32"/>
          <w:lang w:val="en-US" w:eastAsia="zh-CN"/>
        </w:rPr>
        <w:t>（一）评价结论。</w:t>
      </w:r>
      <w:r>
        <w:rPr>
          <w:rFonts w:hint="eastAsia" w:ascii="仿宋_GB2312" w:hAnsi="仿宋_GB2312" w:eastAsia="仿宋_GB2312" w:cs="仿宋_GB2312"/>
          <w:color w:val="000000"/>
          <w:sz w:val="32"/>
          <w:szCs w:val="32"/>
          <w:lang w:val="en-US"/>
        </w:rPr>
        <w:t>202</w:t>
      </w:r>
      <w:r>
        <w:rPr>
          <w:rFonts w:hint="eastAsia" w:ascii="仿宋_GB2312" w:hAnsi="仿宋_GB2312" w:cs="仿宋_GB2312"/>
          <w:color w:val="000000"/>
          <w:sz w:val="32"/>
          <w:szCs w:val="32"/>
          <w:lang w:val="en-US" w:eastAsia="zh-CN"/>
        </w:rPr>
        <w:t>4</w:t>
      </w:r>
      <w:r>
        <w:rPr>
          <w:rFonts w:hint="eastAsia" w:ascii="仿宋_GB2312" w:hAnsi="仿宋_GB2312" w:eastAsia="仿宋_GB2312" w:cs="仿宋_GB2312"/>
          <w:color w:val="000000"/>
          <w:sz w:val="32"/>
          <w:szCs w:val="32"/>
          <w:lang w:eastAsia="zh-CN"/>
        </w:rPr>
        <w:t>年度我单位财政供养人员控制在预算编制内，编制内在职人员控制率</w:t>
      </w:r>
      <w:r>
        <w:rPr>
          <w:rFonts w:hint="eastAsia" w:ascii="仿宋_GB2312" w:hAnsi="仿宋_GB2312" w:eastAsia="仿宋_GB2312" w:cs="仿宋_GB2312"/>
          <w:color w:val="000000"/>
          <w:sz w:val="32"/>
          <w:szCs w:val="32"/>
          <w:lang w:val="en-US"/>
        </w:rPr>
        <w:t>100%</w:t>
      </w:r>
      <w:r>
        <w:rPr>
          <w:rFonts w:hint="eastAsia" w:ascii="仿宋_GB2312" w:hAnsi="仿宋_GB2312" w:eastAsia="仿宋_GB2312" w:cs="仿宋_GB2312"/>
          <w:color w:val="000000"/>
          <w:sz w:val="32"/>
          <w:szCs w:val="32"/>
          <w:lang w:eastAsia="zh-CN"/>
        </w:rPr>
        <w:t>；日常公用经费年初预算</w:t>
      </w:r>
      <w:r>
        <w:rPr>
          <w:rFonts w:hint="eastAsia" w:ascii="仿宋_GB2312" w:hAnsi="仿宋_GB2312" w:cs="仿宋_GB2312"/>
          <w:color w:val="000000"/>
          <w:sz w:val="32"/>
          <w:szCs w:val="32"/>
          <w:lang w:val="en-US" w:eastAsia="zh-CN"/>
        </w:rPr>
        <w:t>47.33</w:t>
      </w:r>
      <w:r>
        <w:rPr>
          <w:rFonts w:hint="eastAsia" w:ascii="仿宋_GB2312" w:hAnsi="仿宋_GB2312" w:eastAsia="仿宋_GB2312" w:cs="仿宋_GB2312"/>
          <w:color w:val="000000"/>
          <w:sz w:val="32"/>
          <w:szCs w:val="32"/>
          <w:lang w:eastAsia="zh-CN"/>
        </w:rPr>
        <w:t>万元，决算金额</w:t>
      </w:r>
      <w:r>
        <w:rPr>
          <w:rFonts w:hint="eastAsia" w:ascii="仿宋_GB2312" w:hAnsi="仿宋_GB2312" w:cs="仿宋_GB2312"/>
          <w:color w:val="000000"/>
          <w:sz w:val="32"/>
          <w:szCs w:val="32"/>
          <w:lang w:val="en-US" w:eastAsia="zh-CN"/>
        </w:rPr>
        <w:t>47.33</w:t>
      </w:r>
      <w:r>
        <w:rPr>
          <w:rFonts w:hint="eastAsia" w:ascii="仿宋_GB2312" w:hAnsi="仿宋_GB2312" w:eastAsia="仿宋_GB2312" w:cs="仿宋_GB2312"/>
          <w:color w:val="000000"/>
          <w:sz w:val="32"/>
          <w:szCs w:val="32"/>
          <w:lang w:eastAsia="zh-CN"/>
        </w:rPr>
        <w:t>万元，预算完成率</w:t>
      </w:r>
      <w:r>
        <w:rPr>
          <w:rFonts w:hint="eastAsia" w:ascii="仿宋_GB2312" w:hAnsi="仿宋_GB2312" w:eastAsia="仿宋_GB2312" w:cs="仿宋_GB2312"/>
          <w:color w:val="000000"/>
          <w:sz w:val="32"/>
          <w:szCs w:val="32"/>
          <w:lang w:val="en-US"/>
        </w:rPr>
        <w:t>100%</w:t>
      </w:r>
      <w:r>
        <w:rPr>
          <w:rFonts w:hint="eastAsia" w:ascii="仿宋_GB2312" w:hAnsi="仿宋_GB2312" w:eastAsia="仿宋_GB2312" w:cs="仿宋_GB2312"/>
          <w:color w:val="000000"/>
          <w:sz w:val="32"/>
          <w:szCs w:val="32"/>
          <w:lang w:eastAsia="zh-CN"/>
        </w:rPr>
        <w:t>，主要是践行厉行节约；预算管理工作较上年有所进步，执行制度总体有效，资金管理工作有待加强，建立了资产管理制度，总体执行较好。</w:t>
      </w:r>
    </w:p>
    <w:p w14:paraId="7C1409B5">
      <w:pPr>
        <w:keepNext w:val="0"/>
        <w:keepLines w:val="0"/>
        <w:pageBreakBefore w:val="0"/>
        <w:numPr>
          <w:ilvl w:val="0"/>
          <w:numId w:val="0"/>
        </w:numPr>
        <w:kinsoku/>
        <w:wordWrap/>
        <w:overflowPunct/>
        <w:topLinePunct w:val="0"/>
        <w:autoSpaceDE/>
        <w:autoSpaceDN/>
        <w:bidi w:val="0"/>
        <w:spacing w:line="560" w:lineRule="exact"/>
        <w:ind w:leftChars="200"/>
        <w:textAlignment w:val="auto"/>
        <w:rPr>
          <w:rFonts w:hint="eastAsia" w:ascii="楷体_GB2312" w:hAnsi="楷体_GB2312" w:eastAsia="楷体_GB2312" w:cs="楷体_GB2312"/>
          <w:color w:val="000000"/>
          <w:kern w:val="0"/>
          <w:lang w:val="zh-CN"/>
        </w:rPr>
      </w:pPr>
      <w:r>
        <w:rPr>
          <w:rFonts w:hint="eastAsia" w:ascii="楷体_GB2312" w:hAnsi="楷体_GB2312" w:eastAsia="楷体_GB2312" w:cs="楷体_GB2312"/>
          <w:color w:val="000000"/>
          <w:kern w:val="0"/>
          <w:lang w:val="zh-CN"/>
        </w:rPr>
        <w:t>（二）存在问题</w:t>
      </w:r>
    </w:p>
    <w:p w14:paraId="28E31EBE">
      <w:pPr>
        <w:keepNext w:val="0"/>
        <w:keepLines w:val="0"/>
        <w:pageBreakBefore w:val="0"/>
        <w:kinsoku/>
        <w:wordWrap/>
        <w:overflowPunct/>
        <w:topLinePunct w:val="0"/>
        <w:autoSpaceDE/>
        <w:autoSpaceDN/>
        <w:bidi w:val="0"/>
        <w:spacing w:line="560" w:lineRule="exact"/>
        <w:ind w:firstLine="600" w:firstLineChars="200"/>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b w:val="0"/>
          <w:bCs w:val="0"/>
          <w:color w:val="000000"/>
          <w:sz w:val="30"/>
          <w:szCs w:val="30"/>
          <w:lang w:val="en-US"/>
        </w:rPr>
        <w:t>1</w:t>
      </w:r>
      <w:r>
        <w:rPr>
          <w:rFonts w:hint="eastAsia" w:ascii="仿宋_GB2312" w:hAnsi="仿宋_GB2312" w:cs="仿宋_GB2312"/>
          <w:b w:val="0"/>
          <w:bCs w:val="0"/>
          <w:color w:val="000000"/>
          <w:sz w:val="30"/>
          <w:szCs w:val="30"/>
          <w:lang w:val="en-US" w:eastAsia="zh-CN"/>
        </w:rPr>
        <w:t>.</w:t>
      </w:r>
      <w:r>
        <w:rPr>
          <w:rFonts w:hint="eastAsia" w:ascii="仿宋_GB2312" w:hAnsi="仿宋_GB2312" w:eastAsia="仿宋_GB2312" w:cs="仿宋_GB2312"/>
          <w:color w:val="000000"/>
          <w:sz w:val="32"/>
          <w:szCs w:val="32"/>
          <w:lang w:val="zh-CN" w:eastAsia="zh-CN"/>
        </w:rPr>
        <w:t>在实际经费列支中，未严格按照预算科目进行列支</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要进一步规范资金的使用。</w:t>
      </w:r>
    </w:p>
    <w:p w14:paraId="0DF9E01D">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宋体" w:cs="宋体"/>
          <w:color w:val="000000"/>
          <w:kern w:val="0"/>
          <w:sz w:val="32"/>
          <w:szCs w:val="32"/>
          <w:lang w:val="zh-CN"/>
        </w:rPr>
      </w:pPr>
      <w:r>
        <w:rPr>
          <w:rFonts w:hint="eastAsia" w:ascii="仿宋_GB2312" w:hAnsi="仿宋_GB2312" w:eastAsia="仿宋_GB2312" w:cs="仿宋_GB2312"/>
          <w:color w:val="000000"/>
          <w:sz w:val="32"/>
          <w:szCs w:val="32"/>
          <w:lang w:val="en-US"/>
        </w:rPr>
        <w:t>2</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lang w:val="zh-CN" w:eastAsia="zh-CN"/>
        </w:rPr>
        <w:t>会计核算欠规范</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缺少项目资金使用效益评估。</w:t>
      </w:r>
    </w:p>
    <w:p w14:paraId="6DD130AD">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color w:val="000000"/>
          <w:kern w:val="0"/>
          <w:lang w:val="zh-CN"/>
        </w:rPr>
      </w:pPr>
      <w:r>
        <w:rPr>
          <w:rFonts w:hint="eastAsia" w:ascii="楷体_GB2312" w:hAnsi="楷体_GB2312" w:eastAsia="楷体_GB2312" w:cs="楷体_GB2312"/>
          <w:color w:val="000000"/>
          <w:kern w:val="0"/>
          <w:lang w:val="zh-CN"/>
        </w:rPr>
        <w:t>（</w:t>
      </w:r>
      <w:r>
        <w:rPr>
          <w:rFonts w:hint="eastAsia" w:ascii="楷体_GB2312" w:hAnsi="楷体_GB2312" w:eastAsia="楷体_GB2312" w:cs="楷体_GB2312"/>
          <w:color w:val="000000"/>
          <w:kern w:val="0"/>
          <w:lang w:val="en-US" w:eastAsia="zh-CN"/>
        </w:rPr>
        <w:t>三</w:t>
      </w:r>
      <w:r>
        <w:rPr>
          <w:rFonts w:hint="eastAsia" w:ascii="楷体_GB2312" w:hAnsi="楷体_GB2312" w:eastAsia="楷体_GB2312" w:cs="楷体_GB2312"/>
          <w:color w:val="000000"/>
          <w:kern w:val="0"/>
          <w:lang w:val="zh-CN"/>
        </w:rPr>
        <w:t>）改进建议</w:t>
      </w:r>
    </w:p>
    <w:p w14:paraId="79F7FCF3">
      <w:pPr>
        <w:keepNext w:val="0"/>
        <w:keepLines w:val="0"/>
        <w:pageBreakBefore w:val="0"/>
        <w:kinsoku/>
        <w:wordWrap/>
        <w:overflowPunct/>
        <w:topLinePunct w:val="0"/>
        <w:autoSpaceDE/>
        <w:autoSpaceDN/>
        <w:bidi w:val="0"/>
        <w:spacing w:line="560" w:lineRule="exact"/>
        <w:ind w:left="0" w:firstLine="480" w:firstLineChars="150"/>
        <w:textAlignment w:val="auto"/>
        <w:rPr>
          <w:rFonts w:hint="eastAsia" w:ascii="仿宋_GB2312"/>
          <w:color w:val="000000"/>
          <w:sz w:val="32"/>
          <w:szCs w:val="32"/>
          <w:lang w:eastAsia="zh-CN"/>
        </w:rPr>
      </w:pPr>
      <w:r>
        <w:rPr>
          <w:rFonts w:hint="eastAsia" w:ascii="仿宋_GB2312" w:hAnsi="仿宋_GB2312" w:eastAsia="仿宋_GB2312" w:cs="仿宋_GB2312"/>
          <w:color w:val="000000"/>
          <w:sz w:val="32"/>
          <w:szCs w:val="32"/>
          <w:lang w:eastAsia="zh-CN"/>
        </w:rPr>
        <w:t>一是进一步加强预算编制工作；二</w:t>
      </w:r>
      <w:r>
        <w:rPr>
          <w:rFonts w:hint="eastAsia" w:ascii="仿宋_GB2312" w:hAnsi="仿宋_GB2312" w:cs="仿宋_GB2312"/>
          <w:color w:val="000000"/>
          <w:sz w:val="32"/>
          <w:szCs w:val="32"/>
          <w:lang w:val="en-US" w:eastAsia="zh-CN"/>
        </w:rPr>
        <w:t>是</w:t>
      </w:r>
      <w:r>
        <w:rPr>
          <w:rFonts w:hint="eastAsia" w:ascii="仿宋_GB2312" w:hAnsi="仿宋_GB2312" w:eastAsia="仿宋_GB2312" w:cs="仿宋_GB2312"/>
          <w:color w:val="000000"/>
          <w:sz w:val="32"/>
          <w:szCs w:val="32"/>
          <w:lang w:val="zh-CN" w:eastAsia="zh-CN"/>
        </w:rPr>
        <w:t>规范账务处理，提高财务信息质量，</w:t>
      </w:r>
      <w:r>
        <w:rPr>
          <w:rFonts w:hint="eastAsia" w:ascii="仿宋_GB2312" w:hAnsi="仿宋_GB2312" w:eastAsia="仿宋_GB2312" w:cs="仿宋_GB2312"/>
          <w:color w:val="000000"/>
          <w:sz w:val="32"/>
          <w:szCs w:val="32"/>
          <w:lang w:eastAsia="zh-CN"/>
        </w:rPr>
        <w:t>不断完善各项规章制度；三是加大对财务人员的培训，多提供对财务的学习机会。</w:t>
      </w:r>
      <w:r>
        <w:rPr>
          <w:rFonts w:hint="eastAsia" w:ascii="仿宋_GB2312" w:hAnsi="仿宋_GB2312" w:eastAsia="仿宋_GB2312" w:cs="仿宋_GB2312"/>
          <w:color w:val="000000"/>
          <w:sz w:val="32"/>
          <w:szCs w:val="32"/>
          <w:shd w:val="clear" w:fill="FFFFFF"/>
          <w:lang w:eastAsia="zh-CN"/>
        </w:rPr>
        <w:t>建立长效机制，严格财务管理，加强财务监督，坚持厉行节约，严格杜绝现金交易，加强事业单位会计制度的学习。</w:t>
      </w:r>
      <w:r>
        <w:rPr>
          <w:rFonts w:hint="eastAsia" w:ascii="仿宋_GB2312" w:hAnsi="仿宋_GB2312" w:cs="仿宋_GB2312"/>
          <w:color w:val="000000"/>
          <w:sz w:val="32"/>
          <w:szCs w:val="32"/>
          <w:shd w:val="clear" w:fill="FFFFFF"/>
          <w:lang w:val="en-US" w:eastAsia="zh-CN"/>
        </w:rPr>
        <w:t>四</w:t>
      </w:r>
      <w:r>
        <w:rPr>
          <w:rFonts w:hint="eastAsia" w:ascii="仿宋_GB2312" w:eastAsia="仿宋_GB2312"/>
          <w:color w:val="000000"/>
          <w:sz w:val="32"/>
          <w:szCs w:val="32"/>
        </w:rPr>
        <w:t>是进一步加强预算编制工作</w:t>
      </w:r>
      <w:r>
        <w:rPr>
          <w:rFonts w:hint="eastAsia" w:ascii="仿宋_GB2312"/>
          <w:color w:val="000000"/>
          <w:sz w:val="32"/>
          <w:szCs w:val="32"/>
          <w:lang w:eastAsia="zh-CN"/>
        </w:rPr>
        <w:t>。</w:t>
      </w:r>
    </w:p>
    <w:p w14:paraId="6B4A8293">
      <w:pPr>
        <w:spacing w:line="560" w:lineRule="exact"/>
        <w:ind w:left="0" w:firstLine="480" w:firstLineChars="150"/>
        <w:rPr>
          <w:rFonts w:hint="eastAsia" w:ascii="仿宋_GB2312"/>
          <w:color w:val="000000"/>
          <w:sz w:val="32"/>
          <w:szCs w:val="32"/>
          <w:lang w:eastAsia="zh-CN"/>
        </w:rPr>
      </w:pPr>
    </w:p>
    <w:p w14:paraId="46542918">
      <w:pPr>
        <w:spacing w:line="560" w:lineRule="exact"/>
        <w:ind w:left="0" w:firstLine="480" w:firstLineChars="150"/>
        <w:rPr>
          <w:rFonts w:hint="eastAsia" w:ascii="仿宋_GB2312"/>
          <w:color w:val="000000"/>
          <w:sz w:val="32"/>
          <w:szCs w:val="32"/>
          <w:lang w:eastAsia="zh-CN"/>
        </w:rPr>
      </w:pPr>
    </w:p>
    <w:p w14:paraId="527614F8">
      <w:pPr>
        <w:pStyle w:val="10"/>
        <w:ind w:left="0" w:leftChars="0" w:firstLine="0" w:firstLineChars="0"/>
        <w:rPr>
          <w:rFonts w:hint="eastAsia" w:ascii="仿宋_GB2312"/>
          <w:color w:val="000000"/>
          <w:sz w:val="32"/>
          <w:szCs w:val="32"/>
          <w:lang w:eastAsia="zh-CN"/>
        </w:rPr>
      </w:pPr>
    </w:p>
    <w:p w14:paraId="289D3D05">
      <w:pPr>
        <w:pStyle w:val="10"/>
        <w:ind w:left="0" w:leftChars="0" w:firstLine="0" w:firstLineChars="0"/>
        <w:rPr>
          <w:rFonts w:hint="eastAsia" w:ascii="仿宋_GB2312"/>
          <w:color w:val="000000"/>
          <w:sz w:val="32"/>
          <w:szCs w:val="32"/>
          <w:lang w:eastAsia="zh-CN"/>
        </w:rPr>
      </w:pPr>
    </w:p>
    <w:p w14:paraId="72EC5AA5">
      <w:pPr>
        <w:spacing w:line="560" w:lineRule="exact"/>
        <w:ind w:left="0" w:firstLine="480" w:firstLineChars="150"/>
        <w:rPr>
          <w:rFonts w:hint="eastAsia" w:ascii="仿宋_GB2312"/>
          <w:color w:val="000000"/>
          <w:sz w:val="32"/>
          <w:szCs w:val="32"/>
          <w:lang w:eastAsia="zh-CN"/>
        </w:rPr>
      </w:pPr>
    </w:p>
    <w:p w14:paraId="2FFD8251">
      <w:pPr>
        <w:spacing w:line="560" w:lineRule="exact"/>
        <w:ind w:left="0" w:firstLine="480" w:firstLineChars="150"/>
        <w:rPr>
          <w:rFonts w:hint="eastAsia" w:ascii="仿宋_GB2312"/>
          <w:color w:val="000000"/>
          <w:sz w:val="32"/>
          <w:szCs w:val="32"/>
          <w:lang w:eastAsia="zh-CN"/>
        </w:rPr>
      </w:pPr>
    </w:p>
    <w:p w14:paraId="28B0B293">
      <w:pPr>
        <w:spacing w:line="560" w:lineRule="exact"/>
        <w:ind w:left="0" w:firstLine="480" w:firstLineChars="150"/>
        <w:rPr>
          <w:rFonts w:hint="eastAsia" w:ascii="仿宋_GB2312"/>
          <w:color w:val="000000"/>
          <w:sz w:val="32"/>
          <w:szCs w:val="32"/>
          <w:lang w:eastAsia="zh-CN"/>
        </w:rPr>
      </w:pPr>
    </w:p>
    <w:p w14:paraId="620EED21">
      <w:pPr>
        <w:spacing w:line="560" w:lineRule="exact"/>
        <w:ind w:left="0" w:firstLine="480" w:firstLineChars="150"/>
        <w:rPr>
          <w:rFonts w:hint="eastAsia" w:ascii="仿宋_GB2312"/>
          <w:color w:val="000000"/>
          <w:sz w:val="32"/>
          <w:szCs w:val="32"/>
          <w:lang w:eastAsia="zh-CN"/>
        </w:rPr>
      </w:pPr>
    </w:p>
    <w:p w14:paraId="459ECA91">
      <w:pPr>
        <w:spacing w:line="560" w:lineRule="exact"/>
        <w:ind w:left="0" w:firstLine="480" w:firstLineChars="150"/>
        <w:rPr>
          <w:rFonts w:hint="eastAsia" w:ascii="仿宋_GB2312"/>
          <w:color w:val="000000"/>
          <w:sz w:val="32"/>
          <w:szCs w:val="32"/>
          <w:lang w:eastAsia="zh-CN"/>
        </w:rPr>
      </w:pPr>
    </w:p>
    <w:p w14:paraId="65E812B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红原县疾病预防控制中心</w:t>
      </w:r>
    </w:p>
    <w:p w14:paraId="44C8497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包虫病防治项目</w:t>
      </w:r>
      <w:r>
        <w:rPr>
          <w:rFonts w:hint="eastAsia" w:ascii="方正小标宋简体" w:hAnsi="方正小标宋简体" w:eastAsia="方正小标宋简体" w:cs="方正小标宋简体"/>
          <w:b w:val="0"/>
          <w:bCs/>
          <w:sz w:val="44"/>
          <w:szCs w:val="44"/>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年度绩效自评</w:t>
      </w:r>
    </w:p>
    <w:p w14:paraId="3E99901A">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报告</w:t>
      </w:r>
    </w:p>
    <w:p w14:paraId="0FDFC801">
      <w:pPr>
        <w:rPr>
          <w:rFonts w:hint="eastAsia" w:ascii="黑体" w:hAnsi="黑体" w:eastAsia="黑体" w:cs="黑体"/>
          <w:bCs/>
          <w:sz w:val="32"/>
          <w:szCs w:val="32"/>
        </w:rPr>
      </w:pPr>
    </w:p>
    <w:p w14:paraId="2EAED05E">
      <w:pPr>
        <w:ind w:firstLine="640" w:firstLineChars="200"/>
        <w:rPr>
          <w:rFonts w:ascii="黑体" w:hAnsi="黑体" w:eastAsia="黑体" w:cs="黑体"/>
          <w:bCs/>
          <w:sz w:val="32"/>
          <w:szCs w:val="32"/>
        </w:rPr>
      </w:pPr>
      <w:r>
        <w:rPr>
          <w:rFonts w:hint="eastAsia" w:ascii="黑体" w:hAnsi="黑体" w:eastAsia="黑体" w:cs="黑体"/>
          <w:bCs/>
          <w:sz w:val="32"/>
          <w:szCs w:val="32"/>
        </w:rPr>
        <w:t>一、绩效目标分解下达情况</w:t>
      </w:r>
    </w:p>
    <w:p w14:paraId="77A28C30">
      <w:pPr>
        <w:ind w:firstLine="640" w:firstLineChars="200"/>
        <w:rPr>
          <w:rFonts w:hint="default" w:ascii="仿宋_GB2312" w:hAnsi="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2024年上级下达包虫病项目资金68.6万元，2023年结余72.56万元，2024年总支出84.47万元；支出率为59.84%。</w:t>
      </w:r>
    </w:p>
    <w:p w14:paraId="049EA0E9">
      <w:pPr>
        <w:ind w:firstLine="640" w:firstLineChars="200"/>
        <w:rPr>
          <w:rFonts w:ascii="黑体" w:hAnsi="黑体" w:eastAsia="黑体" w:cs="黑体"/>
          <w:bCs/>
          <w:szCs w:val="32"/>
        </w:rPr>
      </w:pPr>
      <w:r>
        <w:rPr>
          <w:rFonts w:hint="eastAsia" w:ascii="黑体" w:hAnsi="黑体" w:eastAsia="黑体" w:cs="黑体"/>
          <w:bCs/>
          <w:szCs w:val="32"/>
        </w:rPr>
        <w:t>二、绩效目标完成情况分析</w:t>
      </w:r>
    </w:p>
    <w:p w14:paraId="727EFDFC">
      <w:pPr>
        <w:ind w:firstLine="643" w:firstLineChars="200"/>
        <w:outlineLvl w:val="0"/>
        <w:rPr>
          <w:rFonts w:hint="eastAsia" w:ascii="楷体_GB2312" w:hAnsi="楷体_GB2312" w:eastAsia="楷体_GB2312" w:cs="楷体_GB2312"/>
          <w:b/>
          <w:bCs/>
          <w:szCs w:val="32"/>
        </w:rPr>
      </w:pPr>
      <w:r>
        <w:rPr>
          <w:rFonts w:hint="eastAsia" w:ascii="楷体_GB2312" w:hAnsi="楷体_GB2312" w:eastAsia="楷体_GB2312" w:cs="楷体_GB2312"/>
          <w:b/>
          <w:bCs/>
          <w:szCs w:val="32"/>
        </w:rPr>
        <w:t>（一）资金投入情况分析</w:t>
      </w:r>
    </w:p>
    <w:p w14:paraId="029799BE">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阿坝州财政局 阿坝州卫生健康委员会关于下达阿坝州</w:t>
      </w:r>
      <w:r>
        <w:rPr>
          <w:rFonts w:hint="eastAsia" w:ascii="仿宋_GB2312" w:hAnsi="仿宋_GB2312" w:cs="仿宋_GB2312"/>
          <w:b w:val="0"/>
          <w:bCs/>
          <w:sz w:val="32"/>
          <w:szCs w:val="32"/>
          <w:shd w:val="clear" w:color="auto" w:fill="FFFFFF"/>
          <w:lang w:val="en-US" w:eastAsia="zh-CN"/>
        </w:rPr>
        <w:t>重大传染病</w:t>
      </w:r>
      <w:r>
        <w:rPr>
          <w:rFonts w:hint="eastAsia" w:ascii="仿宋_GB2312" w:hAnsi="仿宋_GB2312" w:eastAsia="仿宋_GB2312" w:cs="仿宋_GB2312"/>
          <w:b w:val="0"/>
          <w:bCs/>
          <w:sz w:val="32"/>
          <w:szCs w:val="32"/>
          <w:shd w:val="clear" w:color="auto" w:fill="FFFFFF"/>
          <w:lang w:val="en-US" w:eastAsia="zh-CN"/>
        </w:rPr>
        <w:t>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w:t>
      </w:r>
      <w:r>
        <w:rPr>
          <w:rFonts w:hint="eastAsia" w:ascii="仿宋_GB2312" w:hAnsi="仿宋_GB2312" w:cs="仿宋_GB2312"/>
          <w:b w:val="0"/>
          <w:bCs/>
          <w:sz w:val="32"/>
          <w:szCs w:val="32"/>
          <w:shd w:val="clear" w:color="auto" w:fill="FFFFFF"/>
          <w:lang w:val="en-US" w:eastAsia="zh-CN"/>
        </w:rPr>
        <w:t>中央</w:t>
      </w:r>
      <w:r>
        <w:rPr>
          <w:rFonts w:hint="eastAsia" w:ascii="仿宋_GB2312" w:hAnsi="仿宋_GB2312" w:eastAsia="仿宋_GB2312" w:cs="仿宋_GB2312"/>
          <w:b w:val="0"/>
          <w:bCs/>
          <w:sz w:val="32"/>
          <w:szCs w:val="32"/>
          <w:shd w:val="clear" w:color="auto" w:fill="FFFFFF"/>
          <w:lang w:val="en-US" w:eastAsia="zh-CN"/>
        </w:rPr>
        <w:t>补助资金的通知（阿州财社〔202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w:t>
      </w:r>
      <w:r>
        <w:rPr>
          <w:rFonts w:hint="eastAsia" w:ascii="仿宋_GB2312" w:hAnsi="仿宋_GB2312" w:cs="仿宋_GB2312"/>
          <w:b w:val="0"/>
          <w:bCs/>
          <w:sz w:val="32"/>
          <w:szCs w:val="32"/>
          <w:shd w:val="clear" w:color="auto" w:fill="FFFFFF"/>
          <w:lang w:val="en-US" w:eastAsia="zh-CN"/>
        </w:rPr>
        <w:t>35</w:t>
      </w:r>
      <w:r>
        <w:rPr>
          <w:rFonts w:hint="eastAsia" w:ascii="仿宋_GB2312" w:hAnsi="仿宋_GB2312" w:eastAsia="仿宋_GB2312" w:cs="仿宋_GB2312"/>
          <w:b w:val="0"/>
          <w:bCs/>
          <w:sz w:val="32"/>
          <w:szCs w:val="32"/>
          <w:shd w:val="clear" w:color="auto" w:fill="FFFFFF"/>
          <w:lang w:val="en-US" w:eastAsia="zh-CN"/>
        </w:rPr>
        <w:t>号</w:t>
      </w:r>
      <w:r>
        <w:rPr>
          <w:rFonts w:hint="eastAsia" w:ascii="仿宋_GB2312" w:hAnsi="仿宋_GB2312" w:cs="仿宋_GB2312"/>
          <w:b w:val="0"/>
          <w:bCs/>
          <w:sz w:val="32"/>
          <w:szCs w:val="32"/>
          <w:shd w:val="clear" w:color="auto" w:fill="FFFFFF"/>
          <w:lang w:val="en-US" w:eastAsia="zh-CN"/>
        </w:rPr>
        <w:t>；</w:t>
      </w:r>
      <w:r>
        <w:rPr>
          <w:rFonts w:hint="eastAsia" w:ascii="仿宋_GB2312" w:hAnsi="仿宋_GB2312" w:eastAsia="仿宋_GB2312" w:cs="仿宋_GB2312"/>
          <w:b w:val="0"/>
          <w:bCs/>
          <w:sz w:val="32"/>
          <w:szCs w:val="32"/>
          <w:shd w:val="clear" w:color="auto" w:fill="FFFFFF"/>
          <w:lang w:val="en-US" w:eastAsia="zh-CN"/>
        </w:rPr>
        <w:t>阿州财社〔202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w:t>
      </w:r>
      <w:r>
        <w:rPr>
          <w:rFonts w:hint="eastAsia" w:ascii="仿宋_GB2312" w:hAnsi="仿宋_GB2312" w:cs="仿宋_GB2312"/>
          <w:b w:val="0"/>
          <w:bCs/>
          <w:sz w:val="32"/>
          <w:szCs w:val="32"/>
          <w:shd w:val="clear" w:color="auto" w:fill="FFFFFF"/>
          <w:lang w:val="en-US" w:eastAsia="zh-CN"/>
        </w:rPr>
        <w:t>98</w:t>
      </w:r>
      <w:r>
        <w:rPr>
          <w:rFonts w:hint="eastAsia" w:ascii="仿宋_GB2312" w:hAnsi="仿宋_GB2312" w:eastAsia="仿宋_GB2312" w:cs="仿宋_GB2312"/>
          <w:b w:val="0"/>
          <w:bCs/>
          <w:sz w:val="32"/>
          <w:szCs w:val="32"/>
          <w:shd w:val="clear" w:color="auto" w:fill="FFFFFF"/>
          <w:lang w:val="en-US" w:eastAsia="zh-CN"/>
        </w:rPr>
        <w:t>号），下达资金共计</w:t>
      </w:r>
      <w:r>
        <w:rPr>
          <w:rFonts w:hint="eastAsia" w:ascii="仿宋_GB2312" w:hAnsi="仿宋_GB2312" w:cs="仿宋_GB2312"/>
          <w:b w:val="0"/>
          <w:bCs/>
          <w:sz w:val="32"/>
          <w:szCs w:val="32"/>
          <w:shd w:val="clear" w:color="auto" w:fill="FFFFFF"/>
          <w:lang w:val="en-US" w:eastAsia="zh-CN"/>
        </w:rPr>
        <w:t>68.6</w:t>
      </w:r>
      <w:r>
        <w:rPr>
          <w:rFonts w:hint="eastAsia" w:ascii="仿宋_GB2312" w:hAnsi="仿宋_GB2312" w:eastAsia="仿宋_GB2312" w:cs="仿宋_GB2312"/>
          <w:b w:val="0"/>
          <w:bCs/>
          <w:sz w:val="32"/>
          <w:szCs w:val="32"/>
          <w:shd w:val="clear" w:color="auto" w:fill="FFFFFF"/>
          <w:lang w:val="en-US" w:eastAsia="zh-CN"/>
        </w:rPr>
        <w:t>万元。202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年资金已到位，下达资金共计</w:t>
      </w:r>
      <w:r>
        <w:rPr>
          <w:rFonts w:hint="eastAsia" w:ascii="仿宋_GB2312" w:hAnsi="仿宋_GB2312" w:cs="仿宋_GB2312"/>
          <w:b w:val="0"/>
          <w:bCs/>
          <w:sz w:val="32"/>
          <w:szCs w:val="32"/>
          <w:shd w:val="clear" w:color="auto" w:fill="FFFFFF"/>
          <w:lang w:val="en-US" w:eastAsia="zh-CN"/>
        </w:rPr>
        <w:t>68.6</w:t>
      </w:r>
      <w:r>
        <w:rPr>
          <w:rFonts w:hint="eastAsia" w:ascii="仿宋_GB2312" w:hAnsi="仿宋_GB2312" w:eastAsia="仿宋_GB2312" w:cs="仿宋_GB2312"/>
          <w:b w:val="0"/>
          <w:bCs/>
          <w:sz w:val="32"/>
          <w:szCs w:val="32"/>
          <w:shd w:val="clear" w:color="auto" w:fill="FFFFFF"/>
          <w:lang w:val="en-US" w:eastAsia="zh-CN"/>
        </w:rPr>
        <w:t>万元</w:t>
      </w:r>
      <w:r>
        <w:rPr>
          <w:rFonts w:hint="eastAsia" w:ascii="仿宋_GB2312" w:hAnsi="仿宋_GB2312" w:cs="仿宋_GB2312"/>
          <w:b w:val="0"/>
          <w:bCs/>
          <w:sz w:val="32"/>
          <w:szCs w:val="32"/>
          <w:shd w:val="clear" w:color="auto" w:fill="FFFFFF"/>
          <w:lang w:val="en-US" w:eastAsia="zh-CN"/>
        </w:rPr>
        <w:t>；</w:t>
      </w:r>
      <w:r>
        <w:rPr>
          <w:rFonts w:hint="eastAsia" w:ascii="仿宋_GB2312" w:hAnsi="仿宋_GB2312" w:eastAsia="仿宋_GB2312" w:cs="仿宋_GB2312"/>
          <w:b w:val="0"/>
          <w:bCs/>
          <w:sz w:val="32"/>
          <w:szCs w:val="32"/>
          <w:shd w:val="clear" w:color="auto" w:fill="FFFFFF"/>
          <w:lang w:val="en-US" w:eastAsia="zh-CN"/>
        </w:rPr>
        <w:t>项目已经实施完毕。该笔资金</w:t>
      </w:r>
      <w:r>
        <w:rPr>
          <w:rFonts w:hint="eastAsia" w:ascii="仿宋_GB2312" w:hAnsi="仿宋_GB2312" w:cs="仿宋_GB2312"/>
          <w:b w:val="0"/>
          <w:bCs/>
          <w:sz w:val="32"/>
          <w:szCs w:val="32"/>
          <w:shd w:val="clear" w:color="auto" w:fill="FFFFFF"/>
          <w:lang w:val="en-US" w:eastAsia="zh-CN"/>
        </w:rPr>
        <w:t>主要</w:t>
      </w:r>
      <w:r>
        <w:rPr>
          <w:rFonts w:hint="eastAsia" w:ascii="仿宋_GB2312" w:hAnsi="仿宋_GB2312" w:eastAsia="仿宋_GB2312" w:cs="仿宋_GB2312"/>
          <w:b w:val="0"/>
          <w:bCs/>
          <w:sz w:val="32"/>
          <w:szCs w:val="32"/>
          <w:shd w:val="clear" w:color="auto" w:fill="FFFFFF"/>
          <w:lang w:val="en-US" w:eastAsia="zh-CN"/>
        </w:rPr>
        <w:t>用于</w:t>
      </w:r>
      <w:r>
        <w:rPr>
          <w:rFonts w:hint="eastAsia" w:ascii="仿宋_GB2312" w:hAnsi="仿宋_GB2312" w:cs="仿宋_GB2312"/>
          <w:b w:val="0"/>
          <w:bCs/>
          <w:sz w:val="32"/>
          <w:szCs w:val="32"/>
          <w:shd w:val="clear" w:color="auto" w:fill="FFFFFF"/>
          <w:lang w:val="en-US" w:eastAsia="zh-CN"/>
        </w:rPr>
        <w:t>全县的包虫病防治</w:t>
      </w:r>
      <w:r>
        <w:rPr>
          <w:rFonts w:hint="eastAsia" w:ascii="仿宋_GB2312" w:hAnsi="仿宋_GB2312" w:eastAsia="仿宋_GB2312" w:cs="仿宋_GB2312"/>
          <w:b w:val="0"/>
          <w:bCs/>
          <w:sz w:val="32"/>
          <w:szCs w:val="32"/>
          <w:shd w:val="clear" w:color="auto" w:fill="FFFFFF"/>
          <w:lang w:val="en-US" w:eastAsia="zh-CN"/>
        </w:rPr>
        <w:t>。</w:t>
      </w:r>
    </w:p>
    <w:p w14:paraId="59D223CE">
      <w:pPr>
        <w:keepNext w:val="0"/>
        <w:keepLines w:val="0"/>
        <w:pageBreakBefore w:val="0"/>
        <w:widowControl w:val="0"/>
        <w:numPr>
          <w:ilvl w:val="0"/>
          <w:numId w:val="2"/>
        </w:numPr>
        <w:kinsoku/>
        <w:wordWrap/>
        <w:overflowPunct/>
        <w:topLinePunct w:val="0"/>
        <w:autoSpaceDE/>
        <w:autoSpaceDN/>
        <w:bidi w:val="0"/>
        <w:adjustRightInd/>
        <w:spacing w:line="560" w:lineRule="exact"/>
        <w:ind w:firstLine="600"/>
        <w:textAlignment w:val="auto"/>
        <w:rPr>
          <w:rFonts w:hint="eastAsia" w:ascii="宋体" w:hAnsi="宋体" w:cs="宋体"/>
          <w:b/>
          <w:sz w:val="32"/>
          <w:szCs w:val="32"/>
          <w:lang w:val="en-US" w:eastAsia="zh-CN"/>
        </w:rPr>
      </w:pPr>
      <w:r>
        <w:rPr>
          <w:rFonts w:hint="eastAsia" w:ascii="楷体_GB2312" w:hAnsi="楷体_GB2312" w:eastAsia="楷体_GB2312" w:cs="楷体_GB2312"/>
          <w:b/>
          <w:bCs/>
          <w:szCs w:val="32"/>
        </w:rPr>
        <w:t>总体绩效目标完成情况分析</w:t>
      </w:r>
    </w:p>
    <w:p w14:paraId="59C3C786">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val="en-US" w:eastAsia="zh-CN"/>
        </w:rPr>
        <w:t>完成全县域内人群包虫病B超筛查7535人次，完成率为107.64%，新增包虫病病人4例（大疫情网上报病人），均为泡型包虫病。发现疑似病例13例。较2023年同期相比患病率上升0.03%.</w:t>
      </w:r>
    </w:p>
    <w:p w14:paraId="3A72B17A">
      <w:pPr>
        <w:pStyle w:val="10"/>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val="en-US" w:eastAsia="zh-CN"/>
        </w:rPr>
        <w:t>完成集中屠宰场家畜调查（牛）300头，发现疑似病灶例（其中肺3例、肝12例），较2023年同期相比患病率下降3%，疑似病灶已送至省疾控中心进行复核。</w:t>
      </w:r>
    </w:p>
    <w:p w14:paraId="296782C5">
      <w:pPr>
        <w:pStyle w:val="16"/>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val="en-US" w:eastAsia="zh-CN"/>
        </w:rPr>
        <w:t>完成6-18岁儿童B超筛查500名，完成率为31.25%发现疑似病例2例，较2023年同期相比患病率上升2%。（数据截止11月18日）</w:t>
      </w:r>
    </w:p>
    <w:p w14:paraId="2F3D45EC">
      <w:pPr>
        <w:pStyle w:val="16"/>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sz w:val="32"/>
          <w:szCs w:val="32"/>
          <w:lang w:val="en-US" w:eastAsia="zh-CN"/>
        </w:rPr>
        <w:t>4.</w:t>
      </w:r>
      <w:r>
        <w:rPr>
          <w:rFonts w:hint="eastAsia" w:ascii="仿宋_GB2312" w:hAnsi="仿宋" w:eastAsia="仿宋_GB2312"/>
          <w:sz w:val="32"/>
          <w:szCs w:val="32"/>
        </w:rPr>
        <w:t>在监测点人群居住周围捕捉</w:t>
      </w:r>
      <w:r>
        <w:rPr>
          <w:rFonts w:hint="eastAsia" w:ascii="仿宋_GB2312" w:hAnsi="仿宋" w:eastAsia="仿宋_GB2312"/>
          <w:sz w:val="32"/>
          <w:szCs w:val="32"/>
          <w:lang w:val="en-US" w:eastAsia="zh-CN"/>
        </w:rPr>
        <w:t>650</w:t>
      </w:r>
      <w:r>
        <w:rPr>
          <w:rFonts w:hint="eastAsia" w:ascii="仿宋_GB2312" w:hAnsi="仿宋" w:eastAsia="仿宋_GB2312"/>
          <w:sz w:val="32"/>
          <w:szCs w:val="32"/>
        </w:rPr>
        <w:t>只鼠兔，进行了剖检，检查肝肺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发现疑似病例21例（其中肺20例、肝1例），</w:t>
      </w:r>
      <w:r>
        <w:rPr>
          <w:rFonts w:hint="eastAsia" w:ascii="仿宋_GB2312" w:hAnsi="仿宋_GB2312" w:eastAsia="仿宋_GB2312" w:cs="仿宋_GB2312"/>
          <w:sz w:val="32"/>
          <w:szCs w:val="32"/>
          <w:lang w:val="en-US" w:eastAsia="zh-CN"/>
        </w:rPr>
        <w:t>较2023年同期相比患病率上升0.92%，</w:t>
      </w:r>
      <w:r>
        <w:rPr>
          <w:rFonts w:hint="eastAsia" w:ascii="仿宋_GB2312" w:hAnsi="仿宋" w:eastAsia="仿宋_GB2312"/>
          <w:sz w:val="32"/>
          <w:szCs w:val="32"/>
          <w:lang w:val="en-US" w:eastAsia="zh-CN"/>
        </w:rPr>
        <w:t>已</w:t>
      </w:r>
      <w:r>
        <w:rPr>
          <w:rFonts w:hint="eastAsia" w:ascii="仿宋_GB2312" w:hAnsi="仿宋" w:eastAsia="仿宋_GB2312"/>
          <w:sz w:val="32"/>
          <w:szCs w:val="32"/>
        </w:rPr>
        <w:t>送省级疾病预防控制机构进行PCR复核</w:t>
      </w:r>
      <w:r>
        <w:rPr>
          <w:rFonts w:hint="eastAsia" w:ascii="仿宋_GB2312" w:hAnsi="仿宋" w:eastAsia="仿宋_GB2312"/>
          <w:sz w:val="32"/>
          <w:szCs w:val="32"/>
          <w:lang w:eastAsia="zh-CN"/>
        </w:rPr>
        <w:t>。</w:t>
      </w:r>
    </w:p>
    <w:p w14:paraId="23519BA3">
      <w:pPr>
        <w:pStyle w:val="16"/>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5.</w:t>
      </w:r>
      <w:r>
        <w:rPr>
          <w:rFonts w:hint="eastAsia" w:ascii="仿宋_GB2312" w:hAnsi="仿宋_GB2312" w:eastAsia="仿宋_GB2312" w:cs="仿宋_GB2312"/>
          <w:sz w:val="32"/>
          <w:szCs w:val="32"/>
        </w:rPr>
        <w:t>在主要流行、镇采用系统随机抽样法收集犬粪</w:t>
      </w:r>
      <w:r>
        <w:rPr>
          <w:rFonts w:hint="eastAsia" w:ascii="仿宋_GB2312" w:hAnsi="仿宋_GB2312" w:eastAsia="仿宋_GB2312" w:cs="仿宋_GB2312"/>
          <w:sz w:val="32"/>
          <w:szCs w:val="32"/>
          <w:lang w:val="en-US" w:eastAsia="zh-CN"/>
        </w:rPr>
        <w:t>1152</w:t>
      </w:r>
      <w:r>
        <w:rPr>
          <w:rFonts w:hint="eastAsia" w:ascii="仿宋_GB2312" w:hAnsi="仿宋_GB2312" w:eastAsia="仿宋_GB2312" w:cs="仿宋_GB2312"/>
          <w:sz w:val="32"/>
          <w:szCs w:val="32"/>
        </w:rPr>
        <w:t>份（其中家犬</w:t>
      </w:r>
      <w:r>
        <w:rPr>
          <w:rFonts w:hint="eastAsia" w:ascii="仿宋_GB2312" w:hAnsi="仿宋_GB2312" w:eastAsia="仿宋_GB2312" w:cs="仿宋_GB2312"/>
          <w:sz w:val="32"/>
          <w:szCs w:val="32"/>
          <w:lang w:val="en-US" w:eastAsia="zh-CN"/>
        </w:rPr>
        <w:t>共计532</w:t>
      </w:r>
      <w:r>
        <w:rPr>
          <w:rFonts w:hint="eastAsia" w:ascii="仿宋_GB2312" w:hAnsi="仿宋_GB2312" w:eastAsia="仿宋_GB2312" w:cs="仿宋_GB2312"/>
          <w:sz w:val="32"/>
          <w:szCs w:val="32"/>
        </w:rPr>
        <w:t>份、野犬</w:t>
      </w:r>
      <w:r>
        <w:rPr>
          <w:rFonts w:hint="eastAsia" w:ascii="仿宋_GB2312" w:hAnsi="仿宋_GB2312" w:eastAsia="仿宋_GB2312" w:cs="仿宋_GB2312"/>
          <w:sz w:val="32"/>
          <w:szCs w:val="32"/>
          <w:lang w:val="en-US" w:eastAsia="zh-CN"/>
        </w:rPr>
        <w:t>共计620</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val="en-US" w:eastAsia="zh-CN"/>
        </w:rPr>
        <w:t>已送往壤塘实验室进行检测，阳性12例（其中家犬3例、野犬9例），较2023年同期相比阳性率上升0.96%。</w:t>
      </w:r>
    </w:p>
    <w:p w14:paraId="3014E236">
      <w:pPr>
        <w:pStyle w:val="16"/>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6.</w:t>
      </w:r>
      <w:r>
        <w:rPr>
          <w:rFonts w:hint="eastAsia" w:ascii="仿宋_GB2312" w:hAnsi="仿宋_GB2312" w:eastAsia="仿宋_GB2312" w:cs="仿宋_GB2312"/>
          <w:sz w:val="32"/>
          <w:szCs w:val="32"/>
          <w:lang w:val="en-US" w:eastAsia="zh-CN"/>
        </w:rPr>
        <w:t>完成随访病人及疑似病例血清学检测共计102例。（数据截止11月18日）</w:t>
      </w:r>
    </w:p>
    <w:p w14:paraId="0F36C0CB">
      <w:pPr>
        <w:numPr>
          <w:ilvl w:val="0"/>
          <w:numId w:val="0"/>
        </w:numPr>
        <w:ind w:firstLine="643" w:firstLineChars="200"/>
        <w:outlineLvl w:val="0"/>
        <w:rPr>
          <w:rFonts w:hint="eastAsia" w:ascii="楷体_GB2312" w:hAnsi="楷体_GB2312" w:eastAsia="楷体_GB2312" w:cs="楷体_GB2312"/>
          <w:b/>
          <w:bCs w:val="0"/>
          <w:szCs w:val="32"/>
        </w:rPr>
      </w:pPr>
      <w:r>
        <w:rPr>
          <w:rFonts w:hint="eastAsia" w:ascii="楷体_GB2312" w:hAnsi="楷体_GB2312" w:eastAsia="楷体_GB2312" w:cs="楷体_GB2312"/>
          <w:b/>
          <w:bCs w:val="0"/>
          <w:sz w:val="32"/>
          <w:szCs w:val="32"/>
          <w:shd w:val="clear" w:color="auto" w:fill="FFFFFF"/>
          <w:lang w:val="en-US" w:eastAsia="zh-CN"/>
        </w:rPr>
        <w:t>（三）</w:t>
      </w:r>
      <w:r>
        <w:rPr>
          <w:rFonts w:hint="eastAsia" w:ascii="楷体_GB2312" w:hAnsi="楷体_GB2312" w:eastAsia="楷体_GB2312" w:cs="楷体_GB2312"/>
          <w:b/>
          <w:bCs w:val="0"/>
          <w:szCs w:val="32"/>
        </w:rPr>
        <w:t>绩效指标完成情况分析</w:t>
      </w:r>
    </w:p>
    <w:p w14:paraId="24682EF7">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1.产出指标完成情况分析</w:t>
      </w:r>
    </w:p>
    <w:p w14:paraId="46C404DC">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（1）数量指标。</w:t>
      </w:r>
    </w:p>
    <w:p w14:paraId="6E7F8696">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完成</w:t>
      </w:r>
      <w:r>
        <w:rPr>
          <w:rFonts w:hint="eastAsia" w:ascii="仿宋_GB2312" w:hAnsi="仿宋_GB2312" w:cs="仿宋_GB2312"/>
          <w:b w:val="0"/>
          <w:bCs/>
          <w:sz w:val="32"/>
          <w:szCs w:val="32"/>
          <w:shd w:val="clear" w:color="auto" w:fill="FFFFFF"/>
          <w:lang w:val="en-US" w:eastAsia="zh-CN"/>
        </w:rPr>
        <w:t>包虫病防治健康教育</w:t>
      </w:r>
      <w:r>
        <w:rPr>
          <w:rFonts w:hint="eastAsia" w:ascii="仿宋_GB2312" w:hAnsi="仿宋_GB2312" w:eastAsia="仿宋_GB2312" w:cs="仿宋_GB2312"/>
          <w:b w:val="0"/>
          <w:bCs/>
          <w:sz w:val="32"/>
          <w:szCs w:val="32"/>
          <w:shd w:val="clear" w:color="auto" w:fill="FFFFFF"/>
          <w:lang w:val="en-US" w:eastAsia="zh-CN"/>
        </w:rPr>
        <w:t>宣传宣讲活动，</w:t>
      </w:r>
      <w:r>
        <w:rPr>
          <w:rFonts w:hint="eastAsia" w:ascii="仿宋_GB2312" w:hAnsi="仿宋_GB2312" w:cs="仿宋_GB2312"/>
          <w:b w:val="0"/>
          <w:bCs/>
          <w:sz w:val="32"/>
          <w:szCs w:val="32"/>
          <w:shd w:val="clear" w:color="auto" w:fill="FFFFFF"/>
          <w:lang w:val="en-US" w:eastAsia="zh-CN"/>
        </w:rPr>
        <w:t>覆盖上万人</w:t>
      </w:r>
      <w:r>
        <w:rPr>
          <w:rFonts w:hint="eastAsia" w:ascii="仿宋_GB2312" w:hAnsi="仿宋_GB2312" w:eastAsia="仿宋_GB2312" w:cs="仿宋_GB2312"/>
          <w:b w:val="0"/>
          <w:bCs/>
          <w:sz w:val="32"/>
          <w:szCs w:val="32"/>
          <w:shd w:val="clear" w:color="auto" w:fill="FFFFFF"/>
          <w:lang w:val="en-US" w:eastAsia="zh-CN"/>
        </w:rPr>
        <w:t>。</w:t>
      </w:r>
    </w:p>
    <w:p w14:paraId="42F20E22">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（2）质量指标。</w:t>
      </w:r>
    </w:p>
    <w:p w14:paraId="2F47AEC9">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人群主动筛查任务完成率</w:t>
      </w:r>
      <w:r>
        <w:rPr>
          <w:rFonts w:hint="eastAsia" w:ascii="仿宋_GB2312" w:hAnsi="仿宋_GB2312" w:eastAsia="仿宋_GB2312" w:cs="仿宋_GB2312"/>
          <w:b w:val="0"/>
          <w:bCs/>
          <w:sz w:val="32"/>
          <w:szCs w:val="32"/>
          <w:shd w:val="clear" w:color="auto" w:fill="FFFFFF"/>
          <w:lang w:val="en-US" w:eastAsia="zh-CN"/>
        </w:rPr>
        <w:t>指标：通过</w:t>
      </w:r>
      <w:r>
        <w:rPr>
          <w:rFonts w:hint="eastAsia" w:ascii="仿宋_GB2312" w:hAnsi="仿宋_GB2312" w:cs="仿宋_GB2312"/>
          <w:b w:val="0"/>
          <w:bCs/>
          <w:sz w:val="32"/>
          <w:szCs w:val="32"/>
          <w:shd w:val="clear" w:color="auto" w:fill="FFFFFF"/>
          <w:lang w:val="en-US" w:eastAsia="zh-CN"/>
        </w:rPr>
        <w:t>对全县所有人群进行包虫病筛查，</w:t>
      </w:r>
      <w:r>
        <w:rPr>
          <w:rFonts w:hint="eastAsia" w:ascii="仿宋_GB2312" w:hAnsi="仿宋_GB2312" w:eastAsia="仿宋_GB2312" w:cs="仿宋_GB2312"/>
          <w:b w:val="0"/>
          <w:bCs/>
          <w:sz w:val="32"/>
          <w:szCs w:val="32"/>
          <w:shd w:val="clear" w:color="auto" w:fill="FFFFFF"/>
          <w:lang w:val="en-US" w:eastAsia="zh-CN"/>
        </w:rPr>
        <w:t>是评价</w:t>
      </w:r>
      <w:r>
        <w:rPr>
          <w:rFonts w:hint="eastAsia" w:ascii="仿宋_GB2312" w:hAnsi="仿宋_GB2312" w:cs="仿宋_GB2312"/>
          <w:b w:val="0"/>
          <w:bCs/>
          <w:sz w:val="32"/>
          <w:szCs w:val="32"/>
          <w:shd w:val="clear" w:color="auto" w:fill="FFFFFF"/>
          <w:lang w:val="en-US" w:eastAsia="zh-CN"/>
        </w:rPr>
        <w:t>包虫病防治发病率</w:t>
      </w:r>
      <w:r>
        <w:rPr>
          <w:rFonts w:hint="eastAsia" w:ascii="仿宋_GB2312" w:hAnsi="仿宋_GB2312" w:eastAsia="仿宋_GB2312" w:cs="仿宋_GB2312"/>
          <w:b w:val="0"/>
          <w:bCs/>
          <w:sz w:val="32"/>
          <w:szCs w:val="32"/>
          <w:shd w:val="clear" w:color="auto" w:fill="FFFFFF"/>
          <w:lang w:val="en-US" w:eastAsia="zh-CN"/>
        </w:rPr>
        <w:t>的重要指标之一。</w:t>
      </w:r>
    </w:p>
    <w:p w14:paraId="52791E6F">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2.效益指标完成情况分析。</w:t>
      </w:r>
    </w:p>
    <w:p w14:paraId="6C1137B7">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社会效益。</w:t>
      </w:r>
      <w:r>
        <w:rPr>
          <w:rFonts w:hint="eastAsia" w:ascii="仿宋_GB2312" w:hAnsi="仿宋_GB2312" w:cs="仿宋_GB2312"/>
          <w:b w:val="0"/>
          <w:bCs/>
          <w:sz w:val="32"/>
          <w:szCs w:val="32"/>
          <w:shd w:val="clear" w:color="auto" w:fill="FFFFFF"/>
          <w:lang w:val="en-US" w:eastAsia="zh-CN"/>
        </w:rPr>
        <w:t>包虫病病人治愈率</w:t>
      </w:r>
      <w:r>
        <w:rPr>
          <w:rFonts w:hint="eastAsia" w:ascii="仿宋_GB2312" w:hAnsi="仿宋_GB2312" w:eastAsia="仿宋_GB2312" w:cs="仿宋_GB2312"/>
          <w:b w:val="0"/>
          <w:bCs/>
          <w:sz w:val="32"/>
          <w:szCs w:val="32"/>
          <w:shd w:val="clear" w:color="auto" w:fill="FFFFFF"/>
          <w:lang w:val="en-US" w:eastAsia="zh-CN"/>
        </w:rPr>
        <w:t>：项目</w:t>
      </w:r>
      <w:r>
        <w:rPr>
          <w:rFonts w:hint="eastAsia" w:ascii="仿宋_GB2312" w:hAnsi="仿宋_GB2312" w:cs="仿宋_GB2312"/>
          <w:b w:val="0"/>
          <w:bCs/>
          <w:sz w:val="32"/>
          <w:szCs w:val="32"/>
          <w:shd w:val="clear" w:color="auto" w:fill="FFFFFF"/>
          <w:lang w:val="en-US" w:eastAsia="zh-CN"/>
        </w:rPr>
        <w:t>的实施</w:t>
      </w:r>
      <w:r>
        <w:rPr>
          <w:rFonts w:hint="eastAsia" w:ascii="仿宋_GB2312" w:hAnsi="仿宋_GB2312" w:eastAsia="仿宋_GB2312" w:cs="仿宋_GB2312"/>
          <w:b w:val="0"/>
          <w:bCs/>
          <w:sz w:val="32"/>
          <w:szCs w:val="32"/>
          <w:shd w:val="clear" w:color="auto" w:fill="FFFFFF"/>
          <w:lang w:val="en-US" w:eastAsia="zh-CN"/>
        </w:rPr>
        <w:t>直接服务于我县全县所有</w:t>
      </w:r>
      <w:r>
        <w:rPr>
          <w:rFonts w:hint="eastAsia" w:ascii="仿宋_GB2312" w:hAnsi="仿宋_GB2312" w:cs="仿宋_GB2312"/>
          <w:b w:val="0"/>
          <w:bCs/>
          <w:sz w:val="32"/>
          <w:szCs w:val="32"/>
          <w:shd w:val="clear" w:color="auto" w:fill="FFFFFF"/>
          <w:lang w:val="en-US" w:eastAsia="zh-CN"/>
        </w:rPr>
        <w:t>包虫病人</w:t>
      </w:r>
      <w:r>
        <w:rPr>
          <w:rFonts w:hint="eastAsia" w:ascii="仿宋_GB2312" w:hAnsi="仿宋_GB2312" w:eastAsia="仿宋_GB2312" w:cs="仿宋_GB2312"/>
          <w:b w:val="0"/>
          <w:bCs/>
          <w:sz w:val="32"/>
          <w:szCs w:val="32"/>
          <w:shd w:val="clear" w:color="auto" w:fill="FFFFFF"/>
          <w:lang w:val="en-US" w:eastAsia="zh-CN"/>
        </w:rPr>
        <w:t>，满足他们的医疗需求，提高他们的生活质量。</w:t>
      </w:r>
    </w:p>
    <w:p w14:paraId="0D30C25F">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包虫</w:t>
      </w:r>
      <w:r>
        <w:rPr>
          <w:rFonts w:hint="eastAsia" w:ascii="仿宋_GB2312" w:hAnsi="仿宋_GB2312" w:eastAsia="仿宋_GB2312" w:cs="仿宋_GB2312"/>
          <w:b w:val="0"/>
          <w:bCs/>
          <w:sz w:val="32"/>
          <w:szCs w:val="32"/>
          <w:shd w:val="clear" w:color="auto" w:fill="FFFFFF"/>
          <w:lang w:val="en-US" w:eastAsia="zh-CN"/>
        </w:rPr>
        <w:t>防治项目发展：项目的建设促进了我县</w:t>
      </w:r>
      <w:r>
        <w:rPr>
          <w:rFonts w:hint="eastAsia" w:ascii="仿宋_GB2312" w:hAnsi="仿宋_GB2312" w:cs="仿宋_GB2312"/>
          <w:b w:val="0"/>
          <w:bCs/>
          <w:sz w:val="32"/>
          <w:szCs w:val="32"/>
          <w:shd w:val="clear" w:color="auto" w:fill="FFFFFF"/>
          <w:lang w:val="en-US" w:eastAsia="zh-CN"/>
        </w:rPr>
        <w:t>包虫病</w:t>
      </w:r>
      <w:r>
        <w:rPr>
          <w:rFonts w:hint="eastAsia" w:ascii="仿宋_GB2312" w:hAnsi="仿宋_GB2312" w:eastAsia="仿宋_GB2312" w:cs="仿宋_GB2312"/>
          <w:b w:val="0"/>
          <w:bCs/>
          <w:sz w:val="32"/>
          <w:szCs w:val="32"/>
          <w:shd w:val="clear" w:color="auto" w:fill="FFFFFF"/>
          <w:lang w:val="en-US" w:eastAsia="zh-CN"/>
        </w:rPr>
        <w:t>防治的改善和发展，提高了我县</w:t>
      </w:r>
      <w:r>
        <w:rPr>
          <w:rFonts w:hint="eastAsia" w:ascii="仿宋_GB2312" w:hAnsi="仿宋_GB2312" w:cs="仿宋_GB2312"/>
          <w:b w:val="0"/>
          <w:bCs/>
          <w:sz w:val="32"/>
          <w:szCs w:val="32"/>
          <w:shd w:val="clear" w:color="auto" w:fill="FFFFFF"/>
          <w:lang w:val="en-US" w:eastAsia="zh-CN"/>
        </w:rPr>
        <w:t>包虫病</w:t>
      </w:r>
      <w:r>
        <w:rPr>
          <w:rFonts w:hint="eastAsia" w:ascii="仿宋_GB2312" w:hAnsi="仿宋_GB2312" w:eastAsia="仿宋_GB2312" w:cs="仿宋_GB2312"/>
          <w:b w:val="0"/>
          <w:bCs/>
          <w:sz w:val="32"/>
          <w:szCs w:val="32"/>
          <w:shd w:val="clear" w:color="auto" w:fill="FFFFFF"/>
          <w:lang w:val="en-US" w:eastAsia="zh-CN"/>
        </w:rPr>
        <w:t>的整体预防、治疗水平。</w:t>
      </w:r>
    </w:p>
    <w:p w14:paraId="77F29119">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3.满意度指标完成情况分析。</w:t>
      </w:r>
    </w:p>
    <w:p w14:paraId="07D5D97A">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我</w:t>
      </w:r>
      <w:r>
        <w:rPr>
          <w:rFonts w:hint="eastAsia" w:ascii="仿宋_GB2312" w:hAnsi="仿宋_GB2312" w:cs="仿宋_GB2312"/>
          <w:b w:val="0"/>
          <w:bCs/>
          <w:sz w:val="32"/>
          <w:szCs w:val="32"/>
          <w:shd w:val="clear" w:color="auto" w:fill="FFFFFF"/>
          <w:lang w:val="en-US" w:eastAsia="zh-CN"/>
        </w:rPr>
        <w:t>中心进一步做好包虫病防治工作</w:t>
      </w:r>
      <w:r>
        <w:rPr>
          <w:rFonts w:hint="eastAsia" w:ascii="仿宋_GB2312" w:hAnsi="仿宋_GB2312" w:eastAsia="仿宋_GB2312" w:cs="仿宋_GB2312"/>
          <w:b w:val="0"/>
          <w:bCs/>
          <w:sz w:val="32"/>
          <w:szCs w:val="32"/>
          <w:shd w:val="clear" w:color="auto" w:fill="FFFFFF"/>
          <w:lang w:val="en-US" w:eastAsia="zh-CN"/>
        </w:rPr>
        <w:t>。努力提高</w:t>
      </w:r>
      <w:r>
        <w:rPr>
          <w:rFonts w:hint="eastAsia" w:ascii="仿宋_GB2312" w:hAnsi="仿宋_GB2312" w:cs="仿宋_GB2312"/>
          <w:b w:val="0"/>
          <w:bCs/>
          <w:sz w:val="32"/>
          <w:szCs w:val="32"/>
          <w:shd w:val="clear" w:color="auto" w:fill="FFFFFF"/>
          <w:lang w:val="en-US" w:eastAsia="zh-CN"/>
        </w:rPr>
        <w:t>包虫病防治业务</w:t>
      </w:r>
      <w:r>
        <w:rPr>
          <w:rFonts w:hint="eastAsia" w:ascii="仿宋_GB2312" w:hAnsi="仿宋_GB2312" w:eastAsia="仿宋_GB2312" w:cs="仿宋_GB2312"/>
          <w:b w:val="0"/>
          <w:bCs/>
          <w:sz w:val="32"/>
          <w:szCs w:val="32"/>
          <w:shd w:val="clear" w:color="auto" w:fill="FFFFFF"/>
          <w:lang w:val="en-US" w:eastAsia="zh-CN"/>
        </w:rPr>
        <w:t>水平和服务质量。根据</w:t>
      </w:r>
      <w:r>
        <w:rPr>
          <w:rFonts w:hint="eastAsia" w:ascii="仿宋_GB2312" w:hAnsi="仿宋_GB2312" w:cs="仿宋_GB2312"/>
          <w:b w:val="0"/>
          <w:bCs/>
          <w:sz w:val="32"/>
          <w:szCs w:val="32"/>
          <w:shd w:val="clear" w:color="auto" w:fill="FFFFFF"/>
          <w:lang w:val="en-US" w:eastAsia="zh-CN"/>
        </w:rPr>
        <w:t>对我县包虫病病人</w:t>
      </w:r>
      <w:r>
        <w:rPr>
          <w:rFonts w:hint="eastAsia" w:ascii="仿宋_GB2312" w:hAnsi="仿宋_GB2312" w:eastAsia="仿宋_GB2312" w:cs="仿宋_GB2312"/>
          <w:b w:val="0"/>
          <w:bCs/>
          <w:sz w:val="32"/>
          <w:szCs w:val="32"/>
          <w:shd w:val="clear" w:color="auto" w:fill="FFFFFF"/>
          <w:lang w:val="en-US" w:eastAsia="zh-CN"/>
        </w:rPr>
        <w:t>满意度调查，满意度达到9</w:t>
      </w:r>
      <w:r>
        <w:rPr>
          <w:rFonts w:hint="eastAsia" w:ascii="仿宋_GB2312" w:hAnsi="仿宋_GB2312" w:cs="仿宋_GB2312"/>
          <w:b w:val="0"/>
          <w:bCs/>
          <w:sz w:val="32"/>
          <w:szCs w:val="32"/>
          <w:shd w:val="clear" w:color="auto" w:fill="FFFFFF"/>
          <w:lang w:val="en-US" w:eastAsia="zh-CN"/>
        </w:rPr>
        <w:t>5</w:t>
      </w:r>
      <w:r>
        <w:rPr>
          <w:rFonts w:hint="eastAsia" w:ascii="仿宋_GB2312" w:hAnsi="仿宋_GB2312" w:eastAsia="仿宋_GB2312" w:cs="仿宋_GB2312"/>
          <w:b w:val="0"/>
          <w:bCs/>
          <w:sz w:val="32"/>
          <w:szCs w:val="32"/>
          <w:shd w:val="clear" w:color="auto" w:fill="FFFFFF"/>
          <w:lang w:val="en-US" w:eastAsia="zh-CN"/>
        </w:rPr>
        <w:t>%，基本达成预期指标。</w:t>
      </w:r>
    </w:p>
    <w:p w14:paraId="1541635F">
      <w:pPr>
        <w:ind w:firstLine="640" w:firstLineChars="200"/>
        <w:rPr>
          <w:rFonts w:hint="eastAsia" w:ascii="仿宋_GB2312" w:eastAsia="黑体"/>
          <w:szCs w:val="32"/>
          <w:lang w:eastAsia="zh-CN"/>
        </w:rPr>
      </w:pPr>
      <w:r>
        <w:rPr>
          <w:rFonts w:hint="eastAsia" w:ascii="黑体" w:hAnsi="黑体" w:eastAsia="黑体" w:cs="黑体"/>
          <w:bCs/>
          <w:szCs w:val="32"/>
        </w:rPr>
        <w:t>三、</w:t>
      </w:r>
      <w:r>
        <w:rPr>
          <w:rFonts w:hint="eastAsia" w:ascii="黑体" w:hAnsi="黑体" w:eastAsia="黑体" w:cs="黑体"/>
          <w:bCs/>
          <w:szCs w:val="32"/>
          <w:lang w:eastAsia="zh-CN"/>
        </w:rPr>
        <w:t>存在的问题</w:t>
      </w:r>
    </w:p>
    <w:p w14:paraId="5FF0830F">
      <w:pPr>
        <w:numPr>
          <w:ilvl w:val="0"/>
          <w:numId w:val="0"/>
        </w:num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年我县的人群主动筛查率较低</w:t>
      </w:r>
      <w:r>
        <w:rPr>
          <w:rFonts w:hint="eastAsia" w:ascii="仿宋_GB2312" w:hAnsi="仿宋_GB2312" w:cs="仿宋_GB2312"/>
          <w:b w:val="0"/>
          <w:bCs/>
          <w:sz w:val="32"/>
          <w:szCs w:val="32"/>
          <w:shd w:val="clear" w:color="auto" w:fill="FFFFFF"/>
          <w:lang w:val="en-US" w:eastAsia="zh-CN"/>
        </w:rPr>
        <w:t>，存在着潜在的包虫病患者。</w:t>
      </w:r>
    </w:p>
    <w:p w14:paraId="7E5F01DF">
      <w:pPr>
        <w:numPr>
          <w:ilvl w:val="0"/>
          <w:numId w:val="3"/>
        </w:numPr>
        <w:ind w:firstLine="640" w:firstLineChars="200"/>
        <w:rPr>
          <w:rFonts w:hint="eastAsia" w:ascii="黑体" w:hAnsi="黑体" w:eastAsia="黑体" w:cs="黑体"/>
          <w:lang w:eastAsia="zh-CN"/>
        </w:rPr>
      </w:pPr>
      <w:r>
        <w:rPr>
          <w:rFonts w:hint="eastAsia" w:ascii="黑体" w:hAnsi="黑体" w:eastAsia="黑体" w:cs="黑体"/>
          <w:bCs/>
          <w:szCs w:val="32"/>
          <w:lang w:eastAsia="zh-CN"/>
        </w:rPr>
        <w:t>改进建议</w:t>
      </w:r>
    </w:p>
    <w:p w14:paraId="201427A6">
      <w:pPr>
        <w:numPr>
          <w:ilvl w:val="0"/>
          <w:numId w:val="0"/>
        </w:numPr>
        <w:ind w:firstLine="640" w:firstLineChars="200"/>
        <w:rPr>
          <w:rFonts w:hint="eastAsia" w:ascii="仿宋_GB2312" w:hAnsi="仿宋_GB2312" w:cs="仿宋_GB2312"/>
          <w:bCs/>
          <w:szCs w:val="32"/>
          <w:lang w:eastAsia="zh-CN"/>
        </w:rPr>
      </w:pPr>
      <w:r>
        <w:rPr>
          <w:rFonts w:hint="eastAsia" w:ascii="仿宋_GB2312" w:hAnsi="仿宋_GB2312" w:cs="仿宋_GB2312"/>
          <w:bCs/>
          <w:szCs w:val="32"/>
          <w:lang w:val="en-US" w:eastAsia="zh-CN"/>
        </w:rPr>
        <w:t>1.</w:t>
      </w:r>
      <w:r>
        <w:rPr>
          <w:rFonts w:hint="eastAsia" w:ascii="仿宋_GB2312" w:hAnsi="仿宋_GB2312" w:eastAsia="仿宋_GB2312" w:cs="仿宋_GB2312"/>
          <w:bCs/>
          <w:szCs w:val="32"/>
        </w:rPr>
        <w:t>按照省州人群主动筛查项目实施方案提高筛查率</w:t>
      </w:r>
      <w:r>
        <w:rPr>
          <w:rFonts w:hint="eastAsia" w:ascii="仿宋_GB2312" w:hAnsi="仿宋_GB2312" w:cs="仿宋_GB2312"/>
          <w:bCs/>
          <w:szCs w:val="32"/>
          <w:lang w:eastAsia="zh-CN"/>
        </w:rPr>
        <w:t>；</w:t>
      </w:r>
      <w:r>
        <w:rPr>
          <w:rFonts w:hint="eastAsia" w:ascii="仿宋_GB2312" w:hAnsi="仿宋_GB2312" w:eastAsia="仿宋_GB2312" w:cs="仿宋_GB2312"/>
          <w:bCs/>
          <w:szCs w:val="32"/>
        </w:rPr>
        <w:t>2.加强</w:t>
      </w:r>
      <w:r>
        <w:rPr>
          <w:rFonts w:hint="eastAsia" w:ascii="仿宋_GB2312" w:hAnsi="仿宋_GB2312" w:cs="仿宋_GB2312"/>
          <w:bCs/>
          <w:szCs w:val="32"/>
          <w:lang w:val="en-US" w:eastAsia="zh-CN"/>
        </w:rPr>
        <w:t>包虫病</w:t>
      </w:r>
      <w:r>
        <w:rPr>
          <w:rFonts w:hint="eastAsia" w:ascii="仿宋_GB2312" w:hAnsi="仿宋_GB2312" w:eastAsia="仿宋_GB2312" w:cs="仿宋_GB2312"/>
          <w:bCs/>
          <w:szCs w:val="32"/>
        </w:rPr>
        <w:t>健康教育宣传活动，提升群众防治意识</w:t>
      </w:r>
      <w:r>
        <w:rPr>
          <w:rFonts w:hint="eastAsia" w:ascii="仿宋_GB2312" w:hAnsi="仿宋_GB2312" w:cs="仿宋_GB2312"/>
          <w:bCs/>
          <w:szCs w:val="32"/>
          <w:lang w:eastAsia="zh-CN"/>
        </w:rPr>
        <w:t>。</w:t>
      </w:r>
    </w:p>
    <w:p w14:paraId="47BCEED4">
      <w:pPr>
        <w:numPr>
          <w:ilvl w:val="0"/>
          <w:numId w:val="0"/>
        </w:numPr>
        <w:ind w:firstLine="640" w:firstLineChars="200"/>
        <w:rPr>
          <w:rFonts w:ascii="黑体" w:hAnsi="黑体" w:eastAsia="黑体" w:cs="黑体"/>
          <w:bCs/>
          <w:szCs w:val="32"/>
        </w:rPr>
      </w:pPr>
      <w:r>
        <w:rPr>
          <w:rFonts w:hint="eastAsia" w:ascii="黑体" w:hAnsi="黑体" w:eastAsia="黑体" w:cs="黑体"/>
          <w:bCs/>
          <w:szCs w:val="32"/>
        </w:rPr>
        <w:t>五、其他需要说明的问题</w:t>
      </w:r>
    </w:p>
    <w:p w14:paraId="5D263E3D">
      <w:pPr>
        <w:ind w:firstLine="600" w:firstLineChars="200"/>
        <w:rPr>
          <w:rFonts w:hint="eastAsia" w:ascii="仿宋_GB2312" w:hAnsi="仿宋_GB2312" w:eastAsia="仿宋_GB2312" w:cs="仿宋_GB2312"/>
          <w:lang w:val="en-US" w:eastAsia="zh-CN"/>
        </w:rPr>
      </w:pPr>
      <w:r>
        <w:rPr>
          <w:rFonts w:hint="eastAsia" w:ascii="仿宋" w:hAnsi="仿宋" w:eastAsia="仿宋" w:cs="仿宋"/>
          <w:b w:val="0"/>
          <w:bCs/>
          <w:sz w:val="30"/>
          <w:szCs w:val="30"/>
          <w:shd w:val="clear" w:color="auto" w:fill="FFFFFF"/>
          <w:lang w:val="en-US" w:eastAsia="zh-CN"/>
        </w:rPr>
        <w:t>无</w:t>
      </w:r>
    </w:p>
    <w:p w14:paraId="5CC08F1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7D38DCB9">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736646E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1FA9024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604B7E0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4EAE855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2997067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2BC161A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738388B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35EC4D1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红原县疾病预防控制中心</w:t>
      </w:r>
    </w:p>
    <w:p w14:paraId="17F3845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US" w:eastAsia="zh-CN"/>
        </w:rPr>
        <w:t>艾滋病防治项目</w:t>
      </w:r>
      <w:r>
        <w:rPr>
          <w:rFonts w:hint="eastAsia" w:ascii="方正小标宋简体" w:hAnsi="方正小标宋简体" w:eastAsia="方正小标宋简体" w:cs="方正小标宋简体"/>
          <w:b w:val="0"/>
          <w:bCs/>
          <w:sz w:val="44"/>
          <w:szCs w:val="44"/>
        </w:rPr>
        <w:t>202</w:t>
      </w:r>
      <w:r>
        <w:rPr>
          <w:rFonts w:hint="eastAsia" w:ascii="方正小标宋简体" w:hAnsi="方正小标宋简体" w:eastAsia="方正小标宋简体" w:cs="方正小标宋简体"/>
          <w:b w:val="0"/>
          <w:bCs/>
          <w:sz w:val="44"/>
          <w:szCs w:val="44"/>
          <w:lang w:val="en-US" w:eastAsia="zh-CN"/>
        </w:rPr>
        <w:t>4</w:t>
      </w:r>
      <w:r>
        <w:rPr>
          <w:rFonts w:hint="eastAsia" w:ascii="方正小标宋简体" w:hAnsi="方正小标宋简体" w:eastAsia="方正小标宋简体" w:cs="方正小标宋简体"/>
          <w:b w:val="0"/>
          <w:bCs/>
          <w:sz w:val="44"/>
          <w:szCs w:val="44"/>
        </w:rPr>
        <w:t>年度绩效自评</w:t>
      </w:r>
    </w:p>
    <w:p w14:paraId="5DBFB5F0">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报告</w:t>
      </w:r>
    </w:p>
    <w:p w14:paraId="77CFF78F">
      <w:pPr>
        <w:rPr>
          <w:rFonts w:hint="eastAsia" w:ascii="黑体" w:hAnsi="黑体" w:eastAsia="黑体" w:cs="黑体"/>
          <w:bCs/>
          <w:sz w:val="32"/>
          <w:szCs w:val="32"/>
        </w:rPr>
      </w:pPr>
    </w:p>
    <w:p w14:paraId="1C314DFB">
      <w:pPr>
        <w:ind w:firstLine="640" w:firstLineChars="200"/>
        <w:rPr>
          <w:rFonts w:ascii="黑体" w:hAnsi="黑体" w:eastAsia="黑体" w:cs="黑体"/>
          <w:bCs/>
          <w:sz w:val="32"/>
          <w:szCs w:val="32"/>
        </w:rPr>
      </w:pPr>
      <w:r>
        <w:rPr>
          <w:rFonts w:hint="eastAsia" w:ascii="黑体" w:hAnsi="黑体" w:eastAsia="黑体" w:cs="黑体"/>
          <w:bCs/>
          <w:sz w:val="32"/>
          <w:szCs w:val="32"/>
        </w:rPr>
        <w:t>一、绩效目标分解下达情况</w:t>
      </w:r>
    </w:p>
    <w:p w14:paraId="4AA90E8C">
      <w:pPr>
        <w:ind w:firstLine="640" w:firstLineChars="200"/>
        <w:rPr>
          <w:rFonts w:hint="default" w:ascii="仿宋_GB2312" w:hAnsi="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2024年上级下达艾滋病项目资金141.19万元，县级配套资金5万元，2023年结余28.21万元，2024年总支出135.59万元；支出率为77.75%。</w:t>
      </w:r>
    </w:p>
    <w:p w14:paraId="615CDF47">
      <w:pPr>
        <w:ind w:firstLine="640" w:firstLineChars="200"/>
        <w:rPr>
          <w:rFonts w:ascii="黑体" w:hAnsi="黑体" w:eastAsia="黑体" w:cs="黑体"/>
          <w:bCs/>
          <w:szCs w:val="32"/>
        </w:rPr>
      </w:pPr>
      <w:r>
        <w:rPr>
          <w:rFonts w:hint="eastAsia" w:ascii="黑体" w:hAnsi="黑体" w:eastAsia="黑体" w:cs="黑体"/>
          <w:bCs/>
          <w:szCs w:val="32"/>
        </w:rPr>
        <w:t>二、绩效目标完成情况分析</w:t>
      </w:r>
    </w:p>
    <w:p w14:paraId="0BE5DDC2">
      <w:pPr>
        <w:ind w:firstLine="643" w:firstLineChars="200"/>
        <w:outlineLvl w:val="0"/>
        <w:rPr>
          <w:rFonts w:hint="eastAsia" w:ascii="楷体_GB2312" w:hAnsi="楷体_GB2312" w:eastAsia="楷体_GB2312" w:cs="楷体_GB2312"/>
          <w:b/>
          <w:bCs/>
          <w:szCs w:val="32"/>
        </w:rPr>
      </w:pPr>
      <w:r>
        <w:rPr>
          <w:rFonts w:hint="eastAsia" w:ascii="楷体_GB2312" w:hAnsi="楷体_GB2312" w:eastAsia="楷体_GB2312" w:cs="楷体_GB2312"/>
          <w:b/>
          <w:bCs/>
          <w:szCs w:val="32"/>
        </w:rPr>
        <w:t>（一）资金投入情况分析</w:t>
      </w:r>
    </w:p>
    <w:p w14:paraId="31FC81B1">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阿坝州财政局 阿坝州卫生健康委员会关于下达阿坝州</w:t>
      </w:r>
      <w:r>
        <w:rPr>
          <w:rFonts w:hint="eastAsia" w:ascii="仿宋_GB2312" w:hAnsi="仿宋_GB2312" w:cs="仿宋_GB2312"/>
          <w:b w:val="0"/>
          <w:bCs/>
          <w:sz w:val="32"/>
          <w:szCs w:val="32"/>
          <w:shd w:val="clear" w:color="auto" w:fill="FFFFFF"/>
          <w:lang w:val="en-US" w:eastAsia="zh-CN"/>
        </w:rPr>
        <w:t>重大传染病</w:t>
      </w:r>
      <w:r>
        <w:rPr>
          <w:rFonts w:hint="eastAsia" w:ascii="仿宋_GB2312" w:hAnsi="仿宋_GB2312" w:eastAsia="仿宋_GB2312" w:cs="仿宋_GB2312"/>
          <w:b w:val="0"/>
          <w:bCs/>
          <w:sz w:val="32"/>
          <w:szCs w:val="32"/>
          <w:shd w:val="clear" w:color="auto" w:fill="FFFFFF"/>
          <w:lang w:val="en-US" w:eastAsia="zh-CN"/>
        </w:rPr>
        <w:t>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w:t>
      </w:r>
      <w:r>
        <w:rPr>
          <w:rFonts w:hint="eastAsia" w:ascii="仿宋_GB2312" w:hAnsi="仿宋_GB2312" w:cs="仿宋_GB2312"/>
          <w:b w:val="0"/>
          <w:bCs/>
          <w:sz w:val="32"/>
          <w:szCs w:val="32"/>
          <w:shd w:val="clear" w:color="auto" w:fill="FFFFFF"/>
          <w:lang w:val="en-US" w:eastAsia="zh-CN"/>
        </w:rPr>
        <w:t>中央</w:t>
      </w:r>
      <w:r>
        <w:rPr>
          <w:rFonts w:hint="eastAsia" w:ascii="仿宋_GB2312" w:hAnsi="仿宋_GB2312" w:eastAsia="仿宋_GB2312" w:cs="仿宋_GB2312"/>
          <w:b w:val="0"/>
          <w:bCs/>
          <w:sz w:val="32"/>
          <w:szCs w:val="32"/>
          <w:shd w:val="clear" w:color="auto" w:fill="FFFFFF"/>
          <w:lang w:val="en-US" w:eastAsia="zh-CN"/>
        </w:rPr>
        <w:t>补助资金的通知（阿州财社〔202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w:t>
      </w:r>
      <w:r>
        <w:rPr>
          <w:rFonts w:hint="eastAsia" w:ascii="仿宋_GB2312" w:hAnsi="仿宋_GB2312" w:cs="仿宋_GB2312"/>
          <w:b w:val="0"/>
          <w:bCs/>
          <w:sz w:val="32"/>
          <w:szCs w:val="32"/>
          <w:shd w:val="clear" w:color="auto" w:fill="FFFFFF"/>
          <w:lang w:val="en-US" w:eastAsia="zh-CN"/>
        </w:rPr>
        <w:t>35</w:t>
      </w:r>
      <w:r>
        <w:rPr>
          <w:rFonts w:hint="eastAsia" w:ascii="仿宋_GB2312" w:hAnsi="仿宋_GB2312" w:eastAsia="仿宋_GB2312" w:cs="仿宋_GB2312"/>
          <w:b w:val="0"/>
          <w:bCs/>
          <w:sz w:val="32"/>
          <w:szCs w:val="32"/>
          <w:shd w:val="clear" w:color="auto" w:fill="FFFFFF"/>
          <w:lang w:val="en-US" w:eastAsia="zh-CN"/>
        </w:rPr>
        <w:t>号</w:t>
      </w:r>
      <w:r>
        <w:rPr>
          <w:rFonts w:hint="eastAsia" w:ascii="仿宋_GB2312" w:hAnsi="仿宋_GB2312" w:cs="仿宋_GB2312"/>
          <w:b w:val="0"/>
          <w:bCs/>
          <w:sz w:val="32"/>
          <w:szCs w:val="32"/>
          <w:shd w:val="clear" w:color="auto" w:fill="FFFFFF"/>
          <w:lang w:val="en-US" w:eastAsia="zh-CN"/>
        </w:rPr>
        <w:t>；</w:t>
      </w:r>
      <w:r>
        <w:rPr>
          <w:rFonts w:hint="eastAsia" w:ascii="仿宋_GB2312" w:hAnsi="仿宋_GB2312" w:eastAsia="仿宋_GB2312" w:cs="仿宋_GB2312"/>
          <w:b w:val="0"/>
          <w:bCs/>
          <w:sz w:val="32"/>
          <w:szCs w:val="32"/>
          <w:shd w:val="clear" w:color="auto" w:fill="FFFFFF"/>
          <w:lang w:val="en-US" w:eastAsia="zh-CN"/>
        </w:rPr>
        <w:t>阿州财社〔202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w:t>
      </w:r>
      <w:r>
        <w:rPr>
          <w:rFonts w:hint="eastAsia" w:ascii="仿宋_GB2312" w:hAnsi="仿宋_GB2312" w:cs="仿宋_GB2312"/>
          <w:b w:val="0"/>
          <w:bCs/>
          <w:sz w:val="32"/>
          <w:szCs w:val="32"/>
          <w:shd w:val="clear" w:color="auto" w:fill="FFFFFF"/>
          <w:lang w:val="en-US" w:eastAsia="zh-CN"/>
        </w:rPr>
        <w:t>48</w:t>
      </w:r>
      <w:r>
        <w:rPr>
          <w:rFonts w:hint="eastAsia" w:ascii="仿宋_GB2312" w:hAnsi="仿宋_GB2312" w:eastAsia="仿宋_GB2312" w:cs="仿宋_GB2312"/>
          <w:b w:val="0"/>
          <w:bCs/>
          <w:sz w:val="32"/>
          <w:szCs w:val="32"/>
          <w:shd w:val="clear" w:color="auto" w:fill="FFFFFF"/>
          <w:lang w:val="en-US" w:eastAsia="zh-CN"/>
        </w:rPr>
        <w:t>号</w:t>
      </w:r>
      <w:r>
        <w:rPr>
          <w:rFonts w:hint="eastAsia" w:ascii="仿宋_GB2312" w:hAnsi="仿宋_GB2312" w:cs="仿宋_GB2312"/>
          <w:b w:val="0"/>
          <w:bCs/>
          <w:sz w:val="32"/>
          <w:szCs w:val="32"/>
          <w:shd w:val="clear" w:color="auto" w:fill="FFFFFF"/>
          <w:lang w:val="en-US" w:eastAsia="zh-CN"/>
        </w:rPr>
        <w:t>，</w:t>
      </w:r>
      <w:r>
        <w:rPr>
          <w:rFonts w:hint="eastAsia" w:ascii="仿宋_GB2312" w:hAnsi="仿宋_GB2312" w:eastAsia="仿宋_GB2312" w:cs="仿宋_GB2312"/>
          <w:b w:val="0"/>
          <w:bCs/>
          <w:sz w:val="32"/>
          <w:szCs w:val="32"/>
          <w:shd w:val="clear" w:color="auto" w:fill="FFFFFF"/>
          <w:lang w:val="en-US" w:eastAsia="zh-CN"/>
        </w:rPr>
        <w:t>阿州财社〔202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w:t>
      </w:r>
      <w:r>
        <w:rPr>
          <w:rFonts w:hint="eastAsia" w:ascii="仿宋_GB2312" w:hAnsi="仿宋_GB2312" w:cs="仿宋_GB2312"/>
          <w:b w:val="0"/>
          <w:bCs/>
          <w:sz w:val="32"/>
          <w:szCs w:val="32"/>
          <w:shd w:val="clear" w:color="auto" w:fill="FFFFFF"/>
          <w:lang w:val="en-US" w:eastAsia="zh-CN"/>
        </w:rPr>
        <w:t>98</w:t>
      </w:r>
      <w:r>
        <w:rPr>
          <w:rFonts w:hint="eastAsia" w:ascii="仿宋_GB2312" w:hAnsi="仿宋_GB2312" w:eastAsia="仿宋_GB2312" w:cs="仿宋_GB2312"/>
          <w:b w:val="0"/>
          <w:bCs/>
          <w:sz w:val="32"/>
          <w:szCs w:val="32"/>
          <w:shd w:val="clear" w:color="auto" w:fill="FFFFFF"/>
          <w:lang w:val="en-US" w:eastAsia="zh-CN"/>
        </w:rPr>
        <w:t>号），下达资金共计</w:t>
      </w:r>
      <w:r>
        <w:rPr>
          <w:rFonts w:hint="eastAsia" w:ascii="仿宋_GB2312" w:hAnsi="仿宋_GB2312" w:cs="仿宋_GB2312"/>
          <w:b w:val="0"/>
          <w:bCs/>
          <w:sz w:val="32"/>
          <w:szCs w:val="32"/>
          <w:shd w:val="clear" w:color="auto" w:fill="FFFFFF"/>
          <w:lang w:val="en-US" w:eastAsia="zh-CN"/>
        </w:rPr>
        <w:t>141.19</w:t>
      </w:r>
      <w:r>
        <w:rPr>
          <w:rFonts w:hint="eastAsia" w:ascii="仿宋_GB2312" w:hAnsi="仿宋_GB2312" w:eastAsia="仿宋_GB2312" w:cs="仿宋_GB2312"/>
          <w:b w:val="0"/>
          <w:bCs/>
          <w:sz w:val="32"/>
          <w:szCs w:val="32"/>
          <w:shd w:val="clear" w:color="auto" w:fill="FFFFFF"/>
          <w:lang w:val="en-US" w:eastAsia="zh-CN"/>
        </w:rPr>
        <w:t>万元。202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年资金已到位，下达资金共计</w:t>
      </w:r>
      <w:r>
        <w:rPr>
          <w:rFonts w:hint="eastAsia" w:ascii="仿宋_GB2312" w:hAnsi="仿宋_GB2312" w:cs="仿宋_GB2312"/>
          <w:b w:val="0"/>
          <w:bCs/>
          <w:sz w:val="32"/>
          <w:szCs w:val="32"/>
          <w:shd w:val="clear" w:color="auto" w:fill="FFFFFF"/>
          <w:lang w:val="en-US" w:eastAsia="zh-CN"/>
        </w:rPr>
        <w:t>141.19</w:t>
      </w:r>
      <w:r>
        <w:rPr>
          <w:rFonts w:hint="eastAsia" w:ascii="仿宋_GB2312" w:hAnsi="仿宋_GB2312" w:eastAsia="仿宋_GB2312" w:cs="仿宋_GB2312"/>
          <w:b w:val="0"/>
          <w:bCs/>
          <w:sz w:val="32"/>
          <w:szCs w:val="32"/>
          <w:shd w:val="clear" w:color="auto" w:fill="FFFFFF"/>
          <w:lang w:val="en-US" w:eastAsia="zh-CN"/>
        </w:rPr>
        <w:t>万元</w:t>
      </w:r>
      <w:r>
        <w:rPr>
          <w:rFonts w:hint="eastAsia" w:ascii="仿宋_GB2312" w:hAnsi="仿宋_GB2312" w:cs="仿宋_GB2312"/>
          <w:b w:val="0"/>
          <w:bCs/>
          <w:sz w:val="32"/>
          <w:szCs w:val="32"/>
          <w:shd w:val="clear" w:color="auto" w:fill="FFFFFF"/>
          <w:lang w:val="en-US" w:eastAsia="zh-CN"/>
        </w:rPr>
        <w:t>；县级配套资金5万元，支出5万元；</w:t>
      </w:r>
      <w:r>
        <w:rPr>
          <w:rFonts w:hint="eastAsia" w:ascii="仿宋_GB2312" w:hAnsi="仿宋_GB2312" w:eastAsia="仿宋_GB2312" w:cs="仿宋_GB2312"/>
          <w:b w:val="0"/>
          <w:bCs/>
          <w:sz w:val="32"/>
          <w:szCs w:val="32"/>
          <w:shd w:val="clear" w:color="auto" w:fill="FFFFFF"/>
          <w:lang w:val="en-US" w:eastAsia="zh-CN"/>
        </w:rPr>
        <w:t>项目已经实施完毕。该笔资金</w:t>
      </w:r>
      <w:r>
        <w:rPr>
          <w:rFonts w:hint="eastAsia" w:ascii="仿宋_GB2312" w:hAnsi="仿宋_GB2312" w:cs="仿宋_GB2312"/>
          <w:b w:val="0"/>
          <w:bCs/>
          <w:sz w:val="32"/>
          <w:szCs w:val="32"/>
          <w:shd w:val="clear" w:color="auto" w:fill="FFFFFF"/>
          <w:lang w:val="en-US" w:eastAsia="zh-CN"/>
        </w:rPr>
        <w:t>主要</w:t>
      </w:r>
      <w:r>
        <w:rPr>
          <w:rFonts w:hint="eastAsia" w:ascii="仿宋_GB2312" w:hAnsi="仿宋_GB2312" w:eastAsia="仿宋_GB2312" w:cs="仿宋_GB2312"/>
          <w:b w:val="0"/>
          <w:bCs/>
          <w:sz w:val="32"/>
          <w:szCs w:val="32"/>
          <w:shd w:val="clear" w:color="auto" w:fill="FFFFFF"/>
          <w:lang w:val="en-US" w:eastAsia="zh-CN"/>
        </w:rPr>
        <w:t>用于</w:t>
      </w:r>
      <w:r>
        <w:rPr>
          <w:rFonts w:hint="eastAsia" w:ascii="仿宋_GB2312" w:hAnsi="仿宋_GB2312" w:cs="仿宋_GB2312"/>
          <w:b w:val="0"/>
          <w:bCs/>
          <w:sz w:val="32"/>
          <w:szCs w:val="32"/>
          <w:shd w:val="clear" w:color="auto" w:fill="FFFFFF"/>
          <w:lang w:val="en-US" w:eastAsia="zh-CN"/>
        </w:rPr>
        <w:t>全县的艾滋病防治及艾滋病实验室专用设备采购</w:t>
      </w:r>
      <w:r>
        <w:rPr>
          <w:rFonts w:hint="eastAsia" w:ascii="仿宋_GB2312" w:hAnsi="仿宋_GB2312" w:eastAsia="仿宋_GB2312" w:cs="仿宋_GB2312"/>
          <w:b w:val="0"/>
          <w:bCs/>
          <w:sz w:val="32"/>
          <w:szCs w:val="32"/>
          <w:shd w:val="clear" w:color="auto" w:fill="FFFFFF"/>
          <w:lang w:val="en-US" w:eastAsia="zh-CN"/>
        </w:rPr>
        <w:t>。</w:t>
      </w:r>
    </w:p>
    <w:p w14:paraId="24F33422">
      <w:pPr>
        <w:numPr>
          <w:ilvl w:val="0"/>
          <w:numId w:val="4"/>
        </w:numPr>
        <w:ind w:firstLine="600"/>
        <w:rPr>
          <w:rFonts w:hint="eastAsia" w:ascii="楷体_GB2312" w:hAnsi="楷体_GB2312" w:eastAsia="楷体_GB2312" w:cs="楷体_GB2312"/>
          <w:b/>
          <w:bCs/>
          <w:szCs w:val="32"/>
        </w:rPr>
      </w:pPr>
      <w:r>
        <w:rPr>
          <w:rFonts w:hint="eastAsia" w:ascii="楷体_GB2312" w:hAnsi="楷体_GB2312" w:eastAsia="楷体_GB2312" w:cs="楷体_GB2312"/>
          <w:b/>
          <w:bCs/>
          <w:szCs w:val="32"/>
        </w:rPr>
        <w:t>总体绩效目标完成情况分析</w:t>
      </w:r>
    </w:p>
    <w:p w14:paraId="43BD2222">
      <w:pPr>
        <w:numPr>
          <w:ilvl w:val="0"/>
          <w:numId w:val="0"/>
        </w:numPr>
        <w:ind w:firstLine="640" w:firstLineChars="200"/>
        <w:outlineLvl w:val="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通过项目资金的实施后，</w:t>
      </w:r>
      <w:r>
        <w:rPr>
          <w:rFonts w:hint="eastAsia" w:ascii="仿宋_GB2312" w:hAnsi="仿宋_GB2312" w:eastAsia="仿宋_GB2312" w:cs="仿宋_GB2312"/>
          <w:b w:val="0"/>
          <w:bCs/>
          <w:sz w:val="32"/>
          <w:szCs w:val="32"/>
          <w:shd w:val="clear" w:color="auto" w:fill="FFFFFF"/>
          <w:lang w:val="en-US" w:eastAsia="zh-CN"/>
        </w:rPr>
        <w:t>我县艾滋病疫情总体上持续控制在低流行水平，感染率和死亡率均处全州较低水平。截至202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年底，我县报告存活艾滋病感染者</w:t>
      </w:r>
      <w:r>
        <w:rPr>
          <w:rFonts w:hint="eastAsia" w:ascii="仿宋_GB2312" w:hAnsi="仿宋_GB2312" w:cs="仿宋_GB2312"/>
          <w:b w:val="0"/>
          <w:bCs/>
          <w:sz w:val="32"/>
          <w:szCs w:val="32"/>
          <w:shd w:val="clear" w:color="auto" w:fill="FFFFFF"/>
          <w:lang w:val="en-US" w:eastAsia="zh-CN"/>
        </w:rPr>
        <w:t>44</w:t>
      </w:r>
      <w:r>
        <w:rPr>
          <w:rFonts w:hint="eastAsia" w:ascii="仿宋_GB2312" w:hAnsi="仿宋_GB2312" w:eastAsia="仿宋_GB2312" w:cs="仿宋_GB2312"/>
          <w:b w:val="0"/>
          <w:bCs/>
          <w:sz w:val="32"/>
          <w:szCs w:val="32"/>
          <w:shd w:val="clear" w:color="auto" w:fill="FFFFFF"/>
          <w:lang w:val="en-US" w:eastAsia="zh-CN"/>
        </w:rPr>
        <w:t>例。</w:t>
      </w:r>
      <w:r>
        <w:rPr>
          <w:rFonts w:hint="eastAsia" w:ascii="仿宋_GB2312" w:hAnsi="仿宋_GB2312" w:cs="仿宋_GB2312"/>
          <w:b w:val="0"/>
          <w:bCs/>
          <w:sz w:val="32"/>
          <w:szCs w:val="32"/>
          <w:shd w:val="clear" w:color="auto" w:fill="FFFFFF"/>
          <w:lang w:val="en-US" w:eastAsia="zh-CN"/>
        </w:rPr>
        <w:t>我县的艾滋病防治</w:t>
      </w:r>
      <w:r>
        <w:rPr>
          <w:rFonts w:hint="eastAsia" w:ascii="仿宋_GB2312" w:hAnsi="仿宋_GB2312" w:eastAsia="仿宋_GB2312" w:cs="仿宋_GB2312"/>
          <w:b w:val="0"/>
          <w:bCs/>
          <w:sz w:val="32"/>
          <w:szCs w:val="32"/>
          <w:shd w:val="clear" w:color="auto" w:fill="FFFFFF"/>
          <w:lang w:val="en-US" w:eastAsia="zh-CN"/>
        </w:rPr>
        <w:t>检测和治疗能力增强，HIV筛查检测覆盖率达到全县常驻人口的</w:t>
      </w:r>
      <w:r>
        <w:rPr>
          <w:rFonts w:hint="eastAsia" w:ascii="仿宋_GB2312" w:hAnsi="仿宋_GB2312" w:cs="仿宋_GB2312"/>
          <w:b w:val="0"/>
          <w:bCs/>
          <w:sz w:val="32"/>
          <w:szCs w:val="32"/>
          <w:shd w:val="clear" w:color="auto" w:fill="FFFFFF"/>
          <w:lang w:val="en-US" w:eastAsia="zh-CN"/>
        </w:rPr>
        <w:t>40</w:t>
      </w:r>
      <w:r>
        <w:rPr>
          <w:rFonts w:hint="eastAsia" w:ascii="仿宋_GB2312" w:hAnsi="仿宋_GB2312" w:eastAsia="仿宋_GB2312" w:cs="仿宋_GB2312"/>
          <w:b w:val="0"/>
          <w:bCs/>
          <w:sz w:val="32"/>
          <w:szCs w:val="32"/>
          <w:shd w:val="clear" w:color="auto" w:fill="FFFFFF"/>
          <w:lang w:val="en-US" w:eastAsia="zh-CN"/>
        </w:rPr>
        <w:t>%以上，抗病毒治疗比例和治疗成功比例均有所提高。艾滋病抗病毒治疗覆盖率比例达100%，治疗成功率达到9</w:t>
      </w:r>
      <w:r>
        <w:rPr>
          <w:rFonts w:hint="eastAsia" w:ascii="仿宋_GB2312" w:hAnsi="仿宋_GB2312" w:cs="仿宋_GB2312"/>
          <w:b w:val="0"/>
          <w:bCs/>
          <w:sz w:val="32"/>
          <w:szCs w:val="32"/>
          <w:shd w:val="clear" w:color="auto" w:fill="FFFFFF"/>
          <w:lang w:val="en-US" w:eastAsia="zh-CN"/>
        </w:rPr>
        <w:t>2</w:t>
      </w:r>
      <w:r>
        <w:rPr>
          <w:rFonts w:hint="eastAsia" w:ascii="仿宋_GB2312" w:hAnsi="仿宋_GB2312" w:eastAsia="仿宋_GB2312" w:cs="仿宋_GB2312"/>
          <w:b w:val="0"/>
          <w:bCs/>
          <w:sz w:val="32"/>
          <w:szCs w:val="32"/>
          <w:shd w:val="clear" w:color="auto" w:fill="FFFFFF"/>
          <w:lang w:val="en-US" w:eastAsia="zh-CN"/>
        </w:rPr>
        <w:t>%。通过提供咨询、检测、暴露前后药物预防、人文关怀、心理支持等服务，有效降低了</w:t>
      </w:r>
      <w:r>
        <w:rPr>
          <w:rFonts w:hint="eastAsia" w:ascii="仿宋_GB2312" w:hAnsi="仿宋_GB2312" w:cs="仿宋_GB2312"/>
          <w:b w:val="0"/>
          <w:bCs/>
          <w:sz w:val="32"/>
          <w:szCs w:val="32"/>
          <w:shd w:val="clear" w:color="auto" w:fill="FFFFFF"/>
          <w:lang w:val="en-US" w:eastAsia="zh-CN"/>
        </w:rPr>
        <w:t>艾滋病防治重点</w:t>
      </w:r>
      <w:r>
        <w:rPr>
          <w:rFonts w:hint="eastAsia" w:ascii="仿宋_GB2312" w:hAnsi="仿宋_GB2312" w:eastAsia="仿宋_GB2312" w:cs="仿宋_GB2312"/>
          <w:b w:val="0"/>
          <w:bCs/>
          <w:sz w:val="32"/>
          <w:szCs w:val="32"/>
          <w:shd w:val="clear" w:color="auto" w:fill="FFFFFF"/>
          <w:lang w:val="en-US" w:eastAsia="zh-CN"/>
        </w:rPr>
        <w:t>人群的感染风险。通过疾控中心艾防工作人员广泛宣传和教育，提高了我县群众对艾滋病的认识和了解，全县群众艾滋病防治知晓率达到95%以上，减轻了社会对艾滋病患者的歧视和偏见。</w:t>
      </w:r>
    </w:p>
    <w:p w14:paraId="6EBAACF9">
      <w:pPr>
        <w:numPr>
          <w:ilvl w:val="0"/>
          <w:numId w:val="0"/>
        </w:numPr>
        <w:ind w:firstLine="643" w:firstLineChars="200"/>
        <w:outlineLvl w:val="0"/>
        <w:rPr>
          <w:rFonts w:hint="eastAsia" w:ascii="楷体_GB2312" w:hAnsi="楷体_GB2312" w:eastAsia="楷体_GB2312" w:cs="楷体_GB2312"/>
          <w:b/>
          <w:bCs w:val="0"/>
          <w:szCs w:val="32"/>
        </w:rPr>
      </w:pPr>
      <w:r>
        <w:rPr>
          <w:rFonts w:hint="eastAsia" w:ascii="楷体_GB2312" w:hAnsi="楷体_GB2312" w:eastAsia="楷体_GB2312" w:cs="楷体_GB2312"/>
          <w:b/>
          <w:bCs w:val="0"/>
          <w:sz w:val="32"/>
          <w:szCs w:val="32"/>
          <w:shd w:val="clear" w:color="auto" w:fill="FFFFFF"/>
          <w:lang w:val="en-US" w:eastAsia="zh-CN"/>
        </w:rPr>
        <w:t>（三）</w:t>
      </w:r>
      <w:r>
        <w:rPr>
          <w:rFonts w:hint="eastAsia" w:ascii="楷体_GB2312" w:hAnsi="楷体_GB2312" w:eastAsia="楷体_GB2312" w:cs="楷体_GB2312"/>
          <w:b/>
          <w:bCs w:val="0"/>
          <w:szCs w:val="32"/>
        </w:rPr>
        <w:t>绩效指标完成情况分析。</w:t>
      </w:r>
    </w:p>
    <w:p w14:paraId="0CAB4D0E">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b/>
          <w:bCs/>
          <w:sz w:val="32"/>
          <w:szCs w:val="32"/>
        </w:rPr>
      </w:pPr>
      <w:r>
        <w:rPr>
          <w:rFonts w:hint="eastAsia" w:ascii="仿宋_GB2312" w:eastAsia="仿宋_GB2312"/>
          <w:b/>
          <w:bCs/>
          <w:sz w:val="32"/>
          <w:szCs w:val="32"/>
        </w:rPr>
        <w:t>1.产出指标完成情况分析</w:t>
      </w:r>
    </w:p>
    <w:p w14:paraId="05A7D0F7">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（1）数量指标。</w:t>
      </w:r>
    </w:p>
    <w:p w14:paraId="517868B6">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完成</w:t>
      </w:r>
      <w:r>
        <w:rPr>
          <w:rFonts w:hint="eastAsia" w:ascii="仿宋_GB2312" w:hAnsi="仿宋_GB2312" w:cs="仿宋_GB2312"/>
          <w:b w:val="0"/>
          <w:bCs/>
          <w:sz w:val="32"/>
          <w:szCs w:val="32"/>
          <w:shd w:val="clear" w:color="auto" w:fill="FFFFFF"/>
          <w:lang w:val="en-US" w:eastAsia="zh-CN"/>
        </w:rPr>
        <w:t>五</w:t>
      </w:r>
      <w:r>
        <w:rPr>
          <w:rFonts w:hint="eastAsia" w:ascii="仿宋_GB2312" w:hAnsi="仿宋_GB2312" w:eastAsia="仿宋_GB2312" w:cs="仿宋_GB2312"/>
          <w:b w:val="0"/>
          <w:bCs/>
          <w:sz w:val="32"/>
          <w:szCs w:val="32"/>
          <w:shd w:val="clear" w:color="auto" w:fill="FFFFFF"/>
          <w:lang w:val="en-US" w:eastAsia="zh-CN"/>
        </w:rPr>
        <w:t>次</w:t>
      </w:r>
      <w:r>
        <w:rPr>
          <w:rFonts w:hint="eastAsia" w:ascii="仿宋_GB2312" w:hAnsi="仿宋_GB2312" w:cs="仿宋_GB2312"/>
          <w:b w:val="0"/>
          <w:bCs/>
          <w:sz w:val="32"/>
          <w:szCs w:val="32"/>
          <w:shd w:val="clear" w:color="auto" w:fill="FFFFFF"/>
          <w:lang w:val="en-US" w:eastAsia="zh-CN"/>
        </w:rPr>
        <w:t>艾滋病防治健康教育</w:t>
      </w:r>
      <w:r>
        <w:rPr>
          <w:rFonts w:hint="eastAsia" w:ascii="仿宋_GB2312" w:hAnsi="仿宋_GB2312" w:eastAsia="仿宋_GB2312" w:cs="仿宋_GB2312"/>
          <w:b w:val="0"/>
          <w:bCs/>
          <w:sz w:val="32"/>
          <w:szCs w:val="32"/>
          <w:shd w:val="clear" w:color="auto" w:fill="FFFFFF"/>
          <w:lang w:val="en-US" w:eastAsia="zh-CN"/>
        </w:rPr>
        <w:t>宣传宣讲活动，</w:t>
      </w:r>
      <w:r>
        <w:rPr>
          <w:rFonts w:hint="eastAsia" w:ascii="仿宋_GB2312" w:hAnsi="仿宋_GB2312" w:cs="仿宋_GB2312"/>
          <w:b w:val="0"/>
          <w:bCs/>
          <w:sz w:val="32"/>
          <w:szCs w:val="32"/>
          <w:shd w:val="clear" w:color="auto" w:fill="FFFFFF"/>
          <w:lang w:val="en-US" w:eastAsia="zh-CN"/>
        </w:rPr>
        <w:t>覆盖上万人</w:t>
      </w:r>
      <w:r>
        <w:rPr>
          <w:rFonts w:hint="eastAsia" w:ascii="仿宋_GB2312" w:hAnsi="仿宋_GB2312" w:eastAsia="仿宋_GB2312" w:cs="仿宋_GB2312"/>
          <w:b w:val="0"/>
          <w:bCs/>
          <w:sz w:val="32"/>
          <w:szCs w:val="32"/>
          <w:shd w:val="clear" w:color="auto" w:fill="FFFFFF"/>
          <w:lang w:val="en-US" w:eastAsia="zh-CN"/>
        </w:rPr>
        <w:t>。</w:t>
      </w:r>
    </w:p>
    <w:p w14:paraId="6C919CCA">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（2）质量指标。</w:t>
      </w:r>
    </w:p>
    <w:p w14:paraId="21840153">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cs="仿宋_GB2312"/>
          <w:b w:val="0"/>
          <w:bCs/>
          <w:sz w:val="32"/>
          <w:szCs w:val="32"/>
          <w:shd w:val="clear" w:color="auto" w:fill="FFFFFF"/>
          <w:lang w:val="en-US" w:eastAsia="zh-CN"/>
        </w:rPr>
        <w:t>1.检测覆盖率</w:t>
      </w:r>
      <w:r>
        <w:rPr>
          <w:rFonts w:hint="eastAsia" w:ascii="仿宋_GB2312" w:hAnsi="仿宋_GB2312" w:eastAsia="仿宋_GB2312" w:cs="仿宋_GB2312"/>
          <w:b w:val="0"/>
          <w:bCs/>
          <w:sz w:val="32"/>
          <w:szCs w:val="32"/>
          <w:shd w:val="clear" w:color="auto" w:fill="FFFFFF"/>
          <w:lang w:val="en-US" w:eastAsia="zh-CN"/>
        </w:rPr>
        <w:t>指标：通过</w:t>
      </w:r>
      <w:r>
        <w:rPr>
          <w:rFonts w:hint="eastAsia" w:ascii="仿宋_GB2312" w:hAnsi="仿宋_GB2312" w:cs="仿宋_GB2312"/>
          <w:b w:val="0"/>
          <w:bCs/>
          <w:sz w:val="32"/>
          <w:szCs w:val="32"/>
          <w:shd w:val="clear" w:color="auto" w:fill="FFFFFF"/>
          <w:lang w:val="en-US" w:eastAsia="zh-CN"/>
        </w:rPr>
        <w:t>对全县所有人群进行艾滋病抗体筛查，</w:t>
      </w:r>
      <w:r>
        <w:rPr>
          <w:rFonts w:hint="eastAsia" w:ascii="仿宋_GB2312" w:hAnsi="仿宋_GB2312" w:eastAsia="仿宋_GB2312" w:cs="仿宋_GB2312"/>
          <w:b w:val="0"/>
          <w:bCs/>
          <w:sz w:val="32"/>
          <w:szCs w:val="32"/>
          <w:shd w:val="clear" w:color="auto" w:fill="FFFFFF"/>
          <w:lang w:val="en-US" w:eastAsia="zh-CN"/>
        </w:rPr>
        <w:t>是评价</w:t>
      </w:r>
      <w:r>
        <w:rPr>
          <w:rFonts w:hint="eastAsia" w:ascii="仿宋_GB2312" w:hAnsi="仿宋_GB2312" w:cs="仿宋_GB2312"/>
          <w:b w:val="0"/>
          <w:bCs/>
          <w:sz w:val="32"/>
          <w:szCs w:val="32"/>
          <w:shd w:val="clear" w:color="auto" w:fill="FFFFFF"/>
          <w:lang w:val="en-US" w:eastAsia="zh-CN"/>
        </w:rPr>
        <w:t>艾滋病防治发病率</w:t>
      </w:r>
      <w:r>
        <w:rPr>
          <w:rFonts w:hint="eastAsia" w:ascii="仿宋_GB2312" w:hAnsi="仿宋_GB2312" w:eastAsia="仿宋_GB2312" w:cs="仿宋_GB2312"/>
          <w:b w:val="0"/>
          <w:bCs/>
          <w:sz w:val="32"/>
          <w:szCs w:val="32"/>
          <w:shd w:val="clear" w:color="auto" w:fill="FFFFFF"/>
          <w:lang w:val="en-US" w:eastAsia="zh-CN"/>
        </w:rPr>
        <w:t>的重要指标之一。</w:t>
      </w:r>
    </w:p>
    <w:p w14:paraId="5BF07DBA">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w:t>
      </w:r>
      <w:r>
        <w:rPr>
          <w:rFonts w:hint="eastAsia" w:ascii="仿宋_GB2312" w:hAnsi="仿宋_GB2312" w:cs="仿宋_GB2312"/>
          <w:b w:val="0"/>
          <w:bCs/>
          <w:sz w:val="32"/>
          <w:szCs w:val="32"/>
          <w:shd w:val="clear" w:color="auto" w:fill="FFFFFF"/>
          <w:lang w:val="en-US" w:eastAsia="zh-CN"/>
        </w:rPr>
        <w:t>抗病毒治疗覆盖率</w:t>
      </w:r>
      <w:r>
        <w:rPr>
          <w:rFonts w:hint="eastAsia" w:ascii="仿宋_GB2312" w:hAnsi="仿宋_GB2312" w:eastAsia="仿宋_GB2312" w:cs="仿宋_GB2312"/>
          <w:b w:val="0"/>
          <w:bCs/>
          <w:sz w:val="32"/>
          <w:szCs w:val="32"/>
          <w:shd w:val="clear" w:color="auto" w:fill="FFFFFF"/>
          <w:lang w:val="en-US" w:eastAsia="zh-CN"/>
        </w:rPr>
        <w:t>指标：评估</w:t>
      </w:r>
      <w:r>
        <w:rPr>
          <w:rFonts w:hint="eastAsia" w:ascii="仿宋_GB2312" w:hAnsi="仿宋_GB2312" w:cs="仿宋_GB2312"/>
          <w:b w:val="0"/>
          <w:bCs/>
          <w:sz w:val="32"/>
          <w:szCs w:val="32"/>
          <w:shd w:val="clear" w:color="auto" w:fill="FFFFFF"/>
          <w:lang w:val="en-US" w:eastAsia="zh-CN"/>
        </w:rPr>
        <w:t>我县艾滋病感染者身体</w:t>
      </w:r>
      <w:r>
        <w:rPr>
          <w:rFonts w:hint="eastAsia" w:ascii="仿宋_GB2312" w:hAnsi="仿宋_GB2312" w:eastAsia="仿宋_GB2312" w:cs="仿宋_GB2312"/>
          <w:b w:val="0"/>
          <w:bCs/>
          <w:sz w:val="32"/>
          <w:szCs w:val="32"/>
          <w:shd w:val="clear" w:color="auto" w:fill="FFFFFF"/>
          <w:lang w:val="en-US" w:eastAsia="zh-CN"/>
        </w:rPr>
        <w:t>的情况，以</w:t>
      </w:r>
      <w:r>
        <w:rPr>
          <w:rFonts w:hint="eastAsia" w:ascii="仿宋_GB2312" w:hAnsi="仿宋_GB2312" w:cs="仿宋_GB2312"/>
          <w:b w:val="0"/>
          <w:bCs/>
          <w:sz w:val="32"/>
          <w:szCs w:val="32"/>
          <w:shd w:val="clear" w:color="auto" w:fill="FFFFFF"/>
          <w:lang w:val="en-US" w:eastAsia="zh-CN"/>
        </w:rPr>
        <w:t>抗病毒治疗覆盖率指标</w:t>
      </w:r>
      <w:r>
        <w:rPr>
          <w:rFonts w:hint="eastAsia" w:ascii="仿宋_GB2312" w:hAnsi="仿宋_GB2312" w:eastAsia="仿宋_GB2312" w:cs="仿宋_GB2312"/>
          <w:b w:val="0"/>
          <w:bCs/>
          <w:sz w:val="32"/>
          <w:szCs w:val="32"/>
          <w:shd w:val="clear" w:color="auto" w:fill="FFFFFF"/>
          <w:lang w:val="en-US" w:eastAsia="zh-CN"/>
        </w:rPr>
        <w:t>。</w:t>
      </w:r>
    </w:p>
    <w:p w14:paraId="7BB9DE91">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3.</w:t>
      </w:r>
      <w:r>
        <w:rPr>
          <w:rFonts w:hint="eastAsia" w:ascii="仿宋_GB2312" w:hAnsi="仿宋_GB2312" w:cs="仿宋_GB2312"/>
          <w:b w:val="0"/>
          <w:bCs/>
          <w:sz w:val="32"/>
          <w:szCs w:val="32"/>
          <w:shd w:val="clear" w:color="auto" w:fill="FFFFFF"/>
          <w:lang w:val="en-US" w:eastAsia="zh-CN"/>
        </w:rPr>
        <w:t>抗病毒治疗成功率</w:t>
      </w:r>
      <w:r>
        <w:rPr>
          <w:rFonts w:hint="eastAsia" w:ascii="仿宋_GB2312" w:hAnsi="仿宋_GB2312" w:eastAsia="仿宋_GB2312" w:cs="仿宋_GB2312"/>
          <w:b w:val="0"/>
          <w:bCs/>
          <w:sz w:val="32"/>
          <w:szCs w:val="32"/>
          <w:shd w:val="clear" w:color="auto" w:fill="FFFFFF"/>
          <w:lang w:val="en-US" w:eastAsia="zh-CN"/>
        </w:rPr>
        <w:t>指标：</w:t>
      </w:r>
      <w:r>
        <w:rPr>
          <w:rFonts w:hint="eastAsia" w:ascii="仿宋_GB2312" w:hAnsi="仿宋_GB2312" w:cs="仿宋_GB2312"/>
          <w:b w:val="0"/>
          <w:bCs/>
          <w:sz w:val="32"/>
          <w:szCs w:val="32"/>
          <w:shd w:val="clear" w:color="auto" w:fill="FFFFFF"/>
          <w:lang w:val="en-US" w:eastAsia="zh-CN"/>
        </w:rPr>
        <w:t>艾滋病感染者抗病毒治疗成功</w:t>
      </w:r>
      <w:r>
        <w:rPr>
          <w:rFonts w:hint="eastAsia" w:ascii="仿宋_GB2312" w:hAnsi="仿宋_GB2312" w:eastAsia="仿宋_GB2312" w:cs="仿宋_GB2312"/>
          <w:b w:val="0"/>
          <w:bCs/>
          <w:sz w:val="32"/>
          <w:szCs w:val="32"/>
          <w:shd w:val="clear" w:color="auto" w:fill="FFFFFF"/>
          <w:lang w:val="en-US" w:eastAsia="zh-CN"/>
        </w:rPr>
        <w:t>反映了</w:t>
      </w:r>
      <w:r>
        <w:rPr>
          <w:rFonts w:hint="eastAsia" w:ascii="仿宋_GB2312" w:hAnsi="仿宋_GB2312" w:cs="仿宋_GB2312"/>
          <w:b w:val="0"/>
          <w:bCs/>
          <w:sz w:val="32"/>
          <w:szCs w:val="32"/>
          <w:shd w:val="clear" w:color="auto" w:fill="FFFFFF"/>
          <w:lang w:val="en-US" w:eastAsia="zh-CN"/>
        </w:rPr>
        <w:t>我县艾滋病防治工作成效</w:t>
      </w:r>
      <w:r>
        <w:rPr>
          <w:rFonts w:hint="eastAsia" w:ascii="仿宋_GB2312" w:hAnsi="仿宋_GB2312" w:eastAsia="仿宋_GB2312" w:cs="仿宋_GB2312"/>
          <w:b w:val="0"/>
          <w:bCs/>
          <w:sz w:val="32"/>
          <w:szCs w:val="32"/>
          <w:shd w:val="clear" w:color="auto" w:fill="FFFFFF"/>
          <w:lang w:val="en-US" w:eastAsia="zh-CN"/>
        </w:rPr>
        <w:t>，较高的</w:t>
      </w:r>
      <w:r>
        <w:rPr>
          <w:rFonts w:hint="eastAsia" w:ascii="仿宋_GB2312" w:hAnsi="仿宋_GB2312" w:cs="仿宋_GB2312"/>
          <w:b w:val="0"/>
          <w:bCs/>
          <w:sz w:val="32"/>
          <w:szCs w:val="32"/>
          <w:shd w:val="clear" w:color="auto" w:fill="FFFFFF"/>
          <w:lang w:val="en-US" w:eastAsia="zh-CN"/>
        </w:rPr>
        <w:t>抗病毒治疗成功率</w:t>
      </w:r>
      <w:r>
        <w:rPr>
          <w:rFonts w:hint="eastAsia" w:ascii="仿宋_GB2312" w:hAnsi="仿宋_GB2312" w:eastAsia="仿宋_GB2312" w:cs="仿宋_GB2312"/>
          <w:b w:val="0"/>
          <w:bCs/>
          <w:sz w:val="32"/>
          <w:szCs w:val="32"/>
          <w:shd w:val="clear" w:color="auto" w:fill="FFFFFF"/>
          <w:lang w:val="en-US" w:eastAsia="zh-CN"/>
        </w:rPr>
        <w:t>表示</w:t>
      </w:r>
      <w:r>
        <w:rPr>
          <w:rFonts w:hint="eastAsia" w:ascii="仿宋_GB2312" w:hAnsi="仿宋_GB2312" w:cs="仿宋_GB2312"/>
          <w:b w:val="0"/>
          <w:bCs/>
          <w:sz w:val="32"/>
          <w:szCs w:val="32"/>
          <w:shd w:val="clear" w:color="auto" w:fill="FFFFFF"/>
          <w:lang w:val="en-US" w:eastAsia="zh-CN"/>
        </w:rPr>
        <w:t>我县的艾滋病防治成效</w:t>
      </w:r>
      <w:r>
        <w:rPr>
          <w:rFonts w:hint="eastAsia" w:ascii="仿宋_GB2312" w:hAnsi="仿宋_GB2312" w:eastAsia="仿宋_GB2312" w:cs="仿宋_GB2312"/>
          <w:b w:val="0"/>
          <w:bCs/>
          <w:sz w:val="32"/>
          <w:szCs w:val="32"/>
          <w:shd w:val="clear" w:color="auto" w:fill="FFFFFF"/>
          <w:lang w:val="en-US" w:eastAsia="zh-CN"/>
        </w:rPr>
        <w:t>。</w:t>
      </w:r>
    </w:p>
    <w:p w14:paraId="507852A3">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2.效益指标完成情况分析。</w:t>
      </w:r>
    </w:p>
    <w:p w14:paraId="1695E17B">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（1）社会效益。</w:t>
      </w:r>
    </w:p>
    <w:p w14:paraId="5299912D">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1.直接受益者：项目直接服务于我县全县所有艾滋病感染者，满足他们的医疗需求，提高他们的生活质量。</w:t>
      </w:r>
    </w:p>
    <w:p w14:paraId="29F54CEC">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2.艾滋病防治项目发展：项目的建设促进了我县艾滋病防治的改善和发展，提高了我县艾滋病的整体预防、治疗水平。</w:t>
      </w:r>
    </w:p>
    <w:p w14:paraId="68F0F411">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3.满意度指标完成情况分析。</w:t>
      </w:r>
    </w:p>
    <w:p w14:paraId="61365C4D">
      <w:p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我</w:t>
      </w:r>
      <w:r>
        <w:rPr>
          <w:rFonts w:hint="eastAsia" w:ascii="仿宋_GB2312" w:hAnsi="仿宋_GB2312" w:cs="仿宋_GB2312"/>
          <w:b w:val="0"/>
          <w:bCs/>
          <w:sz w:val="32"/>
          <w:szCs w:val="32"/>
          <w:shd w:val="clear" w:color="auto" w:fill="FFFFFF"/>
          <w:lang w:val="en-US" w:eastAsia="zh-CN"/>
        </w:rPr>
        <w:t>中心进一步做好艾滋病防治工作</w:t>
      </w:r>
      <w:r>
        <w:rPr>
          <w:rFonts w:hint="eastAsia" w:ascii="仿宋_GB2312" w:hAnsi="仿宋_GB2312" w:eastAsia="仿宋_GB2312" w:cs="仿宋_GB2312"/>
          <w:b w:val="0"/>
          <w:bCs/>
          <w:sz w:val="32"/>
          <w:szCs w:val="32"/>
          <w:shd w:val="clear" w:color="auto" w:fill="FFFFFF"/>
          <w:lang w:val="en-US" w:eastAsia="zh-CN"/>
        </w:rPr>
        <w:t>。努力提高</w:t>
      </w:r>
      <w:r>
        <w:rPr>
          <w:rFonts w:hint="eastAsia" w:ascii="仿宋_GB2312" w:hAnsi="仿宋_GB2312" w:cs="仿宋_GB2312"/>
          <w:b w:val="0"/>
          <w:bCs/>
          <w:sz w:val="32"/>
          <w:szCs w:val="32"/>
          <w:shd w:val="clear" w:color="auto" w:fill="FFFFFF"/>
          <w:lang w:val="en-US" w:eastAsia="zh-CN"/>
        </w:rPr>
        <w:t>艾滋病防治业务</w:t>
      </w:r>
      <w:r>
        <w:rPr>
          <w:rFonts w:hint="eastAsia" w:ascii="仿宋_GB2312" w:hAnsi="仿宋_GB2312" w:eastAsia="仿宋_GB2312" w:cs="仿宋_GB2312"/>
          <w:b w:val="0"/>
          <w:bCs/>
          <w:sz w:val="32"/>
          <w:szCs w:val="32"/>
          <w:shd w:val="clear" w:color="auto" w:fill="FFFFFF"/>
          <w:lang w:val="en-US" w:eastAsia="zh-CN"/>
        </w:rPr>
        <w:t>水平和服务质量。根据</w:t>
      </w:r>
      <w:r>
        <w:rPr>
          <w:rFonts w:hint="eastAsia" w:ascii="仿宋_GB2312" w:hAnsi="仿宋_GB2312" w:cs="仿宋_GB2312"/>
          <w:b w:val="0"/>
          <w:bCs/>
          <w:sz w:val="32"/>
          <w:szCs w:val="32"/>
          <w:shd w:val="clear" w:color="auto" w:fill="FFFFFF"/>
          <w:lang w:val="en-US" w:eastAsia="zh-CN"/>
        </w:rPr>
        <w:t>对我县艾滋病感染者</w:t>
      </w:r>
      <w:r>
        <w:rPr>
          <w:rFonts w:hint="eastAsia" w:ascii="仿宋_GB2312" w:hAnsi="仿宋_GB2312" w:eastAsia="仿宋_GB2312" w:cs="仿宋_GB2312"/>
          <w:b w:val="0"/>
          <w:bCs/>
          <w:sz w:val="32"/>
          <w:szCs w:val="32"/>
          <w:shd w:val="clear" w:color="auto" w:fill="FFFFFF"/>
          <w:lang w:val="en-US" w:eastAsia="zh-CN"/>
        </w:rPr>
        <w:t>满意度调查，满意度达到9</w:t>
      </w:r>
      <w:r>
        <w:rPr>
          <w:rFonts w:hint="eastAsia" w:ascii="仿宋_GB2312" w:hAnsi="仿宋_GB2312" w:cs="仿宋_GB2312"/>
          <w:b w:val="0"/>
          <w:bCs/>
          <w:sz w:val="32"/>
          <w:szCs w:val="32"/>
          <w:shd w:val="clear" w:color="auto" w:fill="FFFFFF"/>
          <w:lang w:val="en-US" w:eastAsia="zh-CN"/>
        </w:rPr>
        <w:t>5</w:t>
      </w:r>
      <w:r>
        <w:rPr>
          <w:rFonts w:hint="eastAsia" w:ascii="仿宋_GB2312" w:hAnsi="仿宋_GB2312" w:eastAsia="仿宋_GB2312" w:cs="仿宋_GB2312"/>
          <w:b w:val="0"/>
          <w:bCs/>
          <w:sz w:val="32"/>
          <w:szCs w:val="32"/>
          <w:shd w:val="clear" w:color="auto" w:fill="FFFFFF"/>
          <w:lang w:val="en-US" w:eastAsia="zh-CN"/>
        </w:rPr>
        <w:t>%，基本达成预期指标。</w:t>
      </w:r>
    </w:p>
    <w:p w14:paraId="3E108095">
      <w:pPr>
        <w:ind w:firstLine="640" w:firstLineChars="200"/>
        <w:rPr>
          <w:rFonts w:hint="eastAsia" w:ascii="仿宋_GB2312" w:eastAsia="黑体"/>
          <w:szCs w:val="32"/>
          <w:lang w:eastAsia="zh-CN"/>
        </w:rPr>
      </w:pPr>
      <w:r>
        <w:rPr>
          <w:rFonts w:hint="eastAsia" w:ascii="黑体" w:hAnsi="黑体" w:eastAsia="黑体" w:cs="黑体"/>
          <w:bCs/>
          <w:szCs w:val="32"/>
        </w:rPr>
        <w:t>三、</w:t>
      </w:r>
      <w:r>
        <w:rPr>
          <w:rFonts w:hint="eastAsia" w:ascii="黑体" w:hAnsi="黑体" w:eastAsia="黑体" w:cs="黑体"/>
          <w:bCs/>
          <w:szCs w:val="32"/>
          <w:lang w:eastAsia="zh-CN"/>
        </w:rPr>
        <w:t>存在的问题</w:t>
      </w:r>
    </w:p>
    <w:p w14:paraId="02030B26">
      <w:pPr>
        <w:numPr>
          <w:ilvl w:val="0"/>
          <w:numId w:val="0"/>
        </w:numPr>
        <w:ind w:firstLine="640" w:firstLineChars="200"/>
        <w:rPr>
          <w:rFonts w:hint="eastAsia" w:ascii="仿宋_GB2312" w:hAnsi="仿宋_GB2312" w:eastAsia="仿宋_GB2312" w:cs="仿宋_GB2312"/>
          <w:b w:val="0"/>
          <w:bCs/>
          <w:sz w:val="32"/>
          <w:szCs w:val="32"/>
          <w:shd w:val="clear" w:color="auto" w:fill="FFFFFF"/>
          <w:lang w:val="en-US" w:eastAsia="zh-CN"/>
        </w:rPr>
      </w:pPr>
      <w:r>
        <w:rPr>
          <w:rFonts w:hint="eastAsia" w:ascii="仿宋_GB2312" w:hAnsi="仿宋_GB2312" w:eastAsia="仿宋_GB2312" w:cs="仿宋_GB2312"/>
          <w:b w:val="0"/>
          <w:bCs/>
          <w:sz w:val="32"/>
          <w:szCs w:val="32"/>
          <w:shd w:val="clear" w:color="auto" w:fill="FFFFFF"/>
          <w:lang w:val="en-US" w:eastAsia="zh-CN"/>
        </w:rPr>
        <w:t>1.202</w:t>
      </w:r>
      <w:r>
        <w:rPr>
          <w:rFonts w:hint="eastAsia" w:ascii="仿宋_GB2312" w:hAnsi="仿宋_GB2312" w:cs="仿宋_GB2312"/>
          <w:b w:val="0"/>
          <w:bCs/>
          <w:sz w:val="32"/>
          <w:szCs w:val="32"/>
          <w:shd w:val="clear" w:color="auto" w:fill="FFFFFF"/>
          <w:lang w:val="en-US" w:eastAsia="zh-CN"/>
        </w:rPr>
        <w:t>4</w:t>
      </w:r>
      <w:r>
        <w:rPr>
          <w:rFonts w:hint="eastAsia" w:ascii="仿宋_GB2312" w:hAnsi="仿宋_GB2312" w:eastAsia="仿宋_GB2312" w:cs="仿宋_GB2312"/>
          <w:b w:val="0"/>
          <w:bCs/>
          <w:sz w:val="32"/>
          <w:szCs w:val="32"/>
          <w:shd w:val="clear" w:color="auto" w:fill="FFFFFF"/>
          <w:lang w:val="en-US" w:eastAsia="zh-CN"/>
        </w:rPr>
        <w:t>年我县的抗病毒治疗覆盖率虽然达到100%，但是病人的服药依从性仍然低，相比阿坝州其他县市还是有差距。2.母婴传播占一定比例；育龄妇女感染者占比较大，增加了母婴传播发风险。3.尚有一定数量的感染者未被检测发现。4.经异性传播成为最主要传播途径；卖淫嫖娼等违法犯罪活动、不良性行为和不安全性行为等诸多因素加大了艾滋病经性传播的风险。</w:t>
      </w:r>
    </w:p>
    <w:p w14:paraId="61761DDF">
      <w:pPr>
        <w:numPr>
          <w:ilvl w:val="0"/>
          <w:numId w:val="5"/>
        </w:numPr>
        <w:ind w:firstLine="640" w:firstLineChars="200"/>
        <w:rPr>
          <w:rFonts w:hint="eastAsia" w:ascii="黑体" w:hAnsi="黑体" w:eastAsia="黑体" w:cs="黑体"/>
          <w:lang w:eastAsia="zh-CN"/>
        </w:rPr>
      </w:pPr>
      <w:r>
        <w:rPr>
          <w:rFonts w:hint="eastAsia" w:ascii="黑体" w:hAnsi="黑体" w:eastAsia="黑体" w:cs="黑体"/>
          <w:bCs/>
          <w:szCs w:val="32"/>
          <w:lang w:eastAsia="zh-CN"/>
        </w:rPr>
        <w:t>改进建议</w:t>
      </w:r>
      <w:bookmarkStart w:id="91" w:name="_GoBack"/>
      <w:bookmarkEnd w:id="91"/>
    </w:p>
    <w:p w14:paraId="150AE685">
      <w:pPr>
        <w:ind w:firstLine="640" w:firstLineChars="200"/>
        <w:rPr>
          <w:rFonts w:hint="eastAsia" w:ascii="仿宋_GB2312" w:hAnsi="仿宋_GB2312" w:eastAsia="仿宋_GB2312" w:cs="仿宋_GB2312"/>
          <w:bCs/>
          <w:szCs w:val="32"/>
        </w:rPr>
      </w:pPr>
      <w:r>
        <w:rPr>
          <w:rFonts w:hint="eastAsia" w:ascii="仿宋_GB2312" w:hAnsi="仿宋_GB2312" w:eastAsia="仿宋_GB2312" w:cs="仿宋_GB2312"/>
          <w:bCs/>
          <w:szCs w:val="32"/>
        </w:rPr>
        <w:t>1.进一步加强艾滋病防治知识宣传教育工作。2.加强对艾滋病感染者的督导随访服药工作。3.加大全县艾滋病筛查力度。</w:t>
      </w:r>
    </w:p>
    <w:p w14:paraId="168D9A96">
      <w:pPr>
        <w:ind w:firstLine="640" w:firstLineChars="200"/>
        <w:rPr>
          <w:rFonts w:ascii="黑体" w:hAnsi="黑体" w:eastAsia="黑体" w:cs="黑体"/>
          <w:bCs/>
          <w:szCs w:val="32"/>
        </w:rPr>
      </w:pPr>
      <w:r>
        <w:rPr>
          <w:rFonts w:hint="eastAsia" w:ascii="黑体" w:hAnsi="黑体" w:eastAsia="黑体" w:cs="黑体"/>
          <w:bCs/>
          <w:szCs w:val="32"/>
        </w:rPr>
        <w:t>五、其他需要说明的问题</w:t>
      </w:r>
    </w:p>
    <w:p w14:paraId="44388B7C">
      <w:pPr>
        <w:ind w:firstLine="600" w:firstLineChars="200"/>
        <w:rPr>
          <w:rFonts w:hint="eastAsia" w:ascii="仿宋_GB2312" w:hAnsi="仿宋_GB2312" w:eastAsia="仿宋_GB2312" w:cs="仿宋_GB2312"/>
          <w:lang w:val="en-US" w:eastAsia="zh-CN"/>
        </w:rPr>
      </w:pPr>
      <w:r>
        <w:rPr>
          <w:rFonts w:hint="eastAsia" w:ascii="仿宋" w:hAnsi="仿宋" w:eastAsia="仿宋" w:cs="仿宋"/>
          <w:b w:val="0"/>
          <w:bCs/>
          <w:sz w:val="30"/>
          <w:szCs w:val="30"/>
          <w:shd w:val="clear" w:color="auto" w:fill="FFFFFF"/>
          <w:lang w:val="en-US" w:eastAsia="zh-CN"/>
        </w:rPr>
        <w:t>无</w:t>
      </w:r>
    </w:p>
    <w:p w14:paraId="3A10EFD7">
      <w:pPr>
        <w:pStyle w:val="10"/>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0AC3EE11">
      <w:pPr>
        <w:pStyle w:val="10"/>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2EA5A5AC">
      <w:pPr>
        <w:spacing w:line="560" w:lineRule="exact"/>
        <w:ind w:left="0" w:firstLine="480" w:firstLineChars="150"/>
        <w:rPr>
          <w:rFonts w:hint="eastAsia" w:ascii="仿宋_GB2312"/>
          <w:color w:val="000000"/>
          <w:sz w:val="32"/>
          <w:szCs w:val="32"/>
          <w:lang w:eastAsia="zh-CN"/>
        </w:rPr>
      </w:pPr>
    </w:p>
    <w:p w14:paraId="2A75B19D">
      <w:r>
        <w:rPr>
          <w:rFonts w:hint="eastAsia" w:ascii="仿宋_GB2312" w:hAnsi="仿宋_GB2312" w:eastAsia="仿宋_GB2312" w:cs="仿宋_GB2312"/>
          <w:color w:val="000000"/>
          <w:sz w:val="32"/>
          <w:szCs w:val="32"/>
        </w:rPr>
        <w:t xml:space="preserve"> </w:t>
      </w:r>
    </w:p>
    <w:p w14:paraId="60DA63A6">
      <w:pPr>
        <w:rPr>
          <w:rStyle w:val="39"/>
          <w:rFonts w:hint="eastAsia" w:ascii="黑体" w:hAnsi="黑体" w:eastAsia="黑体"/>
          <w:b w:val="0"/>
          <w:color w:val="auto"/>
          <w:highlight w:val="none"/>
        </w:rPr>
      </w:pPr>
      <w:bookmarkStart w:id="74" w:name="_Toc111208512"/>
      <w:bookmarkStart w:id="75" w:name="_Toc79163885"/>
      <w:bookmarkStart w:id="76" w:name="_Toc79163635"/>
      <w:bookmarkStart w:id="77" w:name="_Toc21200"/>
      <w:r>
        <w:rPr>
          <w:rStyle w:val="39"/>
          <w:rFonts w:hint="eastAsia" w:ascii="黑体" w:hAnsi="黑体" w:eastAsia="黑体"/>
          <w:b w:val="0"/>
          <w:color w:val="auto"/>
          <w:highlight w:val="none"/>
        </w:rPr>
        <w:br w:type="page"/>
      </w: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9"/>
          <w:rFonts w:hint="eastAsia" w:ascii="黑体" w:hAnsi="黑体" w:eastAsia="黑体"/>
          <w:b w:val="0"/>
          <w:color w:val="auto"/>
          <w:highlight w:val="none"/>
        </w:rPr>
        <w:t>第五部分 附表</w:t>
      </w:r>
      <w:bookmarkEnd w:id="74"/>
      <w:bookmarkEnd w:id="75"/>
      <w:bookmarkEnd w:id="76"/>
      <w:bookmarkEnd w:id="77"/>
    </w:p>
    <w:p w14:paraId="39407B2D">
      <w:pPr>
        <w:pStyle w:val="4"/>
        <w:ind w:firstLine="640" w:firstLineChars="200"/>
        <w:rPr>
          <w:rFonts w:hint="eastAsia" w:ascii="仿宋" w:hAnsi="仿宋" w:eastAsia="仿宋" w:cs="仿宋"/>
          <w:b w:val="0"/>
          <w:bCs/>
          <w:color w:val="000000"/>
        </w:rPr>
      </w:pPr>
      <w:bookmarkStart w:id="78" w:name="_Toc16431"/>
      <w:r>
        <w:rPr>
          <w:rFonts w:hint="eastAsia" w:ascii="仿宋" w:hAnsi="仿宋" w:eastAsia="仿宋" w:cs="仿宋"/>
          <w:b w:val="0"/>
          <w:bCs/>
          <w:color w:val="000000"/>
        </w:rPr>
        <w:t>一、收入支出决算总表</w:t>
      </w:r>
      <w:bookmarkEnd w:id="78"/>
    </w:p>
    <w:p w14:paraId="2B7DC4AC">
      <w:pPr>
        <w:pStyle w:val="4"/>
        <w:ind w:firstLine="640" w:firstLineChars="200"/>
        <w:rPr>
          <w:rFonts w:hint="eastAsia" w:ascii="仿宋" w:hAnsi="仿宋" w:eastAsia="仿宋" w:cs="仿宋"/>
          <w:b w:val="0"/>
          <w:bCs/>
          <w:color w:val="000000"/>
        </w:rPr>
      </w:pPr>
      <w:bookmarkStart w:id="79" w:name="_Toc25389"/>
      <w:r>
        <w:rPr>
          <w:rFonts w:hint="eastAsia" w:ascii="仿宋" w:hAnsi="仿宋" w:eastAsia="仿宋" w:cs="仿宋"/>
          <w:b w:val="0"/>
          <w:bCs/>
          <w:color w:val="000000"/>
        </w:rPr>
        <w:t>二、收入决算表</w:t>
      </w:r>
      <w:bookmarkEnd w:id="79"/>
    </w:p>
    <w:p w14:paraId="7858E927">
      <w:pPr>
        <w:pStyle w:val="4"/>
        <w:ind w:firstLine="640" w:firstLineChars="200"/>
        <w:rPr>
          <w:rFonts w:hint="eastAsia" w:ascii="仿宋" w:hAnsi="仿宋" w:eastAsia="仿宋" w:cs="仿宋"/>
          <w:b w:val="0"/>
          <w:bCs/>
          <w:color w:val="000000"/>
        </w:rPr>
      </w:pPr>
      <w:bookmarkStart w:id="80" w:name="_Toc10450"/>
      <w:r>
        <w:rPr>
          <w:rFonts w:hint="eastAsia" w:ascii="仿宋" w:hAnsi="仿宋" w:eastAsia="仿宋" w:cs="仿宋"/>
          <w:b w:val="0"/>
          <w:bCs/>
          <w:color w:val="000000"/>
        </w:rPr>
        <w:t>三、支出决算表</w:t>
      </w:r>
      <w:bookmarkEnd w:id="80"/>
    </w:p>
    <w:p w14:paraId="31EC7FA5">
      <w:pPr>
        <w:pStyle w:val="4"/>
        <w:ind w:firstLine="640" w:firstLineChars="200"/>
        <w:rPr>
          <w:rFonts w:hint="eastAsia" w:ascii="仿宋" w:hAnsi="仿宋" w:eastAsia="仿宋" w:cs="仿宋"/>
          <w:b w:val="0"/>
          <w:bCs/>
          <w:color w:val="000000"/>
        </w:rPr>
      </w:pPr>
      <w:bookmarkStart w:id="81" w:name="_Toc15415"/>
      <w:r>
        <w:rPr>
          <w:rFonts w:hint="eastAsia" w:ascii="仿宋" w:hAnsi="仿宋" w:eastAsia="仿宋" w:cs="仿宋"/>
          <w:b w:val="0"/>
          <w:bCs/>
          <w:color w:val="000000"/>
        </w:rPr>
        <w:t>四、财政拨款收入支出决算总表</w:t>
      </w:r>
      <w:bookmarkEnd w:id="81"/>
    </w:p>
    <w:p w14:paraId="4A2F30BB">
      <w:pPr>
        <w:pStyle w:val="4"/>
        <w:ind w:firstLine="640" w:firstLineChars="200"/>
        <w:rPr>
          <w:rFonts w:hint="eastAsia" w:ascii="仿宋" w:hAnsi="仿宋" w:eastAsia="仿宋" w:cs="仿宋"/>
          <w:b w:val="0"/>
          <w:bCs/>
          <w:color w:val="000000"/>
        </w:rPr>
      </w:pPr>
      <w:bookmarkStart w:id="82" w:name="_Toc17530"/>
      <w:r>
        <w:rPr>
          <w:rFonts w:hint="eastAsia" w:ascii="仿宋" w:hAnsi="仿宋" w:eastAsia="仿宋" w:cs="仿宋"/>
          <w:b w:val="0"/>
          <w:bCs/>
          <w:color w:val="000000"/>
        </w:rPr>
        <w:t>五、财政拨款支出决算明细表</w:t>
      </w:r>
      <w:bookmarkEnd w:id="82"/>
    </w:p>
    <w:p w14:paraId="712C880D">
      <w:pPr>
        <w:pStyle w:val="4"/>
        <w:ind w:firstLine="640" w:firstLineChars="200"/>
        <w:rPr>
          <w:rFonts w:hint="eastAsia" w:ascii="仿宋" w:hAnsi="仿宋" w:eastAsia="仿宋" w:cs="仿宋"/>
          <w:b w:val="0"/>
          <w:bCs/>
          <w:color w:val="000000"/>
        </w:rPr>
      </w:pPr>
      <w:bookmarkStart w:id="83" w:name="_Toc22032"/>
      <w:r>
        <w:rPr>
          <w:rFonts w:hint="eastAsia" w:ascii="仿宋" w:hAnsi="仿宋" w:eastAsia="仿宋" w:cs="仿宋"/>
          <w:b w:val="0"/>
          <w:bCs/>
          <w:color w:val="000000"/>
        </w:rPr>
        <w:t>六、一般公共预算财政拨款支出决算表</w:t>
      </w:r>
      <w:bookmarkEnd w:id="83"/>
    </w:p>
    <w:p w14:paraId="51429EF5">
      <w:pPr>
        <w:pStyle w:val="4"/>
        <w:ind w:firstLine="640" w:firstLineChars="200"/>
        <w:rPr>
          <w:rFonts w:hint="eastAsia" w:ascii="仿宋" w:hAnsi="仿宋" w:eastAsia="仿宋" w:cs="仿宋"/>
          <w:b w:val="0"/>
          <w:bCs/>
          <w:color w:val="000000"/>
        </w:rPr>
      </w:pPr>
      <w:bookmarkStart w:id="84" w:name="_Toc3364"/>
      <w:r>
        <w:rPr>
          <w:rFonts w:hint="eastAsia" w:ascii="仿宋" w:hAnsi="仿宋" w:eastAsia="仿宋" w:cs="仿宋"/>
          <w:b w:val="0"/>
          <w:bCs/>
          <w:color w:val="000000"/>
        </w:rPr>
        <w:t>七、一般公共预算财政拨款支出决算明细表</w:t>
      </w:r>
      <w:bookmarkEnd w:id="84"/>
    </w:p>
    <w:p w14:paraId="672B9B4D">
      <w:pPr>
        <w:pStyle w:val="4"/>
        <w:ind w:firstLine="640" w:firstLineChars="200"/>
        <w:rPr>
          <w:rFonts w:hint="eastAsia" w:ascii="仿宋" w:hAnsi="仿宋" w:eastAsia="仿宋" w:cs="仿宋"/>
          <w:b w:val="0"/>
          <w:bCs/>
          <w:color w:val="000000"/>
        </w:rPr>
      </w:pPr>
      <w:bookmarkStart w:id="85" w:name="_Toc9110"/>
      <w:r>
        <w:rPr>
          <w:rFonts w:hint="eastAsia" w:ascii="仿宋" w:hAnsi="仿宋" w:eastAsia="仿宋" w:cs="仿宋"/>
          <w:b w:val="0"/>
          <w:bCs/>
          <w:color w:val="000000"/>
        </w:rPr>
        <w:t>八、一般公共预算财政拨款基本支出决算表</w:t>
      </w:r>
      <w:bookmarkEnd w:id="85"/>
    </w:p>
    <w:p w14:paraId="2002A273">
      <w:pPr>
        <w:pStyle w:val="4"/>
        <w:ind w:firstLine="640" w:firstLineChars="200"/>
        <w:rPr>
          <w:rFonts w:hint="eastAsia" w:ascii="仿宋" w:hAnsi="仿宋" w:eastAsia="仿宋" w:cs="仿宋"/>
          <w:b w:val="0"/>
          <w:bCs/>
          <w:color w:val="000000"/>
        </w:rPr>
      </w:pPr>
      <w:bookmarkStart w:id="86" w:name="_Toc28582"/>
      <w:r>
        <w:rPr>
          <w:rFonts w:hint="eastAsia" w:ascii="仿宋" w:hAnsi="仿宋" w:eastAsia="仿宋" w:cs="仿宋"/>
          <w:b w:val="0"/>
          <w:bCs/>
          <w:color w:val="000000"/>
        </w:rPr>
        <w:t>九、一般公共预算财政拨款项目支出决算表</w:t>
      </w:r>
      <w:bookmarkEnd w:id="86"/>
    </w:p>
    <w:p w14:paraId="0A36D281">
      <w:pPr>
        <w:pStyle w:val="4"/>
        <w:ind w:firstLine="640" w:firstLineChars="200"/>
        <w:rPr>
          <w:rFonts w:hint="eastAsia" w:ascii="仿宋" w:hAnsi="仿宋" w:eastAsia="仿宋" w:cs="仿宋"/>
          <w:b w:val="0"/>
          <w:bCs/>
          <w:color w:val="000000"/>
        </w:rPr>
      </w:pPr>
      <w:bookmarkStart w:id="87" w:name="_Toc22001"/>
      <w:r>
        <w:rPr>
          <w:rFonts w:hint="eastAsia" w:ascii="仿宋" w:hAnsi="仿宋" w:eastAsia="仿宋" w:cs="仿宋"/>
          <w:b w:val="0"/>
          <w:bCs/>
          <w:color w:val="000000"/>
        </w:rPr>
        <w:t>十、政府性基金预算财政拨款收入支出决算表</w:t>
      </w:r>
      <w:bookmarkEnd w:id="87"/>
    </w:p>
    <w:p w14:paraId="0BD12BAB">
      <w:pPr>
        <w:pStyle w:val="4"/>
        <w:ind w:firstLine="640" w:firstLineChars="200"/>
        <w:rPr>
          <w:rFonts w:hint="eastAsia" w:ascii="仿宋" w:hAnsi="仿宋" w:eastAsia="仿宋" w:cs="仿宋"/>
          <w:b w:val="0"/>
          <w:bCs/>
          <w:color w:val="000000"/>
        </w:rPr>
      </w:pPr>
      <w:bookmarkStart w:id="88" w:name="_Toc6538"/>
      <w:r>
        <w:rPr>
          <w:rFonts w:hint="eastAsia" w:ascii="仿宋" w:hAnsi="仿宋" w:eastAsia="仿宋" w:cs="仿宋"/>
          <w:b w:val="0"/>
          <w:bCs/>
          <w:color w:val="000000"/>
        </w:rPr>
        <w:t>十一、国有资本经营预算财政拨款收入支出决算表</w:t>
      </w:r>
      <w:bookmarkEnd w:id="88"/>
    </w:p>
    <w:p w14:paraId="124CF2DF">
      <w:pPr>
        <w:pStyle w:val="4"/>
        <w:ind w:firstLine="640" w:firstLineChars="200"/>
        <w:rPr>
          <w:rFonts w:hint="eastAsia" w:ascii="仿宋" w:hAnsi="仿宋" w:eastAsia="仿宋" w:cs="仿宋"/>
          <w:b w:val="0"/>
          <w:bCs/>
          <w:color w:val="000000"/>
        </w:rPr>
      </w:pPr>
      <w:bookmarkStart w:id="89" w:name="_Toc10625"/>
      <w:r>
        <w:rPr>
          <w:rFonts w:hint="eastAsia" w:ascii="仿宋" w:hAnsi="仿宋" w:eastAsia="仿宋" w:cs="仿宋"/>
          <w:b w:val="0"/>
          <w:bCs/>
          <w:color w:val="000000"/>
        </w:rPr>
        <w:t>十二、国有资本经营预算财政拨款支出决算表</w:t>
      </w:r>
      <w:bookmarkEnd w:id="89"/>
    </w:p>
    <w:p w14:paraId="39A925A5">
      <w:pPr>
        <w:pStyle w:val="4"/>
        <w:ind w:firstLine="640" w:firstLineChars="200"/>
        <w:rPr>
          <w:rFonts w:hint="eastAsia" w:ascii="仿宋" w:hAnsi="仿宋" w:eastAsia="仿宋" w:cs="仿宋"/>
          <w:b w:val="0"/>
          <w:bCs/>
          <w:color w:val="000000"/>
        </w:rPr>
      </w:pPr>
      <w:bookmarkStart w:id="90" w:name="_Toc28356"/>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CC8916-70F8-4378-A416-160EADF5C4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2" w:fontKey="{5FF45A0B-2A00-4F44-B4A2-A95271D65DCD}"/>
  </w:font>
  <w:font w:name="仿宋">
    <w:panose1 w:val="02010609060101010101"/>
    <w:charset w:val="86"/>
    <w:family w:val="modern"/>
    <w:pitch w:val="default"/>
    <w:sig w:usb0="800002BF" w:usb1="38CF7CFA" w:usb2="00000016" w:usb3="00000000" w:csb0="00040001" w:csb1="00000000"/>
    <w:embedRegular r:id="rId3" w:fontKey="{09536D9E-22D4-45FE-A093-AD96D4D3817F}"/>
  </w:font>
  <w:font w:name="Cambria">
    <w:panose1 w:val="02040503050406030204"/>
    <w:charset w:val="00"/>
    <w:family w:val="roman"/>
    <w:pitch w:val="default"/>
    <w:sig w:usb0="E00006FF" w:usb1="420024FF" w:usb2="02000000" w:usb3="00000000" w:csb0="2000019F" w:csb1="00000000"/>
  </w:font>
  <w:font w:name="思源黑体 CN Normal">
    <w:altName w:val="黑体"/>
    <w:panose1 w:val="020B0400000000000000"/>
    <w:charset w:val="86"/>
    <w:family w:val="auto"/>
    <w:pitch w:val="default"/>
    <w:sig w:usb0="00000000" w:usb1="00000000" w:usb2="00000016" w:usb3="00000000" w:csb0="60060107" w:csb1="00000000"/>
    <w:embedRegular r:id="rId4" w:fontKey="{1A2FC832-7241-4B2E-979E-CE06FA97B879}"/>
  </w:font>
  <w:font w:name="方正小标宋简体">
    <w:panose1 w:val="02000000000000000000"/>
    <w:charset w:val="86"/>
    <w:family w:val="auto"/>
    <w:pitch w:val="default"/>
    <w:sig w:usb0="00000001" w:usb1="08000000" w:usb2="00000000" w:usb3="00000000" w:csb0="00040000" w:csb1="00000000"/>
    <w:embedRegular r:id="rId5" w:fontKey="{CD7F49CD-DAEA-4D2B-BCFA-67809709EACB}"/>
  </w:font>
  <w:font w:name="楷体">
    <w:panose1 w:val="02010609060101010101"/>
    <w:charset w:val="86"/>
    <w:family w:val="auto"/>
    <w:pitch w:val="default"/>
    <w:sig w:usb0="800002BF" w:usb1="38CF7CFA" w:usb2="00000016" w:usb3="00000000" w:csb0="00040001" w:csb1="00000000"/>
    <w:embedRegular r:id="rId6" w:fontKey="{E657EAD8-743D-45DF-83C9-6ABBB400C142}"/>
  </w:font>
  <w:font w:name="方正小标宋_GBK">
    <w:altName w:val="微软雅黑"/>
    <w:panose1 w:val="00000000000000000000"/>
    <w:charset w:val="00"/>
    <w:family w:val="auto"/>
    <w:pitch w:val="default"/>
    <w:sig w:usb0="00000000" w:usb1="00000000" w:usb2="00000000" w:usb3="00000000" w:csb0="00000000" w:csb1="00000000"/>
    <w:embedRegular r:id="rId7" w:fontKey="{AB83C395-F504-4D9E-9AF4-D4783F9E477C}"/>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embedRegular r:id="rId8" w:fontKey="{B259285D-2C26-483F-8FB0-20D9E8E81108}"/>
  </w:font>
  <w:font w:name="楷体_GB2312">
    <w:altName w:val="楷体"/>
    <w:panose1 w:val="02010609030101010101"/>
    <w:charset w:val="86"/>
    <w:family w:val="modern"/>
    <w:pitch w:val="default"/>
    <w:sig w:usb0="00000000" w:usb1="00000000" w:usb2="00000000" w:usb3="00000000" w:csb0="00040000" w:csb1="00000000"/>
    <w:embedRegular r:id="rId9" w:fontKey="{84921478-418B-40DE-94A0-A425D03F81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3"/>
      <w:jc w:val="center"/>
    </w:pPr>
  </w:p>
  <w:p w14:paraId="4009213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1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16"/>
                    </w:pPr>
                  </w:p>
                </w:txbxContent>
              </v:textbox>
            </v:shape>
          </w:pict>
        </mc:Fallback>
      </mc:AlternateContent>
    </w:r>
  </w:p>
  <w:p w14:paraId="6AA3FF4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7D9EBD"/>
    <w:multiLevelType w:val="singleLevel"/>
    <w:tmpl w:val="C07D9EBD"/>
    <w:lvl w:ilvl="0" w:tentative="0">
      <w:start w:val="2"/>
      <w:numFmt w:val="chineseCounting"/>
      <w:suff w:val="nothing"/>
      <w:lvlText w:val="（%1）"/>
      <w:lvlJc w:val="left"/>
      <w:rPr>
        <w:rFonts w:hint="eastAsia"/>
      </w:rPr>
    </w:lvl>
  </w:abstractNum>
  <w:abstractNum w:abstractNumId="1">
    <w:nsid w:val="CF092B84"/>
    <w:multiLevelType w:val="singleLevel"/>
    <w:tmpl w:val="CF092B84"/>
    <w:lvl w:ilvl="0" w:tentative="0">
      <w:start w:val="2"/>
      <w:numFmt w:val="chineseCounting"/>
      <w:suff w:val="nothing"/>
      <w:lvlText w:val="（%1）"/>
      <w:lvlJc w:val="left"/>
      <w:rPr>
        <w:rFonts w:hint="eastAsia"/>
      </w:rPr>
    </w:lvl>
  </w:abstractNum>
  <w:abstractNum w:abstractNumId="2">
    <w:nsid w:val="FEED7D01"/>
    <w:multiLevelType w:val="singleLevel"/>
    <w:tmpl w:val="FEED7D01"/>
    <w:lvl w:ilvl="0" w:tentative="0">
      <w:start w:val="4"/>
      <w:numFmt w:val="chineseCounting"/>
      <w:suff w:val="nothing"/>
      <w:lvlText w:val="%1、"/>
      <w:lvlJc w:val="left"/>
      <w:rPr>
        <w:rFonts w:hint="eastAsia"/>
      </w:rPr>
    </w:lvl>
  </w:abstractNum>
  <w:abstractNum w:abstractNumId="3">
    <w:nsid w:val="0053208E"/>
    <w:multiLevelType w:val="singleLevel"/>
    <w:tmpl w:val="0053208E"/>
    <w:lvl w:ilvl="0" w:tentative="0">
      <w:start w:val="2"/>
      <w:numFmt w:val="chineseCounting"/>
      <w:suff w:val="nothing"/>
      <w:lvlText w:val="（%1）"/>
      <w:lvlJc w:val="left"/>
      <w:rPr>
        <w:rFonts w:hint="eastAsia"/>
      </w:rPr>
    </w:lvl>
  </w:abstractNum>
  <w:abstractNum w:abstractNumId="4">
    <w:nsid w:val="59ADCABA"/>
    <w:multiLevelType w:val="singleLevel"/>
    <w:tmpl w:val="59ADCABA"/>
    <w:lvl w:ilvl="0" w:tentative="0">
      <w:start w:val="4"/>
      <w:numFmt w:val="chineseCounting"/>
      <w:suff w:val="nothing"/>
      <w:lvlText w:val="%1、"/>
      <w:lvlJc w:val="left"/>
      <w:rPr>
        <w:rFonts w:hint="eastAsia"/>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88F55D5"/>
    <w:rsid w:val="089C4B49"/>
    <w:rsid w:val="09081517"/>
    <w:rsid w:val="091B747D"/>
    <w:rsid w:val="092E626A"/>
    <w:rsid w:val="09A572B6"/>
    <w:rsid w:val="0A19737C"/>
    <w:rsid w:val="0B7218AA"/>
    <w:rsid w:val="0B99373B"/>
    <w:rsid w:val="0BA37CB5"/>
    <w:rsid w:val="0D0429D6"/>
    <w:rsid w:val="0D093B48"/>
    <w:rsid w:val="0D322E51"/>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5D6D62"/>
    <w:rsid w:val="15F1786F"/>
    <w:rsid w:val="1665477F"/>
    <w:rsid w:val="16BB723D"/>
    <w:rsid w:val="17283764"/>
    <w:rsid w:val="17BC7656"/>
    <w:rsid w:val="17EA348C"/>
    <w:rsid w:val="1840212F"/>
    <w:rsid w:val="184656CF"/>
    <w:rsid w:val="193C261A"/>
    <w:rsid w:val="19934117"/>
    <w:rsid w:val="19943114"/>
    <w:rsid w:val="19DE22C0"/>
    <w:rsid w:val="1A5F381F"/>
    <w:rsid w:val="1AB026BC"/>
    <w:rsid w:val="1ABB32B6"/>
    <w:rsid w:val="1B787B60"/>
    <w:rsid w:val="1BF70747"/>
    <w:rsid w:val="1C06153F"/>
    <w:rsid w:val="1C986C96"/>
    <w:rsid w:val="1D7371C3"/>
    <w:rsid w:val="1DDC2BB3"/>
    <w:rsid w:val="1E34479D"/>
    <w:rsid w:val="1EF81F78"/>
    <w:rsid w:val="1F620905"/>
    <w:rsid w:val="1FD12B34"/>
    <w:rsid w:val="201A6AB0"/>
    <w:rsid w:val="203B66A0"/>
    <w:rsid w:val="206D278F"/>
    <w:rsid w:val="211A679A"/>
    <w:rsid w:val="21253DA0"/>
    <w:rsid w:val="21A94BCD"/>
    <w:rsid w:val="22857975"/>
    <w:rsid w:val="23700C36"/>
    <w:rsid w:val="23844B7E"/>
    <w:rsid w:val="23902475"/>
    <w:rsid w:val="23FA0B3C"/>
    <w:rsid w:val="240371BF"/>
    <w:rsid w:val="2435534E"/>
    <w:rsid w:val="244017F7"/>
    <w:rsid w:val="24534F10"/>
    <w:rsid w:val="24DF6C66"/>
    <w:rsid w:val="253D03DB"/>
    <w:rsid w:val="253F66D1"/>
    <w:rsid w:val="25A20B86"/>
    <w:rsid w:val="25B1070F"/>
    <w:rsid w:val="25BC6564"/>
    <w:rsid w:val="25DD571A"/>
    <w:rsid w:val="265C1D1F"/>
    <w:rsid w:val="26BB36DB"/>
    <w:rsid w:val="271C5A93"/>
    <w:rsid w:val="276F1834"/>
    <w:rsid w:val="27B459F9"/>
    <w:rsid w:val="27C51E91"/>
    <w:rsid w:val="280173B2"/>
    <w:rsid w:val="28513369"/>
    <w:rsid w:val="28BF6D42"/>
    <w:rsid w:val="28C822A0"/>
    <w:rsid w:val="292E058E"/>
    <w:rsid w:val="29FD04D3"/>
    <w:rsid w:val="2C1E1BB4"/>
    <w:rsid w:val="2CAE1BBE"/>
    <w:rsid w:val="2CCF04B2"/>
    <w:rsid w:val="2DF079DB"/>
    <w:rsid w:val="2E4C04E0"/>
    <w:rsid w:val="2E67588F"/>
    <w:rsid w:val="2E9F3A6D"/>
    <w:rsid w:val="2F803D16"/>
    <w:rsid w:val="2FF22B1D"/>
    <w:rsid w:val="30CB71E3"/>
    <w:rsid w:val="30E36C85"/>
    <w:rsid w:val="31810DA9"/>
    <w:rsid w:val="31903F88"/>
    <w:rsid w:val="319F7F4E"/>
    <w:rsid w:val="31B72CAD"/>
    <w:rsid w:val="32004B5E"/>
    <w:rsid w:val="323A1C2F"/>
    <w:rsid w:val="329448A6"/>
    <w:rsid w:val="32F45598"/>
    <w:rsid w:val="33204932"/>
    <w:rsid w:val="33447C07"/>
    <w:rsid w:val="345D075E"/>
    <w:rsid w:val="35244754"/>
    <w:rsid w:val="361C390A"/>
    <w:rsid w:val="364D41F6"/>
    <w:rsid w:val="36FD0156"/>
    <w:rsid w:val="38207F4E"/>
    <w:rsid w:val="38F8371D"/>
    <w:rsid w:val="39226F5F"/>
    <w:rsid w:val="39902098"/>
    <w:rsid w:val="39FD5F33"/>
    <w:rsid w:val="3A3A0F35"/>
    <w:rsid w:val="3A4E1148"/>
    <w:rsid w:val="3AF15A98"/>
    <w:rsid w:val="3C8D2F9D"/>
    <w:rsid w:val="3CE0510E"/>
    <w:rsid w:val="3D0E3B71"/>
    <w:rsid w:val="3D1927CA"/>
    <w:rsid w:val="3D1E4B3E"/>
    <w:rsid w:val="3D6F2272"/>
    <w:rsid w:val="3D8344ED"/>
    <w:rsid w:val="3DCD154A"/>
    <w:rsid w:val="3E03620E"/>
    <w:rsid w:val="3E343C22"/>
    <w:rsid w:val="3F512FA9"/>
    <w:rsid w:val="3F7C601F"/>
    <w:rsid w:val="3FAC4683"/>
    <w:rsid w:val="3FEA5DFB"/>
    <w:rsid w:val="40035B02"/>
    <w:rsid w:val="401C35B7"/>
    <w:rsid w:val="40EA7211"/>
    <w:rsid w:val="4119235A"/>
    <w:rsid w:val="41677310"/>
    <w:rsid w:val="422C2C46"/>
    <w:rsid w:val="4251506E"/>
    <w:rsid w:val="42B75819"/>
    <w:rsid w:val="43684120"/>
    <w:rsid w:val="444F07DA"/>
    <w:rsid w:val="44601E28"/>
    <w:rsid w:val="472E4611"/>
    <w:rsid w:val="475E72DC"/>
    <w:rsid w:val="47F514AF"/>
    <w:rsid w:val="4839282C"/>
    <w:rsid w:val="48FD75BD"/>
    <w:rsid w:val="49243056"/>
    <w:rsid w:val="494C4A06"/>
    <w:rsid w:val="4A113668"/>
    <w:rsid w:val="4A277A41"/>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872E29"/>
    <w:rsid w:val="55923320"/>
    <w:rsid w:val="56D0674C"/>
    <w:rsid w:val="57D23F06"/>
    <w:rsid w:val="58BA52C3"/>
    <w:rsid w:val="58BC5D23"/>
    <w:rsid w:val="59177DCC"/>
    <w:rsid w:val="59E040FC"/>
    <w:rsid w:val="59E11CD3"/>
    <w:rsid w:val="5A857BDE"/>
    <w:rsid w:val="5B2A4567"/>
    <w:rsid w:val="5BE202EA"/>
    <w:rsid w:val="5CAD7C22"/>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C24194"/>
    <w:rsid w:val="67EB36EB"/>
    <w:rsid w:val="68DA2DB6"/>
    <w:rsid w:val="69725134"/>
    <w:rsid w:val="6B4666B6"/>
    <w:rsid w:val="6BB306BC"/>
    <w:rsid w:val="6CC85DA9"/>
    <w:rsid w:val="6D2A5F93"/>
    <w:rsid w:val="6D8F2D6B"/>
    <w:rsid w:val="6DB91990"/>
    <w:rsid w:val="6DC31436"/>
    <w:rsid w:val="6E6F4E2B"/>
    <w:rsid w:val="6ECB49CF"/>
    <w:rsid w:val="6ECB5A2B"/>
    <w:rsid w:val="6F4D197C"/>
    <w:rsid w:val="6F806E0F"/>
    <w:rsid w:val="70202A42"/>
    <w:rsid w:val="70ED3F4C"/>
    <w:rsid w:val="72227D09"/>
    <w:rsid w:val="72E476B5"/>
    <w:rsid w:val="72F22338"/>
    <w:rsid w:val="73327580"/>
    <w:rsid w:val="733572FD"/>
    <w:rsid w:val="73BE3A62"/>
    <w:rsid w:val="746C7E4B"/>
    <w:rsid w:val="750E6C6B"/>
    <w:rsid w:val="755E374E"/>
    <w:rsid w:val="75884CEA"/>
    <w:rsid w:val="75B310E7"/>
    <w:rsid w:val="75B318F4"/>
    <w:rsid w:val="75F61299"/>
    <w:rsid w:val="761A4623"/>
    <w:rsid w:val="76377F56"/>
    <w:rsid w:val="764B35A7"/>
    <w:rsid w:val="769E6A57"/>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2">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w:basedOn w:val="1"/>
    <w:link w:val="32"/>
    <w:qFormat/>
    <w:uiPriority w:val="0"/>
    <w:pPr>
      <w:spacing w:before="93" w:beforeLines="30"/>
    </w:pPr>
    <w:rPr>
      <w:rFonts w:ascii="仿宋_GB2312" w:eastAsia="仿宋_GB2312"/>
      <w:kern w:val="0"/>
      <w:sz w:val="30"/>
    </w:rPr>
  </w:style>
  <w:style w:type="paragraph" w:styleId="9">
    <w:name w:val="Body Text Indent"/>
    <w:basedOn w:val="1"/>
    <w:next w:val="10"/>
    <w:unhideWhenUsed/>
    <w:qFormat/>
    <w:uiPriority w:val="99"/>
    <w:pPr>
      <w:spacing w:after="120"/>
      <w:ind w:left="420" w:leftChars="200"/>
    </w:pPr>
  </w:style>
  <w:style w:type="paragraph" w:styleId="10">
    <w:name w:val="Body Text First Indent 2"/>
    <w:basedOn w:val="9"/>
    <w:qFormat/>
    <w:uiPriority w:val="0"/>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7"/>
    <w:semiHidden/>
    <w:unhideWhenUsed/>
    <w:qFormat/>
    <w:uiPriority w:val="99"/>
    <w:rPr>
      <w:sz w:val="18"/>
      <w:szCs w:val="18"/>
    </w:rPr>
  </w:style>
  <w:style w:type="paragraph" w:styleId="13">
    <w:name w:val="footer"/>
    <w:basedOn w:val="1"/>
    <w:link w:val="3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footnote text"/>
    <w:basedOn w:val="1"/>
    <w:next w:val="10"/>
    <w:qFormat/>
    <w:uiPriority w:val="0"/>
    <w:pPr>
      <w:snapToGrid w:val="0"/>
      <w:jc w:val="left"/>
    </w:pPr>
    <w:rPr>
      <w:sz w:val="18"/>
    </w:rPr>
  </w:style>
  <w:style w:type="paragraph" w:styleId="17">
    <w:name w:val="table of figures"/>
    <w:basedOn w:val="1"/>
    <w:next w:val="1"/>
    <w:autoRedefine/>
    <w:qFormat/>
    <w:uiPriority w:val="0"/>
    <w:pPr>
      <w:ind w:left="200" w:leftChars="200" w:hanging="200" w:hangingChars="200"/>
    </w:pPr>
  </w:style>
  <w:style w:type="paragraph" w:styleId="18">
    <w:name w:val="toc 2"/>
    <w:basedOn w:val="1"/>
    <w:next w:val="1"/>
    <w:autoRedefine/>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23">
    <w:name w:val="Strong"/>
    <w:basedOn w:val="22"/>
    <w:qFormat/>
    <w:uiPriority w:val="0"/>
    <w:rPr>
      <w:b/>
    </w:rPr>
  </w:style>
  <w:style w:type="character" w:styleId="24">
    <w:name w:val="Hyperlink"/>
    <w:basedOn w:val="22"/>
    <w:unhideWhenUsed/>
    <w:qFormat/>
    <w:uiPriority w:val="99"/>
    <w:rPr>
      <w:color w:val="0000FF" w:themeColor="hyperlink"/>
      <w:u w:val="single"/>
      <w14:textFill>
        <w14:solidFill>
          <w14:schemeClr w14:val="hlink"/>
        </w14:solidFill>
      </w14:textFill>
    </w:rPr>
  </w:style>
  <w:style w:type="character" w:styleId="25">
    <w:name w:val="annotation reference"/>
    <w:basedOn w:val="22"/>
    <w:semiHidden/>
    <w:unhideWhenUsed/>
    <w:qFormat/>
    <w:uiPriority w:val="99"/>
    <w:rPr>
      <w:sz w:val="21"/>
      <w:szCs w:val="21"/>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7">
    <w:name w:val="Header Char"/>
    <w:basedOn w:val="22"/>
    <w:semiHidden/>
    <w:qFormat/>
    <w:uiPriority w:val="99"/>
    <w:rPr>
      <w:rFonts w:ascii="Times New Roman" w:hAnsi="Times New Roman"/>
      <w:sz w:val="18"/>
      <w:szCs w:val="18"/>
    </w:rPr>
  </w:style>
  <w:style w:type="character" w:customStyle="1" w:styleId="28">
    <w:name w:val="页眉 字符"/>
    <w:link w:val="14"/>
    <w:semiHidden/>
    <w:qFormat/>
    <w:locked/>
    <w:uiPriority w:val="99"/>
    <w:rPr>
      <w:sz w:val="18"/>
    </w:rPr>
  </w:style>
  <w:style w:type="character" w:customStyle="1" w:styleId="29">
    <w:name w:val="Footer Char"/>
    <w:basedOn w:val="22"/>
    <w:autoRedefine/>
    <w:semiHidden/>
    <w:qFormat/>
    <w:uiPriority w:val="99"/>
    <w:rPr>
      <w:rFonts w:ascii="Times New Roman" w:hAnsi="Times New Roman"/>
      <w:sz w:val="18"/>
      <w:szCs w:val="18"/>
    </w:rPr>
  </w:style>
  <w:style w:type="character" w:customStyle="1" w:styleId="30">
    <w:name w:val="页脚 字符"/>
    <w:link w:val="13"/>
    <w:autoRedefine/>
    <w:qFormat/>
    <w:locked/>
    <w:uiPriority w:val="99"/>
    <w:rPr>
      <w:sz w:val="18"/>
    </w:rPr>
  </w:style>
  <w:style w:type="character" w:customStyle="1" w:styleId="31">
    <w:name w:val="Body Text Char"/>
    <w:basedOn w:val="22"/>
    <w:semiHidden/>
    <w:qFormat/>
    <w:uiPriority w:val="99"/>
    <w:rPr>
      <w:rFonts w:ascii="Times New Roman" w:hAnsi="Times New Roman"/>
      <w:szCs w:val="24"/>
    </w:rPr>
  </w:style>
  <w:style w:type="character" w:customStyle="1" w:styleId="32">
    <w:name w:val="正文文本 字符"/>
    <w:link w:val="8"/>
    <w:qFormat/>
    <w:locked/>
    <w:uiPriority w:val="99"/>
    <w:rPr>
      <w:rFonts w:ascii="仿宋_GB2312" w:hAnsi="Times New Roman" w:eastAsia="仿宋_GB2312"/>
      <w:sz w:val="24"/>
    </w:rPr>
  </w:style>
  <w:style w:type="paragraph" w:styleId="33">
    <w:name w:val="List Paragraph"/>
    <w:basedOn w:val="1"/>
    <w:autoRedefine/>
    <w:qFormat/>
    <w:uiPriority w:val="34"/>
    <w:pPr>
      <w:ind w:firstLine="420" w:firstLineChars="200"/>
    </w:pPr>
  </w:style>
  <w:style w:type="character" w:customStyle="1" w:styleId="34">
    <w:name w:val="标题 1 字符"/>
    <w:basedOn w:val="22"/>
    <w:link w:val="3"/>
    <w:qFormat/>
    <w:uiPriority w:val="9"/>
    <w:rPr>
      <w:rFonts w:ascii="Times New Roman" w:hAnsi="Times New Roman"/>
      <w:b/>
      <w:bCs/>
      <w:kern w:val="44"/>
      <w:sz w:val="44"/>
      <w:szCs w:val="44"/>
    </w:rPr>
  </w:style>
  <w:style w:type="character" w:customStyle="1" w:styleId="35">
    <w:name w:val="标题 2 字符"/>
    <w:basedOn w:val="22"/>
    <w:link w:val="4"/>
    <w:qFormat/>
    <w:uiPriority w:val="9"/>
    <w:rPr>
      <w:rFonts w:asciiTheme="majorHAnsi" w:hAnsiTheme="majorHAnsi" w:eastAsiaTheme="majorEastAsia" w:cstheme="majorBidi"/>
      <w:b/>
      <w:bCs/>
      <w:kern w:val="2"/>
      <w:sz w:val="32"/>
      <w:szCs w:val="32"/>
    </w:rPr>
  </w:style>
  <w:style w:type="paragraph" w:customStyle="1" w:styleId="36">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字符"/>
    <w:basedOn w:val="22"/>
    <w:link w:val="12"/>
    <w:autoRedefine/>
    <w:semiHidden/>
    <w:qFormat/>
    <w:uiPriority w:val="99"/>
    <w:rPr>
      <w:rFonts w:ascii="Times New Roman" w:hAnsi="Times New Roman"/>
      <w:kern w:val="2"/>
      <w:sz w:val="18"/>
      <w:szCs w:val="18"/>
    </w:rPr>
  </w:style>
  <w:style w:type="character" w:customStyle="1" w:styleId="38">
    <w:name w:val="标题 3 字符"/>
    <w:basedOn w:val="22"/>
    <w:link w:val="5"/>
    <w:autoRedefine/>
    <w:qFormat/>
    <w:uiPriority w:val="9"/>
    <w:rPr>
      <w:rFonts w:ascii="Times New Roman" w:hAnsi="Times New Roman"/>
      <w:b/>
      <w:bCs/>
      <w:kern w:val="2"/>
      <w:sz w:val="32"/>
      <w:szCs w:val="32"/>
    </w:rPr>
  </w:style>
  <w:style w:type="character" w:customStyle="1" w:styleId="39">
    <w:name w:val="标题 1 Char"/>
    <w:basedOn w:val="22"/>
    <w:link w:val="3"/>
    <w:qFormat/>
    <w:uiPriority w:val="9"/>
    <w:rPr>
      <w:b/>
      <w:bCs/>
      <w:kern w:val="44"/>
      <w:sz w:val="44"/>
      <w:szCs w:val="44"/>
    </w:rPr>
  </w:style>
  <w:style w:type="character" w:customStyle="1" w:styleId="40">
    <w:name w:val="页眉 Char"/>
    <w:basedOn w:val="22"/>
    <w:link w:val="4"/>
    <w:semiHidden/>
    <w:qFormat/>
    <w:uiPriority w:val="99"/>
    <w:rPr>
      <w:sz w:val="18"/>
      <w:szCs w:val="18"/>
    </w:rPr>
  </w:style>
  <w:style w:type="character" w:customStyle="1" w:styleId="41">
    <w:name w:val="页脚 Char"/>
    <w:basedOn w:val="22"/>
    <w:link w:val="3"/>
    <w:semiHidden/>
    <w:qFormat/>
    <w:uiPriority w:val="99"/>
    <w:rPr>
      <w:sz w:val="18"/>
      <w:szCs w:val="18"/>
    </w:rPr>
  </w:style>
  <w:style w:type="paragraph" w:customStyle="1" w:styleId="42">
    <w:name w:val="Normal_0"/>
    <w:qFormat/>
    <w:uiPriority w:val="0"/>
    <w:rPr>
      <w:rFonts w:ascii="Times New Roman" w:hAnsi="Times New Roman" w:eastAsia="Times New Roman" w:cs="Times New Roman"/>
      <w:sz w:val="24"/>
      <w:szCs w:val="24"/>
      <w:lang w:val="en-US" w:eastAsia="en-US" w:bidi="ar-SA"/>
    </w:rPr>
  </w:style>
  <w:style w:type="table" w:customStyle="1" w:styleId="43">
    <w:name w:val="Grid Table 1 Light"/>
    <w:basedOn w:val="21"/>
    <w:qFormat/>
    <w:uiPriority w:val="46"/>
    <w:pPr>
      <w:spacing w:after="0" w:line="240" w:lineRule="auto"/>
    </w:p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{1196.23,1628.68}</c:f>
              <c:numCache>
                <c:formatCode>General</c:formatCode>
                <c:ptCount val="2"/>
                <c:pt idx="0">
                  <c:v>1196.23</c:v>
                </c:pt>
                <c:pt idx="1">
                  <c:v>1628.68</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{"其他收入","一般公共预算财政拨款收入"}</c:f>
              <c:strCache>
                <c:ptCount val="2"/>
                <c:pt idx="0">
                  <c:v>其他收入</c:v>
                </c:pt>
                <c:pt idx="1">
                  <c:v>一般公共预算财政拨款收入</c:v>
                </c:pt>
              </c:strCache>
            </c:strRef>
          </c:cat>
          <c:val>
            <c:numRef>
              <c:f>{4.82,1623.85}</c:f>
              <c:numCache>
                <c:formatCode>General</c:formatCode>
                <c:ptCount val="2"/>
                <c:pt idx="0">
                  <c:v>4.82</c:v>
                </c:pt>
                <c:pt idx="1">
                  <c:v>1623.85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{867.91,760.76}</c:f>
              <c:numCache>
                <c:formatCode>General</c:formatCode>
                <c:ptCount val="2"/>
                <c:pt idx="0">
                  <c:v>867.91</c:v>
                </c:pt>
                <c:pt idx="1">
                  <c:v>760.76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{1196.23,1623.85}</c:f>
              <c:numCache>
                <c:formatCode>General</c:formatCode>
                <c:ptCount val="2"/>
                <c:pt idx="0">
                  <c:v>1196.23</c:v>
                </c:pt>
                <c:pt idx="1">
                  <c:v>1623.85</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{1196.23}</c:f>
              <c:numCache>
                <c:formatCode>General</c:formatCode>
                <c:ptCount val="1"/>
                <c:pt idx="0">
                  <c:v>1196.23</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{1623.85}</c:f>
              <c:numCache>
                <c:formatCode>General</c:formatCode>
                <c:ptCount val="1"/>
                <c:pt idx="0">
                  <c:v>1623.85</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{"社会保障和就业支出","卫生健康支出","住房保障支出"}</c:f>
              <c:strCache>
                <c:ptCount val="3"/>
                <c:pt idx="0">
                  <c:v>社会保障和就业支出</c:v>
                </c:pt>
                <c:pt idx="1">
                  <c:v>卫生健康支出</c:v>
                </c:pt>
                <c:pt idx="2">
                  <c:v>住房保障支出</c:v>
                </c:pt>
              </c:strCache>
            </c:strRef>
          </c:cat>
          <c:val>
            <c:numRef>
              <c:f>{115.89,1441.87,66.09}</c:f>
              <c:numCache>
                <c:formatCode>General</c:formatCode>
                <c:ptCount val="3"/>
                <c:pt idx="0">
                  <c:v>115.89</c:v>
                </c:pt>
                <c:pt idx="1">
                  <c:v>1441.87</c:v>
                </c:pt>
                <c:pt idx="2">
                  <c:v>66.09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{0,17.63,0.7}</c:f>
              <c:numCache>
                <c:formatCode>General</c:formatCode>
                <c:ptCount val="3"/>
                <c:pt idx="0">
                  <c:v>0</c:v>
                </c:pt>
                <c:pt idx="1">
                  <c:v>17.63</c:v>
                </c:pt>
                <c:pt idx="2">
                  <c:v>0.7</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8322</Words>
  <Characters>9809</Characters>
  <Lines>48</Lines>
  <Paragraphs>13</Paragraphs>
  <TotalTime>0</TotalTime>
  <ScaleCrop>false</ScaleCrop>
  <LinksUpToDate>false</LinksUpToDate>
  <CharactersWithSpaces>9942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平淡的幸福</cp:lastModifiedBy>
  <cp:lastPrinted>2021-09-26T08:39:00Z</cp:lastPrinted>
  <dcterms:modified xsi:type="dcterms:W3CDTF">2025-09-26T09:10:17Z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5F5EAE46023B41039AB8027ACF0B1765_13</vt:lpwstr>
  </property>
  <property fmtid="{D5CDD505-2E9C-101B-9397-08002B2CF9AE}" pid="4" name="KSOTemplateDocerSaveRecord">
    <vt:lpwstr>eyJoZGlkIjoiZmE5NTJhM2Q2M2EwZGRmZTE5ZmMxNjNmMzc3MTQ2ZDEiLCJ1c2VySWQiOiIxMzAzMjUyNzYyIn0=</vt:lpwstr>
  </property>
</Properties>
</file>