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4CA568">
      <w:pPr>
        <w:pStyle w:val="16"/>
        <w:keepNext w:val="0"/>
        <w:keepLines w:val="0"/>
        <w:widowControl/>
        <w:suppressLineNumbers w:val="0"/>
        <w:spacing w:before="0" w:beforeAutospacing="0"/>
        <w:ind w:left="0"/>
        <w:jc w:val="center"/>
        <w:rPr>
          <w:sz w:val="42"/>
          <w:szCs w:val="42"/>
          <w:shd w:val="clear" w:fill="FFFFFF"/>
        </w:rPr>
      </w:pPr>
    </w:p>
    <w:p w14:paraId="073FDD5D">
      <w:pPr>
        <w:pStyle w:val="16"/>
        <w:keepNext w:val="0"/>
        <w:keepLines w:val="0"/>
        <w:widowControl/>
        <w:suppressLineNumbers w:val="0"/>
        <w:spacing w:before="0" w:beforeAutospacing="0"/>
        <w:ind w:left="0"/>
        <w:jc w:val="center"/>
        <w:rPr>
          <w:sz w:val="42"/>
          <w:szCs w:val="42"/>
          <w:shd w:val="clear" w:fill="FFFFFF"/>
        </w:rPr>
      </w:pPr>
    </w:p>
    <w:p w14:paraId="7BD46CFC">
      <w:pPr>
        <w:pStyle w:val="16"/>
        <w:keepNext w:val="0"/>
        <w:keepLines w:val="0"/>
        <w:widowControl/>
        <w:suppressLineNumbers w:val="0"/>
        <w:spacing w:before="0" w:beforeAutospacing="0"/>
        <w:ind w:left="0"/>
        <w:jc w:val="center"/>
        <w:rPr>
          <w:sz w:val="42"/>
          <w:szCs w:val="42"/>
          <w:shd w:val="clear" w:fill="FFFFFF"/>
        </w:rPr>
      </w:pPr>
    </w:p>
    <w:p w14:paraId="212A7FDB">
      <w:pPr>
        <w:pStyle w:val="16"/>
        <w:keepNext w:val="0"/>
        <w:keepLines w:val="0"/>
        <w:widowControl/>
        <w:suppressLineNumbers w:val="0"/>
        <w:spacing w:before="0" w:beforeAutospacing="0"/>
        <w:ind w:left="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60"/>
          <w:szCs w:val="60"/>
          <w:shd w:val="clear" w:fill="FFFFFF"/>
        </w:rPr>
        <w:t>202</w:t>
      </w:r>
      <w:r>
        <w:rPr>
          <w:rFonts w:hint="eastAsia" w:ascii="方正小标宋简体" w:hAnsi="方正小标宋简体" w:eastAsia="方正小标宋简体" w:cs="方正小标宋简体"/>
          <w:sz w:val="60"/>
          <w:szCs w:val="60"/>
          <w:shd w:val="clear" w:fill="FFFFFF"/>
          <w:lang w:val="en-US" w:eastAsia="zh-CN"/>
        </w:rPr>
        <w:t>4</w:t>
      </w:r>
      <w:r>
        <w:rPr>
          <w:rFonts w:hint="eastAsia" w:ascii="方正小标宋简体" w:hAnsi="方正小标宋简体" w:eastAsia="方正小标宋简体" w:cs="方正小标宋简体"/>
          <w:sz w:val="60"/>
          <w:szCs w:val="60"/>
          <w:shd w:val="clear" w:fill="FFFFFF"/>
        </w:rPr>
        <w:t>年度</w:t>
      </w:r>
    </w:p>
    <w:p w14:paraId="1CDFF292">
      <w:pPr>
        <w:pStyle w:val="16"/>
        <w:keepNext w:val="0"/>
        <w:keepLines w:val="0"/>
        <w:widowControl/>
        <w:suppressLineNumbers w:val="0"/>
        <w:spacing w:before="0" w:beforeAutospacing="0"/>
        <w:ind w:left="0"/>
        <w:jc w:val="center"/>
        <w:rPr>
          <w:rFonts w:hint="eastAsia" w:ascii="方正小标宋简体" w:hAnsi="方正小标宋简体" w:eastAsia="方正小标宋简体" w:cs="方正小标宋简体"/>
          <w:sz w:val="60"/>
          <w:szCs w:val="60"/>
          <w:shd w:val="clear" w:fill="FFFFFF"/>
        </w:rPr>
      </w:pPr>
      <w:r>
        <w:rPr>
          <w:rFonts w:hint="eastAsia" w:ascii="方正小标宋简体" w:hAnsi="方正小标宋简体" w:eastAsia="方正小标宋简体" w:cs="方正小标宋简体"/>
          <w:sz w:val="60"/>
          <w:szCs w:val="60"/>
          <w:shd w:val="clear" w:fill="FFFFFF"/>
        </w:rPr>
        <w:t>阿坝州红原县色地镇人民政府</w:t>
      </w:r>
    </w:p>
    <w:p w14:paraId="75425309">
      <w:pPr>
        <w:pStyle w:val="16"/>
        <w:keepNext w:val="0"/>
        <w:keepLines w:val="0"/>
        <w:widowControl/>
        <w:suppressLineNumbers w:val="0"/>
        <w:spacing w:before="0" w:beforeAutospacing="0"/>
        <w:ind w:left="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60"/>
          <w:szCs w:val="60"/>
          <w:shd w:val="clear" w:fill="FFFFFF"/>
        </w:rPr>
        <w:t>部门决算</w:t>
      </w:r>
    </w:p>
    <w:p w14:paraId="19FCACD1">
      <w:pPr>
        <w:pStyle w:val="16"/>
        <w:keepNext w:val="0"/>
        <w:keepLines w:val="0"/>
        <w:widowControl/>
        <w:suppressLineNumbers w:val="0"/>
        <w:spacing w:before="0" w:beforeAutospacing="0"/>
        <w:ind w:left="0"/>
        <w:jc w:val="center"/>
      </w:pPr>
      <w:r>
        <w:rPr>
          <w:shd w:val="clear" w:fill="FFFFFF"/>
        </w:rPr>
        <w:t> </w:t>
      </w:r>
    </w:p>
    <w:p w14:paraId="2203C551">
      <w:pPr>
        <w:pStyle w:val="16"/>
        <w:keepNext w:val="0"/>
        <w:keepLines w:val="0"/>
        <w:widowControl/>
        <w:suppressLineNumbers w:val="0"/>
        <w:spacing w:before="0" w:beforeAutospacing="0"/>
        <w:ind w:left="0"/>
        <w:jc w:val="center"/>
      </w:pPr>
      <w:r>
        <w:rPr>
          <w:shd w:val="clear" w:fill="FFFFFF"/>
        </w:rPr>
        <w:t> </w:t>
      </w:r>
    </w:p>
    <w:p w14:paraId="3C77C333">
      <w:pPr>
        <w:pStyle w:val="16"/>
        <w:keepNext w:val="0"/>
        <w:keepLines w:val="0"/>
        <w:widowControl/>
        <w:suppressLineNumbers w:val="0"/>
        <w:spacing w:before="0" w:beforeAutospacing="0"/>
        <w:ind w:left="0"/>
        <w:jc w:val="center"/>
      </w:pPr>
      <w:r>
        <w:rPr>
          <w:shd w:val="clear" w:fill="FFFFFF"/>
        </w:rPr>
        <w:t> </w:t>
      </w:r>
    </w:p>
    <w:p w14:paraId="48F92969">
      <w:pPr>
        <w:pStyle w:val="16"/>
        <w:keepNext w:val="0"/>
        <w:keepLines w:val="0"/>
        <w:widowControl/>
        <w:suppressLineNumbers w:val="0"/>
        <w:spacing w:before="0" w:beforeAutospacing="0"/>
        <w:ind w:left="0"/>
        <w:jc w:val="center"/>
      </w:pPr>
      <w:r>
        <w:rPr>
          <w:shd w:val="clear" w:fill="FFFFFF"/>
        </w:rPr>
        <w:t> </w:t>
      </w:r>
    </w:p>
    <w:p w14:paraId="43EB2F4E">
      <w:pPr>
        <w:pStyle w:val="16"/>
        <w:keepNext w:val="0"/>
        <w:keepLines w:val="0"/>
        <w:widowControl/>
        <w:suppressLineNumbers w:val="0"/>
        <w:spacing w:before="0" w:beforeAutospacing="0"/>
        <w:ind w:left="0"/>
        <w:jc w:val="center"/>
      </w:pPr>
      <w:r>
        <w:rPr>
          <w:shd w:val="clear" w:fill="FFFFFF"/>
        </w:rPr>
        <w:t>  </w:t>
      </w:r>
    </w:p>
    <w:p w14:paraId="5F19D8C3">
      <w:pPr>
        <w:pStyle w:val="16"/>
        <w:keepNext w:val="0"/>
        <w:keepLines w:val="0"/>
        <w:widowControl/>
        <w:suppressLineNumbers w:val="0"/>
        <w:spacing w:before="0" w:beforeAutospacing="0"/>
        <w:ind w:left="0"/>
        <w:jc w:val="center"/>
      </w:pPr>
      <w:r>
        <w:rPr>
          <w:shd w:val="clear" w:fill="FFFFFF"/>
        </w:rPr>
        <w:t> </w:t>
      </w:r>
    </w:p>
    <w:p w14:paraId="3D270D87">
      <w:pPr>
        <w:pStyle w:val="16"/>
        <w:keepNext w:val="0"/>
        <w:keepLines w:val="0"/>
        <w:widowControl/>
        <w:suppressLineNumbers w:val="0"/>
        <w:spacing w:before="0" w:beforeAutospacing="0"/>
        <w:ind w:left="0"/>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shd w:val="clear" w:fill="FFFFFF"/>
        </w:rPr>
        <w:t>已经保密审查、内容审定，同意对外公开</w:t>
      </w:r>
    </w:p>
    <w:p w14:paraId="359F752C">
      <w:pPr>
        <w:pStyle w:val="16"/>
        <w:keepNext w:val="0"/>
        <w:keepLines w:val="0"/>
        <w:widowControl/>
        <w:suppressLineNumbers w:val="0"/>
        <w:spacing w:before="0" w:beforeAutospacing="0"/>
        <w:ind w:left="0"/>
        <w:jc w:val="left"/>
      </w:pPr>
      <w:r>
        <w:rPr>
          <w:shd w:val="clear" w:fill="FFFFFF"/>
        </w:rPr>
        <w:t> </w:t>
      </w:r>
    </w:p>
    <w:p w14:paraId="60FD87A4">
      <w:pPr>
        <w:pStyle w:val="16"/>
        <w:keepNext w:val="0"/>
        <w:keepLines w:val="0"/>
        <w:widowControl/>
        <w:suppressLineNumbers w:val="0"/>
        <w:spacing w:before="0" w:beforeAutospacing="0"/>
        <w:ind w:left="0"/>
        <w:jc w:val="left"/>
      </w:pPr>
      <w:r>
        <w:rPr>
          <w:shd w:val="clear" w:fill="FFFFFF"/>
        </w:rPr>
        <w:t> </w:t>
      </w:r>
    </w:p>
    <w:p w14:paraId="55038DA6">
      <w:pPr>
        <w:pStyle w:val="16"/>
        <w:keepNext w:val="0"/>
        <w:keepLines w:val="0"/>
        <w:widowControl/>
        <w:suppressLineNumbers w:val="0"/>
        <w:spacing w:before="0" w:beforeAutospacing="0"/>
        <w:ind w:left="0"/>
        <w:jc w:val="center"/>
      </w:pPr>
      <w:r>
        <w:rPr>
          <w:shd w:val="clear" w:fill="FFFFFF"/>
        </w:rPr>
        <w:t> </w:t>
      </w:r>
    </w:p>
    <w:p w14:paraId="3857C076">
      <w:pPr>
        <w:pStyle w:val="16"/>
        <w:keepNext w:val="0"/>
        <w:keepLines w:val="0"/>
        <w:widowControl/>
        <w:suppressLineNumbers w:val="0"/>
        <w:spacing w:before="0" w:beforeAutospacing="0"/>
        <w:ind w:left="0"/>
        <w:jc w:val="left"/>
      </w:pPr>
      <w:r>
        <w:rPr>
          <w:shd w:val="clear" w:fill="FFFFFF"/>
        </w:rPr>
        <w:t> </w:t>
      </w:r>
    </w:p>
    <w:p w14:paraId="54798381">
      <w:pPr>
        <w:pStyle w:val="16"/>
        <w:keepNext w:val="0"/>
        <w:keepLines w:val="0"/>
        <w:widowControl/>
        <w:suppressLineNumbers w:val="0"/>
        <w:spacing w:before="0" w:beforeAutospacing="0"/>
        <w:ind w:left="0"/>
        <w:jc w:val="center"/>
      </w:pPr>
    </w:p>
    <w:p w14:paraId="3221F8B8">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Fonts w:hint="eastAsia" w:ascii="方正小标宋简体" w:hAnsi="方正小标宋简体" w:eastAsia="方正小标宋简体" w:cs="方正小标宋简体"/>
          <w:sz w:val="44"/>
          <w:szCs w:val="44"/>
          <w:shd w:val="clear" w:fill="FFFFFF"/>
        </w:rPr>
        <w:sectPr>
          <w:footerReference r:id="rId3" w:type="default"/>
          <w:pgSz w:w="11915" w:h="16851"/>
          <w:pgMar w:top="1440" w:right="1800" w:bottom="1440" w:left="1800" w:header="851" w:footer="992" w:gutter="0"/>
          <w:cols w:space="0" w:num="1"/>
          <w:docGrid w:type="lines" w:linePitch="312" w:charSpace="0"/>
        </w:sectPr>
      </w:pPr>
    </w:p>
    <w:p w14:paraId="2F005206">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pPr>
      <w:r>
        <w:rPr>
          <w:rFonts w:hint="eastAsia" w:ascii="方正小标宋简体" w:hAnsi="方正小标宋简体" w:eastAsia="方正小标宋简体" w:cs="方正小标宋简体"/>
          <w:sz w:val="44"/>
          <w:szCs w:val="44"/>
          <w:shd w:val="clear" w:fill="FFFFFF"/>
        </w:rPr>
        <w:t>目</w:t>
      </w:r>
      <w:r>
        <w:rPr>
          <w:rFonts w:hint="eastAsia" w:ascii="方正小标宋简体" w:hAnsi="方正小标宋简体" w:eastAsia="方正小标宋简体" w:cs="方正小标宋简体"/>
          <w:sz w:val="44"/>
          <w:szCs w:val="44"/>
          <w:shd w:val="clear" w:fill="FFFFFF"/>
          <w:lang w:val="en-US" w:eastAsia="zh-CN"/>
        </w:rPr>
        <w:t xml:space="preserve">  </w:t>
      </w:r>
      <w:r>
        <w:rPr>
          <w:rFonts w:hint="eastAsia" w:ascii="方正小标宋简体" w:hAnsi="方正小标宋简体" w:eastAsia="方正小标宋简体" w:cs="方正小标宋简体"/>
          <w:sz w:val="44"/>
          <w:szCs w:val="44"/>
          <w:shd w:val="clear" w:fill="FFFFFF"/>
        </w:rPr>
        <w:t>录</w:t>
      </w:r>
      <w:r>
        <w:rPr>
          <w:shd w:val="clear" w:fill="FFFFFF"/>
        </w:rPr>
        <w:t> </w:t>
      </w:r>
    </w:p>
    <w:p w14:paraId="7262AA8E">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公开时间：202</w:t>
      </w:r>
      <w:r>
        <w:rPr>
          <w:rFonts w:hint="eastAsia" w:ascii="仿宋_GB2312" w:hAnsi="仿宋_GB2312" w:eastAsia="仿宋_GB2312" w:cs="仿宋_GB2312"/>
          <w:sz w:val="32"/>
          <w:szCs w:val="32"/>
          <w:shd w:val="clear" w:fill="FFFFFF"/>
          <w:lang w:val="en-US" w:eastAsia="zh-CN"/>
        </w:rPr>
        <w:t>5</w:t>
      </w:r>
      <w:r>
        <w:rPr>
          <w:rFonts w:hint="eastAsia" w:ascii="仿宋_GB2312" w:hAnsi="仿宋_GB2312" w:eastAsia="仿宋_GB2312" w:cs="仿宋_GB2312"/>
          <w:sz w:val="32"/>
          <w:szCs w:val="32"/>
          <w:shd w:val="clear" w:fill="FFFFFF"/>
        </w:rPr>
        <w:t>年</w:t>
      </w:r>
      <w:r>
        <w:rPr>
          <w:rFonts w:hint="eastAsia" w:ascii="仿宋_GB2312" w:hAnsi="仿宋_GB2312" w:eastAsia="仿宋_GB2312" w:cs="仿宋_GB2312"/>
          <w:sz w:val="32"/>
          <w:szCs w:val="32"/>
          <w:shd w:val="clear" w:fill="FFFFFF"/>
          <w:lang w:val="en-US" w:eastAsia="zh-CN"/>
        </w:rPr>
        <w:t>9</w:t>
      </w:r>
      <w:r>
        <w:rPr>
          <w:rFonts w:hint="eastAsia" w:ascii="仿宋_GB2312" w:hAnsi="仿宋_GB2312" w:eastAsia="仿宋_GB2312" w:cs="仿宋_GB2312"/>
          <w:sz w:val="32"/>
          <w:szCs w:val="32"/>
          <w:shd w:val="clear" w:fill="FFFFFF"/>
        </w:rPr>
        <w:t>月</w:t>
      </w:r>
      <w:r>
        <w:rPr>
          <w:rFonts w:hint="eastAsia" w:ascii="仿宋_GB2312" w:hAnsi="仿宋_GB2312" w:eastAsia="仿宋_GB2312" w:cs="仿宋_GB2312"/>
          <w:sz w:val="32"/>
          <w:szCs w:val="32"/>
          <w:shd w:val="clear" w:fill="FFFFFF"/>
          <w:lang w:val="en-US" w:eastAsia="zh-CN"/>
        </w:rPr>
        <w:t>24</w:t>
      </w:r>
      <w:r>
        <w:rPr>
          <w:rFonts w:hint="eastAsia" w:ascii="仿宋_GB2312" w:hAnsi="仿宋_GB2312" w:eastAsia="仿宋_GB2312" w:cs="仿宋_GB2312"/>
          <w:sz w:val="32"/>
          <w:szCs w:val="32"/>
          <w:shd w:val="clear" w:fill="FFFFFF"/>
        </w:rPr>
        <w:t>日</w:t>
      </w:r>
    </w:p>
    <w:p w14:paraId="1AB07C7D">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shd w:val="clear" w:fill="FFFFFF"/>
        </w:rPr>
      </w:pPr>
    </w:p>
    <w:sdt>
      <w:sdtPr>
        <w:rPr>
          <w:rFonts w:ascii="宋体" w:hAnsi="宋体" w:eastAsia="宋体" w:cstheme="minorEastAsia"/>
          <w:kern w:val="0"/>
          <w:sz w:val="21"/>
          <w:szCs w:val="24"/>
          <w:lang w:val="en-US" w:eastAsia="zh-CN" w:bidi="ar"/>
        </w:rPr>
        <w:id w:val="147472736"/>
        <w15:color w:val="DBDBDB"/>
        <w:docPartObj>
          <w:docPartGallery w:val="Table of Contents"/>
          <w:docPartUnique/>
        </w:docPartObj>
      </w:sdtPr>
      <w:sdtEndPr>
        <w:rPr>
          <w:rFonts w:asciiTheme="minorEastAsia" w:hAnsiTheme="minorEastAsia" w:eastAsiaTheme="minorEastAsia" w:cstheme="minorEastAsia"/>
          <w:kern w:val="0"/>
          <w:sz w:val="24"/>
          <w:szCs w:val="24"/>
          <w:lang w:val="en-US" w:eastAsia="zh-CN" w:bidi="ar"/>
        </w:rPr>
      </w:sdtEndPr>
      <w:sdtContent>
        <w:p w14:paraId="3F60825D">
          <w:pPr>
            <w:spacing w:before="0" w:beforeLines="0" w:after="0" w:afterLines="0" w:line="240" w:lineRule="auto"/>
            <w:ind w:left="0" w:leftChars="0" w:right="0" w:rightChars="0" w:firstLine="0" w:firstLineChars="0"/>
            <w:jc w:val="center"/>
          </w:pPr>
          <w:r>
            <w:rPr>
              <w:rFonts w:ascii="宋体" w:hAnsi="宋体" w:eastAsia="宋体"/>
              <w:sz w:val="21"/>
            </w:rPr>
            <w:t>目录</w:t>
          </w:r>
        </w:p>
        <w:p w14:paraId="30742287">
          <w:pPr>
            <w:pStyle w:val="13"/>
            <w:tabs>
              <w:tab w:val="right" w:leader="dot" w:pos="8315"/>
            </w:tabs>
          </w:pPr>
          <w:r>
            <w:fldChar w:fldCharType="begin"/>
          </w:r>
          <w:r>
            <w:instrText xml:space="preserve">TOC \o "1-2" \h \u </w:instrText>
          </w:r>
          <w:r>
            <w:fldChar w:fldCharType="separate"/>
          </w:r>
          <w:r>
            <w:fldChar w:fldCharType="begin"/>
          </w:r>
          <w:r>
            <w:instrText xml:space="preserve"> HYPERLINK \l _Toc24440 </w:instrText>
          </w:r>
          <w:r>
            <w:fldChar w:fldCharType="separate"/>
          </w:r>
          <w:r>
            <w:rPr>
              <w:rFonts w:hint="eastAsia" w:ascii="方正小标宋简体" w:hAnsi="方正小标宋简体" w:eastAsia="方正小标宋简体" w:cs="方正小标宋简体"/>
              <w:bCs w:val="0"/>
              <w:szCs w:val="44"/>
              <w:shd w:val="clear" w:fill="FFFFFF"/>
            </w:rPr>
            <w:t>第一部分 部门概况</w:t>
          </w:r>
          <w:r>
            <w:tab/>
          </w:r>
          <w:r>
            <w:fldChar w:fldCharType="begin"/>
          </w:r>
          <w:r>
            <w:instrText xml:space="preserve"> PAGEREF _Toc24440 \h </w:instrText>
          </w:r>
          <w:r>
            <w:fldChar w:fldCharType="separate"/>
          </w:r>
          <w:r>
            <w:t>1</w:t>
          </w:r>
          <w:r>
            <w:fldChar w:fldCharType="end"/>
          </w:r>
          <w:r>
            <w:fldChar w:fldCharType="end"/>
          </w:r>
        </w:p>
        <w:p w14:paraId="118AF756">
          <w:pPr>
            <w:pStyle w:val="14"/>
            <w:tabs>
              <w:tab w:val="right" w:leader="dot" w:pos="8315"/>
            </w:tabs>
          </w:pPr>
          <w:r>
            <w:fldChar w:fldCharType="begin"/>
          </w:r>
          <w:r>
            <w:instrText xml:space="preserve"> HYPERLINK \l _Toc27115 </w:instrText>
          </w:r>
          <w:r>
            <w:fldChar w:fldCharType="separate"/>
          </w:r>
          <w:r>
            <w:rPr>
              <w:rFonts w:hint="eastAsia" w:ascii="黑体" w:hAnsi="黑体" w:eastAsia="黑体" w:cs="黑体"/>
              <w:szCs w:val="32"/>
              <w:shd w:val="clear" w:fill="FFFFFF"/>
            </w:rPr>
            <w:t>一、基本职能及主要工作</w:t>
          </w:r>
          <w:r>
            <w:tab/>
          </w:r>
          <w:r>
            <w:fldChar w:fldCharType="begin"/>
          </w:r>
          <w:r>
            <w:instrText xml:space="preserve"> PAGEREF _Toc27115 \h </w:instrText>
          </w:r>
          <w:r>
            <w:fldChar w:fldCharType="separate"/>
          </w:r>
          <w:r>
            <w:t>1</w:t>
          </w:r>
          <w:r>
            <w:fldChar w:fldCharType="end"/>
          </w:r>
          <w:r>
            <w:fldChar w:fldCharType="end"/>
          </w:r>
        </w:p>
        <w:p w14:paraId="7666C114">
          <w:pPr>
            <w:pStyle w:val="14"/>
            <w:tabs>
              <w:tab w:val="right" w:leader="dot" w:pos="8315"/>
            </w:tabs>
          </w:pPr>
          <w:r>
            <w:fldChar w:fldCharType="begin"/>
          </w:r>
          <w:r>
            <w:instrText xml:space="preserve"> HYPERLINK \l _Toc8122 </w:instrText>
          </w:r>
          <w:r>
            <w:fldChar w:fldCharType="separate"/>
          </w:r>
          <w:r>
            <w:rPr>
              <w:rFonts w:hint="eastAsia" w:ascii="楷体" w:hAnsi="楷体" w:eastAsia="楷体" w:cs="楷体"/>
              <w:bCs/>
              <w:szCs w:val="32"/>
              <w:shd w:val="clear" w:fill="FFFFFF"/>
            </w:rPr>
            <w:t>（一）主要职能。</w:t>
          </w:r>
          <w:r>
            <w:tab/>
          </w:r>
          <w:r>
            <w:fldChar w:fldCharType="begin"/>
          </w:r>
          <w:r>
            <w:instrText xml:space="preserve"> PAGEREF _Toc8122 \h </w:instrText>
          </w:r>
          <w:r>
            <w:fldChar w:fldCharType="separate"/>
          </w:r>
          <w:r>
            <w:t>1</w:t>
          </w:r>
          <w:r>
            <w:fldChar w:fldCharType="end"/>
          </w:r>
          <w:r>
            <w:fldChar w:fldCharType="end"/>
          </w:r>
        </w:p>
        <w:p w14:paraId="6C8F5D81">
          <w:pPr>
            <w:pStyle w:val="14"/>
            <w:tabs>
              <w:tab w:val="right" w:leader="dot" w:pos="8315"/>
            </w:tabs>
          </w:pPr>
          <w:r>
            <w:fldChar w:fldCharType="begin"/>
          </w:r>
          <w:r>
            <w:instrText xml:space="preserve"> HYPERLINK \l _Toc19268 </w:instrText>
          </w:r>
          <w:r>
            <w:fldChar w:fldCharType="separate"/>
          </w:r>
          <w:r>
            <w:rPr>
              <w:rFonts w:hint="eastAsia" w:ascii="楷体" w:hAnsi="楷体" w:eastAsia="楷体" w:cs="楷体"/>
              <w:bCs/>
              <w:szCs w:val="32"/>
              <w:shd w:val="clear" w:fill="FFFFFF"/>
            </w:rPr>
            <w:t>（二）202</w:t>
          </w:r>
          <w:r>
            <w:rPr>
              <w:rFonts w:hint="eastAsia" w:ascii="楷体" w:hAnsi="楷体" w:eastAsia="楷体" w:cs="楷体"/>
              <w:bCs/>
              <w:szCs w:val="32"/>
              <w:shd w:val="clear" w:fill="FFFFFF"/>
              <w:lang w:val="en-US" w:eastAsia="zh-CN"/>
            </w:rPr>
            <w:t>4</w:t>
          </w:r>
          <w:r>
            <w:rPr>
              <w:rFonts w:hint="eastAsia" w:ascii="楷体" w:hAnsi="楷体" w:eastAsia="楷体" w:cs="楷体"/>
              <w:bCs/>
              <w:szCs w:val="32"/>
              <w:shd w:val="clear" w:fill="FFFFFF"/>
            </w:rPr>
            <w:t>年重点工作完成情况。</w:t>
          </w:r>
          <w:r>
            <w:tab/>
          </w:r>
          <w:r>
            <w:fldChar w:fldCharType="begin"/>
          </w:r>
          <w:r>
            <w:instrText xml:space="preserve"> PAGEREF _Toc19268 \h </w:instrText>
          </w:r>
          <w:r>
            <w:fldChar w:fldCharType="separate"/>
          </w:r>
          <w:r>
            <w:t>1</w:t>
          </w:r>
          <w:r>
            <w:fldChar w:fldCharType="end"/>
          </w:r>
          <w:r>
            <w:fldChar w:fldCharType="end"/>
          </w:r>
        </w:p>
        <w:p w14:paraId="290361EA">
          <w:pPr>
            <w:pStyle w:val="13"/>
            <w:tabs>
              <w:tab w:val="right" w:leader="dot" w:pos="8315"/>
            </w:tabs>
          </w:pPr>
          <w:r>
            <w:fldChar w:fldCharType="begin"/>
          </w:r>
          <w:r>
            <w:instrText xml:space="preserve"> HYPERLINK \l _Toc15474 </w:instrText>
          </w:r>
          <w:r>
            <w:fldChar w:fldCharType="separate"/>
          </w:r>
          <w:r>
            <w:rPr>
              <w:rFonts w:hint="eastAsia" w:ascii="黑体" w:hAnsi="黑体" w:eastAsia="黑体" w:cs="黑体"/>
              <w:bCs/>
              <w:kern w:val="2"/>
              <w:szCs w:val="32"/>
              <w:lang w:val="en-US" w:eastAsia="zh-CN" w:bidi="ar-SA"/>
            </w:rPr>
            <w:t>二、取得成效</w:t>
          </w:r>
          <w:r>
            <w:tab/>
          </w:r>
          <w:r>
            <w:fldChar w:fldCharType="begin"/>
          </w:r>
          <w:r>
            <w:instrText xml:space="preserve"> PAGEREF _Toc15474 \h </w:instrText>
          </w:r>
          <w:r>
            <w:fldChar w:fldCharType="separate"/>
          </w:r>
          <w:r>
            <w:t>8</w:t>
          </w:r>
          <w:r>
            <w:fldChar w:fldCharType="end"/>
          </w:r>
          <w:r>
            <w:fldChar w:fldCharType="end"/>
          </w:r>
        </w:p>
        <w:p w14:paraId="7C52E5ED">
          <w:pPr>
            <w:pStyle w:val="14"/>
            <w:tabs>
              <w:tab w:val="right" w:leader="dot" w:pos="8315"/>
            </w:tabs>
          </w:pPr>
          <w:r>
            <w:fldChar w:fldCharType="begin"/>
          </w:r>
          <w:r>
            <w:instrText xml:space="preserve"> HYPERLINK \l _Toc15734 </w:instrText>
          </w:r>
          <w:r>
            <w:fldChar w:fldCharType="separate"/>
          </w:r>
          <w:r>
            <w:rPr>
              <w:rFonts w:hint="eastAsia" w:ascii="黑体" w:hAnsi="黑体" w:eastAsia="黑体" w:cs="黑体"/>
              <w:szCs w:val="32"/>
              <w:shd w:val="clear" w:fill="FFFFFF"/>
              <w:lang w:val="en-US" w:eastAsia="zh-CN"/>
            </w:rPr>
            <w:t>三</w:t>
          </w:r>
          <w:r>
            <w:rPr>
              <w:rFonts w:hint="eastAsia" w:ascii="黑体" w:hAnsi="黑体" w:eastAsia="黑体" w:cs="黑体"/>
              <w:szCs w:val="32"/>
              <w:shd w:val="clear" w:fill="FFFFFF"/>
            </w:rPr>
            <w:t>、机构设置</w:t>
          </w:r>
          <w:r>
            <w:tab/>
          </w:r>
          <w:r>
            <w:fldChar w:fldCharType="begin"/>
          </w:r>
          <w:r>
            <w:instrText xml:space="preserve"> PAGEREF _Toc15734 \h </w:instrText>
          </w:r>
          <w:r>
            <w:fldChar w:fldCharType="separate"/>
          </w:r>
          <w:r>
            <w:t>8</w:t>
          </w:r>
          <w:r>
            <w:fldChar w:fldCharType="end"/>
          </w:r>
          <w:r>
            <w:fldChar w:fldCharType="end"/>
          </w:r>
        </w:p>
        <w:p w14:paraId="6FADABFA">
          <w:pPr>
            <w:pStyle w:val="13"/>
            <w:tabs>
              <w:tab w:val="right" w:leader="dot" w:pos="8315"/>
            </w:tabs>
          </w:pPr>
          <w:r>
            <w:fldChar w:fldCharType="begin"/>
          </w:r>
          <w:r>
            <w:instrText xml:space="preserve"> HYPERLINK \l _Toc27889 </w:instrText>
          </w:r>
          <w:r>
            <w:fldChar w:fldCharType="separate"/>
          </w:r>
          <w:r>
            <w:rPr>
              <w:shd w:val="clear" w:fill="FFFFFF"/>
            </w:rPr>
            <w:t> </w:t>
          </w:r>
          <w:r>
            <w:rPr>
              <w:rFonts w:hint="eastAsia" w:ascii="方正小标宋简体" w:hAnsi="方正小标宋简体" w:eastAsia="方正小标宋简体" w:cs="方正小标宋简体"/>
              <w:bCs w:val="0"/>
              <w:kern w:val="44"/>
              <w:szCs w:val="48"/>
              <w:shd w:val="clear" w:fill="FFFFFF"/>
              <w:lang w:val="en-US" w:eastAsia="zh-CN" w:bidi="ar"/>
            </w:rPr>
            <w:t>第二部分 2024年度部门决算情况说明</w:t>
          </w:r>
          <w:r>
            <w:rPr>
              <w:rFonts w:hint="eastAsia"/>
              <w:shd w:val="clear" w:fill="FFFFFF"/>
              <w:lang w:val="en-US" w:eastAsia="zh-CN"/>
            </w:rPr>
            <w:t xml:space="preserve"> </w:t>
          </w:r>
          <w:r>
            <w:rPr>
              <w:rFonts w:hint="eastAsia" w:ascii="黑体" w:hAnsi="黑体" w:eastAsia="黑体" w:cs="黑体"/>
              <w:szCs w:val="30"/>
              <w:shd w:val="clear" w:fill="FFFFFF"/>
            </w:rPr>
            <w:t>一、收入支出决算总体情况说明</w:t>
          </w:r>
          <w:r>
            <w:tab/>
          </w:r>
          <w:r>
            <w:fldChar w:fldCharType="begin"/>
          </w:r>
          <w:r>
            <w:instrText xml:space="preserve"> PAGEREF _Toc27889 \h </w:instrText>
          </w:r>
          <w:r>
            <w:fldChar w:fldCharType="separate"/>
          </w:r>
          <w:r>
            <w:t>9</w:t>
          </w:r>
          <w:r>
            <w:fldChar w:fldCharType="end"/>
          </w:r>
          <w:r>
            <w:fldChar w:fldCharType="end"/>
          </w:r>
        </w:p>
        <w:p w14:paraId="2CA351A2">
          <w:pPr>
            <w:pStyle w:val="13"/>
            <w:tabs>
              <w:tab w:val="right" w:leader="dot" w:pos="8315"/>
            </w:tabs>
          </w:pPr>
          <w:r>
            <w:fldChar w:fldCharType="begin"/>
          </w:r>
          <w:r>
            <w:instrText xml:space="preserve"> HYPERLINK \l _Toc30304 </w:instrText>
          </w:r>
          <w:r>
            <w:fldChar w:fldCharType="separate"/>
          </w:r>
          <w:r>
            <w:rPr>
              <w:rFonts w:hint="eastAsia" w:ascii="黑体" w:hAnsi="黑体" w:eastAsia="黑体" w:cs="黑体"/>
              <w:szCs w:val="30"/>
              <w:shd w:val="clear" w:fill="FFFFFF"/>
            </w:rPr>
            <w:t>二、收入决算情况说明</w:t>
          </w:r>
          <w:r>
            <w:tab/>
          </w:r>
          <w:r>
            <w:fldChar w:fldCharType="begin"/>
          </w:r>
          <w:r>
            <w:instrText xml:space="preserve"> PAGEREF _Toc30304 \h </w:instrText>
          </w:r>
          <w:r>
            <w:fldChar w:fldCharType="separate"/>
          </w:r>
          <w:r>
            <w:t>9</w:t>
          </w:r>
          <w:r>
            <w:fldChar w:fldCharType="end"/>
          </w:r>
          <w:r>
            <w:fldChar w:fldCharType="end"/>
          </w:r>
        </w:p>
        <w:p w14:paraId="7D8365A9">
          <w:pPr>
            <w:pStyle w:val="13"/>
            <w:tabs>
              <w:tab w:val="right" w:leader="dot" w:pos="8315"/>
            </w:tabs>
          </w:pPr>
          <w:r>
            <w:fldChar w:fldCharType="begin"/>
          </w:r>
          <w:r>
            <w:instrText xml:space="preserve"> HYPERLINK \l _Toc17441 </w:instrText>
          </w:r>
          <w:r>
            <w:fldChar w:fldCharType="separate"/>
          </w:r>
          <w:r>
            <w:rPr>
              <w:rFonts w:hint="eastAsia" w:ascii="黑体" w:hAnsi="黑体" w:eastAsia="黑体" w:cs="黑体"/>
              <w:szCs w:val="32"/>
              <w:shd w:val="clear" w:fill="FFFFFF"/>
            </w:rPr>
            <w:t>三、支出决算情况说明</w:t>
          </w:r>
          <w:r>
            <w:tab/>
          </w:r>
          <w:r>
            <w:fldChar w:fldCharType="begin"/>
          </w:r>
          <w:r>
            <w:instrText xml:space="preserve"> PAGEREF _Toc17441 \h </w:instrText>
          </w:r>
          <w:r>
            <w:fldChar w:fldCharType="separate"/>
          </w:r>
          <w:r>
            <w:t>12</w:t>
          </w:r>
          <w:r>
            <w:fldChar w:fldCharType="end"/>
          </w:r>
          <w:r>
            <w:fldChar w:fldCharType="end"/>
          </w:r>
        </w:p>
        <w:p w14:paraId="16003B8F">
          <w:pPr>
            <w:pStyle w:val="13"/>
            <w:tabs>
              <w:tab w:val="right" w:leader="dot" w:pos="8315"/>
            </w:tabs>
          </w:pPr>
          <w:r>
            <w:fldChar w:fldCharType="begin"/>
          </w:r>
          <w:r>
            <w:instrText xml:space="preserve"> HYPERLINK \l _Toc18339 </w:instrText>
          </w:r>
          <w:r>
            <w:fldChar w:fldCharType="separate"/>
          </w:r>
          <w:r>
            <w:rPr>
              <w:rFonts w:hint="eastAsia" w:ascii="黑体" w:hAnsi="黑体" w:eastAsia="黑体" w:cs="黑体"/>
              <w:szCs w:val="32"/>
              <w:shd w:val="clear" w:fill="FFFFFF"/>
            </w:rPr>
            <w:t>四、财政拨款收入支出决算总体情况说明</w:t>
          </w:r>
          <w:r>
            <w:tab/>
          </w:r>
          <w:r>
            <w:fldChar w:fldCharType="begin"/>
          </w:r>
          <w:r>
            <w:instrText xml:space="preserve"> PAGEREF _Toc18339 \h </w:instrText>
          </w:r>
          <w:r>
            <w:fldChar w:fldCharType="separate"/>
          </w:r>
          <w:r>
            <w:t>16</w:t>
          </w:r>
          <w:r>
            <w:fldChar w:fldCharType="end"/>
          </w:r>
          <w:r>
            <w:fldChar w:fldCharType="end"/>
          </w:r>
        </w:p>
        <w:p w14:paraId="2D9F7005">
          <w:pPr>
            <w:pStyle w:val="13"/>
            <w:tabs>
              <w:tab w:val="right" w:leader="dot" w:pos="8315"/>
            </w:tabs>
          </w:pPr>
          <w:r>
            <w:fldChar w:fldCharType="begin"/>
          </w:r>
          <w:r>
            <w:instrText xml:space="preserve"> HYPERLINK \l _Toc13820 </w:instrText>
          </w:r>
          <w:r>
            <w:fldChar w:fldCharType="separate"/>
          </w:r>
          <w:r>
            <w:rPr>
              <w:rFonts w:hint="eastAsia" w:ascii="黑体" w:hAnsi="黑体" w:eastAsia="黑体" w:cs="黑体"/>
              <w:szCs w:val="32"/>
              <w:shd w:val="clear" w:fill="FFFFFF"/>
            </w:rPr>
            <w:t>五、一般公共预算财政拨款支出决算情况说明</w:t>
          </w:r>
          <w:r>
            <w:tab/>
          </w:r>
          <w:r>
            <w:fldChar w:fldCharType="begin"/>
          </w:r>
          <w:r>
            <w:instrText xml:space="preserve"> PAGEREF _Toc13820 \h </w:instrText>
          </w:r>
          <w:r>
            <w:fldChar w:fldCharType="separate"/>
          </w:r>
          <w:r>
            <w:t>19</w:t>
          </w:r>
          <w:r>
            <w:fldChar w:fldCharType="end"/>
          </w:r>
          <w:r>
            <w:fldChar w:fldCharType="end"/>
          </w:r>
        </w:p>
        <w:p w14:paraId="053B611D">
          <w:pPr>
            <w:pStyle w:val="14"/>
            <w:tabs>
              <w:tab w:val="right" w:leader="dot" w:pos="8315"/>
            </w:tabs>
          </w:pPr>
          <w:r>
            <w:fldChar w:fldCharType="begin"/>
          </w:r>
          <w:r>
            <w:instrText xml:space="preserve"> HYPERLINK \l _Toc711 </w:instrText>
          </w:r>
          <w:r>
            <w:fldChar w:fldCharType="separate"/>
          </w:r>
          <w:r>
            <w:rPr>
              <w:rFonts w:hint="eastAsia" w:ascii="仿宋_GB2312" w:hAnsi="仿宋_GB2312" w:eastAsia="仿宋_GB2312" w:cs="仿宋_GB2312"/>
              <w:szCs w:val="32"/>
              <w:shd w:val="clear" w:fill="FFFFFF"/>
            </w:rPr>
            <w:t>（一）一般公共预算财政拨款支出决算总体情况</w:t>
          </w:r>
          <w:r>
            <w:tab/>
          </w:r>
          <w:r>
            <w:fldChar w:fldCharType="begin"/>
          </w:r>
          <w:r>
            <w:instrText xml:space="preserve"> PAGEREF _Toc711 \h </w:instrText>
          </w:r>
          <w:r>
            <w:fldChar w:fldCharType="separate"/>
          </w:r>
          <w:r>
            <w:t>19</w:t>
          </w:r>
          <w:r>
            <w:fldChar w:fldCharType="end"/>
          </w:r>
          <w:r>
            <w:fldChar w:fldCharType="end"/>
          </w:r>
        </w:p>
        <w:p w14:paraId="6A787AA0">
          <w:pPr>
            <w:pStyle w:val="14"/>
            <w:tabs>
              <w:tab w:val="right" w:leader="dot" w:pos="8315"/>
            </w:tabs>
          </w:pPr>
          <w:r>
            <w:fldChar w:fldCharType="begin"/>
          </w:r>
          <w:r>
            <w:instrText xml:space="preserve"> HYPERLINK \l _Toc3476 </w:instrText>
          </w:r>
          <w:r>
            <w:fldChar w:fldCharType="separate"/>
          </w:r>
          <w:r>
            <w:rPr>
              <w:rFonts w:hint="eastAsia" w:ascii="仿宋_GB2312" w:hAnsi="仿宋_GB2312" w:eastAsia="仿宋_GB2312" w:cs="仿宋_GB2312"/>
              <w:bCs/>
              <w:szCs w:val="32"/>
              <w:shd w:val="clear" w:fill="FFFFFF"/>
            </w:rPr>
            <w:t>（二）一般公共预算财政拨款支出决算结构情况</w:t>
          </w:r>
          <w:r>
            <w:tab/>
          </w:r>
          <w:r>
            <w:fldChar w:fldCharType="begin"/>
          </w:r>
          <w:r>
            <w:instrText xml:space="preserve"> PAGEREF _Toc3476 \h </w:instrText>
          </w:r>
          <w:r>
            <w:fldChar w:fldCharType="separate"/>
          </w:r>
          <w:r>
            <w:t>19</w:t>
          </w:r>
          <w:r>
            <w:fldChar w:fldCharType="end"/>
          </w:r>
          <w:r>
            <w:fldChar w:fldCharType="end"/>
          </w:r>
        </w:p>
        <w:p w14:paraId="235E3501">
          <w:pPr>
            <w:pStyle w:val="13"/>
            <w:tabs>
              <w:tab w:val="right" w:leader="dot" w:pos="8315"/>
            </w:tabs>
          </w:pPr>
          <w:r>
            <w:fldChar w:fldCharType="begin"/>
          </w:r>
          <w:r>
            <w:instrText xml:space="preserve"> HYPERLINK \l _Toc12182 </w:instrText>
          </w:r>
          <w:r>
            <w:fldChar w:fldCharType="separate"/>
          </w:r>
          <w:r>
            <w:rPr>
              <w:rFonts w:hint="eastAsia" w:ascii="黑体" w:hAnsi="黑体" w:eastAsia="黑体" w:cs="黑体"/>
              <w:bCs/>
              <w:szCs w:val="32"/>
              <w:shd w:val="clear" w:fill="FFFFFF"/>
              <w:lang w:val="en-US" w:eastAsia="zh-CN"/>
            </w:rPr>
            <w:t>六、</w:t>
          </w:r>
          <w:r>
            <w:rPr>
              <w:rFonts w:hint="eastAsia" w:ascii="黑体" w:hAnsi="黑体" w:eastAsia="黑体" w:cs="黑体"/>
              <w:bCs/>
              <w:szCs w:val="32"/>
              <w:shd w:val="clear" w:fill="FFFFFF"/>
            </w:rPr>
            <w:t>一般公共预算财政拨款基本支出决算情况说明   </w:t>
          </w:r>
          <w:r>
            <w:tab/>
          </w:r>
          <w:r>
            <w:fldChar w:fldCharType="begin"/>
          </w:r>
          <w:r>
            <w:instrText xml:space="preserve"> PAGEREF _Toc12182 \h </w:instrText>
          </w:r>
          <w:r>
            <w:fldChar w:fldCharType="separate"/>
          </w:r>
          <w:r>
            <w:t>20</w:t>
          </w:r>
          <w:r>
            <w:fldChar w:fldCharType="end"/>
          </w:r>
          <w:r>
            <w:fldChar w:fldCharType="end"/>
          </w:r>
        </w:p>
        <w:p w14:paraId="436B62A7">
          <w:pPr>
            <w:pStyle w:val="13"/>
            <w:tabs>
              <w:tab w:val="right" w:leader="dot" w:pos="8315"/>
            </w:tabs>
          </w:pPr>
          <w:r>
            <w:fldChar w:fldCharType="begin"/>
          </w:r>
          <w:r>
            <w:instrText xml:space="preserve"> HYPERLINK \l _Toc129 </w:instrText>
          </w:r>
          <w:r>
            <w:fldChar w:fldCharType="separate"/>
          </w:r>
          <w:r>
            <w:rPr>
              <w:rFonts w:hint="eastAsia" w:ascii="黑体" w:hAnsi="黑体" w:eastAsia="黑体" w:cs="黑体"/>
              <w:szCs w:val="32"/>
              <w:shd w:val="clear" w:fill="FFFFFF"/>
              <w:lang w:val="en-US" w:eastAsia="zh-CN"/>
            </w:rPr>
            <w:t>七</w:t>
          </w:r>
          <w:r>
            <w:rPr>
              <w:rFonts w:hint="eastAsia" w:ascii="黑体" w:hAnsi="黑体" w:eastAsia="黑体" w:cs="黑体"/>
              <w:szCs w:val="32"/>
              <w:shd w:val="clear" w:fill="FFFFFF"/>
            </w:rPr>
            <w:t>、“三公”经费财政拨款支出决算情况说明</w:t>
          </w:r>
          <w:r>
            <w:tab/>
          </w:r>
          <w:r>
            <w:fldChar w:fldCharType="begin"/>
          </w:r>
          <w:r>
            <w:instrText xml:space="preserve"> PAGEREF _Toc129 \h </w:instrText>
          </w:r>
          <w:r>
            <w:fldChar w:fldCharType="separate"/>
          </w:r>
          <w:r>
            <w:t>21</w:t>
          </w:r>
          <w:r>
            <w:fldChar w:fldCharType="end"/>
          </w:r>
          <w:r>
            <w:fldChar w:fldCharType="end"/>
          </w:r>
        </w:p>
        <w:p w14:paraId="6DD37DB3">
          <w:pPr>
            <w:pStyle w:val="14"/>
            <w:tabs>
              <w:tab w:val="right" w:leader="dot" w:pos="8315"/>
            </w:tabs>
          </w:pPr>
          <w:r>
            <w:fldChar w:fldCharType="begin"/>
          </w:r>
          <w:r>
            <w:instrText xml:space="preserve"> HYPERLINK \l _Toc11864 </w:instrText>
          </w:r>
          <w:r>
            <w:fldChar w:fldCharType="separate"/>
          </w:r>
          <w:r>
            <w:rPr>
              <w:rFonts w:hint="eastAsia" w:ascii="仿宋_GB2312" w:hAnsi="仿宋_GB2312" w:eastAsia="仿宋_GB2312" w:cs="仿宋_GB2312"/>
              <w:szCs w:val="32"/>
              <w:shd w:val="clear" w:fill="FFFFFF"/>
            </w:rPr>
            <w:t>（一）“三公”经费财政拨款支出决算总体情况说明</w:t>
          </w:r>
          <w:r>
            <w:tab/>
          </w:r>
          <w:r>
            <w:fldChar w:fldCharType="begin"/>
          </w:r>
          <w:r>
            <w:instrText xml:space="preserve"> PAGEREF _Toc11864 \h </w:instrText>
          </w:r>
          <w:r>
            <w:fldChar w:fldCharType="separate"/>
          </w:r>
          <w:r>
            <w:t>21</w:t>
          </w:r>
          <w:r>
            <w:fldChar w:fldCharType="end"/>
          </w:r>
          <w:r>
            <w:fldChar w:fldCharType="end"/>
          </w:r>
        </w:p>
        <w:p w14:paraId="517A569A">
          <w:pPr>
            <w:pStyle w:val="14"/>
            <w:tabs>
              <w:tab w:val="right" w:leader="dot" w:pos="8315"/>
            </w:tabs>
          </w:pPr>
          <w:r>
            <w:fldChar w:fldCharType="begin"/>
          </w:r>
          <w:r>
            <w:instrText xml:space="preserve"> HYPERLINK \l _Toc12987 </w:instrText>
          </w:r>
          <w:r>
            <w:fldChar w:fldCharType="separate"/>
          </w:r>
          <w:r>
            <w:rPr>
              <w:rFonts w:hint="eastAsia" w:ascii="仿宋_GB2312" w:hAnsi="仿宋_GB2312" w:eastAsia="仿宋_GB2312" w:cs="仿宋_GB2312"/>
              <w:szCs w:val="32"/>
              <w:shd w:val="clear" w:fill="FFFFFF"/>
            </w:rPr>
            <w:t>（二）“三公”经费财政拨款支出决算具体情况说明</w:t>
          </w:r>
          <w:r>
            <w:tab/>
          </w:r>
          <w:r>
            <w:fldChar w:fldCharType="begin"/>
          </w:r>
          <w:r>
            <w:instrText xml:space="preserve"> PAGEREF _Toc12987 \h </w:instrText>
          </w:r>
          <w:r>
            <w:fldChar w:fldCharType="separate"/>
          </w:r>
          <w:r>
            <w:t>21</w:t>
          </w:r>
          <w:r>
            <w:fldChar w:fldCharType="end"/>
          </w:r>
          <w:r>
            <w:fldChar w:fldCharType="end"/>
          </w:r>
        </w:p>
        <w:p w14:paraId="163CFBC9">
          <w:pPr>
            <w:pStyle w:val="13"/>
            <w:tabs>
              <w:tab w:val="right" w:leader="dot" w:pos="8315"/>
            </w:tabs>
          </w:pPr>
          <w:r>
            <w:fldChar w:fldCharType="begin"/>
          </w:r>
          <w:r>
            <w:instrText xml:space="preserve"> HYPERLINK \l _Toc27853 </w:instrText>
          </w:r>
          <w:r>
            <w:fldChar w:fldCharType="separate"/>
          </w:r>
          <w:r>
            <w:rPr>
              <w:rFonts w:hint="eastAsia" w:ascii="黑体" w:hAnsi="黑体" w:eastAsia="黑体" w:cs="黑体"/>
              <w:szCs w:val="32"/>
              <w:shd w:val="clear" w:fill="FFFFFF"/>
            </w:rPr>
            <w:t>八、政府性基金预算支出决算情况说明</w:t>
          </w:r>
          <w:r>
            <w:tab/>
          </w:r>
          <w:r>
            <w:fldChar w:fldCharType="begin"/>
          </w:r>
          <w:r>
            <w:instrText xml:space="preserve"> PAGEREF _Toc27853 \h </w:instrText>
          </w:r>
          <w:r>
            <w:fldChar w:fldCharType="separate"/>
          </w:r>
          <w:r>
            <w:t>23</w:t>
          </w:r>
          <w:r>
            <w:fldChar w:fldCharType="end"/>
          </w:r>
          <w:r>
            <w:fldChar w:fldCharType="end"/>
          </w:r>
        </w:p>
        <w:p w14:paraId="170AAD86">
          <w:pPr>
            <w:pStyle w:val="13"/>
            <w:tabs>
              <w:tab w:val="right" w:leader="dot" w:pos="8315"/>
            </w:tabs>
          </w:pPr>
          <w:r>
            <w:fldChar w:fldCharType="begin"/>
          </w:r>
          <w:r>
            <w:instrText xml:space="preserve"> HYPERLINK \l _Toc22042 </w:instrText>
          </w:r>
          <w:r>
            <w:fldChar w:fldCharType="separate"/>
          </w:r>
          <w:r>
            <w:rPr>
              <w:rFonts w:hint="eastAsia" w:ascii="黑体" w:hAnsi="黑体" w:eastAsia="黑体" w:cs="黑体"/>
              <w:szCs w:val="32"/>
              <w:shd w:val="clear" w:fill="FFFFFF"/>
            </w:rPr>
            <w:t>九、国有资本经营预算支出决算情况说明</w:t>
          </w:r>
          <w:r>
            <w:tab/>
          </w:r>
          <w:r>
            <w:fldChar w:fldCharType="begin"/>
          </w:r>
          <w:r>
            <w:instrText xml:space="preserve"> PAGEREF _Toc22042 \h </w:instrText>
          </w:r>
          <w:r>
            <w:fldChar w:fldCharType="separate"/>
          </w:r>
          <w:r>
            <w:t>23</w:t>
          </w:r>
          <w:r>
            <w:fldChar w:fldCharType="end"/>
          </w:r>
          <w:r>
            <w:fldChar w:fldCharType="end"/>
          </w:r>
        </w:p>
        <w:p w14:paraId="351FDC13">
          <w:pPr>
            <w:pStyle w:val="13"/>
            <w:tabs>
              <w:tab w:val="right" w:leader="dot" w:pos="8315"/>
            </w:tabs>
          </w:pPr>
          <w:r>
            <w:fldChar w:fldCharType="begin"/>
          </w:r>
          <w:r>
            <w:instrText xml:space="preserve"> HYPERLINK \l _Toc19480 </w:instrText>
          </w:r>
          <w:r>
            <w:fldChar w:fldCharType="separate"/>
          </w:r>
          <w:r>
            <w:rPr>
              <w:rFonts w:hint="eastAsia" w:ascii="方正小标宋简体" w:hAnsi="方正小标宋简体" w:eastAsia="方正小标宋简体" w:cs="方正小标宋简体"/>
              <w:bCs/>
              <w:szCs w:val="44"/>
              <w:shd w:val="clear" w:fill="FFFFFF"/>
            </w:rPr>
            <w:t>第三部分 名词解释</w:t>
          </w:r>
          <w:r>
            <w:tab/>
          </w:r>
          <w:r>
            <w:fldChar w:fldCharType="begin"/>
          </w:r>
          <w:r>
            <w:instrText xml:space="preserve"> PAGEREF _Toc19480 \h </w:instrText>
          </w:r>
          <w:r>
            <w:fldChar w:fldCharType="separate"/>
          </w:r>
          <w:r>
            <w:t>24</w:t>
          </w:r>
          <w:r>
            <w:fldChar w:fldCharType="end"/>
          </w:r>
          <w:r>
            <w:fldChar w:fldCharType="end"/>
          </w:r>
        </w:p>
        <w:p w14:paraId="7A52D3D0">
          <w:pPr>
            <w:pStyle w:val="13"/>
            <w:tabs>
              <w:tab w:val="right" w:leader="dot" w:pos="8315"/>
            </w:tabs>
          </w:pPr>
          <w:r>
            <w:fldChar w:fldCharType="begin"/>
          </w:r>
          <w:r>
            <w:instrText xml:space="preserve"> HYPERLINK \l _Toc11038 </w:instrText>
          </w:r>
          <w:r>
            <w:fldChar w:fldCharType="separate"/>
          </w:r>
          <w:r>
            <w:rPr>
              <w:rFonts w:hint="eastAsia" w:ascii="方正小标宋简体" w:hAnsi="方正小标宋简体" w:eastAsia="方正小标宋简体" w:cs="方正小标宋简体"/>
              <w:bCs/>
              <w:szCs w:val="44"/>
              <w:shd w:val="clear" w:fill="FFFFFF"/>
            </w:rPr>
            <w:t>第</w:t>
          </w:r>
          <w:r>
            <w:rPr>
              <w:rFonts w:hint="eastAsia" w:ascii="方正小标宋简体" w:hAnsi="方正小标宋简体" w:eastAsia="方正小标宋简体" w:cs="方正小标宋简体"/>
              <w:bCs/>
              <w:szCs w:val="44"/>
              <w:shd w:val="clear" w:fill="FFFFFF"/>
              <w:lang w:eastAsia="zh-CN"/>
            </w:rPr>
            <w:t>四</w:t>
          </w:r>
          <w:r>
            <w:rPr>
              <w:rFonts w:hint="eastAsia" w:ascii="方正小标宋简体" w:hAnsi="方正小标宋简体" w:eastAsia="方正小标宋简体" w:cs="方正小标宋简体"/>
              <w:bCs/>
              <w:szCs w:val="44"/>
              <w:shd w:val="clear" w:fill="FFFFFF"/>
            </w:rPr>
            <w:t>部分 附表</w:t>
          </w:r>
          <w:r>
            <w:tab/>
          </w:r>
          <w:r>
            <w:fldChar w:fldCharType="begin"/>
          </w:r>
          <w:r>
            <w:instrText xml:space="preserve"> PAGEREF _Toc11038 \h </w:instrText>
          </w:r>
          <w:r>
            <w:fldChar w:fldCharType="separate"/>
          </w:r>
          <w:r>
            <w:t>27</w:t>
          </w:r>
          <w:r>
            <w:fldChar w:fldCharType="end"/>
          </w:r>
          <w:r>
            <w:fldChar w:fldCharType="end"/>
          </w:r>
        </w:p>
        <w:p w14:paraId="15B5ACBE">
          <w:pPr>
            <w:pStyle w:val="14"/>
            <w:tabs>
              <w:tab w:val="right" w:leader="dot" w:pos="8315"/>
            </w:tabs>
          </w:pPr>
          <w:r>
            <w:fldChar w:fldCharType="begin"/>
          </w:r>
          <w:r>
            <w:instrText xml:space="preserve"> HYPERLINK \l _Toc1792 </w:instrText>
          </w:r>
          <w:r>
            <w:fldChar w:fldCharType="separate"/>
          </w:r>
          <w:r>
            <w:rPr>
              <w:rFonts w:hint="eastAsia" w:ascii="仿宋_GB2312" w:hAnsi="仿宋_GB2312" w:eastAsia="仿宋_GB2312" w:cs="仿宋_GB2312"/>
              <w:bCs w:val="0"/>
              <w:shd w:val="clear" w:fill="FFFFFF"/>
            </w:rPr>
            <w:t>一、收入支出决算总表</w:t>
          </w:r>
          <w:r>
            <w:tab/>
          </w:r>
          <w:r>
            <w:fldChar w:fldCharType="begin"/>
          </w:r>
          <w:r>
            <w:instrText xml:space="preserve"> PAGEREF _Toc1792 \h </w:instrText>
          </w:r>
          <w:r>
            <w:fldChar w:fldCharType="separate"/>
          </w:r>
          <w:r>
            <w:t>27</w:t>
          </w:r>
          <w:r>
            <w:fldChar w:fldCharType="end"/>
          </w:r>
          <w:r>
            <w:fldChar w:fldCharType="end"/>
          </w:r>
        </w:p>
        <w:p w14:paraId="5C7B3DF6">
          <w:pPr>
            <w:pStyle w:val="14"/>
            <w:tabs>
              <w:tab w:val="right" w:leader="dot" w:pos="8315"/>
            </w:tabs>
          </w:pPr>
          <w:r>
            <w:fldChar w:fldCharType="begin"/>
          </w:r>
          <w:r>
            <w:instrText xml:space="preserve"> HYPERLINK \l _Toc5289 </w:instrText>
          </w:r>
          <w:r>
            <w:fldChar w:fldCharType="separate"/>
          </w:r>
          <w:r>
            <w:rPr>
              <w:rFonts w:hint="eastAsia" w:ascii="仿宋_GB2312" w:hAnsi="仿宋_GB2312" w:eastAsia="仿宋_GB2312" w:cs="仿宋_GB2312"/>
              <w:bCs w:val="0"/>
              <w:shd w:val="clear" w:fill="FFFFFF"/>
            </w:rPr>
            <w:t>二、收入决算表</w:t>
          </w:r>
          <w:r>
            <w:tab/>
          </w:r>
          <w:r>
            <w:fldChar w:fldCharType="begin"/>
          </w:r>
          <w:r>
            <w:instrText xml:space="preserve"> PAGEREF _Toc5289 \h </w:instrText>
          </w:r>
          <w:r>
            <w:fldChar w:fldCharType="separate"/>
          </w:r>
          <w:r>
            <w:t>27</w:t>
          </w:r>
          <w:r>
            <w:fldChar w:fldCharType="end"/>
          </w:r>
          <w:r>
            <w:fldChar w:fldCharType="end"/>
          </w:r>
        </w:p>
        <w:p w14:paraId="53310196">
          <w:pPr>
            <w:pStyle w:val="14"/>
            <w:tabs>
              <w:tab w:val="right" w:leader="dot" w:pos="8315"/>
            </w:tabs>
          </w:pPr>
          <w:r>
            <w:fldChar w:fldCharType="begin"/>
          </w:r>
          <w:r>
            <w:instrText xml:space="preserve"> HYPERLINK \l _Toc9007 </w:instrText>
          </w:r>
          <w:r>
            <w:fldChar w:fldCharType="separate"/>
          </w:r>
          <w:r>
            <w:rPr>
              <w:rFonts w:hint="eastAsia" w:ascii="仿宋_GB2312" w:hAnsi="仿宋_GB2312" w:eastAsia="仿宋_GB2312" w:cs="仿宋_GB2312"/>
              <w:bCs w:val="0"/>
              <w:shd w:val="clear" w:fill="FFFFFF"/>
            </w:rPr>
            <w:t>三、支出决算表</w:t>
          </w:r>
          <w:r>
            <w:tab/>
          </w:r>
          <w:r>
            <w:fldChar w:fldCharType="begin"/>
          </w:r>
          <w:r>
            <w:instrText xml:space="preserve"> PAGEREF _Toc9007 \h </w:instrText>
          </w:r>
          <w:r>
            <w:fldChar w:fldCharType="separate"/>
          </w:r>
          <w:r>
            <w:t>27</w:t>
          </w:r>
          <w:r>
            <w:fldChar w:fldCharType="end"/>
          </w:r>
          <w:r>
            <w:fldChar w:fldCharType="end"/>
          </w:r>
        </w:p>
        <w:p w14:paraId="1A6D60BD">
          <w:pPr>
            <w:pStyle w:val="14"/>
            <w:tabs>
              <w:tab w:val="right" w:leader="dot" w:pos="8315"/>
            </w:tabs>
          </w:pPr>
          <w:r>
            <w:fldChar w:fldCharType="begin"/>
          </w:r>
          <w:r>
            <w:instrText xml:space="preserve"> HYPERLINK \l _Toc16078 </w:instrText>
          </w:r>
          <w:r>
            <w:fldChar w:fldCharType="separate"/>
          </w:r>
          <w:r>
            <w:rPr>
              <w:rFonts w:hint="eastAsia" w:ascii="仿宋_GB2312" w:hAnsi="仿宋_GB2312" w:eastAsia="仿宋_GB2312" w:cs="仿宋_GB2312"/>
              <w:bCs w:val="0"/>
              <w:shd w:val="clear" w:fill="FFFFFF"/>
            </w:rPr>
            <w:t>四、财政拨款收入支出决算总表</w:t>
          </w:r>
          <w:r>
            <w:tab/>
          </w:r>
          <w:r>
            <w:fldChar w:fldCharType="begin"/>
          </w:r>
          <w:r>
            <w:instrText xml:space="preserve"> PAGEREF _Toc16078 \h </w:instrText>
          </w:r>
          <w:r>
            <w:fldChar w:fldCharType="separate"/>
          </w:r>
          <w:r>
            <w:t>27</w:t>
          </w:r>
          <w:r>
            <w:fldChar w:fldCharType="end"/>
          </w:r>
          <w:r>
            <w:fldChar w:fldCharType="end"/>
          </w:r>
        </w:p>
        <w:p w14:paraId="4C094863">
          <w:pPr>
            <w:pStyle w:val="14"/>
            <w:tabs>
              <w:tab w:val="right" w:leader="dot" w:pos="8315"/>
            </w:tabs>
          </w:pPr>
          <w:r>
            <w:fldChar w:fldCharType="begin"/>
          </w:r>
          <w:r>
            <w:instrText xml:space="preserve"> HYPERLINK \l _Toc3404 </w:instrText>
          </w:r>
          <w:r>
            <w:fldChar w:fldCharType="separate"/>
          </w:r>
          <w:r>
            <w:rPr>
              <w:rFonts w:hint="eastAsia" w:ascii="仿宋_GB2312" w:hAnsi="仿宋_GB2312" w:eastAsia="仿宋_GB2312" w:cs="仿宋_GB2312"/>
              <w:bCs w:val="0"/>
              <w:shd w:val="clear" w:fill="FFFFFF"/>
            </w:rPr>
            <w:t>五、财政拨款支出决算明细表</w:t>
          </w:r>
          <w:r>
            <w:tab/>
          </w:r>
          <w:r>
            <w:fldChar w:fldCharType="begin"/>
          </w:r>
          <w:r>
            <w:instrText xml:space="preserve"> PAGEREF _Toc3404 \h </w:instrText>
          </w:r>
          <w:r>
            <w:fldChar w:fldCharType="separate"/>
          </w:r>
          <w:r>
            <w:t>27</w:t>
          </w:r>
          <w:r>
            <w:fldChar w:fldCharType="end"/>
          </w:r>
          <w:r>
            <w:fldChar w:fldCharType="end"/>
          </w:r>
        </w:p>
        <w:p w14:paraId="4E378EB6">
          <w:pPr>
            <w:pStyle w:val="14"/>
            <w:tabs>
              <w:tab w:val="right" w:leader="dot" w:pos="8315"/>
            </w:tabs>
          </w:pPr>
          <w:r>
            <w:fldChar w:fldCharType="begin"/>
          </w:r>
          <w:r>
            <w:instrText xml:space="preserve"> HYPERLINK \l _Toc6380 </w:instrText>
          </w:r>
          <w:r>
            <w:fldChar w:fldCharType="separate"/>
          </w:r>
          <w:r>
            <w:rPr>
              <w:rFonts w:hint="eastAsia" w:ascii="仿宋_GB2312" w:hAnsi="仿宋_GB2312" w:eastAsia="仿宋_GB2312" w:cs="仿宋_GB2312"/>
              <w:bCs w:val="0"/>
              <w:shd w:val="clear" w:fill="FFFFFF"/>
            </w:rPr>
            <w:t>六、一般公共预算财政拨款支出决算表</w:t>
          </w:r>
          <w:r>
            <w:tab/>
          </w:r>
          <w:r>
            <w:fldChar w:fldCharType="begin"/>
          </w:r>
          <w:r>
            <w:instrText xml:space="preserve"> PAGEREF _Toc6380 \h </w:instrText>
          </w:r>
          <w:r>
            <w:fldChar w:fldCharType="separate"/>
          </w:r>
          <w:r>
            <w:t>27</w:t>
          </w:r>
          <w:r>
            <w:fldChar w:fldCharType="end"/>
          </w:r>
          <w:r>
            <w:fldChar w:fldCharType="end"/>
          </w:r>
        </w:p>
        <w:p w14:paraId="701298C7">
          <w:pPr>
            <w:pStyle w:val="14"/>
            <w:tabs>
              <w:tab w:val="right" w:leader="dot" w:pos="8315"/>
            </w:tabs>
          </w:pPr>
          <w:r>
            <w:fldChar w:fldCharType="begin"/>
          </w:r>
          <w:r>
            <w:instrText xml:space="preserve"> HYPERLINK \l _Toc16179 </w:instrText>
          </w:r>
          <w:r>
            <w:fldChar w:fldCharType="separate"/>
          </w:r>
          <w:r>
            <w:rPr>
              <w:rFonts w:hint="eastAsia" w:ascii="仿宋_GB2312" w:hAnsi="仿宋_GB2312" w:eastAsia="仿宋_GB2312" w:cs="仿宋_GB2312"/>
              <w:bCs w:val="0"/>
              <w:shd w:val="clear" w:fill="FFFFFF"/>
            </w:rPr>
            <w:t>七、一般公共预算财政拨款支出决算明细表</w:t>
          </w:r>
          <w:r>
            <w:tab/>
          </w:r>
          <w:r>
            <w:fldChar w:fldCharType="begin"/>
          </w:r>
          <w:r>
            <w:instrText xml:space="preserve"> PAGEREF _Toc16179 \h </w:instrText>
          </w:r>
          <w:r>
            <w:fldChar w:fldCharType="separate"/>
          </w:r>
          <w:r>
            <w:t>27</w:t>
          </w:r>
          <w:r>
            <w:fldChar w:fldCharType="end"/>
          </w:r>
          <w:r>
            <w:fldChar w:fldCharType="end"/>
          </w:r>
        </w:p>
        <w:p w14:paraId="3F27DFF9">
          <w:pPr>
            <w:pStyle w:val="14"/>
            <w:tabs>
              <w:tab w:val="right" w:leader="dot" w:pos="8315"/>
            </w:tabs>
          </w:pPr>
          <w:r>
            <w:fldChar w:fldCharType="begin"/>
          </w:r>
          <w:r>
            <w:instrText xml:space="preserve"> HYPERLINK \l _Toc9628 </w:instrText>
          </w:r>
          <w:r>
            <w:fldChar w:fldCharType="separate"/>
          </w:r>
          <w:r>
            <w:rPr>
              <w:rFonts w:hint="eastAsia" w:ascii="仿宋_GB2312" w:hAnsi="仿宋_GB2312" w:eastAsia="仿宋_GB2312" w:cs="仿宋_GB2312"/>
              <w:bCs w:val="0"/>
              <w:shd w:val="clear" w:fill="FFFFFF"/>
            </w:rPr>
            <w:t>八、一般公共预算财政拨款基本支出决算表</w:t>
          </w:r>
          <w:r>
            <w:tab/>
          </w:r>
          <w:r>
            <w:fldChar w:fldCharType="begin"/>
          </w:r>
          <w:r>
            <w:instrText xml:space="preserve"> PAGEREF _Toc9628 \h </w:instrText>
          </w:r>
          <w:r>
            <w:fldChar w:fldCharType="separate"/>
          </w:r>
          <w:r>
            <w:t>27</w:t>
          </w:r>
          <w:r>
            <w:fldChar w:fldCharType="end"/>
          </w:r>
          <w:r>
            <w:fldChar w:fldCharType="end"/>
          </w:r>
        </w:p>
        <w:p w14:paraId="3C9FCC33">
          <w:pPr>
            <w:pStyle w:val="14"/>
            <w:tabs>
              <w:tab w:val="right" w:leader="dot" w:pos="8315"/>
            </w:tabs>
          </w:pPr>
          <w:r>
            <w:fldChar w:fldCharType="begin"/>
          </w:r>
          <w:r>
            <w:instrText xml:space="preserve"> HYPERLINK \l _Toc2193 </w:instrText>
          </w:r>
          <w:r>
            <w:fldChar w:fldCharType="separate"/>
          </w:r>
          <w:r>
            <w:rPr>
              <w:rFonts w:hint="eastAsia" w:ascii="仿宋_GB2312" w:hAnsi="仿宋_GB2312" w:eastAsia="仿宋_GB2312" w:cs="仿宋_GB2312"/>
              <w:bCs w:val="0"/>
              <w:shd w:val="clear" w:fill="FFFFFF"/>
            </w:rPr>
            <w:t>九、一般公共预算财政拨款项目支出决算表</w:t>
          </w:r>
          <w:r>
            <w:tab/>
          </w:r>
          <w:r>
            <w:fldChar w:fldCharType="begin"/>
          </w:r>
          <w:r>
            <w:instrText xml:space="preserve"> PAGEREF _Toc2193 \h </w:instrText>
          </w:r>
          <w:r>
            <w:fldChar w:fldCharType="separate"/>
          </w:r>
          <w:r>
            <w:t>27</w:t>
          </w:r>
          <w:r>
            <w:fldChar w:fldCharType="end"/>
          </w:r>
          <w:r>
            <w:fldChar w:fldCharType="end"/>
          </w:r>
        </w:p>
        <w:p w14:paraId="1BA549BF">
          <w:pPr>
            <w:pStyle w:val="14"/>
            <w:tabs>
              <w:tab w:val="right" w:leader="dot" w:pos="8315"/>
            </w:tabs>
          </w:pPr>
          <w:r>
            <w:fldChar w:fldCharType="begin"/>
          </w:r>
          <w:r>
            <w:instrText xml:space="preserve"> HYPERLINK \l _Toc30545 </w:instrText>
          </w:r>
          <w:r>
            <w:fldChar w:fldCharType="separate"/>
          </w:r>
          <w:r>
            <w:rPr>
              <w:rFonts w:hint="eastAsia" w:ascii="仿宋_GB2312" w:hAnsi="仿宋_GB2312" w:eastAsia="仿宋_GB2312" w:cs="仿宋_GB2312"/>
              <w:bCs w:val="0"/>
              <w:shd w:val="clear" w:fill="FFFFFF"/>
            </w:rPr>
            <w:t>十、政府性基金预算财政拨款收入支出决算表</w:t>
          </w:r>
          <w:r>
            <w:tab/>
          </w:r>
          <w:r>
            <w:fldChar w:fldCharType="begin"/>
          </w:r>
          <w:r>
            <w:instrText xml:space="preserve"> PAGEREF _Toc30545 \h </w:instrText>
          </w:r>
          <w:r>
            <w:fldChar w:fldCharType="separate"/>
          </w:r>
          <w:r>
            <w:t>27</w:t>
          </w:r>
          <w:r>
            <w:fldChar w:fldCharType="end"/>
          </w:r>
          <w:r>
            <w:fldChar w:fldCharType="end"/>
          </w:r>
        </w:p>
        <w:p w14:paraId="78705060">
          <w:pPr>
            <w:pStyle w:val="14"/>
            <w:tabs>
              <w:tab w:val="right" w:leader="dot" w:pos="8315"/>
            </w:tabs>
          </w:pPr>
          <w:r>
            <w:fldChar w:fldCharType="begin"/>
          </w:r>
          <w:r>
            <w:instrText xml:space="preserve"> HYPERLINK \l _Toc5545 </w:instrText>
          </w:r>
          <w:r>
            <w:fldChar w:fldCharType="separate"/>
          </w:r>
          <w:r>
            <w:rPr>
              <w:rFonts w:hint="eastAsia" w:ascii="仿宋_GB2312" w:hAnsi="仿宋_GB2312" w:eastAsia="仿宋_GB2312" w:cs="仿宋_GB2312"/>
              <w:bCs w:val="0"/>
              <w:shd w:val="clear" w:fill="FFFFFF"/>
            </w:rPr>
            <w:t>十一、国有资本经营预算财政拨款收入支出决算表</w:t>
          </w:r>
          <w:r>
            <w:tab/>
          </w:r>
          <w:r>
            <w:fldChar w:fldCharType="begin"/>
          </w:r>
          <w:r>
            <w:instrText xml:space="preserve"> PAGEREF _Toc5545 \h </w:instrText>
          </w:r>
          <w:r>
            <w:fldChar w:fldCharType="separate"/>
          </w:r>
          <w:r>
            <w:t>27</w:t>
          </w:r>
          <w:r>
            <w:fldChar w:fldCharType="end"/>
          </w:r>
          <w:r>
            <w:fldChar w:fldCharType="end"/>
          </w:r>
        </w:p>
        <w:p w14:paraId="2D21D033">
          <w:pPr>
            <w:pStyle w:val="14"/>
            <w:tabs>
              <w:tab w:val="right" w:leader="dot" w:pos="8315"/>
            </w:tabs>
          </w:pPr>
          <w:r>
            <w:fldChar w:fldCharType="begin"/>
          </w:r>
          <w:r>
            <w:instrText xml:space="preserve"> HYPERLINK \l _Toc9866 </w:instrText>
          </w:r>
          <w:r>
            <w:fldChar w:fldCharType="separate"/>
          </w:r>
          <w:r>
            <w:rPr>
              <w:rFonts w:hint="eastAsia" w:ascii="仿宋_GB2312" w:hAnsi="仿宋_GB2312" w:eastAsia="仿宋_GB2312" w:cs="仿宋_GB2312"/>
              <w:bCs w:val="0"/>
              <w:shd w:val="clear" w:fill="FFFFFF"/>
            </w:rPr>
            <w:t>十二、国有资本经营预算财政拨款支出决算表</w:t>
          </w:r>
          <w:r>
            <w:tab/>
          </w:r>
          <w:r>
            <w:fldChar w:fldCharType="begin"/>
          </w:r>
          <w:r>
            <w:instrText xml:space="preserve"> PAGEREF _Toc9866 \h </w:instrText>
          </w:r>
          <w:r>
            <w:fldChar w:fldCharType="separate"/>
          </w:r>
          <w:r>
            <w:t>27</w:t>
          </w:r>
          <w:r>
            <w:fldChar w:fldCharType="end"/>
          </w:r>
          <w:r>
            <w:fldChar w:fldCharType="end"/>
          </w:r>
        </w:p>
        <w:p w14:paraId="247794FA">
          <w:pPr>
            <w:pStyle w:val="14"/>
            <w:tabs>
              <w:tab w:val="right" w:leader="dot" w:pos="8315"/>
            </w:tabs>
          </w:pPr>
          <w:r>
            <w:fldChar w:fldCharType="begin"/>
          </w:r>
          <w:r>
            <w:instrText xml:space="preserve"> HYPERLINK \l _Toc27929 </w:instrText>
          </w:r>
          <w:r>
            <w:fldChar w:fldCharType="separate"/>
          </w:r>
          <w:r>
            <w:rPr>
              <w:rFonts w:hint="eastAsia" w:ascii="仿宋_GB2312" w:hAnsi="仿宋_GB2312" w:eastAsia="仿宋_GB2312" w:cs="仿宋_GB2312"/>
              <w:bCs w:val="0"/>
              <w:shd w:val="clear" w:fill="FFFFFF"/>
            </w:rPr>
            <w:t>十三、财政拨款“三公”经费支出决算表</w:t>
          </w:r>
          <w:r>
            <w:tab/>
          </w:r>
          <w:r>
            <w:fldChar w:fldCharType="begin"/>
          </w:r>
          <w:r>
            <w:instrText xml:space="preserve"> PAGEREF _Toc27929 \h </w:instrText>
          </w:r>
          <w:r>
            <w:fldChar w:fldCharType="separate"/>
          </w:r>
          <w:r>
            <w:t>27</w:t>
          </w:r>
          <w:r>
            <w:fldChar w:fldCharType="end"/>
          </w:r>
          <w:r>
            <w:fldChar w:fldCharType="end"/>
          </w:r>
        </w:p>
        <w:p w14:paraId="113C7AA0">
          <w:pPr>
            <w:pStyle w:val="2"/>
            <w:ind w:left="0" w:leftChars="0" w:firstLine="0" w:firstLineChars="0"/>
            <w:rPr>
              <w:rFonts w:hint="eastAsia" w:ascii="方正小标宋简体" w:hAnsi="方正小标宋简体" w:eastAsia="方正小标宋简体" w:cs="方正小标宋简体"/>
              <w:b w:val="0"/>
              <w:bCs w:val="0"/>
              <w:sz w:val="44"/>
              <w:szCs w:val="44"/>
              <w:shd w:val="clear" w:fill="FFFFFF"/>
            </w:rPr>
            <w:sectPr>
              <w:footerReference r:id="rId4" w:type="default"/>
              <w:pgSz w:w="11915" w:h="16851"/>
              <w:pgMar w:top="1440" w:right="1800" w:bottom="1440" w:left="1800" w:header="851" w:footer="992" w:gutter="0"/>
              <w:pgNumType w:start="1"/>
              <w:cols w:space="0" w:num="1"/>
              <w:docGrid w:type="lines" w:linePitch="312" w:charSpace="0"/>
            </w:sectPr>
          </w:pPr>
          <w:r>
            <w:fldChar w:fldCharType="end"/>
          </w:r>
        </w:p>
      </w:sdtContent>
    </w:sdt>
    <w:p w14:paraId="13ED82A8">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2640" w:firstLineChars="600"/>
        <w:jc w:val="both"/>
        <w:textAlignment w:val="auto"/>
        <w:rPr>
          <w:rFonts w:hint="eastAsia" w:ascii="方正小标宋简体" w:hAnsi="方正小标宋简体" w:eastAsia="方正小标宋简体" w:cs="方正小标宋简体"/>
          <w:b w:val="0"/>
          <w:bCs w:val="0"/>
          <w:sz w:val="44"/>
          <w:szCs w:val="44"/>
        </w:rPr>
      </w:pPr>
      <w:bookmarkStart w:id="0" w:name="_Toc24440"/>
      <w:r>
        <w:rPr>
          <w:rFonts w:hint="eastAsia" w:ascii="方正小标宋简体" w:hAnsi="方正小标宋简体" w:eastAsia="方正小标宋简体" w:cs="方正小标宋简体"/>
          <w:b w:val="0"/>
          <w:bCs w:val="0"/>
          <w:sz w:val="44"/>
          <w:szCs w:val="44"/>
          <w:shd w:val="clear" w:fill="FFFFFF"/>
        </w:rPr>
        <w:t>第一部分 部门概况</w:t>
      </w:r>
      <w:bookmarkEnd w:id="0"/>
    </w:p>
    <w:p w14:paraId="58148476">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pPr>
      <w:r>
        <w:rPr>
          <w:shd w:val="clear" w:fill="FFFFFF"/>
        </w:rPr>
        <w:t> </w:t>
      </w:r>
    </w:p>
    <w:p w14:paraId="1084866E">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leftChars="0" w:firstLine="643" w:firstLineChars="200"/>
        <w:jc w:val="left"/>
        <w:textAlignment w:val="auto"/>
        <w:outlineLvl w:val="0"/>
        <w:rPr>
          <w:rFonts w:hint="eastAsia" w:ascii="黑体" w:hAnsi="黑体" w:eastAsia="黑体" w:cs="黑体"/>
          <w:sz w:val="32"/>
          <w:szCs w:val="32"/>
        </w:rPr>
      </w:pPr>
      <w:bookmarkStart w:id="1" w:name="_Toc27115"/>
      <w:r>
        <w:rPr>
          <w:rFonts w:hint="eastAsia" w:ascii="黑体" w:hAnsi="黑体" w:eastAsia="黑体" w:cs="黑体"/>
          <w:sz w:val="32"/>
          <w:szCs w:val="32"/>
          <w:shd w:val="clear" w:fill="FFFFFF"/>
        </w:rPr>
        <w:t>一、基本职能及主要工作</w:t>
      </w:r>
      <w:bookmarkEnd w:id="1"/>
    </w:p>
    <w:p w14:paraId="596023F5">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643" w:firstLineChars="200"/>
        <w:jc w:val="left"/>
        <w:textAlignment w:val="auto"/>
        <w:outlineLvl w:val="1"/>
        <w:rPr>
          <w:rFonts w:hint="eastAsia" w:ascii="楷体" w:hAnsi="楷体" w:eastAsia="楷体" w:cs="楷体"/>
          <w:b/>
          <w:bCs/>
          <w:sz w:val="32"/>
          <w:szCs w:val="32"/>
          <w:shd w:val="clear" w:fill="FFFFFF"/>
        </w:rPr>
      </w:pPr>
      <w:bookmarkStart w:id="2" w:name="_Toc8122"/>
      <w:r>
        <w:rPr>
          <w:rFonts w:hint="eastAsia" w:ascii="楷体" w:hAnsi="楷体" w:eastAsia="楷体" w:cs="楷体"/>
          <w:b/>
          <w:bCs/>
          <w:sz w:val="32"/>
          <w:szCs w:val="32"/>
          <w:shd w:val="clear" w:fill="FFFFFF"/>
        </w:rPr>
        <w:t>（一）主要职能。</w:t>
      </w:r>
      <w:bookmarkEnd w:id="2"/>
    </w:p>
    <w:p w14:paraId="3FA40328">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kern w:val="2"/>
          <w:sz w:val="32"/>
          <w:szCs w:val="32"/>
        </w:rPr>
        <w:t>主要职责是：</w:t>
      </w:r>
      <w:r>
        <w:rPr>
          <w:rFonts w:hint="eastAsia" w:ascii="仿宋_GB2312" w:hAnsi="仿宋_GB2312" w:eastAsia="仿宋_GB2312" w:cs="仿宋_GB2312"/>
          <w:sz w:val="32"/>
          <w:szCs w:val="32"/>
        </w:rPr>
        <w:t>（1）落实国家政策，严格依法行政，发挥经济管理职能，加强政策引导，制定发展规划，服务市场主体和营造发展环境，搞好市场监管，大力促进社会事业发展，发展镇村经济、文化和社会事业，提供公共服务，维护社会稳定，构建社会主义和谐社会。（2）执行本级人民代表大会的决议和上级国家行政机关的决定和命令，发布决定和命令；（3）执行本行政区域内的经济和社会发展计划、预算，管理本行政区域内的经济、教育、科学化、 卫生、体育事业和财政、民政、公安、司法行政、计划生育等行政工作；（4）保护社会主义的全民所有的财产和劳动群众集体所有的财产，保护公民私人所有的合法财产，维护社会秩序，保障公民的人身权利、民主权利和其他权利；（5）保护各种经济组织的合法权益（6）保障少数民族的权利和尊重少数民族的风俗习惯（7）办理上级人民政府交办的其他事项。</w:t>
      </w:r>
    </w:p>
    <w:p w14:paraId="769B5369">
      <w:pPr>
        <w:pStyle w:val="16"/>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leftChars="0" w:right="0" w:rightChars="0" w:firstLine="643" w:firstLineChars="200"/>
        <w:jc w:val="left"/>
        <w:textAlignment w:val="auto"/>
        <w:outlineLvl w:val="1"/>
        <w:rPr>
          <w:rFonts w:hint="eastAsia" w:ascii="楷体" w:hAnsi="楷体" w:eastAsia="楷体" w:cs="楷体"/>
          <w:b/>
          <w:bCs/>
          <w:sz w:val="32"/>
          <w:szCs w:val="32"/>
          <w:shd w:val="clear" w:fill="FFFFFF"/>
        </w:rPr>
      </w:pPr>
      <w:bookmarkStart w:id="3" w:name="_Toc19268"/>
      <w:r>
        <w:rPr>
          <w:rFonts w:hint="eastAsia" w:ascii="楷体" w:hAnsi="楷体" w:eastAsia="楷体" w:cs="楷体"/>
          <w:b/>
          <w:bCs/>
          <w:sz w:val="32"/>
          <w:szCs w:val="32"/>
          <w:shd w:val="clear" w:fill="FFFFFF"/>
        </w:rPr>
        <w:t>（二）202</w:t>
      </w:r>
      <w:r>
        <w:rPr>
          <w:rFonts w:hint="eastAsia" w:ascii="楷体" w:hAnsi="楷体" w:eastAsia="楷体" w:cs="楷体"/>
          <w:b/>
          <w:bCs/>
          <w:sz w:val="32"/>
          <w:szCs w:val="32"/>
          <w:shd w:val="clear" w:fill="FFFFFF"/>
          <w:lang w:val="en-US" w:eastAsia="zh-CN"/>
        </w:rPr>
        <w:t>4</w:t>
      </w:r>
      <w:r>
        <w:rPr>
          <w:rFonts w:hint="eastAsia" w:ascii="楷体" w:hAnsi="楷体" w:eastAsia="楷体" w:cs="楷体"/>
          <w:b/>
          <w:bCs/>
          <w:sz w:val="32"/>
          <w:szCs w:val="32"/>
          <w:shd w:val="clear" w:fill="FFFFFF"/>
        </w:rPr>
        <w:t>年重点工作完成情况。</w:t>
      </w:r>
      <w:bookmarkEnd w:id="3"/>
    </w:p>
    <w:p w14:paraId="6F0C1328">
      <w:pPr>
        <w:pStyle w:val="1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val="0"/>
        <w:wordWrap w:val="0"/>
        <w:overflowPunct/>
        <w:topLinePunct/>
        <w:autoSpaceDE w:val="0"/>
        <w:autoSpaceDN w:val="0"/>
        <w:bidi w:val="0"/>
        <w:adjustRightInd w:val="0"/>
        <w:snapToGrid w:val="0"/>
        <w:spacing w:before="0" w:beforeAutospacing="0" w:after="0" w:afterAutospacing="0" w:line="576" w:lineRule="exact"/>
        <w:ind w:right="0" w:rightChars="0" w:firstLine="643" w:firstLineChars="200"/>
        <w:textAlignment w:val="auto"/>
        <w:rPr>
          <w:rFonts w:hint="eastAsia" w:ascii="仿宋_GB2312" w:hAnsi="仿宋_GB2312" w:eastAsia="仿宋_GB2312" w:cs="仿宋_GB2312"/>
          <w:b w:val="0"/>
          <w:bCs/>
          <w:color w:val="auto"/>
          <w:kern w:val="0"/>
          <w:sz w:val="32"/>
          <w:szCs w:val="32"/>
          <w:lang w:val="en-US" w:eastAsia="zh-CN" w:bidi="ar-SA"/>
        </w:rPr>
      </w:pPr>
      <w:r>
        <w:rPr>
          <w:rFonts w:hint="eastAsia" w:ascii="仿宋_GB2312" w:hAnsi="仿宋_GB2312" w:eastAsia="仿宋_GB2312" w:cs="仿宋_GB2312"/>
          <w:b/>
          <w:bCs/>
          <w:i w:val="0"/>
          <w:iCs w:val="0"/>
          <w:caps w:val="0"/>
          <w:smallCaps w:val="0"/>
          <w:color w:val="auto"/>
          <w:spacing w:val="0"/>
          <w:kern w:val="0"/>
          <w:sz w:val="32"/>
          <w:szCs w:val="32"/>
          <w:shd w:val="clear" w:color="auto" w:fill="auto"/>
          <w:lang w:val="en-US" w:eastAsia="zh-CN"/>
        </w:rPr>
        <w:t>（一）奋力拼经济搞建设。</w:t>
      </w:r>
      <w:r>
        <w:rPr>
          <w:rFonts w:hint="eastAsia" w:ascii="仿宋_GB2312" w:hAnsi="仿宋_GB2312" w:eastAsia="仿宋_GB2312" w:cs="仿宋_GB2312"/>
          <w:b w:val="0"/>
          <w:bCs/>
          <w:color w:val="auto"/>
          <w:kern w:val="0"/>
          <w:sz w:val="32"/>
          <w:szCs w:val="32"/>
          <w:lang w:val="en-US" w:eastAsia="zh-CN" w:bidi="ar-SA"/>
        </w:rPr>
        <w:t>今年农牧民收入为</w:t>
      </w:r>
      <w:r>
        <w:rPr>
          <w:rFonts w:hint="eastAsia" w:ascii="仿宋_GB2312" w:hAnsi="宋体" w:eastAsia="仿宋_GB2312" w:cs="仿宋_GB2312"/>
          <w:kern w:val="0"/>
          <w:sz w:val="32"/>
          <w:szCs w:val="32"/>
          <w:shd w:val="clear" w:color="auto" w:fill="FFFFFF"/>
          <w:lang w:val="en-US" w:eastAsia="zh-CN" w:bidi="ar"/>
        </w:rPr>
        <w:t>18095.78万元</w:t>
      </w:r>
      <w:r>
        <w:rPr>
          <w:rFonts w:hint="eastAsia" w:ascii="仿宋_GB2312" w:hAnsi="仿宋_GB2312" w:eastAsia="仿宋_GB2312" w:cs="仿宋_GB2312"/>
          <w:b w:val="0"/>
          <w:bCs/>
          <w:color w:val="auto"/>
          <w:kern w:val="0"/>
          <w:sz w:val="32"/>
          <w:szCs w:val="32"/>
          <w:lang w:val="en-US" w:eastAsia="zh-CN" w:bidi="ar-SA"/>
        </w:rPr>
        <w:t>，全年农村居民人均可支配收入达</w:t>
      </w:r>
      <w:r>
        <w:rPr>
          <w:rFonts w:hint="eastAsia" w:ascii="仿宋_GB2312" w:hAnsi="宋体" w:eastAsia="仿宋_GB2312" w:cs="仿宋_GB2312"/>
          <w:kern w:val="0"/>
          <w:sz w:val="32"/>
          <w:szCs w:val="32"/>
          <w:shd w:val="clear" w:color="auto" w:fill="FFFFFF"/>
          <w:lang w:val="en-US" w:eastAsia="zh-CN" w:bidi="ar"/>
        </w:rPr>
        <w:t>21934.64</w:t>
      </w:r>
      <w:r>
        <w:rPr>
          <w:rFonts w:hint="eastAsia" w:ascii="仿宋_GB2312" w:hAnsi="仿宋_GB2312" w:eastAsia="仿宋_GB2312" w:cs="仿宋_GB2312"/>
          <w:b w:val="0"/>
          <w:bCs/>
          <w:color w:val="auto"/>
          <w:kern w:val="0"/>
          <w:sz w:val="32"/>
          <w:szCs w:val="32"/>
          <w:lang w:val="en-US" w:eastAsia="zh-CN" w:bidi="ar-SA"/>
        </w:rPr>
        <w:t>元，增速达6.43%。为高质量发展本地经济，我镇主要从四个方面着力。</w:t>
      </w:r>
      <w:r>
        <w:rPr>
          <w:rFonts w:hint="eastAsia" w:ascii="仿宋_GB2312" w:hAnsi="仿宋_GB2312" w:eastAsia="仿宋_GB2312" w:cs="仿宋_GB2312"/>
          <w:b/>
          <w:bCs/>
          <w:color w:val="auto"/>
          <w:kern w:val="0"/>
          <w:sz w:val="32"/>
          <w:szCs w:val="32"/>
          <w:lang w:val="en-US" w:eastAsia="zh-CN" w:bidi="ar-SA"/>
        </w:rPr>
        <w:t>一是盘活集体资产，密切利益联结。</w:t>
      </w:r>
      <w:r>
        <w:rPr>
          <w:rFonts w:hint="eastAsia" w:ascii="仿宋_GB2312" w:hAnsi="仿宋_GB2312" w:eastAsia="仿宋_GB2312" w:cs="仿宋_GB2312"/>
          <w:b w:val="0"/>
          <w:bCs/>
          <w:color w:val="auto"/>
          <w:kern w:val="0"/>
          <w:sz w:val="32"/>
          <w:szCs w:val="32"/>
          <w:lang w:val="en-US" w:eastAsia="zh-CN" w:bidi="ar-SA"/>
        </w:rPr>
        <w:t>持续巩固村集体经济，辖区村级集体经济全年收入预计超过34.5万元，</w:t>
      </w:r>
      <w:r>
        <w:rPr>
          <w:rFonts w:hint="eastAsia" w:ascii="仿宋_GB2312" w:hAnsi="宋体" w:eastAsia="仿宋_GB2312" w:cs="仿宋_GB2312"/>
          <w:kern w:val="0"/>
          <w:sz w:val="32"/>
          <w:szCs w:val="32"/>
          <w:shd w:val="clear" w:color="auto" w:fill="FFFFFF"/>
          <w:lang w:val="en-US" w:eastAsia="zh-CN" w:bidi="ar"/>
        </w:rPr>
        <w:t>其中，通过租赁村集体临街商铺、集体草场和自驾游营地，预计收入10万元；让里村集体牲畜养殖预计收入4.5万元；三个村机具租赁合作社将挖掘机、推土机租赁给社会企业，预计租金收入20万元。</w:t>
      </w:r>
      <w:r>
        <w:rPr>
          <w:rFonts w:hint="eastAsia" w:ascii="仿宋_GB2312" w:hAnsi="仿宋_GB2312" w:eastAsia="仿宋_GB2312" w:cs="仿宋_GB2312"/>
          <w:b w:val="0"/>
          <w:bCs/>
          <w:color w:val="auto"/>
          <w:kern w:val="0"/>
          <w:sz w:val="32"/>
          <w:szCs w:val="32"/>
          <w:lang w:val="en-US" w:eastAsia="zh-CN" w:bidi="ar-SA"/>
        </w:rPr>
        <w:t>健全村集体经济利益联结机制，指导各村村“两委”按照民主决策程序集体研究商议，将集体经济收益按当年收益的一定比例科学合理分配，分别用作困难群众慰问金、学生奖学金、群众分红、村内公共设施维修维护及村集体经济发展资金。</w:t>
      </w:r>
      <w:r>
        <w:rPr>
          <w:rFonts w:hint="eastAsia" w:ascii="仿宋_GB2312" w:hAnsi="仿宋_GB2312" w:eastAsia="仿宋_GB2312" w:cs="仿宋_GB2312"/>
          <w:b/>
          <w:bCs w:val="0"/>
          <w:color w:val="auto"/>
          <w:kern w:val="0"/>
          <w:sz w:val="32"/>
          <w:szCs w:val="32"/>
          <w:lang w:val="en-US" w:eastAsia="zh-CN" w:bidi="ar-SA"/>
        </w:rPr>
        <w:t>二是强化技能培训，促进就业创业。</w:t>
      </w:r>
      <w:r>
        <w:rPr>
          <w:rFonts w:hint="eastAsia" w:ascii="仿宋_GB2312" w:hAnsi="宋体" w:eastAsia="仿宋_GB2312" w:cs="仿宋_GB2312"/>
          <w:kern w:val="0"/>
          <w:sz w:val="32"/>
          <w:szCs w:val="32"/>
          <w:shd w:val="clear" w:color="auto" w:fill="FFFFFF"/>
          <w:lang w:val="en-US" w:eastAsia="zh-CN" w:bidi="ar"/>
        </w:rPr>
        <w:t>依托“宜居宜业和美乡村”建设项目，鼓励引导施工单位全力满足本地群众尤其是监测户、脱贫户就业需求，动员本地村民就近就地就业，累计吸纳本镇就近务工人员近200人。尤其采取以工代赈的方式鼓励引导各村“两委”充分利用合作社机具，动员带领103名群众（其中：脱贫户50名、监测户10名）投工投劳维修牧道80公里，投工投劳补助21.16万元。各项重点项目全面竣工后预计将持续为本镇提供公益性岗位、公共服务岗位以及其他务工就业岗位88个，集体经济收入预计每年稳定增收32万元。积极开展从本地户籍高校毕业生中选拔3名村级后备力量协理村务工作，既帮助未就业大学毕业生解决就业问题，也进一步充实村级干部力量。高度重视自主创业人才的培养，全力激发本地200余名大学生创业就业内生动力，积极对接县就业局、县乡村振兴局等县级主管部门，全面宣传各类创业就业帮扶政策，积极争取资金、项目扶持。鼓励本地优秀人才“出门学艺，返乡创业”，持续培养更多专业性、技术性人才，引导人才扎根色地发展旅游、餐饮、商贸等产业，推动先富带后富、区域性共富。</w:t>
      </w:r>
      <w:r>
        <w:rPr>
          <w:rFonts w:hint="eastAsia" w:ascii="仿宋_GB2312" w:hAnsi="仿宋_GB2312" w:eastAsia="仿宋_GB2312" w:cs="仿宋_GB2312"/>
          <w:b/>
          <w:bCs w:val="0"/>
          <w:color w:val="auto"/>
          <w:kern w:val="0"/>
          <w:sz w:val="32"/>
          <w:szCs w:val="32"/>
          <w:highlight w:val="none"/>
          <w:lang w:val="en-US" w:eastAsia="zh-CN" w:bidi="ar-SA"/>
        </w:rPr>
        <w:t>三是</w:t>
      </w:r>
      <w:r>
        <w:rPr>
          <w:rFonts w:hint="eastAsia" w:ascii="仿宋_GB2312" w:hAnsi="宋体" w:eastAsia="仿宋_GB2312" w:cs="仿宋_GB2312"/>
          <w:b/>
          <w:bCs w:val="0"/>
          <w:kern w:val="0"/>
          <w:sz w:val="32"/>
          <w:szCs w:val="32"/>
          <w:shd w:val="clear" w:color="auto" w:fill="FFFFFF"/>
          <w:lang w:val="en-US" w:eastAsia="zh-CN" w:bidi="ar"/>
        </w:rPr>
        <w:t>全力抓好项目建设，筑牢牧旅融合根基</w:t>
      </w:r>
      <w:r>
        <w:rPr>
          <w:rFonts w:hint="eastAsia" w:ascii="仿宋_GB2312" w:hAnsi="宋体" w:eastAsia="仿宋_GB2312" w:cs="仿宋_GB2312"/>
          <w:kern w:val="0"/>
          <w:sz w:val="32"/>
          <w:szCs w:val="32"/>
          <w:shd w:val="clear" w:color="auto" w:fill="FFFFFF"/>
          <w:lang w:val="en-US" w:eastAsia="zh-CN" w:bidi="ar"/>
        </w:rPr>
        <w:t>。2024年我镇建设项目7个，项目总投资6061.65万元，年度计划投资6061.65万元，其中新建6个，维修1个。目前，7个项目已基本全面完成建设，正在进行验收程序。</w:t>
      </w:r>
      <w:r>
        <w:rPr>
          <w:rFonts w:hint="eastAsia" w:ascii="仿宋_GB2312" w:hAnsi="仿宋_GB2312" w:eastAsia="仿宋_GB2312" w:cs="仿宋_GB2312"/>
          <w:b/>
          <w:bCs w:val="0"/>
          <w:color w:val="auto"/>
          <w:kern w:val="0"/>
          <w:sz w:val="32"/>
          <w:szCs w:val="32"/>
          <w:lang w:val="en-US" w:eastAsia="zh-CN" w:bidi="ar-SA"/>
        </w:rPr>
        <w:t>四是力促牧旅融合，助推优质发展。</w:t>
      </w:r>
      <w:r>
        <w:rPr>
          <w:rFonts w:hint="eastAsia" w:ascii="仿宋_GB2312" w:hAnsi="仿宋_GB2312" w:eastAsia="仿宋_GB2312" w:cs="仿宋_GB2312"/>
          <w:b w:val="0"/>
          <w:bCs/>
          <w:color w:val="auto"/>
          <w:kern w:val="0"/>
          <w:sz w:val="32"/>
          <w:szCs w:val="32"/>
          <w:lang w:val="en-US" w:eastAsia="zh-CN" w:bidi="ar-SA"/>
        </w:rPr>
        <w:t>组织镇村干部、成立辖区旅游市场综合检查组，常态开展旅游市场综合整治，重点开展旅游季辖区骑乘点安全规范提升行动，积极组织开展旅游志愿服务活动，为游客提供旅游咨询、物资及医疗保障服务，全力提升旅游形象。抓好畜牧产业，做好动物检疫、疫病防治，确保畜牧业稳产增产、助农增收，</w:t>
      </w:r>
      <w:r>
        <w:rPr>
          <w:rFonts w:hint="eastAsia" w:ascii="仿宋_GB2312" w:hAnsi="宋体" w:eastAsia="仿宋_GB2312" w:cs="仿宋_GB2312"/>
          <w:kern w:val="0"/>
          <w:sz w:val="32"/>
          <w:szCs w:val="32"/>
          <w:shd w:val="clear" w:color="auto" w:fill="FFFFFF"/>
          <w:lang w:val="en-US" w:eastAsia="zh-CN" w:bidi="ar"/>
        </w:rPr>
        <w:t>今年开展动物产地检疫812次、开展出诊巡诊动物疫病防治129次，牲畜预计出栏21890头。</w:t>
      </w:r>
    </w:p>
    <w:p w14:paraId="4A1AE6E8">
      <w:pPr>
        <w:pStyle w:val="1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val="0"/>
        <w:wordWrap w:val="0"/>
        <w:overflowPunct/>
        <w:topLinePunct/>
        <w:autoSpaceDE w:val="0"/>
        <w:autoSpaceDN w:val="0"/>
        <w:bidi w:val="0"/>
        <w:adjustRightInd w:val="0"/>
        <w:snapToGrid w:val="0"/>
        <w:spacing w:before="0" w:beforeAutospacing="0" w:after="0" w:afterAutospacing="0" w:line="576" w:lineRule="exact"/>
        <w:ind w:right="0" w:rightChars="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auto"/>
          <w:kern w:val="2"/>
          <w:sz w:val="32"/>
          <w:szCs w:val="32"/>
          <w:lang w:val="en-US" w:eastAsia="zh-CN" w:bidi="ar-SA"/>
        </w:rPr>
        <w:t>（二）全面防返贫促振兴。</w:t>
      </w:r>
      <w:r>
        <w:rPr>
          <w:rFonts w:hint="eastAsia" w:ascii="仿宋_GB2312" w:hAnsi="宋体" w:eastAsia="仿宋_GB2312" w:cs="仿宋_GB2312"/>
          <w:b/>
          <w:bCs/>
          <w:kern w:val="0"/>
          <w:sz w:val="32"/>
          <w:szCs w:val="32"/>
          <w:shd w:val="clear" w:color="auto" w:fill="FFFFFF"/>
          <w:lang w:val="en-US" w:eastAsia="zh-CN" w:bidi="ar"/>
        </w:rPr>
        <w:t>一是压实责任强化组织领导。</w:t>
      </w:r>
      <w:r>
        <w:rPr>
          <w:rFonts w:hint="eastAsia" w:ascii="仿宋_GB2312" w:hAnsi="宋体" w:eastAsia="仿宋_GB2312" w:cs="仿宋_GB2312"/>
          <w:kern w:val="0"/>
          <w:sz w:val="32"/>
          <w:szCs w:val="32"/>
          <w:shd w:val="clear" w:color="auto" w:fill="FFFFFF"/>
          <w:lang w:val="en-US" w:eastAsia="zh-CN" w:bidi="ar"/>
        </w:rPr>
        <w:t>镇党委政府高度重视巩固拓展脱贫攻坚成果同乡村振兴有效衔接工作。实时调整完善巩固拓展脱贫攻坚成果同乡村振兴有效衔接 工作领导小组，领导小组下设7个工作组，每个工作组由专人负责推进。今年召开9次专题会议研究部署巩固拓展脱贫攻坚成果同乡村振兴有效衔接工作，镇党委政府主要领导及各村支部书记切实开展书记遍访工作，对巩固拓展脱贫攻坚成果同乡村振兴有效衔接工作狠抓落实。目前已顺利迎接州检、省委组织部调研检查等各级检查。落实驻村帮扶责任，辖区三个村均派驻第一书记和驻村工作队员，为每户脱贫户和监测户落实一名帮扶责任人，确保帮扶成效显著。</w:t>
      </w:r>
      <w:r>
        <w:rPr>
          <w:rFonts w:hint="eastAsia" w:ascii="仿宋_GB2312" w:hAnsi="宋体" w:eastAsia="仿宋_GB2312" w:cs="仿宋_GB2312"/>
          <w:b/>
          <w:bCs/>
          <w:kern w:val="0"/>
          <w:sz w:val="32"/>
          <w:szCs w:val="32"/>
          <w:shd w:val="clear" w:color="auto" w:fill="FFFFFF"/>
          <w:lang w:val="en-US" w:eastAsia="zh-CN" w:bidi="ar"/>
        </w:rPr>
        <w:t>二是构建防返贫监测帮扶体系。</w:t>
      </w:r>
      <w:r>
        <w:rPr>
          <w:rFonts w:hint="eastAsia" w:ascii="仿宋_GB2312" w:hAnsi="宋体" w:eastAsia="仿宋_GB2312" w:cs="仿宋_GB2312"/>
          <w:kern w:val="0"/>
          <w:sz w:val="32"/>
          <w:szCs w:val="32"/>
          <w:shd w:val="clear" w:color="auto" w:fill="FFFFFF"/>
          <w:lang w:val="en-US" w:eastAsia="zh-CN" w:bidi="ar"/>
        </w:rPr>
        <w:t>建立健全网格管理、风险发现、快速识别、精准帮扶、风险消除、工作奖惩机制。今年组织驻村干部、村组干部、帮扶责任人等各级力量100余人次全面开展脱贫户及监测户入户走访、人口动态调整、返贫风险线索大排查工作，已全覆盖走访排查一般户、脱贫户、监测户1645户8066人并录入大排查系统。</w:t>
      </w:r>
      <w:r>
        <w:rPr>
          <w:rFonts w:hint="eastAsia" w:ascii="仿宋_GB2312" w:hAnsi="宋体" w:eastAsia="仿宋_GB2312" w:cs="仿宋_GB2312"/>
          <w:b/>
          <w:bCs/>
          <w:kern w:val="0"/>
          <w:sz w:val="32"/>
          <w:szCs w:val="32"/>
          <w:shd w:val="clear" w:color="auto" w:fill="FFFFFF"/>
          <w:lang w:val="en-US" w:eastAsia="zh-CN" w:bidi="ar"/>
        </w:rPr>
        <w:t>三是保障脱贫群众就业增收。</w:t>
      </w:r>
      <w:r>
        <w:rPr>
          <w:rFonts w:hint="eastAsia" w:ascii="仿宋_GB2312" w:hAnsi="宋体" w:eastAsia="仿宋_GB2312" w:cs="仿宋_GB2312"/>
          <w:kern w:val="0"/>
          <w:sz w:val="32"/>
          <w:szCs w:val="32"/>
          <w:shd w:val="clear" w:color="auto" w:fill="FFFFFF"/>
          <w:lang w:val="en-US" w:eastAsia="zh-CN" w:bidi="ar"/>
        </w:rPr>
        <w:t>积极组织镇村干部、驻村干部、帮扶干部，通过线上线下结合方式，积极宣讲政策，精准掌握脱贫人口务工状态、务工意愿、就业帮扶需求、培训意愿等信息，动员鼓励其外出务工，完善脱贫人口务工台账，认真梳理脱贫人口“返乡”“留岗”和“就业需求”三张清单。进一步提高就近就业的灵活度，开发困难人员公益性岗位，安置困难人员，着力解决脱贫家庭半劳力、弱劳力和外出务工困难人口就地就近就业、居家灵活就业问题。</w:t>
      </w:r>
      <w:r>
        <w:rPr>
          <w:rFonts w:hint="eastAsia" w:ascii="仿宋_GB2312" w:hAnsi="宋体" w:eastAsia="仿宋_GB2312" w:cs="仿宋_GB2312"/>
          <w:b/>
          <w:bCs/>
          <w:kern w:val="0"/>
          <w:sz w:val="32"/>
          <w:szCs w:val="32"/>
          <w:shd w:val="clear" w:color="auto" w:fill="FFFFFF"/>
          <w:lang w:val="en-US" w:eastAsia="zh-CN" w:bidi="ar"/>
        </w:rPr>
        <w:t>四是全力推动乡村“五大”振兴。</w:t>
      </w:r>
      <w:r>
        <w:rPr>
          <w:rFonts w:hint="eastAsia" w:ascii="仿宋_GB2312" w:hAnsi="宋体" w:eastAsia="仿宋_GB2312" w:cs="仿宋_GB2312"/>
          <w:kern w:val="0"/>
          <w:sz w:val="32"/>
          <w:szCs w:val="32"/>
          <w:shd w:val="clear" w:color="auto" w:fill="FFFFFF"/>
          <w:lang w:val="en-US" w:eastAsia="zh-CN" w:bidi="ar"/>
        </w:rPr>
        <w:t>紧紧围绕巩固拓展脱贫攻坚成果同乡村振兴有效衔接各项重点工作，进一步摸清各村发展优劣，综合认真分析研究，找准突破口和突出问题薄弱点，结合县委县政府年度重点工作安排部署和宜居宜业和美乡村建设规划，对标对表“产业兴旺、生态宜居、乡风文明、治理有效、生活富裕”总目标， 细化完善工作方案和具体举措，明确责任领导和责任人，积极对接筹措资金，抓好工作落实，启动项目建设，力促乡村振兴战略落地落实、见行见效。</w:t>
      </w:r>
    </w:p>
    <w:p w14:paraId="3D4F7221">
      <w:pPr>
        <w:pStyle w:val="1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val="0"/>
        <w:wordWrap w:val="0"/>
        <w:overflowPunct/>
        <w:topLinePunct/>
        <w:autoSpaceDE w:val="0"/>
        <w:autoSpaceDN w:val="0"/>
        <w:bidi w:val="0"/>
        <w:adjustRightInd w:val="0"/>
        <w:snapToGrid w:val="0"/>
        <w:spacing w:before="0" w:beforeAutospacing="0" w:after="0" w:afterAutospacing="0" w:line="576" w:lineRule="exact"/>
        <w:ind w:right="0" w:rightChars="0"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auto"/>
          <w:kern w:val="2"/>
          <w:sz w:val="32"/>
          <w:szCs w:val="32"/>
          <w:lang w:val="en-US" w:eastAsia="zh-CN" w:bidi="ar-SA"/>
        </w:rPr>
        <w:t>（三）用心保民生增福祉。</w:t>
      </w:r>
      <w:r>
        <w:rPr>
          <w:rFonts w:hint="eastAsia" w:ascii="仿宋_GB2312" w:hAnsi="宋体" w:eastAsia="仿宋_GB2312" w:cs="仿宋_GB2312"/>
          <w:b/>
          <w:bCs/>
          <w:kern w:val="0"/>
          <w:sz w:val="32"/>
          <w:szCs w:val="32"/>
          <w:shd w:val="clear" w:color="auto" w:fill="FFFFFF"/>
          <w:lang w:val="en-US" w:eastAsia="zh-CN" w:bidi="ar"/>
        </w:rPr>
        <w:t>一是抓实教育工作。</w:t>
      </w:r>
      <w:r>
        <w:rPr>
          <w:rFonts w:hint="eastAsia" w:ascii="仿宋_GB2312" w:hAnsi="宋体" w:eastAsia="仿宋_GB2312" w:cs="仿宋_GB2312"/>
          <w:kern w:val="0"/>
          <w:sz w:val="32"/>
          <w:szCs w:val="32"/>
          <w:shd w:val="clear" w:color="auto" w:fill="FFFFFF"/>
          <w:lang w:val="en-US" w:eastAsia="zh-CN" w:bidi="ar"/>
        </w:rPr>
        <w:t>持续强化社会动员，通过4次群众大会、500余次深入定居点及远牧点进行入户走访，向群众宣讲《义务教育法》《未成年人保护法》等法律法规，召开11次控辍保学工作推进会，与村组、民管会商榷学生动员工作6次，明确政府、社会、学校、民管会、家长各自的法律责任，重点安排摸底工作及引导己劝返工作。发放限期复学通知书37份，使监护人切实履行自己的法律责任和义务，并宣讲好教育相关惠民政策。完善工作机制，制定符合我镇实际情况的工作方法和路径，完成“三表一图”相关资料，结合“微网实格”工作，联合县级联系单位、学校、派出所、村组、家庭的协作，建立完善的监测和预警机制。及时发现学生辍学苗头，并采取措施予以解决。确保适龄儿童少年义务教育权利得到保障；优化教学管理，持续对接上级部门，提升教育资源配置，保障学生在入校后食、宿、校园安全等后勤工作；针对不同年龄段学生因材施教，探索学生入校后符合他们的学习方式及途径。</w:t>
      </w:r>
      <w:r>
        <w:rPr>
          <w:rFonts w:hint="eastAsia" w:ascii="仿宋_GB2312" w:hAnsi="宋体" w:eastAsia="仿宋_GB2312" w:cs="仿宋_GB2312"/>
          <w:b/>
          <w:bCs/>
          <w:kern w:val="0"/>
          <w:sz w:val="32"/>
          <w:szCs w:val="32"/>
          <w:shd w:val="clear" w:color="auto" w:fill="FFFFFF"/>
          <w:lang w:val="en-US" w:eastAsia="zh-CN" w:bidi="ar"/>
        </w:rPr>
        <w:t>二是强化医保覆盖。</w:t>
      </w:r>
      <w:r>
        <w:rPr>
          <w:rFonts w:hint="eastAsia" w:ascii="仿宋_GB2312" w:hAnsi="宋体" w:eastAsia="仿宋_GB2312" w:cs="仿宋_GB2312"/>
          <w:kern w:val="0"/>
          <w:sz w:val="32"/>
          <w:szCs w:val="32"/>
          <w:shd w:val="clear" w:color="auto" w:fill="FFFFFF"/>
          <w:lang w:val="en-US" w:eastAsia="zh-CN" w:bidi="ar"/>
        </w:rPr>
        <w:t>通过群众大会和日常“双联双进”工作，向全镇7000余名群众全覆盖宣传医保政策。建立镇村干部+驻村干部+包联干部联动统筹推进医保收缴及电子医保注册工作机制，召开4次专题会议研究落实医保收缴工作，主要负责人亲自抓，镇纪委实时跟踪督导工作推进情况，目前此项工作正有序推进。</w:t>
      </w:r>
      <w:r>
        <w:rPr>
          <w:rFonts w:hint="eastAsia" w:ascii="仿宋_GB2312" w:hAnsi="宋体" w:eastAsia="仿宋_GB2312" w:cs="仿宋_GB2312"/>
          <w:b/>
          <w:bCs/>
          <w:kern w:val="0"/>
          <w:sz w:val="32"/>
          <w:szCs w:val="32"/>
          <w:shd w:val="clear" w:color="auto" w:fill="FFFFFF"/>
          <w:lang w:val="en-US" w:eastAsia="zh-CN" w:bidi="ar"/>
        </w:rPr>
        <w:t>三是做好兜底保障。</w:t>
      </w:r>
      <w:r>
        <w:rPr>
          <w:rFonts w:hint="eastAsia" w:ascii="仿宋_GB2312" w:hAnsi="宋体" w:eastAsia="仿宋_GB2312" w:cs="仿宋_GB2312"/>
          <w:kern w:val="0"/>
          <w:sz w:val="32"/>
          <w:szCs w:val="32"/>
          <w:shd w:val="clear" w:color="auto" w:fill="FFFFFF"/>
          <w:lang w:val="en-US" w:eastAsia="zh-CN" w:bidi="ar"/>
        </w:rPr>
        <w:t>通过“天府通办”、“ 一卡通”等平台，常态推进困难群体生活补助资金发放工作。截止目前，已为6人申请临时救助基金，其中三人共发放2.88万元；发放最低生活保障11594余人次352.71万元，高龄津贴457 人次6.36万元，特困对象护理165人次1.87 万元，特困供养金 165人次11.42万元，孤儿22人次2.64万元，事实无人抚养儿童 125人次18.12万元，重残1151人次10.81万元，困残1265人次12.65万元；完成城乡居民社会养老保险参保700人，为60岁以上享受待遇人员办理养老保险生存认证540人，为今年死亡的20人办理完养老保险注销程序并报销抚恤金总计30000元，慰问困难留守老人98人。四是保障饮水安全。今年排查维修全镇饮水管道隐患10余处已全部解决，并常态化开展饮水安全保障相关工作，全镇群众饮水安全均得到有效保障。</w:t>
      </w:r>
    </w:p>
    <w:p w14:paraId="11AFBF7E">
      <w:pPr>
        <w:pStyle w:val="1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val="0"/>
        <w:wordWrap w:val="0"/>
        <w:overflowPunct/>
        <w:topLinePunct/>
        <w:autoSpaceDE w:val="0"/>
        <w:autoSpaceDN w:val="0"/>
        <w:bidi w:val="0"/>
        <w:adjustRightInd w:val="0"/>
        <w:snapToGrid w:val="0"/>
        <w:spacing w:before="0" w:beforeAutospacing="0" w:after="0" w:afterAutospacing="0" w:line="576" w:lineRule="exact"/>
        <w:ind w:right="0" w:rightChars="0" w:firstLine="643" w:firstLineChars="200"/>
        <w:textAlignment w:val="auto"/>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val="0"/>
          <w:color w:val="auto"/>
          <w:kern w:val="0"/>
          <w:sz w:val="32"/>
          <w:szCs w:val="32"/>
          <w:lang w:val="en-US" w:eastAsia="zh-CN" w:bidi="ar-SA"/>
        </w:rPr>
        <w:t>（四）</w:t>
      </w:r>
      <w:r>
        <w:rPr>
          <w:rFonts w:hint="eastAsia" w:ascii="仿宋_GB2312" w:hAnsi="宋体" w:eastAsia="仿宋_GB2312" w:cs="仿宋_GB2312"/>
          <w:b/>
          <w:bCs/>
          <w:kern w:val="0"/>
          <w:sz w:val="32"/>
          <w:szCs w:val="32"/>
          <w:shd w:val="clear" w:color="auto" w:fill="FFFFFF"/>
          <w:lang w:val="en-US" w:eastAsia="zh-CN" w:bidi="ar"/>
        </w:rPr>
        <w:t>安全生产常抓不懈。</w:t>
      </w:r>
      <w:r>
        <w:rPr>
          <w:rFonts w:hint="eastAsia" w:ascii="仿宋_GB2312" w:hAnsi="宋体" w:eastAsia="仿宋_GB2312" w:cs="仿宋_GB2312"/>
          <w:kern w:val="0"/>
          <w:sz w:val="32"/>
          <w:szCs w:val="32"/>
          <w:shd w:val="clear" w:color="auto" w:fill="FFFFFF"/>
          <w:lang w:val="en-US" w:eastAsia="zh-CN" w:bidi="ar"/>
        </w:rPr>
        <w:t>常态开展森林草原防灭火工作，今年召开4次专题会议分析研判森林草原防灭火形势，组织30名护林员常态开展林草防火全域巡9次，劝导教育30余人次。压紧压实镇村干部、生态公益性岗位人员责任，落实落细各类防火措施，结合群众大会、“双联双进”累计全覆盖开展森林草原防灭火“法七条”宣传宣讲工作10次，逐户签订防火责任书，组织开展综合应急演练2次；以落实安全生产责任制为重点，及时传达贯彻上级有关安全生产方面的文件和会议精神6次，召开季度、月专项安全生产工作例会6次，召开节前专题部署会4次，认真做好安全生产宣传教育培训工作，开学季深入镇小学校放 宣传资料600余份。制定安全生产相关应急预案，组织防火、防汛、防灾综合应急救援演练2次，安全生产桌面应急推演1次； 坚持“全覆盖、零容忍、严要求、重实效”，深入定居点和镰刀坝开展安全生产大检查活动9次，全覆盖排查1000余户自建房安全隐患，排查道路交通安全隐患3处。组织食品药品、道路交通、危化品、消防、学校安全等综合检查24次，建立检查台账3本。开展燃气安全领域宣传排查工作共12次，查出问题5处，整改5处。开展安全“五进”工作，发放宣传手册50余份。开展安全生产治本攻坚三年行动，对三大场所、“九小”场所全面理排查8次，发现问题17个，完成整改17个，整改率100%。签订责任书35份。</w:t>
      </w:r>
    </w:p>
    <w:p w14:paraId="181A16D3">
      <w:pPr>
        <w:pStyle w:val="1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val="0"/>
        <w:wordWrap w:val="0"/>
        <w:overflowPunct/>
        <w:topLinePunct/>
        <w:autoSpaceDE w:val="0"/>
        <w:autoSpaceDN w:val="0"/>
        <w:bidi w:val="0"/>
        <w:adjustRightInd w:val="0"/>
        <w:snapToGrid w:val="0"/>
        <w:spacing w:before="0" w:beforeAutospacing="0" w:after="0" w:afterAutospacing="0" w:line="576" w:lineRule="exact"/>
        <w:ind w:right="0" w:rightChars="0" w:firstLine="643" w:firstLineChars="200"/>
        <w:textAlignment w:val="auto"/>
        <w:rPr>
          <w:rFonts w:hint="eastAsia" w:ascii="仿宋_GB2312" w:hAnsi="仿宋_GB2312" w:eastAsia="仿宋_GB2312" w:cs="仿宋_GB2312"/>
          <w:b/>
          <w:bCs/>
          <w:color w:val="auto"/>
          <w:sz w:val="32"/>
          <w:szCs w:val="32"/>
          <w:u w:val="none"/>
          <w:lang w:val="en-US" w:eastAsia="zh-CN"/>
        </w:rPr>
      </w:pPr>
      <w:r>
        <w:rPr>
          <w:rFonts w:hint="eastAsia" w:ascii="仿宋_GB2312" w:hAnsi="仿宋_GB2312" w:eastAsia="仿宋_GB2312" w:cs="仿宋_GB2312"/>
          <w:b/>
          <w:bCs/>
          <w:color w:val="auto"/>
          <w:kern w:val="2"/>
          <w:sz w:val="32"/>
          <w:szCs w:val="32"/>
          <w:lang w:val="en-US" w:eastAsia="zh-CN" w:bidi="ar-SA"/>
        </w:rPr>
        <w:t>（五）合力护生态优环境。</w:t>
      </w:r>
      <w:r>
        <w:rPr>
          <w:rFonts w:hint="eastAsia" w:ascii="仿宋_GB2312" w:hAnsi="仿宋_GB2312" w:eastAsia="仿宋_GB2312" w:cs="仿宋_GB2312"/>
          <w:b/>
          <w:bCs w:val="0"/>
          <w:color w:val="auto"/>
          <w:kern w:val="0"/>
          <w:sz w:val="32"/>
          <w:szCs w:val="32"/>
          <w:lang w:val="en-US" w:eastAsia="zh-CN" w:bidi="ar-SA"/>
        </w:rPr>
        <w:t>一是建立生态保护机制。</w:t>
      </w:r>
      <w:r>
        <w:rPr>
          <w:rFonts w:hint="eastAsia" w:ascii="仿宋_GB2312" w:hAnsi="宋体" w:eastAsia="仿宋_GB2312" w:cs="仿宋_GB2312"/>
          <w:b/>
          <w:bCs/>
          <w:kern w:val="0"/>
          <w:sz w:val="32"/>
          <w:szCs w:val="32"/>
          <w:shd w:val="clear" w:color="auto" w:fill="FFFFFF"/>
          <w:lang w:val="en-US" w:eastAsia="zh-CN" w:bidi="ar"/>
        </w:rPr>
        <w:t>一是建立生态保护机制。</w:t>
      </w:r>
      <w:r>
        <w:rPr>
          <w:rFonts w:hint="eastAsia" w:ascii="仿宋_GB2312" w:hAnsi="宋体" w:eastAsia="仿宋_GB2312" w:cs="仿宋_GB2312"/>
          <w:kern w:val="0"/>
          <w:sz w:val="32"/>
          <w:szCs w:val="32"/>
          <w:shd w:val="clear" w:color="auto" w:fill="FFFFFF"/>
          <w:lang w:val="en-US" w:eastAsia="zh-CN" w:bidi="ar"/>
        </w:rPr>
        <w:t>严守生态红线，建立“党委统领+支部组织+党员率带+群众参与”模式， 持续深化“网格管理、定人定责、区域到人、层层落实”工作模式，实行定人、定责、定段、定时的“四定”环境整治管理责任制，与辖区项目施工单位、工商户逐一签订环保及环境卫生责任书。</w:t>
      </w:r>
      <w:r>
        <w:rPr>
          <w:rFonts w:hint="eastAsia" w:ascii="仿宋_GB2312" w:hAnsi="宋体" w:eastAsia="仿宋_GB2312" w:cs="仿宋_GB2312"/>
          <w:b/>
          <w:bCs/>
          <w:kern w:val="0"/>
          <w:sz w:val="32"/>
          <w:szCs w:val="32"/>
          <w:shd w:val="clear" w:color="auto" w:fill="FFFFFF"/>
          <w:lang w:val="en-US" w:eastAsia="zh-CN" w:bidi="ar"/>
        </w:rPr>
        <w:t>二是保持镇域干净卫生。</w:t>
      </w:r>
      <w:r>
        <w:rPr>
          <w:rFonts w:hint="eastAsia" w:ascii="仿宋_GB2312" w:hAnsi="宋体" w:eastAsia="仿宋_GB2312" w:cs="仿宋_GB2312"/>
          <w:kern w:val="0"/>
          <w:sz w:val="32"/>
          <w:szCs w:val="32"/>
          <w:shd w:val="clear" w:color="auto" w:fill="FFFFFF"/>
          <w:lang w:val="en-US" w:eastAsia="zh-CN" w:bidi="ar"/>
        </w:rPr>
        <w:t>结合黄河上游全域全员全天生态环境综合治理、每旬定居点环境卫生综合治理和每周公路沿线及镰刀坝环境卫生综合整治工作，安排镇村干部、公益性岗位人员、项目施工单位和牧家乐业主共计500余人定岗定责定区域，开展辖区路 域、水域、工地、定居点、观景点环境卫生整治18次，出动机具20余台次，清理破旧经幡3处，集中清理背街小巷、房前屋后垃圾20余吨。坚持农村垃圾无害化处理，健全完善全镇农村生活垃圾“清运运营”模式，实行 100%无害化处理。</w:t>
      </w:r>
      <w:r>
        <w:rPr>
          <w:rFonts w:hint="eastAsia" w:ascii="仿宋_GB2312" w:hAnsi="宋体" w:eastAsia="仿宋_GB2312" w:cs="仿宋_GB2312"/>
          <w:b/>
          <w:bCs/>
          <w:kern w:val="0"/>
          <w:sz w:val="32"/>
          <w:szCs w:val="32"/>
          <w:shd w:val="clear" w:color="auto" w:fill="FFFFFF"/>
          <w:lang w:val="en-US" w:eastAsia="zh-CN" w:bidi="ar"/>
        </w:rPr>
        <w:t>三是强化生态巡查整治。</w:t>
      </w:r>
      <w:r>
        <w:rPr>
          <w:rFonts w:hint="eastAsia" w:ascii="仿宋_GB2312" w:hAnsi="宋体" w:eastAsia="仿宋_GB2312" w:cs="仿宋_GB2312"/>
          <w:kern w:val="0"/>
          <w:sz w:val="32"/>
          <w:szCs w:val="32"/>
          <w:shd w:val="clear" w:color="auto" w:fill="FFFFFF"/>
          <w:lang w:val="en-US" w:eastAsia="zh-CN" w:bidi="ar"/>
        </w:rPr>
        <w:t>严格落实“河长制”，镇村河长累计巡河8次，组织整治河道卫生4次。每周深入远牧点开展草煤泥炭盗挖巡逻巡查工作，严厉打击泥炭盗挖等违法行为，对6处地质灾害点设立警告警示标志，将生态环保纳入村规民约，把泥碳盗挖与生态奖补、湿地补偿直接挂钩，充分发动群众，强化监督管理，杜绝泥炭盗挖等违法现象。</w:t>
      </w:r>
    </w:p>
    <w:p w14:paraId="2EC773D9">
      <w:pPr>
        <w:pStyle w:val="16"/>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rightChars="0" w:firstLine="643" w:firstLineChars="0"/>
        <w:jc w:val="both"/>
        <w:textAlignment w:val="auto"/>
        <w:outlineLvl w:val="0"/>
        <w:rPr>
          <w:rFonts w:hint="eastAsia" w:ascii="黑体" w:hAnsi="黑体" w:eastAsia="黑体" w:cs="黑体"/>
          <w:b/>
          <w:bCs/>
          <w:color w:val="auto"/>
          <w:kern w:val="2"/>
          <w:sz w:val="32"/>
          <w:szCs w:val="32"/>
          <w:u w:val="none"/>
          <w:lang w:val="en-US" w:eastAsia="zh-CN" w:bidi="ar-SA"/>
        </w:rPr>
      </w:pPr>
      <w:bookmarkStart w:id="4" w:name="_Toc15474"/>
      <w:r>
        <w:rPr>
          <w:rFonts w:hint="eastAsia" w:ascii="黑体" w:hAnsi="黑体" w:eastAsia="黑体" w:cs="黑体"/>
          <w:b/>
          <w:bCs/>
          <w:color w:val="auto"/>
          <w:kern w:val="2"/>
          <w:sz w:val="32"/>
          <w:szCs w:val="32"/>
          <w:u w:val="none"/>
          <w:lang w:val="en-US" w:eastAsia="zh-CN" w:bidi="ar-SA"/>
        </w:rPr>
        <w:t>二、取得成效</w:t>
      </w:r>
      <w:bookmarkEnd w:id="4"/>
    </w:p>
    <w:p w14:paraId="0DDB9C5D">
      <w:pPr>
        <w:pStyle w:val="16"/>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val="0"/>
        <w:wordWrap w:val="0"/>
        <w:overflowPunct/>
        <w:topLinePunct/>
        <w:autoSpaceDE w:val="0"/>
        <w:autoSpaceDN w:val="0"/>
        <w:bidi w:val="0"/>
        <w:adjustRightInd w:val="0"/>
        <w:snapToGrid w:val="0"/>
        <w:spacing w:before="0" w:beforeAutospacing="0" w:after="0" w:afterAutospacing="0" w:line="576" w:lineRule="exact"/>
        <w:ind w:right="0" w:rightChars="0"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以点带面，织密基层管理网格。</w:t>
      </w:r>
      <w:r>
        <w:rPr>
          <w:rFonts w:hint="eastAsia" w:ascii="仿宋_GB2312" w:hAnsi="宋体" w:eastAsia="仿宋_GB2312" w:cs="仿宋_GB2312"/>
          <w:kern w:val="0"/>
          <w:sz w:val="32"/>
          <w:szCs w:val="32"/>
          <w:shd w:val="clear" w:color="auto" w:fill="FFFFFF"/>
          <w:lang w:val="en-US" w:eastAsia="zh-CN" w:bidi="ar"/>
        </w:rPr>
        <w:t>持续优化治理新模式。结合我镇“1346”管理模式，扎实开展“微网实格”工作，将色地镇定居点867户5129人细分为4大网格，依托主干道、河道、背街小巷划分28个微网格，选聘配强辖区三个村网格管理员3名，分村配齐网格指导员3名、网格长3名、微网格长28名、网格管理员28名、信息员28名和民辅警10名，成立“微网格”党小组28个；将远牧点分村划为3个大网格，37个微网格，分层分类全覆盖扎实开展网格力量业务培训4次，处理网格事件315件，办理阅件87件，办结率100% 。</w:t>
      </w:r>
    </w:p>
    <w:p w14:paraId="17539E34">
      <w:pPr>
        <w:pStyle w:val="5"/>
        <w:keepNext w:val="0"/>
        <w:keepLines w:val="0"/>
        <w:pageBreakBefore w:val="0"/>
        <w:widowControl w:val="0"/>
        <w:suppressLineNumbers w:val="0"/>
        <w:kinsoku/>
        <w:wordWrap/>
        <w:overflowPunct/>
        <w:topLinePunct w:val="0"/>
        <w:bidi w:val="0"/>
        <w:adjustRightInd/>
        <w:snapToGrid/>
        <w:spacing w:before="0" w:beforeAutospacing="0" w:after="0" w:afterAutospacing="0" w:line="560" w:lineRule="exact"/>
        <w:ind w:left="0" w:leftChars="0" w:firstLine="643" w:firstLineChars="200"/>
        <w:jc w:val="left"/>
        <w:textAlignment w:val="auto"/>
        <w:outlineLvl w:val="0"/>
        <w:rPr>
          <w:rFonts w:hint="eastAsia" w:ascii="黑体" w:hAnsi="黑体" w:eastAsia="黑体" w:cs="黑体"/>
          <w:sz w:val="32"/>
          <w:szCs w:val="32"/>
        </w:rPr>
      </w:pPr>
      <w:bookmarkStart w:id="5" w:name="_Toc15734"/>
      <w:r>
        <w:rPr>
          <w:rFonts w:hint="eastAsia" w:ascii="黑体" w:hAnsi="黑体" w:eastAsia="黑体" w:cs="黑体"/>
          <w:sz w:val="32"/>
          <w:szCs w:val="32"/>
          <w:shd w:val="clear" w:fill="FFFFFF"/>
          <w:lang w:val="en-US" w:eastAsia="zh-CN"/>
        </w:rPr>
        <w:t>三</w:t>
      </w:r>
      <w:r>
        <w:rPr>
          <w:rFonts w:hint="eastAsia" w:ascii="黑体" w:hAnsi="黑体" w:eastAsia="黑体" w:cs="黑体"/>
          <w:sz w:val="32"/>
          <w:szCs w:val="32"/>
          <w:shd w:val="clear" w:fill="FFFFFF"/>
        </w:rPr>
        <w:t>、机构设置</w:t>
      </w:r>
      <w:bookmarkEnd w:id="5"/>
    </w:p>
    <w:p w14:paraId="0B4B4E95">
      <w:pPr>
        <w:keepNext w:val="0"/>
        <w:keepLines w:val="0"/>
        <w:pageBreakBefore w:val="0"/>
        <w:widowControl w:val="0"/>
        <w:kinsoku w:val="0"/>
        <w:wordWrap w:val="0"/>
        <w:overflowPunct/>
        <w:topLinePunct/>
        <w:autoSpaceDE w:val="0"/>
        <w:autoSpaceDN w:val="0"/>
        <w:bidi w:val="0"/>
        <w:adjustRightInd/>
        <w:snapToGrid/>
        <w:spacing w:afterAutospacing="0" w:line="576"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lang w:eastAsia="zh-CN"/>
        </w:rPr>
        <w:t>色地</w:t>
      </w:r>
      <w:r>
        <w:rPr>
          <w:rFonts w:hint="eastAsia" w:ascii="仿宋_GB2312" w:hAnsi="仿宋_GB2312" w:eastAsia="仿宋_GB2312" w:cs="仿宋_GB2312"/>
          <w:color w:val="000000"/>
          <w:sz w:val="32"/>
          <w:szCs w:val="32"/>
        </w:rPr>
        <w:t>镇人民政府下属二级单位0个，其中行政单位0个，参照公务员法管理的事业单位</w:t>
      </w:r>
      <w:r>
        <w:rPr>
          <w:rFonts w:hint="eastAsia" w:ascii="仿宋_GB2312" w:hAnsi="仿宋_GB2312" w:eastAsia="仿宋_GB2312" w:cs="仿宋_GB2312"/>
          <w:bCs/>
          <w:color w:val="000000"/>
          <w:sz w:val="32"/>
          <w:szCs w:val="32"/>
        </w:rPr>
        <w:t>0</w:t>
      </w:r>
      <w:r>
        <w:rPr>
          <w:rFonts w:hint="eastAsia" w:ascii="仿宋_GB2312" w:hAnsi="仿宋_GB2312" w:eastAsia="仿宋_GB2312" w:cs="仿宋_GB2312"/>
          <w:color w:val="000000"/>
          <w:sz w:val="32"/>
          <w:szCs w:val="32"/>
        </w:rPr>
        <w:t>个，其他事业单位0个。</w:t>
      </w:r>
      <w:bookmarkStart w:id="6" w:name="_Toc15377201"/>
      <w:bookmarkStart w:id="7" w:name="_Toc15378448"/>
      <w:bookmarkStart w:id="8" w:name="_Toc15377432"/>
      <w:bookmarkStart w:id="9" w:name="_Toc15306275"/>
      <w:r>
        <w:rPr>
          <w:rFonts w:hint="eastAsia" w:ascii="仿宋_GB2312" w:hAnsi="仿宋_GB2312" w:eastAsia="仿宋_GB2312" w:cs="仿宋_GB2312"/>
          <w:bCs/>
          <w:color w:val="000000"/>
          <w:sz w:val="32"/>
          <w:szCs w:val="32"/>
        </w:rPr>
        <w:t>我单位为独立核算全额拨款行政单位，2个机构，一个共产党机关，一个政府机关。</w:t>
      </w:r>
      <w:bookmarkEnd w:id="6"/>
      <w:bookmarkEnd w:id="7"/>
      <w:bookmarkEnd w:id="8"/>
      <w:bookmarkEnd w:id="9"/>
      <w:r>
        <w:rPr>
          <w:rFonts w:hint="eastAsia" w:ascii="仿宋_GB2312" w:hAnsi="仿宋_GB2312" w:eastAsia="仿宋_GB2312" w:cs="仿宋_GB2312"/>
          <w:sz w:val="32"/>
          <w:szCs w:val="32"/>
        </w:rPr>
        <w:t xml:space="preserve">色地镇行政编制 </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名。</w:t>
      </w:r>
      <w:r>
        <w:rPr>
          <w:rFonts w:hint="eastAsia" w:ascii="仿宋_GB2312" w:hAnsi="宋体" w:eastAsia="仿宋_GB2312" w:cs="仿宋_GB2312"/>
          <w:kern w:val="0"/>
          <w:sz w:val="32"/>
          <w:szCs w:val="32"/>
          <w:shd w:val="clear" w:color="auto" w:fill="FFFFFF"/>
          <w:lang w:val="en-US" w:eastAsia="zh-CN" w:bidi="ar"/>
        </w:rPr>
        <w:t>比上年增加-4人；变动情况及原因为2024年有4人调动。</w:t>
      </w:r>
    </w:p>
    <w:p w14:paraId="70889135">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480" w:leftChars="0" w:right="0" w:rightChars="0" w:hanging="480" w:hangingChars="200"/>
        <w:jc w:val="left"/>
        <w:textAlignment w:val="auto"/>
        <w:outlineLvl w:val="0"/>
        <w:rPr>
          <w:rFonts w:hint="eastAsia" w:ascii="黑体" w:hAnsi="黑体" w:eastAsia="黑体" w:cs="黑体"/>
          <w:sz w:val="30"/>
          <w:szCs w:val="30"/>
          <w:shd w:val="clear" w:fill="FFFFFF"/>
        </w:rPr>
      </w:pPr>
      <w:bookmarkStart w:id="10" w:name="_Toc27889"/>
      <w:r>
        <w:rPr>
          <w:shd w:val="clear" w:fill="FFFFFF"/>
        </w:rPr>
        <w:t> </w:t>
      </w:r>
      <w:r>
        <w:rPr>
          <w:rFonts w:hint="eastAsia" w:ascii="方正小标宋简体" w:hAnsi="方正小标宋简体" w:eastAsia="方正小标宋简体" w:cs="方正小标宋简体"/>
          <w:b w:val="0"/>
          <w:bCs w:val="0"/>
          <w:kern w:val="44"/>
          <w:sz w:val="48"/>
          <w:szCs w:val="48"/>
          <w:shd w:val="clear" w:fill="FFFFFF"/>
          <w:lang w:val="en-US" w:eastAsia="zh-CN" w:bidi="ar"/>
        </w:rPr>
        <w:t>第二部分 2024年度部门决算情况说明</w:t>
      </w:r>
      <w:r>
        <w:rPr>
          <w:rFonts w:hint="eastAsia"/>
          <w:shd w:val="clear" w:fill="FFFFFF"/>
          <w:lang w:val="en-US" w:eastAsia="zh-CN"/>
        </w:rPr>
        <w:t xml:space="preserve"> </w:t>
      </w:r>
      <w:r>
        <w:rPr>
          <w:rFonts w:hint="eastAsia" w:ascii="黑体" w:hAnsi="黑体" w:eastAsia="黑体" w:cs="黑体"/>
          <w:sz w:val="30"/>
          <w:szCs w:val="30"/>
          <w:shd w:val="clear" w:fill="FFFFFF"/>
        </w:rPr>
        <w:t>一、收入支出决算总体情况说明</w:t>
      </w:r>
      <w:bookmarkEnd w:id="10"/>
    </w:p>
    <w:p w14:paraId="2E23E72D">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both"/>
        <w:textAlignment w:val="auto"/>
        <w:rPr>
          <w:rFonts w:hint="default"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color w:val="auto"/>
          <w:sz w:val="32"/>
          <w:szCs w:val="32"/>
          <w:shd w:val="clear" w:fill="FFFFFF"/>
        </w:rPr>
        <w:t>202</w:t>
      </w:r>
      <w:r>
        <w:rPr>
          <w:rFonts w:hint="eastAsia" w:ascii="仿宋_GB2312" w:hAnsi="仿宋_GB2312" w:eastAsia="仿宋_GB2312" w:cs="仿宋_GB2312"/>
          <w:color w:val="auto"/>
          <w:sz w:val="32"/>
          <w:szCs w:val="32"/>
          <w:shd w:val="clear" w:fill="FFFFFF"/>
          <w:lang w:val="en-US" w:eastAsia="zh-CN"/>
        </w:rPr>
        <w:t>4</w:t>
      </w:r>
      <w:r>
        <w:rPr>
          <w:rFonts w:hint="eastAsia" w:ascii="仿宋_GB2312" w:hAnsi="仿宋_GB2312" w:eastAsia="仿宋_GB2312" w:cs="仿宋_GB2312"/>
          <w:color w:val="auto"/>
          <w:sz w:val="32"/>
          <w:szCs w:val="32"/>
          <w:shd w:val="clear" w:fill="FFFFFF"/>
        </w:rPr>
        <w:t>年度</w:t>
      </w:r>
      <w:r>
        <w:rPr>
          <w:rFonts w:hint="eastAsia" w:ascii="仿宋_GB2312" w:hAnsi="仿宋_GB2312" w:eastAsia="仿宋_GB2312" w:cs="仿宋_GB2312"/>
          <w:color w:val="auto"/>
          <w:sz w:val="32"/>
          <w:szCs w:val="32"/>
          <w:shd w:val="clear" w:fill="FFFFFF"/>
          <w:lang w:eastAsia="zh-CN"/>
        </w:rPr>
        <w:t>决算</w:t>
      </w:r>
      <w:r>
        <w:rPr>
          <w:rFonts w:hint="eastAsia" w:ascii="仿宋_GB2312" w:hAnsi="仿宋_GB2312" w:eastAsia="仿宋_GB2312" w:cs="仿宋_GB2312"/>
          <w:color w:val="auto"/>
          <w:sz w:val="32"/>
          <w:szCs w:val="32"/>
          <w:shd w:val="clear" w:fill="FFFFFF"/>
          <w:lang w:val="en-US" w:eastAsia="zh-CN"/>
        </w:rPr>
        <w:t>收、支</w:t>
      </w:r>
      <w:r>
        <w:rPr>
          <w:rFonts w:hint="eastAsia" w:ascii="仿宋_GB2312" w:hAnsi="仿宋_GB2312" w:eastAsia="仿宋_GB2312" w:cs="仿宋_GB2312"/>
          <w:color w:val="auto"/>
          <w:sz w:val="32"/>
          <w:szCs w:val="32"/>
          <w:shd w:val="clear" w:fill="FFFFFF"/>
        </w:rPr>
        <w:t>总计3370.35万元</w:t>
      </w:r>
      <w:r>
        <w:rPr>
          <w:rFonts w:hint="eastAsia" w:ascii="仿宋_GB2312" w:hAnsi="仿宋_GB2312" w:eastAsia="仿宋_GB2312" w:cs="仿宋_GB2312"/>
          <w:color w:val="auto"/>
          <w:sz w:val="32"/>
          <w:szCs w:val="32"/>
          <w:shd w:val="clear" w:fill="FFFFFF"/>
          <w:lang w:eastAsia="zh-CN"/>
        </w:rPr>
        <w:t>，</w:t>
      </w:r>
      <w:r>
        <w:rPr>
          <w:rFonts w:hint="eastAsia" w:ascii="仿宋_GB2312" w:hAnsi="仿宋_GB2312" w:eastAsia="仿宋_GB2312" w:cs="仿宋_GB2312"/>
          <w:color w:val="auto"/>
          <w:sz w:val="32"/>
          <w:szCs w:val="32"/>
          <w:shd w:val="clear" w:fill="FFFFFF"/>
          <w:lang w:val="en-US" w:eastAsia="zh-CN"/>
        </w:rPr>
        <w:t>与2023年度相比，收、支</w:t>
      </w:r>
      <w:r>
        <w:rPr>
          <w:rFonts w:hint="eastAsia" w:ascii="仿宋_GB2312" w:hAnsi="仿宋_GB2312" w:eastAsia="仿宋_GB2312" w:cs="仿宋_GB2312"/>
          <w:color w:val="auto"/>
          <w:sz w:val="32"/>
          <w:szCs w:val="32"/>
          <w:shd w:val="clear" w:fill="FFFFFF"/>
        </w:rPr>
        <w:t>总计</w:t>
      </w:r>
      <w:r>
        <w:rPr>
          <w:rFonts w:hint="eastAsia" w:ascii="仿宋_GB2312" w:hAnsi="仿宋_GB2312" w:eastAsia="仿宋_GB2312" w:cs="仿宋_GB2312"/>
          <w:color w:val="auto"/>
          <w:sz w:val="32"/>
          <w:szCs w:val="32"/>
          <w:shd w:val="clear" w:fill="FFFFFF"/>
          <w:lang w:val="en-US" w:eastAsia="zh-CN"/>
        </w:rPr>
        <w:t>均增加2091.01万元，增长163.44%，</w:t>
      </w:r>
      <w:r>
        <w:rPr>
          <w:rFonts w:hint="eastAsia" w:ascii="仿宋_GB2312" w:hAnsi="仿宋_GB2312" w:eastAsia="仿宋_GB2312" w:cs="仿宋_GB2312"/>
          <w:kern w:val="0"/>
          <w:sz w:val="32"/>
          <w:szCs w:val="32"/>
          <w:shd w:val="clear" w:fill="FFFFFF"/>
          <w:lang w:val="en-US" w:eastAsia="zh-CN" w:bidi="ar"/>
        </w:rPr>
        <w:t>主要原因为项目增加，人员经费增加。</w:t>
      </w:r>
      <w:bookmarkStart w:id="38" w:name="_GoBack"/>
      <w:bookmarkEnd w:id="38"/>
    </w:p>
    <w:p w14:paraId="70EFCB2F">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shd w:val="clear" w:fill="FFFFFF"/>
        </w:rPr>
        <w:t>（图1：收、支决算总计变动情况图）（柱状图）</w:t>
      </w:r>
    </w:p>
    <w:p w14:paraId="22DC4616">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480" w:firstLineChars="200"/>
        <w:jc w:val="left"/>
        <w:textAlignment w:val="auto"/>
        <w:rPr>
          <w:rFonts w:hint="eastAsia" w:ascii="黑体" w:hAnsi="黑体" w:eastAsia="黑体" w:cs="黑体"/>
          <w:sz w:val="30"/>
          <w:szCs w:val="30"/>
          <w:shd w:val="clear" w:fill="FFFFFF"/>
        </w:rPr>
      </w:pPr>
      <w:r>
        <w:drawing>
          <wp:anchor distT="0" distB="0" distL="114300" distR="114300" simplePos="0" relativeHeight="251663360" behindDoc="0" locked="0" layoutInCell="1" allowOverlap="1">
            <wp:simplePos x="0" y="0"/>
            <wp:positionH relativeFrom="column">
              <wp:posOffset>852170</wp:posOffset>
            </wp:positionH>
            <wp:positionV relativeFrom="paragraph">
              <wp:posOffset>143510</wp:posOffset>
            </wp:positionV>
            <wp:extent cx="3486785" cy="2993390"/>
            <wp:effectExtent l="0" t="0" r="5715" b="3810"/>
            <wp:wrapSquare wrapText="bothSides"/>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7"/>
                    <a:stretch>
                      <a:fillRect/>
                    </a:stretch>
                  </pic:blipFill>
                  <pic:spPr>
                    <a:xfrm>
                      <a:off x="0" y="0"/>
                      <a:ext cx="3486785" cy="2993390"/>
                    </a:xfrm>
                    <a:prstGeom prst="rect">
                      <a:avLst/>
                    </a:prstGeom>
                    <a:noFill/>
                    <a:ln>
                      <a:noFill/>
                    </a:ln>
                  </pic:spPr>
                </pic:pic>
              </a:graphicData>
            </a:graphic>
          </wp:anchor>
        </w:drawing>
      </w:r>
    </w:p>
    <w:p w14:paraId="26FC4844">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黑体" w:hAnsi="黑体" w:eastAsia="黑体" w:cs="黑体"/>
          <w:sz w:val="30"/>
          <w:szCs w:val="30"/>
          <w:shd w:val="clear" w:fill="FFFFFF"/>
        </w:rPr>
      </w:pPr>
    </w:p>
    <w:p w14:paraId="3E0B2BBA">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黑体" w:hAnsi="黑体" w:eastAsia="黑体" w:cs="黑体"/>
          <w:sz w:val="30"/>
          <w:szCs w:val="30"/>
          <w:shd w:val="clear" w:fill="FFFFFF"/>
        </w:rPr>
      </w:pPr>
    </w:p>
    <w:p w14:paraId="48485BEB">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黑体" w:hAnsi="黑体" w:eastAsia="黑体" w:cs="黑体"/>
          <w:sz w:val="30"/>
          <w:szCs w:val="30"/>
          <w:shd w:val="clear" w:fill="FFFFFF"/>
        </w:rPr>
      </w:pPr>
    </w:p>
    <w:p w14:paraId="1EA830DC">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黑体" w:hAnsi="黑体" w:eastAsia="黑体" w:cs="黑体"/>
          <w:sz w:val="30"/>
          <w:szCs w:val="30"/>
          <w:shd w:val="clear" w:fill="FFFFFF"/>
        </w:rPr>
      </w:pPr>
    </w:p>
    <w:p w14:paraId="354FD772">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jc w:val="left"/>
        <w:textAlignment w:val="auto"/>
        <w:rPr>
          <w:rFonts w:hint="eastAsia" w:ascii="黑体" w:hAnsi="黑体" w:eastAsia="黑体" w:cs="黑体"/>
          <w:sz w:val="30"/>
          <w:szCs w:val="30"/>
          <w:shd w:val="clear" w:fill="FFFFFF"/>
        </w:rPr>
      </w:pPr>
      <w:r>
        <w:rPr>
          <w:sz w:val="30"/>
        </w:rPr>
        <mc:AlternateContent>
          <mc:Choice Requires="wps">
            <w:drawing>
              <wp:anchor distT="0" distB="0" distL="114300" distR="114300" simplePos="0" relativeHeight="251661312" behindDoc="0" locked="0" layoutInCell="1" allowOverlap="1">
                <wp:simplePos x="0" y="0"/>
                <wp:positionH relativeFrom="column">
                  <wp:posOffset>2592070</wp:posOffset>
                </wp:positionH>
                <wp:positionV relativeFrom="paragraph">
                  <wp:posOffset>87630</wp:posOffset>
                </wp:positionV>
                <wp:extent cx="544830" cy="248920"/>
                <wp:effectExtent l="0" t="0" r="7620" b="17780"/>
                <wp:wrapNone/>
                <wp:docPr id="9" name="文本框 9"/>
                <wp:cNvGraphicFramePr/>
                <a:graphic xmlns:a="http://schemas.openxmlformats.org/drawingml/2006/main">
                  <a:graphicData uri="http://schemas.microsoft.com/office/word/2010/wordprocessingShape">
                    <wps:wsp>
                      <wps:cNvSpPr txBox="1"/>
                      <wps:spPr>
                        <a:xfrm>
                          <a:off x="3333115" y="6436360"/>
                          <a:ext cx="544830" cy="2489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B09A5A2">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1pt;margin-top:6.9pt;height:19.6pt;width:42.9pt;z-index:251661312;mso-width-relative:page;mso-height-relative:page;" fillcolor="#FFFFFF [3201]" filled="t" stroked="f" coordsize="21600,21600" o:gfxdata="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iNu0lNQA&#10;AAAJAQAADwAAAAAAAAABACAAAAAiAAAAZHJzL2Rvd25yZXYueG1sUEsBAhQAFAAAAAgAh07iQKob&#10;XF9cAgAAmgQAAA4AAAAAAAAAAQAgAAAAIwEAAGRycy9lMm9Eb2MueG1sUEsFBgAAAAAGAAYAWQEA&#10;APEFAAAAAA==&#10;">
                <v:fill on="t" focussize="0,0"/>
                <v:stroke on="f" weight="0.5pt"/>
                <v:imagedata o:title=""/>
                <o:lock v:ext="edit" aspectratio="f"/>
                <v:textbox>
                  <w:txbxContent>
                    <w:p w14:paraId="6B09A5A2">
                      <w:pPr>
                        <w:rPr>
                          <w:rFonts w:hint="default"/>
                          <w:lang w:val="en-US" w:eastAsia="zh-CN"/>
                        </w:rPr>
                      </w:pPr>
                    </w:p>
                  </w:txbxContent>
                </v:textbox>
              </v:shape>
            </w:pict>
          </mc:Fallback>
        </mc:AlternateContent>
      </w:r>
    </w:p>
    <w:p w14:paraId="31B8296F">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firstLine="600" w:firstLineChars="200"/>
        <w:jc w:val="left"/>
        <w:textAlignment w:val="auto"/>
        <w:rPr>
          <w:rFonts w:hint="eastAsia" w:ascii="黑体" w:hAnsi="黑体" w:eastAsia="黑体" w:cs="黑体"/>
          <w:sz w:val="30"/>
          <w:szCs w:val="30"/>
          <w:shd w:val="clear" w:fill="FFFFFF"/>
        </w:rPr>
      </w:pPr>
    </w:p>
    <w:p w14:paraId="12A1C01F">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firstLine="600" w:firstLineChars="200"/>
        <w:jc w:val="left"/>
        <w:textAlignment w:val="auto"/>
        <w:rPr>
          <w:rFonts w:hint="eastAsia" w:ascii="黑体" w:hAnsi="黑体" w:eastAsia="黑体" w:cs="黑体"/>
          <w:sz w:val="30"/>
          <w:szCs w:val="30"/>
          <w:shd w:val="clear" w:fill="FFFFFF"/>
        </w:rPr>
      </w:pPr>
    </w:p>
    <w:p w14:paraId="732761E1">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firstLine="600" w:firstLineChars="200"/>
        <w:jc w:val="left"/>
        <w:textAlignment w:val="auto"/>
        <w:rPr>
          <w:rFonts w:hint="eastAsia" w:ascii="黑体" w:hAnsi="黑体" w:eastAsia="黑体" w:cs="黑体"/>
          <w:sz w:val="30"/>
          <w:szCs w:val="30"/>
          <w:shd w:val="clear" w:fill="FFFFFF"/>
        </w:rPr>
      </w:pPr>
    </w:p>
    <w:p w14:paraId="563D9636">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leftChars="0" w:right="0" w:rightChars="0" w:firstLine="600" w:firstLineChars="200"/>
        <w:jc w:val="left"/>
        <w:textAlignment w:val="auto"/>
        <w:outlineLvl w:val="0"/>
        <w:rPr>
          <w:rFonts w:hint="eastAsia" w:ascii="黑体" w:hAnsi="黑体" w:eastAsia="黑体" w:cs="黑体"/>
          <w:sz w:val="30"/>
          <w:szCs w:val="30"/>
          <w:shd w:val="clear" w:fill="FFFFFF"/>
        </w:rPr>
      </w:pPr>
      <w:bookmarkStart w:id="11" w:name="_Toc30304"/>
      <w:r>
        <w:rPr>
          <w:rFonts w:hint="eastAsia" w:ascii="黑体" w:hAnsi="黑体" w:eastAsia="黑体" w:cs="黑体"/>
          <w:sz w:val="30"/>
          <w:szCs w:val="30"/>
          <w:shd w:val="clear" w:fill="FFFFFF"/>
        </w:rPr>
        <w:t>二、收入决算情况说明</w:t>
      </w:r>
      <w:bookmarkEnd w:id="11"/>
    </w:p>
    <w:p w14:paraId="5D948222">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仿宋_GB2312" w:hAnsi="仿宋_GB2312" w:eastAsia="仿宋_GB2312" w:cs="仿宋_GB2312"/>
          <w:sz w:val="30"/>
          <w:szCs w:val="30"/>
          <w:shd w:val="clear" w:fill="FFFFFF"/>
        </w:rPr>
      </w:pPr>
      <w:r>
        <w:rPr>
          <w:rFonts w:hint="eastAsia" w:ascii="仿宋_GB2312" w:hAnsi="仿宋_GB2312" w:eastAsia="仿宋_GB2312" w:cs="仿宋_GB2312"/>
          <w:sz w:val="30"/>
          <w:szCs w:val="30"/>
          <w:shd w:val="clear" w:fill="FFFFFF"/>
        </w:rPr>
        <w:t>202</w:t>
      </w:r>
      <w:r>
        <w:rPr>
          <w:rFonts w:hint="eastAsia" w:ascii="仿宋_GB2312" w:hAnsi="仿宋_GB2312" w:eastAsia="仿宋_GB2312" w:cs="仿宋_GB2312"/>
          <w:sz w:val="30"/>
          <w:szCs w:val="30"/>
          <w:shd w:val="clear" w:fill="FFFFFF"/>
          <w:lang w:val="en-US" w:eastAsia="zh-CN"/>
        </w:rPr>
        <w:t>4</w:t>
      </w:r>
      <w:r>
        <w:rPr>
          <w:rFonts w:hint="eastAsia" w:ascii="仿宋_GB2312" w:hAnsi="仿宋_GB2312" w:eastAsia="仿宋_GB2312" w:cs="仿宋_GB2312"/>
          <w:sz w:val="30"/>
          <w:szCs w:val="30"/>
          <w:shd w:val="clear" w:fill="FFFFFF"/>
        </w:rPr>
        <w:t>年本年收入合计</w:t>
      </w:r>
      <w:r>
        <w:rPr>
          <w:rFonts w:hint="eastAsia" w:ascii="仿宋_GB2312" w:hAnsi="仿宋_GB2312" w:eastAsia="仿宋_GB2312" w:cs="仿宋_GB2312"/>
          <w:sz w:val="30"/>
          <w:szCs w:val="30"/>
          <w:shd w:val="clear" w:fill="FFFFFF"/>
          <w:lang w:val="en-US" w:eastAsia="zh-CN"/>
        </w:rPr>
        <w:t>3370.35</w:t>
      </w:r>
      <w:r>
        <w:rPr>
          <w:rFonts w:hint="eastAsia" w:ascii="仿宋_GB2312" w:hAnsi="仿宋_GB2312" w:eastAsia="仿宋_GB2312" w:cs="仿宋_GB2312"/>
          <w:sz w:val="30"/>
          <w:szCs w:val="30"/>
          <w:shd w:val="clear" w:fill="FFFFFF"/>
        </w:rPr>
        <w:t>万元，其中：一般公共预算财政拨款收入</w:t>
      </w:r>
      <w:r>
        <w:rPr>
          <w:rFonts w:hint="eastAsia" w:ascii="仿宋_GB2312" w:hAnsi="仿宋_GB2312" w:eastAsia="仿宋_GB2312" w:cs="仿宋_GB2312"/>
          <w:sz w:val="30"/>
          <w:szCs w:val="30"/>
          <w:shd w:val="clear" w:fill="FFFFFF"/>
          <w:lang w:val="en-US" w:eastAsia="zh-CN"/>
        </w:rPr>
        <w:t>3369.59</w:t>
      </w:r>
      <w:r>
        <w:rPr>
          <w:rFonts w:hint="eastAsia" w:ascii="仿宋_GB2312" w:hAnsi="仿宋_GB2312" w:eastAsia="仿宋_GB2312" w:cs="仿宋_GB2312"/>
          <w:sz w:val="30"/>
          <w:szCs w:val="30"/>
          <w:shd w:val="clear" w:fill="FFFFFF"/>
        </w:rPr>
        <w:t>万元，占</w:t>
      </w:r>
      <w:r>
        <w:rPr>
          <w:rFonts w:hint="eastAsia" w:ascii="仿宋_GB2312" w:hAnsi="仿宋_GB2312" w:eastAsia="仿宋_GB2312" w:cs="仿宋_GB2312"/>
          <w:sz w:val="30"/>
          <w:szCs w:val="30"/>
          <w:shd w:val="clear" w:fill="FFFFFF"/>
          <w:lang w:val="en-US" w:eastAsia="zh-CN"/>
        </w:rPr>
        <w:t>99.98</w:t>
      </w:r>
      <w:r>
        <w:rPr>
          <w:rFonts w:hint="eastAsia" w:ascii="仿宋_GB2312" w:hAnsi="仿宋_GB2312" w:eastAsia="仿宋_GB2312" w:cs="仿宋_GB2312"/>
          <w:sz w:val="30"/>
          <w:szCs w:val="30"/>
          <w:shd w:val="clear" w:fill="FFFFFF"/>
        </w:rPr>
        <w:t>%；政府性基金预算财政拨款收入0.00万元，占0.00%；国有资本经营预算财政拨款收入0.00万元，占0.00%；上级补助收入0.00万元，占0.00%；事业收入0.00万元，占0.00%%；经营收入0.00万元，占0.00%%；附属单位上缴收入0.00万元，占0.00%；其他收入</w:t>
      </w:r>
      <w:r>
        <w:rPr>
          <w:rFonts w:hint="eastAsia" w:ascii="仿宋_GB2312" w:hAnsi="仿宋_GB2312" w:eastAsia="仿宋_GB2312" w:cs="仿宋_GB2312"/>
          <w:sz w:val="30"/>
          <w:szCs w:val="30"/>
          <w:shd w:val="clear" w:fill="FFFFFF"/>
          <w:lang w:val="en-US" w:eastAsia="zh-CN"/>
        </w:rPr>
        <w:t>0.76</w:t>
      </w:r>
      <w:r>
        <w:rPr>
          <w:rFonts w:hint="eastAsia" w:ascii="仿宋_GB2312" w:hAnsi="仿宋_GB2312" w:eastAsia="仿宋_GB2312" w:cs="仿宋_GB2312"/>
          <w:sz w:val="30"/>
          <w:szCs w:val="30"/>
          <w:shd w:val="clear" w:fill="FFFFFF"/>
        </w:rPr>
        <w:t>万元，占0.0</w:t>
      </w:r>
      <w:r>
        <w:rPr>
          <w:rFonts w:hint="eastAsia" w:ascii="仿宋_GB2312" w:hAnsi="仿宋_GB2312" w:eastAsia="仿宋_GB2312" w:cs="仿宋_GB2312"/>
          <w:sz w:val="30"/>
          <w:szCs w:val="30"/>
          <w:shd w:val="clear" w:fill="FFFFFF"/>
          <w:lang w:val="en-US" w:eastAsia="zh-CN"/>
        </w:rPr>
        <w:t>2</w:t>
      </w:r>
      <w:r>
        <w:rPr>
          <w:rFonts w:hint="eastAsia" w:ascii="仿宋_GB2312" w:hAnsi="仿宋_GB2312" w:eastAsia="仿宋_GB2312" w:cs="仿宋_GB2312"/>
          <w:sz w:val="30"/>
          <w:szCs w:val="30"/>
          <w:shd w:val="clear" w:fill="FFFFFF"/>
        </w:rPr>
        <w:t>%。</w:t>
      </w:r>
    </w:p>
    <w:p w14:paraId="4DA4A8C8">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仿宋_GB2312" w:hAnsi="仿宋_GB2312" w:eastAsia="仿宋_GB2312" w:cs="仿宋_GB2312"/>
          <w:sz w:val="30"/>
          <w:szCs w:val="30"/>
          <w:shd w:val="clear" w:fill="FFFFFF"/>
        </w:rPr>
      </w:pPr>
    </w:p>
    <w:p w14:paraId="362C18EB">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480" w:firstLineChars="200"/>
        <w:jc w:val="left"/>
        <w:textAlignment w:val="auto"/>
        <w:rPr>
          <w:rFonts w:hint="eastAsia" w:ascii="仿宋_GB2312" w:hAnsi="仿宋_GB2312" w:eastAsia="仿宋_GB2312" w:cs="仿宋_GB2312"/>
          <w:sz w:val="30"/>
          <w:szCs w:val="30"/>
          <w:shd w:val="clear" w:fill="FFFFFF"/>
        </w:rPr>
      </w:pPr>
      <w:r>
        <w:drawing>
          <wp:anchor distT="0" distB="0" distL="114300" distR="114300" simplePos="0" relativeHeight="251659264" behindDoc="0" locked="0" layoutInCell="1" allowOverlap="1">
            <wp:simplePos x="0" y="0"/>
            <wp:positionH relativeFrom="column">
              <wp:posOffset>129540</wp:posOffset>
            </wp:positionH>
            <wp:positionV relativeFrom="paragraph">
              <wp:posOffset>130175</wp:posOffset>
            </wp:positionV>
            <wp:extent cx="4967605" cy="2838450"/>
            <wp:effectExtent l="4445" t="4445" r="19050" b="14605"/>
            <wp:wrapNone/>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6EF1C4F7">
      <w:pPr>
        <w:pStyle w:val="16"/>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560" w:lineRule="exact"/>
        <w:ind w:left="0" w:firstLine="600" w:firstLineChars="200"/>
        <w:jc w:val="left"/>
        <w:textAlignment w:val="auto"/>
        <w:rPr>
          <w:rFonts w:hint="eastAsia" w:ascii="仿宋_GB2312" w:hAnsi="仿宋_GB2312" w:eastAsia="仿宋_GB2312" w:cs="仿宋_GB2312"/>
          <w:sz w:val="30"/>
          <w:szCs w:val="30"/>
          <w:shd w:val="clear" w:fill="FFFFFF"/>
        </w:rPr>
        <w:sectPr>
          <w:footerReference r:id="rId5" w:type="default"/>
          <w:pgSz w:w="11915" w:h="16851"/>
          <w:pgMar w:top="1440" w:right="1800" w:bottom="1440" w:left="1800" w:header="851" w:footer="992" w:gutter="0"/>
          <w:pgNumType w:start="1"/>
          <w:cols w:space="0" w:num="1"/>
          <w:docGrid w:type="lines" w:linePitch="312" w:charSpace="0"/>
        </w:sectPr>
      </w:pPr>
      <w:r>
        <w:rPr>
          <w:sz w:val="30"/>
        </w:rPr>
        <mc:AlternateContent>
          <mc:Choice Requires="wps">
            <w:drawing>
              <wp:anchor distT="0" distB="0" distL="114300" distR="114300" simplePos="0" relativeHeight="251662336" behindDoc="0" locked="0" layoutInCell="1" allowOverlap="1">
                <wp:simplePos x="0" y="0"/>
                <wp:positionH relativeFrom="column">
                  <wp:posOffset>2224405</wp:posOffset>
                </wp:positionH>
                <wp:positionV relativeFrom="paragraph">
                  <wp:posOffset>139065</wp:posOffset>
                </wp:positionV>
                <wp:extent cx="1370330" cy="272415"/>
                <wp:effectExtent l="0" t="0" r="1270" b="13335"/>
                <wp:wrapNone/>
                <wp:docPr id="11" name="文本框 11"/>
                <wp:cNvGraphicFramePr/>
                <a:graphic xmlns:a="http://schemas.openxmlformats.org/drawingml/2006/main">
                  <a:graphicData uri="http://schemas.microsoft.com/office/word/2010/wordprocessingShape">
                    <wps:wsp>
                      <wps:cNvSpPr txBox="1"/>
                      <wps:spPr>
                        <a:xfrm>
                          <a:off x="0" y="0"/>
                          <a:ext cx="1370330" cy="2724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2443600">
                            <w:pPr>
                              <w:rPr>
                                <w:rFonts w:hint="eastAsia"/>
                                <w:sz w:val="18"/>
                                <w:szCs w:val="18"/>
                                <w:lang w:val="en-US" w:eastAsia="zh-CN"/>
                              </w:rPr>
                            </w:pPr>
                            <w:r>
                              <w:rPr>
                                <w:rFonts w:hint="eastAsia"/>
                                <w:sz w:val="18"/>
                                <w:szCs w:val="18"/>
                                <w:lang w:val="en-US" w:eastAsia="zh-CN"/>
                              </w:rPr>
                              <w:t>一般公共预算财政拨款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5.15pt;margin-top:10.95pt;height:21.45pt;width:107.9pt;z-index:251662336;mso-width-relative:page;mso-height-relative:page;" fillcolor="#FFFFFF [3201]" filled="t" stroked="f" coordsize="21600,21600" o:gfxdata="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L18NaDWAAAACQEAAA8AAAAA&#10;AAAAAQAgAAAAIgAAAGRycy9kb3ducmV2LnhtbFBLAQIUABQAAAAIAIdO4kA5l9AuTwIAAJEEAAAO&#10;AAAAAAAAAAEAIAAAACUBAABkcnMvZTJvRG9jLnhtbFBLBQYAAAAABgAGAFkBAADmBQAAAAA=&#10;">
                <v:fill on="t" focussize="0,0"/>
                <v:stroke on="f" weight="0.5pt"/>
                <v:imagedata o:title=""/>
                <o:lock v:ext="edit" aspectratio="f"/>
                <v:textbox>
                  <w:txbxContent>
                    <w:p w14:paraId="22443600">
                      <w:pPr>
                        <w:rPr>
                          <w:rFonts w:hint="eastAsia"/>
                          <w:sz w:val="18"/>
                          <w:szCs w:val="18"/>
                          <w:lang w:val="en-US" w:eastAsia="zh-CN"/>
                        </w:rPr>
                      </w:pPr>
                      <w:r>
                        <w:rPr>
                          <w:rFonts w:hint="eastAsia"/>
                          <w:sz w:val="18"/>
                          <w:szCs w:val="18"/>
                          <w:lang w:val="en-US" w:eastAsia="zh-CN"/>
                        </w:rPr>
                        <w:t>一般公共预算财政拨款</w:t>
                      </w:r>
                    </w:p>
                  </w:txbxContent>
                </v:textbox>
              </v:shape>
            </w:pict>
          </mc:Fallback>
        </mc:AlternateContent>
      </w:r>
    </w:p>
    <w:tbl>
      <w:tblPr>
        <w:tblStyle w:val="17"/>
        <w:tblW w:w="1388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197"/>
        <w:gridCol w:w="555"/>
        <w:gridCol w:w="1639"/>
        <w:gridCol w:w="3086"/>
        <w:gridCol w:w="1618"/>
        <w:gridCol w:w="2789"/>
      </w:tblGrid>
      <w:tr w14:paraId="5AE97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9" w:hRule="atLeast"/>
        </w:trPr>
        <w:tc>
          <w:tcPr>
            <w:tcW w:w="4752" w:type="dxa"/>
            <w:gridSpan w:val="2"/>
            <w:tcBorders>
              <w:top w:val="nil"/>
              <w:left w:val="nil"/>
              <w:bottom w:val="nil"/>
              <w:right w:val="nil"/>
            </w:tcBorders>
            <w:shd w:val="clear" w:color="auto" w:fill="auto"/>
            <w:noWrap/>
            <w:tcMar>
              <w:top w:w="15" w:type="dxa"/>
              <w:left w:w="15" w:type="dxa"/>
              <w:right w:w="15" w:type="dxa"/>
            </w:tcMar>
            <w:vAlign w:val="bottom"/>
          </w:tcPr>
          <w:p w14:paraId="44F945D2">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单位名称：红原县色地镇人民政府</w:t>
            </w:r>
          </w:p>
        </w:tc>
        <w:tc>
          <w:tcPr>
            <w:tcW w:w="4725" w:type="dxa"/>
            <w:gridSpan w:val="2"/>
            <w:tcBorders>
              <w:top w:val="nil"/>
              <w:left w:val="nil"/>
              <w:bottom w:val="nil"/>
              <w:right w:val="nil"/>
            </w:tcBorders>
            <w:shd w:val="clear" w:color="auto" w:fill="auto"/>
            <w:noWrap/>
            <w:tcMar>
              <w:top w:w="15" w:type="dxa"/>
              <w:left w:w="15" w:type="dxa"/>
              <w:right w:w="15" w:type="dxa"/>
            </w:tcMar>
            <w:vAlign w:val="center"/>
          </w:tcPr>
          <w:p w14:paraId="119FA371">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2024年度</w:t>
            </w:r>
          </w:p>
        </w:tc>
        <w:tc>
          <w:tcPr>
            <w:tcW w:w="1618" w:type="dxa"/>
            <w:tcBorders>
              <w:top w:val="nil"/>
              <w:left w:val="nil"/>
              <w:bottom w:val="nil"/>
              <w:right w:val="nil"/>
            </w:tcBorders>
            <w:shd w:val="clear" w:color="auto" w:fill="auto"/>
            <w:noWrap/>
            <w:tcMar>
              <w:top w:w="15" w:type="dxa"/>
              <w:left w:w="15" w:type="dxa"/>
              <w:right w:w="15" w:type="dxa"/>
            </w:tcMar>
            <w:vAlign w:val="bottom"/>
          </w:tcPr>
          <w:p w14:paraId="07F92187">
            <w:pPr>
              <w:rPr>
                <w:rFonts w:hint="eastAsia" w:ascii="宋体" w:hAnsi="宋体" w:eastAsia="宋体" w:cs="宋体"/>
                <w:i w:val="0"/>
                <w:color w:val="000000"/>
                <w:sz w:val="20"/>
                <w:szCs w:val="20"/>
                <w:u w:val="none"/>
              </w:rPr>
            </w:pPr>
          </w:p>
        </w:tc>
        <w:tc>
          <w:tcPr>
            <w:tcW w:w="2789" w:type="dxa"/>
            <w:tcBorders>
              <w:top w:val="nil"/>
              <w:left w:val="nil"/>
              <w:bottom w:val="nil"/>
              <w:right w:val="nil"/>
            </w:tcBorders>
            <w:shd w:val="clear" w:color="auto" w:fill="auto"/>
            <w:noWrap/>
            <w:tcMar>
              <w:top w:w="15" w:type="dxa"/>
              <w:left w:w="15" w:type="dxa"/>
              <w:right w:w="15" w:type="dxa"/>
            </w:tcMar>
            <w:vAlign w:val="center"/>
          </w:tcPr>
          <w:p w14:paraId="3C7E118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14:paraId="2A314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3" w:hRule="atLeast"/>
        </w:trPr>
        <w:tc>
          <w:tcPr>
            <w:tcW w:w="6391" w:type="dxa"/>
            <w:gridSpan w:val="3"/>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14:paraId="4026A5E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7493" w:type="dxa"/>
            <w:gridSpan w:val="3"/>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14:paraId="0A9CE6F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00518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3" w:hRule="atLeast"/>
        </w:trPr>
        <w:tc>
          <w:tcPr>
            <w:tcW w:w="4197"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14:paraId="7992C29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55" w:type="dxa"/>
            <w:vMerge w:val="restart"/>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14:paraId="01F8B41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639"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14:paraId="11293DD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c>
          <w:tcPr>
            <w:tcW w:w="3086"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14:paraId="6C56AFB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14:paraId="170ED3C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2789"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14:paraId="3672D33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1A345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23" w:hRule="atLeast"/>
        </w:trPr>
        <w:tc>
          <w:tcPr>
            <w:tcW w:w="4197"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14:paraId="5A243E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55" w:type="dxa"/>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14:paraId="42893C89">
            <w:pPr>
              <w:jc w:val="center"/>
              <w:rPr>
                <w:rFonts w:hint="eastAsia" w:ascii="宋体" w:hAnsi="宋体" w:eastAsia="宋体" w:cs="宋体"/>
                <w:i w:val="0"/>
                <w:color w:val="000000"/>
                <w:sz w:val="22"/>
                <w:szCs w:val="22"/>
                <w:u w:val="none"/>
              </w:rPr>
            </w:pPr>
          </w:p>
        </w:tc>
        <w:tc>
          <w:tcPr>
            <w:tcW w:w="1639"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14:paraId="177FF21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3086"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14:paraId="740056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14:paraId="6EBA555E">
            <w:pPr>
              <w:jc w:val="center"/>
              <w:rPr>
                <w:rFonts w:hint="eastAsia" w:ascii="宋体" w:hAnsi="宋体" w:eastAsia="宋体" w:cs="宋体"/>
                <w:i w:val="0"/>
                <w:color w:val="000000"/>
                <w:sz w:val="22"/>
                <w:szCs w:val="22"/>
                <w:u w:val="none"/>
              </w:rPr>
            </w:pPr>
          </w:p>
        </w:tc>
        <w:tc>
          <w:tcPr>
            <w:tcW w:w="2789" w:type="dxa"/>
            <w:tcBorders>
              <w:top w:val="single" w:color="000000" w:sz="4" w:space="0"/>
              <w:left w:val="single" w:color="000000" w:sz="4" w:space="0"/>
              <w:bottom w:val="single" w:color="000000" w:sz="4" w:space="0"/>
              <w:right w:val="single" w:color="000000" w:sz="4" w:space="0"/>
            </w:tcBorders>
            <w:shd w:val="clear" w:color="auto" w:fill="C0C0C0"/>
            <w:tcMar>
              <w:top w:w="15" w:type="dxa"/>
              <w:left w:w="15" w:type="dxa"/>
              <w:right w:w="15" w:type="dxa"/>
            </w:tcMar>
            <w:vAlign w:val="center"/>
          </w:tcPr>
          <w:p w14:paraId="388876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6980E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4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FD248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一、一般公共预算财政拨款收入</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4D671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6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A198C1">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3,369.590000</w:t>
            </w:r>
          </w:p>
        </w:tc>
        <w:tc>
          <w:tcPr>
            <w:tcW w:w="30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5819F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一、一般公共服务支出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284C8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39554">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729.85</w:t>
            </w:r>
          </w:p>
        </w:tc>
      </w:tr>
      <w:tr w14:paraId="2E1AE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4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96377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二、政府性基金预算财政拨款收入</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831EA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6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9E453F">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38271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二、外交支出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5BD8F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A9A5A3">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00C2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4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FEC96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三、国有资本经营预算财政拨款收入</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387B7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6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1216D6">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93B42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三、国防支出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25765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94495">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r>
      <w:tr w14:paraId="6A94B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4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03DB2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四、上级补助收入</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D4B5A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6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441521">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E61CB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四、公共安全支出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B0E72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3776D">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96F0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4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606BF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五、事业收入</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3CC90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6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567AB">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134C9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五、教育支出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C8EBA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0710A3">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8C5F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4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EF74C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六、经营收入</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0758F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6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1BEA18">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2B009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六、科学技术支出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C0AE1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85CF5B">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D656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4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CAC4B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七、附属单位上缴收入</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3BFA4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6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C42D7">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1C6CF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七、文化旅游体育与传媒支出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1C895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3F28DF">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10.09</w:t>
            </w:r>
          </w:p>
        </w:tc>
      </w:tr>
      <w:tr w14:paraId="2BD93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4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17989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八、其他收入</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AC8A5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6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2D90F">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0.760000</w:t>
            </w:r>
          </w:p>
        </w:tc>
        <w:tc>
          <w:tcPr>
            <w:tcW w:w="30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A60AF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八、社会保障和就业支出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F47BC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9616E">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178.10</w:t>
            </w:r>
          </w:p>
        </w:tc>
      </w:tr>
      <w:tr w14:paraId="58CAD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4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A34A68">
            <w:pPr>
              <w:jc w:val="left"/>
              <w:rPr>
                <w:rFonts w:hint="eastAsia" w:ascii="宋体" w:hAnsi="宋体" w:eastAsia="宋体" w:cs="宋体"/>
                <w:b/>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90C48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DE2A39">
            <w:pPr>
              <w:jc w:val="right"/>
              <w:rPr>
                <w:rFonts w:hint="eastAsia" w:ascii="宋体" w:hAnsi="宋体" w:eastAsia="宋体" w:cs="宋体"/>
                <w:i w:val="0"/>
                <w:color w:val="000000"/>
                <w:sz w:val="22"/>
                <w:szCs w:val="22"/>
                <w:u w:val="none"/>
              </w:rPr>
            </w:pPr>
          </w:p>
        </w:tc>
        <w:tc>
          <w:tcPr>
            <w:tcW w:w="30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38E7E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九、卫生健康支出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BE25E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2D25F1">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48.62</w:t>
            </w:r>
          </w:p>
        </w:tc>
      </w:tr>
      <w:tr w14:paraId="3EDCC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4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B39CC2">
            <w:pPr>
              <w:jc w:val="left"/>
              <w:rPr>
                <w:rFonts w:hint="eastAsia" w:ascii="宋体" w:hAnsi="宋体" w:eastAsia="宋体" w:cs="宋体"/>
                <w:b/>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66F1D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2D2F7C">
            <w:pPr>
              <w:jc w:val="right"/>
              <w:rPr>
                <w:rFonts w:hint="eastAsia" w:ascii="宋体" w:hAnsi="宋体" w:eastAsia="宋体" w:cs="宋体"/>
                <w:i w:val="0"/>
                <w:color w:val="000000"/>
                <w:sz w:val="22"/>
                <w:szCs w:val="22"/>
                <w:u w:val="none"/>
              </w:rPr>
            </w:pPr>
          </w:p>
        </w:tc>
        <w:tc>
          <w:tcPr>
            <w:tcW w:w="30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2D880D">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十、节能环保支出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AD0F1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79ED25">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90.86</w:t>
            </w:r>
          </w:p>
        </w:tc>
      </w:tr>
      <w:tr w14:paraId="6309A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4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4E0FB3">
            <w:pPr>
              <w:rPr>
                <w:rFonts w:hint="eastAsia" w:ascii="宋体" w:hAnsi="宋体" w:eastAsia="宋体" w:cs="宋体"/>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7BCAE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08A76B">
            <w:pPr>
              <w:jc w:val="right"/>
              <w:rPr>
                <w:rFonts w:hint="eastAsia" w:ascii="宋体" w:hAnsi="宋体" w:eastAsia="宋体" w:cs="宋体"/>
                <w:i w:val="0"/>
                <w:color w:val="000000"/>
                <w:sz w:val="22"/>
                <w:szCs w:val="22"/>
                <w:u w:val="none"/>
              </w:rPr>
            </w:pPr>
          </w:p>
        </w:tc>
        <w:tc>
          <w:tcPr>
            <w:tcW w:w="30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A6FAE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十一、城乡社区支出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41C59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8213FB">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10.96</w:t>
            </w:r>
          </w:p>
        </w:tc>
      </w:tr>
      <w:tr w14:paraId="14522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4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9FE07B">
            <w:pPr>
              <w:jc w:val="left"/>
              <w:rPr>
                <w:rFonts w:hint="eastAsia" w:ascii="宋体" w:hAnsi="宋体" w:eastAsia="宋体" w:cs="宋体"/>
                <w:b/>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9A6F8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7222CD">
            <w:pPr>
              <w:jc w:val="right"/>
              <w:rPr>
                <w:rFonts w:hint="eastAsia" w:ascii="宋体" w:hAnsi="宋体" w:eastAsia="宋体" w:cs="宋体"/>
                <w:i w:val="0"/>
                <w:color w:val="000000"/>
                <w:sz w:val="22"/>
                <w:szCs w:val="22"/>
                <w:u w:val="none"/>
              </w:rPr>
            </w:pPr>
          </w:p>
        </w:tc>
        <w:tc>
          <w:tcPr>
            <w:tcW w:w="30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B15787">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十二、农林水支出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F574B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DFD9D7">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2,231.79</w:t>
            </w:r>
          </w:p>
        </w:tc>
      </w:tr>
      <w:tr w14:paraId="5A9A3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4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27E4A3">
            <w:pPr>
              <w:rPr>
                <w:rFonts w:hint="eastAsia" w:ascii="宋体" w:hAnsi="宋体" w:eastAsia="宋体" w:cs="宋体"/>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6B270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2FF900">
            <w:pPr>
              <w:jc w:val="right"/>
              <w:rPr>
                <w:rFonts w:hint="eastAsia" w:ascii="宋体" w:hAnsi="宋体" w:eastAsia="宋体" w:cs="宋体"/>
                <w:i w:val="0"/>
                <w:color w:val="000000"/>
                <w:sz w:val="22"/>
                <w:szCs w:val="22"/>
                <w:u w:val="none"/>
              </w:rPr>
            </w:pPr>
          </w:p>
        </w:tc>
        <w:tc>
          <w:tcPr>
            <w:tcW w:w="30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097978">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十三、交通运输支出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71593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807FA1">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44A0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4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E7F27E">
            <w:pPr>
              <w:rPr>
                <w:rFonts w:hint="eastAsia" w:ascii="宋体" w:hAnsi="宋体" w:eastAsia="宋体" w:cs="宋体"/>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2DE7C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EC0ED8">
            <w:pPr>
              <w:jc w:val="right"/>
              <w:rPr>
                <w:rFonts w:hint="eastAsia" w:ascii="宋体" w:hAnsi="宋体" w:eastAsia="宋体" w:cs="宋体"/>
                <w:i w:val="0"/>
                <w:color w:val="000000"/>
                <w:sz w:val="22"/>
                <w:szCs w:val="22"/>
                <w:u w:val="none"/>
              </w:rPr>
            </w:pPr>
          </w:p>
        </w:tc>
        <w:tc>
          <w:tcPr>
            <w:tcW w:w="30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7CCB89">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十四、资源勘探工业信息等支出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2C49C8">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796D4">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493E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4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D4B04B">
            <w:pPr>
              <w:rPr>
                <w:rFonts w:hint="eastAsia" w:ascii="宋体" w:hAnsi="宋体" w:eastAsia="宋体" w:cs="宋体"/>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F1772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5997F9">
            <w:pPr>
              <w:jc w:val="right"/>
              <w:rPr>
                <w:rFonts w:hint="eastAsia" w:ascii="宋体" w:hAnsi="宋体" w:eastAsia="宋体" w:cs="宋体"/>
                <w:i w:val="0"/>
                <w:color w:val="000000"/>
                <w:sz w:val="22"/>
                <w:szCs w:val="22"/>
                <w:u w:val="none"/>
              </w:rPr>
            </w:pPr>
          </w:p>
        </w:tc>
        <w:tc>
          <w:tcPr>
            <w:tcW w:w="30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D957EE">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十五、商业服务业等支出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2618C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96683F">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7637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4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DFFAF6">
            <w:pPr>
              <w:rPr>
                <w:rFonts w:hint="eastAsia" w:ascii="宋体" w:hAnsi="宋体" w:eastAsia="宋体" w:cs="宋体"/>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DB8FB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55BED9">
            <w:pPr>
              <w:jc w:val="right"/>
              <w:rPr>
                <w:rFonts w:hint="eastAsia" w:ascii="宋体" w:hAnsi="宋体" w:eastAsia="宋体" w:cs="宋体"/>
                <w:i w:val="0"/>
                <w:color w:val="000000"/>
                <w:sz w:val="22"/>
                <w:szCs w:val="22"/>
                <w:u w:val="none"/>
              </w:rPr>
            </w:pPr>
          </w:p>
        </w:tc>
        <w:tc>
          <w:tcPr>
            <w:tcW w:w="30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F1452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十六、金融支出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F3BFD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146DF8">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360C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4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927A63">
            <w:pPr>
              <w:jc w:val="left"/>
              <w:rPr>
                <w:rFonts w:hint="eastAsia" w:ascii="宋体" w:hAnsi="宋体" w:eastAsia="宋体" w:cs="宋体"/>
                <w:b/>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181269">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EBB1D6">
            <w:pPr>
              <w:jc w:val="right"/>
              <w:rPr>
                <w:rFonts w:hint="eastAsia" w:ascii="宋体" w:hAnsi="宋体" w:eastAsia="宋体" w:cs="宋体"/>
                <w:i w:val="0"/>
                <w:color w:val="000000"/>
                <w:sz w:val="22"/>
                <w:szCs w:val="22"/>
                <w:u w:val="none"/>
              </w:rPr>
            </w:pPr>
          </w:p>
        </w:tc>
        <w:tc>
          <w:tcPr>
            <w:tcW w:w="30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38389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十七、援助其他地区支出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9CFFA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10B721">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26EE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4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CFB530">
            <w:pPr>
              <w:jc w:val="left"/>
              <w:rPr>
                <w:rFonts w:hint="eastAsia" w:ascii="宋体" w:hAnsi="宋体" w:eastAsia="宋体" w:cs="宋体"/>
                <w:b/>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2BE1E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A743B9">
            <w:pPr>
              <w:jc w:val="right"/>
              <w:rPr>
                <w:rFonts w:hint="eastAsia" w:ascii="宋体" w:hAnsi="宋体" w:eastAsia="宋体" w:cs="宋体"/>
                <w:i w:val="0"/>
                <w:color w:val="000000"/>
                <w:sz w:val="22"/>
                <w:szCs w:val="22"/>
                <w:u w:val="none"/>
              </w:rPr>
            </w:pPr>
          </w:p>
        </w:tc>
        <w:tc>
          <w:tcPr>
            <w:tcW w:w="30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1AFF0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十八、自然资源海洋气象等支出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68586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9F557D">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D01E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4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F7B53B">
            <w:pPr>
              <w:rPr>
                <w:rFonts w:hint="eastAsia" w:ascii="宋体" w:hAnsi="宋体" w:eastAsia="宋体" w:cs="宋体"/>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4DBEB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580A4B">
            <w:pPr>
              <w:jc w:val="right"/>
              <w:rPr>
                <w:rFonts w:hint="eastAsia" w:ascii="宋体" w:hAnsi="宋体" w:eastAsia="宋体" w:cs="宋体"/>
                <w:i w:val="0"/>
                <w:color w:val="000000"/>
                <w:sz w:val="22"/>
                <w:szCs w:val="22"/>
                <w:u w:val="none"/>
              </w:rPr>
            </w:pPr>
          </w:p>
        </w:tc>
        <w:tc>
          <w:tcPr>
            <w:tcW w:w="30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E9C65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十九、住房保障支出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6CCA6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25B45">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67.10</w:t>
            </w:r>
          </w:p>
        </w:tc>
      </w:tr>
      <w:tr w14:paraId="46ECA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4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EA6C7B">
            <w:pPr>
              <w:jc w:val="left"/>
              <w:rPr>
                <w:rFonts w:hint="eastAsia" w:ascii="宋体" w:hAnsi="宋体" w:eastAsia="宋体" w:cs="宋体"/>
                <w:b/>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576D9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615966">
            <w:pPr>
              <w:jc w:val="right"/>
              <w:rPr>
                <w:rFonts w:hint="eastAsia" w:ascii="宋体" w:hAnsi="宋体" w:eastAsia="宋体" w:cs="宋体"/>
                <w:i w:val="0"/>
                <w:color w:val="000000"/>
                <w:sz w:val="22"/>
                <w:szCs w:val="22"/>
                <w:u w:val="none"/>
              </w:rPr>
            </w:pPr>
          </w:p>
        </w:tc>
        <w:tc>
          <w:tcPr>
            <w:tcW w:w="30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72AB9C">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二十、粮油物资储备支出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B5282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A0D549">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8FA5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4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F6D676">
            <w:pPr>
              <w:rPr>
                <w:rFonts w:hint="eastAsia" w:ascii="宋体" w:hAnsi="宋体" w:eastAsia="宋体" w:cs="宋体"/>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7EE68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C445B4">
            <w:pPr>
              <w:jc w:val="right"/>
              <w:rPr>
                <w:rFonts w:hint="eastAsia" w:ascii="宋体" w:hAnsi="宋体" w:eastAsia="宋体" w:cs="宋体"/>
                <w:i w:val="0"/>
                <w:color w:val="000000"/>
                <w:sz w:val="22"/>
                <w:szCs w:val="22"/>
                <w:u w:val="none"/>
              </w:rPr>
            </w:pPr>
          </w:p>
        </w:tc>
        <w:tc>
          <w:tcPr>
            <w:tcW w:w="30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D5F892">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二十一、国有资本经营预算支出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2FACB0">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0AA7B8">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A701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4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D9330A">
            <w:pPr>
              <w:rPr>
                <w:rFonts w:hint="eastAsia" w:ascii="宋体" w:hAnsi="宋体" w:eastAsia="宋体" w:cs="宋体"/>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0DFAF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D6D0B2">
            <w:pPr>
              <w:jc w:val="right"/>
              <w:rPr>
                <w:rFonts w:hint="eastAsia" w:ascii="宋体" w:hAnsi="宋体" w:eastAsia="宋体" w:cs="宋体"/>
                <w:i w:val="0"/>
                <w:color w:val="000000"/>
                <w:sz w:val="22"/>
                <w:szCs w:val="22"/>
                <w:u w:val="none"/>
              </w:rPr>
            </w:pPr>
          </w:p>
        </w:tc>
        <w:tc>
          <w:tcPr>
            <w:tcW w:w="30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169975">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二十二、灾害防治及应急管理支出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2CDD2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59C4C2">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r>
      <w:tr w14:paraId="11154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4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F4B26A">
            <w:pPr>
              <w:rPr>
                <w:rFonts w:hint="eastAsia" w:ascii="宋体" w:hAnsi="宋体" w:eastAsia="宋体" w:cs="宋体"/>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FBF04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C0FDF9">
            <w:pPr>
              <w:jc w:val="right"/>
              <w:rPr>
                <w:rFonts w:hint="eastAsia" w:ascii="宋体" w:hAnsi="宋体" w:eastAsia="宋体" w:cs="宋体"/>
                <w:i w:val="0"/>
                <w:color w:val="000000"/>
                <w:sz w:val="22"/>
                <w:szCs w:val="22"/>
                <w:u w:val="none"/>
              </w:rPr>
            </w:pPr>
          </w:p>
        </w:tc>
        <w:tc>
          <w:tcPr>
            <w:tcW w:w="30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495476">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二十三、其他支出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8047F5">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63E569">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18CD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4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23000F">
            <w:pPr>
              <w:rPr>
                <w:rFonts w:hint="eastAsia" w:ascii="宋体" w:hAnsi="宋体" w:eastAsia="宋体" w:cs="宋体"/>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AA0F0D">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0D0E4C">
            <w:pPr>
              <w:jc w:val="right"/>
              <w:rPr>
                <w:rFonts w:hint="eastAsia" w:ascii="宋体" w:hAnsi="宋体" w:eastAsia="宋体" w:cs="宋体"/>
                <w:i w:val="0"/>
                <w:color w:val="000000"/>
                <w:sz w:val="22"/>
                <w:szCs w:val="22"/>
                <w:u w:val="none"/>
              </w:rPr>
            </w:pPr>
          </w:p>
        </w:tc>
        <w:tc>
          <w:tcPr>
            <w:tcW w:w="30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B316C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二十四、债务还本支出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455166">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32B81">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7939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4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4C88F8">
            <w:pPr>
              <w:jc w:val="left"/>
              <w:rPr>
                <w:rFonts w:hint="eastAsia" w:ascii="宋体" w:hAnsi="宋体" w:eastAsia="宋体" w:cs="宋体"/>
                <w:b/>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7E37EB">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748A96">
            <w:pPr>
              <w:jc w:val="right"/>
              <w:rPr>
                <w:rFonts w:hint="eastAsia" w:ascii="宋体" w:hAnsi="宋体" w:eastAsia="宋体" w:cs="宋体"/>
                <w:i w:val="0"/>
                <w:color w:val="000000"/>
                <w:sz w:val="22"/>
                <w:szCs w:val="22"/>
                <w:u w:val="none"/>
              </w:rPr>
            </w:pPr>
          </w:p>
        </w:tc>
        <w:tc>
          <w:tcPr>
            <w:tcW w:w="30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4BA56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二十五、债务付息支出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D1DC87">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741DF1">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5E8F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4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B7C778">
            <w:pPr>
              <w:jc w:val="left"/>
              <w:rPr>
                <w:rFonts w:hint="eastAsia" w:ascii="宋体" w:hAnsi="宋体" w:eastAsia="宋体" w:cs="宋体"/>
                <w:b/>
                <w:i w:val="0"/>
                <w:color w:val="000000"/>
                <w:sz w:val="18"/>
                <w:szCs w:val="18"/>
                <w:u w:val="none"/>
              </w:rPr>
            </w:pP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53F9FC">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63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E02686">
            <w:pPr>
              <w:jc w:val="right"/>
              <w:rPr>
                <w:rFonts w:hint="eastAsia" w:ascii="宋体" w:hAnsi="宋体" w:eastAsia="宋体" w:cs="宋体"/>
                <w:i w:val="0"/>
                <w:color w:val="000000"/>
                <w:sz w:val="22"/>
                <w:szCs w:val="22"/>
                <w:u w:val="none"/>
              </w:rPr>
            </w:pPr>
          </w:p>
        </w:tc>
        <w:tc>
          <w:tcPr>
            <w:tcW w:w="30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C4E9A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二十六、抗疫特别国债安排的支出</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69574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F4ECA4">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D118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4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258E2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本年收入合计</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ADC7D2">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6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516B8E">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3,370.35</w:t>
            </w:r>
          </w:p>
        </w:tc>
        <w:tc>
          <w:tcPr>
            <w:tcW w:w="30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C41DDA">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本年支出合计</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68C181">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A5507B">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3,370.35</w:t>
            </w:r>
          </w:p>
        </w:tc>
      </w:tr>
      <w:tr w14:paraId="60CDD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4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BDA59F">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使用非财政拨款结余（含专用结余）</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183B23">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6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3FD2C3">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5C0670">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结余分配</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AD62BE">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A40E13">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D446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4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CA5FB1">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年初结转和结余</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510CFA">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6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82B79C">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30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BD6CF4">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年末结转和结余</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AB6FF4">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69011C">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1C25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419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B8925B">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总计</w:t>
            </w:r>
          </w:p>
        </w:tc>
        <w:tc>
          <w:tcPr>
            <w:tcW w:w="5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198DD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6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FE283">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3,370.35</w:t>
            </w:r>
          </w:p>
        </w:tc>
        <w:tc>
          <w:tcPr>
            <w:tcW w:w="308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DFC993">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总计</w:t>
            </w:r>
          </w:p>
        </w:tc>
        <w:tc>
          <w:tcPr>
            <w:tcW w:w="161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585A7F">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2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97A49">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3,370.35</w:t>
            </w:r>
          </w:p>
        </w:tc>
      </w:tr>
      <w:tr w14:paraId="20ED9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80" w:hRule="atLeast"/>
        </w:trPr>
        <w:tc>
          <w:tcPr>
            <w:tcW w:w="13884" w:type="dxa"/>
            <w:gridSpan w:val="6"/>
            <w:tcBorders>
              <w:top w:val="nil"/>
              <w:left w:val="nil"/>
              <w:bottom w:val="nil"/>
              <w:right w:val="nil"/>
            </w:tcBorders>
            <w:shd w:val="clear" w:color="auto" w:fill="auto"/>
            <w:tcMar>
              <w:top w:w="15" w:type="dxa"/>
              <w:left w:w="15" w:type="dxa"/>
              <w:right w:w="15" w:type="dxa"/>
            </w:tcMar>
            <w:vAlign w:val="center"/>
          </w:tcPr>
          <w:p w14:paraId="2BEAA80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42168A4D">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left"/>
        <w:textAlignment w:val="auto"/>
        <w:outlineLvl w:val="0"/>
        <w:rPr>
          <w:rFonts w:hint="eastAsia" w:ascii="黑体" w:hAnsi="黑体" w:eastAsia="黑体" w:cs="黑体"/>
          <w:sz w:val="32"/>
          <w:szCs w:val="32"/>
        </w:rPr>
      </w:pPr>
      <w:bookmarkStart w:id="12" w:name="_Toc17441"/>
      <w:r>
        <w:rPr>
          <w:rFonts w:hint="eastAsia" w:ascii="黑体" w:hAnsi="黑体" w:eastAsia="黑体" w:cs="黑体"/>
          <w:sz w:val="32"/>
          <w:szCs w:val="32"/>
          <w:shd w:val="clear" w:fill="FFFFFF"/>
        </w:rPr>
        <w:t>三、支出决算情况说明</w:t>
      </w:r>
      <w:bookmarkEnd w:id="12"/>
    </w:p>
    <w:p w14:paraId="53E5A251">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4</w:t>
      </w:r>
      <w:r>
        <w:rPr>
          <w:rFonts w:hint="eastAsia" w:ascii="仿宋_GB2312" w:hAnsi="仿宋_GB2312" w:eastAsia="仿宋_GB2312" w:cs="仿宋_GB2312"/>
          <w:sz w:val="32"/>
          <w:szCs w:val="32"/>
          <w:shd w:val="clear" w:fill="FFFFFF"/>
        </w:rPr>
        <w:t>年本年支出合计</w:t>
      </w:r>
      <w:r>
        <w:rPr>
          <w:rFonts w:hint="eastAsia" w:ascii="仿宋_GB2312" w:hAnsi="仿宋_GB2312" w:eastAsia="仿宋_GB2312" w:cs="仿宋_GB2312"/>
          <w:sz w:val="32"/>
          <w:szCs w:val="32"/>
          <w:shd w:val="clear" w:fill="FFFFFF"/>
          <w:lang w:val="en-US" w:eastAsia="zh-CN"/>
        </w:rPr>
        <w:t>3370.35</w:t>
      </w:r>
      <w:r>
        <w:rPr>
          <w:rFonts w:hint="eastAsia" w:ascii="仿宋_GB2312" w:hAnsi="仿宋_GB2312" w:eastAsia="仿宋_GB2312" w:cs="仿宋_GB2312"/>
          <w:sz w:val="32"/>
          <w:szCs w:val="32"/>
          <w:shd w:val="clear" w:fill="FFFFFF"/>
        </w:rPr>
        <w:t>万元，其中：基本支出</w:t>
      </w:r>
      <w:r>
        <w:rPr>
          <w:rFonts w:hint="eastAsia" w:ascii="仿宋_GB2312" w:hAnsi="仿宋_GB2312" w:eastAsia="仿宋_GB2312" w:cs="仿宋_GB2312"/>
          <w:sz w:val="32"/>
          <w:szCs w:val="32"/>
          <w:shd w:val="clear" w:fill="FFFFFF"/>
          <w:lang w:val="en-US" w:eastAsia="zh-CN"/>
        </w:rPr>
        <w:t xml:space="preserve">1059.71 </w:t>
      </w:r>
      <w:r>
        <w:rPr>
          <w:rFonts w:hint="eastAsia" w:ascii="仿宋_GB2312" w:hAnsi="仿宋_GB2312" w:eastAsia="仿宋_GB2312" w:cs="仿宋_GB2312"/>
          <w:sz w:val="32"/>
          <w:szCs w:val="32"/>
          <w:shd w:val="clear" w:fill="FFFFFF"/>
        </w:rPr>
        <w:t>万元，占</w:t>
      </w:r>
      <w:r>
        <w:rPr>
          <w:rFonts w:hint="eastAsia" w:ascii="仿宋_GB2312" w:hAnsi="仿宋_GB2312" w:eastAsia="仿宋_GB2312" w:cs="仿宋_GB2312"/>
          <w:sz w:val="32"/>
          <w:szCs w:val="32"/>
          <w:shd w:val="clear" w:fill="FFFFFF"/>
          <w:lang w:val="en-US" w:eastAsia="zh-CN"/>
        </w:rPr>
        <w:t>31.44</w:t>
      </w:r>
      <w:r>
        <w:rPr>
          <w:rFonts w:hint="eastAsia" w:ascii="仿宋_GB2312" w:hAnsi="仿宋_GB2312" w:eastAsia="仿宋_GB2312" w:cs="仿宋_GB2312"/>
          <w:sz w:val="32"/>
          <w:szCs w:val="32"/>
          <w:shd w:val="clear" w:fill="FFFFFF"/>
        </w:rPr>
        <w:t>%；项目支出</w:t>
      </w:r>
      <w:r>
        <w:rPr>
          <w:rFonts w:hint="eastAsia" w:ascii="仿宋_GB2312" w:hAnsi="仿宋_GB2312" w:eastAsia="仿宋_GB2312" w:cs="仿宋_GB2312"/>
          <w:sz w:val="32"/>
          <w:szCs w:val="32"/>
          <w:shd w:val="clear" w:fill="FFFFFF"/>
          <w:lang w:val="en-US" w:eastAsia="zh-CN"/>
        </w:rPr>
        <w:t>2310.64</w:t>
      </w:r>
      <w:r>
        <w:rPr>
          <w:rFonts w:hint="eastAsia" w:ascii="仿宋_GB2312" w:hAnsi="仿宋_GB2312" w:eastAsia="仿宋_GB2312" w:cs="仿宋_GB2312"/>
          <w:sz w:val="32"/>
          <w:szCs w:val="32"/>
          <w:shd w:val="clear" w:fill="FFFFFF"/>
        </w:rPr>
        <w:t>万元，占</w:t>
      </w:r>
      <w:r>
        <w:rPr>
          <w:rFonts w:hint="eastAsia" w:ascii="仿宋_GB2312" w:hAnsi="仿宋_GB2312" w:eastAsia="仿宋_GB2312" w:cs="仿宋_GB2312"/>
          <w:sz w:val="32"/>
          <w:szCs w:val="32"/>
          <w:shd w:val="clear" w:fill="FFFFFF"/>
          <w:lang w:val="en-US" w:eastAsia="zh-CN"/>
        </w:rPr>
        <w:t>68.56</w:t>
      </w:r>
      <w:r>
        <w:rPr>
          <w:rFonts w:hint="eastAsia" w:ascii="仿宋_GB2312" w:hAnsi="仿宋_GB2312" w:eastAsia="仿宋_GB2312" w:cs="仿宋_GB2312"/>
          <w:sz w:val="32"/>
          <w:szCs w:val="32"/>
          <w:shd w:val="clear" w:fill="FFFFFF"/>
        </w:rPr>
        <w:t>%；上缴上级支出0.00万元，占0.00%；经营支出0.00万元，占经营支出0.00万元，占 0.00%；对附属单位补助支出0.00万元，占0.00%。</w:t>
      </w:r>
    </w:p>
    <w:p w14:paraId="7BB23C84">
      <w:pPr>
        <w:pStyle w:val="16"/>
        <w:keepNext w:val="0"/>
        <w:keepLines w:val="0"/>
        <w:widowControl/>
        <w:suppressLineNumbers w:val="0"/>
        <w:spacing w:before="0" w:beforeAutospacing="0"/>
        <w:ind w:left="0" w:firstLine="480" w:firstLineChars="200"/>
        <w:jc w:val="left"/>
        <w:rPr>
          <w:shd w:val="clear" w:fill="FFFFFF"/>
        </w:rPr>
      </w:pPr>
    </w:p>
    <w:p w14:paraId="65475F65">
      <w:pPr>
        <w:pStyle w:val="16"/>
        <w:keepNext w:val="0"/>
        <w:keepLines w:val="0"/>
        <w:widowControl/>
        <w:suppressLineNumbers w:val="0"/>
        <w:spacing w:before="0" w:beforeAutospacing="0"/>
        <w:ind w:left="0" w:firstLine="480" w:firstLineChars="200"/>
        <w:jc w:val="left"/>
        <w:rPr>
          <w:shd w:val="clear" w:fill="FFFFFF"/>
        </w:rPr>
      </w:pPr>
    </w:p>
    <w:p w14:paraId="5BA23C83">
      <w:pPr>
        <w:pStyle w:val="16"/>
        <w:keepNext w:val="0"/>
        <w:keepLines w:val="0"/>
        <w:widowControl/>
        <w:suppressLineNumbers w:val="0"/>
        <w:spacing w:before="0" w:beforeAutospacing="0"/>
        <w:ind w:left="0" w:firstLine="480" w:firstLineChars="200"/>
        <w:jc w:val="left"/>
        <w:rPr>
          <w:shd w:val="clear" w:fill="FFFFFF"/>
        </w:rPr>
      </w:pP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6"/>
        <w:gridCol w:w="436"/>
        <w:gridCol w:w="436"/>
        <w:gridCol w:w="3636"/>
        <w:gridCol w:w="1560"/>
        <w:gridCol w:w="1560"/>
        <w:gridCol w:w="1562"/>
        <w:gridCol w:w="1560"/>
        <w:gridCol w:w="1410"/>
        <w:gridCol w:w="1578"/>
      </w:tblGrid>
      <w:tr w14:paraId="3AB90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trPr>
        <w:tc>
          <w:tcPr>
            <w:tcW w:w="5000" w:type="pct"/>
            <w:gridSpan w:val="10"/>
            <w:tcBorders>
              <w:top w:val="nil"/>
              <w:left w:val="nil"/>
              <w:bottom w:val="nil"/>
              <w:right w:val="nil"/>
            </w:tcBorders>
            <w:shd w:val="clear" w:color="auto" w:fill="auto"/>
            <w:noWrap/>
            <w:vAlign w:val="center"/>
          </w:tcPr>
          <w:p w14:paraId="092FFADD">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支出决算表</w:t>
            </w:r>
          </w:p>
        </w:tc>
      </w:tr>
      <w:tr w14:paraId="01E56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21" w:type="pct"/>
            <w:tcBorders>
              <w:top w:val="nil"/>
              <w:left w:val="nil"/>
              <w:bottom w:val="nil"/>
              <w:right w:val="nil"/>
            </w:tcBorders>
            <w:shd w:val="clear" w:color="auto" w:fill="auto"/>
            <w:noWrap/>
            <w:vAlign w:val="center"/>
          </w:tcPr>
          <w:p w14:paraId="0492826B">
            <w:pPr>
              <w:rPr>
                <w:rFonts w:hint="eastAsia" w:ascii="宋体" w:hAnsi="宋体" w:eastAsia="宋体" w:cs="宋体"/>
                <w:i w:val="0"/>
                <w:iCs w:val="0"/>
                <w:color w:val="000000"/>
                <w:sz w:val="22"/>
                <w:szCs w:val="22"/>
                <w:u w:val="none"/>
              </w:rPr>
            </w:pPr>
          </w:p>
        </w:tc>
        <w:tc>
          <w:tcPr>
            <w:tcW w:w="121" w:type="pct"/>
            <w:tcBorders>
              <w:top w:val="nil"/>
              <w:left w:val="nil"/>
              <w:bottom w:val="nil"/>
              <w:right w:val="nil"/>
            </w:tcBorders>
            <w:shd w:val="clear" w:color="auto" w:fill="auto"/>
            <w:noWrap/>
            <w:vAlign w:val="center"/>
          </w:tcPr>
          <w:p w14:paraId="59A0AF96">
            <w:pPr>
              <w:rPr>
                <w:rFonts w:hint="eastAsia" w:ascii="宋体" w:hAnsi="宋体" w:eastAsia="宋体" w:cs="宋体"/>
                <w:i w:val="0"/>
                <w:iCs w:val="0"/>
                <w:color w:val="000000"/>
                <w:sz w:val="22"/>
                <w:szCs w:val="22"/>
                <w:u w:val="none"/>
              </w:rPr>
            </w:pPr>
          </w:p>
        </w:tc>
        <w:tc>
          <w:tcPr>
            <w:tcW w:w="121" w:type="pct"/>
            <w:tcBorders>
              <w:top w:val="nil"/>
              <w:left w:val="nil"/>
              <w:bottom w:val="nil"/>
              <w:right w:val="nil"/>
            </w:tcBorders>
            <w:shd w:val="clear" w:color="auto" w:fill="auto"/>
            <w:noWrap/>
            <w:vAlign w:val="center"/>
          </w:tcPr>
          <w:p w14:paraId="709DC71C">
            <w:pPr>
              <w:rPr>
                <w:rFonts w:hint="eastAsia" w:ascii="宋体" w:hAnsi="宋体" w:eastAsia="宋体" w:cs="宋体"/>
                <w:i w:val="0"/>
                <w:iCs w:val="0"/>
                <w:color w:val="000000"/>
                <w:sz w:val="22"/>
                <w:szCs w:val="22"/>
                <w:u w:val="none"/>
              </w:rPr>
            </w:pPr>
          </w:p>
        </w:tc>
        <w:tc>
          <w:tcPr>
            <w:tcW w:w="1249" w:type="pct"/>
            <w:tcBorders>
              <w:top w:val="nil"/>
              <w:left w:val="nil"/>
              <w:bottom w:val="nil"/>
              <w:right w:val="nil"/>
            </w:tcBorders>
            <w:shd w:val="clear" w:color="auto" w:fill="auto"/>
            <w:noWrap/>
            <w:vAlign w:val="center"/>
          </w:tcPr>
          <w:p w14:paraId="6FE2E066">
            <w:pPr>
              <w:rPr>
                <w:rFonts w:hint="eastAsia" w:ascii="宋体" w:hAnsi="宋体" w:eastAsia="宋体" w:cs="宋体"/>
                <w:i w:val="0"/>
                <w:iCs w:val="0"/>
                <w:color w:val="000000"/>
                <w:sz w:val="22"/>
                <w:szCs w:val="22"/>
                <w:u w:val="none"/>
              </w:rPr>
            </w:pPr>
          </w:p>
        </w:tc>
        <w:tc>
          <w:tcPr>
            <w:tcW w:w="572" w:type="pct"/>
            <w:tcBorders>
              <w:top w:val="nil"/>
              <w:left w:val="nil"/>
              <w:bottom w:val="nil"/>
              <w:right w:val="nil"/>
            </w:tcBorders>
            <w:shd w:val="clear" w:color="auto" w:fill="auto"/>
            <w:noWrap/>
            <w:vAlign w:val="center"/>
          </w:tcPr>
          <w:p w14:paraId="59B822B1">
            <w:pPr>
              <w:rPr>
                <w:rFonts w:hint="eastAsia" w:ascii="宋体" w:hAnsi="宋体" w:eastAsia="宋体" w:cs="宋体"/>
                <w:i w:val="0"/>
                <w:iCs w:val="0"/>
                <w:color w:val="000000"/>
                <w:sz w:val="22"/>
                <w:szCs w:val="22"/>
                <w:u w:val="none"/>
              </w:rPr>
            </w:pPr>
          </w:p>
        </w:tc>
        <w:tc>
          <w:tcPr>
            <w:tcW w:w="572" w:type="pct"/>
            <w:tcBorders>
              <w:top w:val="nil"/>
              <w:left w:val="nil"/>
              <w:bottom w:val="nil"/>
              <w:right w:val="nil"/>
            </w:tcBorders>
            <w:shd w:val="clear" w:color="auto" w:fill="auto"/>
            <w:noWrap/>
            <w:vAlign w:val="center"/>
          </w:tcPr>
          <w:p w14:paraId="1ED11D3E">
            <w:pPr>
              <w:rPr>
                <w:rFonts w:hint="eastAsia" w:ascii="宋体" w:hAnsi="宋体" w:eastAsia="宋体" w:cs="宋体"/>
                <w:i w:val="0"/>
                <w:iCs w:val="0"/>
                <w:color w:val="000000"/>
                <w:sz w:val="22"/>
                <w:szCs w:val="22"/>
                <w:u w:val="none"/>
              </w:rPr>
            </w:pPr>
          </w:p>
        </w:tc>
        <w:tc>
          <w:tcPr>
            <w:tcW w:w="572" w:type="pct"/>
            <w:tcBorders>
              <w:top w:val="nil"/>
              <w:left w:val="nil"/>
              <w:bottom w:val="nil"/>
              <w:right w:val="nil"/>
            </w:tcBorders>
            <w:shd w:val="clear" w:color="auto" w:fill="auto"/>
            <w:noWrap/>
            <w:vAlign w:val="center"/>
          </w:tcPr>
          <w:p w14:paraId="2B94EE93">
            <w:pPr>
              <w:rPr>
                <w:rFonts w:hint="eastAsia" w:ascii="宋体" w:hAnsi="宋体" w:eastAsia="宋体" w:cs="宋体"/>
                <w:i w:val="0"/>
                <w:iCs w:val="0"/>
                <w:color w:val="000000"/>
                <w:sz w:val="22"/>
                <w:szCs w:val="22"/>
                <w:u w:val="none"/>
              </w:rPr>
            </w:pPr>
          </w:p>
        </w:tc>
        <w:tc>
          <w:tcPr>
            <w:tcW w:w="572" w:type="pct"/>
            <w:tcBorders>
              <w:top w:val="nil"/>
              <w:left w:val="nil"/>
              <w:bottom w:val="nil"/>
              <w:right w:val="nil"/>
            </w:tcBorders>
            <w:shd w:val="clear" w:color="auto" w:fill="auto"/>
            <w:noWrap/>
            <w:vAlign w:val="center"/>
          </w:tcPr>
          <w:p w14:paraId="7ECD4938">
            <w:pPr>
              <w:rPr>
                <w:rFonts w:hint="eastAsia" w:ascii="宋体" w:hAnsi="宋体" w:eastAsia="宋体" w:cs="宋体"/>
                <w:i w:val="0"/>
                <w:iCs w:val="0"/>
                <w:color w:val="000000"/>
                <w:sz w:val="22"/>
                <w:szCs w:val="22"/>
                <w:u w:val="none"/>
              </w:rPr>
            </w:pPr>
          </w:p>
        </w:tc>
        <w:tc>
          <w:tcPr>
            <w:tcW w:w="519" w:type="pct"/>
            <w:tcBorders>
              <w:top w:val="nil"/>
              <w:left w:val="nil"/>
              <w:bottom w:val="nil"/>
              <w:right w:val="nil"/>
            </w:tcBorders>
            <w:shd w:val="clear" w:color="auto" w:fill="auto"/>
            <w:noWrap/>
            <w:vAlign w:val="center"/>
          </w:tcPr>
          <w:p w14:paraId="7842CC33">
            <w:pPr>
              <w:rPr>
                <w:rFonts w:hint="eastAsia" w:ascii="宋体" w:hAnsi="宋体" w:eastAsia="宋体" w:cs="宋体"/>
                <w:i w:val="0"/>
                <w:iCs w:val="0"/>
                <w:color w:val="000000"/>
                <w:sz w:val="22"/>
                <w:szCs w:val="22"/>
                <w:u w:val="none"/>
              </w:rPr>
            </w:pPr>
          </w:p>
        </w:tc>
        <w:tc>
          <w:tcPr>
            <w:tcW w:w="574" w:type="pct"/>
            <w:tcBorders>
              <w:top w:val="nil"/>
              <w:left w:val="nil"/>
              <w:bottom w:val="nil"/>
              <w:right w:val="nil"/>
            </w:tcBorders>
            <w:shd w:val="clear" w:color="auto" w:fill="auto"/>
            <w:noWrap/>
            <w:vAlign w:val="center"/>
          </w:tcPr>
          <w:p w14:paraId="09C38A4A">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财决公开03表</w:t>
            </w:r>
          </w:p>
        </w:tc>
      </w:tr>
      <w:tr w14:paraId="210ED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614" w:type="pct"/>
            <w:gridSpan w:val="4"/>
            <w:tcBorders>
              <w:top w:val="nil"/>
              <w:left w:val="nil"/>
              <w:bottom w:val="nil"/>
              <w:right w:val="nil"/>
            </w:tcBorders>
            <w:shd w:val="clear" w:color="auto" w:fill="auto"/>
            <w:noWrap/>
            <w:vAlign w:val="center"/>
          </w:tcPr>
          <w:p w14:paraId="1E18FF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单位名称：红原县色地镇人民政府</w:t>
            </w:r>
          </w:p>
        </w:tc>
        <w:tc>
          <w:tcPr>
            <w:tcW w:w="572" w:type="pct"/>
            <w:tcBorders>
              <w:top w:val="nil"/>
              <w:left w:val="nil"/>
              <w:bottom w:val="nil"/>
              <w:right w:val="nil"/>
            </w:tcBorders>
            <w:shd w:val="clear" w:color="auto" w:fill="auto"/>
            <w:noWrap/>
            <w:vAlign w:val="bottom"/>
          </w:tcPr>
          <w:p w14:paraId="3C2BA29A">
            <w:pPr>
              <w:rPr>
                <w:rFonts w:hint="eastAsia" w:ascii="宋体" w:hAnsi="宋体" w:eastAsia="宋体" w:cs="宋体"/>
                <w:i w:val="0"/>
                <w:iCs w:val="0"/>
                <w:color w:val="000000"/>
                <w:sz w:val="20"/>
                <w:szCs w:val="20"/>
                <w:u w:val="none"/>
              </w:rPr>
            </w:pPr>
          </w:p>
        </w:tc>
        <w:tc>
          <w:tcPr>
            <w:tcW w:w="1145" w:type="pct"/>
            <w:gridSpan w:val="2"/>
            <w:tcBorders>
              <w:top w:val="nil"/>
              <w:left w:val="nil"/>
              <w:bottom w:val="nil"/>
              <w:right w:val="nil"/>
            </w:tcBorders>
            <w:shd w:val="clear" w:color="auto" w:fill="auto"/>
            <w:noWrap/>
            <w:vAlign w:val="bottom"/>
          </w:tcPr>
          <w:p w14:paraId="07D9B10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2024年度</w:t>
            </w:r>
          </w:p>
        </w:tc>
        <w:tc>
          <w:tcPr>
            <w:tcW w:w="572" w:type="pct"/>
            <w:tcBorders>
              <w:top w:val="nil"/>
              <w:left w:val="nil"/>
              <w:bottom w:val="nil"/>
              <w:right w:val="nil"/>
            </w:tcBorders>
            <w:shd w:val="clear" w:color="auto" w:fill="auto"/>
            <w:noWrap/>
            <w:vAlign w:val="bottom"/>
          </w:tcPr>
          <w:p w14:paraId="33AD3E89">
            <w:pPr>
              <w:rPr>
                <w:rFonts w:hint="eastAsia" w:ascii="宋体" w:hAnsi="宋体" w:eastAsia="宋体" w:cs="宋体"/>
                <w:i w:val="0"/>
                <w:iCs w:val="0"/>
                <w:color w:val="000000"/>
                <w:sz w:val="20"/>
                <w:szCs w:val="20"/>
                <w:u w:val="none"/>
              </w:rPr>
            </w:pPr>
          </w:p>
        </w:tc>
        <w:tc>
          <w:tcPr>
            <w:tcW w:w="519" w:type="pct"/>
            <w:tcBorders>
              <w:top w:val="nil"/>
              <w:left w:val="nil"/>
              <w:bottom w:val="nil"/>
              <w:right w:val="nil"/>
            </w:tcBorders>
            <w:shd w:val="clear" w:color="auto" w:fill="auto"/>
            <w:noWrap/>
            <w:vAlign w:val="bottom"/>
          </w:tcPr>
          <w:p w14:paraId="1288AE33">
            <w:pPr>
              <w:rPr>
                <w:rFonts w:hint="eastAsia" w:ascii="宋体" w:hAnsi="宋体" w:eastAsia="宋体" w:cs="宋体"/>
                <w:i w:val="0"/>
                <w:iCs w:val="0"/>
                <w:color w:val="000000"/>
                <w:sz w:val="20"/>
                <w:szCs w:val="20"/>
                <w:u w:val="none"/>
              </w:rPr>
            </w:pPr>
          </w:p>
        </w:tc>
        <w:tc>
          <w:tcPr>
            <w:tcW w:w="574" w:type="pct"/>
            <w:tcBorders>
              <w:top w:val="nil"/>
              <w:left w:val="nil"/>
              <w:bottom w:val="nil"/>
              <w:right w:val="nil"/>
            </w:tcBorders>
            <w:shd w:val="clear" w:color="auto" w:fill="auto"/>
            <w:noWrap/>
            <w:vAlign w:val="center"/>
          </w:tcPr>
          <w:p w14:paraId="0D9439CE">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14:paraId="4E9F7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365" w:type="pct"/>
            <w:gridSpan w:val="3"/>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17C9BA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支出功能分类科目编码</w:t>
            </w:r>
          </w:p>
        </w:tc>
        <w:tc>
          <w:tcPr>
            <w:tcW w:w="1249"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7A1F12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572"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0771DD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572"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206490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572"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54331B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572"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1075DA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519"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02C85D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574" w:type="pct"/>
            <w:vMerge w:val="restart"/>
            <w:tcBorders>
              <w:top w:val="single" w:color="000000" w:sz="4" w:space="0"/>
              <w:left w:val="single" w:color="000000" w:sz="4" w:space="0"/>
              <w:bottom w:val="single" w:color="000000" w:sz="4" w:space="0"/>
              <w:right w:val="single" w:color="000000" w:sz="4" w:space="0"/>
            </w:tcBorders>
            <w:shd w:val="clear" w:color="auto" w:fill="C0C0C0"/>
            <w:vAlign w:val="center"/>
          </w:tcPr>
          <w:p w14:paraId="107F78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18708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365" w:type="pct"/>
            <w:gridSpan w:val="3"/>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6300F573">
            <w:pPr>
              <w:jc w:val="center"/>
              <w:rPr>
                <w:rFonts w:hint="eastAsia" w:ascii="宋体" w:hAnsi="宋体" w:eastAsia="宋体" w:cs="宋体"/>
                <w:i w:val="0"/>
                <w:iCs w:val="0"/>
                <w:color w:val="000000"/>
                <w:sz w:val="22"/>
                <w:szCs w:val="22"/>
                <w:u w:val="none"/>
              </w:rPr>
            </w:pPr>
          </w:p>
        </w:tc>
        <w:tc>
          <w:tcPr>
            <w:tcW w:w="1249"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5EA347A8">
            <w:pPr>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4B10D5A3">
            <w:pPr>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4F0EAD1D">
            <w:pPr>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3EAB7460">
            <w:pPr>
              <w:jc w:val="center"/>
              <w:rPr>
                <w:rFonts w:hint="eastAsia" w:ascii="宋体" w:hAnsi="宋体" w:eastAsia="宋体" w:cs="宋体"/>
                <w:i w:val="0"/>
                <w:iCs w:val="0"/>
                <w:color w:val="000000"/>
                <w:sz w:val="22"/>
                <w:szCs w:val="22"/>
                <w:u w:val="none"/>
              </w:rPr>
            </w:pPr>
          </w:p>
        </w:tc>
        <w:tc>
          <w:tcPr>
            <w:tcW w:w="572"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7D093832">
            <w:pPr>
              <w:jc w:val="center"/>
              <w:rPr>
                <w:rFonts w:hint="eastAsia" w:ascii="宋体" w:hAnsi="宋体" w:eastAsia="宋体" w:cs="宋体"/>
                <w:i w:val="0"/>
                <w:iCs w:val="0"/>
                <w:color w:val="000000"/>
                <w:sz w:val="22"/>
                <w:szCs w:val="22"/>
                <w:u w:val="none"/>
              </w:rPr>
            </w:pPr>
          </w:p>
        </w:tc>
        <w:tc>
          <w:tcPr>
            <w:tcW w:w="519"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26B0909C">
            <w:pPr>
              <w:jc w:val="center"/>
              <w:rPr>
                <w:rFonts w:hint="eastAsia" w:ascii="宋体" w:hAnsi="宋体" w:eastAsia="宋体" w:cs="宋体"/>
                <w:i w:val="0"/>
                <w:iCs w:val="0"/>
                <w:color w:val="000000"/>
                <w:sz w:val="22"/>
                <w:szCs w:val="22"/>
                <w:u w:val="none"/>
              </w:rPr>
            </w:pPr>
          </w:p>
        </w:tc>
        <w:tc>
          <w:tcPr>
            <w:tcW w:w="574" w:type="pct"/>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69C42CC2">
            <w:pPr>
              <w:jc w:val="center"/>
              <w:rPr>
                <w:rFonts w:hint="eastAsia" w:ascii="宋体" w:hAnsi="宋体" w:eastAsia="宋体" w:cs="宋体"/>
                <w:i w:val="0"/>
                <w:iCs w:val="0"/>
                <w:color w:val="000000"/>
                <w:sz w:val="22"/>
                <w:szCs w:val="22"/>
                <w:u w:val="none"/>
              </w:rPr>
            </w:pPr>
          </w:p>
        </w:tc>
      </w:tr>
      <w:tr w14:paraId="4499B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365" w:type="pct"/>
            <w:gridSpan w:val="3"/>
            <w:vMerge w:val="continue"/>
            <w:tcBorders>
              <w:top w:val="single" w:color="000000" w:sz="4" w:space="0"/>
              <w:left w:val="single" w:color="000000" w:sz="4" w:space="0"/>
              <w:bottom w:val="single" w:color="000000" w:sz="4" w:space="0"/>
              <w:right w:val="single" w:color="000000" w:sz="4" w:space="0"/>
            </w:tcBorders>
            <w:shd w:val="clear" w:color="auto" w:fill="C0C0C0"/>
            <w:vAlign w:val="center"/>
          </w:tcPr>
          <w:p w14:paraId="406D538B">
            <w:pPr>
              <w:jc w:val="center"/>
              <w:rPr>
                <w:rFonts w:hint="eastAsia" w:ascii="宋体" w:hAnsi="宋体" w:eastAsia="宋体" w:cs="宋体"/>
                <w:i w:val="0"/>
                <w:iCs w:val="0"/>
                <w:color w:val="000000"/>
                <w:sz w:val="22"/>
                <w:szCs w:val="22"/>
                <w:u w:val="none"/>
              </w:rPr>
            </w:pPr>
          </w:p>
        </w:tc>
        <w:tc>
          <w:tcPr>
            <w:tcW w:w="1249"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BC4F1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57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271EE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57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D68EE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7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E5F8A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57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05CEC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519"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C7C9B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574"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D6D0D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4EBEB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2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18B6A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类</w:t>
            </w:r>
          </w:p>
        </w:tc>
        <w:tc>
          <w:tcPr>
            <w:tcW w:w="12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DBD09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款</w:t>
            </w:r>
          </w:p>
        </w:tc>
        <w:tc>
          <w:tcPr>
            <w:tcW w:w="12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E6011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w:t>
            </w:r>
          </w:p>
        </w:tc>
        <w:tc>
          <w:tcPr>
            <w:tcW w:w="1249"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B1CFE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71AD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3,370.35</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61DF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1,059.71</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0567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2,310.64</w:t>
            </w:r>
          </w:p>
        </w:tc>
        <w:tc>
          <w:tcPr>
            <w:tcW w:w="5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1E2E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B406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07EC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1658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BA53D">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70E84">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一般公共服务支出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99F21">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729.85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6C25C">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701.11</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D2E96">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28.73</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B5DEA">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3A003">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2D64B">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r>
      <w:tr w14:paraId="00394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00610">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20101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EE2CB">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人大事务</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0164E">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4.58</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2CFF9">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62F56">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4.58</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71368">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12625">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9C3AF">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r>
      <w:tr w14:paraId="48B6E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EAD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2010104</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4D9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人大会议</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E464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0.26</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DE92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76F6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0.26</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AF2C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6152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0910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5B06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248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2010107</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6D1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人大代表履职能力提升</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C450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7164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DD4E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F9AE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0E4D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4C05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1649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D91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2010108</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557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代表工作</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37E9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3.32</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F068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1E21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3.32</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7E20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ED78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D42C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76D1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0BB41">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20102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6287F">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政协事务</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E39BB">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96EF7">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85C60">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05BC8">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1F3AF">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B6871">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r>
      <w:tr w14:paraId="34DA0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942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2010202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094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8D0E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B691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E835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E30E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3043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178B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DB76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6E7BC">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20103</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BA574">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政府办公厅（室）及相关机构事务</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30623">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714.26</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7C5D8">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701.11</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79838">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13.15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65B15">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0742F">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59B70">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r>
      <w:tr w14:paraId="32437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8D7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C7F7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行政运行</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C41C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496.90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9EB0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496.90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663D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61D8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CC34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5257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E2E3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2AC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2010302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50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一般行政管理事务</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675E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12.38</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C694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35A2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12.38</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ADBC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D714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9F76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C82F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A99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2010350</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7DD3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事业运行</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2CEC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204.21</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490A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204.21</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B7A7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9E3D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4483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EF02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8BAC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76C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2010399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66BC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其他政府办公厅（室）及相关机构事务支出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DB03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302F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6023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0.77</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6B6D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2F26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86B7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E554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F3A11">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20134</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C5359">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统战事务</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36652">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0036D">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17E10">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4B011">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B8D32">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D10C3">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r>
      <w:tr w14:paraId="5EC65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692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2013499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B7C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其他统战事务支出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48CB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9818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D199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BFDE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3F60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DDFC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665E9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871DE">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203</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CA9ED">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国防支出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F37AB">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9B2E8">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D0765">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5F481">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756DC">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C6755">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r>
      <w:tr w14:paraId="7CC9E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DED36">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20306</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94DA3">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国防动员</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05BDD">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DB8BE">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42376">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98B63">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E2237">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CE1A6">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r>
      <w:tr w14:paraId="15EA0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2C2E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2030607</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D64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民兵</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2732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999F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B4C7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2E4D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B19D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107F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284E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2CC68">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207</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D073C">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文化旅游体育与传媒支出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2754D">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10.09</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040A0">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97649">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10.09</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B3E89">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5F3B9">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D5BFB">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r>
      <w:tr w14:paraId="50230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02522">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20701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8290D">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文化和旅游</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34B66">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5.64</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FEB8B">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D8A27">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5.64</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6AC08">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E2E62">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1BF17">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r>
      <w:tr w14:paraId="07C56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FCB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2070105</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93A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文化展示及纪念机构</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2974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0.88</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4D6D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C96C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0.88</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E0C6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745D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A27D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8CBA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ADC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2070199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4B6F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其他文化和旅游支出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D7DB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4.76</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5990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DC7E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4.76</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91D4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0F4D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9699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C3FB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2A35D">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20799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35B36">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其他文化旅游体育与传媒支出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71FF7">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4.45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5FA85">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D4747">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4.45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DA0A5">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A6CB8">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B85D6">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r>
      <w:tr w14:paraId="37E46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3D9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2079999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47F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其他文化旅游体育与传媒支出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8456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C706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7381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3054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FA46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9DC1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3007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C7292">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208</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C1481">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社会保障和就业支出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7C534">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178.10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461FA">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111.97</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C365C">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66.13</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97BED">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4861C">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7FCF1">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r>
      <w:tr w14:paraId="14165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18100">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20802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32808">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民政管理事务</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DF734">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66.13</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A35B8">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0AD81">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66.13</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F047E">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C329D">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F3052">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r>
      <w:tr w14:paraId="6A545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C279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2080208</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B0EF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基层政权建设和社区治理</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14F9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66.13</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0E38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9364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66.13</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4FFC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7F57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0E15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A245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73499">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20805</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A576F">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行政事业单位养老支出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D4E53">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111.97</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99D62">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111.97</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327D2">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EB399">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13710">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129DF">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r>
      <w:tr w14:paraId="08752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7A26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2080505</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2C94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机关事业单位基本养老保险缴费支出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56E1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74.65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8533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74.65</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A5C2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23C1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85E9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D39B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FD8F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89E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2080506</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4CC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机关事业单位职业年金缴费支出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244B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37.32</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2DC4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37.32</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A16C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A5AF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7434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0567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EE3F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B9902">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210</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E2ECF">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卫生健康支出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8A8A8">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48.62</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4953E">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48.62</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371E2">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7B0F6">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A18D9">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F6796">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r>
      <w:tr w14:paraId="2472D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E0584">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21011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E057A">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行政事业单位医疗</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7998A">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48.62</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E2AA6">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48.62</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9D0AA">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F3B3B">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59E0A">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62CA4">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r>
      <w:tr w14:paraId="20EA5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596C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03F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行政单位医疗</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A838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29.43</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F141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29.43</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7AEB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A778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2449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5434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00BC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8E9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92E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事业单位医疗</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51A0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10.47</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9E63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10.47</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2AAA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F49F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4F10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A01F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32CE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DA4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2101103</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055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公务员医疗补助</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8BA1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6.12</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6128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6.12</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F67E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AAB0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A409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61A6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F641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ED87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2101199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9F0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其他行政事业单位医疗支出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6D50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D32A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1E1D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6E14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A829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FA90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744F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338D9">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82EDE">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节能环保支出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E6F0B">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90.86</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51DEB">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C2F32">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90.86</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063BC">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E8778">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E1201">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r>
      <w:tr w14:paraId="71B6C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08431">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21104</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59B88">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自然生态保护</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62010">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90.86</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EEFEF">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3BD8B">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90.86</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A6FF4">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A0272">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3FF03">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r>
      <w:tr w14:paraId="40D26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DC3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2110402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2E86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农村环境保护</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EA6E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90.86</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DE2F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E5D8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90.86</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02A4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8FD8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C242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0F23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9D10C">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518F0">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城乡社区支出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B06FC">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10.96</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6608B">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2D0B0">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10.96</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C2417">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8B421">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96AAC">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r>
      <w:tr w14:paraId="34689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B5E25">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21205</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4A8C7">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城乡社区环境卫生</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499A1">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10.96</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78DB4">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FE0B3">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10.96</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2CF75">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6B0AC">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7888E">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r>
      <w:tr w14:paraId="6C998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37EB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2120501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05AA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城乡社区环境卫生</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9F29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10.96</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DF15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B13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10.96</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500C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EB1C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D9CD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7C08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4F033">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F633F">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农林水支出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C43FE">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2,231.79</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A182C">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130.92</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3446C">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2,100.87</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7C43A">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A5959">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C102E">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r>
      <w:tr w14:paraId="11FF7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FB228">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5B268">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林业和草原</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F92AC">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69.89</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749E1">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99F05">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69.89</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DB364">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FE05E">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263E9">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r>
      <w:tr w14:paraId="0542F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FEC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2130299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A2D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其他林业和草原支出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36F0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69.89</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5C38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4815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69.89</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CCE6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614E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B9F4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844B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A70BF">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21303</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B033E">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水利</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D88E5">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1D6FC">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8165A">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5B898">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9CC8B">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1BDCE">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r>
      <w:tr w14:paraId="7055A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90B7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2130399</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086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其他水利支出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EB68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7BA0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60A9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B321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7660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666A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BEB7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7990F">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21305</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71A61">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巩固脱贫攻坚成果衔接乡村振兴</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14823">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1,976.19</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6F5CE">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0B310">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1,976.19</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E4AA9">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AEFAA">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D5C78">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r>
      <w:tr w14:paraId="3292F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77A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2130504</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7B9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农村基础设施建设</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3034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1,976.19</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52E5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7DDD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1,976.19</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45D9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4D93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7EA8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F3D4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F0D10">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21307</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0C830">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农村综合改革</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45876">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165.70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D2515">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130.92</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B040B">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34.79</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79F93">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1757B">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0CEE1">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r>
      <w:tr w14:paraId="461C0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82B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2130705</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A95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对村民委员会和村党支部的补助</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BB3E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165.70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64A3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130.92</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D397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34.79</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E3FD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7B2D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D17F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029B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E5F13">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51974">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住房保障支出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3CAA7">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67.10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C6E39">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67.10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0AAAD">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B1F49">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17753">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3F45F">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r>
      <w:tr w14:paraId="25467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67378">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22102</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A833D">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住房改革支出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13C94">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67.10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C2A12">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67.10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41107">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203CF">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2905E">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270B4">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r>
      <w:tr w14:paraId="12909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FA1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2210201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D67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住房公积金</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779B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67.10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573A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67.10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45C4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F842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B277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C66A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D9FD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882E9F">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224</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2432E">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灾害防治及应急管理支出</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E430A">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6149C">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A38B1">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8DB9B">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4A910">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5765A">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r>
      <w:tr w14:paraId="57C10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652E1">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22401</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48E7A">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应急管理事务</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780D8">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901B6">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F5847">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1.00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17902">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5B9D5">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A3B80">
            <w:pPr>
              <w:keepNext w:val="0"/>
              <w:keepLines w:val="0"/>
              <w:widowControl/>
              <w:suppressLineNumbers w:val="0"/>
              <w:jc w:val="righ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0.00</w:t>
            </w:r>
          </w:p>
        </w:tc>
      </w:tr>
      <w:tr w14:paraId="290E3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365"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BC7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2240106</w:t>
            </w:r>
          </w:p>
        </w:tc>
        <w:tc>
          <w:tcPr>
            <w:tcW w:w="1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D8A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安全监管</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E3EA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759C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AD8C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5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86DE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4453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BE8C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ED49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9" w:hRule="atLeast"/>
        </w:trPr>
        <w:tc>
          <w:tcPr>
            <w:tcW w:w="5000" w:type="pct"/>
            <w:gridSpan w:val="10"/>
            <w:tcBorders>
              <w:top w:val="nil"/>
              <w:left w:val="nil"/>
              <w:bottom w:val="nil"/>
              <w:right w:val="nil"/>
            </w:tcBorders>
            <w:shd w:val="clear" w:color="auto" w:fill="auto"/>
            <w:noWrap/>
            <w:vAlign w:val="center"/>
          </w:tcPr>
          <w:p w14:paraId="04C9E6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4D1E5389">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黑体" w:hAnsi="黑体" w:eastAsia="黑体" w:cs="黑体"/>
          <w:sz w:val="32"/>
          <w:szCs w:val="32"/>
          <w:shd w:val="clear" w:fill="FFFFFF"/>
        </w:rPr>
        <w:sectPr>
          <w:pgSz w:w="16838" w:h="11906" w:orient="landscape"/>
          <w:pgMar w:top="1800" w:right="1440" w:bottom="1800" w:left="1440" w:header="851" w:footer="992" w:gutter="0"/>
          <w:cols w:space="0" w:num="1"/>
          <w:docGrid w:type="lines" w:linePitch="312" w:charSpace="0"/>
        </w:sectPr>
      </w:pPr>
    </w:p>
    <w:p w14:paraId="185AB2FD">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left"/>
        <w:textAlignment w:val="auto"/>
        <w:outlineLvl w:val="0"/>
        <w:rPr>
          <w:rFonts w:hint="eastAsia" w:ascii="黑体" w:hAnsi="黑体" w:eastAsia="黑体" w:cs="黑体"/>
          <w:sz w:val="32"/>
          <w:szCs w:val="32"/>
        </w:rPr>
      </w:pPr>
      <w:bookmarkStart w:id="13" w:name="_Toc18339"/>
      <w:r>
        <w:rPr>
          <w:rFonts w:hint="eastAsia" w:ascii="黑体" w:hAnsi="黑体" w:eastAsia="黑体" w:cs="黑体"/>
          <w:sz w:val="32"/>
          <w:szCs w:val="32"/>
          <w:shd w:val="clear" w:fill="FFFFFF"/>
        </w:rPr>
        <w:t>四、财政拨款收入支出决算总体情况说明</w:t>
      </w:r>
      <w:bookmarkEnd w:id="13"/>
    </w:p>
    <w:p w14:paraId="6CD2B95C">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4</w:t>
      </w:r>
      <w:r>
        <w:rPr>
          <w:rFonts w:hint="eastAsia" w:ascii="仿宋_GB2312" w:hAnsi="仿宋_GB2312" w:eastAsia="仿宋_GB2312" w:cs="仿宋_GB2312"/>
          <w:sz w:val="32"/>
          <w:szCs w:val="32"/>
          <w:shd w:val="clear" w:fill="FFFFFF"/>
        </w:rPr>
        <w:t>年度</w:t>
      </w:r>
      <w:r>
        <w:rPr>
          <w:rFonts w:hint="eastAsia" w:ascii="仿宋_GB2312" w:hAnsi="仿宋_GB2312" w:eastAsia="仿宋_GB2312" w:cs="仿宋_GB2312"/>
          <w:sz w:val="32"/>
          <w:szCs w:val="32"/>
          <w:shd w:val="clear" w:fill="FFFFFF"/>
          <w:lang w:eastAsia="zh-CN"/>
        </w:rPr>
        <w:t>决算</w:t>
      </w:r>
      <w:r>
        <w:rPr>
          <w:rFonts w:hint="eastAsia" w:ascii="仿宋_GB2312" w:hAnsi="仿宋_GB2312" w:eastAsia="仿宋_GB2312" w:cs="仿宋_GB2312"/>
          <w:sz w:val="32"/>
          <w:szCs w:val="32"/>
          <w:shd w:val="clear" w:fill="FFFFFF"/>
          <w:lang w:val="en-US" w:eastAsia="zh-CN"/>
        </w:rPr>
        <w:t>收入</w:t>
      </w:r>
      <w:r>
        <w:rPr>
          <w:rFonts w:hint="eastAsia" w:ascii="仿宋_GB2312" w:hAnsi="仿宋_GB2312" w:eastAsia="仿宋_GB2312" w:cs="仿宋_GB2312"/>
          <w:sz w:val="32"/>
          <w:szCs w:val="32"/>
          <w:shd w:val="clear" w:fill="FFFFFF"/>
        </w:rPr>
        <w:t>总计</w:t>
      </w:r>
      <w:r>
        <w:rPr>
          <w:rFonts w:hint="eastAsia" w:ascii="仿宋_GB2312" w:hAnsi="仿宋_GB2312" w:eastAsia="仿宋_GB2312" w:cs="仿宋_GB2312"/>
          <w:sz w:val="32"/>
          <w:szCs w:val="32"/>
          <w:shd w:val="clear" w:fill="FFFFFF"/>
          <w:lang w:val="en-US" w:eastAsia="zh-CN"/>
        </w:rPr>
        <w:t>3369.59</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2023年度决算收入1275.34万元，比去年增加2094.25万元，2024年度决算支出总计729.09万元，2023年度决算支出总计775.01万元，比去年减少45.92</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p>
    <w:p w14:paraId="05E63BCC">
      <w:pPr>
        <w:jc w:val="center"/>
        <w:rPr>
          <w:rFonts w:hint="eastAsia" w:ascii="黑体" w:hAnsi="宋体" w:eastAsia="黑体" w:cs="黑体"/>
          <w:i w:val="0"/>
          <w:iCs w:val="0"/>
          <w:color w:val="000000"/>
          <w:kern w:val="0"/>
          <w:sz w:val="44"/>
          <w:szCs w:val="44"/>
          <w:u w:val="none"/>
          <w:lang w:val="en-US" w:eastAsia="zh-CN" w:bidi="ar"/>
        </w:rPr>
        <w:sectPr>
          <w:pgSz w:w="11906" w:h="16838"/>
          <w:pgMar w:top="1440" w:right="1800" w:bottom="1440" w:left="1800" w:header="851" w:footer="992" w:gutter="0"/>
          <w:cols w:space="0" w:num="1"/>
          <w:docGrid w:type="lines" w:linePitch="312" w:charSpace="0"/>
        </w:sectPr>
      </w:pPr>
      <w:r>
        <w:drawing>
          <wp:inline distT="0" distB="0" distL="114300" distR="114300">
            <wp:extent cx="3437890" cy="2914015"/>
            <wp:effectExtent l="0" t="0" r="3810" b="6985"/>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9"/>
                    <a:stretch>
                      <a:fillRect/>
                    </a:stretch>
                  </pic:blipFill>
                  <pic:spPr>
                    <a:xfrm>
                      <a:off x="0" y="0"/>
                      <a:ext cx="3437890" cy="2914015"/>
                    </a:xfrm>
                    <a:prstGeom prst="rect">
                      <a:avLst/>
                    </a:prstGeom>
                    <a:noFill/>
                    <a:ln>
                      <a:noFill/>
                    </a:ln>
                  </pic:spPr>
                </pic:pic>
              </a:graphicData>
            </a:graphic>
          </wp:inline>
        </w:drawing>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871"/>
        <w:gridCol w:w="436"/>
        <w:gridCol w:w="1499"/>
        <w:gridCol w:w="2916"/>
        <w:gridCol w:w="436"/>
        <w:gridCol w:w="1499"/>
        <w:gridCol w:w="1500"/>
        <w:gridCol w:w="1500"/>
        <w:gridCol w:w="1517"/>
      </w:tblGrid>
      <w:tr w14:paraId="343DF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9" w:hRule="atLeast"/>
        </w:trPr>
        <w:tc>
          <w:tcPr>
            <w:tcW w:w="5000" w:type="pct"/>
            <w:gridSpan w:val="9"/>
            <w:tcBorders>
              <w:top w:val="nil"/>
              <w:left w:val="nil"/>
              <w:bottom w:val="nil"/>
              <w:right w:val="nil"/>
            </w:tcBorders>
            <w:shd w:val="clear" w:color="auto" w:fill="auto"/>
            <w:noWrap/>
            <w:vAlign w:val="center"/>
          </w:tcPr>
          <w:p w14:paraId="0A6121DD">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财政拨款收入支出决算总表</w:t>
            </w:r>
          </w:p>
        </w:tc>
      </w:tr>
      <w:tr w14:paraId="6DC6D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15" w:type="pct"/>
            <w:tcBorders>
              <w:top w:val="nil"/>
              <w:left w:val="nil"/>
              <w:bottom w:val="nil"/>
              <w:right w:val="nil"/>
            </w:tcBorders>
            <w:shd w:val="clear" w:color="auto" w:fill="auto"/>
            <w:noWrap/>
            <w:vAlign w:val="center"/>
          </w:tcPr>
          <w:p w14:paraId="7AB2856E">
            <w:pPr>
              <w:rPr>
                <w:rFonts w:hint="eastAsia" w:ascii="宋体" w:hAnsi="宋体" w:eastAsia="宋体" w:cs="宋体"/>
                <w:i w:val="0"/>
                <w:iCs w:val="0"/>
                <w:color w:val="000000"/>
                <w:sz w:val="22"/>
                <w:szCs w:val="22"/>
                <w:u w:val="none"/>
              </w:rPr>
            </w:pPr>
          </w:p>
        </w:tc>
        <w:tc>
          <w:tcPr>
            <w:tcW w:w="155" w:type="pct"/>
            <w:tcBorders>
              <w:top w:val="nil"/>
              <w:left w:val="nil"/>
              <w:bottom w:val="nil"/>
              <w:right w:val="nil"/>
            </w:tcBorders>
            <w:shd w:val="clear" w:color="auto" w:fill="auto"/>
            <w:noWrap/>
            <w:vAlign w:val="center"/>
          </w:tcPr>
          <w:p w14:paraId="3E430AEC">
            <w:pPr>
              <w:rPr>
                <w:rFonts w:hint="eastAsia" w:ascii="宋体" w:hAnsi="宋体" w:eastAsia="宋体" w:cs="宋体"/>
                <w:i w:val="0"/>
                <w:iCs w:val="0"/>
                <w:color w:val="000000"/>
                <w:sz w:val="22"/>
                <w:szCs w:val="22"/>
                <w:u w:val="none"/>
              </w:rPr>
            </w:pPr>
          </w:p>
        </w:tc>
        <w:tc>
          <w:tcPr>
            <w:tcW w:w="531" w:type="pct"/>
            <w:tcBorders>
              <w:top w:val="nil"/>
              <w:left w:val="nil"/>
              <w:bottom w:val="nil"/>
              <w:right w:val="nil"/>
            </w:tcBorders>
            <w:shd w:val="clear" w:color="auto" w:fill="auto"/>
            <w:noWrap/>
            <w:vAlign w:val="center"/>
          </w:tcPr>
          <w:p w14:paraId="61892E52">
            <w:pPr>
              <w:rPr>
                <w:rFonts w:hint="eastAsia" w:ascii="宋体" w:hAnsi="宋体" w:eastAsia="宋体" w:cs="宋体"/>
                <w:i w:val="0"/>
                <w:iCs w:val="0"/>
                <w:color w:val="000000"/>
                <w:sz w:val="22"/>
                <w:szCs w:val="22"/>
                <w:u w:val="none"/>
              </w:rPr>
            </w:pPr>
          </w:p>
        </w:tc>
        <w:tc>
          <w:tcPr>
            <w:tcW w:w="1015" w:type="pct"/>
            <w:tcBorders>
              <w:top w:val="nil"/>
              <w:left w:val="nil"/>
              <w:bottom w:val="nil"/>
              <w:right w:val="nil"/>
            </w:tcBorders>
            <w:shd w:val="clear" w:color="auto" w:fill="auto"/>
            <w:noWrap/>
            <w:vAlign w:val="center"/>
          </w:tcPr>
          <w:p w14:paraId="70067ABA">
            <w:pPr>
              <w:rPr>
                <w:rFonts w:hint="eastAsia" w:ascii="宋体" w:hAnsi="宋体" w:eastAsia="宋体" w:cs="宋体"/>
                <w:i w:val="0"/>
                <w:iCs w:val="0"/>
                <w:color w:val="000000"/>
                <w:sz w:val="22"/>
                <w:szCs w:val="22"/>
                <w:u w:val="none"/>
              </w:rPr>
            </w:pPr>
          </w:p>
        </w:tc>
        <w:tc>
          <w:tcPr>
            <w:tcW w:w="155" w:type="pct"/>
            <w:tcBorders>
              <w:top w:val="nil"/>
              <w:left w:val="nil"/>
              <w:bottom w:val="nil"/>
              <w:right w:val="nil"/>
            </w:tcBorders>
            <w:shd w:val="clear" w:color="auto" w:fill="auto"/>
            <w:noWrap/>
            <w:vAlign w:val="center"/>
          </w:tcPr>
          <w:p w14:paraId="39B6FC34">
            <w:pPr>
              <w:rPr>
                <w:rFonts w:hint="eastAsia" w:ascii="宋体" w:hAnsi="宋体" w:eastAsia="宋体" w:cs="宋体"/>
                <w:i w:val="0"/>
                <w:iCs w:val="0"/>
                <w:color w:val="000000"/>
                <w:sz w:val="22"/>
                <w:szCs w:val="22"/>
                <w:u w:val="none"/>
              </w:rPr>
            </w:pPr>
          </w:p>
        </w:tc>
        <w:tc>
          <w:tcPr>
            <w:tcW w:w="531" w:type="pct"/>
            <w:tcBorders>
              <w:top w:val="nil"/>
              <w:left w:val="nil"/>
              <w:bottom w:val="nil"/>
              <w:right w:val="nil"/>
            </w:tcBorders>
            <w:shd w:val="clear" w:color="auto" w:fill="auto"/>
            <w:noWrap/>
            <w:vAlign w:val="center"/>
          </w:tcPr>
          <w:p w14:paraId="358658FB">
            <w:pPr>
              <w:rPr>
                <w:rFonts w:hint="eastAsia" w:ascii="宋体" w:hAnsi="宋体" w:eastAsia="宋体" w:cs="宋体"/>
                <w:i w:val="0"/>
                <w:iCs w:val="0"/>
                <w:color w:val="000000"/>
                <w:sz w:val="22"/>
                <w:szCs w:val="22"/>
                <w:u w:val="none"/>
              </w:rPr>
            </w:pPr>
          </w:p>
        </w:tc>
        <w:tc>
          <w:tcPr>
            <w:tcW w:w="531" w:type="pct"/>
            <w:tcBorders>
              <w:top w:val="nil"/>
              <w:left w:val="nil"/>
              <w:bottom w:val="nil"/>
              <w:right w:val="nil"/>
            </w:tcBorders>
            <w:shd w:val="clear" w:color="auto" w:fill="auto"/>
            <w:noWrap/>
            <w:vAlign w:val="center"/>
          </w:tcPr>
          <w:p w14:paraId="57D5AAE4">
            <w:pPr>
              <w:rPr>
                <w:rFonts w:hint="eastAsia" w:ascii="宋体" w:hAnsi="宋体" w:eastAsia="宋体" w:cs="宋体"/>
                <w:i w:val="0"/>
                <w:iCs w:val="0"/>
                <w:color w:val="000000"/>
                <w:sz w:val="22"/>
                <w:szCs w:val="22"/>
                <w:u w:val="none"/>
              </w:rPr>
            </w:pPr>
          </w:p>
        </w:tc>
        <w:tc>
          <w:tcPr>
            <w:tcW w:w="531" w:type="pct"/>
            <w:tcBorders>
              <w:top w:val="nil"/>
              <w:left w:val="nil"/>
              <w:bottom w:val="nil"/>
              <w:right w:val="nil"/>
            </w:tcBorders>
            <w:shd w:val="clear" w:color="auto" w:fill="auto"/>
            <w:noWrap/>
            <w:vAlign w:val="center"/>
          </w:tcPr>
          <w:p w14:paraId="7826E61F">
            <w:pPr>
              <w:rPr>
                <w:rFonts w:hint="eastAsia" w:ascii="宋体" w:hAnsi="宋体" w:eastAsia="宋体" w:cs="宋体"/>
                <w:i w:val="0"/>
                <w:iCs w:val="0"/>
                <w:color w:val="000000"/>
                <w:sz w:val="22"/>
                <w:szCs w:val="22"/>
                <w:u w:val="none"/>
              </w:rPr>
            </w:pPr>
          </w:p>
        </w:tc>
        <w:tc>
          <w:tcPr>
            <w:tcW w:w="532" w:type="pct"/>
            <w:tcBorders>
              <w:top w:val="nil"/>
              <w:left w:val="nil"/>
              <w:bottom w:val="nil"/>
              <w:right w:val="nil"/>
            </w:tcBorders>
            <w:shd w:val="clear" w:color="auto" w:fill="auto"/>
            <w:noWrap/>
            <w:vAlign w:val="center"/>
          </w:tcPr>
          <w:p w14:paraId="4B9EAD12">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财决公开04表</w:t>
            </w:r>
          </w:p>
        </w:tc>
      </w:tr>
      <w:tr w14:paraId="2AD05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2" w:type="pct"/>
            <w:gridSpan w:val="3"/>
            <w:tcBorders>
              <w:top w:val="nil"/>
              <w:left w:val="nil"/>
              <w:bottom w:val="nil"/>
              <w:right w:val="nil"/>
            </w:tcBorders>
            <w:shd w:val="clear" w:color="auto" w:fill="auto"/>
            <w:noWrap/>
            <w:vAlign w:val="center"/>
          </w:tcPr>
          <w:p w14:paraId="51D974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单位名称：红原县色地镇人民政府</w:t>
            </w:r>
          </w:p>
        </w:tc>
        <w:tc>
          <w:tcPr>
            <w:tcW w:w="1702" w:type="pct"/>
            <w:gridSpan w:val="3"/>
            <w:tcBorders>
              <w:top w:val="nil"/>
              <w:left w:val="nil"/>
              <w:bottom w:val="nil"/>
              <w:right w:val="nil"/>
            </w:tcBorders>
            <w:shd w:val="clear" w:color="auto" w:fill="auto"/>
            <w:noWrap/>
            <w:vAlign w:val="bottom"/>
          </w:tcPr>
          <w:p w14:paraId="7570343F">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2024年度</w:t>
            </w:r>
          </w:p>
        </w:tc>
        <w:tc>
          <w:tcPr>
            <w:tcW w:w="531" w:type="pct"/>
            <w:tcBorders>
              <w:top w:val="nil"/>
              <w:left w:val="nil"/>
              <w:bottom w:val="nil"/>
              <w:right w:val="nil"/>
            </w:tcBorders>
            <w:shd w:val="clear" w:color="auto" w:fill="auto"/>
            <w:noWrap/>
            <w:vAlign w:val="bottom"/>
          </w:tcPr>
          <w:p w14:paraId="3A6D133D">
            <w:pPr>
              <w:rPr>
                <w:rFonts w:hint="eastAsia" w:ascii="宋体" w:hAnsi="宋体" w:eastAsia="宋体" w:cs="宋体"/>
                <w:i w:val="0"/>
                <w:iCs w:val="0"/>
                <w:color w:val="000000"/>
                <w:sz w:val="20"/>
                <w:szCs w:val="20"/>
                <w:u w:val="none"/>
              </w:rPr>
            </w:pPr>
          </w:p>
        </w:tc>
        <w:tc>
          <w:tcPr>
            <w:tcW w:w="531" w:type="pct"/>
            <w:tcBorders>
              <w:top w:val="nil"/>
              <w:left w:val="nil"/>
              <w:bottom w:val="nil"/>
              <w:right w:val="nil"/>
            </w:tcBorders>
            <w:shd w:val="clear" w:color="auto" w:fill="auto"/>
            <w:noWrap/>
            <w:vAlign w:val="bottom"/>
          </w:tcPr>
          <w:p w14:paraId="48A68D0F">
            <w:pPr>
              <w:rPr>
                <w:rFonts w:hint="eastAsia" w:ascii="宋体" w:hAnsi="宋体" w:eastAsia="宋体" w:cs="宋体"/>
                <w:i w:val="0"/>
                <w:iCs w:val="0"/>
                <w:color w:val="000000"/>
                <w:sz w:val="20"/>
                <w:szCs w:val="20"/>
                <w:u w:val="none"/>
              </w:rPr>
            </w:pPr>
          </w:p>
        </w:tc>
        <w:tc>
          <w:tcPr>
            <w:tcW w:w="532" w:type="pct"/>
            <w:tcBorders>
              <w:top w:val="nil"/>
              <w:left w:val="nil"/>
              <w:bottom w:val="nil"/>
              <w:right w:val="nil"/>
            </w:tcBorders>
            <w:shd w:val="clear" w:color="auto" w:fill="auto"/>
            <w:noWrap/>
            <w:vAlign w:val="center"/>
          </w:tcPr>
          <w:p w14:paraId="6FA2EACD">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单位:万元</w:t>
            </w:r>
          </w:p>
        </w:tc>
      </w:tr>
      <w:tr w14:paraId="346F1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1702" w:type="pct"/>
            <w:gridSpan w:val="3"/>
            <w:tcBorders>
              <w:top w:val="single" w:color="000000" w:sz="4" w:space="0"/>
              <w:left w:val="single" w:color="000000" w:sz="4" w:space="0"/>
              <w:bottom w:val="single" w:color="000000" w:sz="4" w:space="0"/>
              <w:right w:val="single" w:color="000000" w:sz="4" w:space="0"/>
            </w:tcBorders>
            <w:shd w:val="clear" w:color="auto" w:fill="C0C0C0"/>
            <w:vAlign w:val="center"/>
          </w:tcPr>
          <w:p w14:paraId="06AFD7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3297" w:type="pct"/>
            <w:gridSpan w:val="6"/>
            <w:tcBorders>
              <w:top w:val="single" w:color="000000" w:sz="4" w:space="0"/>
              <w:left w:val="single" w:color="000000" w:sz="4" w:space="0"/>
              <w:bottom w:val="single" w:color="000000" w:sz="4" w:space="0"/>
              <w:right w:val="single" w:color="000000" w:sz="4" w:space="0"/>
            </w:tcBorders>
            <w:shd w:val="clear" w:color="auto" w:fill="C0C0C0"/>
            <w:vAlign w:val="center"/>
          </w:tcPr>
          <w:p w14:paraId="13A284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3590B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1015"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1FDB0E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55"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45157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53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3F39A4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1015"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5F5DC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55"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0D6839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53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078DF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53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F0225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53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F4B82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53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DA77A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2D7C3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trPr>
        <w:tc>
          <w:tcPr>
            <w:tcW w:w="1015"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5F6BDC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55"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301FE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53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FFEA8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15"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682D58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55"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78F4A5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53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B9D20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53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23F044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531"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90633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532" w:type="pct"/>
            <w:tcBorders>
              <w:top w:val="single" w:color="000000" w:sz="4" w:space="0"/>
              <w:left w:val="single" w:color="000000" w:sz="4" w:space="0"/>
              <w:bottom w:val="single" w:color="000000" w:sz="4" w:space="0"/>
              <w:right w:val="single" w:color="000000" w:sz="4" w:space="0"/>
            </w:tcBorders>
            <w:shd w:val="clear" w:color="auto" w:fill="C0C0C0"/>
            <w:vAlign w:val="center"/>
          </w:tcPr>
          <w:p w14:paraId="4A49BE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6B42F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3BC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一、一般公共预算财政拨款</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8C8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164BD6E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3,369.59</w:t>
            </w: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AE3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一、一般公共服务支出</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F36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52CA7E1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729.09</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54A1D5B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729.09</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0B6E9FD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2" w:type="pct"/>
            <w:tcBorders>
              <w:top w:val="single" w:color="808080" w:sz="4" w:space="0"/>
              <w:left w:val="single" w:color="808080" w:sz="4" w:space="0"/>
              <w:bottom w:val="single" w:color="808080" w:sz="4" w:space="0"/>
              <w:right w:val="single" w:color="808080" w:sz="4" w:space="0"/>
            </w:tcBorders>
            <w:shd w:val="clear" w:color="auto" w:fill="auto"/>
            <w:vAlign w:val="center"/>
          </w:tcPr>
          <w:p w14:paraId="72C2087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4DDA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829D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二、政府性基金预算财政拨款</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A137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7DFA9B4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F81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二、外交支出</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7D0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2CBAC6B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238BFE5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509E2A0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2" w:type="pct"/>
            <w:tcBorders>
              <w:top w:val="single" w:color="808080" w:sz="4" w:space="0"/>
              <w:left w:val="single" w:color="808080" w:sz="4" w:space="0"/>
              <w:bottom w:val="single" w:color="808080" w:sz="4" w:space="0"/>
              <w:right w:val="single" w:color="808080" w:sz="4" w:space="0"/>
            </w:tcBorders>
            <w:shd w:val="clear" w:color="auto" w:fill="auto"/>
            <w:vAlign w:val="center"/>
          </w:tcPr>
          <w:p w14:paraId="3045FB3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4538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CB1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三、国有资本经营预算财政拨款</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3D5F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0CF5268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039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三、国防支出</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129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5E38F2B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78306A1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60F04B8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2" w:type="pct"/>
            <w:tcBorders>
              <w:top w:val="single" w:color="808080" w:sz="4" w:space="0"/>
              <w:left w:val="single" w:color="808080" w:sz="4" w:space="0"/>
              <w:bottom w:val="single" w:color="808080" w:sz="4" w:space="0"/>
              <w:right w:val="single" w:color="808080" w:sz="4" w:space="0"/>
            </w:tcBorders>
            <w:shd w:val="clear" w:color="auto" w:fill="auto"/>
            <w:vAlign w:val="center"/>
          </w:tcPr>
          <w:p w14:paraId="6B9AA42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4C1B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B6511">
            <w:pPr>
              <w:rPr>
                <w:rFonts w:hint="eastAsia" w:ascii="宋体" w:hAnsi="宋体" w:eastAsia="宋体" w:cs="宋体"/>
                <w:i w:val="0"/>
                <w:iCs w:val="0"/>
                <w:color w:val="000000"/>
                <w:sz w:val="18"/>
                <w:szCs w:val="18"/>
                <w:u w:val="none"/>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38F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531" w:type="pct"/>
            <w:tcBorders>
              <w:top w:val="single" w:color="808080" w:sz="4" w:space="0"/>
              <w:left w:val="single" w:color="808080" w:sz="4" w:space="0"/>
              <w:bottom w:val="single" w:color="808080" w:sz="4" w:space="0"/>
              <w:right w:val="single" w:color="808080" w:sz="4" w:space="0"/>
            </w:tcBorders>
            <w:shd w:val="clear" w:color="auto" w:fill="auto"/>
            <w:noWrap/>
            <w:vAlign w:val="center"/>
          </w:tcPr>
          <w:p w14:paraId="08B2DF58">
            <w:pPr>
              <w:jc w:val="right"/>
              <w:rPr>
                <w:rFonts w:hint="eastAsia" w:ascii="宋体" w:hAnsi="宋体" w:eastAsia="宋体" w:cs="宋体"/>
                <w:i w:val="0"/>
                <w:iCs w:val="0"/>
                <w:color w:val="000000"/>
                <w:sz w:val="22"/>
                <w:szCs w:val="22"/>
                <w:u w:val="none"/>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D6E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四、公共安全支出</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44B4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6CE075F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38F96A5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24DCE1C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2" w:type="pct"/>
            <w:tcBorders>
              <w:top w:val="single" w:color="808080" w:sz="4" w:space="0"/>
              <w:left w:val="single" w:color="808080" w:sz="4" w:space="0"/>
              <w:bottom w:val="single" w:color="808080" w:sz="4" w:space="0"/>
              <w:right w:val="single" w:color="808080" w:sz="4" w:space="0"/>
            </w:tcBorders>
            <w:shd w:val="clear" w:color="auto" w:fill="auto"/>
            <w:vAlign w:val="center"/>
          </w:tcPr>
          <w:p w14:paraId="318B5C5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5E19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88130">
            <w:pPr>
              <w:rPr>
                <w:rFonts w:hint="eastAsia" w:ascii="宋体" w:hAnsi="宋体" w:eastAsia="宋体" w:cs="宋体"/>
                <w:i w:val="0"/>
                <w:iCs w:val="0"/>
                <w:color w:val="000000"/>
                <w:sz w:val="18"/>
                <w:szCs w:val="18"/>
                <w:u w:val="none"/>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F45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531" w:type="pct"/>
            <w:tcBorders>
              <w:top w:val="single" w:color="808080" w:sz="4" w:space="0"/>
              <w:left w:val="single" w:color="808080" w:sz="4" w:space="0"/>
              <w:bottom w:val="single" w:color="808080" w:sz="4" w:space="0"/>
              <w:right w:val="single" w:color="808080" w:sz="4" w:space="0"/>
            </w:tcBorders>
            <w:shd w:val="clear" w:color="auto" w:fill="auto"/>
            <w:noWrap/>
            <w:vAlign w:val="center"/>
          </w:tcPr>
          <w:p w14:paraId="175E36A6">
            <w:pPr>
              <w:jc w:val="right"/>
              <w:rPr>
                <w:rFonts w:hint="eastAsia" w:ascii="宋体" w:hAnsi="宋体" w:eastAsia="宋体" w:cs="宋体"/>
                <w:i w:val="0"/>
                <w:iCs w:val="0"/>
                <w:color w:val="000000"/>
                <w:sz w:val="22"/>
                <w:szCs w:val="22"/>
                <w:u w:val="none"/>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1042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五、教育支出</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E134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37B1C3A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0C6672A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37E50BF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2" w:type="pct"/>
            <w:tcBorders>
              <w:top w:val="single" w:color="808080" w:sz="4" w:space="0"/>
              <w:left w:val="single" w:color="808080" w:sz="4" w:space="0"/>
              <w:bottom w:val="single" w:color="808080" w:sz="4" w:space="0"/>
              <w:right w:val="single" w:color="808080" w:sz="4" w:space="0"/>
            </w:tcBorders>
            <w:shd w:val="clear" w:color="auto" w:fill="auto"/>
            <w:vAlign w:val="center"/>
          </w:tcPr>
          <w:p w14:paraId="0E15772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A54E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A54DF">
            <w:pPr>
              <w:rPr>
                <w:rFonts w:hint="eastAsia" w:ascii="宋体" w:hAnsi="宋体" w:eastAsia="宋体" w:cs="宋体"/>
                <w:i w:val="0"/>
                <w:iCs w:val="0"/>
                <w:color w:val="000000"/>
                <w:sz w:val="18"/>
                <w:szCs w:val="18"/>
                <w:u w:val="none"/>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2A3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ED1F1">
            <w:pPr>
              <w:rPr>
                <w:rFonts w:hint="eastAsia" w:ascii="宋体" w:hAnsi="宋体" w:eastAsia="宋体" w:cs="宋体"/>
                <w:i w:val="0"/>
                <w:iCs w:val="0"/>
                <w:color w:val="000000"/>
                <w:sz w:val="18"/>
                <w:szCs w:val="18"/>
                <w:u w:val="none"/>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2DB9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六、科学技术支出</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2C8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7F23A97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59BCFBA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0E3581A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2" w:type="pct"/>
            <w:tcBorders>
              <w:top w:val="single" w:color="808080" w:sz="4" w:space="0"/>
              <w:left w:val="single" w:color="808080" w:sz="4" w:space="0"/>
              <w:bottom w:val="single" w:color="808080" w:sz="4" w:space="0"/>
              <w:right w:val="single" w:color="808080" w:sz="4" w:space="0"/>
            </w:tcBorders>
            <w:shd w:val="clear" w:color="auto" w:fill="auto"/>
            <w:vAlign w:val="center"/>
          </w:tcPr>
          <w:p w14:paraId="17CD268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7582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51941">
            <w:pPr>
              <w:rPr>
                <w:rFonts w:hint="eastAsia" w:ascii="宋体" w:hAnsi="宋体" w:eastAsia="宋体" w:cs="宋体"/>
                <w:i w:val="0"/>
                <w:iCs w:val="0"/>
                <w:color w:val="000000"/>
                <w:sz w:val="18"/>
                <w:szCs w:val="18"/>
                <w:u w:val="none"/>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DED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5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ADDCE">
            <w:pPr>
              <w:rPr>
                <w:rFonts w:hint="eastAsia" w:ascii="宋体" w:hAnsi="宋体" w:eastAsia="宋体" w:cs="宋体"/>
                <w:i w:val="0"/>
                <w:iCs w:val="0"/>
                <w:color w:val="000000"/>
                <w:sz w:val="18"/>
                <w:szCs w:val="18"/>
                <w:u w:val="none"/>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2F5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七、文化旅游体育与传媒支出</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D91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24C95BF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10.09</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349DF74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10.09</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1878FD0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2" w:type="pct"/>
            <w:tcBorders>
              <w:top w:val="single" w:color="808080" w:sz="4" w:space="0"/>
              <w:left w:val="single" w:color="808080" w:sz="4" w:space="0"/>
              <w:bottom w:val="single" w:color="808080" w:sz="4" w:space="0"/>
              <w:right w:val="single" w:color="808080" w:sz="4" w:space="0"/>
            </w:tcBorders>
            <w:shd w:val="clear" w:color="auto" w:fill="auto"/>
            <w:vAlign w:val="center"/>
          </w:tcPr>
          <w:p w14:paraId="4C98DAE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5110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A9AAD">
            <w:pPr>
              <w:rPr>
                <w:rFonts w:hint="eastAsia" w:ascii="宋体" w:hAnsi="宋体" w:eastAsia="宋体" w:cs="宋体"/>
                <w:i w:val="0"/>
                <w:iCs w:val="0"/>
                <w:color w:val="000000"/>
                <w:sz w:val="18"/>
                <w:szCs w:val="18"/>
                <w:u w:val="none"/>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8840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531" w:type="pct"/>
            <w:tcBorders>
              <w:top w:val="single" w:color="808080" w:sz="4" w:space="0"/>
              <w:left w:val="single" w:color="808080" w:sz="4" w:space="0"/>
              <w:bottom w:val="single" w:color="808080" w:sz="4" w:space="0"/>
              <w:right w:val="single" w:color="808080" w:sz="4" w:space="0"/>
            </w:tcBorders>
            <w:shd w:val="clear" w:color="auto" w:fill="auto"/>
            <w:noWrap/>
            <w:vAlign w:val="center"/>
          </w:tcPr>
          <w:p w14:paraId="53ACF064">
            <w:pPr>
              <w:jc w:val="right"/>
              <w:rPr>
                <w:rFonts w:hint="eastAsia" w:ascii="宋体" w:hAnsi="宋体" w:eastAsia="宋体" w:cs="宋体"/>
                <w:i w:val="0"/>
                <w:iCs w:val="0"/>
                <w:color w:val="000000"/>
                <w:sz w:val="22"/>
                <w:szCs w:val="22"/>
                <w:u w:val="none"/>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5B2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八、社会保障和就业支出</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8BD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238420E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178.10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6195924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178.10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1CB60DA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2" w:type="pct"/>
            <w:tcBorders>
              <w:top w:val="single" w:color="808080" w:sz="4" w:space="0"/>
              <w:left w:val="single" w:color="808080" w:sz="4" w:space="0"/>
              <w:bottom w:val="single" w:color="808080" w:sz="4" w:space="0"/>
              <w:right w:val="single" w:color="808080" w:sz="4" w:space="0"/>
            </w:tcBorders>
            <w:shd w:val="clear" w:color="auto" w:fill="auto"/>
            <w:vAlign w:val="center"/>
          </w:tcPr>
          <w:p w14:paraId="46066B0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3750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8C31D">
            <w:pPr>
              <w:rPr>
                <w:rFonts w:hint="eastAsia" w:ascii="宋体" w:hAnsi="宋体" w:eastAsia="宋体" w:cs="宋体"/>
                <w:i w:val="0"/>
                <w:iCs w:val="0"/>
                <w:color w:val="000000"/>
                <w:sz w:val="18"/>
                <w:szCs w:val="18"/>
                <w:u w:val="none"/>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C8A5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531" w:type="pct"/>
            <w:tcBorders>
              <w:top w:val="single" w:color="808080" w:sz="4" w:space="0"/>
              <w:left w:val="single" w:color="808080" w:sz="4" w:space="0"/>
              <w:bottom w:val="single" w:color="808080" w:sz="4" w:space="0"/>
              <w:right w:val="single" w:color="808080" w:sz="4" w:space="0"/>
            </w:tcBorders>
            <w:shd w:val="clear" w:color="auto" w:fill="auto"/>
            <w:noWrap/>
            <w:vAlign w:val="center"/>
          </w:tcPr>
          <w:p w14:paraId="64720A71">
            <w:pPr>
              <w:jc w:val="right"/>
              <w:rPr>
                <w:rFonts w:hint="eastAsia" w:ascii="宋体" w:hAnsi="宋体" w:eastAsia="宋体" w:cs="宋体"/>
                <w:i w:val="0"/>
                <w:iCs w:val="0"/>
                <w:color w:val="000000"/>
                <w:sz w:val="22"/>
                <w:szCs w:val="22"/>
                <w:u w:val="none"/>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4F9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九、卫生健康支出</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B9F3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72BA269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48.62</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57F9F87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48.62</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7F5D77D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2" w:type="pct"/>
            <w:tcBorders>
              <w:top w:val="single" w:color="808080" w:sz="4" w:space="0"/>
              <w:left w:val="single" w:color="808080" w:sz="4" w:space="0"/>
              <w:bottom w:val="single" w:color="808080" w:sz="4" w:space="0"/>
              <w:right w:val="single" w:color="808080" w:sz="4" w:space="0"/>
            </w:tcBorders>
            <w:shd w:val="clear" w:color="auto" w:fill="auto"/>
            <w:vAlign w:val="center"/>
          </w:tcPr>
          <w:p w14:paraId="2CBD460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A0C8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F74DF">
            <w:pPr>
              <w:rPr>
                <w:rFonts w:hint="eastAsia" w:ascii="宋体" w:hAnsi="宋体" w:eastAsia="宋体" w:cs="宋体"/>
                <w:i w:val="0"/>
                <w:iCs w:val="0"/>
                <w:color w:val="000000"/>
                <w:sz w:val="18"/>
                <w:szCs w:val="18"/>
                <w:u w:val="none"/>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0A5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531" w:type="pct"/>
            <w:tcBorders>
              <w:top w:val="single" w:color="808080" w:sz="4" w:space="0"/>
              <w:left w:val="single" w:color="808080" w:sz="4" w:space="0"/>
              <w:bottom w:val="single" w:color="808080" w:sz="4" w:space="0"/>
              <w:right w:val="single" w:color="808080" w:sz="4" w:space="0"/>
            </w:tcBorders>
            <w:shd w:val="clear" w:color="auto" w:fill="auto"/>
            <w:noWrap/>
            <w:vAlign w:val="center"/>
          </w:tcPr>
          <w:p w14:paraId="6D8C773F">
            <w:pPr>
              <w:jc w:val="right"/>
              <w:rPr>
                <w:rFonts w:hint="eastAsia" w:ascii="宋体" w:hAnsi="宋体" w:eastAsia="宋体" w:cs="宋体"/>
                <w:i w:val="0"/>
                <w:iCs w:val="0"/>
                <w:color w:val="000000"/>
                <w:sz w:val="22"/>
                <w:szCs w:val="22"/>
                <w:u w:val="none"/>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533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十、节能环保支出</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7AB9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68107B7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90.86</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203701A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90.86</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763B684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2" w:type="pct"/>
            <w:tcBorders>
              <w:top w:val="single" w:color="808080" w:sz="4" w:space="0"/>
              <w:left w:val="single" w:color="808080" w:sz="4" w:space="0"/>
              <w:bottom w:val="single" w:color="808080" w:sz="4" w:space="0"/>
              <w:right w:val="single" w:color="808080" w:sz="4" w:space="0"/>
            </w:tcBorders>
            <w:shd w:val="clear" w:color="auto" w:fill="auto"/>
            <w:vAlign w:val="center"/>
          </w:tcPr>
          <w:p w14:paraId="26AD52C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C090C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AC9BF">
            <w:pPr>
              <w:rPr>
                <w:rFonts w:hint="eastAsia" w:ascii="宋体" w:hAnsi="宋体" w:eastAsia="宋体" w:cs="宋体"/>
                <w:i w:val="0"/>
                <w:iCs w:val="0"/>
                <w:color w:val="000000"/>
                <w:sz w:val="18"/>
                <w:szCs w:val="18"/>
                <w:u w:val="none"/>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5E90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531" w:type="pct"/>
            <w:tcBorders>
              <w:top w:val="single" w:color="808080" w:sz="4" w:space="0"/>
              <w:left w:val="single" w:color="808080" w:sz="4" w:space="0"/>
              <w:bottom w:val="single" w:color="808080" w:sz="4" w:space="0"/>
              <w:right w:val="single" w:color="808080" w:sz="4" w:space="0"/>
            </w:tcBorders>
            <w:shd w:val="clear" w:color="auto" w:fill="auto"/>
            <w:noWrap/>
            <w:vAlign w:val="center"/>
          </w:tcPr>
          <w:p w14:paraId="1045211A">
            <w:pPr>
              <w:jc w:val="right"/>
              <w:rPr>
                <w:rFonts w:hint="eastAsia" w:ascii="宋体" w:hAnsi="宋体" w:eastAsia="宋体" w:cs="宋体"/>
                <w:i w:val="0"/>
                <w:iCs w:val="0"/>
                <w:color w:val="000000"/>
                <w:sz w:val="22"/>
                <w:szCs w:val="22"/>
                <w:u w:val="none"/>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BBF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十一、城乡社区支出</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2B3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544B98B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10.96</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0548AB9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10.96</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375A122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2" w:type="pct"/>
            <w:tcBorders>
              <w:top w:val="single" w:color="808080" w:sz="4" w:space="0"/>
              <w:left w:val="single" w:color="808080" w:sz="4" w:space="0"/>
              <w:bottom w:val="single" w:color="808080" w:sz="4" w:space="0"/>
              <w:right w:val="single" w:color="808080" w:sz="4" w:space="0"/>
            </w:tcBorders>
            <w:shd w:val="clear" w:color="auto" w:fill="auto"/>
            <w:vAlign w:val="center"/>
          </w:tcPr>
          <w:p w14:paraId="5B12C5E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EE0C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C5CA3">
            <w:pPr>
              <w:rPr>
                <w:rFonts w:hint="eastAsia" w:ascii="宋体" w:hAnsi="宋体" w:eastAsia="宋体" w:cs="宋体"/>
                <w:i w:val="0"/>
                <w:iCs w:val="0"/>
                <w:color w:val="000000"/>
                <w:sz w:val="18"/>
                <w:szCs w:val="18"/>
                <w:u w:val="none"/>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B5B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531" w:type="pct"/>
            <w:tcBorders>
              <w:top w:val="single" w:color="808080" w:sz="4" w:space="0"/>
              <w:left w:val="single" w:color="808080" w:sz="4" w:space="0"/>
              <w:bottom w:val="single" w:color="808080" w:sz="4" w:space="0"/>
              <w:right w:val="single" w:color="808080" w:sz="4" w:space="0"/>
            </w:tcBorders>
            <w:shd w:val="clear" w:color="auto" w:fill="auto"/>
            <w:noWrap/>
            <w:vAlign w:val="center"/>
          </w:tcPr>
          <w:p w14:paraId="2FB17F40">
            <w:pPr>
              <w:jc w:val="right"/>
              <w:rPr>
                <w:rFonts w:hint="eastAsia" w:ascii="宋体" w:hAnsi="宋体" w:eastAsia="宋体" w:cs="宋体"/>
                <w:i w:val="0"/>
                <w:iCs w:val="0"/>
                <w:color w:val="000000"/>
                <w:sz w:val="22"/>
                <w:szCs w:val="22"/>
                <w:u w:val="none"/>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90B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十二、农林水支出</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D5B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0DAB4D4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2,231.79</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01F4010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2,231.79</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7F767B0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2" w:type="pct"/>
            <w:tcBorders>
              <w:top w:val="single" w:color="808080" w:sz="4" w:space="0"/>
              <w:left w:val="single" w:color="808080" w:sz="4" w:space="0"/>
              <w:bottom w:val="single" w:color="808080" w:sz="4" w:space="0"/>
              <w:right w:val="single" w:color="808080" w:sz="4" w:space="0"/>
            </w:tcBorders>
            <w:shd w:val="clear" w:color="auto" w:fill="auto"/>
            <w:vAlign w:val="center"/>
          </w:tcPr>
          <w:p w14:paraId="1174EC9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209D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291D2">
            <w:pPr>
              <w:rPr>
                <w:rFonts w:hint="eastAsia" w:ascii="宋体" w:hAnsi="宋体" w:eastAsia="宋体" w:cs="宋体"/>
                <w:i w:val="0"/>
                <w:iCs w:val="0"/>
                <w:color w:val="000000"/>
                <w:sz w:val="18"/>
                <w:szCs w:val="18"/>
                <w:u w:val="none"/>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D0BD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531" w:type="pct"/>
            <w:tcBorders>
              <w:top w:val="single" w:color="808080" w:sz="4" w:space="0"/>
              <w:left w:val="single" w:color="808080" w:sz="4" w:space="0"/>
              <w:bottom w:val="single" w:color="808080" w:sz="4" w:space="0"/>
              <w:right w:val="single" w:color="808080" w:sz="4" w:space="0"/>
            </w:tcBorders>
            <w:shd w:val="clear" w:color="auto" w:fill="auto"/>
            <w:noWrap/>
            <w:vAlign w:val="center"/>
          </w:tcPr>
          <w:p w14:paraId="215E5458">
            <w:pPr>
              <w:jc w:val="right"/>
              <w:rPr>
                <w:rFonts w:hint="eastAsia" w:ascii="宋体" w:hAnsi="宋体" w:eastAsia="宋体" w:cs="宋体"/>
                <w:i w:val="0"/>
                <w:iCs w:val="0"/>
                <w:color w:val="000000"/>
                <w:sz w:val="22"/>
                <w:szCs w:val="22"/>
                <w:u w:val="none"/>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FB7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十三、交通运输支出</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F9B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1DABEFD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21E4408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329C439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2" w:type="pct"/>
            <w:tcBorders>
              <w:top w:val="single" w:color="808080" w:sz="4" w:space="0"/>
              <w:left w:val="single" w:color="808080" w:sz="4" w:space="0"/>
              <w:bottom w:val="single" w:color="808080" w:sz="4" w:space="0"/>
              <w:right w:val="single" w:color="808080" w:sz="4" w:space="0"/>
            </w:tcBorders>
            <w:shd w:val="clear" w:color="auto" w:fill="auto"/>
            <w:vAlign w:val="center"/>
          </w:tcPr>
          <w:p w14:paraId="1FD5BF8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73EC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4B1AD">
            <w:pPr>
              <w:rPr>
                <w:rFonts w:hint="eastAsia" w:ascii="宋体" w:hAnsi="宋体" w:eastAsia="宋体" w:cs="宋体"/>
                <w:i w:val="0"/>
                <w:iCs w:val="0"/>
                <w:color w:val="000000"/>
                <w:sz w:val="18"/>
                <w:szCs w:val="18"/>
                <w:u w:val="none"/>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EC8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531" w:type="pct"/>
            <w:tcBorders>
              <w:top w:val="single" w:color="808080" w:sz="4" w:space="0"/>
              <w:left w:val="single" w:color="808080" w:sz="4" w:space="0"/>
              <w:bottom w:val="single" w:color="808080" w:sz="4" w:space="0"/>
              <w:right w:val="single" w:color="808080" w:sz="4" w:space="0"/>
            </w:tcBorders>
            <w:shd w:val="clear" w:color="auto" w:fill="auto"/>
            <w:noWrap/>
            <w:vAlign w:val="center"/>
          </w:tcPr>
          <w:p w14:paraId="1263BEB1">
            <w:pPr>
              <w:jc w:val="right"/>
              <w:rPr>
                <w:rFonts w:hint="eastAsia" w:ascii="宋体" w:hAnsi="宋体" w:eastAsia="宋体" w:cs="宋体"/>
                <w:i w:val="0"/>
                <w:iCs w:val="0"/>
                <w:color w:val="000000"/>
                <w:sz w:val="22"/>
                <w:szCs w:val="22"/>
                <w:u w:val="none"/>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DE72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十四、资源勘探工业信息等支出</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E6A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05D87F2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15E9062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5320DDC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2" w:type="pct"/>
            <w:tcBorders>
              <w:top w:val="single" w:color="808080" w:sz="4" w:space="0"/>
              <w:left w:val="single" w:color="808080" w:sz="4" w:space="0"/>
              <w:bottom w:val="single" w:color="808080" w:sz="4" w:space="0"/>
              <w:right w:val="single" w:color="808080" w:sz="4" w:space="0"/>
            </w:tcBorders>
            <w:shd w:val="clear" w:color="auto" w:fill="auto"/>
            <w:vAlign w:val="center"/>
          </w:tcPr>
          <w:p w14:paraId="7EF36FC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0D6C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56119">
            <w:pPr>
              <w:rPr>
                <w:rFonts w:hint="eastAsia" w:ascii="宋体" w:hAnsi="宋体" w:eastAsia="宋体" w:cs="宋体"/>
                <w:i w:val="0"/>
                <w:iCs w:val="0"/>
                <w:color w:val="000000"/>
                <w:sz w:val="18"/>
                <w:szCs w:val="18"/>
                <w:u w:val="none"/>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EB5D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531" w:type="pct"/>
            <w:tcBorders>
              <w:top w:val="single" w:color="808080" w:sz="4" w:space="0"/>
              <w:left w:val="single" w:color="808080" w:sz="4" w:space="0"/>
              <w:bottom w:val="single" w:color="808080" w:sz="4" w:space="0"/>
              <w:right w:val="single" w:color="808080" w:sz="4" w:space="0"/>
            </w:tcBorders>
            <w:shd w:val="clear" w:color="auto" w:fill="auto"/>
            <w:noWrap/>
            <w:vAlign w:val="center"/>
          </w:tcPr>
          <w:p w14:paraId="267F58D2">
            <w:pPr>
              <w:jc w:val="right"/>
              <w:rPr>
                <w:rFonts w:hint="eastAsia" w:ascii="宋体" w:hAnsi="宋体" w:eastAsia="宋体" w:cs="宋体"/>
                <w:i w:val="0"/>
                <w:iCs w:val="0"/>
                <w:color w:val="000000"/>
                <w:sz w:val="22"/>
                <w:szCs w:val="22"/>
                <w:u w:val="none"/>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B97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十五、商业服务业等支出</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ED4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08F18F4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6426AAE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62C1B2E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2" w:type="pct"/>
            <w:tcBorders>
              <w:top w:val="single" w:color="808080" w:sz="4" w:space="0"/>
              <w:left w:val="single" w:color="808080" w:sz="4" w:space="0"/>
              <w:bottom w:val="single" w:color="808080" w:sz="4" w:space="0"/>
              <w:right w:val="single" w:color="808080" w:sz="4" w:space="0"/>
            </w:tcBorders>
            <w:shd w:val="clear" w:color="auto" w:fill="auto"/>
            <w:vAlign w:val="center"/>
          </w:tcPr>
          <w:p w14:paraId="069160A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E425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C44F4">
            <w:pPr>
              <w:rPr>
                <w:rFonts w:hint="eastAsia" w:ascii="宋体" w:hAnsi="宋体" w:eastAsia="宋体" w:cs="宋体"/>
                <w:i w:val="0"/>
                <w:iCs w:val="0"/>
                <w:color w:val="000000"/>
                <w:sz w:val="18"/>
                <w:szCs w:val="18"/>
                <w:u w:val="none"/>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338E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531" w:type="pct"/>
            <w:tcBorders>
              <w:top w:val="single" w:color="808080" w:sz="4" w:space="0"/>
              <w:left w:val="single" w:color="808080" w:sz="4" w:space="0"/>
              <w:bottom w:val="single" w:color="808080" w:sz="4" w:space="0"/>
              <w:right w:val="single" w:color="808080" w:sz="4" w:space="0"/>
            </w:tcBorders>
            <w:shd w:val="clear" w:color="auto" w:fill="auto"/>
            <w:noWrap/>
            <w:vAlign w:val="center"/>
          </w:tcPr>
          <w:p w14:paraId="03B7749B">
            <w:pPr>
              <w:jc w:val="right"/>
              <w:rPr>
                <w:rFonts w:hint="eastAsia" w:ascii="宋体" w:hAnsi="宋体" w:eastAsia="宋体" w:cs="宋体"/>
                <w:i w:val="0"/>
                <w:iCs w:val="0"/>
                <w:color w:val="000000"/>
                <w:sz w:val="22"/>
                <w:szCs w:val="22"/>
                <w:u w:val="none"/>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8FD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十六、金融支出</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786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628C997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0CEC07A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705DF4F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2" w:type="pct"/>
            <w:tcBorders>
              <w:top w:val="single" w:color="808080" w:sz="4" w:space="0"/>
              <w:left w:val="single" w:color="808080" w:sz="4" w:space="0"/>
              <w:bottom w:val="single" w:color="808080" w:sz="4" w:space="0"/>
              <w:right w:val="single" w:color="808080" w:sz="4" w:space="0"/>
            </w:tcBorders>
            <w:shd w:val="clear" w:color="auto" w:fill="auto"/>
            <w:vAlign w:val="center"/>
          </w:tcPr>
          <w:p w14:paraId="427AB96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315C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9A667">
            <w:pPr>
              <w:rPr>
                <w:rFonts w:hint="eastAsia" w:ascii="宋体" w:hAnsi="宋体" w:eastAsia="宋体" w:cs="宋体"/>
                <w:i w:val="0"/>
                <w:iCs w:val="0"/>
                <w:color w:val="000000"/>
                <w:sz w:val="18"/>
                <w:szCs w:val="18"/>
                <w:u w:val="none"/>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BD2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531" w:type="pct"/>
            <w:tcBorders>
              <w:top w:val="single" w:color="808080" w:sz="4" w:space="0"/>
              <w:left w:val="single" w:color="808080" w:sz="4" w:space="0"/>
              <w:bottom w:val="single" w:color="808080" w:sz="4" w:space="0"/>
              <w:right w:val="single" w:color="808080" w:sz="4" w:space="0"/>
            </w:tcBorders>
            <w:shd w:val="clear" w:color="auto" w:fill="auto"/>
            <w:noWrap/>
            <w:vAlign w:val="center"/>
          </w:tcPr>
          <w:p w14:paraId="3A2AC4EB">
            <w:pPr>
              <w:jc w:val="right"/>
              <w:rPr>
                <w:rFonts w:hint="eastAsia" w:ascii="宋体" w:hAnsi="宋体" w:eastAsia="宋体" w:cs="宋体"/>
                <w:i w:val="0"/>
                <w:iCs w:val="0"/>
                <w:color w:val="000000"/>
                <w:sz w:val="22"/>
                <w:szCs w:val="22"/>
                <w:u w:val="none"/>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C6C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十七、援助其他地区支出</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977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6F570DF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3CC45DE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3C9882E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2" w:type="pct"/>
            <w:tcBorders>
              <w:top w:val="single" w:color="808080" w:sz="4" w:space="0"/>
              <w:left w:val="single" w:color="808080" w:sz="4" w:space="0"/>
              <w:bottom w:val="single" w:color="808080" w:sz="4" w:space="0"/>
              <w:right w:val="single" w:color="808080" w:sz="4" w:space="0"/>
            </w:tcBorders>
            <w:shd w:val="clear" w:color="auto" w:fill="auto"/>
            <w:vAlign w:val="center"/>
          </w:tcPr>
          <w:p w14:paraId="6F7D1C4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C8CF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36D52">
            <w:pPr>
              <w:rPr>
                <w:rFonts w:hint="eastAsia" w:ascii="宋体" w:hAnsi="宋体" w:eastAsia="宋体" w:cs="宋体"/>
                <w:i w:val="0"/>
                <w:iCs w:val="0"/>
                <w:color w:val="000000"/>
                <w:sz w:val="18"/>
                <w:szCs w:val="18"/>
                <w:u w:val="none"/>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2F90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531" w:type="pct"/>
            <w:tcBorders>
              <w:top w:val="single" w:color="808080" w:sz="4" w:space="0"/>
              <w:left w:val="single" w:color="808080" w:sz="4" w:space="0"/>
              <w:bottom w:val="single" w:color="808080" w:sz="4" w:space="0"/>
              <w:right w:val="single" w:color="808080" w:sz="4" w:space="0"/>
            </w:tcBorders>
            <w:shd w:val="clear" w:color="auto" w:fill="auto"/>
            <w:noWrap/>
            <w:vAlign w:val="center"/>
          </w:tcPr>
          <w:p w14:paraId="01331928">
            <w:pPr>
              <w:jc w:val="right"/>
              <w:rPr>
                <w:rFonts w:hint="eastAsia" w:ascii="宋体" w:hAnsi="宋体" w:eastAsia="宋体" w:cs="宋体"/>
                <w:i w:val="0"/>
                <w:iCs w:val="0"/>
                <w:color w:val="000000"/>
                <w:sz w:val="22"/>
                <w:szCs w:val="22"/>
                <w:u w:val="none"/>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2EA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十八、自然资源海洋气象等支出</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02B9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1B69389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684FBC9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15EAC85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2" w:type="pct"/>
            <w:tcBorders>
              <w:top w:val="single" w:color="808080" w:sz="4" w:space="0"/>
              <w:left w:val="single" w:color="808080" w:sz="4" w:space="0"/>
              <w:bottom w:val="single" w:color="808080" w:sz="4" w:space="0"/>
              <w:right w:val="single" w:color="808080" w:sz="4" w:space="0"/>
            </w:tcBorders>
            <w:shd w:val="clear" w:color="auto" w:fill="auto"/>
            <w:vAlign w:val="center"/>
          </w:tcPr>
          <w:p w14:paraId="7C7C278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037B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99850">
            <w:pPr>
              <w:rPr>
                <w:rFonts w:hint="eastAsia" w:ascii="宋体" w:hAnsi="宋体" w:eastAsia="宋体" w:cs="宋体"/>
                <w:i w:val="0"/>
                <w:iCs w:val="0"/>
                <w:color w:val="000000"/>
                <w:sz w:val="18"/>
                <w:szCs w:val="18"/>
                <w:u w:val="none"/>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86E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531" w:type="pct"/>
            <w:tcBorders>
              <w:top w:val="single" w:color="808080" w:sz="4" w:space="0"/>
              <w:left w:val="single" w:color="808080" w:sz="4" w:space="0"/>
              <w:bottom w:val="single" w:color="808080" w:sz="4" w:space="0"/>
              <w:right w:val="single" w:color="808080" w:sz="4" w:space="0"/>
            </w:tcBorders>
            <w:shd w:val="clear" w:color="auto" w:fill="auto"/>
            <w:noWrap/>
            <w:vAlign w:val="center"/>
          </w:tcPr>
          <w:p w14:paraId="5E1170F4">
            <w:pPr>
              <w:jc w:val="right"/>
              <w:rPr>
                <w:rFonts w:hint="eastAsia" w:ascii="宋体" w:hAnsi="宋体" w:eastAsia="宋体" w:cs="宋体"/>
                <w:i w:val="0"/>
                <w:iCs w:val="0"/>
                <w:color w:val="000000"/>
                <w:sz w:val="22"/>
                <w:szCs w:val="22"/>
                <w:u w:val="none"/>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F2BA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十九、住房保障支出</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07B3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3EC335C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67.10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3F3DEBA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67.10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040F052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2" w:type="pct"/>
            <w:tcBorders>
              <w:top w:val="single" w:color="808080" w:sz="4" w:space="0"/>
              <w:left w:val="single" w:color="808080" w:sz="4" w:space="0"/>
              <w:bottom w:val="single" w:color="808080" w:sz="4" w:space="0"/>
              <w:right w:val="single" w:color="808080" w:sz="4" w:space="0"/>
            </w:tcBorders>
            <w:shd w:val="clear" w:color="auto" w:fill="auto"/>
            <w:vAlign w:val="center"/>
          </w:tcPr>
          <w:p w14:paraId="6FA4464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576C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86CDD">
            <w:pPr>
              <w:rPr>
                <w:rFonts w:hint="eastAsia" w:ascii="宋体" w:hAnsi="宋体" w:eastAsia="宋体" w:cs="宋体"/>
                <w:i w:val="0"/>
                <w:iCs w:val="0"/>
                <w:color w:val="000000"/>
                <w:sz w:val="18"/>
                <w:szCs w:val="18"/>
                <w:u w:val="none"/>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D9F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531" w:type="pct"/>
            <w:tcBorders>
              <w:top w:val="single" w:color="808080" w:sz="4" w:space="0"/>
              <w:left w:val="single" w:color="808080" w:sz="4" w:space="0"/>
              <w:bottom w:val="single" w:color="808080" w:sz="4" w:space="0"/>
              <w:right w:val="single" w:color="808080" w:sz="4" w:space="0"/>
            </w:tcBorders>
            <w:shd w:val="clear" w:color="auto" w:fill="auto"/>
            <w:noWrap/>
            <w:vAlign w:val="center"/>
          </w:tcPr>
          <w:p w14:paraId="4131F7EA">
            <w:pPr>
              <w:jc w:val="right"/>
              <w:rPr>
                <w:rFonts w:hint="eastAsia" w:ascii="宋体" w:hAnsi="宋体" w:eastAsia="宋体" w:cs="宋体"/>
                <w:i w:val="0"/>
                <w:iCs w:val="0"/>
                <w:color w:val="000000"/>
                <w:sz w:val="22"/>
                <w:szCs w:val="22"/>
                <w:u w:val="none"/>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793D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二十、粮油物资储备支出</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C67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009A0DC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1AD010E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2D2EC50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2" w:type="pct"/>
            <w:tcBorders>
              <w:top w:val="single" w:color="808080" w:sz="4" w:space="0"/>
              <w:left w:val="single" w:color="808080" w:sz="4" w:space="0"/>
              <w:bottom w:val="single" w:color="808080" w:sz="4" w:space="0"/>
              <w:right w:val="single" w:color="808080" w:sz="4" w:space="0"/>
            </w:tcBorders>
            <w:shd w:val="clear" w:color="auto" w:fill="auto"/>
            <w:vAlign w:val="center"/>
          </w:tcPr>
          <w:p w14:paraId="0D27360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6D568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DABA5">
            <w:pPr>
              <w:rPr>
                <w:rFonts w:hint="eastAsia" w:ascii="宋体" w:hAnsi="宋体" w:eastAsia="宋体" w:cs="宋体"/>
                <w:i w:val="0"/>
                <w:iCs w:val="0"/>
                <w:color w:val="000000"/>
                <w:sz w:val="18"/>
                <w:szCs w:val="18"/>
                <w:u w:val="none"/>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72D2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531" w:type="pct"/>
            <w:tcBorders>
              <w:top w:val="single" w:color="808080" w:sz="4" w:space="0"/>
              <w:left w:val="single" w:color="808080" w:sz="4" w:space="0"/>
              <w:bottom w:val="single" w:color="808080" w:sz="4" w:space="0"/>
              <w:right w:val="single" w:color="808080" w:sz="4" w:space="0"/>
            </w:tcBorders>
            <w:shd w:val="clear" w:color="auto" w:fill="auto"/>
            <w:noWrap/>
            <w:vAlign w:val="center"/>
          </w:tcPr>
          <w:p w14:paraId="6AA58B91">
            <w:pPr>
              <w:jc w:val="right"/>
              <w:rPr>
                <w:rFonts w:hint="eastAsia" w:ascii="宋体" w:hAnsi="宋体" w:eastAsia="宋体" w:cs="宋体"/>
                <w:i w:val="0"/>
                <w:iCs w:val="0"/>
                <w:color w:val="000000"/>
                <w:sz w:val="22"/>
                <w:szCs w:val="22"/>
                <w:u w:val="none"/>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98E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二十一、国有资本经营预算支出</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101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3344562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4C2734E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22FBFB3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2" w:type="pct"/>
            <w:tcBorders>
              <w:top w:val="single" w:color="808080" w:sz="4" w:space="0"/>
              <w:left w:val="single" w:color="808080" w:sz="4" w:space="0"/>
              <w:bottom w:val="single" w:color="808080" w:sz="4" w:space="0"/>
              <w:right w:val="single" w:color="808080" w:sz="4" w:space="0"/>
            </w:tcBorders>
            <w:shd w:val="clear" w:color="auto" w:fill="auto"/>
            <w:vAlign w:val="center"/>
          </w:tcPr>
          <w:p w14:paraId="730CF4C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EC45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D537E">
            <w:pPr>
              <w:rPr>
                <w:rFonts w:hint="eastAsia" w:ascii="宋体" w:hAnsi="宋体" w:eastAsia="宋体" w:cs="宋体"/>
                <w:i w:val="0"/>
                <w:iCs w:val="0"/>
                <w:color w:val="000000"/>
                <w:sz w:val="18"/>
                <w:szCs w:val="18"/>
                <w:u w:val="none"/>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DB9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531" w:type="pct"/>
            <w:tcBorders>
              <w:top w:val="single" w:color="808080" w:sz="4" w:space="0"/>
              <w:left w:val="single" w:color="808080" w:sz="4" w:space="0"/>
              <w:bottom w:val="single" w:color="808080" w:sz="4" w:space="0"/>
              <w:right w:val="single" w:color="808080" w:sz="4" w:space="0"/>
            </w:tcBorders>
            <w:shd w:val="clear" w:color="auto" w:fill="auto"/>
            <w:noWrap/>
            <w:vAlign w:val="center"/>
          </w:tcPr>
          <w:p w14:paraId="4D036165">
            <w:pPr>
              <w:jc w:val="right"/>
              <w:rPr>
                <w:rFonts w:hint="eastAsia" w:ascii="宋体" w:hAnsi="宋体" w:eastAsia="宋体" w:cs="宋体"/>
                <w:i w:val="0"/>
                <w:iCs w:val="0"/>
                <w:color w:val="000000"/>
                <w:sz w:val="22"/>
                <w:szCs w:val="22"/>
                <w:u w:val="none"/>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832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二十二、灾害防治及应急管理支出</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A290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29C08F1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487A032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4DE209D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2" w:type="pct"/>
            <w:tcBorders>
              <w:top w:val="single" w:color="808080" w:sz="4" w:space="0"/>
              <w:left w:val="single" w:color="808080" w:sz="4" w:space="0"/>
              <w:bottom w:val="single" w:color="808080" w:sz="4" w:space="0"/>
              <w:right w:val="single" w:color="808080" w:sz="4" w:space="0"/>
            </w:tcBorders>
            <w:shd w:val="clear" w:color="auto" w:fill="auto"/>
            <w:vAlign w:val="center"/>
          </w:tcPr>
          <w:p w14:paraId="22AE960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BF8C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87F53">
            <w:pPr>
              <w:rPr>
                <w:rFonts w:hint="eastAsia" w:ascii="宋体" w:hAnsi="宋体" w:eastAsia="宋体" w:cs="宋体"/>
                <w:i w:val="0"/>
                <w:iCs w:val="0"/>
                <w:color w:val="000000"/>
                <w:sz w:val="18"/>
                <w:szCs w:val="18"/>
                <w:u w:val="none"/>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060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531" w:type="pct"/>
            <w:tcBorders>
              <w:top w:val="single" w:color="808080" w:sz="4" w:space="0"/>
              <w:left w:val="single" w:color="808080" w:sz="4" w:space="0"/>
              <w:bottom w:val="single" w:color="808080" w:sz="4" w:space="0"/>
              <w:right w:val="single" w:color="808080" w:sz="4" w:space="0"/>
            </w:tcBorders>
            <w:shd w:val="clear" w:color="auto" w:fill="auto"/>
            <w:noWrap/>
            <w:vAlign w:val="center"/>
          </w:tcPr>
          <w:p w14:paraId="6FECB8AD">
            <w:pPr>
              <w:jc w:val="right"/>
              <w:rPr>
                <w:rFonts w:hint="eastAsia" w:ascii="宋体" w:hAnsi="宋体" w:eastAsia="宋体" w:cs="宋体"/>
                <w:i w:val="0"/>
                <w:iCs w:val="0"/>
                <w:color w:val="000000"/>
                <w:sz w:val="22"/>
                <w:szCs w:val="22"/>
                <w:u w:val="none"/>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B11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二十三、其他支出</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4F9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0D2D569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198EF66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45F5FD1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2" w:type="pct"/>
            <w:tcBorders>
              <w:top w:val="single" w:color="808080" w:sz="4" w:space="0"/>
              <w:left w:val="single" w:color="808080" w:sz="4" w:space="0"/>
              <w:bottom w:val="single" w:color="808080" w:sz="4" w:space="0"/>
              <w:right w:val="single" w:color="808080" w:sz="4" w:space="0"/>
            </w:tcBorders>
            <w:shd w:val="clear" w:color="auto" w:fill="auto"/>
            <w:vAlign w:val="center"/>
          </w:tcPr>
          <w:p w14:paraId="576546C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151C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ED935">
            <w:pPr>
              <w:rPr>
                <w:rFonts w:hint="eastAsia" w:ascii="宋体" w:hAnsi="宋体" w:eastAsia="宋体" w:cs="宋体"/>
                <w:i w:val="0"/>
                <w:iCs w:val="0"/>
                <w:color w:val="000000"/>
                <w:sz w:val="18"/>
                <w:szCs w:val="18"/>
                <w:u w:val="none"/>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122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531" w:type="pct"/>
            <w:tcBorders>
              <w:top w:val="single" w:color="808080" w:sz="4" w:space="0"/>
              <w:left w:val="single" w:color="808080" w:sz="4" w:space="0"/>
              <w:bottom w:val="single" w:color="808080" w:sz="4" w:space="0"/>
              <w:right w:val="single" w:color="808080" w:sz="4" w:space="0"/>
            </w:tcBorders>
            <w:shd w:val="clear" w:color="auto" w:fill="auto"/>
            <w:noWrap/>
            <w:vAlign w:val="center"/>
          </w:tcPr>
          <w:p w14:paraId="7591F457">
            <w:pPr>
              <w:jc w:val="right"/>
              <w:rPr>
                <w:rFonts w:hint="eastAsia" w:ascii="宋体" w:hAnsi="宋体" w:eastAsia="宋体" w:cs="宋体"/>
                <w:i w:val="0"/>
                <w:iCs w:val="0"/>
                <w:color w:val="000000"/>
                <w:sz w:val="22"/>
                <w:szCs w:val="22"/>
                <w:u w:val="none"/>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F676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二十四、债务还本支出</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8C71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571025F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5963E37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223E87C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2" w:type="pct"/>
            <w:tcBorders>
              <w:top w:val="single" w:color="808080" w:sz="4" w:space="0"/>
              <w:left w:val="single" w:color="808080" w:sz="4" w:space="0"/>
              <w:bottom w:val="single" w:color="808080" w:sz="4" w:space="0"/>
              <w:right w:val="single" w:color="808080" w:sz="4" w:space="0"/>
            </w:tcBorders>
            <w:shd w:val="clear" w:color="auto" w:fill="auto"/>
            <w:vAlign w:val="center"/>
          </w:tcPr>
          <w:p w14:paraId="570D975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B337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DFAE8">
            <w:pPr>
              <w:rPr>
                <w:rFonts w:hint="eastAsia" w:ascii="宋体" w:hAnsi="宋体" w:eastAsia="宋体" w:cs="宋体"/>
                <w:i w:val="0"/>
                <w:iCs w:val="0"/>
                <w:color w:val="000000"/>
                <w:sz w:val="18"/>
                <w:szCs w:val="18"/>
                <w:u w:val="none"/>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BD3A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531" w:type="pct"/>
            <w:tcBorders>
              <w:top w:val="single" w:color="808080" w:sz="4" w:space="0"/>
              <w:left w:val="single" w:color="808080" w:sz="4" w:space="0"/>
              <w:bottom w:val="single" w:color="808080" w:sz="4" w:space="0"/>
              <w:right w:val="single" w:color="808080" w:sz="4" w:space="0"/>
            </w:tcBorders>
            <w:shd w:val="clear" w:color="auto" w:fill="auto"/>
            <w:noWrap/>
            <w:vAlign w:val="center"/>
          </w:tcPr>
          <w:p w14:paraId="4B37845F">
            <w:pPr>
              <w:jc w:val="right"/>
              <w:rPr>
                <w:rFonts w:hint="eastAsia" w:ascii="宋体" w:hAnsi="宋体" w:eastAsia="宋体" w:cs="宋体"/>
                <w:i w:val="0"/>
                <w:iCs w:val="0"/>
                <w:color w:val="000000"/>
                <w:sz w:val="22"/>
                <w:szCs w:val="22"/>
                <w:u w:val="none"/>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A98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二十五、债务付息支出</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04CB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5594A55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5BE2C72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00B1464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2" w:type="pct"/>
            <w:tcBorders>
              <w:top w:val="single" w:color="808080" w:sz="4" w:space="0"/>
              <w:left w:val="single" w:color="808080" w:sz="4" w:space="0"/>
              <w:bottom w:val="single" w:color="808080" w:sz="4" w:space="0"/>
              <w:right w:val="single" w:color="808080" w:sz="4" w:space="0"/>
            </w:tcBorders>
            <w:shd w:val="clear" w:color="auto" w:fill="auto"/>
            <w:vAlign w:val="center"/>
          </w:tcPr>
          <w:p w14:paraId="0B7836F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03895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CC113">
            <w:pPr>
              <w:rPr>
                <w:rFonts w:hint="eastAsia" w:ascii="宋体" w:hAnsi="宋体" w:eastAsia="宋体" w:cs="宋体"/>
                <w:i w:val="0"/>
                <w:iCs w:val="0"/>
                <w:color w:val="000000"/>
                <w:sz w:val="18"/>
                <w:szCs w:val="18"/>
                <w:u w:val="none"/>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B265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531" w:type="pct"/>
            <w:tcBorders>
              <w:top w:val="single" w:color="808080" w:sz="4" w:space="0"/>
              <w:left w:val="single" w:color="808080" w:sz="4" w:space="0"/>
              <w:bottom w:val="single" w:color="808080" w:sz="4" w:space="0"/>
              <w:right w:val="single" w:color="808080" w:sz="4" w:space="0"/>
            </w:tcBorders>
            <w:shd w:val="clear" w:color="auto" w:fill="auto"/>
            <w:noWrap/>
            <w:vAlign w:val="center"/>
          </w:tcPr>
          <w:p w14:paraId="60BF411F">
            <w:pPr>
              <w:jc w:val="right"/>
              <w:rPr>
                <w:rFonts w:hint="eastAsia" w:ascii="宋体" w:hAnsi="宋体" w:eastAsia="宋体" w:cs="宋体"/>
                <w:i w:val="0"/>
                <w:iCs w:val="0"/>
                <w:color w:val="000000"/>
                <w:sz w:val="22"/>
                <w:szCs w:val="22"/>
                <w:u w:val="none"/>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D87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二十六、抗疫特别国债安排的支出</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5BC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1A3AC7B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0FE6C1A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5F7EA7D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2" w:type="pct"/>
            <w:tcBorders>
              <w:top w:val="single" w:color="808080" w:sz="4" w:space="0"/>
              <w:left w:val="single" w:color="808080" w:sz="4" w:space="0"/>
              <w:bottom w:val="single" w:color="808080" w:sz="4" w:space="0"/>
              <w:right w:val="single" w:color="808080" w:sz="4" w:space="0"/>
            </w:tcBorders>
            <w:shd w:val="clear" w:color="auto" w:fill="auto"/>
            <w:vAlign w:val="center"/>
          </w:tcPr>
          <w:p w14:paraId="23C18A9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9DCE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8F5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本年收入合计</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237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0EE4D1D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3,369.59</w:t>
            </w: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75B2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本年支出合计</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6BB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41AEFDE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3,369.59</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5758553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3,369.59</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06523CE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2" w:type="pct"/>
            <w:tcBorders>
              <w:top w:val="single" w:color="808080" w:sz="4" w:space="0"/>
              <w:left w:val="single" w:color="808080" w:sz="4" w:space="0"/>
              <w:bottom w:val="single" w:color="808080" w:sz="4" w:space="0"/>
              <w:right w:val="single" w:color="808080" w:sz="4" w:space="0"/>
            </w:tcBorders>
            <w:shd w:val="clear" w:color="auto" w:fill="auto"/>
            <w:vAlign w:val="center"/>
          </w:tcPr>
          <w:p w14:paraId="77AF07A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2EF9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E1D2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年初财政拨款结转和结余</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2CCD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28FEA93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6C8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年末财政拨款结转和结余</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150A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1D987B7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76A40BB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3641F01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2" w:type="pct"/>
            <w:tcBorders>
              <w:top w:val="single" w:color="808080" w:sz="4" w:space="0"/>
              <w:left w:val="single" w:color="808080" w:sz="4" w:space="0"/>
              <w:bottom w:val="single" w:color="808080" w:sz="4" w:space="0"/>
              <w:right w:val="single" w:color="808080" w:sz="4" w:space="0"/>
            </w:tcBorders>
            <w:shd w:val="clear" w:color="auto" w:fill="auto"/>
            <w:vAlign w:val="center"/>
          </w:tcPr>
          <w:p w14:paraId="40FEAC7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F141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1A2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一般公共预算财政拨款</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102E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3DF5C34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EDC45">
            <w:pPr>
              <w:rPr>
                <w:rFonts w:hint="eastAsia" w:ascii="宋体" w:hAnsi="宋体" w:eastAsia="宋体" w:cs="宋体"/>
                <w:i w:val="0"/>
                <w:iCs w:val="0"/>
                <w:color w:val="000000"/>
                <w:sz w:val="18"/>
                <w:szCs w:val="18"/>
                <w:u w:val="none"/>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BEF9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0A70D818">
            <w:pPr>
              <w:jc w:val="right"/>
              <w:rPr>
                <w:rFonts w:hint="eastAsia" w:ascii="宋体" w:hAnsi="宋体" w:eastAsia="宋体" w:cs="宋体"/>
                <w:i w:val="0"/>
                <w:iCs w:val="0"/>
                <w:color w:val="000000"/>
                <w:sz w:val="18"/>
                <w:szCs w:val="18"/>
                <w:u w:val="none"/>
              </w:rPr>
            </w:pPr>
          </w:p>
        </w:tc>
        <w:tc>
          <w:tcPr>
            <w:tcW w:w="531" w:type="pct"/>
            <w:tcBorders>
              <w:top w:val="single" w:color="808080" w:sz="4" w:space="0"/>
              <w:left w:val="single" w:color="808080" w:sz="4" w:space="0"/>
              <w:bottom w:val="single" w:color="808080" w:sz="4" w:space="0"/>
              <w:right w:val="single" w:color="808080" w:sz="4" w:space="0"/>
            </w:tcBorders>
            <w:shd w:val="clear" w:color="auto" w:fill="auto"/>
            <w:noWrap/>
            <w:vAlign w:val="center"/>
          </w:tcPr>
          <w:p w14:paraId="09C83F09">
            <w:pPr>
              <w:jc w:val="right"/>
              <w:rPr>
                <w:rFonts w:hint="eastAsia" w:ascii="宋体" w:hAnsi="宋体" w:eastAsia="宋体" w:cs="宋体"/>
                <w:i w:val="0"/>
                <w:iCs w:val="0"/>
                <w:color w:val="000000"/>
                <w:sz w:val="22"/>
                <w:szCs w:val="22"/>
                <w:u w:val="none"/>
              </w:rPr>
            </w:pPr>
          </w:p>
        </w:tc>
        <w:tc>
          <w:tcPr>
            <w:tcW w:w="531" w:type="pct"/>
            <w:tcBorders>
              <w:top w:val="single" w:color="808080" w:sz="4" w:space="0"/>
              <w:left w:val="single" w:color="808080" w:sz="4" w:space="0"/>
              <w:bottom w:val="single" w:color="808080" w:sz="4" w:space="0"/>
              <w:right w:val="single" w:color="808080" w:sz="4" w:space="0"/>
            </w:tcBorders>
            <w:shd w:val="clear" w:color="auto" w:fill="auto"/>
            <w:noWrap/>
            <w:vAlign w:val="center"/>
          </w:tcPr>
          <w:p w14:paraId="70FAA626">
            <w:pPr>
              <w:jc w:val="right"/>
              <w:rPr>
                <w:rFonts w:hint="eastAsia" w:ascii="宋体" w:hAnsi="宋体" w:eastAsia="宋体" w:cs="宋体"/>
                <w:i w:val="0"/>
                <w:iCs w:val="0"/>
                <w:color w:val="000000"/>
                <w:sz w:val="22"/>
                <w:szCs w:val="22"/>
                <w:u w:val="none"/>
              </w:rPr>
            </w:pPr>
          </w:p>
        </w:tc>
        <w:tc>
          <w:tcPr>
            <w:tcW w:w="532" w:type="pct"/>
            <w:tcBorders>
              <w:top w:val="single" w:color="808080" w:sz="4" w:space="0"/>
              <w:left w:val="single" w:color="808080" w:sz="4" w:space="0"/>
              <w:bottom w:val="single" w:color="808080" w:sz="4" w:space="0"/>
              <w:right w:val="single" w:color="808080" w:sz="4" w:space="0"/>
            </w:tcBorders>
            <w:shd w:val="clear" w:color="auto" w:fill="auto"/>
            <w:noWrap/>
            <w:vAlign w:val="center"/>
          </w:tcPr>
          <w:p w14:paraId="23406EE3">
            <w:pPr>
              <w:jc w:val="right"/>
              <w:rPr>
                <w:rFonts w:hint="eastAsia" w:ascii="宋体" w:hAnsi="宋体" w:eastAsia="宋体" w:cs="宋体"/>
                <w:i w:val="0"/>
                <w:iCs w:val="0"/>
                <w:color w:val="000000"/>
                <w:sz w:val="22"/>
                <w:szCs w:val="22"/>
                <w:u w:val="none"/>
              </w:rPr>
            </w:pPr>
          </w:p>
        </w:tc>
      </w:tr>
      <w:tr w14:paraId="54848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C93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政府性基金预算财政拨款</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D411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364D5BF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54F12">
            <w:pPr>
              <w:rPr>
                <w:rFonts w:hint="eastAsia" w:ascii="宋体" w:hAnsi="宋体" w:eastAsia="宋体" w:cs="宋体"/>
                <w:i w:val="0"/>
                <w:iCs w:val="0"/>
                <w:color w:val="000000"/>
                <w:sz w:val="18"/>
                <w:szCs w:val="18"/>
                <w:u w:val="none"/>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83D5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1AC0EBA3">
            <w:pPr>
              <w:jc w:val="right"/>
              <w:rPr>
                <w:rFonts w:hint="eastAsia" w:ascii="宋体" w:hAnsi="宋体" w:eastAsia="宋体" w:cs="宋体"/>
                <w:i w:val="0"/>
                <w:iCs w:val="0"/>
                <w:color w:val="000000"/>
                <w:sz w:val="18"/>
                <w:szCs w:val="18"/>
                <w:u w:val="none"/>
              </w:rPr>
            </w:pPr>
          </w:p>
        </w:tc>
        <w:tc>
          <w:tcPr>
            <w:tcW w:w="531" w:type="pct"/>
            <w:tcBorders>
              <w:top w:val="single" w:color="808080" w:sz="4" w:space="0"/>
              <w:left w:val="single" w:color="808080" w:sz="4" w:space="0"/>
              <w:bottom w:val="single" w:color="808080" w:sz="4" w:space="0"/>
              <w:right w:val="single" w:color="808080" w:sz="4" w:space="0"/>
            </w:tcBorders>
            <w:shd w:val="clear" w:color="auto" w:fill="auto"/>
            <w:noWrap/>
            <w:vAlign w:val="center"/>
          </w:tcPr>
          <w:p w14:paraId="5490CC4D">
            <w:pPr>
              <w:jc w:val="right"/>
              <w:rPr>
                <w:rFonts w:hint="eastAsia" w:ascii="宋体" w:hAnsi="宋体" w:eastAsia="宋体" w:cs="宋体"/>
                <w:i w:val="0"/>
                <w:iCs w:val="0"/>
                <w:color w:val="000000"/>
                <w:sz w:val="22"/>
                <w:szCs w:val="22"/>
                <w:u w:val="none"/>
              </w:rPr>
            </w:pPr>
          </w:p>
        </w:tc>
        <w:tc>
          <w:tcPr>
            <w:tcW w:w="531" w:type="pct"/>
            <w:tcBorders>
              <w:top w:val="single" w:color="808080" w:sz="4" w:space="0"/>
              <w:left w:val="single" w:color="808080" w:sz="4" w:space="0"/>
              <w:bottom w:val="single" w:color="808080" w:sz="4" w:space="0"/>
              <w:right w:val="single" w:color="808080" w:sz="4" w:space="0"/>
            </w:tcBorders>
            <w:shd w:val="clear" w:color="auto" w:fill="auto"/>
            <w:noWrap/>
            <w:vAlign w:val="center"/>
          </w:tcPr>
          <w:p w14:paraId="0C39D4C2">
            <w:pPr>
              <w:jc w:val="right"/>
              <w:rPr>
                <w:rFonts w:hint="eastAsia" w:ascii="宋体" w:hAnsi="宋体" w:eastAsia="宋体" w:cs="宋体"/>
                <w:i w:val="0"/>
                <w:iCs w:val="0"/>
                <w:color w:val="000000"/>
                <w:sz w:val="22"/>
                <w:szCs w:val="22"/>
                <w:u w:val="none"/>
              </w:rPr>
            </w:pPr>
          </w:p>
        </w:tc>
        <w:tc>
          <w:tcPr>
            <w:tcW w:w="532" w:type="pct"/>
            <w:tcBorders>
              <w:top w:val="single" w:color="808080" w:sz="4" w:space="0"/>
              <w:left w:val="single" w:color="808080" w:sz="4" w:space="0"/>
              <w:bottom w:val="single" w:color="808080" w:sz="4" w:space="0"/>
              <w:right w:val="single" w:color="808080" w:sz="4" w:space="0"/>
            </w:tcBorders>
            <w:shd w:val="clear" w:color="auto" w:fill="auto"/>
            <w:noWrap/>
            <w:vAlign w:val="center"/>
          </w:tcPr>
          <w:p w14:paraId="2006CB60">
            <w:pPr>
              <w:jc w:val="right"/>
              <w:rPr>
                <w:rFonts w:hint="eastAsia" w:ascii="宋体" w:hAnsi="宋体" w:eastAsia="宋体" w:cs="宋体"/>
                <w:i w:val="0"/>
                <w:iCs w:val="0"/>
                <w:color w:val="000000"/>
                <w:sz w:val="22"/>
                <w:szCs w:val="22"/>
                <w:u w:val="none"/>
              </w:rPr>
            </w:pPr>
          </w:p>
        </w:tc>
      </w:tr>
      <w:tr w14:paraId="4222B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F6E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国有资本经营预算财政拨款</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84F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7F090A2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72B06">
            <w:pPr>
              <w:rPr>
                <w:rFonts w:hint="eastAsia" w:ascii="宋体" w:hAnsi="宋体" w:eastAsia="宋体" w:cs="宋体"/>
                <w:i w:val="0"/>
                <w:iCs w:val="0"/>
                <w:color w:val="000000"/>
                <w:sz w:val="18"/>
                <w:szCs w:val="18"/>
                <w:u w:val="none"/>
              </w:rPr>
            </w:pP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4C16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521F3188">
            <w:pPr>
              <w:jc w:val="right"/>
              <w:rPr>
                <w:rFonts w:hint="eastAsia" w:ascii="宋体" w:hAnsi="宋体" w:eastAsia="宋体" w:cs="宋体"/>
                <w:i w:val="0"/>
                <w:iCs w:val="0"/>
                <w:color w:val="000000"/>
                <w:sz w:val="18"/>
                <w:szCs w:val="18"/>
                <w:u w:val="none"/>
              </w:rPr>
            </w:pPr>
          </w:p>
        </w:tc>
        <w:tc>
          <w:tcPr>
            <w:tcW w:w="531" w:type="pct"/>
            <w:tcBorders>
              <w:top w:val="single" w:color="808080" w:sz="4" w:space="0"/>
              <w:left w:val="single" w:color="808080" w:sz="4" w:space="0"/>
              <w:bottom w:val="single" w:color="808080" w:sz="4" w:space="0"/>
              <w:right w:val="single" w:color="808080" w:sz="4" w:space="0"/>
            </w:tcBorders>
            <w:shd w:val="clear" w:color="auto" w:fill="auto"/>
            <w:noWrap/>
            <w:vAlign w:val="center"/>
          </w:tcPr>
          <w:p w14:paraId="1A171592">
            <w:pPr>
              <w:jc w:val="right"/>
              <w:rPr>
                <w:rFonts w:hint="eastAsia" w:ascii="宋体" w:hAnsi="宋体" w:eastAsia="宋体" w:cs="宋体"/>
                <w:i w:val="0"/>
                <w:iCs w:val="0"/>
                <w:color w:val="000000"/>
                <w:sz w:val="22"/>
                <w:szCs w:val="22"/>
                <w:u w:val="none"/>
              </w:rPr>
            </w:pPr>
          </w:p>
        </w:tc>
        <w:tc>
          <w:tcPr>
            <w:tcW w:w="531" w:type="pct"/>
            <w:tcBorders>
              <w:top w:val="single" w:color="808080" w:sz="4" w:space="0"/>
              <w:left w:val="single" w:color="808080" w:sz="4" w:space="0"/>
              <w:bottom w:val="single" w:color="808080" w:sz="4" w:space="0"/>
              <w:right w:val="single" w:color="808080" w:sz="4" w:space="0"/>
            </w:tcBorders>
            <w:shd w:val="clear" w:color="auto" w:fill="auto"/>
            <w:noWrap/>
            <w:vAlign w:val="center"/>
          </w:tcPr>
          <w:p w14:paraId="56EF415D">
            <w:pPr>
              <w:jc w:val="right"/>
              <w:rPr>
                <w:rFonts w:hint="eastAsia" w:ascii="宋体" w:hAnsi="宋体" w:eastAsia="宋体" w:cs="宋体"/>
                <w:i w:val="0"/>
                <w:iCs w:val="0"/>
                <w:color w:val="000000"/>
                <w:sz w:val="22"/>
                <w:szCs w:val="22"/>
                <w:u w:val="none"/>
              </w:rPr>
            </w:pPr>
          </w:p>
        </w:tc>
        <w:tc>
          <w:tcPr>
            <w:tcW w:w="532" w:type="pct"/>
            <w:tcBorders>
              <w:top w:val="single" w:color="808080" w:sz="4" w:space="0"/>
              <w:left w:val="single" w:color="808080" w:sz="4" w:space="0"/>
              <w:bottom w:val="single" w:color="808080" w:sz="4" w:space="0"/>
              <w:right w:val="single" w:color="808080" w:sz="4" w:space="0"/>
            </w:tcBorders>
            <w:shd w:val="clear" w:color="auto" w:fill="auto"/>
            <w:noWrap/>
            <w:vAlign w:val="center"/>
          </w:tcPr>
          <w:p w14:paraId="5094380B">
            <w:pPr>
              <w:jc w:val="right"/>
              <w:rPr>
                <w:rFonts w:hint="eastAsia" w:ascii="宋体" w:hAnsi="宋体" w:eastAsia="宋体" w:cs="宋体"/>
                <w:i w:val="0"/>
                <w:iCs w:val="0"/>
                <w:color w:val="000000"/>
                <w:sz w:val="22"/>
                <w:szCs w:val="22"/>
                <w:u w:val="none"/>
              </w:rPr>
            </w:pPr>
          </w:p>
        </w:tc>
      </w:tr>
      <w:tr w14:paraId="44025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9" w:hRule="atLeast"/>
        </w:trPr>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E49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总计</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794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42C3453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3,369.59</w:t>
            </w:r>
          </w:p>
        </w:tc>
        <w:tc>
          <w:tcPr>
            <w:tcW w:w="10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1263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总计</w:t>
            </w:r>
          </w:p>
        </w:tc>
        <w:tc>
          <w:tcPr>
            <w:tcW w:w="1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CFD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009A8B3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3,369.59</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327D884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3,369.59</w:t>
            </w:r>
          </w:p>
        </w:tc>
        <w:tc>
          <w:tcPr>
            <w:tcW w:w="531" w:type="pct"/>
            <w:tcBorders>
              <w:top w:val="single" w:color="808080" w:sz="4" w:space="0"/>
              <w:left w:val="single" w:color="808080" w:sz="4" w:space="0"/>
              <w:bottom w:val="single" w:color="808080" w:sz="4" w:space="0"/>
              <w:right w:val="single" w:color="808080" w:sz="4" w:space="0"/>
            </w:tcBorders>
            <w:shd w:val="clear" w:color="auto" w:fill="auto"/>
            <w:vAlign w:val="center"/>
          </w:tcPr>
          <w:p w14:paraId="393FA51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532" w:type="pct"/>
            <w:tcBorders>
              <w:top w:val="single" w:color="808080" w:sz="4" w:space="0"/>
              <w:left w:val="single" w:color="808080" w:sz="4" w:space="0"/>
              <w:bottom w:val="single" w:color="808080" w:sz="4" w:space="0"/>
              <w:right w:val="single" w:color="808080" w:sz="4" w:space="0"/>
            </w:tcBorders>
            <w:shd w:val="clear" w:color="auto" w:fill="auto"/>
            <w:vAlign w:val="center"/>
          </w:tcPr>
          <w:p w14:paraId="20A72B1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5EBB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9" w:hRule="atLeast"/>
        </w:trPr>
        <w:tc>
          <w:tcPr>
            <w:tcW w:w="5000" w:type="pct"/>
            <w:gridSpan w:val="9"/>
            <w:tcBorders>
              <w:top w:val="nil"/>
              <w:left w:val="nil"/>
              <w:bottom w:val="nil"/>
              <w:right w:val="nil"/>
            </w:tcBorders>
            <w:shd w:val="clear" w:color="auto" w:fill="auto"/>
            <w:vAlign w:val="center"/>
          </w:tcPr>
          <w:p w14:paraId="2294B8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r>
    </w:tbl>
    <w:p w14:paraId="06EFDAA4">
      <w:pPr>
        <w:pStyle w:val="16"/>
        <w:keepNext w:val="0"/>
        <w:keepLines w:val="0"/>
        <w:widowControl/>
        <w:suppressLineNumbers w:val="0"/>
        <w:spacing w:before="0" w:beforeAutospacing="0"/>
        <w:ind w:left="0"/>
        <w:jc w:val="left"/>
        <w:rPr>
          <w:shd w:val="clear" w:fill="FFFFFF"/>
        </w:rPr>
        <w:sectPr>
          <w:pgSz w:w="16838" w:h="11906" w:orient="landscape"/>
          <w:pgMar w:top="1800" w:right="1440" w:bottom="1800" w:left="1440" w:header="851" w:footer="992" w:gutter="0"/>
          <w:cols w:space="0" w:num="1"/>
          <w:docGrid w:type="lines" w:linePitch="312" w:charSpace="0"/>
        </w:sectPr>
      </w:pPr>
    </w:p>
    <w:p w14:paraId="2583910D">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left"/>
        <w:textAlignment w:val="auto"/>
        <w:outlineLvl w:val="0"/>
        <w:rPr>
          <w:rFonts w:hint="eastAsia" w:ascii="黑体" w:hAnsi="黑体" w:eastAsia="黑体" w:cs="黑体"/>
          <w:sz w:val="32"/>
          <w:szCs w:val="32"/>
        </w:rPr>
      </w:pPr>
      <w:bookmarkStart w:id="14" w:name="_Toc13820"/>
      <w:r>
        <w:rPr>
          <w:rFonts w:hint="eastAsia" w:ascii="黑体" w:hAnsi="黑体" w:eastAsia="黑体" w:cs="黑体"/>
          <w:sz w:val="32"/>
          <w:szCs w:val="32"/>
          <w:shd w:val="clear" w:fill="FFFFFF"/>
        </w:rPr>
        <w:t>五、</w:t>
      </w:r>
      <w:r>
        <w:rPr>
          <w:rStyle w:val="19"/>
          <w:rFonts w:hint="eastAsia" w:ascii="黑体" w:hAnsi="黑体" w:eastAsia="黑体" w:cs="黑体"/>
          <w:sz w:val="32"/>
          <w:szCs w:val="32"/>
          <w:shd w:val="clear" w:fill="FFFFFF"/>
        </w:rPr>
        <w:t>一</w:t>
      </w:r>
      <w:r>
        <w:rPr>
          <w:rFonts w:hint="eastAsia" w:ascii="黑体" w:hAnsi="黑体" w:eastAsia="黑体" w:cs="黑体"/>
          <w:sz w:val="32"/>
          <w:szCs w:val="32"/>
          <w:shd w:val="clear" w:fill="FFFFFF"/>
        </w:rPr>
        <w:t>般公共预算财政拨款支出决算情况说明</w:t>
      </w:r>
      <w:bookmarkEnd w:id="14"/>
    </w:p>
    <w:p w14:paraId="2A4D3795">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leftChars="0" w:right="0" w:rightChars="0" w:firstLine="643" w:firstLineChars="200"/>
        <w:jc w:val="left"/>
        <w:textAlignment w:val="auto"/>
        <w:outlineLvl w:val="1"/>
        <w:rPr>
          <w:rFonts w:hint="eastAsia" w:ascii="仿宋_GB2312" w:hAnsi="仿宋_GB2312" w:eastAsia="仿宋_GB2312" w:cs="仿宋_GB2312"/>
          <w:sz w:val="32"/>
          <w:szCs w:val="32"/>
          <w:shd w:val="clear" w:fill="FFFFFF"/>
        </w:rPr>
      </w:pPr>
      <w:bookmarkStart w:id="15" w:name="_Toc711"/>
      <w:r>
        <w:rPr>
          <w:rStyle w:val="19"/>
          <w:rFonts w:hint="eastAsia" w:ascii="仿宋_GB2312" w:hAnsi="仿宋_GB2312" w:eastAsia="仿宋_GB2312" w:cs="仿宋_GB2312"/>
          <w:sz w:val="32"/>
          <w:szCs w:val="32"/>
          <w:shd w:val="clear" w:fill="FFFFFF"/>
        </w:rPr>
        <w:t>（一）一般公共预算财政拨款支出决算总体情况</w:t>
      </w:r>
      <w:bookmarkEnd w:id="15"/>
    </w:p>
    <w:p w14:paraId="0047D8B1">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lang w:val="en-US" w:eastAsia="zh-CN"/>
        </w:rPr>
        <w:t>2024年度决算支出总计3369.59万元，2023年度决算支出总计1,275.34万元，比去年增加2094.19</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p>
    <w:p w14:paraId="0B5DE32B">
      <w:pPr>
        <w:pStyle w:val="16"/>
        <w:keepNext w:val="0"/>
        <w:keepLines w:val="0"/>
        <w:widowControl/>
        <w:suppressLineNumbers w:val="0"/>
        <w:spacing w:before="0" w:beforeAutospacing="0"/>
        <w:ind w:left="0"/>
        <w:jc w:val="left"/>
        <w:rPr>
          <w:shd w:val="clear" w:fill="FFFFFF"/>
        </w:rPr>
      </w:pPr>
      <w:r>
        <w:drawing>
          <wp:inline distT="0" distB="0" distL="114300" distR="114300">
            <wp:extent cx="4584065" cy="2755265"/>
            <wp:effectExtent l="0" t="0" r="635" b="635"/>
            <wp:docPr id="1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pic:cNvPicPr>
                      <a:picLocks noChangeAspect="1"/>
                    </pic:cNvPicPr>
                  </pic:nvPicPr>
                  <pic:blipFill>
                    <a:blip r:embed="rId10"/>
                    <a:stretch>
                      <a:fillRect/>
                    </a:stretch>
                  </pic:blipFill>
                  <pic:spPr>
                    <a:xfrm>
                      <a:off x="0" y="0"/>
                      <a:ext cx="4584065" cy="2755265"/>
                    </a:xfrm>
                    <a:prstGeom prst="rect">
                      <a:avLst/>
                    </a:prstGeom>
                    <a:noFill/>
                    <a:ln>
                      <a:noFill/>
                    </a:ln>
                  </pic:spPr>
                </pic:pic>
              </a:graphicData>
            </a:graphic>
          </wp:inline>
        </w:drawing>
      </w:r>
    </w:p>
    <w:p w14:paraId="7E9D72CD">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leftChars="0" w:right="0" w:rightChars="0" w:firstLine="643" w:firstLineChars="200"/>
        <w:jc w:val="left"/>
        <w:textAlignment w:val="auto"/>
        <w:outlineLvl w:val="1"/>
        <w:rPr>
          <w:rFonts w:hint="eastAsia" w:ascii="仿宋_GB2312" w:hAnsi="仿宋_GB2312" w:eastAsia="仿宋_GB2312" w:cs="仿宋_GB2312"/>
          <w:b/>
          <w:bCs/>
          <w:sz w:val="32"/>
          <w:szCs w:val="32"/>
          <w:shd w:val="clear" w:fill="FFFFFF"/>
        </w:rPr>
      </w:pPr>
      <w:bookmarkStart w:id="16" w:name="_Toc3476"/>
      <w:r>
        <w:rPr>
          <w:rFonts w:hint="eastAsia" w:ascii="仿宋_GB2312" w:hAnsi="仿宋_GB2312" w:eastAsia="仿宋_GB2312" w:cs="仿宋_GB2312"/>
          <w:b/>
          <w:bCs/>
          <w:sz w:val="32"/>
          <w:szCs w:val="32"/>
          <w:shd w:val="clear" w:fill="FFFFFF"/>
        </w:rPr>
        <w:t>（二）一般公共预算财政拨款支出决算结构情况</w:t>
      </w:r>
      <w:bookmarkEnd w:id="16"/>
    </w:p>
    <w:p w14:paraId="45D77856">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both"/>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4</w:t>
      </w:r>
      <w:r>
        <w:rPr>
          <w:rFonts w:hint="eastAsia" w:ascii="仿宋_GB2312" w:hAnsi="仿宋_GB2312" w:eastAsia="仿宋_GB2312" w:cs="仿宋_GB2312"/>
          <w:sz w:val="32"/>
          <w:szCs w:val="32"/>
          <w:shd w:val="clear" w:fill="FFFFFF"/>
        </w:rPr>
        <w:t>年一般公共预算财政拨款支出</w:t>
      </w:r>
      <w:r>
        <w:rPr>
          <w:rFonts w:hint="eastAsia" w:ascii="仿宋_GB2312" w:hAnsi="仿宋_GB2312" w:eastAsia="仿宋_GB2312" w:cs="仿宋_GB2312"/>
          <w:sz w:val="32"/>
          <w:szCs w:val="32"/>
          <w:shd w:val="clear" w:fill="FFFFFF"/>
          <w:lang w:val="en-US" w:eastAsia="zh-CN"/>
        </w:rPr>
        <w:t>3369.59</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val="en-US" w:eastAsia="zh-CN"/>
        </w:rPr>
        <w:t>完成预算100%。其中</w:t>
      </w:r>
      <w:r>
        <w:rPr>
          <w:rFonts w:hint="eastAsia" w:ascii="仿宋_GB2312" w:hAnsi="仿宋_GB2312" w:eastAsia="仿宋_GB2312" w:cs="仿宋_GB2312"/>
          <w:sz w:val="32"/>
          <w:szCs w:val="32"/>
          <w:shd w:val="clear" w:fill="FFFFFF"/>
        </w:rPr>
        <w:t>:</w:t>
      </w:r>
    </w:p>
    <w:p w14:paraId="6002AB90">
      <w:pPr>
        <w:pStyle w:val="1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kern w:val="0"/>
          <w:sz w:val="32"/>
          <w:szCs w:val="32"/>
          <w:shd w:val="clear" w:fill="FFFFFF"/>
          <w:lang w:val="en-US" w:eastAsia="zh-CN" w:bidi="ar"/>
        </w:rPr>
        <w:t>1.</w:t>
      </w:r>
      <w:r>
        <w:rPr>
          <w:rFonts w:hint="eastAsia" w:ascii="仿宋_GB2312" w:hAnsi="仿宋_GB2312" w:eastAsia="仿宋_GB2312" w:cs="仿宋_GB2312"/>
          <w:sz w:val="32"/>
          <w:szCs w:val="32"/>
          <w:shd w:val="clear" w:fill="FFFFFF"/>
        </w:rPr>
        <w:t>一般公共服务（类）人大事务</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款</w:t>
      </w:r>
      <w:r>
        <w:rPr>
          <w:rFonts w:hint="eastAsia" w:ascii="仿宋_GB2312" w:hAnsi="仿宋_GB2312" w:eastAsia="仿宋_GB2312" w:cs="仿宋_GB2312"/>
          <w:sz w:val="32"/>
          <w:szCs w:val="32"/>
          <w:shd w:val="clear" w:fill="FFFFFF"/>
          <w:lang w:eastAsia="zh-CN"/>
        </w:rPr>
        <w:t>）：</w:t>
      </w:r>
    </w:p>
    <w:p w14:paraId="6F23F6A7">
      <w:pPr>
        <w:pStyle w:val="1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1</w:t>
      </w:r>
      <w:r>
        <w:rPr>
          <w:rFonts w:hint="eastAsia" w:ascii="仿宋_GB2312" w:hAnsi="仿宋_GB2312" w:eastAsia="仿宋_GB2312" w:cs="仿宋_GB2312"/>
          <w:sz w:val="32"/>
          <w:szCs w:val="32"/>
          <w:shd w:val="clear" w:fill="FFFFFF"/>
          <w:lang w:eastAsia="zh-CN"/>
        </w:rPr>
        <w:t>）人大会议（</w:t>
      </w:r>
      <w:r>
        <w:rPr>
          <w:rFonts w:hint="eastAsia" w:ascii="仿宋_GB2312" w:hAnsi="仿宋_GB2312" w:eastAsia="仿宋_GB2312" w:cs="仿宋_GB2312"/>
          <w:sz w:val="32"/>
          <w:szCs w:val="32"/>
          <w:shd w:val="clear" w:fill="FFFFFF"/>
          <w:lang w:val="en-US" w:eastAsia="zh-CN"/>
        </w:rPr>
        <w:t>项</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rPr>
        <w:t>支出</w:t>
      </w:r>
      <w:r>
        <w:rPr>
          <w:rFonts w:hint="eastAsia" w:ascii="仿宋_GB2312" w:hAnsi="仿宋_GB2312" w:eastAsia="仿宋_GB2312" w:cs="仿宋_GB2312"/>
          <w:sz w:val="32"/>
          <w:szCs w:val="32"/>
          <w:shd w:val="clear" w:fill="FFFFFF"/>
          <w:lang w:val="en-US" w:eastAsia="zh-CN"/>
        </w:rPr>
        <w:t>决算为0.26</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完成预算100%。</w:t>
      </w:r>
    </w:p>
    <w:p w14:paraId="399EB658">
      <w:pPr>
        <w:pStyle w:val="1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lang w:val="en-US" w:eastAsia="zh-CN"/>
        </w:rPr>
        <w:t>（2）人大代表履职能力提升（项）：</w:t>
      </w:r>
      <w:r>
        <w:rPr>
          <w:rFonts w:hint="eastAsia" w:ascii="仿宋_GB2312" w:hAnsi="仿宋_GB2312" w:eastAsia="仿宋_GB2312" w:cs="仿宋_GB2312"/>
          <w:sz w:val="32"/>
          <w:szCs w:val="32"/>
          <w:shd w:val="clear" w:fill="FFFFFF"/>
        </w:rPr>
        <w:t>支出</w:t>
      </w:r>
      <w:r>
        <w:rPr>
          <w:rFonts w:hint="eastAsia" w:ascii="仿宋_GB2312" w:hAnsi="仿宋_GB2312" w:eastAsia="仿宋_GB2312" w:cs="仿宋_GB2312"/>
          <w:sz w:val="32"/>
          <w:szCs w:val="32"/>
          <w:shd w:val="clear" w:fill="FFFFFF"/>
          <w:lang w:val="en-US" w:eastAsia="zh-CN"/>
        </w:rPr>
        <w:t>决算为1</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完成预算100%。</w:t>
      </w:r>
    </w:p>
    <w:p w14:paraId="1FA6F921">
      <w:pPr>
        <w:pStyle w:val="1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lang w:val="en-US" w:eastAsia="zh-CN"/>
        </w:rPr>
        <w:t>（3）代表工作（项）：</w:t>
      </w:r>
      <w:r>
        <w:rPr>
          <w:rFonts w:hint="eastAsia" w:ascii="仿宋_GB2312" w:hAnsi="仿宋_GB2312" w:eastAsia="仿宋_GB2312" w:cs="仿宋_GB2312"/>
          <w:sz w:val="32"/>
          <w:szCs w:val="32"/>
          <w:shd w:val="clear" w:fill="FFFFFF"/>
        </w:rPr>
        <w:t>支出</w:t>
      </w:r>
      <w:r>
        <w:rPr>
          <w:rFonts w:hint="eastAsia" w:ascii="仿宋_GB2312" w:hAnsi="仿宋_GB2312" w:eastAsia="仿宋_GB2312" w:cs="仿宋_GB2312"/>
          <w:sz w:val="32"/>
          <w:szCs w:val="32"/>
          <w:shd w:val="clear" w:fill="FFFFFF"/>
          <w:lang w:val="en-US" w:eastAsia="zh-CN"/>
        </w:rPr>
        <w:t>决算为3.32</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完成预算100%。</w:t>
      </w:r>
    </w:p>
    <w:p w14:paraId="383A03A2">
      <w:pPr>
        <w:pStyle w:val="1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kern w:val="0"/>
          <w:sz w:val="32"/>
          <w:szCs w:val="32"/>
          <w:shd w:val="clear" w:fill="FFFFFF"/>
          <w:lang w:val="en-US" w:eastAsia="zh-CN" w:bidi="ar"/>
        </w:rPr>
        <w:t>2.</w:t>
      </w:r>
      <w:r>
        <w:rPr>
          <w:rFonts w:hint="eastAsia" w:ascii="仿宋_GB2312" w:hAnsi="仿宋_GB2312" w:eastAsia="仿宋_GB2312" w:cs="仿宋_GB2312"/>
          <w:sz w:val="32"/>
          <w:szCs w:val="32"/>
          <w:shd w:val="clear" w:fill="FFFFFF"/>
        </w:rPr>
        <w:t>一般公共服务（类）政协事务</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款</w:t>
      </w:r>
      <w:r>
        <w:rPr>
          <w:rFonts w:hint="eastAsia" w:ascii="仿宋_GB2312" w:hAnsi="仿宋_GB2312" w:eastAsia="仿宋_GB2312" w:cs="仿宋_GB2312"/>
          <w:sz w:val="32"/>
          <w:szCs w:val="32"/>
          <w:shd w:val="clear" w:fill="FFFFFF"/>
          <w:lang w:eastAsia="zh-CN"/>
        </w:rPr>
        <w:t>）一般行政管理事务</w:t>
      </w:r>
      <w:r>
        <w:rPr>
          <w:rFonts w:hint="eastAsia" w:ascii="仿宋_GB2312" w:hAnsi="仿宋_GB2312" w:eastAsia="仿宋_GB2312" w:cs="仿宋_GB2312"/>
          <w:sz w:val="32"/>
          <w:szCs w:val="32"/>
          <w:shd w:val="clear" w:fill="FFFFFF"/>
          <w:lang w:val="en-US" w:eastAsia="zh-CN"/>
        </w:rPr>
        <w:t>（项）：</w:t>
      </w:r>
      <w:r>
        <w:rPr>
          <w:rFonts w:hint="eastAsia" w:ascii="仿宋_GB2312" w:hAnsi="仿宋_GB2312" w:eastAsia="仿宋_GB2312" w:cs="仿宋_GB2312"/>
          <w:sz w:val="32"/>
          <w:szCs w:val="32"/>
          <w:shd w:val="clear" w:fill="FFFFFF"/>
        </w:rPr>
        <w:t>支出</w:t>
      </w:r>
      <w:r>
        <w:rPr>
          <w:rFonts w:hint="eastAsia" w:ascii="仿宋_GB2312" w:hAnsi="仿宋_GB2312" w:eastAsia="仿宋_GB2312" w:cs="仿宋_GB2312"/>
          <w:sz w:val="32"/>
          <w:szCs w:val="32"/>
          <w:shd w:val="clear" w:fill="FFFFFF"/>
          <w:lang w:val="en-US" w:eastAsia="zh-CN"/>
        </w:rPr>
        <w:t>决算为1</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完成预算100%。</w:t>
      </w:r>
    </w:p>
    <w:p w14:paraId="039A6B96">
      <w:pPr>
        <w:pStyle w:val="1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sz w:val="32"/>
          <w:szCs w:val="32"/>
          <w:shd w:val="clear" w:fill="FFFFFF"/>
          <w:lang w:eastAsia="zh-CN"/>
        </w:rPr>
      </w:pPr>
    </w:p>
    <w:p w14:paraId="383F43D4">
      <w:pPr>
        <w:pStyle w:val="16"/>
        <w:keepNext w:val="0"/>
        <w:keepLines w:val="0"/>
        <w:pageBreakBefore w:val="0"/>
        <w:widowControl w:val="0"/>
        <w:numPr>
          <w:ilvl w:val="0"/>
          <w:numId w:val="1"/>
        </w:numPr>
        <w:suppressLineNumbers w:val="0"/>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rPr>
        <w:t>一般公共服务（类）</w:t>
      </w:r>
      <w:r>
        <w:rPr>
          <w:rFonts w:hint="eastAsia" w:ascii="仿宋_GB2312" w:hAnsi="仿宋_GB2312" w:eastAsia="仿宋_GB2312" w:cs="仿宋_GB2312"/>
          <w:sz w:val="32"/>
          <w:szCs w:val="32"/>
          <w:shd w:val="clear" w:fill="FFFFFF"/>
          <w:lang w:val="en-US" w:eastAsia="zh-CN"/>
        </w:rPr>
        <w:t>政府办公厅（室）及相关机构事务</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款</w:t>
      </w:r>
      <w:r>
        <w:rPr>
          <w:rFonts w:hint="eastAsia" w:ascii="仿宋_GB2312" w:hAnsi="仿宋_GB2312" w:eastAsia="仿宋_GB2312" w:cs="仿宋_GB2312"/>
          <w:sz w:val="32"/>
          <w:szCs w:val="32"/>
          <w:shd w:val="clear" w:fill="FFFFFF"/>
          <w:lang w:eastAsia="zh-CN"/>
        </w:rPr>
        <w:t>）：</w:t>
      </w:r>
    </w:p>
    <w:p w14:paraId="68AF7D0C">
      <w:pPr>
        <w:pStyle w:val="1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left="480" w:leftChars="200" w:right="0" w:rightChars="0"/>
        <w:jc w:val="both"/>
        <w:textAlignment w:val="auto"/>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kern w:val="0"/>
          <w:sz w:val="32"/>
          <w:szCs w:val="32"/>
          <w:shd w:val="clear" w:fill="FFFFFF"/>
          <w:lang w:val="en-US" w:eastAsia="zh-CN" w:bidi="ar"/>
        </w:rPr>
        <w:t>（1）</w:t>
      </w:r>
      <w:r>
        <w:rPr>
          <w:rFonts w:hint="eastAsia" w:ascii="仿宋_GB2312" w:hAnsi="仿宋_GB2312" w:eastAsia="仿宋_GB2312" w:cs="仿宋_GB2312"/>
          <w:sz w:val="32"/>
          <w:szCs w:val="32"/>
          <w:shd w:val="clear" w:fill="FFFFFF"/>
          <w:lang w:val="en-US" w:eastAsia="zh-CN"/>
        </w:rPr>
        <w:t>一般行政管理事务（项）：</w:t>
      </w:r>
      <w:r>
        <w:rPr>
          <w:rFonts w:hint="eastAsia" w:ascii="仿宋_GB2312" w:hAnsi="仿宋_GB2312" w:eastAsia="仿宋_GB2312" w:cs="仿宋_GB2312"/>
          <w:sz w:val="32"/>
          <w:szCs w:val="32"/>
          <w:shd w:val="clear" w:fill="FFFFFF"/>
        </w:rPr>
        <w:t>支出</w:t>
      </w:r>
      <w:r>
        <w:rPr>
          <w:rFonts w:hint="eastAsia" w:ascii="仿宋_GB2312" w:hAnsi="仿宋_GB2312" w:eastAsia="仿宋_GB2312" w:cs="仿宋_GB2312"/>
          <w:sz w:val="32"/>
          <w:szCs w:val="32"/>
          <w:shd w:val="clear" w:fill="FFFFFF"/>
          <w:lang w:val="en-US" w:eastAsia="zh-CN"/>
        </w:rPr>
        <w:t>决算为11.62</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完成预算100%。</w:t>
      </w:r>
    </w:p>
    <w:p w14:paraId="33796BF3">
      <w:pPr>
        <w:pStyle w:val="1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left="480" w:leftChars="200" w:right="0" w:rightChars="0"/>
        <w:jc w:val="both"/>
        <w:textAlignment w:val="auto"/>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kern w:val="0"/>
          <w:sz w:val="32"/>
          <w:szCs w:val="32"/>
          <w:shd w:val="clear" w:fill="FFFFFF"/>
          <w:lang w:val="en-US" w:eastAsia="zh-CN" w:bidi="ar"/>
        </w:rPr>
        <w:t>（2）</w:t>
      </w:r>
      <w:r>
        <w:rPr>
          <w:rFonts w:hint="default" w:ascii="仿宋_GB2312" w:hAnsi="仿宋_GB2312" w:eastAsia="仿宋_GB2312" w:cs="仿宋_GB2312"/>
          <w:sz w:val="32"/>
          <w:szCs w:val="32"/>
          <w:shd w:val="clear" w:fill="FFFFFF"/>
          <w:lang w:val="en-US" w:eastAsia="zh-CN"/>
        </w:rPr>
        <w:t>其他政府办公厅（室）及相关机构事务支出</w:t>
      </w:r>
      <w:r>
        <w:rPr>
          <w:rFonts w:hint="eastAsia" w:ascii="仿宋_GB2312" w:hAnsi="仿宋_GB2312" w:eastAsia="仿宋_GB2312" w:cs="仿宋_GB2312"/>
          <w:sz w:val="32"/>
          <w:szCs w:val="32"/>
          <w:shd w:val="clear" w:fill="FFFFFF"/>
          <w:lang w:val="en-US" w:eastAsia="zh-CN"/>
        </w:rPr>
        <w:t>（项）：</w:t>
      </w:r>
      <w:r>
        <w:rPr>
          <w:rFonts w:hint="eastAsia" w:ascii="仿宋_GB2312" w:hAnsi="仿宋_GB2312" w:eastAsia="仿宋_GB2312" w:cs="仿宋_GB2312"/>
          <w:sz w:val="32"/>
          <w:szCs w:val="32"/>
          <w:shd w:val="clear" w:fill="FFFFFF"/>
        </w:rPr>
        <w:t>支出</w:t>
      </w:r>
      <w:r>
        <w:rPr>
          <w:rFonts w:hint="eastAsia" w:ascii="仿宋_GB2312" w:hAnsi="仿宋_GB2312" w:eastAsia="仿宋_GB2312" w:cs="仿宋_GB2312"/>
          <w:sz w:val="32"/>
          <w:szCs w:val="32"/>
          <w:shd w:val="clear" w:fill="FFFFFF"/>
          <w:lang w:val="en-US" w:eastAsia="zh-CN"/>
        </w:rPr>
        <w:t>决算为0.77</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完成预算100%。</w:t>
      </w:r>
    </w:p>
    <w:p w14:paraId="1576138C">
      <w:pPr>
        <w:pStyle w:val="16"/>
        <w:keepNext w:val="0"/>
        <w:keepLines w:val="0"/>
        <w:pageBreakBefore w:val="0"/>
        <w:widowControl w:val="0"/>
        <w:numPr>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0" w:firstLineChars="200"/>
        <w:jc w:val="both"/>
        <w:textAlignment w:val="auto"/>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lang w:val="en-US" w:eastAsia="zh-CN"/>
        </w:rPr>
        <w:t>4.</w:t>
      </w:r>
      <w:r>
        <w:rPr>
          <w:rFonts w:hint="eastAsia" w:ascii="仿宋_GB2312" w:hAnsi="仿宋_GB2312" w:eastAsia="仿宋_GB2312" w:cs="仿宋_GB2312"/>
          <w:sz w:val="32"/>
          <w:szCs w:val="32"/>
          <w:shd w:val="clear" w:fill="FFFFFF"/>
        </w:rPr>
        <w:t>一般公共服务（类）</w:t>
      </w:r>
      <w:r>
        <w:rPr>
          <w:rFonts w:hint="eastAsia" w:ascii="仿宋_GB2312" w:hAnsi="仿宋_GB2312" w:eastAsia="仿宋_GB2312" w:cs="仿宋_GB2312"/>
          <w:sz w:val="32"/>
          <w:szCs w:val="32"/>
          <w:shd w:val="clear" w:fill="FFFFFF"/>
          <w:lang w:val="en-US" w:eastAsia="zh-CN"/>
        </w:rPr>
        <w:t>统战事务</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款</w:t>
      </w:r>
      <w:r>
        <w:rPr>
          <w:rFonts w:hint="eastAsia" w:ascii="仿宋_GB2312" w:hAnsi="仿宋_GB2312" w:eastAsia="仿宋_GB2312" w:cs="仿宋_GB2312"/>
          <w:sz w:val="32"/>
          <w:szCs w:val="32"/>
          <w:shd w:val="clear" w:fill="FFFFFF"/>
          <w:lang w:eastAsia="zh-CN"/>
        </w:rPr>
        <w:t>）其他统战事务支出</w:t>
      </w:r>
      <w:r>
        <w:rPr>
          <w:rFonts w:hint="eastAsia" w:ascii="仿宋_GB2312" w:hAnsi="仿宋_GB2312" w:eastAsia="仿宋_GB2312" w:cs="仿宋_GB2312"/>
          <w:sz w:val="32"/>
          <w:szCs w:val="32"/>
          <w:shd w:val="clear" w:fill="FFFFFF"/>
          <w:lang w:val="en-US" w:eastAsia="zh-CN"/>
        </w:rPr>
        <w:t>（项）：</w:t>
      </w:r>
      <w:r>
        <w:rPr>
          <w:rFonts w:hint="eastAsia" w:ascii="仿宋_GB2312" w:hAnsi="仿宋_GB2312" w:eastAsia="仿宋_GB2312" w:cs="仿宋_GB2312"/>
          <w:sz w:val="32"/>
          <w:szCs w:val="32"/>
          <w:shd w:val="clear" w:fill="FFFFFF"/>
        </w:rPr>
        <w:t>支出</w:t>
      </w:r>
      <w:r>
        <w:rPr>
          <w:rFonts w:hint="eastAsia" w:ascii="仿宋_GB2312" w:hAnsi="仿宋_GB2312" w:eastAsia="仿宋_GB2312" w:cs="仿宋_GB2312"/>
          <w:sz w:val="32"/>
          <w:szCs w:val="32"/>
          <w:shd w:val="clear" w:fill="FFFFFF"/>
          <w:lang w:val="en-US" w:eastAsia="zh-CN"/>
        </w:rPr>
        <w:t>决算为10</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完成预算100%。</w:t>
      </w:r>
    </w:p>
    <w:p w14:paraId="2DFF0B63">
      <w:pPr>
        <w:pStyle w:val="1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0" w:firstLineChars="200"/>
        <w:jc w:val="both"/>
        <w:textAlignment w:val="auto"/>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lang w:val="en-US" w:eastAsia="zh-CN"/>
        </w:rPr>
        <w:t>5.国防支出</w:t>
      </w:r>
      <w:r>
        <w:rPr>
          <w:rFonts w:hint="eastAsia" w:ascii="仿宋_GB2312" w:hAnsi="仿宋_GB2312" w:eastAsia="仿宋_GB2312" w:cs="仿宋_GB2312"/>
          <w:sz w:val="32"/>
          <w:szCs w:val="32"/>
          <w:shd w:val="clear" w:fill="FFFFFF"/>
        </w:rPr>
        <w:t>（类）国防动员</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款</w:t>
      </w:r>
      <w:r>
        <w:rPr>
          <w:rFonts w:hint="eastAsia" w:ascii="仿宋_GB2312" w:hAnsi="仿宋_GB2312" w:eastAsia="仿宋_GB2312" w:cs="仿宋_GB2312"/>
          <w:sz w:val="32"/>
          <w:szCs w:val="32"/>
          <w:shd w:val="clear" w:fill="FFFFFF"/>
          <w:lang w:eastAsia="zh-CN"/>
        </w:rPr>
        <w:t>）民兵</w:t>
      </w:r>
      <w:r>
        <w:rPr>
          <w:rFonts w:hint="eastAsia" w:ascii="仿宋_GB2312" w:hAnsi="仿宋_GB2312" w:eastAsia="仿宋_GB2312" w:cs="仿宋_GB2312"/>
          <w:sz w:val="32"/>
          <w:szCs w:val="32"/>
          <w:shd w:val="clear" w:fill="FFFFFF"/>
          <w:lang w:val="en-US" w:eastAsia="zh-CN"/>
        </w:rPr>
        <w:t>（项）：</w:t>
      </w:r>
      <w:r>
        <w:rPr>
          <w:rFonts w:hint="eastAsia" w:ascii="仿宋_GB2312" w:hAnsi="仿宋_GB2312" w:eastAsia="仿宋_GB2312" w:cs="仿宋_GB2312"/>
          <w:sz w:val="32"/>
          <w:szCs w:val="32"/>
          <w:shd w:val="clear" w:fill="FFFFFF"/>
        </w:rPr>
        <w:t>支出</w:t>
      </w:r>
      <w:r>
        <w:rPr>
          <w:rFonts w:hint="eastAsia" w:ascii="仿宋_GB2312" w:hAnsi="仿宋_GB2312" w:eastAsia="仿宋_GB2312" w:cs="仿宋_GB2312"/>
          <w:sz w:val="32"/>
          <w:szCs w:val="32"/>
          <w:shd w:val="clear" w:fill="FFFFFF"/>
          <w:lang w:val="en-US" w:eastAsia="zh-CN"/>
        </w:rPr>
        <w:t>决算为2</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完成预算100%。</w:t>
      </w:r>
    </w:p>
    <w:p w14:paraId="49120E36">
      <w:pPr>
        <w:pStyle w:val="1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0" w:firstLineChars="200"/>
        <w:jc w:val="both"/>
        <w:textAlignment w:val="auto"/>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lang w:val="en-US" w:eastAsia="zh-CN"/>
        </w:rPr>
        <w:t>6.文化旅游体育与传媒支出</w:t>
      </w:r>
      <w:r>
        <w:rPr>
          <w:rFonts w:hint="eastAsia" w:ascii="仿宋_GB2312" w:hAnsi="仿宋_GB2312" w:eastAsia="仿宋_GB2312" w:cs="仿宋_GB2312"/>
          <w:sz w:val="32"/>
          <w:szCs w:val="32"/>
          <w:shd w:val="clear" w:fill="FFFFFF"/>
        </w:rPr>
        <w:t>（类）文化和旅游</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款</w:t>
      </w:r>
      <w:r>
        <w:rPr>
          <w:rFonts w:hint="eastAsia" w:ascii="仿宋_GB2312" w:hAnsi="仿宋_GB2312" w:eastAsia="仿宋_GB2312" w:cs="仿宋_GB2312"/>
          <w:sz w:val="32"/>
          <w:szCs w:val="32"/>
          <w:shd w:val="clear" w:fill="FFFFFF"/>
          <w:lang w:eastAsia="zh-CN"/>
        </w:rPr>
        <w:t>）：</w:t>
      </w:r>
    </w:p>
    <w:p w14:paraId="6DC81C84">
      <w:pPr>
        <w:pStyle w:val="1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0" w:firstLineChars="200"/>
        <w:jc w:val="both"/>
        <w:textAlignment w:val="auto"/>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lang w:val="en-US" w:eastAsia="zh-CN"/>
        </w:rPr>
        <w:t>（</w:t>
      </w:r>
      <w:r>
        <w:rPr>
          <w:rFonts w:hint="eastAsia" w:ascii="仿宋_GB2312" w:hAnsi="仿宋_GB2312" w:eastAsia="仿宋_GB2312" w:cs="仿宋_GB2312"/>
          <w:sz w:val="32"/>
          <w:szCs w:val="32"/>
          <w:shd w:val="clear" w:fill="FFFFFF"/>
          <w:lang w:val="en-US" w:eastAsia="zh-CN"/>
        </w:rPr>
        <w:t>1）文化展示及纪念机构（项）：</w:t>
      </w:r>
      <w:r>
        <w:rPr>
          <w:rFonts w:hint="eastAsia" w:ascii="仿宋_GB2312" w:hAnsi="仿宋_GB2312" w:eastAsia="仿宋_GB2312" w:cs="仿宋_GB2312"/>
          <w:sz w:val="32"/>
          <w:szCs w:val="32"/>
          <w:shd w:val="clear" w:fill="FFFFFF"/>
        </w:rPr>
        <w:t>支出</w:t>
      </w:r>
      <w:r>
        <w:rPr>
          <w:rFonts w:hint="eastAsia" w:ascii="仿宋_GB2312" w:hAnsi="仿宋_GB2312" w:eastAsia="仿宋_GB2312" w:cs="仿宋_GB2312"/>
          <w:sz w:val="32"/>
          <w:szCs w:val="32"/>
          <w:shd w:val="clear" w:fill="FFFFFF"/>
          <w:lang w:val="en-US" w:eastAsia="zh-CN"/>
        </w:rPr>
        <w:t>决算为0.88</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完成预算100%。</w:t>
      </w:r>
    </w:p>
    <w:p w14:paraId="2F21E0D6">
      <w:pPr>
        <w:pStyle w:val="1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0" w:firstLineChars="200"/>
        <w:jc w:val="both"/>
        <w:textAlignment w:val="auto"/>
        <w:rPr>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shd w:val="clear" w:fill="FFFFFF"/>
          <w:lang w:val="en-US" w:eastAsia="zh-CN"/>
        </w:rPr>
        <w:t>（2）其他文化和旅游支出</w:t>
      </w:r>
      <w:r>
        <w:rPr>
          <w:rFonts w:hint="eastAsia" w:ascii="仿宋_GB2312" w:hAnsi="仿宋_GB2312" w:eastAsia="仿宋_GB2312" w:cs="仿宋_GB2312"/>
          <w:sz w:val="32"/>
          <w:szCs w:val="32"/>
          <w:shd w:val="clear" w:fill="FFFFFF"/>
          <w:lang w:val="en-US" w:eastAsia="zh-CN"/>
        </w:rPr>
        <w:t>（项）：</w:t>
      </w:r>
      <w:r>
        <w:rPr>
          <w:rFonts w:hint="eastAsia" w:ascii="仿宋_GB2312" w:hAnsi="仿宋_GB2312" w:eastAsia="仿宋_GB2312" w:cs="仿宋_GB2312"/>
          <w:sz w:val="32"/>
          <w:szCs w:val="32"/>
          <w:shd w:val="clear" w:fill="FFFFFF"/>
        </w:rPr>
        <w:t>支出</w:t>
      </w:r>
      <w:r>
        <w:rPr>
          <w:rFonts w:hint="eastAsia" w:ascii="仿宋_GB2312" w:hAnsi="仿宋_GB2312" w:eastAsia="仿宋_GB2312" w:cs="仿宋_GB2312"/>
          <w:sz w:val="32"/>
          <w:szCs w:val="32"/>
          <w:shd w:val="clear" w:fill="FFFFFF"/>
          <w:lang w:val="en-US" w:eastAsia="zh-CN"/>
        </w:rPr>
        <w:t>决算为4.76</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完成预算100%。</w:t>
      </w:r>
    </w:p>
    <w:p w14:paraId="2A1ACD2D">
      <w:pPr>
        <w:pStyle w:val="1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0" w:firstLineChars="200"/>
        <w:jc w:val="both"/>
        <w:textAlignment w:val="auto"/>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lang w:val="en-US" w:eastAsia="zh-CN"/>
        </w:rPr>
        <w:t>7.文化旅游体育与传媒支出</w:t>
      </w:r>
      <w:r>
        <w:rPr>
          <w:rFonts w:hint="eastAsia" w:ascii="仿宋_GB2312" w:hAnsi="仿宋_GB2312" w:eastAsia="仿宋_GB2312" w:cs="仿宋_GB2312"/>
          <w:sz w:val="32"/>
          <w:szCs w:val="32"/>
          <w:shd w:val="clear" w:fill="FFFFFF"/>
        </w:rPr>
        <w:t>（类）</w:t>
      </w:r>
      <w:r>
        <w:rPr>
          <w:rFonts w:hint="default" w:ascii="仿宋_GB2312" w:hAnsi="仿宋_GB2312" w:eastAsia="仿宋_GB2312" w:cs="仿宋_GB2312"/>
          <w:sz w:val="32"/>
          <w:szCs w:val="32"/>
          <w:shd w:val="clear" w:fill="FFFFFF"/>
          <w:lang w:val="en-US" w:eastAsia="zh-CN"/>
        </w:rPr>
        <w:t>其他文化旅游体育与传媒支出</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款</w:t>
      </w:r>
      <w:r>
        <w:rPr>
          <w:rFonts w:hint="eastAsia" w:ascii="仿宋_GB2312" w:hAnsi="仿宋_GB2312" w:eastAsia="仿宋_GB2312" w:cs="仿宋_GB2312"/>
          <w:sz w:val="32"/>
          <w:szCs w:val="32"/>
          <w:shd w:val="clear" w:fill="FFFFFF"/>
          <w:lang w:eastAsia="zh-CN"/>
        </w:rPr>
        <w:t>）其他文化旅游体育与传媒支出</w:t>
      </w:r>
      <w:r>
        <w:rPr>
          <w:rFonts w:hint="eastAsia" w:ascii="仿宋_GB2312" w:hAnsi="仿宋_GB2312" w:eastAsia="仿宋_GB2312" w:cs="仿宋_GB2312"/>
          <w:sz w:val="32"/>
          <w:szCs w:val="32"/>
          <w:shd w:val="clear" w:fill="FFFFFF"/>
          <w:lang w:val="en-US" w:eastAsia="zh-CN"/>
        </w:rPr>
        <w:t>（项）</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rPr>
        <w:t>支出</w:t>
      </w:r>
      <w:r>
        <w:rPr>
          <w:rFonts w:hint="eastAsia" w:ascii="仿宋_GB2312" w:hAnsi="仿宋_GB2312" w:eastAsia="仿宋_GB2312" w:cs="仿宋_GB2312"/>
          <w:sz w:val="32"/>
          <w:szCs w:val="32"/>
          <w:shd w:val="clear" w:fill="FFFFFF"/>
          <w:lang w:val="en-US" w:eastAsia="zh-CN"/>
        </w:rPr>
        <w:t>决算为4.45</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完成预算100%。</w:t>
      </w:r>
    </w:p>
    <w:p w14:paraId="1DF3F8BD">
      <w:pPr>
        <w:pStyle w:val="1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0" w:firstLineChars="200"/>
        <w:jc w:val="both"/>
        <w:textAlignment w:val="auto"/>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lang w:val="en-US" w:eastAsia="zh-CN"/>
        </w:rPr>
        <w:t>8.社会保障和就业支出</w:t>
      </w:r>
      <w:r>
        <w:rPr>
          <w:rFonts w:hint="eastAsia" w:ascii="仿宋_GB2312" w:hAnsi="仿宋_GB2312" w:eastAsia="仿宋_GB2312" w:cs="仿宋_GB2312"/>
          <w:sz w:val="32"/>
          <w:szCs w:val="32"/>
          <w:shd w:val="clear" w:fill="FFFFFF"/>
        </w:rPr>
        <w:t>（类）民政管理事务</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款</w:t>
      </w:r>
      <w:r>
        <w:rPr>
          <w:rFonts w:hint="eastAsia" w:ascii="仿宋_GB2312" w:hAnsi="仿宋_GB2312" w:eastAsia="仿宋_GB2312" w:cs="仿宋_GB2312"/>
          <w:sz w:val="32"/>
          <w:szCs w:val="32"/>
          <w:shd w:val="clear" w:fill="FFFFFF"/>
          <w:lang w:eastAsia="zh-CN"/>
        </w:rPr>
        <w:t>）基层政权建设和社区治理</w:t>
      </w:r>
      <w:r>
        <w:rPr>
          <w:rFonts w:hint="eastAsia" w:ascii="仿宋_GB2312" w:hAnsi="仿宋_GB2312" w:eastAsia="仿宋_GB2312" w:cs="仿宋_GB2312"/>
          <w:sz w:val="32"/>
          <w:szCs w:val="32"/>
          <w:shd w:val="clear" w:fill="FFFFFF"/>
          <w:lang w:val="en-US" w:eastAsia="zh-CN"/>
        </w:rPr>
        <w:t>（项）：</w:t>
      </w:r>
      <w:r>
        <w:rPr>
          <w:rFonts w:hint="eastAsia" w:ascii="仿宋_GB2312" w:hAnsi="仿宋_GB2312" w:eastAsia="仿宋_GB2312" w:cs="仿宋_GB2312"/>
          <w:sz w:val="32"/>
          <w:szCs w:val="32"/>
          <w:shd w:val="clear" w:fill="FFFFFF"/>
        </w:rPr>
        <w:t>支出</w:t>
      </w:r>
      <w:r>
        <w:rPr>
          <w:rFonts w:hint="eastAsia" w:ascii="仿宋_GB2312" w:hAnsi="仿宋_GB2312" w:eastAsia="仿宋_GB2312" w:cs="仿宋_GB2312"/>
          <w:sz w:val="32"/>
          <w:szCs w:val="32"/>
          <w:shd w:val="clear" w:fill="FFFFFF"/>
          <w:lang w:val="en-US" w:eastAsia="zh-CN"/>
        </w:rPr>
        <w:t>决算为66.13</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完成预算100%。</w:t>
      </w:r>
    </w:p>
    <w:p w14:paraId="3782340A">
      <w:pPr>
        <w:pStyle w:val="1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0" w:firstLineChars="200"/>
        <w:jc w:val="both"/>
        <w:textAlignment w:val="auto"/>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lang w:val="en-US" w:eastAsia="zh-CN"/>
        </w:rPr>
        <w:t>9.节能环保支出</w:t>
      </w:r>
      <w:r>
        <w:rPr>
          <w:rFonts w:hint="eastAsia" w:ascii="仿宋_GB2312" w:hAnsi="仿宋_GB2312" w:eastAsia="仿宋_GB2312" w:cs="仿宋_GB2312"/>
          <w:sz w:val="32"/>
          <w:szCs w:val="32"/>
          <w:shd w:val="clear" w:fill="FFFFFF"/>
        </w:rPr>
        <w:t>（类）自然生态保护</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款</w:t>
      </w:r>
      <w:r>
        <w:rPr>
          <w:rFonts w:hint="eastAsia" w:ascii="仿宋_GB2312" w:hAnsi="仿宋_GB2312" w:eastAsia="仿宋_GB2312" w:cs="仿宋_GB2312"/>
          <w:sz w:val="32"/>
          <w:szCs w:val="32"/>
          <w:shd w:val="clear" w:fill="FFFFFF"/>
          <w:lang w:eastAsia="zh-CN"/>
        </w:rPr>
        <w:t>）农村环境保护</w:t>
      </w:r>
      <w:r>
        <w:rPr>
          <w:rFonts w:hint="eastAsia" w:ascii="仿宋_GB2312" w:hAnsi="仿宋_GB2312" w:eastAsia="仿宋_GB2312" w:cs="仿宋_GB2312"/>
          <w:sz w:val="32"/>
          <w:szCs w:val="32"/>
          <w:shd w:val="clear" w:fill="FFFFFF"/>
          <w:lang w:val="en-US" w:eastAsia="zh-CN"/>
        </w:rPr>
        <w:t>（项）：</w:t>
      </w:r>
      <w:r>
        <w:rPr>
          <w:rFonts w:hint="eastAsia" w:ascii="仿宋_GB2312" w:hAnsi="仿宋_GB2312" w:eastAsia="仿宋_GB2312" w:cs="仿宋_GB2312"/>
          <w:sz w:val="32"/>
          <w:szCs w:val="32"/>
          <w:shd w:val="clear" w:fill="FFFFFF"/>
        </w:rPr>
        <w:t>支出</w:t>
      </w:r>
      <w:r>
        <w:rPr>
          <w:rFonts w:hint="eastAsia" w:ascii="仿宋_GB2312" w:hAnsi="仿宋_GB2312" w:eastAsia="仿宋_GB2312" w:cs="仿宋_GB2312"/>
          <w:sz w:val="32"/>
          <w:szCs w:val="32"/>
          <w:shd w:val="clear" w:fill="FFFFFF"/>
          <w:lang w:val="en-US" w:eastAsia="zh-CN"/>
        </w:rPr>
        <w:t>决算为90.86</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完成预算100%。</w:t>
      </w:r>
    </w:p>
    <w:p w14:paraId="70089D52">
      <w:pPr>
        <w:pStyle w:val="1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0" w:firstLineChars="200"/>
        <w:jc w:val="both"/>
        <w:textAlignment w:val="auto"/>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lang w:val="en-US" w:eastAsia="zh-CN"/>
        </w:rPr>
        <w:t>10.城乡社区支出</w:t>
      </w:r>
      <w:r>
        <w:rPr>
          <w:rFonts w:hint="eastAsia" w:ascii="仿宋_GB2312" w:hAnsi="仿宋_GB2312" w:eastAsia="仿宋_GB2312" w:cs="仿宋_GB2312"/>
          <w:sz w:val="32"/>
          <w:szCs w:val="32"/>
          <w:shd w:val="clear" w:fill="FFFFFF"/>
        </w:rPr>
        <w:t>（类）城乡社区环境卫生</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款</w:t>
      </w:r>
      <w:r>
        <w:rPr>
          <w:rFonts w:hint="eastAsia" w:ascii="仿宋_GB2312" w:hAnsi="仿宋_GB2312" w:eastAsia="仿宋_GB2312" w:cs="仿宋_GB2312"/>
          <w:sz w:val="32"/>
          <w:szCs w:val="32"/>
          <w:shd w:val="clear" w:fill="FFFFFF"/>
          <w:lang w:eastAsia="zh-CN"/>
        </w:rPr>
        <w:t>）城乡社区环境卫生</w:t>
      </w:r>
      <w:r>
        <w:rPr>
          <w:rFonts w:hint="eastAsia" w:ascii="仿宋_GB2312" w:hAnsi="仿宋_GB2312" w:eastAsia="仿宋_GB2312" w:cs="仿宋_GB2312"/>
          <w:sz w:val="32"/>
          <w:szCs w:val="32"/>
          <w:shd w:val="clear" w:fill="FFFFFF"/>
          <w:lang w:val="en-US" w:eastAsia="zh-CN"/>
        </w:rPr>
        <w:t>（项）：</w:t>
      </w:r>
      <w:r>
        <w:rPr>
          <w:rFonts w:hint="eastAsia" w:ascii="仿宋_GB2312" w:hAnsi="仿宋_GB2312" w:eastAsia="仿宋_GB2312" w:cs="仿宋_GB2312"/>
          <w:sz w:val="32"/>
          <w:szCs w:val="32"/>
          <w:shd w:val="clear" w:fill="FFFFFF"/>
        </w:rPr>
        <w:t>支出</w:t>
      </w:r>
      <w:r>
        <w:rPr>
          <w:rFonts w:hint="eastAsia" w:ascii="仿宋_GB2312" w:hAnsi="仿宋_GB2312" w:eastAsia="仿宋_GB2312" w:cs="仿宋_GB2312"/>
          <w:sz w:val="32"/>
          <w:szCs w:val="32"/>
          <w:shd w:val="clear" w:fill="FFFFFF"/>
          <w:lang w:val="en-US" w:eastAsia="zh-CN"/>
        </w:rPr>
        <w:t>决算为10.96</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完成预算100%。</w:t>
      </w:r>
    </w:p>
    <w:p w14:paraId="76984E9E">
      <w:pPr>
        <w:pStyle w:val="1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0" w:firstLineChars="200"/>
        <w:jc w:val="both"/>
        <w:textAlignment w:val="auto"/>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lang w:val="en-US" w:eastAsia="zh-CN"/>
        </w:rPr>
        <w:t>11.农林水支出</w:t>
      </w:r>
      <w:r>
        <w:rPr>
          <w:rFonts w:hint="eastAsia" w:ascii="仿宋_GB2312" w:hAnsi="仿宋_GB2312" w:eastAsia="仿宋_GB2312" w:cs="仿宋_GB2312"/>
          <w:sz w:val="32"/>
          <w:szCs w:val="32"/>
          <w:shd w:val="clear" w:fill="FFFFFF"/>
        </w:rPr>
        <w:t>（类）林业和草原</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款</w:t>
      </w:r>
      <w:r>
        <w:rPr>
          <w:rFonts w:hint="eastAsia" w:ascii="仿宋_GB2312" w:hAnsi="仿宋_GB2312" w:eastAsia="仿宋_GB2312" w:cs="仿宋_GB2312"/>
          <w:sz w:val="32"/>
          <w:szCs w:val="32"/>
          <w:shd w:val="clear" w:fill="FFFFFF"/>
          <w:lang w:eastAsia="zh-CN"/>
        </w:rPr>
        <w:t>）其他林业和草原支出</w:t>
      </w:r>
      <w:r>
        <w:rPr>
          <w:rFonts w:hint="eastAsia" w:ascii="仿宋_GB2312" w:hAnsi="仿宋_GB2312" w:eastAsia="仿宋_GB2312" w:cs="仿宋_GB2312"/>
          <w:sz w:val="32"/>
          <w:szCs w:val="32"/>
          <w:shd w:val="clear" w:fill="FFFFFF"/>
          <w:lang w:val="en-US" w:eastAsia="zh-CN"/>
        </w:rPr>
        <w:t>（项）：</w:t>
      </w:r>
      <w:r>
        <w:rPr>
          <w:rFonts w:hint="eastAsia" w:ascii="仿宋_GB2312" w:hAnsi="仿宋_GB2312" w:eastAsia="仿宋_GB2312" w:cs="仿宋_GB2312"/>
          <w:sz w:val="32"/>
          <w:szCs w:val="32"/>
          <w:shd w:val="clear" w:fill="FFFFFF"/>
        </w:rPr>
        <w:t>支出</w:t>
      </w:r>
      <w:r>
        <w:rPr>
          <w:rFonts w:hint="eastAsia" w:ascii="仿宋_GB2312" w:hAnsi="仿宋_GB2312" w:eastAsia="仿宋_GB2312" w:cs="仿宋_GB2312"/>
          <w:sz w:val="32"/>
          <w:szCs w:val="32"/>
          <w:shd w:val="clear" w:fill="FFFFFF"/>
          <w:lang w:val="en-US" w:eastAsia="zh-CN"/>
        </w:rPr>
        <w:t>决算为69.89</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完成预算100%。</w:t>
      </w:r>
    </w:p>
    <w:p w14:paraId="792024EB">
      <w:pPr>
        <w:pStyle w:val="1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0" w:firstLineChars="200"/>
        <w:jc w:val="both"/>
        <w:textAlignment w:val="auto"/>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lang w:val="en-US" w:eastAsia="zh-CN"/>
        </w:rPr>
        <w:t>12.农林水支出</w:t>
      </w:r>
      <w:r>
        <w:rPr>
          <w:rFonts w:hint="eastAsia" w:ascii="仿宋_GB2312" w:hAnsi="仿宋_GB2312" w:eastAsia="仿宋_GB2312" w:cs="仿宋_GB2312"/>
          <w:sz w:val="32"/>
          <w:szCs w:val="32"/>
          <w:shd w:val="clear" w:fill="FFFFFF"/>
        </w:rPr>
        <w:t>（类）</w:t>
      </w:r>
      <w:r>
        <w:rPr>
          <w:rFonts w:hint="eastAsia" w:ascii="仿宋_GB2312" w:hAnsi="仿宋_GB2312" w:eastAsia="仿宋_GB2312" w:cs="仿宋_GB2312"/>
          <w:sz w:val="32"/>
          <w:szCs w:val="32"/>
          <w:shd w:val="clear" w:fill="FFFFFF"/>
          <w:lang w:val="en-US" w:eastAsia="zh-CN"/>
        </w:rPr>
        <w:t>水利</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款</w:t>
      </w:r>
      <w:r>
        <w:rPr>
          <w:rFonts w:hint="eastAsia" w:ascii="仿宋_GB2312" w:hAnsi="仿宋_GB2312" w:eastAsia="仿宋_GB2312" w:cs="仿宋_GB2312"/>
          <w:sz w:val="32"/>
          <w:szCs w:val="32"/>
          <w:shd w:val="clear" w:fill="FFFFFF"/>
          <w:lang w:eastAsia="zh-CN"/>
        </w:rPr>
        <w:t>）其他水利支出</w:t>
      </w:r>
      <w:r>
        <w:rPr>
          <w:rFonts w:hint="eastAsia" w:ascii="仿宋_GB2312" w:hAnsi="仿宋_GB2312" w:eastAsia="仿宋_GB2312" w:cs="仿宋_GB2312"/>
          <w:sz w:val="32"/>
          <w:szCs w:val="32"/>
          <w:shd w:val="clear" w:fill="FFFFFF"/>
          <w:lang w:val="en-US" w:eastAsia="zh-CN"/>
        </w:rPr>
        <w:t>（项）：</w:t>
      </w:r>
      <w:r>
        <w:rPr>
          <w:rFonts w:hint="eastAsia" w:ascii="仿宋_GB2312" w:hAnsi="仿宋_GB2312" w:eastAsia="仿宋_GB2312" w:cs="仿宋_GB2312"/>
          <w:sz w:val="32"/>
          <w:szCs w:val="32"/>
          <w:shd w:val="clear" w:fill="FFFFFF"/>
        </w:rPr>
        <w:t>支出</w:t>
      </w:r>
      <w:r>
        <w:rPr>
          <w:rFonts w:hint="eastAsia" w:ascii="仿宋_GB2312" w:hAnsi="仿宋_GB2312" w:eastAsia="仿宋_GB2312" w:cs="仿宋_GB2312"/>
          <w:sz w:val="32"/>
          <w:szCs w:val="32"/>
          <w:shd w:val="clear" w:fill="FFFFFF"/>
          <w:lang w:val="en-US" w:eastAsia="zh-CN"/>
        </w:rPr>
        <w:t>决算为20</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完成预算100%。</w:t>
      </w:r>
    </w:p>
    <w:p w14:paraId="792DDA50">
      <w:pPr>
        <w:pStyle w:val="1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0" w:firstLineChars="200"/>
        <w:jc w:val="both"/>
        <w:textAlignment w:val="auto"/>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lang w:val="en-US" w:eastAsia="zh-CN"/>
        </w:rPr>
        <w:t>13.农林水支出</w:t>
      </w:r>
      <w:r>
        <w:rPr>
          <w:rFonts w:hint="eastAsia" w:ascii="仿宋_GB2312" w:hAnsi="仿宋_GB2312" w:eastAsia="仿宋_GB2312" w:cs="仿宋_GB2312"/>
          <w:sz w:val="32"/>
          <w:szCs w:val="32"/>
          <w:shd w:val="clear" w:fill="FFFFFF"/>
        </w:rPr>
        <w:t>（类）</w:t>
      </w:r>
      <w:r>
        <w:rPr>
          <w:rFonts w:hint="eastAsia" w:ascii="仿宋_GB2312" w:hAnsi="仿宋_GB2312" w:eastAsia="仿宋_GB2312" w:cs="仿宋_GB2312"/>
          <w:sz w:val="32"/>
          <w:szCs w:val="32"/>
          <w:shd w:val="clear" w:fill="FFFFFF"/>
          <w:lang w:val="en-US" w:eastAsia="zh-CN"/>
        </w:rPr>
        <w:t>巩固脱贫攻坚成果衔接乡村振兴</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款</w:t>
      </w:r>
      <w:r>
        <w:rPr>
          <w:rFonts w:hint="eastAsia" w:ascii="仿宋_GB2312" w:hAnsi="仿宋_GB2312" w:eastAsia="仿宋_GB2312" w:cs="仿宋_GB2312"/>
          <w:sz w:val="32"/>
          <w:szCs w:val="32"/>
          <w:shd w:val="clear" w:fill="FFFFFF"/>
          <w:lang w:eastAsia="zh-CN"/>
        </w:rPr>
        <w:t>）农村基础设施建设</w:t>
      </w:r>
      <w:r>
        <w:rPr>
          <w:rFonts w:hint="eastAsia" w:ascii="仿宋_GB2312" w:hAnsi="仿宋_GB2312" w:eastAsia="仿宋_GB2312" w:cs="仿宋_GB2312"/>
          <w:sz w:val="32"/>
          <w:szCs w:val="32"/>
          <w:shd w:val="clear" w:fill="FFFFFF"/>
          <w:lang w:val="en-US" w:eastAsia="zh-CN"/>
        </w:rPr>
        <w:t>（项）：</w:t>
      </w:r>
      <w:r>
        <w:rPr>
          <w:rFonts w:hint="eastAsia" w:ascii="仿宋_GB2312" w:hAnsi="仿宋_GB2312" w:eastAsia="仿宋_GB2312" w:cs="仿宋_GB2312"/>
          <w:sz w:val="32"/>
          <w:szCs w:val="32"/>
          <w:shd w:val="clear" w:fill="FFFFFF"/>
        </w:rPr>
        <w:t>支出</w:t>
      </w:r>
      <w:r>
        <w:rPr>
          <w:rFonts w:hint="eastAsia" w:ascii="仿宋_GB2312" w:hAnsi="仿宋_GB2312" w:eastAsia="仿宋_GB2312" w:cs="仿宋_GB2312"/>
          <w:sz w:val="32"/>
          <w:szCs w:val="32"/>
          <w:shd w:val="clear" w:fill="FFFFFF"/>
          <w:lang w:val="en-US" w:eastAsia="zh-CN"/>
        </w:rPr>
        <w:t>决算为1976.19</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完成预算100%。</w:t>
      </w:r>
    </w:p>
    <w:p w14:paraId="5D32C565">
      <w:pPr>
        <w:pStyle w:val="1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0" w:firstLineChars="200"/>
        <w:jc w:val="both"/>
        <w:textAlignment w:val="auto"/>
        <w:rPr>
          <w:rFonts w:hint="default"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lang w:val="en-US" w:eastAsia="zh-CN"/>
        </w:rPr>
        <w:t>14.农林水支出</w:t>
      </w:r>
      <w:r>
        <w:rPr>
          <w:rFonts w:hint="eastAsia" w:ascii="仿宋_GB2312" w:hAnsi="仿宋_GB2312" w:eastAsia="仿宋_GB2312" w:cs="仿宋_GB2312"/>
          <w:sz w:val="32"/>
          <w:szCs w:val="32"/>
          <w:shd w:val="clear" w:fill="FFFFFF"/>
        </w:rPr>
        <w:t>（类）</w:t>
      </w:r>
      <w:r>
        <w:rPr>
          <w:rFonts w:hint="eastAsia" w:ascii="仿宋_GB2312" w:hAnsi="仿宋_GB2312" w:eastAsia="仿宋_GB2312" w:cs="仿宋_GB2312"/>
          <w:sz w:val="32"/>
          <w:szCs w:val="32"/>
          <w:shd w:val="clear" w:fill="FFFFFF"/>
          <w:lang w:val="en-US" w:eastAsia="zh-CN"/>
        </w:rPr>
        <w:t>农村综合改革</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款</w:t>
      </w:r>
      <w:r>
        <w:rPr>
          <w:rFonts w:hint="eastAsia" w:ascii="仿宋_GB2312" w:hAnsi="仿宋_GB2312" w:eastAsia="仿宋_GB2312" w:cs="仿宋_GB2312"/>
          <w:sz w:val="32"/>
          <w:szCs w:val="32"/>
          <w:shd w:val="clear" w:fill="FFFFFF"/>
          <w:lang w:eastAsia="zh-CN"/>
        </w:rPr>
        <w:t>）对村民委员会和村党支部的补助</w:t>
      </w:r>
      <w:r>
        <w:rPr>
          <w:rFonts w:hint="eastAsia" w:ascii="仿宋_GB2312" w:hAnsi="仿宋_GB2312" w:eastAsia="仿宋_GB2312" w:cs="仿宋_GB2312"/>
          <w:sz w:val="32"/>
          <w:szCs w:val="32"/>
          <w:shd w:val="clear" w:fill="FFFFFF"/>
          <w:lang w:val="en-US" w:eastAsia="zh-CN"/>
        </w:rPr>
        <w:t>（项）：</w:t>
      </w:r>
      <w:r>
        <w:rPr>
          <w:rFonts w:hint="eastAsia" w:ascii="仿宋_GB2312" w:hAnsi="仿宋_GB2312" w:eastAsia="仿宋_GB2312" w:cs="仿宋_GB2312"/>
          <w:sz w:val="32"/>
          <w:szCs w:val="32"/>
          <w:shd w:val="clear" w:fill="FFFFFF"/>
        </w:rPr>
        <w:t>支出</w:t>
      </w:r>
      <w:r>
        <w:rPr>
          <w:rFonts w:hint="eastAsia" w:ascii="仿宋_GB2312" w:hAnsi="仿宋_GB2312" w:eastAsia="仿宋_GB2312" w:cs="仿宋_GB2312"/>
          <w:sz w:val="32"/>
          <w:szCs w:val="32"/>
          <w:shd w:val="clear" w:fill="FFFFFF"/>
          <w:lang w:val="en-US" w:eastAsia="zh-CN"/>
        </w:rPr>
        <w:t>决算为34.79</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完成预算100%。</w:t>
      </w:r>
    </w:p>
    <w:p w14:paraId="15A9338B">
      <w:pPr>
        <w:pStyle w:val="1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0" w:firstLineChars="200"/>
        <w:jc w:val="both"/>
        <w:textAlignment w:val="auto"/>
      </w:pPr>
      <w:r>
        <w:rPr>
          <w:rFonts w:hint="eastAsia" w:ascii="仿宋_GB2312" w:hAnsi="仿宋_GB2312" w:eastAsia="仿宋_GB2312" w:cs="仿宋_GB2312"/>
          <w:sz w:val="32"/>
          <w:szCs w:val="32"/>
          <w:shd w:val="clear" w:fill="FFFFFF"/>
          <w:lang w:val="en-US" w:eastAsia="zh-CN"/>
        </w:rPr>
        <w:t>15.灾害防治及应急管理支出</w:t>
      </w:r>
      <w:r>
        <w:rPr>
          <w:rFonts w:hint="eastAsia" w:ascii="仿宋_GB2312" w:hAnsi="仿宋_GB2312" w:eastAsia="仿宋_GB2312" w:cs="仿宋_GB2312"/>
          <w:sz w:val="32"/>
          <w:szCs w:val="32"/>
          <w:shd w:val="clear" w:fill="FFFFFF"/>
        </w:rPr>
        <w:t>（类）</w:t>
      </w:r>
      <w:r>
        <w:rPr>
          <w:rFonts w:hint="eastAsia" w:ascii="仿宋_GB2312" w:hAnsi="仿宋_GB2312" w:eastAsia="仿宋_GB2312" w:cs="仿宋_GB2312"/>
          <w:sz w:val="32"/>
          <w:szCs w:val="32"/>
          <w:shd w:val="clear" w:fill="FFFFFF"/>
          <w:lang w:val="en-US" w:eastAsia="zh-CN"/>
        </w:rPr>
        <w:t>应急管理事务</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款</w:t>
      </w:r>
      <w:r>
        <w:rPr>
          <w:rFonts w:hint="eastAsia" w:ascii="仿宋_GB2312" w:hAnsi="仿宋_GB2312" w:eastAsia="仿宋_GB2312" w:cs="仿宋_GB2312"/>
          <w:sz w:val="32"/>
          <w:szCs w:val="32"/>
          <w:shd w:val="clear" w:fill="FFFFFF"/>
          <w:lang w:eastAsia="zh-CN"/>
        </w:rPr>
        <w:t>）安全监管</w:t>
      </w:r>
      <w:r>
        <w:rPr>
          <w:rFonts w:hint="eastAsia" w:ascii="仿宋_GB2312" w:hAnsi="仿宋_GB2312" w:eastAsia="仿宋_GB2312" w:cs="仿宋_GB2312"/>
          <w:sz w:val="32"/>
          <w:szCs w:val="32"/>
          <w:shd w:val="clear" w:fill="FFFFFF"/>
          <w:lang w:val="en-US" w:eastAsia="zh-CN"/>
        </w:rPr>
        <w:t>（项）：</w:t>
      </w:r>
      <w:r>
        <w:rPr>
          <w:rFonts w:hint="eastAsia" w:ascii="仿宋_GB2312" w:hAnsi="仿宋_GB2312" w:eastAsia="仿宋_GB2312" w:cs="仿宋_GB2312"/>
          <w:sz w:val="32"/>
          <w:szCs w:val="32"/>
          <w:shd w:val="clear" w:fill="FFFFFF"/>
        </w:rPr>
        <w:t>支出</w:t>
      </w:r>
      <w:r>
        <w:rPr>
          <w:rFonts w:hint="eastAsia" w:ascii="仿宋_GB2312" w:hAnsi="仿宋_GB2312" w:eastAsia="仿宋_GB2312" w:cs="仿宋_GB2312"/>
          <w:sz w:val="32"/>
          <w:szCs w:val="32"/>
          <w:shd w:val="clear" w:fill="FFFFFF"/>
          <w:lang w:val="en-US" w:eastAsia="zh-CN"/>
        </w:rPr>
        <w:t>决算为1</w:t>
      </w:r>
      <w:r>
        <w:rPr>
          <w:rFonts w:hint="eastAsia" w:ascii="仿宋_GB2312" w:hAnsi="仿宋_GB2312" w:eastAsia="仿宋_GB2312" w:cs="仿宋_GB2312"/>
          <w:sz w:val="32"/>
          <w:szCs w:val="32"/>
          <w:shd w:val="clear" w:fill="FFFFFF"/>
        </w:rPr>
        <w:t>万元</w:t>
      </w:r>
      <w:r>
        <w:rPr>
          <w:rFonts w:hint="eastAsia" w:ascii="仿宋_GB2312" w:hAnsi="仿宋_GB2312" w:eastAsia="仿宋_GB2312" w:cs="仿宋_GB2312"/>
          <w:sz w:val="32"/>
          <w:szCs w:val="32"/>
          <w:shd w:val="clear" w:fill="FFFFFF"/>
          <w:lang w:eastAsia="zh-CN"/>
        </w:rPr>
        <w:t>，</w:t>
      </w:r>
      <w:r>
        <w:rPr>
          <w:rFonts w:hint="eastAsia" w:ascii="仿宋_GB2312" w:hAnsi="仿宋_GB2312" w:eastAsia="仿宋_GB2312" w:cs="仿宋_GB2312"/>
          <w:sz w:val="32"/>
          <w:szCs w:val="32"/>
          <w:shd w:val="clear" w:fill="FFFFFF"/>
          <w:lang w:val="en-US" w:eastAsia="zh-CN"/>
        </w:rPr>
        <w:t>完成预算100%。</w:t>
      </w:r>
      <w:r>
        <w:rPr>
          <w:shd w:val="clear" w:fill="FFFFFF"/>
        </w:rPr>
        <w:t> </w:t>
      </w:r>
    </w:p>
    <w:p w14:paraId="0388E2EC">
      <w:pPr>
        <w:pStyle w:val="16"/>
        <w:keepNext w:val="0"/>
        <w:keepLines w:val="0"/>
        <w:widowControl/>
        <w:suppressLineNumbers w:val="0"/>
        <w:spacing w:before="0" w:beforeAutospacing="0"/>
        <w:ind w:left="0"/>
        <w:jc w:val="left"/>
        <w:rPr>
          <w:rStyle w:val="19"/>
          <w:rFonts w:hint="default" w:eastAsiaTheme="minorEastAsia"/>
          <w:shd w:val="clear" w:fill="FFFFFF"/>
          <w:lang w:val="en-US" w:eastAsia="zh-CN"/>
        </w:rPr>
      </w:pPr>
      <w:r>
        <w:rPr>
          <w:rFonts w:hint="eastAsia" w:ascii="仿宋_GB2312" w:hAnsi="仿宋_GB2312" w:eastAsia="仿宋_GB2312" w:cs="仿宋_GB2312"/>
          <w:b/>
          <w:bCs/>
          <w:sz w:val="32"/>
          <w:szCs w:val="32"/>
          <w:shd w:val="clear" w:fill="FFFFFF"/>
        </w:rPr>
        <w:t>一般公共预算财政拨款支出决算</w:t>
      </w:r>
      <w:r>
        <w:drawing>
          <wp:inline distT="0" distB="0" distL="114300" distR="114300">
            <wp:extent cx="4584065" cy="2755265"/>
            <wp:effectExtent l="0" t="0" r="635" b="635"/>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11"/>
                    <a:stretch>
                      <a:fillRect/>
                    </a:stretch>
                  </pic:blipFill>
                  <pic:spPr>
                    <a:xfrm>
                      <a:off x="0" y="0"/>
                      <a:ext cx="4584065" cy="2755265"/>
                    </a:xfrm>
                    <a:prstGeom prst="rect">
                      <a:avLst/>
                    </a:prstGeom>
                    <a:noFill/>
                    <a:ln>
                      <a:noFill/>
                    </a:ln>
                  </pic:spPr>
                </pic:pic>
              </a:graphicData>
            </a:graphic>
          </wp:inline>
        </w:drawing>
      </w:r>
    </w:p>
    <w:p w14:paraId="1D33017C">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both"/>
        <w:textAlignment w:val="auto"/>
        <w:rPr>
          <w:rStyle w:val="19"/>
          <w:rFonts w:hint="eastAsia" w:ascii="仿宋_GB2312" w:hAnsi="仿宋_GB2312" w:eastAsia="仿宋_GB2312" w:cs="仿宋_GB2312"/>
          <w:sz w:val="32"/>
          <w:szCs w:val="32"/>
          <w:shd w:val="clear" w:fill="FFFFFF"/>
        </w:rPr>
      </w:pPr>
      <w:r>
        <w:rPr>
          <w:rStyle w:val="19"/>
          <w:rFonts w:hint="eastAsia" w:ascii="仿宋_GB2312" w:hAnsi="仿宋_GB2312" w:eastAsia="仿宋_GB2312" w:cs="仿宋_GB2312"/>
          <w:sz w:val="32"/>
          <w:szCs w:val="32"/>
          <w:shd w:val="clear" w:fill="FFFFFF"/>
        </w:rPr>
        <w:t>（注：数据来源于财决01-1表，仅罗列本部门涉及的全部功能分类科目，至项级。上述“预算”口径为全年预算数。增减变动原因为决算数和全年预算数比较，与预算数持平可以不写原因。）</w:t>
      </w:r>
    </w:p>
    <w:p w14:paraId="56644E23">
      <w:pPr>
        <w:pStyle w:val="1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outlineLvl w:val="0"/>
        <w:rPr>
          <w:rFonts w:hint="eastAsia" w:ascii="黑体" w:hAnsi="黑体" w:eastAsia="黑体" w:cs="黑体"/>
          <w:b w:val="0"/>
          <w:bCs/>
          <w:sz w:val="32"/>
          <w:szCs w:val="32"/>
          <w:shd w:val="clear" w:fill="FFFFFF"/>
        </w:rPr>
      </w:pPr>
      <w:bookmarkStart w:id="17" w:name="_Toc12182"/>
      <w:r>
        <w:rPr>
          <w:rStyle w:val="19"/>
          <w:rFonts w:hint="eastAsia" w:ascii="黑体" w:hAnsi="黑体" w:eastAsia="黑体" w:cs="黑体"/>
          <w:b w:val="0"/>
          <w:bCs/>
          <w:sz w:val="32"/>
          <w:szCs w:val="32"/>
          <w:shd w:val="clear" w:fill="FFFFFF"/>
          <w:lang w:val="en-US" w:eastAsia="zh-CN"/>
        </w:rPr>
        <w:t>六、</w:t>
      </w:r>
      <w:r>
        <w:rPr>
          <w:rStyle w:val="19"/>
          <w:rFonts w:hint="eastAsia" w:ascii="黑体" w:hAnsi="黑体" w:eastAsia="黑体" w:cs="黑体"/>
          <w:b w:val="0"/>
          <w:bCs/>
          <w:sz w:val="32"/>
          <w:szCs w:val="32"/>
          <w:shd w:val="clear" w:fill="FFFFFF"/>
        </w:rPr>
        <w:t>一</w:t>
      </w:r>
      <w:r>
        <w:rPr>
          <w:rFonts w:hint="eastAsia" w:ascii="黑体" w:hAnsi="黑体" w:eastAsia="黑体" w:cs="黑体"/>
          <w:b w:val="0"/>
          <w:bCs/>
          <w:sz w:val="32"/>
          <w:szCs w:val="32"/>
          <w:shd w:val="clear" w:fill="FFFFFF"/>
        </w:rPr>
        <w:t>般公共预算财政拨款基本支出决算情况说明   </w:t>
      </w:r>
      <w:bookmarkEnd w:id="17"/>
    </w:p>
    <w:p w14:paraId="1A0A3704">
      <w:pPr>
        <w:pStyle w:val="1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4</w:t>
      </w:r>
      <w:r>
        <w:rPr>
          <w:rFonts w:hint="eastAsia" w:ascii="仿宋_GB2312" w:hAnsi="仿宋_GB2312" w:eastAsia="仿宋_GB2312" w:cs="仿宋_GB2312"/>
          <w:sz w:val="32"/>
          <w:szCs w:val="32"/>
          <w:shd w:val="clear" w:fill="FFFFFF"/>
        </w:rPr>
        <w:t>年一般公共预算财政拨款基本支出1,059.71万元，其中：</w:t>
      </w:r>
    </w:p>
    <w:p w14:paraId="48DE7091">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both"/>
        <w:textAlignment w:val="auto"/>
        <w:rPr>
          <w:rFonts w:hint="eastAsia"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rPr>
        <w:t>人员经费856.64万元，主要包括：基本工资</w:t>
      </w:r>
      <w:r>
        <w:rPr>
          <w:rFonts w:hint="eastAsia" w:ascii="仿宋_GB2312" w:hAnsi="仿宋_GB2312" w:eastAsia="仿宋_GB2312" w:cs="仿宋_GB2312"/>
          <w:sz w:val="32"/>
          <w:szCs w:val="32"/>
          <w:shd w:val="clear" w:fill="FFFFFF"/>
          <w:lang w:val="en-US" w:eastAsia="zh-CN"/>
        </w:rPr>
        <w:t>124.25万元</w:t>
      </w:r>
      <w:r>
        <w:rPr>
          <w:rFonts w:hint="eastAsia" w:ascii="仿宋_GB2312" w:hAnsi="仿宋_GB2312" w:eastAsia="仿宋_GB2312" w:cs="仿宋_GB2312"/>
          <w:sz w:val="32"/>
          <w:szCs w:val="32"/>
          <w:shd w:val="clear" w:fill="FFFFFF"/>
        </w:rPr>
        <w:t>、津贴补贴</w:t>
      </w:r>
      <w:r>
        <w:rPr>
          <w:rFonts w:hint="eastAsia" w:ascii="仿宋_GB2312" w:hAnsi="仿宋_GB2312" w:eastAsia="仿宋_GB2312" w:cs="仿宋_GB2312"/>
          <w:sz w:val="32"/>
          <w:szCs w:val="32"/>
          <w:shd w:val="clear" w:fill="FFFFFF"/>
          <w:lang w:val="en-US" w:eastAsia="zh-CN"/>
        </w:rPr>
        <w:t>263.85万元</w:t>
      </w:r>
      <w:r>
        <w:rPr>
          <w:rFonts w:hint="eastAsia" w:ascii="仿宋_GB2312" w:hAnsi="仿宋_GB2312" w:eastAsia="仿宋_GB2312" w:cs="仿宋_GB2312"/>
          <w:sz w:val="32"/>
          <w:szCs w:val="32"/>
          <w:shd w:val="clear" w:fill="FFFFFF"/>
        </w:rPr>
        <w:t>、奖金</w:t>
      </w:r>
      <w:r>
        <w:rPr>
          <w:rFonts w:hint="eastAsia" w:ascii="仿宋_GB2312" w:hAnsi="仿宋_GB2312" w:eastAsia="仿宋_GB2312" w:cs="仿宋_GB2312"/>
          <w:sz w:val="32"/>
          <w:szCs w:val="32"/>
          <w:shd w:val="clear" w:fill="FFFFFF"/>
          <w:lang w:val="en-US" w:eastAsia="zh-CN"/>
        </w:rPr>
        <w:t>203.90万元</w:t>
      </w:r>
      <w:r>
        <w:rPr>
          <w:rFonts w:hint="eastAsia" w:ascii="仿宋_GB2312" w:hAnsi="仿宋_GB2312" w:eastAsia="仿宋_GB2312" w:cs="仿宋_GB2312"/>
          <w:sz w:val="32"/>
          <w:szCs w:val="32"/>
          <w:shd w:val="clear" w:fill="FFFFFF"/>
        </w:rPr>
        <w:t>、绩效工资</w:t>
      </w:r>
      <w:r>
        <w:rPr>
          <w:rFonts w:hint="eastAsia" w:ascii="仿宋_GB2312" w:hAnsi="仿宋_GB2312" w:eastAsia="仿宋_GB2312" w:cs="仿宋_GB2312"/>
          <w:sz w:val="32"/>
          <w:szCs w:val="32"/>
          <w:shd w:val="clear" w:fill="FFFFFF"/>
          <w:lang w:val="en-US" w:eastAsia="zh-CN"/>
        </w:rPr>
        <w:t>31.35万元</w:t>
      </w:r>
      <w:r>
        <w:rPr>
          <w:rFonts w:hint="eastAsia" w:ascii="仿宋_GB2312" w:hAnsi="仿宋_GB2312" w:eastAsia="仿宋_GB2312" w:cs="仿宋_GB2312"/>
          <w:sz w:val="32"/>
          <w:szCs w:val="32"/>
          <w:shd w:val="clear" w:fill="FFFFFF"/>
        </w:rPr>
        <w:t>、机关事业单位基本养老保险缴费</w:t>
      </w:r>
      <w:r>
        <w:rPr>
          <w:rFonts w:hint="eastAsia" w:ascii="仿宋_GB2312" w:hAnsi="仿宋_GB2312" w:eastAsia="仿宋_GB2312" w:cs="仿宋_GB2312"/>
          <w:sz w:val="32"/>
          <w:szCs w:val="32"/>
          <w:shd w:val="clear" w:fill="FFFFFF"/>
          <w:lang w:val="en-US" w:eastAsia="zh-CN"/>
        </w:rPr>
        <w:t>74.65万元</w:t>
      </w:r>
      <w:r>
        <w:rPr>
          <w:rFonts w:hint="eastAsia" w:ascii="仿宋_GB2312" w:hAnsi="仿宋_GB2312" w:eastAsia="仿宋_GB2312" w:cs="仿宋_GB2312"/>
          <w:sz w:val="32"/>
          <w:szCs w:val="32"/>
          <w:shd w:val="clear" w:fill="FFFFFF"/>
        </w:rPr>
        <w:t>、职业年金缴费</w:t>
      </w:r>
      <w:r>
        <w:rPr>
          <w:rFonts w:hint="eastAsia" w:ascii="仿宋_GB2312" w:hAnsi="仿宋_GB2312" w:eastAsia="仿宋_GB2312" w:cs="仿宋_GB2312"/>
          <w:sz w:val="32"/>
          <w:szCs w:val="32"/>
          <w:shd w:val="clear" w:fill="FFFFFF"/>
          <w:lang w:val="en-US" w:eastAsia="zh-CN"/>
        </w:rPr>
        <w:t>37.32万元</w:t>
      </w:r>
      <w:r>
        <w:rPr>
          <w:rFonts w:hint="eastAsia" w:ascii="仿宋_GB2312" w:hAnsi="仿宋_GB2312" w:eastAsia="仿宋_GB2312" w:cs="仿宋_GB2312"/>
          <w:sz w:val="32"/>
          <w:szCs w:val="32"/>
          <w:shd w:val="clear" w:fill="FFFFFF"/>
        </w:rPr>
        <w:t>、</w:t>
      </w:r>
      <w:r>
        <w:rPr>
          <w:rFonts w:hint="eastAsia" w:ascii="仿宋_GB2312" w:hAnsi="仿宋_GB2312" w:eastAsia="仿宋_GB2312" w:cs="仿宋_GB2312"/>
          <w:sz w:val="32"/>
          <w:szCs w:val="32"/>
          <w:shd w:val="clear" w:fill="FFFFFF"/>
          <w:lang w:val="en-US" w:eastAsia="zh-CN"/>
        </w:rPr>
        <w:t>职工基本医疗保险缴费39.90万元，公务员医疗补助缴费8.72万元，</w:t>
      </w:r>
      <w:r>
        <w:rPr>
          <w:rFonts w:hint="eastAsia" w:ascii="仿宋_GB2312" w:hAnsi="仿宋_GB2312" w:eastAsia="仿宋_GB2312" w:cs="仿宋_GB2312"/>
          <w:sz w:val="32"/>
          <w:szCs w:val="32"/>
          <w:shd w:val="clear" w:fill="FFFFFF"/>
        </w:rPr>
        <w:t>其他社会保障缴费</w:t>
      </w:r>
      <w:r>
        <w:rPr>
          <w:rFonts w:hint="eastAsia" w:ascii="仿宋_GB2312" w:hAnsi="仿宋_GB2312" w:eastAsia="仿宋_GB2312" w:cs="仿宋_GB2312"/>
          <w:sz w:val="32"/>
          <w:szCs w:val="32"/>
          <w:shd w:val="clear" w:fill="FFFFFF"/>
          <w:lang w:val="en-US" w:eastAsia="zh-CN"/>
        </w:rPr>
        <w:t>1.61万元</w:t>
      </w:r>
      <w:r>
        <w:rPr>
          <w:rFonts w:hint="eastAsia" w:ascii="仿宋_GB2312" w:hAnsi="仿宋_GB2312" w:eastAsia="仿宋_GB2312" w:cs="仿宋_GB2312"/>
          <w:sz w:val="32"/>
          <w:szCs w:val="32"/>
          <w:shd w:val="clear" w:fill="FFFFFF"/>
        </w:rPr>
        <w:t>、住房公积金</w:t>
      </w:r>
      <w:r>
        <w:rPr>
          <w:rFonts w:hint="eastAsia" w:ascii="仿宋_GB2312" w:hAnsi="仿宋_GB2312" w:eastAsia="仿宋_GB2312" w:cs="仿宋_GB2312"/>
          <w:sz w:val="32"/>
          <w:szCs w:val="32"/>
          <w:shd w:val="clear" w:fill="FFFFFF"/>
          <w:lang w:val="en-US" w:eastAsia="zh-CN"/>
        </w:rPr>
        <w:t>67.10万元、医疗费4.01万元等。</w:t>
      </w:r>
    </w:p>
    <w:p w14:paraId="59357441">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both"/>
        <w:textAlignment w:val="auto"/>
        <w:rPr>
          <w:rFonts w:hint="default" w:ascii="仿宋_GB2312" w:hAnsi="仿宋_GB2312" w:eastAsia="仿宋_GB2312" w:cs="仿宋_GB2312"/>
          <w:sz w:val="32"/>
          <w:szCs w:val="32"/>
          <w:shd w:val="clear" w:fill="FFFFFF"/>
          <w:lang w:val="en-US" w:eastAsia="zh-CN"/>
        </w:rPr>
      </w:pPr>
      <w:r>
        <w:rPr>
          <w:rFonts w:hint="eastAsia" w:ascii="仿宋_GB2312" w:hAnsi="仿宋_GB2312" w:eastAsia="仿宋_GB2312" w:cs="仿宋_GB2312"/>
          <w:sz w:val="32"/>
          <w:szCs w:val="32"/>
          <w:shd w:val="clear" w:fill="FFFFFF"/>
        </w:rPr>
        <w:t>对个人和家庭的补助</w:t>
      </w:r>
      <w:r>
        <w:rPr>
          <w:rFonts w:hint="eastAsia" w:ascii="仿宋_GB2312" w:hAnsi="仿宋_GB2312" w:eastAsia="仿宋_GB2312" w:cs="仿宋_GB2312"/>
          <w:sz w:val="32"/>
          <w:szCs w:val="32"/>
          <w:shd w:val="clear" w:fill="FFFFFF"/>
          <w:lang w:eastAsia="zh-CN"/>
        </w:rPr>
        <w:t>：143.62</w:t>
      </w:r>
      <w:r>
        <w:rPr>
          <w:rFonts w:hint="eastAsia" w:ascii="仿宋_GB2312" w:hAnsi="仿宋_GB2312" w:eastAsia="仿宋_GB2312" w:cs="仿宋_GB2312"/>
          <w:sz w:val="32"/>
          <w:szCs w:val="32"/>
          <w:shd w:val="clear" w:fill="FFFFFF"/>
          <w:lang w:val="en-US" w:eastAsia="zh-CN"/>
        </w:rPr>
        <w:t>万元，主要包括：</w:t>
      </w:r>
      <w:r>
        <w:rPr>
          <w:rFonts w:hint="eastAsia" w:ascii="仿宋_GB2312" w:hAnsi="仿宋_GB2312" w:eastAsia="仿宋_GB2312" w:cs="仿宋_GB2312"/>
          <w:sz w:val="32"/>
          <w:szCs w:val="32"/>
          <w:shd w:val="clear" w:fill="FFFFFF"/>
        </w:rPr>
        <w:t>生活补助</w:t>
      </w:r>
      <w:r>
        <w:rPr>
          <w:rFonts w:hint="eastAsia" w:ascii="仿宋_GB2312" w:hAnsi="仿宋_GB2312" w:eastAsia="仿宋_GB2312" w:cs="仿宋_GB2312"/>
          <w:sz w:val="32"/>
          <w:szCs w:val="32"/>
          <w:shd w:val="clear" w:fill="FFFFFF"/>
          <w:lang w:val="en-US" w:eastAsia="zh-CN"/>
        </w:rPr>
        <w:t>143.30万元</w:t>
      </w:r>
      <w:r>
        <w:rPr>
          <w:rFonts w:hint="eastAsia" w:ascii="仿宋_GB2312" w:hAnsi="仿宋_GB2312" w:eastAsia="仿宋_GB2312" w:cs="仿宋_GB2312"/>
          <w:sz w:val="32"/>
          <w:szCs w:val="32"/>
          <w:shd w:val="clear" w:fill="FFFFFF"/>
        </w:rPr>
        <w:t>、医疗费补助</w:t>
      </w:r>
      <w:r>
        <w:rPr>
          <w:rFonts w:hint="eastAsia" w:ascii="仿宋_GB2312" w:hAnsi="仿宋_GB2312" w:eastAsia="仿宋_GB2312" w:cs="仿宋_GB2312"/>
          <w:sz w:val="32"/>
          <w:szCs w:val="32"/>
          <w:shd w:val="clear" w:fill="FFFFFF"/>
          <w:lang w:val="en-US" w:eastAsia="zh-CN"/>
        </w:rPr>
        <w:t>0.31万元</w:t>
      </w:r>
      <w:r>
        <w:rPr>
          <w:rFonts w:hint="eastAsia" w:ascii="仿宋_GB2312" w:hAnsi="仿宋_GB2312" w:eastAsia="仿宋_GB2312" w:cs="仿宋_GB2312"/>
          <w:sz w:val="32"/>
          <w:szCs w:val="32"/>
          <w:shd w:val="clear" w:fill="FFFFFF"/>
        </w:rPr>
        <w:t>、奖励金</w:t>
      </w:r>
      <w:r>
        <w:rPr>
          <w:rFonts w:hint="eastAsia" w:ascii="仿宋_GB2312" w:hAnsi="仿宋_GB2312" w:eastAsia="仿宋_GB2312" w:cs="仿宋_GB2312"/>
          <w:sz w:val="32"/>
          <w:szCs w:val="32"/>
          <w:shd w:val="clear" w:fill="FFFFFF"/>
          <w:lang w:val="en-US" w:eastAsia="zh-CN"/>
        </w:rPr>
        <w:t>0.01万元等。</w:t>
      </w:r>
    </w:p>
    <w:p w14:paraId="7A18E007">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both"/>
        <w:textAlignment w:val="auto"/>
        <w:rPr>
          <w:rStyle w:val="19"/>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　　公用经费59.45万元，主要包括：办公费</w:t>
      </w:r>
      <w:r>
        <w:rPr>
          <w:rFonts w:hint="eastAsia" w:ascii="仿宋_GB2312" w:hAnsi="仿宋_GB2312" w:eastAsia="仿宋_GB2312" w:cs="仿宋_GB2312"/>
          <w:sz w:val="32"/>
          <w:szCs w:val="32"/>
          <w:shd w:val="clear" w:fill="FFFFFF"/>
          <w:lang w:val="en-US" w:eastAsia="zh-CN"/>
        </w:rPr>
        <w:t>10.35</w:t>
      </w:r>
      <w:r>
        <w:rPr>
          <w:rFonts w:hint="eastAsia" w:ascii="仿宋_GB2312" w:hAnsi="仿宋_GB2312" w:eastAsia="仿宋_GB2312" w:cs="仿宋_GB2312"/>
          <w:sz w:val="32"/>
          <w:szCs w:val="32"/>
          <w:shd w:val="clear" w:fill="FFFFFF"/>
        </w:rPr>
        <w:t>、印刷费</w:t>
      </w:r>
      <w:r>
        <w:rPr>
          <w:rFonts w:hint="eastAsia" w:ascii="仿宋_GB2312" w:hAnsi="仿宋_GB2312" w:eastAsia="仿宋_GB2312" w:cs="仿宋_GB2312"/>
          <w:sz w:val="32"/>
          <w:szCs w:val="32"/>
          <w:shd w:val="clear" w:fill="FFFFFF"/>
          <w:lang w:val="en-US" w:eastAsia="zh-CN"/>
        </w:rPr>
        <w:t>7.26</w:t>
      </w:r>
      <w:r>
        <w:rPr>
          <w:rFonts w:hint="eastAsia" w:ascii="仿宋_GB2312" w:hAnsi="仿宋_GB2312" w:eastAsia="仿宋_GB2312" w:cs="仿宋_GB2312"/>
          <w:sz w:val="32"/>
          <w:szCs w:val="32"/>
          <w:shd w:val="clear" w:fill="FFFFFF"/>
        </w:rPr>
        <w:t>、咨询费</w:t>
      </w:r>
      <w:r>
        <w:rPr>
          <w:rFonts w:hint="eastAsia" w:ascii="仿宋_GB2312" w:hAnsi="仿宋_GB2312" w:eastAsia="仿宋_GB2312" w:cs="仿宋_GB2312"/>
          <w:sz w:val="32"/>
          <w:szCs w:val="32"/>
          <w:shd w:val="clear" w:fill="FFFFFF"/>
          <w:lang w:val="en-US" w:eastAsia="zh-CN"/>
        </w:rPr>
        <w:t>0.15</w:t>
      </w:r>
      <w:r>
        <w:rPr>
          <w:rFonts w:hint="eastAsia" w:ascii="仿宋_GB2312" w:hAnsi="仿宋_GB2312" w:eastAsia="仿宋_GB2312" w:cs="仿宋_GB2312"/>
          <w:sz w:val="32"/>
          <w:szCs w:val="32"/>
          <w:shd w:val="clear" w:fill="FFFFFF"/>
        </w:rPr>
        <w:t>、手续费</w:t>
      </w:r>
      <w:r>
        <w:rPr>
          <w:rFonts w:hint="eastAsia" w:ascii="仿宋_GB2312" w:hAnsi="仿宋_GB2312" w:eastAsia="仿宋_GB2312" w:cs="仿宋_GB2312"/>
          <w:sz w:val="32"/>
          <w:szCs w:val="32"/>
          <w:shd w:val="clear" w:fill="FFFFFF"/>
          <w:lang w:val="en-US" w:eastAsia="zh-CN"/>
        </w:rPr>
        <w:t>0.01</w:t>
      </w:r>
      <w:r>
        <w:rPr>
          <w:rFonts w:hint="eastAsia" w:ascii="仿宋_GB2312" w:hAnsi="仿宋_GB2312" w:eastAsia="仿宋_GB2312" w:cs="仿宋_GB2312"/>
          <w:sz w:val="32"/>
          <w:szCs w:val="32"/>
          <w:shd w:val="clear" w:fill="FFFFFF"/>
        </w:rPr>
        <w:t>、电费</w:t>
      </w:r>
      <w:r>
        <w:rPr>
          <w:rFonts w:hint="eastAsia" w:ascii="仿宋_GB2312" w:hAnsi="仿宋_GB2312" w:eastAsia="仿宋_GB2312" w:cs="仿宋_GB2312"/>
          <w:sz w:val="32"/>
          <w:szCs w:val="32"/>
          <w:shd w:val="clear" w:fill="FFFFFF"/>
          <w:lang w:val="en-US" w:eastAsia="zh-CN"/>
        </w:rPr>
        <w:t>6</w:t>
      </w:r>
      <w:r>
        <w:rPr>
          <w:rFonts w:hint="eastAsia" w:ascii="仿宋_GB2312" w:hAnsi="仿宋_GB2312" w:eastAsia="仿宋_GB2312" w:cs="仿宋_GB2312"/>
          <w:sz w:val="32"/>
          <w:szCs w:val="32"/>
          <w:shd w:val="clear" w:fill="FFFFFF"/>
        </w:rPr>
        <w:t>、邮电费</w:t>
      </w:r>
      <w:r>
        <w:rPr>
          <w:rFonts w:hint="eastAsia" w:ascii="仿宋_GB2312" w:hAnsi="仿宋_GB2312" w:eastAsia="仿宋_GB2312" w:cs="仿宋_GB2312"/>
          <w:sz w:val="32"/>
          <w:szCs w:val="32"/>
          <w:shd w:val="clear" w:fill="FFFFFF"/>
          <w:lang w:val="en-US" w:eastAsia="zh-CN"/>
        </w:rPr>
        <w:t>1.24</w:t>
      </w:r>
      <w:r>
        <w:rPr>
          <w:rFonts w:hint="eastAsia" w:ascii="仿宋_GB2312" w:hAnsi="仿宋_GB2312" w:eastAsia="仿宋_GB2312" w:cs="仿宋_GB2312"/>
          <w:sz w:val="32"/>
          <w:szCs w:val="32"/>
          <w:shd w:val="clear" w:fill="FFFFFF"/>
        </w:rPr>
        <w:t>、取暖费</w:t>
      </w:r>
      <w:r>
        <w:rPr>
          <w:rFonts w:hint="eastAsia" w:ascii="仿宋_GB2312" w:hAnsi="仿宋_GB2312" w:eastAsia="仿宋_GB2312" w:cs="仿宋_GB2312"/>
          <w:sz w:val="32"/>
          <w:szCs w:val="32"/>
          <w:shd w:val="clear" w:fill="FFFFFF"/>
          <w:lang w:val="en-US" w:eastAsia="zh-CN"/>
        </w:rPr>
        <w:t>0.21</w:t>
      </w:r>
      <w:r>
        <w:rPr>
          <w:rFonts w:hint="eastAsia" w:ascii="仿宋_GB2312" w:hAnsi="仿宋_GB2312" w:eastAsia="仿宋_GB2312" w:cs="仿宋_GB2312"/>
          <w:sz w:val="32"/>
          <w:szCs w:val="32"/>
          <w:shd w:val="clear" w:fill="FFFFFF"/>
        </w:rPr>
        <w:t>、差旅费</w:t>
      </w:r>
      <w:r>
        <w:rPr>
          <w:rFonts w:hint="eastAsia" w:ascii="仿宋_GB2312" w:hAnsi="仿宋_GB2312" w:eastAsia="仿宋_GB2312" w:cs="仿宋_GB2312"/>
          <w:sz w:val="32"/>
          <w:szCs w:val="32"/>
          <w:shd w:val="clear" w:fill="FFFFFF"/>
          <w:lang w:val="en-US" w:eastAsia="zh-CN"/>
        </w:rPr>
        <w:t>5.03</w:t>
      </w:r>
      <w:r>
        <w:rPr>
          <w:rFonts w:hint="eastAsia" w:ascii="仿宋_GB2312" w:hAnsi="仿宋_GB2312" w:eastAsia="仿宋_GB2312" w:cs="仿宋_GB2312"/>
          <w:sz w:val="32"/>
          <w:szCs w:val="32"/>
          <w:shd w:val="clear" w:fill="FFFFFF"/>
        </w:rPr>
        <w:t>、因公出国（境）费用、维修（护）费、租赁费、会议费、培训费、公务接待费、劳务费</w:t>
      </w:r>
      <w:r>
        <w:rPr>
          <w:rFonts w:hint="eastAsia" w:ascii="仿宋_GB2312" w:hAnsi="仿宋_GB2312" w:eastAsia="仿宋_GB2312" w:cs="仿宋_GB2312"/>
          <w:sz w:val="32"/>
          <w:szCs w:val="32"/>
          <w:shd w:val="clear" w:fill="FFFFFF"/>
          <w:lang w:val="en-US" w:eastAsia="zh-CN"/>
        </w:rPr>
        <w:t>0.38</w:t>
      </w:r>
      <w:r>
        <w:rPr>
          <w:rFonts w:hint="eastAsia" w:ascii="仿宋_GB2312" w:hAnsi="仿宋_GB2312" w:eastAsia="仿宋_GB2312" w:cs="仿宋_GB2312"/>
          <w:sz w:val="32"/>
          <w:szCs w:val="32"/>
          <w:shd w:val="clear" w:fill="FFFFFF"/>
        </w:rPr>
        <w:t>、委托业务费</w:t>
      </w:r>
      <w:r>
        <w:rPr>
          <w:rFonts w:hint="eastAsia" w:ascii="仿宋_GB2312" w:hAnsi="仿宋_GB2312" w:eastAsia="仿宋_GB2312" w:cs="仿宋_GB2312"/>
          <w:sz w:val="32"/>
          <w:szCs w:val="32"/>
          <w:shd w:val="clear" w:fill="FFFFFF"/>
          <w:lang w:val="en-US" w:eastAsia="zh-CN"/>
        </w:rPr>
        <w:t>2.4</w:t>
      </w:r>
      <w:r>
        <w:rPr>
          <w:rFonts w:hint="eastAsia" w:ascii="仿宋_GB2312" w:hAnsi="仿宋_GB2312" w:eastAsia="仿宋_GB2312" w:cs="仿宋_GB2312"/>
          <w:sz w:val="32"/>
          <w:szCs w:val="32"/>
          <w:shd w:val="clear" w:fill="FFFFFF"/>
        </w:rPr>
        <w:t>、工会经费</w:t>
      </w:r>
      <w:r>
        <w:rPr>
          <w:rFonts w:hint="eastAsia" w:ascii="仿宋_GB2312" w:hAnsi="仿宋_GB2312" w:eastAsia="仿宋_GB2312" w:cs="仿宋_GB2312"/>
          <w:sz w:val="32"/>
          <w:szCs w:val="32"/>
          <w:shd w:val="clear" w:fill="FFFFFF"/>
          <w:lang w:val="en-US" w:eastAsia="zh-CN"/>
        </w:rPr>
        <w:t>7.11</w:t>
      </w:r>
      <w:r>
        <w:rPr>
          <w:rFonts w:hint="eastAsia" w:ascii="仿宋_GB2312" w:hAnsi="仿宋_GB2312" w:eastAsia="仿宋_GB2312" w:cs="仿宋_GB2312"/>
          <w:sz w:val="32"/>
          <w:szCs w:val="32"/>
          <w:shd w:val="clear" w:fill="FFFFFF"/>
        </w:rPr>
        <w:t>、福利费、公务用车运行维护费</w:t>
      </w:r>
      <w:r>
        <w:rPr>
          <w:rFonts w:hint="eastAsia" w:ascii="仿宋_GB2312" w:hAnsi="仿宋_GB2312" w:eastAsia="仿宋_GB2312" w:cs="仿宋_GB2312"/>
          <w:sz w:val="32"/>
          <w:szCs w:val="32"/>
          <w:shd w:val="clear" w:fill="FFFFFF"/>
          <w:lang w:val="en-US" w:eastAsia="zh-CN"/>
        </w:rPr>
        <w:t>17.96</w:t>
      </w:r>
      <w:r>
        <w:rPr>
          <w:rFonts w:hint="eastAsia" w:ascii="仿宋_GB2312" w:hAnsi="仿宋_GB2312" w:eastAsia="仿宋_GB2312" w:cs="仿宋_GB2312"/>
          <w:sz w:val="32"/>
          <w:szCs w:val="32"/>
          <w:shd w:val="clear" w:fill="FFFFFF"/>
        </w:rPr>
        <w:t>、其他交通费</w:t>
      </w:r>
      <w:r>
        <w:rPr>
          <w:rFonts w:hint="eastAsia" w:ascii="仿宋_GB2312" w:hAnsi="仿宋_GB2312" w:eastAsia="仿宋_GB2312" w:cs="仿宋_GB2312"/>
          <w:sz w:val="32"/>
          <w:szCs w:val="32"/>
          <w:shd w:val="clear" w:fill="FFFFFF"/>
          <w:lang w:val="en-US" w:eastAsia="zh-CN"/>
        </w:rPr>
        <w:t>0.4</w:t>
      </w:r>
      <w:r>
        <w:rPr>
          <w:rFonts w:hint="eastAsia" w:ascii="仿宋_GB2312" w:hAnsi="仿宋_GB2312" w:eastAsia="仿宋_GB2312" w:cs="仿宋_GB2312"/>
          <w:sz w:val="32"/>
          <w:szCs w:val="32"/>
          <w:shd w:val="clear" w:fill="FFFFFF"/>
        </w:rPr>
        <w:t>、税金及附加费用、其他商品和服务支出</w:t>
      </w:r>
      <w:r>
        <w:rPr>
          <w:rFonts w:hint="eastAsia" w:ascii="仿宋_GB2312" w:hAnsi="仿宋_GB2312" w:eastAsia="仿宋_GB2312" w:cs="仿宋_GB2312"/>
          <w:sz w:val="32"/>
          <w:szCs w:val="32"/>
          <w:shd w:val="clear" w:fill="FFFFFF"/>
          <w:lang w:val="en-US" w:eastAsia="zh-CN"/>
        </w:rPr>
        <w:t>0.95</w:t>
      </w:r>
      <w:r>
        <w:rPr>
          <w:rFonts w:hint="eastAsia" w:ascii="仿宋_GB2312" w:hAnsi="仿宋_GB2312" w:eastAsia="仿宋_GB2312" w:cs="仿宋_GB2312"/>
          <w:sz w:val="32"/>
          <w:szCs w:val="32"/>
          <w:shd w:val="clear" w:fill="FFFFFF"/>
        </w:rPr>
        <w:t>等。</w:t>
      </w:r>
    </w:p>
    <w:p w14:paraId="6D710986">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both"/>
        <w:textAlignment w:val="auto"/>
        <w:outlineLvl w:val="0"/>
        <w:rPr>
          <w:rFonts w:hint="eastAsia" w:ascii="黑体" w:hAnsi="黑体" w:eastAsia="黑体" w:cs="黑体"/>
          <w:sz w:val="32"/>
          <w:szCs w:val="32"/>
        </w:rPr>
      </w:pPr>
      <w:bookmarkStart w:id="18" w:name="_Toc129"/>
      <w:r>
        <w:rPr>
          <w:rFonts w:hint="eastAsia" w:ascii="黑体" w:hAnsi="黑体" w:eastAsia="黑体" w:cs="黑体"/>
          <w:sz w:val="32"/>
          <w:szCs w:val="32"/>
          <w:shd w:val="clear" w:fill="FFFFFF"/>
          <w:lang w:val="en-US" w:eastAsia="zh-CN"/>
        </w:rPr>
        <w:t>七</w:t>
      </w:r>
      <w:r>
        <w:rPr>
          <w:rFonts w:hint="eastAsia" w:ascii="黑体" w:hAnsi="黑体" w:eastAsia="黑体" w:cs="黑体"/>
          <w:sz w:val="32"/>
          <w:szCs w:val="32"/>
          <w:shd w:val="clear" w:fill="FFFFFF"/>
        </w:rPr>
        <w:t>、“三公”经费财政拨款支出决算情况说明</w:t>
      </w:r>
      <w:bookmarkEnd w:id="18"/>
    </w:p>
    <w:p w14:paraId="51A760B6">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leftChars="0" w:right="0" w:rightChars="0" w:firstLine="643" w:firstLineChars="200"/>
        <w:jc w:val="both"/>
        <w:textAlignment w:val="auto"/>
        <w:outlineLvl w:val="1"/>
        <w:rPr>
          <w:rFonts w:hint="eastAsia" w:ascii="仿宋_GB2312" w:hAnsi="仿宋_GB2312" w:eastAsia="仿宋_GB2312" w:cs="仿宋_GB2312"/>
          <w:sz w:val="32"/>
          <w:szCs w:val="32"/>
        </w:rPr>
      </w:pPr>
      <w:bookmarkStart w:id="19" w:name="_Toc11864"/>
      <w:r>
        <w:rPr>
          <w:rStyle w:val="19"/>
          <w:rFonts w:hint="eastAsia" w:ascii="仿宋_GB2312" w:hAnsi="仿宋_GB2312" w:eastAsia="仿宋_GB2312" w:cs="仿宋_GB2312"/>
          <w:sz w:val="32"/>
          <w:szCs w:val="32"/>
          <w:shd w:val="clear" w:fill="FFFFFF"/>
        </w:rPr>
        <w:t>（一）“三公”经费财政拨款支出决算总体情况说明</w:t>
      </w:r>
      <w:bookmarkEnd w:id="19"/>
    </w:p>
    <w:p w14:paraId="5DFB5D00">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4</w:t>
      </w:r>
      <w:r>
        <w:rPr>
          <w:rFonts w:hint="eastAsia" w:ascii="仿宋_GB2312" w:hAnsi="仿宋_GB2312" w:eastAsia="仿宋_GB2312" w:cs="仿宋_GB2312"/>
          <w:sz w:val="32"/>
          <w:szCs w:val="32"/>
          <w:shd w:val="clear" w:fill="FFFFFF"/>
        </w:rPr>
        <w:t>年“三公”经费财政拨款支出决算为17.96万元，完成预算100.00%，决算数与预算数持平</w:t>
      </w:r>
      <w:r>
        <w:rPr>
          <w:rFonts w:hint="eastAsia" w:ascii="仿宋_GB2312" w:hAnsi="仿宋_GB2312" w:eastAsia="仿宋_GB2312" w:cs="仿宋_GB2312"/>
          <w:sz w:val="32"/>
          <w:szCs w:val="32"/>
          <w:shd w:val="clear" w:fill="FFFFFF"/>
          <w:lang w:eastAsia="zh-CN"/>
        </w:rPr>
        <w:t>。</w:t>
      </w:r>
    </w:p>
    <w:p w14:paraId="18E5DF66">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both"/>
        <w:textAlignment w:val="auto"/>
        <w:rPr>
          <w:rFonts w:hint="eastAsia" w:ascii="仿宋_GB2312" w:hAnsi="仿宋_GB2312" w:eastAsia="仿宋_GB2312" w:cs="仿宋_GB2312"/>
          <w:sz w:val="32"/>
          <w:szCs w:val="32"/>
        </w:rPr>
      </w:pPr>
      <w:r>
        <w:rPr>
          <w:rStyle w:val="19"/>
          <w:rFonts w:hint="eastAsia" w:ascii="仿宋_GB2312" w:hAnsi="仿宋_GB2312" w:eastAsia="仿宋_GB2312" w:cs="仿宋_GB2312"/>
          <w:sz w:val="32"/>
          <w:szCs w:val="32"/>
          <w:shd w:val="clear" w:fill="FFFFFF"/>
        </w:rPr>
        <w:t>（注：上述“预算”口径为全年预算数，包括一般公共预算和政府性基金预算财政拨款支出决算情况。）</w:t>
      </w:r>
    </w:p>
    <w:p w14:paraId="4B1A2F33">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leftChars="0" w:right="0" w:rightChars="0" w:firstLine="643" w:firstLineChars="200"/>
        <w:jc w:val="both"/>
        <w:textAlignment w:val="auto"/>
        <w:outlineLvl w:val="1"/>
        <w:rPr>
          <w:rFonts w:hint="eastAsia" w:ascii="仿宋_GB2312" w:hAnsi="仿宋_GB2312" w:eastAsia="仿宋_GB2312" w:cs="仿宋_GB2312"/>
          <w:sz w:val="32"/>
          <w:szCs w:val="32"/>
        </w:rPr>
      </w:pPr>
      <w:bookmarkStart w:id="20" w:name="_Toc12987"/>
      <w:r>
        <w:rPr>
          <w:rStyle w:val="19"/>
          <w:rFonts w:hint="eastAsia" w:ascii="仿宋_GB2312" w:hAnsi="仿宋_GB2312" w:eastAsia="仿宋_GB2312" w:cs="仿宋_GB2312"/>
          <w:sz w:val="32"/>
          <w:szCs w:val="32"/>
          <w:shd w:val="clear" w:fill="FFFFFF"/>
        </w:rPr>
        <w:t>（二）“三公”经费财政拨款支出决算具体情况说明</w:t>
      </w:r>
      <w:bookmarkEnd w:id="20"/>
    </w:p>
    <w:p w14:paraId="3F0E7D67">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4</w:t>
      </w:r>
      <w:r>
        <w:rPr>
          <w:rFonts w:hint="eastAsia" w:ascii="仿宋_GB2312" w:hAnsi="仿宋_GB2312" w:eastAsia="仿宋_GB2312" w:cs="仿宋_GB2312"/>
          <w:sz w:val="32"/>
          <w:szCs w:val="32"/>
          <w:shd w:val="clear" w:fill="FFFFFF"/>
        </w:rPr>
        <w:t>年“三公”经费财政拨款支出决算中，因公出国（境）费支出决算0.00万元，占0.00%；公务用车购置及运行维护费支出决算</w:t>
      </w:r>
      <w:r>
        <w:rPr>
          <w:rFonts w:hint="eastAsia" w:ascii="仿宋_GB2312" w:hAnsi="仿宋_GB2312" w:eastAsia="仿宋_GB2312" w:cs="仿宋_GB2312"/>
          <w:sz w:val="32"/>
          <w:szCs w:val="32"/>
          <w:shd w:val="clear" w:fill="FFFFFF"/>
          <w:lang w:val="en-US" w:eastAsia="zh-CN"/>
        </w:rPr>
        <w:t>17.96</w:t>
      </w:r>
      <w:r>
        <w:rPr>
          <w:rFonts w:hint="eastAsia" w:ascii="仿宋_GB2312" w:hAnsi="仿宋_GB2312" w:eastAsia="仿宋_GB2312" w:cs="仿宋_GB2312"/>
          <w:sz w:val="32"/>
          <w:szCs w:val="32"/>
          <w:shd w:val="clear" w:fill="FFFFFF"/>
        </w:rPr>
        <w:t>万元，占100.00%；公务接待费支出决算0.00万元，占0.00%。具体情况如下：</w:t>
      </w:r>
    </w:p>
    <w:p w14:paraId="3065EA7B">
      <w:pPr>
        <w:pStyle w:val="1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3" w:firstLineChars="200"/>
        <w:jc w:val="both"/>
        <w:textAlignment w:val="auto"/>
        <w:rPr>
          <w:rFonts w:hint="eastAsia" w:ascii="仿宋_GB2312" w:hAnsi="仿宋_GB2312" w:eastAsia="仿宋_GB2312" w:cs="仿宋_GB2312"/>
          <w:sz w:val="32"/>
          <w:szCs w:val="32"/>
          <w:shd w:val="clear" w:fill="FFFFFF"/>
        </w:rPr>
      </w:pPr>
      <w:r>
        <w:rPr>
          <w:rStyle w:val="19"/>
          <w:rFonts w:hint="eastAsia" w:ascii="仿宋_GB2312" w:hAnsi="仿宋_GB2312" w:eastAsia="仿宋_GB2312" w:cs="仿宋_GB2312"/>
          <w:sz w:val="32"/>
          <w:szCs w:val="32"/>
          <w:shd w:val="clear" w:fill="FFFFFF"/>
          <w:lang w:val="en-US" w:eastAsia="zh-CN"/>
        </w:rPr>
        <w:t>1.</w:t>
      </w:r>
      <w:r>
        <w:rPr>
          <w:rStyle w:val="19"/>
          <w:rFonts w:hint="eastAsia" w:ascii="仿宋_GB2312" w:hAnsi="仿宋_GB2312" w:eastAsia="仿宋_GB2312" w:cs="仿宋_GB2312"/>
          <w:sz w:val="32"/>
          <w:szCs w:val="32"/>
          <w:shd w:val="clear" w:fill="FFFFFF"/>
        </w:rPr>
        <w:t>因公出国（境）经费支出</w:t>
      </w:r>
      <w:r>
        <w:rPr>
          <w:rFonts w:hint="eastAsia" w:ascii="仿宋_GB2312" w:hAnsi="仿宋_GB2312" w:eastAsia="仿宋_GB2312" w:cs="仿宋_GB2312"/>
          <w:sz w:val="32"/>
          <w:szCs w:val="32"/>
          <w:shd w:val="clear" w:fill="FFFFFF"/>
        </w:rPr>
        <w:t>0.00万元，</w:t>
      </w:r>
      <w:r>
        <w:rPr>
          <w:rStyle w:val="19"/>
          <w:rFonts w:hint="eastAsia" w:ascii="仿宋_GB2312" w:hAnsi="仿宋_GB2312" w:eastAsia="仿宋_GB2312" w:cs="仿宋_GB2312"/>
          <w:sz w:val="32"/>
          <w:szCs w:val="32"/>
          <w:shd w:val="clear" w:fill="FFFFFF"/>
        </w:rPr>
        <w:t>完成预算0.00%。</w:t>
      </w:r>
      <w:r>
        <w:rPr>
          <w:rFonts w:hint="eastAsia" w:ascii="仿宋_GB2312" w:hAnsi="仿宋_GB2312" w:eastAsia="仿宋_GB2312" w:cs="仿宋_GB2312"/>
          <w:sz w:val="32"/>
          <w:szCs w:val="32"/>
          <w:shd w:val="clear" w:fill="FFFFFF"/>
        </w:rPr>
        <w:t>全年安排因公出国（境）团组0次，出国（境）0人。因公出国（境）支出决算比202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年增加0.00万元，增长0.00%。</w:t>
      </w:r>
    </w:p>
    <w:p w14:paraId="04F710C2">
      <w:pPr>
        <w:pStyle w:val="1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leftChars="0" w:right="0" w:rightChars="0" w:firstLine="643" w:firstLineChars="200"/>
        <w:jc w:val="both"/>
        <w:textAlignment w:val="auto"/>
        <w:rPr>
          <w:rFonts w:hint="eastAsia" w:ascii="仿宋_GB2312" w:hAnsi="仿宋_GB2312" w:eastAsia="仿宋_GB2312" w:cs="仿宋_GB2312"/>
          <w:sz w:val="32"/>
          <w:szCs w:val="32"/>
          <w:shd w:val="clear" w:fill="FFFFFF"/>
        </w:rPr>
      </w:pPr>
      <w:r>
        <w:rPr>
          <w:rStyle w:val="19"/>
          <w:rFonts w:hint="eastAsia" w:ascii="仿宋_GB2312" w:hAnsi="仿宋_GB2312" w:eastAsia="仿宋_GB2312" w:cs="仿宋_GB2312"/>
          <w:sz w:val="32"/>
          <w:szCs w:val="32"/>
          <w:shd w:val="clear" w:fill="FFFFFF"/>
          <w:lang w:val="en-US" w:eastAsia="zh-CN"/>
        </w:rPr>
        <w:t>2.</w:t>
      </w:r>
      <w:r>
        <w:rPr>
          <w:rStyle w:val="19"/>
          <w:rFonts w:hint="eastAsia" w:ascii="仿宋_GB2312" w:hAnsi="仿宋_GB2312" w:eastAsia="仿宋_GB2312" w:cs="仿宋_GB2312"/>
          <w:sz w:val="32"/>
          <w:szCs w:val="32"/>
          <w:shd w:val="clear" w:fill="FFFFFF"/>
        </w:rPr>
        <w:t>公务用车购置及运行维护费支出</w:t>
      </w:r>
      <w:r>
        <w:rPr>
          <w:rFonts w:hint="eastAsia" w:ascii="仿宋_GB2312" w:hAnsi="仿宋_GB2312" w:eastAsia="仿宋_GB2312" w:cs="仿宋_GB2312"/>
          <w:sz w:val="32"/>
          <w:szCs w:val="32"/>
          <w:shd w:val="clear" w:fill="FFFFFF"/>
          <w:lang w:val="en-US" w:eastAsia="zh-CN"/>
        </w:rPr>
        <w:t>17.96</w:t>
      </w:r>
      <w:r>
        <w:rPr>
          <w:rFonts w:hint="eastAsia" w:ascii="仿宋_GB2312" w:hAnsi="仿宋_GB2312" w:eastAsia="仿宋_GB2312" w:cs="仿宋_GB2312"/>
          <w:sz w:val="32"/>
          <w:szCs w:val="32"/>
          <w:shd w:val="clear" w:fill="FFFFFF"/>
        </w:rPr>
        <w:t>万元,</w:t>
      </w:r>
      <w:r>
        <w:rPr>
          <w:rStyle w:val="19"/>
          <w:rFonts w:hint="eastAsia" w:ascii="仿宋_GB2312" w:hAnsi="仿宋_GB2312" w:eastAsia="仿宋_GB2312" w:cs="仿宋_GB2312"/>
          <w:sz w:val="32"/>
          <w:szCs w:val="32"/>
          <w:shd w:val="clear" w:fill="FFFFFF"/>
        </w:rPr>
        <w:t>完成预算100.00%。</w:t>
      </w:r>
      <w:r>
        <w:rPr>
          <w:rFonts w:hint="eastAsia" w:ascii="仿宋_GB2312" w:hAnsi="仿宋_GB2312" w:eastAsia="仿宋_GB2312" w:cs="仿宋_GB2312"/>
          <w:sz w:val="32"/>
          <w:szCs w:val="32"/>
          <w:shd w:val="clear" w:fill="FFFFFF"/>
        </w:rPr>
        <w:t>公务用车购置及运行维护费支出决算比202</w:t>
      </w:r>
      <w:r>
        <w:rPr>
          <w:rFonts w:hint="eastAsia" w:ascii="仿宋_GB2312" w:hAnsi="仿宋_GB2312" w:eastAsia="仿宋_GB2312" w:cs="仿宋_GB2312"/>
          <w:sz w:val="32"/>
          <w:szCs w:val="32"/>
          <w:shd w:val="clear" w:fill="FFFFFF"/>
          <w:lang w:val="en-US" w:eastAsia="zh-CN"/>
        </w:rPr>
        <w:t>3</w:t>
      </w:r>
      <w:r>
        <w:rPr>
          <w:rFonts w:hint="eastAsia" w:ascii="仿宋_GB2312" w:hAnsi="仿宋_GB2312" w:eastAsia="仿宋_GB2312" w:cs="仿宋_GB2312"/>
          <w:sz w:val="32"/>
          <w:szCs w:val="32"/>
          <w:shd w:val="clear" w:fill="FFFFFF"/>
        </w:rPr>
        <w:t>年增加</w:t>
      </w:r>
      <w:r>
        <w:rPr>
          <w:rFonts w:hint="eastAsia" w:ascii="仿宋_GB2312" w:hAnsi="仿宋_GB2312" w:eastAsia="仿宋_GB2312" w:cs="仿宋_GB2312"/>
          <w:sz w:val="32"/>
          <w:szCs w:val="32"/>
          <w:shd w:val="clear" w:fill="FFFFFF"/>
          <w:lang w:val="en-US" w:eastAsia="zh-CN"/>
        </w:rPr>
        <w:t>8.76</w:t>
      </w:r>
      <w:r>
        <w:rPr>
          <w:rFonts w:hint="eastAsia" w:ascii="仿宋_GB2312" w:hAnsi="仿宋_GB2312" w:eastAsia="仿宋_GB2312" w:cs="仿宋_GB2312"/>
          <w:sz w:val="32"/>
          <w:szCs w:val="32"/>
          <w:shd w:val="clear" w:fill="FFFFFF"/>
        </w:rPr>
        <w:t>万元，增长</w:t>
      </w:r>
      <w:r>
        <w:rPr>
          <w:rFonts w:hint="eastAsia" w:ascii="仿宋_GB2312" w:hAnsi="仿宋_GB2312" w:eastAsia="仿宋_GB2312" w:cs="仿宋_GB2312"/>
          <w:sz w:val="32"/>
          <w:szCs w:val="32"/>
          <w:shd w:val="clear" w:fill="FFFFFF"/>
          <w:lang w:val="en-US" w:eastAsia="zh-CN"/>
        </w:rPr>
        <w:t>95.22</w:t>
      </w:r>
      <w:r>
        <w:rPr>
          <w:rFonts w:hint="eastAsia" w:ascii="仿宋_GB2312" w:hAnsi="仿宋_GB2312" w:eastAsia="仿宋_GB2312" w:cs="仿宋_GB2312"/>
          <w:sz w:val="32"/>
          <w:szCs w:val="32"/>
          <w:shd w:val="clear" w:fill="FFFFFF"/>
        </w:rPr>
        <w:t>%。</w:t>
      </w:r>
    </w:p>
    <w:p w14:paraId="6FE0E710">
      <w:pPr>
        <w:pStyle w:val="16"/>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leftChars="0" w:right="0" w:rightChars="0" w:firstLine="643" w:firstLineChars="200"/>
        <w:jc w:val="both"/>
        <w:textAlignment w:val="auto"/>
        <w:rPr>
          <w:rFonts w:hint="eastAsia" w:ascii="仿宋_GB2312" w:hAnsi="仿宋_GB2312" w:eastAsia="仿宋_GB2312" w:cs="仿宋_GB2312"/>
          <w:sz w:val="32"/>
          <w:szCs w:val="32"/>
          <w:shd w:val="clear" w:fill="FFFFFF"/>
        </w:rPr>
      </w:pPr>
      <w:r>
        <w:rPr>
          <w:rStyle w:val="19"/>
          <w:rFonts w:hint="eastAsia" w:ascii="仿宋_GB2312" w:hAnsi="仿宋_GB2312" w:eastAsia="仿宋_GB2312" w:cs="仿宋_GB2312"/>
          <w:sz w:val="32"/>
          <w:szCs w:val="32"/>
          <w:shd w:val="clear" w:fill="FFFFFF"/>
        </w:rPr>
        <w:t>公务用车购置支出</w:t>
      </w:r>
      <w:r>
        <w:rPr>
          <w:rFonts w:hint="eastAsia" w:ascii="仿宋_GB2312" w:hAnsi="仿宋_GB2312" w:eastAsia="仿宋_GB2312" w:cs="仿宋_GB2312"/>
          <w:sz w:val="32"/>
          <w:szCs w:val="32"/>
          <w:shd w:val="clear" w:fill="FFFFFF"/>
        </w:rPr>
        <w:t>0.00万元。全年按规定更新购置公务用车0辆</w:t>
      </w:r>
    </w:p>
    <w:p w14:paraId="36EDAE2C">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both"/>
        <w:textAlignment w:val="auto"/>
        <w:rPr>
          <w:rFonts w:hint="eastAsia" w:ascii="仿宋_GB2312" w:hAnsi="仿宋_GB2312" w:eastAsia="仿宋_GB2312" w:cs="仿宋_GB2312"/>
          <w:sz w:val="32"/>
          <w:szCs w:val="32"/>
        </w:rPr>
      </w:pPr>
      <w:r>
        <w:rPr>
          <w:rStyle w:val="19"/>
          <w:rFonts w:hint="eastAsia" w:ascii="仿宋_GB2312" w:hAnsi="仿宋_GB2312" w:eastAsia="仿宋_GB2312" w:cs="仿宋_GB2312"/>
          <w:sz w:val="32"/>
          <w:szCs w:val="32"/>
          <w:shd w:val="clear" w:fill="FFFFFF"/>
        </w:rPr>
        <w:t>公务用车运行维护费支出</w:t>
      </w:r>
      <w:r>
        <w:rPr>
          <w:rFonts w:hint="eastAsia" w:ascii="仿宋_GB2312" w:hAnsi="仿宋_GB2312" w:eastAsia="仿宋_GB2312" w:cs="仿宋_GB2312"/>
          <w:sz w:val="32"/>
          <w:szCs w:val="32"/>
          <w:shd w:val="clear" w:fill="FFFFFF"/>
          <w:lang w:val="en-US" w:eastAsia="zh-CN"/>
        </w:rPr>
        <w:t>17.96</w:t>
      </w:r>
      <w:r>
        <w:rPr>
          <w:rFonts w:hint="eastAsia" w:ascii="仿宋_GB2312" w:hAnsi="仿宋_GB2312" w:eastAsia="仿宋_GB2312" w:cs="仿宋_GB2312"/>
          <w:sz w:val="32"/>
          <w:szCs w:val="32"/>
          <w:shd w:val="clear" w:fill="FFFFFF"/>
        </w:rPr>
        <w:t>万元。主要用</w:t>
      </w:r>
      <w:r>
        <w:rPr>
          <w:rFonts w:hint="eastAsia" w:ascii="仿宋_GB2312" w:hAnsi="仿宋_GB2312" w:eastAsia="仿宋_GB2312" w:cs="仿宋_GB2312"/>
          <w:sz w:val="32"/>
          <w:szCs w:val="32"/>
          <w:shd w:val="clear" w:fill="FFFFFF"/>
          <w:lang w:eastAsia="zh-CN"/>
        </w:rPr>
        <w:t>于上县开会，下村，下远牧点</w:t>
      </w:r>
      <w:r>
        <w:rPr>
          <w:rFonts w:hint="eastAsia" w:ascii="仿宋_GB2312" w:hAnsi="仿宋_GB2312" w:eastAsia="仿宋_GB2312" w:cs="仿宋_GB2312"/>
          <w:sz w:val="32"/>
          <w:szCs w:val="32"/>
          <w:shd w:val="clear" w:fill="FFFFFF"/>
        </w:rPr>
        <w:t>等所需的公务用车燃料费、维修费、过路过桥费、保险费等支出。</w:t>
      </w:r>
    </w:p>
    <w:p w14:paraId="6B6D5765">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both"/>
        <w:textAlignment w:val="auto"/>
        <w:rPr>
          <w:rFonts w:hint="eastAsia" w:ascii="仿宋_GB2312" w:hAnsi="仿宋_GB2312" w:eastAsia="仿宋_GB2312" w:cs="仿宋_GB2312"/>
          <w:sz w:val="32"/>
          <w:szCs w:val="32"/>
        </w:rPr>
      </w:pPr>
      <w:r>
        <w:rPr>
          <w:rStyle w:val="19"/>
          <w:rFonts w:hint="eastAsia" w:ascii="仿宋_GB2312" w:hAnsi="仿宋_GB2312" w:eastAsia="仿宋_GB2312" w:cs="仿宋_GB2312"/>
          <w:sz w:val="32"/>
          <w:szCs w:val="32"/>
          <w:shd w:val="clear" w:fill="FFFFFF"/>
          <w:lang w:val="en-US" w:eastAsia="zh-CN"/>
        </w:rPr>
        <w:t>3</w:t>
      </w:r>
      <w:r>
        <w:rPr>
          <w:rStyle w:val="19"/>
          <w:rFonts w:hint="eastAsia" w:ascii="仿宋_GB2312" w:hAnsi="仿宋_GB2312" w:eastAsia="仿宋_GB2312" w:cs="仿宋_GB2312"/>
          <w:sz w:val="32"/>
          <w:szCs w:val="32"/>
          <w:shd w:val="clear" w:fill="FFFFFF"/>
        </w:rPr>
        <w:t>.公务接待费支出</w:t>
      </w:r>
      <w:r>
        <w:rPr>
          <w:rFonts w:hint="eastAsia" w:ascii="仿宋_GB2312" w:hAnsi="仿宋_GB2312" w:eastAsia="仿宋_GB2312" w:cs="仿宋_GB2312"/>
          <w:sz w:val="32"/>
          <w:szCs w:val="32"/>
          <w:shd w:val="clear" w:fill="FFFFFF"/>
        </w:rPr>
        <w:t>0.00万元，</w:t>
      </w:r>
      <w:r>
        <w:rPr>
          <w:rStyle w:val="19"/>
          <w:rFonts w:hint="eastAsia" w:ascii="仿宋_GB2312" w:hAnsi="仿宋_GB2312" w:eastAsia="仿宋_GB2312" w:cs="仿宋_GB2312"/>
          <w:sz w:val="32"/>
          <w:szCs w:val="32"/>
          <w:shd w:val="clear" w:fill="FFFFFF"/>
        </w:rPr>
        <w:t>完成预算100%。</w:t>
      </w:r>
      <w:r>
        <w:rPr>
          <w:rFonts w:hint="eastAsia" w:ascii="仿宋_GB2312" w:hAnsi="仿宋_GB2312" w:eastAsia="仿宋_GB2312" w:cs="仿宋_GB2312"/>
          <w:sz w:val="32"/>
          <w:szCs w:val="32"/>
          <w:shd w:val="clear" w:fill="FFFFFF"/>
        </w:rPr>
        <w:t>公务接待费支出决算比2021年增加0.00万元，增长0.00%。</w:t>
      </w:r>
    </w:p>
    <w:p w14:paraId="1EC47933">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3" w:firstLineChars="200"/>
        <w:jc w:val="both"/>
        <w:textAlignment w:val="auto"/>
      </w:pPr>
      <w:r>
        <w:rPr>
          <w:rStyle w:val="19"/>
          <w:rFonts w:hint="eastAsia" w:ascii="仿宋_GB2312" w:hAnsi="仿宋_GB2312" w:eastAsia="仿宋_GB2312" w:cs="仿宋_GB2312"/>
          <w:sz w:val="32"/>
          <w:szCs w:val="32"/>
          <w:shd w:val="clear" w:fill="FFFFFF"/>
        </w:rPr>
        <w:t>国内公务接待支出</w:t>
      </w:r>
      <w:r>
        <w:rPr>
          <w:rFonts w:hint="eastAsia" w:ascii="仿宋_GB2312" w:hAnsi="仿宋_GB2312" w:eastAsia="仿宋_GB2312" w:cs="仿宋_GB2312"/>
          <w:sz w:val="32"/>
          <w:szCs w:val="32"/>
          <w:shd w:val="clear" w:fill="FFFFFF"/>
        </w:rPr>
        <w:t>0.00万元</w:t>
      </w:r>
      <w:r>
        <w:rPr>
          <w:rFonts w:hint="eastAsia" w:ascii="仿宋_GB2312" w:hAnsi="仿宋_GB2312" w:eastAsia="仿宋_GB2312" w:cs="仿宋_GB2312"/>
          <w:sz w:val="32"/>
          <w:szCs w:val="32"/>
          <w:shd w:val="clear" w:fill="FFFFFF"/>
          <w:lang w:eastAsia="zh-CN"/>
        </w:rPr>
        <w:t>。</w:t>
      </w:r>
      <w:r>
        <w:rPr>
          <w:rStyle w:val="19"/>
          <w:rFonts w:hint="eastAsia" w:ascii="仿宋_GB2312" w:hAnsi="仿宋_GB2312" w:eastAsia="仿宋_GB2312" w:cs="仿宋_GB2312"/>
          <w:sz w:val="32"/>
          <w:szCs w:val="32"/>
          <w:shd w:val="clear" w:fill="FFFFFF"/>
        </w:rPr>
        <w:t>外事接待支出</w:t>
      </w:r>
      <w:r>
        <w:rPr>
          <w:rFonts w:hint="eastAsia" w:ascii="仿宋_GB2312" w:hAnsi="仿宋_GB2312" w:eastAsia="仿宋_GB2312" w:cs="仿宋_GB2312"/>
          <w:sz w:val="32"/>
          <w:szCs w:val="32"/>
          <w:shd w:val="clear" w:fill="FFFFFF"/>
        </w:rPr>
        <w:t>0.00万元</w:t>
      </w:r>
      <w:r>
        <w:rPr>
          <w:rFonts w:hint="eastAsia" w:ascii="仿宋_GB2312" w:hAnsi="仿宋_GB2312" w:eastAsia="仿宋_GB2312" w:cs="仿宋_GB2312"/>
          <w:sz w:val="32"/>
          <w:szCs w:val="32"/>
          <w:shd w:val="clear" w:fill="FFFFFF"/>
          <w:lang w:eastAsia="zh-CN"/>
        </w:rPr>
        <w:t>。</w:t>
      </w:r>
      <w:r>
        <w:rPr>
          <w:shd w:val="clear" w:fill="FFFFFF"/>
        </w:rPr>
        <w:t> </w:t>
      </w:r>
    </w:p>
    <w:p w14:paraId="05C4DE55">
      <w:pPr>
        <w:pStyle w:val="16"/>
        <w:keepNext w:val="0"/>
        <w:keepLines w:val="0"/>
        <w:widowControl/>
        <w:suppressLineNumbers w:val="0"/>
        <w:spacing w:before="0" w:beforeAutospacing="0"/>
        <w:ind w:left="0"/>
        <w:jc w:val="left"/>
        <w:rPr>
          <w:shd w:val="clear" w:fill="FFFFFF"/>
        </w:rPr>
      </w:pPr>
      <w:r>
        <w:drawing>
          <wp:anchor distT="0" distB="0" distL="114300" distR="114300" simplePos="0" relativeHeight="251660288" behindDoc="0" locked="0" layoutInCell="1" allowOverlap="1">
            <wp:simplePos x="0" y="0"/>
            <wp:positionH relativeFrom="column">
              <wp:posOffset>4445</wp:posOffset>
            </wp:positionH>
            <wp:positionV relativeFrom="paragraph">
              <wp:posOffset>10160</wp:posOffset>
            </wp:positionV>
            <wp:extent cx="5186045" cy="3113405"/>
            <wp:effectExtent l="4445" t="4445" r="10160" b="6350"/>
            <wp:wrapNone/>
            <wp:docPr id="7"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1805E98F">
      <w:pPr>
        <w:pStyle w:val="16"/>
        <w:keepNext w:val="0"/>
        <w:keepLines w:val="0"/>
        <w:widowControl/>
        <w:suppressLineNumbers w:val="0"/>
        <w:spacing w:before="0" w:beforeAutospacing="0"/>
        <w:ind w:left="0"/>
        <w:jc w:val="left"/>
        <w:rPr>
          <w:shd w:val="clear" w:fill="FFFFFF"/>
        </w:rPr>
      </w:pPr>
    </w:p>
    <w:p w14:paraId="094109D7">
      <w:pPr>
        <w:pStyle w:val="16"/>
        <w:keepNext w:val="0"/>
        <w:keepLines w:val="0"/>
        <w:widowControl/>
        <w:suppressLineNumbers w:val="0"/>
        <w:spacing w:before="0" w:beforeAutospacing="0"/>
        <w:ind w:left="0"/>
        <w:jc w:val="left"/>
        <w:rPr>
          <w:shd w:val="clear" w:fill="FFFFFF"/>
        </w:rPr>
      </w:pPr>
    </w:p>
    <w:p w14:paraId="1AC827C7">
      <w:pPr>
        <w:pStyle w:val="16"/>
        <w:keepNext w:val="0"/>
        <w:keepLines w:val="0"/>
        <w:widowControl/>
        <w:suppressLineNumbers w:val="0"/>
        <w:spacing w:before="0" w:beforeAutospacing="0"/>
        <w:ind w:left="0"/>
        <w:jc w:val="left"/>
        <w:rPr>
          <w:shd w:val="clear" w:fill="FFFFFF"/>
        </w:rPr>
      </w:pPr>
    </w:p>
    <w:p w14:paraId="2C5840F6">
      <w:pPr>
        <w:pStyle w:val="16"/>
        <w:keepNext w:val="0"/>
        <w:keepLines w:val="0"/>
        <w:widowControl/>
        <w:suppressLineNumbers w:val="0"/>
        <w:spacing w:before="0" w:beforeAutospacing="0"/>
        <w:ind w:left="0"/>
        <w:jc w:val="left"/>
        <w:rPr>
          <w:shd w:val="clear" w:fill="FFFFFF"/>
        </w:rPr>
      </w:pPr>
    </w:p>
    <w:p w14:paraId="76FDF225">
      <w:pPr>
        <w:pStyle w:val="16"/>
        <w:keepNext w:val="0"/>
        <w:keepLines w:val="0"/>
        <w:widowControl/>
        <w:suppressLineNumbers w:val="0"/>
        <w:spacing w:before="0" w:beforeAutospacing="0"/>
        <w:ind w:left="0"/>
        <w:jc w:val="left"/>
        <w:rPr>
          <w:shd w:val="clear" w:fill="FFFFFF"/>
        </w:rPr>
      </w:pPr>
    </w:p>
    <w:p w14:paraId="22F7714C">
      <w:pPr>
        <w:pStyle w:val="16"/>
        <w:keepNext w:val="0"/>
        <w:keepLines w:val="0"/>
        <w:widowControl/>
        <w:suppressLineNumbers w:val="0"/>
        <w:spacing w:before="0" w:beforeAutospacing="0"/>
        <w:ind w:left="0"/>
        <w:jc w:val="left"/>
        <w:rPr>
          <w:shd w:val="clear" w:fill="FFFFFF"/>
        </w:rPr>
      </w:pPr>
    </w:p>
    <w:p w14:paraId="2DA19096">
      <w:pPr>
        <w:pStyle w:val="16"/>
        <w:keepNext w:val="0"/>
        <w:keepLines w:val="0"/>
        <w:widowControl/>
        <w:suppressLineNumbers w:val="0"/>
        <w:spacing w:before="0" w:beforeAutospacing="0"/>
        <w:ind w:left="0"/>
        <w:jc w:val="left"/>
        <w:rPr>
          <w:shd w:val="clear" w:fill="FFFFFF"/>
        </w:rPr>
      </w:pPr>
    </w:p>
    <w:p w14:paraId="094D29F4">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left"/>
        <w:textAlignment w:val="auto"/>
        <w:outlineLvl w:val="0"/>
        <w:rPr>
          <w:rFonts w:hint="eastAsia" w:ascii="黑体" w:hAnsi="黑体" w:eastAsia="黑体" w:cs="黑体"/>
          <w:sz w:val="32"/>
          <w:szCs w:val="32"/>
          <w:shd w:val="clear" w:fill="FFFFFF"/>
        </w:rPr>
      </w:pPr>
      <w:bookmarkStart w:id="21" w:name="_Toc27853"/>
    </w:p>
    <w:p w14:paraId="6719F003">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left"/>
        <w:textAlignment w:val="auto"/>
        <w:outlineLvl w:val="0"/>
        <w:rPr>
          <w:rFonts w:hint="eastAsia" w:ascii="黑体" w:hAnsi="黑体" w:eastAsia="黑体" w:cs="黑体"/>
          <w:sz w:val="32"/>
          <w:szCs w:val="32"/>
          <w:shd w:val="clear" w:fill="FFFFFF"/>
        </w:rPr>
      </w:pPr>
    </w:p>
    <w:p w14:paraId="2E761AAA">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left"/>
        <w:textAlignment w:val="auto"/>
        <w:outlineLvl w:val="0"/>
        <w:rPr>
          <w:rFonts w:hint="eastAsia" w:ascii="黑体" w:hAnsi="黑体" w:eastAsia="黑体" w:cs="黑体"/>
          <w:sz w:val="32"/>
          <w:szCs w:val="32"/>
          <w:shd w:val="clear" w:fill="FFFFFF"/>
        </w:rPr>
      </w:pPr>
    </w:p>
    <w:p w14:paraId="77D74E25">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left"/>
        <w:textAlignment w:val="auto"/>
        <w:outlineLvl w:val="0"/>
        <w:rPr>
          <w:rFonts w:hint="eastAsia" w:ascii="黑体" w:hAnsi="黑体" w:eastAsia="黑体" w:cs="黑体"/>
          <w:sz w:val="32"/>
          <w:szCs w:val="32"/>
          <w:shd w:val="clear" w:fill="FFFFFF"/>
        </w:rPr>
      </w:pPr>
    </w:p>
    <w:p w14:paraId="7D59BA16">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left"/>
        <w:textAlignment w:val="auto"/>
        <w:outlineLvl w:val="0"/>
        <w:rPr>
          <w:rFonts w:hint="eastAsia" w:ascii="黑体" w:hAnsi="黑体" w:eastAsia="黑体" w:cs="黑体"/>
          <w:sz w:val="32"/>
          <w:szCs w:val="32"/>
        </w:rPr>
      </w:pPr>
      <w:r>
        <w:rPr>
          <w:rFonts w:hint="eastAsia" w:ascii="黑体" w:hAnsi="黑体" w:eastAsia="黑体" w:cs="黑体"/>
          <w:sz w:val="32"/>
          <w:szCs w:val="32"/>
          <w:shd w:val="clear" w:fill="FFFFFF"/>
        </w:rPr>
        <w:t>八、政府性基金预算支出决算情况说明</w:t>
      </w:r>
      <w:bookmarkEnd w:id="21"/>
    </w:p>
    <w:p w14:paraId="5C61D0A9">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4</w:t>
      </w:r>
      <w:r>
        <w:rPr>
          <w:rFonts w:hint="eastAsia" w:ascii="仿宋_GB2312" w:hAnsi="仿宋_GB2312" w:eastAsia="仿宋_GB2312" w:cs="仿宋_GB2312"/>
          <w:sz w:val="32"/>
          <w:szCs w:val="32"/>
          <w:shd w:val="clear" w:fill="FFFFFF"/>
        </w:rPr>
        <w:t>年政府性基金预算财政拨款支出0.00万元。</w:t>
      </w:r>
    </w:p>
    <w:p w14:paraId="3EA58790">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w:t>
      </w:r>
    </w:p>
    <w:p w14:paraId="30C17534">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leftChars="0" w:right="0" w:rightChars="0" w:firstLine="640" w:firstLineChars="200"/>
        <w:jc w:val="left"/>
        <w:textAlignment w:val="auto"/>
        <w:outlineLvl w:val="0"/>
        <w:rPr>
          <w:rFonts w:hint="eastAsia" w:ascii="黑体" w:hAnsi="黑体" w:eastAsia="黑体" w:cs="黑体"/>
          <w:sz w:val="32"/>
          <w:szCs w:val="32"/>
        </w:rPr>
      </w:pPr>
      <w:bookmarkStart w:id="22" w:name="_Toc22042"/>
      <w:r>
        <w:rPr>
          <w:rFonts w:hint="eastAsia" w:ascii="黑体" w:hAnsi="黑体" w:eastAsia="黑体" w:cs="黑体"/>
          <w:sz w:val="32"/>
          <w:szCs w:val="32"/>
          <w:shd w:val="clear" w:fill="FFFFFF"/>
        </w:rPr>
        <w:t>九、国有资本经营预算支出决算情况说明</w:t>
      </w:r>
      <w:bookmarkEnd w:id="22"/>
    </w:p>
    <w:p w14:paraId="2F8C484E">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shd w:val="clear" w:fill="FFFFFF"/>
        </w:rPr>
      </w:pPr>
      <w:r>
        <w:rPr>
          <w:rFonts w:hint="eastAsia" w:ascii="仿宋_GB2312" w:hAnsi="仿宋_GB2312" w:eastAsia="仿宋_GB2312" w:cs="仿宋_GB2312"/>
          <w:sz w:val="32"/>
          <w:szCs w:val="32"/>
          <w:shd w:val="clear" w:fill="FFFFFF"/>
        </w:rPr>
        <w:t>202</w:t>
      </w:r>
      <w:r>
        <w:rPr>
          <w:rFonts w:hint="eastAsia" w:ascii="仿宋_GB2312" w:hAnsi="仿宋_GB2312" w:eastAsia="仿宋_GB2312" w:cs="仿宋_GB2312"/>
          <w:sz w:val="32"/>
          <w:szCs w:val="32"/>
          <w:shd w:val="clear" w:fill="FFFFFF"/>
          <w:lang w:val="en-US" w:eastAsia="zh-CN"/>
        </w:rPr>
        <w:t>4</w:t>
      </w:r>
      <w:r>
        <w:rPr>
          <w:rFonts w:hint="eastAsia" w:ascii="仿宋_GB2312" w:hAnsi="仿宋_GB2312" w:eastAsia="仿宋_GB2312" w:cs="仿宋_GB2312"/>
          <w:sz w:val="32"/>
          <w:szCs w:val="32"/>
          <w:shd w:val="clear" w:fill="FFFFFF"/>
        </w:rPr>
        <w:t>年国有资本经营预算财政拨款支出0.00万元。</w:t>
      </w:r>
    </w:p>
    <w:p w14:paraId="0A84EDD3">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w:t>
      </w:r>
    </w:p>
    <w:p w14:paraId="1D49B69B">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9"/>
          <w:rFonts w:hint="eastAsia" w:ascii="仿宋_GB2312" w:hAnsi="仿宋_GB2312" w:eastAsia="仿宋_GB2312" w:cs="仿宋_GB2312"/>
          <w:sz w:val="32"/>
          <w:szCs w:val="32"/>
          <w:shd w:val="clear" w:fill="FFFFFF"/>
        </w:rPr>
      </w:pPr>
    </w:p>
    <w:p w14:paraId="34798F63">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9"/>
          <w:rFonts w:hint="eastAsia" w:ascii="仿宋_GB2312" w:hAnsi="仿宋_GB2312" w:eastAsia="仿宋_GB2312" w:cs="仿宋_GB2312"/>
          <w:sz w:val="32"/>
          <w:szCs w:val="32"/>
          <w:shd w:val="clear" w:fill="FFFFFF"/>
        </w:rPr>
      </w:pPr>
    </w:p>
    <w:p w14:paraId="34CC0293">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9"/>
          <w:rFonts w:hint="eastAsia" w:ascii="仿宋_GB2312" w:hAnsi="仿宋_GB2312" w:eastAsia="仿宋_GB2312" w:cs="仿宋_GB2312"/>
          <w:sz w:val="32"/>
          <w:szCs w:val="32"/>
          <w:shd w:val="clear" w:fill="FFFFFF"/>
        </w:rPr>
      </w:pPr>
    </w:p>
    <w:p w14:paraId="2C0D1B21">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9"/>
          <w:rFonts w:hint="eastAsia" w:ascii="仿宋_GB2312" w:hAnsi="仿宋_GB2312" w:eastAsia="仿宋_GB2312" w:cs="仿宋_GB2312"/>
          <w:sz w:val="32"/>
          <w:szCs w:val="32"/>
          <w:shd w:val="clear" w:fill="FFFFFF"/>
        </w:rPr>
      </w:pPr>
    </w:p>
    <w:p w14:paraId="79B4FF4C">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9"/>
          <w:rFonts w:hint="eastAsia" w:ascii="仿宋_GB2312" w:hAnsi="仿宋_GB2312" w:eastAsia="仿宋_GB2312" w:cs="仿宋_GB2312"/>
          <w:sz w:val="32"/>
          <w:szCs w:val="32"/>
          <w:shd w:val="clear" w:fill="FFFFFF"/>
        </w:rPr>
      </w:pPr>
    </w:p>
    <w:p w14:paraId="04C7C84B">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9"/>
          <w:rFonts w:hint="eastAsia" w:ascii="仿宋_GB2312" w:hAnsi="仿宋_GB2312" w:eastAsia="仿宋_GB2312" w:cs="仿宋_GB2312"/>
          <w:sz w:val="32"/>
          <w:szCs w:val="32"/>
          <w:shd w:val="clear" w:fill="FFFFFF"/>
        </w:rPr>
      </w:pPr>
    </w:p>
    <w:p w14:paraId="7606E674">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9"/>
          <w:rFonts w:hint="eastAsia" w:ascii="仿宋_GB2312" w:hAnsi="仿宋_GB2312" w:eastAsia="仿宋_GB2312" w:cs="仿宋_GB2312"/>
          <w:sz w:val="32"/>
          <w:szCs w:val="32"/>
          <w:shd w:val="clear" w:fill="FFFFFF"/>
        </w:rPr>
      </w:pPr>
    </w:p>
    <w:p w14:paraId="61CF0613">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9"/>
          <w:rFonts w:hint="eastAsia" w:ascii="仿宋_GB2312" w:hAnsi="仿宋_GB2312" w:eastAsia="仿宋_GB2312" w:cs="仿宋_GB2312"/>
          <w:sz w:val="32"/>
          <w:szCs w:val="32"/>
          <w:shd w:val="clear" w:fill="FFFFFF"/>
        </w:rPr>
      </w:pPr>
    </w:p>
    <w:p w14:paraId="698BFF9C">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9"/>
          <w:rFonts w:hint="eastAsia" w:ascii="方正小标宋简体" w:hAnsi="方正小标宋简体" w:eastAsia="方正小标宋简体" w:cs="方正小标宋简体"/>
          <w:b w:val="0"/>
          <w:bCs/>
          <w:sz w:val="44"/>
          <w:szCs w:val="44"/>
          <w:shd w:val="clear" w:fill="FFFFFF"/>
        </w:rPr>
      </w:pPr>
    </w:p>
    <w:p w14:paraId="73008092">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9"/>
          <w:rFonts w:hint="eastAsia" w:ascii="方正小标宋简体" w:hAnsi="方正小标宋简体" w:eastAsia="方正小标宋简体" w:cs="方正小标宋简体"/>
          <w:b w:val="0"/>
          <w:bCs/>
          <w:sz w:val="44"/>
          <w:szCs w:val="44"/>
          <w:shd w:val="clear" w:fill="FFFFFF"/>
        </w:rPr>
      </w:pPr>
    </w:p>
    <w:p w14:paraId="4BFAE1C2">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9"/>
          <w:rFonts w:hint="eastAsia" w:ascii="方正小标宋简体" w:hAnsi="方正小标宋简体" w:eastAsia="方正小标宋简体" w:cs="方正小标宋简体"/>
          <w:b w:val="0"/>
          <w:bCs/>
          <w:sz w:val="44"/>
          <w:szCs w:val="44"/>
          <w:shd w:val="clear" w:fill="FFFFFF"/>
        </w:rPr>
      </w:pPr>
    </w:p>
    <w:p w14:paraId="1B531124">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9"/>
          <w:rFonts w:hint="eastAsia" w:ascii="方正小标宋简体" w:hAnsi="方正小标宋简体" w:eastAsia="方正小标宋简体" w:cs="方正小标宋简体"/>
          <w:b w:val="0"/>
          <w:bCs/>
          <w:sz w:val="44"/>
          <w:szCs w:val="44"/>
          <w:shd w:val="clear" w:fill="FFFFFF"/>
        </w:rPr>
      </w:pPr>
    </w:p>
    <w:p w14:paraId="79CF2F63">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9"/>
          <w:rFonts w:hint="eastAsia" w:ascii="方正小标宋简体" w:hAnsi="方正小标宋简体" w:eastAsia="方正小标宋简体" w:cs="方正小标宋简体"/>
          <w:b w:val="0"/>
          <w:bCs/>
          <w:sz w:val="44"/>
          <w:szCs w:val="44"/>
          <w:shd w:val="clear" w:fill="FFFFFF"/>
        </w:rPr>
      </w:pPr>
    </w:p>
    <w:p w14:paraId="22546AFB">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9"/>
          <w:rFonts w:hint="eastAsia" w:ascii="方正小标宋简体" w:hAnsi="方正小标宋简体" w:eastAsia="方正小标宋简体" w:cs="方正小标宋简体"/>
          <w:b w:val="0"/>
          <w:bCs/>
          <w:sz w:val="44"/>
          <w:szCs w:val="44"/>
          <w:shd w:val="clear" w:fill="FFFFFF"/>
        </w:rPr>
      </w:pPr>
    </w:p>
    <w:p w14:paraId="46A14FB9">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9"/>
          <w:rFonts w:hint="eastAsia" w:ascii="方正小标宋简体" w:hAnsi="方正小标宋简体" w:eastAsia="方正小标宋简体" w:cs="方正小标宋简体"/>
          <w:b w:val="0"/>
          <w:bCs/>
          <w:sz w:val="44"/>
          <w:szCs w:val="44"/>
          <w:shd w:val="clear" w:fill="FFFFFF"/>
        </w:rPr>
      </w:pPr>
    </w:p>
    <w:p w14:paraId="687AB691">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9"/>
          <w:rFonts w:hint="eastAsia" w:ascii="方正小标宋简体" w:hAnsi="方正小标宋简体" w:eastAsia="方正小标宋简体" w:cs="方正小标宋简体"/>
          <w:b w:val="0"/>
          <w:bCs/>
          <w:sz w:val="44"/>
          <w:szCs w:val="44"/>
          <w:shd w:val="clear" w:fill="FFFFFF"/>
        </w:rPr>
      </w:pPr>
    </w:p>
    <w:p w14:paraId="1E45FC35">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9"/>
          <w:rFonts w:hint="eastAsia" w:ascii="方正小标宋简体" w:hAnsi="方正小标宋简体" w:eastAsia="方正小标宋简体" w:cs="方正小标宋简体"/>
          <w:b w:val="0"/>
          <w:bCs/>
          <w:sz w:val="44"/>
          <w:szCs w:val="44"/>
          <w:shd w:val="clear" w:fill="FFFFFF"/>
        </w:rPr>
      </w:pPr>
    </w:p>
    <w:p w14:paraId="3A916AAE">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center"/>
        <w:textAlignment w:val="auto"/>
        <w:rPr>
          <w:rStyle w:val="19"/>
          <w:rFonts w:hint="eastAsia" w:ascii="方正小标宋简体" w:hAnsi="方正小标宋简体" w:eastAsia="方正小标宋简体" w:cs="方正小标宋简体"/>
          <w:b w:val="0"/>
          <w:bCs/>
          <w:sz w:val="44"/>
          <w:szCs w:val="44"/>
          <w:shd w:val="clear" w:fill="FFFFFF"/>
        </w:rPr>
      </w:pPr>
    </w:p>
    <w:p w14:paraId="61BA719E">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leftChars="0" w:right="0" w:rightChars="0"/>
        <w:jc w:val="center"/>
        <w:textAlignment w:val="auto"/>
        <w:outlineLvl w:val="0"/>
        <w:rPr>
          <w:rFonts w:hint="eastAsia" w:ascii="方正小标宋简体" w:hAnsi="方正小标宋简体" w:eastAsia="方正小标宋简体" w:cs="方正小标宋简体"/>
          <w:b w:val="0"/>
          <w:bCs/>
          <w:sz w:val="44"/>
          <w:szCs w:val="44"/>
        </w:rPr>
      </w:pPr>
      <w:bookmarkStart w:id="23" w:name="_Toc19480"/>
      <w:r>
        <w:rPr>
          <w:rStyle w:val="19"/>
          <w:rFonts w:hint="eastAsia" w:ascii="方正小标宋简体" w:hAnsi="方正小标宋简体" w:eastAsia="方正小标宋简体" w:cs="方正小标宋简体"/>
          <w:b w:val="0"/>
          <w:bCs/>
          <w:sz w:val="44"/>
          <w:szCs w:val="44"/>
          <w:shd w:val="clear" w:fill="FFFFFF"/>
        </w:rPr>
        <w:t>第三部分 名词解释</w:t>
      </w:r>
      <w:bookmarkEnd w:id="23"/>
    </w:p>
    <w:p w14:paraId="708E4455">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 </w:t>
      </w:r>
    </w:p>
    <w:p w14:paraId="28402713">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1.财政拨款收入：指单位从同级财政部门取得的财政预算资金。</w:t>
      </w:r>
    </w:p>
    <w:p w14:paraId="0422423F">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2.事业收入：指事业单位开展专业业务活动及辅助活动取得的收入。如…（二级预算单位事业收入情况）等。</w:t>
      </w:r>
    </w:p>
    <w:p w14:paraId="549A8A23">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3.经营收入：指事业单位在专业业务活动及其辅助活动之外开展非独立核算经营活动取得的收入。如…（二级预算单位经营收入情况）等。</w:t>
      </w:r>
    </w:p>
    <w:p w14:paraId="409CC3BC">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4.其他收入：指单位取得的除上述收入以外的各项收入。主要是…（收入类型）等。</w:t>
      </w:r>
    </w:p>
    <w:p w14:paraId="2A3AB121">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5.使用非财政拨款结余：指事业单位使用以前年度积累的非财政拨款结余弥补当年收支差额的金额。</w:t>
      </w:r>
    </w:p>
    <w:p w14:paraId="17580478">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6.年初结转和结余：指以前年度尚未完成、结转到本年按有关规定继续使用的资金。</w:t>
      </w:r>
    </w:p>
    <w:p w14:paraId="6DE360CF">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7.结余分配：指事业单位按照会计制度规定缴纳的所得税、提取的专用结余以及转入非财政拨款结余的金额等。</w:t>
      </w:r>
    </w:p>
    <w:p w14:paraId="5B34EACF">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8、年末结转和结余：指单位按有关规定结转到下年或以后年度继续使用的资金。</w:t>
      </w:r>
    </w:p>
    <w:p w14:paraId="173ACA69">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9.一般公共服务（类）…（款）…（项）：指……。</w:t>
      </w:r>
    </w:p>
    <w:p w14:paraId="07B00EFB">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10.外交（类）…（款）…（项）：指……。</w:t>
      </w:r>
    </w:p>
    <w:p w14:paraId="21EF79CF">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11.公共安全（类）…（款）…（项）：指……。</w:t>
      </w:r>
    </w:p>
    <w:p w14:paraId="5074457D">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12.教育（类）…（款）…（项）：指……。</w:t>
      </w:r>
    </w:p>
    <w:p w14:paraId="77174C07">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13.科学技术（类）…（款）…（项）：指……。</w:t>
      </w:r>
    </w:p>
    <w:p w14:paraId="3D60FF9A">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14.文化体育与传媒（类）…（款）…（项）：指……。</w:t>
      </w:r>
    </w:p>
    <w:p w14:paraId="12C12444">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15.社会保障和就业（类）…（款）…（项）：指……。</w:t>
      </w:r>
    </w:p>
    <w:p w14:paraId="37465A52">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16.医疗卫生与计划生育（类）…（款）…（项）：指……。</w:t>
      </w:r>
    </w:p>
    <w:p w14:paraId="1BAF686A">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17.节能环保（类）…（款）…（项）：指……。</w:t>
      </w:r>
    </w:p>
    <w:p w14:paraId="2D276B39">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18.城乡社区（类）…（款）…（项）：指……。</w:t>
      </w:r>
    </w:p>
    <w:p w14:paraId="446E9471">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19.农林水（类）…（款）…（项）：指……。</w:t>
      </w:r>
    </w:p>
    <w:p w14:paraId="24EDF32C">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20.交通运输（类）…（款）…（项）：指……。</w:t>
      </w:r>
    </w:p>
    <w:p w14:paraId="70E58931">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21.资源勘探信息等（类）…（款）…（项）：指……。</w:t>
      </w:r>
    </w:p>
    <w:p w14:paraId="68293F48">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22.商业服务业（类）…（款）…（项）：指……。</w:t>
      </w:r>
    </w:p>
    <w:p w14:paraId="2284248C">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23.金融（类）…（款）…（项）：指……。</w:t>
      </w:r>
    </w:p>
    <w:p w14:paraId="18730676">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24.国土海洋气象等（类）…（款）…（项）：指……。</w:t>
      </w:r>
    </w:p>
    <w:p w14:paraId="68C37C6C">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25.住房保障（类）…（款）…（项）：指……。</w:t>
      </w:r>
    </w:p>
    <w:p w14:paraId="44EF2EE6">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26.粮油物资储备（类）…（款）…（项）：指……。</w:t>
      </w:r>
    </w:p>
    <w:p w14:paraId="1E877508">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w:t>
      </w:r>
    </w:p>
    <w:p w14:paraId="1E43B4F2">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w:t>
      </w:r>
    </w:p>
    <w:p w14:paraId="6BADF64A">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w:t>
      </w:r>
    </w:p>
    <w:p w14:paraId="0AA27EF0">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Style w:val="19"/>
          <w:rFonts w:hint="eastAsia" w:ascii="仿宋_GB2312" w:hAnsi="仿宋_GB2312" w:eastAsia="仿宋_GB2312" w:cs="仿宋_GB2312"/>
          <w:sz w:val="32"/>
          <w:szCs w:val="32"/>
          <w:shd w:val="clear" w:fill="FFFFFF"/>
        </w:rPr>
        <w:t>（解释本部门决算报表中涉及的全部功能分类科目至项级，不涉及的科目请自行删除。请参照《2022年政府收支分类科目》增减内容。）</w:t>
      </w:r>
    </w:p>
    <w:p w14:paraId="6893D4A0">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27.基本支出：指为保障机构正常运转、完成日常工作任务而发生的人员支出和公用支出。</w:t>
      </w:r>
    </w:p>
    <w:p w14:paraId="27A72766">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28.项目支出：指在基本支出之外为完成特定行政任务和事业发展目标所发生的支出。</w:t>
      </w:r>
    </w:p>
    <w:p w14:paraId="58AEDF7D">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29.经营支出：指事业单位在专业业务活动及其辅助活动之外开展非独立核算经营活动发生的支出。</w:t>
      </w:r>
    </w:p>
    <w:p w14:paraId="66A3CA2B">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4BF5A0E">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49CFB2FB">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fill="FFFFFF"/>
        </w:rPr>
        <w:t>32.……。</w:t>
      </w:r>
    </w:p>
    <w:p w14:paraId="7E0AF3A5">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60" w:lineRule="exact"/>
        <w:ind w:left="0"/>
        <w:jc w:val="left"/>
        <w:textAlignment w:val="auto"/>
        <w:rPr>
          <w:rFonts w:hint="eastAsia" w:ascii="仿宋_GB2312" w:hAnsi="仿宋_GB2312" w:eastAsia="仿宋_GB2312" w:cs="仿宋_GB2312"/>
          <w:sz w:val="32"/>
          <w:szCs w:val="32"/>
        </w:rPr>
      </w:pPr>
      <w:r>
        <w:rPr>
          <w:rStyle w:val="19"/>
          <w:rFonts w:hint="eastAsia" w:ascii="仿宋_GB2312" w:hAnsi="仿宋_GB2312" w:eastAsia="仿宋_GB2312" w:cs="仿宋_GB2312"/>
          <w:sz w:val="32"/>
          <w:szCs w:val="32"/>
          <w:shd w:val="clear" w:fill="FFFFFF"/>
        </w:rPr>
        <w:t>（名词解释部分请根据各部门实际列支情况罗列，并根据本部门职责职能增减名词解释内容。）</w:t>
      </w:r>
    </w:p>
    <w:p w14:paraId="7B6EC8CC">
      <w:pPr>
        <w:pStyle w:val="16"/>
        <w:keepNext w:val="0"/>
        <w:keepLines w:val="0"/>
        <w:widowControl/>
        <w:suppressLineNumbers w:val="0"/>
        <w:spacing w:before="0" w:beforeAutospacing="0"/>
        <w:ind w:left="0"/>
        <w:jc w:val="left"/>
      </w:pPr>
      <w:r>
        <w:rPr>
          <w:shd w:val="clear" w:fill="FFFFFF"/>
        </w:rPr>
        <w:t> </w:t>
      </w:r>
    </w:p>
    <w:p w14:paraId="16630C66">
      <w:pPr>
        <w:pStyle w:val="16"/>
        <w:keepNext w:val="0"/>
        <w:keepLines w:val="0"/>
        <w:widowControl/>
        <w:suppressLineNumbers w:val="0"/>
        <w:spacing w:before="0" w:beforeAutospacing="0"/>
        <w:ind w:left="0" w:leftChars="0" w:right="0" w:rightChars="0"/>
        <w:jc w:val="center"/>
        <w:outlineLvl w:val="0"/>
        <w:rPr>
          <w:rFonts w:hint="eastAsia" w:ascii="方正小标宋简体" w:hAnsi="方正小标宋简体" w:eastAsia="方正小标宋简体" w:cs="方正小标宋简体"/>
          <w:b w:val="0"/>
          <w:bCs/>
          <w:sz w:val="44"/>
          <w:szCs w:val="44"/>
        </w:rPr>
      </w:pPr>
      <w:bookmarkStart w:id="24" w:name="_Toc11038"/>
      <w:r>
        <w:rPr>
          <w:rStyle w:val="19"/>
          <w:rFonts w:hint="eastAsia" w:ascii="方正小标宋简体" w:hAnsi="方正小标宋简体" w:eastAsia="方正小标宋简体" w:cs="方正小标宋简体"/>
          <w:b w:val="0"/>
          <w:bCs/>
          <w:sz w:val="44"/>
          <w:szCs w:val="44"/>
          <w:shd w:val="clear" w:fill="FFFFFF"/>
        </w:rPr>
        <w:t>第</w:t>
      </w:r>
      <w:r>
        <w:rPr>
          <w:rStyle w:val="19"/>
          <w:rFonts w:hint="eastAsia" w:ascii="方正小标宋简体" w:hAnsi="方正小标宋简体" w:eastAsia="方正小标宋简体" w:cs="方正小标宋简体"/>
          <w:b w:val="0"/>
          <w:bCs/>
          <w:sz w:val="44"/>
          <w:szCs w:val="44"/>
          <w:shd w:val="clear" w:fill="FFFFFF"/>
          <w:lang w:eastAsia="zh-CN"/>
        </w:rPr>
        <w:t>四</w:t>
      </w:r>
      <w:r>
        <w:rPr>
          <w:rStyle w:val="19"/>
          <w:rFonts w:hint="eastAsia" w:ascii="方正小标宋简体" w:hAnsi="方正小标宋简体" w:eastAsia="方正小标宋简体" w:cs="方正小标宋简体"/>
          <w:b w:val="0"/>
          <w:bCs/>
          <w:sz w:val="44"/>
          <w:szCs w:val="44"/>
          <w:shd w:val="clear" w:fill="FFFFFF"/>
        </w:rPr>
        <w:t>部分 附表</w:t>
      </w:r>
      <w:bookmarkEnd w:id="24"/>
    </w:p>
    <w:p w14:paraId="46B59C0E">
      <w:pPr>
        <w:pStyle w:val="5"/>
        <w:keepNext w:val="0"/>
        <w:keepLines w:val="0"/>
        <w:widowControl/>
        <w:suppressLineNumbers w:val="0"/>
        <w:spacing w:before="0" w:beforeAutospacing="0"/>
        <w:ind w:left="0" w:leftChars="0"/>
        <w:jc w:val="left"/>
        <w:outlineLvl w:val="9"/>
        <w:rPr>
          <w:rFonts w:hint="eastAsia" w:ascii="仿宋_GB2312" w:hAnsi="仿宋_GB2312" w:eastAsia="仿宋_GB2312" w:cs="仿宋_GB2312"/>
          <w:b w:val="0"/>
          <w:bCs w:val="0"/>
        </w:rPr>
      </w:pPr>
      <w:bookmarkStart w:id="25" w:name="_Toc1792"/>
      <w:r>
        <w:rPr>
          <w:rFonts w:hint="eastAsia" w:ascii="仿宋_GB2312" w:hAnsi="仿宋_GB2312" w:eastAsia="仿宋_GB2312" w:cs="仿宋_GB2312"/>
          <w:b w:val="0"/>
          <w:bCs w:val="0"/>
          <w:shd w:val="clear" w:fill="FFFFFF"/>
        </w:rPr>
        <w:t>一、收入支出决算总表</w:t>
      </w:r>
      <w:bookmarkEnd w:id="25"/>
    </w:p>
    <w:p w14:paraId="3F4A005C">
      <w:pPr>
        <w:pStyle w:val="5"/>
        <w:keepNext w:val="0"/>
        <w:keepLines w:val="0"/>
        <w:widowControl/>
        <w:suppressLineNumbers w:val="0"/>
        <w:spacing w:before="0" w:beforeAutospacing="0"/>
        <w:ind w:left="0" w:leftChars="0"/>
        <w:jc w:val="left"/>
        <w:outlineLvl w:val="9"/>
        <w:rPr>
          <w:rFonts w:hint="eastAsia" w:ascii="仿宋_GB2312" w:hAnsi="仿宋_GB2312" w:eastAsia="仿宋_GB2312" w:cs="仿宋_GB2312"/>
          <w:b w:val="0"/>
          <w:bCs w:val="0"/>
        </w:rPr>
      </w:pPr>
      <w:bookmarkStart w:id="26" w:name="_Toc5289"/>
      <w:r>
        <w:rPr>
          <w:rFonts w:hint="eastAsia" w:ascii="仿宋_GB2312" w:hAnsi="仿宋_GB2312" w:eastAsia="仿宋_GB2312" w:cs="仿宋_GB2312"/>
          <w:b w:val="0"/>
          <w:bCs w:val="0"/>
          <w:shd w:val="clear" w:fill="FFFFFF"/>
        </w:rPr>
        <w:t>二、收入决算表</w:t>
      </w:r>
      <w:bookmarkEnd w:id="26"/>
    </w:p>
    <w:p w14:paraId="08924870">
      <w:pPr>
        <w:pStyle w:val="5"/>
        <w:keepNext w:val="0"/>
        <w:keepLines w:val="0"/>
        <w:widowControl/>
        <w:suppressLineNumbers w:val="0"/>
        <w:spacing w:before="0" w:beforeAutospacing="0"/>
        <w:ind w:left="0" w:leftChars="0"/>
        <w:jc w:val="left"/>
        <w:outlineLvl w:val="9"/>
        <w:rPr>
          <w:rFonts w:hint="eastAsia" w:ascii="仿宋_GB2312" w:hAnsi="仿宋_GB2312" w:eastAsia="仿宋_GB2312" w:cs="仿宋_GB2312"/>
          <w:b w:val="0"/>
          <w:bCs w:val="0"/>
        </w:rPr>
      </w:pPr>
      <w:bookmarkStart w:id="27" w:name="_Toc9007"/>
      <w:r>
        <w:rPr>
          <w:rFonts w:hint="eastAsia" w:ascii="仿宋_GB2312" w:hAnsi="仿宋_GB2312" w:eastAsia="仿宋_GB2312" w:cs="仿宋_GB2312"/>
          <w:b w:val="0"/>
          <w:bCs w:val="0"/>
          <w:shd w:val="clear" w:fill="FFFFFF"/>
        </w:rPr>
        <w:t>三、支出决算表</w:t>
      </w:r>
      <w:bookmarkEnd w:id="27"/>
    </w:p>
    <w:p w14:paraId="69B44C20">
      <w:pPr>
        <w:pStyle w:val="5"/>
        <w:keepNext w:val="0"/>
        <w:keepLines w:val="0"/>
        <w:widowControl/>
        <w:suppressLineNumbers w:val="0"/>
        <w:spacing w:before="0" w:beforeAutospacing="0"/>
        <w:ind w:left="0" w:leftChars="0"/>
        <w:jc w:val="left"/>
        <w:outlineLvl w:val="9"/>
        <w:rPr>
          <w:rFonts w:hint="eastAsia" w:ascii="仿宋_GB2312" w:hAnsi="仿宋_GB2312" w:eastAsia="仿宋_GB2312" w:cs="仿宋_GB2312"/>
          <w:b w:val="0"/>
          <w:bCs w:val="0"/>
        </w:rPr>
      </w:pPr>
      <w:bookmarkStart w:id="28" w:name="_Toc16078"/>
      <w:r>
        <w:rPr>
          <w:rFonts w:hint="eastAsia" w:ascii="仿宋_GB2312" w:hAnsi="仿宋_GB2312" w:eastAsia="仿宋_GB2312" w:cs="仿宋_GB2312"/>
          <w:b w:val="0"/>
          <w:bCs w:val="0"/>
          <w:shd w:val="clear" w:fill="FFFFFF"/>
        </w:rPr>
        <w:t>四、财政拨款收入支出决算总表</w:t>
      </w:r>
      <w:bookmarkEnd w:id="28"/>
    </w:p>
    <w:p w14:paraId="1192E001">
      <w:pPr>
        <w:pStyle w:val="5"/>
        <w:keepNext w:val="0"/>
        <w:keepLines w:val="0"/>
        <w:widowControl/>
        <w:suppressLineNumbers w:val="0"/>
        <w:spacing w:before="0" w:beforeAutospacing="0"/>
        <w:ind w:left="0" w:leftChars="0"/>
        <w:jc w:val="left"/>
        <w:outlineLvl w:val="9"/>
        <w:rPr>
          <w:rFonts w:hint="eastAsia" w:ascii="仿宋_GB2312" w:hAnsi="仿宋_GB2312" w:eastAsia="仿宋_GB2312" w:cs="仿宋_GB2312"/>
          <w:b w:val="0"/>
          <w:bCs w:val="0"/>
        </w:rPr>
      </w:pPr>
      <w:bookmarkStart w:id="29" w:name="_Toc3404"/>
      <w:r>
        <w:rPr>
          <w:rFonts w:hint="eastAsia" w:ascii="仿宋_GB2312" w:hAnsi="仿宋_GB2312" w:eastAsia="仿宋_GB2312" w:cs="仿宋_GB2312"/>
          <w:b w:val="0"/>
          <w:bCs w:val="0"/>
          <w:shd w:val="clear" w:fill="FFFFFF"/>
        </w:rPr>
        <w:t>五、财政拨款支出决算明细表</w:t>
      </w:r>
      <w:bookmarkEnd w:id="29"/>
    </w:p>
    <w:p w14:paraId="54D982B6">
      <w:pPr>
        <w:pStyle w:val="5"/>
        <w:keepNext w:val="0"/>
        <w:keepLines w:val="0"/>
        <w:widowControl/>
        <w:suppressLineNumbers w:val="0"/>
        <w:spacing w:before="0" w:beforeAutospacing="0"/>
        <w:ind w:left="0" w:leftChars="0"/>
        <w:jc w:val="left"/>
        <w:outlineLvl w:val="9"/>
        <w:rPr>
          <w:rFonts w:hint="eastAsia" w:ascii="仿宋_GB2312" w:hAnsi="仿宋_GB2312" w:eastAsia="仿宋_GB2312" w:cs="仿宋_GB2312"/>
          <w:b w:val="0"/>
          <w:bCs w:val="0"/>
        </w:rPr>
      </w:pPr>
      <w:bookmarkStart w:id="30" w:name="_Toc6380"/>
      <w:r>
        <w:rPr>
          <w:rFonts w:hint="eastAsia" w:ascii="仿宋_GB2312" w:hAnsi="仿宋_GB2312" w:eastAsia="仿宋_GB2312" w:cs="仿宋_GB2312"/>
          <w:b w:val="0"/>
          <w:bCs w:val="0"/>
          <w:shd w:val="clear" w:fill="FFFFFF"/>
        </w:rPr>
        <w:t>六、一般公共预算财政拨款支出决算表</w:t>
      </w:r>
      <w:bookmarkEnd w:id="30"/>
    </w:p>
    <w:p w14:paraId="02413D96">
      <w:pPr>
        <w:pStyle w:val="5"/>
        <w:keepNext w:val="0"/>
        <w:keepLines w:val="0"/>
        <w:widowControl/>
        <w:suppressLineNumbers w:val="0"/>
        <w:spacing w:before="0" w:beforeAutospacing="0"/>
        <w:ind w:left="0" w:leftChars="0"/>
        <w:jc w:val="left"/>
        <w:outlineLvl w:val="9"/>
        <w:rPr>
          <w:rFonts w:hint="eastAsia" w:ascii="仿宋_GB2312" w:hAnsi="仿宋_GB2312" w:eastAsia="仿宋_GB2312" w:cs="仿宋_GB2312"/>
          <w:b w:val="0"/>
          <w:bCs w:val="0"/>
        </w:rPr>
      </w:pPr>
      <w:bookmarkStart w:id="31" w:name="_Toc16179"/>
      <w:r>
        <w:rPr>
          <w:rFonts w:hint="eastAsia" w:ascii="仿宋_GB2312" w:hAnsi="仿宋_GB2312" w:eastAsia="仿宋_GB2312" w:cs="仿宋_GB2312"/>
          <w:b w:val="0"/>
          <w:bCs w:val="0"/>
          <w:shd w:val="clear" w:fill="FFFFFF"/>
        </w:rPr>
        <w:t>七、一般公共预算财政拨款支出决算明细表</w:t>
      </w:r>
      <w:bookmarkEnd w:id="31"/>
    </w:p>
    <w:p w14:paraId="0B193F82">
      <w:pPr>
        <w:pStyle w:val="5"/>
        <w:keepNext w:val="0"/>
        <w:keepLines w:val="0"/>
        <w:widowControl/>
        <w:suppressLineNumbers w:val="0"/>
        <w:spacing w:before="0" w:beforeAutospacing="0"/>
        <w:ind w:left="0" w:leftChars="0"/>
        <w:jc w:val="left"/>
        <w:outlineLvl w:val="9"/>
        <w:rPr>
          <w:rFonts w:hint="eastAsia" w:ascii="仿宋_GB2312" w:hAnsi="仿宋_GB2312" w:eastAsia="仿宋_GB2312" w:cs="仿宋_GB2312"/>
          <w:b w:val="0"/>
          <w:bCs w:val="0"/>
        </w:rPr>
      </w:pPr>
      <w:bookmarkStart w:id="32" w:name="_Toc9628"/>
      <w:r>
        <w:rPr>
          <w:rFonts w:hint="eastAsia" w:ascii="仿宋_GB2312" w:hAnsi="仿宋_GB2312" w:eastAsia="仿宋_GB2312" w:cs="仿宋_GB2312"/>
          <w:b w:val="0"/>
          <w:bCs w:val="0"/>
          <w:shd w:val="clear" w:fill="FFFFFF"/>
        </w:rPr>
        <w:t>八、一般公共预算财政拨款基本支出决算表</w:t>
      </w:r>
      <w:bookmarkEnd w:id="32"/>
    </w:p>
    <w:p w14:paraId="791DCB61">
      <w:pPr>
        <w:pStyle w:val="5"/>
        <w:keepNext w:val="0"/>
        <w:keepLines w:val="0"/>
        <w:widowControl/>
        <w:suppressLineNumbers w:val="0"/>
        <w:spacing w:before="0" w:beforeAutospacing="0"/>
        <w:ind w:left="0" w:leftChars="0"/>
        <w:jc w:val="left"/>
        <w:outlineLvl w:val="9"/>
        <w:rPr>
          <w:rFonts w:hint="eastAsia" w:ascii="仿宋_GB2312" w:hAnsi="仿宋_GB2312" w:eastAsia="仿宋_GB2312" w:cs="仿宋_GB2312"/>
          <w:b w:val="0"/>
          <w:bCs w:val="0"/>
        </w:rPr>
      </w:pPr>
      <w:bookmarkStart w:id="33" w:name="_Toc2193"/>
      <w:r>
        <w:rPr>
          <w:rFonts w:hint="eastAsia" w:ascii="仿宋_GB2312" w:hAnsi="仿宋_GB2312" w:eastAsia="仿宋_GB2312" w:cs="仿宋_GB2312"/>
          <w:b w:val="0"/>
          <w:bCs w:val="0"/>
          <w:shd w:val="clear" w:fill="FFFFFF"/>
        </w:rPr>
        <w:t>九、一般公共预算财政拨款项目支出决算表</w:t>
      </w:r>
      <w:bookmarkEnd w:id="33"/>
    </w:p>
    <w:p w14:paraId="2C9E97FA">
      <w:pPr>
        <w:pStyle w:val="5"/>
        <w:keepNext w:val="0"/>
        <w:keepLines w:val="0"/>
        <w:widowControl/>
        <w:suppressLineNumbers w:val="0"/>
        <w:spacing w:before="0" w:beforeAutospacing="0"/>
        <w:ind w:left="0" w:leftChars="0"/>
        <w:jc w:val="left"/>
        <w:outlineLvl w:val="9"/>
        <w:rPr>
          <w:rFonts w:hint="eastAsia" w:ascii="仿宋_GB2312" w:hAnsi="仿宋_GB2312" w:eastAsia="仿宋_GB2312" w:cs="仿宋_GB2312"/>
          <w:b w:val="0"/>
          <w:bCs w:val="0"/>
        </w:rPr>
      </w:pPr>
      <w:bookmarkStart w:id="34" w:name="_Toc30545"/>
      <w:r>
        <w:rPr>
          <w:rFonts w:hint="eastAsia" w:ascii="仿宋_GB2312" w:hAnsi="仿宋_GB2312" w:eastAsia="仿宋_GB2312" w:cs="仿宋_GB2312"/>
          <w:b w:val="0"/>
          <w:bCs w:val="0"/>
          <w:shd w:val="clear" w:fill="FFFFFF"/>
        </w:rPr>
        <w:t>十、政府性基金预算财政拨款收入支出决算表</w:t>
      </w:r>
      <w:bookmarkEnd w:id="34"/>
    </w:p>
    <w:p w14:paraId="485F656D">
      <w:pPr>
        <w:pStyle w:val="5"/>
        <w:keepNext w:val="0"/>
        <w:keepLines w:val="0"/>
        <w:widowControl/>
        <w:suppressLineNumbers w:val="0"/>
        <w:spacing w:before="0" w:beforeAutospacing="0"/>
        <w:ind w:left="0" w:leftChars="0"/>
        <w:jc w:val="left"/>
        <w:outlineLvl w:val="9"/>
        <w:rPr>
          <w:rFonts w:hint="eastAsia" w:ascii="仿宋_GB2312" w:hAnsi="仿宋_GB2312" w:eastAsia="仿宋_GB2312" w:cs="仿宋_GB2312"/>
          <w:b w:val="0"/>
          <w:bCs w:val="0"/>
        </w:rPr>
      </w:pPr>
      <w:bookmarkStart w:id="35" w:name="_Toc5545"/>
      <w:r>
        <w:rPr>
          <w:rFonts w:hint="eastAsia" w:ascii="仿宋_GB2312" w:hAnsi="仿宋_GB2312" w:eastAsia="仿宋_GB2312" w:cs="仿宋_GB2312"/>
          <w:b w:val="0"/>
          <w:bCs w:val="0"/>
          <w:shd w:val="clear" w:fill="FFFFFF"/>
        </w:rPr>
        <w:t>十一、国有资本经营预算财政拨款收入支出决算表</w:t>
      </w:r>
      <w:bookmarkEnd w:id="35"/>
    </w:p>
    <w:p w14:paraId="613289DA">
      <w:pPr>
        <w:pStyle w:val="5"/>
        <w:keepNext w:val="0"/>
        <w:keepLines w:val="0"/>
        <w:widowControl/>
        <w:suppressLineNumbers w:val="0"/>
        <w:spacing w:before="0" w:beforeAutospacing="0"/>
        <w:ind w:left="0" w:leftChars="0"/>
        <w:jc w:val="left"/>
        <w:outlineLvl w:val="9"/>
        <w:rPr>
          <w:rFonts w:hint="eastAsia" w:ascii="仿宋_GB2312" w:hAnsi="仿宋_GB2312" w:eastAsia="仿宋_GB2312" w:cs="仿宋_GB2312"/>
          <w:b w:val="0"/>
          <w:bCs w:val="0"/>
        </w:rPr>
      </w:pPr>
      <w:bookmarkStart w:id="36" w:name="_Toc9866"/>
      <w:r>
        <w:rPr>
          <w:rFonts w:hint="eastAsia" w:ascii="仿宋_GB2312" w:hAnsi="仿宋_GB2312" w:eastAsia="仿宋_GB2312" w:cs="仿宋_GB2312"/>
          <w:b w:val="0"/>
          <w:bCs w:val="0"/>
          <w:shd w:val="clear" w:fill="FFFFFF"/>
        </w:rPr>
        <w:t>十二、国有资本经营预算财政拨款支出决算表</w:t>
      </w:r>
      <w:bookmarkEnd w:id="36"/>
    </w:p>
    <w:p w14:paraId="3D5087A4">
      <w:pPr>
        <w:pStyle w:val="5"/>
        <w:keepNext w:val="0"/>
        <w:keepLines w:val="0"/>
        <w:widowControl/>
        <w:suppressLineNumbers w:val="0"/>
        <w:spacing w:before="0" w:beforeAutospacing="0"/>
        <w:ind w:left="0" w:leftChars="0"/>
        <w:jc w:val="left"/>
        <w:outlineLvl w:val="9"/>
        <w:rPr>
          <w:rFonts w:hint="eastAsia" w:ascii="仿宋_GB2312" w:hAnsi="仿宋_GB2312" w:eastAsia="仿宋_GB2312" w:cs="仿宋_GB2312"/>
          <w:b w:val="0"/>
          <w:bCs w:val="0"/>
        </w:rPr>
      </w:pPr>
      <w:bookmarkStart w:id="37" w:name="_Toc27929"/>
      <w:r>
        <w:rPr>
          <w:rFonts w:hint="eastAsia" w:ascii="仿宋_GB2312" w:hAnsi="仿宋_GB2312" w:eastAsia="仿宋_GB2312" w:cs="仿宋_GB2312"/>
          <w:b w:val="0"/>
          <w:bCs w:val="0"/>
          <w:shd w:val="clear" w:fill="FFFFFF"/>
        </w:rPr>
        <w:t>十三、财政拨款“三公”经费支出决算表</w:t>
      </w:r>
      <w:bookmarkEnd w:id="37"/>
    </w:p>
    <w:sectPr>
      <w:pgSz w:w="11906" w:h="16838"/>
      <w:pgMar w:top="1440" w:right="1800" w:bottom="1440" w:left="1800"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55E4A">
    <w:pPr>
      <w:pStyle w:val="11"/>
    </w:pPr>
  </w:p>
  <w:p w14:paraId="66578793">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F9AA0">
    <w:pPr>
      <w:pStyle w:val="11"/>
    </w:pPr>
  </w:p>
  <w:p w14:paraId="3DAE9682">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1F0F9C">
    <w:pPr>
      <w:pStyle w:val="11"/>
    </w:pPr>
  </w:p>
  <w:p w14:paraId="21936B21">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0B1F9">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FC0B1F9">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B7CF43"/>
    <w:multiLevelType w:val="singleLevel"/>
    <w:tmpl w:val="7FB7CF43"/>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VhZTUwMTU0YWFjMjVlZTJlMmU3M2Q4MTYwOTYzNTYifQ=="/>
  </w:docVars>
  <w:rsids>
    <w:rsidRoot w:val="00000000"/>
    <w:rsid w:val="029E0C11"/>
    <w:rsid w:val="030B61E6"/>
    <w:rsid w:val="038E27E2"/>
    <w:rsid w:val="05785B85"/>
    <w:rsid w:val="05E2024D"/>
    <w:rsid w:val="06377CD2"/>
    <w:rsid w:val="06DD4EFC"/>
    <w:rsid w:val="0727032C"/>
    <w:rsid w:val="08845B88"/>
    <w:rsid w:val="0A11678E"/>
    <w:rsid w:val="0A942A6E"/>
    <w:rsid w:val="0C865C16"/>
    <w:rsid w:val="0E5A59B2"/>
    <w:rsid w:val="0E8D7DE6"/>
    <w:rsid w:val="0E9D7796"/>
    <w:rsid w:val="0EB208AB"/>
    <w:rsid w:val="0F7E3A23"/>
    <w:rsid w:val="113E5101"/>
    <w:rsid w:val="11AE2F10"/>
    <w:rsid w:val="11FF551A"/>
    <w:rsid w:val="125E66E4"/>
    <w:rsid w:val="12907810"/>
    <w:rsid w:val="12A55D81"/>
    <w:rsid w:val="13225800"/>
    <w:rsid w:val="13B912A1"/>
    <w:rsid w:val="141330FE"/>
    <w:rsid w:val="152A4FA3"/>
    <w:rsid w:val="15E47979"/>
    <w:rsid w:val="16C534EA"/>
    <w:rsid w:val="16DB5D9B"/>
    <w:rsid w:val="19A26F15"/>
    <w:rsid w:val="1BE063BC"/>
    <w:rsid w:val="1BE57807"/>
    <w:rsid w:val="1C4C0F4A"/>
    <w:rsid w:val="1D2B351D"/>
    <w:rsid w:val="1D32512E"/>
    <w:rsid w:val="1D716CE1"/>
    <w:rsid w:val="1E4A0464"/>
    <w:rsid w:val="1E857F22"/>
    <w:rsid w:val="1F7742B3"/>
    <w:rsid w:val="1F780CEC"/>
    <w:rsid w:val="2009229D"/>
    <w:rsid w:val="206E6A90"/>
    <w:rsid w:val="20F75A0D"/>
    <w:rsid w:val="220445DB"/>
    <w:rsid w:val="23E801B1"/>
    <w:rsid w:val="24F44E2B"/>
    <w:rsid w:val="256B323A"/>
    <w:rsid w:val="28897FCD"/>
    <w:rsid w:val="28924866"/>
    <w:rsid w:val="28BB61E6"/>
    <w:rsid w:val="29223CBB"/>
    <w:rsid w:val="299C4D2B"/>
    <w:rsid w:val="29EB0C54"/>
    <w:rsid w:val="29FA4A16"/>
    <w:rsid w:val="2A1723A4"/>
    <w:rsid w:val="2AE337D3"/>
    <w:rsid w:val="2B050994"/>
    <w:rsid w:val="2B275DB5"/>
    <w:rsid w:val="2C0809D9"/>
    <w:rsid w:val="2C2E7093"/>
    <w:rsid w:val="2C315C20"/>
    <w:rsid w:val="2D031BC7"/>
    <w:rsid w:val="2F315928"/>
    <w:rsid w:val="2F9768C8"/>
    <w:rsid w:val="2FF67AD2"/>
    <w:rsid w:val="2FFB21C9"/>
    <w:rsid w:val="313C7AC2"/>
    <w:rsid w:val="31600866"/>
    <w:rsid w:val="346F034C"/>
    <w:rsid w:val="34F472D6"/>
    <w:rsid w:val="35F5085E"/>
    <w:rsid w:val="363950D2"/>
    <w:rsid w:val="3B91210A"/>
    <w:rsid w:val="3C7052B5"/>
    <w:rsid w:val="3D527E27"/>
    <w:rsid w:val="3EEB7614"/>
    <w:rsid w:val="3FF853C0"/>
    <w:rsid w:val="40264BE1"/>
    <w:rsid w:val="40AD2461"/>
    <w:rsid w:val="41B0720D"/>
    <w:rsid w:val="42EF4FB3"/>
    <w:rsid w:val="4327551F"/>
    <w:rsid w:val="43BE103B"/>
    <w:rsid w:val="44BE3060"/>
    <w:rsid w:val="44EC0EA2"/>
    <w:rsid w:val="46B130B1"/>
    <w:rsid w:val="46BE0D9D"/>
    <w:rsid w:val="46DD3F28"/>
    <w:rsid w:val="47E60322"/>
    <w:rsid w:val="48790E7B"/>
    <w:rsid w:val="4A5A2B94"/>
    <w:rsid w:val="4A763F73"/>
    <w:rsid w:val="4AD14476"/>
    <w:rsid w:val="4B067EA4"/>
    <w:rsid w:val="4C4D2D4A"/>
    <w:rsid w:val="4DAE6FC5"/>
    <w:rsid w:val="4EF132C3"/>
    <w:rsid w:val="4F5D32A4"/>
    <w:rsid w:val="502A587C"/>
    <w:rsid w:val="502F5BB5"/>
    <w:rsid w:val="51B11B10"/>
    <w:rsid w:val="540D1764"/>
    <w:rsid w:val="55544B54"/>
    <w:rsid w:val="5647231A"/>
    <w:rsid w:val="58423298"/>
    <w:rsid w:val="587D471C"/>
    <w:rsid w:val="59142C25"/>
    <w:rsid w:val="59596602"/>
    <w:rsid w:val="5B620037"/>
    <w:rsid w:val="5B657DC2"/>
    <w:rsid w:val="5D6B1052"/>
    <w:rsid w:val="5E436B37"/>
    <w:rsid w:val="5F3054BA"/>
    <w:rsid w:val="60E27AAD"/>
    <w:rsid w:val="63201EAD"/>
    <w:rsid w:val="63B438FF"/>
    <w:rsid w:val="64B81FCE"/>
    <w:rsid w:val="64D511B5"/>
    <w:rsid w:val="65256CD5"/>
    <w:rsid w:val="656C7F53"/>
    <w:rsid w:val="67B918F5"/>
    <w:rsid w:val="67E64BC1"/>
    <w:rsid w:val="69023E76"/>
    <w:rsid w:val="69BC213A"/>
    <w:rsid w:val="6A705FAC"/>
    <w:rsid w:val="6AB55B20"/>
    <w:rsid w:val="6AEE38EE"/>
    <w:rsid w:val="6B481F2B"/>
    <w:rsid w:val="6CAC7F56"/>
    <w:rsid w:val="6D4B0F0A"/>
    <w:rsid w:val="6DEF2A6B"/>
    <w:rsid w:val="6E0C6214"/>
    <w:rsid w:val="6EF03395"/>
    <w:rsid w:val="705E42EA"/>
    <w:rsid w:val="71BC7E85"/>
    <w:rsid w:val="728E35F1"/>
    <w:rsid w:val="732E2674"/>
    <w:rsid w:val="74026044"/>
    <w:rsid w:val="75DB36AE"/>
    <w:rsid w:val="771A5781"/>
    <w:rsid w:val="77A41857"/>
    <w:rsid w:val="78361943"/>
    <w:rsid w:val="78E870B2"/>
    <w:rsid w:val="78FF3732"/>
    <w:rsid w:val="7936053E"/>
    <w:rsid w:val="7ADB34AD"/>
    <w:rsid w:val="7E665422"/>
    <w:rsid w:val="7E823B29"/>
    <w:rsid w:val="7F8F5B55"/>
    <w:rsid w:val="F7FF144E"/>
    <w:rsid w:val="F9BD100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jc w:val="left"/>
    </w:pPr>
    <w:rPr>
      <w:rFonts w:asciiTheme="minorEastAsia" w:hAnsiTheme="minorEastAsia" w:eastAsiaTheme="minorEastAsia" w:cstheme="minorEastAsia"/>
      <w:kern w:val="0"/>
      <w:sz w:val="24"/>
      <w:szCs w:val="24"/>
      <w:lang w:val="en-US" w:eastAsia="zh-CN" w:bidi="ar"/>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5">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6">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7">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8">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9">
    <w:name w:val="heading 6"/>
    <w:basedOn w:val="1"/>
    <w:next w:val="1"/>
    <w:semiHidden/>
    <w:unhideWhenUsed/>
    <w:qFormat/>
    <w:uiPriority w:val="0"/>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8">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200" w:firstLineChars="200"/>
    </w:pPr>
  </w:style>
  <w:style w:type="paragraph" w:styleId="3">
    <w:name w:val="Body Text Indent"/>
    <w:basedOn w:val="1"/>
    <w:next w:val="2"/>
    <w:qFormat/>
    <w:uiPriority w:val="0"/>
    <w:pPr>
      <w:spacing w:after="120"/>
      <w:ind w:left="200" w:leftChars="200"/>
    </w:pPr>
  </w:style>
  <w:style w:type="paragraph" w:styleId="10">
    <w:name w:val="index 6"/>
    <w:basedOn w:val="1"/>
    <w:next w:val="1"/>
    <w:qFormat/>
    <w:uiPriority w:val="0"/>
    <w:pPr>
      <w:widowControl w:val="0"/>
      <w:ind w:left="2100"/>
    </w:p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9">
    <w:name w:val="Strong"/>
    <w:basedOn w:val="18"/>
    <w:qFormat/>
    <w:uiPriority w:val="0"/>
    <w:rPr>
      <w:b/>
    </w:rPr>
  </w:style>
  <w:style w:type="paragraph" w:customStyle="1" w:styleId="20">
    <w:name w:val="WPSOffice手动目录 1"/>
    <w:qFormat/>
    <w:uiPriority w:val="0"/>
    <w:pPr>
      <w:ind w:leftChars="0"/>
    </w:pPr>
    <w:rPr>
      <w:rFonts w:ascii="Times New Roman" w:hAnsi="Times New Roman" w:eastAsia="宋体" w:cs="Times New Roman"/>
      <w:sz w:val="20"/>
      <w:szCs w:val="20"/>
    </w:rPr>
  </w:style>
  <w:style w:type="paragraph" w:customStyle="1" w:styleId="21">
    <w:name w:val="WPSOffice手动目录 2"/>
    <w:qFormat/>
    <w:uiPriority w:val="0"/>
    <w:pPr>
      <w:ind w:leftChars="200"/>
    </w:pPr>
    <w:rPr>
      <w:rFonts w:ascii="Times New Roman" w:hAnsi="Times New Roman" w:eastAsia="宋体" w:cs="Times New Roman"/>
      <w:sz w:val="20"/>
      <w:szCs w:val="20"/>
    </w:rPr>
  </w:style>
  <w:style w:type="paragraph" w:customStyle="1" w:styleId="22">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chart" Target="charts/chart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2.xml"/><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收入决算情况（万元） </a:t>
            </a:r>
          </a:p>
        </c:rich>
      </c:tx>
      <c:layout/>
      <c:overlay val="0"/>
      <c:spPr>
        <a:noFill/>
        <a:ln>
          <a:noFill/>
        </a:ln>
        <a:effectLst/>
      </c:spPr>
    </c:title>
    <c:autoTitleDeleted val="0"/>
    <c:plotArea>
      <c:layout/>
      <c:pieChart>
        <c:varyColors val="1"/>
        <c:ser>
          <c:idx val="0"/>
          <c:order val="0"/>
          <c:tx>
            <c:strRef>
              <c:f>[工作簿1]Sheet2!$A$1:$A$2</c:f>
              <c:strCache>
                <c:ptCount val="1"/>
                <c:pt idx="0">
                  <c:v>收入决算情况 一般公共预算财政拨款收入</c:v>
                </c:pt>
              </c:strCache>
            </c:strRef>
          </c:tx>
          <c:spPr/>
          <c:explosion val="0"/>
          <c:dPt>
            <c:idx val="0"/>
            <c:bubble3D val="0"/>
            <c:spPr>
              <a:solidFill>
                <a:schemeClr val="accent1"/>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rPr lang="en-US" altLang="zh-CN"/>
                      <a:t>99.98%</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[工作簿1]Sheet2!$A$3</c:f>
              <c:numCache>
                <c:formatCode>General</c:formatCode>
                <c:ptCount val="1"/>
                <c:pt idx="0">
                  <c:v>1275.34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manualLayout>
          <c:xMode val="edge"/>
          <c:yMode val="edge"/>
          <c:x val="0.31138949252205"/>
          <c:y val="0.142058165548098"/>
          <c:w val="0.21321743576633"/>
          <c:h val="0.074944071588366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0263ce4-2814-4902-a720-d4300e10380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三公”经费财政拨款支出决算情况（万元）</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[工作簿1]Sheet7!$A$1</c:f>
              <c:strCache>
                <c:ptCount val="1"/>
                <c:pt idx="0">
                  <c:v>公务用车购置及运行维护费</c:v>
                </c:pt>
              </c:strCache>
            </c:strRef>
          </c:cat>
          <c:val>
            <c:numRef>
              <c:f>[工作簿1]Sheet7!$B$1</c:f>
              <c:numCache>
                <c:formatCode>0%</c:formatCode>
                <c:ptCount val="1"/>
                <c:pt idx="0">
                  <c:v>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28eeb0f-d50c-47a3-ac74-6831d157cdb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32</Pages>
  <Words>6160</Words>
  <Characters>6796</Characters>
  <TotalTime>20</TotalTime>
  <ScaleCrop>false</ScaleCrop>
  <LinksUpToDate>false</LinksUpToDate>
  <CharactersWithSpaces>6949</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2023-11-02T22:01:00Z</dcterms:created>
  <dc:creator>Admin</dc:creator>
  <cp:lastModifiedBy>趙趙趙</cp:lastModifiedBy>
  <cp:lastPrinted>2024-10-14T15:15:00Z</cp:lastPrinted>
  <dcterms:modified xsi:type="dcterms:W3CDTF">2025-09-25T09:16:01Z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5ED968BD28934716AE5D17A48618C052_13</vt:lpwstr>
  </property>
  <property fmtid="{D5CDD505-2E9C-101B-9397-08002B2CF9AE}" pid="4" name="KSOTemplateDocerSaveRecord">
    <vt:lpwstr>eyJoZGlkIjoiNGJjODJjMGZkMzg1YWQzNzdjOWY3ZTQyNDQzZDgxYjEiLCJ1c2VySWQiOiI0NDkwODM1NjYifQ==</vt:lpwstr>
  </property>
</Properties>
</file>