
<file path=[Content_Types].xml><?xml version="1.0" encoding="utf-8"?>
<Types xmlns="http://schemas.openxmlformats.org/package/2006/content-types">
  <Default Extension="xml" ContentType="application/xml"/>
  <Default Extension="xlsx" ContentType="application/vnd.openxmlformats-officedocument.spreadsheetml.shee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1D0FD">
      <w:pPr>
        <w:pageBreakBefore w:val="0"/>
        <w:kinsoku/>
        <w:wordWrap/>
        <w:overflowPunct/>
        <w:topLinePunct w:val="0"/>
        <w:autoSpaceDE/>
        <w:autoSpaceDN/>
        <w:bidi w:val="0"/>
        <w:adjustRightInd w:val="0"/>
        <w:snapToGrid w:val="0"/>
        <w:spacing w:beforeAutospacing="0" w:afterAutospacing="0" w:line="576" w:lineRule="exact"/>
        <w:ind w:left="0" w:leftChars="0"/>
        <w:rPr>
          <w:rFonts w:hint="eastAsia"/>
          <w:lang w:val="en-US" w:eastAsia="zh-CN"/>
        </w:rPr>
      </w:pPr>
      <w:bookmarkStart w:id="0" w:name="_Toc15378441"/>
      <w:bookmarkStart w:id="1" w:name="_Toc15377425"/>
      <w:bookmarkStart w:id="2" w:name="_Toc15396475"/>
      <w:bookmarkStart w:id="3" w:name="_Toc15396597"/>
      <w:bookmarkStart w:id="4" w:name="_Toc15377193"/>
      <w:bookmarkStart w:id="5" w:name="_Toc15306267"/>
    </w:p>
    <w:p w14:paraId="58235E64">
      <w:pPr>
        <w:pStyle w:val="8"/>
        <w:pageBreakBefore w:val="0"/>
        <w:kinsoku/>
        <w:wordWrap/>
        <w:overflowPunct/>
        <w:topLinePunct w:val="0"/>
        <w:autoSpaceDE/>
        <w:autoSpaceDN/>
        <w:bidi w:val="0"/>
        <w:adjustRightInd w:val="0"/>
        <w:snapToGrid w:val="0"/>
        <w:spacing w:beforeLines="0" w:beforeAutospacing="0" w:afterAutospacing="0" w:line="576" w:lineRule="exact"/>
        <w:ind w:left="0" w:leftChars="0"/>
        <w:jc w:val="center"/>
        <w:rPr>
          <w:rFonts w:hint="eastAsia" w:ascii="Times New Roman" w:hAnsi="Times New Roman" w:eastAsia="方正小标宋简体" w:cs="Times New Roman"/>
          <w:color w:val="auto"/>
          <w:kern w:val="2"/>
          <w:sz w:val="44"/>
          <w:szCs w:val="44"/>
          <w:highlight w:val="none"/>
          <w:lang w:val="en-US" w:eastAsia="zh-CN" w:bidi="ar-SA"/>
        </w:rPr>
      </w:pPr>
    </w:p>
    <w:p w14:paraId="0D9BBF5E">
      <w:pPr>
        <w:pStyle w:val="8"/>
        <w:pageBreakBefore w:val="0"/>
        <w:kinsoku/>
        <w:wordWrap/>
        <w:overflowPunct/>
        <w:topLinePunct w:val="0"/>
        <w:autoSpaceDE/>
        <w:autoSpaceDN/>
        <w:bidi w:val="0"/>
        <w:adjustRightInd w:val="0"/>
        <w:snapToGrid w:val="0"/>
        <w:spacing w:beforeLines="0" w:beforeAutospacing="0" w:afterAutospacing="0" w:line="576" w:lineRule="exact"/>
        <w:ind w:left="0" w:leftChars="0"/>
        <w:jc w:val="center"/>
        <w:rPr>
          <w:rFonts w:hint="eastAsia" w:ascii="Times New Roman" w:hAnsi="Times New Roman" w:eastAsia="方正小标宋简体" w:cs="Times New Roman"/>
          <w:color w:val="auto"/>
          <w:kern w:val="2"/>
          <w:sz w:val="96"/>
          <w:szCs w:val="96"/>
          <w:highlight w:val="none"/>
          <w:lang w:val="en-US" w:eastAsia="zh-CN" w:bidi="ar-SA"/>
        </w:rPr>
      </w:pPr>
    </w:p>
    <w:p w14:paraId="6D37DCA8">
      <w:pPr>
        <w:pStyle w:val="8"/>
        <w:pageBreakBefore w:val="0"/>
        <w:kinsoku/>
        <w:wordWrap/>
        <w:overflowPunct/>
        <w:topLinePunct w:val="0"/>
        <w:autoSpaceDE/>
        <w:autoSpaceDN/>
        <w:bidi w:val="0"/>
        <w:adjustRightInd w:val="0"/>
        <w:snapToGrid w:val="0"/>
        <w:spacing w:beforeLines="0" w:beforeAutospacing="0" w:afterAutospacing="0" w:line="576" w:lineRule="exact"/>
        <w:ind w:left="0" w:leftChars="0"/>
        <w:jc w:val="center"/>
        <w:rPr>
          <w:rFonts w:hint="eastAsia" w:ascii="方正大标宋简体" w:hAnsi="方正大标宋简体" w:eastAsia="方正大标宋简体" w:cs="方正大标宋简体"/>
          <w:color w:val="auto"/>
          <w:kern w:val="2"/>
          <w:sz w:val="200"/>
          <w:szCs w:val="200"/>
          <w:highlight w:val="none"/>
          <w:lang w:val="en-US" w:eastAsia="zh-CN" w:bidi="ar-SA"/>
        </w:rPr>
      </w:pPr>
    </w:p>
    <w:bookmarkEnd w:id="0"/>
    <w:bookmarkEnd w:id="1"/>
    <w:bookmarkEnd w:id="2"/>
    <w:bookmarkEnd w:id="3"/>
    <w:bookmarkEnd w:id="4"/>
    <w:bookmarkEnd w:id="5"/>
    <w:p w14:paraId="6E307850">
      <w:pPr>
        <w:pStyle w:val="8"/>
        <w:pageBreakBefore w:val="0"/>
        <w:widowControl w:val="0"/>
        <w:kinsoku/>
        <w:wordWrap/>
        <w:overflowPunct/>
        <w:topLinePunct w:val="0"/>
        <w:autoSpaceDE/>
        <w:autoSpaceDN/>
        <w:bidi w:val="0"/>
        <w:adjustRightInd w:val="0"/>
        <w:snapToGrid w:val="0"/>
        <w:spacing w:beforeLines="0" w:beforeAutospacing="0" w:afterAutospacing="0" w:line="240" w:lineRule="auto"/>
        <w:ind w:left="0" w:leftChars="0"/>
        <w:jc w:val="center"/>
        <w:textAlignment w:val="auto"/>
        <w:rPr>
          <w:rFonts w:hint="eastAsia" w:ascii="方正大标宋简体" w:hAnsi="方正大标宋简体" w:eastAsia="方正大标宋简体" w:cs="方正大标宋简体"/>
          <w:b w:val="0"/>
          <w:bCs w:val="0"/>
          <w:color w:val="auto"/>
          <w:kern w:val="2"/>
          <w:sz w:val="80"/>
          <w:szCs w:val="80"/>
          <w:highlight w:val="none"/>
          <w:lang w:val="en-US" w:eastAsia="zh-CN" w:bidi="ar-SA"/>
        </w:rPr>
      </w:pPr>
      <w:bookmarkStart w:id="6" w:name="_Toc15396598"/>
      <w:bookmarkStart w:id="7" w:name="_Toc15396476"/>
      <w:bookmarkStart w:id="8" w:name="_Toc15377194"/>
      <w:bookmarkStart w:id="9" w:name="_Toc15378442"/>
      <w:bookmarkStart w:id="10" w:name="_Toc15377426"/>
    </w:p>
    <w:p w14:paraId="1470239D">
      <w:pPr>
        <w:pStyle w:val="8"/>
        <w:pageBreakBefore w:val="0"/>
        <w:widowControl w:val="0"/>
        <w:kinsoku/>
        <w:wordWrap/>
        <w:overflowPunct/>
        <w:topLinePunct w:val="0"/>
        <w:autoSpaceDE/>
        <w:autoSpaceDN/>
        <w:bidi w:val="0"/>
        <w:adjustRightInd w:val="0"/>
        <w:snapToGrid w:val="0"/>
        <w:spacing w:beforeLines="0" w:beforeAutospacing="0" w:afterAutospacing="0" w:line="240" w:lineRule="auto"/>
        <w:ind w:left="0" w:leftChars="0"/>
        <w:jc w:val="center"/>
        <w:textAlignment w:val="auto"/>
        <w:rPr>
          <w:rFonts w:hint="eastAsia" w:ascii="方正大标宋简体" w:hAnsi="方正大标宋简体" w:eastAsia="方正大标宋简体" w:cs="方正大标宋简体"/>
          <w:b w:val="0"/>
          <w:bCs w:val="0"/>
          <w:color w:val="auto"/>
          <w:kern w:val="2"/>
          <w:sz w:val="80"/>
          <w:szCs w:val="80"/>
          <w:highlight w:val="none"/>
          <w:lang w:val="en-US" w:eastAsia="zh-CN" w:bidi="ar-SA"/>
        </w:rPr>
      </w:pPr>
    </w:p>
    <w:p w14:paraId="6D8B5344">
      <w:pPr>
        <w:pStyle w:val="8"/>
        <w:pageBreakBefore w:val="0"/>
        <w:widowControl w:val="0"/>
        <w:kinsoku/>
        <w:wordWrap/>
        <w:overflowPunct/>
        <w:topLinePunct w:val="0"/>
        <w:autoSpaceDE/>
        <w:autoSpaceDN/>
        <w:bidi w:val="0"/>
        <w:adjustRightInd w:val="0"/>
        <w:snapToGrid w:val="0"/>
        <w:spacing w:beforeLines="0" w:beforeAutospacing="0" w:afterAutospacing="0" w:line="240" w:lineRule="auto"/>
        <w:ind w:left="0" w:leftChars="0"/>
        <w:jc w:val="center"/>
        <w:textAlignment w:val="auto"/>
        <w:rPr>
          <w:rStyle w:val="20"/>
          <w:rFonts w:hint="eastAsia" w:ascii="方正大标宋简体" w:hAnsi="方正大标宋简体" w:eastAsia="方正大标宋简体" w:cs="方正大标宋简体"/>
          <w:b w:val="0"/>
          <w:bCs w:val="0"/>
          <w:sz w:val="80"/>
          <w:szCs w:val="80"/>
          <w:shd w:val="clear" w:color="auto" w:fill="FFFFFF"/>
          <w:lang w:val="en-US" w:eastAsia="zh-CN"/>
        </w:rPr>
      </w:pPr>
      <w:r>
        <w:rPr>
          <w:rFonts w:hint="eastAsia" w:ascii="方正大标宋简体" w:hAnsi="方正大标宋简体" w:eastAsia="方正大标宋简体" w:cs="方正大标宋简体"/>
          <w:b w:val="0"/>
          <w:bCs w:val="0"/>
          <w:color w:val="auto"/>
          <w:kern w:val="2"/>
          <w:sz w:val="80"/>
          <w:szCs w:val="80"/>
          <w:highlight w:val="none"/>
          <w:lang w:val="en-US" w:eastAsia="zh-CN" w:bidi="ar-SA"/>
        </w:rPr>
        <w:t>2024年度</w:t>
      </w:r>
      <w:bookmarkStart w:id="11" w:name="_Toc15306268"/>
      <w:r>
        <w:rPr>
          <w:rStyle w:val="20"/>
          <w:rFonts w:hint="eastAsia" w:ascii="方正大标宋简体" w:hAnsi="方正大标宋简体" w:eastAsia="方正大标宋简体" w:cs="方正大标宋简体"/>
          <w:b w:val="0"/>
          <w:bCs w:val="0"/>
          <w:sz w:val="80"/>
          <w:szCs w:val="80"/>
          <w:shd w:val="clear" w:color="auto" w:fill="FFFFFF"/>
        </w:rPr>
        <w:t>红原县</w:t>
      </w:r>
      <w:r>
        <w:rPr>
          <w:rStyle w:val="20"/>
          <w:rFonts w:hint="eastAsia" w:ascii="方正大标宋简体" w:hAnsi="方正大标宋简体" w:eastAsia="方正大标宋简体" w:cs="方正大标宋简体"/>
          <w:b w:val="0"/>
          <w:bCs w:val="0"/>
          <w:sz w:val="80"/>
          <w:szCs w:val="80"/>
          <w:shd w:val="clear" w:color="auto" w:fill="FFFFFF"/>
          <w:lang w:val="en-US" w:eastAsia="zh-CN"/>
        </w:rPr>
        <w:t>壤</w:t>
      </w:r>
      <w:bookmarkStart w:id="68" w:name="_GoBack"/>
      <w:bookmarkEnd w:id="68"/>
      <w:r>
        <w:rPr>
          <w:rStyle w:val="20"/>
          <w:rFonts w:hint="eastAsia" w:ascii="方正大标宋简体" w:hAnsi="方正大标宋简体" w:eastAsia="方正大标宋简体" w:cs="方正大标宋简体"/>
          <w:b w:val="0"/>
          <w:bCs w:val="0"/>
          <w:sz w:val="80"/>
          <w:szCs w:val="80"/>
          <w:shd w:val="clear" w:color="auto" w:fill="FFFFFF"/>
          <w:lang w:val="en-US" w:eastAsia="zh-CN"/>
        </w:rPr>
        <w:t>乡</w:t>
      </w:r>
    </w:p>
    <w:p w14:paraId="6C0A8CC7">
      <w:pPr>
        <w:pStyle w:val="8"/>
        <w:pageBreakBefore w:val="0"/>
        <w:widowControl w:val="0"/>
        <w:kinsoku/>
        <w:wordWrap/>
        <w:overflowPunct/>
        <w:topLinePunct w:val="0"/>
        <w:autoSpaceDE/>
        <w:autoSpaceDN/>
        <w:bidi w:val="0"/>
        <w:adjustRightInd w:val="0"/>
        <w:snapToGrid w:val="0"/>
        <w:spacing w:beforeLines="0" w:beforeAutospacing="0" w:afterAutospacing="0" w:line="240" w:lineRule="auto"/>
        <w:ind w:left="0" w:leftChars="0"/>
        <w:jc w:val="center"/>
        <w:textAlignment w:val="auto"/>
        <w:rPr>
          <w:rFonts w:hint="eastAsia" w:ascii="方正大标宋简体" w:hAnsi="方正大标宋简体" w:eastAsia="方正大标宋简体" w:cs="方正大标宋简体"/>
          <w:b w:val="0"/>
          <w:bCs w:val="0"/>
          <w:color w:val="auto"/>
          <w:kern w:val="2"/>
          <w:sz w:val="80"/>
          <w:szCs w:val="80"/>
          <w:highlight w:val="none"/>
          <w:lang w:val="en-US" w:eastAsia="zh-CN" w:bidi="ar-SA"/>
        </w:rPr>
      </w:pPr>
      <w:r>
        <w:rPr>
          <w:rStyle w:val="20"/>
          <w:rFonts w:hint="eastAsia" w:ascii="方正大标宋简体" w:hAnsi="方正大标宋简体" w:eastAsia="方正大标宋简体" w:cs="方正大标宋简体"/>
          <w:b w:val="0"/>
          <w:bCs w:val="0"/>
          <w:sz w:val="80"/>
          <w:szCs w:val="80"/>
          <w:shd w:val="clear" w:color="auto" w:fill="FFFFFF"/>
          <w:lang w:val="en-US" w:eastAsia="zh-CN"/>
        </w:rPr>
        <w:t>卫生院</w:t>
      </w:r>
      <w:r>
        <w:rPr>
          <w:rStyle w:val="20"/>
          <w:rFonts w:hint="eastAsia" w:ascii="方正大标宋简体" w:hAnsi="方正大标宋简体" w:eastAsia="方正大标宋简体" w:cs="方正大标宋简体"/>
          <w:b w:val="0"/>
          <w:bCs w:val="0"/>
          <w:sz w:val="80"/>
          <w:szCs w:val="80"/>
          <w:shd w:val="clear" w:color="auto" w:fill="FFFFFF"/>
          <w:lang w:eastAsia="zh-CN"/>
        </w:rPr>
        <w:t>单位</w:t>
      </w:r>
      <w:r>
        <w:rPr>
          <w:rStyle w:val="20"/>
          <w:rFonts w:hint="eastAsia" w:ascii="方正大标宋简体" w:hAnsi="方正大标宋简体" w:eastAsia="方正大标宋简体" w:cs="方正大标宋简体"/>
          <w:b w:val="0"/>
          <w:bCs w:val="0"/>
          <w:sz w:val="80"/>
          <w:szCs w:val="80"/>
          <w:shd w:val="clear" w:color="auto" w:fill="FFFFFF"/>
        </w:rPr>
        <w:t>决算</w:t>
      </w:r>
      <w:bookmarkEnd w:id="6"/>
      <w:bookmarkEnd w:id="7"/>
      <w:bookmarkEnd w:id="8"/>
      <w:bookmarkEnd w:id="9"/>
      <w:bookmarkEnd w:id="10"/>
      <w:bookmarkEnd w:id="11"/>
    </w:p>
    <w:p w14:paraId="36953E3F">
      <w:pPr>
        <w:pStyle w:val="7"/>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ind w:left="0" w:leftChars="0"/>
        <w:jc w:val="center"/>
        <w:textAlignment w:val="auto"/>
        <w:rPr>
          <w:rFonts w:hint="eastAsia"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w:t>
      </w:r>
      <w:r>
        <w:rPr>
          <w:rFonts w:hint="eastAsia" w:ascii="Times New Roman" w:hAnsi="Times New Roman"/>
          <w:color w:val="auto"/>
          <w:sz w:val="48"/>
          <w:szCs w:val="48"/>
          <w:highlight w:val="none"/>
          <w:lang w:val="en-US" w:eastAsia="zh-CN"/>
        </w:rPr>
        <w:t xml:space="preserve">  </w:t>
      </w:r>
      <w:r>
        <w:rPr>
          <w:rFonts w:hint="eastAsia" w:ascii="Times New Roman" w:hAnsi="Times New Roman" w:eastAsia="黑体"/>
          <w:color w:val="auto"/>
          <w:sz w:val="48"/>
          <w:szCs w:val="48"/>
          <w:highlight w:val="none"/>
        </w:rPr>
        <w:t>录</w:t>
      </w:r>
    </w:p>
    <w:p w14:paraId="3585E33C"/>
    <w:p w14:paraId="350B3681">
      <w:pPr>
        <w:pStyle w:val="13"/>
        <w:pageBreakBefore w:val="0"/>
        <w:kinsoku/>
        <w:wordWrap/>
        <w:overflowPunct/>
        <w:topLinePunct w:val="0"/>
        <w:autoSpaceDE/>
        <w:autoSpaceDN/>
        <w:bidi w:val="0"/>
        <w:adjustRightInd w:val="0"/>
        <w:snapToGrid w:val="0"/>
        <w:spacing w:before="0" w:beforeAutospacing="0" w:afterAutospacing="0" w:line="576" w:lineRule="exact"/>
        <w:ind w:left="0" w:leftChars="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28</w:t>
      </w:r>
      <w:r>
        <w:rPr>
          <w:rFonts w:hint="eastAsia" w:ascii="Times New Roman" w:hAnsi="Times New Roman" w:eastAsia="仿宋_GB2312" w:cs="仿宋_GB2312"/>
          <w:color w:val="auto"/>
          <w:sz w:val="32"/>
          <w:szCs w:val="32"/>
          <w:highlight w:val="none"/>
        </w:rPr>
        <w:t>日</w:t>
      </w:r>
    </w:p>
    <w:p w14:paraId="77F119DE"/>
    <w:p w14:paraId="5D733D40">
      <w:pPr>
        <w:rPr>
          <w:rFonts w:hint="eastAsia" w:ascii="Times New Roman" w:hAnsi="Times New Roman" w:eastAsia="黑体" w:cs="黑体"/>
          <w:b/>
          <w:bCs/>
          <w:color w:val="auto"/>
          <w:sz w:val="32"/>
          <w:szCs w:val="32"/>
          <w:highlight w:val="none"/>
        </w:rPr>
      </w:pPr>
      <w:r>
        <w:rPr>
          <w:rFonts w:hint="eastAsia" w:ascii="Times New Roman" w:hAnsi="Times New Roman" w:eastAsia="黑体" w:cs="黑体"/>
          <w:b/>
          <w:bCs/>
          <w:color w:val="auto"/>
          <w:sz w:val="32"/>
          <w:szCs w:val="32"/>
          <w:highlight w:val="none"/>
        </w:rPr>
        <w:t>第一部分 部门概况</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kern w:val="2"/>
          <w:sz w:val="32"/>
          <w:szCs w:val="32"/>
          <w:highlight w:val="none"/>
          <w:lang w:val="en-US" w:eastAsia="zh-CN" w:bidi="ar-SA"/>
        </w:rPr>
        <w:t>1</w:t>
      </w:r>
    </w:p>
    <w:p w14:paraId="5323C3B7">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1</w:t>
      </w:r>
    </w:p>
    <w:p w14:paraId="40DDD000">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1</w:t>
      </w:r>
    </w:p>
    <w:p w14:paraId="10759883">
      <w:pPr>
        <w:pStyle w:val="13"/>
        <w:keepNext w:val="0"/>
        <w:keepLines w:val="0"/>
        <w:pageBreakBefore w:val="0"/>
        <w:kinsoku/>
        <w:wordWrap/>
        <w:overflowPunct/>
        <w:topLinePunct w:val="0"/>
        <w:autoSpaceDE/>
        <w:autoSpaceDN/>
        <w:bidi w:val="0"/>
        <w:adjustRightInd w:val="0"/>
        <w:snapToGrid w:val="0"/>
        <w:spacing w:before="0" w:beforeAutospacing="0" w:afterAutospacing="0" w:line="576" w:lineRule="exact"/>
        <w:ind w:left="0" w:leftChars="0"/>
        <w:jc w:val="left"/>
        <w:textAlignment w:val="auto"/>
        <w:rPr>
          <w:rFonts w:hint="eastAsia" w:ascii="Times New Roman" w:hAnsi="Times New Roman" w:eastAsia="黑体" w:cs="黑体"/>
          <w:b/>
          <w:bCs/>
          <w:color w:val="auto"/>
          <w:sz w:val="32"/>
          <w:szCs w:val="32"/>
          <w:highlight w:val="none"/>
        </w:rPr>
      </w:pPr>
      <w:r>
        <w:rPr>
          <w:rFonts w:hint="eastAsia" w:ascii="Times New Roman" w:hAnsi="Times New Roman" w:eastAsia="黑体" w:cs="黑体"/>
          <w:b/>
          <w:bCs/>
          <w:color w:val="auto"/>
          <w:sz w:val="32"/>
          <w:szCs w:val="32"/>
          <w:highlight w:val="none"/>
        </w:rPr>
        <w:t>第二部分</w:t>
      </w:r>
      <w:r>
        <w:rPr>
          <w:rFonts w:hint="eastAsia" w:ascii="Times New Roman" w:hAnsi="Times New Roman" w:eastAsia="黑体" w:cs="黑体"/>
          <w:b/>
          <w:bCs/>
          <w:color w:val="auto"/>
          <w:sz w:val="32"/>
          <w:szCs w:val="32"/>
          <w:highlight w:val="none"/>
          <w:lang w:val="en-US" w:eastAsia="zh-CN"/>
        </w:rPr>
        <w:t xml:space="preserve"> 2024年度</w:t>
      </w:r>
      <w:r>
        <w:rPr>
          <w:rFonts w:hint="eastAsia" w:ascii="Times New Roman" w:hAnsi="Times New Roman" w:eastAsia="黑体" w:cs="黑体"/>
          <w:b/>
          <w:bCs/>
          <w:color w:val="auto"/>
          <w:sz w:val="32"/>
          <w:szCs w:val="32"/>
          <w:highlight w:val="none"/>
        </w:rPr>
        <w:t>部门决算情况说明</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kern w:val="2"/>
          <w:sz w:val="32"/>
          <w:szCs w:val="32"/>
          <w:highlight w:val="none"/>
          <w:lang w:val="en-US" w:eastAsia="zh-CN" w:bidi="ar-SA"/>
        </w:rPr>
        <w:t>2</w:t>
      </w:r>
    </w:p>
    <w:p w14:paraId="17519B84">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2</w:t>
      </w:r>
    </w:p>
    <w:p w14:paraId="59D287E2">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2</w:t>
      </w:r>
    </w:p>
    <w:p w14:paraId="03179644">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3</w:t>
      </w:r>
    </w:p>
    <w:p w14:paraId="69AD3616">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3</w:t>
      </w:r>
    </w:p>
    <w:p w14:paraId="645C1D51">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4</w:t>
      </w:r>
    </w:p>
    <w:p w14:paraId="238A974A">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6</w:t>
      </w:r>
    </w:p>
    <w:p w14:paraId="04E15927">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6</w:t>
      </w:r>
    </w:p>
    <w:p w14:paraId="2D3CEDAF">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8</w:t>
      </w:r>
    </w:p>
    <w:p w14:paraId="1B4F85FC">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8</w:t>
      </w:r>
    </w:p>
    <w:p w14:paraId="3FC630BC">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8</w:t>
      </w:r>
    </w:p>
    <w:p w14:paraId="55CD9B62">
      <w:pPr>
        <w:pStyle w:val="13"/>
        <w:keepNext w:val="0"/>
        <w:keepLines w:val="0"/>
        <w:pageBreakBefore w:val="0"/>
        <w:kinsoku/>
        <w:wordWrap/>
        <w:overflowPunct/>
        <w:topLinePunct w:val="0"/>
        <w:autoSpaceDE/>
        <w:autoSpaceDN/>
        <w:bidi w:val="0"/>
        <w:adjustRightInd w:val="0"/>
        <w:snapToGrid w:val="0"/>
        <w:spacing w:before="0" w:beforeAutospacing="0" w:afterAutospacing="0" w:line="576" w:lineRule="exact"/>
        <w:ind w:left="0" w:leftChars="0"/>
        <w:jc w:val="left"/>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第三部分 名词解释</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15</w:t>
      </w:r>
    </w:p>
    <w:p w14:paraId="17247B7B">
      <w:pPr>
        <w:pStyle w:val="13"/>
        <w:keepNext w:val="0"/>
        <w:keepLines w:val="0"/>
        <w:pageBreakBefore w:val="0"/>
        <w:kinsoku/>
        <w:wordWrap/>
        <w:overflowPunct/>
        <w:topLinePunct w:val="0"/>
        <w:autoSpaceDE/>
        <w:autoSpaceDN/>
        <w:bidi w:val="0"/>
        <w:adjustRightInd w:val="0"/>
        <w:snapToGrid w:val="0"/>
        <w:spacing w:before="0" w:beforeAutospacing="0" w:afterAutospacing="0" w:line="576" w:lineRule="exact"/>
        <w:ind w:left="0" w:leftChars="0"/>
        <w:jc w:val="left"/>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第四部分 附件</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18</w:t>
      </w:r>
    </w:p>
    <w:p w14:paraId="6FC43A66">
      <w:pPr>
        <w:pStyle w:val="13"/>
        <w:keepNext w:val="0"/>
        <w:keepLines w:val="0"/>
        <w:pageBreakBefore w:val="0"/>
        <w:kinsoku/>
        <w:wordWrap/>
        <w:overflowPunct/>
        <w:topLinePunct w:val="0"/>
        <w:autoSpaceDE/>
        <w:autoSpaceDN/>
        <w:bidi w:val="0"/>
        <w:adjustRightInd w:val="0"/>
        <w:snapToGrid w:val="0"/>
        <w:spacing w:before="0" w:beforeAutospacing="0" w:afterAutospacing="0" w:line="576" w:lineRule="exact"/>
        <w:ind w:left="0" w:leftChars="0"/>
        <w:jc w:val="left"/>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第五部分 附表</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27</w:t>
      </w:r>
    </w:p>
    <w:p w14:paraId="2670E355">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27</w:t>
      </w:r>
    </w:p>
    <w:p w14:paraId="696EE065">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27</w:t>
      </w:r>
    </w:p>
    <w:p w14:paraId="708B62FB">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27</w:t>
      </w:r>
    </w:p>
    <w:p w14:paraId="2D87C2D7">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27</w:t>
      </w:r>
    </w:p>
    <w:p w14:paraId="5F580DBB">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27</w:t>
      </w:r>
    </w:p>
    <w:p w14:paraId="4ED002BC">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27</w:t>
      </w:r>
    </w:p>
    <w:p w14:paraId="2F127DD9">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27</w:t>
      </w:r>
    </w:p>
    <w:p w14:paraId="6BFD5207">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27</w:t>
      </w:r>
    </w:p>
    <w:p w14:paraId="27BDFCD0">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27</w:t>
      </w:r>
    </w:p>
    <w:p w14:paraId="1A7FF783">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27</w:t>
      </w:r>
    </w:p>
    <w:p w14:paraId="6F410D79">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27</w:t>
      </w:r>
    </w:p>
    <w:p w14:paraId="57206B7A">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27</w:t>
      </w:r>
    </w:p>
    <w:p w14:paraId="4628121D">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27</w:t>
      </w:r>
    </w:p>
    <w:p w14:paraId="3BB7D5D0">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0517AE3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方正小标宋简体" w:hAnsi="方正小标宋简体" w:eastAsia="方正小标宋简体" w:cs="方正小标宋简体"/>
          <w:b w:val="0"/>
          <w:bCs/>
          <w:i w:val="0"/>
          <w:color w:val="000000"/>
          <w:kern w:val="0"/>
          <w:sz w:val="44"/>
          <w:szCs w:val="44"/>
          <w:u w:val="none"/>
          <w:lang w:val="en-US" w:eastAsia="zh-CN" w:bidi="ar"/>
        </w:rPr>
        <w:sectPr>
          <w:footerReference r:id="rId5" w:type="first"/>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425" w:num="1"/>
          <w:titlePg/>
          <w:docGrid w:type="lines" w:linePitch="312" w:charSpace="0"/>
        </w:sectPr>
      </w:pPr>
      <w:bookmarkStart w:id="12" w:name="_Toc15396599"/>
      <w:bookmarkStart w:id="13" w:name="_Toc15377196"/>
    </w:p>
    <w:p w14:paraId="37F5385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方正小标宋简体" w:hAnsi="方正小标宋简体" w:eastAsia="方正小标宋简体" w:cs="方正小标宋简体"/>
          <w:b w:val="0"/>
          <w:bCs/>
          <w:i w:val="0"/>
          <w:color w:val="000000"/>
          <w:kern w:val="0"/>
          <w:sz w:val="44"/>
          <w:szCs w:val="44"/>
          <w:u w:val="none"/>
          <w:lang w:val="en-US" w:eastAsia="zh-CN" w:bidi="ar"/>
        </w:rPr>
      </w:pPr>
      <w:r>
        <w:rPr>
          <w:rFonts w:hint="eastAsia" w:ascii="方正小标宋简体" w:hAnsi="方正小标宋简体" w:eastAsia="方正小标宋简体" w:cs="方正小标宋简体"/>
          <w:b w:val="0"/>
          <w:bCs/>
          <w:i w:val="0"/>
          <w:color w:val="000000"/>
          <w:kern w:val="0"/>
          <w:sz w:val="44"/>
          <w:szCs w:val="44"/>
          <w:u w:val="none"/>
          <w:lang w:val="en-US" w:eastAsia="zh-CN" w:bidi="ar"/>
        </w:rPr>
        <w:t>第一部分  部门概况</w:t>
      </w:r>
      <w:bookmarkEnd w:id="12"/>
      <w:bookmarkEnd w:id="13"/>
    </w:p>
    <w:p w14:paraId="4CCF5542">
      <w:pPr>
        <w:pStyle w:val="5"/>
        <w:keepNext/>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Fonts w:hint="eastAsia" w:ascii="Times New Roman" w:hAnsi="Times New Roman" w:eastAsia="黑体"/>
          <w:b/>
          <w:bCs w:val="0"/>
          <w:color w:val="auto"/>
          <w:highlight w:val="none"/>
          <w:lang w:eastAsia="zh-CN"/>
        </w:rPr>
      </w:pPr>
      <w:r>
        <w:rPr>
          <w:rFonts w:hint="eastAsia" w:ascii="Times New Roman" w:hAnsi="Times New Roman" w:eastAsia="黑体" w:cstheme="majorBidi"/>
          <w:b/>
          <w:bCs w:val="0"/>
          <w:color w:val="auto"/>
          <w:kern w:val="2"/>
          <w:sz w:val="32"/>
          <w:szCs w:val="32"/>
          <w:lang w:val="en-US" w:eastAsia="zh-CN" w:bidi="ar-SA"/>
        </w:rPr>
        <w:t>一、</w:t>
      </w:r>
      <w:r>
        <w:rPr>
          <w:rFonts w:hint="eastAsia" w:ascii="Times New Roman" w:hAnsi="Times New Roman" w:eastAsia="黑体"/>
          <w:b/>
          <w:bCs w:val="0"/>
          <w:color w:val="auto"/>
          <w:highlight w:val="none"/>
          <w:lang w:eastAsia="zh-CN"/>
        </w:rPr>
        <w:t>部门职责</w:t>
      </w:r>
    </w:p>
    <w:p w14:paraId="0DFD5D8F">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lang w:eastAsia="zh-CN"/>
        </w:rPr>
      </w:pPr>
      <w:r>
        <w:rPr>
          <w:rFonts w:hint="eastAsia" w:ascii="仿宋_GB2312" w:hAnsi="仿宋_GB2312" w:eastAsia="仿宋_GB2312" w:cs="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14:paraId="3235319B">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Style w:val="32"/>
          <w:rFonts w:ascii="Times New Roman" w:hAnsi="Times New Roman"/>
          <w:b/>
          <w:bCs w:val="0"/>
          <w:color w:val="auto"/>
          <w:highlight w:val="none"/>
        </w:rPr>
      </w:pPr>
      <w:bookmarkStart w:id="14" w:name="_Toc15377200"/>
      <w:bookmarkStart w:id="15" w:name="_Toc15396601"/>
      <w:r>
        <w:rPr>
          <w:rFonts w:hint="eastAsia" w:ascii="Times New Roman" w:hAnsi="Times New Roman" w:eastAsia="黑体"/>
          <w:b/>
          <w:bCs w:val="0"/>
          <w:color w:val="auto"/>
          <w:highlight w:val="none"/>
        </w:rPr>
        <w:t>二、机</w:t>
      </w:r>
      <w:r>
        <w:rPr>
          <w:rStyle w:val="32"/>
          <w:rFonts w:hint="eastAsia" w:ascii="Times New Roman" w:hAnsi="Times New Roman" w:eastAsia="黑体"/>
          <w:b/>
          <w:bCs w:val="0"/>
          <w:color w:val="auto"/>
          <w:highlight w:val="none"/>
        </w:rPr>
        <w:t>构设置</w:t>
      </w:r>
      <w:bookmarkEnd w:id="14"/>
      <w:bookmarkEnd w:id="15"/>
    </w:p>
    <w:p w14:paraId="22860CA9">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红原县壤口乡卫生院</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w:t>
      </w:r>
      <w:r>
        <w:rPr>
          <w:rFonts w:hint="eastAsia" w:ascii="仿宋_GB2312" w:hAnsi="仿宋_GB2312" w:eastAsia="仿宋_GB2312" w:cs="仿宋_GB2312"/>
          <w:bCs/>
          <w:sz w:val="32"/>
          <w:szCs w:val="32"/>
        </w:rPr>
        <w:t>我单位为独立核算全额拨款事业单位，</w:t>
      </w:r>
      <w:r>
        <w:rPr>
          <w:rFonts w:hint="eastAsia" w:ascii="仿宋_GB2312" w:hAnsi="仿宋_GB2312" w:eastAsia="仿宋_GB2312" w:cs="仿宋_GB2312"/>
          <w:bCs/>
          <w:sz w:val="32"/>
          <w:szCs w:val="32"/>
          <w:lang w:eastAsia="zh-CN"/>
        </w:rPr>
        <w:t>下设</w:t>
      </w:r>
      <w:r>
        <w:rPr>
          <w:rFonts w:hint="eastAsia" w:ascii="仿宋_GB2312" w:hAnsi="仿宋_GB2312" w:eastAsia="仿宋_GB2312" w:cs="仿宋_GB2312"/>
          <w:bCs/>
          <w:sz w:val="32"/>
          <w:szCs w:val="32"/>
          <w:lang w:val="en-US" w:eastAsia="zh-CN"/>
        </w:rPr>
        <w:t>1机构。</w:t>
      </w:r>
      <w:r>
        <w:rPr>
          <w:rFonts w:hint="eastAsia" w:ascii="仿宋_GB2312" w:hAnsi="仿宋_GB2312" w:eastAsia="仿宋_GB2312" w:cs="仿宋_GB2312"/>
          <w:bCs/>
          <w:sz w:val="32"/>
          <w:szCs w:val="32"/>
        </w:rPr>
        <w:t>截止20</w:t>
      </w:r>
      <w:r>
        <w:rPr>
          <w:rFonts w:hint="eastAsia" w:ascii="仿宋_GB2312" w:hAnsi="仿宋_GB2312" w:eastAsia="仿宋_GB2312" w:cs="仿宋_GB2312"/>
          <w:bCs/>
          <w:sz w:val="32"/>
          <w:szCs w:val="32"/>
          <w:lang w:val="en-US" w:eastAsia="zh-CN"/>
        </w:rPr>
        <w:t>24</w:t>
      </w:r>
      <w:r>
        <w:rPr>
          <w:rFonts w:hint="eastAsia" w:ascii="仿宋_GB2312" w:hAnsi="仿宋_GB2312" w:eastAsia="仿宋_GB2312" w:cs="仿宋_GB2312"/>
          <w:bCs/>
          <w:sz w:val="32"/>
          <w:szCs w:val="32"/>
        </w:rPr>
        <w:t>年底我单位</w:t>
      </w:r>
      <w:r>
        <w:rPr>
          <w:rFonts w:hint="eastAsia" w:ascii="仿宋_GB2312" w:hAnsi="仿宋_GB2312" w:eastAsia="仿宋_GB2312" w:cs="仿宋_GB2312"/>
          <w:color w:val="000000"/>
          <w:kern w:val="0"/>
          <w:sz w:val="32"/>
          <w:szCs w:val="32"/>
          <w:lang w:val="en-US" w:eastAsia="zh-CN" w:bidi="ar"/>
        </w:rPr>
        <w:t>共有编制8个，其中事业编8个，在职8人,</w:t>
      </w:r>
      <w:r>
        <w:rPr>
          <w:rFonts w:hint="eastAsia" w:ascii="仿宋_GB2312" w:hAnsi="仿宋_GB2312" w:eastAsia="仿宋_GB2312" w:cs="仿宋_GB2312"/>
          <w:bCs/>
          <w:sz w:val="32"/>
          <w:szCs w:val="32"/>
        </w:rPr>
        <w:t>事业编制</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人</w:t>
      </w:r>
    </w:p>
    <w:p w14:paraId="425BF5D8">
      <w:pPr>
        <w:pStyle w:val="8"/>
        <w:pageBreakBefore w:val="0"/>
        <w:kinsoku/>
        <w:wordWrap/>
        <w:overflowPunct/>
        <w:topLinePunct w:val="0"/>
        <w:autoSpaceDE/>
        <w:autoSpaceDN/>
        <w:bidi w:val="0"/>
        <w:adjustRightInd w:val="0"/>
        <w:snapToGrid w:val="0"/>
        <w:spacing w:beforeLines="0" w:beforeAutospacing="0" w:afterAutospacing="0" w:line="576" w:lineRule="exact"/>
        <w:ind w:left="0" w:leftChars="0"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红原县</w:t>
      </w:r>
      <w:r>
        <w:rPr>
          <w:rFonts w:hint="eastAsia" w:ascii="仿宋_GB2312" w:hAnsi="仿宋_GB2312" w:eastAsia="仿宋_GB2312" w:cs="仿宋_GB2312"/>
          <w:color w:val="auto"/>
          <w:sz w:val="32"/>
          <w:szCs w:val="32"/>
          <w:highlight w:val="none"/>
        </w:rPr>
        <w:t>壤口乡</w:t>
      </w:r>
      <w:r>
        <w:rPr>
          <w:sz w:val="32"/>
          <w:szCs w:val="32"/>
        </w:rPr>
        <w:t>卫生院</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w:t>
      </w:r>
      <w:r>
        <w:rPr>
          <w:rFonts w:hint="eastAsia" w:ascii="Times New Roman" w:cs="仿宋_GB2312"/>
          <w:color w:val="auto"/>
          <w:sz w:val="32"/>
          <w:szCs w:val="32"/>
          <w:highlight w:val="none"/>
          <w:lang w:eastAsia="zh-CN"/>
        </w:rPr>
        <w:t>无</w:t>
      </w:r>
    </w:p>
    <w:p w14:paraId="30F5219E">
      <w:pPr>
        <w:pageBreakBefore w:val="0"/>
        <w:widowControl/>
        <w:kinsoku/>
        <w:wordWrap/>
        <w:overflowPunct/>
        <w:topLinePunct w:val="0"/>
        <w:autoSpaceDE/>
        <w:autoSpaceDN/>
        <w:bidi w:val="0"/>
        <w:adjustRightInd w:val="0"/>
        <w:snapToGrid w:val="0"/>
        <w:spacing w:beforeAutospacing="0" w:afterAutospacing="0" w:line="576" w:lineRule="exact"/>
        <w:ind w:left="0" w:leftChars="0"/>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207C5B3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方正小标宋简体" w:hAnsi="方正小标宋简体" w:eastAsia="方正小标宋简体" w:cs="方正小标宋简体"/>
          <w:b w:val="0"/>
          <w:bCs/>
          <w:i w:val="0"/>
          <w:color w:val="000000"/>
          <w:kern w:val="0"/>
          <w:sz w:val="44"/>
          <w:szCs w:val="44"/>
          <w:u w:val="none"/>
          <w:lang w:val="en-US" w:eastAsia="zh-CN" w:bidi="ar"/>
        </w:rPr>
      </w:pPr>
      <w:bookmarkStart w:id="16" w:name="_Toc15396602"/>
      <w:bookmarkStart w:id="17" w:name="_Toc15377204"/>
      <w:r>
        <w:rPr>
          <w:rFonts w:hint="eastAsia" w:ascii="方正小标宋简体" w:hAnsi="方正小标宋简体" w:eastAsia="方正小标宋简体" w:cs="方正小标宋简体"/>
          <w:b w:val="0"/>
          <w:bCs/>
          <w:i w:val="0"/>
          <w:color w:val="000000"/>
          <w:kern w:val="0"/>
          <w:sz w:val="44"/>
          <w:szCs w:val="44"/>
          <w:u w:val="none"/>
          <w:lang w:val="en-US" w:eastAsia="zh-CN" w:bidi="ar"/>
        </w:rPr>
        <w:t>第二部分  2024年度部门决算情况说明</w:t>
      </w:r>
      <w:bookmarkEnd w:id="16"/>
      <w:bookmarkEnd w:id="17"/>
    </w:p>
    <w:p w14:paraId="7825E8C4">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Fonts w:hint="eastAsia" w:ascii="Times New Roman" w:hAnsi="Times New Roman" w:eastAsia="黑体"/>
          <w:b/>
          <w:bCs w:val="0"/>
          <w:color w:val="auto"/>
          <w:highlight w:val="none"/>
        </w:rPr>
      </w:pPr>
      <w:bookmarkStart w:id="18" w:name="_Toc15377205"/>
      <w:bookmarkStart w:id="19" w:name="_Toc15396603"/>
      <w:r>
        <w:rPr>
          <w:rFonts w:hint="eastAsia" w:ascii="Times New Roman" w:hAnsi="Times New Roman" w:eastAsia="黑体"/>
          <w:b/>
          <w:bCs w:val="0"/>
          <w:color w:val="auto"/>
          <w:highlight w:val="none"/>
          <w:lang w:eastAsia="zh-CN"/>
        </w:rPr>
        <w:t>一、</w:t>
      </w:r>
      <w:r>
        <w:rPr>
          <w:rFonts w:hint="eastAsia" w:ascii="Times New Roman" w:hAnsi="Times New Roman" w:eastAsia="黑体"/>
          <w:b/>
          <w:bCs w:val="0"/>
          <w:color w:val="auto"/>
          <w:highlight w:val="none"/>
        </w:rPr>
        <w:t>收入支出决算总体情况说明</w:t>
      </w:r>
      <w:bookmarkEnd w:id="18"/>
      <w:bookmarkEnd w:id="19"/>
    </w:p>
    <w:p w14:paraId="72F55644">
      <w:pPr>
        <w:pStyle w:val="30"/>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1"/>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163.76</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eastAsia="仿宋_GB2312" w:cs="仿宋_GB2312"/>
          <w:color w:val="auto"/>
          <w:sz w:val="32"/>
          <w:szCs w:val="32"/>
          <w:highlight w:val="none"/>
          <w:lang w:val="en-US" w:eastAsia="zh-CN"/>
        </w:rPr>
        <w:t>169.77</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w:t>
      </w:r>
      <w:r>
        <w:rPr>
          <w:rFonts w:hint="eastAsia" w:eastAsia="仿宋_GB2312" w:cs="仿宋_GB2312"/>
          <w:color w:val="auto"/>
          <w:sz w:val="32"/>
          <w:szCs w:val="32"/>
          <w:highlight w:val="none"/>
          <w:lang w:eastAsia="zh-CN"/>
        </w:rPr>
        <w:t>减少</w:t>
      </w:r>
      <w:r>
        <w:rPr>
          <w:rFonts w:hint="eastAsia" w:eastAsia="仿宋_GB2312" w:cs="仿宋_GB2312"/>
          <w:color w:val="auto"/>
          <w:sz w:val="32"/>
          <w:szCs w:val="32"/>
          <w:highlight w:val="none"/>
          <w:lang w:val="en-US" w:eastAsia="zh-CN"/>
        </w:rPr>
        <w:t>6.01</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0.036</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2023有核增一次性绩效工资。</w:t>
      </w:r>
    </w:p>
    <w:p w14:paraId="25EAE95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08954CD7">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Fonts w:hint="eastAsia" w:ascii="Times New Roman" w:hAnsi="Times New Roman" w:eastAsia="黑体"/>
          <w:b/>
          <w:bCs w:val="0"/>
          <w:color w:val="auto"/>
          <w:highlight w:val="none"/>
          <w:lang w:eastAsia="zh-CN"/>
        </w:rPr>
      </w:pPr>
      <w:bookmarkStart w:id="20" w:name="_Toc15377206"/>
      <w:bookmarkStart w:id="21" w:name="_Toc15396604"/>
      <w:r>
        <w:rPr>
          <w:rFonts w:hint="eastAsia" w:ascii="Times New Roman" w:hAnsi="Times New Roman" w:eastAsia="黑体"/>
          <w:b/>
          <w:bCs w:val="0"/>
          <w:color w:val="auto"/>
          <w:highlight w:val="none"/>
          <w:lang w:eastAsia="zh-CN"/>
        </w:rPr>
        <w:t>二、收入决算情况说明</w:t>
      </w:r>
      <w:bookmarkEnd w:id="20"/>
      <w:bookmarkEnd w:id="21"/>
    </w:p>
    <w:p w14:paraId="1EC2AFE2">
      <w:pPr>
        <w:pStyle w:val="30"/>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-352425</wp:posOffset>
            </wp:positionH>
            <wp:positionV relativeFrom="paragraph">
              <wp:posOffset>39370</wp:posOffset>
            </wp:positionV>
            <wp:extent cx="6160770" cy="1698625"/>
            <wp:effectExtent l="4445" t="4445" r="6985" b="1143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163.76万元，其中：一般公共预算财政拨款收入163.76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14:paraId="1CB4E3F6">
      <w:pPr>
        <w:pStyle w:val="30"/>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-305435</wp:posOffset>
            </wp:positionH>
            <wp:positionV relativeFrom="paragraph">
              <wp:posOffset>114935</wp:posOffset>
            </wp:positionV>
            <wp:extent cx="5872480" cy="1352550"/>
            <wp:effectExtent l="4445" t="4445" r="9525" b="1460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imes New Roman" w:hAnsi="Times New Roman" w:eastAsia="仿宋_GB2312" w:cs="仿宋_GB2312"/>
          <w:color w:val="auto"/>
          <w:sz w:val="32"/>
          <w:szCs w:val="32"/>
          <w:highlight w:val="none"/>
          <w:lang w:eastAsia="zh-CN"/>
        </w:rPr>
        <w:t>（图2：收入决算结构图）（饼状图）</w:t>
      </w:r>
      <w:bookmarkStart w:id="22" w:name="_Toc15377207"/>
      <w:bookmarkStart w:id="23" w:name="_Toc15396605"/>
    </w:p>
    <w:p w14:paraId="679E002A">
      <w:pPr>
        <w:pStyle w:val="30"/>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jc w:val="left"/>
        <w:textAlignment w:val="auto"/>
        <w:outlineLvl w:val="1"/>
        <w:rPr>
          <w:rStyle w:val="32"/>
          <w:rFonts w:hint="eastAsia" w:ascii="Times New Roman" w:hAnsi="Times New Roman" w:eastAsia="黑体"/>
          <w:b/>
          <w:bCs/>
          <w:color w:val="auto"/>
          <w:highlight w:val="none"/>
        </w:rPr>
      </w:pPr>
      <w:r>
        <w:rPr>
          <w:rFonts w:hint="eastAsia" w:ascii="Times New Roman" w:hAnsi="Times New Roman" w:eastAsia="黑体"/>
          <w:b/>
          <w:bCs/>
          <w:color w:val="auto"/>
          <w:sz w:val="32"/>
          <w:szCs w:val="32"/>
          <w:highlight w:val="none"/>
          <w:lang w:eastAsia="zh-CN"/>
        </w:rPr>
        <w:t>三、</w:t>
      </w:r>
      <w:r>
        <w:rPr>
          <w:rFonts w:hint="eastAsia" w:ascii="Times New Roman" w:hAnsi="Times New Roman" w:eastAsia="黑体"/>
          <w:b/>
          <w:bCs/>
          <w:color w:val="auto"/>
          <w:sz w:val="32"/>
          <w:szCs w:val="32"/>
          <w:highlight w:val="none"/>
        </w:rPr>
        <w:t>支</w:t>
      </w:r>
      <w:r>
        <w:rPr>
          <w:rStyle w:val="32"/>
          <w:rFonts w:hint="eastAsia" w:ascii="Times New Roman" w:hAnsi="Times New Roman" w:eastAsia="黑体"/>
          <w:b/>
          <w:bCs/>
          <w:color w:val="auto"/>
          <w:highlight w:val="none"/>
        </w:rPr>
        <w:t>出决算情况说明</w:t>
      </w:r>
      <w:bookmarkEnd w:id="22"/>
      <w:bookmarkEnd w:id="23"/>
    </w:p>
    <w:p w14:paraId="4BE38532">
      <w:pPr>
        <w:pStyle w:val="30"/>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163.76</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162.92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99.49</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0.83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0.5</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14:paraId="0D4E7B2C">
      <w:pPr>
        <w:pageBreakBefore w:val="0"/>
        <w:kinsoku/>
        <w:wordWrap/>
        <w:overflowPunct/>
        <w:topLinePunct w:val="0"/>
        <w:autoSpaceDE/>
        <w:autoSpaceDN/>
        <w:bidi w:val="0"/>
        <w:adjustRightInd w:val="0"/>
        <w:snapToGrid w:val="0"/>
        <w:spacing w:beforeAutospacing="0" w:afterAutospacing="0" w:line="576" w:lineRule="exact"/>
        <w:ind w:left="0" w:leftChars="0" w:firstLine="640" w:firstLineChars="200"/>
        <w:rPr>
          <w:rFonts w:hint="eastAsia" w:ascii="Times New Roman" w:hAnsi="Times New Roman" w:eastAsia="仿宋_GB2312" w:cs="仿宋_GB2312"/>
          <w:color w:val="auto"/>
          <w:sz w:val="32"/>
          <w:szCs w:val="32"/>
          <w:highlight w:val="none"/>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-346710</wp:posOffset>
            </wp:positionH>
            <wp:positionV relativeFrom="paragraph">
              <wp:posOffset>20955</wp:posOffset>
            </wp:positionV>
            <wp:extent cx="6146800" cy="1407795"/>
            <wp:effectExtent l="4445" t="4445" r="20955" b="1651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Times New Roman" w:hAnsi="Times New Roman" w:eastAsia="仿宋_GB2312" w:cs="仿宋_GB2312"/>
          <w:color w:val="auto"/>
          <w:sz w:val="32"/>
          <w:szCs w:val="32"/>
          <w:highlight w:val="none"/>
          <w:lang w:eastAsia="zh-CN"/>
        </w:rPr>
        <w:t>（图3：支出决算结构图）（饼状图）</w:t>
      </w:r>
    </w:p>
    <w:p w14:paraId="3F25CBBB">
      <w:pPr>
        <w:pageBreakBefore w:val="0"/>
        <w:kinsoku/>
        <w:wordWrap/>
        <w:overflowPunct/>
        <w:topLinePunct w:val="0"/>
        <w:autoSpaceDE/>
        <w:autoSpaceDN/>
        <w:bidi w:val="0"/>
        <w:adjustRightInd w:val="0"/>
        <w:snapToGrid w:val="0"/>
        <w:spacing w:beforeAutospacing="0" w:afterAutospacing="0" w:line="576" w:lineRule="exact"/>
        <w:ind w:left="0" w:leftChars="0" w:firstLine="643" w:firstLineChars="200"/>
        <w:rPr>
          <w:rFonts w:hint="eastAsia" w:ascii="Times New Roman" w:hAnsi="Times New Roman" w:eastAsia="黑体"/>
          <w:b/>
          <w:bCs w:val="0"/>
          <w:color w:val="auto"/>
          <w:sz w:val="32"/>
          <w:szCs w:val="32"/>
          <w:highlight w:val="none"/>
        </w:rPr>
      </w:pPr>
      <w:bookmarkStart w:id="24" w:name="_Toc15396606"/>
      <w:bookmarkStart w:id="25" w:name="_Toc15377208"/>
      <w:r>
        <w:rPr>
          <w:rFonts w:hint="eastAsia" w:ascii="Times New Roman" w:hAnsi="Times New Roman" w:eastAsia="黑体"/>
          <w:b/>
          <w:bCs w:val="0"/>
          <w:color w:val="auto"/>
          <w:sz w:val="32"/>
          <w:szCs w:val="32"/>
          <w:highlight w:val="none"/>
        </w:rPr>
        <w:t>四、财政拨款收入支出决算总体情况说明</w:t>
      </w:r>
      <w:bookmarkEnd w:id="24"/>
      <w:bookmarkEnd w:id="25"/>
    </w:p>
    <w:p w14:paraId="2147BDD1">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-246380</wp:posOffset>
            </wp:positionH>
            <wp:positionV relativeFrom="paragraph">
              <wp:posOffset>1482090</wp:posOffset>
            </wp:positionV>
            <wp:extent cx="6085205" cy="2310765"/>
            <wp:effectExtent l="4445" t="4445" r="6350" b="889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163.76</w:t>
      </w:r>
      <w:r>
        <w:rPr>
          <w:rFonts w:hint="eastAsia" w:ascii="Times New Roman" w:hAnsi="Times New Roman" w:eastAsia="仿宋_GB2312" w:cs="仿宋_GB2312"/>
          <w:color w:val="auto"/>
          <w:kern w:val="2"/>
          <w:sz w:val="32"/>
          <w:szCs w:val="32"/>
          <w:highlight w:val="none"/>
          <w:lang w:val="en-US" w:eastAsia="zh-CN" w:bidi="ar-SA"/>
        </w:rPr>
        <w:t>万元。与2023年度</w:t>
      </w:r>
      <w:r>
        <w:rPr>
          <w:rFonts w:hint="eastAsia" w:eastAsia="仿宋_GB2312" w:cs="仿宋_GB2312"/>
          <w:color w:val="auto"/>
          <w:kern w:val="2"/>
          <w:sz w:val="32"/>
          <w:szCs w:val="32"/>
          <w:highlight w:val="none"/>
          <w:lang w:val="en-US" w:eastAsia="zh-CN" w:bidi="ar-SA"/>
        </w:rPr>
        <w:t>169.77万元</w:t>
      </w:r>
      <w:r>
        <w:rPr>
          <w:rFonts w:hint="eastAsia" w:ascii="Times New Roman" w:hAnsi="Times New Roman" w:eastAsia="仿宋_GB2312" w:cs="仿宋_GB2312"/>
          <w:color w:val="auto"/>
          <w:kern w:val="2"/>
          <w:sz w:val="32"/>
          <w:szCs w:val="32"/>
          <w:highlight w:val="none"/>
          <w:lang w:val="en-US" w:eastAsia="zh-CN" w:bidi="ar-SA"/>
        </w:rPr>
        <w:t>相比，财政拨款收入总计、支出总计各</w:t>
      </w:r>
      <w:r>
        <w:rPr>
          <w:rFonts w:hint="eastAsia" w:eastAsia="仿宋_GB2312" w:cs="仿宋_GB2312"/>
          <w:color w:val="auto"/>
          <w:kern w:val="2"/>
          <w:sz w:val="32"/>
          <w:szCs w:val="32"/>
          <w:highlight w:val="none"/>
          <w:lang w:val="en-US" w:eastAsia="zh-CN" w:bidi="ar-SA"/>
        </w:rPr>
        <w:t>6.01</w:t>
      </w:r>
      <w:r>
        <w:rPr>
          <w:rFonts w:hint="eastAsia" w:ascii="Times New Roman" w:hAnsi="Times New Roman" w:eastAsia="仿宋_GB2312" w:cs="仿宋_GB2312"/>
          <w:color w:val="auto"/>
          <w:kern w:val="2"/>
          <w:sz w:val="32"/>
          <w:szCs w:val="32"/>
          <w:highlight w:val="none"/>
          <w:lang w:val="en-US" w:eastAsia="zh-CN" w:bidi="ar-SA"/>
        </w:rPr>
        <w:t>减少**万元，下降</w:t>
      </w:r>
      <w:r>
        <w:rPr>
          <w:rFonts w:hint="eastAsia" w:eastAsia="仿宋_GB2312" w:cs="仿宋_GB2312"/>
          <w:color w:val="auto"/>
          <w:kern w:val="2"/>
          <w:sz w:val="32"/>
          <w:szCs w:val="32"/>
          <w:highlight w:val="none"/>
          <w:lang w:val="en-US" w:eastAsia="zh-CN" w:bidi="ar-SA"/>
        </w:rPr>
        <w:t>0.036</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人员经费减少。</w:t>
      </w:r>
    </w:p>
    <w:p w14:paraId="25079F8C">
      <w:pPr>
        <w:pageBreakBefore w:val="0"/>
        <w:kinsoku/>
        <w:wordWrap/>
        <w:overflowPunct/>
        <w:topLinePunct w:val="0"/>
        <w:autoSpaceDE/>
        <w:autoSpaceDN/>
        <w:bidi w:val="0"/>
        <w:adjustRightInd w:val="0"/>
        <w:snapToGrid w:val="0"/>
        <w:spacing w:beforeAutospacing="0" w:afterAutospacing="0" w:line="576" w:lineRule="exact"/>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p>
    <w:p w14:paraId="362D8C28">
      <w:pPr>
        <w:pageBreakBefore w:val="0"/>
        <w:kinsoku/>
        <w:wordWrap/>
        <w:overflowPunct/>
        <w:topLinePunct w:val="0"/>
        <w:autoSpaceDE/>
        <w:autoSpaceDN/>
        <w:bidi w:val="0"/>
        <w:adjustRightInd w:val="0"/>
        <w:snapToGrid w:val="0"/>
        <w:spacing w:beforeAutospacing="0" w:afterAutospacing="0" w:line="576" w:lineRule="exact"/>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-356870</wp:posOffset>
            </wp:positionH>
            <wp:positionV relativeFrom="paragraph">
              <wp:posOffset>156845</wp:posOffset>
            </wp:positionV>
            <wp:extent cx="6068695" cy="2044065"/>
            <wp:effectExtent l="4445" t="4445" r="60960" b="6604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13034406">
      <w:pPr>
        <w:pageBreakBefore w:val="0"/>
        <w:kinsoku/>
        <w:wordWrap/>
        <w:overflowPunct/>
        <w:topLinePunct w:val="0"/>
        <w:autoSpaceDE/>
        <w:autoSpaceDN/>
        <w:bidi w:val="0"/>
        <w:adjustRightInd w:val="0"/>
        <w:snapToGrid w:val="0"/>
        <w:spacing w:beforeAutospacing="0" w:afterAutospacing="0" w:line="576" w:lineRule="exact"/>
        <w:ind w:left="0" w:leftChars="0" w:firstLine="0" w:firstLineChars="0"/>
        <w:rPr>
          <w:rFonts w:hint="eastAsia" w:ascii="Times New Roman" w:hAnsi="Times New Roman" w:eastAsia="黑体"/>
          <w:b/>
          <w:bCs w:val="0"/>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w:t>
      </w:r>
      <w:bookmarkStart w:id="26" w:name="_Toc15396607"/>
      <w:bookmarkStart w:id="27" w:name="_Toc15377209"/>
      <w:r>
        <w:rPr>
          <w:rFonts w:hint="eastAsia" w:eastAsia="仿宋_GB2312" w:cs="仿宋_GB2312"/>
          <w:color w:val="auto"/>
          <w:kern w:val="2"/>
          <w:sz w:val="32"/>
          <w:szCs w:val="32"/>
          <w:highlight w:val="none"/>
          <w:lang w:val="en-US" w:eastAsia="zh-CN" w:bidi="ar-SA"/>
        </w:rPr>
        <w:t>图）</w:t>
      </w:r>
    </w:p>
    <w:p w14:paraId="30FEE966">
      <w:pPr>
        <w:pageBreakBefore w:val="0"/>
        <w:kinsoku/>
        <w:wordWrap/>
        <w:overflowPunct/>
        <w:topLinePunct w:val="0"/>
        <w:autoSpaceDE/>
        <w:autoSpaceDN/>
        <w:bidi w:val="0"/>
        <w:adjustRightInd w:val="0"/>
        <w:snapToGrid w:val="0"/>
        <w:spacing w:beforeAutospacing="0" w:afterAutospacing="0" w:line="576" w:lineRule="exact"/>
        <w:ind w:left="0" w:leftChars="0" w:firstLine="643" w:firstLineChars="200"/>
        <w:rPr>
          <w:rFonts w:hint="eastAsia" w:ascii="Times New Roman" w:hAnsi="Times New Roman" w:eastAsia="黑体"/>
          <w:b/>
          <w:bCs w:val="0"/>
          <w:color w:val="auto"/>
          <w:sz w:val="32"/>
          <w:szCs w:val="32"/>
          <w:highlight w:val="none"/>
        </w:rPr>
      </w:pPr>
      <w:r>
        <w:rPr>
          <w:rFonts w:hint="eastAsia" w:ascii="Times New Roman" w:hAnsi="Times New Roman" w:eastAsia="黑体"/>
          <w:b/>
          <w:bCs w:val="0"/>
          <w:color w:val="auto"/>
          <w:sz w:val="32"/>
          <w:szCs w:val="32"/>
          <w:highlight w:val="none"/>
        </w:rPr>
        <w:t>五、一般公共预算财政拨款支出决算情况说明</w:t>
      </w:r>
      <w:bookmarkEnd w:id="26"/>
      <w:bookmarkEnd w:id="27"/>
    </w:p>
    <w:p w14:paraId="0903033C">
      <w:pPr>
        <w:pageBreakBefore w:val="0"/>
        <w:kinsoku/>
        <w:wordWrap/>
        <w:overflowPunct/>
        <w:topLinePunct w:val="0"/>
        <w:autoSpaceDE/>
        <w:autoSpaceDN/>
        <w:bidi w:val="0"/>
        <w:adjustRightInd w:val="0"/>
        <w:snapToGrid w:val="0"/>
        <w:spacing w:beforeAutospacing="0" w:afterAutospacing="0"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14:paraId="285D4183">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163.76</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%。与2023年度相比，一般公共预算财政拨款支出减少6.01万元，下降0.036%。主要变动原因是人员经费减少</w:t>
      </w:r>
    </w:p>
    <w:p w14:paraId="0D9CBDAE">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5408" behindDoc="0" locked="0" layoutInCell="1" allowOverlap="1">
            <wp:simplePos x="0" y="0"/>
            <wp:positionH relativeFrom="column">
              <wp:posOffset>-82550</wp:posOffset>
            </wp:positionH>
            <wp:positionV relativeFrom="paragraph">
              <wp:posOffset>6985</wp:posOffset>
            </wp:positionV>
            <wp:extent cx="5472430" cy="1298575"/>
            <wp:effectExtent l="4445" t="5080" r="9525" b="1079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003C3B06">
      <w:pPr>
        <w:pStyle w:val="2"/>
        <w:pageBreakBefore w:val="0"/>
        <w:kinsoku/>
        <w:wordWrap/>
        <w:overflowPunct/>
        <w:topLinePunct w:val="0"/>
        <w:autoSpaceDE/>
        <w:autoSpaceDN/>
        <w:bidi w:val="0"/>
        <w:adjustRightInd w:val="0"/>
        <w:snapToGrid w:val="0"/>
        <w:spacing w:beforeAutospacing="0" w:after="0" w:afterAutospacing="0" w:line="576" w:lineRule="exact"/>
        <w:ind w:left="0" w:leftChars="0" w:firstLine="643" w:firstLineChars="200"/>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14:paraId="72808C37">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163.76</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一般公共服务支出**万元，占**%；教育支出**万元，占**%；科学技术支出**万元，占**%；文化旅游体育与传媒支出**万元，占**%；社会保障和就业支出</w:t>
      </w:r>
      <w:r>
        <w:rPr>
          <w:rFonts w:hint="eastAsia" w:eastAsia="仿宋_GB2312" w:cs="仿宋_GB2312"/>
          <w:color w:val="auto"/>
          <w:kern w:val="2"/>
          <w:sz w:val="32"/>
          <w:szCs w:val="32"/>
          <w:highlight w:val="none"/>
          <w:lang w:val="en-US" w:eastAsia="zh-CN" w:bidi="ar-SA"/>
        </w:rPr>
        <w:t>22.01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13.44</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128.65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78.56</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13.1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14:paraId="620891C6">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1FA40A79">
      <w:pPr>
        <w:pageBreakBefore w:val="0"/>
        <w:kinsoku/>
        <w:wordWrap/>
        <w:overflowPunct/>
        <w:topLinePunct w:val="0"/>
        <w:autoSpaceDE/>
        <w:autoSpaceDN/>
        <w:bidi w:val="0"/>
        <w:adjustRightInd w:val="0"/>
        <w:snapToGrid w:val="0"/>
        <w:spacing w:beforeAutospacing="0" w:afterAutospacing="0"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3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0"/>
    </w:p>
    <w:p w14:paraId="6C9A651A">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7444"/>
      <w:bookmarkStart w:id="32" w:name="_Toc15377213"/>
      <w:bookmarkStart w:id="33" w:name="_Toc15378460"/>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163.76</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完成预算**%。其中：</w:t>
      </w:r>
      <w:bookmarkEnd w:id="31"/>
      <w:bookmarkEnd w:id="32"/>
      <w:bookmarkEnd w:id="33"/>
    </w:p>
    <w:p w14:paraId="00125827">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1.社会保障和就业支出（208）行政事业单位养老支出（05）机关事业单位基本养老保险缴费支出（05）:支出决算</w:t>
      </w:r>
      <w:r>
        <w:rPr>
          <w:rFonts w:hint="eastAsia" w:ascii="仿宋" w:hAnsi="仿宋" w:eastAsia="仿宋" w:cs="仿宋"/>
          <w:color w:val="000000"/>
          <w:sz w:val="32"/>
          <w:szCs w:val="32"/>
          <w:lang w:val="en-US" w:eastAsia="zh-CN"/>
        </w:rPr>
        <w:t>14.67</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2.社会保障和就业支出（208）行政事业单位养老支出（05）机关事业单位职业年金缴费支出（06）:支出决算</w:t>
      </w:r>
      <w:r>
        <w:rPr>
          <w:rFonts w:hint="eastAsia" w:ascii="仿宋" w:hAnsi="仿宋" w:eastAsia="仿宋" w:cs="仿宋"/>
          <w:color w:val="000000"/>
          <w:sz w:val="32"/>
          <w:szCs w:val="32"/>
          <w:lang w:val="en-US" w:eastAsia="zh-CN"/>
        </w:rPr>
        <w:t>7.34</w:t>
      </w:r>
      <w:r>
        <w:rPr>
          <w:rFonts w:hint="eastAsia" w:ascii="仿宋" w:hAnsi="仿宋" w:eastAsia="仿宋" w:cs="仿宋"/>
          <w:color w:val="000000"/>
          <w:sz w:val="32"/>
          <w:szCs w:val="32"/>
        </w:rPr>
        <w:t>万元，完成预算100%。</w:t>
      </w:r>
    </w:p>
    <w:p w14:paraId="68B8DD9A">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仿宋" w:hAnsi="仿宋" w:eastAsia="仿宋" w:cs="仿宋"/>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ascii="仿宋" w:hAnsi="仿宋" w:eastAsia="仿宋" w:cs="仿宋"/>
          <w:color w:val="000000"/>
          <w:sz w:val="32"/>
          <w:szCs w:val="32"/>
        </w:rPr>
        <w:t>卫生健康支出（210）公共卫生（0</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基层医疗机构卫生</w:t>
      </w:r>
      <w:r>
        <w:rPr>
          <w:rFonts w:hint="eastAsia" w:ascii="仿宋" w:hAnsi="仿宋" w:eastAsia="仿宋" w:cs="仿宋"/>
          <w:color w:val="000000"/>
          <w:sz w:val="32"/>
          <w:szCs w:val="32"/>
        </w:rPr>
        <w:t>（0</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）:支出决算</w:t>
      </w:r>
      <w:r>
        <w:rPr>
          <w:rFonts w:hint="eastAsia" w:ascii="仿宋" w:hAnsi="仿宋" w:eastAsia="仿宋" w:cs="仿宋"/>
          <w:color w:val="000000"/>
          <w:sz w:val="32"/>
          <w:szCs w:val="32"/>
          <w:lang w:val="en-US" w:eastAsia="zh-CN"/>
        </w:rPr>
        <w:t>179.2</w:t>
      </w:r>
      <w:r>
        <w:rPr>
          <w:rFonts w:hint="eastAsia" w:ascii="仿宋" w:hAnsi="仿宋" w:eastAsia="仿宋" w:cs="仿宋"/>
          <w:color w:val="000000"/>
          <w:sz w:val="32"/>
          <w:szCs w:val="32"/>
        </w:rPr>
        <w:t>万元，完成预算100%。</w:t>
      </w:r>
    </w:p>
    <w:p w14:paraId="4742A94A">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仿宋" w:hAnsi="仿宋" w:eastAsia="仿宋" w:cs="仿宋"/>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4.</w:t>
      </w:r>
      <w:r>
        <w:rPr>
          <w:rFonts w:hint="eastAsia" w:ascii="仿宋" w:hAnsi="仿宋" w:eastAsia="仿宋" w:cs="仿宋"/>
          <w:color w:val="000000"/>
          <w:sz w:val="32"/>
          <w:szCs w:val="32"/>
        </w:rPr>
        <w:t>卫生健康支出（210）其他卫生健康支出（</w:t>
      </w:r>
      <w:r>
        <w:rPr>
          <w:rFonts w:hint="eastAsia" w:ascii="仿宋" w:hAnsi="仿宋" w:eastAsia="仿宋" w:cs="仿宋"/>
          <w:color w:val="000000"/>
          <w:sz w:val="32"/>
          <w:szCs w:val="32"/>
          <w:lang w:val="en-US" w:eastAsia="zh-CN"/>
        </w:rPr>
        <w:t>03</w:t>
      </w:r>
      <w:r>
        <w:rPr>
          <w:rFonts w:hint="eastAsia" w:ascii="仿宋" w:hAnsi="仿宋" w:eastAsia="仿宋" w:cs="仿宋"/>
          <w:color w:val="000000"/>
          <w:sz w:val="32"/>
          <w:szCs w:val="32"/>
        </w:rPr>
        <w:t>）其他卫生健康支出（99）:支出决算</w:t>
      </w:r>
      <w:r>
        <w:rPr>
          <w:rFonts w:hint="eastAsia" w:ascii="仿宋" w:hAnsi="仿宋" w:eastAsia="仿宋" w:cs="仿宋"/>
          <w:color w:val="000000"/>
          <w:sz w:val="32"/>
          <w:szCs w:val="32"/>
          <w:lang w:val="en-US" w:eastAsia="zh-CN"/>
        </w:rPr>
        <w:t>0.39</w:t>
      </w:r>
      <w:r>
        <w:rPr>
          <w:rFonts w:hint="eastAsia" w:ascii="仿宋" w:hAnsi="仿宋" w:eastAsia="仿宋" w:cs="仿宋"/>
          <w:color w:val="000000"/>
          <w:sz w:val="32"/>
          <w:szCs w:val="32"/>
        </w:rPr>
        <w:t>万元，完成预算100%。</w:t>
      </w:r>
    </w:p>
    <w:p w14:paraId="277E0DA7">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仿宋" w:hAnsi="仿宋" w:eastAsia="仿宋" w:cs="仿宋"/>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5.</w:t>
      </w:r>
      <w:r>
        <w:rPr>
          <w:rFonts w:hint="eastAsia" w:ascii="仿宋" w:hAnsi="仿宋" w:eastAsia="仿宋" w:cs="仿宋"/>
          <w:color w:val="000000"/>
          <w:sz w:val="32"/>
          <w:szCs w:val="32"/>
        </w:rPr>
        <w:t>卫生健康支出（210）公共卫生（0</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）基本公共卫生服务（0</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）:支出决算</w:t>
      </w:r>
      <w:r>
        <w:rPr>
          <w:rFonts w:hint="eastAsia" w:ascii="仿宋" w:hAnsi="仿宋" w:eastAsia="仿宋" w:cs="仿宋"/>
          <w:color w:val="000000"/>
          <w:sz w:val="32"/>
          <w:szCs w:val="32"/>
          <w:lang w:val="en-US" w:eastAsia="zh-CN"/>
        </w:rPr>
        <w:t>0.45</w:t>
      </w:r>
      <w:r>
        <w:rPr>
          <w:rFonts w:hint="eastAsia" w:ascii="仿宋" w:hAnsi="仿宋" w:eastAsia="仿宋" w:cs="仿宋"/>
          <w:color w:val="000000"/>
          <w:sz w:val="32"/>
          <w:szCs w:val="32"/>
        </w:rPr>
        <w:t>万元，完成预算100%。</w:t>
      </w:r>
    </w:p>
    <w:p w14:paraId="3C9C4189">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仿宋" w:hAnsi="仿宋" w:eastAsia="仿宋" w:cs="仿宋"/>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6.</w:t>
      </w:r>
      <w:r>
        <w:rPr>
          <w:rFonts w:hint="eastAsia" w:ascii="仿宋" w:hAnsi="仿宋" w:eastAsia="仿宋" w:cs="仿宋"/>
          <w:color w:val="000000"/>
          <w:sz w:val="32"/>
          <w:szCs w:val="32"/>
        </w:rPr>
        <w:t>卫生健康支出（210）行政事业单位医疗（11）事业单位医疗（02）:支出决算</w:t>
      </w:r>
      <w:r>
        <w:rPr>
          <w:rFonts w:hint="eastAsia" w:ascii="仿宋" w:hAnsi="仿宋" w:eastAsia="仿宋" w:cs="仿宋"/>
          <w:color w:val="000000"/>
          <w:sz w:val="32"/>
          <w:szCs w:val="32"/>
          <w:lang w:val="en-US" w:eastAsia="zh-CN"/>
        </w:rPr>
        <w:t>7.9</w:t>
      </w:r>
      <w:r>
        <w:rPr>
          <w:rFonts w:hint="eastAsia" w:ascii="仿宋" w:hAnsi="仿宋" w:eastAsia="仿宋" w:cs="仿宋"/>
          <w:color w:val="000000"/>
          <w:sz w:val="32"/>
          <w:szCs w:val="32"/>
        </w:rPr>
        <w:t>万元，完成预算100%。</w:t>
      </w:r>
    </w:p>
    <w:p w14:paraId="0EFBC403">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7.卫生健康支出（210）其他卫生健康支出（</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）其他卫生健康支出（99）:支出决算</w:t>
      </w:r>
      <w:r>
        <w:rPr>
          <w:rFonts w:hint="eastAsia" w:ascii="仿宋" w:hAnsi="仿宋" w:eastAsia="仿宋" w:cs="仿宋"/>
          <w:color w:val="000000"/>
          <w:sz w:val="32"/>
          <w:szCs w:val="32"/>
          <w:lang w:val="en-US" w:eastAsia="zh-CN"/>
        </w:rPr>
        <w:t>1.53</w:t>
      </w:r>
      <w:r>
        <w:rPr>
          <w:rFonts w:hint="eastAsia" w:ascii="仿宋" w:hAnsi="仿宋" w:eastAsia="仿宋" w:cs="仿宋"/>
          <w:color w:val="000000"/>
          <w:sz w:val="32"/>
          <w:szCs w:val="32"/>
        </w:rPr>
        <w:t>万元，完成预算100%。</w:t>
      </w:r>
    </w:p>
    <w:p w14:paraId="5D12D788">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住房保障支出（221）住房改革支出（02）住房公积金（01）:支出决算</w:t>
      </w:r>
      <w:r>
        <w:rPr>
          <w:rFonts w:hint="eastAsia" w:ascii="仿宋" w:hAnsi="仿宋" w:eastAsia="仿宋" w:cs="仿宋"/>
          <w:color w:val="000000"/>
          <w:sz w:val="32"/>
          <w:szCs w:val="32"/>
          <w:lang w:val="en-US" w:eastAsia="zh-CN"/>
        </w:rPr>
        <w:t>13.1</w:t>
      </w:r>
      <w:r>
        <w:rPr>
          <w:rFonts w:hint="eastAsia" w:ascii="仿宋" w:hAnsi="仿宋" w:eastAsia="仿宋" w:cs="仿宋"/>
          <w:color w:val="000000"/>
          <w:sz w:val="32"/>
          <w:szCs w:val="32"/>
        </w:rPr>
        <w:t>万元，完成预算100%。</w:t>
      </w:r>
    </w:p>
    <w:p w14:paraId="7EF0E8BB">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14:paraId="58A2F065">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Fonts w:hint="eastAsia" w:ascii="Times New Roman" w:hAnsi="Times New Roman" w:eastAsia="黑体"/>
          <w:b/>
          <w:bCs w:val="0"/>
          <w:color w:val="auto"/>
          <w:highlight w:val="none"/>
        </w:rPr>
      </w:pPr>
      <w:bookmarkStart w:id="34" w:name="_Toc15377214"/>
      <w:bookmarkStart w:id="35" w:name="_Toc15396608"/>
      <w:r>
        <w:rPr>
          <w:rFonts w:hint="eastAsia" w:ascii="Times New Roman" w:hAnsi="Times New Roman" w:eastAsia="黑体"/>
          <w:b/>
          <w:bCs w:val="0"/>
          <w:color w:val="auto"/>
          <w:highlight w:val="none"/>
        </w:rPr>
        <w:t>六、一般公共预算财政拨款基本支出决算情况说明</w:t>
      </w:r>
      <w:bookmarkEnd w:id="34"/>
      <w:bookmarkEnd w:id="35"/>
      <w:r>
        <w:rPr>
          <w:rFonts w:hint="eastAsia" w:ascii="Times New Roman" w:hAnsi="Times New Roman" w:eastAsia="黑体"/>
          <w:b/>
          <w:bCs w:val="0"/>
          <w:color w:val="auto"/>
          <w:highlight w:val="none"/>
        </w:rPr>
        <w:tab/>
      </w:r>
    </w:p>
    <w:p w14:paraId="7949DE42">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162.92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3C581548">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161.7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1.23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元，主要包括：工会经费</w:t>
      </w:r>
      <w:r>
        <w:rPr>
          <w:rFonts w:hint="eastAsia" w:eastAsia="仿宋_GB2312" w:cs="仿宋_GB2312"/>
          <w:color w:val="auto"/>
          <w:kern w:val="2"/>
          <w:sz w:val="32"/>
          <w:szCs w:val="32"/>
          <w:highlight w:val="none"/>
          <w:lang w:val="en-US" w:eastAsia="zh-CN" w:bidi="ar-SA"/>
        </w:rPr>
        <w:t>1.23万元</w:t>
      </w:r>
      <w:r>
        <w:rPr>
          <w:rFonts w:hint="eastAsia" w:ascii="Times New Roman" w:hAnsi="Times New Roman" w:eastAsia="仿宋_GB2312" w:cs="仿宋_GB2312"/>
          <w:color w:val="auto"/>
          <w:kern w:val="2"/>
          <w:sz w:val="32"/>
          <w:szCs w:val="32"/>
          <w:highlight w:val="none"/>
          <w:lang w:val="en-US" w:eastAsia="zh-CN" w:bidi="ar-SA"/>
        </w:rPr>
        <w:t>。</w:t>
      </w:r>
    </w:p>
    <w:p w14:paraId="5E3DF389">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29DC7731">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Fonts w:hint="eastAsia" w:ascii="Times New Roman" w:hAnsi="Times New Roman" w:eastAsia="黑体"/>
          <w:b/>
          <w:bCs w:val="0"/>
          <w:color w:val="auto"/>
          <w:highlight w:val="none"/>
        </w:rPr>
      </w:pPr>
      <w:bookmarkStart w:id="36" w:name="_Toc15377215"/>
      <w:bookmarkStart w:id="37" w:name="_Toc15396609"/>
      <w:r>
        <w:rPr>
          <w:rFonts w:hint="eastAsia" w:ascii="Times New Roman" w:hAnsi="Times New Roman" w:eastAsia="黑体"/>
          <w:b/>
          <w:bCs w:val="0"/>
          <w:color w:val="auto"/>
          <w:highlight w:val="none"/>
        </w:rPr>
        <w:t>七、财政拨款“三公”经费支出决算情况说明</w:t>
      </w:r>
      <w:bookmarkEnd w:id="36"/>
      <w:bookmarkEnd w:id="37"/>
    </w:p>
    <w:p w14:paraId="3313B655">
      <w:pPr>
        <w:pageBreakBefore w:val="0"/>
        <w:kinsoku/>
        <w:wordWrap/>
        <w:overflowPunct/>
        <w:topLinePunct w:val="0"/>
        <w:autoSpaceDE/>
        <w:autoSpaceDN/>
        <w:bidi w:val="0"/>
        <w:adjustRightInd w:val="0"/>
        <w:snapToGrid w:val="0"/>
        <w:spacing w:beforeAutospacing="0" w:afterAutospacing="0"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14:paraId="12CB658D">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较上年度增加/减少**万元，增长/下降**%。决算数小于预算数（或与预算数持平）的主要原因是……</w:t>
      </w:r>
    </w:p>
    <w:p w14:paraId="540AE93F">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41D3DE81">
      <w:pPr>
        <w:pageBreakBefore w:val="0"/>
        <w:kinsoku/>
        <w:wordWrap/>
        <w:overflowPunct/>
        <w:topLinePunct w:val="0"/>
        <w:autoSpaceDE/>
        <w:autoSpaceDN/>
        <w:bidi w:val="0"/>
        <w:adjustRightInd w:val="0"/>
        <w:snapToGrid w:val="0"/>
        <w:spacing w:beforeAutospacing="0" w:afterAutospacing="0"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9"/>
    </w:p>
    <w:p w14:paraId="3F7B4CCB">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万元，占**%。具体情况如下：</w:t>
      </w:r>
    </w:p>
    <w:p w14:paraId="2D817CF4">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5FD607C6">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1.因公出国（境）经费支出**万元，完成预算**%。</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。因公出国（境）支出决算比2023年增加/减少**万元，增长/下降**%。主要原因是……</w:t>
      </w:r>
    </w:p>
    <w:p w14:paraId="0FD22B48">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开支内容包括：……（团组名称、出访地点、取得成效等）</w:t>
      </w:r>
    </w:p>
    <w:p w14:paraId="67ED0A0B">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公务用车购置及运行维护费支出决算比2023年度增加/减少**万元，增长/下降**%。主要原因是……</w:t>
      </w:r>
    </w:p>
    <w:p w14:paraId="121FECAC">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辆，其中：轿车**辆、金额**万元，越野车**辆、金额**万元，载客汽车**辆、金额**万元，主要用于……。截至2024年12月31日，单位共有公务用车**辆，其中：轿车**辆、越野车**辆、载客汽车**辆。</w:t>
      </w:r>
    </w:p>
    <w:p w14:paraId="36B19309">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万元。主要用于……（具体工作）所需的公务用车燃料费、维修费、过路过桥费、保险费等支出。</w:t>
      </w:r>
    </w:p>
    <w:p w14:paraId="041358C0">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公务接待费支出决算比2023年度增加/减少**万元，增长/下降**%。主要原因是……。其中：</w:t>
      </w:r>
    </w:p>
    <w:p w14:paraId="7A33E11E">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元，主要用于……(执行公务、开展业务活动开支的交通费、住宿费、用餐费等)。国内公务接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人次（不包括陪同人员），共计支出**万元，具体内容包括：……（接待具体项目、金额）。</w:t>
      </w:r>
    </w:p>
    <w:p w14:paraId="207D040B">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万元，主要用于……（具体项目）。外事接待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人次（不包括陪同人员），共计支出**万</w:t>
      </w:r>
      <w:r>
        <w:rPr>
          <w:rFonts w:hint="eastAsia" w:ascii="Times New Roman" w:hAnsi="Times New Roman" w:eastAsia="仿宋_GB2312" w:cs="仿宋_GB2312"/>
          <w:color w:val="auto"/>
          <w:kern w:val="2"/>
          <w:sz w:val="32"/>
          <w:szCs w:val="32"/>
          <w:highlight w:val="none"/>
          <w:lang w:val="en-US" w:eastAsia="zh-CN" w:bidi="ar-SA"/>
        </w:rPr>
        <w:t>元。</w:t>
      </w:r>
      <w:bookmarkStart w:id="40" w:name="_Toc15396610"/>
      <w:bookmarkStart w:id="41" w:name="_Toc15377218"/>
    </w:p>
    <w:p w14:paraId="4089F5CA">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Fonts w:hint="eastAsia" w:ascii="Times New Roman" w:hAnsi="Times New Roman" w:eastAsia="黑体"/>
          <w:b/>
          <w:bCs w:val="0"/>
          <w:color w:val="auto"/>
          <w:highlight w:val="none"/>
        </w:rPr>
      </w:pPr>
      <w:r>
        <w:rPr>
          <w:rFonts w:hint="eastAsia" w:ascii="Times New Roman" w:hAnsi="Times New Roman" w:eastAsia="黑体"/>
          <w:b/>
          <w:bCs w:val="0"/>
          <w:color w:val="auto"/>
          <w:highlight w:val="none"/>
        </w:rPr>
        <w:t>八、政府性基金预算支出决算情况说明</w:t>
      </w:r>
      <w:bookmarkEnd w:id="40"/>
      <w:bookmarkEnd w:id="41"/>
    </w:p>
    <w:p w14:paraId="2421579E">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1F01D8E8">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Fonts w:hint="eastAsia" w:ascii="Times New Roman" w:hAnsi="Times New Roman" w:eastAsia="黑体"/>
          <w:b/>
          <w:bCs w:val="0"/>
          <w:color w:val="auto"/>
          <w:highlight w:val="none"/>
        </w:rPr>
      </w:pPr>
      <w:bookmarkStart w:id="42" w:name="_Toc15396611"/>
      <w:bookmarkStart w:id="43" w:name="_Toc15377219"/>
      <w:r>
        <w:rPr>
          <w:rFonts w:hint="eastAsia" w:ascii="Times New Roman" w:hAnsi="Times New Roman" w:eastAsia="黑体"/>
          <w:b/>
          <w:bCs w:val="0"/>
          <w:color w:val="auto"/>
          <w:highlight w:val="none"/>
          <w:lang w:eastAsia="zh-CN"/>
        </w:rPr>
        <w:t>九、</w:t>
      </w:r>
      <w:r>
        <w:rPr>
          <w:rFonts w:hint="eastAsia" w:ascii="Times New Roman" w:hAnsi="Times New Roman" w:eastAsia="黑体"/>
          <w:b/>
          <w:bCs w:val="0"/>
          <w:color w:val="auto"/>
          <w:highlight w:val="none"/>
        </w:rPr>
        <w:t>国有资本经营预算支出决算情况说明</w:t>
      </w:r>
      <w:bookmarkEnd w:id="42"/>
      <w:bookmarkEnd w:id="43"/>
    </w:p>
    <w:p w14:paraId="34C47BE4">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57051ED7">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Fonts w:hint="eastAsia" w:ascii="Times New Roman" w:hAnsi="Times New Roman" w:eastAsia="黑体"/>
          <w:b/>
          <w:bCs w:val="0"/>
          <w:color w:val="auto"/>
          <w:highlight w:val="none"/>
        </w:rPr>
      </w:pPr>
      <w:bookmarkStart w:id="44" w:name="_Toc15377221"/>
      <w:bookmarkStart w:id="45" w:name="_Toc15396612"/>
      <w:r>
        <w:rPr>
          <w:rFonts w:hint="eastAsia" w:ascii="Times New Roman" w:hAnsi="Times New Roman" w:eastAsia="黑体"/>
          <w:b/>
          <w:bCs w:val="0"/>
          <w:color w:val="auto"/>
          <w:highlight w:val="none"/>
          <w:lang w:eastAsia="zh-CN"/>
        </w:rPr>
        <w:t>十、</w:t>
      </w:r>
      <w:r>
        <w:rPr>
          <w:rFonts w:hint="eastAsia" w:ascii="Times New Roman" w:hAnsi="Times New Roman" w:eastAsia="黑体"/>
          <w:b/>
          <w:bCs w:val="0"/>
          <w:color w:val="auto"/>
          <w:highlight w:val="none"/>
        </w:rPr>
        <w:t>其他重要事项的情况说明</w:t>
      </w:r>
      <w:bookmarkEnd w:id="44"/>
      <w:bookmarkEnd w:id="45"/>
    </w:p>
    <w:p w14:paraId="5B4D97F8">
      <w:pPr>
        <w:pageBreakBefore w:val="0"/>
        <w:kinsoku/>
        <w:wordWrap/>
        <w:overflowPunct/>
        <w:topLinePunct w:val="0"/>
        <w:autoSpaceDE/>
        <w:autoSpaceDN/>
        <w:bidi w:val="0"/>
        <w:adjustRightInd w:val="0"/>
        <w:snapToGrid w:val="0"/>
        <w:spacing w:beforeAutospacing="0" w:afterAutospacing="0"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14:paraId="27D11D5E">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红原县壤口乡卫生院</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%（或与2023年度决算数持平）。</w:t>
      </w:r>
    </w:p>
    <w:p w14:paraId="417A7727">
      <w:pPr>
        <w:pageBreakBefore w:val="0"/>
        <w:kinsoku/>
        <w:wordWrap/>
        <w:overflowPunct/>
        <w:topLinePunct w:val="0"/>
        <w:autoSpaceDE/>
        <w:autoSpaceDN/>
        <w:bidi w:val="0"/>
        <w:adjustRightInd w:val="0"/>
        <w:snapToGrid w:val="0"/>
        <w:spacing w:beforeAutospacing="0" w:afterAutospacing="0"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14:paraId="5F7D23D4">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红原县壤口乡卫生院</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万元。主要用于……（具体工作）。授予中小企业合同金额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37F01D00">
      <w:pPr>
        <w:pageBreakBefore w:val="0"/>
        <w:kinsoku/>
        <w:wordWrap/>
        <w:overflowPunct/>
        <w:topLinePunct w:val="0"/>
        <w:autoSpaceDE/>
        <w:autoSpaceDN/>
        <w:bidi w:val="0"/>
        <w:adjustRightInd w:val="0"/>
        <w:snapToGrid w:val="0"/>
        <w:spacing w:beforeAutospacing="0" w:afterAutospacing="0"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48" w:name="_Toc15377224"/>
      <w:r>
        <w:rPr>
          <w:rFonts w:hint="eastAsia" w:ascii="Times New Roman" w:hAnsi="Times New Roman" w:eastAsia="楷体_GB2312" w:cs="楷体_GB2312"/>
          <w:b/>
          <w:color w:val="auto"/>
          <w:sz w:val="32"/>
          <w:szCs w:val="32"/>
          <w:highlight w:val="none"/>
        </w:rPr>
        <w:t>（三）国有资产占有使用情况</w:t>
      </w:r>
      <w:bookmarkEnd w:id="48"/>
    </w:p>
    <w:p w14:paraId="0CFECF10">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红原县壤口乡卫生院</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辆，其他用车主要是用于其他用车主要是用于卫生医疗、急救等。单价100万元（含）以上设备（不含车辆）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5A625DF3">
      <w:pPr>
        <w:pageBreakBefore w:val="0"/>
        <w:kinsoku/>
        <w:wordWrap/>
        <w:overflowPunct/>
        <w:topLinePunct w:val="0"/>
        <w:autoSpaceDE/>
        <w:autoSpaceDN/>
        <w:bidi w:val="0"/>
        <w:adjustRightInd w:val="0"/>
        <w:snapToGrid w:val="0"/>
        <w:spacing w:beforeAutospacing="0" w:afterAutospacing="0"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0686C758">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left="0" w:leftChars="0" w:right="0" w:rightChars="0" w:firstLine="640" w:firstLineChars="200"/>
        <w:jc w:val="left"/>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根据</w:t>
      </w:r>
      <w:r>
        <w:rPr>
          <w:rFonts w:hint="eastAsia" w:ascii="仿宋_GB2312" w:hAnsi="仿宋_GB2312" w:eastAsia="仿宋_GB2312" w:cs="仿宋_GB2312"/>
          <w:sz w:val="32"/>
          <w:szCs w:val="32"/>
        </w:rPr>
        <w:t>预算绩效管理要求，本单位在年初预算编制阶段，组织对</w:t>
      </w:r>
      <w:r>
        <w:rPr>
          <w:rFonts w:hint="eastAsia" w:ascii="仿宋_GB2312" w:hAnsi="仿宋_GB2312" w:eastAsia="仿宋_GB2312" w:cs="仿宋_GB2312"/>
          <w:sz w:val="32"/>
          <w:szCs w:val="32"/>
          <w:lang w:val="en-US" w:eastAsia="zh-CN"/>
        </w:rPr>
        <w:t>2个</w:t>
      </w:r>
      <w:r>
        <w:rPr>
          <w:rFonts w:hint="eastAsia" w:ascii="仿宋_GB2312" w:hAnsi="仿宋_GB2312" w:eastAsia="仿宋_GB2312" w:cs="仿宋_GB2312"/>
          <w:sz w:val="32"/>
          <w:szCs w:val="32"/>
        </w:rPr>
        <w:t>项目（项目</w:t>
      </w:r>
      <w:r>
        <w:rPr>
          <w:rFonts w:hint="eastAsia" w:ascii="仿宋_GB2312" w:hAnsi="仿宋_GB2312" w:eastAsia="仿宋_GB2312" w:cs="仿宋_GB2312"/>
          <w:sz w:val="32"/>
          <w:szCs w:val="32"/>
          <w:lang w:eastAsia="zh-CN"/>
        </w:rPr>
        <w:t>：基本公共卫生及基本药物补助</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14:paraId="4E12093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测算明细表</w:t>
      </w:r>
    </w:p>
    <w:p w14:paraId="5695DCC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年度预算表</w:t>
      </w:r>
    </w:p>
    <w:p w14:paraId="3E8B66E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年度绩效目标表</w:t>
      </w:r>
    </w:p>
    <w:p w14:paraId="2C68AEF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资产配置表</w:t>
      </w:r>
    </w:p>
    <w:p w14:paraId="6E8C6E5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政府购买服务预算表</w:t>
      </w:r>
    </w:p>
    <w:p w14:paraId="0F13C2C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政府采购预算表</w:t>
      </w:r>
    </w:p>
    <w:p w14:paraId="4716CD0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年度绩效目标表 </w:t>
      </w:r>
    </w:p>
    <w:p w14:paraId="61292FB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窗体顶端</w:t>
      </w:r>
    </w:p>
    <w:p w14:paraId="10FE3F6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单位信息:</w:t>
      </w:r>
    </w:p>
    <w:p w14:paraId="21C36D0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122009-红原县壤口乡卫生院</w:t>
      </w:r>
    </w:p>
    <w:p w14:paraId="24D9489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预算项目:</w:t>
      </w:r>
    </w:p>
    <w:p w14:paraId="4056E16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51323325T000012954971-县级配套基本公共卫生</w:t>
      </w:r>
    </w:p>
    <w:p w14:paraId="588FF79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职能职责与活动:</w:t>
      </w:r>
    </w:p>
    <w:p w14:paraId="56F2A81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12-医疗卫生服务/01-基本公共卫生</w:t>
      </w:r>
    </w:p>
    <w:p w14:paraId="09C9394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主管部门:</w:t>
      </w:r>
    </w:p>
    <w:p w14:paraId="6771A2F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object>
          <v:shape id="_x0000_i1025" o:spt="201" alt="" type="#_x0000_t201" style="height:18pt;width:54pt;" o:ole="t" filled="f" o:preferrelative="t" stroked="f" coordsize="21600,21600">
            <v:path/>
            <v:fill on="f" focussize="0,0"/>
            <v:stroke on="f"/>
            <v:imagedata r:id="rId16" o:title=""/>
            <o:lock v:ext="edit" aspectratio="t"/>
            <w10:wrap type="none"/>
            <w10:anchorlock/>
          </v:shape>
          <w:control r:id="rId15" w:name="HTMLText1" w:shapeid="_x0000_i1025"/>
        </w:object>
      </w:r>
    </w:p>
    <w:p w14:paraId="231696C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项目经办人:</w:t>
      </w:r>
    </w:p>
    <w:p w14:paraId="4BD77E6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object>
          <v:shape id="_x0000_i1026" o:spt="201" alt="" type="#_x0000_t201" style="height:18pt;width:54pt;" o:ole="t" filled="f" o:preferrelative="t" stroked="f" coordsize="21600,21600">
            <v:path/>
            <v:fill on="f" focussize="0,0"/>
            <v:stroke on="f"/>
            <v:imagedata r:id="rId16" o:title=""/>
            <o:lock v:ext="edit" aspectratio="t"/>
            <w10:wrap type="none"/>
            <w10:anchorlock/>
          </v:shape>
          <w:control r:id="rId17" w:name="HTMLText2" w:shapeid="_x0000_i1026"/>
        </w:object>
      </w:r>
    </w:p>
    <w:p w14:paraId="1099A00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项目总额:</w:t>
      </w:r>
    </w:p>
    <w:p w14:paraId="5D2409E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6,541.92元</w:t>
      </w:r>
    </w:p>
    <w:p w14:paraId="6E962A0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预算执行率权重:</w:t>
      </w:r>
    </w:p>
    <w:p w14:paraId="2EE5E95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object>
          <v:shape id="_x0000_i1027" o:spt="201" alt="" type="#_x0000_t201" style="height:18pt;width:54pt;" o:ole="t" filled="f" o:preferrelative="t" stroked="f" coordsize="21600,21600">
            <v:path/>
            <v:fill on="f" focussize="0,0"/>
            <v:stroke on="f"/>
            <v:imagedata r:id="rId16" o:title=""/>
            <o:lock v:ext="edit" aspectratio="t"/>
            <w10:wrap type="none"/>
            <w10:anchorlock/>
          </v:shape>
          <w:control r:id="rId18" w:name="HTMLText3" w:shapeid="_x0000_i1027"/>
        </w:object>
      </w:r>
    </w:p>
    <w:p w14:paraId="24B0FAF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项目经办人电话:</w:t>
      </w:r>
    </w:p>
    <w:p w14:paraId="1BFC4BE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object>
          <v:shape id="_x0000_i1028" o:spt="201" alt="" type="#_x0000_t201" style="height:18pt;width:54pt;" o:ole="t" filled="f" o:preferrelative="t" stroked="f" coordsize="21600,21600">
            <v:path/>
            <v:fill on="f" focussize="0,0"/>
            <v:stroke on="f"/>
            <v:imagedata r:id="rId16" o:title=""/>
            <o:lock v:ext="edit" aspectratio="t"/>
            <w10:wrap type="none"/>
            <w10:anchorlock/>
          </v:shape>
          <w:control r:id="rId19" w:name="HTMLText4" w:shapeid="_x0000_i1028"/>
        </w:object>
      </w:r>
    </w:p>
    <w:p w14:paraId="126B56E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其中:</w:t>
      </w:r>
    </w:p>
    <w:p w14:paraId="3335F81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财政资金:</w:t>
      </w:r>
    </w:p>
    <w:p w14:paraId="51A11A6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6,541.92元</w:t>
      </w:r>
    </w:p>
    <w:p w14:paraId="25F0F57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年度目标:</w:t>
      </w:r>
    </w:p>
    <w:p w14:paraId="11DB8E3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财政专户管理资金:</w:t>
      </w:r>
    </w:p>
    <w:p w14:paraId="6AA424C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0.00 元</w:t>
      </w:r>
    </w:p>
    <w:p w14:paraId="5185BC0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单位资金:</w:t>
      </w:r>
    </w:p>
    <w:p w14:paraId="734429C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0.00 元</w:t>
      </w:r>
    </w:p>
    <w:p w14:paraId="64E83A0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社会投入资金:</w:t>
      </w:r>
    </w:p>
    <w:p w14:paraId="186A35A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0.00 元</w:t>
      </w:r>
    </w:p>
    <w:p w14:paraId="1D0ED5D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银行贷款:</w:t>
      </w:r>
    </w:p>
    <w:p w14:paraId="51B73C6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0.00 元</w:t>
      </w:r>
    </w:p>
    <w:p w14:paraId="353733BA">
      <w:pPr>
        <w:pStyle w:val="39"/>
        <w:pageBreakBefore w:val="0"/>
        <w:kinsoku/>
        <w:wordWrap/>
        <w:overflowPunct/>
        <w:topLinePunct w:val="0"/>
        <w:autoSpaceDE/>
        <w:autoSpaceDN/>
        <w:bidi w:val="0"/>
        <w:adjustRightInd w:val="0"/>
        <w:snapToGrid w:val="0"/>
        <w:spacing w:beforeAutospacing="0" w:afterAutospacing="0" w:line="576" w:lineRule="exact"/>
        <w:ind w:left="0" w:leftChars="0"/>
      </w:pPr>
      <w:r>
        <w:t>窗体底端</w:t>
      </w:r>
    </w:p>
    <w:p w14:paraId="6905916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FF0000"/>
          <w:kern w:val="0"/>
          <w:sz w:val="32"/>
          <w:szCs w:val="32"/>
          <w:lang w:val="en-US" w:eastAsia="zh-CN" w:bidi="ar"/>
        </w:rPr>
        <w:t>请点击查看绩效指标控制详情</w:t>
      </w:r>
    </w:p>
    <w:p w14:paraId="5E725FE2">
      <w:pPr>
        <w:pageBreakBefore w:val="0"/>
        <w:kinsoku/>
        <w:wordWrap/>
        <w:overflowPunct/>
        <w:topLinePunct w:val="0"/>
        <w:autoSpaceDE/>
        <w:autoSpaceDN/>
        <w:bidi w:val="0"/>
        <w:adjustRightInd w:val="0"/>
        <w:snapToGrid w:val="0"/>
        <w:spacing w:beforeAutospacing="0" w:afterAutospacing="0" w:line="576" w:lineRule="exact"/>
        <w:ind w:left="0" w:leftChars="0"/>
        <w:rPr>
          <w:vanish/>
          <w:sz w:val="24"/>
          <w:szCs w:val="24"/>
        </w:rPr>
      </w:pPr>
    </w:p>
    <w:p w14:paraId="1AC25071">
      <w:pPr>
        <w:pageBreakBefore w:val="0"/>
        <w:kinsoku/>
        <w:wordWrap/>
        <w:overflowPunct/>
        <w:topLinePunct w:val="0"/>
        <w:autoSpaceDE/>
        <w:autoSpaceDN/>
        <w:bidi w:val="0"/>
        <w:adjustRightInd w:val="0"/>
        <w:snapToGrid w:val="0"/>
        <w:spacing w:beforeAutospacing="0" w:afterAutospacing="0" w:line="576" w:lineRule="exact"/>
        <w:ind w:left="0" w:leftChars="0"/>
        <w:rPr>
          <w:vanish/>
          <w:sz w:val="24"/>
          <w:szCs w:val="24"/>
        </w:rPr>
      </w:pPr>
    </w:p>
    <w:tbl>
      <w:tblPr>
        <w:tblStyle w:val="18"/>
        <w:tblpPr w:leftFromText="180" w:rightFromText="180" w:vertAnchor="text" w:horzAnchor="page" w:tblpXSpec="center" w:tblpY="107"/>
        <w:tblOverlap w:val="never"/>
        <w:tblW w:w="9479" w:type="dxa"/>
        <w:jc w:val="center"/>
        <w:tblCellSpacing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Layout w:type="fixed"/>
        <w:tblCellMar>
          <w:top w:w="0" w:type="dxa"/>
          <w:left w:w="0" w:type="dxa"/>
          <w:bottom w:w="0" w:type="dxa"/>
          <w:right w:w="0" w:type="dxa"/>
        </w:tblCellMar>
      </w:tblPr>
      <w:tblGrid>
        <w:gridCol w:w="1293"/>
        <w:gridCol w:w="1388"/>
        <w:gridCol w:w="1998"/>
        <w:gridCol w:w="796"/>
        <w:gridCol w:w="900"/>
        <w:gridCol w:w="1275"/>
        <w:gridCol w:w="750"/>
        <w:gridCol w:w="506"/>
        <w:gridCol w:w="573"/>
      </w:tblGrid>
      <w:tr w14:paraId="0C7A91DC">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CellMar>
            <w:top w:w="0" w:type="dxa"/>
            <w:left w:w="0" w:type="dxa"/>
            <w:bottom w:w="0" w:type="dxa"/>
            <w:right w:w="0" w:type="dxa"/>
          </w:tblCellMar>
        </w:tblPrEx>
        <w:trPr>
          <w:trHeight w:val="1086" w:hRule="atLeast"/>
          <w:tblCellSpacing w:w="0" w:type="dxa"/>
          <w:jc w:val="center"/>
        </w:trPr>
        <w:tc>
          <w:tcPr>
            <w:tcW w:w="1293" w:type="dxa"/>
            <w:tcBorders>
              <w:tl2br w:val="nil"/>
              <w:tr2bl w:val="nil"/>
            </w:tcBorders>
            <w:shd w:val="clear" w:color="auto" w:fill="auto"/>
            <w:vAlign w:val="center"/>
          </w:tcPr>
          <w:p w14:paraId="2A14927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产出指标</w:t>
            </w:r>
          </w:p>
        </w:tc>
        <w:tc>
          <w:tcPr>
            <w:tcW w:w="1388" w:type="dxa"/>
            <w:tcBorders>
              <w:tl2br w:val="nil"/>
              <w:tr2bl w:val="nil"/>
            </w:tcBorders>
            <w:shd w:val="clear" w:color="auto" w:fill="auto"/>
            <w:vAlign w:val="center"/>
          </w:tcPr>
          <w:p w14:paraId="52382FA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数量指标</w:t>
            </w:r>
          </w:p>
        </w:tc>
        <w:tc>
          <w:tcPr>
            <w:tcW w:w="1998" w:type="dxa"/>
            <w:tcBorders>
              <w:tl2br w:val="nil"/>
              <w:tr2bl w:val="nil"/>
            </w:tcBorders>
            <w:shd w:val="clear" w:color="auto" w:fill="auto"/>
            <w:vAlign w:val="center"/>
          </w:tcPr>
          <w:p w14:paraId="4DC3720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居民电子健康档案管理人数</w:t>
            </w:r>
          </w:p>
        </w:tc>
        <w:tc>
          <w:tcPr>
            <w:tcW w:w="796" w:type="dxa"/>
            <w:tcBorders>
              <w:tl2br w:val="nil"/>
              <w:tr2bl w:val="nil"/>
            </w:tcBorders>
            <w:shd w:val="clear" w:color="auto" w:fill="auto"/>
            <w:vAlign w:val="center"/>
          </w:tcPr>
          <w:p w14:paraId="0ACE2BE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w:t>
            </w:r>
          </w:p>
        </w:tc>
        <w:tc>
          <w:tcPr>
            <w:tcW w:w="900" w:type="dxa"/>
            <w:tcBorders>
              <w:tl2br w:val="nil"/>
              <w:tr2bl w:val="nil"/>
            </w:tcBorders>
            <w:shd w:val="clear" w:color="auto" w:fill="auto"/>
            <w:vAlign w:val="center"/>
          </w:tcPr>
          <w:p w14:paraId="35D2078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944</w:t>
            </w:r>
          </w:p>
        </w:tc>
        <w:tc>
          <w:tcPr>
            <w:tcW w:w="1275" w:type="dxa"/>
            <w:tcBorders>
              <w:tl2br w:val="nil"/>
              <w:tr2bl w:val="nil"/>
            </w:tcBorders>
            <w:shd w:val="clear" w:color="auto" w:fill="auto"/>
            <w:vAlign w:val="center"/>
          </w:tcPr>
          <w:p w14:paraId="1F93623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944</w:t>
            </w:r>
          </w:p>
        </w:tc>
        <w:tc>
          <w:tcPr>
            <w:tcW w:w="750" w:type="dxa"/>
            <w:tcBorders>
              <w:tl2br w:val="nil"/>
              <w:tr2bl w:val="nil"/>
            </w:tcBorders>
            <w:shd w:val="clear" w:color="auto" w:fill="auto"/>
            <w:vAlign w:val="center"/>
          </w:tcPr>
          <w:p w14:paraId="5854985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人</w:t>
            </w:r>
          </w:p>
        </w:tc>
        <w:tc>
          <w:tcPr>
            <w:tcW w:w="506" w:type="dxa"/>
            <w:tcBorders>
              <w:tl2br w:val="nil"/>
              <w:tr2bl w:val="nil"/>
            </w:tcBorders>
            <w:shd w:val="clear" w:color="auto" w:fill="auto"/>
            <w:vAlign w:val="center"/>
          </w:tcPr>
          <w:p w14:paraId="311F330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w:t>
            </w:r>
          </w:p>
        </w:tc>
        <w:tc>
          <w:tcPr>
            <w:tcW w:w="573" w:type="dxa"/>
            <w:tcBorders>
              <w:tl2br w:val="nil"/>
              <w:tr2bl w:val="nil"/>
            </w:tcBorders>
            <w:shd w:val="clear" w:color="auto" w:fill="auto"/>
            <w:vAlign w:val="center"/>
          </w:tcPr>
          <w:p w14:paraId="0CE6DC9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w:t>
            </w:r>
          </w:p>
        </w:tc>
      </w:tr>
      <w:tr w14:paraId="00057256">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1146" w:hRule="atLeast"/>
          <w:tblCellSpacing w:w="0" w:type="dxa"/>
          <w:jc w:val="center"/>
        </w:trPr>
        <w:tc>
          <w:tcPr>
            <w:tcW w:w="1293" w:type="dxa"/>
            <w:tcBorders>
              <w:tl2br w:val="nil"/>
              <w:tr2bl w:val="nil"/>
            </w:tcBorders>
            <w:shd w:val="clear" w:color="auto" w:fill="auto"/>
            <w:vAlign w:val="center"/>
          </w:tcPr>
          <w:p w14:paraId="1AD3061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产出指标</w:t>
            </w:r>
          </w:p>
        </w:tc>
        <w:tc>
          <w:tcPr>
            <w:tcW w:w="1388" w:type="dxa"/>
            <w:tcBorders>
              <w:tl2br w:val="nil"/>
              <w:tr2bl w:val="nil"/>
            </w:tcBorders>
            <w:shd w:val="clear" w:color="auto" w:fill="auto"/>
            <w:vAlign w:val="center"/>
          </w:tcPr>
          <w:p w14:paraId="392E917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数量指标</w:t>
            </w:r>
          </w:p>
        </w:tc>
        <w:tc>
          <w:tcPr>
            <w:tcW w:w="1998" w:type="dxa"/>
            <w:tcBorders>
              <w:tl2br w:val="nil"/>
              <w:tr2bl w:val="nil"/>
            </w:tcBorders>
            <w:shd w:val="clear" w:color="auto" w:fill="auto"/>
            <w:vAlign w:val="center"/>
          </w:tcPr>
          <w:p w14:paraId="34CF8A4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高血压患者管理人数</w:t>
            </w:r>
          </w:p>
        </w:tc>
        <w:tc>
          <w:tcPr>
            <w:tcW w:w="796" w:type="dxa"/>
            <w:tcBorders>
              <w:tl2br w:val="nil"/>
              <w:tr2bl w:val="nil"/>
            </w:tcBorders>
            <w:shd w:val="clear" w:color="auto" w:fill="auto"/>
            <w:vAlign w:val="center"/>
          </w:tcPr>
          <w:p w14:paraId="79CF7AB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w:t>
            </w:r>
          </w:p>
        </w:tc>
        <w:tc>
          <w:tcPr>
            <w:tcW w:w="900" w:type="dxa"/>
            <w:tcBorders>
              <w:tl2br w:val="nil"/>
              <w:tr2bl w:val="nil"/>
            </w:tcBorders>
            <w:shd w:val="clear" w:color="auto" w:fill="auto"/>
            <w:vAlign w:val="center"/>
          </w:tcPr>
          <w:p w14:paraId="536FCD4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15</w:t>
            </w:r>
          </w:p>
        </w:tc>
        <w:tc>
          <w:tcPr>
            <w:tcW w:w="1275" w:type="dxa"/>
            <w:tcBorders>
              <w:tl2br w:val="nil"/>
              <w:tr2bl w:val="nil"/>
            </w:tcBorders>
            <w:shd w:val="clear" w:color="auto" w:fill="auto"/>
            <w:vAlign w:val="center"/>
          </w:tcPr>
          <w:p w14:paraId="3D2F7C7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15</w:t>
            </w:r>
          </w:p>
        </w:tc>
        <w:tc>
          <w:tcPr>
            <w:tcW w:w="750" w:type="dxa"/>
            <w:tcBorders>
              <w:tl2br w:val="nil"/>
              <w:tr2bl w:val="nil"/>
            </w:tcBorders>
            <w:shd w:val="clear" w:color="auto" w:fill="auto"/>
            <w:vAlign w:val="center"/>
          </w:tcPr>
          <w:p w14:paraId="078E854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人</w:t>
            </w:r>
          </w:p>
        </w:tc>
        <w:tc>
          <w:tcPr>
            <w:tcW w:w="506" w:type="dxa"/>
            <w:tcBorders>
              <w:tl2br w:val="nil"/>
              <w:tr2bl w:val="nil"/>
            </w:tcBorders>
            <w:shd w:val="clear" w:color="auto" w:fill="auto"/>
            <w:vAlign w:val="center"/>
          </w:tcPr>
          <w:p w14:paraId="0B1BC79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w:t>
            </w:r>
          </w:p>
        </w:tc>
        <w:tc>
          <w:tcPr>
            <w:tcW w:w="573" w:type="dxa"/>
            <w:tcBorders>
              <w:tl2br w:val="nil"/>
              <w:tr2bl w:val="nil"/>
            </w:tcBorders>
            <w:shd w:val="clear" w:color="auto" w:fill="auto"/>
            <w:vAlign w:val="center"/>
          </w:tcPr>
          <w:p w14:paraId="7DA19CC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w:t>
            </w:r>
          </w:p>
        </w:tc>
      </w:tr>
      <w:tr w14:paraId="6C9A57F0">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1146" w:hRule="atLeast"/>
          <w:tblCellSpacing w:w="0" w:type="dxa"/>
          <w:jc w:val="center"/>
        </w:trPr>
        <w:tc>
          <w:tcPr>
            <w:tcW w:w="1293" w:type="dxa"/>
            <w:tcBorders>
              <w:tl2br w:val="nil"/>
              <w:tr2bl w:val="nil"/>
            </w:tcBorders>
            <w:shd w:val="clear" w:color="auto" w:fill="auto"/>
            <w:vAlign w:val="center"/>
          </w:tcPr>
          <w:p w14:paraId="2D89761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产出指标</w:t>
            </w:r>
          </w:p>
        </w:tc>
        <w:tc>
          <w:tcPr>
            <w:tcW w:w="1388" w:type="dxa"/>
            <w:tcBorders>
              <w:tl2br w:val="nil"/>
              <w:tr2bl w:val="nil"/>
            </w:tcBorders>
            <w:shd w:val="clear" w:color="auto" w:fill="auto"/>
            <w:vAlign w:val="center"/>
          </w:tcPr>
          <w:p w14:paraId="3C54721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数量指标</w:t>
            </w:r>
          </w:p>
        </w:tc>
        <w:tc>
          <w:tcPr>
            <w:tcW w:w="1998" w:type="dxa"/>
            <w:tcBorders>
              <w:tl2br w:val="nil"/>
              <w:tr2bl w:val="nil"/>
            </w:tcBorders>
            <w:shd w:val="clear" w:color="auto" w:fill="auto"/>
            <w:vAlign w:val="center"/>
          </w:tcPr>
          <w:p w14:paraId="2405AD2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老年人中医药健康管理率</w:t>
            </w:r>
          </w:p>
        </w:tc>
        <w:tc>
          <w:tcPr>
            <w:tcW w:w="796" w:type="dxa"/>
            <w:tcBorders>
              <w:tl2br w:val="nil"/>
              <w:tr2bl w:val="nil"/>
            </w:tcBorders>
            <w:shd w:val="clear" w:color="auto" w:fill="auto"/>
            <w:vAlign w:val="center"/>
          </w:tcPr>
          <w:p w14:paraId="02E255C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w:t>
            </w:r>
          </w:p>
        </w:tc>
        <w:tc>
          <w:tcPr>
            <w:tcW w:w="900" w:type="dxa"/>
            <w:tcBorders>
              <w:tl2br w:val="nil"/>
              <w:tr2bl w:val="nil"/>
            </w:tcBorders>
            <w:shd w:val="clear" w:color="auto" w:fill="auto"/>
            <w:vAlign w:val="center"/>
          </w:tcPr>
          <w:p w14:paraId="04CF7DD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100</w:t>
            </w:r>
          </w:p>
        </w:tc>
        <w:tc>
          <w:tcPr>
            <w:tcW w:w="1275" w:type="dxa"/>
            <w:tcBorders>
              <w:tl2br w:val="nil"/>
              <w:tr2bl w:val="nil"/>
            </w:tcBorders>
            <w:shd w:val="clear" w:color="auto" w:fill="auto"/>
            <w:vAlign w:val="center"/>
          </w:tcPr>
          <w:p w14:paraId="7968BEC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100</w:t>
            </w:r>
          </w:p>
        </w:tc>
        <w:tc>
          <w:tcPr>
            <w:tcW w:w="750" w:type="dxa"/>
            <w:tcBorders>
              <w:tl2br w:val="nil"/>
              <w:tr2bl w:val="nil"/>
            </w:tcBorders>
            <w:shd w:val="clear" w:color="auto" w:fill="auto"/>
            <w:vAlign w:val="center"/>
          </w:tcPr>
          <w:p w14:paraId="01A1C74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w:t>
            </w:r>
          </w:p>
        </w:tc>
        <w:tc>
          <w:tcPr>
            <w:tcW w:w="506" w:type="dxa"/>
            <w:tcBorders>
              <w:tl2br w:val="nil"/>
              <w:tr2bl w:val="nil"/>
            </w:tcBorders>
            <w:shd w:val="clear" w:color="auto" w:fill="auto"/>
            <w:vAlign w:val="center"/>
          </w:tcPr>
          <w:p w14:paraId="06BA948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w:t>
            </w:r>
          </w:p>
        </w:tc>
        <w:tc>
          <w:tcPr>
            <w:tcW w:w="573" w:type="dxa"/>
            <w:tcBorders>
              <w:tl2br w:val="nil"/>
              <w:tr2bl w:val="nil"/>
            </w:tcBorders>
            <w:shd w:val="clear" w:color="auto" w:fill="auto"/>
            <w:vAlign w:val="center"/>
          </w:tcPr>
          <w:p w14:paraId="7918CB5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w:t>
            </w:r>
          </w:p>
        </w:tc>
      </w:tr>
      <w:tr w14:paraId="1B18DC4E">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1146" w:hRule="atLeast"/>
          <w:tblCellSpacing w:w="0" w:type="dxa"/>
          <w:jc w:val="center"/>
        </w:trPr>
        <w:tc>
          <w:tcPr>
            <w:tcW w:w="1293" w:type="dxa"/>
            <w:tcBorders>
              <w:tl2br w:val="nil"/>
              <w:tr2bl w:val="nil"/>
            </w:tcBorders>
            <w:shd w:val="clear" w:color="auto" w:fill="auto"/>
            <w:vAlign w:val="center"/>
          </w:tcPr>
          <w:p w14:paraId="78F586F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产出指标</w:t>
            </w:r>
          </w:p>
        </w:tc>
        <w:tc>
          <w:tcPr>
            <w:tcW w:w="1388" w:type="dxa"/>
            <w:tcBorders>
              <w:tl2br w:val="nil"/>
              <w:tr2bl w:val="nil"/>
            </w:tcBorders>
            <w:shd w:val="clear" w:color="auto" w:fill="auto"/>
            <w:vAlign w:val="center"/>
          </w:tcPr>
          <w:p w14:paraId="2F96EA2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数量指标</w:t>
            </w:r>
          </w:p>
        </w:tc>
        <w:tc>
          <w:tcPr>
            <w:tcW w:w="1998" w:type="dxa"/>
            <w:tcBorders>
              <w:tl2br w:val="nil"/>
              <w:tr2bl w:val="nil"/>
            </w:tcBorders>
            <w:shd w:val="clear" w:color="auto" w:fill="auto"/>
            <w:vAlign w:val="center"/>
          </w:tcPr>
          <w:p w14:paraId="655D904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老年人健康管理率</w:t>
            </w:r>
          </w:p>
        </w:tc>
        <w:tc>
          <w:tcPr>
            <w:tcW w:w="796" w:type="dxa"/>
            <w:tcBorders>
              <w:tl2br w:val="nil"/>
              <w:tr2bl w:val="nil"/>
            </w:tcBorders>
            <w:shd w:val="clear" w:color="auto" w:fill="auto"/>
            <w:vAlign w:val="center"/>
          </w:tcPr>
          <w:p w14:paraId="65A1AC9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w:t>
            </w:r>
          </w:p>
        </w:tc>
        <w:tc>
          <w:tcPr>
            <w:tcW w:w="900" w:type="dxa"/>
            <w:tcBorders>
              <w:tl2br w:val="nil"/>
              <w:tr2bl w:val="nil"/>
            </w:tcBorders>
            <w:shd w:val="clear" w:color="auto" w:fill="auto"/>
            <w:vAlign w:val="center"/>
          </w:tcPr>
          <w:p w14:paraId="1407B9A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100</w:t>
            </w:r>
          </w:p>
        </w:tc>
        <w:tc>
          <w:tcPr>
            <w:tcW w:w="1275" w:type="dxa"/>
            <w:tcBorders>
              <w:tl2br w:val="nil"/>
              <w:tr2bl w:val="nil"/>
            </w:tcBorders>
            <w:shd w:val="clear" w:color="auto" w:fill="auto"/>
            <w:vAlign w:val="center"/>
          </w:tcPr>
          <w:p w14:paraId="54AA45E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100</w:t>
            </w:r>
          </w:p>
        </w:tc>
        <w:tc>
          <w:tcPr>
            <w:tcW w:w="750" w:type="dxa"/>
            <w:tcBorders>
              <w:tl2br w:val="nil"/>
              <w:tr2bl w:val="nil"/>
            </w:tcBorders>
            <w:shd w:val="clear" w:color="auto" w:fill="auto"/>
            <w:vAlign w:val="center"/>
          </w:tcPr>
          <w:p w14:paraId="11B421F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w:t>
            </w:r>
          </w:p>
        </w:tc>
        <w:tc>
          <w:tcPr>
            <w:tcW w:w="506" w:type="dxa"/>
            <w:tcBorders>
              <w:tl2br w:val="nil"/>
              <w:tr2bl w:val="nil"/>
            </w:tcBorders>
            <w:shd w:val="clear" w:color="auto" w:fill="auto"/>
            <w:vAlign w:val="center"/>
          </w:tcPr>
          <w:p w14:paraId="6EDAF77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w:t>
            </w:r>
          </w:p>
        </w:tc>
        <w:tc>
          <w:tcPr>
            <w:tcW w:w="573" w:type="dxa"/>
            <w:tcBorders>
              <w:tl2br w:val="nil"/>
              <w:tr2bl w:val="nil"/>
            </w:tcBorders>
            <w:shd w:val="clear" w:color="auto" w:fill="auto"/>
            <w:vAlign w:val="center"/>
          </w:tcPr>
          <w:p w14:paraId="3083E36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w:t>
            </w:r>
          </w:p>
        </w:tc>
      </w:tr>
      <w:tr w14:paraId="519CD117">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1146" w:hRule="atLeast"/>
          <w:tblCellSpacing w:w="0" w:type="dxa"/>
          <w:jc w:val="center"/>
        </w:trPr>
        <w:tc>
          <w:tcPr>
            <w:tcW w:w="1293" w:type="dxa"/>
            <w:tcBorders>
              <w:tl2br w:val="nil"/>
              <w:tr2bl w:val="nil"/>
            </w:tcBorders>
            <w:shd w:val="clear" w:color="auto" w:fill="auto"/>
            <w:vAlign w:val="center"/>
          </w:tcPr>
          <w:p w14:paraId="51A46AC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效益指标</w:t>
            </w:r>
          </w:p>
        </w:tc>
        <w:tc>
          <w:tcPr>
            <w:tcW w:w="1388" w:type="dxa"/>
            <w:tcBorders>
              <w:tl2br w:val="nil"/>
              <w:tr2bl w:val="nil"/>
            </w:tcBorders>
            <w:shd w:val="clear" w:color="auto" w:fill="auto"/>
            <w:vAlign w:val="center"/>
          </w:tcPr>
          <w:p w14:paraId="3832DEE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社会效益指标</w:t>
            </w:r>
          </w:p>
        </w:tc>
        <w:tc>
          <w:tcPr>
            <w:tcW w:w="1998" w:type="dxa"/>
            <w:tcBorders>
              <w:tl2br w:val="nil"/>
              <w:tr2bl w:val="nil"/>
            </w:tcBorders>
            <w:shd w:val="clear" w:color="auto" w:fill="auto"/>
            <w:vAlign w:val="center"/>
          </w:tcPr>
          <w:p w14:paraId="7B1A417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提高公共卫生服务均等化水平</w:t>
            </w:r>
          </w:p>
        </w:tc>
        <w:tc>
          <w:tcPr>
            <w:tcW w:w="796" w:type="dxa"/>
            <w:tcBorders>
              <w:tl2br w:val="nil"/>
              <w:tr2bl w:val="nil"/>
            </w:tcBorders>
            <w:shd w:val="clear" w:color="auto" w:fill="auto"/>
            <w:vAlign w:val="center"/>
          </w:tcPr>
          <w:p w14:paraId="01F082F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定性</w:t>
            </w:r>
          </w:p>
        </w:tc>
        <w:tc>
          <w:tcPr>
            <w:tcW w:w="900" w:type="dxa"/>
            <w:tcBorders>
              <w:tl2br w:val="nil"/>
              <w:tr2bl w:val="nil"/>
            </w:tcBorders>
            <w:shd w:val="clear" w:color="auto" w:fill="auto"/>
            <w:vAlign w:val="center"/>
          </w:tcPr>
          <w:p w14:paraId="7E86394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优良中</w:t>
            </w:r>
          </w:p>
        </w:tc>
        <w:tc>
          <w:tcPr>
            <w:tcW w:w="1275" w:type="dxa"/>
            <w:tcBorders>
              <w:tl2br w:val="nil"/>
              <w:tr2bl w:val="nil"/>
            </w:tcBorders>
            <w:shd w:val="clear" w:color="auto" w:fill="auto"/>
            <w:vAlign w:val="center"/>
          </w:tcPr>
          <w:p w14:paraId="3271282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优良中</w:t>
            </w:r>
          </w:p>
        </w:tc>
        <w:tc>
          <w:tcPr>
            <w:tcW w:w="750" w:type="dxa"/>
            <w:tcBorders>
              <w:tl2br w:val="nil"/>
              <w:tr2bl w:val="nil"/>
            </w:tcBorders>
            <w:shd w:val="clear" w:color="auto" w:fill="auto"/>
            <w:vAlign w:val="center"/>
          </w:tcPr>
          <w:p w14:paraId="4287286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p>
        </w:tc>
        <w:tc>
          <w:tcPr>
            <w:tcW w:w="506" w:type="dxa"/>
            <w:tcBorders>
              <w:tl2br w:val="nil"/>
              <w:tr2bl w:val="nil"/>
            </w:tcBorders>
            <w:shd w:val="clear" w:color="auto" w:fill="auto"/>
            <w:vAlign w:val="center"/>
          </w:tcPr>
          <w:p w14:paraId="19AA3DA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30</w:t>
            </w:r>
          </w:p>
        </w:tc>
        <w:tc>
          <w:tcPr>
            <w:tcW w:w="573" w:type="dxa"/>
            <w:tcBorders>
              <w:tl2br w:val="nil"/>
              <w:tr2bl w:val="nil"/>
            </w:tcBorders>
            <w:shd w:val="clear" w:color="auto" w:fill="auto"/>
            <w:vAlign w:val="center"/>
          </w:tcPr>
          <w:p w14:paraId="45EDE0A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30</w:t>
            </w:r>
          </w:p>
        </w:tc>
      </w:tr>
      <w:tr w14:paraId="1E23D966">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1146" w:hRule="atLeast"/>
          <w:tblCellSpacing w:w="0" w:type="dxa"/>
          <w:jc w:val="center"/>
        </w:trPr>
        <w:tc>
          <w:tcPr>
            <w:tcW w:w="1293" w:type="dxa"/>
            <w:tcBorders>
              <w:tl2br w:val="nil"/>
              <w:tr2bl w:val="nil"/>
            </w:tcBorders>
            <w:shd w:val="clear" w:color="auto" w:fill="auto"/>
            <w:vAlign w:val="center"/>
          </w:tcPr>
          <w:p w14:paraId="6AE87B7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满意度指标</w:t>
            </w:r>
          </w:p>
        </w:tc>
        <w:tc>
          <w:tcPr>
            <w:tcW w:w="1388" w:type="dxa"/>
            <w:tcBorders>
              <w:tl2br w:val="nil"/>
              <w:tr2bl w:val="nil"/>
            </w:tcBorders>
            <w:shd w:val="clear" w:color="auto" w:fill="auto"/>
            <w:vAlign w:val="center"/>
          </w:tcPr>
          <w:p w14:paraId="440FD47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服务对象满意度指标</w:t>
            </w:r>
          </w:p>
        </w:tc>
        <w:tc>
          <w:tcPr>
            <w:tcW w:w="1998" w:type="dxa"/>
            <w:tcBorders>
              <w:tl2br w:val="nil"/>
              <w:tr2bl w:val="nil"/>
            </w:tcBorders>
            <w:shd w:val="clear" w:color="auto" w:fill="auto"/>
            <w:vAlign w:val="center"/>
          </w:tcPr>
          <w:p w14:paraId="11FCB8E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基层群众满意度</w:t>
            </w:r>
          </w:p>
        </w:tc>
        <w:tc>
          <w:tcPr>
            <w:tcW w:w="796" w:type="dxa"/>
            <w:tcBorders>
              <w:tl2br w:val="nil"/>
              <w:tr2bl w:val="nil"/>
            </w:tcBorders>
            <w:shd w:val="clear" w:color="auto" w:fill="auto"/>
            <w:vAlign w:val="center"/>
          </w:tcPr>
          <w:p w14:paraId="4E38071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w:t>
            </w:r>
          </w:p>
        </w:tc>
        <w:tc>
          <w:tcPr>
            <w:tcW w:w="900" w:type="dxa"/>
            <w:tcBorders>
              <w:tl2br w:val="nil"/>
              <w:tr2bl w:val="nil"/>
            </w:tcBorders>
            <w:shd w:val="clear" w:color="auto" w:fill="auto"/>
            <w:vAlign w:val="center"/>
          </w:tcPr>
          <w:p w14:paraId="600D5E6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96</w:t>
            </w:r>
          </w:p>
        </w:tc>
        <w:tc>
          <w:tcPr>
            <w:tcW w:w="1275" w:type="dxa"/>
            <w:tcBorders>
              <w:tl2br w:val="nil"/>
              <w:tr2bl w:val="nil"/>
            </w:tcBorders>
            <w:shd w:val="clear" w:color="auto" w:fill="auto"/>
            <w:vAlign w:val="center"/>
          </w:tcPr>
          <w:p w14:paraId="03348AD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96</w:t>
            </w:r>
          </w:p>
        </w:tc>
        <w:tc>
          <w:tcPr>
            <w:tcW w:w="750" w:type="dxa"/>
            <w:tcBorders>
              <w:tl2br w:val="nil"/>
              <w:tr2bl w:val="nil"/>
            </w:tcBorders>
            <w:shd w:val="clear" w:color="auto" w:fill="auto"/>
            <w:vAlign w:val="center"/>
          </w:tcPr>
          <w:p w14:paraId="16E1918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w:t>
            </w:r>
          </w:p>
        </w:tc>
        <w:tc>
          <w:tcPr>
            <w:tcW w:w="506" w:type="dxa"/>
            <w:tcBorders>
              <w:tl2br w:val="nil"/>
              <w:tr2bl w:val="nil"/>
            </w:tcBorders>
            <w:shd w:val="clear" w:color="auto" w:fill="auto"/>
            <w:vAlign w:val="center"/>
          </w:tcPr>
          <w:p w14:paraId="775EE8F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w:t>
            </w:r>
          </w:p>
        </w:tc>
        <w:tc>
          <w:tcPr>
            <w:tcW w:w="573" w:type="dxa"/>
            <w:tcBorders>
              <w:tl2br w:val="nil"/>
              <w:tr2bl w:val="nil"/>
            </w:tcBorders>
            <w:shd w:val="clear" w:color="auto" w:fill="auto"/>
            <w:vAlign w:val="center"/>
          </w:tcPr>
          <w:p w14:paraId="417FA2E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w:t>
            </w:r>
          </w:p>
        </w:tc>
      </w:tr>
      <w:tr w14:paraId="3446FBE0">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1146" w:hRule="atLeast"/>
          <w:tblCellSpacing w:w="0" w:type="dxa"/>
          <w:jc w:val="center"/>
        </w:trPr>
        <w:tc>
          <w:tcPr>
            <w:tcW w:w="1293" w:type="dxa"/>
            <w:tcBorders>
              <w:tl2br w:val="nil"/>
              <w:tr2bl w:val="nil"/>
            </w:tcBorders>
            <w:shd w:val="clear" w:color="auto" w:fill="auto"/>
            <w:vAlign w:val="center"/>
          </w:tcPr>
          <w:p w14:paraId="06CE3D1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成本指标</w:t>
            </w:r>
          </w:p>
        </w:tc>
        <w:tc>
          <w:tcPr>
            <w:tcW w:w="1388" w:type="dxa"/>
            <w:tcBorders>
              <w:tl2br w:val="nil"/>
              <w:tr2bl w:val="nil"/>
            </w:tcBorders>
            <w:shd w:val="clear" w:color="auto" w:fill="auto"/>
            <w:vAlign w:val="center"/>
          </w:tcPr>
          <w:p w14:paraId="0B85679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经济成本指标</w:t>
            </w:r>
          </w:p>
        </w:tc>
        <w:tc>
          <w:tcPr>
            <w:tcW w:w="1998" w:type="dxa"/>
            <w:tcBorders>
              <w:tl2br w:val="nil"/>
              <w:tr2bl w:val="nil"/>
            </w:tcBorders>
            <w:shd w:val="clear" w:color="auto" w:fill="auto"/>
            <w:vAlign w:val="center"/>
          </w:tcPr>
          <w:p w14:paraId="0165A5B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基本公共卫生服务县级配套项目成本</w:t>
            </w:r>
          </w:p>
        </w:tc>
        <w:tc>
          <w:tcPr>
            <w:tcW w:w="796" w:type="dxa"/>
            <w:tcBorders>
              <w:tl2br w:val="nil"/>
              <w:tr2bl w:val="nil"/>
            </w:tcBorders>
            <w:shd w:val="clear" w:color="auto" w:fill="auto"/>
            <w:vAlign w:val="center"/>
          </w:tcPr>
          <w:p w14:paraId="3646A7D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w:t>
            </w:r>
          </w:p>
        </w:tc>
        <w:tc>
          <w:tcPr>
            <w:tcW w:w="900" w:type="dxa"/>
            <w:tcBorders>
              <w:tl2br w:val="nil"/>
              <w:tr2bl w:val="nil"/>
            </w:tcBorders>
            <w:shd w:val="clear" w:color="auto" w:fill="auto"/>
            <w:vAlign w:val="center"/>
          </w:tcPr>
          <w:p w14:paraId="2B47185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0.6541</w:t>
            </w:r>
          </w:p>
        </w:tc>
        <w:tc>
          <w:tcPr>
            <w:tcW w:w="1275" w:type="dxa"/>
            <w:tcBorders>
              <w:tl2br w:val="nil"/>
              <w:tr2bl w:val="nil"/>
            </w:tcBorders>
            <w:shd w:val="clear" w:color="auto" w:fill="auto"/>
            <w:vAlign w:val="center"/>
          </w:tcPr>
          <w:p w14:paraId="7CF8501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0.6541.92</w:t>
            </w:r>
          </w:p>
        </w:tc>
        <w:tc>
          <w:tcPr>
            <w:tcW w:w="750" w:type="dxa"/>
            <w:tcBorders>
              <w:tl2br w:val="nil"/>
              <w:tr2bl w:val="nil"/>
            </w:tcBorders>
            <w:shd w:val="clear" w:color="auto" w:fill="auto"/>
            <w:vAlign w:val="center"/>
          </w:tcPr>
          <w:p w14:paraId="60F2C33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万元</w:t>
            </w:r>
          </w:p>
        </w:tc>
        <w:tc>
          <w:tcPr>
            <w:tcW w:w="506" w:type="dxa"/>
            <w:tcBorders>
              <w:tl2br w:val="nil"/>
              <w:tr2bl w:val="nil"/>
            </w:tcBorders>
            <w:shd w:val="clear" w:color="auto" w:fill="auto"/>
            <w:vAlign w:val="center"/>
          </w:tcPr>
          <w:p w14:paraId="25ADA22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w:t>
            </w:r>
          </w:p>
        </w:tc>
        <w:tc>
          <w:tcPr>
            <w:tcW w:w="573" w:type="dxa"/>
            <w:tcBorders>
              <w:tl2br w:val="nil"/>
              <w:tr2bl w:val="nil"/>
            </w:tcBorders>
            <w:shd w:val="clear" w:color="auto" w:fill="auto"/>
            <w:vAlign w:val="center"/>
          </w:tcPr>
          <w:p w14:paraId="70691DB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10</w:t>
            </w:r>
          </w:p>
        </w:tc>
      </w:tr>
    </w:tbl>
    <w:p w14:paraId="2B7E1B1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测算明细表</w:t>
      </w:r>
    </w:p>
    <w:p w14:paraId="4B562A9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年度预算表</w:t>
      </w:r>
    </w:p>
    <w:p w14:paraId="03BCA4B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年度绩效目标表</w:t>
      </w:r>
    </w:p>
    <w:p w14:paraId="40CF8AE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资产配置表</w:t>
      </w:r>
    </w:p>
    <w:p w14:paraId="268A091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政府购买服务预算表</w:t>
      </w:r>
    </w:p>
    <w:p w14:paraId="37C6B33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政府采购预算表</w:t>
      </w:r>
    </w:p>
    <w:p w14:paraId="1E7E364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 xml:space="preserve">年度绩效目标表 </w:t>
      </w:r>
    </w:p>
    <w:p w14:paraId="7E11BCAF">
      <w:pPr>
        <w:pStyle w:val="38"/>
        <w:pageBreakBefore w:val="0"/>
        <w:kinsoku/>
        <w:wordWrap/>
        <w:overflowPunct/>
        <w:topLinePunct w:val="0"/>
        <w:autoSpaceDE/>
        <w:autoSpaceDN/>
        <w:bidi w:val="0"/>
        <w:adjustRightInd w:val="0"/>
        <w:snapToGrid w:val="0"/>
        <w:spacing w:beforeAutospacing="0" w:afterAutospacing="0" w:line="576" w:lineRule="exact"/>
        <w:ind w:left="0"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窗体顶端</w:t>
      </w:r>
    </w:p>
    <w:p w14:paraId="7B35BF9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单位信息:</w:t>
      </w:r>
    </w:p>
    <w:p w14:paraId="114E1C49">
      <w:pPr>
        <w:pStyle w:val="1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122009-红原县壤口乡卫生院</w:t>
      </w:r>
    </w:p>
    <w:p w14:paraId="68487DF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预算项目:</w:t>
      </w:r>
    </w:p>
    <w:p w14:paraId="0F9ABC49">
      <w:pPr>
        <w:pStyle w:val="1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51323325T000012954985-县级配套基本药物</w:t>
      </w:r>
    </w:p>
    <w:p w14:paraId="0048E87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职能职责与活动:</w:t>
      </w:r>
    </w:p>
    <w:p w14:paraId="665FEAD7">
      <w:pPr>
        <w:pStyle w:val="1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12-医疗卫生服务/04-基本药物制度、</w:t>
      </w:r>
    </w:p>
    <w:p w14:paraId="30637E7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主管部门:</w:t>
      </w:r>
    </w:p>
    <w:p w14:paraId="0D8F1A1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object>
          <v:shape id="_x0000_i1029" o:spt="201" alt="" type="#_x0000_t201" style="height:18pt;width:54pt;" o:ole="t" filled="f" o:preferrelative="t" stroked="f" coordsize="21600,21600">
            <v:path/>
            <v:fill on="f" focussize="0,0"/>
            <v:stroke on="f"/>
            <v:imagedata r:id="rId16" o:title=""/>
            <o:lock v:ext="edit" aspectratio="t"/>
            <w10:wrap type="none"/>
            <w10:anchorlock/>
          </v:shape>
          <w:control r:id="rId20" w:name="HTMLText5" w:shapeid="_x0000_i1029"/>
        </w:object>
      </w:r>
    </w:p>
    <w:p w14:paraId="054E5B6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项目经办人:</w:t>
      </w:r>
    </w:p>
    <w:p w14:paraId="1BAAEA9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object>
          <v:shape id="_x0000_i1030" o:spt="201" alt="" type="#_x0000_t201" style="height:18pt;width:54pt;" o:ole="t" filled="f" o:preferrelative="t" stroked="f" coordsize="21600,21600">
            <v:path/>
            <v:fill on="f" focussize="0,0"/>
            <v:stroke on="f"/>
            <v:imagedata r:id="rId16" o:title=""/>
            <o:lock v:ext="edit" aspectratio="t"/>
            <w10:wrap type="none"/>
            <w10:anchorlock/>
          </v:shape>
          <w:control r:id="rId21" w:name="HTMLText6" w:shapeid="_x0000_i1030"/>
        </w:object>
      </w:r>
    </w:p>
    <w:p w14:paraId="374B19B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项目总额:</w:t>
      </w:r>
    </w:p>
    <w:p w14:paraId="6807166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2,832.00元</w:t>
      </w:r>
    </w:p>
    <w:p w14:paraId="78DCD4F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预算执行率权重:</w:t>
      </w:r>
    </w:p>
    <w:p w14:paraId="0029471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object>
          <v:shape id="_x0000_i1031" o:spt="201" alt="" type="#_x0000_t201" style="height:18pt;width:54pt;" o:ole="t" filled="f" o:preferrelative="t" stroked="f" coordsize="21600,21600">
            <v:path/>
            <v:fill on="f" focussize="0,0"/>
            <v:stroke on="f"/>
            <v:imagedata r:id="rId16" o:title=""/>
            <o:lock v:ext="edit" aspectratio="t"/>
            <w10:wrap type="none"/>
            <w10:anchorlock/>
          </v:shape>
          <w:control r:id="rId22" w:name="HTMLText7" w:shapeid="_x0000_i1031"/>
        </w:object>
      </w:r>
    </w:p>
    <w:p w14:paraId="7979C17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项目经办人电话:</w:t>
      </w:r>
    </w:p>
    <w:p w14:paraId="23EFE4F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object>
          <v:shape id="_x0000_i1032" o:spt="201" alt="" type="#_x0000_t201" style="height:18pt;width:54pt;" o:ole="t" filled="f" o:preferrelative="t" stroked="f" coordsize="21600,21600">
            <v:path/>
            <v:fill on="f" focussize="0,0"/>
            <v:stroke on="f"/>
            <v:imagedata r:id="rId16" o:title=""/>
            <o:lock v:ext="edit" aspectratio="t"/>
            <w10:wrap type="none"/>
            <w10:anchorlock/>
          </v:shape>
          <w:control r:id="rId23" w:name="HTMLText8" w:shapeid="_x0000_i1032"/>
        </w:object>
      </w:r>
    </w:p>
    <w:p w14:paraId="7DDF2D7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其中:</w:t>
      </w:r>
    </w:p>
    <w:p w14:paraId="7DB0328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财政资金:</w:t>
      </w:r>
    </w:p>
    <w:p w14:paraId="720B137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2,832.00元</w:t>
      </w:r>
    </w:p>
    <w:p w14:paraId="76D1910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年度目标:</w:t>
      </w:r>
    </w:p>
    <w:p w14:paraId="77C49ED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object>
          <v:shape id="_x0000_i1033" o:spt="201" alt="" type="#_x0000_t201" style="height:47.25pt;width:150pt;" o:ole="t" filled="f" o:preferrelative="t" stroked="f" coordsize="21600,21600">
            <v:path/>
            <v:fill on="f" focussize="0,0"/>
            <v:stroke on="f"/>
            <v:imagedata r:id="rId25" o:title=""/>
            <o:lock v:ext="edit" aspectratio="t"/>
            <w10:wrap type="none"/>
            <w10:anchorlock/>
          </v:shape>
          <w:control r:id="rId24" w:name="HTMLTextArea1" w:shapeid="_x0000_i1033"/>
        </w:object>
      </w:r>
    </w:p>
    <w:p w14:paraId="6C7D6D9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财政专户管理资金:</w:t>
      </w:r>
    </w:p>
    <w:p w14:paraId="2091F89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0.00 元</w:t>
      </w:r>
    </w:p>
    <w:p w14:paraId="206D745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单位资金:</w:t>
      </w:r>
    </w:p>
    <w:p w14:paraId="404F548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0.00 元</w:t>
      </w:r>
    </w:p>
    <w:p w14:paraId="4625A53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社会投入资金:</w:t>
      </w:r>
    </w:p>
    <w:p w14:paraId="4F0C251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0.00 元</w:t>
      </w:r>
    </w:p>
    <w:p w14:paraId="2805122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银行贷款:</w:t>
      </w:r>
    </w:p>
    <w:p w14:paraId="7458C73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0.00 元</w:t>
      </w:r>
    </w:p>
    <w:p w14:paraId="42596A86">
      <w:pPr>
        <w:pStyle w:val="39"/>
        <w:pageBreakBefore w:val="0"/>
        <w:kinsoku/>
        <w:wordWrap/>
        <w:overflowPunct/>
        <w:topLinePunct w:val="0"/>
        <w:autoSpaceDE/>
        <w:autoSpaceDN/>
        <w:bidi w:val="0"/>
        <w:adjustRightInd w:val="0"/>
        <w:snapToGrid w:val="0"/>
        <w:spacing w:beforeAutospacing="0" w:afterAutospacing="0" w:line="576" w:lineRule="exact"/>
        <w:ind w:left="0" w:leftChars="0"/>
      </w:pPr>
      <w:r>
        <w:t>窗体底端</w:t>
      </w:r>
    </w:p>
    <w:p w14:paraId="3EDCEA4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left"/>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FF0000"/>
          <w:kern w:val="0"/>
          <w:sz w:val="32"/>
          <w:szCs w:val="32"/>
          <w:lang w:val="en-US" w:eastAsia="zh-CN" w:bidi="ar"/>
        </w:rPr>
        <w:t>请点击查看绩效指标控制详情</w:t>
      </w:r>
    </w:p>
    <w:p w14:paraId="650B8D86">
      <w:pPr>
        <w:pageBreakBefore w:val="0"/>
        <w:kinsoku/>
        <w:wordWrap/>
        <w:overflowPunct/>
        <w:topLinePunct w:val="0"/>
        <w:autoSpaceDE/>
        <w:autoSpaceDN/>
        <w:bidi w:val="0"/>
        <w:adjustRightInd w:val="0"/>
        <w:snapToGrid w:val="0"/>
        <w:spacing w:beforeAutospacing="0" w:afterAutospacing="0" w:line="576" w:lineRule="exact"/>
        <w:ind w:left="0" w:leftChars="0"/>
        <w:rPr>
          <w:vanish/>
          <w:sz w:val="24"/>
          <w:szCs w:val="24"/>
        </w:rPr>
      </w:pPr>
    </w:p>
    <w:p w14:paraId="38C007F0">
      <w:pPr>
        <w:pageBreakBefore w:val="0"/>
        <w:kinsoku/>
        <w:wordWrap/>
        <w:overflowPunct/>
        <w:topLinePunct w:val="0"/>
        <w:autoSpaceDE/>
        <w:autoSpaceDN/>
        <w:bidi w:val="0"/>
        <w:adjustRightInd w:val="0"/>
        <w:snapToGrid w:val="0"/>
        <w:spacing w:beforeAutospacing="0" w:afterAutospacing="0" w:line="576" w:lineRule="exact"/>
        <w:ind w:left="0" w:leftChars="0"/>
        <w:rPr>
          <w:vanish/>
          <w:sz w:val="24"/>
          <w:szCs w:val="24"/>
        </w:rPr>
      </w:pPr>
    </w:p>
    <w:tbl>
      <w:tblPr>
        <w:tblStyle w:val="18"/>
        <w:tblpPr w:leftFromText="180" w:rightFromText="180" w:vertAnchor="text" w:horzAnchor="page" w:tblpXSpec="center" w:tblpY="39"/>
        <w:tblOverlap w:val="never"/>
        <w:tblW w:w="9740" w:type="dxa"/>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0" w:type="dxa"/>
          <w:bottom w:w="0" w:type="dxa"/>
          <w:right w:w="0" w:type="dxa"/>
        </w:tblCellMar>
      </w:tblPr>
      <w:tblGrid>
        <w:gridCol w:w="1067"/>
        <w:gridCol w:w="1781"/>
        <w:gridCol w:w="2532"/>
        <w:gridCol w:w="656"/>
        <w:gridCol w:w="1041"/>
        <w:gridCol w:w="981"/>
        <w:gridCol w:w="491"/>
        <w:gridCol w:w="606"/>
        <w:gridCol w:w="585"/>
      </w:tblGrid>
      <w:tr w14:paraId="235385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0" w:type="dxa"/>
            <w:bottom w:w="0" w:type="dxa"/>
            <w:right w:w="0" w:type="dxa"/>
          </w:tblCellMar>
        </w:tblPrEx>
        <w:trPr>
          <w:trHeight w:val="1131" w:hRule="atLeast"/>
          <w:tblCellSpacing w:w="0" w:type="dxa"/>
          <w:jc w:val="center"/>
        </w:trPr>
        <w:tc>
          <w:tcPr>
            <w:tcW w:w="1067" w:type="dxa"/>
            <w:tcBorders>
              <w:tl2br w:val="nil"/>
              <w:tr2bl w:val="nil"/>
            </w:tcBorders>
            <w:shd w:val="clear" w:color="auto" w:fill="auto"/>
            <w:vAlign w:val="center"/>
          </w:tcPr>
          <w:p w14:paraId="16BFD9E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产出指标</w:t>
            </w:r>
          </w:p>
        </w:tc>
        <w:tc>
          <w:tcPr>
            <w:tcW w:w="1781" w:type="dxa"/>
            <w:tcBorders>
              <w:tl2br w:val="nil"/>
              <w:tr2bl w:val="nil"/>
            </w:tcBorders>
            <w:shd w:val="clear" w:color="auto" w:fill="auto"/>
            <w:vAlign w:val="center"/>
          </w:tcPr>
          <w:p w14:paraId="4E80425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数量指标</w:t>
            </w:r>
          </w:p>
        </w:tc>
        <w:tc>
          <w:tcPr>
            <w:tcW w:w="2532" w:type="dxa"/>
            <w:tcBorders>
              <w:tl2br w:val="nil"/>
              <w:tr2bl w:val="nil"/>
            </w:tcBorders>
            <w:shd w:val="clear" w:color="auto" w:fill="auto"/>
            <w:vAlign w:val="center"/>
          </w:tcPr>
          <w:p w14:paraId="14464AB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基层医疗机构基本药物网购置次数</w:t>
            </w:r>
          </w:p>
        </w:tc>
        <w:tc>
          <w:tcPr>
            <w:tcW w:w="656" w:type="dxa"/>
            <w:tcBorders>
              <w:tl2br w:val="nil"/>
              <w:tr2bl w:val="nil"/>
            </w:tcBorders>
            <w:shd w:val="clear" w:color="auto" w:fill="auto"/>
            <w:vAlign w:val="center"/>
          </w:tcPr>
          <w:p w14:paraId="28F0708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w:t>
            </w:r>
          </w:p>
        </w:tc>
        <w:tc>
          <w:tcPr>
            <w:tcW w:w="1041" w:type="dxa"/>
            <w:tcBorders>
              <w:tl2br w:val="nil"/>
              <w:tr2bl w:val="nil"/>
            </w:tcBorders>
            <w:shd w:val="clear" w:color="auto" w:fill="auto"/>
            <w:vAlign w:val="center"/>
          </w:tcPr>
          <w:p w14:paraId="1B6622B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12</w:t>
            </w:r>
          </w:p>
        </w:tc>
        <w:tc>
          <w:tcPr>
            <w:tcW w:w="981" w:type="dxa"/>
            <w:tcBorders>
              <w:tl2br w:val="nil"/>
              <w:tr2bl w:val="nil"/>
            </w:tcBorders>
            <w:shd w:val="clear" w:color="auto" w:fill="auto"/>
            <w:vAlign w:val="center"/>
          </w:tcPr>
          <w:p w14:paraId="26ACCE2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12</w:t>
            </w:r>
          </w:p>
        </w:tc>
        <w:tc>
          <w:tcPr>
            <w:tcW w:w="491" w:type="dxa"/>
            <w:tcBorders>
              <w:tl2br w:val="nil"/>
              <w:tr2bl w:val="nil"/>
            </w:tcBorders>
            <w:shd w:val="clear" w:color="auto" w:fill="auto"/>
            <w:vAlign w:val="center"/>
          </w:tcPr>
          <w:p w14:paraId="2C1E816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次</w:t>
            </w:r>
          </w:p>
        </w:tc>
        <w:tc>
          <w:tcPr>
            <w:tcW w:w="606" w:type="dxa"/>
            <w:tcBorders>
              <w:tl2br w:val="nil"/>
              <w:tr2bl w:val="nil"/>
            </w:tcBorders>
            <w:shd w:val="clear" w:color="auto" w:fill="auto"/>
            <w:vAlign w:val="center"/>
          </w:tcPr>
          <w:p w14:paraId="3F33202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10</w:t>
            </w:r>
          </w:p>
        </w:tc>
        <w:tc>
          <w:tcPr>
            <w:tcW w:w="585" w:type="dxa"/>
            <w:tcBorders>
              <w:tl2br w:val="nil"/>
              <w:tr2bl w:val="nil"/>
            </w:tcBorders>
            <w:shd w:val="clear" w:color="auto" w:fill="auto"/>
            <w:vAlign w:val="center"/>
          </w:tcPr>
          <w:p w14:paraId="07F0ACE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10</w:t>
            </w:r>
          </w:p>
        </w:tc>
      </w:tr>
      <w:tr w14:paraId="278D60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62" w:hRule="atLeast"/>
          <w:tblCellSpacing w:w="0" w:type="dxa"/>
          <w:jc w:val="center"/>
        </w:trPr>
        <w:tc>
          <w:tcPr>
            <w:tcW w:w="1067" w:type="dxa"/>
            <w:tcBorders>
              <w:tl2br w:val="nil"/>
              <w:tr2bl w:val="nil"/>
            </w:tcBorders>
            <w:shd w:val="clear" w:color="auto" w:fill="auto"/>
            <w:vAlign w:val="center"/>
          </w:tcPr>
          <w:p w14:paraId="639EE70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产出指标</w:t>
            </w:r>
          </w:p>
        </w:tc>
        <w:tc>
          <w:tcPr>
            <w:tcW w:w="1781" w:type="dxa"/>
            <w:tcBorders>
              <w:tl2br w:val="nil"/>
              <w:tr2bl w:val="nil"/>
            </w:tcBorders>
            <w:shd w:val="clear" w:color="auto" w:fill="auto"/>
            <w:vAlign w:val="center"/>
          </w:tcPr>
          <w:p w14:paraId="50BBDAF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质量指标</w:t>
            </w:r>
          </w:p>
        </w:tc>
        <w:tc>
          <w:tcPr>
            <w:tcW w:w="2532" w:type="dxa"/>
            <w:tcBorders>
              <w:tl2br w:val="nil"/>
              <w:tr2bl w:val="nil"/>
            </w:tcBorders>
            <w:shd w:val="clear" w:color="auto" w:fill="auto"/>
            <w:vAlign w:val="center"/>
          </w:tcPr>
          <w:p w14:paraId="617FDF2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基本药物补助县级配套资金支付准确率</w:t>
            </w:r>
          </w:p>
        </w:tc>
        <w:tc>
          <w:tcPr>
            <w:tcW w:w="656" w:type="dxa"/>
            <w:tcBorders>
              <w:tl2br w:val="nil"/>
              <w:tr2bl w:val="nil"/>
            </w:tcBorders>
            <w:shd w:val="clear" w:color="auto" w:fill="auto"/>
            <w:vAlign w:val="center"/>
          </w:tcPr>
          <w:p w14:paraId="117D2AC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w:t>
            </w:r>
          </w:p>
        </w:tc>
        <w:tc>
          <w:tcPr>
            <w:tcW w:w="1041" w:type="dxa"/>
            <w:tcBorders>
              <w:tl2br w:val="nil"/>
              <w:tr2bl w:val="nil"/>
            </w:tcBorders>
            <w:shd w:val="clear" w:color="auto" w:fill="auto"/>
            <w:vAlign w:val="center"/>
          </w:tcPr>
          <w:p w14:paraId="2202B24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95</w:t>
            </w:r>
          </w:p>
        </w:tc>
        <w:tc>
          <w:tcPr>
            <w:tcW w:w="981" w:type="dxa"/>
            <w:tcBorders>
              <w:tl2br w:val="nil"/>
              <w:tr2bl w:val="nil"/>
            </w:tcBorders>
            <w:shd w:val="clear" w:color="auto" w:fill="auto"/>
            <w:vAlign w:val="center"/>
          </w:tcPr>
          <w:p w14:paraId="210E0A5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95</w:t>
            </w:r>
          </w:p>
        </w:tc>
        <w:tc>
          <w:tcPr>
            <w:tcW w:w="491" w:type="dxa"/>
            <w:tcBorders>
              <w:tl2br w:val="nil"/>
              <w:tr2bl w:val="nil"/>
            </w:tcBorders>
            <w:shd w:val="clear" w:color="auto" w:fill="auto"/>
            <w:vAlign w:val="center"/>
          </w:tcPr>
          <w:p w14:paraId="5618F40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w:t>
            </w:r>
          </w:p>
        </w:tc>
        <w:tc>
          <w:tcPr>
            <w:tcW w:w="606" w:type="dxa"/>
            <w:tcBorders>
              <w:tl2br w:val="nil"/>
              <w:tr2bl w:val="nil"/>
            </w:tcBorders>
            <w:shd w:val="clear" w:color="auto" w:fill="auto"/>
            <w:vAlign w:val="center"/>
          </w:tcPr>
          <w:p w14:paraId="19D4FF5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10</w:t>
            </w:r>
          </w:p>
        </w:tc>
        <w:tc>
          <w:tcPr>
            <w:tcW w:w="585" w:type="dxa"/>
            <w:tcBorders>
              <w:tl2br w:val="nil"/>
              <w:tr2bl w:val="nil"/>
            </w:tcBorders>
            <w:shd w:val="clear" w:color="auto" w:fill="auto"/>
            <w:vAlign w:val="center"/>
          </w:tcPr>
          <w:p w14:paraId="2140253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10</w:t>
            </w:r>
          </w:p>
        </w:tc>
      </w:tr>
      <w:tr w14:paraId="41AD2A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94" w:hRule="atLeast"/>
          <w:tblCellSpacing w:w="0" w:type="dxa"/>
          <w:jc w:val="center"/>
        </w:trPr>
        <w:tc>
          <w:tcPr>
            <w:tcW w:w="1067" w:type="dxa"/>
            <w:tcBorders>
              <w:tl2br w:val="nil"/>
              <w:tr2bl w:val="nil"/>
            </w:tcBorders>
            <w:shd w:val="clear" w:color="auto" w:fill="auto"/>
            <w:vAlign w:val="center"/>
          </w:tcPr>
          <w:p w14:paraId="7F76AC9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产出指标</w:t>
            </w:r>
          </w:p>
        </w:tc>
        <w:tc>
          <w:tcPr>
            <w:tcW w:w="1781" w:type="dxa"/>
            <w:tcBorders>
              <w:tl2br w:val="nil"/>
              <w:tr2bl w:val="nil"/>
            </w:tcBorders>
            <w:shd w:val="clear" w:color="auto" w:fill="auto"/>
            <w:vAlign w:val="center"/>
          </w:tcPr>
          <w:p w14:paraId="7E72FF9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时效指标</w:t>
            </w:r>
          </w:p>
        </w:tc>
        <w:tc>
          <w:tcPr>
            <w:tcW w:w="2532" w:type="dxa"/>
            <w:tcBorders>
              <w:tl2br w:val="nil"/>
              <w:tr2bl w:val="nil"/>
            </w:tcBorders>
            <w:shd w:val="clear" w:color="auto" w:fill="auto"/>
            <w:vAlign w:val="center"/>
          </w:tcPr>
          <w:p w14:paraId="70DB234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基本药物补助县级配套资金支付及时率</w:t>
            </w:r>
          </w:p>
        </w:tc>
        <w:tc>
          <w:tcPr>
            <w:tcW w:w="656" w:type="dxa"/>
            <w:tcBorders>
              <w:tl2br w:val="nil"/>
              <w:tr2bl w:val="nil"/>
            </w:tcBorders>
            <w:shd w:val="clear" w:color="auto" w:fill="auto"/>
            <w:vAlign w:val="center"/>
          </w:tcPr>
          <w:p w14:paraId="2C1A77F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w:t>
            </w:r>
          </w:p>
        </w:tc>
        <w:tc>
          <w:tcPr>
            <w:tcW w:w="1041" w:type="dxa"/>
            <w:tcBorders>
              <w:tl2br w:val="nil"/>
              <w:tr2bl w:val="nil"/>
            </w:tcBorders>
            <w:shd w:val="clear" w:color="auto" w:fill="auto"/>
            <w:vAlign w:val="center"/>
          </w:tcPr>
          <w:p w14:paraId="19855EB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96</w:t>
            </w:r>
          </w:p>
        </w:tc>
        <w:tc>
          <w:tcPr>
            <w:tcW w:w="981" w:type="dxa"/>
            <w:tcBorders>
              <w:tl2br w:val="nil"/>
              <w:tr2bl w:val="nil"/>
            </w:tcBorders>
            <w:shd w:val="clear" w:color="auto" w:fill="auto"/>
            <w:vAlign w:val="center"/>
          </w:tcPr>
          <w:p w14:paraId="7D7A435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96</w:t>
            </w:r>
          </w:p>
        </w:tc>
        <w:tc>
          <w:tcPr>
            <w:tcW w:w="491" w:type="dxa"/>
            <w:tcBorders>
              <w:tl2br w:val="nil"/>
              <w:tr2bl w:val="nil"/>
            </w:tcBorders>
            <w:shd w:val="clear" w:color="auto" w:fill="auto"/>
            <w:vAlign w:val="center"/>
          </w:tcPr>
          <w:p w14:paraId="6BAD914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w:t>
            </w:r>
          </w:p>
        </w:tc>
        <w:tc>
          <w:tcPr>
            <w:tcW w:w="606" w:type="dxa"/>
            <w:tcBorders>
              <w:tl2br w:val="nil"/>
              <w:tr2bl w:val="nil"/>
            </w:tcBorders>
            <w:shd w:val="clear" w:color="auto" w:fill="auto"/>
            <w:vAlign w:val="center"/>
          </w:tcPr>
          <w:p w14:paraId="17C7847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10</w:t>
            </w:r>
          </w:p>
        </w:tc>
        <w:tc>
          <w:tcPr>
            <w:tcW w:w="585" w:type="dxa"/>
            <w:tcBorders>
              <w:tl2br w:val="nil"/>
              <w:tr2bl w:val="nil"/>
            </w:tcBorders>
            <w:shd w:val="clear" w:color="auto" w:fill="auto"/>
            <w:vAlign w:val="center"/>
          </w:tcPr>
          <w:p w14:paraId="60DDEAF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10</w:t>
            </w:r>
          </w:p>
        </w:tc>
      </w:tr>
      <w:tr w14:paraId="1309CF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31" w:hRule="atLeast"/>
          <w:tblCellSpacing w:w="0" w:type="dxa"/>
          <w:jc w:val="center"/>
        </w:trPr>
        <w:tc>
          <w:tcPr>
            <w:tcW w:w="1067" w:type="dxa"/>
            <w:tcBorders>
              <w:tl2br w:val="nil"/>
              <w:tr2bl w:val="nil"/>
            </w:tcBorders>
            <w:shd w:val="clear" w:color="auto" w:fill="auto"/>
            <w:vAlign w:val="center"/>
          </w:tcPr>
          <w:p w14:paraId="310C7E1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产出指标</w:t>
            </w:r>
          </w:p>
        </w:tc>
        <w:tc>
          <w:tcPr>
            <w:tcW w:w="1781" w:type="dxa"/>
            <w:tcBorders>
              <w:tl2br w:val="nil"/>
              <w:tr2bl w:val="nil"/>
            </w:tcBorders>
            <w:shd w:val="clear" w:color="auto" w:fill="auto"/>
            <w:vAlign w:val="center"/>
          </w:tcPr>
          <w:p w14:paraId="2A926F4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数量指标</w:t>
            </w:r>
          </w:p>
        </w:tc>
        <w:tc>
          <w:tcPr>
            <w:tcW w:w="2532" w:type="dxa"/>
            <w:tcBorders>
              <w:tl2br w:val="nil"/>
              <w:tr2bl w:val="nil"/>
            </w:tcBorders>
            <w:shd w:val="clear" w:color="auto" w:fill="auto"/>
            <w:vAlign w:val="center"/>
          </w:tcPr>
          <w:p w14:paraId="2D9132C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实行基本药物补助县级配套的基层医疗机构个数</w:t>
            </w:r>
          </w:p>
        </w:tc>
        <w:tc>
          <w:tcPr>
            <w:tcW w:w="656" w:type="dxa"/>
            <w:tcBorders>
              <w:tl2br w:val="nil"/>
              <w:tr2bl w:val="nil"/>
            </w:tcBorders>
            <w:shd w:val="clear" w:color="auto" w:fill="auto"/>
            <w:vAlign w:val="center"/>
          </w:tcPr>
          <w:p w14:paraId="503F7E2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w:t>
            </w:r>
          </w:p>
        </w:tc>
        <w:tc>
          <w:tcPr>
            <w:tcW w:w="1041" w:type="dxa"/>
            <w:tcBorders>
              <w:tl2br w:val="nil"/>
              <w:tr2bl w:val="nil"/>
            </w:tcBorders>
            <w:shd w:val="clear" w:color="auto" w:fill="auto"/>
            <w:vAlign w:val="center"/>
          </w:tcPr>
          <w:p w14:paraId="0898BEC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w:t>
            </w:r>
          </w:p>
        </w:tc>
        <w:tc>
          <w:tcPr>
            <w:tcW w:w="981" w:type="dxa"/>
            <w:tcBorders>
              <w:tl2br w:val="nil"/>
              <w:tr2bl w:val="nil"/>
            </w:tcBorders>
            <w:shd w:val="clear" w:color="auto" w:fill="auto"/>
            <w:vAlign w:val="center"/>
          </w:tcPr>
          <w:p w14:paraId="58995E5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w:t>
            </w:r>
          </w:p>
        </w:tc>
        <w:tc>
          <w:tcPr>
            <w:tcW w:w="491" w:type="dxa"/>
            <w:tcBorders>
              <w:tl2br w:val="nil"/>
              <w:tr2bl w:val="nil"/>
            </w:tcBorders>
            <w:shd w:val="clear" w:color="auto" w:fill="auto"/>
            <w:vAlign w:val="center"/>
          </w:tcPr>
          <w:p w14:paraId="4056798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个</w:t>
            </w:r>
          </w:p>
        </w:tc>
        <w:tc>
          <w:tcPr>
            <w:tcW w:w="606" w:type="dxa"/>
            <w:tcBorders>
              <w:tl2br w:val="nil"/>
              <w:tr2bl w:val="nil"/>
            </w:tcBorders>
            <w:shd w:val="clear" w:color="auto" w:fill="auto"/>
            <w:vAlign w:val="center"/>
          </w:tcPr>
          <w:p w14:paraId="59F2CBB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10</w:t>
            </w:r>
          </w:p>
        </w:tc>
        <w:tc>
          <w:tcPr>
            <w:tcW w:w="585" w:type="dxa"/>
            <w:tcBorders>
              <w:tl2br w:val="nil"/>
              <w:tr2bl w:val="nil"/>
            </w:tcBorders>
            <w:shd w:val="clear" w:color="auto" w:fill="auto"/>
            <w:vAlign w:val="center"/>
          </w:tcPr>
          <w:p w14:paraId="5C75B5F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10</w:t>
            </w:r>
          </w:p>
        </w:tc>
      </w:tr>
      <w:tr w14:paraId="74C2C4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6" w:hRule="atLeast"/>
          <w:tblCellSpacing w:w="0" w:type="dxa"/>
          <w:jc w:val="center"/>
        </w:trPr>
        <w:tc>
          <w:tcPr>
            <w:tcW w:w="1067" w:type="dxa"/>
            <w:tcBorders>
              <w:tl2br w:val="nil"/>
              <w:tr2bl w:val="nil"/>
            </w:tcBorders>
            <w:shd w:val="clear" w:color="auto" w:fill="auto"/>
            <w:vAlign w:val="center"/>
          </w:tcPr>
          <w:p w14:paraId="1AA0382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效益指标</w:t>
            </w:r>
          </w:p>
        </w:tc>
        <w:tc>
          <w:tcPr>
            <w:tcW w:w="1781" w:type="dxa"/>
            <w:tcBorders>
              <w:tl2br w:val="nil"/>
              <w:tr2bl w:val="nil"/>
            </w:tcBorders>
            <w:shd w:val="clear" w:color="auto" w:fill="auto"/>
            <w:vAlign w:val="center"/>
          </w:tcPr>
          <w:p w14:paraId="2CD8473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经济效益指标</w:t>
            </w:r>
          </w:p>
        </w:tc>
        <w:tc>
          <w:tcPr>
            <w:tcW w:w="2532" w:type="dxa"/>
            <w:tcBorders>
              <w:tl2br w:val="nil"/>
              <w:tr2bl w:val="nil"/>
            </w:tcBorders>
            <w:shd w:val="clear" w:color="auto" w:fill="auto"/>
            <w:vAlign w:val="center"/>
          </w:tcPr>
          <w:p w14:paraId="7C75498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基层医疗机构药品零差率</w:t>
            </w:r>
          </w:p>
        </w:tc>
        <w:tc>
          <w:tcPr>
            <w:tcW w:w="656" w:type="dxa"/>
            <w:tcBorders>
              <w:tl2br w:val="nil"/>
              <w:tr2bl w:val="nil"/>
            </w:tcBorders>
            <w:shd w:val="clear" w:color="auto" w:fill="auto"/>
            <w:vAlign w:val="center"/>
          </w:tcPr>
          <w:p w14:paraId="03040FE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定性</w:t>
            </w:r>
          </w:p>
        </w:tc>
        <w:tc>
          <w:tcPr>
            <w:tcW w:w="1041" w:type="dxa"/>
            <w:tcBorders>
              <w:tl2br w:val="nil"/>
              <w:tr2bl w:val="nil"/>
            </w:tcBorders>
            <w:shd w:val="clear" w:color="auto" w:fill="auto"/>
            <w:vAlign w:val="center"/>
          </w:tcPr>
          <w:p w14:paraId="2A0FC2D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等于100</w:t>
            </w:r>
          </w:p>
        </w:tc>
        <w:tc>
          <w:tcPr>
            <w:tcW w:w="981" w:type="dxa"/>
            <w:tcBorders>
              <w:tl2br w:val="nil"/>
              <w:tr2bl w:val="nil"/>
            </w:tcBorders>
            <w:shd w:val="clear" w:color="auto" w:fill="auto"/>
            <w:vAlign w:val="center"/>
          </w:tcPr>
          <w:p w14:paraId="57F6E94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等于100</w:t>
            </w:r>
          </w:p>
        </w:tc>
        <w:tc>
          <w:tcPr>
            <w:tcW w:w="491" w:type="dxa"/>
            <w:tcBorders>
              <w:tl2br w:val="nil"/>
              <w:tr2bl w:val="nil"/>
            </w:tcBorders>
            <w:shd w:val="clear" w:color="auto" w:fill="auto"/>
            <w:vAlign w:val="center"/>
          </w:tcPr>
          <w:p w14:paraId="79D3823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p>
        </w:tc>
        <w:tc>
          <w:tcPr>
            <w:tcW w:w="606" w:type="dxa"/>
            <w:tcBorders>
              <w:tl2br w:val="nil"/>
              <w:tr2bl w:val="nil"/>
            </w:tcBorders>
            <w:shd w:val="clear" w:color="auto" w:fill="auto"/>
            <w:vAlign w:val="center"/>
          </w:tcPr>
          <w:p w14:paraId="7404533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20</w:t>
            </w:r>
          </w:p>
        </w:tc>
        <w:tc>
          <w:tcPr>
            <w:tcW w:w="585" w:type="dxa"/>
            <w:tcBorders>
              <w:tl2br w:val="nil"/>
              <w:tr2bl w:val="nil"/>
            </w:tcBorders>
            <w:shd w:val="clear" w:color="auto" w:fill="auto"/>
            <w:vAlign w:val="center"/>
          </w:tcPr>
          <w:p w14:paraId="094EF88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20</w:t>
            </w:r>
          </w:p>
        </w:tc>
      </w:tr>
      <w:tr w14:paraId="10B20B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2" w:hRule="atLeast"/>
          <w:tblCellSpacing w:w="0" w:type="dxa"/>
          <w:jc w:val="center"/>
        </w:trPr>
        <w:tc>
          <w:tcPr>
            <w:tcW w:w="1067" w:type="dxa"/>
            <w:tcBorders>
              <w:tl2br w:val="nil"/>
              <w:tr2bl w:val="nil"/>
            </w:tcBorders>
            <w:shd w:val="clear" w:color="auto" w:fill="auto"/>
            <w:vAlign w:val="center"/>
          </w:tcPr>
          <w:p w14:paraId="1AB5B2E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效益指标</w:t>
            </w:r>
          </w:p>
        </w:tc>
        <w:tc>
          <w:tcPr>
            <w:tcW w:w="1781" w:type="dxa"/>
            <w:tcBorders>
              <w:tl2br w:val="nil"/>
              <w:tr2bl w:val="nil"/>
            </w:tcBorders>
            <w:shd w:val="clear" w:color="auto" w:fill="auto"/>
            <w:vAlign w:val="center"/>
          </w:tcPr>
          <w:p w14:paraId="33B5EA3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社会效益指标</w:t>
            </w:r>
          </w:p>
        </w:tc>
        <w:tc>
          <w:tcPr>
            <w:tcW w:w="2532" w:type="dxa"/>
            <w:tcBorders>
              <w:tl2br w:val="nil"/>
              <w:tr2bl w:val="nil"/>
            </w:tcBorders>
            <w:shd w:val="clear" w:color="auto" w:fill="auto"/>
            <w:vAlign w:val="center"/>
          </w:tcPr>
          <w:p w14:paraId="1BD3086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确保药品采购公平、公正、公开</w:t>
            </w:r>
          </w:p>
        </w:tc>
        <w:tc>
          <w:tcPr>
            <w:tcW w:w="656" w:type="dxa"/>
            <w:tcBorders>
              <w:tl2br w:val="nil"/>
              <w:tr2bl w:val="nil"/>
            </w:tcBorders>
            <w:shd w:val="clear" w:color="auto" w:fill="auto"/>
            <w:vAlign w:val="center"/>
          </w:tcPr>
          <w:p w14:paraId="2D785C7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定性</w:t>
            </w:r>
          </w:p>
        </w:tc>
        <w:tc>
          <w:tcPr>
            <w:tcW w:w="1041" w:type="dxa"/>
            <w:tcBorders>
              <w:tl2br w:val="nil"/>
              <w:tr2bl w:val="nil"/>
            </w:tcBorders>
            <w:shd w:val="clear" w:color="auto" w:fill="auto"/>
            <w:vAlign w:val="center"/>
          </w:tcPr>
          <w:p w14:paraId="76DB251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优良</w:t>
            </w:r>
          </w:p>
        </w:tc>
        <w:tc>
          <w:tcPr>
            <w:tcW w:w="981" w:type="dxa"/>
            <w:tcBorders>
              <w:tl2br w:val="nil"/>
              <w:tr2bl w:val="nil"/>
            </w:tcBorders>
            <w:shd w:val="clear" w:color="auto" w:fill="auto"/>
            <w:vAlign w:val="center"/>
          </w:tcPr>
          <w:p w14:paraId="7CCD99A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优良</w:t>
            </w:r>
          </w:p>
        </w:tc>
        <w:tc>
          <w:tcPr>
            <w:tcW w:w="491" w:type="dxa"/>
            <w:tcBorders>
              <w:tl2br w:val="nil"/>
              <w:tr2bl w:val="nil"/>
            </w:tcBorders>
            <w:shd w:val="clear" w:color="auto" w:fill="auto"/>
            <w:vAlign w:val="center"/>
          </w:tcPr>
          <w:p w14:paraId="33D5058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p>
        </w:tc>
        <w:tc>
          <w:tcPr>
            <w:tcW w:w="606" w:type="dxa"/>
            <w:tcBorders>
              <w:tl2br w:val="nil"/>
              <w:tr2bl w:val="nil"/>
            </w:tcBorders>
            <w:shd w:val="clear" w:color="auto" w:fill="auto"/>
            <w:vAlign w:val="center"/>
          </w:tcPr>
          <w:p w14:paraId="53D7262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20</w:t>
            </w:r>
          </w:p>
        </w:tc>
        <w:tc>
          <w:tcPr>
            <w:tcW w:w="585" w:type="dxa"/>
            <w:tcBorders>
              <w:tl2br w:val="nil"/>
              <w:tr2bl w:val="nil"/>
            </w:tcBorders>
            <w:shd w:val="clear" w:color="auto" w:fill="auto"/>
            <w:vAlign w:val="center"/>
          </w:tcPr>
          <w:p w14:paraId="684E484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20</w:t>
            </w:r>
          </w:p>
        </w:tc>
      </w:tr>
      <w:tr w14:paraId="55789A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6" w:hRule="atLeast"/>
          <w:tblCellSpacing w:w="0" w:type="dxa"/>
          <w:jc w:val="center"/>
        </w:trPr>
        <w:tc>
          <w:tcPr>
            <w:tcW w:w="1067" w:type="dxa"/>
            <w:tcBorders>
              <w:tl2br w:val="nil"/>
              <w:tr2bl w:val="nil"/>
            </w:tcBorders>
            <w:shd w:val="clear" w:color="auto" w:fill="auto"/>
            <w:vAlign w:val="center"/>
          </w:tcPr>
          <w:p w14:paraId="39B4C79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满意度指标</w:t>
            </w:r>
          </w:p>
        </w:tc>
        <w:tc>
          <w:tcPr>
            <w:tcW w:w="1781" w:type="dxa"/>
            <w:tcBorders>
              <w:tl2br w:val="nil"/>
              <w:tr2bl w:val="nil"/>
            </w:tcBorders>
            <w:shd w:val="clear" w:color="auto" w:fill="auto"/>
            <w:vAlign w:val="center"/>
          </w:tcPr>
          <w:p w14:paraId="6E97F8F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服务对象满意度指标</w:t>
            </w:r>
          </w:p>
        </w:tc>
        <w:tc>
          <w:tcPr>
            <w:tcW w:w="2532" w:type="dxa"/>
            <w:tcBorders>
              <w:tl2br w:val="nil"/>
              <w:tr2bl w:val="nil"/>
            </w:tcBorders>
            <w:shd w:val="clear" w:color="auto" w:fill="auto"/>
            <w:vAlign w:val="center"/>
          </w:tcPr>
          <w:p w14:paraId="65D7B1D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基层医疗机构工作人员满意度</w:t>
            </w:r>
          </w:p>
        </w:tc>
        <w:tc>
          <w:tcPr>
            <w:tcW w:w="656" w:type="dxa"/>
            <w:tcBorders>
              <w:tl2br w:val="nil"/>
              <w:tr2bl w:val="nil"/>
            </w:tcBorders>
            <w:shd w:val="clear" w:color="auto" w:fill="auto"/>
            <w:vAlign w:val="center"/>
          </w:tcPr>
          <w:p w14:paraId="330E0C5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w:t>
            </w:r>
          </w:p>
        </w:tc>
        <w:tc>
          <w:tcPr>
            <w:tcW w:w="1041" w:type="dxa"/>
            <w:tcBorders>
              <w:tl2br w:val="nil"/>
              <w:tr2bl w:val="nil"/>
            </w:tcBorders>
            <w:shd w:val="clear" w:color="auto" w:fill="auto"/>
            <w:vAlign w:val="center"/>
          </w:tcPr>
          <w:p w14:paraId="42D7065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95</w:t>
            </w:r>
          </w:p>
        </w:tc>
        <w:tc>
          <w:tcPr>
            <w:tcW w:w="981" w:type="dxa"/>
            <w:tcBorders>
              <w:tl2br w:val="nil"/>
              <w:tr2bl w:val="nil"/>
            </w:tcBorders>
            <w:shd w:val="clear" w:color="auto" w:fill="auto"/>
            <w:vAlign w:val="center"/>
          </w:tcPr>
          <w:p w14:paraId="3A0AE72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95</w:t>
            </w:r>
          </w:p>
        </w:tc>
        <w:tc>
          <w:tcPr>
            <w:tcW w:w="491" w:type="dxa"/>
            <w:tcBorders>
              <w:tl2br w:val="nil"/>
              <w:tr2bl w:val="nil"/>
            </w:tcBorders>
            <w:shd w:val="clear" w:color="auto" w:fill="auto"/>
            <w:vAlign w:val="center"/>
          </w:tcPr>
          <w:p w14:paraId="3F6CD9B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w:t>
            </w:r>
          </w:p>
        </w:tc>
        <w:tc>
          <w:tcPr>
            <w:tcW w:w="606" w:type="dxa"/>
            <w:tcBorders>
              <w:tl2br w:val="nil"/>
              <w:tr2bl w:val="nil"/>
            </w:tcBorders>
            <w:shd w:val="clear" w:color="auto" w:fill="auto"/>
            <w:vAlign w:val="center"/>
          </w:tcPr>
          <w:p w14:paraId="27E78A4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10</w:t>
            </w:r>
          </w:p>
        </w:tc>
        <w:tc>
          <w:tcPr>
            <w:tcW w:w="585" w:type="dxa"/>
            <w:tcBorders>
              <w:tl2br w:val="nil"/>
              <w:tr2bl w:val="nil"/>
            </w:tcBorders>
            <w:shd w:val="clear" w:color="auto" w:fill="auto"/>
            <w:vAlign w:val="center"/>
          </w:tcPr>
          <w:p w14:paraId="4F9AC38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10</w:t>
            </w:r>
          </w:p>
        </w:tc>
      </w:tr>
    </w:tbl>
    <w:p w14:paraId="45FC06FA">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left="0" w:leftChars="0" w:right="0" w:rightChars="0" w:firstLine="640" w:firstLineChars="200"/>
        <w:jc w:val="left"/>
        <w:rPr>
          <w:rFonts w:hint="eastAsia" w:asciiTheme="minorEastAsia" w:hAnsiTheme="minorEastAsia" w:eastAsiaTheme="minorEastAsia" w:cstheme="minorEastAsia"/>
          <w:sz w:val="32"/>
          <w:szCs w:val="32"/>
        </w:rPr>
      </w:pPr>
    </w:p>
    <w:p w14:paraId="4FF29F0C">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rPr>
          <w:rFonts w:hint="eastAsia" w:ascii="仿宋_GB2312" w:hAnsi="仿宋_GB2312" w:eastAsia="仿宋_GB2312" w:cs="仿宋_GB2312"/>
          <w:sz w:val="24"/>
          <w:szCs w:val="24"/>
          <w:lang w:eastAsia="zh-CN"/>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在20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基本公共卫生及基本药物补助</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r>
        <w:rPr>
          <w:rFonts w:hint="eastAsia" w:ascii="仿宋_GB2312" w:hAnsi="仿宋_GB2312" w:eastAsia="仿宋_GB2312" w:cs="仿宋_GB2312"/>
          <w:sz w:val="32"/>
          <w:szCs w:val="32"/>
          <w:lang w:eastAsia="zh-CN"/>
        </w:rPr>
        <w:t>基本公共卫生</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0.94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0.94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辖区内居民基本公共卫生服务及医疗服务</w:t>
      </w:r>
    </w:p>
    <w:p w14:paraId="5919760E">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绩效自评报告详见附件。</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如不涉及，可根据实际修改表述。）</w:t>
      </w:r>
    </w:p>
    <w:p w14:paraId="33208A0B">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51E7FF40">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bookmarkStart w:id="49" w:name="_Toc15396613"/>
      <w:bookmarkStart w:id="50" w:name="_Toc15377225"/>
    </w:p>
    <w:p w14:paraId="284CAF51">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2B3E96FE">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2398A25A">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615E135A">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79EED173">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78761654">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5CB156AA">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5EBF3C64">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105C02BB">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063DBD78">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3E2E34D1">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69B53497">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1FE54EEF">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5314E10C">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7F1B862F">
      <w:pPr>
        <w:pageBreakBefore w:val="0"/>
        <w:numPr>
          <w:ilvl w:val="0"/>
          <w:numId w:val="0"/>
        </w:numPr>
        <w:kinsoku/>
        <w:wordWrap/>
        <w:overflowPunct/>
        <w:topLinePunct w:val="0"/>
        <w:autoSpaceDE/>
        <w:autoSpaceDN/>
        <w:bidi w:val="0"/>
        <w:adjustRightInd w:val="0"/>
        <w:snapToGrid w:val="0"/>
        <w:spacing w:beforeAutospacing="0" w:afterAutospacing="0" w:line="576" w:lineRule="exact"/>
        <w:ind w:left="0" w:leftChars="0"/>
        <w:jc w:val="center"/>
        <w:outlineLvl w:val="0"/>
        <w:rPr>
          <w:rFonts w:hint="eastAsia" w:ascii="Times New Roman" w:hAnsi="Times New Roman" w:eastAsia="黑体"/>
          <w:color w:val="auto"/>
          <w:sz w:val="44"/>
          <w:szCs w:val="44"/>
          <w:highlight w:val="none"/>
        </w:rPr>
      </w:pPr>
    </w:p>
    <w:p w14:paraId="5DB0BCA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方正小标宋简体" w:hAnsi="方正小标宋简体" w:eastAsia="方正小标宋简体" w:cs="方正小标宋简体"/>
          <w:b w:val="0"/>
          <w:bCs/>
          <w:i w:val="0"/>
          <w:color w:val="000000"/>
          <w:kern w:val="0"/>
          <w:sz w:val="44"/>
          <w:szCs w:val="44"/>
          <w:u w:val="none"/>
          <w:lang w:val="en-US" w:eastAsia="zh-CN" w:bidi="ar"/>
        </w:rPr>
      </w:pPr>
      <w:r>
        <w:rPr>
          <w:rFonts w:hint="eastAsia" w:ascii="方正小标宋简体" w:hAnsi="方正小标宋简体" w:eastAsia="方正小标宋简体" w:cs="方正小标宋简体"/>
          <w:b w:val="0"/>
          <w:bCs/>
          <w:i w:val="0"/>
          <w:color w:val="000000"/>
          <w:kern w:val="0"/>
          <w:sz w:val="44"/>
          <w:szCs w:val="44"/>
          <w:u w:val="none"/>
          <w:lang w:val="en-US" w:eastAsia="zh-CN" w:bidi="ar"/>
        </w:rPr>
        <w:t>第三部分  名词解释</w:t>
      </w:r>
      <w:bookmarkEnd w:id="49"/>
      <w:bookmarkEnd w:id="50"/>
    </w:p>
    <w:p w14:paraId="6FCFD736">
      <w:pPr>
        <w:pageBreakBefore w:val="0"/>
        <w:kinsoku/>
        <w:wordWrap/>
        <w:overflowPunct/>
        <w:topLinePunct w:val="0"/>
        <w:autoSpaceDE/>
        <w:autoSpaceDN/>
        <w:bidi w:val="0"/>
        <w:adjustRightInd w:val="0"/>
        <w:snapToGrid w:val="0"/>
        <w:spacing w:beforeAutospacing="0" w:afterAutospacing="0" w:line="576" w:lineRule="exact"/>
        <w:ind w:left="0" w:leftChars="0"/>
        <w:jc w:val="left"/>
        <w:rPr>
          <w:rFonts w:ascii="Times New Roman" w:hAnsi="Times New Roman"/>
          <w:b/>
          <w:color w:val="auto"/>
          <w:sz w:val="44"/>
          <w:szCs w:val="44"/>
          <w:highlight w:val="none"/>
        </w:rPr>
      </w:pPr>
    </w:p>
    <w:p w14:paraId="4ADB6A28">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50B4FB7C">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14:paraId="6818CDAE">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14:paraId="3710E5E4">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14:paraId="3196585C">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14:paraId="37817C55">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68ADF0F3">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5877BC03">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6D814185">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9.一般公共服务（类）……（款）……（项）：指……</w:t>
      </w:r>
    </w:p>
    <w:p w14:paraId="7F4E37B0">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10.外交（类）……（款）……（项）：指……</w:t>
      </w:r>
    </w:p>
    <w:p w14:paraId="13AF4E1B">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11.公共安全（类）……（款）……（项）：指……</w:t>
      </w:r>
    </w:p>
    <w:p w14:paraId="066C26EE">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12.教育（类）……（款）……（项）：指……</w:t>
      </w:r>
    </w:p>
    <w:p w14:paraId="48BEB481">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13.科学技术（类）……（款）……（项）：指……</w:t>
      </w:r>
    </w:p>
    <w:p w14:paraId="4A240F42">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14.文化旅游体育与传媒（类）……（款）……（项）：指……</w:t>
      </w:r>
    </w:p>
    <w:p w14:paraId="220BB050">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15.社会保障和就业（类）……（款）……（项）：指……</w:t>
      </w:r>
    </w:p>
    <w:p w14:paraId="6852E1DE">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16.卫生健康（类）……（款）……（项）：指……</w:t>
      </w:r>
    </w:p>
    <w:p w14:paraId="53A94DD4">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17.节能环保（类）……（款）……（项）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w:t>
      </w:r>
    </w:p>
    <w:p w14:paraId="7921B1DE">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18.城乡社区（类）……（款）……（项）：指……</w:t>
      </w:r>
    </w:p>
    <w:p w14:paraId="1F3C7453">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19.农林水（类）……（款）……（项）：指……</w:t>
      </w:r>
    </w:p>
    <w:p w14:paraId="3D80246B">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20.交通运输（类）……（款）……（项）：指……</w:t>
      </w:r>
    </w:p>
    <w:p w14:paraId="57F455D3">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21.资源勘探工业信息等（类）……（款）……（项）：指……</w:t>
      </w:r>
    </w:p>
    <w:p w14:paraId="0D02D249">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22.商业服务业（类）……（款）……（项）：指……</w:t>
      </w:r>
    </w:p>
    <w:p w14:paraId="36144CEA">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23.金融（类）……（款）……（项）：指……</w:t>
      </w:r>
    </w:p>
    <w:p w14:paraId="0349C3B3">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24.自然资源海洋气象等（类）……（款）……（项）：指……</w:t>
      </w:r>
    </w:p>
    <w:p w14:paraId="6F1E66BD">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25.住房保障（类）……（款）……（项）：指……</w:t>
      </w:r>
    </w:p>
    <w:p w14:paraId="32D2AEAE">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26.粮油物资储备（类）……（款）……（项）：指……</w:t>
      </w:r>
    </w:p>
    <w:p w14:paraId="1ACBE0E5">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w:t>
      </w:r>
    </w:p>
    <w:p w14:paraId="22BCE2DC">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14:paraId="7875C3CD">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14:paraId="589386A3">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14:paraId="388ABB72">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14:paraId="006DF4AE">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9EABCA1">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6EAB389">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14:paraId="1CB2C9DF">
      <w:pPr>
        <w:pageBreakBefore w:val="0"/>
        <w:kinsoku/>
        <w:wordWrap/>
        <w:overflowPunct/>
        <w:topLinePunct w:val="0"/>
        <w:autoSpaceDE/>
        <w:autoSpaceDN/>
        <w:bidi w:val="0"/>
        <w:adjustRightInd w:val="0"/>
        <w:snapToGrid w:val="0"/>
        <w:spacing w:beforeAutospacing="0" w:afterAutospacing="0" w:line="576" w:lineRule="exact"/>
        <w:ind w:left="0" w:leftChars="0"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14:paraId="104760F6">
      <w:pPr>
        <w:pageBreakBefore w:val="0"/>
        <w:kinsoku/>
        <w:wordWrap/>
        <w:overflowPunct/>
        <w:topLinePunct w:val="0"/>
        <w:autoSpaceDE/>
        <w:autoSpaceDN/>
        <w:bidi w:val="0"/>
        <w:adjustRightInd w:val="0"/>
        <w:snapToGrid w:val="0"/>
        <w:spacing w:beforeAutospacing="0" w:afterAutospacing="0" w:line="576" w:lineRule="exact"/>
        <w:ind w:left="0" w:leftChars="0"/>
        <w:jc w:val="center"/>
        <w:rPr>
          <w:rFonts w:hint="eastAsia" w:ascii="方正小标宋简体" w:hAnsi="方正小标宋简体" w:eastAsia="方正小标宋简体" w:cs="方正小标宋简体"/>
          <w:b w:val="0"/>
          <w:bCs/>
          <w:i w:val="0"/>
          <w:color w:val="000000"/>
          <w:kern w:val="0"/>
          <w:sz w:val="44"/>
          <w:szCs w:val="44"/>
          <w:u w:val="none"/>
          <w:lang w:val="en-US" w:eastAsia="zh-CN" w:bidi="ar"/>
        </w:rPr>
      </w:pPr>
      <w:bookmarkStart w:id="51"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2" w:name="_Toc15396614"/>
      <w:r>
        <w:rPr>
          <w:rFonts w:hint="eastAsia" w:ascii="方正小标宋简体" w:hAnsi="方正小标宋简体" w:eastAsia="方正小标宋简体" w:cs="方正小标宋简体"/>
          <w:b w:val="0"/>
          <w:bCs/>
          <w:i w:val="0"/>
          <w:color w:val="000000"/>
          <w:kern w:val="0"/>
          <w:sz w:val="44"/>
          <w:szCs w:val="44"/>
          <w:u w:val="none"/>
          <w:lang w:val="en-US" w:eastAsia="zh-CN" w:bidi="ar"/>
        </w:rPr>
        <w:t>第四部分  附件</w:t>
      </w:r>
      <w:bookmarkEnd w:id="52"/>
    </w:p>
    <w:p w14:paraId="43FC4816">
      <w:pPr>
        <w:pStyle w:val="2"/>
        <w:rPr>
          <w:rFonts w:hint="eastAsia"/>
        </w:rPr>
      </w:pPr>
    </w:p>
    <w:p w14:paraId="433B753E">
      <w:pPr>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outlineLvl w:val="0"/>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37DEC314">
      <w:pPr>
        <w:pStyle w:val="2"/>
        <w:rPr>
          <w:rFonts w:hint="default"/>
        </w:rPr>
      </w:pPr>
    </w:p>
    <w:p w14:paraId="2355438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default" w:ascii="方正小标宋简体" w:hAnsi="方正小标宋简体" w:eastAsia="方正小标宋简体" w:cs="方正小标宋简体"/>
          <w:b w:val="0"/>
          <w:bCs/>
          <w:i w:val="0"/>
          <w:color w:val="000000"/>
          <w:kern w:val="0"/>
          <w:sz w:val="44"/>
          <w:szCs w:val="44"/>
          <w:u w:val="none"/>
          <w:lang w:val="en-US" w:eastAsia="zh-CN" w:bidi="ar"/>
        </w:rPr>
      </w:pPr>
      <w:r>
        <w:rPr>
          <w:rFonts w:hint="default" w:ascii="方正小标宋简体" w:hAnsi="方正小标宋简体" w:eastAsia="方正小标宋简体" w:cs="方正小标宋简体"/>
          <w:b w:val="0"/>
          <w:bCs/>
          <w:i w:val="0"/>
          <w:color w:val="000000"/>
          <w:kern w:val="0"/>
          <w:sz w:val="44"/>
          <w:szCs w:val="44"/>
          <w:u w:val="none"/>
          <w:lang w:val="en-US" w:eastAsia="zh-CN" w:bidi="ar"/>
        </w:rPr>
        <w:t>部门预算绩效</w:t>
      </w:r>
      <w:r>
        <w:rPr>
          <w:rFonts w:hint="eastAsia" w:ascii="方正小标宋简体" w:hAnsi="方正小标宋简体" w:eastAsia="方正小标宋简体" w:cs="方正小标宋简体"/>
          <w:b w:val="0"/>
          <w:bCs/>
          <w:i w:val="0"/>
          <w:color w:val="000000"/>
          <w:kern w:val="0"/>
          <w:sz w:val="44"/>
          <w:szCs w:val="44"/>
          <w:u w:val="none"/>
          <w:lang w:val="en-US" w:eastAsia="zh-CN" w:bidi="ar"/>
        </w:rPr>
        <w:t>评价</w:t>
      </w:r>
      <w:r>
        <w:rPr>
          <w:rFonts w:hint="default" w:ascii="方正小标宋简体" w:hAnsi="方正小标宋简体" w:eastAsia="方正小标宋简体" w:cs="方正小标宋简体"/>
          <w:b w:val="0"/>
          <w:bCs/>
          <w:i w:val="0"/>
          <w:color w:val="000000"/>
          <w:kern w:val="0"/>
          <w:sz w:val="44"/>
          <w:szCs w:val="44"/>
          <w:u w:val="none"/>
          <w:lang w:val="en-US" w:eastAsia="zh-CN" w:bidi="ar"/>
        </w:rPr>
        <w:t>报告范本</w:t>
      </w:r>
    </w:p>
    <w:p w14:paraId="410DA38B">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（报告范围包括机关和下属单位）</w:t>
      </w:r>
    </w:p>
    <w:p w14:paraId="10648C85">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7B017CCD">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Fonts w:hint="default" w:ascii="Times New Roman" w:hAnsi="Times New Roman" w:eastAsia="黑体"/>
          <w:b/>
          <w:bCs w:val="0"/>
          <w:color w:val="auto"/>
          <w:highlight w:val="none"/>
          <w:lang w:val="zh-CN"/>
        </w:rPr>
      </w:pPr>
      <w:r>
        <w:rPr>
          <w:rFonts w:hint="eastAsia" w:ascii="Times New Roman" w:hAnsi="Times New Roman" w:eastAsia="黑体"/>
          <w:b/>
          <w:bCs w:val="0"/>
          <w:color w:val="auto"/>
          <w:highlight w:val="none"/>
          <w:lang w:val="zh-CN"/>
        </w:rPr>
        <w:t>一、</w:t>
      </w:r>
      <w:r>
        <w:rPr>
          <w:rFonts w:hint="default" w:ascii="Times New Roman" w:hAnsi="Times New Roman" w:eastAsia="黑体"/>
          <w:b/>
          <w:bCs w:val="0"/>
          <w:color w:val="auto"/>
          <w:highlight w:val="none"/>
          <w:lang w:val="zh-CN"/>
        </w:rPr>
        <w:t>部门（单位）基本情况</w:t>
      </w:r>
    </w:p>
    <w:p w14:paraId="0A78F02D">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textAlignment w:val="auto"/>
        <w:outlineLvl w:val="9"/>
        <w:rPr>
          <w:rFonts w:hint="eastAsia" w:ascii="仿宋_GB2312" w:hAnsi="仿宋_GB2312" w:eastAsia="仿宋_GB2312" w:cs="仿宋_GB2312"/>
          <w:sz w:val="32"/>
          <w:szCs w:val="32"/>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仿宋_GB2312" w:hAnsi="仿宋_GB2312" w:eastAsia="仿宋_GB2312" w:cs="仿宋_GB2312"/>
          <w:color w:val="000000"/>
          <w:kern w:val="0"/>
          <w:sz w:val="32"/>
          <w:szCs w:val="32"/>
          <w:lang w:val="zh-CN" w:eastAsia="zh-CN" w:bidi="ar"/>
        </w:rPr>
        <w:t>我单位为独立核算全额拨款事业单位，下设</w:t>
      </w:r>
      <w:r>
        <w:rPr>
          <w:rFonts w:hint="eastAsia" w:ascii="仿宋_GB2312" w:hAnsi="仿宋_GB2312" w:eastAsia="仿宋_GB2312" w:cs="仿宋_GB2312"/>
          <w:color w:val="000000"/>
          <w:kern w:val="0"/>
          <w:sz w:val="32"/>
          <w:szCs w:val="32"/>
          <w:lang w:val="en-US" w:eastAsia="zh-CN" w:bidi="ar"/>
        </w:rPr>
        <w:t>1机构。</w:t>
      </w:r>
    </w:p>
    <w:p w14:paraId="05E9B9E5">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仿宋_GB2312" w:hAnsi="仿宋_GB2312" w:eastAsia="仿宋_GB2312" w:cs="仿宋_GB2312"/>
          <w:color w:val="000000"/>
          <w:kern w:val="0"/>
          <w:sz w:val="32"/>
          <w:szCs w:val="32"/>
          <w:lang w:val="zh-CN" w:eastAsia="zh-CN" w:bidi="ar"/>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14:paraId="3685DA0B">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Fonts w:hint="default"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default" w:ascii="仿宋_GB2312" w:hAnsi="仿宋_GB2312" w:eastAsia="仿宋_GB2312" w:cs="仿宋_GB2312"/>
          <w:color w:val="000000"/>
          <w:kern w:val="0"/>
          <w:sz w:val="32"/>
          <w:szCs w:val="32"/>
          <w:lang w:val="en-US" w:eastAsia="zh-CN" w:bidi="ar"/>
        </w:rPr>
        <w:t>截至202</w:t>
      </w:r>
      <w:r>
        <w:rPr>
          <w:rFonts w:hint="eastAsia" w:ascii="仿宋_GB2312" w:hAnsi="仿宋_GB2312" w:eastAsia="仿宋_GB2312" w:cs="仿宋_GB2312"/>
          <w:color w:val="000000"/>
          <w:kern w:val="0"/>
          <w:sz w:val="32"/>
          <w:szCs w:val="32"/>
          <w:lang w:val="en-US" w:eastAsia="zh-CN" w:bidi="ar"/>
        </w:rPr>
        <w:t>4</w:t>
      </w:r>
      <w:r>
        <w:rPr>
          <w:rFonts w:hint="default" w:ascii="仿宋_GB2312" w:hAnsi="仿宋_GB2312" w:eastAsia="仿宋_GB2312" w:cs="仿宋_GB2312"/>
          <w:color w:val="000000"/>
          <w:kern w:val="0"/>
          <w:sz w:val="32"/>
          <w:szCs w:val="32"/>
          <w:lang w:val="en-US" w:eastAsia="zh-CN" w:bidi="ar"/>
        </w:rPr>
        <w:t>年末，</w:t>
      </w:r>
      <w:r>
        <w:rPr>
          <w:rFonts w:hint="eastAsia" w:ascii="仿宋_GB2312" w:hAnsi="仿宋_GB2312" w:eastAsia="仿宋_GB2312" w:cs="仿宋_GB2312"/>
          <w:color w:val="000000"/>
          <w:kern w:val="0"/>
          <w:sz w:val="32"/>
          <w:szCs w:val="32"/>
          <w:lang w:val="en-US" w:eastAsia="zh-CN" w:bidi="ar"/>
        </w:rPr>
        <w:t>其中事业编8个，在职8人,</w:t>
      </w:r>
      <w:r>
        <w:rPr>
          <w:rFonts w:hint="eastAsia" w:ascii="仿宋_GB2312" w:hAnsi="仿宋_GB2312" w:eastAsia="仿宋_GB2312" w:cs="仿宋_GB2312"/>
          <w:color w:val="000000"/>
          <w:kern w:val="0"/>
          <w:sz w:val="32"/>
          <w:szCs w:val="32"/>
          <w:lang w:val="zh-CN" w:eastAsia="zh-CN" w:bidi="ar"/>
        </w:rPr>
        <w:t>事业编制</w:t>
      </w:r>
      <w:r>
        <w:rPr>
          <w:rFonts w:hint="eastAsia" w:ascii="仿宋_GB2312" w:hAnsi="仿宋_GB2312" w:eastAsia="仿宋_GB2312" w:cs="仿宋_GB2312"/>
          <w:color w:val="000000"/>
          <w:kern w:val="0"/>
          <w:sz w:val="32"/>
          <w:szCs w:val="32"/>
          <w:lang w:val="en-US" w:eastAsia="zh-CN" w:bidi="ar"/>
        </w:rPr>
        <w:t>8</w:t>
      </w:r>
      <w:r>
        <w:rPr>
          <w:rFonts w:hint="eastAsia" w:ascii="仿宋_GB2312" w:hAnsi="仿宋_GB2312" w:eastAsia="仿宋_GB2312" w:cs="仿宋_GB2312"/>
          <w:color w:val="000000"/>
          <w:kern w:val="0"/>
          <w:sz w:val="32"/>
          <w:szCs w:val="32"/>
          <w:lang w:val="zh-CN" w:eastAsia="zh-CN" w:bidi="ar"/>
        </w:rPr>
        <w:t>人。</w:t>
      </w:r>
    </w:p>
    <w:p w14:paraId="75E7F045">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textAlignment w:val="auto"/>
        <w:outlineLvl w:val="9"/>
        <w:rPr>
          <w:rFonts w:hint="default" w:ascii="Times New Roman" w:hAnsi="Times New Roman" w:eastAsia="黑体" w:cs="Times New Roman"/>
          <w:b/>
          <w:bCs/>
          <w:color w:val="000000"/>
          <w:kern w:val="0"/>
          <w:sz w:val="32"/>
          <w:szCs w:val="32"/>
          <w:highlight w:val="none"/>
          <w:shd w:val="clear" w:color="auto" w:fill="FFFFFF"/>
          <w:lang w:val="zh-CN" w:eastAsia="zh-CN"/>
        </w:rPr>
      </w:pPr>
      <w:r>
        <w:rPr>
          <w:rFonts w:hint="default" w:ascii="Times New Roman" w:hAnsi="Times New Roman" w:eastAsia="黑体" w:cs="Times New Roman"/>
          <w:b/>
          <w:bCs/>
          <w:color w:val="000000"/>
          <w:kern w:val="0"/>
          <w:sz w:val="32"/>
          <w:szCs w:val="32"/>
          <w:highlight w:val="none"/>
          <w:shd w:val="clear" w:color="auto" w:fill="FFFFFF"/>
          <w:lang w:val="zh-CN" w:eastAsia="zh-CN"/>
        </w:rPr>
        <w:t>二、部门资金收支情况</w:t>
      </w:r>
    </w:p>
    <w:p w14:paraId="50DF1002">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textAlignment w:val="auto"/>
        <w:outlineLvl w:val="9"/>
        <w:rPr>
          <w:rFonts w:hint="default" w:ascii="仿宋_GB2312" w:hAnsi="仿宋_GB2312" w:eastAsia="仿宋_GB2312" w:cs="仿宋_GB2312"/>
          <w:color w:val="000000"/>
          <w:kern w:val="0"/>
          <w:sz w:val="32"/>
          <w:szCs w:val="32"/>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eastAsia"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lang w:val="zh-CN" w:eastAsia="zh-CN" w:bidi="ar"/>
        </w:rPr>
        <w:t>壤口卫生院</w:t>
      </w:r>
      <w:r>
        <w:rPr>
          <w:rFonts w:hint="eastAsia" w:ascii="仿宋_GB2312" w:hAnsi="仿宋_GB2312" w:eastAsia="仿宋_GB2312" w:cs="仿宋_GB2312"/>
          <w:color w:val="000000"/>
          <w:kern w:val="0"/>
          <w:sz w:val="32"/>
          <w:szCs w:val="32"/>
          <w:lang w:val="en-US" w:eastAsia="zh-CN" w:bidi="ar"/>
        </w:rPr>
        <w:t>2024年年初预算收入为176.87万元、决算报表收入为163.76万元。</w:t>
      </w:r>
    </w:p>
    <w:p w14:paraId="067F9ADB">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lang w:val="zh-CN" w:eastAsia="zh-CN" w:bidi="ar"/>
        </w:rPr>
        <w:t>壤口卫生院</w:t>
      </w:r>
      <w:r>
        <w:rPr>
          <w:rFonts w:hint="eastAsia" w:ascii="仿宋_GB2312" w:hAnsi="仿宋_GB2312" w:eastAsia="仿宋_GB2312" w:cs="仿宋_GB2312"/>
          <w:color w:val="000000"/>
          <w:kern w:val="0"/>
          <w:sz w:val="32"/>
          <w:szCs w:val="32"/>
          <w:lang w:val="en-US" w:eastAsia="zh-CN" w:bidi="ar"/>
        </w:rPr>
        <w:t>2024年年初预算支出为176.87万元、决算报表支出情况为163.76万元。</w:t>
      </w:r>
    </w:p>
    <w:p w14:paraId="6D7F1A59">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仿宋_GB2312" w:cs="Times New Roman"/>
          <w:sz w:val="32"/>
          <w:szCs w:val="32"/>
          <w:lang w:val="en-US" w:eastAsia="zh-CN"/>
        </w:rPr>
        <w:t>2024年决算报表</w:t>
      </w:r>
      <w:r>
        <w:rPr>
          <w:rFonts w:hint="default" w:ascii="Times New Roman" w:hAnsi="Times New Roman" w:eastAsia="仿宋_GB2312" w:cs="Times New Roman"/>
          <w:sz w:val="32"/>
          <w:szCs w:val="32"/>
          <w:lang w:val="en-US" w:eastAsia="zh-CN"/>
        </w:rPr>
        <w:t>结转结余</w:t>
      </w:r>
      <w:r>
        <w:rPr>
          <w:rFonts w:hint="eastAsia" w:ascii="Times New Roman" w:hAnsi="Times New Roman" w:eastAsia="仿宋_GB2312" w:cs="Times New Roman"/>
          <w:sz w:val="32"/>
          <w:szCs w:val="32"/>
          <w:lang w:val="en-US" w:eastAsia="zh-CN"/>
        </w:rPr>
        <w:t>情况</w:t>
      </w: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无</w:t>
      </w:r>
    </w:p>
    <w:p w14:paraId="4423FA20">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textAlignment w:val="auto"/>
        <w:outlineLvl w:val="9"/>
        <w:rPr>
          <w:rFonts w:hint="default" w:ascii="Times New Roman" w:hAnsi="Times New Roman" w:eastAsia="黑体" w:cs="Times New Roman"/>
          <w:b/>
          <w:bCs/>
          <w:color w:val="000000"/>
          <w:kern w:val="0"/>
          <w:sz w:val="32"/>
          <w:szCs w:val="32"/>
          <w:highlight w:val="none"/>
          <w:shd w:val="clear" w:color="auto" w:fill="FFFFFF"/>
          <w:lang w:val="zh-CN" w:eastAsia="zh-CN"/>
        </w:rPr>
      </w:pPr>
      <w:r>
        <w:rPr>
          <w:rFonts w:hint="default" w:ascii="Times New Roman" w:hAnsi="Times New Roman" w:eastAsia="黑体" w:cs="Times New Roman"/>
          <w:b/>
          <w:bCs/>
          <w:color w:val="000000"/>
          <w:kern w:val="0"/>
          <w:sz w:val="32"/>
          <w:szCs w:val="32"/>
          <w:highlight w:val="none"/>
          <w:shd w:val="clear" w:color="auto" w:fill="FFFFFF"/>
          <w:lang w:val="zh-CN" w:eastAsia="zh-CN"/>
        </w:rPr>
        <w:t>三、部门预算绩效分析</w:t>
      </w:r>
    </w:p>
    <w:p w14:paraId="53EB330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r>
        <w:rPr>
          <w:rFonts w:hint="default" w:ascii="仿宋_GB2312" w:hAnsi="仿宋_GB2312" w:eastAsia="仿宋_GB2312" w:cs="仿宋_GB2312"/>
          <w:color w:val="000000"/>
          <w:kern w:val="0"/>
          <w:sz w:val="32"/>
          <w:szCs w:val="32"/>
          <w:lang w:val="zh-CN" w:eastAsia="zh-CN" w:bidi="ar"/>
        </w:rPr>
        <w:t>根据部门预算绩效评价指标体系</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总体绩效</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涉及</w:t>
      </w:r>
      <w:r>
        <w:rPr>
          <w:rFonts w:hint="eastAsia" w:ascii="仿宋_GB2312" w:hAnsi="仿宋_GB2312" w:eastAsia="仿宋_GB2312" w:cs="仿宋_GB2312"/>
          <w:color w:val="000000"/>
          <w:kern w:val="0"/>
          <w:sz w:val="32"/>
          <w:szCs w:val="32"/>
          <w:lang w:val="zh-CN" w:eastAsia="zh-CN" w:bidi="ar"/>
        </w:rPr>
        <w:t>二、三级</w:t>
      </w:r>
      <w:r>
        <w:rPr>
          <w:rFonts w:hint="default" w:ascii="仿宋_GB2312" w:hAnsi="仿宋_GB2312" w:eastAsia="仿宋_GB2312" w:cs="仿宋_GB2312"/>
          <w:color w:val="000000"/>
          <w:kern w:val="0"/>
          <w:sz w:val="32"/>
          <w:szCs w:val="32"/>
          <w:lang w:val="zh-CN" w:eastAsia="zh-CN" w:bidi="ar"/>
        </w:rPr>
        <w:t>指标进行</w:t>
      </w:r>
      <w:r>
        <w:rPr>
          <w:rFonts w:hint="eastAsia" w:ascii="仿宋_GB2312" w:hAnsi="仿宋_GB2312" w:eastAsia="仿宋_GB2312" w:cs="仿宋_GB2312"/>
          <w:color w:val="000000"/>
          <w:kern w:val="0"/>
          <w:sz w:val="32"/>
          <w:szCs w:val="32"/>
          <w:lang w:val="zh-CN" w:eastAsia="zh-CN" w:bidi="ar"/>
        </w:rPr>
        <w:t>逐项</w:t>
      </w:r>
      <w:r>
        <w:rPr>
          <w:rFonts w:hint="default" w:ascii="仿宋_GB2312" w:hAnsi="仿宋_GB2312" w:eastAsia="仿宋_GB2312" w:cs="仿宋_GB2312"/>
          <w:color w:val="000000"/>
          <w:kern w:val="0"/>
          <w:sz w:val="32"/>
          <w:szCs w:val="32"/>
          <w:lang w:val="zh-CN" w:eastAsia="zh-CN" w:bidi="ar"/>
        </w:rPr>
        <w:t>绩效分析</w:t>
      </w:r>
      <w:r>
        <w:rPr>
          <w:rFonts w:hint="eastAsia" w:ascii="仿宋_GB2312" w:hAnsi="仿宋_GB2312" w:eastAsia="仿宋_GB2312" w:cs="仿宋_GB2312"/>
          <w:color w:val="000000"/>
          <w:kern w:val="0"/>
          <w:sz w:val="32"/>
          <w:szCs w:val="32"/>
          <w:lang w:val="zh-CN" w:eastAsia="zh-CN" w:bidi="ar"/>
        </w:rPr>
        <w:t>并评分</w:t>
      </w:r>
      <w:r>
        <w:rPr>
          <w:rFonts w:hint="default" w:ascii="仿宋_GB2312" w:hAnsi="仿宋_GB2312" w:eastAsia="仿宋_GB2312" w:cs="仿宋_GB2312"/>
          <w:color w:val="000000"/>
          <w:kern w:val="0"/>
          <w:sz w:val="32"/>
          <w:szCs w:val="32"/>
          <w:lang w:val="zh-CN" w:eastAsia="zh-CN" w:bidi="ar"/>
        </w:rPr>
        <w:t>，依次包括履职效能、预算管理、财务管理、资产管理、采购管理等情况。</w:t>
      </w:r>
    </w:p>
    <w:p w14:paraId="44D335D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Times New Roman" w:hAnsi="Times New Roman" w:eastAsia="仿宋_GB2312" w:cs="仿宋_GB2312"/>
          <w:b/>
          <w:bCs/>
          <w:color w:val="auto"/>
          <w:kern w:val="2"/>
          <w:sz w:val="32"/>
          <w:szCs w:val="32"/>
          <w:highlight w:val="none"/>
          <w:lang w:val="en-US" w:eastAsia="zh-CN" w:bidi="ar-SA"/>
        </w:rPr>
        <w:t>1.</w:t>
      </w:r>
      <w:r>
        <w:rPr>
          <w:rFonts w:hint="eastAsia" w:ascii="Times New Roman" w:hAnsi="Times New Roman" w:eastAsia="仿宋_GB2312" w:cs="仿宋_GB2312"/>
          <w:b/>
          <w:bCs/>
          <w:color w:val="auto"/>
          <w:kern w:val="2"/>
          <w:sz w:val="32"/>
          <w:szCs w:val="32"/>
          <w:highlight w:val="none"/>
          <w:lang w:val="zh-CN" w:eastAsia="zh-CN" w:bidi="ar-SA"/>
        </w:rPr>
        <w:t>履职效能。</w:t>
      </w:r>
      <w:r>
        <w:rPr>
          <w:rFonts w:hint="eastAsia" w:ascii="仿宋_GB2312" w:hAnsi="仿宋_GB2312" w:eastAsia="仿宋_GB2312" w:cs="仿宋_GB2312"/>
          <w:color w:val="000000"/>
          <w:kern w:val="0"/>
          <w:sz w:val="32"/>
          <w:szCs w:val="32"/>
          <w:lang w:val="zh-CN" w:eastAsia="zh-CN" w:bidi="ar"/>
        </w:rPr>
        <w:t>部门整体绩效目标中选定3-5个核心职能目标，对职能目标完成效果情况绩效分析。宣传贯彻党和政府的各项医疗卫生方针政策，协助政府实施农村医改工作；提供基本医疗服务，提供基本公共卫生服务，包括建立居民健康档案、健康档案、预防接种、传染病防治、高血压糖尿病等慢性病管理、重性精神疾病管理、儿童保健、孕产妇保健、老年人保健等；协助处置突发公共卫生事件。</w:t>
      </w:r>
    </w:p>
    <w:p w14:paraId="3DF73C6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Times New Roman" w:hAnsi="Times New Roman" w:eastAsia="仿宋_GB2312" w:cs="仿宋_GB2312"/>
          <w:b/>
          <w:bCs/>
          <w:color w:val="auto"/>
          <w:kern w:val="2"/>
          <w:sz w:val="32"/>
          <w:szCs w:val="32"/>
          <w:highlight w:val="none"/>
          <w:lang w:val="en-US" w:eastAsia="zh-CN" w:bidi="ar-SA"/>
        </w:rPr>
        <w:t>2.</w:t>
      </w:r>
      <w:r>
        <w:rPr>
          <w:rFonts w:hint="default" w:ascii="Times New Roman" w:hAnsi="Times New Roman" w:eastAsia="仿宋_GB2312" w:cs="仿宋_GB2312"/>
          <w:b/>
          <w:bCs/>
          <w:color w:val="auto"/>
          <w:kern w:val="2"/>
          <w:sz w:val="32"/>
          <w:szCs w:val="32"/>
          <w:highlight w:val="none"/>
          <w:lang w:val="zh-CN" w:eastAsia="zh-CN" w:bidi="ar-SA"/>
        </w:rPr>
        <w:t>预算管理</w:t>
      </w:r>
      <w:r>
        <w:rPr>
          <w:rFonts w:hint="eastAsia" w:ascii="Times New Roman" w:hAnsi="Times New Roman" w:eastAsia="仿宋_GB2312" w:cs="仿宋_GB2312"/>
          <w:b/>
          <w:bCs/>
          <w:color w:val="auto"/>
          <w:kern w:val="2"/>
          <w:sz w:val="32"/>
          <w:szCs w:val="32"/>
          <w:highlight w:val="none"/>
          <w:lang w:val="zh-CN" w:eastAsia="zh-CN" w:bidi="ar-SA"/>
        </w:rPr>
        <w:t>。</w:t>
      </w:r>
      <w:r>
        <w:rPr>
          <w:rFonts w:hint="eastAsia" w:ascii="仿宋_GB2312" w:hAnsi="仿宋_GB2312" w:eastAsia="仿宋_GB2312" w:cs="仿宋_GB2312"/>
          <w:color w:val="000000"/>
          <w:kern w:val="0"/>
          <w:sz w:val="32"/>
          <w:szCs w:val="32"/>
          <w:lang w:val="zh-CN" w:eastAsia="zh-CN" w:bidi="ar"/>
        </w:rPr>
        <w:t>围绕预算编制质量、单位收入统筹、支出执行进度、预算年终结余、严控一般性支出</w:t>
      </w:r>
      <w:r>
        <w:rPr>
          <w:rFonts w:hint="default" w:ascii="仿宋_GB2312" w:hAnsi="仿宋_GB2312" w:eastAsia="仿宋_GB2312" w:cs="仿宋_GB2312"/>
          <w:color w:val="000000"/>
          <w:kern w:val="0"/>
          <w:sz w:val="32"/>
          <w:szCs w:val="32"/>
          <w:lang w:val="zh-CN" w:eastAsia="zh-CN" w:bidi="ar"/>
        </w:rPr>
        <w:t>进行绩效分析</w:t>
      </w:r>
      <w:r>
        <w:rPr>
          <w:rFonts w:hint="eastAsia" w:ascii="仿宋_GB2312" w:hAnsi="仿宋_GB2312" w:eastAsia="仿宋_GB2312" w:cs="仿宋_GB2312"/>
          <w:color w:val="000000"/>
          <w:kern w:val="0"/>
          <w:sz w:val="32"/>
          <w:szCs w:val="32"/>
          <w:lang w:val="zh-CN" w:eastAsia="zh-CN" w:bidi="ar"/>
        </w:rPr>
        <w:t>。我单位按规定内容公开预决算信息；按规定时限公开预决算信息；基础数据信息和会计信息资料真实；基础数据信息和会计信息资料完整；基础数据信息和汇集信息资料准确。</w:t>
      </w:r>
    </w:p>
    <w:p w14:paraId="7281382B">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left="0" w:leftChars="0" w:right="0" w:rightChars="0" w:firstLine="643" w:firstLineChars="200"/>
        <w:textAlignment w:val="auto"/>
        <w:rPr>
          <w:rFonts w:hint="eastAsia" w:ascii="仿宋_GB2312" w:hAnsi="仿宋_GB2312" w:eastAsia="仿宋_GB2312" w:cs="仿宋_GB2312"/>
          <w:color w:val="000000"/>
          <w:kern w:val="0"/>
          <w:sz w:val="32"/>
          <w:szCs w:val="32"/>
          <w:lang w:val="zh-CN" w:eastAsia="zh-CN" w:bidi="ar"/>
        </w:rPr>
      </w:pPr>
      <w:r>
        <w:rPr>
          <w:rFonts w:hint="eastAsia" w:ascii="Times New Roman" w:hAnsi="Times New Roman" w:eastAsia="仿宋_GB2312" w:cs="仿宋_GB2312"/>
          <w:b/>
          <w:bCs/>
          <w:color w:val="auto"/>
          <w:kern w:val="2"/>
          <w:sz w:val="32"/>
          <w:szCs w:val="32"/>
          <w:highlight w:val="none"/>
          <w:lang w:val="en-US" w:eastAsia="zh-CN" w:bidi="ar-SA"/>
        </w:rPr>
        <w:t>3.</w:t>
      </w:r>
      <w:r>
        <w:rPr>
          <w:rFonts w:hint="default" w:ascii="Times New Roman" w:hAnsi="Times New Roman" w:eastAsia="仿宋_GB2312" w:cs="仿宋_GB2312"/>
          <w:b/>
          <w:bCs/>
          <w:color w:val="auto"/>
          <w:kern w:val="2"/>
          <w:sz w:val="32"/>
          <w:szCs w:val="32"/>
          <w:highlight w:val="none"/>
          <w:lang w:val="zh-CN" w:eastAsia="zh-CN" w:bidi="ar-SA"/>
        </w:rPr>
        <w:t>财务管理</w:t>
      </w:r>
      <w:r>
        <w:rPr>
          <w:rFonts w:hint="eastAsia" w:ascii="Times New Roman" w:hAnsi="Times New Roman" w:eastAsia="仿宋_GB2312" w:cs="仿宋_GB2312"/>
          <w:b/>
          <w:bCs/>
          <w:color w:val="auto"/>
          <w:kern w:val="2"/>
          <w:sz w:val="32"/>
          <w:szCs w:val="32"/>
          <w:highlight w:val="none"/>
          <w:lang w:val="zh-CN" w:eastAsia="zh-CN" w:bidi="ar-SA"/>
        </w:rPr>
        <w:t>。</w:t>
      </w:r>
      <w:r>
        <w:rPr>
          <w:rFonts w:hint="eastAsia" w:ascii="仿宋_GB2312" w:hAnsi="仿宋_GB2312" w:eastAsia="仿宋_GB2312" w:cs="仿宋_GB2312"/>
          <w:color w:val="000000"/>
          <w:kern w:val="0"/>
          <w:sz w:val="32"/>
          <w:szCs w:val="32"/>
          <w:lang w:val="zh-CN" w:eastAsia="zh-CN" w:bidi="ar"/>
        </w:rPr>
        <w:t>围绕财务管理制度、财务岗位设置、资金使用规范</w:t>
      </w:r>
      <w:r>
        <w:rPr>
          <w:rFonts w:hint="default" w:ascii="仿宋_GB2312" w:hAnsi="仿宋_GB2312" w:eastAsia="仿宋_GB2312" w:cs="仿宋_GB2312"/>
          <w:color w:val="000000"/>
          <w:kern w:val="0"/>
          <w:sz w:val="32"/>
          <w:szCs w:val="32"/>
          <w:lang w:val="zh-CN" w:eastAsia="zh-CN" w:bidi="ar"/>
        </w:rPr>
        <w:t>进行绩效分析</w:t>
      </w:r>
      <w:r>
        <w:rPr>
          <w:rFonts w:hint="eastAsia" w:ascii="仿宋_GB2312" w:hAnsi="仿宋_GB2312" w:eastAsia="仿宋_GB2312" w:cs="仿宋_GB2312"/>
          <w:color w:val="000000"/>
          <w:kern w:val="0"/>
          <w:sz w:val="32"/>
          <w:szCs w:val="32"/>
          <w:lang w:val="zh-CN" w:eastAsia="zh-CN" w:bidi="ar"/>
        </w:rPr>
        <w:t>。资金支出符合国家财经法规和财务管理制度规定以及有关专项资金管理办法的规定；资金拨付有完整的审批程序和手续；符合部门预算批复的用途；资金使用无截留、挤占、挪用、虚列支出等情况。建立长效机制，严格财务管理，加强财务监督，坚持厉行节约，严格杜绝现金支出</w:t>
      </w:r>
      <w:r>
        <w:rPr>
          <w:rFonts w:hint="eastAsia" w:ascii="仿宋_GB2312" w:hAnsi="仿宋_GB2312" w:eastAsia="仿宋_GB2312" w:cs="仿宋_GB2312"/>
          <w:color w:val="000000"/>
          <w:kern w:val="0"/>
          <w:sz w:val="32"/>
          <w:szCs w:val="32"/>
          <w:lang w:val="en-US" w:eastAsia="zh-CN" w:bidi="ar"/>
        </w:rPr>
        <w:t>;岗位按会计、出纳设置，各司其职。</w:t>
      </w:r>
      <w:r>
        <w:rPr>
          <w:rFonts w:hint="eastAsia" w:ascii="仿宋_GB2312" w:hAnsi="仿宋_GB2312" w:eastAsia="仿宋_GB2312" w:cs="仿宋_GB2312"/>
          <w:color w:val="000000"/>
          <w:kern w:val="0"/>
          <w:sz w:val="32"/>
          <w:szCs w:val="32"/>
          <w:lang w:val="zh-CN" w:eastAsia="zh-CN" w:bidi="ar"/>
        </w:rPr>
        <w:t xml:space="preserve"> </w:t>
      </w:r>
    </w:p>
    <w:p w14:paraId="39F749F4">
      <w:pPr>
        <w:pStyle w:val="6"/>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01"/>
        <w:jc w:val="left"/>
        <w:textAlignment w:val="auto"/>
        <w:rPr>
          <w:rFonts w:hint="eastAsia" w:ascii="仿宋_GB2312" w:hAnsi="仿宋_GB2312" w:eastAsia="仿宋_GB2312" w:cs="仿宋_GB2312"/>
          <w:b w:val="0"/>
          <w:bCs w:val="0"/>
          <w:color w:val="000000"/>
          <w:kern w:val="0"/>
          <w:sz w:val="32"/>
          <w:szCs w:val="32"/>
          <w:lang w:val="zh-CN" w:eastAsia="zh-CN" w:bidi="ar"/>
        </w:rPr>
      </w:pPr>
      <w:r>
        <w:rPr>
          <w:rFonts w:hint="eastAsia" w:ascii="Times New Roman" w:hAnsi="Times New Roman" w:eastAsia="仿宋_GB2312" w:cs="仿宋_GB2312"/>
          <w:color w:val="auto"/>
          <w:kern w:val="2"/>
          <w:sz w:val="32"/>
          <w:szCs w:val="32"/>
          <w:highlight w:val="none"/>
          <w:lang w:val="en-US" w:eastAsia="zh-CN" w:bidi="ar-SA"/>
        </w:rPr>
        <w:t>4.</w:t>
      </w:r>
      <w:r>
        <w:rPr>
          <w:rFonts w:hint="default" w:ascii="Times New Roman" w:hAnsi="Times New Roman" w:eastAsia="仿宋_GB2312" w:cs="仿宋_GB2312"/>
          <w:color w:val="auto"/>
          <w:kern w:val="2"/>
          <w:sz w:val="32"/>
          <w:szCs w:val="32"/>
          <w:highlight w:val="none"/>
          <w:lang w:val="zh-CN" w:eastAsia="zh-CN" w:bidi="ar-SA"/>
        </w:rPr>
        <w:t>资产管理</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b w:val="0"/>
          <w:bCs w:val="0"/>
          <w:color w:val="auto"/>
          <w:kern w:val="2"/>
          <w:sz w:val="32"/>
          <w:szCs w:val="32"/>
          <w:highlight w:val="none"/>
          <w:lang w:val="zh-CN" w:eastAsia="zh-CN" w:bidi="ar-SA"/>
        </w:rPr>
        <w:t>围</w:t>
      </w:r>
      <w:r>
        <w:rPr>
          <w:rFonts w:hint="eastAsia" w:ascii="仿宋_GB2312" w:hAnsi="仿宋_GB2312" w:eastAsia="仿宋_GB2312" w:cs="仿宋_GB2312"/>
          <w:b w:val="0"/>
          <w:bCs w:val="0"/>
          <w:color w:val="000000"/>
          <w:kern w:val="0"/>
          <w:sz w:val="32"/>
          <w:szCs w:val="32"/>
          <w:lang w:val="zh-CN" w:eastAsia="zh-CN" w:bidi="ar"/>
        </w:rPr>
        <w:t>绕人均资产变化率、资产利用率、资产盘活率</w:t>
      </w:r>
      <w:r>
        <w:rPr>
          <w:rFonts w:hint="default" w:ascii="仿宋_GB2312" w:hAnsi="仿宋_GB2312" w:eastAsia="仿宋_GB2312" w:cs="仿宋_GB2312"/>
          <w:b w:val="0"/>
          <w:bCs w:val="0"/>
          <w:color w:val="000000"/>
          <w:kern w:val="0"/>
          <w:sz w:val="32"/>
          <w:szCs w:val="32"/>
          <w:lang w:val="zh-CN" w:eastAsia="zh-CN" w:bidi="ar"/>
        </w:rPr>
        <w:t>进行绩效分析</w:t>
      </w:r>
      <w:r>
        <w:rPr>
          <w:rFonts w:hint="eastAsia" w:ascii="仿宋_GB2312" w:hAnsi="仿宋_GB2312" w:eastAsia="仿宋_GB2312" w:cs="仿宋_GB2312"/>
          <w:b w:val="0"/>
          <w:bCs w:val="0"/>
          <w:color w:val="000000"/>
          <w:kern w:val="0"/>
          <w:sz w:val="32"/>
          <w:szCs w:val="32"/>
          <w:lang w:val="zh-CN" w:eastAsia="zh-CN" w:bidi="ar"/>
        </w:rPr>
        <w:t>。资产管理完善资产管理制度，注重业务学习;提高资产管理水平。加强日常资产管理，健全资产信息系统，准确核查系统数据，建立单位内控监督约束机制，确保资金安全、合理、有效使用，最大限度发挥财政资金使用效益。</w:t>
      </w:r>
    </w:p>
    <w:p w14:paraId="6721AED0">
      <w:pPr>
        <w:pStyle w:val="6"/>
        <w:pageBreakBefore w:val="0"/>
        <w:kinsoku/>
        <w:wordWrap/>
        <w:overflowPunct/>
        <w:topLinePunct w:val="0"/>
        <w:autoSpaceDE/>
        <w:autoSpaceDN/>
        <w:bidi w:val="0"/>
        <w:adjustRightInd w:val="0"/>
        <w:snapToGrid w:val="0"/>
        <w:spacing w:before="0" w:beforeAutospacing="0" w:after="0" w:afterAutospacing="0" w:line="576" w:lineRule="exact"/>
        <w:ind w:left="0" w:leftChars="0" w:firstLine="600"/>
        <w:jc w:val="left"/>
        <w:rPr>
          <w:rFonts w:hint="eastAsia" w:ascii="仿宋_GB2312" w:hAnsi="仿宋_GB2312" w:eastAsia="仿宋_GB2312" w:cs="仿宋_GB2312"/>
          <w:b w:val="0"/>
          <w:bCs w:val="0"/>
          <w:color w:val="000000"/>
          <w:kern w:val="0"/>
          <w:sz w:val="32"/>
          <w:szCs w:val="32"/>
          <w:lang w:val="zh-CN" w:eastAsia="zh-CN" w:bidi="ar"/>
        </w:rPr>
      </w:pPr>
      <w:r>
        <w:rPr>
          <w:rFonts w:hint="eastAsia" w:ascii="Times New Roman" w:hAnsi="Times New Roman" w:eastAsia="仿宋_GB2312" w:cs="仿宋_GB2312"/>
          <w:color w:val="auto"/>
          <w:kern w:val="2"/>
          <w:sz w:val="32"/>
          <w:szCs w:val="32"/>
          <w:highlight w:val="none"/>
          <w:lang w:val="en-US" w:eastAsia="zh-CN" w:bidi="ar-SA"/>
        </w:rPr>
        <w:t>5.</w:t>
      </w:r>
      <w:r>
        <w:rPr>
          <w:rFonts w:hint="default" w:ascii="Times New Roman" w:hAnsi="Times New Roman" w:eastAsia="仿宋_GB2312" w:cs="仿宋_GB2312"/>
          <w:color w:val="auto"/>
          <w:kern w:val="2"/>
          <w:sz w:val="32"/>
          <w:szCs w:val="32"/>
          <w:highlight w:val="none"/>
          <w:lang w:val="zh-CN" w:eastAsia="zh-CN" w:bidi="ar-SA"/>
        </w:rPr>
        <w:t>采购管理</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b w:val="0"/>
          <w:bCs w:val="0"/>
          <w:color w:val="auto"/>
          <w:kern w:val="2"/>
          <w:sz w:val="32"/>
          <w:szCs w:val="32"/>
          <w:highlight w:val="none"/>
          <w:lang w:val="zh-CN" w:eastAsia="zh-CN" w:bidi="ar-SA"/>
        </w:rPr>
        <w:t>围</w:t>
      </w:r>
      <w:r>
        <w:rPr>
          <w:rFonts w:hint="eastAsia" w:ascii="仿宋_GB2312" w:hAnsi="仿宋_GB2312" w:eastAsia="仿宋_GB2312" w:cs="仿宋_GB2312"/>
          <w:b w:val="0"/>
          <w:bCs w:val="0"/>
          <w:color w:val="000000"/>
          <w:kern w:val="0"/>
          <w:sz w:val="32"/>
          <w:szCs w:val="32"/>
          <w:lang w:val="zh-CN" w:eastAsia="zh-CN" w:bidi="ar"/>
        </w:rPr>
        <w:t>绕支持中小企业发展、采购执行率</w:t>
      </w:r>
      <w:r>
        <w:rPr>
          <w:rFonts w:hint="default" w:ascii="仿宋_GB2312" w:hAnsi="仿宋_GB2312" w:eastAsia="仿宋_GB2312" w:cs="仿宋_GB2312"/>
          <w:b w:val="0"/>
          <w:bCs w:val="0"/>
          <w:color w:val="000000"/>
          <w:kern w:val="0"/>
          <w:sz w:val="32"/>
          <w:szCs w:val="32"/>
          <w:lang w:val="zh-CN" w:eastAsia="zh-CN" w:bidi="ar"/>
        </w:rPr>
        <w:t>进行绩效分析</w:t>
      </w:r>
      <w:r>
        <w:rPr>
          <w:rFonts w:hint="eastAsia" w:ascii="仿宋_GB2312" w:hAnsi="仿宋_GB2312" w:eastAsia="仿宋_GB2312" w:cs="仿宋_GB2312"/>
          <w:b w:val="0"/>
          <w:bCs w:val="0"/>
          <w:color w:val="000000"/>
          <w:kern w:val="0"/>
          <w:sz w:val="32"/>
          <w:szCs w:val="32"/>
          <w:lang w:val="zh-CN" w:eastAsia="zh-CN" w:bidi="ar"/>
        </w:rPr>
        <w:t>。无</w:t>
      </w:r>
    </w:p>
    <w:p w14:paraId="26F4B44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仿宋_GB2312" w:hAnsi="仿宋_GB2312" w:eastAsia="仿宋_GB2312" w:cs="仿宋_GB2312"/>
          <w:color w:val="000000"/>
          <w:kern w:val="0"/>
          <w:sz w:val="32"/>
          <w:szCs w:val="32"/>
          <w:lang w:val="zh-CN" w:eastAsia="zh-CN" w:bidi="ar"/>
        </w:rPr>
        <w:t>填报以下数据，并</w:t>
      </w:r>
      <w:r>
        <w:rPr>
          <w:rFonts w:hint="default" w:ascii="仿宋_GB2312" w:hAnsi="仿宋_GB2312" w:eastAsia="仿宋_GB2312" w:cs="仿宋_GB2312"/>
          <w:color w:val="000000"/>
          <w:kern w:val="0"/>
          <w:sz w:val="32"/>
          <w:szCs w:val="32"/>
          <w:lang w:val="zh-CN" w:eastAsia="zh-CN" w:bidi="ar"/>
        </w:rPr>
        <w:t>根据部门预算绩效评价指标体系</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项目绩效</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涉及</w:t>
      </w:r>
      <w:r>
        <w:rPr>
          <w:rFonts w:hint="eastAsia" w:ascii="仿宋_GB2312" w:hAnsi="仿宋_GB2312" w:eastAsia="仿宋_GB2312" w:cs="仿宋_GB2312"/>
          <w:color w:val="000000"/>
          <w:kern w:val="0"/>
          <w:sz w:val="32"/>
          <w:szCs w:val="32"/>
          <w:lang w:val="zh-CN" w:eastAsia="zh-CN" w:bidi="ar"/>
        </w:rPr>
        <w:t>二、三级</w:t>
      </w:r>
      <w:r>
        <w:rPr>
          <w:rFonts w:hint="default" w:ascii="仿宋_GB2312" w:hAnsi="仿宋_GB2312" w:eastAsia="仿宋_GB2312" w:cs="仿宋_GB2312"/>
          <w:color w:val="000000"/>
          <w:kern w:val="0"/>
          <w:sz w:val="32"/>
          <w:szCs w:val="32"/>
          <w:lang w:val="zh-CN" w:eastAsia="zh-CN" w:bidi="ar"/>
        </w:rPr>
        <w:t>指标进行</w:t>
      </w:r>
      <w:r>
        <w:rPr>
          <w:rFonts w:hint="eastAsia" w:ascii="仿宋_GB2312" w:hAnsi="仿宋_GB2312" w:eastAsia="仿宋_GB2312" w:cs="仿宋_GB2312"/>
          <w:color w:val="000000"/>
          <w:kern w:val="0"/>
          <w:sz w:val="32"/>
          <w:szCs w:val="32"/>
          <w:lang w:val="zh-CN" w:eastAsia="zh-CN" w:bidi="ar"/>
        </w:rPr>
        <w:t>逐项</w:t>
      </w:r>
      <w:r>
        <w:rPr>
          <w:rFonts w:hint="default" w:ascii="仿宋_GB2312" w:hAnsi="仿宋_GB2312" w:eastAsia="仿宋_GB2312" w:cs="仿宋_GB2312"/>
          <w:color w:val="000000"/>
          <w:kern w:val="0"/>
          <w:sz w:val="32"/>
          <w:szCs w:val="32"/>
          <w:lang w:val="zh-CN" w:eastAsia="zh-CN" w:bidi="ar"/>
        </w:rPr>
        <w:t>绩效分析</w:t>
      </w:r>
      <w:r>
        <w:rPr>
          <w:rFonts w:hint="eastAsia" w:ascii="仿宋_GB2312" w:hAnsi="仿宋_GB2312" w:eastAsia="仿宋_GB2312" w:cs="仿宋_GB2312"/>
          <w:color w:val="000000"/>
          <w:kern w:val="0"/>
          <w:sz w:val="32"/>
          <w:szCs w:val="32"/>
          <w:lang w:val="zh-CN" w:eastAsia="zh-CN" w:bidi="ar"/>
        </w:rPr>
        <w:t>并评分</w:t>
      </w:r>
      <w:r>
        <w:rPr>
          <w:rFonts w:hint="default" w:ascii="仿宋_GB2312" w:hAnsi="仿宋_GB2312" w:eastAsia="仿宋_GB2312" w:cs="仿宋_GB2312"/>
          <w:color w:val="000000"/>
          <w:kern w:val="0"/>
          <w:sz w:val="32"/>
          <w:szCs w:val="32"/>
          <w:lang w:val="zh-CN" w:eastAsia="zh-CN" w:bidi="ar"/>
        </w:rPr>
        <w:t>，依次包括项目</w:t>
      </w:r>
      <w:r>
        <w:rPr>
          <w:rFonts w:hint="default" w:ascii="仿宋_GB2312" w:hAnsi="仿宋_GB2312" w:eastAsia="仿宋_GB2312" w:cs="仿宋_GB2312"/>
          <w:color w:val="000000"/>
          <w:kern w:val="0"/>
          <w:sz w:val="32"/>
          <w:szCs w:val="32"/>
          <w:lang w:val="en-US" w:eastAsia="zh-CN" w:bidi="ar"/>
        </w:rPr>
        <w:t>决策、项目执行、目标实现等情况</w:t>
      </w:r>
      <w:r>
        <w:rPr>
          <w:rFonts w:hint="eastAsia" w:ascii="仿宋_GB2312" w:hAnsi="仿宋_GB2312" w:eastAsia="仿宋_GB2312" w:cs="仿宋_GB2312"/>
          <w:color w:val="000000"/>
          <w:kern w:val="0"/>
          <w:sz w:val="32"/>
          <w:szCs w:val="32"/>
          <w:lang w:val="en-US" w:eastAsia="zh-CN" w:bidi="ar"/>
        </w:rPr>
        <w:t>。</w:t>
      </w:r>
    </w:p>
    <w:tbl>
      <w:tblPr>
        <w:tblStyle w:val="18"/>
        <w:tblW w:w="9654" w:type="dxa"/>
        <w:tblInd w:w="-8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95"/>
        <w:gridCol w:w="518"/>
        <w:gridCol w:w="559"/>
        <w:gridCol w:w="996"/>
        <w:gridCol w:w="504"/>
        <w:gridCol w:w="655"/>
        <w:gridCol w:w="2495"/>
        <w:gridCol w:w="478"/>
        <w:gridCol w:w="886"/>
        <w:gridCol w:w="464"/>
        <w:gridCol w:w="395"/>
        <w:gridCol w:w="709"/>
      </w:tblGrid>
      <w:tr w14:paraId="6AC61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9654"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78A9767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both"/>
              <w:textAlignment w:val="center"/>
              <w:rPr>
                <w:rFonts w:hint="eastAsia" w:ascii="方正大标宋简体" w:hAnsi="方正大标宋简体" w:eastAsia="方正大标宋简体" w:cs="方正大标宋简体"/>
                <w:b w:val="0"/>
                <w:bCs/>
                <w:i w:val="0"/>
                <w:color w:val="000000"/>
                <w:kern w:val="0"/>
                <w:sz w:val="44"/>
                <w:szCs w:val="44"/>
                <w:u w:val="none"/>
                <w:lang w:val="en-US" w:eastAsia="zh-CN" w:bidi="ar"/>
              </w:rPr>
            </w:pPr>
          </w:p>
          <w:p w14:paraId="7294EA8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方正小标宋简体" w:hAnsi="方正小标宋简体" w:eastAsia="方正小标宋简体" w:cs="方正小标宋简体"/>
                <w:b w:val="0"/>
                <w:bCs/>
                <w:i w:val="0"/>
                <w:color w:val="000000"/>
                <w:kern w:val="0"/>
                <w:sz w:val="44"/>
                <w:szCs w:val="44"/>
                <w:u w:val="none"/>
                <w:lang w:val="en-US" w:eastAsia="zh-CN" w:bidi="ar"/>
              </w:rPr>
            </w:pPr>
          </w:p>
          <w:p w14:paraId="28D36A5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方正小标宋简体" w:hAnsi="方正小标宋简体" w:eastAsia="方正小标宋简体" w:cs="方正小标宋简体"/>
                <w:b w:val="0"/>
                <w:bCs/>
                <w:i w:val="0"/>
                <w:color w:val="000000"/>
                <w:kern w:val="0"/>
                <w:sz w:val="44"/>
                <w:szCs w:val="44"/>
                <w:u w:val="none"/>
                <w:lang w:val="en-US" w:eastAsia="zh-CN" w:bidi="ar"/>
              </w:rPr>
            </w:pPr>
            <w:r>
              <w:rPr>
                <w:rFonts w:hint="eastAsia" w:ascii="方正小标宋简体" w:hAnsi="方正小标宋简体" w:eastAsia="方正小标宋简体" w:cs="方正小标宋简体"/>
                <w:b w:val="0"/>
                <w:bCs/>
                <w:i w:val="0"/>
                <w:color w:val="000000"/>
                <w:kern w:val="0"/>
                <w:sz w:val="44"/>
                <w:szCs w:val="44"/>
                <w:u w:val="none"/>
                <w:lang w:val="en-US" w:eastAsia="zh-CN" w:bidi="ar"/>
              </w:rPr>
              <w:t>部门预算项目绩效目标表（2025年度）</w:t>
            </w:r>
          </w:p>
          <w:p w14:paraId="5E15C0D9">
            <w:pPr>
              <w:pStyle w:val="2"/>
              <w:keepNext w:val="0"/>
              <w:keepLines w:val="0"/>
              <w:pageBreakBefore w:val="0"/>
              <w:kinsoku/>
              <w:wordWrap/>
              <w:overflowPunct/>
              <w:topLinePunct w:val="0"/>
              <w:autoSpaceDE/>
              <w:autoSpaceDN/>
              <w:bidi w:val="0"/>
              <w:adjustRightInd w:val="0"/>
              <w:snapToGrid w:val="0"/>
              <w:spacing w:beforeAutospacing="0" w:after="0" w:afterAutospacing="0" w:line="240" w:lineRule="auto"/>
              <w:ind w:left="0" w:leftChars="0" w:firstLine="6600" w:firstLineChars="3000"/>
              <w:rPr>
                <w:rFonts w:hint="default"/>
                <w:lang w:val="en-US"/>
              </w:rPr>
            </w:pPr>
            <w:r>
              <w:rPr>
                <w:rFonts w:hint="eastAsia" w:ascii="仿宋_GB2312" w:hAnsi="仿宋_GB2312" w:eastAsia="仿宋_GB2312" w:cs="仿宋_GB2312"/>
                <w:b w:val="0"/>
                <w:bCs/>
                <w:i w:val="0"/>
                <w:color w:val="000000"/>
                <w:kern w:val="0"/>
                <w:sz w:val="22"/>
                <w:szCs w:val="22"/>
                <w:u w:val="none"/>
                <w:lang w:val="en-US" w:eastAsia="zh-CN" w:bidi="ar"/>
              </w:rPr>
              <w:t>金额：</w:t>
            </w:r>
            <w:r>
              <w:rPr>
                <w:rFonts w:hint="eastAsia" w:hAnsi="仿宋_GB2312" w:eastAsia="仿宋_GB2312" w:cs="仿宋_GB2312"/>
                <w:b w:val="0"/>
                <w:bCs/>
                <w:i w:val="0"/>
                <w:color w:val="000000"/>
                <w:kern w:val="0"/>
                <w:sz w:val="22"/>
                <w:szCs w:val="22"/>
                <w:u w:val="none"/>
                <w:lang w:val="en-US" w:eastAsia="zh-CN" w:bidi="ar"/>
              </w:rPr>
              <w:t xml:space="preserve">   </w:t>
            </w:r>
            <w:r>
              <w:rPr>
                <w:rFonts w:hint="eastAsia" w:ascii="仿宋_GB2312" w:hAnsi="仿宋_GB2312" w:eastAsia="仿宋_GB2312" w:cs="仿宋_GB2312"/>
                <w:b w:val="0"/>
                <w:bCs/>
                <w:i w:val="0"/>
                <w:color w:val="000000"/>
                <w:kern w:val="0"/>
                <w:sz w:val="22"/>
                <w:szCs w:val="22"/>
                <w:u w:val="none"/>
                <w:lang w:val="en-US" w:eastAsia="zh-CN" w:bidi="ar"/>
              </w:rPr>
              <w:t>万元</w:t>
            </w:r>
          </w:p>
        </w:tc>
      </w:tr>
      <w:tr w14:paraId="4A48F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3" w:hRule="atLeast"/>
        </w:trPr>
        <w:tc>
          <w:tcPr>
            <w:tcW w:w="99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67D881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单位名称</w:t>
            </w:r>
          </w:p>
        </w:tc>
        <w:tc>
          <w:tcPr>
            <w:tcW w:w="51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CFE9AB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55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2C066F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预算数</w:t>
            </w:r>
          </w:p>
        </w:tc>
        <w:tc>
          <w:tcPr>
            <w:tcW w:w="99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44F6B8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年度目标</w:t>
            </w:r>
          </w:p>
        </w:tc>
        <w:tc>
          <w:tcPr>
            <w:tcW w:w="50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9AF4B6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65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308E3F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49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6C1FA5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7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962387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指标性质</w:t>
            </w:r>
          </w:p>
        </w:tc>
        <w:tc>
          <w:tcPr>
            <w:tcW w:w="88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F88939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46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C60809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度量单位</w:t>
            </w:r>
          </w:p>
        </w:tc>
        <w:tc>
          <w:tcPr>
            <w:tcW w:w="39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99BEA8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权重</w:t>
            </w:r>
          </w:p>
        </w:tc>
        <w:tc>
          <w:tcPr>
            <w:tcW w:w="70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F5738A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指标方向性</w:t>
            </w:r>
          </w:p>
        </w:tc>
      </w:tr>
      <w:tr w14:paraId="20E34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2" w:hRule="atLeast"/>
        </w:trPr>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647C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122-红原县卫生健康局</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00650">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Pr>
                <w:rFonts w:hint="eastAsia" w:ascii="宋体" w:hAnsi="宋体" w:eastAsia="宋体" w:cs="宋体"/>
                <w:i w:val="0"/>
                <w:color w:val="000000"/>
                <w:sz w:val="18"/>
                <w:szCs w:val="18"/>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12B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1546">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Pr>
                <w:rFonts w:hint="eastAsia" w:ascii="宋体" w:hAnsi="宋体" w:eastAsia="宋体" w:cs="宋体"/>
                <w:i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B90B">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Pr>
                <w:rFonts w:hint="eastAsia" w:ascii="宋体" w:hAnsi="宋体" w:eastAsia="宋体" w:cs="宋体"/>
                <w:i w:val="0"/>
                <w:color w:val="000000"/>
                <w:sz w:val="18"/>
                <w:szCs w:val="18"/>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03C83">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Pr>
                <w:rFonts w:hint="eastAsia" w:ascii="宋体" w:hAnsi="宋体" w:eastAsia="宋体" w:cs="宋体"/>
                <w:i w:val="0"/>
                <w:color w:val="000000"/>
                <w:sz w:val="18"/>
                <w:szCs w:val="18"/>
                <w:u w:val="none"/>
              </w:rPr>
            </w:pP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B6E6E">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Pr>
                <w:rFonts w:hint="eastAsia" w:ascii="宋体" w:hAnsi="宋体" w:eastAsia="宋体" w:cs="宋体"/>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F26B">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Pr>
                <w:rFonts w:hint="eastAsia" w:ascii="宋体" w:hAnsi="宋体" w:eastAsia="宋体" w:cs="宋体"/>
                <w:i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42B3">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Pr>
                <w:rFonts w:hint="eastAsia" w:ascii="宋体" w:hAnsi="宋体" w:eastAsia="宋体" w:cs="宋体"/>
                <w:i w:val="0"/>
                <w:color w:val="000000"/>
                <w:sz w:val="18"/>
                <w:szCs w:val="18"/>
                <w:u w:val="none"/>
              </w:rPr>
            </w:pP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B782A">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Pr>
                <w:rFonts w:hint="eastAsia" w:ascii="宋体" w:hAnsi="宋体" w:eastAsia="宋体" w:cs="宋体"/>
                <w:i w:val="0"/>
                <w:color w:val="000000"/>
                <w:sz w:val="18"/>
                <w:szCs w:val="18"/>
                <w:u w:val="none"/>
              </w:rPr>
            </w:pP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7A24F">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Pr>
                <w:rFonts w:hint="eastAsia" w:ascii="宋体" w:hAnsi="宋体" w:eastAsia="宋体" w:cs="宋体"/>
                <w:i w:val="0"/>
                <w:color w:val="000000"/>
                <w:sz w:val="18"/>
                <w:szCs w:val="18"/>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189D">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Pr>
                <w:rFonts w:hint="eastAsia" w:ascii="宋体" w:hAnsi="宋体" w:eastAsia="宋体" w:cs="宋体"/>
                <w:i w:val="0"/>
                <w:color w:val="000000"/>
                <w:sz w:val="18"/>
                <w:szCs w:val="18"/>
                <w:u w:val="none"/>
              </w:rPr>
            </w:pPr>
          </w:p>
        </w:tc>
      </w:tr>
      <w:tr w14:paraId="507A6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3" w:hRule="atLeast"/>
        </w:trPr>
        <w:tc>
          <w:tcPr>
            <w:tcW w:w="9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EC79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122009-红原县壤口乡卫生院</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6786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县级配套基本公共卫生</w:t>
            </w:r>
          </w:p>
        </w:tc>
        <w:tc>
          <w:tcPr>
            <w:tcW w:w="5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07D4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0.65</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8130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乡镇卫生院开展基本公共卫生服务，包括建立居民健康档案，预防接种、传染病防治、高血压糖尿病等慢性病管理重型精神病管理、儿童保健、孕产妇保健、老年人保健；协助处置突发公共卫生事件。开展基本公共卫生服产生的办公费，邮电费等支出。</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834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F1B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454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基本公共卫生服务县级配套项目成本</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E7D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B2C8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0.6541.92</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67E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3CF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7873">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r w14:paraId="49E0E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9"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6BDE0">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2E4F5">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4149C">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center"/>
              <w:rPr>
                <w:rFonts w:hint="eastAsia" w:ascii="宋体" w:hAnsi="宋体" w:eastAsia="宋体" w:cs="宋体"/>
                <w:i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D385F">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479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4AD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E30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提高公共卫生服务均等化水平</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DC3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17E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优良中</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3383">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center"/>
              <w:rPr>
                <w:rFonts w:hint="eastAsia" w:ascii="宋体" w:hAnsi="宋体" w:eastAsia="宋体" w:cs="宋体"/>
                <w:i w:val="0"/>
                <w:color w:val="000000"/>
                <w:sz w:val="18"/>
                <w:szCs w:val="18"/>
                <w:u w:val="none"/>
              </w:rPr>
            </w:pP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BFAD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9678">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r w14:paraId="29459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3"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5ED90">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1CE96">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F9208">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center"/>
              <w:rPr>
                <w:rFonts w:hint="eastAsia" w:ascii="宋体" w:hAnsi="宋体" w:eastAsia="宋体" w:cs="宋体"/>
                <w:i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B5A7B">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156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5D4F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w:t>
            </w:r>
          </w:p>
          <w:p w14:paraId="069B88D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08F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老年人中医药健康管理率</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9158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696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55B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D7C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20EEC">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r w14:paraId="1DDCB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2"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2D164">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20A28">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FCD4D">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center"/>
              <w:rPr>
                <w:rFonts w:hint="eastAsia" w:ascii="宋体" w:hAnsi="宋体" w:eastAsia="宋体" w:cs="宋体"/>
                <w:i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4CBB9">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805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D15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w:t>
            </w:r>
          </w:p>
          <w:p w14:paraId="1971B09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5A44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老年人健康管理率</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FCF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D88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642A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2C11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2CEF">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r w14:paraId="3573A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9"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A10F8">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9CC61">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5C5EC">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center"/>
              <w:rPr>
                <w:rFonts w:hint="eastAsia" w:ascii="宋体" w:hAnsi="宋体" w:eastAsia="宋体" w:cs="宋体"/>
                <w:i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E2910">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D88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949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BDA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基层群众满意度</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5D4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012D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163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FEDC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F2450">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r w14:paraId="649DC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4"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3B412">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99147">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1F3E9">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center"/>
              <w:rPr>
                <w:rFonts w:hint="eastAsia" w:ascii="宋体" w:hAnsi="宋体" w:eastAsia="宋体" w:cs="宋体"/>
                <w:i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22F8C">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267D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87C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w:t>
            </w:r>
          </w:p>
          <w:p w14:paraId="29EB4D3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F19F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高血压患者管理人数</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4258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5552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6A8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A27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18E2">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r w14:paraId="69E0A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1"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99149">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FC23E">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C3D15">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center"/>
              <w:rPr>
                <w:rFonts w:hint="eastAsia" w:ascii="宋体" w:hAnsi="宋体" w:eastAsia="宋体" w:cs="宋体"/>
                <w:i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3B764">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9F5B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C7F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w:t>
            </w:r>
          </w:p>
          <w:p w14:paraId="5D9BC5A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19D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居民电子健康档案管理人数</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AB0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579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944</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1D2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FFB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41BD">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r w14:paraId="6A9C8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3"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C8C5C">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B1B4A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县级配套基本药物</w:t>
            </w:r>
          </w:p>
        </w:tc>
        <w:tc>
          <w:tcPr>
            <w:tcW w:w="5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335F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0.28</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1B2D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县级配套基本药物用于卫生院日常开支，包含办公费、邮电费、电费等</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1A0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54D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w:t>
            </w:r>
          </w:p>
          <w:p w14:paraId="4CC8947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71C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实行基本药物补助县级配套的基层医疗机构个数</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0DD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2C7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588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BCF1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32F4">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r w14:paraId="3F603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D1A04">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EF0EE">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5A781">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right"/>
              <w:rPr>
                <w:rFonts w:hint="eastAsia" w:ascii="宋体" w:hAnsi="宋体" w:eastAsia="宋体" w:cs="宋体"/>
                <w:i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78848">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3FBE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0F7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w:t>
            </w:r>
          </w:p>
          <w:p w14:paraId="4540416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3F8D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基层医疗机构基本药物网购置次数</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0BA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AAA9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A17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5F4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2A17">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r w14:paraId="6510D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072E2">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A0A26">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0E709">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right"/>
              <w:rPr>
                <w:rFonts w:hint="eastAsia" w:ascii="宋体" w:hAnsi="宋体" w:eastAsia="宋体" w:cs="宋体"/>
                <w:i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33684">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8A4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36F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73AC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确保药品采购公平、公正、公开</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108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50A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CF97">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center"/>
              <w:rPr>
                <w:rFonts w:hint="eastAsia" w:ascii="宋体" w:hAnsi="宋体" w:eastAsia="宋体" w:cs="宋体"/>
                <w:i w:val="0"/>
                <w:color w:val="000000"/>
                <w:sz w:val="18"/>
                <w:szCs w:val="18"/>
                <w:u w:val="none"/>
              </w:rPr>
            </w:pP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8B8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CD2B">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r w14:paraId="034BC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7"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F7571">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226ED">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99D1E">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right"/>
              <w:rPr>
                <w:rFonts w:hint="eastAsia" w:ascii="宋体" w:hAnsi="宋体" w:eastAsia="宋体" w:cs="宋体"/>
                <w:i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B31C2">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9FF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813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质量</w:t>
            </w:r>
          </w:p>
          <w:p w14:paraId="5E96218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619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基本药物补助县级配套资金支付准确率</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98B5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E52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9F0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34C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2C1BC">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r w14:paraId="3DBE3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8DA53">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F4F13">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41ABE">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right"/>
              <w:rPr>
                <w:rFonts w:hint="eastAsia" w:ascii="宋体" w:hAnsi="宋体" w:eastAsia="宋体" w:cs="宋体"/>
                <w:i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1AA59">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AF48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2AA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80C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基层医疗机构药品零差率</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528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ECD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等于100</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BC41">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center"/>
              <w:rPr>
                <w:rFonts w:hint="eastAsia" w:ascii="宋体" w:hAnsi="宋体" w:eastAsia="宋体" w:cs="宋体"/>
                <w:i w:val="0"/>
                <w:color w:val="000000"/>
                <w:sz w:val="18"/>
                <w:szCs w:val="18"/>
                <w:u w:val="none"/>
              </w:rPr>
            </w:pP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3FF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7ADC">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r w14:paraId="65673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87"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3A15C">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9B64B">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41158">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right"/>
              <w:rPr>
                <w:rFonts w:hint="eastAsia" w:ascii="宋体" w:hAnsi="宋体" w:eastAsia="宋体" w:cs="宋体"/>
                <w:i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2BD5D">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37D9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6D0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F05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基层医疗机构工作人员满意度</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8225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2C71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C46D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37A6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5A170">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r w14:paraId="03ACB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84"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DEA26">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2A7D5">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94936">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right"/>
              <w:rPr>
                <w:rFonts w:hint="eastAsia" w:ascii="宋体" w:hAnsi="宋体" w:eastAsia="宋体" w:cs="宋体"/>
                <w:i w:val="0"/>
                <w:color w:val="000000"/>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017F5">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C7C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69F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时效</w:t>
            </w:r>
          </w:p>
          <w:p w14:paraId="3745AD7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0C5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基本药物补助县级配套资金支付及时率</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B30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88D6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37A9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F27E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A779">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jc w:val="left"/>
              <w:rPr>
                <w:rFonts w:hint="eastAsia" w:ascii="宋体" w:hAnsi="宋体" w:eastAsia="宋体" w:cs="宋体"/>
                <w:i w:val="0"/>
                <w:color w:val="000000"/>
                <w:sz w:val="18"/>
                <w:szCs w:val="18"/>
                <w:u w:val="none"/>
              </w:rPr>
            </w:pPr>
          </w:p>
        </w:tc>
      </w:tr>
    </w:tbl>
    <w:p w14:paraId="2F3C229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en-US" w:eastAsia="zh-CN" w:bidi="ar-SA"/>
        </w:rPr>
      </w:pPr>
    </w:p>
    <w:p w14:paraId="3C022DF1">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0"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仿宋_GB2312" w:hAnsi="仿宋_GB2312" w:eastAsia="仿宋_GB2312" w:cs="仿宋_GB2312"/>
          <w:color w:val="000000"/>
          <w:kern w:val="0"/>
          <w:sz w:val="32"/>
          <w:szCs w:val="32"/>
          <w:lang w:val="en-US" w:eastAsia="zh-CN" w:bidi="ar"/>
        </w:rPr>
        <w:t>常年项目绩效分析。</w:t>
      </w:r>
      <w:r>
        <w:rPr>
          <w:rFonts w:hint="default" w:ascii="仿宋_GB2312" w:hAnsi="仿宋_GB2312" w:eastAsia="仿宋_GB2312" w:cs="仿宋_GB2312"/>
          <w:color w:val="000000"/>
          <w:kern w:val="0"/>
          <w:sz w:val="32"/>
          <w:szCs w:val="32"/>
          <w:lang w:val="zh-CN" w:eastAsia="zh-CN" w:bidi="ar"/>
        </w:rPr>
        <w:t>该类项目总数</w:t>
      </w:r>
      <w:r>
        <w:rPr>
          <w:rFonts w:hint="eastAsia" w:ascii="仿宋_GB2312" w:hAnsi="仿宋_GB2312" w:eastAsia="仿宋_GB2312" w:cs="仿宋_GB2312"/>
          <w:color w:val="000000"/>
          <w:kern w:val="0"/>
          <w:sz w:val="32"/>
          <w:szCs w:val="32"/>
          <w:lang w:val="en-US" w:eastAsia="zh-CN" w:bidi="ar"/>
        </w:rPr>
        <w:t>2</w:t>
      </w:r>
      <w:r>
        <w:rPr>
          <w:rFonts w:hint="default" w:ascii="仿宋_GB2312" w:hAnsi="仿宋_GB2312" w:eastAsia="仿宋_GB2312" w:cs="仿宋_GB2312"/>
          <w:color w:val="000000"/>
          <w:kern w:val="0"/>
          <w:sz w:val="32"/>
          <w:szCs w:val="32"/>
          <w:lang w:val="zh-CN" w:eastAsia="zh-CN" w:bidi="ar"/>
        </w:rPr>
        <w:t>个，涉及预算总金额</w:t>
      </w:r>
      <w:r>
        <w:rPr>
          <w:rFonts w:hint="eastAsia" w:ascii="仿宋_GB2312" w:hAnsi="仿宋_GB2312" w:eastAsia="仿宋_GB2312" w:cs="仿宋_GB2312"/>
          <w:color w:val="000000"/>
          <w:kern w:val="0"/>
          <w:sz w:val="32"/>
          <w:szCs w:val="32"/>
          <w:lang w:val="en-US" w:eastAsia="zh-CN" w:bidi="ar"/>
        </w:rPr>
        <w:t>0.94</w:t>
      </w:r>
      <w:r>
        <w:rPr>
          <w:rFonts w:hint="default" w:ascii="仿宋_GB2312" w:hAnsi="仿宋_GB2312" w:eastAsia="仿宋_GB2312" w:cs="仿宋_GB2312"/>
          <w:color w:val="000000"/>
          <w:kern w:val="0"/>
          <w:sz w:val="32"/>
          <w:szCs w:val="32"/>
          <w:lang w:val="zh-CN" w:eastAsia="zh-CN" w:bidi="ar"/>
        </w:rPr>
        <w:t>万元，1</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1</w:t>
      </w:r>
      <w:r>
        <w:rPr>
          <w:rFonts w:hint="default" w:ascii="仿宋_GB2312" w:hAnsi="仿宋_GB2312" w:eastAsia="仿宋_GB2312" w:cs="仿宋_GB2312"/>
          <w:color w:val="000000"/>
          <w:kern w:val="0"/>
          <w:sz w:val="32"/>
          <w:szCs w:val="32"/>
          <w:lang w:val="en-US" w:eastAsia="zh-CN" w:bidi="ar"/>
        </w:rPr>
        <w:t>2</w:t>
      </w:r>
      <w:r>
        <w:rPr>
          <w:rFonts w:hint="default" w:ascii="仿宋_GB2312" w:hAnsi="仿宋_GB2312" w:eastAsia="仿宋_GB2312" w:cs="仿宋_GB2312"/>
          <w:color w:val="000000"/>
          <w:kern w:val="0"/>
          <w:sz w:val="32"/>
          <w:szCs w:val="32"/>
          <w:lang w:val="zh-CN" w:eastAsia="zh-CN" w:bidi="ar"/>
        </w:rPr>
        <w:t>月预算执行总体进度为</w:t>
      </w:r>
      <w:r>
        <w:rPr>
          <w:rFonts w:hint="eastAsia" w:ascii="仿宋_GB2312" w:hAnsi="仿宋_GB2312" w:eastAsia="仿宋_GB2312" w:cs="仿宋_GB2312"/>
          <w:color w:val="000000"/>
          <w:kern w:val="0"/>
          <w:sz w:val="32"/>
          <w:szCs w:val="32"/>
          <w:lang w:val="en-US" w:eastAsia="zh-CN" w:bidi="ar"/>
        </w:rPr>
        <w:t>100</w:t>
      </w:r>
      <w:r>
        <w:rPr>
          <w:rFonts w:hint="default" w:ascii="仿宋_GB2312" w:hAnsi="仿宋_GB2312" w:eastAsia="仿宋_GB2312" w:cs="仿宋_GB2312"/>
          <w:color w:val="000000"/>
          <w:kern w:val="0"/>
          <w:sz w:val="32"/>
          <w:szCs w:val="32"/>
          <w:lang w:val="zh-CN" w:eastAsia="zh-CN" w:bidi="ar"/>
        </w:rPr>
        <w:t>%，其中：预算结余率大于</w:t>
      </w:r>
      <w:r>
        <w:rPr>
          <w:rFonts w:hint="default" w:ascii="仿宋_GB2312" w:hAnsi="仿宋_GB2312" w:eastAsia="仿宋_GB2312" w:cs="仿宋_GB2312"/>
          <w:color w:val="000000"/>
          <w:kern w:val="0"/>
          <w:sz w:val="32"/>
          <w:szCs w:val="32"/>
          <w:lang w:val="en-US" w:eastAsia="zh-CN" w:bidi="ar"/>
        </w:rPr>
        <w:t>10%</w:t>
      </w:r>
      <w:r>
        <w:rPr>
          <w:rFonts w:hint="default" w:ascii="仿宋_GB2312" w:hAnsi="仿宋_GB2312" w:eastAsia="仿宋_GB2312" w:cs="仿宋_GB2312"/>
          <w:color w:val="000000"/>
          <w:kern w:val="0"/>
          <w:sz w:val="32"/>
          <w:szCs w:val="32"/>
          <w:lang w:val="zh-CN" w:eastAsia="zh-CN" w:bidi="ar"/>
        </w:rPr>
        <w:t>的项目共计</w:t>
      </w:r>
      <w:r>
        <w:rPr>
          <w:rFonts w:hint="eastAsia" w:ascii="仿宋_GB2312" w:hAnsi="仿宋_GB2312" w:eastAsia="仿宋_GB2312" w:cs="仿宋_GB2312"/>
          <w:color w:val="000000"/>
          <w:kern w:val="0"/>
          <w:sz w:val="32"/>
          <w:szCs w:val="32"/>
          <w:lang w:val="en-US" w:eastAsia="zh-CN" w:bidi="ar"/>
        </w:rPr>
        <w:t>0</w:t>
      </w:r>
      <w:r>
        <w:rPr>
          <w:rFonts w:hint="default" w:ascii="仿宋_GB2312" w:hAnsi="仿宋_GB2312" w:eastAsia="仿宋_GB2312" w:cs="仿宋_GB2312"/>
          <w:color w:val="000000"/>
          <w:kern w:val="0"/>
          <w:sz w:val="32"/>
          <w:szCs w:val="32"/>
          <w:lang w:val="zh-CN" w:eastAsia="zh-CN" w:bidi="ar"/>
        </w:rPr>
        <w:t>个。</w:t>
      </w:r>
    </w:p>
    <w:p w14:paraId="7839A0A3">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0"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仿宋_GB2312" w:hAnsi="仿宋_GB2312" w:eastAsia="仿宋_GB2312" w:cs="仿宋_GB2312"/>
          <w:color w:val="000000"/>
          <w:kern w:val="0"/>
          <w:sz w:val="32"/>
          <w:szCs w:val="32"/>
          <w:lang w:val="en-US" w:eastAsia="zh-CN" w:bidi="ar"/>
        </w:rPr>
        <w:t>阶段</w:t>
      </w:r>
      <w:r>
        <w:rPr>
          <w:rFonts w:hint="eastAsia" w:ascii="仿宋_GB2312" w:hAnsi="仿宋_GB2312" w:eastAsia="仿宋_GB2312" w:cs="仿宋_GB2312"/>
          <w:color w:val="000000"/>
          <w:kern w:val="0"/>
          <w:sz w:val="32"/>
          <w:szCs w:val="32"/>
          <w:lang w:val="en-US" w:eastAsia="zh-CN" w:bidi="ar"/>
        </w:rPr>
        <w:t>（</w:t>
      </w:r>
      <w:r>
        <w:rPr>
          <w:rFonts w:hint="default" w:ascii="仿宋_GB2312" w:hAnsi="仿宋_GB2312" w:eastAsia="仿宋_GB2312" w:cs="仿宋_GB2312"/>
          <w:color w:val="000000"/>
          <w:kern w:val="0"/>
          <w:sz w:val="32"/>
          <w:szCs w:val="32"/>
          <w:lang w:val="en-US" w:eastAsia="zh-CN" w:bidi="ar"/>
        </w:rPr>
        <w:t>一次性</w:t>
      </w:r>
      <w:r>
        <w:rPr>
          <w:rFonts w:hint="eastAsia" w:ascii="仿宋_GB2312" w:hAnsi="仿宋_GB2312" w:eastAsia="仿宋_GB2312" w:cs="仿宋_GB2312"/>
          <w:color w:val="000000"/>
          <w:kern w:val="0"/>
          <w:sz w:val="32"/>
          <w:szCs w:val="32"/>
          <w:lang w:val="en-US" w:eastAsia="zh-CN" w:bidi="ar"/>
        </w:rPr>
        <w:t>）</w:t>
      </w:r>
      <w:r>
        <w:rPr>
          <w:rFonts w:hint="default" w:ascii="仿宋_GB2312" w:hAnsi="仿宋_GB2312" w:eastAsia="仿宋_GB2312" w:cs="仿宋_GB2312"/>
          <w:color w:val="000000"/>
          <w:kern w:val="0"/>
          <w:sz w:val="32"/>
          <w:szCs w:val="32"/>
          <w:lang w:val="en-US" w:eastAsia="zh-CN" w:bidi="ar"/>
        </w:rPr>
        <w:t>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eastAsia="仿宋_GB2312" w:cs="仿宋_GB2312"/>
          <w:color w:val="auto"/>
          <w:kern w:val="2"/>
          <w:sz w:val="32"/>
          <w:szCs w:val="32"/>
          <w:highlight w:val="none"/>
          <w:lang w:val="en-US" w:eastAsia="zh-CN" w:bidi="ar-SA"/>
        </w:rPr>
        <w:t>0</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eastAsia" w:eastAsia="仿宋_GB2312" w:cs="仿宋_GB2312"/>
          <w:color w:val="auto"/>
          <w:kern w:val="2"/>
          <w:sz w:val="32"/>
          <w:szCs w:val="32"/>
          <w:highlight w:val="none"/>
          <w:lang w:val="en-US" w:eastAsia="zh-CN" w:bidi="ar-SA"/>
        </w:rPr>
        <w:t>0</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eastAsia="仿宋_GB2312" w:cs="仿宋_GB2312"/>
          <w:color w:val="auto"/>
          <w:kern w:val="2"/>
          <w:sz w:val="32"/>
          <w:szCs w:val="32"/>
          <w:highlight w:val="none"/>
          <w:lang w:val="en-US" w:eastAsia="zh-CN" w:bidi="ar-SA"/>
        </w:rPr>
        <w:t>0</w:t>
      </w:r>
      <w:r>
        <w:rPr>
          <w:rFonts w:hint="default" w:ascii="Times New Roman" w:hAnsi="Times New Roman" w:eastAsia="仿宋_GB2312" w:cs="仿宋_GB2312"/>
          <w:color w:val="auto"/>
          <w:kern w:val="2"/>
          <w:sz w:val="32"/>
          <w:szCs w:val="32"/>
          <w:highlight w:val="none"/>
          <w:lang w:val="zh-CN" w:eastAsia="zh-CN" w:bidi="ar-SA"/>
        </w:rPr>
        <w:t>%，其中：预算结余率大于</w:t>
      </w:r>
      <w:r>
        <w:rPr>
          <w:rFonts w:hint="default" w:ascii="Times New Roman" w:hAnsi="Times New Roman" w:eastAsia="仿宋_GB2312" w:cs="仿宋_GB2312"/>
          <w:color w:val="auto"/>
          <w:kern w:val="2"/>
          <w:sz w:val="32"/>
          <w:szCs w:val="32"/>
          <w:highlight w:val="none"/>
          <w:lang w:val="en-US" w:eastAsia="zh-CN" w:bidi="ar-SA"/>
        </w:rPr>
        <w:t>10%</w:t>
      </w:r>
      <w:r>
        <w:rPr>
          <w:rFonts w:hint="default" w:ascii="Times New Roman" w:hAnsi="Times New Roman" w:eastAsia="仿宋_GB2312" w:cs="仿宋_GB2312"/>
          <w:color w:val="auto"/>
          <w:kern w:val="2"/>
          <w:sz w:val="32"/>
          <w:szCs w:val="32"/>
          <w:highlight w:val="none"/>
          <w:lang w:val="zh-CN" w:eastAsia="zh-CN" w:bidi="ar-SA"/>
        </w:rPr>
        <w:t>的项目共计</w:t>
      </w:r>
      <w:r>
        <w:rPr>
          <w:rFonts w:hint="eastAsia" w:eastAsia="仿宋_GB2312" w:cs="仿宋_GB2312"/>
          <w:color w:val="auto"/>
          <w:kern w:val="2"/>
          <w:sz w:val="32"/>
          <w:szCs w:val="32"/>
          <w:highlight w:val="none"/>
          <w:lang w:val="en-US" w:eastAsia="zh-CN" w:bidi="ar-SA"/>
        </w:rPr>
        <w:t>0</w:t>
      </w:r>
      <w:r>
        <w:rPr>
          <w:rFonts w:hint="default" w:ascii="Times New Roman" w:hAnsi="Times New Roman" w:eastAsia="仿宋_GB2312" w:cs="仿宋_GB2312"/>
          <w:color w:val="auto"/>
          <w:kern w:val="2"/>
          <w:sz w:val="32"/>
          <w:szCs w:val="32"/>
          <w:highlight w:val="none"/>
          <w:lang w:val="zh-CN" w:eastAsia="zh-CN" w:bidi="ar-SA"/>
        </w:rPr>
        <w:t>个。</w:t>
      </w:r>
    </w:p>
    <w:p w14:paraId="05838125">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b/>
          <w:bCs/>
          <w:color w:val="auto"/>
          <w:kern w:val="2"/>
          <w:sz w:val="32"/>
          <w:szCs w:val="32"/>
          <w:highlight w:val="none"/>
          <w:lang w:val="en-US" w:eastAsia="zh-CN" w:bidi="ar-SA"/>
        </w:rPr>
        <w:t>1.</w:t>
      </w:r>
      <w:r>
        <w:rPr>
          <w:rFonts w:hint="eastAsia" w:ascii="Times New Roman" w:hAnsi="Times New Roman" w:eastAsia="仿宋_GB2312" w:cs="仿宋_GB2312"/>
          <w:b/>
          <w:bCs/>
          <w:color w:val="auto"/>
          <w:kern w:val="2"/>
          <w:sz w:val="32"/>
          <w:szCs w:val="32"/>
          <w:highlight w:val="none"/>
          <w:lang w:val="zh-CN" w:eastAsia="zh-CN" w:bidi="ar-SA"/>
        </w:rPr>
        <w:t>项目决策。</w:t>
      </w:r>
      <w:r>
        <w:rPr>
          <w:rFonts w:hint="eastAsia" w:ascii="Times New Roman" w:hAnsi="Times New Roman" w:eastAsia="仿宋_GB2312" w:cs="仿宋_GB2312"/>
          <w:color w:val="auto"/>
          <w:kern w:val="2"/>
          <w:sz w:val="32"/>
          <w:szCs w:val="32"/>
          <w:highlight w:val="none"/>
          <w:lang w:val="zh-CN" w:eastAsia="zh-CN" w:bidi="ar-SA"/>
        </w:rPr>
        <w:t>围绕决策程序、目标设置、项目入库</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14:paraId="6FA64C8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b/>
          <w:bCs/>
          <w:color w:val="auto"/>
          <w:kern w:val="2"/>
          <w:sz w:val="32"/>
          <w:szCs w:val="32"/>
          <w:highlight w:val="none"/>
          <w:lang w:val="en-US" w:eastAsia="zh-CN" w:bidi="ar-SA"/>
        </w:rPr>
        <w:t>2.项目执行</w:t>
      </w:r>
      <w:r>
        <w:rPr>
          <w:rFonts w:hint="eastAsia" w:ascii="Times New Roman" w:hAnsi="Times New Roman" w:eastAsia="仿宋_GB2312" w:cs="仿宋_GB2312"/>
          <w:b/>
          <w:bCs/>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zh-CN" w:eastAsia="zh-CN" w:bidi="ar-SA"/>
        </w:rPr>
        <w:t>围绕资金执行同向、项目调整、执行结果</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14:paraId="7DFD9597">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Times New Roman" w:hAnsi="Times New Roman" w:eastAsia="仿宋_GB2312" w:cs="仿宋_GB2312"/>
          <w:b/>
          <w:bCs/>
          <w:color w:val="auto"/>
          <w:kern w:val="2"/>
          <w:sz w:val="32"/>
          <w:szCs w:val="32"/>
          <w:highlight w:val="none"/>
          <w:lang w:val="en-US" w:eastAsia="zh-CN" w:bidi="ar-SA"/>
        </w:rPr>
        <w:t>3.</w:t>
      </w:r>
      <w:r>
        <w:rPr>
          <w:rFonts w:hint="eastAsia" w:ascii="Times New Roman" w:hAnsi="Times New Roman" w:eastAsia="仿宋_GB2312" w:cs="仿宋_GB2312"/>
          <w:b/>
          <w:bCs/>
          <w:color w:val="auto"/>
          <w:kern w:val="2"/>
          <w:sz w:val="32"/>
          <w:szCs w:val="32"/>
          <w:highlight w:val="none"/>
          <w:lang w:val="zh-CN" w:eastAsia="zh-CN" w:bidi="ar-SA"/>
        </w:rPr>
        <w:t>目标实现。</w:t>
      </w:r>
      <w:r>
        <w:rPr>
          <w:rFonts w:hint="eastAsia" w:ascii="仿宋_GB2312" w:hAnsi="仿宋_GB2312" w:eastAsia="仿宋_GB2312" w:cs="仿宋_GB2312"/>
          <w:color w:val="000000"/>
          <w:kern w:val="0"/>
          <w:sz w:val="32"/>
          <w:szCs w:val="32"/>
          <w:lang w:val="zh-CN" w:eastAsia="zh-CN" w:bidi="ar"/>
        </w:rPr>
        <w:t>围绕目标完成、目标偏离、实现效果</w:t>
      </w:r>
      <w:r>
        <w:rPr>
          <w:rFonts w:hint="default" w:ascii="仿宋_GB2312" w:hAnsi="仿宋_GB2312" w:eastAsia="仿宋_GB2312" w:cs="仿宋_GB2312"/>
          <w:color w:val="000000"/>
          <w:kern w:val="0"/>
          <w:sz w:val="32"/>
          <w:szCs w:val="32"/>
          <w:lang w:val="zh-CN" w:eastAsia="zh-CN" w:bidi="ar"/>
        </w:rPr>
        <w:t>进行绩效分析</w:t>
      </w:r>
      <w:r>
        <w:rPr>
          <w:rFonts w:hint="eastAsia" w:ascii="仿宋_GB2312" w:hAnsi="仿宋_GB2312" w:eastAsia="仿宋_GB2312" w:cs="仿宋_GB2312"/>
          <w:color w:val="000000"/>
          <w:kern w:val="0"/>
          <w:sz w:val="32"/>
          <w:szCs w:val="32"/>
          <w:lang w:val="zh-CN" w:eastAsia="zh-CN" w:bidi="ar"/>
        </w:rPr>
        <w:t>。</w:t>
      </w:r>
    </w:p>
    <w:p w14:paraId="4047DB70">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0" w:firstLineChars="200"/>
        <w:contextualSpacing/>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省级部门对2024年度一般公共预算、政府性基金预算、国有资本经营预算安排的常年项目、阶段项目绩效目标完成情况，以及债券资金、政府购买服务有关情况进行梳理阐述</w:t>
      </w:r>
      <w:r>
        <w:rPr>
          <w:rFonts w:hint="eastAsia" w:ascii="仿宋_GB2312" w:hAnsi="仿宋_GB2312" w:eastAsia="仿宋_GB2312" w:cs="仿宋_GB2312"/>
          <w:color w:val="000000"/>
          <w:kern w:val="0"/>
          <w:sz w:val="32"/>
          <w:szCs w:val="32"/>
          <w:lang w:val="en-US" w:eastAsia="zh-CN" w:bidi="ar"/>
        </w:rPr>
        <w:t>。</w:t>
      </w:r>
    </w:p>
    <w:p w14:paraId="4EC6155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Fonts w:hint="default" w:ascii="Times New Roman" w:hAnsi="Times New Roman" w:eastAsia="仿宋_GB2312" w:cs="Times New Roman"/>
          <w:sz w:val="32"/>
          <w:szCs w:val="32"/>
          <w:highlight w:val="none"/>
          <w:u w:val="none"/>
          <w:lang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仿宋_GB2312" w:cs="Times New Roman"/>
          <w:sz w:val="32"/>
          <w:szCs w:val="32"/>
          <w:highlight w:val="none"/>
          <w:u w:val="none"/>
          <w:lang w:val="zh-CN" w:eastAsia="zh-CN" w:bidi="ar"/>
        </w:rPr>
        <w:t>围绕内部应用情况、</w:t>
      </w:r>
      <w:r>
        <w:rPr>
          <w:rFonts w:hint="default" w:ascii="Times New Roman" w:hAnsi="Times New Roman" w:eastAsia="仿宋_GB2312" w:cs="Times New Roman"/>
          <w:sz w:val="32"/>
          <w:szCs w:val="32"/>
          <w:highlight w:val="none"/>
          <w:u w:val="none"/>
          <w:lang w:val="zh-CN" w:eastAsia="zh-CN" w:bidi="ar"/>
        </w:rPr>
        <w:t>信息公开情况</w:t>
      </w:r>
      <w:r>
        <w:rPr>
          <w:rFonts w:hint="eastAsia" w:ascii="Times New Roman" w:hAnsi="Times New Roman" w:eastAsia="仿宋_GB2312" w:cs="Times New Roman"/>
          <w:sz w:val="32"/>
          <w:szCs w:val="32"/>
          <w:highlight w:val="none"/>
          <w:u w:val="none"/>
          <w:lang w:val="zh-CN" w:eastAsia="zh-CN" w:bidi="ar"/>
        </w:rPr>
        <w:t>、</w:t>
      </w:r>
      <w:r>
        <w:rPr>
          <w:rFonts w:hint="default" w:ascii="Times New Roman" w:hAnsi="Times New Roman" w:eastAsia="仿宋_GB2312" w:cs="Times New Roman"/>
          <w:sz w:val="32"/>
          <w:szCs w:val="32"/>
          <w:highlight w:val="none"/>
          <w:u w:val="none"/>
          <w:lang w:val="zh-CN" w:eastAsia="zh-CN" w:bidi="ar"/>
        </w:rPr>
        <w:t>整改反馈情况</w:t>
      </w:r>
      <w:r>
        <w:rPr>
          <w:rFonts w:hint="eastAsia" w:ascii="Times New Roman" w:hAnsi="Times New Roman" w:eastAsia="仿宋_GB2312" w:cs="Times New Roman"/>
          <w:sz w:val="32"/>
          <w:szCs w:val="32"/>
          <w:highlight w:val="none"/>
          <w:u w:val="none"/>
          <w:lang w:val="zh-CN" w:eastAsia="zh-CN" w:bidi="ar"/>
        </w:rPr>
        <w:t>进行分析。</w:t>
      </w:r>
    </w:p>
    <w:p w14:paraId="30A4BBB8">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textAlignment w:val="auto"/>
        <w:rPr>
          <w:rFonts w:hint="default" w:ascii="Times New Roman" w:hAnsi="Times New Roman" w:eastAsia="黑体"/>
          <w:b/>
          <w:bCs w:val="0"/>
          <w:color w:val="auto"/>
          <w:highlight w:val="none"/>
          <w:lang w:val="zh-CN"/>
        </w:rPr>
      </w:pPr>
      <w:r>
        <w:rPr>
          <w:rFonts w:hint="default" w:ascii="Times New Roman" w:hAnsi="Times New Roman" w:eastAsia="黑体"/>
          <w:b/>
          <w:bCs w:val="0"/>
          <w:color w:val="auto"/>
          <w:highlight w:val="none"/>
          <w:lang w:val="zh-CN" w:eastAsia="zh-CN"/>
        </w:rPr>
        <w:t>四、</w:t>
      </w:r>
      <w:r>
        <w:rPr>
          <w:rFonts w:hint="default" w:ascii="Times New Roman" w:hAnsi="Times New Roman" w:eastAsia="黑体"/>
          <w:b/>
          <w:bCs w:val="0"/>
          <w:color w:val="auto"/>
          <w:highlight w:val="none"/>
          <w:lang w:val="zh-CN"/>
        </w:rPr>
        <w:t>评价结论及建议</w:t>
      </w:r>
    </w:p>
    <w:p w14:paraId="39D5362F">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left="0" w:leftChars="0" w:right="0" w:rightChars="0" w:firstLine="643"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en-US" w:eastAsia="zh-CN" w:bidi="ar-SA"/>
        </w:rPr>
      </w:pPr>
      <w:bookmarkStart w:id="53" w:name="_Hlk110546638"/>
      <w:r>
        <w:rPr>
          <w:rFonts w:hint="eastAsia" w:ascii="Times New Roman" w:hAnsi="Times New Roman" w:eastAsia="楷体_GB2312" w:cs="Times New Roman"/>
          <w:b/>
          <w:bCs/>
          <w:color w:val="000000"/>
          <w:kern w:val="0"/>
          <w:sz w:val="32"/>
          <w:szCs w:val="32"/>
          <w:highlight w:val="none"/>
          <w:shd w:val="clear" w:color="auto" w:fill="FFFFFF"/>
          <w:lang w:val="en-US" w:eastAsia="zh-CN" w:bidi="ar-SA"/>
        </w:rPr>
        <w:t>（一）评价结论。</w:t>
      </w:r>
    </w:p>
    <w:p w14:paraId="07313F72">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left="0" w:leftChars="0" w:right="0" w:rightChars="0"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2024年部门预算编制基础数据真实可靠，按照年度</w:t>
      </w:r>
      <w:r>
        <w:rPr>
          <w:rFonts w:hint="eastAsia" w:ascii="仿宋_GB2312" w:hAnsi="仿宋_GB2312" w:eastAsia="仿宋_GB2312" w:cs="仿宋_GB2312"/>
          <w:color w:val="000000"/>
          <w:kern w:val="0"/>
          <w:sz w:val="32"/>
          <w:szCs w:val="32"/>
          <w:lang w:val="en-US" w:eastAsia="zh-CN" w:bidi="ar"/>
        </w:rPr>
        <w:fldChar w:fldCharType="begin"/>
      </w:r>
      <w:r>
        <w:rPr>
          <w:rFonts w:hint="eastAsia" w:ascii="仿宋_GB2312" w:hAnsi="仿宋_GB2312" w:eastAsia="仿宋_GB2312" w:cs="仿宋_GB2312"/>
          <w:color w:val="000000"/>
          <w:kern w:val="0"/>
          <w:sz w:val="32"/>
          <w:szCs w:val="32"/>
          <w:lang w:val="en-US" w:eastAsia="zh-CN" w:bidi="ar"/>
        </w:rPr>
        <w:instrText xml:space="preserve"> HYPERLINK "http://www.91wenmi.com/wenmi/zongjie/gongzuojihua/" \t "_blank" </w:instrText>
      </w:r>
      <w:r>
        <w:rPr>
          <w:rFonts w:hint="eastAsia" w:ascii="仿宋_GB2312" w:hAnsi="仿宋_GB2312" w:eastAsia="仿宋_GB2312" w:cs="仿宋_GB2312"/>
          <w:color w:val="000000"/>
          <w:kern w:val="0"/>
          <w:sz w:val="32"/>
          <w:szCs w:val="32"/>
          <w:lang w:val="en-US" w:eastAsia="zh-CN" w:bidi="ar"/>
        </w:rPr>
        <w:fldChar w:fldCharType="separate"/>
      </w:r>
      <w:r>
        <w:rPr>
          <w:rFonts w:hint="eastAsia" w:ascii="仿宋_GB2312" w:hAnsi="仿宋_GB2312" w:eastAsia="仿宋_GB2312" w:cs="仿宋_GB2312"/>
          <w:color w:val="000000"/>
          <w:kern w:val="0"/>
          <w:sz w:val="32"/>
          <w:szCs w:val="32"/>
          <w:lang w:val="en-US" w:eastAsia="zh-CN" w:bidi="ar"/>
        </w:rPr>
        <w:t>工作计划</w:t>
      </w:r>
      <w:r>
        <w:rPr>
          <w:rFonts w:hint="eastAsia" w:ascii="仿宋_GB2312" w:hAnsi="仿宋_GB2312" w:eastAsia="仿宋_GB2312" w:cs="仿宋_GB2312"/>
          <w:color w:val="000000"/>
          <w:kern w:val="0"/>
          <w:sz w:val="32"/>
          <w:szCs w:val="32"/>
          <w:lang w:val="en-US" w:eastAsia="zh-CN" w:bidi="ar"/>
        </w:rPr>
        <w:fldChar w:fldCharType="end"/>
      </w:r>
      <w:r>
        <w:rPr>
          <w:rFonts w:hint="eastAsia" w:ascii="仿宋_GB2312" w:hAnsi="仿宋_GB2312" w:eastAsia="仿宋_GB2312" w:cs="仿宋_GB2312"/>
          <w:color w:val="000000"/>
          <w:kern w:val="0"/>
          <w:sz w:val="32"/>
          <w:szCs w:val="32"/>
          <w:lang w:val="en-US" w:eastAsia="zh-CN" w:bidi="ar"/>
        </w:rPr>
        <w:t>和支出标准合理编制预算方案，预算数据按要求及时报送。基本支出按时间进度支付，达到执行进度，年终无结余。严格执行“三公经费”预算，严格审批，无超预算、无预算执行的情况。</w:t>
      </w:r>
    </w:p>
    <w:p w14:paraId="08C36963">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left="0" w:leftChars="0" w:right="0" w:rightChars="0" w:firstLine="643"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en-US" w:eastAsia="zh-CN" w:bidi="ar-SA"/>
        </w:rPr>
      </w:pPr>
      <w:r>
        <w:rPr>
          <w:rFonts w:hint="eastAsia" w:ascii="Times New Roman" w:hAnsi="Times New Roman" w:eastAsia="楷体_GB2312" w:cs="Times New Roman"/>
          <w:b/>
          <w:bCs/>
          <w:color w:val="000000"/>
          <w:kern w:val="0"/>
          <w:sz w:val="32"/>
          <w:szCs w:val="32"/>
          <w:highlight w:val="none"/>
          <w:shd w:val="clear" w:color="auto" w:fill="FFFFFF"/>
          <w:lang w:val="en-US" w:eastAsia="zh-CN" w:bidi="ar-SA"/>
        </w:rPr>
        <w:t>（二）存在问题。</w:t>
      </w:r>
    </w:p>
    <w:p w14:paraId="3E33E42D">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left="0" w:leftChars="0" w:right="0" w:rightChars="0" w:firstLine="640" w:firstLineChars="200"/>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专项资金执行进度有待进一步加快，固定资产管理继续加强中。账务处理有待于提高。</w:t>
      </w:r>
    </w:p>
    <w:p w14:paraId="005E4F85">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left="0" w:leftChars="0" w:right="0" w:rightChars="0" w:firstLine="643"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en-US" w:eastAsia="zh-CN" w:bidi="ar-SA"/>
        </w:rPr>
      </w:pPr>
      <w:r>
        <w:rPr>
          <w:rFonts w:hint="eastAsia" w:ascii="Times New Roman" w:hAnsi="Times New Roman" w:eastAsia="楷体_GB2312" w:cs="Times New Roman"/>
          <w:b/>
          <w:bCs/>
          <w:color w:val="000000"/>
          <w:kern w:val="0"/>
          <w:sz w:val="32"/>
          <w:szCs w:val="32"/>
          <w:highlight w:val="none"/>
          <w:shd w:val="clear" w:color="auto" w:fill="FFFFFF"/>
          <w:lang w:val="en-US" w:eastAsia="zh-CN" w:bidi="ar-SA"/>
        </w:rPr>
        <w:t>（三）改进建议。</w:t>
      </w:r>
    </w:p>
    <w:p w14:paraId="5C9E912A">
      <w:pPr>
        <w:pStyle w:val="2"/>
        <w:keepNext w:val="0"/>
        <w:keepLines w:val="0"/>
        <w:pageBreakBefore w:val="0"/>
        <w:numPr>
          <w:ilvl w:val="0"/>
          <w:numId w:val="0"/>
        </w:numPr>
        <w:kinsoku/>
        <w:wordWrap/>
        <w:overflowPunct/>
        <w:topLinePunct w:val="0"/>
        <w:autoSpaceDE/>
        <w:autoSpaceDN/>
        <w:bidi w:val="0"/>
        <w:adjustRightInd w:val="0"/>
        <w:snapToGrid w:val="0"/>
        <w:spacing w:beforeAutospacing="0" w:after="0" w:afterAutospacing="0" w:line="576" w:lineRule="exact"/>
        <w:ind w:left="0" w:leftChars="0" w:firstLine="640" w:firstLineChars="200"/>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深入学习贯彻《预算法》等相关法律、法规，进一步增强预算意识，始终坚持先有预算、后有支出，没有预算不得支出的原则。科学合理编制部门预算，推进预算编制科学化、准确化。年度预算编制后，根据实际情况，定期做好预算执行分析，适时掌握预算执行进度，及时找出预算实际执行情况与预算目标之间存在的差距，进一步加快预算执行。加强与业务部门工作对接，做好提前准备工作，资金下达后及时开展项目工作，加快执行进度，充分发挥项目资金效益。</w:t>
      </w:r>
      <w:bookmarkEnd w:id="53"/>
    </w:p>
    <w:p w14:paraId="695D5887">
      <w:pPr>
        <w:pStyle w:val="2"/>
        <w:keepNext w:val="0"/>
        <w:keepLines w:val="0"/>
        <w:pageBreakBefore w:val="0"/>
        <w:numPr>
          <w:ilvl w:val="0"/>
          <w:numId w:val="0"/>
        </w:numPr>
        <w:kinsoku/>
        <w:wordWrap/>
        <w:overflowPunct/>
        <w:topLinePunct w:val="0"/>
        <w:autoSpaceDE/>
        <w:autoSpaceDN/>
        <w:bidi w:val="0"/>
        <w:adjustRightInd w:val="0"/>
        <w:snapToGrid w:val="0"/>
        <w:spacing w:beforeAutospacing="0" w:after="0" w:afterAutospacing="0" w:line="576" w:lineRule="exact"/>
        <w:ind w:left="0" w:leftChars="0" w:firstLine="640" w:firstLineChars="200"/>
        <w:textAlignment w:val="auto"/>
        <w:rPr>
          <w:rFonts w:hint="eastAsia" w:ascii="仿宋" w:hAnsi="仿宋" w:eastAsia="仿宋" w:cs="仿宋"/>
          <w:color w:val="000000"/>
          <w:kern w:val="2"/>
          <w:sz w:val="32"/>
          <w:szCs w:val="32"/>
          <w:lang w:val="zh-CN" w:eastAsia="zh-CN" w:bidi="ar-SA"/>
        </w:rPr>
      </w:pPr>
    </w:p>
    <w:p w14:paraId="2CC5738B">
      <w:pPr>
        <w:pStyle w:val="2"/>
        <w:keepNext w:val="0"/>
        <w:keepLines w:val="0"/>
        <w:pageBreakBefore w:val="0"/>
        <w:numPr>
          <w:ilvl w:val="0"/>
          <w:numId w:val="0"/>
        </w:numPr>
        <w:kinsoku/>
        <w:wordWrap/>
        <w:overflowPunct/>
        <w:topLinePunct w:val="0"/>
        <w:autoSpaceDE/>
        <w:autoSpaceDN/>
        <w:bidi w:val="0"/>
        <w:adjustRightInd w:val="0"/>
        <w:snapToGrid w:val="0"/>
        <w:spacing w:beforeAutospacing="0" w:after="0" w:afterAutospacing="0" w:line="576" w:lineRule="exact"/>
        <w:ind w:left="0" w:leftChars="0" w:firstLine="640" w:firstLineChars="200"/>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14:paraId="5725B5BF">
      <w:pPr>
        <w:pStyle w:val="2"/>
        <w:keepNext w:val="0"/>
        <w:keepLines w:val="0"/>
        <w:pageBreakBefore w:val="0"/>
        <w:numPr>
          <w:ilvl w:val="0"/>
          <w:numId w:val="0"/>
        </w:numPr>
        <w:kinsoku/>
        <w:wordWrap/>
        <w:overflowPunct/>
        <w:topLinePunct w:val="0"/>
        <w:autoSpaceDE/>
        <w:autoSpaceDN/>
        <w:bidi w:val="0"/>
        <w:adjustRightInd w:val="0"/>
        <w:snapToGrid w:val="0"/>
        <w:spacing w:beforeAutospacing="0" w:after="0" w:afterAutospacing="0" w:line="576"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（注：按照绩效自评工作安排，各部门已在预算管理一体化系统绩效自评模块上传“部门预算项目支出绩效自评表（2024年度）”，该表格应作为附表予以公开）</w:t>
      </w:r>
    </w:p>
    <w:p w14:paraId="12411693">
      <w:pPr>
        <w:pStyle w:val="2"/>
        <w:keepNext w:val="0"/>
        <w:keepLines w:val="0"/>
        <w:pageBreakBefore w:val="0"/>
        <w:numPr>
          <w:ilvl w:val="0"/>
          <w:numId w:val="0"/>
        </w:numPr>
        <w:kinsoku/>
        <w:wordWrap/>
        <w:overflowPunct/>
        <w:topLinePunct w:val="0"/>
        <w:autoSpaceDE/>
        <w:autoSpaceDN/>
        <w:bidi w:val="0"/>
        <w:adjustRightInd w:val="0"/>
        <w:snapToGrid w:val="0"/>
        <w:spacing w:beforeAutospacing="0" w:after="0" w:afterAutospacing="0" w:line="576" w:lineRule="exact"/>
        <w:ind w:left="0" w:leftChars="0"/>
        <w:textAlignment w:val="auto"/>
        <w:rPr>
          <w:rFonts w:hint="eastAsia" w:ascii="Times New Roman" w:hAnsi="Times New Roman" w:cs="Times New Roman"/>
          <w:sz w:val="32"/>
          <w:szCs w:val="32"/>
          <w:highlight w:val="yellow"/>
          <w:lang w:val="zh-CN" w:eastAsia="zh-CN"/>
        </w:rPr>
      </w:pPr>
    </w:p>
    <w:p w14:paraId="287FA667">
      <w:pPr>
        <w:pStyle w:val="8"/>
        <w:pageBreakBefore w:val="0"/>
        <w:kinsoku/>
        <w:wordWrap/>
        <w:overflowPunct/>
        <w:topLinePunct w:val="0"/>
        <w:autoSpaceDE/>
        <w:autoSpaceDN/>
        <w:bidi w:val="0"/>
        <w:adjustRightInd w:val="0"/>
        <w:snapToGrid w:val="0"/>
        <w:spacing w:beforeLines="0" w:beforeAutospacing="0" w:afterAutospacing="0" w:line="576" w:lineRule="exact"/>
        <w:ind w:left="0" w:leftChars="0"/>
        <w:rPr>
          <w:rFonts w:hint="eastAsia" w:ascii="Times New Roman" w:hAnsi="Times New Roman" w:cs="宋体"/>
          <w:color w:val="FF0000"/>
          <w:kern w:val="0"/>
          <w:sz w:val="32"/>
          <w:szCs w:val="32"/>
          <w:highlight w:val="yellow"/>
          <w:shd w:val="clear" w:color="auto" w:fill="FFFFFF"/>
          <w:lang w:val="zh-CN"/>
        </w:rPr>
      </w:pPr>
    </w:p>
    <w:p w14:paraId="2360D916">
      <w:pPr>
        <w:pageBreakBefore w:val="0"/>
        <w:kinsoku/>
        <w:wordWrap/>
        <w:overflowPunct/>
        <w:topLinePunct w:val="0"/>
        <w:autoSpaceDE/>
        <w:autoSpaceDN/>
        <w:bidi w:val="0"/>
        <w:adjustRightInd w:val="0"/>
        <w:snapToGrid w:val="0"/>
        <w:spacing w:beforeAutospacing="0" w:afterAutospacing="0" w:line="576" w:lineRule="exact"/>
        <w:ind w:left="0" w:leftChars="0"/>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269BDF93">
      <w:pPr>
        <w:pStyle w:val="8"/>
        <w:pageBreakBefore w:val="0"/>
        <w:kinsoku/>
        <w:wordWrap/>
        <w:overflowPunct/>
        <w:topLinePunct w:val="0"/>
        <w:autoSpaceDE/>
        <w:autoSpaceDN/>
        <w:bidi w:val="0"/>
        <w:adjustRightInd w:val="0"/>
        <w:snapToGrid w:val="0"/>
        <w:spacing w:beforeLines="0" w:beforeAutospacing="0" w:afterAutospacing="0" w:line="576" w:lineRule="exact"/>
        <w:ind w:left="0" w:leftChars="0"/>
        <w:rPr>
          <w:rFonts w:hint="eastAsia" w:ascii="Times New Roman" w:hAnsi="Times New Roman" w:eastAsia="黑体" w:cs="黑体"/>
          <w:color w:val="auto"/>
          <w:kern w:val="0"/>
          <w:sz w:val="32"/>
          <w:szCs w:val="32"/>
          <w:highlight w:val="none"/>
          <w:shd w:val="clear" w:color="auto" w:fill="FFFFFF"/>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29FFFCF1">
      <w:pPr>
        <w:pStyle w:val="8"/>
        <w:pageBreakBefore w:val="0"/>
        <w:kinsoku/>
        <w:wordWrap/>
        <w:overflowPunct/>
        <w:topLinePunct w:val="0"/>
        <w:autoSpaceDE/>
        <w:autoSpaceDN/>
        <w:bidi w:val="0"/>
        <w:adjustRightInd w:val="0"/>
        <w:snapToGrid w:val="0"/>
        <w:spacing w:beforeLines="0" w:beforeAutospacing="0" w:afterAutospacing="0" w:line="576" w:lineRule="exact"/>
        <w:ind w:left="0" w:leftChars="0"/>
        <w:rPr>
          <w:rFonts w:hint="eastAsia" w:ascii="Times New Roman" w:hAnsi="Times New Roman" w:eastAsia="黑体" w:cs="黑体"/>
          <w:color w:val="auto"/>
          <w:kern w:val="0"/>
          <w:sz w:val="32"/>
          <w:szCs w:val="32"/>
          <w:highlight w:val="none"/>
          <w:shd w:val="clear" w:color="auto" w:fill="FFFFFF"/>
          <w:lang w:val="en-US" w:eastAsia="zh-CN"/>
        </w:rPr>
      </w:pPr>
    </w:p>
    <w:p w14:paraId="36A64072">
      <w:pPr>
        <w:pageBreakBefore w:val="0"/>
        <w:widowControl/>
        <w:kinsoku/>
        <w:wordWrap/>
        <w:overflowPunct/>
        <w:topLinePunct w:val="0"/>
        <w:autoSpaceDE/>
        <w:autoSpaceDN/>
        <w:bidi w:val="0"/>
        <w:adjustRightInd w:val="0"/>
        <w:snapToGrid w:val="0"/>
        <w:spacing w:beforeAutospacing="0" w:afterAutospacing="0" w:line="576" w:lineRule="exact"/>
        <w:ind w:left="0" w:leftChars="0"/>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专项预算项目绩效评价报告范本</w:t>
      </w:r>
    </w:p>
    <w:p w14:paraId="21D10CF9">
      <w:pPr>
        <w:pageBreakBefore w:val="0"/>
        <w:widowControl/>
        <w:kinsoku/>
        <w:wordWrap/>
        <w:overflowPunct/>
        <w:topLinePunct w:val="0"/>
        <w:autoSpaceDE/>
        <w:autoSpaceDN/>
        <w:bidi w:val="0"/>
        <w:adjustRightInd w:val="0"/>
        <w:snapToGrid w:val="0"/>
        <w:spacing w:beforeAutospacing="0" w:afterAutospacing="0" w:line="576" w:lineRule="exact"/>
        <w:ind w:left="0" w:leftChars="0"/>
        <w:jc w:val="center"/>
        <w:rPr>
          <w:rFonts w:hint="eastAsia" w:ascii="方正小标宋简体" w:hAnsi="方正小标宋简体" w:eastAsia="方正小标宋简体" w:cs="方正小标宋简体"/>
          <w:color w:val="auto"/>
          <w:sz w:val="44"/>
          <w:szCs w:val="44"/>
          <w:highlight w:val="none"/>
        </w:rPr>
      </w:pPr>
    </w:p>
    <w:p w14:paraId="5FB19EDB">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textAlignment w:val="auto"/>
        <w:rPr>
          <w:rFonts w:hint="eastAsia" w:ascii="Times New Roman" w:hAnsi="Times New Roman" w:eastAsia="黑体"/>
          <w:b/>
          <w:bCs w:val="0"/>
          <w:color w:val="auto"/>
          <w:highlight w:val="none"/>
          <w:lang w:val="zh-CN"/>
        </w:rPr>
      </w:pPr>
      <w:r>
        <w:rPr>
          <w:rFonts w:hint="eastAsia" w:ascii="Times New Roman" w:hAnsi="Times New Roman" w:eastAsia="黑体"/>
          <w:b/>
          <w:bCs w:val="0"/>
          <w:color w:val="auto"/>
          <w:highlight w:val="none"/>
        </w:rPr>
        <w:t>一、</w:t>
      </w:r>
      <w:r>
        <w:rPr>
          <w:rFonts w:hint="eastAsia" w:ascii="Times New Roman" w:hAnsi="Times New Roman" w:eastAsia="黑体"/>
          <w:b/>
          <w:bCs w:val="0"/>
          <w:color w:val="auto"/>
          <w:highlight w:val="none"/>
          <w:lang w:val="zh-CN"/>
        </w:rPr>
        <w:t>项目概况</w:t>
      </w:r>
    </w:p>
    <w:p w14:paraId="022899EF">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textAlignment w:val="auto"/>
        <w:rPr>
          <w:rFonts w:hint="eastAsia" w:ascii="Times New Roman" w:hAnsi="Times New Roman" w:eastAsia="仿宋_GB2312" w:cs="仿宋_GB2312"/>
          <w:color w:val="auto"/>
          <w:kern w:val="0"/>
          <w:sz w:val="32"/>
          <w:szCs w:val="32"/>
          <w:highlight w:val="none"/>
          <w:u w:val="none"/>
          <w:shd w:val="clear" w:color="auto" w:fill="FFFFFF"/>
          <w:lang w:val="zh-CN"/>
        </w:rPr>
      </w:pPr>
      <w:r>
        <w:rPr>
          <w:rFonts w:hint="eastAsia" w:ascii="Times New Roman" w:hAnsi="Times New Roman" w:eastAsia="楷体_GB2312"/>
          <w:b/>
          <w:color w:val="auto"/>
          <w:sz w:val="32"/>
          <w:szCs w:val="32"/>
          <w:highlight w:val="none"/>
          <w:u w:val="none"/>
          <w:lang w:val="zh-CN"/>
        </w:rPr>
        <w:t>（一）设立背景及基本情况。</w:t>
      </w:r>
      <w:r>
        <w:rPr>
          <w:rFonts w:hint="eastAsia" w:ascii="Times New Roman" w:hAnsi="Times New Roman" w:eastAsia="仿宋_GB2312" w:cs="仿宋_GB2312"/>
          <w:b w:val="0"/>
          <w:bCs w:val="0"/>
          <w:kern w:val="0"/>
          <w:position w:val="0"/>
          <w:sz w:val="32"/>
          <w:szCs w:val="32"/>
          <w:highlight w:val="none"/>
          <w:lang w:val="en-US" w:eastAsia="zh-CN" w:bidi="ar-SA"/>
        </w:rPr>
        <w:t>项目设立原因及背景，</w:t>
      </w:r>
      <w:r>
        <w:rPr>
          <w:rFonts w:hint="eastAsia" w:ascii="Times New Roman" w:hAnsi="Times New Roman" w:eastAsia="仿宋_GB2312" w:cs="仿宋_GB2312"/>
          <w:b w:val="0"/>
          <w:bCs w:val="0"/>
          <w:kern w:val="0"/>
          <w:position w:val="0"/>
          <w:sz w:val="32"/>
          <w:szCs w:val="32"/>
          <w:highlight w:val="none"/>
          <w:lang w:val="zh-CN" w:eastAsia="zh-CN" w:bidi="ar-SA"/>
        </w:rPr>
        <w:t>项目立项、资金申报的依据，项目主要内容</w:t>
      </w: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zh-CN" w:eastAsia="zh-CN" w:bidi="ar-SA"/>
        </w:rPr>
        <w:t>主管部门职能</w:t>
      </w:r>
      <w:r>
        <w:rPr>
          <w:rFonts w:hint="eastAsia" w:ascii="Times New Roman" w:hAnsi="Times New Roman" w:eastAsia="仿宋_GB2312" w:cs="仿宋_GB2312"/>
          <w:color w:val="auto"/>
          <w:kern w:val="0"/>
          <w:sz w:val="32"/>
          <w:szCs w:val="32"/>
          <w:highlight w:val="none"/>
          <w:u w:val="none"/>
          <w:shd w:val="clear" w:color="auto" w:fill="FFFFFF"/>
          <w:lang w:val="zh-CN"/>
        </w:rPr>
        <w:t>。</w:t>
      </w:r>
    </w:p>
    <w:p w14:paraId="5075C6C0">
      <w:pPr>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Times New Roman" w:hAnsi="Times New Roman" w:eastAsia="仿宋_GB2312" w:cs="仿宋_GB2312"/>
          <w:b w:val="0"/>
          <w:bCs w:val="0"/>
          <w:kern w:val="0"/>
          <w:position w:val="0"/>
          <w:sz w:val="32"/>
          <w:szCs w:val="32"/>
          <w:highlight w:val="none"/>
          <w:lang w:val="en-US" w:eastAsia="zh-CN" w:bidi="ar-SA"/>
        </w:rPr>
        <w:t>项目资金</w:t>
      </w:r>
      <w:r>
        <w:rPr>
          <w:rFonts w:hint="eastAsia" w:ascii="Times New Roman" w:hAnsi="Times New Roman" w:eastAsia="仿宋_GB2312" w:cs="仿宋_GB2312"/>
          <w:b w:val="0"/>
          <w:bCs w:val="0"/>
          <w:kern w:val="0"/>
          <w:position w:val="0"/>
          <w:sz w:val="32"/>
          <w:szCs w:val="32"/>
          <w:highlight w:val="none"/>
          <w:lang w:val="zh-CN" w:eastAsia="zh-CN" w:bidi="ar-SA"/>
        </w:rPr>
        <w:t>管理办法制定情况，项目实施目的和主要工作任务，项目支持方向。</w:t>
      </w:r>
    </w:p>
    <w:p w14:paraId="7411D8B0">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Times New Roman" w:hAnsi="Times New Roman" w:eastAsia="仿宋_GB2312" w:cs="仿宋_GB2312"/>
          <w:b w:val="0"/>
          <w:bCs w:val="0"/>
          <w:kern w:val="0"/>
          <w:position w:val="0"/>
          <w:sz w:val="32"/>
          <w:szCs w:val="32"/>
          <w:highlight w:val="none"/>
          <w:lang w:val="zh-CN" w:eastAsia="zh-CN" w:bidi="ar-SA"/>
        </w:rPr>
        <w:t>项目预算安排情况，项目资金分配原则及考虑因素，项目资金分配情况。</w:t>
      </w:r>
    </w:p>
    <w:p w14:paraId="5D361805">
      <w:pPr>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Fonts w:hint="default"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Times New Roman" w:hAnsi="Times New Roman" w:eastAsia="仿宋_GB2312" w:cs="仿宋_GB2312"/>
          <w:b w:val="0"/>
          <w:bCs w:val="0"/>
          <w:kern w:val="0"/>
          <w:position w:val="0"/>
          <w:sz w:val="32"/>
          <w:szCs w:val="32"/>
          <w:highlight w:val="none"/>
          <w:lang w:val="zh-CN" w:eastAsia="zh-CN" w:bidi="ar-SA"/>
        </w:rPr>
        <w:t>项目整体、区域和具体绩效目标设置情况，项目自评工作开展情况。</w:t>
      </w:r>
    </w:p>
    <w:p w14:paraId="40A861D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7133E67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Times New Roman" w:hAnsi="Times New Roman" w:eastAsia="仿宋_GB2312" w:cs="仿宋_GB2312"/>
          <w:b w:val="0"/>
          <w:bCs w:val="0"/>
          <w:kern w:val="0"/>
          <w:position w:val="0"/>
          <w:sz w:val="32"/>
          <w:szCs w:val="32"/>
          <w:highlight w:val="none"/>
          <w:lang w:val="zh-CN" w:eastAsia="zh-CN" w:bidi="ar-SA"/>
        </w:rPr>
        <w:t>通过项目绩效自评要实现的目的。</w:t>
      </w:r>
    </w:p>
    <w:p w14:paraId="09909AC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Times New Roman" w:hAnsi="Times New Roman" w:eastAsia="仿宋_GB2312" w:cs="仿宋_GB2312"/>
          <w:b w:val="0"/>
          <w:bCs w:val="0"/>
          <w:kern w:val="0"/>
          <w:position w:val="0"/>
          <w:sz w:val="32"/>
          <w:szCs w:val="32"/>
          <w:highlight w:val="none"/>
          <w:lang w:val="zh-CN" w:eastAsia="zh-CN" w:bidi="ar-SA"/>
        </w:rPr>
        <w:t>按照绩效评价指标体系，对资金支出使用全过程及其实施效果进行综合评价和判断。</w:t>
      </w:r>
    </w:p>
    <w:p w14:paraId="1D0887D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r>
        <w:rPr>
          <w:rFonts w:hint="eastAsia" w:ascii="Times New Roman" w:hAnsi="Times New Roman" w:eastAsia="仿宋_GB2312" w:cs="仿宋_GB2312"/>
          <w:b w:val="0"/>
          <w:color w:val="auto"/>
          <w:kern w:val="0"/>
          <w:sz w:val="32"/>
          <w:szCs w:val="32"/>
          <w:highlight w:val="none"/>
          <w:u w:val="none"/>
          <w:lang w:val="zh-CN"/>
        </w:rPr>
        <w:t>项目绩效自评所抽样点位情况。每个专项预算项目应选取专项资金分配涉及市县总数的20%、总计不超过20个的市县点位进行实地踏勘，且点位清单应作为自评附表。</w:t>
      </w:r>
    </w:p>
    <w:p w14:paraId="0245FF6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（四）评价方法。</w:t>
      </w:r>
      <w:r>
        <w:rPr>
          <w:rFonts w:hint="eastAsia" w:ascii="Times New Roman" w:hAnsi="Times New Roman" w:eastAsia="仿宋_GB2312" w:cs="仿宋_GB2312"/>
          <w:b w:val="0"/>
          <w:bCs w:val="0"/>
          <w:kern w:val="0"/>
          <w:position w:val="0"/>
          <w:sz w:val="32"/>
          <w:szCs w:val="32"/>
          <w:highlight w:val="none"/>
          <w:lang w:val="zh-CN" w:eastAsia="zh-CN" w:bidi="ar-SA"/>
        </w:rPr>
        <w:t>根据项目情况和评价重点，用来收集相关材料和开展具体评价的方法。包括：采用成本效益分析法、标杆管理法、案卷研究法、单位自评法、实地勘察法、问卷调查法、座谈调研法等多种方法。</w:t>
      </w:r>
    </w:p>
    <w:p w14:paraId="285D734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hint="eastAsia" w:ascii="Times New Roman" w:hAnsi="Times New Roman" w:eastAsia="仿宋_GB2312" w:cs="仿宋_GB2312"/>
          <w:b w:val="0"/>
          <w:bCs w:val="0"/>
          <w:kern w:val="0"/>
          <w:position w:val="0"/>
          <w:sz w:val="32"/>
          <w:szCs w:val="32"/>
          <w:highlight w:val="none"/>
          <w:lang w:val="zh-CN" w:eastAsia="zh-CN" w:bidi="ar-SA"/>
        </w:rPr>
        <w:t>评价组人员构成和职责分工。</w:t>
      </w:r>
    </w:p>
    <w:p w14:paraId="649BB2ED">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Fonts w:hint="eastAsia" w:ascii="Times New Roman" w:hAnsi="Times New Roman" w:eastAsia="黑体"/>
          <w:b/>
          <w:bCs w:val="0"/>
          <w:color w:val="auto"/>
          <w:highlight w:val="none"/>
          <w:lang w:val="zh-CN"/>
        </w:rPr>
      </w:pPr>
      <w:r>
        <w:rPr>
          <w:rFonts w:hint="eastAsia" w:ascii="Times New Roman" w:hAnsi="Times New Roman" w:eastAsia="黑体"/>
          <w:b/>
          <w:bCs w:val="0"/>
          <w:color w:val="auto"/>
          <w:highlight w:val="none"/>
        </w:rPr>
        <w:t>三、</w:t>
      </w:r>
      <w:r>
        <w:rPr>
          <w:rFonts w:hint="eastAsia" w:ascii="Times New Roman" w:hAnsi="Times New Roman" w:eastAsia="黑体"/>
          <w:b/>
          <w:bCs w:val="0"/>
          <w:color w:val="auto"/>
          <w:highlight w:val="none"/>
          <w:lang w:eastAsia="zh-CN"/>
        </w:rPr>
        <w:t>绩效分析</w:t>
      </w:r>
      <w:r>
        <w:rPr>
          <w:rFonts w:hint="eastAsia" w:ascii="Times New Roman" w:hAnsi="Times New Roman" w:eastAsia="黑体"/>
          <w:b/>
          <w:bCs w:val="0"/>
          <w:color w:val="auto"/>
          <w:highlight w:val="none"/>
          <w:lang w:val="zh-CN"/>
        </w:rPr>
        <w:tab/>
      </w:r>
    </w:p>
    <w:p w14:paraId="7FD5477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default" w:ascii="Times New Roman" w:hAnsi="Times New Roman" w:eastAsia="仿宋_GB2312" w:cs="仿宋_GB2312"/>
          <w:b w:val="0"/>
          <w:bCs w:val="0"/>
          <w:kern w:val="0"/>
          <w:position w:val="0"/>
          <w:sz w:val="32"/>
          <w:szCs w:val="32"/>
          <w:highlight w:val="none"/>
          <w:lang w:val="zh-CN" w:eastAsia="zh-CN" w:bidi="ar-SA"/>
        </w:rPr>
        <w:t>预算绩效评价指标体系</w:t>
      </w:r>
      <w:r>
        <w:rPr>
          <w:rFonts w:hint="eastAsia" w:ascii="Times New Roman" w:hAnsi="Times New Roman" w:eastAsia="仿宋_GB2312" w:cs="仿宋_GB2312"/>
          <w:b w:val="0"/>
          <w:bCs w:val="0"/>
          <w:kern w:val="0"/>
          <w:position w:val="0"/>
          <w:sz w:val="32"/>
          <w:szCs w:val="32"/>
          <w:highlight w:val="none"/>
          <w:lang w:val="zh-CN" w:eastAsia="zh-CN" w:bidi="ar-SA"/>
        </w:rPr>
        <w:t>通用指标、专用指标、个性指标</w:t>
      </w:r>
      <w:r>
        <w:rPr>
          <w:rFonts w:hint="default" w:ascii="Times New Roman" w:hAnsi="Times New Roman" w:eastAsia="仿宋_GB2312" w:cs="仿宋_GB2312"/>
          <w:b w:val="0"/>
          <w:bCs w:val="0"/>
          <w:kern w:val="0"/>
          <w:position w:val="0"/>
          <w:sz w:val="32"/>
          <w:szCs w:val="32"/>
          <w:highlight w:val="none"/>
          <w:lang w:val="zh-CN" w:eastAsia="zh-CN" w:bidi="ar-SA"/>
        </w:rPr>
        <w:t>涉及</w:t>
      </w:r>
      <w:r>
        <w:rPr>
          <w:rFonts w:hint="eastAsia" w:ascii="Times New Roman" w:hAnsi="Times New Roman" w:eastAsia="仿宋_GB2312" w:cs="仿宋_GB2312"/>
          <w:b w:val="0"/>
          <w:bCs w:val="0"/>
          <w:kern w:val="0"/>
          <w:position w:val="0"/>
          <w:sz w:val="32"/>
          <w:szCs w:val="32"/>
          <w:highlight w:val="none"/>
          <w:lang w:val="zh-CN" w:eastAsia="zh-CN" w:bidi="ar-SA"/>
        </w:rPr>
        <w:t>二、三级</w:t>
      </w:r>
      <w:r>
        <w:rPr>
          <w:rFonts w:hint="default" w:ascii="Times New Roman" w:hAnsi="Times New Roman" w:eastAsia="仿宋_GB2312" w:cs="仿宋_GB2312"/>
          <w:b w:val="0"/>
          <w:bCs w:val="0"/>
          <w:kern w:val="0"/>
          <w:position w:val="0"/>
          <w:sz w:val="32"/>
          <w:szCs w:val="32"/>
          <w:highlight w:val="none"/>
          <w:lang w:val="zh-CN" w:eastAsia="zh-CN" w:bidi="ar-SA"/>
        </w:rPr>
        <w:t>指标进行</w:t>
      </w:r>
      <w:r>
        <w:rPr>
          <w:rFonts w:hint="eastAsia" w:ascii="Times New Roman" w:hAnsi="Times New Roman" w:eastAsia="仿宋_GB2312" w:cs="仿宋_GB2312"/>
          <w:b w:val="0"/>
          <w:bCs w:val="0"/>
          <w:kern w:val="0"/>
          <w:position w:val="0"/>
          <w:sz w:val="32"/>
          <w:szCs w:val="32"/>
          <w:highlight w:val="none"/>
          <w:lang w:val="zh-CN" w:eastAsia="zh-CN" w:bidi="ar-SA"/>
        </w:rPr>
        <w:t>逐项</w:t>
      </w:r>
      <w:r>
        <w:rPr>
          <w:rFonts w:hint="default" w:ascii="Times New Roman" w:hAnsi="Times New Roman" w:eastAsia="仿宋_GB2312" w:cs="仿宋_GB2312"/>
          <w:b w:val="0"/>
          <w:bCs w:val="0"/>
          <w:kern w:val="0"/>
          <w:position w:val="0"/>
          <w:sz w:val="32"/>
          <w:szCs w:val="32"/>
          <w:highlight w:val="none"/>
          <w:lang w:val="zh-CN" w:eastAsia="zh-CN" w:bidi="ar-SA"/>
        </w:rPr>
        <w:t>绩效分析</w:t>
      </w:r>
      <w:r>
        <w:rPr>
          <w:rFonts w:hint="eastAsia" w:ascii="Times New Roman" w:hAnsi="Times New Roman" w:eastAsia="仿宋_GB2312" w:cs="仿宋_GB2312"/>
          <w:b w:val="0"/>
          <w:bCs w:val="0"/>
          <w:kern w:val="0"/>
          <w:position w:val="0"/>
          <w:sz w:val="32"/>
          <w:szCs w:val="32"/>
          <w:highlight w:val="none"/>
          <w:lang w:val="zh-CN" w:eastAsia="zh-CN" w:bidi="ar-SA"/>
        </w:rPr>
        <w:t>并评分</w:t>
      </w:r>
      <w:r>
        <w:rPr>
          <w:rFonts w:hint="eastAsia" w:ascii="Times New Roman" w:hAnsi="Times New Roman" w:eastAsia="仿宋_GB2312" w:cs="仿宋_GB2312"/>
          <w:b w:val="0"/>
          <w:bCs w:val="0"/>
          <w:kern w:val="0"/>
          <w:position w:val="0"/>
          <w:sz w:val="32"/>
          <w:szCs w:val="32"/>
          <w:highlight w:val="none"/>
          <w:lang w:val="en-US" w:eastAsia="zh-CN" w:bidi="ar-SA"/>
        </w:rPr>
        <w:t>。</w:t>
      </w:r>
    </w:p>
    <w:p w14:paraId="76566C5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52E8537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zh-CN" w:eastAsia="zh-CN" w:bidi="ar-SA"/>
        </w:rPr>
        <w:t>项目决策。围绕决策程序、规划论证、资金投向进行绩效分析。</w:t>
      </w:r>
    </w:p>
    <w:p w14:paraId="47AE0F02">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项目管理。围绕制度办法、分配管理、绩效监管进行绩效分析。</w:t>
      </w:r>
    </w:p>
    <w:p w14:paraId="6BB59A42">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3.项目实施。</w:t>
      </w:r>
      <w:r>
        <w:rPr>
          <w:rFonts w:hint="eastAsia" w:ascii="Times New Roman" w:hAnsi="Times New Roman" w:eastAsia="仿宋_GB2312" w:cs="仿宋_GB2312"/>
          <w:b w:val="0"/>
          <w:bCs w:val="0"/>
          <w:kern w:val="0"/>
          <w:position w:val="0"/>
          <w:sz w:val="32"/>
          <w:szCs w:val="32"/>
          <w:highlight w:val="none"/>
          <w:lang w:val="zh-CN" w:eastAsia="zh-CN" w:bidi="ar-SA"/>
        </w:rPr>
        <w:t>围绕预算执行、资金使用进行绩效分析。</w:t>
      </w:r>
    </w:p>
    <w:p w14:paraId="0219A4E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4.项目结果。围绕</w:t>
      </w:r>
      <w:r>
        <w:rPr>
          <w:rFonts w:hint="eastAsia" w:ascii="Times New Roman" w:hAnsi="Times New Roman" w:eastAsia="仿宋_GB2312" w:cs="仿宋_GB2312"/>
          <w:b w:val="0"/>
          <w:bCs w:val="0"/>
          <w:kern w:val="0"/>
          <w:position w:val="0"/>
          <w:sz w:val="32"/>
          <w:szCs w:val="32"/>
          <w:highlight w:val="none"/>
          <w:lang w:val="zh-CN" w:eastAsia="zh-CN" w:bidi="ar-SA"/>
        </w:rPr>
        <w:t>目标完成、完成时效进行绩效分析。</w:t>
      </w:r>
    </w:p>
    <w:p w14:paraId="7731C8D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en-US" w:eastAsia="zh-CN" w:bidi="ar-SA"/>
        </w:rPr>
        <w:t>专项预算项目资金支持对象选择所属指标进行绩效分析。支持对象</w:t>
      </w:r>
      <w:r>
        <w:rPr>
          <w:rFonts w:hint="eastAsia" w:ascii="Times New Roman" w:hAnsi="Times New Roman" w:eastAsia="仿宋_GB2312" w:cs="仿宋_GB2312"/>
          <w:b w:val="0"/>
          <w:bCs w:val="0"/>
          <w:kern w:val="0"/>
          <w:position w:val="0"/>
          <w:sz w:val="32"/>
          <w:szCs w:val="32"/>
          <w:highlight w:val="none"/>
          <w:lang w:val="zh-CN" w:eastAsia="zh-CN" w:bidi="ar-SA"/>
        </w:rPr>
        <w:t>包括产业发展、民生保障、基础设施、行政运转等方面。</w:t>
      </w:r>
    </w:p>
    <w:p w14:paraId="3E6670A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1.产业发展。围绕符合性、成长性、经济性进行绩效分析。</w:t>
      </w:r>
    </w:p>
    <w:p w14:paraId="2E0D4CF0">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民生保障。</w:t>
      </w:r>
      <w:r>
        <w:rPr>
          <w:rFonts w:hint="eastAsia" w:ascii="Times New Roman" w:hAnsi="Times New Roman" w:eastAsia="仿宋_GB2312" w:cs="仿宋_GB2312"/>
          <w:b w:val="0"/>
          <w:bCs w:val="0"/>
          <w:kern w:val="0"/>
          <w:position w:val="0"/>
          <w:sz w:val="32"/>
          <w:szCs w:val="32"/>
          <w:highlight w:val="none"/>
          <w:lang w:val="en-US" w:eastAsia="zh-CN" w:bidi="ar-SA"/>
        </w:rPr>
        <w:t>围绕区域均衡性、对象精准性、标准合理性、群众满意度进行绩效分析。</w:t>
      </w:r>
    </w:p>
    <w:p w14:paraId="28130CA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3.基础设施。在建项目围绕工程进度和资金拨付进行绩效分析；建成项目围绕项目验收、功能实现、后续管护进行</w:t>
      </w:r>
      <w:r>
        <w:rPr>
          <w:rFonts w:hint="eastAsia" w:ascii="Times New Roman" w:hAnsi="Times New Roman" w:eastAsia="仿宋_GB2312" w:cs="仿宋_GB2312"/>
          <w:b w:val="0"/>
          <w:bCs w:val="0"/>
          <w:kern w:val="0"/>
          <w:position w:val="0"/>
          <w:sz w:val="32"/>
          <w:szCs w:val="32"/>
          <w:highlight w:val="none"/>
          <w:lang w:val="zh-CN" w:eastAsia="zh-CN" w:bidi="ar-SA"/>
        </w:rPr>
        <w:t>绩效分析。</w:t>
      </w:r>
    </w:p>
    <w:p w14:paraId="61576C61">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w:t>
      </w:r>
      <w:r>
        <w:rPr>
          <w:rFonts w:hint="eastAsia" w:ascii="Times New Roman" w:hAnsi="Times New Roman" w:eastAsia="仿宋_GB2312" w:cs="仿宋_GB2312"/>
          <w:b w:val="0"/>
          <w:bCs w:val="0"/>
          <w:kern w:val="0"/>
          <w:position w:val="0"/>
          <w:sz w:val="32"/>
          <w:szCs w:val="32"/>
          <w:highlight w:val="none"/>
          <w:lang w:val="zh-CN" w:eastAsia="zh-CN" w:bidi="ar-SA"/>
        </w:rPr>
        <w:t>行政运转。围绕用途合规性、程序合规性、标准合规性进行绩效分析。</w:t>
      </w:r>
    </w:p>
    <w:p w14:paraId="125293C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根据项目个性自行设定部分指标，反映该项指标执行完成情况。</w:t>
      </w:r>
    </w:p>
    <w:p w14:paraId="011A1265">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Fonts w:hint="eastAsia" w:ascii="Times New Roman" w:hAnsi="Times New Roman" w:eastAsia="黑体"/>
          <w:b/>
          <w:bCs w:val="0"/>
          <w:color w:val="auto"/>
          <w:highlight w:val="none"/>
          <w:lang w:val="en-US" w:eastAsia="zh-CN"/>
        </w:rPr>
      </w:pPr>
      <w:r>
        <w:rPr>
          <w:rFonts w:hint="eastAsia" w:ascii="Times New Roman" w:hAnsi="Times New Roman" w:eastAsia="黑体"/>
          <w:b/>
          <w:bCs w:val="0"/>
          <w:color w:val="auto"/>
          <w:highlight w:val="none"/>
          <w:lang w:val="en-US" w:eastAsia="zh-CN"/>
        </w:rPr>
        <w:t>四、评价结论</w:t>
      </w:r>
    </w:p>
    <w:p w14:paraId="191F0480">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简要阐述专项预算项目绩效自评总体结论，包含评价总分、</w:t>
      </w:r>
      <w:r>
        <w:rPr>
          <w:rFonts w:hint="eastAsia" w:ascii="Times New Roman" w:hAnsi="Times New Roman" w:eastAsia="仿宋_GB2312" w:cs="仿宋_GB2312"/>
          <w:b w:val="0"/>
          <w:bCs w:val="0"/>
          <w:kern w:val="0"/>
          <w:position w:val="0"/>
          <w:sz w:val="32"/>
          <w:szCs w:val="32"/>
          <w:highlight w:val="none"/>
          <w:lang w:val="zh-CN" w:eastAsia="zh-CN" w:bidi="ar-SA"/>
        </w:rPr>
        <w:t>项目实施情况。</w:t>
      </w:r>
    </w:p>
    <w:p w14:paraId="15E60374">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Fonts w:hint="eastAsia" w:ascii="Times New Roman" w:hAnsi="Times New Roman" w:eastAsia="黑体"/>
          <w:b/>
          <w:bCs w:val="0"/>
          <w:color w:val="auto"/>
          <w:highlight w:val="none"/>
          <w:lang w:val="en-US" w:eastAsia="zh-CN"/>
        </w:rPr>
      </w:pPr>
      <w:r>
        <w:rPr>
          <w:rFonts w:hint="eastAsia" w:ascii="Times New Roman" w:hAnsi="Times New Roman" w:eastAsia="黑体"/>
          <w:b/>
          <w:bCs w:val="0"/>
          <w:color w:val="auto"/>
          <w:highlight w:val="none"/>
          <w:lang w:val="en-US" w:eastAsia="zh-CN"/>
        </w:rPr>
        <w:t>五、存在主要问题</w:t>
      </w:r>
    </w:p>
    <w:p w14:paraId="226DC62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简要阐述专项预算项目绩效自评发现的主要问题。</w:t>
      </w:r>
    </w:p>
    <w:p w14:paraId="61FE6EEF">
      <w:pPr>
        <w:pStyle w:val="5"/>
        <w:keepNext/>
        <w:keepLines/>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3" w:firstLineChars="200"/>
        <w:textAlignment w:val="auto"/>
        <w:rPr>
          <w:rFonts w:hint="eastAsia" w:ascii="Times New Roman" w:hAnsi="Times New Roman" w:eastAsia="黑体"/>
          <w:b/>
          <w:bCs w:val="0"/>
          <w:color w:val="auto"/>
          <w:highlight w:val="none"/>
          <w:lang w:val="zh-CN" w:eastAsia="zh-CN"/>
        </w:rPr>
      </w:pPr>
      <w:r>
        <w:rPr>
          <w:rFonts w:hint="eastAsia" w:ascii="Times New Roman" w:hAnsi="Times New Roman" w:eastAsia="黑体"/>
          <w:b/>
          <w:bCs w:val="0"/>
          <w:color w:val="auto"/>
          <w:highlight w:val="none"/>
          <w:lang w:val="zh-CN" w:eastAsia="zh-CN"/>
        </w:rPr>
        <w:t>六、改进建议</w:t>
      </w:r>
    </w:p>
    <w:p w14:paraId="6A271CE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简要阐述专项预算项目在</w:t>
      </w:r>
      <w:r>
        <w:rPr>
          <w:rFonts w:hint="eastAsia" w:ascii="Times New Roman" w:hAnsi="Times New Roman" w:eastAsia="仿宋_GB2312" w:cs="仿宋_GB2312"/>
          <w:b w:val="0"/>
          <w:bCs w:val="0"/>
          <w:kern w:val="0"/>
          <w:position w:val="0"/>
          <w:sz w:val="32"/>
          <w:szCs w:val="32"/>
          <w:highlight w:val="none"/>
          <w:lang w:val="en" w:eastAsia="zh-CN" w:bidi="ar-SA"/>
        </w:rPr>
        <w:t>预算安排、完善政策、改进管理等方面的</w:t>
      </w:r>
      <w:r>
        <w:rPr>
          <w:rFonts w:hint="eastAsia" w:ascii="Times New Roman" w:hAnsi="Times New Roman" w:eastAsia="仿宋_GB2312" w:cs="仿宋_GB2312"/>
          <w:b w:val="0"/>
          <w:bCs w:val="0"/>
          <w:kern w:val="0"/>
          <w:position w:val="0"/>
          <w:sz w:val="32"/>
          <w:szCs w:val="32"/>
          <w:highlight w:val="none"/>
          <w:lang w:val="en-US" w:eastAsia="zh-CN" w:bidi="ar-SA"/>
        </w:rPr>
        <w:t>措施</w:t>
      </w:r>
      <w:r>
        <w:rPr>
          <w:rFonts w:hint="eastAsia" w:ascii="Times New Roman" w:hAnsi="Times New Roman" w:eastAsia="仿宋_GB2312" w:cs="仿宋_GB2312"/>
          <w:b w:val="0"/>
          <w:bCs w:val="0"/>
          <w:kern w:val="0"/>
          <w:position w:val="0"/>
          <w:sz w:val="32"/>
          <w:szCs w:val="32"/>
          <w:highlight w:val="none"/>
          <w:lang w:val="en" w:eastAsia="zh-CN" w:bidi="ar-SA"/>
        </w:rPr>
        <w:t>建议，其中</w:t>
      </w:r>
      <w:r>
        <w:rPr>
          <w:rFonts w:hint="eastAsia" w:ascii="Times New Roman" w:hAnsi="Times New Roman" w:eastAsia="仿宋_GB2312" w:cs="仿宋_GB2312"/>
          <w:b w:val="0"/>
          <w:bCs w:val="0"/>
          <w:kern w:val="0"/>
          <w:position w:val="0"/>
          <w:sz w:val="32"/>
          <w:szCs w:val="32"/>
          <w:highlight w:val="none"/>
          <w:lang w:val="en-US" w:eastAsia="zh-CN" w:bidi="ar-SA"/>
        </w:rPr>
        <w:t>必须对应评价发现的主要问题一一提出措施建议。</w:t>
      </w:r>
    </w:p>
    <w:p w14:paraId="67506A50">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eastAsia="仿宋_GB2312" w:cs="仿宋_GB2312"/>
          <w:b w:val="0"/>
          <w:bCs w:val="0"/>
          <w:kern w:val="0"/>
          <w:position w:val="0"/>
          <w:sz w:val="32"/>
          <w:szCs w:val="32"/>
          <w:highlight w:val="none"/>
          <w:lang w:val="en-US" w:eastAsia="zh-CN" w:bidi="ar-SA"/>
        </w:rPr>
        <w:t>注：</w:t>
      </w:r>
      <w:r>
        <w:rPr>
          <w:rFonts w:hint="eastAsia" w:ascii="Times New Roman" w:hAnsi="Times New Roman" w:eastAsia="仿宋_GB2312" w:cs="仿宋_GB2312"/>
          <w:b w:val="0"/>
          <w:bCs w:val="0"/>
          <w:kern w:val="0"/>
          <w:position w:val="0"/>
          <w:sz w:val="32"/>
          <w:szCs w:val="32"/>
          <w:highlight w:val="none"/>
          <w:lang w:val="en-US" w:eastAsia="zh-CN" w:bidi="ar-SA"/>
        </w:rPr>
        <w:t>以上绩效自评报告，除涉密敏感内容外，原则上都应予以公开）</w:t>
      </w:r>
    </w:p>
    <w:p w14:paraId="2D23F73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A1C4FE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3FB97B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4"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053BBF2A">
      <w:pPr>
        <w:pageBreakBefore w:val="0"/>
        <w:widowControl/>
        <w:kinsoku/>
        <w:wordWrap/>
        <w:overflowPunct/>
        <w:topLinePunct w:val="0"/>
        <w:autoSpaceDE/>
        <w:autoSpaceDN/>
        <w:bidi w:val="0"/>
        <w:adjustRightInd w:val="0"/>
        <w:snapToGrid w:val="0"/>
        <w:spacing w:beforeAutospacing="0" w:afterAutospacing="0" w:line="576" w:lineRule="exact"/>
        <w:ind w:left="0" w:leftChars="0"/>
        <w:jc w:val="center"/>
        <w:rPr>
          <w:rFonts w:hint="eastAsia" w:ascii="方正小标宋简体" w:hAnsi="方正小标宋简体" w:eastAsia="方正小标宋简体" w:cs="方正小标宋简体"/>
          <w:b w:val="0"/>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w:t>
      </w:r>
      <w:r>
        <w:rPr>
          <w:rStyle w:val="31"/>
          <w:rFonts w:hint="eastAsia" w:ascii="方正小标宋简体" w:hAnsi="方正小标宋简体" w:eastAsia="方正小标宋简体" w:cs="方正小标宋简体"/>
          <w:b w:val="0"/>
          <w:color w:val="auto"/>
          <w:sz w:val="44"/>
          <w:szCs w:val="44"/>
          <w:highlight w:val="none"/>
        </w:rPr>
        <w:t>五部分 附表</w:t>
      </w:r>
      <w:bookmarkEnd w:id="51"/>
      <w:bookmarkEnd w:id="54"/>
      <w:bookmarkStart w:id="55" w:name="_Toc15396619"/>
    </w:p>
    <w:p w14:paraId="77F735E4">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rPr>
      </w:pPr>
    </w:p>
    <w:p w14:paraId="53B12F38">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5"/>
    </w:p>
    <w:p w14:paraId="2A00B9EC">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rPr>
      </w:pPr>
      <w:bookmarkStart w:id="56" w:name="_Toc15396620"/>
      <w:r>
        <w:rPr>
          <w:rFonts w:hint="eastAsia" w:ascii="Times New Roman" w:hAnsi="Times New Roman" w:eastAsia="仿宋_GB2312" w:cs="仿宋_GB2312"/>
          <w:color w:val="auto"/>
          <w:sz w:val="32"/>
          <w:szCs w:val="32"/>
          <w:highlight w:val="none"/>
        </w:rPr>
        <w:t>二、收入决算表</w:t>
      </w:r>
      <w:bookmarkEnd w:id="56"/>
    </w:p>
    <w:p w14:paraId="5B8FD0D2">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rPr>
      </w:pPr>
      <w:bookmarkStart w:id="57" w:name="_Toc15396621"/>
      <w:r>
        <w:rPr>
          <w:rFonts w:hint="eastAsia" w:ascii="Times New Roman" w:hAnsi="Times New Roman" w:eastAsia="仿宋_GB2312" w:cs="仿宋_GB2312"/>
          <w:color w:val="auto"/>
          <w:sz w:val="32"/>
          <w:szCs w:val="32"/>
          <w:highlight w:val="none"/>
        </w:rPr>
        <w:t>三、支出决算表</w:t>
      </w:r>
      <w:bookmarkEnd w:id="57"/>
    </w:p>
    <w:p w14:paraId="4D6EBF1C">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rPr>
      </w:pPr>
      <w:bookmarkStart w:id="58" w:name="_Toc15396622"/>
      <w:r>
        <w:rPr>
          <w:rFonts w:hint="eastAsia" w:ascii="Times New Roman" w:hAnsi="Times New Roman" w:eastAsia="仿宋_GB2312" w:cs="仿宋_GB2312"/>
          <w:color w:val="auto"/>
          <w:sz w:val="32"/>
          <w:szCs w:val="32"/>
          <w:highlight w:val="none"/>
        </w:rPr>
        <w:t>四、财政拨款收入支出决算总表</w:t>
      </w:r>
      <w:bookmarkEnd w:id="58"/>
    </w:p>
    <w:p w14:paraId="4CC3271C">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rPr>
      </w:pPr>
      <w:bookmarkStart w:id="59" w:name="_Toc15396623"/>
      <w:r>
        <w:rPr>
          <w:rFonts w:hint="eastAsia" w:ascii="Times New Roman" w:hAnsi="Times New Roman" w:eastAsia="仿宋_GB2312" w:cs="仿宋_GB2312"/>
          <w:color w:val="auto"/>
          <w:sz w:val="32"/>
          <w:szCs w:val="32"/>
          <w:highlight w:val="none"/>
        </w:rPr>
        <w:t>五、财政拨款支出决算明细表</w:t>
      </w:r>
      <w:bookmarkEnd w:id="59"/>
      <w:bookmarkStart w:id="60" w:name="_Toc15396624"/>
    </w:p>
    <w:p w14:paraId="36543910">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0"/>
    </w:p>
    <w:p w14:paraId="6D7E55CA">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rPr>
      </w:pPr>
      <w:bookmarkStart w:id="61" w:name="_Toc15396625"/>
      <w:r>
        <w:rPr>
          <w:rFonts w:hint="eastAsia" w:ascii="Times New Roman" w:hAnsi="Times New Roman" w:eastAsia="仿宋_GB2312" w:cs="仿宋_GB2312"/>
          <w:color w:val="auto"/>
          <w:sz w:val="32"/>
          <w:szCs w:val="32"/>
          <w:highlight w:val="none"/>
        </w:rPr>
        <w:t>七、一般公共预算财政拨款支出决算明细表</w:t>
      </w:r>
      <w:bookmarkEnd w:id="61"/>
    </w:p>
    <w:p w14:paraId="72DF9D29">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rPr>
      </w:pPr>
      <w:bookmarkStart w:id="62" w:name="_Toc15396626"/>
      <w:r>
        <w:rPr>
          <w:rFonts w:hint="eastAsia" w:ascii="Times New Roman" w:hAnsi="Times New Roman" w:eastAsia="仿宋_GB2312" w:cs="仿宋_GB2312"/>
          <w:color w:val="auto"/>
          <w:sz w:val="32"/>
          <w:szCs w:val="32"/>
          <w:highlight w:val="none"/>
        </w:rPr>
        <w:t>八、一般公共预算财政拨款基本支出决算表</w:t>
      </w:r>
      <w:bookmarkEnd w:id="62"/>
    </w:p>
    <w:p w14:paraId="42C7FAAD">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rPr>
      </w:pPr>
      <w:bookmarkStart w:id="63" w:name="_Toc15396627"/>
      <w:r>
        <w:rPr>
          <w:rFonts w:hint="eastAsia" w:ascii="Times New Roman" w:hAnsi="Times New Roman" w:eastAsia="仿宋_GB2312" w:cs="仿宋_GB2312"/>
          <w:color w:val="auto"/>
          <w:sz w:val="32"/>
          <w:szCs w:val="32"/>
          <w:highlight w:val="none"/>
        </w:rPr>
        <w:t>九、一般公共预算财政拨款项目支出决算表</w:t>
      </w:r>
      <w:bookmarkEnd w:id="63"/>
    </w:p>
    <w:p w14:paraId="7DF8A9AB">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rPr>
      </w:pPr>
      <w:bookmarkStart w:id="64" w:name="_Toc15396628"/>
      <w:r>
        <w:rPr>
          <w:rFonts w:hint="eastAsia" w:ascii="Times New Roman" w:hAnsi="Times New Roman" w:eastAsia="仿宋_GB2312" w:cs="仿宋_GB2312"/>
          <w:color w:val="auto"/>
          <w:sz w:val="32"/>
          <w:szCs w:val="32"/>
          <w:highlight w:val="none"/>
        </w:rPr>
        <w:t>十、</w:t>
      </w:r>
      <w:bookmarkEnd w:id="64"/>
      <w:r>
        <w:rPr>
          <w:rFonts w:hint="eastAsia" w:ascii="Times New Roman" w:hAnsi="Times New Roman" w:eastAsia="仿宋_GB2312" w:cs="仿宋_GB2312"/>
          <w:color w:val="auto"/>
          <w:sz w:val="32"/>
          <w:szCs w:val="32"/>
          <w:highlight w:val="none"/>
        </w:rPr>
        <w:t>政府性基金预算财政拨款收入支出决算表</w:t>
      </w:r>
    </w:p>
    <w:p w14:paraId="53177AA1">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rPr>
      </w:pPr>
      <w:bookmarkStart w:id="65" w:name="_Toc15396629"/>
      <w:r>
        <w:rPr>
          <w:rFonts w:hint="eastAsia" w:ascii="Times New Roman" w:hAnsi="Times New Roman" w:eastAsia="仿宋_GB2312" w:cs="仿宋_GB2312"/>
          <w:color w:val="auto"/>
          <w:sz w:val="32"/>
          <w:szCs w:val="32"/>
          <w:highlight w:val="none"/>
        </w:rPr>
        <w:t>十一、</w:t>
      </w:r>
      <w:bookmarkEnd w:id="65"/>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5C6F436B">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rPr>
      </w:pPr>
      <w:bookmarkStart w:id="66" w:name="_Toc15396630"/>
      <w:r>
        <w:rPr>
          <w:rFonts w:hint="eastAsia" w:ascii="Times New Roman" w:hAnsi="Times New Roman" w:eastAsia="仿宋_GB2312" w:cs="仿宋_GB2312"/>
          <w:color w:val="auto"/>
          <w:sz w:val="32"/>
          <w:szCs w:val="32"/>
          <w:highlight w:val="none"/>
        </w:rPr>
        <w:t>十二、</w:t>
      </w:r>
      <w:bookmarkEnd w:id="66"/>
      <w:r>
        <w:rPr>
          <w:rFonts w:hint="eastAsia" w:ascii="Times New Roman" w:hAnsi="Times New Roman" w:eastAsia="仿宋_GB2312" w:cs="仿宋_GB2312"/>
          <w:color w:val="auto"/>
          <w:sz w:val="32"/>
          <w:szCs w:val="32"/>
          <w:highlight w:val="none"/>
          <w:lang w:eastAsia="zh-CN"/>
        </w:rPr>
        <w:t>国有资本经营预算财政拨款支出决算表</w:t>
      </w:r>
    </w:p>
    <w:p w14:paraId="051BAFE4">
      <w:pPr>
        <w:pStyle w:val="15"/>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jc w:val="left"/>
        <w:textAlignment w:val="auto"/>
        <w:rPr>
          <w:rFonts w:hint="eastAsia" w:ascii="Times New Roman" w:hAnsi="Times New Roman" w:eastAsia="仿宋_GB2312" w:cs="仿宋_GB2312"/>
          <w:color w:val="auto"/>
          <w:sz w:val="32"/>
          <w:szCs w:val="32"/>
          <w:highlight w:val="none"/>
          <w:lang w:eastAsia="zh-CN"/>
        </w:rPr>
      </w:pPr>
      <w:bookmarkStart w:id="67" w:name="_Toc15396631"/>
      <w:r>
        <w:rPr>
          <w:rFonts w:hint="eastAsia" w:ascii="Times New Roman" w:hAnsi="Times New Roman" w:eastAsia="仿宋_GB2312" w:cs="仿宋_GB2312"/>
          <w:color w:val="auto"/>
          <w:sz w:val="32"/>
          <w:szCs w:val="32"/>
          <w:highlight w:val="none"/>
        </w:rPr>
        <w:t>十三、</w:t>
      </w:r>
      <w:bookmarkEnd w:id="67"/>
      <w:r>
        <w:rPr>
          <w:rFonts w:hint="eastAsia" w:ascii="Times New Roman" w:hAnsi="Times New Roman" w:eastAsia="仿宋_GB2312" w:cs="仿宋_GB2312"/>
          <w:color w:val="auto"/>
          <w:sz w:val="32"/>
          <w:szCs w:val="32"/>
          <w:highlight w:val="none"/>
          <w:lang w:eastAsia="zh-CN"/>
        </w:rPr>
        <w:t>财政拨款“三公”经费支出决算表</w:t>
      </w:r>
    </w:p>
    <w:p w14:paraId="095B3E22">
      <w:pPr>
        <w:pageBreakBefore w:val="0"/>
        <w:kinsoku/>
        <w:wordWrap/>
        <w:overflowPunct/>
        <w:topLinePunct w:val="0"/>
        <w:autoSpaceDE/>
        <w:autoSpaceDN/>
        <w:bidi w:val="0"/>
        <w:adjustRightInd w:val="0"/>
        <w:snapToGrid w:val="0"/>
        <w:spacing w:beforeAutospacing="0" w:afterAutospacing="0" w:line="576" w:lineRule="exact"/>
        <w:ind w:left="0" w:leftChars="0"/>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仿宋_GB2312"/>
    <w:panose1 w:val="02010601030101010101"/>
    <w:charset w:val="86"/>
    <w:family w:val="script"/>
    <w:pitch w:val="default"/>
    <w:sig w:usb0="00000000" w:usb1="0000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B3710">
    <w:pPr>
      <w:pStyle w:val="11"/>
      <w:jc w:val="center"/>
    </w:pPr>
  </w:p>
  <w:p w14:paraId="6AA066F2">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D60EB">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E45AC">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1F37F6">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91F37F6">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101A6597">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C03BC">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A84FF6">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6A84FF6">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3CC80">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wYzM4ODU2Mzc1NWJlMDFkNjNjMGNjOGVhYTRmNm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2AD"/>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490F70"/>
    <w:rsid w:val="02FEBE30"/>
    <w:rsid w:val="04916F1E"/>
    <w:rsid w:val="05AD312D"/>
    <w:rsid w:val="06123B46"/>
    <w:rsid w:val="061E35DE"/>
    <w:rsid w:val="066E0107"/>
    <w:rsid w:val="072B720E"/>
    <w:rsid w:val="073C25BC"/>
    <w:rsid w:val="07996F6E"/>
    <w:rsid w:val="07DFD8BA"/>
    <w:rsid w:val="08507045"/>
    <w:rsid w:val="095C5F85"/>
    <w:rsid w:val="09867E8F"/>
    <w:rsid w:val="0A2032A3"/>
    <w:rsid w:val="0C0E1224"/>
    <w:rsid w:val="0CA8290A"/>
    <w:rsid w:val="0D35B1ED"/>
    <w:rsid w:val="0E1A369D"/>
    <w:rsid w:val="0E254B6B"/>
    <w:rsid w:val="0F98263C"/>
    <w:rsid w:val="101860EC"/>
    <w:rsid w:val="101F47CC"/>
    <w:rsid w:val="10C055FF"/>
    <w:rsid w:val="11694EBD"/>
    <w:rsid w:val="11772AA4"/>
    <w:rsid w:val="118107EC"/>
    <w:rsid w:val="12E24EE2"/>
    <w:rsid w:val="12F215D5"/>
    <w:rsid w:val="13D50BC4"/>
    <w:rsid w:val="14B17F78"/>
    <w:rsid w:val="15EB5A61"/>
    <w:rsid w:val="165E0673"/>
    <w:rsid w:val="16B831D5"/>
    <w:rsid w:val="16BB723D"/>
    <w:rsid w:val="17E50567"/>
    <w:rsid w:val="186504BB"/>
    <w:rsid w:val="19A445FC"/>
    <w:rsid w:val="19D765F9"/>
    <w:rsid w:val="1BE8440E"/>
    <w:rsid w:val="1D0D107E"/>
    <w:rsid w:val="1D155CEE"/>
    <w:rsid w:val="1D1638FE"/>
    <w:rsid w:val="1D8F65AF"/>
    <w:rsid w:val="1E312DEB"/>
    <w:rsid w:val="1E740ACF"/>
    <w:rsid w:val="1E8F1309"/>
    <w:rsid w:val="1FF35744"/>
    <w:rsid w:val="1FF6BC77"/>
    <w:rsid w:val="20624ECF"/>
    <w:rsid w:val="2186353C"/>
    <w:rsid w:val="23860B96"/>
    <w:rsid w:val="240371BF"/>
    <w:rsid w:val="244F3473"/>
    <w:rsid w:val="24C97D99"/>
    <w:rsid w:val="25A718F0"/>
    <w:rsid w:val="25BB59F6"/>
    <w:rsid w:val="260F557C"/>
    <w:rsid w:val="26970054"/>
    <w:rsid w:val="281408E2"/>
    <w:rsid w:val="29E226D0"/>
    <w:rsid w:val="29FD04D3"/>
    <w:rsid w:val="2BEC351A"/>
    <w:rsid w:val="2BFF7BC6"/>
    <w:rsid w:val="2C8A61B5"/>
    <w:rsid w:val="2DF04E50"/>
    <w:rsid w:val="2E586DFA"/>
    <w:rsid w:val="2EC1158E"/>
    <w:rsid w:val="2F040D46"/>
    <w:rsid w:val="2F6B035B"/>
    <w:rsid w:val="2FAE5751"/>
    <w:rsid w:val="2FB1A395"/>
    <w:rsid w:val="2FD9A7D8"/>
    <w:rsid w:val="2FDBF714"/>
    <w:rsid w:val="30AB6865"/>
    <w:rsid w:val="319F7F4E"/>
    <w:rsid w:val="32BD1EF1"/>
    <w:rsid w:val="3304709D"/>
    <w:rsid w:val="33A773CB"/>
    <w:rsid w:val="349D6851"/>
    <w:rsid w:val="34C3312E"/>
    <w:rsid w:val="35BB7779"/>
    <w:rsid w:val="36AA5135"/>
    <w:rsid w:val="36BE0DA7"/>
    <w:rsid w:val="376B6AA6"/>
    <w:rsid w:val="376D39B2"/>
    <w:rsid w:val="37E16F03"/>
    <w:rsid w:val="37F53A3B"/>
    <w:rsid w:val="389B6C89"/>
    <w:rsid w:val="389F3360"/>
    <w:rsid w:val="38D469F0"/>
    <w:rsid w:val="39627CCD"/>
    <w:rsid w:val="397BAF1F"/>
    <w:rsid w:val="3A244374"/>
    <w:rsid w:val="3AB79AF3"/>
    <w:rsid w:val="3AE834C0"/>
    <w:rsid w:val="3B7EF35A"/>
    <w:rsid w:val="3B9B2443"/>
    <w:rsid w:val="3B9FDB6C"/>
    <w:rsid w:val="3BF5BC2F"/>
    <w:rsid w:val="3CEBA265"/>
    <w:rsid w:val="3D98207C"/>
    <w:rsid w:val="3DEE7CF3"/>
    <w:rsid w:val="3E740A63"/>
    <w:rsid w:val="3E78745D"/>
    <w:rsid w:val="3EE17838"/>
    <w:rsid w:val="3F55381A"/>
    <w:rsid w:val="3F7F7599"/>
    <w:rsid w:val="3FF4CAE0"/>
    <w:rsid w:val="3FF7B227"/>
    <w:rsid w:val="41010153"/>
    <w:rsid w:val="419D08EC"/>
    <w:rsid w:val="41E94F49"/>
    <w:rsid w:val="42E04997"/>
    <w:rsid w:val="44E268DA"/>
    <w:rsid w:val="450D13D7"/>
    <w:rsid w:val="45506656"/>
    <w:rsid w:val="45594D66"/>
    <w:rsid w:val="47097966"/>
    <w:rsid w:val="47256011"/>
    <w:rsid w:val="47F3195A"/>
    <w:rsid w:val="486A6C7A"/>
    <w:rsid w:val="4A627F82"/>
    <w:rsid w:val="4AF90190"/>
    <w:rsid w:val="4B0E749A"/>
    <w:rsid w:val="4B2477C4"/>
    <w:rsid w:val="4B4F25DA"/>
    <w:rsid w:val="4BE068DB"/>
    <w:rsid w:val="4C4B5B2C"/>
    <w:rsid w:val="4D577224"/>
    <w:rsid w:val="4D622C21"/>
    <w:rsid w:val="4DBF1CEB"/>
    <w:rsid w:val="4DF0007C"/>
    <w:rsid w:val="4EAB630A"/>
    <w:rsid w:val="4ECE2238"/>
    <w:rsid w:val="4F833267"/>
    <w:rsid w:val="4FE9BD67"/>
    <w:rsid w:val="4FFB052F"/>
    <w:rsid w:val="537E6D0A"/>
    <w:rsid w:val="53F74C96"/>
    <w:rsid w:val="54BE21D3"/>
    <w:rsid w:val="55170BA8"/>
    <w:rsid w:val="553218C9"/>
    <w:rsid w:val="567E1AA5"/>
    <w:rsid w:val="56E47B74"/>
    <w:rsid w:val="57175D52"/>
    <w:rsid w:val="57BD3DD4"/>
    <w:rsid w:val="5A3F3704"/>
    <w:rsid w:val="5AAB3C13"/>
    <w:rsid w:val="5AF92295"/>
    <w:rsid w:val="5B250254"/>
    <w:rsid w:val="5BDD79E6"/>
    <w:rsid w:val="5BF561CA"/>
    <w:rsid w:val="5BFF5DFC"/>
    <w:rsid w:val="5C805C1B"/>
    <w:rsid w:val="5CD71FC4"/>
    <w:rsid w:val="5D1F11B5"/>
    <w:rsid w:val="5D695134"/>
    <w:rsid w:val="5DAE1B18"/>
    <w:rsid w:val="5DE7D9E5"/>
    <w:rsid w:val="5ECEC941"/>
    <w:rsid w:val="5FBF9FF3"/>
    <w:rsid w:val="5FCD4E2C"/>
    <w:rsid w:val="5FEF394A"/>
    <w:rsid w:val="5FF67715"/>
    <w:rsid w:val="61A93EFC"/>
    <w:rsid w:val="62BF3928"/>
    <w:rsid w:val="63846F89"/>
    <w:rsid w:val="63B3701E"/>
    <w:rsid w:val="63D25C9F"/>
    <w:rsid w:val="64575310"/>
    <w:rsid w:val="647F5392"/>
    <w:rsid w:val="64CF54E7"/>
    <w:rsid w:val="65501829"/>
    <w:rsid w:val="65E66580"/>
    <w:rsid w:val="65FB6A09"/>
    <w:rsid w:val="664B1D71"/>
    <w:rsid w:val="664B4E8E"/>
    <w:rsid w:val="67277B67"/>
    <w:rsid w:val="67AA3209"/>
    <w:rsid w:val="698D0931"/>
    <w:rsid w:val="6A7FE5F3"/>
    <w:rsid w:val="6AC10859"/>
    <w:rsid w:val="6B053271"/>
    <w:rsid w:val="6BA56F9F"/>
    <w:rsid w:val="6BDD78B3"/>
    <w:rsid w:val="6C4A05C8"/>
    <w:rsid w:val="6C8742B8"/>
    <w:rsid w:val="6DBF5E93"/>
    <w:rsid w:val="6DF326DD"/>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17341C"/>
    <w:rsid w:val="72233669"/>
    <w:rsid w:val="72734D90"/>
    <w:rsid w:val="73160E6D"/>
    <w:rsid w:val="7332FE48"/>
    <w:rsid w:val="735A6835"/>
    <w:rsid w:val="73AB61DA"/>
    <w:rsid w:val="73AD73D5"/>
    <w:rsid w:val="73B6EB34"/>
    <w:rsid w:val="73FA497D"/>
    <w:rsid w:val="744731E5"/>
    <w:rsid w:val="74BBD01D"/>
    <w:rsid w:val="74ED5379"/>
    <w:rsid w:val="75DEEEC2"/>
    <w:rsid w:val="75E32345"/>
    <w:rsid w:val="76E3355F"/>
    <w:rsid w:val="76FF5125"/>
    <w:rsid w:val="776F6FFA"/>
    <w:rsid w:val="778769C8"/>
    <w:rsid w:val="77A75DCA"/>
    <w:rsid w:val="77B2242B"/>
    <w:rsid w:val="77DC22F5"/>
    <w:rsid w:val="783E271A"/>
    <w:rsid w:val="78616DE9"/>
    <w:rsid w:val="788704F3"/>
    <w:rsid w:val="78CE3685"/>
    <w:rsid w:val="78D300F2"/>
    <w:rsid w:val="78DB2E18"/>
    <w:rsid w:val="78E875D7"/>
    <w:rsid w:val="79086DAD"/>
    <w:rsid w:val="79D7FD79"/>
    <w:rsid w:val="79EE5BA4"/>
    <w:rsid w:val="7A894339"/>
    <w:rsid w:val="7AD284E8"/>
    <w:rsid w:val="7AFF7572"/>
    <w:rsid w:val="7B387319"/>
    <w:rsid w:val="7B6C7DFB"/>
    <w:rsid w:val="7BBFBED0"/>
    <w:rsid w:val="7BC3E394"/>
    <w:rsid w:val="7C1F3737"/>
    <w:rsid w:val="7CBFC87B"/>
    <w:rsid w:val="7CFE0F48"/>
    <w:rsid w:val="7D272ABC"/>
    <w:rsid w:val="7D7EC23E"/>
    <w:rsid w:val="7DF900BD"/>
    <w:rsid w:val="7E8ADEBF"/>
    <w:rsid w:val="7EEF11D3"/>
    <w:rsid w:val="7EFE4840"/>
    <w:rsid w:val="7F0971A6"/>
    <w:rsid w:val="7F1D62E7"/>
    <w:rsid w:val="7F3F679B"/>
    <w:rsid w:val="7F4FC4EF"/>
    <w:rsid w:val="7F5E4D54"/>
    <w:rsid w:val="7F6E0135"/>
    <w:rsid w:val="7F79F205"/>
    <w:rsid w:val="7F806BDB"/>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5"/>
    <w:unhideWhenUsed/>
    <w:qFormat/>
    <w:uiPriority w:val="9"/>
    <w:pPr>
      <w:keepNext/>
      <w:keepLines/>
      <w:spacing w:before="260" w:after="260" w:line="416" w:lineRule="auto"/>
      <w:outlineLvl w:val="2"/>
    </w:pPr>
    <w:rPr>
      <w:b/>
      <w:bCs/>
      <w:sz w:val="32"/>
      <w:szCs w:val="32"/>
    </w:rPr>
  </w:style>
  <w:style w:type="paragraph" w:styleId="7">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9">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8">
    <w:name w:val="Body Text"/>
    <w:basedOn w:val="1"/>
    <w:link w:val="28"/>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4"/>
    <w:semiHidden/>
    <w:unhideWhenUsed/>
    <w:qFormat/>
    <w:uiPriority w:val="99"/>
    <w:rPr>
      <w:sz w:val="18"/>
      <w:szCs w:val="18"/>
    </w:rPr>
  </w:style>
  <w:style w:type="paragraph" w:styleId="11">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2"/>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7">
    <w:name w:val="Body Text First Indent"/>
    <w:basedOn w:val="8"/>
    <w:qFormat/>
    <w:uiPriority w:val="99"/>
    <w:pPr>
      <w:tabs>
        <w:tab w:val="left" w:pos="2160"/>
      </w:tabs>
      <w:ind w:firstLineChars="100"/>
    </w:p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2"/>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1"/>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8"/>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4"/>
    <w:qFormat/>
    <w:uiPriority w:val="9"/>
    <w:rPr>
      <w:rFonts w:ascii="Times New Roman" w:hAnsi="Times New Roman"/>
      <w:b/>
      <w:bCs/>
      <w:kern w:val="44"/>
      <w:sz w:val="44"/>
      <w:szCs w:val="44"/>
    </w:rPr>
  </w:style>
  <w:style w:type="character" w:customStyle="1" w:styleId="32">
    <w:name w:val="标题 2 Char"/>
    <w:basedOn w:val="19"/>
    <w:link w:val="5"/>
    <w:qFormat/>
    <w:uiPriority w:val="9"/>
    <w:rPr>
      <w:rFonts w:asciiTheme="majorHAnsi" w:hAnsiTheme="majorHAnsi" w:eastAsiaTheme="majorEastAsia" w:cstheme="majorBidi"/>
      <w:b/>
      <w:bCs/>
      <w:kern w:val="2"/>
      <w:sz w:val="32"/>
      <w:szCs w:val="32"/>
    </w:rPr>
  </w:style>
  <w:style w:type="paragraph" w:customStyle="1" w:styleId="33">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0"/>
    <w:semiHidden/>
    <w:qFormat/>
    <w:uiPriority w:val="99"/>
    <w:rPr>
      <w:rFonts w:ascii="Times New Roman" w:hAnsi="Times New Roman"/>
      <w:kern w:val="2"/>
      <w:sz w:val="18"/>
      <w:szCs w:val="18"/>
    </w:rPr>
  </w:style>
  <w:style w:type="character" w:customStyle="1" w:styleId="35">
    <w:name w:val="标题 3 Char"/>
    <w:basedOn w:val="19"/>
    <w:link w:val="6"/>
    <w:qFormat/>
    <w:uiPriority w:val="9"/>
    <w:rPr>
      <w:rFonts w:ascii="Times New Roman" w:hAnsi="Times New Roman"/>
      <w:b/>
      <w:bCs/>
      <w:kern w:val="2"/>
      <w:sz w:val="32"/>
      <w:szCs w:val="32"/>
    </w:rPr>
  </w:style>
  <w:style w:type="paragraph" w:customStyle="1" w:styleId="36">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8">
    <w:name w:val="_Style 35"/>
    <w:basedOn w:val="1"/>
    <w:next w:val="1"/>
    <w:qFormat/>
    <w:uiPriority w:val="0"/>
    <w:pPr>
      <w:pBdr>
        <w:bottom w:val="single" w:color="auto" w:sz="6" w:space="1"/>
      </w:pBdr>
      <w:jc w:val="center"/>
    </w:pPr>
    <w:rPr>
      <w:rFonts w:ascii="Arial" w:eastAsia="宋体"/>
      <w:vanish/>
      <w:sz w:val="16"/>
    </w:rPr>
  </w:style>
  <w:style w:type="paragraph" w:customStyle="1" w:styleId="39">
    <w:name w:val="_Style 36"/>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2.wmf"/><Relationship Id="rId24" Type="http://schemas.openxmlformats.org/officeDocument/2006/relationships/control" Target="activeX/activeX9.xml"/><Relationship Id="rId23" Type="http://schemas.openxmlformats.org/officeDocument/2006/relationships/control" Target="activeX/activeX8.xml"/><Relationship Id="rId22" Type="http://schemas.openxmlformats.org/officeDocument/2006/relationships/control" Target="activeX/activeX7.xml"/><Relationship Id="rId21" Type="http://schemas.openxmlformats.org/officeDocument/2006/relationships/control" Target="activeX/activeX6.xml"/><Relationship Id="rId20" Type="http://schemas.openxmlformats.org/officeDocument/2006/relationships/control" Target="activeX/activeX5.xml"/><Relationship Id="rId2" Type="http://schemas.openxmlformats.org/officeDocument/2006/relationships/settings" Target="settings.xml"/><Relationship Id="rId19" Type="http://schemas.openxmlformats.org/officeDocument/2006/relationships/control" Target="activeX/activeX4.xml"/><Relationship Id="rId18" Type="http://schemas.openxmlformats.org/officeDocument/2006/relationships/control" Target="activeX/activeX3.xml"/><Relationship Id="rId17" Type="http://schemas.openxmlformats.org/officeDocument/2006/relationships/control" Target="activeX/activeX2.xml"/><Relationship Id="rId16" Type="http://schemas.openxmlformats.org/officeDocument/2006/relationships/image" Target="media/image1.wmf"/><Relationship Id="rId15" Type="http://schemas.openxmlformats.org/officeDocument/2006/relationships/control" Target="activeX/activeX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3.bin"/></Relationships>
</file>

<file path=word/activeX/_rels/activeX3.xml.rels><?xml version="1.0" encoding="UTF-8" standalone="yes"?>
<Relationships xmlns="http://schemas.openxmlformats.org/package/2006/relationships"><Relationship Id="rId1" Type="http://schemas.microsoft.com/office/2006/relationships/activeXControlBinary" Target="activeX4.bin"/></Relationships>
</file>

<file path=word/activeX/_rels/activeX4.xml.rels><?xml version="1.0" encoding="UTF-8" standalone="yes"?>
<Relationships xmlns="http://schemas.openxmlformats.org/package/2006/relationships"><Relationship Id="rId1" Type="http://schemas.microsoft.com/office/2006/relationships/activeXControlBinary" Target="activeX5.bin"/></Relationships>
</file>

<file path=word/activeX/_rels/activeX5.xml.rels><?xml version="1.0" encoding="UTF-8" standalone="yes"?>
<Relationships xmlns="http://schemas.openxmlformats.org/package/2006/relationships"><Relationship Id="rId1" Type="http://schemas.microsoft.com/office/2006/relationships/activeXControlBinary" Target="activeX6.bin"/></Relationships>
</file>

<file path=word/activeX/_rels/activeX6.xml.rels><?xml version="1.0" encoding="UTF-8" standalone="yes"?>
<Relationships xmlns="http://schemas.openxmlformats.org/package/2006/relationships"><Relationship Id="rId1" Type="http://schemas.microsoft.com/office/2006/relationships/activeXControlBinary" Target="activeX7.bin"/></Relationships>
</file>

<file path=word/activeX/_rels/activeX7.xml.rels><?xml version="1.0" encoding="UTF-8" standalone="yes"?>
<Relationships xmlns="http://schemas.openxmlformats.org/package/2006/relationships"><Relationship Id="rId1" Type="http://schemas.microsoft.com/office/2006/relationships/activeXControlBinary" Target="activeX2.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r:id="rId1" ax:persistence="persistStorage"/>
</file>

<file path=word/activeX/activeX2.xml><?xml version="1.0" encoding="utf-8"?>
<ax:ocx xmlns:ax="http://schemas.microsoft.com/office/2006/activeX" xmlns:r="http://schemas.openxmlformats.org/officeDocument/2006/relationships" ax:classid="{5512D11A-5CC6-11CF-8D67-00AA00BDCE1D}" r:id="rId1" ax:persistence="persistStorage"/>
</file>

<file path=word/activeX/activeX3.xml><?xml version="1.0" encoding="utf-8"?>
<ax:ocx xmlns:ax="http://schemas.microsoft.com/office/2006/activeX" xmlns:r="http://schemas.openxmlformats.org/officeDocument/2006/relationships" ax:classid="{5512D11A-5CC6-11CF-8D67-00AA00BDCE1D}" r:id="rId1" ax:persistence="persistStorage"/>
</file>

<file path=word/activeX/activeX4.xml><?xml version="1.0" encoding="utf-8"?>
<ax:ocx xmlns:ax="http://schemas.microsoft.com/office/2006/activeX" xmlns:r="http://schemas.openxmlformats.org/officeDocument/2006/relationships" ax:classid="{5512D11A-5CC6-11CF-8D67-00AA00BDCE1D}" r:id="rId1" ax:persistence="persistStorage"/>
</file>

<file path=word/activeX/activeX5.xml><?xml version="1.0" encoding="utf-8"?>
<ax:ocx xmlns:ax="http://schemas.microsoft.com/office/2006/activeX" xmlns:r="http://schemas.openxmlformats.org/officeDocument/2006/relationships" ax:classid="{5512D11A-5CC6-11CF-8D67-00AA00BDCE1D}" r:id="rId1" ax:persistence="persistStorage"/>
</file>

<file path=word/activeX/activeX6.xml><?xml version="1.0" encoding="utf-8"?>
<ax:ocx xmlns:ax="http://schemas.microsoft.com/office/2006/activeX" xmlns:r="http://schemas.openxmlformats.org/officeDocument/2006/relationships" ax:classid="{5512D11A-5CC6-11CF-8D67-00AA00BDCE1D}" r:id="rId1" ax:persistence="persistStorage"/>
</file>

<file path=word/activeX/activeX7.xml><?xml version="1.0" encoding="utf-8"?>
<ax:ocx xmlns:ax="http://schemas.microsoft.com/office/2006/activeX" xmlns:r="http://schemas.openxmlformats.org/officeDocument/2006/relationships" ax:classid="{5512D11A-5CC6-11CF-8D67-00AA00BDCE1D}" r:id="rId1" ax:persistence="persistStorage"/>
</file>

<file path=word/activeX/activeX8.xml><?xml version="1.0" encoding="utf-8"?>
<ax:ocx xmlns:ax="http://schemas.microsoft.com/office/2006/activeX" xmlns:r="http://schemas.openxmlformats.org/officeDocument/2006/relationships" ax:classid="{5512D11A-5CC6-11CF-8D67-00AA00BDCE1D}" r:id="rId1" ax:persistence="persistStorage"/>
</file>

<file path=word/activeX/activeX9.xml><?xml version="1.0" encoding="utf-8"?>
<ax:ocx xmlns:ax="http://schemas.microsoft.com/office/2006/activeX" xmlns:r="http://schemas.openxmlformats.org/officeDocument/2006/relationships" ax:classid="{5512D124-5CC6-11CF-8D67-00AA00BDCE1D}" r:id="rId1" ax:persistence="persistStorage"/>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r>
              <a:rPr lang="en-US" altLang="zh-CN"/>
              <a:t>1</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manualLayout>
          <c:layoutTarget val="inner"/>
          <c:xMode val="edge"/>
          <c:yMode val="edge"/>
          <c:x val="0.0599227058710623"/>
          <c:y val="0.288463658457145"/>
          <c:w val="0.93254490485506"/>
          <c:h val="0.489940119760479"/>
        </c:manualLayout>
      </c:layout>
      <c:barChart>
        <c:barDir val="col"/>
        <c:grouping val="clustered"/>
        <c:varyColors val="0"/>
        <c:ser>
          <c:idx val="0"/>
          <c:order val="0"/>
          <c:tx>
            <c:strRef>
              <c:f>Sheet1!$B$1</c:f>
              <c:strCache>
                <c:ptCount val="1"/>
                <c:pt idx="0">
                  <c:v>收、支决算总计变动情况图</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23年收入</c:v>
                </c:pt>
                <c:pt idx="1">
                  <c:v>24年收入</c:v>
                </c:pt>
              </c:strCache>
            </c:strRef>
          </c:cat>
          <c:val>
            <c:numRef>
              <c:f>Sheet1!$B$2:$B$3</c:f>
              <c:numCache>
                <c:formatCode>General</c:formatCode>
                <c:ptCount val="2"/>
                <c:pt idx="0">
                  <c:v>169.77</c:v>
                </c:pt>
                <c:pt idx="1">
                  <c:v>163.76</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b6f7340-041d-4c3d-b6c7-6de1bc33c61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a:t>
            </a:r>
            <a:r>
              <a:rPr lang="en-US" altLang="zh-CN"/>
              <a:t>24</a:t>
            </a:r>
            <a:r>
              <a:t>年全年收入结构图</a:t>
            </a:r>
            <a:r>
              <a:rPr lang="en-US" altLang="zh-CN"/>
              <a:t>2</a:t>
            </a:r>
            <a:endParaRPr lang="en-US" altLang="zh-CN"/>
          </a:p>
        </c:rich>
      </c:tx>
      <c:layout>
        <c:manualLayout>
          <c:xMode val="edge"/>
          <c:yMode val="edge"/>
          <c:x val="0.35063130684392"/>
          <c:y val="0.0702885829656318"/>
        </c:manualLayout>
      </c:layout>
      <c:overlay val="0"/>
      <c:spPr>
        <a:noFill/>
        <a:ln>
          <a:noFill/>
        </a:ln>
        <a:effectLst/>
      </c:spPr>
    </c:title>
    <c:autoTitleDeleted val="0"/>
    <c:plotArea>
      <c:layout/>
      <c:pieChart>
        <c:varyColors val="1"/>
        <c:ser>
          <c:idx val="0"/>
          <c:order val="0"/>
          <c:tx>
            <c:strRef>
              <c:f>Sheet1!$B$1</c:f>
              <c:strCache>
                <c:ptCount val="1"/>
                <c:pt idx="0">
                  <c:v>2024年本年收入结构图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事业收入</c:v>
                </c:pt>
              </c:strCache>
            </c:strRef>
          </c:cat>
          <c:val>
            <c:numRef>
              <c:f>Sheet1!$B$2:$B$3</c:f>
              <c:numCache>
                <c:formatCode>General</c:formatCode>
                <c:ptCount val="2"/>
                <c:pt idx="0">
                  <c:v>163.76</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6337601078167"/>
          <c:y val="0.851249273678094"/>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578b7a3-08d9-45fe-ad6b-0ba14c6d435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a:t>
            </a:r>
            <a:r>
              <a:rPr lang="en-US" altLang="zh-CN"/>
              <a:t>4</a:t>
            </a:r>
            <a:r>
              <a:t>年本年支出结构图</a:t>
            </a:r>
            <a:r>
              <a:rPr lang="en-US" altLang="zh-CN"/>
              <a:t>3</a:t>
            </a:r>
            <a:endParaRPr lang="en-US" altLang="zh-CN"/>
          </a:p>
        </c:rich>
      </c:tx>
      <c:layout>
        <c:manualLayout>
          <c:xMode val="edge"/>
          <c:yMode val="edge"/>
          <c:x val="0.353507374475086"/>
          <c:y val="0.105891866662585"/>
        </c:manualLayout>
      </c:layout>
      <c:overlay val="0"/>
      <c:spPr>
        <a:noFill/>
        <a:ln>
          <a:noFill/>
        </a:ln>
        <a:effectLst/>
      </c:spPr>
    </c:title>
    <c:autoTitleDeleted val="0"/>
    <c:plotArea>
      <c:layout/>
      <c:pieChart>
        <c:varyColors val="1"/>
        <c:ser>
          <c:idx val="0"/>
          <c:order val="0"/>
          <c:tx>
            <c:strRef>
              <c:f>Sheet1!$B$1</c:f>
              <c:strCache>
                <c:ptCount val="1"/>
                <c:pt idx="0">
                  <c:v>2023年本年支出结构图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162.92</c:v>
                </c:pt>
                <c:pt idx="1">
                  <c:v>0.83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6337601078167"/>
          <c:y val="0.851249273678094"/>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d9269cb-0597-442d-96e5-9916bf3c814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r>
              <a:rPr lang="en-US" altLang="zh-CN"/>
              <a:t>4</a:t>
            </a:r>
            <a:endParaRPr lang="en-US" altLang="zh-CN"/>
          </a:p>
        </c:rich>
      </c:tx>
      <c:layout>
        <c:manualLayout>
          <c:xMode val="edge"/>
          <c:yMode val="edge"/>
          <c:x val="0.331424477749131"/>
          <c:y val="0.15231158961368"/>
        </c:manualLayout>
      </c:layout>
      <c:overlay val="0"/>
      <c:spPr>
        <a:noFill/>
        <a:ln>
          <a:noFill/>
        </a:ln>
        <a:effectLst/>
      </c:spPr>
    </c:title>
    <c:autoTitleDeleted val="0"/>
    <c:plotArea>
      <c:layout>
        <c:manualLayout>
          <c:layoutTarget val="inner"/>
          <c:xMode val="edge"/>
          <c:yMode val="edge"/>
          <c:x val="0.0416681486750845"/>
          <c:y val="0.406903103229892"/>
          <c:w val="0.93254490485506"/>
          <c:h val="0.462127929069031"/>
        </c:manualLayout>
      </c:layout>
      <c:barChart>
        <c:barDir val="col"/>
        <c:grouping val="clustered"/>
        <c:varyColors val="0"/>
        <c:ser>
          <c:idx val="0"/>
          <c:order val="0"/>
          <c:tx>
            <c:strRef>
              <c:f>Sheet1!$B$1</c:f>
              <c:strCache>
                <c:ptCount val="1"/>
                <c:pt idx="0">
                  <c:v>财政拨款收支决算总计变动情况图</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24年财政收入</c:v>
                </c:pt>
                <c:pt idx="1">
                  <c:v>23年财政收入</c:v>
                </c:pt>
              </c:strCache>
            </c:strRef>
          </c:cat>
          <c:val>
            <c:numRef>
              <c:f>Sheet1!$B$2:$B$4</c:f>
              <c:numCache>
                <c:formatCode>General</c:formatCode>
                <c:ptCount val="3"/>
                <c:pt idx="0">
                  <c:v>163.76</c:v>
                </c:pt>
                <c:pt idx="1">
                  <c:v>169.77</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plotVisOnly val="1"/>
    <c:dispBlanksAs val="gap"/>
    <c:showDLblsOverMax val="0"/>
    <c:extLst>
      <c:ext uri="{0b15fc19-7d7d-44ad-8c2d-2c3a37ce22c3}">
        <chartProps xmlns="https://web.wps.cn/et/2018/main" chartId="{6dd23a76-eb2f-4be0-b8ed-032d716e4d1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r>
              <a:rPr lang="en-US" altLang="zh-CN"/>
              <a:t>5</a:t>
            </a:r>
            <a:endParaRPr lang="en-US" altLang="zh-CN"/>
          </a:p>
        </c:rich>
      </c:tx>
      <c:layout>
        <c:manualLayout>
          <c:xMode val="edge"/>
          <c:yMode val="edge"/>
          <c:x val="0.163758467763102"/>
          <c:y val="0.00898203592814371"/>
        </c:manualLayout>
      </c:layout>
      <c:overlay val="0"/>
      <c:spPr>
        <a:noFill/>
        <a:ln>
          <a:noFill/>
        </a:ln>
        <a:effectLst/>
      </c:spPr>
    </c:title>
    <c:autoTitleDeleted val="0"/>
    <c:plotArea>
      <c:layout>
        <c:manualLayout>
          <c:layoutTarget val="inner"/>
          <c:xMode val="edge"/>
          <c:yMode val="edge"/>
          <c:x val="0.0641228725524707"/>
          <c:y val="0.361033454648422"/>
          <c:w val="0.93254490485506"/>
          <c:h val="0.489940119760479"/>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23年财政支出</c:v>
                </c:pt>
                <c:pt idx="1">
                  <c:v>24年财政支出</c:v>
                </c:pt>
              </c:strCache>
            </c:strRef>
          </c:cat>
          <c:val>
            <c:numRef>
              <c:f>Sheet1!$B$2:$B$3</c:f>
              <c:numCache>
                <c:formatCode>General</c:formatCode>
                <c:ptCount val="2"/>
                <c:pt idx="0">
                  <c:v>169.77</c:v>
                </c:pt>
                <c:pt idx="1">
                  <c:v>163.76</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legend>
      <c:legendPos val="b"/>
      <c:layout>
        <c:manualLayout>
          <c:xMode val="edge"/>
          <c:yMode val="edge"/>
          <c:x val="0.344692005242464"/>
          <c:y val="0.20658682634730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53be307-7bf7-4b74-b760-efe2f9ad896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r>
              <a:rPr lang="en-US" altLang="zh-CN"/>
              <a:t>6</a:t>
            </a:r>
            <a:endParaRPr lang="en-US" altLang="zh-CN"/>
          </a:p>
        </c:rich>
      </c:tx>
      <c:layout>
        <c:manualLayout>
          <c:xMode val="edge"/>
          <c:yMode val="edge"/>
          <c:x val="0.211185845761702"/>
          <c:y val="0.0611432706222865"/>
        </c:manualLayout>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社会保障和就业类</c:v>
                </c:pt>
                <c:pt idx="1">
                  <c:v>卫生健康支出</c:v>
                </c:pt>
                <c:pt idx="2">
                  <c:v>住房保障支出</c:v>
                </c:pt>
              </c:strCache>
            </c:strRef>
          </c:cat>
          <c:val>
            <c:numRef>
              <c:f>Sheet1!$B$2:$B$4</c:f>
              <c:numCache>
                <c:formatCode>General</c:formatCode>
                <c:ptCount val="3"/>
                <c:pt idx="0">
                  <c:v>22.01</c:v>
                </c:pt>
                <c:pt idx="1">
                  <c:v>128.65</c:v>
                </c:pt>
                <c:pt idx="2">
                  <c:v>13.1</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社会保障和就业类</c:v>
                </c:pt>
                <c:pt idx="1">
                  <c:v>卫生健康支出</c:v>
                </c:pt>
                <c:pt idx="2">
                  <c:v>住房保障支出</c:v>
                </c:pt>
              </c:strCache>
            </c:strRef>
          </c:cat>
          <c:val>
            <c:numRef>
              <c:f>Sheet1!$C$2:$C$4</c:f>
              <c:numCache>
                <c:formatCode>General</c:formatCode>
                <c:ptCount val="3"/>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4463270481951"/>
          <c:y val="0.84533211391478"/>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a837612-00d3-405e-97a5-ab14a33a1f5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8497</Words>
  <Characters>9258</Characters>
  <Lines>61</Lines>
  <Paragraphs>17</Paragraphs>
  <TotalTime>5</TotalTime>
  <ScaleCrop>false</ScaleCrop>
  <LinksUpToDate>false</LinksUpToDate>
  <CharactersWithSpaces>9312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2025-09-29T02:03:47Z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92E0F5989D9F4B3190B257F9F294EA01_13</vt:lpwstr>
  </property>
  <property fmtid="{D5CDD505-2E9C-101B-9397-08002B2CF9AE}" pid="4" name="KSOTemplateDocerSaveRecord">
    <vt:lpwstr>eyJoZGlkIjoiZDBjMmFlOGNmNWFiYWRmY2RmY2NjOWQ1MWI5ODQ0MWQifQ==</vt:lpwstr>
  </property>
</Properties>
</file>