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2"/>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77193"/>
      <w:bookmarkStart w:id="1" w:name="_Toc15306267"/>
      <w:bookmarkStart w:id="2" w:name="_Toc15377425"/>
      <w:bookmarkStart w:id="3" w:name="_Toc15396475"/>
      <w:bookmarkStart w:id="4" w:name="_Toc15378441"/>
      <w:bookmarkStart w:id="5" w:name="_Toc15396597"/>
    </w:p>
    <w:bookmarkEnd w:id="0"/>
    <w:bookmarkEnd w:id="1"/>
    <w:bookmarkEnd w:id="2"/>
    <w:bookmarkEnd w:id="3"/>
    <w:bookmarkEnd w:id="4"/>
    <w:bookmarkEnd w:id="5"/>
    <w:p>
      <w:pPr>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sz w:val="72"/>
          <w:szCs w:val="72"/>
        </w:rPr>
      </w:pPr>
    </w:p>
    <w:p>
      <w:pPr>
        <w:pStyle w:val="18"/>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p>
    <w:p>
      <w:pPr>
        <w:pStyle w:val="18"/>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四川省</w:t>
      </w:r>
      <w:r>
        <w:rPr>
          <w:rFonts w:hint="eastAsia" w:ascii="方正小标宋简体" w:hAnsi="方正小标宋简体" w:eastAsia="方正小标宋简体" w:cs="方正小标宋简体"/>
          <w:sz w:val="44"/>
          <w:szCs w:val="44"/>
        </w:rPr>
        <w:t>阿坝州</w:t>
      </w:r>
      <w:r>
        <w:rPr>
          <w:rFonts w:hint="eastAsia" w:ascii="方正小标宋简体" w:hAnsi="方正小标宋简体" w:eastAsia="方正小标宋简体" w:cs="方正小标宋简体"/>
          <w:sz w:val="44"/>
          <w:szCs w:val="44"/>
          <w:lang w:val="en-US" w:eastAsia="zh-CN"/>
        </w:rPr>
        <w:t>红原县医疗保障局</w:t>
      </w:r>
    </w:p>
    <w:p>
      <w:pPr>
        <w:pStyle w:val="18"/>
        <w:pageBreakBefore w:val="0"/>
        <w:shd w:val="clear" w:color="auto" w:fill="FFFFFF"/>
        <w:kinsoku/>
        <w:wordWrap/>
        <w:overflowPunct/>
        <w:topLinePunct w:val="0"/>
        <w:bidi w:val="0"/>
        <w:spacing w:before="0" w:beforeAutospacing="0" w:after="0" w:afterAutospacing="0" w:line="576" w:lineRule="exact"/>
        <w:ind w:left="0" w:leftChars="0" w:right="0"/>
        <w:jc w:val="center"/>
        <w:rPr>
          <w:rFonts w:hint="default" w:ascii="仿宋_GB2312" w:hAnsi="仿宋_GB2312" w:eastAsia="方正小标宋简体" w:cs="仿宋_GB2312"/>
          <w:sz w:val="36"/>
          <w:szCs w:val="36"/>
          <w:lang w:val="en-US" w:eastAsia="zh-CN"/>
        </w:rPr>
      </w:pPr>
      <w:r>
        <w:rPr>
          <w:rFonts w:hint="eastAsia" w:ascii="方正小标宋简体" w:hAnsi="方正小标宋简体" w:eastAsia="方正小标宋简体" w:cs="方正小标宋简体"/>
          <w:sz w:val="44"/>
          <w:szCs w:val="44"/>
        </w:rPr>
        <w:t>部门决算</w:t>
      </w:r>
      <w:r>
        <w:rPr>
          <w:rFonts w:hint="eastAsia" w:ascii="方正小标宋简体" w:hAnsi="方正小标宋简体" w:eastAsia="方正小标宋简体" w:cs="方正小标宋简体"/>
          <w:sz w:val="44"/>
          <w:szCs w:val="44"/>
          <w:lang w:val="en-US" w:eastAsia="zh-CN"/>
        </w:rPr>
        <w:t>公开编制说明</w:t>
      </w: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18"/>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shd w:val="clear" w:color="auto" w:fill="FFFFFF"/>
        </w:rPr>
      </w:pPr>
    </w:p>
    <w:p>
      <w:pPr>
        <w:pStyle w:val="18"/>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shd w:val="clear" w:color="auto" w:fill="FFFFFF"/>
        </w:rPr>
      </w:pPr>
    </w:p>
    <w:p>
      <w:pPr>
        <w:pStyle w:val="18"/>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shd w:val="clear" w:color="auto" w:fill="FFFFFF"/>
        </w:rPr>
      </w:pPr>
    </w:p>
    <w:p>
      <w:pPr>
        <w:pStyle w:val="18"/>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shd w:val="clear" w:color="auto" w:fill="FFFFFF"/>
        </w:rPr>
      </w:pPr>
    </w:p>
    <w:p>
      <w:pPr>
        <w:pStyle w:val="18"/>
        <w:pageBreakBefore w:val="0"/>
        <w:widowControl/>
        <w:kinsoku/>
        <w:wordWrap/>
        <w:overflowPunct/>
        <w:topLinePunct w:val="0"/>
        <w:bidi w:val="0"/>
        <w:spacing w:before="0" w:beforeAutospacing="0" w:after="0" w:afterAutospacing="0" w:line="576" w:lineRule="exact"/>
        <w:ind w:left="0" w:leftChars="0" w:right="0"/>
        <w:rPr>
          <w:rFonts w:hint="eastAsia" w:ascii="仿宋_GB2312" w:hAnsi="仿宋_GB2312" w:eastAsia="仿宋_GB2312" w:cs="仿宋_GB2312"/>
        </w:rPr>
      </w:pPr>
      <w:r>
        <w:rPr>
          <w:rFonts w:hint="eastAsia" w:ascii="仿宋_GB2312" w:hAnsi="仿宋_GB2312" w:eastAsia="仿宋_GB2312" w:cs="仿宋_GB2312"/>
          <w:shd w:val="clear" w:color="auto" w:fill="FFFFFF"/>
        </w:rPr>
        <w:t>保密审查情况：已审查，内容审定</w:t>
      </w:r>
    </w:p>
    <w:p>
      <w:pPr>
        <w:pStyle w:val="12"/>
        <w:jc w:val="both"/>
        <w:rPr>
          <w:rFonts w:hint="eastAsia" w:ascii="Times New Roman" w:hAnsi="Times New Roman" w:eastAsia="黑体"/>
          <w:color w:val="auto"/>
          <w:sz w:val="48"/>
          <w:szCs w:val="48"/>
          <w:highlight w:val="none"/>
        </w:rPr>
      </w:pPr>
      <w:r>
        <w:rPr>
          <w:rFonts w:hint="eastAsia" w:ascii="仿宋_GB2312" w:hAnsi="仿宋_GB2312" w:eastAsia="仿宋_GB2312" w:cs="仿宋_GB2312"/>
          <w:shd w:val="clear" w:color="auto" w:fill="FFFFFF"/>
        </w:rPr>
        <w:t>部门主要负责人审签情况：已审签，同意对外公开</w:t>
      </w:r>
    </w:p>
    <w:p>
      <w:pPr>
        <w:pStyle w:val="12"/>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5"/>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6"/>
        <w:bidi w:val="0"/>
        <w:rPr>
          <w:rFonts w:hint="eastAsia"/>
        </w:rPr>
      </w:pPr>
      <w:bookmarkStart w:id="6" w:name="_Toc15396599"/>
      <w:bookmarkStart w:id="7" w:name="_Toc15377196"/>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第一部分</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部门概况</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一、部门职责</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4</w:t>
      </w:r>
      <w:r>
        <w:rPr>
          <w:rFonts w:hint="eastAsia" w:ascii="Times New Roman" w:hAnsi="Times New Roman" w:eastAsia="宋体" w:cs="Times New Roman"/>
          <w:kern w:val="2"/>
          <w:sz w:val="21"/>
          <w:szCs w:val="21"/>
          <w:lang w:val="en-US" w:eastAsia="zh-CN" w:bidi="ar"/>
        </w:rPr>
        <w:t xml:space="preserve">                                         </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二、机构设置</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5</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第二部分</w:t>
      </w:r>
      <w:r>
        <w:rPr>
          <w:rFonts w:hint="eastAsia" w:ascii="Times New Roman" w:hAnsi="Times New Roman" w:eastAsia="宋体" w:cs="Times New Roman"/>
          <w:kern w:val="2"/>
          <w:sz w:val="21"/>
          <w:szCs w:val="21"/>
          <w:lang w:val="en-US" w:eastAsia="zh-CN" w:bidi="ar"/>
        </w:rPr>
        <w:t xml:space="preserve"> 2024</w:t>
      </w:r>
      <w:r>
        <w:rPr>
          <w:rFonts w:hint="eastAsia" w:ascii="宋体" w:hAnsi="宋体" w:eastAsia="宋体" w:cs="宋体"/>
          <w:kern w:val="2"/>
          <w:sz w:val="21"/>
          <w:szCs w:val="21"/>
          <w:lang w:val="en-US" w:eastAsia="zh-CN" w:bidi="ar"/>
        </w:rPr>
        <w:t>年度部门决算情况说明</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6</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一、收入支出决算总体情况说明</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6</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二、收入决算情况说明</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6</w:t>
      </w:r>
      <w:bookmarkStart w:id="34" w:name="_GoBack"/>
      <w:bookmarkEnd w:id="34"/>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三、支出决算情况说明</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7</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四、财政拨款收入支出决算总体情况说明</w:t>
      </w:r>
      <w:r>
        <w:rPr>
          <w:rFonts w:hint="eastAsia" w:ascii="Times New Roman" w:hAnsi="Times New Roman" w:eastAsia="宋体" w:cs="Times New Roman"/>
          <w:kern w:val="2"/>
          <w:sz w:val="21"/>
          <w:szCs w:val="21"/>
          <w:lang w:val="en-US" w:eastAsia="zh-CN" w:bidi="ar"/>
        </w:rPr>
        <w:t>...................................................................7</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五、财政拨款</w:t>
      </w:r>
      <w:r>
        <w:rPr>
          <w:rFonts w:hint="eastAsia"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三公</w:t>
      </w:r>
      <w:r>
        <w:rPr>
          <w:rFonts w:hint="eastAsia" w:ascii="Times New Roman" w:hAnsi="Times New Roman" w:eastAsia="宋体" w:cs="Times New Roman"/>
          <w:kern w:val="2"/>
          <w:sz w:val="21"/>
          <w:szCs w:val="21"/>
          <w:lang w:val="en-US" w:eastAsia="zh-CN" w:bidi="ar"/>
        </w:rPr>
        <w:t>”经费支出决算情况说明...........................................................</w:t>
      </w:r>
      <w:r>
        <w:rPr>
          <w:rFonts w:hint="eastAsia" w:ascii="Times New Roman" w:hAnsi="Times New Roman" w:cs="Times New Roman"/>
          <w:kern w:val="2"/>
          <w:sz w:val="21"/>
          <w:szCs w:val="21"/>
          <w:lang w:val="en-US" w:eastAsia="zh-CN" w:bidi="ar"/>
        </w:rPr>
        <w:t>8</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cs="宋体"/>
          <w:kern w:val="2"/>
          <w:sz w:val="21"/>
          <w:szCs w:val="21"/>
          <w:lang w:val="en-US" w:eastAsia="zh-CN" w:bidi="ar"/>
        </w:rPr>
        <w:t>六</w:t>
      </w:r>
      <w:r>
        <w:rPr>
          <w:rFonts w:hint="eastAsia" w:ascii="宋体" w:hAnsi="宋体" w:eastAsia="宋体" w:cs="宋体"/>
          <w:kern w:val="2"/>
          <w:sz w:val="21"/>
          <w:szCs w:val="21"/>
          <w:lang w:val="en-US" w:eastAsia="zh-CN" w:bidi="ar"/>
        </w:rPr>
        <w:t>、政府性基金预算支出决算情况说明</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9</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cs="宋体"/>
          <w:kern w:val="2"/>
          <w:sz w:val="21"/>
          <w:szCs w:val="21"/>
          <w:lang w:val="en-US" w:eastAsia="zh-CN" w:bidi="ar"/>
        </w:rPr>
        <w:t>七</w:t>
      </w:r>
      <w:r>
        <w:rPr>
          <w:rFonts w:hint="eastAsia" w:ascii="宋体" w:hAnsi="宋体" w:eastAsia="宋体" w:cs="宋体"/>
          <w:kern w:val="2"/>
          <w:sz w:val="21"/>
          <w:szCs w:val="21"/>
          <w:lang w:val="en-US" w:eastAsia="zh-CN" w:bidi="ar"/>
        </w:rPr>
        <w:t>、国有资本经营预算支出决算情况说明</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10</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cs="宋体"/>
          <w:kern w:val="2"/>
          <w:sz w:val="21"/>
          <w:szCs w:val="21"/>
          <w:lang w:val="en-US" w:eastAsia="zh-CN" w:bidi="ar"/>
        </w:rPr>
        <w:t>八</w:t>
      </w:r>
      <w:r>
        <w:rPr>
          <w:rFonts w:hint="eastAsia" w:ascii="宋体" w:hAnsi="宋体" w:eastAsia="宋体" w:cs="宋体"/>
          <w:kern w:val="2"/>
          <w:sz w:val="21"/>
          <w:szCs w:val="21"/>
          <w:lang w:val="en-US" w:eastAsia="zh-CN" w:bidi="ar"/>
        </w:rPr>
        <w:t>、其他重要事项的情况说明</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10</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第三部分</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名词解释</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11</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第四部分</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附表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一、收入支出决算总表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二、收入决算表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三、支出决算表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四、财政拨款收入支出决算总表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五、财政拨款支出决算明细表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六、一般公共预算财政拨款支出决算表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七、一般公共预算财政拨款支出决算明细表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八、一般公共预算财政拨款基本支出决算明细表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九、一般公共预算财政拨款项目支出决算表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十、政府性基金预算财政拨款收入支出决算表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十一、国有资本经营预算财政拨款收入支出决算表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十二、国有资本经营预算财政拨款支出决算表</w:t>
      </w:r>
      <w:r>
        <w:rPr>
          <w:rFonts w:hint="eastAsia" w:ascii="Times New Roman" w:hAnsi="Times New Roman" w:eastAsia="宋体" w:cs="Times New Roman"/>
          <w:kern w:val="2"/>
          <w:sz w:val="21"/>
          <w:szCs w:val="21"/>
          <w:lang w:val="en-US" w:eastAsia="zh-CN" w:bidi="ar"/>
        </w:rPr>
        <w:t>.........................................................</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default" w:ascii="Times New Roman" w:hAnsi="Times New Roman" w:eastAsia="宋体" w:cs="Times New Roman"/>
          <w:kern w:val="2"/>
          <w:sz w:val="21"/>
          <w:szCs w:val="21"/>
          <w:lang w:val="en-US"/>
        </w:rPr>
      </w:pPr>
      <w:r>
        <w:rPr>
          <w:rFonts w:hint="eastAsia" w:ascii="宋体" w:hAnsi="宋体" w:eastAsia="宋体" w:cs="宋体"/>
          <w:kern w:val="2"/>
          <w:sz w:val="21"/>
          <w:szCs w:val="21"/>
          <w:lang w:val="en-US" w:eastAsia="zh-CN" w:bidi="ar"/>
        </w:rPr>
        <w:t>十三、财政拨款</w:t>
      </w:r>
      <w:r>
        <w:rPr>
          <w:rFonts w:hint="eastAsia" w:ascii="Times New Roman" w:hAnsi="Times New Roman" w:eastAsia="宋体" w:cs="Times New Roman"/>
          <w:kern w:val="2"/>
          <w:sz w:val="21"/>
          <w:szCs w:val="21"/>
          <w:lang w:val="en-US" w:eastAsia="zh-CN" w:bidi="ar"/>
        </w:rPr>
        <w:t>“三公”经费支出决算表.................................................................</w:t>
      </w:r>
      <w:r>
        <w:rPr>
          <w:rFonts w:hint="eastAsia" w:ascii="Times New Roman" w:hAnsi="Times New Roman" w:cs="Times New Roman"/>
          <w:kern w:val="2"/>
          <w:sz w:val="21"/>
          <w:szCs w:val="21"/>
          <w:lang w:val="en-US" w:eastAsia="zh-CN" w:bidi="ar"/>
        </w:rPr>
        <w:t>14</w:t>
      </w:r>
    </w:p>
    <w:p>
      <w:pPr>
        <w:pStyle w:val="18"/>
        <w:keepNext w:val="0"/>
        <w:keepLines w:val="0"/>
        <w:widowControl w:val="0"/>
        <w:suppressLineNumbers w:val="0"/>
        <w:spacing w:before="0" w:beforeAutospacing="1" w:after="0" w:afterAutospacing="1"/>
        <w:ind w:left="480" w:leftChars="20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pPr>
        <w:pStyle w:val="5"/>
        <w:ind w:firstLine="1920" w:firstLineChars="400"/>
        <w:jc w:val="both"/>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8"/>
          <w:rFonts w:hint="eastAsia" w:ascii="Times New Roman" w:hAnsi="Times New Roman" w:eastAsia="方正小标宋简体" w:cs="方正小标宋简体"/>
          <w:b w:val="0"/>
          <w:bCs w:val="0"/>
          <w:color w:val="auto"/>
          <w:highlight w:val="none"/>
        </w:rPr>
        <w:t>部门概况</w:t>
      </w:r>
      <w:bookmarkEnd w:id="6"/>
      <w:bookmarkEnd w:id="7"/>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一、</w:t>
      </w:r>
      <w:r>
        <w:rPr>
          <w:rFonts w:hint="eastAsia" w:ascii="Times New Roman" w:hAnsi="Times New Roman" w:eastAsia="黑体" w:cs="Times New Roman"/>
          <w:color w:val="000000"/>
          <w:kern w:val="0"/>
          <w:sz w:val="32"/>
          <w:szCs w:val="32"/>
          <w:highlight w:val="none"/>
          <w:shd w:val="clear" w:color="auto" w:fill="FFFFFF"/>
          <w:lang w:val="zh-CN" w:eastAsia="zh-CN"/>
        </w:rPr>
        <w:t>部门职责</w:t>
      </w:r>
    </w:p>
    <w:p>
      <w:pPr>
        <w:pStyle w:val="18"/>
        <w:spacing w:beforeAutospacing="0" w:afterAutospacing="0" w:line="576" w:lineRule="atLeast"/>
        <w:ind w:firstLine="480" w:firstLineChars="200"/>
        <w:jc w:val="both"/>
        <w:rPr>
          <w:rFonts w:ascii="仿宋_GB2312" w:eastAsia="仿宋_GB2312" w:cs="仿宋_GB2312"/>
          <w:sz w:val="32"/>
          <w:szCs w:val="32"/>
        </w:rPr>
      </w:pPr>
      <w:r>
        <w:rPr>
          <w:rFonts w:hint="eastAsia"/>
          <w:lang w:val="en-US" w:eastAsia="zh-CN"/>
        </w:rPr>
        <w:t xml:space="preserve"> </w:t>
      </w:r>
      <w:r>
        <w:rPr>
          <w:rFonts w:hint="eastAsia" w:ascii="仿宋_GB2312" w:eastAsia="仿宋_GB2312" w:cs="仿宋_GB2312"/>
          <w:sz w:val="32"/>
          <w:szCs w:val="32"/>
        </w:rPr>
        <w:t>县医疗保障局贯彻落实党中央关于医疗保障工作的方针政策和决策部署，在履行职责过程中坚持和加强党对医疗保障工作的集中统一领导。主要职责是</w:t>
      </w:r>
      <w:r>
        <w:rPr>
          <w:rFonts w:ascii="仿宋_GB2312" w:eastAsia="仿宋_GB2312" w:cs="仿宋_GB2312"/>
          <w:sz w:val="32"/>
          <w:szCs w:val="32"/>
        </w:rPr>
        <w:t>:</w:t>
      </w:r>
    </w:p>
    <w:p>
      <w:p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（一）贯彻落实医疗保险、生育保险、医疗救助、药品和医疗服务价格管理职责等医疗保障法律法规和方针政策。</w:t>
      </w:r>
    </w:p>
    <w:p>
      <w:pPr>
        <w:autoSpaceDE w:val="0"/>
        <w:snapToGrid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（二）组织拟订并实施医疗保障基金监督管理制度，建立健全医疗保障基金安全防控机制，监督强化医疗保障基金运行管理。</w:t>
      </w:r>
    </w:p>
    <w:p>
      <w:pPr>
        <w:numPr>
          <w:ilvl w:val="0"/>
          <w:numId w:val="1"/>
        </w:num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贯彻落实医疗保障目录和支付标准</w:t>
      </w:r>
      <w:r>
        <w:rPr>
          <w:rFonts w:ascii="仿宋_GB2312" w:eastAsia="仿宋_GB2312" w:cs="仿宋_GB2312"/>
          <w:sz w:val="32"/>
          <w:szCs w:val="32"/>
        </w:rPr>
        <w:t>,</w:t>
      </w:r>
      <w:r>
        <w:rPr>
          <w:rFonts w:hint="eastAsia" w:ascii="仿宋_GB2312" w:eastAsia="仿宋_GB2312" w:cs="仿宋_GB2312"/>
          <w:sz w:val="32"/>
          <w:szCs w:val="32"/>
        </w:rPr>
        <w:t>落实特殊医用材料、特殊检查和治疗、医院制剂等目录和支付标准。推进医疗保障基金支付方式改革</w:t>
      </w:r>
      <w:r>
        <w:rPr>
          <w:rFonts w:ascii="仿宋_GB2312" w:eastAsia="仿宋_GB2312" w:cs="仿宋_GB2312"/>
          <w:sz w:val="32"/>
          <w:szCs w:val="32"/>
        </w:rPr>
        <w:t>,</w:t>
      </w:r>
      <w:r>
        <w:rPr>
          <w:rFonts w:hint="eastAsia" w:ascii="仿宋_GB2312" w:eastAsia="仿宋_GB2312" w:cs="仿宋_GB2312"/>
          <w:sz w:val="32"/>
          <w:szCs w:val="32"/>
        </w:rPr>
        <w:t>落实医保对医疗行为的激励约束机制以及对医疗费用的控制机制。</w:t>
      </w:r>
    </w:p>
    <w:p>
      <w:p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（四）贯彻落实医疗保障信用评价体系和信息披露制度，监督管理纳入医疗保障范围内的医疗服务行为和医疗费用，依法查处医疗保障领域违法违规行为。</w:t>
      </w:r>
    </w:p>
    <w:p>
      <w:p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五）负责参保人员基本医疗保险住院和普通门诊、门诊特殊疾病待遇的初审、复审和待遇确定，确保医疗保险基金的合理使用；负责参保患者的转诊转院的审批工作；负责参保患者的门诊特殊疾病审核认定工作。</w:t>
      </w:r>
    </w:p>
    <w:p>
      <w:p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（六）贯彻落实医疗保障经办管理和公共服务体系建设，异地就医管理和费用结算政策；做好全县参保人员医疗保险的统计分析报表工作，建立健全医疗保障关系转移接续制度。</w:t>
      </w:r>
    </w:p>
    <w:p>
      <w:p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（七）负责职责范围内的安全生产和职业健康、生态环境保护、审批服务便民化等工作。</w:t>
      </w:r>
    </w:p>
    <w:p>
      <w:p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（八）完成县委和县政府交办的其他任务。</w:t>
      </w:r>
    </w:p>
    <w:p>
      <w:pPr>
        <w:autoSpaceDE w:val="0"/>
        <w:spacing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（九）职能转变。贯彻落实省、州有关推进医疗、医保、医药“三医联动”改革工作，更好地保障人民群众就医需求、减轻医药费用负担。</w:t>
      </w:r>
    </w:p>
    <w:p>
      <w:pPr>
        <w:pStyle w:val="35"/>
        <w:autoSpaceDE w:val="0"/>
        <w:spacing w:beforeAutospacing="0" w:afterAutospacing="0" w:line="576" w:lineRule="atLeas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（十）与县卫生健康委的有关职责分工。两部门在医疗、医保、医药等方面加强制度、政策衔接，建立沟通协商机制，协同推进改革，提高医疗资源使用效率和医疗保障水平。</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bookmarkStart w:id="8" w:name="_Toc15396601"/>
      <w:bookmarkStart w:id="9" w:name="_Toc15377200"/>
      <w:r>
        <w:rPr>
          <w:rFonts w:hint="eastAsia" w:ascii="Times New Roman" w:hAnsi="Times New Roman" w:eastAsia="黑体" w:cs="Times New Roman"/>
          <w:color w:val="000000"/>
          <w:kern w:val="0"/>
          <w:sz w:val="32"/>
          <w:szCs w:val="32"/>
          <w:highlight w:val="none"/>
          <w:shd w:val="clear" w:color="auto" w:fill="FFFFFF"/>
          <w:lang w:val="en-US" w:eastAsia="zh-CN"/>
        </w:rPr>
        <w:t>二、机构设置</w:t>
      </w:r>
      <w:bookmarkEnd w:id="8"/>
      <w:bookmarkEnd w:id="9"/>
    </w:p>
    <w:p>
      <w:pPr>
        <w:widowControl w:val="0"/>
        <w:pBdr>
          <w:bottom w:val="single" w:color="FFFFFF" w:sz="4" w:space="29"/>
        </w:pBdr>
        <w:tabs>
          <w:tab w:val="left" w:pos="1440"/>
        </w:tabs>
        <w:spacing w:line="576" w:lineRule="exact"/>
        <w:ind w:firstLine="640" w:firstLineChars="200"/>
        <w:jc w:val="both"/>
        <w:textAlignment w:val="baseline"/>
        <w:rPr>
          <w:rFonts w:hint="eastAsia" w:ascii="仿宋_GB2312" w:eastAsia="仿宋_GB2312" w:cs="仿宋_GB2312"/>
          <w:sz w:val="32"/>
          <w:szCs w:val="32"/>
        </w:rPr>
      </w:pPr>
      <w:r>
        <w:rPr>
          <w:rFonts w:hint="eastAsia" w:ascii="仿宋_GB2312" w:eastAsia="仿宋_GB2312" w:cs="仿宋_GB2312"/>
          <w:sz w:val="32"/>
          <w:szCs w:val="32"/>
          <w:shd w:val="clear" w:color="auto" w:fill="FFFFFF"/>
        </w:rPr>
        <w:t>本年度年末实有人数为</w:t>
      </w:r>
      <w:r>
        <w:rPr>
          <w:rFonts w:ascii="仿宋_GB2312" w:eastAsia="仿宋_GB2312" w:cs="仿宋_GB2312"/>
          <w:sz w:val="32"/>
          <w:szCs w:val="32"/>
          <w:shd w:val="clear" w:color="auto" w:fill="FFFFFF"/>
        </w:rPr>
        <w:t>22</w:t>
      </w:r>
      <w:r>
        <w:rPr>
          <w:rFonts w:hint="eastAsia" w:ascii="仿宋_GB2312" w:eastAsia="仿宋_GB2312" w:cs="仿宋_GB2312"/>
          <w:sz w:val="32"/>
          <w:szCs w:val="32"/>
          <w:shd w:val="clear" w:color="auto" w:fill="FFFFFF"/>
        </w:rPr>
        <w:t>人，与上年无变化；</w:t>
      </w:r>
      <w:r>
        <w:rPr>
          <w:rFonts w:hint="eastAsia" w:ascii="仿宋_GB2312" w:eastAsia="仿宋_GB2312" w:cs="仿宋_GB2312"/>
          <w:sz w:val="32"/>
          <w:szCs w:val="32"/>
        </w:rPr>
        <w:t>现有行政编制</w:t>
      </w:r>
      <w:r>
        <w:rPr>
          <w:rFonts w:ascii="仿宋_GB2312" w:eastAsia="仿宋_GB2312" w:cs="仿宋_GB2312"/>
          <w:sz w:val="32"/>
          <w:szCs w:val="32"/>
        </w:rPr>
        <w:t>4</w:t>
      </w:r>
      <w:r>
        <w:rPr>
          <w:rFonts w:hint="eastAsia" w:ascii="仿宋_GB2312" w:eastAsia="仿宋_GB2312" w:cs="仿宋_GB2312"/>
          <w:sz w:val="32"/>
          <w:szCs w:val="32"/>
        </w:rPr>
        <w:t>名，参公编制</w:t>
      </w:r>
      <w:r>
        <w:rPr>
          <w:rFonts w:ascii="仿宋_GB2312" w:eastAsia="仿宋_GB2312" w:cs="仿宋_GB2312"/>
          <w:sz w:val="32"/>
          <w:szCs w:val="32"/>
        </w:rPr>
        <w:t>8</w:t>
      </w:r>
      <w:r>
        <w:rPr>
          <w:rFonts w:hint="eastAsia" w:ascii="仿宋_GB2312" w:eastAsia="仿宋_GB2312" w:cs="仿宋_GB2312"/>
          <w:sz w:val="32"/>
          <w:szCs w:val="32"/>
        </w:rPr>
        <w:t>名，事业编制</w:t>
      </w:r>
      <w:r>
        <w:rPr>
          <w:rFonts w:ascii="仿宋_GB2312" w:eastAsia="仿宋_GB2312" w:cs="仿宋_GB2312"/>
          <w:sz w:val="32"/>
          <w:szCs w:val="32"/>
        </w:rPr>
        <w:t>9</w:t>
      </w:r>
      <w:r>
        <w:rPr>
          <w:rFonts w:hint="eastAsia" w:ascii="仿宋_GB2312" w:eastAsia="仿宋_GB2312" w:cs="仿宋_GB2312"/>
          <w:sz w:val="32"/>
          <w:szCs w:val="32"/>
        </w:rPr>
        <w:t>人，共有编制</w:t>
      </w:r>
      <w:r>
        <w:rPr>
          <w:rFonts w:ascii="仿宋_GB2312" w:eastAsia="仿宋_GB2312" w:cs="仿宋_GB2312"/>
          <w:sz w:val="32"/>
          <w:szCs w:val="32"/>
        </w:rPr>
        <w:t>21</w:t>
      </w:r>
      <w:r>
        <w:rPr>
          <w:rFonts w:hint="eastAsia" w:ascii="仿宋_GB2312" w:eastAsia="仿宋_GB2312" w:cs="仿宋_GB2312"/>
          <w:sz w:val="32"/>
          <w:szCs w:val="32"/>
        </w:rPr>
        <w:t>人，年末实有人数</w:t>
      </w:r>
      <w:r>
        <w:rPr>
          <w:rFonts w:ascii="仿宋_GB2312" w:eastAsia="仿宋_GB2312" w:cs="仿宋_GB2312"/>
          <w:sz w:val="32"/>
          <w:szCs w:val="32"/>
        </w:rPr>
        <w:t>22</w:t>
      </w:r>
      <w:r>
        <w:rPr>
          <w:rFonts w:hint="eastAsia" w:ascii="仿宋_GB2312" w:eastAsia="仿宋_GB2312" w:cs="仿宋_GB2312"/>
          <w:sz w:val="32"/>
          <w:szCs w:val="32"/>
        </w:rPr>
        <w:t>人。</w:t>
      </w:r>
    </w:p>
    <w:p>
      <w:pPr>
        <w:pStyle w:val="5"/>
        <w:jc w:val="center"/>
        <w:rPr>
          <w:rFonts w:hint="eastAsia" w:ascii="Times New Roman" w:hAnsi="Times New Roman" w:eastAsia="方正小标宋简体" w:cs="方正小标宋简体"/>
          <w:b w:val="0"/>
          <w:color w:val="auto"/>
          <w:highlight w:val="none"/>
        </w:rPr>
      </w:pPr>
      <w:bookmarkStart w:id="10" w:name="_Toc15396602"/>
      <w:bookmarkStart w:id="11" w:name="_Toc15377204"/>
    </w:p>
    <w:p>
      <w:pPr>
        <w:pStyle w:val="5"/>
        <w:jc w:val="center"/>
        <w:rPr>
          <w:rFonts w:hint="eastAsia" w:ascii="Times New Roman" w:hAnsi="Times New Roman" w:eastAsia="方正小标宋简体" w:cs="方正小标宋简体"/>
          <w:b w:val="0"/>
          <w:color w:val="auto"/>
          <w:highlight w:val="none"/>
        </w:rPr>
      </w:pPr>
    </w:p>
    <w:p>
      <w:pPr>
        <w:pStyle w:val="5"/>
        <w:jc w:val="center"/>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pPr>
        <w:rPr>
          <w:rFonts w:ascii="Times New Roman" w:hAnsi="Times New Roman"/>
          <w:color w:val="auto"/>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Style w:val="21"/>
          <w:rFonts w:ascii="仿宋_GB2312" w:hAnsi="仿宋_GB2312" w:eastAsia="仿宋_GB2312" w:cs="仿宋_GB2312"/>
          <w:sz w:val="32"/>
          <w:szCs w:val="32"/>
          <w:shd w:val="clear" w:color="auto" w:fill="FFFFFF"/>
        </w:rPr>
      </w:pPr>
      <w:bookmarkStart w:id="12" w:name="_Toc15396603"/>
      <w:bookmarkStart w:id="13" w:name="_Toc15377205"/>
      <w:r>
        <w:rPr>
          <w:rFonts w:hint="eastAsia" w:ascii="Times New Roman" w:hAnsi="Times New Roman" w:eastAsia="黑体" w:cs="Times New Roman"/>
          <w:color w:val="000000"/>
          <w:kern w:val="0"/>
          <w:sz w:val="32"/>
          <w:szCs w:val="32"/>
          <w:highlight w:val="none"/>
          <w:shd w:val="clear" w:color="auto" w:fill="FFFFFF"/>
          <w:lang w:val="en-US" w:eastAsia="zh-CN"/>
        </w:rPr>
        <w:t>一、收入支出决算总体情况说明</w:t>
      </w:r>
      <w:bookmarkEnd w:id="12"/>
      <w:bookmarkEnd w:id="13"/>
    </w:p>
    <w:p>
      <w:pPr>
        <w:widowControl w:val="0"/>
        <w:pBdr>
          <w:bottom w:val="single" w:color="FFFFFF" w:sz="4" w:space="29"/>
        </w:pBdr>
        <w:tabs>
          <w:tab w:val="left" w:pos="1440"/>
        </w:tabs>
        <w:spacing w:line="576"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本单位本年度收入的年初预算数为</w:t>
      </w:r>
      <w:r>
        <w:rPr>
          <w:rFonts w:ascii="仿宋_GB2312" w:hAnsi="仿宋_GB2312" w:eastAsia="仿宋_GB2312" w:cs="仿宋_GB2312"/>
          <w:sz w:val="32"/>
          <w:szCs w:val="32"/>
          <w:shd w:val="clear" w:color="auto" w:fill="FFFFFF"/>
        </w:rPr>
        <w:t>662.79</w:t>
      </w:r>
      <w:r>
        <w:rPr>
          <w:rFonts w:hint="eastAsia" w:ascii="仿宋_GB2312" w:hAnsi="仿宋_GB2312" w:eastAsia="仿宋_GB2312" w:cs="仿宋_GB2312"/>
          <w:sz w:val="32"/>
          <w:szCs w:val="32"/>
          <w:shd w:val="clear" w:color="auto" w:fill="FFFFFF"/>
        </w:rPr>
        <w:t>万元，上年度收入的年初预算数为</w:t>
      </w:r>
      <w:r>
        <w:rPr>
          <w:rFonts w:ascii="仿宋_GB2312" w:hAnsi="仿宋_GB2312" w:eastAsia="仿宋_GB2312" w:cs="仿宋_GB2312"/>
          <w:sz w:val="32"/>
          <w:szCs w:val="32"/>
          <w:shd w:val="clear" w:color="auto" w:fill="FFFFFF"/>
        </w:rPr>
        <w:t>650.22</w:t>
      </w:r>
      <w:r>
        <w:rPr>
          <w:rFonts w:hint="eastAsia" w:ascii="仿宋_GB2312" w:hAnsi="仿宋_GB2312" w:eastAsia="仿宋_GB2312" w:cs="仿宋_GB2312"/>
          <w:sz w:val="32"/>
          <w:szCs w:val="32"/>
          <w:shd w:val="clear" w:color="auto" w:fill="FFFFFF"/>
        </w:rPr>
        <w:t>万元，差异为</w:t>
      </w:r>
      <w:r>
        <w:rPr>
          <w:rFonts w:ascii="仿宋_GB2312" w:hAnsi="仿宋_GB2312" w:eastAsia="仿宋_GB2312" w:cs="仿宋_GB2312"/>
          <w:sz w:val="32"/>
          <w:szCs w:val="32"/>
          <w:shd w:val="clear" w:color="auto" w:fill="FFFFFF"/>
        </w:rPr>
        <w:t>12.57</w:t>
      </w:r>
      <w:r>
        <w:rPr>
          <w:rFonts w:hint="eastAsia" w:ascii="仿宋_GB2312" w:hAnsi="仿宋_GB2312" w:eastAsia="仿宋_GB2312" w:cs="仿宋_GB2312"/>
          <w:sz w:val="32"/>
          <w:szCs w:val="32"/>
          <w:shd w:val="clear" w:color="auto" w:fill="FFFFFF"/>
        </w:rPr>
        <w:t>万元；本年度支出的年初预算数为</w:t>
      </w:r>
      <w:r>
        <w:rPr>
          <w:rFonts w:ascii="仿宋_GB2312" w:hAnsi="仿宋_GB2312" w:eastAsia="仿宋_GB2312" w:cs="仿宋_GB2312"/>
          <w:sz w:val="32"/>
          <w:szCs w:val="32"/>
          <w:shd w:val="clear" w:color="auto" w:fill="FFFFFF"/>
        </w:rPr>
        <w:t>662.79</w:t>
      </w:r>
      <w:r>
        <w:rPr>
          <w:rFonts w:hint="eastAsia" w:ascii="仿宋_GB2312" w:hAnsi="仿宋_GB2312" w:eastAsia="仿宋_GB2312" w:cs="仿宋_GB2312"/>
          <w:sz w:val="32"/>
          <w:szCs w:val="32"/>
          <w:shd w:val="clear" w:color="auto" w:fill="FFFFFF"/>
        </w:rPr>
        <w:t>万元，上年度支出的年初预算数为</w:t>
      </w:r>
      <w:r>
        <w:rPr>
          <w:rFonts w:ascii="仿宋_GB2312" w:hAnsi="仿宋_GB2312" w:eastAsia="仿宋_GB2312" w:cs="仿宋_GB2312"/>
          <w:sz w:val="32"/>
          <w:szCs w:val="32"/>
          <w:shd w:val="clear" w:color="auto" w:fill="FFFFFF"/>
        </w:rPr>
        <w:t>650.22</w:t>
      </w:r>
      <w:r>
        <w:rPr>
          <w:rFonts w:hint="eastAsia" w:ascii="仿宋_GB2312" w:hAnsi="仿宋_GB2312" w:eastAsia="仿宋_GB2312" w:cs="仿宋_GB2312"/>
          <w:sz w:val="32"/>
          <w:szCs w:val="32"/>
          <w:shd w:val="clear" w:color="auto" w:fill="FFFFFF"/>
        </w:rPr>
        <w:t>万元，差异为</w:t>
      </w:r>
      <w:r>
        <w:rPr>
          <w:rFonts w:ascii="仿宋_GB2312" w:hAnsi="仿宋_GB2312" w:eastAsia="仿宋_GB2312" w:cs="仿宋_GB2312"/>
          <w:sz w:val="32"/>
          <w:szCs w:val="32"/>
          <w:shd w:val="clear" w:color="auto" w:fill="FFFFFF"/>
        </w:rPr>
        <w:t>12.57</w:t>
      </w:r>
      <w:r>
        <w:rPr>
          <w:rFonts w:hint="eastAsia" w:ascii="仿宋_GB2312" w:hAnsi="仿宋_GB2312" w:eastAsia="仿宋_GB2312" w:cs="仿宋_GB2312"/>
          <w:sz w:val="32"/>
          <w:szCs w:val="32"/>
          <w:shd w:val="clear" w:color="auto" w:fill="FFFFFF"/>
        </w:rPr>
        <w:t>万元；</w:t>
      </w:r>
      <w:r>
        <w:rPr>
          <w:rStyle w:val="21"/>
          <w:rFonts w:hint="eastAsia" w:ascii="仿宋_GB2312" w:hAnsi="仿宋_GB2312" w:eastAsia="仿宋_GB2312" w:cs="仿宋_GB2312"/>
          <w:b w:val="0"/>
          <w:bCs/>
          <w:sz w:val="32"/>
          <w:szCs w:val="32"/>
          <w:shd w:val="clear" w:color="auto" w:fill="FFFFFF"/>
        </w:rPr>
        <w:t>主要原因为各类保险基数调整，相关</w:t>
      </w:r>
      <w:r>
        <w:rPr>
          <w:rFonts w:hint="eastAsia" w:ascii="仿宋_GB2312" w:eastAsia="仿宋_GB2312" w:cs="仿宋_GB2312"/>
          <w:sz w:val="32"/>
          <w:szCs w:val="32"/>
        </w:rPr>
        <w:t>保险等的经费增加。</w:t>
      </w:r>
    </w:p>
    <w:p>
      <w:pPr>
        <w:pStyle w:val="18"/>
        <w:spacing w:beforeAutospacing="0" w:afterAutospacing="0" w:line="576" w:lineRule="atLeast"/>
        <w:ind w:firstLine="480" w:firstLineChars="200"/>
        <w:jc w:val="both"/>
        <w:rPr>
          <w:rStyle w:val="21"/>
          <w:rFonts w:ascii="楷体_GB2312" w:hAnsi="楷体_GB2312" w:eastAsia="楷体_GB2312" w:cs="楷体_GB2312"/>
          <w:sz w:val="32"/>
          <w:szCs w:val="32"/>
          <w:shd w:val="clear" w:color="auto" w:fill="FFFFFF"/>
        </w:rPr>
      </w:pPr>
      <w:r>
        <w:object>
          <v:shape id="_x0000_i1025" o:spt="75" type="#_x0000_t75" style="height:235.5pt;width:415.5pt;" o:ole="t" filled="f" o:preferrelative="t" stroked="f" coordsize="21600,21600">
            <v:path/>
            <v:fill on="f" focussize="0,0"/>
            <v:stroke on="f" joinstyle="miter"/>
            <v:imagedata r:id="rId6" cropbottom="-28f" o:title=""/>
            <o:lock v:ext="edit" aspectratio="f"/>
            <w10:wrap type="none"/>
            <w10:anchorlock/>
          </v:shape>
          <o:OLEObject Type="Embed" ProgID="Excel.Chart.8" ShapeID="_x0000_i1025" DrawAspect="Content" ObjectID="_1468075725" r:id="rId5">
            <o:LockedField>false</o:LockedField>
          </o:OLEObject>
        </w:objec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ascii="仿宋_GB2312" w:hAnsi="仿宋_GB2312" w:eastAsia="仿宋_GB2312" w:cs="仿宋_GB2312"/>
          <w:sz w:val="32"/>
          <w:szCs w:val="32"/>
        </w:rPr>
      </w:pPr>
      <w:bookmarkStart w:id="14" w:name="_Toc15377206"/>
      <w:bookmarkStart w:id="15" w:name="_Toc15396604"/>
      <w:r>
        <w:rPr>
          <w:rFonts w:hint="eastAsia" w:ascii="Times New Roman" w:hAnsi="Times New Roman" w:eastAsia="黑体" w:cs="Times New Roman"/>
          <w:color w:val="000000"/>
          <w:kern w:val="0"/>
          <w:sz w:val="32"/>
          <w:szCs w:val="32"/>
          <w:highlight w:val="none"/>
          <w:shd w:val="clear" w:color="auto" w:fill="FFFFFF"/>
          <w:lang w:val="en-US" w:eastAsia="zh-CN"/>
        </w:rPr>
        <w:t>二、收入决算情况说明</w:t>
      </w:r>
      <w:bookmarkEnd w:id="14"/>
      <w:bookmarkEnd w:id="15"/>
    </w:p>
    <w:p>
      <w:pPr>
        <w:pStyle w:val="18"/>
        <w:spacing w:beforeAutospacing="0" w:afterAutospacing="0" w:line="576" w:lineRule="atLeas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本单位本年度收入全年预算数为</w:t>
      </w:r>
      <w:r>
        <w:rPr>
          <w:rFonts w:ascii="仿宋_GB2312" w:hAnsi="仿宋_GB2312" w:eastAsia="仿宋_GB2312" w:cs="仿宋_GB2312"/>
          <w:sz w:val="32"/>
          <w:szCs w:val="32"/>
          <w:shd w:val="clear" w:color="auto" w:fill="FFFFFF"/>
        </w:rPr>
        <w:t>553.34</w:t>
      </w:r>
      <w:r>
        <w:rPr>
          <w:rFonts w:hint="eastAsia" w:ascii="仿宋_GB2312" w:hAnsi="仿宋_GB2312" w:eastAsia="仿宋_GB2312" w:cs="仿宋_GB2312"/>
          <w:sz w:val="32"/>
          <w:szCs w:val="32"/>
          <w:shd w:val="clear" w:color="auto" w:fill="FFFFFF"/>
        </w:rPr>
        <w:t>万元，收入决算数为</w:t>
      </w:r>
      <w:r>
        <w:rPr>
          <w:rFonts w:ascii="仿宋_GB2312" w:hAnsi="仿宋_GB2312" w:eastAsia="仿宋_GB2312" w:cs="仿宋_GB2312"/>
          <w:sz w:val="32"/>
          <w:szCs w:val="32"/>
          <w:shd w:val="clear" w:color="auto" w:fill="FFFFFF"/>
        </w:rPr>
        <w:t>525.39</w:t>
      </w:r>
      <w:r>
        <w:rPr>
          <w:rFonts w:hint="eastAsia" w:ascii="仿宋_GB2312" w:hAnsi="仿宋_GB2312" w:eastAsia="仿宋_GB2312" w:cs="仿宋_GB2312"/>
          <w:sz w:val="32"/>
          <w:szCs w:val="32"/>
          <w:shd w:val="clear" w:color="auto" w:fill="FFFFFF"/>
        </w:rPr>
        <w:t>万元，预算完成度为</w:t>
      </w:r>
      <w:r>
        <w:rPr>
          <w:rFonts w:ascii="仿宋_GB2312" w:hAnsi="仿宋_GB2312" w:eastAsia="仿宋_GB2312" w:cs="仿宋_GB2312"/>
          <w:sz w:val="32"/>
          <w:szCs w:val="32"/>
          <w:shd w:val="clear" w:color="auto" w:fill="FFFFFF"/>
        </w:rPr>
        <w:t>94.95%</w:t>
      </w:r>
      <w:r>
        <w:rPr>
          <w:rFonts w:hint="eastAsia" w:ascii="仿宋_GB2312" w:hAnsi="仿宋_GB2312" w:eastAsia="仿宋_GB2312" w:cs="仿宋_GB2312"/>
          <w:sz w:val="32"/>
          <w:szCs w:val="32"/>
          <w:shd w:val="clear" w:color="auto" w:fill="FFFFFF"/>
        </w:rPr>
        <w:t>，上年度预算完成度为</w:t>
      </w:r>
      <w:r>
        <w:rPr>
          <w:rFonts w:ascii="仿宋_GB2312" w:hAnsi="仿宋_GB2312" w:eastAsia="仿宋_GB2312" w:cs="仿宋_GB2312"/>
          <w:sz w:val="32"/>
          <w:szCs w:val="32"/>
          <w:shd w:val="clear" w:color="auto" w:fill="FFFFFF"/>
        </w:rPr>
        <w:t>100.00%</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本年度支出全年预算数为</w:t>
      </w:r>
      <w:r>
        <w:rPr>
          <w:rFonts w:ascii="仿宋_GB2312" w:hAnsi="仿宋_GB2312" w:eastAsia="仿宋_GB2312" w:cs="仿宋_GB2312"/>
          <w:sz w:val="32"/>
          <w:szCs w:val="32"/>
          <w:shd w:val="clear" w:color="auto" w:fill="FFFFFF"/>
        </w:rPr>
        <w:t>553.34</w:t>
      </w:r>
      <w:r>
        <w:rPr>
          <w:rFonts w:hint="eastAsia" w:ascii="仿宋_GB2312" w:hAnsi="仿宋_GB2312" w:eastAsia="仿宋_GB2312" w:cs="仿宋_GB2312"/>
          <w:sz w:val="32"/>
          <w:szCs w:val="32"/>
          <w:shd w:val="clear" w:color="auto" w:fill="FFFFFF"/>
        </w:rPr>
        <w:t>万元，支出决算数为</w:t>
      </w:r>
      <w:r>
        <w:rPr>
          <w:rFonts w:ascii="仿宋_GB2312" w:hAnsi="仿宋_GB2312" w:eastAsia="仿宋_GB2312" w:cs="仿宋_GB2312"/>
          <w:sz w:val="32"/>
          <w:szCs w:val="32"/>
          <w:shd w:val="clear" w:color="auto" w:fill="FFFFFF"/>
        </w:rPr>
        <w:t>525.39</w:t>
      </w:r>
      <w:r>
        <w:rPr>
          <w:rFonts w:hint="eastAsia" w:ascii="仿宋_GB2312" w:hAnsi="仿宋_GB2312" w:eastAsia="仿宋_GB2312" w:cs="仿宋_GB2312"/>
          <w:sz w:val="32"/>
          <w:szCs w:val="32"/>
          <w:shd w:val="clear" w:color="auto" w:fill="FFFFFF"/>
        </w:rPr>
        <w:t>万元，预算完成度为</w:t>
      </w:r>
      <w:r>
        <w:rPr>
          <w:rFonts w:ascii="仿宋_GB2312" w:hAnsi="仿宋_GB2312" w:eastAsia="仿宋_GB2312" w:cs="仿宋_GB2312"/>
          <w:sz w:val="32"/>
          <w:szCs w:val="32"/>
          <w:shd w:val="clear" w:color="auto" w:fill="FFFFFF"/>
        </w:rPr>
        <w:t>94.95%</w:t>
      </w:r>
      <w:r>
        <w:rPr>
          <w:rFonts w:hint="eastAsia" w:ascii="仿宋_GB2312" w:hAnsi="仿宋_GB2312" w:eastAsia="仿宋_GB2312" w:cs="仿宋_GB2312"/>
          <w:sz w:val="32"/>
          <w:szCs w:val="32"/>
          <w:shd w:val="clear" w:color="auto" w:fill="FFFFFF"/>
        </w:rPr>
        <w:t>，上年度预算完成度为</w:t>
      </w:r>
      <w:r>
        <w:rPr>
          <w:rFonts w:ascii="仿宋_GB2312" w:hAnsi="仿宋_GB2312" w:eastAsia="仿宋_GB2312" w:cs="仿宋_GB2312"/>
          <w:sz w:val="32"/>
          <w:szCs w:val="32"/>
          <w:shd w:val="clear" w:color="auto" w:fill="FFFFFF"/>
        </w:rPr>
        <w:t>100.00%</w:t>
      </w:r>
      <w:r>
        <w:rPr>
          <w:rFonts w:hint="eastAsia" w:ascii="仿宋_GB2312" w:hAnsi="仿宋_GB2312" w:eastAsia="仿宋_GB2312" w:cs="仿宋_GB2312"/>
          <w:sz w:val="32"/>
          <w:szCs w:val="32"/>
          <w:shd w:val="clear" w:color="auto" w:fill="FFFFFF"/>
        </w:rPr>
        <w:t>。</w:t>
      </w:r>
    </w:p>
    <w:p>
      <w:pPr>
        <w:pStyle w:val="18"/>
        <w:spacing w:beforeAutospacing="0" w:afterAutospacing="0" w:line="576" w:lineRule="atLeast"/>
        <w:ind w:firstLine="480" w:firstLineChars="200"/>
        <w:jc w:val="both"/>
        <w:rPr>
          <w:rStyle w:val="21"/>
          <w:rFonts w:ascii="仿宋_GB2312" w:hAnsi="仿宋_GB2312" w:eastAsia="仿宋_GB2312" w:cs="仿宋_GB2312"/>
          <w:sz w:val="32"/>
          <w:szCs w:val="32"/>
          <w:shd w:val="clear" w:color="auto" w:fill="FFFFFF"/>
        </w:rPr>
      </w:pPr>
      <w:r>
        <w:object>
          <v:shape id="_x0000_i1026" o:spt="75" type="#_x0000_t75" style="height:235.5pt;width:415.5pt;" o:ole="t" filled="f" o:preferrelative="t" stroked="f" coordsize="21600,21600">
            <v:path/>
            <v:fill on="f" focussize="0,0"/>
            <v:stroke on="f" joinstyle="miter"/>
            <v:imagedata r:id="rId8" cropbottom="-28f" o:title=""/>
            <o:lock v:ext="edit" aspectratio="f"/>
            <w10:wrap type="none"/>
            <w10:anchorlock/>
          </v:shape>
          <o:OLEObject Type="Embed" ProgID="Excel.Chart.8" ShapeID="_x0000_i1026" DrawAspect="Content" ObjectID="_1468075726" r:id="rId7">
            <o:LockedField>false</o:LockedField>
          </o:OLEObject>
        </w:object>
      </w:r>
    </w:p>
    <w:p>
      <w:pPr>
        <w:pStyle w:val="18"/>
        <w:spacing w:beforeAutospacing="0" w:afterAutospacing="0" w:line="576" w:lineRule="atLeast"/>
        <w:ind w:firstLine="643" w:firstLineChars="200"/>
        <w:jc w:val="both"/>
        <w:rPr>
          <w:rFonts w:ascii="仿宋_GB2312" w:hAnsi="仿宋_GB2312" w:eastAsia="仿宋_GB2312" w:cs="仿宋_GB2312"/>
          <w:sz w:val="32"/>
          <w:szCs w:val="32"/>
        </w:rPr>
      </w:pPr>
      <w:r>
        <w:rPr>
          <w:rStyle w:val="21"/>
          <w:rFonts w:hint="eastAsia" w:ascii="仿宋_GB2312" w:hAnsi="仿宋_GB2312" w:eastAsia="仿宋_GB2312" w:cs="仿宋_GB2312"/>
          <w:sz w:val="32"/>
          <w:szCs w:val="32"/>
          <w:shd w:val="clear" w:color="auto" w:fill="FFFFFF"/>
          <w:lang w:eastAsia="zh-CN"/>
        </w:rPr>
        <w:t>三、</w:t>
      </w:r>
      <w:r>
        <w:rPr>
          <w:rFonts w:hint="eastAsia" w:ascii="Times New Roman" w:hAnsi="Times New Roman" w:eastAsia="黑体" w:cs="Times New Roman"/>
          <w:color w:val="000000"/>
          <w:kern w:val="0"/>
          <w:sz w:val="32"/>
          <w:szCs w:val="32"/>
          <w:highlight w:val="none"/>
          <w:shd w:val="clear" w:color="auto" w:fill="FFFFFF"/>
          <w:lang w:val="en-US" w:eastAsia="zh-CN"/>
        </w:rPr>
        <w:t>支出决算情况说明</w:t>
      </w:r>
    </w:p>
    <w:p>
      <w:pPr>
        <w:autoSpaceDE w:val="0"/>
        <w:snapToGrid w:val="0"/>
        <w:spacing w:line="576" w:lineRule="atLeast"/>
        <w:ind w:firstLine="640" w:firstLineChars="200"/>
        <w:jc w:val="both"/>
        <w:rPr>
          <w:rFonts w:ascii="仿宋_GB2312" w:eastAsia="仿宋_GB2312" w:cs="仿宋_GB2312"/>
          <w:sz w:val="32"/>
          <w:szCs w:val="32"/>
        </w:rPr>
      </w:pPr>
      <w:r>
        <w:rPr>
          <w:rFonts w:ascii="仿宋_GB2312" w:eastAsia="仿宋_GB2312" w:cs="仿宋_GB2312"/>
          <w:sz w:val="32"/>
          <w:szCs w:val="32"/>
        </w:rPr>
        <w:t>2024</w:t>
      </w:r>
      <w:r>
        <w:rPr>
          <w:rFonts w:hint="eastAsia" w:ascii="仿宋_GB2312" w:eastAsia="仿宋_GB2312" w:cs="仿宋_GB2312"/>
          <w:sz w:val="32"/>
          <w:szCs w:val="32"/>
        </w:rPr>
        <w:t>年度年初预算收入</w:t>
      </w:r>
      <w:r>
        <w:rPr>
          <w:rFonts w:ascii="仿宋_GB2312" w:eastAsia="仿宋_GB2312" w:cs="仿宋_GB2312"/>
          <w:sz w:val="32"/>
          <w:szCs w:val="32"/>
        </w:rPr>
        <w:t>662.79</w:t>
      </w:r>
      <w:r>
        <w:rPr>
          <w:rFonts w:hint="eastAsia" w:ascii="仿宋_GB2312" w:eastAsia="仿宋_GB2312" w:cs="仿宋_GB2312"/>
          <w:sz w:val="32"/>
          <w:szCs w:val="32"/>
        </w:rPr>
        <w:t>万元，实际收入</w:t>
      </w:r>
      <w:r>
        <w:rPr>
          <w:rFonts w:ascii="仿宋_GB2312" w:eastAsia="仿宋_GB2312" w:cs="仿宋_GB2312"/>
          <w:sz w:val="32"/>
          <w:szCs w:val="32"/>
        </w:rPr>
        <w:t>525.39</w:t>
      </w:r>
      <w:r>
        <w:rPr>
          <w:rFonts w:hint="eastAsia" w:ascii="仿宋_GB2312" w:eastAsia="仿宋_GB2312" w:cs="仿宋_GB2312"/>
          <w:sz w:val="32"/>
          <w:szCs w:val="32"/>
        </w:rPr>
        <w:t>万元。减少</w:t>
      </w:r>
      <w:r>
        <w:rPr>
          <w:rFonts w:ascii="仿宋_GB2312" w:eastAsia="仿宋_GB2312" w:cs="仿宋_GB2312"/>
          <w:sz w:val="32"/>
          <w:szCs w:val="32"/>
        </w:rPr>
        <w:t>137.40</w:t>
      </w:r>
      <w:r>
        <w:rPr>
          <w:rFonts w:hint="eastAsia" w:ascii="仿宋_GB2312" w:eastAsia="仿宋_GB2312" w:cs="仿宋_GB2312"/>
          <w:sz w:val="32"/>
          <w:szCs w:val="32"/>
        </w:rPr>
        <w:t>万元。</w:t>
      </w:r>
    </w:p>
    <w:p>
      <w:pPr>
        <w:autoSpaceDE w:val="0"/>
        <w:snapToGrid w:val="0"/>
        <w:spacing w:line="576" w:lineRule="atLeast"/>
        <w:ind w:firstLine="640" w:firstLineChars="200"/>
        <w:jc w:val="both"/>
        <w:rPr>
          <w:rFonts w:ascii="仿宋_GB2312" w:eastAsia="仿宋_GB2312" w:cs="仿宋_GB2312"/>
          <w:sz w:val="32"/>
          <w:szCs w:val="32"/>
        </w:rPr>
      </w:pPr>
      <w:r>
        <w:rPr>
          <w:rFonts w:ascii="仿宋_GB2312" w:eastAsia="仿宋_GB2312" w:cs="仿宋_GB2312"/>
          <w:sz w:val="32"/>
          <w:szCs w:val="32"/>
        </w:rPr>
        <w:t>2024</w:t>
      </w:r>
      <w:r>
        <w:rPr>
          <w:rFonts w:hint="eastAsia" w:ascii="仿宋_GB2312" w:eastAsia="仿宋_GB2312" w:cs="仿宋_GB2312"/>
          <w:sz w:val="32"/>
          <w:szCs w:val="32"/>
        </w:rPr>
        <w:t>年度年初预算支出</w:t>
      </w:r>
      <w:r>
        <w:rPr>
          <w:rFonts w:ascii="仿宋_GB2312" w:eastAsia="仿宋_GB2312" w:cs="仿宋_GB2312"/>
          <w:sz w:val="32"/>
          <w:szCs w:val="32"/>
        </w:rPr>
        <w:t>662.79</w:t>
      </w:r>
      <w:r>
        <w:rPr>
          <w:rFonts w:hint="eastAsia" w:ascii="仿宋_GB2312" w:eastAsia="仿宋_GB2312" w:cs="仿宋_GB2312"/>
          <w:sz w:val="32"/>
          <w:szCs w:val="32"/>
        </w:rPr>
        <w:t>万元，实际支出</w:t>
      </w:r>
      <w:r>
        <w:rPr>
          <w:rFonts w:ascii="仿宋_GB2312" w:eastAsia="仿宋_GB2312" w:cs="仿宋_GB2312"/>
          <w:sz w:val="32"/>
          <w:szCs w:val="32"/>
        </w:rPr>
        <w:t>525.39</w:t>
      </w:r>
      <w:r>
        <w:rPr>
          <w:rFonts w:hint="eastAsia" w:ascii="仿宋_GB2312" w:eastAsia="仿宋_GB2312" w:cs="仿宋_GB2312"/>
          <w:sz w:val="32"/>
          <w:szCs w:val="32"/>
        </w:rPr>
        <w:t>万元，减少</w:t>
      </w:r>
      <w:r>
        <w:rPr>
          <w:rFonts w:ascii="仿宋_GB2312" w:eastAsia="仿宋_GB2312" w:cs="仿宋_GB2312"/>
          <w:sz w:val="32"/>
          <w:szCs w:val="32"/>
        </w:rPr>
        <w:t>137.40</w:t>
      </w:r>
      <w:r>
        <w:rPr>
          <w:rFonts w:hint="eastAsia" w:ascii="仿宋_GB2312" w:eastAsia="仿宋_GB2312" w:cs="仿宋_GB2312"/>
          <w:sz w:val="32"/>
          <w:szCs w:val="32"/>
        </w:rPr>
        <w:t>万元，按基本支出分类：人员经费年初预算数</w:t>
      </w:r>
      <w:r>
        <w:rPr>
          <w:rFonts w:ascii="仿宋_GB2312" w:eastAsia="仿宋_GB2312" w:cs="仿宋_GB2312"/>
          <w:sz w:val="32"/>
          <w:szCs w:val="32"/>
        </w:rPr>
        <w:t>475.84</w:t>
      </w:r>
      <w:r>
        <w:rPr>
          <w:rFonts w:hint="eastAsia" w:ascii="仿宋_GB2312" w:eastAsia="仿宋_GB2312" w:cs="仿宋_GB2312"/>
          <w:sz w:val="32"/>
          <w:szCs w:val="32"/>
        </w:rPr>
        <w:t>万元，实际支出</w:t>
      </w:r>
      <w:r>
        <w:rPr>
          <w:rFonts w:ascii="仿宋_GB2312" w:eastAsia="仿宋_GB2312" w:cs="仿宋_GB2312"/>
          <w:sz w:val="32"/>
          <w:szCs w:val="32"/>
        </w:rPr>
        <w:t>465.17</w:t>
      </w:r>
      <w:r>
        <w:rPr>
          <w:rFonts w:hint="eastAsia" w:ascii="仿宋_GB2312" w:eastAsia="仿宋_GB2312" w:cs="仿宋_GB2312"/>
          <w:sz w:val="32"/>
          <w:szCs w:val="32"/>
        </w:rPr>
        <w:t>万元；公用经费年初预算数</w:t>
      </w:r>
      <w:r>
        <w:rPr>
          <w:rFonts w:ascii="仿宋_GB2312" w:eastAsia="仿宋_GB2312" w:cs="仿宋_GB2312"/>
          <w:sz w:val="32"/>
          <w:szCs w:val="32"/>
        </w:rPr>
        <w:t>32.19</w:t>
      </w:r>
      <w:r>
        <w:rPr>
          <w:rFonts w:hint="eastAsia" w:ascii="仿宋_GB2312" w:eastAsia="仿宋_GB2312" w:cs="仿宋_GB2312"/>
          <w:sz w:val="32"/>
          <w:szCs w:val="32"/>
        </w:rPr>
        <w:t>万元，实际支出</w:t>
      </w:r>
      <w:r>
        <w:rPr>
          <w:rFonts w:ascii="仿宋_GB2312" w:eastAsia="仿宋_GB2312" w:cs="仿宋_GB2312"/>
          <w:sz w:val="32"/>
          <w:szCs w:val="32"/>
        </w:rPr>
        <w:t>24.76</w:t>
      </w:r>
      <w:r>
        <w:rPr>
          <w:rFonts w:hint="eastAsia" w:ascii="仿宋_GB2312" w:eastAsia="仿宋_GB2312" w:cs="仿宋_GB2312"/>
          <w:sz w:val="32"/>
          <w:szCs w:val="32"/>
        </w:rPr>
        <w:t>万；项目支出年初预算数</w:t>
      </w:r>
      <w:r>
        <w:rPr>
          <w:rFonts w:ascii="仿宋_GB2312" w:eastAsia="仿宋_GB2312" w:cs="仿宋_GB2312"/>
          <w:sz w:val="32"/>
          <w:szCs w:val="32"/>
        </w:rPr>
        <w:t>154.76</w:t>
      </w:r>
      <w:r>
        <w:rPr>
          <w:rFonts w:hint="eastAsia" w:ascii="仿宋_GB2312" w:eastAsia="仿宋_GB2312" w:cs="仿宋_GB2312"/>
          <w:sz w:val="32"/>
          <w:szCs w:val="32"/>
        </w:rPr>
        <w:t>万元，实际支出</w:t>
      </w:r>
      <w:r>
        <w:rPr>
          <w:rFonts w:ascii="仿宋_GB2312" w:eastAsia="仿宋_GB2312" w:cs="仿宋_GB2312"/>
          <w:sz w:val="32"/>
          <w:szCs w:val="32"/>
        </w:rPr>
        <w:t>35.46</w:t>
      </w:r>
      <w:r>
        <w:rPr>
          <w:rFonts w:hint="eastAsia" w:ascii="仿宋_GB2312" w:eastAsia="仿宋_GB2312" w:cs="仿宋_GB2312"/>
          <w:sz w:val="32"/>
          <w:szCs w:val="32"/>
        </w:rPr>
        <w:t>万元。差异原因分析：主要原因为厉行节约，控制成本。年初预算了城乡居民医疗保险县级配套资金，该笔资金由县级财政直接上解于州局。</w:t>
      </w:r>
    </w:p>
    <w:p>
      <w:pPr>
        <w:pStyle w:val="18"/>
        <w:spacing w:beforeAutospacing="0" w:afterAutospacing="0" w:line="576" w:lineRule="atLeast"/>
        <w:ind w:firstLine="643" w:firstLineChars="200"/>
        <w:jc w:val="both"/>
        <w:rPr>
          <w:rFonts w:ascii="仿宋_GB2312" w:hAnsi="仿宋_GB2312" w:eastAsia="仿宋_GB2312" w:cs="仿宋_GB2312"/>
          <w:sz w:val="32"/>
          <w:szCs w:val="32"/>
        </w:rPr>
      </w:pPr>
      <w:r>
        <w:rPr>
          <w:rStyle w:val="21"/>
          <w:rFonts w:hint="eastAsia" w:ascii="仿宋_GB2312" w:hAnsi="仿宋_GB2312" w:eastAsia="仿宋_GB2312" w:cs="仿宋_GB2312"/>
          <w:sz w:val="32"/>
          <w:szCs w:val="32"/>
          <w:shd w:val="clear" w:color="auto" w:fill="FFFFFF"/>
          <w:lang w:eastAsia="zh-CN"/>
        </w:rPr>
        <w:t>四、财政拨款收入支出决算总体情况说明</w:t>
      </w:r>
    </w:p>
    <w:p>
      <w:pPr>
        <w:pStyle w:val="18"/>
        <w:spacing w:beforeAutospacing="0" w:afterAutospacing="0" w:line="576" w:lineRule="atLeast"/>
        <w:ind w:firstLine="480" w:firstLineChars="200"/>
        <w:jc w:val="both"/>
        <w:rPr>
          <w:rStyle w:val="21"/>
          <w:rFonts w:ascii="仿宋_GB2312" w:hAnsi="仿宋_GB2312" w:eastAsia="仿宋_GB2312" w:cs="仿宋_GB2312"/>
          <w:sz w:val="32"/>
          <w:szCs w:val="32"/>
          <w:shd w:val="clear" w:color="auto" w:fill="FFFFFF"/>
        </w:rPr>
      </w:pPr>
      <w:r>
        <w:pict>
          <v:shape id="_x0000_s1027" o:spid="_x0000_s1027" o:spt="75" type="#_x0000_t75" style="position:absolute;left:0pt;margin-left:1.65pt;margin-top:158pt;height:188.65pt;width:403.2pt;mso-wrap-distance-bottom:0pt;mso-wrap-distance-left:9pt;mso-wrap-distance-right:9pt;mso-wrap-distance-top:0pt;z-index:251658240;mso-width-relative:page;mso-height-relative:page;" o:ole="t" filled="f" o:preferrelative="t" stroked="f" coordsize="21600,21600">
            <v:path/>
            <v:fill on="f" focussize="0,0"/>
            <v:stroke on="f" joinstyle="miter"/>
            <v:imagedata r:id="rId10" o:title=""/>
            <o:lock v:ext="edit" aspectratio="t"/>
            <w10:wrap type="square"/>
          </v:shape>
          <o:OLEObject Type="Embed" ProgID="Excel.Chart.8" ShapeID="_x0000_s1027" DrawAspect="Content" ObjectID="_1468075727" r:id="rId9">
            <o:LockedField>false</o:LockedField>
          </o:OLEObject>
        </w:pic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）本单位本年度总收入为</w:t>
      </w:r>
      <w:r>
        <w:rPr>
          <w:rFonts w:ascii="仿宋_GB2312" w:hAnsi="仿宋_GB2312" w:eastAsia="仿宋_GB2312" w:cs="仿宋_GB2312"/>
          <w:sz w:val="32"/>
          <w:szCs w:val="32"/>
          <w:shd w:val="clear" w:color="auto" w:fill="FFFFFF"/>
        </w:rPr>
        <w:t>525.39</w:t>
      </w:r>
      <w:r>
        <w:rPr>
          <w:rFonts w:hint="eastAsia" w:ascii="仿宋_GB2312" w:hAnsi="仿宋_GB2312" w:eastAsia="仿宋_GB2312" w:cs="仿宋_GB2312"/>
          <w:sz w:val="32"/>
          <w:szCs w:val="32"/>
          <w:shd w:val="clear" w:color="auto" w:fill="FFFFFF"/>
        </w:rPr>
        <w:t>万元。其中：一般公共预算财政拨款收入为</w:t>
      </w:r>
      <w:r>
        <w:rPr>
          <w:rFonts w:ascii="仿宋_GB2312" w:hAnsi="仿宋_GB2312" w:eastAsia="仿宋_GB2312" w:cs="仿宋_GB2312"/>
          <w:sz w:val="32"/>
          <w:szCs w:val="32"/>
          <w:shd w:val="clear" w:color="auto" w:fill="FFFFFF"/>
        </w:rPr>
        <w:t>525.39</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100.00%</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本年度总支出为</w:t>
      </w:r>
      <w:r>
        <w:rPr>
          <w:rFonts w:ascii="仿宋_GB2312" w:hAnsi="仿宋_GB2312" w:eastAsia="仿宋_GB2312" w:cs="仿宋_GB2312"/>
          <w:sz w:val="32"/>
          <w:szCs w:val="32"/>
          <w:shd w:val="clear" w:color="auto" w:fill="FFFFFF"/>
        </w:rPr>
        <w:t>525.39</w:t>
      </w:r>
      <w:r>
        <w:rPr>
          <w:rFonts w:hint="eastAsia" w:ascii="仿宋_GB2312" w:hAnsi="仿宋_GB2312" w:eastAsia="仿宋_GB2312" w:cs="仿宋_GB2312"/>
          <w:sz w:val="32"/>
          <w:szCs w:val="32"/>
          <w:shd w:val="clear" w:color="auto" w:fill="FFFFFF"/>
        </w:rPr>
        <w:t>万元。其中：社会保障和就业支出为</w:t>
      </w:r>
      <w:r>
        <w:rPr>
          <w:rFonts w:ascii="仿宋_GB2312" w:hAnsi="仿宋_GB2312" w:eastAsia="仿宋_GB2312" w:cs="仿宋_GB2312"/>
          <w:sz w:val="32"/>
          <w:szCs w:val="32"/>
          <w:shd w:val="clear" w:color="auto" w:fill="FFFFFF"/>
        </w:rPr>
        <w:t>65.88</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12.54%</w:t>
      </w:r>
      <w:r>
        <w:rPr>
          <w:rFonts w:hint="eastAsia" w:ascii="仿宋_GB2312" w:hAnsi="仿宋_GB2312" w:eastAsia="仿宋_GB2312" w:cs="仿宋_GB2312"/>
          <w:sz w:val="32"/>
          <w:szCs w:val="32"/>
          <w:shd w:val="clear" w:color="auto" w:fill="FFFFFF"/>
        </w:rPr>
        <w:t>；卫生健康支出为</w:t>
      </w:r>
      <w:r>
        <w:rPr>
          <w:rFonts w:ascii="仿宋_GB2312" w:hAnsi="仿宋_GB2312" w:eastAsia="仿宋_GB2312" w:cs="仿宋_GB2312"/>
          <w:sz w:val="32"/>
          <w:szCs w:val="32"/>
          <w:shd w:val="clear" w:color="auto" w:fill="FFFFFF"/>
        </w:rPr>
        <w:t>423.84</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80.67%</w:t>
      </w:r>
      <w:r>
        <w:rPr>
          <w:rFonts w:hint="eastAsia" w:ascii="仿宋_GB2312" w:hAnsi="仿宋_GB2312" w:eastAsia="仿宋_GB2312" w:cs="仿宋_GB2312"/>
          <w:sz w:val="32"/>
          <w:szCs w:val="32"/>
          <w:shd w:val="clear" w:color="auto" w:fill="FFFFFF"/>
        </w:rPr>
        <w:t>；住房保障支出为</w:t>
      </w:r>
      <w:r>
        <w:rPr>
          <w:rFonts w:ascii="仿宋_GB2312" w:hAnsi="仿宋_GB2312" w:eastAsia="仿宋_GB2312" w:cs="仿宋_GB2312"/>
          <w:sz w:val="32"/>
          <w:szCs w:val="32"/>
          <w:shd w:val="clear" w:color="auto" w:fill="FFFFFF"/>
        </w:rPr>
        <w:t>35.67</w:t>
      </w:r>
      <w:r>
        <w:rPr>
          <w:rFonts w:hint="eastAsia" w:ascii="仿宋_GB2312" w:hAnsi="仿宋_GB2312" w:eastAsia="仿宋_GB2312" w:cs="仿宋_GB2312"/>
          <w:sz w:val="32"/>
          <w:szCs w:val="32"/>
          <w:shd w:val="clear" w:color="auto" w:fill="FFFFFF"/>
        </w:rPr>
        <w:t>万元，占比</w:t>
      </w:r>
      <w:r>
        <w:rPr>
          <w:rFonts w:ascii="仿宋_GB2312" w:hAnsi="仿宋_GB2312" w:eastAsia="仿宋_GB2312" w:cs="仿宋_GB2312"/>
          <w:sz w:val="32"/>
          <w:szCs w:val="32"/>
          <w:shd w:val="clear" w:color="auto" w:fill="FFFFFF"/>
        </w:rPr>
        <w:t>6.79%</w:t>
      </w:r>
      <w:r>
        <w:rPr>
          <w:rFonts w:hint="eastAsia" w:ascii="仿宋_GB2312" w:hAnsi="仿宋_GB2312" w:eastAsia="仿宋_GB2312" w:cs="仿宋_GB2312"/>
          <w:sz w:val="32"/>
          <w:szCs w:val="32"/>
          <w:shd w:val="clear" w:color="auto" w:fill="FFFFFF"/>
        </w:rPr>
        <w:t>；</w:t>
      </w:r>
    </w:p>
    <w:p>
      <w:pPr>
        <w:pStyle w:val="18"/>
        <w:spacing w:beforeAutospacing="0" w:afterAutospacing="0" w:line="576" w:lineRule="atLeast"/>
        <w:ind w:firstLine="643" w:firstLineChars="200"/>
        <w:jc w:val="both"/>
        <w:rPr>
          <w:rStyle w:val="21"/>
          <w:rFonts w:ascii="仿宋_GB2312" w:hAnsi="仿宋_GB2312" w:eastAsia="仿宋_GB2312" w:cs="仿宋_GB2312"/>
          <w:sz w:val="32"/>
          <w:szCs w:val="32"/>
          <w:shd w:val="clear" w:color="auto" w:fill="FFFFFF"/>
        </w:rPr>
      </w:pPr>
    </w:p>
    <w:p>
      <w:pPr>
        <w:pStyle w:val="18"/>
        <w:spacing w:beforeAutospacing="0" w:afterAutospacing="0" w:line="576" w:lineRule="atLeas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）本年度一般公共预算财政拨款收入相比上年度减少</w:t>
      </w:r>
      <w:r>
        <w:rPr>
          <w:rFonts w:ascii="仿宋_GB2312" w:hAnsi="仿宋_GB2312" w:eastAsia="仿宋_GB2312" w:cs="仿宋_GB2312"/>
          <w:sz w:val="32"/>
          <w:szCs w:val="32"/>
          <w:shd w:val="clear" w:color="auto" w:fill="FFFFFF"/>
        </w:rPr>
        <w:t>18.59</w:t>
      </w:r>
      <w:r>
        <w:rPr>
          <w:rFonts w:hint="eastAsia" w:ascii="仿宋_GB2312" w:hAnsi="仿宋_GB2312" w:eastAsia="仿宋_GB2312" w:cs="仿宋_GB2312"/>
          <w:sz w:val="32"/>
          <w:szCs w:val="32"/>
          <w:shd w:val="clear" w:color="auto" w:fill="FFFFFF"/>
        </w:rPr>
        <w:t>万元，</w:t>
      </w:r>
      <w:r>
        <w:rPr>
          <w:rStyle w:val="21"/>
          <w:rFonts w:hint="eastAsia" w:ascii="仿宋_GB2312" w:hAnsi="仿宋_GB2312" w:eastAsia="仿宋_GB2312" w:cs="仿宋_GB2312"/>
          <w:b w:val="0"/>
          <w:bCs/>
          <w:sz w:val="32"/>
          <w:szCs w:val="32"/>
          <w:shd w:val="clear" w:color="auto" w:fill="FFFFFF"/>
        </w:rPr>
        <w:t>主要原因为厉行节约，控制成本</w:t>
      </w:r>
      <w:r>
        <w:rPr>
          <w:rFonts w:hint="eastAsia" w:ascii="仿宋_GB2312" w:hAnsi="仿宋_GB2312" w:eastAsia="仿宋_GB2312" w:cs="仿宋_GB2312"/>
          <w:sz w:val="32"/>
          <w:szCs w:val="32"/>
          <w:shd w:val="clear" w:color="auto" w:fill="FFFFFF"/>
        </w:rPr>
        <w:t>；本年度一般公共服务支出相比上年度减少</w:t>
      </w:r>
      <w:r>
        <w:rPr>
          <w:rFonts w:ascii="仿宋_GB2312" w:hAnsi="仿宋_GB2312" w:eastAsia="仿宋_GB2312" w:cs="仿宋_GB2312"/>
          <w:sz w:val="32"/>
          <w:szCs w:val="32"/>
          <w:shd w:val="clear" w:color="auto" w:fill="FFFFFF"/>
        </w:rPr>
        <w:t>18.59</w:t>
      </w:r>
      <w:r>
        <w:rPr>
          <w:rFonts w:hint="eastAsia" w:ascii="仿宋_GB2312" w:hAnsi="仿宋_GB2312" w:eastAsia="仿宋_GB2312" w:cs="仿宋_GB2312"/>
          <w:sz w:val="32"/>
          <w:szCs w:val="32"/>
          <w:shd w:val="clear" w:color="auto" w:fill="FFFFFF"/>
        </w:rPr>
        <w:t>万元；社会保障和就业支出相比上年度减少</w:t>
      </w:r>
      <w:r>
        <w:rPr>
          <w:rFonts w:ascii="仿宋_GB2312" w:hAnsi="仿宋_GB2312" w:eastAsia="仿宋_GB2312" w:cs="仿宋_GB2312"/>
          <w:sz w:val="32"/>
          <w:szCs w:val="32"/>
          <w:shd w:val="clear" w:color="auto" w:fill="FFFFFF"/>
        </w:rPr>
        <w:t>3.38</w:t>
      </w:r>
      <w:r>
        <w:rPr>
          <w:rFonts w:hint="eastAsia" w:ascii="仿宋_GB2312" w:hAnsi="仿宋_GB2312" w:eastAsia="仿宋_GB2312" w:cs="仿宋_GB2312"/>
          <w:sz w:val="32"/>
          <w:szCs w:val="32"/>
          <w:shd w:val="clear" w:color="auto" w:fill="FFFFFF"/>
        </w:rPr>
        <w:t>万元；卫生健康支出相比上年度减少</w:t>
      </w:r>
      <w:r>
        <w:rPr>
          <w:rFonts w:ascii="仿宋_GB2312" w:hAnsi="仿宋_GB2312" w:eastAsia="仿宋_GB2312" w:cs="仿宋_GB2312"/>
          <w:sz w:val="32"/>
          <w:szCs w:val="32"/>
          <w:shd w:val="clear" w:color="auto" w:fill="FFFFFF"/>
        </w:rPr>
        <w:t>16.62</w:t>
      </w:r>
      <w:r>
        <w:rPr>
          <w:rFonts w:hint="eastAsia" w:ascii="仿宋_GB2312" w:hAnsi="仿宋_GB2312" w:eastAsia="仿宋_GB2312" w:cs="仿宋_GB2312"/>
          <w:sz w:val="32"/>
          <w:szCs w:val="32"/>
          <w:shd w:val="clear" w:color="auto" w:fill="FFFFFF"/>
        </w:rPr>
        <w:t>万元；</w:t>
      </w:r>
      <w:r>
        <w:rPr>
          <w:rStyle w:val="21"/>
          <w:rFonts w:hint="eastAsia" w:ascii="仿宋_GB2312" w:hAnsi="仿宋_GB2312" w:eastAsia="仿宋_GB2312" w:cs="仿宋_GB2312"/>
          <w:b w:val="0"/>
          <w:bCs/>
          <w:sz w:val="32"/>
          <w:szCs w:val="32"/>
          <w:shd w:val="clear" w:color="auto" w:fill="FFFFFF"/>
        </w:rPr>
        <w:t>主要原因为厉行节约，控制成本。</w:t>
      </w:r>
      <w:r>
        <w:rPr>
          <w:rFonts w:hint="eastAsia" w:ascii="仿宋_GB2312" w:hAnsi="仿宋_GB2312" w:eastAsia="仿宋_GB2312" w:cs="仿宋_GB2312"/>
          <w:sz w:val="32"/>
          <w:szCs w:val="32"/>
          <w:shd w:val="clear" w:color="auto" w:fill="FFFFFF"/>
        </w:rPr>
        <w:t>住房保障支出相比上年度增加</w:t>
      </w:r>
      <w:r>
        <w:rPr>
          <w:rFonts w:ascii="仿宋_GB2312" w:hAnsi="仿宋_GB2312" w:eastAsia="仿宋_GB2312" w:cs="仿宋_GB2312"/>
          <w:sz w:val="32"/>
          <w:szCs w:val="32"/>
          <w:shd w:val="clear" w:color="auto" w:fill="FFFFFF"/>
        </w:rPr>
        <w:t>1.41</w:t>
      </w:r>
      <w:r>
        <w:rPr>
          <w:rFonts w:hint="eastAsia" w:ascii="仿宋_GB2312" w:hAnsi="仿宋_GB2312" w:eastAsia="仿宋_GB2312" w:cs="仿宋_GB2312"/>
          <w:sz w:val="32"/>
          <w:szCs w:val="32"/>
          <w:shd w:val="clear" w:color="auto" w:fill="FFFFFF"/>
        </w:rPr>
        <w:t>万元，</w:t>
      </w:r>
      <w:r>
        <w:rPr>
          <w:rStyle w:val="21"/>
          <w:rFonts w:hint="eastAsia" w:ascii="仿宋_GB2312" w:hAnsi="仿宋_GB2312" w:eastAsia="仿宋_GB2312" w:cs="仿宋_GB2312"/>
          <w:b w:val="0"/>
          <w:bCs/>
          <w:sz w:val="32"/>
          <w:szCs w:val="32"/>
          <w:shd w:val="clear" w:color="auto" w:fill="FFFFFF"/>
        </w:rPr>
        <w:t>主要原因为公积金基数调整</w:t>
      </w:r>
      <w:r>
        <w:rPr>
          <w:rFonts w:hint="eastAsia" w:ascii="仿宋_GB2312" w:hAnsi="仿宋_GB2312" w:eastAsia="仿宋_GB2312" w:cs="仿宋_GB2312"/>
          <w:sz w:val="32"/>
          <w:szCs w:val="32"/>
          <w:shd w:val="clear" w:color="auto" w:fill="FFFFFF"/>
        </w:rPr>
        <w:t>。</w:t>
      </w:r>
    </w:p>
    <w:p>
      <w:pPr>
        <w:pStyle w:val="18"/>
        <w:spacing w:beforeAutospacing="0" w:afterAutospacing="0" w:line="576" w:lineRule="atLeast"/>
        <w:ind w:firstLine="643" w:firstLineChars="200"/>
        <w:jc w:val="both"/>
        <w:rPr>
          <w:rFonts w:hint="eastAsia" w:ascii="仿宋_GB2312" w:hAnsi="仿宋_GB2312" w:eastAsia="仿宋_GB2312" w:cs="仿宋_GB2312"/>
          <w:b/>
          <w:bCs/>
          <w:sz w:val="32"/>
          <w:szCs w:val="32"/>
          <w:shd w:val="clear" w:color="auto" w:fill="FFFFFF"/>
          <w:lang w:eastAsia="zh-CN"/>
        </w:rPr>
      </w:pPr>
      <w:r>
        <w:rPr>
          <w:rFonts w:hint="eastAsia" w:ascii="仿宋_GB2312" w:hAnsi="仿宋_GB2312" w:eastAsia="仿宋_GB2312" w:cs="仿宋_GB2312"/>
          <w:b/>
          <w:bCs/>
          <w:sz w:val="32"/>
          <w:szCs w:val="32"/>
          <w:shd w:val="clear" w:color="auto" w:fill="FFFFFF"/>
          <w:lang w:eastAsia="zh-CN"/>
        </w:rPr>
        <w:t>五、财政拨款“三公”经费支出决算情况说明</w:t>
      </w:r>
    </w:p>
    <w:p>
      <w:pPr>
        <w:pStyle w:val="18"/>
        <w:spacing w:beforeAutospacing="0" w:afterAutospacing="0" w:line="576" w:lineRule="atLeast"/>
        <w:ind w:firstLine="640" w:firstLineChars="200"/>
        <w:jc w:val="both"/>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“三公”经费支出情况：本单位本年度“三公”经费支出决算数为</w:t>
      </w:r>
      <w:r>
        <w:rPr>
          <w:rFonts w:ascii="仿宋_GB2312" w:hAnsi="仿宋_GB2312" w:eastAsia="仿宋_GB2312" w:cs="仿宋_GB2312"/>
          <w:sz w:val="32"/>
          <w:szCs w:val="32"/>
          <w:shd w:val="clear" w:color="auto" w:fill="FFFFFF"/>
        </w:rPr>
        <w:t>3.85</w:t>
      </w:r>
      <w:r>
        <w:rPr>
          <w:rFonts w:hint="eastAsia" w:ascii="仿宋_GB2312" w:hAnsi="仿宋_GB2312" w:eastAsia="仿宋_GB2312" w:cs="仿宋_GB2312"/>
          <w:sz w:val="32"/>
          <w:szCs w:val="32"/>
          <w:shd w:val="clear" w:color="auto" w:fill="FFFFFF"/>
        </w:rPr>
        <w:t>万元。其中</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因公出国（境）费支出决算数为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万元，相比上年度增加</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万元，公务用车购置及运行维护费支出决算数为</w:t>
      </w:r>
      <w:r>
        <w:rPr>
          <w:rFonts w:ascii="仿宋_GB2312" w:hAnsi="仿宋_GB2312" w:eastAsia="仿宋_GB2312" w:cs="仿宋_GB2312"/>
          <w:sz w:val="32"/>
          <w:szCs w:val="32"/>
          <w:shd w:val="clear" w:color="auto" w:fill="FFFFFF"/>
        </w:rPr>
        <w:t>3.85</w:t>
      </w:r>
      <w:r>
        <w:rPr>
          <w:rFonts w:hint="eastAsia" w:ascii="仿宋_GB2312" w:hAnsi="仿宋_GB2312" w:eastAsia="仿宋_GB2312" w:cs="仿宋_GB2312"/>
          <w:sz w:val="32"/>
          <w:szCs w:val="32"/>
          <w:shd w:val="clear" w:color="auto" w:fill="FFFFFF"/>
        </w:rPr>
        <w:t>万元，相比上年度减少</w:t>
      </w:r>
      <w:r>
        <w:rPr>
          <w:rFonts w:ascii="仿宋_GB2312" w:hAnsi="仿宋_GB2312" w:eastAsia="仿宋_GB2312" w:cs="仿宋_GB2312"/>
          <w:sz w:val="32"/>
          <w:szCs w:val="32"/>
          <w:shd w:val="clear" w:color="auto" w:fill="FFFFFF"/>
        </w:rPr>
        <w:t>2.39</w:t>
      </w:r>
      <w:r>
        <w:rPr>
          <w:rFonts w:hint="eastAsia" w:ascii="仿宋_GB2312" w:hAnsi="仿宋_GB2312" w:eastAsia="仿宋_GB2312" w:cs="仿宋_GB2312"/>
          <w:sz w:val="32"/>
          <w:szCs w:val="32"/>
          <w:shd w:val="clear" w:color="auto" w:fill="FFFFFF"/>
        </w:rPr>
        <w:t>万元，</w:t>
      </w:r>
      <w:r>
        <w:rPr>
          <w:rStyle w:val="21"/>
          <w:rFonts w:hint="eastAsia" w:ascii="仿宋_GB2312" w:hAnsi="仿宋_GB2312" w:eastAsia="仿宋_GB2312" w:cs="仿宋_GB2312"/>
          <w:b w:val="0"/>
          <w:bCs/>
          <w:sz w:val="32"/>
          <w:szCs w:val="32"/>
          <w:shd w:val="clear" w:color="auto" w:fill="FFFFFF"/>
        </w:rPr>
        <w:t>主要原因为厉行节约</w:t>
      </w:r>
      <w:r>
        <w:rPr>
          <w:rFonts w:hint="eastAsia" w:ascii="仿宋_GB2312" w:hAnsi="仿宋_GB2312" w:eastAsia="仿宋_GB2312" w:cs="仿宋_GB2312"/>
          <w:sz w:val="32"/>
          <w:szCs w:val="32"/>
          <w:shd w:val="clear" w:color="auto" w:fill="FFFFFF"/>
        </w:rPr>
        <w:t>；公务接待费支出决算数为</w:t>
      </w:r>
      <w:r>
        <w:rPr>
          <w:rFonts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rPr>
        <w:t>万元，相比上年度减少</w:t>
      </w:r>
      <w:r>
        <w:rPr>
          <w:rFonts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rPr>
        <w:t>万元。本年度“三公”经费支出预算数为</w:t>
      </w:r>
      <w:r>
        <w:rPr>
          <w:rFonts w:ascii="仿宋_GB2312" w:hAnsi="仿宋_GB2312" w:eastAsia="仿宋_GB2312" w:cs="仿宋_GB2312"/>
          <w:sz w:val="32"/>
          <w:szCs w:val="32"/>
          <w:shd w:val="clear" w:color="auto" w:fill="FFFFFF"/>
        </w:rPr>
        <w:t>3.85</w:t>
      </w:r>
      <w:r>
        <w:rPr>
          <w:rFonts w:hint="eastAsia" w:ascii="仿宋_GB2312" w:hAnsi="仿宋_GB2312" w:eastAsia="仿宋_GB2312" w:cs="仿宋_GB2312"/>
          <w:sz w:val="32"/>
          <w:szCs w:val="32"/>
          <w:shd w:val="clear" w:color="auto" w:fill="FFFFFF"/>
        </w:rPr>
        <w:t>万元，决算数为</w:t>
      </w:r>
      <w:r>
        <w:rPr>
          <w:rFonts w:ascii="仿宋_GB2312" w:hAnsi="仿宋_GB2312" w:eastAsia="仿宋_GB2312" w:cs="仿宋_GB2312"/>
          <w:sz w:val="32"/>
          <w:szCs w:val="32"/>
          <w:shd w:val="clear" w:color="auto" w:fill="FFFFFF"/>
        </w:rPr>
        <w:t>3.85</w:t>
      </w:r>
      <w:r>
        <w:rPr>
          <w:rFonts w:hint="eastAsia" w:ascii="仿宋_GB2312" w:hAnsi="仿宋_GB2312" w:eastAsia="仿宋_GB2312" w:cs="仿宋_GB2312"/>
          <w:sz w:val="32"/>
          <w:szCs w:val="32"/>
          <w:shd w:val="clear" w:color="auto" w:fill="FFFFFF"/>
        </w:rPr>
        <w:t>万元，预算完成度为</w:t>
      </w:r>
      <w:r>
        <w:rPr>
          <w:rFonts w:ascii="仿宋_GB2312" w:hAnsi="仿宋_GB2312" w:eastAsia="仿宋_GB2312" w:cs="仿宋_GB2312"/>
          <w:sz w:val="32"/>
          <w:szCs w:val="32"/>
          <w:shd w:val="clear" w:color="auto" w:fill="FFFFFF"/>
        </w:rPr>
        <w:t>100.00%</w:t>
      </w:r>
      <w:r>
        <w:rPr>
          <w:rFonts w:hint="eastAsia" w:ascii="仿宋_GB2312" w:hAnsi="仿宋_GB2312" w:eastAsia="仿宋_GB2312" w:cs="仿宋_GB2312"/>
          <w:sz w:val="32"/>
          <w:szCs w:val="32"/>
          <w:shd w:val="clear" w:color="auto" w:fill="FFFFFF"/>
        </w:rPr>
        <w:t>。本年度因公出国（境）费人均支出为</w:t>
      </w:r>
      <w:r>
        <w:rPr>
          <w:rFonts w:ascii="仿宋_GB2312" w:hAnsi="仿宋_GB2312" w:eastAsia="仿宋_GB2312" w:cs="仿宋_GB2312"/>
          <w:sz w:val="32"/>
          <w:szCs w:val="32"/>
          <w:shd w:val="clear" w:color="auto" w:fill="FFFFFF"/>
        </w:rPr>
        <w:t>0.00</w:t>
      </w:r>
      <w:r>
        <w:rPr>
          <w:rFonts w:hint="eastAsia" w:ascii="仿宋_GB2312" w:hAnsi="仿宋_GB2312" w:eastAsia="仿宋_GB2312" w:cs="仿宋_GB2312"/>
          <w:sz w:val="32"/>
          <w:szCs w:val="32"/>
          <w:shd w:val="clear" w:color="auto" w:fill="FFFFFF"/>
        </w:rPr>
        <w:t>万元，公务用车运行维护费人均支出为</w:t>
      </w:r>
      <w:r>
        <w:rPr>
          <w:rFonts w:ascii="仿宋_GB2312" w:hAnsi="仿宋_GB2312" w:eastAsia="仿宋_GB2312" w:cs="仿宋_GB2312"/>
          <w:sz w:val="32"/>
          <w:szCs w:val="32"/>
          <w:shd w:val="clear" w:color="auto" w:fill="FFFFFF"/>
        </w:rPr>
        <w:t>0.18</w:t>
      </w:r>
      <w:r>
        <w:rPr>
          <w:rFonts w:hint="eastAsia" w:ascii="仿宋_GB2312" w:hAnsi="仿宋_GB2312" w:eastAsia="仿宋_GB2312" w:cs="仿宋_GB2312"/>
          <w:sz w:val="32"/>
          <w:szCs w:val="32"/>
          <w:shd w:val="clear" w:color="auto" w:fill="FFFFFF"/>
        </w:rPr>
        <w:t>万元，公务接待费人均支出为</w:t>
      </w:r>
      <w:r>
        <w:rPr>
          <w:rFonts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rPr>
        <w:t>万元。</w:t>
      </w:r>
    </w:p>
    <w:p>
      <w:pPr>
        <w:pStyle w:val="18"/>
        <w:spacing w:beforeAutospacing="0" w:afterAutospacing="0" w:line="576" w:lineRule="atLeas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）会议费支出情况：本单位本年度会议费支出决算数为</w:t>
      </w:r>
      <w:r>
        <w:rPr>
          <w:rFonts w:ascii="仿宋_GB2312" w:hAnsi="仿宋_GB2312" w:eastAsia="仿宋_GB2312" w:cs="仿宋_GB2312"/>
          <w:sz w:val="32"/>
          <w:szCs w:val="32"/>
          <w:shd w:val="clear" w:color="auto" w:fill="FFFFFF"/>
        </w:rPr>
        <w:t>0.48</w:t>
      </w:r>
      <w:r>
        <w:rPr>
          <w:rFonts w:hint="eastAsia" w:ascii="仿宋_GB2312" w:hAnsi="仿宋_GB2312" w:eastAsia="仿宋_GB2312" w:cs="仿宋_GB2312"/>
          <w:sz w:val="32"/>
          <w:szCs w:val="32"/>
          <w:shd w:val="clear" w:color="auto" w:fill="FFFFFF"/>
        </w:rPr>
        <w:t>万元，相比上年度增加</w:t>
      </w:r>
      <w:r>
        <w:rPr>
          <w:rFonts w:ascii="仿宋_GB2312" w:hAnsi="仿宋_GB2312" w:eastAsia="仿宋_GB2312" w:cs="仿宋_GB2312"/>
          <w:sz w:val="32"/>
          <w:szCs w:val="32"/>
          <w:shd w:val="clear" w:color="auto" w:fill="FFFFFF"/>
        </w:rPr>
        <w:t>0.48</w:t>
      </w:r>
      <w:r>
        <w:rPr>
          <w:rFonts w:hint="eastAsia" w:ascii="仿宋_GB2312" w:hAnsi="仿宋_GB2312" w:eastAsia="仿宋_GB2312" w:cs="仿宋_GB2312"/>
          <w:sz w:val="32"/>
          <w:szCs w:val="32"/>
          <w:shd w:val="clear" w:color="auto" w:fill="FFFFFF"/>
        </w:rPr>
        <w:t>万元。</w:t>
      </w:r>
    </w:p>
    <w:p>
      <w:pPr>
        <w:pStyle w:val="18"/>
        <w:spacing w:beforeAutospacing="0" w:afterAutospacing="0" w:line="576" w:lineRule="atLeas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3</w:t>
      </w:r>
      <w:r>
        <w:rPr>
          <w:rFonts w:hint="eastAsia" w:ascii="仿宋_GB2312" w:hAnsi="仿宋_GB2312" w:eastAsia="仿宋_GB2312" w:cs="仿宋_GB2312"/>
          <w:sz w:val="32"/>
          <w:szCs w:val="32"/>
          <w:shd w:val="clear" w:color="auto" w:fill="FFFFFF"/>
        </w:rPr>
        <w:t>）培训费支出情况：本单位本年度培训费支出决算数为</w:t>
      </w:r>
      <w:r>
        <w:rPr>
          <w:rFonts w:ascii="仿宋_GB2312" w:hAnsi="仿宋_GB2312" w:eastAsia="仿宋_GB2312" w:cs="仿宋_GB2312"/>
          <w:sz w:val="32"/>
          <w:szCs w:val="32"/>
          <w:shd w:val="clear" w:color="auto" w:fill="FFFFFF"/>
        </w:rPr>
        <w:t>0.53</w:t>
      </w:r>
      <w:r>
        <w:rPr>
          <w:rFonts w:hint="eastAsia" w:ascii="仿宋_GB2312" w:hAnsi="仿宋_GB2312" w:eastAsia="仿宋_GB2312" w:cs="仿宋_GB2312"/>
          <w:sz w:val="32"/>
          <w:szCs w:val="32"/>
          <w:shd w:val="clear" w:color="auto" w:fill="FFFFFF"/>
        </w:rPr>
        <w:t>万元，相比上年度增加</w:t>
      </w:r>
      <w:r>
        <w:rPr>
          <w:rFonts w:ascii="仿宋_GB2312" w:hAnsi="仿宋_GB2312" w:eastAsia="仿宋_GB2312" w:cs="仿宋_GB2312"/>
          <w:sz w:val="32"/>
          <w:szCs w:val="32"/>
          <w:shd w:val="clear" w:color="auto" w:fill="FFFFFF"/>
        </w:rPr>
        <w:t>0.53</w:t>
      </w:r>
      <w:r>
        <w:rPr>
          <w:rFonts w:hint="eastAsia" w:ascii="仿宋_GB2312" w:hAnsi="仿宋_GB2312" w:eastAsia="仿宋_GB2312" w:cs="仿宋_GB2312"/>
          <w:sz w:val="32"/>
          <w:szCs w:val="32"/>
          <w:shd w:val="clear" w:color="auto" w:fill="FFFFFF"/>
        </w:rPr>
        <w:t>万元。</w:t>
      </w:r>
    </w:p>
    <w:tbl>
      <w:tblPr>
        <w:tblStyle w:val="19"/>
        <w:tblW w:w="8522"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0"/>
        <w:gridCol w:w="1420"/>
        <w:gridCol w:w="1420"/>
        <w:gridCol w:w="1420"/>
        <w:gridCol w:w="1091"/>
        <w:gridCol w:w="17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tcPr>
          <w:p>
            <w:pPr>
              <w:autoSpaceDE w:val="0"/>
              <w:snapToGrid w:val="0"/>
              <w:spacing w:line="576" w:lineRule="atLeast"/>
              <w:jc w:val="both"/>
              <w:rPr>
                <w:rFonts w:ascii="仿宋_GB2312" w:eastAsia="仿宋_GB2312" w:cs="仿宋_GB2312"/>
                <w:sz w:val="32"/>
                <w:szCs w:val="32"/>
              </w:rPr>
            </w:pPr>
          </w:p>
        </w:tc>
        <w:tc>
          <w:tcPr>
            <w:tcW w:w="1420" w:type="dxa"/>
            <w:tcBorders>
              <w:left w:val="nil"/>
            </w:tcBorders>
          </w:tcPr>
          <w:p>
            <w:pPr>
              <w:autoSpaceDE w:val="0"/>
              <w:snapToGrid w:val="0"/>
              <w:spacing w:line="576" w:lineRule="atLeast"/>
              <w:jc w:val="both"/>
              <w:rPr>
                <w:rFonts w:ascii="仿宋_GB2312" w:eastAsia="仿宋_GB2312" w:cs="仿宋_GB2312"/>
                <w:sz w:val="32"/>
                <w:szCs w:val="32"/>
              </w:rPr>
            </w:pPr>
            <w:r>
              <w:rPr>
                <w:rFonts w:hint="eastAsia" w:ascii="仿宋_GB2312" w:eastAsia="仿宋_GB2312" w:cs="仿宋_GB2312"/>
                <w:sz w:val="32"/>
                <w:szCs w:val="32"/>
              </w:rPr>
              <w:t>公车运行</w:t>
            </w:r>
          </w:p>
        </w:tc>
        <w:tc>
          <w:tcPr>
            <w:tcW w:w="1420" w:type="dxa"/>
            <w:tcBorders>
              <w:left w:val="nil"/>
            </w:tcBorders>
          </w:tcPr>
          <w:p>
            <w:pPr>
              <w:autoSpaceDE w:val="0"/>
              <w:snapToGrid w:val="0"/>
              <w:spacing w:line="576" w:lineRule="atLeast"/>
              <w:jc w:val="both"/>
              <w:rPr>
                <w:rFonts w:ascii="仿宋_GB2312" w:eastAsia="仿宋_GB2312" w:cs="仿宋_GB2312"/>
                <w:sz w:val="32"/>
                <w:szCs w:val="32"/>
              </w:rPr>
            </w:pPr>
            <w:r>
              <w:rPr>
                <w:rFonts w:hint="eastAsia" w:ascii="仿宋_GB2312" w:eastAsia="仿宋_GB2312" w:cs="仿宋_GB2312"/>
                <w:sz w:val="32"/>
                <w:szCs w:val="32"/>
              </w:rPr>
              <w:t>出国境</w:t>
            </w:r>
          </w:p>
        </w:tc>
        <w:tc>
          <w:tcPr>
            <w:tcW w:w="1420" w:type="dxa"/>
            <w:tcBorders>
              <w:left w:val="nil"/>
            </w:tcBorders>
          </w:tcPr>
          <w:p>
            <w:pPr>
              <w:autoSpaceDE w:val="0"/>
              <w:snapToGrid w:val="0"/>
              <w:spacing w:line="576" w:lineRule="atLeast"/>
              <w:jc w:val="both"/>
              <w:rPr>
                <w:rFonts w:ascii="仿宋_GB2312" w:eastAsia="仿宋_GB2312" w:cs="仿宋_GB2312"/>
                <w:sz w:val="32"/>
                <w:szCs w:val="32"/>
              </w:rPr>
            </w:pPr>
            <w:r>
              <w:rPr>
                <w:rFonts w:hint="eastAsia" w:ascii="仿宋_GB2312" w:eastAsia="仿宋_GB2312" w:cs="仿宋_GB2312"/>
                <w:sz w:val="32"/>
                <w:szCs w:val="32"/>
              </w:rPr>
              <w:t>公务接待</w:t>
            </w:r>
          </w:p>
        </w:tc>
        <w:tc>
          <w:tcPr>
            <w:tcW w:w="1091" w:type="dxa"/>
            <w:tcBorders>
              <w:left w:val="nil"/>
            </w:tcBorders>
          </w:tcPr>
          <w:p>
            <w:pPr>
              <w:autoSpaceDE w:val="0"/>
              <w:snapToGrid w:val="0"/>
              <w:spacing w:line="576" w:lineRule="atLeast"/>
              <w:jc w:val="both"/>
              <w:rPr>
                <w:rFonts w:ascii="仿宋_GB2312" w:eastAsia="仿宋_GB2312" w:cs="仿宋_GB2312"/>
                <w:sz w:val="32"/>
                <w:szCs w:val="32"/>
              </w:rPr>
            </w:pPr>
            <w:r>
              <w:rPr>
                <w:rFonts w:hint="eastAsia" w:ascii="仿宋_GB2312" w:eastAsia="仿宋_GB2312" w:cs="仿宋_GB2312"/>
                <w:sz w:val="32"/>
                <w:szCs w:val="32"/>
              </w:rPr>
              <w:t>会议费</w:t>
            </w:r>
          </w:p>
        </w:tc>
        <w:tc>
          <w:tcPr>
            <w:tcW w:w="1751" w:type="dxa"/>
            <w:tcBorders>
              <w:left w:val="nil"/>
            </w:tcBorders>
          </w:tcPr>
          <w:p>
            <w:pPr>
              <w:autoSpaceDE w:val="0"/>
              <w:snapToGrid w:val="0"/>
              <w:spacing w:line="576" w:lineRule="atLeast"/>
              <w:jc w:val="both"/>
              <w:rPr>
                <w:rFonts w:ascii="仿宋_GB2312" w:eastAsia="仿宋_GB2312" w:cs="仿宋_GB2312"/>
                <w:sz w:val="32"/>
                <w:szCs w:val="32"/>
              </w:rPr>
            </w:pPr>
            <w:r>
              <w:rPr>
                <w:rFonts w:hint="eastAsia" w:ascii="仿宋_GB2312" w:eastAsia="仿宋_GB2312" w:cs="仿宋_GB2312"/>
                <w:sz w:val="32"/>
                <w:szCs w:val="32"/>
              </w:rPr>
              <w:t>培训费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tcPr>
          <w:p>
            <w:pPr>
              <w:autoSpaceDE w:val="0"/>
              <w:snapToGrid w:val="0"/>
              <w:spacing w:line="576" w:lineRule="atLeast"/>
              <w:jc w:val="both"/>
              <w:rPr>
                <w:rFonts w:ascii="仿宋_GB2312" w:eastAsia="仿宋_GB2312" w:cs="仿宋_GB2312"/>
                <w:sz w:val="32"/>
                <w:szCs w:val="32"/>
              </w:rPr>
            </w:pPr>
            <w:r>
              <w:rPr>
                <w:rFonts w:ascii="仿宋_GB2312" w:eastAsia="仿宋_GB2312" w:cs="仿宋_GB2312"/>
                <w:sz w:val="32"/>
                <w:szCs w:val="32"/>
              </w:rPr>
              <w:t>2024</w:t>
            </w:r>
            <w:r>
              <w:rPr>
                <w:rFonts w:hint="eastAsia" w:ascii="仿宋_GB2312" w:eastAsia="仿宋_GB2312" w:cs="仿宋_GB2312"/>
                <w:sz w:val="32"/>
                <w:szCs w:val="32"/>
              </w:rPr>
              <w:t>年</w:t>
            </w:r>
          </w:p>
        </w:tc>
        <w:tc>
          <w:tcPr>
            <w:tcW w:w="1420" w:type="dxa"/>
            <w:tcBorders>
              <w:left w:val="nil"/>
            </w:tcBorders>
          </w:tcPr>
          <w:p>
            <w:pPr>
              <w:autoSpaceDE w:val="0"/>
              <w:snapToGrid w:val="0"/>
              <w:spacing w:line="576" w:lineRule="atLeast"/>
              <w:jc w:val="both"/>
              <w:rPr>
                <w:rFonts w:ascii="仿宋_GB2312" w:eastAsia="仿宋_GB2312" w:cs="仿宋_GB2312"/>
                <w:sz w:val="32"/>
                <w:szCs w:val="32"/>
              </w:rPr>
            </w:pPr>
            <w:r>
              <w:rPr>
                <w:rFonts w:ascii="仿宋_GB2312" w:eastAsia="仿宋_GB2312" w:cs="仿宋_GB2312"/>
                <w:sz w:val="32"/>
                <w:szCs w:val="32"/>
              </w:rPr>
              <w:t>3.85</w:t>
            </w:r>
          </w:p>
        </w:tc>
        <w:tc>
          <w:tcPr>
            <w:tcW w:w="1420" w:type="dxa"/>
            <w:tcBorders>
              <w:left w:val="nil"/>
            </w:tcBorders>
          </w:tcPr>
          <w:p>
            <w:pPr>
              <w:autoSpaceDE w:val="0"/>
              <w:snapToGrid w:val="0"/>
              <w:spacing w:line="576" w:lineRule="atLeast"/>
              <w:jc w:val="both"/>
              <w:rPr>
                <w:rFonts w:ascii="仿宋_GB2312" w:eastAsia="仿宋_GB2312" w:cs="仿宋_GB2312"/>
                <w:sz w:val="32"/>
                <w:szCs w:val="32"/>
              </w:rPr>
            </w:pPr>
            <w:r>
              <w:rPr>
                <w:rFonts w:ascii="仿宋_GB2312" w:eastAsia="仿宋_GB2312" w:cs="仿宋_GB2312"/>
                <w:sz w:val="32"/>
                <w:szCs w:val="32"/>
              </w:rPr>
              <w:t>0</w:t>
            </w:r>
          </w:p>
        </w:tc>
        <w:tc>
          <w:tcPr>
            <w:tcW w:w="1420" w:type="dxa"/>
            <w:tcBorders>
              <w:left w:val="nil"/>
            </w:tcBorders>
          </w:tcPr>
          <w:p>
            <w:pPr>
              <w:autoSpaceDE w:val="0"/>
              <w:snapToGrid w:val="0"/>
              <w:spacing w:line="576" w:lineRule="atLeast"/>
              <w:jc w:val="both"/>
              <w:rPr>
                <w:rFonts w:ascii="仿宋_GB2312" w:eastAsia="仿宋_GB2312" w:cs="仿宋_GB2312"/>
                <w:sz w:val="32"/>
                <w:szCs w:val="32"/>
              </w:rPr>
            </w:pPr>
            <w:r>
              <w:rPr>
                <w:rFonts w:ascii="仿宋_GB2312" w:eastAsia="仿宋_GB2312" w:cs="仿宋_GB2312"/>
                <w:sz w:val="32"/>
                <w:szCs w:val="32"/>
              </w:rPr>
              <w:t>0</w:t>
            </w:r>
          </w:p>
        </w:tc>
        <w:tc>
          <w:tcPr>
            <w:tcW w:w="1091" w:type="dxa"/>
            <w:tcBorders>
              <w:left w:val="nil"/>
            </w:tcBorders>
          </w:tcPr>
          <w:p>
            <w:pPr>
              <w:autoSpaceDE w:val="0"/>
              <w:snapToGrid w:val="0"/>
              <w:spacing w:line="576" w:lineRule="atLeast"/>
              <w:jc w:val="both"/>
              <w:rPr>
                <w:rFonts w:ascii="仿宋_GB2312" w:eastAsia="仿宋_GB2312" w:cs="仿宋_GB2312"/>
                <w:sz w:val="32"/>
                <w:szCs w:val="32"/>
              </w:rPr>
            </w:pPr>
            <w:r>
              <w:rPr>
                <w:rFonts w:ascii="仿宋_GB2312" w:eastAsia="仿宋_GB2312" w:cs="仿宋_GB2312"/>
                <w:sz w:val="32"/>
                <w:szCs w:val="32"/>
              </w:rPr>
              <w:t>0.48</w:t>
            </w:r>
          </w:p>
        </w:tc>
        <w:tc>
          <w:tcPr>
            <w:tcW w:w="1751" w:type="dxa"/>
            <w:tcBorders>
              <w:left w:val="nil"/>
            </w:tcBorders>
          </w:tcPr>
          <w:p>
            <w:pPr>
              <w:autoSpaceDE w:val="0"/>
              <w:snapToGrid w:val="0"/>
              <w:spacing w:line="576" w:lineRule="atLeast"/>
              <w:jc w:val="both"/>
              <w:rPr>
                <w:rFonts w:ascii="仿宋_GB2312" w:eastAsia="仿宋_GB2312" w:cs="仿宋_GB2312"/>
                <w:sz w:val="32"/>
                <w:szCs w:val="32"/>
              </w:rPr>
            </w:pPr>
            <w:r>
              <w:rPr>
                <w:rFonts w:ascii="仿宋_GB2312" w:eastAsia="仿宋_GB2312" w:cs="仿宋_GB2312"/>
                <w:sz w:val="32"/>
                <w:szCs w:val="32"/>
              </w:rPr>
              <w:t>0.53</w:t>
            </w:r>
          </w:p>
        </w:tc>
      </w:tr>
    </w:tbl>
    <w:p>
      <w:pPr>
        <w:pStyle w:val="18"/>
        <w:spacing w:beforeAutospacing="0" w:afterAutospacing="0" w:line="576" w:lineRule="atLeast"/>
        <w:ind w:firstLine="640" w:firstLineChars="200"/>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4</w:t>
      </w:r>
      <w:r>
        <w:rPr>
          <w:rFonts w:hint="eastAsia" w:ascii="仿宋_GB2312" w:hAnsi="仿宋_GB2312" w:eastAsia="仿宋_GB2312" w:cs="仿宋_GB2312"/>
          <w:sz w:val="32"/>
          <w:szCs w:val="32"/>
          <w:shd w:val="clear" w:color="auto" w:fill="FFFFFF"/>
        </w:rPr>
        <w:t>）其他对单位影响较大的支出情况。</w:t>
      </w:r>
    </w:p>
    <w:p>
      <w:pPr>
        <w:pStyle w:val="18"/>
        <w:spacing w:beforeAutospacing="0" w:afterAutospacing="0" w:line="576" w:lineRule="atLeast"/>
        <w:ind w:firstLine="640" w:firstLineChars="200"/>
        <w:jc w:val="both"/>
        <w:rPr>
          <w:rStyle w:val="21"/>
          <w:rFonts w:ascii="仿宋_GB2312" w:hAnsi="仿宋_GB2312" w:eastAsia="仿宋_GB2312" w:cs="仿宋_GB2312"/>
          <w:b w:val="0"/>
          <w:bCs/>
          <w:sz w:val="32"/>
          <w:szCs w:val="32"/>
          <w:shd w:val="clear" w:color="auto" w:fill="FFFFFF"/>
        </w:rPr>
      </w:pPr>
      <w:r>
        <w:rPr>
          <w:rStyle w:val="21"/>
          <w:rFonts w:hint="eastAsia" w:ascii="仿宋_GB2312" w:hAnsi="仿宋_GB2312" w:eastAsia="仿宋_GB2312" w:cs="仿宋_GB2312"/>
          <w:b w:val="0"/>
          <w:bCs/>
          <w:sz w:val="32"/>
          <w:szCs w:val="32"/>
          <w:shd w:val="clear" w:color="auto" w:fill="FFFFFF"/>
        </w:rPr>
        <w:t>无</w:t>
      </w:r>
    </w:p>
    <w:p>
      <w:pPr>
        <w:pStyle w:val="18"/>
        <w:spacing w:beforeAutospacing="0" w:afterAutospacing="0" w:line="576" w:lineRule="atLeas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5</w:t>
      </w:r>
      <w:r>
        <w:rPr>
          <w:rFonts w:hint="eastAsia" w:ascii="仿宋_GB2312" w:hAnsi="仿宋_GB2312" w:eastAsia="仿宋_GB2312" w:cs="仿宋_GB2312"/>
          <w:sz w:val="32"/>
          <w:szCs w:val="32"/>
          <w:shd w:val="clear" w:color="auto" w:fill="FFFFFF"/>
        </w:rPr>
        <w:t>）重点经济分类支出中存在的问题及改进措施。</w:t>
      </w:r>
    </w:p>
    <w:p>
      <w:pPr>
        <w:pStyle w:val="18"/>
        <w:spacing w:beforeAutospacing="0" w:afterAutospacing="0" w:line="576" w:lineRule="atLeast"/>
        <w:ind w:firstLine="640" w:firstLineChars="200"/>
        <w:jc w:val="both"/>
        <w:rPr>
          <w:rStyle w:val="21"/>
          <w:rFonts w:ascii="仿宋_GB2312" w:hAnsi="仿宋_GB2312" w:eastAsia="仿宋_GB2312" w:cs="仿宋_GB2312"/>
          <w:b w:val="0"/>
          <w:bCs/>
          <w:sz w:val="32"/>
          <w:szCs w:val="32"/>
          <w:shd w:val="clear" w:color="auto" w:fill="FFFFFF"/>
        </w:rPr>
      </w:pPr>
      <w:r>
        <w:rPr>
          <w:rStyle w:val="21"/>
          <w:rFonts w:hint="eastAsia" w:ascii="仿宋_GB2312" w:hAnsi="仿宋_GB2312" w:eastAsia="仿宋_GB2312" w:cs="仿宋_GB2312"/>
          <w:b w:val="0"/>
          <w:bCs/>
          <w:sz w:val="32"/>
          <w:szCs w:val="32"/>
          <w:shd w:val="clear" w:color="auto" w:fill="FFFFFF"/>
        </w:rPr>
        <w:t>无</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六、政府性基金预算支出决算情况说明</w:t>
      </w:r>
    </w:p>
    <w:p>
      <w:pPr>
        <w:ind w:firstLine="800" w:firstLineChars="250"/>
        <w:rPr>
          <w:rFonts w:hint="default" w:ascii="仿宋_GB2312" w:hAnsi="仿宋_GB2312" w:eastAsia="仿宋_GB2312" w:cs="仿宋_GB2312"/>
          <w:bCs/>
          <w:kern w:val="2"/>
          <w:sz w:val="32"/>
          <w:szCs w:val="32"/>
          <w:lang w:val="en-US" w:eastAsia="zh-CN" w:bidi="ar-SA"/>
        </w:rPr>
      </w:pPr>
      <w:bookmarkStart w:id="16" w:name="_Toc15396611"/>
      <w:bookmarkStart w:id="17" w:name="_Toc15377219"/>
      <w:r>
        <w:rPr>
          <w:rFonts w:hint="default" w:ascii="仿宋_GB2312" w:hAnsi="仿宋_GB2312" w:eastAsia="仿宋_GB2312" w:cs="仿宋_GB2312"/>
          <w:bCs/>
          <w:kern w:val="2"/>
          <w:sz w:val="32"/>
          <w:szCs w:val="32"/>
          <w:lang w:val="en-US" w:eastAsia="zh-CN" w:bidi="ar-SA"/>
        </w:rPr>
        <w:t>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年度政府性基金预算财政拨款支出0万元。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七、国有资本经营预算支出决算情况说明</w:t>
      </w:r>
      <w:bookmarkEnd w:id="16"/>
      <w:bookmarkEnd w:id="17"/>
    </w:p>
    <w:p>
      <w:pPr>
        <w:pStyle w:val="18"/>
        <w:spacing w:beforeAutospacing="0" w:afterAutospacing="0" w:line="576" w:lineRule="atLeast"/>
        <w:ind w:firstLine="640" w:firstLineChars="200"/>
        <w:jc w:val="both"/>
        <w:rPr>
          <w:rFonts w:hint="eastAsia" w:ascii="仿宋_GB2312" w:hAnsi="仿宋_GB2312" w:eastAsia="仿宋_GB2312" w:cs="仿宋_GB2312"/>
          <w:bCs/>
          <w:kern w:val="2"/>
          <w:sz w:val="32"/>
          <w:szCs w:val="32"/>
          <w:lang w:val="en-US" w:eastAsia="zh-CN" w:bidi="ar-SA"/>
        </w:rPr>
      </w:pPr>
      <w:r>
        <w:rPr>
          <w:rFonts w:hint="default" w:ascii="仿宋_GB2312" w:hAnsi="仿宋_GB2312" w:eastAsia="仿宋_GB2312" w:cs="仿宋_GB2312"/>
          <w:bCs/>
          <w:kern w:val="2"/>
          <w:sz w:val="32"/>
          <w:szCs w:val="32"/>
          <w:lang w:val="en-US" w:eastAsia="zh-CN" w:bidi="ar-SA"/>
        </w:rPr>
        <w:t>202</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年度国有资本经营预算财政拨款支出0万元</w:t>
      </w:r>
      <w:r>
        <w:rPr>
          <w:rFonts w:hint="eastAsia" w:ascii="仿宋_GB2312" w:hAnsi="仿宋_GB2312" w:eastAsia="仿宋_GB2312" w:cs="仿宋_GB2312"/>
          <w:bCs/>
          <w:kern w:val="2"/>
          <w:sz w:val="32"/>
          <w:szCs w:val="32"/>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en-US" w:eastAsia="zh-CN"/>
        </w:rPr>
      </w:pPr>
      <w:r>
        <w:rPr>
          <w:rFonts w:hint="eastAsia" w:ascii="Times New Roman" w:hAnsi="Times New Roman" w:eastAsia="黑体" w:cs="Times New Roman"/>
          <w:color w:val="000000"/>
          <w:kern w:val="0"/>
          <w:sz w:val="32"/>
          <w:szCs w:val="32"/>
          <w:highlight w:val="none"/>
          <w:shd w:val="clear" w:color="auto" w:fill="FFFFFF"/>
          <w:lang w:val="en-US" w:eastAsia="zh-CN"/>
        </w:rPr>
        <w:t>八、其他重要事项的情况说明</w:t>
      </w:r>
    </w:p>
    <w:p>
      <w:pPr>
        <w:pStyle w:val="18"/>
        <w:spacing w:beforeAutospacing="0" w:afterAutospacing="0" w:line="576" w:lineRule="atLeast"/>
        <w:ind w:firstLine="640" w:firstLineChars="200"/>
        <w:jc w:val="both"/>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无</w:t>
      </w: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18"/>
        <w:spacing w:beforeAutospacing="0" w:afterAutospacing="0" w:line="576" w:lineRule="atLeast"/>
        <w:jc w:val="both"/>
        <w:rPr>
          <w:rFonts w:ascii="仿宋_GB2312" w:hAnsi="仿宋_GB2312" w:eastAsia="仿宋_GB2312" w:cs="仿宋_GB2312"/>
          <w:sz w:val="32"/>
          <w:szCs w:val="32"/>
          <w:shd w:val="clear" w:color="auto" w:fill="FFFFFF"/>
        </w:rPr>
      </w:pPr>
    </w:p>
    <w:p>
      <w:pPr>
        <w:pStyle w:val="5"/>
        <w:jc w:val="center"/>
        <w:rPr>
          <w:rFonts w:hint="eastAsia" w:ascii="Times New Roman" w:hAnsi="Times New Roman" w:eastAsia="方正小标宋简体" w:cs="方正小标宋简体"/>
          <w:b w:val="0"/>
          <w:color w:val="auto"/>
          <w:highlight w:val="none"/>
        </w:rPr>
      </w:pPr>
      <w:bookmarkStart w:id="18" w:name="_Toc15377225"/>
      <w:bookmarkStart w:id="19" w:name="_Toc15396613"/>
    </w:p>
    <w:p>
      <w:pPr>
        <w:pStyle w:val="5"/>
        <w:jc w:val="center"/>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w:t>
      </w:r>
      <w:r>
        <w:rPr>
          <w:rFonts w:hint="eastAsia" w:ascii="Times New Roman" w:hAnsi="Times New Roman" w:eastAsia="方正小标宋简体" w:cs="方正小标宋简体"/>
          <w:b w:val="0"/>
          <w:color w:val="auto"/>
          <w:highlight w:val="none"/>
          <w:lang w:eastAsia="zh-CN"/>
        </w:rPr>
        <w:t>三</w:t>
      </w:r>
      <w:r>
        <w:rPr>
          <w:rFonts w:hint="eastAsia" w:ascii="Times New Roman" w:hAnsi="Times New Roman" w:eastAsia="方正小标宋简体" w:cs="方正小标宋简体"/>
          <w:b w:val="0"/>
          <w:color w:val="auto"/>
          <w:highlight w:val="none"/>
        </w:rPr>
        <w:t>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名词解释</w:t>
      </w:r>
      <w:bookmarkEnd w:id="18"/>
      <w:bookmarkEnd w:id="19"/>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w:t>
      </w:r>
      <w:r>
        <w:rPr>
          <w:rFonts w:hint="eastAsia" w:ascii="仿宋_GB2312" w:hAnsi="仿宋_GB2312" w:eastAsia="仿宋_GB2312" w:cs="仿宋_GB2312"/>
          <w:bCs/>
          <w:kern w:val="2"/>
          <w:sz w:val="32"/>
          <w:szCs w:val="32"/>
          <w:lang w:val="en-US" w:eastAsia="zh-CN" w:bidi="ar-SA"/>
        </w:rPr>
        <w:t>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w:t>
      </w:r>
      <w:r>
        <w:rPr>
          <w:rFonts w:hint="eastAsia" w:ascii="仿宋_GB2312" w:hAnsi="仿宋_GB2312" w:eastAsia="仿宋_GB2312" w:cs="仿宋_GB2312"/>
          <w:bCs/>
          <w:kern w:val="2"/>
          <w:sz w:val="32"/>
          <w:szCs w:val="32"/>
          <w:lang w:val="en-US" w:eastAsia="zh-CN" w:bidi="ar-SA"/>
        </w:rPr>
        <w:t>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w:t>
      </w:r>
      <w:r>
        <w:rPr>
          <w:rFonts w:hint="eastAsia" w:ascii="仿宋_GB2312" w:hAnsi="仿宋_GB2312" w:eastAsia="仿宋_GB2312" w:cs="仿宋_GB2312"/>
          <w:bCs/>
          <w:kern w:val="2"/>
          <w:sz w:val="32"/>
          <w:szCs w:val="32"/>
          <w:lang w:val="en-US" w:eastAsia="zh-CN" w:bidi="ar-SA"/>
        </w:rPr>
        <w:t>经营收入：指事业单位在专业业务活动及其辅助活动之外开展非独立核算经营活动取得的收入。</w:t>
      </w:r>
    </w:p>
    <w:p>
      <w:pPr>
        <w:spacing w:line="600" w:lineRule="exact"/>
        <w:ind w:firstLine="640"/>
        <w:rPr>
          <w:rFonts w:hint="eastAsia"/>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4.</w:t>
      </w:r>
      <w:r>
        <w:rPr>
          <w:rFonts w:hint="eastAsia" w:ascii="仿宋_GB2312" w:hAnsi="仿宋_GB2312" w:eastAsia="仿宋_GB2312" w:cs="仿宋_GB2312"/>
          <w:bCs/>
          <w:kern w:val="2"/>
          <w:sz w:val="32"/>
          <w:szCs w:val="32"/>
          <w:lang w:val="en-US" w:eastAsia="zh-CN" w:bidi="ar-SA"/>
        </w:rPr>
        <w:t>其他收入：指单位取得的除上述收入以外的各项收入。</w:t>
      </w:r>
    </w:p>
    <w:p>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5.</w:t>
      </w:r>
      <w:r>
        <w:rPr>
          <w:rFonts w:hint="eastAsia" w:ascii="仿宋_GB2312" w:hAnsi="仿宋_GB2312" w:eastAsia="仿宋_GB2312" w:cs="仿宋_GB2312"/>
          <w:bCs/>
          <w:kern w:val="2"/>
          <w:sz w:val="32"/>
          <w:szCs w:val="32"/>
          <w:lang w:val="en-US" w:eastAsia="zh-CN" w:bidi="ar-SA"/>
        </w:rPr>
        <w:t xml:space="preserve">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6.</w:t>
      </w:r>
      <w:r>
        <w:rPr>
          <w:rFonts w:hint="eastAsia" w:ascii="仿宋_GB2312" w:hAnsi="仿宋_GB2312" w:eastAsia="仿宋_GB2312" w:cs="仿宋_GB2312"/>
          <w:bCs/>
          <w:kern w:val="2"/>
          <w:sz w:val="32"/>
          <w:szCs w:val="32"/>
          <w:lang w:val="en-US" w:eastAsia="zh-CN" w:bidi="ar-SA"/>
        </w:rPr>
        <w:t>年初结转和结余：指以前年度尚未完成、结转到本年按有关规定继续使用的资金。</w:t>
      </w:r>
      <w:r>
        <w:rPr>
          <w:rFonts w:hint="eastAsia" w:ascii="Times New Roman" w:hAnsi="Times New Roman" w:eastAsia="仿宋_GB2312" w:cs="仿宋_GB2312"/>
          <w:color w:val="auto"/>
          <w:kern w:val="2"/>
          <w:sz w:val="32"/>
          <w:szCs w:val="32"/>
          <w:highlight w:val="none"/>
          <w:lang w:val="en-US" w:eastAsia="zh-CN" w:bidi="ar-SA"/>
        </w:rPr>
        <w:t xml:space="preserve">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7.</w:t>
      </w:r>
      <w:r>
        <w:rPr>
          <w:rFonts w:hint="eastAsia" w:ascii="仿宋_GB2312" w:hAnsi="仿宋_GB2312" w:eastAsia="仿宋_GB2312" w:cs="仿宋_GB2312"/>
          <w:bCs/>
          <w:kern w:val="2"/>
          <w:sz w:val="32"/>
          <w:szCs w:val="32"/>
          <w:lang w:val="en-US" w:eastAsia="zh-CN" w:bidi="ar-SA"/>
        </w:rPr>
        <w:t>结余分配：指事业单位按照会计制度规定缴纳的所得税、提取的专用结余以及转入非财政拨款结余的金额等。</w:t>
      </w:r>
    </w:p>
    <w:p>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8.</w:t>
      </w:r>
      <w:r>
        <w:rPr>
          <w:rFonts w:hint="eastAsia" w:ascii="仿宋_GB2312" w:hAnsi="仿宋_GB2312" w:eastAsia="仿宋_GB2312" w:cs="仿宋_GB2312"/>
          <w:bCs/>
          <w:kern w:val="2"/>
          <w:sz w:val="32"/>
          <w:szCs w:val="32"/>
          <w:lang w:val="en-US" w:eastAsia="zh-CN" w:bidi="ar-SA"/>
        </w:rPr>
        <w:t>年末结转和结余：指单位按有关规定结转到下年或以后年度继续使用的资金。</w:t>
      </w:r>
    </w:p>
    <w:p>
      <w:pPr>
        <w:pStyle w:val="18"/>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en-US" w:eastAsia="zh-CN" w:bidi="ar-SA"/>
        </w:rPr>
      </w:pPr>
      <w:r>
        <w:rPr>
          <w:rFonts w:hint="default" w:ascii="Times New Roman" w:hAnsi="Times New Roman" w:eastAsia="仿宋_GB2312" w:cs="仿宋_GB2312"/>
          <w:b/>
          <w:bCs/>
          <w:color w:val="auto"/>
          <w:kern w:val="2"/>
          <w:sz w:val="32"/>
          <w:szCs w:val="32"/>
          <w:highlight w:val="none"/>
          <w:lang w:val="zh-CN" w:eastAsia="zh-CN" w:bidi="ar-SA"/>
        </w:rPr>
        <w:t>9.</w:t>
      </w:r>
      <w:r>
        <w:rPr>
          <w:rFonts w:hint="default" w:ascii="仿宋_GB2312" w:hAnsi="仿宋_GB2312" w:eastAsia="仿宋_GB2312" w:cs="仿宋_GB2312"/>
          <w:bCs/>
          <w:kern w:val="2"/>
          <w:sz w:val="32"/>
          <w:szCs w:val="32"/>
          <w:lang w:val="zh-CN" w:eastAsia="zh-CN" w:bidi="ar-SA"/>
        </w:rPr>
        <w:t>一般公共服务</w:t>
      </w:r>
      <w:r>
        <w:rPr>
          <w:rFonts w:hint="eastAsia" w:ascii="仿宋_GB2312" w:hAnsi="仿宋_GB2312" w:eastAsia="仿宋_GB2312" w:cs="仿宋_GB2312"/>
          <w:bCs/>
          <w:kern w:val="2"/>
          <w:sz w:val="32"/>
          <w:szCs w:val="32"/>
          <w:lang w:val="en-US" w:eastAsia="zh-CN" w:bidi="ar-SA"/>
        </w:rPr>
        <w:t>支出</w:t>
      </w:r>
      <w:r>
        <w:rPr>
          <w:rFonts w:hint="default" w:ascii="仿宋_GB2312" w:hAnsi="仿宋_GB2312" w:eastAsia="仿宋_GB2312" w:cs="仿宋_GB2312"/>
          <w:bCs/>
          <w:kern w:val="2"/>
          <w:sz w:val="32"/>
          <w:szCs w:val="32"/>
          <w:lang w:val="zh-CN" w:eastAsia="zh-CN" w:bidi="ar-SA"/>
        </w:rPr>
        <w:t>：201类</w:t>
      </w:r>
      <w:r>
        <w:rPr>
          <w:rFonts w:hint="eastAsia" w:ascii="仿宋_GB2312" w:hAnsi="仿宋_GB2312" w:eastAsia="仿宋_GB2312" w:cs="仿宋_GB2312"/>
          <w:bCs/>
          <w:kern w:val="2"/>
          <w:sz w:val="32"/>
          <w:szCs w:val="32"/>
          <w:lang w:val="en-US" w:eastAsia="zh-CN" w:bidi="ar-SA"/>
        </w:rPr>
        <w:t>20132款组织</w:t>
      </w:r>
      <w:r>
        <w:rPr>
          <w:rFonts w:hint="default" w:ascii="仿宋_GB2312" w:hAnsi="仿宋_GB2312" w:eastAsia="仿宋_GB2312" w:cs="仿宋_GB2312"/>
          <w:bCs/>
          <w:kern w:val="2"/>
          <w:sz w:val="32"/>
          <w:szCs w:val="32"/>
          <w:lang w:val="zh-CN" w:eastAsia="zh-CN" w:bidi="ar-SA"/>
        </w:rPr>
        <w:t>事务，</w:t>
      </w:r>
      <w:r>
        <w:rPr>
          <w:rFonts w:hint="eastAsia" w:ascii="仿宋_GB2312" w:hAnsi="仿宋_GB2312" w:eastAsia="仿宋_GB2312" w:cs="仿宋_GB2312"/>
          <w:bCs/>
          <w:kern w:val="2"/>
          <w:sz w:val="32"/>
          <w:szCs w:val="32"/>
          <w:lang w:val="en-US" w:eastAsia="zh-CN" w:bidi="ar-SA"/>
        </w:rPr>
        <w:t>2013299项指其它组织事务支出</w:t>
      </w:r>
      <w:r>
        <w:rPr>
          <w:rFonts w:hint="eastAsia"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201类20133款宣传事务，2013310项指行政运行、2013350项指事业运行、2013399项指其他宣传事务支出。</w:t>
      </w:r>
    </w:p>
    <w:p>
      <w:pPr>
        <w:pStyle w:val="18"/>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en-US" w:eastAsia="zh-CN" w:bidi="ar-SA"/>
        </w:rPr>
      </w:pPr>
      <w:r>
        <w:rPr>
          <w:rFonts w:hint="default" w:ascii="Times New Roman" w:hAnsi="Times New Roman" w:eastAsia="仿宋_GB2312" w:cs="仿宋_GB2312"/>
          <w:b/>
          <w:bCs/>
          <w:color w:val="auto"/>
          <w:kern w:val="2"/>
          <w:sz w:val="32"/>
          <w:szCs w:val="32"/>
          <w:highlight w:val="none"/>
          <w:lang w:val="zh-CN" w:eastAsia="zh-CN" w:bidi="ar-SA"/>
        </w:rPr>
        <w:t>10.</w:t>
      </w:r>
      <w:r>
        <w:rPr>
          <w:rFonts w:hint="eastAsia" w:ascii="仿宋_GB2312" w:hAnsi="仿宋_GB2312" w:eastAsia="仿宋_GB2312" w:cs="仿宋_GB2312"/>
          <w:bCs/>
          <w:kern w:val="2"/>
          <w:sz w:val="32"/>
          <w:szCs w:val="32"/>
          <w:lang w:val="en-US" w:eastAsia="zh-CN" w:bidi="ar-SA"/>
        </w:rPr>
        <w:t>文化旅游体育与传媒支出</w:t>
      </w:r>
      <w:r>
        <w:rPr>
          <w:rFonts w:hint="default" w:ascii="仿宋_GB2312" w:hAnsi="仿宋_GB2312" w:eastAsia="仿宋_GB2312" w:cs="仿宋_GB2312"/>
          <w:bCs/>
          <w:kern w:val="2"/>
          <w:sz w:val="32"/>
          <w:szCs w:val="32"/>
          <w:lang w:val="zh-CN" w:eastAsia="zh-CN" w:bidi="ar-SA"/>
        </w:rPr>
        <w:t>：20</w:t>
      </w:r>
      <w:r>
        <w:rPr>
          <w:rFonts w:hint="eastAsia" w:ascii="仿宋_GB2312" w:hAnsi="仿宋_GB2312" w:eastAsia="仿宋_GB2312" w:cs="仿宋_GB2312"/>
          <w:bCs/>
          <w:kern w:val="2"/>
          <w:sz w:val="32"/>
          <w:szCs w:val="32"/>
          <w:lang w:val="en-US" w:eastAsia="zh-CN" w:bidi="ar-SA"/>
        </w:rPr>
        <w:t>7</w:t>
      </w:r>
      <w:r>
        <w:rPr>
          <w:rFonts w:hint="default" w:ascii="仿宋_GB2312" w:hAnsi="仿宋_GB2312" w:eastAsia="仿宋_GB2312" w:cs="仿宋_GB2312"/>
          <w:bCs/>
          <w:kern w:val="2"/>
          <w:sz w:val="32"/>
          <w:szCs w:val="32"/>
          <w:lang w:val="zh-CN" w:eastAsia="zh-CN" w:bidi="ar-SA"/>
        </w:rPr>
        <w:t>类20</w:t>
      </w:r>
      <w:r>
        <w:rPr>
          <w:rFonts w:hint="eastAsia" w:ascii="仿宋_GB2312" w:hAnsi="仿宋_GB2312" w:eastAsia="仿宋_GB2312" w:cs="仿宋_GB2312"/>
          <w:bCs/>
          <w:kern w:val="2"/>
          <w:sz w:val="32"/>
          <w:szCs w:val="32"/>
          <w:lang w:val="en-US" w:eastAsia="zh-CN" w:bidi="ar-SA"/>
        </w:rPr>
        <w:t>708</w:t>
      </w:r>
      <w:r>
        <w:rPr>
          <w:rFonts w:hint="default" w:ascii="仿宋_GB2312" w:hAnsi="仿宋_GB2312" w:eastAsia="仿宋_GB2312" w:cs="仿宋_GB2312"/>
          <w:bCs/>
          <w:kern w:val="2"/>
          <w:sz w:val="32"/>
          <w:szCs w:val="32"/>
          <w:lang w:val="zh-CN" w:eastAsia="zh-CN" w:bidi="ar-SA"/>
        </w:rPr>
        <w:t>款20</w:t>
      </w:r>
      <w:r>
        <w:rPr>
          <w:rFonts w:hint="eastAsia" w:ascii="仿宋_GB2312" w:hAnsi="仿宋_GB2312" w:eastAsia="仿宋_GB2312" w:cs="仿宋_GB2312"/>
          <w:bCs/>
          <w:kern w:val="2"/>
          <w:sz w:val="32"/>
          <w:szCs w:val="32"/>
          <w:lang w:val="en-US" w:eastAsia="zh-CN" w:bidi="ar-SA"/>
        </w:rPr>
        <w:t>70802项指一般行政管理事务支出</w:t>
      </w:r>
      <w:r>
        <w:rPr>
          <w:rFonts w:hint="default" w:ascii="仿宋_GB2312" w:hAnsi="仿宋_GB2312" w:eastAsia="仿宋_GB2312" w:cs="仿宋_GB2312"/>
          <w:bCs/>
          <w:kern w:val="2"/>
          <w:sz w:val="32"/>
          <w:szCs w:val="32"/>
          <w:lang w:val="zh-CN" w:eastAsia="zh-CN" w:bidi="ar-SA"/>
        </w:rPr>
        <w:t>，20</w:t>
      </w:r>
      <w:r>
        <w:rPr>
          <w:rFonts w:hint="eastAsia" w:ascii="仿宋_GB2312" w:hAnsi="仿宋_GB2312" w:eastAsia="仿宋_GB2312" w:cs="仿宋_GB2312"/>
          <w:bCs/>
          <w:kern w:val="2"/>
          <w:sz w:val="32"/>
          <w:szCs w:val="32"/>
          <w:lang w:val="en-US" w:eastAsia="zh-CN" w:bidi="ar-SA"/>
        </w:rPr>
        <w:t>70899项指其他广播电视支出。</w:t>
      </w:r>
    </w:p>
    <w:p>
      <w:pPr>
        <w:pStyle w:val="18"/>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zh-CN" w:eastAsia="zh-CN" w:bidi="ar-SA"/>
        </w:rPr>
      </w:pPr>
      <w:r>
        <w:rPr>
          <w:rFonts w:hint="default" w:ascii="Times New Roman" w:hAnsi="Times New Roman" w:eastAsia="仿宋_GB2312" w:cs="仿宋_GB2312"/>
          <w:b/>
          <w:bCs/>
          <w:color w:val="auto"/>
          <w:kern w:val="2"/>
          <w:sz w:val="32"/>
          <w:szCs w:val="32"/>
          <w:highlight w:val="none"/>
          <w:lang w:val="zh-CN" w:eastAsia="zh-CN" w:bidi="ar-SA"/>
        </w:rPr>
        <w:t>11.</w:t>
      </w:r>
      <w:r>
        <w:rPr>
          <w:rFonts w:hint="eastAsia" w:ascii="仿宋_GB2312" w:hAnsi="仿宋_GB2312" w:eastAsia="仿宋_GB2312" w:cs="仿宋_GB2312"/>
          <w:bCs/>
          <w:kern w:val="2"/>
          <w:sz w:val="32"/>
          <w:szCs w:val="32"/>
          <w:lang w:val="en-US" w:eastAsia="zh-CN" w:bidi="ar-SA"/>
        </w:rPr>
        <w:t>社会保障和就业支出</w:t>
      </w:r>
      <w:r>
        <w:rPr>
          <w:rFonts w:hint="default" w:ascii="仿宋_GB2312" w:hAnsi="仿宋_GB2312" w:eastAsia="仿宋_GB2312" w:cs="仿宋_GB2312"/>
          <w:bCs/>
          <w:kern w:val="2"/>
          <w:sz w:val="32"/>
          <w:szCs w:val="32"/>
          <w:lang w:val="zh-CN" w:eastAsia="zh-CN" w:bidi="ar-SA"/>
        </w:rPr>
        <w:t>：2</w:t>
      </w:r>
      <w:r>
        <w:rPr>
          <w:rFonts w:hint="eastAsia" w:ascii="仿宋_GB2312" w:hAnsi="仿宋_GB2312" w:eastAsia="仿宋_GB2312" w:cs="仿宋_GB2312"/>
          <w:bCs/>
          <w:kern w:val="2"/>
          <w:sz w:val="32"/>
          <w:szCs w:val="32"/>
          <w:lang w:val="en-US" w:eastAsia="zh-CN" w:bidi="ar-SA"/>
        </w:rPr>
        <w:t>08</w:t>
      </w:r>
      <w:r>
        <w:rPr>
          <w:rFonts w:hint="default" w:ascii="仿宋_GB2312" w:hAnsi="仿宋_GB2312" w:eastAsia="仿宋_GB2312" w:cs="仿宋_GB2312"/>
          <w:bCs/>
          <w:kern w:val="2"/>
          <w:sz w:val="32"/>
          <w:szCs w:val="32"/>
          <w:lang w:val="zh-CN" w:eastAsia="zh-CN" w:bidi="ar-SA"/>
        </w:rPr>
        <w:t>类</w:t>
      </w:r>
      <w:r>
        <w:rPr>
          <w:rFonts w:hint="eastAsia" w:ascii="仿宋_GB2312" w:hAnsi="仿宋_GB2312" w:eastAsia="仿宋_GB2312" w:cs="仿宋_GB2312"/>
          <w:bCs/>
          <w:kern w:val="2"/>
          <w:sz w:val="32"/>
          <w:szCs w:val="32"/>
          <w:lang w:val="en-US" w:eastAsia="zh-CN" w:bidi="ar-SA"/>
        </w:rPr>
        <w:t>20805</w:t>
      </w:r>
      <w:r>
        <w:rPr>
          <w:rFonts w:hint="default" w:ascii="仿宋_GB2312" w:hAnsi="仿宋_GB2312" w:eastAsia="仿宋_GB2312" w:cs="仿宋_GB2312"/>
          <w:bCs/>
          <w:kern w:val="2"/>
          <w:sz w:val="32"/>
          <w:szCs w:val="32"/>
          <w:lang w:val="zh-CN" w:eastAsia="zh-CN" w:bidi="ar-SA"/>
        </w:rPr>
        <w:t>款</w:t>
      </w:r>
      <w:r>
        <w:rPr>
          <w:rFonts w:hint="eastAsia" w:ascii="仿宋_GB2312" w:hAnsi="仿宋_GB2312" w:eastAsia="仿宋_GB2312" w:cs="仿宋_GB2312"/>
          <w:bCs/>
          <w:kern w:val="2"/>
          <w:sz w:val="32"/>
          <w:szCs w:val="32"/>
          <w:lang w:val="en-US" w:eastAsia="zh-CN" w:bidi="ar-SA"/>
        </w:rPr>
        <w:t>2080505项指机关事业单位基本养老保险缴费支出</w:t>
      </w:r>
      <w:r>
        <w:rPr>
          <w:rFonts w:hint="default"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2080506</w:t>
      </w:r>
      <w:r>
        <w:rPr>
          <w:rFonts w:hint="default" w:ascii="仿宋_GB2312" w:hAnsi="仿宋_GB2312" w:eastAsia="仿宋_GB2312" w:cs="仿宋_GB2312"/>
          <w:bCs/>
          <w:kern w:val="2"/>
          <w:sz w:val="32"/>
          <w:szCs w:val="32"/>
          <w:lang w:val="zh-CN" w:eastAsia="zh-CN" w:bidi="ar-SA"/>
        </w:rPr>
        <w:t>项指</w:t>
      </w:r>
      <w:r>
        <w:rPr>
          <w:rFonts w:hint="eastAsia" w:ascii="仿宋_GB2312" w:hAnsi="仿宋_GB2312" w:eastAsia="仿宋_GB2312" w:cs="仿宋_GB2312"/>
          <w:bCs/>
          <w:kern w:val="2"/>
          <w:sz w:val="32"/>
          <w:szCs w:val="32"/>
          <w:lang w:val="en-US" w:eastAsia="zh-CN" w:bidi="ar-SA"/>
        </w:rPr>
        <w:t>机关</w:t>
      </w:r>
      <w:r>
        <w:rPr>
          <w:rFonts w:hint="default" w:ascii="仿宋_GB2312" w:hAnsi="仿宋_GB2312" w:eastAsia="仿宋_GB2312" w:cs="仿宋_GB2312"/>
          <w:bCs/>
          <w:kern w:val="2"/>
          <w:sz w:val="32"/>
          <w:szCs w:val="32"/>
          <w:lang w:val="zh-CN" w:eastAsia="zh-CN" w:bidi="ar-SA"/>
        </w:rPr>
        <w:t>事业单位</w:t>
      </w:r>
      <w:r>
        <w:rPr>
          <w:rFonts w:hint="eastAsia" w:ascii="仿宋_GB2312" w:hAnsi="仿宋_GB2312" w:eastAsia="仿宋_GB2312" w:cs="仿宋_GB2312"/>
          <w:bCs/>
          <w:kern w:val="2"/>
          <w:sz w:val="32"/>
          <w:szCs w:val="32"/>
          <w:lang w:val="en-US" w:eastAsia="zh-CN" w:bidi="ar-SA"/>
        </w:rPr>
        <w:t>职业年金缴费支出</w:t>
      </w:r>
      <w:r>
        <w:rPr>
          <w:rFonts w:hint="default" w:ascii="仿宋_GB2312" w:hAnsi="仿宋_GB2312" w:eastAsia="仿宋_GB2312" w:cs="仿宋_GB2312"/>
          <w:bCs/>
          <w:kern w:val="2"/>
          <w:sz w:val="32"/>
          <w:szCs w:val="32"/>
          <w:lang w:val="zh-CN" w:eastAsia="zh-CN" w:bidi="ar-SA"/>
        </w:rPr>
        <w:t>。</w:t>
      </w:r>
    </w:p>
    <w:p>
      <w:pPr>
        <w:pStyle w:val="12"/>
        <w:pageBreakBefore w:val="0"/>
        <w:kinsoku/>
        <w:wordWrap/>
        <w:topLinePunct w:val="0"/>
        <w:bidi w:val="0"/>
        <w:spacing w:after="0" w:afterAutospacing="0" w:line="576" w:lineRule="exact"/>
        <w:ind w:firstLine="643" w:firstLineChars="200"/>
        <w:rPr>
          <w:rFonts w:hint="default"/>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12.</w:t>
      </w:r>
      <w:r>
        <w:rPr>
          <w:rFonts w:hint="eastAsia" w:ascii="仿宋_GB2312" w:hAnsi="仿宋_GB2312" w:eastAsia="仿宋_GB2312" w:cs="仿宋_GB2312"/>
          <w:bCs/>
          <w:kern w:val="2"/>
          <w:sz w:val="32"/>
          <w:szCs w:val="32"/>
          <w:lang w:val="en-US" w:eastAsia="zh-CN" w:bidi="ar-SA"/>
        </w:rPr>
        <w:t>卫生健康支出：210类21011款2101101项指行政单位医疗、2101102项指事业单位医疗、2101103项指公务员医疗补助、2101199项指其他行政事业单位医疗支出。</w:t>
      </w:r>
    </w:p>
    <w:p>
      <w:pPr>
        <w:pStyle w:val="18"/>
        <w:keepNext w:val="0"/>
        <w:keepLines w:val="0"/>
        <w:pageBreakBefore w:val="0"/>
        <w:widowControl/>
        <w:suppressLineNumbers w:val="0"/>
        <w:kinsoku/>
        <w:wordWrap/>
        <w:topLinePunct w:val="0"/>
        <w:bidi w:val="0"/>
        <w:spacing w:before="0" w:beforeAutospacing="0" w:after="0" w:afterAutospacing="0" w:line="576" w:lineRule="exact"/>
        <w:ind w:left="0" w:firstLine="643" w:firstLineChars="200"/>
        <w:jc w:val="left"/>
        <w:rPr>
          <w:rFonts w:hint="default" w:ascii="仿宋_GB2312" w:hAnsi="仿宋_GB2312" w:eastAsia="仿宋_GB2312" w:cs="仿宋_GB2312"/>
          <w:bCs/>
          <w:kern w:val="2"/>
          <w:sz w:val="32"/>
          <w:szCs w:val="32"/>
          <w:lang w:val="zh-CN" w:eastAsia="zh-CN" w:bidi="ar-SA"/>
        </w:rPr>
      </w:pPr>
      <w:r>
        <w:rPr>
          <w:rFonts w:hint="default" w:ascii="Times New Roman" w:hAnsi="Times New Roman" w:eastAsia="仿宋_GB2312" w:cs="仿宋_GB2312"/>
          <w:b/>
          <w:bCs/>
          <w:color w:val="auto"/>
          <w:kern w:val="2"/>
          <w:sz w:val="32"/>
          <w:szCs w:val="32"/>
          <w:highlight w:val="none"/>
          <w:lang w:val="zh-CN" w:eastAsia="zh-CN" w:bidi="ar-SA"/>
        </w:rPr>
        <w:t>1</w:t>
      </w:r>
      <w:r>
        <w:rPr>
          <w:rFonts w:hint="eastAsia" w:ascii="Times New Roman" w:hAnsi="Times New Roman" w:eastAsia="仿宋_GB2312" w:cs="仿宋_GB2312"/>
          <w:b/>
          <w:bCs/>
          <w:color w:val="auto"/>
          <w:kern w:val="2"/>
          <w:sz w:val="32"/>
          <w:szCs w:val="32"/>
          <w:highlight w:val="none"/>
          <w:lang w:val="en-US" w:eastAsia="zh-CN" w:bidi="ar-SA"/>
        </w:rPr>
        <w:t>3</w:t>
      </w:r>
      <w:r>
        <w:rPr>
          <w:rFonts w:hint="default" w:ascii="Times New Roman" w:hAnsi="Times New Roman" w:eastAsia="仿宋_GB2312" w:cs="仿宋_GB2312"/>
          <w:b/>
          <w:bCs/>
          <w:color w:val="auto"/>
          <w:kern w:val="2"/>
          <w:sz w:val="32"/>
          <w:szCs w:val="32"/>
          <w:highlight w:val="none"/>
          <w:lang w:val="zh-CN" w:eastAsia="zh-CN" w:bidi="ar-SA"/>
        </w:rPr>
        <w:t>.</w:t>
      </w:r>
      <w:r>
        <w:rPr>
          <w:rFonts w:hint="default" w:ascii="仿宋_GB2312" w:hAnsi="仿宋_GB2312" w:eastAsia="仿宋_GB2312" w:cs="仿宋_GB2312"/>
          <w:bCs/>
          <w:kern w:val="2"/>
          <w:sz w:val="32"/>
          <w:szCs w:val="32"/>
          <w:lang w:val="zh-CN" w:eastAsia="zh-CN" w:bidi="ar-SA"/>
        </w:rPr>
        <w:t>住房保障</w:t>
      </w:r>
      <w:r>
        <w:rPr>
          <w:rFonts w:hint="eastAsia" w:ascii="仿宋_GB2312" w:hAnsi="仿宋_GB2312" w:eastAsia="仿宋_GB2312" w:cs="仿宋_GB2312"/>
          <w:bCs/>
          <w:kern w:val="2"/>
          <w:sz w:val="32"/>
          <w:szCs w:val="32"/>
          <w:lang w:val="en-US" w:eastAsia="zh-CN" w:bidi="ar-SA"/>
        </w:rPr>
        <w:t>支出</w:t>
      </w:r>
      <w:r>
        <w:rPr>
          <w:rFonts w:hint="default" w:ascii="仿宋_GB2312" w:hAnsi="仿宋_GB2312" w:eastAsia="仿宋_GB2312" w:cs="仿宋_GB2312"/>
          <w:bCs/>
          <w:kern w:val="2"/>
          <w:sz w:val="32"/>
          <w:szCs w:val="32"/>
          <w:lang w:val="zh-CN" w:eastAsia="zh-CN" w:bidi="ar-SA"/>
        </w:rPr>
        <w:t>：221类22102款2210201项指住房公积金。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14.</w:t>
      </w:r>
      <w:r>
        <w:rPr>
          <w:rFonts w:hint="eastAsia" w:ascii="仿宋_GB2312" w:hAnsi="仿宋_GB2312" w:eastAsia="仿宋_GB2312" w:cs="仿宋_GB2312"/>
          <w:bCs/>
          <w:kern w:val="2"/>
          <w:sz w:val="32"/>
          <w:szCs w:val="32"/>
          <w:lang w:val="en-US" w:eastAsia="zh-CN" w:bidi="ar-SA"/>
        </w:rPr>
        <w:t>基本支出：指为保障机构正常运转、完成日常工作任务而发生的人员支出和公用支出</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15.</w:t>
      </w:r>
      <w:r>
        <w:rPr>
          <w:rFonts w:hint="eastAsia" w:ascii="仿宋_GB2312" w:hAnsi="仿宋_GB2312" w:eastAsia="仿宋_GB2312" w:cs="仿宋_GB2312"/>
          <w:bCs/>
          <w:kern w:val="2"/>
          <w:sz w:val="32"/>
          <w:szCs w:val="32"/>
          <w:lang w:val="en-US" w:eastAsia="zh-CN" w:bidi="ar-SA"/>
        </w:rPr>
        <w:t>项目支出：指在基本支出之外为完成特定行政任务和事业发展目标所发生的支出。</w:t>
      </w:r>
      <w:r>
        <w:rPr>
          <w:rFonts w:hint="eastAsia" w:ascii="Times New Roman" w:hAnsi="Times New Roman" w:eastAsia="仿宋_GB2312" w:cs="仿宋_GB2312"/>
          <w:color w:val="auto"/>
          <w:kern w:val="2"/>
          <w:sz w:val="32"/>
          <w:szCs w:val="32"/>
          <w:highlight w:val="none"/>
          <w:lang w:val="en-US" w:eastAsia="zh-CN" w:bidi="ar-SA"/>
        </w:rPr>
        <w:t xml:space="preserve">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16.</w:t>
      </w:r>
      <w:r>
        <w:rPr>
          <w:rFonts w:hint="eastAsia" w:ascii="仿宋_GB2312" w:hAnsi="仿宋_GB2312" w:eastAsia="仿宋_GB2312" w:cs="仿宋_GB2312"/>
          <w:bCs/>
          <w:kern w:val="2"/>
          <w:sz w:val="32"/>
          <w:szCs w:val="32"/>
          <w:lang w:val="en-US" w:eastAsia="zh-CN" w:bidi="ar-SA"/>
        </w:rPr>
        <w:t>经营支出：指事业单位在专业业务活动及其辅助活动之外开展非独立核算经营活动发生的支出。</w:t>
      </w:r>
    </w:p>
    <w:p>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17.</w:t>
      </w:r>
      <w:r>
        <w:rPr>
          <w:rFonts w:hint="eastAsia" w:ascii="仿宋_GB2312" w:hAnsi="仿宋_GB2312" w:eastAsia="仿宋_GB2312" w:cs="仿宋_GB2312"/>
          <w:bCs/>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b w:val="0"/>
          <w:bCs w:val="0"/>
          <w:color w:val="auto"/>
          <w:kern w:val="2"/>
          <w:sz w:val="32"/>
          <w:szCs w:val="32"/>
          <w:highlight w:val="none"/>
          <w:lang w:val="en-US" w:eastAsia="zh-CN" w:bidi="ar-SA"/>
        </w:rPr>
        <w:t>18.</w:t>
      </w:r>
      <w:r>
        <w:rPr>
          <w:rFonts w:hint="eastAsia" w:ascii="仿宋_GB2312" w:hAnsi="仿宋_GB2312" w:eastAsia="仿宋_GB2312" w:cs="仿宋_GB2312"/>
          <w:bCs/>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18"/>
        <w:spacing w:beforeAutospacing="0" w:afterAutospacing="0" w:line="576" w:lineRule="atLeast"/>
        <w:jc w:val="both"/>
        <w:rPr>
          <w:rFonts w:ascii="仿宋_GB2312" w:hAnsi="仿宋_GB2312" w:eastAsia="仿宋_GB2312" w:cs="仿宋_GB2312"/>
          <w:sz w:val="32"/>
          <w:szCs w:val="32"/>
        </w:rPr>
      </w:pPr>
    </w:p>
    <w:p>
      <w:pPr>
        <w:pStyle w:val="5"/>
        <w:jc w:val="center"/>
        <w:rPr>
          <w:rFonts w:hint="eastAsia" w:ascii="Times New Roman" w:hAnsi="Times New Roman" w:eastAsia="方正小标宋简体" w:cs="方正小标宋简体"/>
          <w:b w:val="0"/>
          <w:color w:val="auto"/>
          <w:highlight w:val="none"/>
        </w:rPr>
      </w:pPr>
      <w:bookmarkStart w:id="20" w:name="_Toc15396618"/>
    </w:p>
    <w:p>
      <w:pPr>
        <w:pStyle w:val="5"/>
        <w:jc w:val="center"/>
        <w:rPr>
          <w:rFonts w:hint="eastAsia" w:ascii="Times New Roman" w:hAnsi="Times New Roman" w:eastAsia="仿宋"/>
          <w:b w:val="0"/>
          <w:color w:val="auto"/>
          <w:highlight w:val="none"/>
        </w:rPr>
      </w:pPr>
      <w:r>
        <w:rPr>
          <w:rFonts w:hint="eastAsia" w:ascii="Times New Roman" w:hAnsi="Times New Roman" w:eastAsia="方正小标宋简体" w:cs="方正小标宋简体"/>
          <w:b w:val="0"/>
          <w:color w:val="auto"/>
          <w:highlight w:val="none"/>
        </w:rPr>
        <w:t>第五部分 附表</w:t>
      </w:r>
      <w:bookmarkEnd w:id="20"/>
      <w:bookmarkStart w:id="21" w:name="_Toc1539661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21"/>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2" w:name="_Toc15396620"/>
      <w:r>
        <w:rPr>
          <w:rFonts w:hint="eastAsia" w:ascii="Times New Roman" w:hAnsi="Times New Roman" w:eastAsia="仿宋_GB2312" w:cs="仿宋_GB2312"/>
          <w:color w:val="auto"/>
          <w:sz w:val="32"/>
          <w:szCs w:val="32"/>
          <w:highlight w:val="none"/>
        </w:rPr>
        <w:t>二、收入决算表</w:t>
      </w:r>
      <w:bookmarkEnd w:id="22"/>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3" w:name="_Toc15396621"/>
      <w:r>
        <w:rPr>
          <w:rFonts w:hint="eastAsia" w:ascii="Times New Roman" w:hAnsi="Times New Roman" w:eastAsia="仿宋_GB2312" w:cs="仿宋_GB2312"/>
          <w:color w:val="auto"/>
          <w:sz w:val="32"/>
          <w:szCs w:val="32"/>
          <w:highlight w:val="none"/>
        </w:rPr>
        <w:t>三、支出决算表</w:t>
      </w:r>
      <w:bookmarkEnd w:id="23"/>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4" w:name="_Toc15396622"/>
      <w:r>
        <w:rPr>
          <w:rFonts w:hint="eastAsia" w:ascii="Times New Roman" w:hAnsi="Times New Roman" w:eastAsia="仿宋_GB2312" w:cs="仿宋_GB2312"/>
          <w:color w:val="auto"/>
          <w:sz w:val="32"/>
          <w:szCs w:val="32"/>
          <w:highlight w:val="none"/>
        </w:rPr>
        <w:t>四、财政拨款收入支出决算总表</w:t>
      </w:r>
      <w:bookmarkEnd w:id="2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5" w:name="_Toc15396623"/>
      <w:r>
        <w:rPr>
          <w:rFonts w:hint="eastAsia" w:ascii="Times New Roman" w:hAnsi="Times New Roman" w:eastAsia="仿宋_GB2312" w:cs="仿宋_GB2312"/>
          <w:color w:val="auto"/>
          <w:sz w:val="32"/>
          <w:szCs w:val="32"/>
          <w:highlight w:val="none"/>
        </w:rPr>
        <w:t>五、财政拨款支出决算明细表</w:t>
      </w:r>
      <w:bookmarkEnd w:id="25"/>
      <w:bookmarkStart w:id="26" w:name="_Toc1539662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26"/>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7" w:name="_Toc15396625"/>
      <w:r>
        <w:rPr>
          <w:rFonts w:hint="eastAsia" w:ascii="Times New Roman" w:hAnsi="Times New Roman" w:eastAsia="仿宋_GB2312" w:cs="仿宋_GB2312"/>
          <w:color w:val="auto"/>
          <w:sz w:val="32"/>
          <w:szCs w:val="32"/>
          <w:highlight w:val="none"/>
        </w:rPr>
        <w:t>七、一般公共预算财政拨款支出决算明细表</w:t>
      </w:r>
      <w:bookmarkEnd w:id="27"/>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8" w:name="_Toc15396626"/>
      <w:r>
        <w:rPr>
          <w:rFonts w:hint="eastAsia" w:ascii="Times New Roman" w:hAnsi="Times New Roman" w:eastAsia="仿宋_GB2312" w:cs="仿宋_GB2312"/>
          <w:color w:val="auto"/>
          <w:sz w:val="32"/>
          <w:szCs w:val="32"/>
          <w:highlight w:val="none"/>
        </w:rPr>
        <w:t>八、一般公共预算财政拨款基本支出决算表</w:t>
      </w:r>
      <w:bookmarkEnd w:id="28"/>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9" w:name="_Toc15396627"/>
      <w:r>
        <w:rPr>
          <w:rFonts w:hint="eastAsia" w:ascii="Times New Roman" w:hAnsi="Times New Roman" w:eastAsia="仿宋_GB2312" w:cs="仿宋_GB2312"/>
          <w:color w:val="auto"/>
          <w:sz w:val="32"/>
          <w:szCs w:val="32"/>
          <w:highlight w:val="none"/>
        </w:rPr>
        <w:t>九、一般公共预算财政拨款项目支出决算表</w:t>
      </w:r>
      <w:bookmarkEnd w:id="2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0" w:name="_Toc15396628"/>
      <w:r>
        <w:rPr>
          <w:rFonts w:hint="eastAsia" w:ascii="Times New Roman" w:hAnsi="Times New Roman" w:eastAsia="仿宋_GB2312" w:cs="仿宋_GB2312"/>
          <w:color w:val="auto"/>
          <w:sz w:val="32"/>
          <w:szCs w:val="32"/>
          <w:highlight w:val="none"/>
        </w:rPr>
        <w:t>十、</w:t>
      </w:r>
      <w:bookmarkEnd w:id="30"/>
      <w:r>
        <w:rPr>
          <w:rFonts w:hint="eastAsia" w:ascii="Times New Roman" w:hAnsi="Times New Roman" w:eastAsia="仿宋_GB2312" w:cs="仿宋_GB2312"/>
          <w:color w:val="auto"/>
          <w:sz w:val="32"/>
          <w:szCs w:val="32"/>
          <w:highlight w:val="none"/>
        </w:rPr>
        <w:t>政府性基金预算财政拨款收入支出决算表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1" w:name="_Toc15396629"/>
      <w:r>
        <w:rPr>
          <w:rFonts w:hint="eastAsia" w:ascii="Times New Roman" w:hAnsi="Times New Roman" w:eastAsia="仿宋_GB2312" w:cs="仿宋_GB2312"/>
          <w:color w:val="auto"/>
          <w:sz w:val="32"/>
          <w:szCs w:val="32"/>
          <w:highlight w:val="none"/>
        </w:rPr>
        <w:t>十一、</w:t>
      </w:r>
      <w:bookmarkEnd w:id="31"/>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32" w:name="_Toc15396630"/>
      <w:r>
        <w:rPr>
          <w:rFonts w:hint="eastAsia" w:ascii="Times New Roman" w:hAnsi="Times New Roman" w:eastAsia="仿宋_GB2312" w:cs="仿宋_GB2312"/>
          <w:color w:val="auto"/>
          <w:sz w:val="32"/>
          <w:szCs w:val="32"/>
          <w:highlight w:val="none"/>
        </w:rPr>
        <w:t>十二、</w:t>
      </w:r>
      <w:bookmarkEnd w:id="32"/>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33" w:name="_Toc15396631"/>
      <w:r>
        <w:rPr>
          <w:rFonts w:hint="eastAsia" w:ascii="Times New Roman" w:hAnsi="Times New Roman" w:eastAsia="仿宋_GB2312" w:cs="仿宋_GB2312"/>
          <w:color w:val="auto"/>
          <w:sz w:val="32"/>
          <w:szCs w:val="32"/>
          <w:highlight w:val="none"/>
        </w:rPr>
        <w:t>十三、</w:t>
      </w:r>
      <w:bookmarkEnd w:id="33"/>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p>
      <w:pPr>
        <w:pStyle w:val="18"/>
        <w:spacing w:beforeAutospacing="0" w:afterAutospacing="0" w:line="576" w:lineRule="atLeast"/>
        <w:jc w:val="both"/>
        <w:rPr>
          <w:rFonts w:ascii="仿宋_GB2312" w:hAnsi="仿宋_GB2312" w:eastAsia="仿宋_GB2312" w:cs="仿宋_GB2312"/>
          <w:sz w:val="32"/>
          <w:szCs w:val="32"/>
        </w:rPr>
      </w:pPr>
    </w:p>
    <w:sectPr>
      <w:footerReference r:id="rId3" w:type="default"/>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altName w:val="仿宋_GB2312"/>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0DF9D"/>
    <w:multiLevelType w:val="multilevel"/>
    <w:tmpl w:val="7CB0DF9D"/>
    <w:lvl w:ilvl="0" w:tentative="0">
      <w:start w:val="3"/>
      <w:numFmt w:val="chineseCounting"/>
      <w:suff w:val="nothing"/>
      <w:lvlText w:val="（%1）"/>
      <w:lvlJc w:val="left"/>
      <w:pPr>
        <w:tabs>
          <w:tab w:val="left" w:pos="0"/>
        </w:tabs>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0"/>
  <w:bordersDoNotSurroundFooter w:val="0"/>
  <w:documentProtection w:enforcement="0"/>
  <w:defaultTabStop w:val="420"/>
  <w:displayHorizontalDrawingGridEvery w:val="0"/>
  <w:displayVerticalDrawingGridEvery w:val="2"/>
  <w:characterSpacingControl w:val="doNotCompress"/>
  <w:noLineBreaksAfter w:lang="zh-CN" w:val="$([{£¥·‘“〈《「『【〔〖〝﹙﹛﹝＄（．［｛￡￥"/>
  <w:noLineBreaksBefore w:lang="zh-CN" w:val="!%),.:;&gt;?]}¢¨°·ˇˉ―‖’”…‰′″›℃∶、。〃〉》」』】〕〗〞︶︺︾﹀﹄﹚﹜﹞！＂％＇），．：；？］｀｜｝～￠"/>
  <w:hdrShapeDefaults>
    <o:shapelayout v:ext="edit">
      <o:idmap v:ext="edit" data="2"/>
    </o:shapelayout>
  </w:hdrShapeDefaults>
  <w:compat>
    <w:balanceSingleByteDoubleByteWidth/>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5Yjk5NmU4MGQ3M2U0NWJlOTg4NTM3NDZmMjg3YTQifQ=="/>
  </w:docVars>
  <w:rsids>
    <w:rsidRoot w:val="00817290"/>
    <w:rsid w:val="00671FB1"/>
    <w:rsid w:val="006D0C72"/>
    <w:rsid w:val="00714881"/>
    <w:rsid w:val="00817290"/>
    <w:rsid w:val="00A15242"/>
    <w:rsid w:val="00CE0207"/>
    <w:rsid w:val="027E6796"/>
    <w:rsid w:val="02E447A3"/>
    <w:rsid w:val="0C8F3251"/>
    <w:rsid w:val="0FF95C4D"/>
    <w:rsid w:val="10912E1F"/>
    <w:rsid w:val="137F13AE"/>
    <w:rsid w:val="176448E6"/>
    <w:rsid w:val="1A544E05"/>
    <w:rsid w:val="243A699B"/>
    <w:rsid w:val="25CE0106"/>
    <w:rsid w:val="2F077866"/>
    <w:rsid w:val="2F911010"/>
    <w:rsid w:val="3B723503"/>
    <w:rsid w:val="42002C28"/>
    <w:rsid w:val="4751517B"/>
    <w:rsid w:val="4B4C02ED"/>
    <w:rsid w:val="4B895879"/>
    <w:rsid w:val="4C2445B5"/>
    <w:rsid w:val="50993C09"/>
    <w:rsid w:val="5305612D"/>
    <w:rsid w:val="5528559A"/>
    <w:rsid w:val="57405869"/>
    <w:rsid w:val="57422013"/>
    <w:rsid w:val="59FD370E"/>
    <w:rsid w:val="5A4143E4"/>
    <w:rsid w:val="5C4E5D7A"/>
    <w:rsid w:val="5F2B7701"/>
    <w:rsid w:val="66CA300B"/>
    <w:rsid w:val="6C254129"/>
    <w:rsid w:val="71973104"/>
    <w:rsid w:val="72E943D5"/>
    <w:rsid w:val="78611528"/>
    <w:rsid w:val="7E08408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Times New Roman"/>
      <w:kern w:val="0"/>
      <w:sz w:val="24"/>
      <w:szCs w:val="24"/>
      <w:lang w:val="en-US" w:eastAsia="zh-CN" w:bidi="ar-SA"/>
    </w:rPr>
  </w:style>
  <w:style w:type="paragraph" w:styleId="5">
    <w:name w:val="heading 1"/>
    <w:basedOn w:val="1"/>
    <w:next w:val="1"/>
    <w:link w:val="38"/>
    <w:qFormat/>
    <w:uiPriority w:val="99"/>
    <w:pPr>
      <w:spacing w:beforeAutospacing="1" w:afterAutospacing="1"/>
      <w:outlineLvl w:val="0"/>
    </w:pPr>
    <w:rPr>
      <w:b/>
      <w:kern w:val="44"/>
      <w:sz w:val="48"/>
      <w:szCs w:val="48"/>
    </w:rPr>
  </w:style>
  <w:style w:type="paragraph" w:styleId="6">
    <w:name w:val="heading 2"/>
    <w:basedOn w:val="1"/>
    <w:next w:val="1"/>
    <w:link w:val="23"/>
    <w:qFormat/>
    <w:uiPriority w:val="99"/>
    <w:pPr>
      <w:spacing w:beforeAutospacing="1" w:afterAutospacing="1"/>
      <w:outlineLvl w:val="1"/>
    </w:pPr>
    <w:rPr>
      <w:b/>
      <w:sz w:val="36"/>
      <w:szCs w:val="36"/>
    </w:rPr>
  </w:style>
  <w:style w:type="paragraph" w:styleId="7">
    <w:name w:val="heading 3"/>
    <w:basedOn w:val="1"/>
    <w:next w:val="1"/>
    <w:link w:val="24"/>
    <w:qFormat/>
    <w:uiPriority w:val="99"/>
    <w:pPr>
      <w:spacing w:beforeAutospacing="1" w:afterAutospacing="1"/>
      <w:outlineLvl w:val="2"/>
    </w:pPr>
    <w:rPr>
      <w:b/>
      <w:sz w:val="27"/>
      <w:szCs w:val="27"/>
    </w:rPr>
  </w:style>
  <w:style w:type="paragraph" w:styleId="8">
    <w:name w:val="heading 4"/>
    <w:basedOn w:val="1"/>
    <w:next w:val="1"/>
    <w:link w:val="25"/>
    <w:qFormat/>
    <w:uiPriority w:val="99"/>
    <w:pPr>
      <w:spacing w:beforeAutospacing="1" w:afterAutospacing="1"/>
      <w:outlineLvl w:val="3"/>
    </w:pPr>
    <w:rPr>
      <w:b/>
    </w:rPr>
  </w:style>
  <w:style w:type="paragraph" w:styleId="9">
    <w:name w:val="heading 5"/>
    <w:basedOn w:val="1"/>
    <w:next w:val="1"/>
    <w:link w:val="26"/>
    <w:qFormat/>
    <w:uiPriority w:val="99"/>
    <w:pPr>
      <w:spacing w:beforeAutospacing="1" w:afterAutospacing="1"/>
      <w:outlineLvl w:val="4"/>
    </w:pPr>
    <w:rPr>
      <w:b/>
      <w:sz w:val="20"/>
      <w:szCs w:val="20"/>
    </w:rPr>
  </w:style>
  <w:style w:type="paragraph" w:styleId="10">
    <w:name w:val="heading 6"/>
    <w:basedOn w:val="1"/>
    <w:next w:val="1"/>
    <w:link w:val="27"/>
    <w:qFormat/>
    <w:uiPriority w:val="99"/>
    <w:pPr>
      <w:spacing w:beforeAutospacing="1" w:afterAutospacing="1"/>
      <w:outlineLvl w:val="5"/>
    </w:pPr>
    <w:rPr>
      <w:b/>
      <w:sz w:val="15"/>
      <w:szCs w:val="15"/>
    </w:rPr>
  </w:style>
  <w:style w:type="character" w:default="1" w:styleId="20">
    <w:name w:val="Default Paragraph Font"/>
    <w:semiHidden/>
    <w:qFormat/>
    <w:uiPriority w:val="99"/>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link w:val="34"/>
    <w:qFormat/>
    <w:uiPriority w:val="99"/>
    <w:pPr>
      <w:ind w:firstLine="420" w:firstLineChars="200"/>
    </w:pPr>
  </w:style>
  <w:style w:type="paragraph" w:styleId="3">
    <w:name w:val="Body Text Indent"/>
    <w:basedOn w:val="1"/>
    <w:next w:val="2"/>
    <w:link w:val="31"/>
    <w:qFormat/>
    <w:uiPriority w:val="99"/>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11">
    <w:name w:val="Salutation"/>
    <w:basedOn w:val="1"/>
    <w:next w:val="12"/>
    <w:link w:val="29"/>
    <w:qFormat/>
    <w:uiPriority w:val="99"/>
    <w:pPr>
      <w:topLinePunct/>
      <w:autoSpaceDE w:val="0"/>
      <w:autoSpaceDN w:val="0"/>
      <w:adjustRightInd w:val="0"/>
      <w:snapToGrid w:val="0"/>
      <w:spacing w:line="336" w:lineRule="auto"/>
      <w:textAlignment w:val="baseline"/>
    </w:pPr>
    <w:rPr>
      <w:rFonts w:eastAsia="仿宋_GB2312"/>
      <w:kern w:val="10"/>
      <w:sz w:val="32"/>
    </w:rPr>
  </w:style>
  <w:style w:type="paragraph" w:styleId="12">
    <w:name w:val="Body Text"/>
    <w:basedOn w:val="1"/>
    <w:link w:val="30"/>
    <w:uiPriority w:val="99"/>
  </w:style>
  <w:style w:type="paragraph" w:styleId="13">
    <w:name w:val="footer"/>
    <w:basedOn w:val="1"/>
    <w:link w:val="28"/>
    <w:qFormat/>
    <w:uiPriority w:val="99"/>
    <w:pPr>
      <w:tabs>
        <w:tab w:val="center" w:pos="4153"/>
        <w:tab w:val="right" w:pos="8306"/>
      </w:tabs>
      <w:snapToGrid w:val="0"/>
    </w:pPr>
    <w:rPr>
      <w:sz w:val="18"/>
      <w:szCs w:val="18"/>
    </w:rPr>
  </w:style>
  <w:style w:type="paragraph" w:styleId="14">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HTML Preformatted"/>
    <w:basedOn w:val="1"/>
    <w:link w:val="33"/>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8">
    <w:name w:val="Normal (Web)"/>
    <w:basedOn w:val="1"/>
    <w:uiPriority w:val="99"/>
    <w:pPr>
      <w:spacing w:beforeAutospacing="1" w:afterAutospacing="1"/>
    </w:pPr>
  </w:style>
  <w:style w:type="character" w:styleId="21">
    <w:name w:val="Strong"/>
    <w:basedOn w:val="20"/>
    <w:qFormat/>
    <w:uiPriority w:val="99"/>
    <w:rPr>
      <w:rFonts w:cs="Times New Roman"/>
      <w:b/>
    </w:rPr>
  </w:style>
  <w:style w:type="character" w:customStyle="1" w:styleId="22">
    <w:name w:val="Heading 1 Char"/>
    <w:basedOn w:val="20"/>
    <w:link w:val="5"/>
    <w:qFormat/>
    <w:uiPriority w:val="9"/>
    <w:rPr>
      <w:rFonts w:ascii="宋体" w:hAnsi="宋体"/>
      <w:b/>
      <w:bCs/>
      <w:kern w:val="44"/>
      <w:sz w:val="44"/>
      <w:szCs w:val="44"/>
    </w:rPr>
  </w:style>
  <w:style w:type="character" w:customStyle="1" w:styleId="23">
    <w:name w:val="Heading 2 Char"/>
    <w:basedOn w:val="20"/>
    <w:link w:val="6"/>
    <w:semiHidden/>
    <w:qFormat/>
    <w:uiPriority w:val="9"/>
    <w:rPr>
      <w:rFonts w:asciiTheme="majorHAnsi" w:hAnsiTheme="majorHAnsi" w:eastAsiaTheme="majorEastAsia" w:cstheme="majorBidi"/>
      <w:b/>
      <w:bCs/>
      <w:kern w:val="0"/>
      <w:sz w:val="32"/>
      <w:szCs w:val="32"/>
    </w:rPr>
  </w:style>
  <w:style w:type="character" w:customStyle="1" w:styleId="24">
    <w:name w:val="Heading 3 Char"/>
    <w:basedOn w:val="20"/>
    <w:link w:val="7"/>
    <w:semiHidden/>
    <w:qFormat/>
    <w:uiPriority w:val="9"/>
    <w:rPr>
      <w:rFonts w:ascii="宋体" w:hAnsi="宋体"/>
      <w:b/>
      <w:bCs/>
      <w:kern w:val="0"/>
      <w:sz w:val="32"/>
      <w:szCs w:val="32"/>
    </w:rPr>
  </w:style>
  <w:style w:type="character" w:customStyle="1" w:styleId="25">
    <w:name w:val="Heading 4 Char"/>
    <w:basedOn w:val="20"/>
    <w:link w:val="8"/>
    <w:semiHidden/>
    <w:uiPriority w:val="9"/>
    <w:rPr>
      <w:rFonts w:asciiTheme="majorHAnsi" w:hAnsiTheme="majorHAnsi" w:eastAsiaTheme="majorEastAsia" w:cstheme="majorBidi"/>
      <w:b/>
      <w:bCs/>
      <w:kern w:val="0"/>
      <w:sz w:val="28"/>
      <w:szCs w:val="28"/>
    </w:rPr>
  </w:style>
  <w:style w:type="character" w:customStyle="1" w:styleId="26">
    <w:name w:val="Heading 5 Char"/>
    <w:basedOn w:val="20"/>
    <w:link w:val="9"/>
    <w:semiHidden/>
    <w:qFormat/>
    <w:uiPriority w:val="9"/>
    <w:rPr>
      <w:rFonts w:ascii="宋体" w:hAnsi="宋体"/>
      <w:b/>
      <w:bCs/>
      <w:kern w:val="0"/>
      <w:sz w:val="28"/>
      <w:szCs w:val="28"/>
    </w:rPr>
  </w:style>
  <w:style w:type="character" w:customStyle="1" w:styleId="27">
    <w:name w:val="Heading 6 Char"/>
    <w:basedOn w:val="20"/>
    <w:link w:val="10"/>
    <w:semiHidden/>
    <w:uiPriority w:val="9"/>
    <w:rPr>
      <w:rFonts w:asciiTheme="majorHAnsi" w:hAnsiTheme="majorHAnsi" w:eastAsiaTheme="majorEastAsia" w:cstheme="majorBidi"/>
      <w:b/>
      <w:bCs/>
      <w:kern w:val="0"/>
      <w:sz w:val="24"/>
      <w:szCs w:val="24"/>
    </w:rPr>
  </w:style>
  <w:style w:type="character" w:customStyle="1" w:styleId="28">
    <w:name w:val="Footer Char"/>
    <w:basedOn w:val="20"/>
    <w:link w:val="13"/>
    <w:semiHidden/>
    <w:uiPriority w:val="99"/>
    <w:rPr>
      <w:rFonts w:ascii="宋体" w:hAnsi="宋体"/>
      <w:kern w:val="0"/>
      <w:sz w:val="18"/>
      <w:szCs w:val="18"/>
    </w:rPr>
  </w:style>
  <w:style w:type="character" w:customStyle="1" w:styleId="29">
    <w:name w:val="Salutation Char"/>
    <w:basedOn w:val="20"/>
    <w:link w:val="11"/>
    <w:semiHidden/>
    <w:qFormat/>
    <w:uiPriority w:val="99"/>
    <w:rPr>
      <w:rFonts w:ascii="宋体" w:hAnsi="宋体"/>
      <w:kern w:val="0"/>
      <w:sz w:val="24"/>
      <w:szCs w:val="24"/>
    </w:rPr>
  </w:style>
  <w:style w:type="character" w:customStyle="1" w:styleId="30">
    <w:name w:val="Body Text Char"/>
    <w:basedOn w:val="20"/>
    <w:link w:val="12"/>
    <w:semiHidden/>
    <w:qFormat/>
    <w:uiPriority w:val="99"/>
    <w:rPr>
      <w:rFonts w:ascii="宋体" w:hAnsi="宋体"/>
      <w:kern w:val="0"/>
      <w:sz w:val="24"/>
      <w:szCs w:val="24"/>
    </w:rPr>
  </w:style>
  <w:style w:type="character" w:customStyle="1" w:styleId="31">
    <w:name w:val="Body Text Indent Char"/>
    <w:basedOn w:val="20"/>
    <w:link w:val="3"/>
    <w:semiHidden/>
    <w:qFormat/>
    <w:uiPriority w:val="99"/>
    <w:rPr>
      <w:rFonts w:ascii="宋体" w:hAnsi="宋体"/>
      <w:kern w:val="0"/>
      <w:sz w:val="24"/>
      <w:szCs w:val="24"/>
    </w:rPr>
  </w:style>
  <w:style w:type="character" w:customStyle="1" w:styleId="32">
    <w:name w:val="Header Char"/>
    <w:basedOn w:val="20"/>
    <w:link w:val="14"/>
    <w:semiHidden/>
    <w:qFormat/>
    <w:uiPriority w:val="99"/>
    <w:rPr>
      <w:rFonts w:ascii="宋体" w:hAnsi="宋体"/>
      <w:kern w:val="0"/>
      <w:sz w:val="18"/>
      <w:szCs w:val="18"/>
    </w:rPr>
  </w:style>
  <w:style w:type="character" w:customStyle="1" w:styleId="33">
    <w:name w:val="HTML Preformatted Char"/>
    <w:basedOn w:val="20"/>
    <w:link w:val="17"/>
    <w:semiHidden/>
    <w:uiPriority w:val="99"/>
    <w:rPr>
      <w:rFonts w:ascii="Courier New" w:hAnsi="Courier New" w:cs="Courier New"/>
      <w:kern w:val="0"/>
      <w:sz w:val="20"/>
      <w:szCs w:val="20"/>
    </w:rPr>
  </w:style>
  <w:style w:type="character" w:customStyle="1" w:styleId="34">
    <w:name w:val="Body Text First Indent 2 Char"/>
    <w:basedOn w:val="31"/>
    <w:link w:val="2"/>
    <w:semiHidden/>
    <w:qFormat/>
    <w:uiPriority w:val="99"/>
  </w:style>
  <w:style w:type="paragraph" w:customStyle="1" w:styleId="35">
    <w:name w:val="普通(网站) Char"/>
    <w:basedOn w:val="1"/>
    <w:qFormat/>
    <w:uiPriority w:val="99"/>
    <w:pPr>
      <w:spacing w:beforeAutospacing="1" w:afterAutospacing="1"/>
    </w:pPr>
  </w:style>
  <w:style w:type="character" w:customStyle="1" w:styleId="36">
    <w:name w:val="15"/>
    <w:basedOn w:val="20"/>
    <w:qFormat/>
    <w:uiPriority w:val="99"/>
    <w:rPr>
      <w:rFonts w:ascii="Times New Roman" w:hAnsi="Times New Roman" w:cs="Times New Roman"/>
      <w:b/>
    </w:rPr>
  </w:style>
  <w:style w:type="character" w:customStyle="1" w:styleId="37">
    <w:name w:val="16"/>
    <w:basedOn w:val="20"/>
    <w:qFormat/>
    <w:uiPriority w:val="99"/>
    <w:rPr>
      <w:rFonts w:ascii="Calibri" w:hAnsi="Calibri" w:cs="Calibri"/>
      <w:b/>
    </w:rPr>
  </w:style>
  <w:style w:type="character" w:customStyle="1" w:styleId="38">
    <w:name w:val="标题 1 Char"/>
    <w:basedOn w:val="20"/>
    <w:link w:val="5"/>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png"/><Relationship Id="rId7" Type="http://schemas.openxmlformats.org/officeDocument/2006/relationships/oleObject" Target="embeddings/oleObject2.bin"/><Relationship Id="rId6" Type="http://schemas.openxmlformats.org/officeDocument/2006/relationships/image" Target="media/image1.png"/><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Pages>
  <Words>990</Words>
  <Characters>5644</Characters>
  <Lines>1</Lines>
  <Paragraphs>1</Paragraphs>
  <TotalTime>1</TotalTime>
  <ScaleCrop>false</ScaleCrop>
  <LinksUpToDate>false</LinksUpToDate>
  <CharactersWithSpaces>0</CharactersWithSpaces>
  <Application>WPS Office_11.1.0.8812_F1E327BC-269C-435d-A152-05C5408002CA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2023-01-14T08:16:00Z</dcterms:created>
  <dc:creator>Administrator</dc:creator>
  <cp:lastModifiedBy>Easy</cp:lastModifiedBy>
  <cp:lastPrinted>2025-09-25T02:00:00Z</cp:lastPrinted>
  <dcterms:modified xsi:type="dcterms:W3CDTF">2025-09-25T02:17:58Z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2052-11.1.0.8812</vt:lpwstr>
  </property>
  <property fmtid="{D5CDD505-2E9C-101B-9397-08002B2CF9AE}" pid="3" name="ICV">
    <vt:lpwstr>2F484EF279024057A19973DDDAF6FAB6</vt:lpwstr>
  </property>
</Properties>
</file>