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856D1">
      <w:pPr>
        <w:spacing w:line="600" w:lineRule="exact"/>
        <w:jc w:val="center"/>
        <w:outlineLvl w:val="0"/>
        <w:rPr>
          <w:rFonts w:ascii="方正小标宋简体" w:hAnsi="宋体" w:eastAsia="方正小标宋简体"/>
          <w:color w:val="000000"/>
          <w:sz w:val="72"/>
          <w:szCs w:val="72"/>
        </w:rPr>
      </w:pPr>
      <w:bookmarkStart w:id="0" w:name="_Toc15306267"/>
    </w:p>
    <w:p w14:paraId="6FBC25D9">
      <w:pPr>
        <w:spacing w:line="600" w:lineRule="exact"/>
        <w:jc w:val="center"/>
        <w:outlineLvl w:val="0"/>
        <w:rPr>
          <w:rFonts w:ascii="方正小标宋简体" w:hAnsi="宋体" w:eastAsia="方正小标宋简体"/>
          <w:color w:val="000000"/>
          <w:sz w:val="72"/>
          <w:szCs w:val="72"/>
        </w:rPr>
      </w:pPr>
    </w:p>
    <w:p w14:paraId="68A43CE2">
      <w:pPr>
        <w:spacing w:line="600" w:lineRule="exact"/>
        <w:jc w:val="center"/>
        <w:outlineLvl w:val="0"/>
        <w:rPr>
          <w:rFonts w:ascii="方正小标宋简体" w:hAnsi="宋体" w:eastAsia="方正小标宋简体"/>
          <w:color w:val="000000"/>
          <w:sz w:val="72"/>
          <w:szCs w:val="72"/>
        </w:rPr>
      </w:pPr>
    </w:p>
    <w:p w14:paraId="3E93FA07">
      <w:pPr>
        <w:jc w:val="center"/>
        <w:rPr>
          <w:rFonts w:ascii="黑体" w:hAnsi="黑体" w:eastAsia="黑体"/>
          <w:sz w:val="72"/>
          <w:szCs w:val="72"/>
        </w:rPr>
      </w:pPr>
      <w:bookmarkStart w:id="1" w:name="_Toc15377193"/>
      <w:bookmarkStart w:id="2" w:name="_Toc15396597"/>
      <w:bookmarkStart w:id="3" w:name="_Toc15377425"/>
      <w:bookmarkStart w:id="4" w:name="_Toc15378441"/>
      <w:bookmarkStart w:id="5" w:name="_Toc15396475"/>
      <w:r>
        <w:rPr>
          <w:rFonts w:ascii="黑体" w:hAnsi="黑体" w:eastAsia="黑体"/>
          <w:sz w:val="72"/>
          <w:szCs w:val="72"/>
        </w:rPr>
        <w:t>202</w:t>
      </w:r>
      <w:r>
        <w:rPr>
          <w:rFonts w:hint="eastAsia" w:ascii="黑体" w:hAnsi="黑体" w:eastAsia="黑体"/>
          <w:sz w:val="72"/>
          <w:szCs w:val="72"/>
          <w:lang w:val="en-US" w:eastAsia="zh-CN"/>
        </w:rPr>
        <w:t>4</w:t>
      </w:r>
      <w:r>
        <w:rPr>
          <w:rFonts w:hint="eastAsia" w:ascii="黑体" w:hAnsi="黑体" w:eastAsia="黑体"/>
          <w:sz w:val="72"/>
          <w:szCs w:val="72"/>
        </w:rPr>
        <w:t>年度</w:t>
      </w:r>
      <w:bookmarkEnd w:id="1"/>
      <w:bookmarkEnd w:id="2"/>
      <w:bookmarkEnd w:id="3"/>
      <w:bookmarkEnd w:id="4"/>
      <w:bookmarkEnd w:id="5"/>
    </w:p>
    <w:p w14:paraId="698A4958">
      <w:pPr>
        <w:jc w:val="center"/>
        <w:rPr>
          <w:rFonts w:hint="eastAsia" w:ascii="方正小标宋简体" w:eastAsia="方正小标宋简体"/>
          <w:sz w:val="72"/>
          <w:szCs w:val="72"/>
          <w:lang w:eastAsia="zh-CN"/>
        </w:rPr>
      </w:pPr>
      <w:bookmarkStart w:id="6" w:name="_Toc15377194"/>
      <w:bookmarkStart w:id="7" w:name="_Toc15377426"/>
      <w:bookmarkStart w:id="8" w:name="_Toc15396598"/>
      <w:bookmarkStart w:id="9" w:name="_Toc15378442"/>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红原县</w:t>
      </w:r>
    </w:p>
    <w:p w14:paraId="1778219D">
      <w:pPr>
        <w:jc w:val="center"/>
        <w:rPr>
          <w:rFonts w:ascii="方正小标宋简体" w:eastAsia="方正小标宋简体"/>
          <w:sz w:val="72"/>
          <w:szCs w:val="72"/>
        </w:rPr>
      </w:pPr>
      <w:r>
        <w:rPr>
          <w:rFonts w:hint="eastAsia" w:ascii="方正小标宋简体" w:eastAsia="方正小标宋简体"/>
          <w:sz w:val="72"/>
          <w:szCs w:val="72"/>
          <w:lang w:eastAsia="zh-CN"/>
        </w:rPr>
        <w:t>司法局</w:t>
      </w:r>
      <w:r>
        <w:rPr>
          <w:rFonts w:hint="eastAsia" w:ascii="方正小标宋简体" w:eastAsia="方正小标宋简体"/>
          <w:sz w:val="72"/>
          <w:szCs w:val="72"/>
        </w:rPr>
        <w:t>部门决算</w:t>
      </w:r>
      <w:bookmarkEnd w:id="6"/>
      <w:bookmarkEnd w:id="7"/>
      <w:bookmarkEnd w:id="8"/>
      <w:bookmarkEnd w:id="9"/>
      <w:bookmarkEnd w:id="10"/>
      <w:bookmarkEnd w:id="11"/>
    </w:p>
    <w:p w14:paraId="3D7AE2AD">
      <w:pPr>
        <w:jc w:val="center"/>
        <w:rPr>
          <w:rFonts w:ascii="方正小标宋简体" w:eastAsia="方正小标宋简体"/>
          <w:sz w:val="52"/>
          <w:szCs w:val="52"/>
        </w:rPr>
      </w:pPr>
    </w:p>
    <w:p w14:paraId="2E55EC16">
      <w:pPr>
        <w:widowControl/>
        <w:jc w:val="center"/>
        <w:rPr>
          <w:rFonts w:ascii="方正小标宋简体" w:hAnsi="宋体" w:eastAsia="方正小标宋简体"/>
          <w:color w:val="000000"/>
          <w:sz w:val="36"/>
          <w:szCs w:val="36"/>
        </w:rPr>
      </w:pPr>
    </w:p>
    <w:p w14:paraId="00326E8D">
      <w:pPr>
        <w:rPr>
          <w:rFonts w:ascii="方正小标宋简体" w:hAnsi="宋体" w:eastAsia="方正小标宋简体"/>
          <w:sz w:val="36"/>
          <w:szCs w:val="36"/>
        </w:rPr>
      </w:pPr>
    </w:p>
    <w:p w14:paraId="6DE47B94">
      <w:pPr>
        <w:rPr>
          <w:rFonts w:ascii="方正小标宋简体" w:hAnsi="宋体" w:eastAsia="方正小标宋简体"/>
          <w:sz w:val="36"/>
          <w:szCs w:val="36"/>
        </w:rPr>
      </w:pPr>
    </w:p>
    <w:p w14:paraId="27FED115">
      <w:pPr>
        <w:rPr>
          <w:rFonts w:ascii="方正小标宋简体" w:hAnsi="宋体" w:eastAsia="方正小标宋简体"/>
          <w:sz w:val="36"/>
          <w:szCs w:val="36"/>
        </w:rPr>
      </w:pPr>
    </w:p>
    <w:p w14:paraId="160F3B56">
      <w:pPr>
        <w:rPr>
          <w:rFonts w:ascii="方正小标宋简体" w:hAnsi="宋体" w:eastAsia="方正小标宋简体"/>
          <w:sz w:val="36"/>
          <w:szCs w:val="36"/>
        </w:rPr>
      </w:pPr>
    </w:p>
    <w:p w14:paraId="1B15600E">
      <w:pPr>
        <w:rPr>
          <w:rFonts w:ascii="方正小标宋简体" w:hAnsi="宋体" w:eastAsia="方正小标宋简体"/>
          <w:sz w:val="36"/>
          <w:szCs w:val="36"/>
        </w:rPr>
      </w:pPr>
    </w:p>
    <w:p w14:paraId="28710F7D">
      <w:pPr>
        <w:rPr>
          <w:rFonts w:ascii="方正小标宋简体" w:hAnsi="宋体" w:eastAsia="方正小标宋简体"/>
          <w:sz w:val="36"/>
          <w:szCs w:val="36"/>
        </w:rPr>
      </w:pPr>
    </w:p>
    <w:p w14:paraId="6A66FA7C">
      <w:pPr>
        <w:rPr>
          <w:rFonts w:ascii="方正小标宋简体" w:hAnsi="宋体" w:eastAsia="方正小标宋简体"/>
          <w:sz w:val="36"/>
          <w:szCs w:val="36"/>
        </w:rPr>
      </w:pPr>
    </w:p>
    <w:p w14:paraId="525F94F8">
      <w:pPr>
        <w:rPr>
          <w:rFonts w:ascii="方正小标宋简体" w:hAnsi="宋体" w:eastAsia="方正小标宋简体"/>
          <w:sz w:val="36"/>
          <w:szCs w:val="36"/>
        </w:rPr>
      </w:pPr>
    </w:p>
    <w:p w14:paraId="51CCE9EB">
      <w:pPr>
        <w:rPr>
          <w:rFonts w:ascii="方正小标宋简体" w:hAnsi="宋体" w:eastAsia="方正小标宋简体"/>
          <w:sz w:val="36"/>
          <w:szCs w:val="36"/>
        </w:rPr>
      </w:pPr>
    </w:p>
    <w:p w14:paraId="3A3878D7">
      <w:pPr>
        <w:autoSpaceDE w:val="0"/>
        <w:autoSpaceDN w:val="0"/>
        <w:adjustRightInd w:val="0"/>
        <w:ind w:left="420" w:leftChars="200"/>
        <w:jc w:val="left"/>
        <w:rPr>
          <w:rFonts w:hint="eastAsia" w:ascii="宋体" w:hAnsi="宋体" w:cs="仿宋_GB2312"/>
          <w:sz w:val="32"/>
          <w:szCs w:val="32"/>
          <w:lang w:eastAsia="zh-CN"/>
        </w:rPr>
      </w:pPr>
    </w:p>
    <w:p w14:paraId="1D2BE360">
      <w:pPr>
        <w:autoSpaceDE w:val="0"/>
        <w:autoSpaceDN w:val="0"/>
        <w:adjustRightInd w:val="0"/>
        <w:ind w:firstLine="960" w:firstLineChars="300"/>
        <w:jc w:val="both"/>
        <w:rPr>
          <w:rFonts w:ascii="方正小标宋简体" w:hAnsi="宋体" w:eastAsia="方正小标宋简体"/>
          <w:color w:val="000000"/>
          <w:sz w:val="36"/>
          <w:szCs w:val="36"/>
        </w:rPr>
      </w:pPr>
      <w:r>
        <w:rPr>
          <w:rFonts w:hint="eastAsia" w:ascii="宋体" w:hAnsi="宋体" w:cs="仿宋_GB2312"/>
          <w:sz w:val="32"/>
          <w:szCs w:val="32"/>
          <w:lang w:eastAsia="zh-CN"/>
        </w:rPr>
        <w:t>已经</w:t>
      </w:r>
      <w:r>
        <w:rPr>
          <w:rFonts w:hint="eastAsia" w:ascii="宋体" w:hAnsi="宋体" w:cs="仿宋_GB2312"/>
          <w:sz w:val="32"/>
          <w:szCs w:val="32"/>
        </w:rPr>
        <w:t>保密审查</w:t>
      </w:r>
      <w:r>
        <w:rPr>
          <w:rFonts w:hint="eastAsia" w:ascii="宋体" w:hAnsi="宋体" w:cs="仿宋_GB2312"/>
          <w:sz w:val="32"/>
          <w:szCs w:val="32"/>
          <w:lang w:eastAsia="zh-CN"/>
        </w:rPr>
        <w:t>、</w:t>
      </w:r>
      <w:r>
        <w:rPr>
          <w:rFonts w:hint="eastAsia" w:ascii="宋体" w:hAnsi="宋体" w:cs="仿宋_GB2312"/>
          <w:sz w:val="32"/>
          <w:szCs w:val="32"/>
        </w:rPr>
        <w:t>内容审定</w:t>
      </w:r>
      <w:r>
        <w:rPr>
          <w:rFonts w:hint="eastAsia" w:ascii="宋体" w:hAnsi="宋体" w:cs="仿宋_GB2312"/>
          <w:sz w:val="32"/>
          <w:szCs w:val="32"/>
          <w:lang w:eastAsia="zh-CN"/>
        </w:rPr>
        <w:t>、</w:t>
      </w:r>
      <w:r>
        <w:rPr>
          <w:rFonts w:hint="eastAsia" w:ascii="宋体" w:hAnsi="宋体" w:cs="仿宋_GB2312"/>
          <w:sz w:val="32"/>
          <w:szCs w:val="32"/>
        </w:rPr>
        <w:t>同意对外公开</w:t>
      </w:r>
    </w:p>
    <w:p w14:paraId="5BB2A31F">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140B1B4">
      <w:pPr>
        <w:pStyle w:val="11"/>
        <w:jc w:val="center"/>
        <w:rPr>
          <w:rFonts w:hAnsiTheme="minorHAnsi"/>
          <w:b w:val="0"/>
          <w:bCs w:val="0"/>
          <w:sz w:val="24"/>
          <w:szCs w:val="24"/>
        </w:rPr>
      </w:pPr>
      <w:r>
        <w:rPr>
          <w:rFonts w:hint="eastAsia" w:hAnsiTheme="minorHAnsi"/>
          <w:b w:val="0"/>
          <w:bCs w:val="0"/>
          <w:sz w:val="24"/>
          <w:szCs w:val="24"/>
        </w:rPr>
        <w:t>公开时间：202</w:t>
      </w:r>
      <w:r>
        <w:rPr>
          <w:rFonts w:hint="eastAsia" w:eastAsia="宋体" w:hAnsiTheme="minorHAnsi"/>
          <w:b w:val="0"/>
          <w:bCs w:val="0"/>
          <w:sz w:val="24"/>
          <w:szCs w:val="24"/>
          <w:lang w:val="en-US" w:eastAsia="zh-CN"/>
        </w:rPr>
        <w:t>5</w:t>
      </w:r>
      <w:r>
        <w:rPr>
          <w:rFonts w:hint="eastAsia" w:hAnsiTheme="minorHAnsi"/>
          <w:b w:val="0"/>
          <w:bCs w:val="0"/>
          <w:sz w:val="24"/>
          <w:szCs w:val="24"/>
        </w:rPr>
        <w:t xml:space="preserve">年 </w:t>
      </w:r>
      <w:r>
        <w:rPr>
          <w:rFonts w:hint="eastAsia" w:eastAsia="宋体" w:hAnsiTheme="minorHAnsi"/>
          <w:b w:val="0"/>
          <w:bCs w:val="0"/>
          <w:sz w:val="24"/>
          <w:szCs w:val="24"/>
          <w:lang w:val="en-US" w:eastAsia="zh-CN"/>
        </w:rPr>
        <w:t>9</w:t>
      </w:r>
      <w:r>
        <w:rPr>
          <w:rFonts w:hint="eastAsia" w:hAnsiTheme="minorHAnsi"/>
          <w:b w:val="0"/>
          <w:bCs w:val="0"/>
          <w:sz w:val="24"/>
          <w:szCs w:val="24"/>
        </w:rPr>
        <w:t>月</w:t>
      </w:r>
      <w:r>
        <w:rPr>
          <w:rFonts w:hint="eastAsia" w:eastAsia="宋体" w:hAnsiTheme="minorHAnsi"/>
          <w:b w:val="0"/>
          <w:bCs w:val="0"/>
          <w:sz w:val="24"/>
          <w:szCs w:val="24"/>
          <w:lang w:val="en-US" w:eastAsia="zh-CN"/>
        </w:rPr>
        <w:t>22</w:t>
      </w:r>
      <w:r>
        <w:rPr>
          <w:rFonts w:hint="eastAsia" w:hAnsiTheme="minorHAnsi"/>
          <w:b w:val="0"/>
          <w:bCs w:val="0"/>
          <w:sz w:val="24"/>
          <w:szCs w:val="24"/>
        </w:rPr>
        <w:t>日</w:t>
      </w:r>
    </w:p>
    <w:p w14:paraId="010BC4FD">
      <w:pPr>
        <w:pStyle w:val="11"/>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693DBA8F">
      <w:pPr>
        <w:pStyle w:val="13"/>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11305BCF">
      <w:pPr>
        <w:pStyle w:val="7"/>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715F5719">
      <w:pPr>
        <w:pStyle w:val="7"/>
        <w:tabs>
          <w:tab w:val="right" w:leader="dot" w:pos="8296"/>
        </w:tabs>
        <w:rPr>
          <w:rFonts w:hAnsiTheme="minorHAnsi" w:eastAsiaTheme="minorEastAsia" w:cstheme="minorBidi"/>
          <w:i w:val="0"/>
          <w:iCs w:val="0"/>
          <w:sz w:val="21"/>
          <w:szCs w:val="22"/>
        </w:rPr>
      </w:pPr>
      <w:r>
        <w:rPr>
          <w:rFonts w:ascii="仿宋" w:hAnsi="仿宋" w:eastAsia="仿宋"/>
          <w:bCs/>
          <w:color w:val="000000"/>
        </w:rPr>
        <w:t>（二）202</w:t>
      </w:r>
      <w:r>
        <w:rPr>
          <w:rFonts w:hint="eastAsia" w:ascii="仿宋" w:hAnsi="仿宋" w:eastAsia="仿宋"/>
          <w:bCs/>
          <w:color w:val="000000"/>
          <w:lang w:val="en-US" w:eastAsia="zh-CN"/>
        </w:rPr>
        <w:t>4</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5</w:t>
      </w:r>
      <w:r>
        <w:fldChar w:fldCharType="end"/>
      </w:r>
    </w:p>
    <w:p w14:paraId="71CEF2FB">
      <w:pPr>
        <w:pStyle w:val="13"/>
        <w:tabs>
          <w:tab w:val="right" w:leader="dot" w:pos="8296"/>
        </w:tabs>
        <w:rPr>
          <w:rFonts w:hint="eastAsia" w:eastAsia="宋体" w:hAnsi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eastAsia="宋体"/>
          <w:lang w:val="en-US" w:eastAsia="zh-CN"/>
        </w:rPr>
        <w:t>9</w:t>
      </w:r>
    </w:p>
    <w:p w14:paraId="02F340E6">
      <w:pPr>
        <w:pStyle w:val="11"/>
        <w:tabs>
          <w:tab w:val="right" w:leader="dot" w:pos="8296"/>
        </w:tabs>
        <w:rPr>
          <w:rFonts w:hint="default" w:eastAsia="宋体" w:hAnsi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4</w:t>
      </w:r>
      <w:r>
        <w:rPr>
          <w:rFonts w:ascii="黑体" w:hAnsi="黑体" w:eastAsia="黑体"/>
          <w:b w:val="0"/>
          <w:bCs w:val="0"/>
        </w:rPr>
        <w:t>年度部门决算情况说明</w:t>
      </w:r>
      <w:r>
        <w:tab/>
      </w:r>
      <w:r>
        <w:rPr>
          <w:rFonts w:hint="eastAsia" w:eastAsia="宋体"/>
          <w:lang w:val="en-US" w:eastAsia="zh-CN"/>
        </w:rPr>
        <w:t>10</w:t>
      </w:r>
    </w:p>
    <w:p w14:paraId="591BC8DA">
      <w:pPr>
        <w:pStyle w:val="13"/>
        <w:tabs>
          <w:tab w:val="left" w:pos="840"/>
          <w:tab w:val="right" w:leader="dot" w:pos="8296"/>
        </w:tabs>
        <w:rPr>
          <w:rFonts w:hint="default" w:eastAsia="宋体" w:hAnsi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eastAsia="宋体"/>
          <w:lang w:val="en-US" w:eastAsia="zh-CN"/>
        </w:rPr>
        <w:t>10</w:t>
      </w:r>
    </w:p>
    <w:p w14:paraId="6C257588">
      <w:pPr>
        <w:pStyle w:val="13"/>
        <w:tabs>
          <w:tab w:val="left" w:pos="840"/>
          <w:tab w:val="right" w:leader="dot" w:pos="8296"/>
        </w:tabs>
        <w:rPr>
          <w:rFonts w:hint="default" w:eastAsia="宋体" w:hAnsi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eastAsia="宋体"/>
          <w:lang w:val="en-US" w:eastAsia="zh-CN"/>
        </w:rPr>
        <w:t>11</w:t>
      </w:r>
    </w:p>
    <w:p w14:paraId="429CBBE7">
      <w:pPr>
        <w:pStyle w:val="13"/>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12</w:t>
      </w:r>
    </w:p>
    <w:p w14:paraId="1D9BABD7">
      <w:pPr>
        <w:pStyle w:val="13"/>
        <w:tabs>
          <w:tab w:val="right" w:leader="dot" w:pos="8296"/>
        </w:tabs>
        <w:rPr>
          <w:rFonts w:hint="default" w:eastAsia="宋体" w:hAnsi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eastAsia="宋体"/>
          <w:lang w:val="en-US" w:eastAsia="zh-CN"/>
        </w:rPr>
        <w:t>12</w:t>
      </w:r>
    </w:p>
    <w:p w14:paraId="31E0EDFA">
      <w:pPr>
        <w:pStyle w:val="13"/>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12</w:t>
      </w:r>
    </w:p>
    <w:p w14:paraId="1DF8C654">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12</w:t>
      </w:r>
    </w:p>
    <w:p w14:paraId="5B7B9701">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13</w:t>
      </w:r>
    </w:p>
    <w:p w14:paraId="1D77B84A">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14</w:t>
      </w:r>
    </w:p>
    <w:p w14:paraId="022CBBD5">
      <w:pPr>
        <w:pStyle w:val="13"/>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15</w:t>
      </w:r>
    </w:p>
    <w:p w14:paraId="200792BC">
      <w:pPr>
        <w:pStyle w:val="13"/>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16</w:t>
      </w:r>
    </w:p>
    <w:p w14:paraId="68BCB4DD">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17</w:t>
      </w:r>
      <w:bookmarkStart w:id="278" w:name="_GoBack"/>
      <w:bookmarkEnd w:id="278"/>
    </w:p>
    <w:p w14:paraId="516DC747">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17</w:t>
      </w:r>
    </w:p>
    <w:p w14:paraId="452F41C2">
      <w:pPr>
        <w:pStyle w:val="13"/>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18</w:t>
      </w:r>
    </w:p>
    <w:p w14:paraId="76BF9174">
      <w:pPr>
        <w:pStyle w:val="13"/>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18</w:t>
      </w:r>
    </w:p>
    <w:p w14:paraId="01B2CA18">
      <w:pPr>
        <w:pStyle w:val="13"/>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18</w:t>
      </w:r>
    </w:p>
    <w:p w14:paraId="65E3CF1A">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19</w:t>
      </w:r>
    </w:p>
    <w:p w14:paraId="6B4E6FAA">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19</w:t>
      </w:r>
    </w:p>
    <w:p w14:paraId="0EBB4619">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19</w:t>
      </w:r>
    </w:p>
    <w:p w14:paraId="301182D3">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20</w:t>
      </w:r>
    </w:p>
    <w:p w14:paraId="1280FDB0">
      <w:pPr>
        <w:pStyle w:val="11"/>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25</w:t>
      </w:r>
    </w:p>
    <w:p w14:paraId="2636EE1A">
      <w:pPr>
        <w:pStyle w:val="11"/>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28</w:t>
      </w:r>
    </w:p>
    <w:p w14:paraId="515ABD53">
      <w:pPr>
        <w:pStyle w:val="11"/>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28</w:t>
      </w:r>
    </w:p>
    <w:p w14:paraId="5573335E">
      <w:pPr>
        <w:pStyle w:val="11"/>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司法局</w:t>
      </w:r>
      <w:r>
        <w:rPr>
          <w:rFonts w:ascii="方正小标宋简体" w:hAnsi="黑体" w:eastAsia="方正小标宋简体" w:cs="黑体"/>
        </w:rPr>
        <w:t>部门202</w:t>
      </w:r>
      <w:r>
        <w:rPr>
          <w:rFonts w:hint="eastAsia" w:ascii="方正小标宋简体" w:hAnsi="黑体" w:eastAsia="方正小标宋简体" w:cs="黑体"/>
          <w:lang w:val="en-US" w:eastAsia="zh-CN"/>
        </w:rPr>
        <w:t>4</w:t>
      </w:r>
      <w:r>
        <w:rPr>
          <w:rFonts w:ascii="方正小标宋简体" w:hAnsi="黑体" w:eastAsia="方正小标宋简体" w:cs="黑体"/>
        </w:rPr>
        <w:t>年部门整体支出绩效评价报告</w:t>
      </w:r>
      <w:r>
        <w:tab/>
      </w:r>
      <w:r>
        <w:rPr>
          <w:rFonts w:hint="eastAsia"/>
          <w:lang w:val="en-US" w:eastAsia="zh-CN"/>
        </w:rPr>
        <w:t>28</w:t>
      </w:r>
    </w:p>
    <w:p w14:paraId="57D2A855">
      <w:pPr>
        <w:pStyle w:val="11"/>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35</w:t>
      </w:r>
    </w:p>
    <w:p w14:paraId="427B0AFD">
      <w:pPr>
        <w:pStyle w:val="11"/>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普法宣传</w:t>
      </w:r>
      <w:r>
        <w:rPr>
          <w:rFonts w:ascii="方正小标宋简体" w:hAnsi="黑体" w:eastAsia="方正小标宋简体" w:cs="黑体"/>
        </w:rPr>
        <w:t>项目202</w:t>
      </w:r>
      <w:r>
        <w:rPr>
          <w:rFonts w:hint="eastAsia" w:ascii="方正小标宋简体" w:hAnsi="黑体" w:eastAsia="方正小标宋简体" w:cs="黑体"/>
          <w:lang w:val="en-US" w:eastAsia="zh-CN"/>
        </w:rPr>
        <w:t>4</w:t>
      </w:r>
      <w:r>
        <w:rPr>
          <w:rFonts w:ascii="方正小标宋简体" w:hAnsi="黑体" w:eastAsia="方正小标宋简体" w:cs="黑体"/>
        </w:rPr>
        <w:t>年绩效评价报告</w:t>
      </w:r>
      <w:r>
        <w:tab/>
      </w:r>
      <w:r>
        <w:rPr>
          <w:rFonts w:hint="eastAsia"/>
          <w:lang w:val="en-US" w:eastAsia="zh-CN"/>
        </w:rPr>
        <w:t>35</w:t>
      </w:r>
    </w:p>
    <w:p w14:paraId="23639BA1">
      <w:pPr>
        <w:pStyle w:val="11"/>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39</w:t>
      </w:r>
    </w:p>
    <w:p w14:paraId="322ED7C3">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39</w:t>
      </w:r>
    </w:p>
    <w:p w14:paraId="2B7926DE">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39</w:t>
      </w:r>
    </w:p>
    <w:p w14:paraId="42E831C1">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39</w:t>
      </w:r>
    </w:p>
    <w:p w14:paraId="67378C7D">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39</w:t>
      </w:r>
    </w:p>
    <w:p w14:paraId="401A6588">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39</w:t>
      </w:r>
    </w:p>
    <w:p w14:paraId="7A7D5D7C">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39</w:t>
      </w:r>
    </w:p>
    <w:p w14:paraId="5B1A8F47">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39</w:t>
      </w:r>
    </w:p>
    <w:p w14:paraId="4C338910">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39</w:t>
      </w:r>
    </w:p>
    <w:p w14:paraId="0B214DE2">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39</w:t>
      </w:r>
    </w:p>
    <w:p w14:paraId="51C7FF9A">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39</w:t>
      </w:r>
    </w:p>
    <w:p w14:paraId="764407FB">
      <w:pPr>
        <w:pStyle w:val="13"/>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39</w:t>
      </w:r>
    </w:p>
    <w:p w14:paraId="5E692F0B">
      <w:pPr>
        <w:pStyle w:val="13"/>
        <w:tabs>
          <w:tab w:val="right" w:leader="dot" w:pos="8296"/>
        </w:tabs>
        <w:rPr>
          <w:rFonts w:hint="default"/>
          <w:lang w:val="en-US" w:eastAsia="zh-CN"/>
        </w:rPr>
      </w:pPr>
      <w:r>
        <w:rPr>
          <w:rFonts w:ascii="仿宋" w:hAnsi="仿宋" w:eastAsia="仿宋"/>
        </w:rPr>
        <w:t>十</w:t>
      </w:r>
      <w:r>
        <w:rPr>
          <w:rFonts w:hint="eastAsia" w:ascii="仿宋" w:hAnsi="仿宋" w:eastAsia="仿宋"/>
          <w:lang w:eastAsia="zh-CN"/>
        </w:rPr>
        <w:t>二</w:t>
      </w:r>
      <w:r>
        <w:rPr>
          <w:rFonts w:ascii="仿宋" w:hAnsi="仿宋" w:eastAsia="仿宋"/>
        </w:rPr>
        <w:t>、国有资本经营预算财政拨款支出决算表</w:t>
      </w:r>
      <w:r>
        <w:tab/>
      </w:r>
      <w:r>
        <w:rPr>
          <w:rFonts w:hint="eastAsia"/>
          <w:lang w:val="en-US" w:eastAsia="zh-CN"/>
        </w:rPr>
        <w:t>39</w:t>
      </w:r>
    </w:p>
    <w:p w14:paraId="43BBCEEE">
      <w:pPr>
        <w:ind w:firstLine="210" w:firstLineChars="100"/>
        <w:rPr>
          <w:rFonts w:hint="default"/>
          <w:lang w:val="en-US" w:eastAsia="zh-CN"/>
        </w:rPr>
      </w:pPr>
      <w:r>
        <w:rPr>
          <w:rFonts w:ascii="仿宋" w:hAnsi="仿宋" w:eastAsia="仿宋"/>
        </w:rPr>
        <w:t>十</w:t>
      </w:r>
      <w:r>
        <w:rPr>
          <w:rFonts w:hint="eastAsia" w:ascii="仿宋" w:hAnsi="仿宋" w:eastAsia="仿宋"/>
          <w:lang w:eastAsia="zh-CN"/>
        </w:rPr>
        <w:t>三</w:t>
      </w:r>
      <w:r>
        <w:rPr>
          <w:rFonts w:ascii="仿宋" w:hAnsi="仿宋" w:eastAsia="仿宋"/>
        </w:rPr>
        <w:t>、财政拨款“三公”经费支出决算表</w:t>
      </w:r>
      <w:r>
        <w:rPr>
          <w:rFonts w:hint="eastAsia" w:eastAsia="仿宋"/>
          <w:lang w:val="en-US" w:eastAsia="zh-CN"/>
        </w:rPr>
        <w:t>...............................................................................</w:t>
      </w:r>
      <w:r>
        <w:rPr>
          <w:rFonts w:hint="eastAsia"/>
          <w:lang w:val="en-US" w:eastAsia="zh-CN"/>
        </w:rPr>
        <w:t>39</w:t>
      </w:r>
    </w:p>
    <w:p w14:paraId="761E4603">
      <w:r>
        <w:rPr>
          <w:rFonts w:asciiTheme="minorHAnsi" w:eastAsiaTheme="minorHAnsi"/>
          <w:b/>
          <w:bCs/>
          <w:caps/>
          <w:sz w:val="20"/>
          <w:szCs w:val="20"/>
        </w:rPr>
        <w:fldChar w:fldCharType="end"/>
      </w:r>
    </w:p>
    <w:p w14:paraId="0A946226">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14:paraId="1F95B4CC">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bookmarkEnd w:id="12"/>
    <w:bookmarkEnd w:id="13"/>
    <w:p w14:paraId="318A94E4">
      <w:pPr>
        <w:pStyle w:val="4"/>
        <w:jc w:val="center"/>
        <w:rPr>
          <w:rStyle w:val="19"/>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9"/>
          <w:rFonts w:hint="eastAsia" w:ascii="黑体" w:hAnsi="黑体" w:eastAsia="黑体"/>
          <w:b w:val="0"/>
          <w:bCs w:val="0"/>
        </w:rPr>
        <w:t>部门概况</w:t>
      </w:r>
    </w:p>
    <w:p w14:paraId="382D5907">
      <w:pPr>
        <w:widowControl/>
        <w:jc w:val="left"/>
        <w:rPr>
          <w:rFonts w:ascii="黑体" w:eastAsia="黑体"/>
          <w:color w:val="000000"/>
          <w:sz w:val="32"/>
          <w:szCs w:val="32"/>
        </w:rPr>
      </w:pPr>
    </w:p>
    <w:p w14:paraId="7B7192C7">
      <w:pPr>
        <w:pStyle w:val="5"/>
        <w:rPr>
          <w:rStyle w:val="20"/>
          <w:rFonts w:ascii="仿宋" w:hAnsi="仿宋" w:eastAsia="仿宋"/>
          <w:b w:val="0"/>
          <w:bCs w:val="0"/>
        </w:rPr>
      </w:pPr>
      <w:bookmarkStart w:id="14" w:name="_Toc14286"/>
      <w:bookmarkStart w:id="15" w:name="_Toc15377197"/>
      <w:bookmarkStart w:id="16" w:name="_Toc20167"/>
      <w:bookmarkStart w:id="17" w:name="_Toc79163852"/>
      <w:bookmarkStart w:id="18" w:name="_Toc15396600"/>
      <w:bookmarkStart w:id="19" w:name="_Toc79163602"/>
      <w:r>
        <w:rPr>
          <w:rFonts w:hint="eastAsia" w:ascii="黑体" w:hAnsi="黑体" w:eastAsia="黑体"/>
          <w:b w:val="0"/>
          <w:color w:val="000000"/>
        </w:rPr>
        <w:t>一、基</w:t>
      </w:r>
      <w:r>
        <w:rPr>
          <w:rStyle w:val="20"/>
          <w:rFonts w:hint="eastAsia" w:ascii="黑体" w:hAnsi="黑体" w:eastAsia="黑体"/>
          <w:b w:val="0"/>
          <w:bCs w:val="0"/>
        </w:rPr>
        <w:t>本职能及主要工作</w:t>
      </w:r>
      <w:bookmarkEnd w:id="14"/>
      <w:bookmarkEnd w:id="15"/>
      <w:bookmarkEnd w:id="16"/>
      <w:bookmarkEnd w:id="17"/>
      <w:bookmarkEnd w:id="18"/>
      <w:bookmarkEnd w:id="19"/>
    </w:p>
    <w:p w14:paraId="28A6B66C">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79163853"/>
      <w:bookmarkStart w:id="21" w:name="_Toc16416"/>
      <w:bookmarkStart w:id="22" w:name="_Toc16222"/>
      <w:bookmarkStart w:id="23" w:name="_Toc79163603"/>
      <w:bookmarkStart w:id="24" w:name="_Toc15378445"/>
      <w:bookmarkStart w:id="25" w:name="_Toc15377198"/>
      <w:r>
        <w:rPr>
          <w:rFonts w:hint="eastAsia" w:ascii="仿宋" w:hAnsi="仿宋" w:eastAsia="仿宋"/>
          <w:bCs/>
          <w:color w:val="000000"/>
          <w:sz w:val="32"/>
          <w:szCs w:val="32"/>
        </w:rPr>
        <w:t>（一）主要职能。</w:t>
      </w:r>
      <w:bookmarkEnd w:id="20"/>
      <w:bookmarkEnd w:id="21"/>
      <w:bookmarkEnd w:id="22"/>
      <w:bookmarkEnd w:id="23"/>
    </w:p>
    <w:p w14:paraId="03B99F58">
      <w:pPr>
        <w:pStyle w:val="6"/>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w:t>
      </w:r>
      <w:r>
        <w:rPr>
          <w:rFonts w:hint="eastAsia" w:hAnsi="仿宋_GB2312" w:cs="仿宋_GB2312"/>
          <w:bCs/>
          <w:color w:val="auto"/>
          <w:sz w:val="32"/>
          <w:szCs w:val="32"/>
        </w:rPr>
        <w:t>贯彻执行国家、省、州、县关于司法行政工作的方针、政策和法律、法规及规章，制订司法行政规范性文件和工作发展规划、工作计划并组织实施。</w:t>
      </w:r>
    </w:p>
    <w:p w14:paraId="4BDC7287">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2、</w:t>
      </w:r>
      <w:r>
        <w:rPr>
          <w:rFonts w:hint="eastAsia" w:hAnsi="仿宋_GB2312" w:cs="仿宋_GB2312"/>
          <w:bCs/>
          <w:color w:val="auto"/>
          <w:sz w:val="32"/>
          <w:szCs w:val="32"/>
          <w:lang w:eastAsia="zh-CN"/>
        </w:rPr>
        <w:t>按照县委全面依法治县委员会要求，贯彻落实依法治县决策部署。</w:t>
      </w:r>
    </w:p>
    <w:p w14:paraId="5233A618">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3、</w:t>
      </w:r>
      <w:r>
        <w:rPr>
          <w:rFonts w:hint="eastAsia" w:hAnsi="仿宋_GB2312" w:cs="仿宋_GB2312"/>
          <w:bCs/>
          <w:color w:val="auto"/>
          <w:sz w:val="32"/>
          <w:szCs w:val="32"/>
          <w:lang w:eastAsia="zh-CN"/>
        </w:rPr>
        <w:t>负责县政府规范性文件、重大行政决策发布前的合法性审查。</w:t>
      </w:r>
    </w:p>
    <w:p w14:paraId="291BEF67">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4、</w:t>
      </w:r>
      <w:r>
        <w:rPr>
          <w:rFonts w:hint="eastAsia" w:hAnsi="仿宋_GB2312" w:cs="仿宋_GB2312"/>
          <w:bCs/>
          <w:color w:val="auto"/>
          <w:sz w:val="32"/>
          <w:szCs w:val="32"/>
          <w:lang w:eastAsia="zh-CN"/>
        </w:rPr>
        <w:t>承担统筹推进法治政府建设的责任。</w:t>
      </w:r>
    </w:p>
    <w:p w14:paraId="1C2E6DC1">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5、</w:t>
      </w:r>
      <w:r>
        <w:rPr>
          <w:rFonts w:hint="eastAsia" w:hAnsi="仿宋_GB2312" w:cs="仿宋_GB2312"/>
          <w:bCs/>
          <w:color w:val="auto"/>
          <w:sz w:val="32"/>
          <w:szCs w:val="32"/>
          <w:lang w:eastAsia="zh-CN"/>
        </w:rPr>
        <w:t>负责拟定法制宣传教育计划，组织实施普法宣传工作，指导全县各行业的法治宣传和依法治理工作。</w:t>
      </w:r>
    </w:p>
    <w:p w14:paraId="6FFF8EF4">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6、</w:t>
      </w:r>
      <w:r>
        <w:rPr>
          <w:rFonts w:hint="eastAsia" w:hAnsi="仿宋_GB2312" w:cs="仿宋_GB2312"/>
          <w:bCs/>
          <w:color w:val="auto"/>
          <w:sz w:val="32"/>
          <w:szCs w:val="32"/>
          <w:lang w:eastAsia="zh-CN"/>
        </w:rPr>
        <w:t>负责拟定全县公共法律服务体系建设规划并指导实施。</w:t>
      </w:r>
    </w:p>
    <w:p w14:paraId="14ABFFF8">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7、</w:t>
      </w:r>
      <w:r>
        <w:rPr>
          <w:rFonts w:hint="eastAsia" w:hAnsi="仿宋_GB2312" w:cs="仿宋_GB2312"/>
          <w:bCs/>
          <w:color w:val="auto"/>
          <w:sz w:val="32"/>
          <w:szCs w:val="32"/>
          <w:lang w:eastAsia="zh-CN"/>
        </w:rPr>
        <w:t>指导、监督基层司法所建设和人民调解、基层法律服务管理工作。</w:t>
      </w:r>
    </w:p>
    <w:p w14:paraId="2D84CF84">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8、</w:t>
      </w:r>
      <w:r>
        <w:rPr>
          <w:rFonts w:hint="eastAsia" w:hAnsi="仿宋_GB2312" w:cs="仿宋_GB2312"/>
          <w:bCs/>
          <w:color w:val="auto"/>
          <w:sz w:val="32"/>
          <w:szCs w:val="32"/>
          <w:lang w:eastAsia="zh-CN"/>
        </w:rPr>
        <w:t>指导管理社区矫正工作，指导刑满释放人员帮教安置工作。</w:t>
      </w:r>
    </w:p>
    <w:p w14:paraId="7C32A2D0">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9、</w:t>
      </w:r>
      <w:r>
        <w:rPr>
          <w:rFonts w:hint="eastAsia" w:hAnsi="仿宋_GB2312" w:cs="仿宋_GB2312"/>
          <w:bCs/>
          <w:color w:val="auto"/>
          <w:sz w:val="32"/>
          <w:szCs w:val="32"/>
          <w:lang w:eastAsia="zh-CN"/>
        </w:rPr>
        <w:t>协助上级主管部门开展国家司法考试、司法鉴定工作。</w:t>
      </w:r>
    </w:p>
    <w:p w14:paraId="0BD39CFE">
      <w:pPr>
        <w:pStyle w:val="6"/>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10、</w:t>
      </w:r>
      <w:r>
        <w:rPr>
          <w:rFonts w:hint="eastAsia" w:hAnsi="仿宋_GB2312" w:cs="仿宋_GB2312"/>
          <w:bCs/>
          <w:color w:val="auto"/>
          <w:sz w:val="32"/>
          <w:szCs w:val="32"/>
        </w:rPr>
        <w:t>指导管理全县司法行政系统的计划、财务、车辆、服装等物资装备工作。</w:t>
      </w:r>
    </w:p>
    <w:p w14:paraId="2B0F7A9F">
      <w:pPr>
        <w:pStyle w:val="6"/>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11、</w:t>
      </w:r>
      <w:r>
        <w:rPr>
          <w:rFonts w:hint="eastAsia" w:hAnsi="仿宋_GB2312" w:cs="仿宋_GB2312"/>
          <w:bCs/>
          <w:color w:val="auto"/>
          <w:sz w:val="32"/>
          <w:szCs w:val="32"/>
        </w:rPr>
        <w:t>指导、监督全县司法行政系统队伍建设和思想政治工作，负责本系统人事警务和干警培训工作。</w:t>
      </w:r>
    </w:p>
    <w:p w14:paraId="4A29212D">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12、</w:t>
      </w:r>
      <w:r>
        <w:rPr>
          <w:rFonts w:hint="eastAsia" w:ascii="仿宋_GB2312" w:hAnsi="仿宋_GB2312" w:eastAsia="仿宋_GB2312" w:cs="仿宋_GB2312"/>
          <w:bCs/>
          <w:color w:val="auto"/>
          <w:sz w:val="32"/>
          <w:szCs w:val="32"/>
          <w:lang w:eastAsia="zh-CN"/>
        </w:rPr>
        <w:t>完成县委、县政府交办的其他任务。</w:t>
      </w:r>
    </w:p>
    <w:bookmarkEnd w:id="24"/>
    <w:bookmarkEnd w:id="25"/>
    <w:p w14:paraId="329A871A">
      <w:pPr>
        <w:pStyle w:val="6"/>
        <w:adjustRightInd w:val="0"/>
        <w:snapToGrid w:val="0"/>
        <w:spacing w:before="93" w:line="600" w:lineRule="exact"/>
        <w:ind w:firstLine="320" w:firstLineChars="100"/>
        <w:outlineLvl w:val="2"/>
        <w:rPr>
          <w:rFonts w:hint="eastAsia" w:ascii="仿宋" w:hAnsi="仿宋" w:eastAsia="仿宋"/>
          <w:bCs/>
          <w:color w:val="000000"/>
          <w:sz w:val="32"/>
          <w:szCs w:val="32"/>
        </w:rPr>
      </w:pPr>
      <w:bookmarkStart w:id="26" w:name="_Toc29668"/>
      <w:bookmarkStart w:id="27" w:name="_Toc79163854"/>
      <w:bookmarkStart w:id="28" w:name="_Toc79163604"/>
      <w:bookmarkStart w:id="29" w:name="_Toc15377199"/>
      <w:bookmarkStart w:id="30" w:name="_Toc15378446"/>
      <w:bookmarkStart w:id="31" w:name="_Toc3647"/>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年重点工作完成情况。</w:t>
      </w:r>
      <w:bookmarkEnd w:id="26"/>
      <w:bookmarkEnd w:id="27"/>
      <w:bookmarkEnd w:id="28"/>
      <w:bookmarkEnd w:id="29"/>
      <w:bookmarkEnd w:id="30"/>
      <w:bookmarkEnd w:id="31"/>
    </w:p>
    <w:p w14:paraId="4A90759A">
      <w:pPr>
        <w:keepNext w:val="0"/>
        <w:keepLines w:val="0"/>
        <w:pageBreakBefore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（一）坚持政治引领，党的建设持续加强</w:t>
      </w:r>
    </w:p>
    <w:p w14:paraId="4F0BE627">
      <w:pPr>
        <w:keepNext w:val="0"/>
        <w:keepLines w:val="0"/>
        <w:pageBreakBefore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为</w:t>
      </w:r>
      <w:r>
        <w:rPr>
          <w:rFonts w:hint="default" w:ascii="Times New Roman" w:hAnsi="Times New Roman" w:eastAsia="方正仿宋_GBK" w:cs="Times New Roman"/>
          <w:sz w:val="32"/>
          <w:szCs w:val="32"/>
          <w:lang w:val="en-US" w:eastAsia="zh-CN"/>
        </w:rPr>
        <w:t>认真贯彻落实县委关于党纪学习教育</w:t>
      </w:r>
      <w:r>
        <w:rPr>
          <w:rFonts w:hint="eastAsia" w:ascii="Times New Roman" w:hAnsi="Times New Roman" w:eastAsia="方正仿宋_GBK" w:cs="Times New Roman"/>
          <w:sz w:val="32"/>
          <w:szCs w:val="32"/>
          <w:lang w:val="en-US" w:eastAsia="zh-CN"/>
        </w:rPr>
        <w:t>安排部署</w:t>
      </w:r>
      <w:r>
        <w:rPr>
          <w:rFonts w:hint="default" w:ascii="Times New Roman" w:hAnsi="Times New Roman" w:eastAsia="方正仿宋_GBK" w:cs="Times New Roman"/>
          <w:sz w:val="32"/>
          <w:szCs w:val="32"/>
          <w:lang w:val="en-US" w:eastAsia="zh-CN"/>
        </w:rPr>
        <w:t>，深化党纪学习教育走深走实，我局党组高度重视，认真学习领会各级党纪学习</w:t>
      </w:r>
      <w:r>
        <w:rPr>
          <w:rFonts w:hint="eastAsia" w:ascii="Times New Roman" w:hAnsi="Times New Roman" w:eastAsia="方正仿宋_GBK" w:cs="Times New Roman"/>
          <w:sz w:val="32"/>
          <w:szCs w:val="32"/>
          <w:lang w:val="en-US" w:eastAsia="zh-CN"/>
        </w:rPr>
        <w:t>教育</w:t>
      </w:r>
      <w:r>
        <w:rPr>
          <w:rFonts w:hint="default" w:ascii="Times New Roman" w:hAnsi="Times New Roman" w:eastAsia="方正仿宋_GBK" w:cs="Times New Roman"/>
          <w:sz w:val="32"/>
          <w:szCs w:val="32"/>
          <w:lang w:val="en-US" w:eastAsia="zh-CN"/>
        </w:rPr>
        <w:t>文件精神，及时召开动员部署会，积极动员干部参与到党纪学习教育中，制定学习计划、学习内容，建立专卷</w:t>
      </w:r>
      <w:r>
        <w:rPr>
          <w:rFonts w:hint="eastAsia" w:ascii="Times New Roman" w:hAnsi="Times New Roman" w:eastAsia="方正仿宋_GBK" w:cs="Times New Roman"/>
          <w:sz w:val="32"/>
          <w:szCs w:val="32"/>
          <w:lang w:val="en-US" w:eastAsia="zh-CN"/>
        </w:rPr>
        <w:t>档案，开展</w:t>
      </w:r>
      <w:r>
        <w:rPr>
          <w:rFonts w:hint="default" w:ascii="Times New Roman" w:hAnsi="Times New Roman" w:eastAsia="方正仿宋_GBK" w:cs="Times New Roman"/>
          <w:sz w:val="32"/>
          <w:szCs w:val="32"/>
          <w:lang w:val="en-US" w:eastAsia="zh-CN"/>
        </w:rPr>
        <w:t>集中学习和自学</w:t>
      </w:r>
      <w:r>
        <w:rPr>
          <w:rFonts w:hint="eastAsia" w:ascii="Times New Roman" w:hAnsi="Times New Roman" w:eastAsia="方正仿宋_GBK" w:cs="Times New Roman"/>
          <w:sz w:val="32"/>
          <w:szCs w:val="32"/>
          <w:lang w:val="en-US" w:eastAsia="zh-CN"/>
        </w:rPr>
        <w:t>学习</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营</w:t>
      </w:r>
      <w:r>
        <w:rPr>
          <w:rFonts w:hint="default" w:ascii="Times New Roman" w:hAnsi="Times New Roman" w:eastAsia="方正仿宋_GBK" w:cs="Times New Roman"/>
          <w:sz w:val="32"/>
          <w:szCs w:val="32"/>
          <w:lang w:val="en-US" w:eastAsia="zh-CN"/>
        </w:rPr>
        <w:t>造浓厚的学习氛围。以党员先锋队为主力深入寺庙、学校、乡镇、社区开展法治宣讲，强化法治意识和法治影响力。严格落实“第一议题”制度，在党组会、理论中心组学习会、支委会和党员大会坚持学习习近平总书记重要讲话、会议、指示精神，坚持将学习理论知识贯穿党建工作的始终</w:t>
      </w:r>
      <w:r>
        <w:rPr>
          <w:rFonts w:hint="eastAsia" w:ascii="Times New Roman" w:hAnsi="Times New Roman" w:eastAsia="方正仿宋_GBK" w:cs="Times New Roman"/>
          <w:sz w:val="32"/>
          <w:szCs w:val="32"/>
          <w:lang w:val="en-US" w:eastAsia="zh-CN"/>
        </w:rPr>
        <w:t>，认真执行“三重一大”和重大事项请示报告制度</w:t>
      </w:r>
      <w:r>
        <w:rPr>
          <w:rFonts w:hint="default" w:ascii="Times New Roman" w:hAnsi="Times New Roman" w:eastAsia="方正仿宋_GBK" w:cs="Times New Roman"/>
          <w:sz w:val="32"/>
          <w:szCs w:val="32"/>
          <w:lang w:val="en-US" w:eastAsia="zh-CN"/>
        </w:rPr>
        <w:t>。扎实开展清廉司法建设，制发《红原县司法局党风廉政建设工作</w:t>
      </w:r>
      <w:r>
        <w:rPr>
          <w:rFonts w:hint="eastAsia" w:ascii="Times New Roman" w:hAnsi="Times New Roman" w:eastAsia="方正仿宋_GBK" w:cs="Times New Roman"/>
          <w:sz w:val="32"/>
          <w:szCs w:val="32"/>
          <w:lang w:val="en-US" w:eastAsia="zh-CN"/>
        </w:rPr>
        <w:t>计划</w:t>
      </w:r>
      <w:r>
        <w:rPr>
          <w:rFonts w:hint="default" w:ascii="Times New Roman" w:hAnsi="Times New Roman" w:eastAsia="方正仿宋_GBK" w:cs="Times New Roman"/>
          <w:sz w:val="32"/>
          <w:szCs w:val="32"/>
          <w:lang w:val="en-US" w:eastAsia="zh-CN"/>
        </w:rPr>
        <w:t>》《红原县司法局</w:t>
      </w:r>
      <w:r>
        <w:rPr>
          <w:rFonts w:hint="eastAsia" w:ascii="Times New Roman" w:hAnsi="Times New Roman" w:eastAsia="方正仿宋_GBK" w:cs="Times New Roman"/>
          <w:sz w:val="32"/>
          <w:szCs w:val="32"/>
          <w:lang w:val="en-US" w:eastAsia="zh-CN"/>
        </w:rPr>
        <w:t>廉政</w:t>
      </w:r>
      <w:r>
        <w:rPr>
          <w:rFonts w:hint="default" w:ascii="Times New Roman" w:hAnsi="Times New Roman" w:eastAsia="方正仿宋_GBK" w:cs="Times New Roman"/>
          <w:sz w:val="32"/>
          <w:szCs w:val="32"/>
          <w:lang w:val="en-US" w:eastAsia="zh-CN"/>
        </w:rPr>
        <w:t>风险防控清单》，围绕</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项重点工作，系统梳理</w:t>
      </w:r>
      <w:r>
        <w:rPr>
          <w:rFonts w:hint="eastAsia"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lang w:val="en-US" w:eastAsia="zh-CN"/>
        </w:rPr>
        <w:t>个廉政风险点，强化岗位风险防控。</w:t>
      </w:r>
    </w:p>
    <w:p w14:paraId="743600B1">
      <w:pPr>
        <w:keepNext w:val="0"/>
        <w:keepLines w:val="0"/>
        <w:pageBreakBefore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（二）坚持全面依法治县，法治保障作用有力凸显</w:t>
      </w:r>
    </w:p>
    <w:p w14:paraId="54D4F586">
      <w:pPr>
        <w:keepNext w:val="0"/>
        <w:keepLines w:val="0"/>
        <w:pageBreakBefore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持续深入推广全省“1+8示范试点”成果，继续大力开展“法治账图”推广运用，截止目前，全县法律法规授权具有公共事务管理职能的单位和乡镇已完成“法治账图”的制作和运用，共制作法治台账导图汇集47本，科室岗位法治台账763本，绘制法治导图1756张，完成率100％，账图实体化、工作规范化、运行制度化取得实效。</w:t>
      </w:r>
    </w:p>
    <w:p w14:paraId="45770BA7">
      <w:pPr>
        <w:keepNext w:val="0"/>
        <w:keepLines w:val="0"/>
        <w:pageBreakBefore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（三）坚持高位推动，法治政府建设更加有力</w:t>
      </w:r>
    </w:p>
    <w:p w14:paraId="2B22FE14">
      <w:pPr>
        <w:keepNext w:val="0"/>
        <w:keepLines w:val="0"/>
        <w:pageBreakBefore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全面贯彻落实省、州有关法治政府建设各项决策部署，拟定印发了《红原县法律顾问管理办法》《红原县提升行政执法质量三年行动计划实施方案（2023-2025年），</w:t>
      </w:r>
      <w:r>
        <w:rPr>
          <w:rFonts w:hint="eastAsia" w:ascii="Times New Roman" w:hAnsi="Times New Roman" w:eastAsia="方正仿宋_GBK" w:cs="Times New Roman"/>
          <w:sz w:val="32"/>
          <w:szCs w:val="32"/>
          <w:lang w:val="en-US" w:eastAsia="zh-CN"/>
        </w:rPr>
        <w:t>一</w:t>
      </w:r>
      <w:r>
        <w:rPr>
          <w:rFonts w:hint="default" w:ascii="Times New Roman" w:hAnsi="Times New Roman" w:eastAsia="方正仿宋_GBK" w:cs="Times New Roman"/>
          <w:sz w:val="32"/>
          <w:szCs w:val="32"/>
          <w:lang w:val="en-US" w:eastAsia="zh-CN"/>
        </w:rPr>
        <w:t>是完善制度体系，依法推进管理科学化。</w:t>
      </w: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lang w:val="en-US" w:eastAsia="zh-CN"/>
        </w:rPr>
        <w:t>是抓实行政执法，不断提升政府公信力。抓实执法能力提升，举办“红原县2024年度行政执法暨行政复议与应诉业务培训班”，全县80余人参加培训。抓实行政执法监督，持续开展人民群众最不满意行政执法突出问题承诺整改行动，开展重点执法领域执法监督，评查执法案卷73卷。抓实法规落实见效，梳理法律法规，制定印发《红原县城乡环境综合治理“法七条”》《红原县控辍保学法律法规六条》《高寒泥炭保护相关法律法规》。</w:t>
      </w:r>
    </w:p>
    <w:p w14:paraId="0EC8CDBC">
      <w:pPr>
        <w:keepNext w:val="0"/>
        <w:keepLines w:val="0"/>
        <w:pageBreakBefore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简体" w:cs="Times New Roman"/>
          <w:b/>
          <w:bCs/>
          <w:sz w:val="32"/>
          <w:szCs w:val="32"/>
          <w:lang w:val="en-US" w:eastAsia="zh-CN"/>
        </w:rPr>
        <w:t>（四）坚持深化法治宣传，主责主业更加务实</w:t>
      </w:r>
    </w:p>
    <w:p w14:paraId="4420F47B">
      <w:pPr>
        <w:keepNext w:val="0"/>
        <w:keepLines w:val="0"/>
        <w:pageBreakBefore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b/>
          <w:bCs/>
          <w:sz w:val="32"/>
          <w:szCs w:val="32"/>
          <w:lang w:val="en-US" w:eastAsia="zh-CN"/>
        </w:rPr>
        <w:t>1.精心部署，提升“法律七进”实效。</w:t>
      </w:r>
      <w:r>
        <w:rPr>
          <w:rFonts w:hint="eastAsia" w:ascii="Times New Roman" w:hAnsi="Times New Roman" w:eastAsia="方正仿宋_GBK" w:cs="Times New Roman"/>
          <w:sz w:val="32"/>
          <w:szCs w:val="32"/>
          <w:lang w:val="en-US" w:eastAsia="zh-CN"/>
        </w:rPr>
        <w:t>一是我县重视法治宣传教育，将“法律七进”纳入年度重点工作，成立“红原县法治宣传工作领导小组”，成员包括县级领导和相关部门负责人，明确责任领导与单位，强化组织和指导。二是落实“谁执法、谁普法”机制，细化相关实施意见、工作方案、工作要点、活动通知等文件，明确责任单位与目标，还下发国家工作人员学法考法通知。三是狠抓普法队伍建设，组织政法宣讲团、法律明白人开展宣讲，充实宣讲团和乡镇法治宣传队，推动法治宣传教育有序开展。</w:t>
      </w:r>
    </w:p>
    <w:p w14:paraId="42D2A4AA">
      <w:pPr>
        <w:keepNext w:val="0"/>
        <w:keepLines w:val="0"/>
        <w:pageBreakBefore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b/>
          <w:bCs/>
          <w:sz w:val="32"/>
          <w:szCs w:val="32"/>
          <w:lang w:val="en-US" w:eastAsia="zh-CN"/>
        </w:rPr>
        <w:t>2.深化习近平法治思想学习宣传。</w:t>
      </w:r>
      <w:r>
        <w:rPr>
          <w:rFonts w:hint="eastAsia" w:ascii="Times New Roman" w:hAnsi="Times New Roman" w:eastAsia="方正仿宋_GBK" w:cs="Times New Roman"/>
          <w:sz w:val="32"/>
          <w:szCs w:val="32"/>
          <w:lang w:val="en-US" w:eastAsia="zh-CN"/>
        </w:rPr>
        <w:t>一是推动习近平法治思想学习宣传深入开展，将其作为全民普法首要政治任务，纳入党委（党组）中心组学习、政府常务会学法、国家工作人员学法考法内容及领导干部教育培训重点课程，开展全战线、全覆盖培训轮训。二是加强国家工作人员网络学法考法，优化在线平台，丰富课程，督促学习进度，全县参与率和合格率达 100%。三是推动习近平法治思想大众化传播，利用各类普法阵地和各行业领域宣讲团开展巡回宣讲，加强对外宣传。</w:t>
      </w:r>
    </w:p>
    <w:p w14:paraId="53D6F0DC">
      <w:pPr>
        <w:keepNext w:val="0"/>
        <w:keepLines w:val="0"/>
        <w:pageBreakBefore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b/>
          <w:bCs/>
          <w:sz w:val="32"/>
          <w:szCs w:val="32"/>
          <w:lang w:val="en-US" w:eastAsia="zh-CN"/>
        </w:rPr>
        <w:t>3.持续提升公民法治素养。</w:t>
      </w:r>
      <w:r>
        <w:rPr>
          <w:rFonts w:hint="eastAsia" w:ascii="Times New Roman" w:hAnsi="Times New Roman" w:eastAsia="方正仿宋_GBK" w:cs="Times New Roman"/>
          <w:sz w:val="32"/>
          <w:szCs w:val="32"/>
          <w:lang w:val="en-US" w:eastAsia="zh-CN"/>
        </w:rPr>
        <w:t>开展“法治四川行”一月一主题活动，按方案联合相关部门，开展“开学第一课”等，开展优化法治化营商环境专项普法，送法进企业4场，将普法融入涉企服务。</w:t>
      </w:r>
    </w:p>
    <w:p w14:paraId="1FE56C1F">
      <w:pPr>
        <w:keepNext w:val="0"/>
        <w:keepLines w:val="0"/>
        <w:pageBreakBefore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b/>
          <w:bCs/>
          <w:sz w:val="32"/>
          <w:szCs w:val="32"/>
          <w:lang w:val="en-US" w:eastAsia="zh-CN"/>
        </w:rPr>
        <w:t>4.实施法治文化浸润工程。</w:t>
      </w:r>
      <w:r>
        <w:rPr>
          <w:rFonts w:hint="eastAsia" w:ascii="Times New Roman" w:hAnsi="Times New Roman" w:eastAsia="方正仿宋_GBK" w:cs="Times New Roman"/>
          <w:sz w:val="32"/>
          <w:szCs w:val="32"/>
          <w:lang w:val="en-US" w:eastAsia="zh-CN"/>
        </w:rPr>
        <w:t>加强阵地建设，推进分类建设和管理使用，建设寺庙、乡镇、广场等地法治宣传栏、广场，组织中小学生体验式普法，更换10座寺庙法治宣传栏。</w:t>
      </w:r>
    </w:p>
    <w:p w14:paraId="749F309E">
      <w:pPr>
        <w:keepNext w:val="0"/>
        <w:keepLines w:val="0"/>
        <w:pageBreakBefore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b/>
          <w:bCs/>
          <w:sz w:val="32"/>
          <w:szCs w:val="32"/>
          <w:lang w:val="en-US" w:eastAsia="zh-CN"/>
        </w:rPr>
        <w:t>5.实施基层依法治理强基工程。</w:t>
      </w:r>
      <w:r>
        <w:rPr>
          <w:rFonts w:hint="eastAsia" w:ascii="Times New Roman" w:hAnsi="Times New Roman" w:eastAsia="方正仿宋_GBK" w:cs="Times New Roman"/>
          <w:sz w:val="32"/>
          <w:szCs w:val="32"/>
          <w:lang w:val="en-US" w:eastAsia="zh-CN"/>
        </w:rPr>
        <w:t>优化基层法治创建，以创建“全国守法普法示范县”为抓手，提升“民主法治示范村（社区）”质量。</w:t>
      </w:r>
    </w:p>
    <w:p w14:paraId="09A35D0A">
      <w:pPr>
        <w:keepNext w:val="0"/>
        <w:keepLines w:val="0"/>
        <w:pageBreakBefore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简体" w:cs="Times New Roman"/>
          <w:b/>
          <w:bCs/>
          <w:sz w:val="32"/>
          <w:szCs w:val="32"/>
          <w:lang w:val="en-US" w:eastAsia="zh-CN"/>
        </w:rPr>
        <w:t>（五）坚持风险防范，维护社会稳定责任不断夯实</w:t>
      </w:r>
    </w:p>
    <w:p w14:paraId="4F44C081">
      <w:pPr>
        <w:keepNext w:val="0"/>
        <w:keepLines w:val="0"/>
        <w:pageBreakBefore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推动基层矛盾纠纷多元化解，各乡镇人民调解委员会配备</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名以上调解员，村（社区）人民调解委员会配备3名调解员。扎实推动“三调”联动成效转化，持续推进行政调解与人民调解、司法调解相互衔接、协调联动，共排查化解矛盾纠纷</w:t>
      </w:r>
      <w:r>
        <w:rPr>
          <w:rFonts w:hint="eastAsia" w:ascii="Times New Roman" w:hAnsi="Times New Roman" w:eastAsia="方正仿宋_GBK" w:cs="Times New Roman"/>
          <w:sz w:val="32"/>
          <w:szCs w:val="32"/>
          <w:lang w:val="en-US" w:eastAsia="zh-CN"/>
        </w:rPr>
        <w:t>61</w:t>
      </w:r>
      <w:r>
        <w:rPr>
          <w:rFonts w:hint="default" w:ascii="Times New Roman" w:hAnsi="Times New Roman" w:eastAsia="方正仿宋_GBK" w:cs="Times New Roman"/>
          <w:sz w:val="32"/>
          <w:szCs w:val="32"/>
          <w:lang w:val="en-US" w:eastAsia="zh-CN"/>
        </w:rPr>
        <w:t>件，调解成功</w:t>
      </w:r>
      <w:r>
        <w:rPr>
          <w:rFonts w:hint="eastAsia" w:ascii="Times New Roman" w:hAnsi="Times New Roman" w:eastAsia="方正仿宋_GBK" w:cs="Times New Roman"/>
          <w:sz w:val="32"/>
          <w:szCs w:val="32"/>
          <w:lang w:val="en-US" w:eastAsia="zh-CN"/>
        </w:rPr>
        <w:t>61</w:t>
      </w:r>
      <w:r>
        <w:rPr>
          <w:rFonts w:hint="default" w:ascii="Times New Roman" w:hAnsi="Times New Roman" w:eastAsia="方正仿宋_GBK" w:cs="Times New Roman"/>
          <w:sz w:val="32"/>
          <w:szCs w:val="32"/>
          <w:lang w:val="en-US" w:eastAsia="zh-CN"/>
        </w:rPr>
        <w:t>件，成功率达</w:t>
      </w:r>
      <w:r>
        <w:rPr>
          <w:rFonts w:hint="eastAsia" w:ascii="Times New Roman" w:hAnsi="Times New Roman" w:eastAsia="方正仿宋_GBK" w:cs="Times New Roman"/>
          <w:sz w:val="32"/>
          <w:szCs w:val="32"/>
          <w:lang w:val="en-US" w:eastAsia="zh-CN"/>
        </w:rPr>
        <w:t>98</w:t>
      </w:r>
      <w:r>
        <w:rPr>
          <w:rFonts w:hint="default" w:ascii="Times New Roman" w:hAnsi="Times New Roman" w:eastAsia="方正仿宋_GBK" w:cs="Times New Roman"/>
          <w:sz w:val="32"/>
          <w:szCs w:val="32"/>
          <w:lang w:val="en-US" w:eastAsia="zh-CN"/>
        </w:rPr>
        <w:t xml:space="preserve">%。落实对社区矫正对象、刑满释放人员等重点群体的动态管理和帮扶帮教措施，严格社区矫正对象每月实地查访、外出审批，通过入矫宣告、法治教育、入矫测试、心理测评等“组合拳”，扎实社区社区矫正入矫初期教育。严格落实重点人员“一人一档一方案”工作措施，加强20名重点帮教对象的教育引导和困难救助，发挥亲情帮教作用，我县矫正对象23名，安置帮教对象213名未出现脱管、漏管、失联人员。  </w:t>
      </w:r>
    </w:p>
    <w:p w14:paraId="40AAD6A1">
      <w:pPr>
        <w:keepNext w:val="0"/>
        <w:keepLines w:val="0"/>
        <w:pageBreakBefore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（六）坚持完善公共法律服务机制，提升服务能力</w:t>
      </w:r>
    </w:p>
    <w:p w14:paraId="208F65FB">
      <w:pPr>
        <w:pStyle w:val="6"/>
        <w:keepNext w:val="0"/>
        <w:keepLines w:val="0"/>
        <w:pageBreakBefore w:val="0"/>
        <w:widowControl/>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Cs/>
          <w:sz w:val="32"/>
          <w:szCs w:val="32"/>
        </w:rPr>
        <w:t>依托“一村居法律顾问” 项目，逐步探索建立“1名村（居）法律顾问+N名法律明白人”工作机制。一是整合公法中心5名具有法律职业资格证书的工作人员与3</w:t>
      </w:r>
      <w:r>
        <w:rPr>
          <w:rFonts w:hint="default" w:ascii="Times New Roman" w:hAnsi="Times New Roman" w:eastAsia="方正仿宋_GBK" w:cs="Times New Roman"/>
          <w:color w:val="000000"/>
          <w:sz w:val="32"/>
          <w:szCs w:val="32"/>
        </w:rPr>
        <w:t>5个村、社区签订免费常年法律顾问合同，担任法律顾问，并将指导、培训“法律明白人”参与法治实践纳入“村（居）法律顾问”职责范围进行了安排。</w:t>
      </w:r>
      <w:r>
        <w:rPr>
          <w:rFonts w:hint="default" w:ascii="Times New Roman" w:hAnsi="Times New Roman" w:eastAsia="方正仿宋_GBK" w:cs="Times New Roman"/>
          <w:bCs/>
          <w:sz w:val="32"/>
          <w:szCs w:val="32"/>
        </w:rPr>
        <w:t>二是借助“一村居法律顾问”项目，将法律援助纳入村居法律顾问律师日常工作内容，在处理村委事务、解决村民纠纷等事务过程中向村民普及法律知识，发现有法律需求时，指导其申请法律援助、咨询、代书等法律服务。</w:t>
      </w:r>
      <w:r>
        <w:rPr>
          <w:rFonts w:hint="default" w:ascii="Times New Roman" w:hAnsi="Times New Roman" w:eastAsia="方正仿宋_GBK" w:cs="Times New Roman"/>
          <w:sz w:val="32"/>
          <w:szCs w:val="32"/>
        </w:rPr>
        <w:t>进一步加大了对老年人、未成年人、妇女、残疾人、农民工、现役军人、退役军人及其优抚对象等群体的法律援助力度，依法有序扩大法律援助范围，截至目前，共受理城乡困难群体提供法律援助</w:t>
      </w:r>
      <w:r>
        <w:rPr>
          <w:rFonts w:hint="eastAsia" w:ascii="Times New Roman" w:hAnsi="Times New Roman" w:cs="Times New Roman"/>
          <w:sz w:val="32"/>
          <w:szCs w:val="32"/>
          <w:lang w:val="en-US" w:eastAsia="zh-CN"/>
        </w:rPr>
        <w:t>41</w:t>
      </w:r>
      <w:r>
        <w:rPr>
          <w:rFonts w:hint="default" w:ascii="Times New Roman" w:hAnsi="Times New Roman" w:eastAsia="方正仿宋_GBK" w:cs="Times New Roman"/>
          <w:sz w:val="32"/>
          <w:szCs w:val="32"/>
        </w:rPr>
        <w:t>件，切实做到应援尽援，应援优援，确保法律援助率达100%。解答法律咨询</w:t>
      </w:r>
      <w:r>
        <w:rPr>
          <w:rFonts w:hint="eastAsia" w:ascii="Times New Roman" w:hAnsi="Times New Roman" w:eastAsia="方正仿宋_GBK" w:cs="Times New Roman"/>
          <w:sz w:val="32"/>
          <w:szCs w:val="32"/>
          <w:lang w:val="en-US" w:eastAsia="zh-CN"/>
        </w:rPr>
        <w:t>337</w:t>
      </w:r>
      <w:r>
        <w:rPr>
          <w:rFonts w:hint="default" w:ascii="Times New Roman" w:hAnsi="Times New Roman" w:eastAsia="方正仿宋_GBK" w:cs="Times New Roman"/>
          <w:sz w:val="32"/>
          <w:szCs w:val="32"/>
        </w:rPr>
        <w:t>件，代书法律文书66件，提供法律帮助35件。</w:t>
      </w:r>
    </w:p>
    <w:p w14:paraId="39A9F59F">
      <w:pPr>
        <w:pStyle w:val="2"/>
        <w:rPr>
          <w:rFonts w:hint="eastAsia"/>
        </w:rPr>
      </w:pPr>
    </w:p>
    <w:p w14:paraId="48605FE2">
      <w:pPr>
        <w:pStyle w:val="5"/>
        <w:numPr>
          <w:ilvl w:val="0"/>
          <w:numId w:val="1"/>
        </w:numPr>
        <w:rPr>
          <w:rStyle w:val="20"/>
          <w:rFonts w:hint="eastAsia" w:ascii="黑体" w:hAnsi="黑体" w:eastAsia="黑体"/>
          <w:b w:val="0"/>
          <w:bCs w:val="0"/>
        </w:rPr>
      </w:pPr>
      <w:bookmarkStart w:id="32" w:name="_Toc5471"/>
      <w:bookmarkStart w:id="33" w:name="_Toc17"/>
      <w:bookmarkStart w:id="34" w:name="_Toc15396601"/>
      <w:bookmarkStart w:id="35" w:name="_Toc79163855"/>
      <w:bookmarkStart w:id="36" w:name="_Toc15377200"/>
      <w:bookmarkStart w:id="37" w:name="_Toc79163605"/>
      <w:r>
        <w:rPr>
          <w:rFonts w:hint="eastAsia" w:ascii="黑体" w:hAnsi="黑体" w:eastAsia="黑体"/>
          <w:b w:val="0"/>
          <w:color w:val="000000"/>
        </w:rPr>
        <w:t>机</w:t>
      </w:r>
      <w:r>
        <w:rPr>
          <w:rStyle w:val="20"/>
          <w:rFonts w:hint="eastAsia" w:ascii="黑体" w:hAnsi="黑体" w:eastAsia="黑体"/>
          <w:b w:val="0"/>
          <w:bCs w:val="0"/>
        </w:rPr>
        <w:t>构设置</w:t>
      </w:r>
      <w:bookmarkEnd w:id="32"/>
      <w:bookmarkEnd w:id="33"/>
      <w:bookmarkEnd w:id="34"/>
      <w:bookmarkEnd w:id="35"/>
      <w:bookmarkEnd w:id="36"/>
      <w:bookmarkEnd w:id="37"/>
    </w:p>
    <w:p w14:paraId="46B8A67F">
      <w:pPr>
        <w:spacing w:line="560" w:lineRule="exact"/>
        <w:ind w:firstLine="640"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Cs/>
          <w:color w:val="auto"/>
          <w:sz w:val="32"/>
          <w:szCs w:val="32"/>
        </w:rPr>
        <w:t>我单位为独立核算全额拨款行政单位，下设</w:t>
      </w:r>
      <w:r>
        <w:rPr>
          <w:rFonts w:hint="eastAsia" w:ascii="仿宋_GB2312" w:hAnsi="仿宋_GB2312" w:eastAsia="仿宋_GB2312" w:cs="仿宋_GB2312"/>
          <w:bCs/>
          <w:color w:val="auto"/>
          <w:sz w:val="32"/>
          <w:szCs w:val="32"/>
          <w:lang w:val="en-US" w:eastAsia="zh-CN"/>
        </w:rPr>
        <w:t>9</w:t>
      </w:r>
      <w:r>
        <w:rPr>
          <w:rFonts w:hint="eastAsia" w:ascii="仿宋_GB2312" w:hAnsi="仿宋_GB2312" w:eastAsia="仿宋_GB2312" w:cs="仿宋_GB2312"/>
          <w:bCs/>
          <w:color w:val="auto"/>
          <w:sz w:val="32"/>
          <w:szCs w:val="32"/>
        </w:rPr>
        <w:t>个机构：办公室、</w:t>
      </w:r>
      <w:r>
        <w:rPr>
          <w:rFonts w:hint="eastAsia" w:ascii="仿宋_GB2312" w:hAnsi="仿宋_GB2312" w:eastAsia="仿宋_GB2312" w:cs="仿宋_GB2312"/>
          <w:bCs/>
          <w:color w:val="auto"/>
          <w:sz w:val="32"/>
          <w:szCs w:val="32"/>
          <w:lang w:eastAsia="zh-CN"/>
        </w:rPr>
        <w:t>法制股、</w:t>
      </w:r>
      <w:r>
        <w:rPr>
          <w:rFonts w:hint="eastAsia" w:ascii="仿宋_GB2312" w:hAnsi="仿宋_GB2312" w:eastAsia="仿宋_GB2312" w:cs="仿宋_GB2312"/>
          <w:bCs/>
          <w:color w:val="auto"/>
          <w:sz w:val="32"/>
          <w:szCs w:val="32"/>
        </w:rPr>
        <w:t>基层工作股、法治宣传</w:t>
      </w:r>
      <w:r>
        <w:rPr>
          <w:rFonts w:hint="eastAsia" w:ascii="仿宋_GB2312" w:hAnsi="仿宋_GB2312" w:eastAsia="仿宋_GB2312" w:cs="仿宋_GB2312"/>
          <w:bCs/>
          <w:color w:val="auto"/>
          <w:sz w:val="32"/>
          <w:szCs w:val="32"/>
          <w:lang w:eastAsia="zh-CN"/>
        </w:rPr>
        <w:t>教育</w:t>
      </w:r>
      <w:r>
        <w:rPr>
          <w:rFonts w:hint="eastAsia" w:ascii="仿宋_GB2312" w:hAnsi="仿宋_GB2312" w:eastAsia="仿宋_GB2312" w:cs="仿宋_GB2312"/>
          <w:bCs/>
          <w:color w:val="auto"/>
          <w:sz w:val="32"/>
          <w:szCs w:val="32"/>
        </w:rPr>
        <w:t>股、</w:t>
      </w:r>
      <w:r>
        <w:rPr>
          <w:rFonts w:hint="eastAsia" w:ascii="仿宋_GB2312" w:hAnsi="仿宋_GB2312" w:eastAsia="仿宋_GB2312" w:cs="仿宋_GB2312"/>
          <w:bCs/>
          <w:color w:val="auto"/>
          <w:sz w:val="32"/>
          <w:szCs w:val="32"/>
          <w:lang w:eastAsia="zh-CN"/>
        </w:rPr>
        <w:t>装备财务保障股、公共法律服务管理股、政工室、社区矫正执法大队、行政复议与应诉股</w:t>
      </w:r>
      <w:r>
        <w:rPr>
          <w:rFonts w:hint="eastAsia" w:ascii="仿宋_GB2312" w:hAnsi="仿宋_GB2312" w:eastAsia="仿宋_GB2312" w:cs="仿宋_GB2312"/>
          <w:bCs/>
          <w:color w:val="auto"/>
          <w:sz w:val="32"/>
          <w:szCs w:val="32"/>
        </w:rPr>
        <w:t>。</w:t>
      </w:r>
    </w:p>
    <w:p w14:paraId="34565008">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截止20</w:t>
      </w:r>
      <w:r>
        <w:rPr>
          <w:rFonts w:hint="eastAsia" w:ascii="仿宋_GB2312" w:hAnsi="仿宋_GB2312" w:eastAsia="仿宋_GB2312" w:cs="仿宋_GB2312"/>
          <w:bCs/>
          <w:color w:val="auto"/>
          <w:sz w:val="32"/>
          <w:szCs w:val="32"/>
          <w:lang w:val="en-US" w:eastAsia="zh-CN"/>
        </w:rPr>
        <w:t>24</w:t>
      </w:r>
      <w:r>
        <w:rPr>
          <w:rFonts w:hint="eastAsia" w:ascii="仿宋_GB2312" w:hAnsi="仿宋_GB2312" w:eastAsia="仿宋_GB2312" w:cs="仿宋_GB2312"/>
          <w:bCs/>
          <w:color w:val="auto"/>
          <w:sz w:val="32"/>
          <w:szCs w:val="32"/>
        </w:rPr>
        <w:t>年底我单位共有编制35个，其中公务员编制28个，行政工勤编制2个，事业编制5个，在职</w:t>
      </w:r>
      <w:r>
        <w:rPr>
          <w:rFonts w:hint="eastAsia" w:ascii="仿宋_GB2312" w:hAnsi="仿宋_GB2312" w:eastAsia="仿宋_GB2312" w:cs="仿宋_GB2312"/>
          <w:bCs/>
          <w:color w:val="auto"/>
          <w:sz w:val="32"/>
          <w:szCs w:val="32"/>
          <w:lang w:val="en-US" w:eastAsia="zh-CN"/>
        </w:rPr>
        <w:t>33</w:t>
      </w:r>
      <w:r>
        <w:rPr>
          <w:rFonts w:hint="eastAsia" w:ascii="仿宋_GB2312" w:hAnsi="仿宋_GB2312" w:eastAsia="仿宋_GB2312" w:cs="仿宋_GB2312"/>
          <w:bCs/>
          <w:color w:val="auto"/>
          <w:sz w:val="32"/>
          <w:szCs w:val="32"/>
        </w:rPr>
        <w:t>人，其中参公0人，公务员2</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人，事业</w:t>
      </w: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val="en-US" w:eastAsia="zh-CN"/>
        </w:rPr>
        <w:t>,行政工勤2人</w:t>
      </w:r>
      <w:r>
        <w:rPr>
          <w:rFonts w:hint="eastAsia" w:ascii="仿宋_GB2312" w:hAnsi="仿宋_GB2312" w:eastAsia="仿宋_GB2312" w:cs="仿宋_GB2312"/>
          <w:bCs/>
          <w:color w:val="auto"/>
          <w:sz w:val="32"/>
          <w:szCs w:val="32"/>
        </w:rPr>
        <w:t>。</w:t>
      </w:r>
    </w:p>
    <w:p w14:paraId="50F042AE">
      <w:pPr>
        <w:ind w:firstLine="640" w:firstLineChars="200"/>
        <w:rPr>
          <w:rFonts w:hint="eastAsia" w:ascii="仿宋" w:hAnsi="仿宋" w:eastAsia="仿宋"/>
          <w:sz w:val="32"/>
          <w:szCs w:val="32"/>
        </w:rPr>
      </w:pPr>
      <w:r>
        <w:rPr>
          <w:rFonts w:hint="eastAsia" w:ascii="仿宋" w:hAnsi="仿宋" w:eastAsia="仿宋"/>
          <w:sz w:val="32"/>
          <w:szCs w:val="32"/>
          <w:lang w:eastAsia="zh-CN"/>
        </w:rPr>
        <w:t>红原县司法局</w:t>
      </w:r>
      <w:r>
        <w:rPr>
          <w:rFonts w:hint="eastAsia" w:ascii="仿宋" w:hAnsi="仿宋" w:eastAsia="仿宋"/>
          <w:sz w:val="32"/>
          <w:szCs w:val="32"/>
        </w:rPr>
        <w:t>下属二级单位</w:t>
      </w:r>
      <w:r>
        <w:rPr>
          <w:rFonts w:hint="eastAsia" w:ascii="仿宋" w:hAnsi="仿宋" w:eastAsia="仿宋"/>
          <w:sz w:val="32"/>
          <w:szCs w:val="32"/>
          <w:lang w:val="en-US" w:eastAsia="zh-CN"/>
        </w:rPr>
        <w:t>1</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14:paraId="1B70B94D">
      <w:pPr>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我局</w:t>
      </w: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eastAsia="zh-CN"/>
        </w:rPr>
        <w:t>红原县法律援助中心。</w:t>
      </w:r>
    </w:p>
    <w:p w14:paraId="6AA2D8CA">
      <w:pPr>
        <w:pStyle w:val="4"/>
        <w:ind w:right="440"/>
        <w:jc w:val="center"/>
      </w:pPr>
      <w:bookmarkStart w:id="38" w:name="_Toc79163609"/>
      <w:bookmarkStart w:id="39" w:name="_Toc15377204"/>
      <w:bookmarkStart w:id="40" w:name="_Toc15396602"/>
      <w:bookmarkStart w:id="41" w:name="_Toc79163859"/>
      <w:bookmarkStart w:id="42" w:name="_Toc8637"/>
      <w:bookmarkStart w:id="43" w:name="_Toc15863"/>
      <w:r>
        <w:rPr>
          <w:rFonts w:hint="eastAsia" w:ascii="黑体" w:hAnsi="黑体" w:eastAsia="黑体"/>
          <w:b w:val="0"/>
          <w:color w:val="000000"/>
        </w:rPr>
        <w:t>第二部分</w:t>
      </w:r>
      <w:r>
        <w:rPr>
          <w:rFonts w:ascii="黑体" w:hAnsi="黑体" w:eastAsia="黑体"/>
          <w:color w:val="000000"/>
        </w:rPr>
        <w:t xml:space="preserve"> </w:t>
      </w:r>
      <w:r>
        <w:rPr>
          <w:rStyle w:val="19"/>
          <w:rFonts w:ascii="黑体" w:hAnsi="黑体" w:eastAsia="黑体"/>
          <w:b w:val="0"/>
          <w:bCs w:val="0"/>
        </w:rPr>
        <w:t>202</w:t>
      </w:r>
      <w:r>
        <w:rPr>
          <w:rStyle w:val="19"/>
          <w:rFonts w:hint="eastAsia" w:ascii="黑体" w:hAnsi="黑体" w:eastAsia="黑体"/>
          <w:b w:val="0"/>
          <w:bCs w:val="0"/>
          <w:lang w:val="en-US" w:eastAsia="zh-CN"/>
        </w:rPr>
        <w:t>4</w:t>
      </w:r>
      <w:r>
        <w:rPr>
          <w:rStyle w:val="19"/>
          <w:rFonts w:hint="eastAsia" w:ascii="黑体" w:hAnsi="黑体" w:eastAsia="黑体"/>
          <w:b w:val="0"/>
          <w:bCs w:val="0"/>
        </w:rPr>
        <w:t>年度部门决算情况说明</w:t>
      </w:r>
      <w:bookmarkEnd w:id="38"/>
      <w:bookmarkEnd w:id="39"/>
      <w:bookmarkEnd w:id="40"/>
      <w:bookmarkEnd w:id="41"/>
      <w:bookmarkEnd w:id="42"/>
      <w:bookmarkEnd w:id="43"/>
    </w:p>
    <w:p w14:paraId="18FCF194">
      <w:pPr>
        <w:pStyle w:val="21"/>
        <w:numPr>
          <w:ilvl w:val="0"/>
          <w:numId w:val="2"/>
        </w:numPr>
        <w:spacing w:line="600" w:lineRule="exact"/>
        <w:ind w:firstLineChars="0"/>
        <w:outlineLvl w:val="1"/>
        <w:rPr>
          <w:rStyle w:val="20"/>
          <w:rFonts w:ascii="黑体" w:hAnsi="黑体" w:eastAsia="黑体"/>
          <w:b w:val="0"/>
        </w:rPr>
      </w:pPr>
      <w:bookmarkStart w:id="44" w:name="_Toc32386"/>
      <w:bookmarkStart w:id="45" w:name="_Toc79163860"/>
      <w:bookmarkStart w:id="46" w:name="_Toc29761"/>
      <w:bookmarkStart w:id="47" w:name="_Toc79163610"/>
      <w:bookmarkStart w:id="48" w:name="_Toc15377205"/>
      <w:bookmarkStart w:id="49" w:name="_Toc15396603"/>
      <w:r>
        <w:rPr>
          <w:rFonts w:hint="eastAsia" w:ascii="黑体" w:hAnsi="黑体" w:eastAsia="黑体"/>
          <w:color w:val="000000"/>
          <w:sz w:val="32"/>
          <w:szCs w:val="32"/>
        </w:rPr>
        <w:t>收</w:t>
      </w:r>
      <w:r>
        <w:rPr>
          <w:rStyle w:val="20"/>
          <w:rFonts w:hint="eastAsia" w:ascii="黑体" w:hAnsi="黑体" w:eastAsia="黑体"/>
          <w:b w:val="0"/>
        </w:rPr>
        <w:t>入支出决算总体情况说明</w:t>
      </w:r>
      <w:bookmarkEnd w:id="44"/>
      <w:bookmarkEnd w:id="45"/>
      <w:bookmarkEnd w:id="46"/>
      <w:bookmarkEnd w:id="47"/>
      <w:bookmarkEnd w:id="48"/>
      <w:bookmarkEnd w:id="49"/>
    </w:p>
    <w:p w14:paraId="3BD35195">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2024年度收入1093.57万元，与2023年度相比减少32.86万元，减少2.92%，减少原因是减少开支，厉行节约；2024年度支出1093.57万元，与2023年度相比减少32.86万元，减少2.92%，减少原因是减少开支，厉行节约。</w:t>
      </w:r>
    </w:p>
    <w:p w14:paraId="38EB90E8">
      <w:pPr>
        <w:pStyle w:val="2"/>
        <w:rPr>
          <w:rFonts w:hint="eastAsia" w:ascii="仿宋" w:hAnsi="仿宋" w:eastAsia="仿宋"/>
          <w:color w:val="000000"/>
          <w:sz w:val="32"/>
          <w:szCs w:val="32"/>
        </w:rPr>
      </w:pPr>
      <w:r>
        <w:pict>
          <v:shape id="_x0000_s1026" o:spid="_x0000_s1026" o:spt="75" alt="7b0a202020202266696c746572223a202230220a7d0a" type="#_x0000_t75" style="position:absolute;left:0pt;margin-left:-24.7pt;margin-top:4.1pt;height:241.5pt;width:481.05pt;mso-wrap-distance-bottom:0pt;mso-wrap-distance-left:9pt;mso-wrap-distance-right:9pt;mso-wrap-distance-top:0pt;z-index:251663360;mso-width-relative:page;mso-height-relative:page;" o:ole="t" filled="f" o:preferrelative="t" stroked="f" coordsize="21600,21600">
            <v:path/>
            <v:fill on="f" focussize="0,0"/>
            <v:stroke on="f"/>
            <v:imagedata r:id="rId7" o:title=""/>
            <o:lock v:ext="edit" aspectratio="t"/>
            <w10:wrap type="square"/>
          </v:shape>
          <o:OLEObject Type="Embed" ProgID="Excel.Chart.8" ShapeID="_x0000_s1026" DrawAspect="Content" ObjectID="_1468075725" r:id="rId6">
            <o:LockedField>false</o:LockedField>
          </o:OLEObject>
        </w:pict>
      </w:r>
    </w:p>
    <w:p w14:paraId="7FDC8B51">
      <w:pPr>
        <w:pStyle w:val="2"/>
        <w:ind w:left="0" w:leftChars="0" w:firstLine="1280" w:firstLineChars="400"/>
        <w:jc w:val="both"/>
        <w:rPr>
          <w:rStyle w:val="20"/>
          <w:rFonts w:ascii="黑体" w:hAnsi="黑体" w:eastAsia="黑体"/>
          <w:b w:val="0"/>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r>
        <w:rPr>
          <w:rFonts w:hint="eastAsia" w:ascii="仿宋" w:hAnsi="仿宋" w:eastAsia="仿宋"/>
          <w:color w:val="000000"/>
          <w:sz w:val="32"/>
          <w:szCs w:val="32"/>
          <w:lang w:val="en-US" w:eastAsia="zh-CN"/>
        </w:rPr>
        <w:t>)</w:t>
      </w:r>
      <w:bookmarkStart w:id="50" w:name="_Toc15377206"/>
      <w:bookmarkStart w:id="51" w:name="_Toc15396604"/>
      <w:bookmarkStart w:id="52" w:name="_Toc79163861"/>
      <w:bookmarkStart w:id="53" w:name="_Toc79163611"/>
    </w:p>
    <w:p w14:paraId="7EB41780">
      <w:pPr>
        <w:pStyle w:val="21"/>
        <w:numPr>
          <w:ilvl w:val="0"/>
          <w:numId w:val="0"/>
        </w:numPr>
        <w:spacing w:line="600" w:lineRule="exact"/>
        <w:outlineLvl w:val="1"/>
        <w:rPr>
          <w:rFonts w:hint="eastAsia" w:ascii="黑体" w:hAnsi="黑体" w:eastAsia="黑体"/>
          <w:color w:val="000000"/>
          <w:sz w:val="32"/>
          <w:szCs w:val="32"/>
          <w:lang w:eastAsia="zh-CN"/>
        </w:rPr>
      </w:pPr>
      <w:bookmarkStart w:id="54" w:name="_Toc16204"/>
      <w:bookmarkStart w:id="55" w:name="_Toc10649"/>
    </w:p>
    <w:p w14:paraId="061273F0">
      <w:pPr>
        <w:pStyle w:val="21"/>
        <w:numPr>
          <w:ilvl w:val="0"/>
          <w:numId w:val="0"/>
        </w:numPr>
        <w:spacing w:line="600" w:lineRule="exact"/>
        <w:ind w:firstLine="640" w:firstLineChars="200"/>
        <w:outlineLvl w:val="1"/>
        <w:rPr>
          <w:rFonts w:hint="eastAsia" w:ascii="黑体" w:hAnsi="黑体" w:eastAsia="黑体"/>
          <w:color w:val="000000"/>
          <w:sz w:val="32"/>
          <w:szCs w:val="32"/>
          <w:lang w:eastAsia="zh-CN"/>
        </w:rPr>
      </w:pPr>
    </w:p>
    <w:p w14:paraId="6340492C">
      <w:pPr>
        <w:pStyle w:val="21"/>
        <w:numPr>
          <w:ilvl w:val="0"/>
          <w:numId w:val="0"/>
        </w:numPr>
        <w:spacing w:line="600" w:lineRule="exact"/>
        <w:ind w:firstLine="640" w:firstLineChars="200"/>
        <w:outlineLvl w:val="1"/>
        <w:rPr>
          <w:rFonts w:hint="eastAsia" w:ascii="黑体" w:hAnsi="黑体" w:eastAsia="黑体"/>
          <w:color w:val="000000"/>
          <w:sz w:val="32"/>
          <w:szCs w:val="32"/>
          <w:lang w:eastAsia="zh-CN"/>
        </w:rPr>
      </w:pPr>
    </w:p>
    <w:p w14:paraId="62903C73">
      <w:pPr>
        <w:pStyle w:val="21"/>
        <w:numPr>
          <w:ilvl w:val="0"/>
          <w:numId w:val="0"/>
        </w:numPr>
        <w:spacing w:line="600" w:lineRule="exact"/>
        <w:ind w:firstLine="640" w:firstLineChars="200"/>
        <w:outlineLvl w:val="1"/>
        <w:rPr>
          <w:rFonts w:hint="eastAsia" w:ascii="黑体" w:hAnsi="黑体" w:eastAsia="黑体"/>
          <w:color w:val="000000"/>
          <w:sz w:val="32"/>
          <w:szCs w:val="32"/>
          <w:lang w:eastAsia="zh-CN"/>
        </w:rPr>
      </w:pPr>
    </w:p>
    <w:p w14:paraId="4DDB49E7">
      <w:pPr>
        <w:pStyle w:val="21"/>
        <w:numPr>
          <w:ilvl w:val="0"/>
          <w:numId w:val="0"/>
        </w:numPr>
        <w:spacing w:line="600" w:lineRule="exact"/>
        <w:ind w:firstLine="640" w:firstLineChars="200"/>
        <w:outlineLvl w:val="1"/>
        <w:rPr>
          <w:rStyle w:val="20"/>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0"/>
          <w:rFonts w:hint="eastAsia" w:ascii="黑体" w:hAnsi="黑体" w:eastAsia="黑体"/>
          <w:b w:val="0"/>
        </w:rPr>
        <w:t>入决算情况说明</w:t>
      </w:r>
      <w:bookmarkEnd w:id="50"/>
      <w:bookmarkEnd w:id="51"/>
      <w:bookmarkEnd w:id="52"/>
      <w:bookmarkEnd w:id="53"/>
      <w:bookmarkEnd w:id="54"/>
      <w:bookmarkEnd w:id="55"/>
    </w:p>
    <w:p w14:paraId="1D2CAA21">
      <w:pPr>
        <w:spacing w:line="600" w:lineRule="exact"/>
        <w:ind w:firstLine="640" w:firstLineChars="200"/>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年本年收入合计</w:t>
      </w:r>
      <w:r>
        <w:rPr>
          <w:rFonts w:hint="eastAsia" w:ascii="仿宋" w:hAnsi="仿宋" w:eastAsia="仿宋"/>
          <w:color w:val="auto"/>
          <w:sz w:val="32"/>
          <w:szCs w:val="32"/>
          <w:lang w:val="en-US" w:eastAsia="zh-CN"/>
        </w:rPr>
        <w:t>1093.57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1093.57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39A3AFC1">
      <w:pPr>
        <w:spacing w:line="600" w:lineRule="exact"/>
        <w:jc w:val="center"/>
        <w:rPr>
          <w:rFonts w:hint="eastAsia" w:ascii="黑体" w:hAnsi="黑体" w:eastAsia="黑体"/>
          <w:color w:val="000000"/>
          <w:sz w:val="32"/>
          <w:szCs w:val="32"/>
          <w:lang w:eastAsia="zh-CN"/>
        </w:rPr>
      </w:pPr>
      <w:r>
        <w:drawing>
          <wp:anchor distT="0" distB="0" distL="114300" distR="114300" simplePos="0" relativeHeight="251661312" behindDoc="0" locked="0" layoutInCell="1" allowOverlap="1">
            <wp:simplePos x="0" y="0"/>
            <wp:positionH relativeFrom="column">
              <wp:posOffset>86995</wp:posOffset>
            </wp:positionH>
            <wp:positionV relativeFrom="paragraph">
              <wp:posOffset>156210</wp:posOffset>
            </wp:positionV>
            <wp:extent cx="4996815" cy="2047875"/>
            <wp:effectExtent l="4445" t="4445" r="8890" b="5080"/>
            <wp:wrapSquare wrapText="bothSides"/>
            <wp:docPr id="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bookmarkStart w:id="56" w:name="_Toc15396605"/>
      <w:bookmarkStart w:id="57" w:name="_Toc79163612"/>
      <w:bookmarkStart w:id="58" w:name="_Toc79163862"/>
      <w:bookmarkStart w:id="59" w:name="_Toc15377207"/>
    </w:p>
    <w:p w14:paraId="03E54D95">
      <w:pPr>
        <w:pStyle w:val="21"/>
        <w:numPr>
          <w:ilvl w:val="0"/>
          <w:numId w:val="0"/>
        </w:numPr>
        <w:spacing w:line="600" w:lineRule="exact"/>
        <w:ind w:left="640" w:leftChars="0"/>
        <w:outlineLvl w:val="1"/>
        <w:rPr>
          <w:rStyle w:val="20"/>
          <w:rFonts w:ascii="黑体" w:hAnsi="黑体" w:eastAsia="黑体"/>
          <w:b w:val="0"/>
        </w:rPr>
      </w:pPr>
      <w:bookmarkStart w:id="60" w:name="_Toc6871"/>
      <w:bookmarkStart w:id="61" w:name="_Toc20256"/>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0"/>
          <w:rFonts w:hint="eastAsia" w:ascii="黑体" w:hAnsi="黑体" w:eastAsia="黑体"/>
          <w:b w:val="0"/>
        </w:rPr>
        <w:t>出决算情况说明</w:t>
      </w:r>
      <w:bookmarkEnd w:id="56"/>
      <w:bookmarkEnd w:id="57"/>
      <w:bookmarkEnd w:id="58"/>
      <w:bookmarkEnd w:id="59"/>
      <w:bookmarkEnd w:id="60"/>
      <w:bookmarkEnd w:id="61"/>
    </w:p>
    <w:p w14:paraId="049C3BA9">
      <w:pPr>
        <w:spacing w:line="60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年本年支出合计</w:t>
      </w:r>
      <w:r>
        <w:rPr>
          <w:rFonts w:hint="eastAsia" w:ascii="仿宋" w:hAnsi="仿宋" w:eastAsia="仿宋"/>
          <w:color w:val="auto"/>
          <w:sz w:val="32"/>
          <w:szCs w:val="32"/>
          <w:lang w:val="en-US" w:eastAsia="zh-CN"/>
        </w:rPr>
        <w:t>1093.57</w:t>
      </w:r>
      <w:r>
        <w:rPr>
          <w:rFonts w:hint="eastAsia" w:ascii="仿宋_GB2312" w:eastAsia="仿宋_GB2312"/>
          <w:sz w:val="32"/>
          <w:szCs w:val="32"/>
        </w:rPr>
        <w:t>万元，其中：基本支出</w:t>
      </w:r>
      <w:r>
        <w:rPr>
          <w:rFonts w:hint="eastAsia" w:ascii="仿宋_GB2312" w:eastAsia="仿宋_GB2312"/>
          <w:sz w:val="32"/>
          <w:szCs w:val="32"/>
          <w:lang w:val="en-US" w:eastAsia="zh-CN"/>
        </w:rPr>
        <w:t>971.14</w:t>
      </w:r>
      <w:r>
        <w:rPr>
          <w:rFonts w:hint="eastAsia" w:ascii="仿宋_GB2312" w:eastAsia="仿宋_GB2312"/>
          <w:sz w:val="32"/>
          <w:szCs w:val="32"/>
        </w:rPr>
        <w:t>万元，占</w:t>
      </w:r>
      <w:r>
        <w:rPr>
          <w:rFonts w:hint="eastAsia" w:ascii="仿宋_GB2312" w:eastAsia="仿宋_GB2312"/>
          <w:sz w:val="32"/>
          <w:szCs w:val="32"/>
          <w:lang w:val="en-US" w:eastAsia="zh-CN"/>
        </w:rPr>
        <w:t>88.80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122.43</w:t>
      </w:r>
      <w:r>
        <w:rPr>
          <w:rFonts w:hint="eastAsia" w:ascii="仿宋_GB2312" w:eastAsia="仿宋_GB2312"/>
          <w:sz w:val="32"/>
          <w:szCs w:val="32"/>
        </w:rPr>
        <w:t>万元，占</w:t>
      </w:r>
      <w:r>
        <w:rPr>
          <w:rFonts w:hint="eastAsia" w:ascii="仿宋_GB2312" w:eastAsia="仿宋_GB2312"/>
          <w:sz w:val="32"/>
          <w:szCs w:val="32"/>
          <w:lang w:val="en-US" w:eastAsia="zh-CN"/>
        </w:rPr>
        <w:t>11.20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096E259E">
      <w:pPr>
        <w:pStyle w:val="2"/>
        <w:ind w:left="0" w:leftChars="0" w:firstLine="0" w:firstLineChars="0"/>
        <w:jc w:val="center"/>
        <w:rPr>
          <w:rFonts w:hint="eastAsia"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379730</wp:posOffset>
            </wp:positionH>
            <wp:positionV relativeFrom="paragraph">
              <wp:posOffset>121285</wp:posOffset>
            </wp:positionV>
            <wp:extent cx="4192905" cy="1918335"/>
            <wp:effectExtent l="4445" t="4445" r="12700" b="20320"/>
            <wp:wrapSquare wrapText="bothSides"/>
            <wp:docPr id="2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44F2F60">
      <w:pPr>
        <w:pStyle w:val="2"/>
        <w:ind w:left="0" w:leftChars="0" w:firstLine="0" w:firstLineChars="0"/>
        <w:jc w:val="center"/>
        <w:rPr>
          <w:rFonts w:hint="eastAsia" w:ascii="仿宋" w:hAnsi="仿宋" w:eastAsia="仿宋"/>
          <w:color w:val="000000"/>
          <w:sz w:val="32"/>
          <w:szCs w:val="32"/>
        </w:rPr>
      </w:pPr>
    </w:p>
    <w:p w14:paraId="4D3BFB86">
      <w:pPr>
        <w:pStyle w:val="2"/>
        <w:ind w:left="0" w:leftChars="0" w:firstLine="0" w:firstLineChars="0"/>
        <w:jc w:val="center"/>
        <w:rPr>
          <w:rFonts w:hint="eastAsia" w:ascii="仿宋" w:hAnsi="仿宋" w:eastAsia="仿宋"/>
          <w:color w:val="000000"/>
          <w:sz w:val="32"/>
          <w:szCs w:val="32"/>
        </w:rPr>
      </w:pPr>
    </w:p>
    <w:p w14:paraId="210F688C">
      <w:pPr>
        <w:pStyle w:val="2"/>
        <w:ind w:left="0" w:leftChars="0" w:firstLine="0" w:firstLineChars="0"/>
        <w:jc w:val="center"/>
        <w:rPr>
          <w:rFonts w:hint="eastAsia" w:ascii="仿宋" w:hAnsi="仿宋" w:eastAsia="仿宋"/>
          <w:color w:val="000000"/>
          <w:sz w:val="32"/>
          <w:szCs w:val="32"/>
        </w:rPr>
      </w:pPr>
    </w:p>
    <w:p w14:paraId="32E61057">
      <w:pPr>
        <w:pStyle w:val="2"/>
        <w:ind w:left="0" w:leftChars="0" w:firstLine="0" w:firstLineChars="0"/>
        <w:jc w:val="both"/>
        <w:rPr>
          <w:rFonts w:hint="eastAsia" w:ascii="仿宋" w:hAnsi="仿宋" w:eastAsia="仿宋"/>
          <w:color w:val="000000"/>
          <w:sz w:val="32"/>
          <w:szCs w:val="32"/>
        </w:rPr>
      </w:pPr>
    </w:p>
    <w:p w14:paraId="62846105">
      <w:pPr>
        <w:pStyle w:val="2"/>
        <w:ind w:left="0" w:leftChars="0" w:firstLine="0" w:firstLineChars="0"/>
        <w:jc w:val="center"/>
        <w:rPr>
          <w:rFonts w:hint="eastAsia" w:ascii="黑体" w:hAnsi="黑体" w:eastAsia="黑体"/>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bookmarkStart w:id="62" w:name="_Toc79163863"/>
      <w:bookmarkStart w:id="63" w:name="_Toc15396606"/>
      <w:bookmarkStart w:id="64" w:name="_Toc15377208"/>
      <w:bookmarkStart w:id="65" w:name="_Toc79163613"/>
    </w:p>
    <w:p w14:paraId="305928AD">
      <w:pPr>
        <w:spacing w:line="600" w:lineRule="exact"/>
        <w:ind w:firstLine="640" w:firstLineChars="200"/>
        <w:outlineLvl w:val="1"/>
        <w:rPr>
          <w:rStyle w:val="20"/>
          <w:rFonts w:ascii="黑体" w:hAnsi="黑体" w:eastAsia="黑体"/>
          <w:b w:val="0"/>
        </w:rPr>
      </w:pPr>
      <w:bookmarkStart w:id="66" w:name="_Toc25430"/>
      <w:bookmarkStart w:id="67" w:name="_Toc1249"/>
      <w:r>
        <w:rPr>
          <w:rFonts w:hint="eastAsia" w:ascii="黑体" w:hAnsi="黑体" w:eastAsia="黑体"/>
          <w:color w:val="000000"/>
          <w:sz w:val="32"/>
          <w:szCs w:val="32"/>
        </w:rPr>
        <w:t>四、财</w:t>
      </w:r>
      <w:r>
        <w:rPr>
          <w:rStyle w:val="20"/>
          <w:rFonts w:hint="eastAsia" w:ascii="黑体" w:hAnsi="黑体" w:eastAsia="黑体"/>
          <w:b w:val="0"/>
        </w:rPr>
        <w:t>政拨款收</w:t>
      </w:r>
      <w:r>
        <w:rPr>
          <w:rStyle w:val="20"/>
          <w:rFonts w:hint="eastAsia" w:ascii="黑体" w:hAnsi="黑体" w:eastAsia="黑体"/>
          <w:b w:val="0"/>
          <w:color w:val="000000" w:themeColor="text1"/>
          <w14:textFill>
            <w14:solidFill>
              <w14:schemeClr w14:val="tx1"/>
            </w14:solidFill>
          </w14:textFill>
        </w:rPr>
        <w:t>入支出决</w:t>
      </w:r>
      <w:r>
        <w:rPr>
          <w:rStyle w:val="20"/>
          <w:rFonts w:hint="eastAsia" w:ascii="黑体" w:hAnsi="黑体" w:eastAsia="黑体"/>
          <w:b w:val="0"/>
        </w:rPr>
        <w:t>算总体情况说明</w:t>
      </w:r>
      <w:bookmarkEnd w:id="62"/>
      <w:bookmarkEnd w:id="63"/>
      <w:bookmarkEnd w:id="64"/>
      <w:bookmarkEnd w:id="65"/>
      <w:bookmarkEnd w:id="66"/>
      <w:bookmarkEnd w:id="67"/>
    </w:p>
    <w:p w14:paraId="13E46D7E">
      <w:pPr>
        <w:spacing w:line="600" w:lineRule="exact"/>
        <w:ind w:firstLine="640" w:firstLineChars="200"/>
        <w:rPr>
          <w:rFonts w:hint="eastAsia" w:ascii="黑体" w:hAnsi="黑体" w:eastAsia="黑体"/>
          <w:color w:val="000000"/>
          <w:sz w:val="32"/>
          <w:szCs w:val="32"/>
        </w:rPr>
      </w:pPr>
      <w:r>
        <w:rPr>
          <w:rFonts w:hint="eastAsia" w:ascii="仿宋" w:hAnsi="仿宋" w:eastAsia="仿宋"/>
          <w:color w:val="auto"/>
          <w:sz w:val="32"/>
          <w:szCs w:val="32"/>
          <w:lang w:val="en-US" w:eastAsia="zh-CN"/>
        </w:rPr>
        <w:t>2024年财政拨款收入1093.57万元，与2023年度相比减少32.86万元，减少2.92%，减少原因是减少开支，厉行节约；2024年度财政拨款支出1093.57万元，与2023年度相比</w:t>
      </w:r>
      <w:bookmarkStart w:id="68" w:name="_Toc15396607"/>
      <w:bookmarkStart w:id="69" w:name="_Toc15377209"/>
      <w:bookmarkStart w:id="70" w:name="_Toc79163864"/>
      <w:bookmarkStart w:id="71" w:name="_Toc79163614"/>
      <w:r>
        <w:rPr>
          <w:rFonts w:hint="eastAsia" w:ascii="仿宋" w:hAnsi="仿宋" w:eastAsia="仿宋"/>
          <w:color w:val="auto"/>
          <w:sz w:val="32"/>
          <w:szCs w:val="32"/>
          <w:lang w:val="en-US" w:eastAsia="zh-CN"/>
        </w:rPr>
        <w:t>减少32.86万元，减少2.92%，减少原因是减少开支，厉行节约。</w:t>
      </w:r>
    </w:p>
    <w:p w14:paraId="689CC60F">
      <w:pPr>
        <w:spacing w:line="240" w:lineRule="auto"/>
        <w:outlineLvl w:val="9"/>
        <w:rPr>
          <w:rFonts w:hint="eastAsia" w:eastAsiaTheme="minorEastAsia"/>
          <w:lang w:eastAsia="zh-CN"/>
        </w:rPr>
      </w:pPr>
      <w:r>
        <w:rPr>
          <w:rFonts w:hint="eastAsia" w:eastAsiaTheme="minorEastAsia"/>
          <w:lang w:eastAsia="zh-CN"/>
        </w:rPr>
        <w:drawing>
          <wp:inline distT="0" distB="0" distL="114300" distR="114300">
            <wp:extent cx="5161915" cy="2912745"/>
            <wp:effectExtent l="4445" t="4445" r="15240" b="1651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9D8C6E">
      <w:pPr>
        <w:spacing w:line="600" w:lineRule="exact"/>
        <w:jc w:val="center"/>
        <w:rPr>
          <w:rFonts w:hint="eastAsia"/>
          <w:lang w:eastAsia="zh-CN"/>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288E9912">
      <w:pPr>
        <w:spacing w:line="600" w:lineRule="exact"/>
        <w:ind w:firstLine="640" w:firstLineChars="200"/>
        <w:outlineLvl w:val="1"/>
        <w:rPr>
          <w:rStyle w:val="20"/>
          <w:rFonts w:ascii="黑体" w:hAnsi="黑体" w:eastAsia="黑体"/>
          <w:b w:val="0"/>
        </w:rPr>
      </w:pPr>
      <w:bookmarkStart w:id="72" w:name="_Toc30902"/>
      <w:bookmarkStart w:id="73" w:name="_Toc2784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0"/>
          <w:rFonts w:hint="eastAsia" w:ascii="黑体" w:hAnsi="黑体" w:eastAsia="黑体"/>
          <w:b w:val="0"/>
        </w:rPr>
        <w:t>般公共预算财</w:t>
      </w:r>
      <w:r>
        <w:rPr>
          <w:rStyle w:val="20"/>
          <w:rFonts w:hint="eastAsia" w:ascii="黑体" w:hAnsi="黑体" w:eastAsia="黑体"/>
          <w:b w:val="0"/>
          <w:color w:val="000000" w:themeColor="text1"/>
          <w14:textFill>
            <w14:solidFill>
              <w14:schemeClr w14:val="tx1"/>
            </w14:solidFill>
          </w14:textFill>
        </w:rPr>
        <w:t>政拨款支出决算情</w:t>
      </w:r>
      <w:r>
        <w:rPr>
          <w:rStyle w:val="20"/>
          <w:rFonts w:hint="eastAsia" w:ascii="黑体" w:hAnsi="黑体" w:eastAsia="黑体"/>
          <w:b w:val="0"/>
        </w:rPr>
        <w:t>况说明</w:t>
      </w:r>
      <w:bookmarkEnd w:id="68"/>
      <w:bookmarkEnd w:id="69"/>
      <w:bookmarkEnd w:id="70"/>
      <w:bookmarkEnd w:id="71"/>
      <w:bookmarkEnd w:id="72"/>
      <w:bookmarkEnd w:id="73"/>
    </w:p>
    <w:p w14:paraId="4CE36F08">
      <w:pPr>
        <w:spacing w:line="600" w:lineRule="exact"/>
        <w:ind w:firstLine="643" w:firstLineChars="200"/>
        <w:outlineLvl w:val="2"/>
        <w:rPr>
          <w:rFonts w:ascii="仿宋" w:hAnsi="仿宋" w:eastAsia="仿宋"/>
          <w:b/>
          <w:color w:val="000000"/>
          <w:sz w:val="32"/>
          <w:szCs w:val="32"/>
        </w:rPr>
      </w:pPr>
      <w:bookmarkStart w:id="74" w:name="_Toc79163615"/>
      <w:bookmarkStart w:id="75" w:name="_Toc20362"/>
      <w:bookmarkStart w:id="76" w:name="_Toc79163865"/>
      <w:bookmarkStart w:id="77" w:name="_Toc15377210"/>
      <w:bookmarkStart w:id="78" w:name="_Toc16633"/>
      <w:r>
        <w:rPr>
          <w:rFonts w:hint="eastAsia" w:ascii="仿宋" w:hAnsi="仿宋" w:eastAsia="仿宋"/>
          <w:b/>
          <w:color w:val="000000"/>
          <w:sz w:val="32"/>
          <w:szCs w:val="32"/>
        </w:rPr>
        <w:t>（一）一般公共预算财政拨款支出决算总体情况</w:t>
      </w:r>
      <w:bookmarkEnd w:id="74"/>
      <w:bookmarkEnd w:id="75"/>
      <w:bookmarkEnd w:id="76"/>
      <w:bookmarkEnd w:id="77"/>
      <w:bookmarkEnd w:id="78"/>
    </w:p>
    <w:p w14:paraId="3723A33B">
      <w:pPr>
        <w:spacing w:line="600" w:lineRule="exact"/>
        <w:ind w:firstLine="640" w:firstLineChars="200"/>
        <w:rPr>
          <w:rFonts w:hint="eastAsia" w:ascii="黑体" w:hAnsi="黑体" w:eastAsia="黑体"/>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1093.57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年相比，一般公共预算财政拨款</w:t>
      </w:r>
      <w:r>
        <w:rPr>
          <w:rFonts w:hint="eastAsia" w:ascii="仿宋" w:hAnsi="仿宋" w:eastAsia="仿宋"/>
          <w:color w:val="auto"/>
          <w:sz w:val="32"/>
          <w:szCs w:val="32"/>
          <w:lang w:val="en-US" w:eastAsia="zh-CN"/>
        </w:rPr>
        <w:t>减少32.86万元，减少2.92%</w:t>
      </w:r>
      <w:r>
        <w:rPr>
          <w:rFonts w:hint="eastAsia" w:ascii="仿宋" w:hAnsi="仿宋" w:eastAsia="仿宋"/>
          <w:color w:val="000000"/>
          <w:sz w:val="32"/>
          <w:szCs w:val="32"/>
        </w:rPr>
        <w:t>。主要变动原因是</w:t>
      </w:r>
      <w:r>
        <w:rPr>
          <w:rFonts w:hint="eastAsia" w:ascii="仿宋" w:hAnsi="仿宋" w:eastAsia="仿宋"/>
          <w:color w:val="auto"/>
          <w:sz w:val="32"/>
          <w:szCs w:val="32"/>
          <w:lang w:val="en-US" w:eastAsia="zh-CN"/>
        </w:rPr>
        <w:t>减少开支，厉行节约。</w:t>
      </w:r>
    </w:p>
    <w:p w14:paraId="54FFF29A">
      <w:pPr>
        <w:spacing w:line="600" w:lineRule="exact"/>
        <w:rPr>
          <w:rFonts w:hint="eastAsia" w:ascii="仿宋" w:hAnsi="仿宋" w:eastAsia="仿宋"/>
          <w:color w:val="auto"/>
          <w:sz w:val="32"/>
          <w:szCs w:val="32"/>
          <w:lang w:val="en-US" w:eastAsia="zh-CN"/>
        </w:rPr>
      </w:pPr>
    </w:p>
    <w:p w14:paraId="5D073B77">
      <w:pPr>
        <w:bidi w:val="0"/>
        <w:rPr>
          <w:rFonts w:ascii="Times New Roman" w:hAnsi="Times New Roman" w:eastAsia="宋体" w:cs="Times New Roman"/>
          <w:kern w:val="2"/>
          <w:sz w:val="21"/>
          <w:szCs w:val="24"/>
          <w:lang w:val="en-US" w:eastAsia="zh-CN" w:bidi="ar-SA"/>
        </w:rPr>
      </w:pPr>
      <w:r>
        <w:rPr>
          <w:rFonts w:hint="eastAsia" w:eastAsiaTheme="minorEastAsia"/>
          <w:lang w:eastAsia="zh-CN"/>
        </w:rPr>
        <w:drawing>
          <wp:anchor distT="0" distB="0" distL="114300" distR="114300" simplePos="0" relativeHeight="251662336" behindDoc="1" locked="0" layoutInCell="1" allowOverlap="1">
            <wp:simplePos x="0" y="0"/>
            <wp:positionH relativeFrom="column">
              <wp:posOffset>471805</wp:posOffset>
            </wp:positionH>
            <wp:positionV relativeFrom="paragraph">
              <wp:posOffset>13970</wp:posOffset>
            </wp:positionV>
            <wp:extent cx="4704715" cy="2637790"/>
            <wp:effectExtent l="4445" t="4445" r="15240" b="5715"/>
            <wp:wrapTight wrapText="bothSides">
              <wp:wrapPolygon>
                <wp:start x="-20" y="-36"/>
                <wp:lineTo x="-20" y="21491"/>
                <wp:lineTo x="21495" y="21491"/>
                <wp:lineTo x="21495" y="-36"/>
                <wp:lineTo x="-20" y="-36"/>
              </wp:wrapPolygon>
            </wp:wrapTight>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AFA23DE">
      <w:pPr>
        <w:bidi w:val="0"/>
        <w:rPr>
          <w:lang w:val="en-US" w:eastAsia="zh-CN"/>
        </w:rPr>
      </w:pPr>
    </w:p>
    <w:p w14:paraId="15169A41">
      <w:pPr>
        <w:bidi w:val="0"/>
        <w:rPr>
          <w:lang w:val="en-US" w:eastAsia="zh-CN"/>
        </w:rPr>
      </w:pPr>
    </w:p>
    <w:p w14:paraId="23802EEB">
      <w:pPr>
        <w:bidi w:val="0"/>
        <w:rPr>
          <w:lang w:val="en-US" w:eastAsia="zh-CN"/>
        </w:rPr>
      </w:pPr>
    </w:p>
    <w:p w14:paraId="01B75782">
      <w:pPr>
        <w:rPr>
          <w:rFonts w:ascii="仿宋" w:hAnsi="仿宋" w:eastAsia="仿宋"/>
          <w:color w:val="000000"/>
          <w:sz w:val="32"/>
          <w:szCs w:val="32"/>
        </w:rPr>
      </w:pPr>
      <w:bookmarkStart w:id="79" w:name="_Toc79163866"/>
      <w:bookmarkStart w:id="80" w:name="_Toc15377211"/>
      <w:bookmarkStart w:id="81" w:name="_Toc79163616"/>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7CDD43D9">
      <w:pPr>
        <w:spacing w:line="600" w:lineRule="exact"/>
        <w:ind w:firstLine="321" w:firstLineChars="100"/>
        <w:outlineLvl w:val="2"/>
        <w:rPr>
          <w:rFonts w:ascii="仿宋" w:hAnsi="仿宋" w:eastAsia="仿宋"/>
          <w:b/>
          <w:color w:val="000000" w:themeColor="text1"/>
          <w:sz w:val="32"/>
          <w:szCs w:val="32"/>
          <w14:textFill>
            <w14:solidFill>
              <w14:schemeClr w14:val="tx1"/>
            </w14:solidFill>
          </w14:textFill>
        </w:rPr>
      </w:pPr>
      <w:bookmarkStart w:id="82" w:name="_Toc7044"/>
      <w:bookmarkStart w:id="83" w:name="_Toc27344"/>
      <w:r>
        <w:rPr>
          <w:rFonts w:hint="eastAsia" w:ascii="仿宋" w:hAnsi="仿宋" w:eastAsia="仿宋"/>
          <w:b/>
          <w:color w:val="000000"/>
          <w:sz w:val="32"/>
          <w:szCs w:val="32"/>
        </w:rPr>
        <w:t>（二）</w:t>
      </w:r>
      <w:r>
        <w:rPr>
          <w:rFonts w:hint="eastAsia" w:ascii="仿宋" w:hAnsi="仿宋" w:eastAsia="仿宋"/>
          <w:b/>
          <w:color w:val="000000" w:themeColor="text1"/>
          <w:sz w:val="32"/>
          <w:szCs w:val="32"/>
          <w14:textFill>
            <w14:solidFill>
              <w14:schemeClr w14:val="tx1"/>
            </w14:solidFill>
          </w14:textFill>
        </w:rPr>
        <w:t>一般公共预算财政拨款支出决算结构情况</w:t>
      </w:r>
      <w:bookmarkEnd w:id="79"/>
      <w:bookmarkEnd w:id="80"/>
      <w:bookmarkEnd w:id="81"/>
      <w:bookmarkEnd w:id="82"/>
      <w:bookmarkEnd w:id="83"/>
    </w:p>
    <w:p w14:paraId="374AE870">
      <w:pPr>
        <w:spacing w:line="600" w:lineRule="exact"/>
        <w:ind w:firstLine="640"/>
        <w:rPr>
          <w:rFonts w:hint="eastAsia" w:eastAsiaTheme="minorEastAsia"/>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1093.57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公共安全（</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848.59万元，占77.60%;</w:t>
      </w:r>
      <w:r>
        <w:rPr>
          <w:rFonts w:hint="eastAsia" w:ascii="仿宋" w:hAnsi="仿宋" w:eastAsia="仿宋"/>
          <w:b/>
          <w:color w:val="000000"/>
          <w:sz w:val="32"/>
          <w:szCs w:val="32"/>
        </w:rPr>
        <w:t>教育支出（</w:t>
      </w:r>
      <w:r>
        <w:rPr>
          <w:rFonts w:hint="eastAsia" w:ascii="仿宋" w:hAnsi="仿宋" w:eastAsia="仿宋"/>
          <w:b/>
          <w:color w:val="000000"/>
          <w:sz w:val="32"/>
          <w:szCs w:val="32"/>
          <w:lang w:val="en-US" w:eastAsia="zh-CN"/>
        </w:rPr>
        <w:t>205</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w:t>
      </w:r>
      <w:r>
        <w:rPr>
          <w:rFonts w:hint="eastAsia" w:ascii="仿宋" w:hAnsi="仿宋" w:eastAsia="仿宋"/>
          <w:b/>
          <w:color w:val="000000"/>
          <w:sz w:val="32"/>
          <w:szCs w:val="32"/>
          <w:lang w:val="en-US" w:eastAsia="zh-CN"/>
        </w:rPr>
        <w:t>206</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207</w:t>
      </w:r>
      <w:r>
        <w:rPr>
          <w:rFonts w:hint="eastAsia" w:ascii="仿宋" w:hAnsi="仿宋" w:eastAsia="仿宋"/>
          <w:b/>
          <w:bCs/>
          <w:color w:val="000000"/>
          <w:sz w:val="32"/>
          <w:szCs w:val="32"/>
        </w:rPr>
        <w:t>）支出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120.41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11.01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53.36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4.88</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b/>
          <w:bCs/>
          <w:color w:val="000000"/>
          <w:sz w:val="32"/>
          <w:szCs w:val="32"/>
          <w:lang w:val="en-US" w:eastAsia="zh-CN"/>
        </w:rPr>
        <w:t>(221)</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71.21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6.51</w:t>
      </w:r>
      <w:r>
        <w:rPr>
          <w:rFonts w:ascii="仿宋" w:hAnsi="仿宋" w:eastAsia="仿宋"/>
          <w:color w:val="000000"/>
          <w:sz w:val="32"/>
          <w:szCs w:val="32"/>
        </w:rPr>
        <w:t>%</w:t>
      </w:r>
      <w:r>
        <w:rPr>
          <w:rFonts w:hint="eastAsia" w:ascii="仿宋" w:hAnsi="仿宋" w:eastAsia="仿宋"/>
          <w:color w:val="000000"/>
          <w:sz w:val="32"/>
          <w:szCs w:val="32"/>
        </w:rPr>
        <w:t>。</w:t>
      </w:r>
    </w:p>
    <w:p w14:paraId="16370E2C">
      <w:r>
        <w:drawing>
          <wp:inline distT="0" distB="0" distL="114300" distR="114300">
            <wp:extent cx="5330190" cy="2772410"/>
            <wp:effectExtent l="4445" t="4445" r="18415" b="23495"/>
            <wp:docPr id="2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BEBBDC">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3B4E4AC3">
      <w:pPr>
        <w:spacing w:line="600" w:lineRule="exact"/>
        <w:ind w:firstLine="643" w:firstLineChars="200"/>
        <w:outlineLvl w:val="2"/>
        <w:rPr>
          <w:rFonts w:ascii="仿宋" w:hAnsi="仿宋" w:eastAsia="仿宋"/>
          <w:b/>
          <w:color w:val="FF0000"/>
          <w:sz w:val="32"/>
          <w:szCs w:val="32"/>
        </w:rPr>
      </w:pPr>
      <w:bookmarkStart w:id="84" w:name="_Toc21011"/>
      <w:bookmarkStart w:id="85" w:name="_Toc15377212"/>
      <w:bookmarkStart w:id="86" w:name="_Toc79163617"/>
      <w:bookmarkStart w:id="87" w:name="_Toc79163867"/>
      <w:bookmarkStart w:id="88" w:name="_Toc20452"/>
      <w:r>
        <w:rPr>
          <w:rFonts w:hint="eastAsia" w:ascii="仿宋" w:hAnsi="仿宋" w:eastAsia="仿宋"/>
          <w:b/>
          <w:color w:val="000000"/>
          <w:sz w:val="32"/>
          <w:szCs w:val="32"/>
        </w:rPr>
        <w:t>（三）</w:t>
      </w:r>
      <w:r>
        <w:rPr>
          <w:rFonts w:hint="eastAsia" w:ascii="仿宋" w:hAnsi="仿宋" w:eastAsia="仿宋"/>
          <w:b/>
          <w:color w:val="000000" w:themeColor="text1"/>
          <w:sz w:val="32"/>
          <w:szCs w:val="32"/>
          <w14:textFill>
            <w14:solidFill>
              <w14:schemeClr w14:val="tx1"/>
            </w14:solidFill>
          </w14:textFill>
        </w:rPr>
        <w:t>一般公共预算财政拨款支出决算具体情况</w:t>
      </w:r>
      <w:bookmarkEnd w:id="84"/>
      <w:bookmarkEnd w:id="85"/>
      <w:bookmarkEnd w:id="86"/>
      <w:bookmarkEnd w:id="87"/>
      <w:bookmarkEnd w:id="88"/>
    </w:p>
    <w:p w14:paraId="6C0296A3">
      <w:pPr>
        <w:spacing w:line="600" w:lineRule="exact"/>
        <w:ind w:firstLine="643" w:firstLineChars="200"/>
        <w:rPr>
          <w:rFonts w:ascii="仿宋_GB2312" w:eastAsia="仿宋_GB2312"/>
          <w:b/>
          <w:bCs/>
          <w:sz w:val="32"/>
          <w:szCs w:val="32"/>
        </w:rPr>
      </w:pPr>
      <w:bookmarkStart w:id="89" w:name="_Toc15377444"/>
      <w:bookmarkStart w:id="90" w:name="_Toc15378460"/>
      <w:bookmarkStart w:id="91" w:name="_Toc15377213"/>
      <w:r>
        <w:rPr>
          <w:rFonts w:ascii="仿宋_GB2312" w:eastAsia="仿宋_GB2312"/>
          <w:b/>
          <w:bCs/>
          <w:sz w:val="32"/>
          <w:szCs w:val="32"/>
        </w:rPr>
        <w:t>202</w:t>
      </w:r>
      <w:r>
        <w:rPr>
          <w:rFonts w:hint="eastAsia" w:ascii="仿宋_GB2312" w:eastAsia="仿宋_GB2312"/>
          <w:b/>
          <w:bCs/>
          <w:sz w:val="32"/>
          <w:szCs w:val="32"/>
          <w:lang w:val="en-US" w:eastAsia="zh-CN"/>
        </w:rPr>
        <w:t>4</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1093.57万元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89"/>
      <w:bookmarkEnd w:id="90"/>
      <w:bookmarkEnd w:id="91"/>
    </w:p>
    <w:p w14:paraId="1AC08463">
      <w:pPr>
        <w:spacing w:line="600" w:lineRule="exact"/>
        <w:ind w:left="638" w:leftChars="304" w:firstLine="0" w:firstLineChars="0"/>
        <w:rPr>
          <w:rStyle w:val="18"/>
          <w:rFonts w:hint="eastAsia" w:ascii="仿宋" w:hAnsi="仿宋" w:eastAsia="仿宋"/>
          <w:b w:val="0"/>
          <w:bCs/>
          <w:color w:val="000000"/>
          <w:sz w:val="32"/>
          <w:szCs w:val="32"/>
          <w:lang w:eastAsia="zh-CN"/>
        </w:rPr>
      </w:pPr>
      <w:r>
        <w:rPr>
          <w:rStyle w:val="18"/>
          <w:rFonts w:hint="eastAsia" w:ascii="仿宋" w:hAnsi="仿宋" w:eastAsia="仿宋"/>
          <w:bCs/>
          <w:color w:val="000000"/>
          <w:sz w:val="32"/>
          <w:szCs w:val="32"/>
          <w:lang w:val="en-US" w:eastAsia="zh-CN"/>
        </w:rPr>
        <w:t>1</w:t>
      </w:r>
      <w:r>
        <w:rPr>
          <w:rStyle w:val="18"/>
          <w:rFonts w:hint="eastAsia" w:ascii="仿宋" w:hAnsi="仿宋" w:eastAsia="仿宋"/>
          <w:bCs/>
          <w:color w:val="000000"/>
          <w:sz w:val="32"/>
          <w:szCs w:val="32"/>
          <w:lang w:eastAsia="zh-CN"/>
        </w:rPr>
        <w:t>公共安全支出</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848.59</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w:t>
      </w:r>
    </w:p>
    <w:p w14:paraId="17F1AA7E">
      <w:pPr>
        <w:spacing w:line="600" w:lineRule="exact"/>
        <w:ind w:left="638" w:leftChars="304" w:firstLine="0" w:firstLineChars="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204公共安全支出848.59万元</w:t>
      </w:r>
    </w:p>
    <w:p w14:paraId="35DEDBFD">
      <w:pPr>
        <w:spacing w:line="600" w:lineRule="exact"/>
        <w:ind w:firstLine="640" w:firstLineChars="20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20406司法支出</w:t>
      </w:r>
      <w:r>
        <w:rPr>
          <w:rStyle w:val="18"/>
          <w:rFonts w:hint="eastAsia" w:ascii="仿宋" w:hAnsi="仿宋" w:eastAsia="仿宋"/>
          <w:b w:val="0"/>
          <w:bCs/>
          <w:color w:val="000000"/>
          <w:sz w:val="32"/>
          <w:szCs w:val="32"/>
          <w:lang w:val="en-US" w:eastAsia="zh-CN"/>
        </w:rPr>
        <w:t>848.59</w:t>
      </w:r>
      <w:r>
        <w:rPr>
          <w:rStyle w:val="18"/>
          <w:rFonts w:hint="eastAsia" w:ascii="仿宋" w:hAnsi="仿宋" w:eastAsia="仿宋"/>
          <w:b w:val="0"/>
          <w:bCs/>
          <w:color w:val="auto"/>
          <w:sz w:val="32"/>
          <w:szCs w:val="32"/>
          <w:lang w:val="en-US" w:eastAsia="zh-CN"/>
        </w:rPr>
        <w:t>万元</w:t>
      </w:r>
    </w:p>
    <w:p w14:paraId="0E6D0B9B">
      <w:pPr>
        <w:spacing w:line="600" w:lineRule="exact"/>
        <w:ind w:firstLine="640" w:firstLineChars="20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2040601行政运行647.12万元</w:t>
      </w:r>
    </w:p>
    <w:p w14:paraId="600726F9">
      <w:pPr>
        <w:spacing w:line="600" w:lineRule="exact"/>
        <w:ind w:firstLine="640" w:firstLineChars="20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2040602一般行政管理事务70.33万元</w:t>
      </w:r>
    </w:p>
    <w:p w14:paraId="7DAC9C45">
      <w:pPr>
        <w:spacing w:line="600" w:lineRule="exact"/>
        <w:ind w:firstLine="640" w:firstLineChars="200"/>
        <w:rPr>
          <w:rFonts w:hint="eastAsia"/>
          <w:lang w:val="en-US" w:eastAsia="zh-CN"/>
        </w:rPr>
      </w:pPr>
      <w:r>
        <w:rPr>
          <w:rStyle w:val="18"/>
          <w:rFonts w:hint="eastAsia" w:ascii="仿宋" w:hAnsi="仿宋" w:eastAsia="仿宋"/>
          <w:b w:val="0"/>
          <w:bCs/>
          <w:color w:val="auto"/>
          <w:sz w:val="32"/>
          <w:szCs w:val="32"/>
          <w:lang w:val="en-US" w:eastAsia="zh-CN"/>
        </w:rPr>
        <w:t>2040604基层司法业务25.68万元</w:t>
      </w:r>
    </w:p>
    <w:p w14:paraId="59C81F83">
      <w:pPr>
        <w:spacing w:line="600" w:lineRule="exact"/>
        <w:ind w:firstLine="640" w:firstLineChars="20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2040605普法宣传8万元</w:t>
      </w:r>
    </w:p>
    <w:p w14:paraId="695B5F48">
      <w:pPr>
        <w:spacing w:line="600" w:lineRule="exact"/>
        <w:ind w:firstLine="640" w:firstLineChars="20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2040607公共法律服务6.21万元</w:t>
      </w:r>
    </w:p>
    <w:p w14:paraId="51960833">
      <w:pPr>
        <w:pStyle w:val="2"/>
        <w:ind w:left="0" w:leftChars="0" w:firstLine="640" w:firstLineChars="20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2040610 社区矫正4.21万元</w:t>
      </w:r>
    </w:p>
    <w:p w14:paraId="319FEC8B">
      <w:pPr>
        <w:pStyle w:val="2"/>
        <w:ind w:left="0" w:leftChars="0" w:firstLine="640" w:firstLineChars="200"/>
        <w:rPr>
          <w:rStyle w:val="18"/>
          <w:rFonts w:hint="default"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2040612 法制建设8万元</w:t>
      </w:r>
    </w:p>
    <w:p w14:paraId="7A2E33D8">
      <w:pPr>
        <w:pStyle w:val="2"/>
        <w:ind w:left="0" w:leftChars="0" w:firstLine="640" w:firstLineChars="20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2040650 事业运行79.05万元</w:t>
      </w:r>
    </w:p>
    <w:p w14:paraId="67C1C410">
      <w:pPr>
        <w:numPr>
          <w:ilvl w:val="0"/>
          <w:numId w:val="0"/>
        </w:num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2.</w:t>
      </w:r>
      <w:r>
        <w:rPr>
          <w:rStyle w:val="18"/>
          <w:rFonts w:hint="eastAsia" w:ascii="仿宋" w:hAnsi="仿宋" w:eastAsia="仿宋"/>
          <w:bCs/>
          <w:color w:val="000000"/>
          <w:sz w:val="32"/>
          <w:szCs w:val="32"/>
        </w:rPr>
        <w:t>教育</w:t>
      </w:r>
      <w:r>
        <w:rPr>
          <w:rStyle w:val="18"/>
          <w:rFonts w:hint="eastAsia" w:ascii="仿宋" w:hAnsi="仿宋" w:eastAsia="仿宋"/>
          <w:bCs/>
          <w:color w:val="000000"/>
          <w:sz w:val="32"/>
          <w:szCs w:val="32"/>
          <w:lang w:val="en-US" w:eastAsia="zh-CN"/>
        </w:rPr>
        <w:t>205</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0</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3D0EFFA0">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3.</w:t>
      </w:r>
      <w:r>
        <w:rPr>
          <w:rStyle w:val="18"/>
          <w:rFonts w:hint="eastAsia" w:ascii="仿宋" w:hAnsi="仿宋" w:eastAsia="仿宋"/>
          <w:bCs/>
          <w:color w:val="000000"/>
          <w:sz w:val="32"/>
          <w:szCs w:val="32"/>
        </w:rPr>
        <w:t>科学技术</w:t>
      </w:r>
      <w:r>
        <w:rPr>
          <w:rStyle w:val="18"/>
          <w:rFonts w:hint="eastAsia" w:ascii="仿宋" w:hAnsi="仿宋" w:eastAsia="仿宋"/>
          <w:bCs/>
          <w:color w:val="000000"/>
          <w:sz w:val="32"/>
          <w:szCs w:val="32"/>
          <w:lang w:val="en-US" w:eastAsia="zh-CN"/>
        </w:rPr>
        <w:t>206</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0</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0BE33344">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4.</w:t>
      </w:r>
      <w:r>
        <w:rPr>
          <w:rStyle w:val="18"/>
          <w:rFonts w:hint="eastAsia" w:ascii="仿宋" w:hAnsi="仿宋" w:eastAsia="仿宋"/>
          <w:bCs/>
          <w:color w:val="000000"/>
          <w:sz w:val="32"/>
          <w:szCs w:val="32"/>
        </w:rPr>
        <w:t>文化旅游体育与传媒</w:t>
      </w:r>
      <w:r>
        <w:rPr>
          <w:rStyle w:val="18"/>
          <w:rFonts w:hint="eastAsia" w:ascii="仿宋" w:hAnsi="仿宋" w:eastAsia="仿宋"/>
          <w:bCs/>
          <w:color w:val="000000"/>
          <w:sz w:val="32"/>
          <w:szCs w:val="32"/>
          <w:lang w:val="en-US" w:eastAsia="zh-CN"/>
        </w:rPr>
        <w:t>207</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0</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58A0FA8D">
      <w:pPr>
        <w:spacing w:line="600" w:lineRule="exact"/>
        <w:ind w:firstLine="643" w:firstLineChars="200"/>
        <w:rPr>
          <w:rStyle w:val="18"/>
          <w:rFonts w:hint="eastAsia" w:ascii="仿宋" w:hAnsi="仿宋" w:eastAsia="仿宋"/>
          <w:b w:val="0"/>
          <w:bCs/>
          <w:color w:val="000000"/>
          <w:sz w:val="32"/>
          <w:szCs w:val="32"/>
        </w:rPr>
      </w:pPr>
      <w:r>
        <w:rPr>
          <w:rStyle w:val="18"/>
          <w:rFonts w:ascii="仿宋" w:hAnsi="仿宋" w:eastAsia="仿宋"/>
          <w:bCs/>
          <w:color w:val="000000"/>
          <w:sz w:val="32"/>
          <w:szCs w:val="32"/>
        </w:rPr>
        <w:t>5.</w:t>
      </w:r>
      <w:r>
        <w:rPr>
          <w:rStyle w:val="18"/>
          <w:rFonts w:hint="eastAsia" w:ascii="仿宋" w:hAnsi="仿宋" w:eastAsia="仿宋"/>
          <w:bCs/>
          <w:color w:val="000000"/>
          <w:sz w:val="32"/>
          <w:szCs w:val="32"/>
        </w:rPr>
        <w:t>社会保障和就业</w:t>
      </w:r>
      <w:r>
        <w:rPr>
          <w:rStyle w:val="18"/>
          <w:rFonts w:hint="eastAsia" w:ascii="仿宋" w:hAnsi="仿宋" w:eastAsia="仿宋"/>
          <w:bCs/>
          <w:color w:val="000000"/>
          <w:sz w:val="32"/>
          <w:szCs w:val="32"/>
          <w:lang w:eastAsia="zh-CN"/>
        </w:rPr>
        <w:t>支出</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120.41</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1F8AA1FD">
      <w:pPr>
        <w:numPr>
          <w:ilvl w:val="0"/>
          <w:numId w:val="0"/>
        </w:numPr>
        <w:spacing w:line="600" w:lineRule="exact"/>
        <w:ind w:firstLine="64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208社会保障和就业支出120.41万元</w:t>
      </w:r>
    </w:p>
    <w:p w14:paraId="43A80230">
      <w:pPr>
        <w:numPr>
          <w:ilvl w:val="0"/>
          <w:numId w:val="0"/>
        </w:numPr>
        <w:spacing w:line="600" w:lineRule="exact"/>
        <w:ind w:firstLine="64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20805行政事业单位养老支出120.41万元</w:t>
      </w:r>
    </w:p>
    <w:p w14:paraId="6D58488C">
      <w:pPr>
        <w:numPr>
          <w:ilvl w:val="0"/>
          <w:numId w:val="0"/>
        </w:numPr>
        <w:spacing w:line="600" w:lineRule="exact"/>
        <w:ind w:firstLine="640"/>
        <w:rPr>
          <w:rStyle w:val="18"/>
          <w:rFonts w:hint="eastAsia" w:ascii="仿宋" w:hAnsi="仿宋" w:eastAsia="仿宋"/>
          <w:b w:val="0"/>
          <w:bCs/>
          <w:color w:val="auto"/>
          <w:sz w:val="32"/>
          <w:szCs w:val="32"/>
          <w:lang w:val="en-US" w:eastAsia="zh-CN"/>
        </w:rPr>
      </w:pPr>
      <w:r>
        <w:rPr>
          <w:rStyle w:val="18"/>
          <w:rFonts w:hint="eastAsia" w:ascii="仿宋" w:hAnsi="仿宋" w:eastAsia="仿宋"/>
          <w:b w:val="0"/>
          <w:bCs/>
          <w:color w:val="auto"/>
          <w:sz w:val="32"/>
          <w:szCs w:val="32"/>
          <w:lang w:val="en-US" w:eastAsia="zh-CN"/>
        </w:rPr>
        <w:t>2080505机构事业单位基本养老保险缴费支出80.27万元</w:t>
      </w:r>
    </w:p>
    <w:p w14:paraId="72DD7A6B">
      <w:pPr>
        <w:numPr>
          <w:ilvl w:val="0"/>
          <w:numId w:val="0"/>
        </w:numPr>
        <w:spacing w:line="600" w:lineRule="exact"/>
        <w:ind w:firstLine="640"/>
      </w:pPr>
      <w:r>
        <w:rPr>
          <w:rStyle w:val="18"/>
          <w:rFonts w:hint="eastAsia" w:ascii="仿宋" w:hAnsi="仿宋" w:eastAsia="仿宋"/>
          <w:b w:val="0"/>
          <w:bCs/>
          <w:color w:val="auto"/>
          <w:sz w:val="32"/>
          <w:szCs w:val="32"/>
          <w:lang w:val="en-US" w:eastAsia="zh-CN"/>
        </w:rPr>
        <w:t>2080506机构事业单位职业年金缴费支出40.14万元</w:t>
      </w:r>
    </w:p>
    <w:p w14:paraId="0D0B1D89">
      <w:pPr>
        <w:numPr>
          <w:ilvl w:val="0"/>
          <w:numId w:val="0"/>
        </w:numPr>
        <w:spacing w:line="600" w:lineRule="exact"/>
        <w:ind w:firstLine="643" w:firstLineChars="200"/>
        <w:rPr>
          <w:rStyle w:val="18"/>
          <w:rFonts w:hint="eastAsia" w:ascii="仿宋" w:hAnsi="仿宋" w:eastAsia="仿宋"/>
          <w:b w:val="0"/>
          <w:bCs/>
          <w:color w:val="auto"/>
          <w:sz w:val="32"/>
          <w:szCs w:val="32"/>
          <w:lang w:eastAsia="zh-CN"/>
        </w:rPr>
      </w:pPr>
      <w:r>
        <w:rPr>
          <w:rStyle w:val="18"/>
          <w:rFonts w:ascii="仿宋" w:hAnsi="仿宋" w:eastAsia="仿宋"/>
          <w:bCs/>
          <w:color w:val="000000"/>
          <w:sz w:val="32"/>
          <w:szCs w:val="32"/>
        </w:rPr>
        <w:t>6.</w:t>
      </w:r>
      <w:r>
        <w:rPr>
          <w:rStyle w:val="18"/>
          <w:rFonts w:hint="eastAsia" w:ascii="仿宋" w:hAnsi="仿宋" w:eastAsia="仿宋"/>
          <w:bCs/>
          <w:color w:val="auto"/>
          <w:sz w:val="32"/>
          <w:szCs w:val="32"/>
          <w:lang w:val="en-US" w:eastAsia="zh-CN"/>
        </w:rPr>
        <w:t>卫生健康类</w:t>
      </w:r>
      <w:r>
        <w:rPr>
          <w:rStyle w:val="18"/>
          <w:rFonts w:hint="eastAsia" w:ascii="仿宋" w:hAnsi="仿宋" w:eastAsia="仿宋"/>
          <w:bCs/>
          <w:color w:val="auto"/>
          <w:sz w:val="32"/>
          <w:szCs w:val="32"/>
          <w:lang w:eastAsia="zh-CN"/>
        </w:rPr>
        <w:t>支出</w:t>
      </w:r>
      <w:r>
        <w:rPr>
          <w:rStyle w:val="18"/>
          <w:rFonts w:ascii="仿宋" w:hAnsi="仿宋" w:eastAsia="仿宋"/>
          <w:bCs/>
          <w:color w:val="auto"/>
          <w:sz w:val="32"/>
          <w:szCs w:val="32"/>
        </w:rPr>
        <w:t>:</w:t>
      </w:r>
      <w:r>
        <w:rPr>
          <w:rStyle w:val="18"/>
          <w:rFonts w:hint="eastAsia" w:ascii="仿宋" w:hAnsi="仿宋" w:eastAsia="仿宋"/>
          <w:b w:val="0"/>
          <w:bCs/>
          <w:color w:val="auto"/>
          <w:sz w:val="32"/>
          <w:szCs w:val="32"/>
        </w:rPr>
        <w:t>支出决算为</w:t>
      </w:r>
      <w:r>
        <w:rPr>
          <w:rStyle w:val="18"/>
          <w:rFonts w:hint="eastAsia" w:ascii="仿宋" w:hAnsi="仿宋" w:eastAsia="仿宋"/>
          <w:b w:val="0"/>
          <w:bCs/>
          <w:color w:val="auto"/>
          <w:sz w:val="32"/>
          <w:szCs w:val="32"/>
          <w:lang w:val="en-US" w:eastAsia="zh-CN"/>
        </w:rPr>
        <w:t>53.36</w:t>
      </w:r>
      <w:r>
        <w:rPr>
          <w:rStyle w:val="18"/>
          <w:rFonts w:hint="eastAsia" w:ascii="仿宋" w:hAnsi="仿宋" w:eastAsia="仿宋"/>
          <w:b w:val="0"/>
          <w:bCs/>
          <w:color w:val="auto"/>
          <w:sz w:val="32"/>
          <w:szCs w:val="32"/>
        </w:rPr>
        <w:t>万元，完成预算</w:t>
      </w:r>
      <w:r>
        <w:rPr>
          <w:rStyle w:val="18"/>
          <w:rFonts w:hint="eastAsia" w:ascii="仿宋" w:hAnsi="仿宋" w:eastAsia="仿宋"/>
          <w:b w:val="0"/>
          <w:bCs/>
          <w:color w:val="auto"/>
          <w:sz w:val="32"/>
          <w:szCs w:val="32"/>
          <w:lang w:val="en-US" w:eastAsia="zh-CN"/>
        </w:rPr>
        <w:t>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lang w:eastAsia="zh-CN"/>
        </w:rPr>
        <w:t>。</w:t>
      </w:r>
    </w:p>
    <w:p w14:paraId="5CF9F6FA">
      <w:pPr>
        <w:numPr>
          <w:ilvl w:val="0"/>
          <w:numId w:val="0"/>
        </w:numPr>
        <w:spacing w:line="600" w:lineRule="exact"/>
        <w:ind w:leftChars="200" w:firstLine="320" w:firstLineChars="100"/>
        <w:rPr>
          <w:rStyle w:val="18"/>
          <w:rFonts w:hint="eastAsia" w:ascii="仿宋" w:hAnsi="仿宋" w:eastAsia="仿宋"/>
          <w:b w:val="0"/>
          <w:bCs w:val="0"/>
          <w:color w:val="auto"/>
          <w:sz w:val="32"/>
          <w:szCs w:val="32"/>
          <w:lang w:val="en-US" w:eastAsia="zh-CN"/>
        </w:rPr>
      </w:pPr>
      <w:r>
        <w:rPr>
          <w:rStyle w:val="18"/>
          <w:rFonts w:hint="eastAsia" w:ascii="仿宋" w:hAnsi="仿宋" w:eastAsia="仿宋"/>
          <w:b w:val="0"/>
          <w:bCs/>
          <w:color w:val="auto"/>
          <w:sz w:val="32"/>
          <w:szCs w:val="32"/>
          <w:lang w:val="en-US" w:eastAsia="zh-CN"/>
        </w:rPr>
        <w:t>210</w:t>
      </w:r>
      <w:r>
        <w:rPr>
          <w:rStyle w:val="18"/>
          <w:rFonts w:hint="eastAsia" w:ascii="仿宋" w:hAnsi="仿宋" w:eastAsia="仿宋"/>
          <w:b w:val="0"/>
          <w:bCs w:val="0"/>
          <w:color w:val="auto"/>
          <w:sz w:val="32"/>
          <w:szCs w:val="32"/>
        </w:rPr>
        <w:t>卫生</w:t>
      </w:r>
      <w:r>
        <w:rPr>
          <w:rStyle w:val="18"/>
          <w:rFonts w:hint="eastAsia" w:ascii="仿宋" w:hAnsi="仿宋" w:eastAsia="仿宋"/>
          <w:b w:val="0"/>
          <w:bCs w:val="0"/>
          <w:color w:val="auto"/>
          <w:sz w:val="32"/>
          <w:szCs w:val="32"/>
          <w:lang w:eastAsia="zh-CN"/>
        </w:rPr>
        <w:t>健康支出</w:t>
      </w:r>
      <w:r>
        <w:rPr>
          <w:rStyle w:val="18"/>
          <w:rFonts w:hint="eastAsia" w:ascii="仿宋" w:hAnsi="仿宋" w:eastAsia="仿宋"/>
          <w:b w:val="0"/>
          <w:bCs/>
          <w:color w:val="auto"/>
          <w:sz w:val="32"/>
          <w:szCs w:val="32"/>
          <w:lang w:val="en-US" w:eastAsia="zh-CN"/>
        </w:rPr>
        <w:t>53.36</w:t>
      </w:r>
      <w:r>
        <w:rPr>
          <w:rStyle w:val="18"/>
          <w:rFonts w:hint="eastAsia" w:ascii="仿宋" w:hAnsi="仿宋" w:eastAsia="仿宋"/>
          <w:b w:val="0"/>
          <w:bCs w:val="0"/>
          <w:color w:val="auto"/>
          <w:sz w:val="32"/>
          <w:szCs w:val="32"/>
          <w:lang w:val="en-US" w:eastAsia="zh-CN"/>
        </w:rPr>
        <w:t>万元</w:t>
      </w:r>
    </w:p>
    <w:p w14:paraId="11F8DBAA">
      <w:pPr>
        <w:numPr>
          <w:ilvl w:val="0"/>
          <w:numId w:val="0"/>
        </w:numPr>
        <w:spacing w:line="600" w:lineRule="exact"/>
        <w:ind w:leftChars="200" w:firstLine="320" w:firstLineChars="100"/>
        <w:rPr>
          <w:rStyle w:val="18"/>
          <w:rFonts w:hint="eastAsia" w:ascii="仿宋" w:hAnsi="仿宋" w:eastAsia="仿宋"/>
          <w:b w:val="0"/>
          <w:bCs w:val="0"/>
          <w:color w:val="auto"/>
          <w:sz w:val="32"/>
          <w:szCs w:val="32"/>
          <w:lang w:val="en-US" w:eastAsia="zh-CN"/>
        </w:rPr>
      </w:pPr>
      <w:r>
        <w:rPr>
          <w:rStyle w:val="18"/>
          <w:rFonts w:hint="eastAsia" w:ascii="仿宋" w:hAnsi="仿宋" w:eastAsia="仿宋"/>
          <w:b w:val="0"/>
          <w:bCs w:val="0"/>
          <w:color w:val="auto"/>
          <w:sz w:val="32"/>
          <w:szCs w:val="32"/>
          <w:lang w:val="en-US" w:eastAsia="zh-CN"/>
        </w:rPr>
        <w:t>21011行政事业单位医疗</w:t>
      </w:r>
      <w:r>
        <w:rPr>
          <w:rStyle w:val="18"/>
          <w:rFonts w:hint="eastAsia" w:ascii="仿宋" w:hAnsi="仿宋" w:eastAsia="仿宋"/>
          <w:b w:val="0"/>
          <w:bCs/>
          <w:color w:val="auto"/>
          <w:sz w:val="32"/>
          <w:szCs w:val="32"/>
          <w:lang w:val="en-US" w:eastAsia="zh-CN"/>
        </w:rPr>
        <w:t>53.36</w:t>
      </w:r>
      <w:r>
        <w:rPr>
          <w:rStyle w:val="18"/>
          <w:rFonts w:hint="eastAsia" w:ascii="仿宋" w:hAnsi="仿宋" w:eastAsia="仿宋"/>
          <w:b w:val="0"/>
          <w:bCs w:val="0"/>
          <w:color w:val="auto"/>
          <w:sz w:val="32"/>
          <w:szCs w:val="32"/>
          <w:lang w:val="en-US" w:eastAsia="zh-CN"/>
        </w:rPr>
        <w:t>万元</w:t>
      </w:r>
    </w:p>
    <w:p w14:paraId="3E8AE84C">
      <w:pPr>
        <w:numPr>
          <w:ilvl w:val="0"/>
          <w:numId w:val="0"/>
        </w:numPr>
        <w:spacing w:line="600" w:lineRule="exact"/>
        <w:ind w:leftChars="200" w:firstLine="320" w:firstLineChars="100"/>
        <w:rPr>
          <w:rStyle w:val="18"/>
          <w:rFonts w:hint="eastAsia" w:ascii="仿宋" w:hAnsi="仿宋" w:eastAsia="仿宋"/>
          <w:b w:val="0"/>
          <w:bCs w:val="0"/>
          <w:color w:val="auto"/>
          <w:sz w:val="32"/>
          <w:szCs w:val="32"/>
          <w:lang w:val="en-US" w:eastAsia="zh-CN"/>
        </w:rPr>
      </w:pPr>
      <w:r>
        <w:rPr>
          <w:rStyle w:val="18"/>
          <w:rFonts w:hint="eastAsia" w:ascii="仿宋" w:hAnsi="仿宋" w:eastAsia="仿宋"/>
          <w:b w:val="0"/>
          <w:bCs w:val="0"/>
          <w:color w:val="auto"/>
          <w:sz w:val="32"/>
          <w:szCs w:val="32"/>
          <w:lang w:val="en-US" w:eastAsia="zh-CN"/>
        </w:rPr>
        <w:t>2101101行政单位医疗38.26万元</w:t>
      </w:r>
    </w:p>
    <w:p w14:paraId="040D2FA9">
      <w:pPr>
        <w:numPr>
          <w:ilvl w:val="0"/>
          <w:numId w:val="0"/>
        </w:numPr>
        <w:spacing w:line="600" w:lineRule="exact"/>
        <w:ind w:leftChars="200" w:firstLine="320" w:firstLineChars="100"/>
        <w:rPr>
          <w:rStyle w:val="18"/>
          <w:rFonts w:hint="default" w:ascii="仿宋" w:hAnsi="仿宋" w:eastAsia="仿宋"/>
          <w:b w:val="0"/>
          <w:bCs w:val="0"/>
          <w:color w:val="auto"/>
          <w:sz w:val="32"/>
          <w:szCs w:val="32"/>
          <w:lang w:val="en-US" w:eastAsia="zh-CN"/>
        </w:rPr>
      </w:pPr>
      <w:r>
        <w:rPr>
          <w:rStyle w:val="18"/>
          <w:rFonts w:hint="eastAsia" w:ascii="仿宋" w:hAnsi="仿宋" w:eastAsia="仿宋"/>
          <w:b w:val="0"/>
          <w:bCs w:val="0"/>
          <w:color w:val="auto"/>
          <w:sz w:val="32"/>
          <w:szCs w:val="32"/>
          <w:lang w:val="en-US" w:eastAsia="zh-CN"/>
        </w:rPr>
        <w:t>2101102 事业单位医疗4.83万元</w:t>
      </w:r>
    </w:p>
    <w:p w14:paraId="34EFECA9">
      <w:pPr>
        <w:numPr>
          <w:ilvl w:val="0"/>
          <w:numId w:val="0"/>
        </w:numPr>
        <w:spacing w:line="600" w:lineRule="exact"/>
        <w:ind w:leftChars="200" w:firstLine="320" w:firstLineChars="100"/>
        <w:rPr>
          <w:rStyle w:val="18"/>
          <w:rFonts w:hint="eastAsia" w:ascii="仿宋" w:hAnsi="仿宋" w:eastAsia="仿宋"/>
          <w:b w:val="0"/>
          <w:bCs w:val="0"/>
          <w:color w:val="auto"/>
          <w:sz w:val="32"/>
          <w:szCs w:val="32"/>
          <w:lang w:val="en-US" w:eastAsia="zh-CN"/>
        </w:rPr>
      </w:pPr>
      <w:r>
        <w:rPr>
          <w:rStyle w:val="18"/>
          <w:rFonts w:hint="eastAsia" w:ascii="仿宋" w:hAnsi="仿宋" w:eastAsia="仿宋"/>
          <w:b w:val="0"/>
          <w:bCs w:val="0"/>
          <w:color w:val="auto"/>
          <w:sz w:val="32"/>
          <w:szCs w:val="32"/>
          <w:lang w:val="en-US" w:eastAsia="zh-CN"/>
        </w:rPr>
        <w:t>2101103公务员医疗补助9.16万元</w:t>
      </w:r>
    </w:p>
    <w:p w14:paraId="0DBB4F29">
      <w:pPr>
        <w:spacing w:line="600" w:lineRule="exact"/>
        <w:ind w:firstLine="640" w:firstLineChars="200"/>
        <w:rPr>
          <w:rStyle w:val="18"/>
          <w:rFonts w:hint="eastAsia" w:ascii="仿宋" w:hAnsi="仿宋" w:eastAsia="仿宋"/>
          <w:b w:val="0"/>
          <w:bCs w:val="0"/>
          <w:color w:val="auto"/>
          <w:sz w:val="32"/>
          <w:szCs w:val="32"/>
          <w:lang w:val="en-US" w:eastAsia="zh-CN"/>
        </w:rPr>
      </w:pPr>
      <w:r>
        <w:rPr>
          <w:rStyle w:val="18"/>
          <w:rFonts w:hint="eastAsia" w:ascii="仿宋" w:hAnsi="仿宋" w:eastAsia="仿宋"/>
          <w:b w:val="0"/>
          <w:bCs w:val="0"/>
          <w:color w:val="auto"/>
          <w:sz w:val="32"/>
          <w:szCs w:val="32"/>
          <w:lang w:val="en-US" w:eastAsia="zh-CN"/>
        </w:rPr>
        <w:t>2101199其他行政事业单位医疗支出1.11万元</w:t>
      </w:r>
    </w:p>
    <w:p w14:paraId="3B542296">
      <w:pPr>
        <w:spacing w:line="600" w:lineRule="exact"/>
        <w:ind w:firstLine="643" w:firstLineChars="200"/>
        <w:rPr>
          <w:rStyle w:val="18"/>
          <w:rFonts w:hint="eastAsia" w:ascii="仿宋" w:hAnsi="仿宋" w:eastAsia="仿宋"/>
          <w:b w:val="0"/>
          <w:bCs/>
          <w:color w:val="auto"/>
          <w:sz w:val="32"/>
          <w:szCs w:val="32"/>
          <w:lang w:eastAsia="zh-CN"/>
        </w:rPr>
      </w:pPr>
      <w:r>
        <w:rPr>
          <w:rFonts w:hint="eastAsia" w:ascii="仿宋" w:hAnsi="仿宋" w:eastAsia="仿宋"/>
          <w:b/>
          <w:bCs/>
          <w:color w:val="auto"/>
          <w:sz w:val="32"/>
          <w:szCs w:val="32"/>
          <w:lang w:val="en-US" w:eastAsia="zh-CN"/>
        </w:rPr>
        <w:t>7、</w:t>
      </w:r>
      <w:r>
        <w:rPr>
          <w:rFonts w:hint="eastAsia" w:ascii="仿宋" w:hAnsi="仿宋" w:eastAsia="仿宋"/>
          <w:b/>
          <w:bCs/>
          <w:color w:val="auto"/>
          <w:sz w:val="32"/>
          <w:szCs w:val="32"/>
        </w:rPr>
        <w:t>住房保障支出</w:t>
      </w:r>
      <w:r>
        <w:rPr>
          <w:rFonts w:hint="eastAsia" w:ascii="仿宋" w:hAnsi="仿宋" w:eastAsia="仿宋"/>
          <w:b/>
          <w:bCs/>
          <w:color w:val="auto"/>
          <w:sz w:val="32"/>
          <w:szCs w:val="32"/>
          <w:lang w:val="en-US" w:eastAsia="zh-CN"/>
        </w:rPr>
        <w:t>71.21</w:t>
      </w:r>
      <w:r>
        <w:rPr>
          <w:rFonts w:hint="eastAsia" w:ascii="仿宋" w:hAnsi="仿宋" w:eastAsia="仿宋"/>
          <w:color w:val="auto"/>
          <w:sz w:val="32"/>
          <w:szCs w:val="32"/>
        </w:rPr>
        <w:t>万元，</w:t>
      </w:r>
      <w:r>
        <w:rPr>
          <w:rStyle w:val="18"/>
          <w:rFonts w:hint="eastAsia" w:ascii="仿宋" w:hAnsi="仿宋" w:eastAsia="仿宋"/>
          <w:b w:val="0"/>
          <w:bCs/>
          <w:color w:val="auto"/>
          <w:sz w:val="32"/>
          <w:szCs w:val="32"/>
        </w:rPr>
        <w:t>完成预算</w:t>
      </w:r>
      <w:r>
        <w:rPr>
          <w:rStyle w:val="18"/>
          <w:rFonts w:hint="eastAsia" w:ascii="仿宋" w:hAnsi="仿宋" w:eastAsia="仿宋"/>
          <w:b w:val="0"/>
          <w:bCs/>
          <w:color w:val="auto"/>
          <w:sz w:val="32"/>
          <w:szCs w:val="32"/>
          <w:lang w:val="en-US" w:eastAsia="zh-CN"/>
        </w:rPr>
        <w:t>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lang w:eastAsia="zh-CN"/>
        </w:rPr>
        <w:t>。</w:t>
      </w:r>
    </w:p>
    <w:p w14:paraId="0B326B36">
      <w:pPr>
        <w:spacing w:line="600" w:lineRule="exact"/>
        <w:ind w:firstLine="640" w:firstLineChars="200"/>
        <w:rPr>
          <w:rFonts w:hint="eastAsia" w:ascii="仿宋" w:hAnsi="仿宋" w:eastAsia="仿宋"/>
          <w:b w:val="0"/>
          <w:bCs w:val="0"/>
          <w:color w:val="auto"/>
          <w:sz w:val="32"/>
          <w:szCs w:val="32"/>
          <w:lang w:val="en-US" w:eastAsia="zh-CN"/>
        </w:rPr>
      </w:pPr>
      <w:r>
        <w:rPr>
          <w:rStyle w:val="18"/>
          <w:rFonts w:hint="eastAsia" w:ascii="仿宋" w:hAnsi="仿宋" w:eastAsia="仿宋"/>
          <w:b w:val="0"/>
          <w:bCs/>
          <w:color w:val="auto"/>
          <w:sz w:val="32"/>
          <w:szCs w:val="32"/>
          <w:lang w:val="en-US" w:eastAsia="zh-CN"/>
        </w:rPr>
        <w:t>221</w:t>
      </w:r>
      <w:r>
        <w:rPr>
          <w:rFonts w:hint="eastAsia" w:ascii="仿宋" w:hAnsi="仿宋" w:eastAsia="仿宋"/>
          <w:b w:val="0"/>
          <w:bCs w:val="0"/>
          <w:color w:val="auto"/>
          <w:sz w:val="32"/>
          <w:szCs w:val="32"/>
        </w:rPr>
        <w:t>住房保障支出</w:t>
      </w:r>
      <w:r>
        <w:rPr>
          <w:rFonts w:hint="eastAsia" w:ascii="仿宋" w:hAnsi="仿宋" w:eastAsia="仿宋"/>
          <w:b w:val="0"/>
          <w:bCs w:val="0"/>
          <w:color w:val="auto"/>
          <w:sz w:val="32"/>
          <w:szCs w:val="32"/>
          <w:lang w:val="en-US" w:eastAsia="zh-CN"/>
        </w:rPr>
        <w:t>71.21万元</w:t>
      </w:r>
    </w:p>
    <w:p w14:paraId="02CCC39D">
      <w:pPr>
        <w:spacing w:line="600" w:lineRule="exact"/>
        <w:ind w:firstLine="640" w:firstLineChars="200"/>
        <w:rPr>
          <w:rFonts w:hint="eastAsia"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22102住房改革支出71.21万元</w:t>
      </w:r>
    </w:p>
    <w:p w14:paraId="08647C23">
      <w:pPr>
        <w:spacing w:line="600" w:lineRule="exact"/>
        <w:ind w:firstLine="640" w:firstLineChars="200"/>
        <w:rPr>
          <w:rFonts w:ascii="仿宋" w:hAnsi="仿宋" w:eastAsia="仿宋"/>
          <w:b/>
          <w:color w:val="000000"/>
          <w:sz w:val="32"/>
          <w:szCs w:val="32"/>
        </w:rPr>
      </w:pPr>
      <w:r>
        <w:rPr>
          <w:rFonts w:hint="eastAsia" w:ascii="仿宋" w:hAnsi="仿宋" w:eastAsia="仿宋"/>
          <w:b w:val="0"/>
          <w:bCs w:val="0"/>
          <w:color w:val="auto"/>
          <w:sz w:val="32"/>
          <w:szCs w:val="32"/>
          <w:lang w:val="en-US" w:eastAsia="zh-CN"/>
        </w:rPr>
        <w:t>2210201住房公积金支出71.21万元</w:t>
      </w:r>
    </w:p>
    <w:p w14:paraId="23496855">
      <w:pPr>
        <w:tabs>
          <w:tab w:val="right" w:pos="8306"/>
        </w:tabs>
        <w:spacing w:line="600" w:lineRule="exact"/>
        <w:ind w:firstLine="640"/>
        <w:outlineLvl w:val="1"/>
        <w:rPr>
          <w:rStyle w:val="20"/>
        </w:rPr>
      </w:pPr>
      <w:bookmarkStart w:id="92" w:name="_Toc3280"/>
      <w:bookmarkStart w:id="93" w:name="_Toc79163868"/>
      <w:bookmarkStart w:id="94" w:name="_Toc15396608"/>
      <w:bookmarkStart w:id="95" w:name="_Toc15377214"/>
      <w:bookmarkStart w:id="96" w:name="_Toc9574"/>
      <w:bookmarkStart w:id="97"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0"/>
          <w:rFonts w:hint="eastAsia" w:ascii="黑体" w:hAnsi="黑体" w:eastAsia="黑体"/>
          <w:b w:val="0"/>
        </w:rPr>
        <w:t>般公共预算财政拨款基本支出决算情况说明</w:t>
      </w:r>
      <w:bookmarkEnd w:id="92"/>
      <w:bookmarkEnd w:id="93"/>
      <w:bookmarkEnd w:id="94"/>
      <w:bookmarkEnd w:id="95"/>
      <w:bookmarkEnd w:id="96"/>
      <w:bookmarkEnd w:id="97"/>
      <w:r>
        <w:rPr>
          <w:rStyle w:val="20"/>
          <w:rFonts w:ascii="黑体" w:hAnsi="黑体" w:eastAsia="黑体"/>
          <w:b w:val="0"/>
        </w:rPr>
        <w:tab/>
      </w:r>
    </w:p>
    <w:p w14:paraId="58F5E426">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971.14</w:t>
      </w:r>
      <w:r>
        <w:rPr>
          <w:rFonts w:hint="eastAsia" w:ascii="仿宋" w:hAnsi="仿宋" w:eastAsia="仿宋"/>
          <w:color w:val="000000"/>
          <w:sz w:val="32"/>
          <w:szCs w:val="32"/>
        </w:rPr>
        <w:t>万元，其中：</w:t>
      </w:r>
    </w:p>
    <w:p w14:paraId="28C1C087">
      <w:pPr>
        <w:spacing w:line="600" w:lineRule="exact"/>
        <w:ind w:firstLine="645"/>
        <w:rPr>
          <w:rFonts w:hint="eastAsia" w:ascii="仿宋" w:hAnsi="仿宋" w:eastAsia="仿宋"/>
          <w:color w:val="auto"/>
          <w:sz w:val="32"/>
          <w:szCs w:val="32"/>
          <w:lang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895.24</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141.13万元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283.46万元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184.13万元</w:t>
      </w:r>
      <w:r>
        <w:rPr>
          <w:rFonts w:hint="eastAsia" w:ascii="仿宋" w:hAnsi="仿宋" w:eastAsia="仿宋"/>
          <w:color w:val="auto"/>
          <w:sz w:val="32"/>
          <w:szCs w:val="32"/>
        </w:rPr>
        <w:t>、伙食补助费</w:t>
      </w:r>
      <w:r>
        <w:rPr>
          <w:rFonts w:hint="eastAsia" w:ascii="仿宋" w:hAnsi="仿宋" w:eastAsia="仿宋"/>
          <w:color w:val="auto"/>
          <w:sz w:val="32"/>
          <w:szCs w:val="32"/>
          <w:lang w:val="en-US" w:eastAsia="zh-CN"/>
        </w:rPr>
        <w:t>0元</w:t>
      </w:r>
      <w:r>
        <w:rPr>
          <w:rFonts w:hint="eastAsia" w:ascii="仿宋" w:hAnsi="仿宋" w:eastAsia="仿宋"/>
          <w:color w:val="auto"/>
          <w:sz w:val="32"/>
          <w:szCs w:val="32"/>
        </w:rPr>
        <w:t>、绩效工资</w:t>
      </w:r>
      <w:r>
        <w:rPr>
          <w:rFonts w:hint="eastAsia" w:ascii="仿宋" w:hAnsi="仿宋" w:eastAsia="仿宋"/>
          <w:color w:val="auto"/>
          <w:sz w:val="32"/>
          <w:szCs w:val="32"/>
          <w:lang w:val="en-US" w:eastAsia="zh-CN"/>
        </w:rPr>
        <w:t>15.02万元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80.27万元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40.14万元</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医疗保险</w:t>
      </w:r>
      <w:r>
        <w:rPr>
          <w:rFonts w:hint="eastAsia" w:ascii="仿宋" w:hAnsi="仿宋" w:eastAsia="仿宋"/>
          <w:color w:val="auto"/>
          <w:sz w:val="32"/>
          <w:szCs w:val="32"/>
          <w:lang w:val="en-US" w:eastAsia="zh-CN"/>
        </w:rPr>
        <w:t>43.09万元、公务员医疗补助10.27万元、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9.45万元</w:t>
      </w:r>
      <w:r>
        <w:rPr>
          <w:rFonts w:hint="eastAsia" w:ascii="仿宋" w:hAnsi="仿宋" w:eastAsia="仿宋"/>
          <w:color w:val="auto"/>
          <w:sz w:val="32"/>
          <w:szCs w:val="32"/>
        </w:rPr>
        <w:t>、其他工资福利支出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、离休费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、退休费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、抚恤金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2.78万元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71.21万元</w:t>
      </w:r>
      <w:r>
        <w:rPr>
          <w:rFonts w:hint="eastAsia" w:ascii="仿宋" w:hAnsi="仿宋" w:eastAsia="仿宋"/>
          <w:color w:val="auto"/>
          <w:sz w:val="32"/>
          <w:szCs w:val="32"/>
        </w:rPr>
        <w:t>、</w:t>
      </w:r>
      <w:r>
        <w:rPr>
          <w:rFonts w:hint="eastAsia" w:ascii="仿宋" w:hAnsi="仿宋" w:eastAsia="仿宋"/>
          <w:color w:val="auto"/>
          <w:sz w:val="32"/>
          <w:szCs w:val="32"/>
          <w:lang w:eastAsia="zh-CN"/>
        </w:rPr>
        <w:t>其他</w:t>
      </w:r>
      <w:r>
        <w:rPr>
          <w:rFonts w:hint="eastAsia" w:ascii="仿宋" w:hAnsi="仿宋" w:eastAsia="仿宋"/>
          <w:color w:val="auto"/>
          <w:sz w:val="32"/>
          <w:szCs w:val="32"/>
        </w:rPr>
        <w:t>对个人和家庭的补助支出</w:t>
      </w:r>
      <w:r>
        <w:rPr>
          <w:rFonts w:hint="eastAsia" w:ascii="仿宋" w:hAnsi="仿宋" w:eastAsia="仿宋"/>
          <w:color w:val="auto"/>
          <w:sz w:val="32"/>
          <w:szCs w:val="32"/>
          <w:lang w:val="en-US" w:eastAsia="zh-CN"/>
        </w:rPr>
        <w:t>14.30万元</w:t>
      </w:r>
      <w:r>
        <w:rPr>
          <w:rFonts w:hint="eastAsia" w:ascii="仿宋" w:hAnsi="仿宋" w:eastAsia="仿宋"/>
          <w:color w:val="auto"/>
          <w:sz w:val="32"/>
          <w:szCs w:val="32"/>
        </w:rPr>
        <w:t>等。</w:t>
      </w:r>
    </w:p>
    <w:p w14:paraId="159C4148">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公用经费</w:t>
      </w:r>
      <w:r>
        <w:rPr>
          <w:rFonts w:hint="eastAsia" w:ascii="仿宋" w:hAnsi="仿宋" w:eastAsia="仿宋"/>
          <w:color w:val="auto"/>
          <w:sz w:val="32"/>
          <w:szCs w:val="32"/>
          <w:lang w:val="en-US" w:eastAsia="zh-CN"/>
        </w:rPr>
        <w:t>75.91</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17.26万元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1.83万元</w:t>
      </w:r>
      <w:r>
        <w:rPr>
          <w:rFonts w:hint="eastAsia" w:ascii="仿宋" w:hAnsi="仿宋" w:eastAsia="仿宋"/>
          <w:color w:val="auto"/>
          <w:sz w:val="32"/>
          <w:szCs w:val="32"/>
        </w:rPr>
        <w:t>、咨询费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0.31万元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6.97万元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7.36万元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2.90万元</w:t>
      </w:r>
      <w:r>
        <w:rPr>
          <w:rFonts w:hint="eastAsia" w:ascii="仿宋" w:hAnsi="仿宋" w:eastAsia="仿宋"/>
          <w:color w:val="auto"/>
          <w:sz w:val="32"/>
          <w:szCs w:val="32"/>
        </w:rPr>
        <w:t>、物业管理费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5.89万元</w:t>
      </w:r>
      <w:r>
        <w:rPr>
          <w:rFonts w:hint="eastAsia" w:ascii="仿宋" w:hAnsi="仿宋" w:eastAsia="仿宋"/>
          <w:color w:val="auto"/>
          <w:sz w:val="32"/>
          <w:szCs w:val="32"/>
        </w:rPr>
        <w:t>、因公出国（境）费用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5.02万元</w:t>
      </w:r>
      <w:r>
        <w:rPr>
          <w:rFonts w:hint="eastAsia" w:ascii="仿宋" w:hAnsi="仿宋" w:eastAsia="仿宋"/>
          <w:color w:val="auto"/>
          <w:sz w:val="32"/>
          <w:szCs w:val="32"/>
        </w:rPr>
        <w:t>、租赁费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、会议费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2.66万元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0.47万元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3.15万元</w:t>
      </w:r>
      <w:r>
        <w:rPr>
          <w:rFonts w:hint="eastAsia" w:ascii="仿宋" w:hAnsi="仿宋" w:eastAsia="仿宋"/>
          <w:color w:val="auto"/>
          <w:sz w:val="32"/>
          <w:szCs w:val="32"/>
        </w:rPr>
        <w:t>、委托业务费</w:t>
      </w:r>
      <w:r>
        <w:rPr>
          <w:rFonts w:hint="eastAsia" w:ascii="仿宋" w:hAnsi="仿宋" w:eastAsia="仿宋"/>
          <w:color w:val="auto"/>
          <w:sz w:val="32"/>
          <w:szCs w:val="32"/>
          <w:lang w:val="en-US" w:eastAsia="zh-CN"/>
        </w:rPr>
        <w:t>0.38万元</w:t>
      </w:r>
      <w:r>
        <w:rPr>
          <w:rFonts w:hint="eastAsia" w:ascii="仿宋" w:hAnsi="仿宋" w:eastAsia="仿宋"/>
          <w:color w:val="auto"/>
          <w:sz w:val="32"/>
          <w:szCs w:val="32"/>
        </w:rPr>
        <w:t>、工会经费</w:t>
      </w:r>
      <w:r>
        <w:rPr>
          <w:rFonts w:hint="eastAsia" w:ascii="仿宋" w:hAnsi="仿宋" w:eastAsia="仿宋"/>
          <w:color w:val="auto"/>
          <w:sz w:val="32"/>
          <w:szCs w:val="32"/>
          <w:lang w:val="en-US" w:eastAsia="zh-CN"/>
        </w:rPr>
        <w:t>6.91万元</w:t>
      </w:r>
      <w:r>
        <w:rPr>
          <w:rFonts w:hint="eastAsia" w:ascii="仿宋" w:hAnsi="仿宋" w:eastAsia="仿宋"/>
          <w:color w:val="auto"/>
          <w:sz w:val="32"/>
          <w:szCs w:val="32"/>
        </w:rPr>
        <w:t>、福利费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14.81万元</w:t>
      </w:r>
      <w:r>
        <w:rPr>
          <w:rFonts w:hint="eastAsia" w:ascii="仿宋" w:hAnsi="仿宋" w:eastAsia="仿宋"/>
          <w:color w:val="auto"/>
          <w:sz w:val="32"/>
          <w:szCs w:val="32"/>
        </w:rPr>
        <w:t>、其他交通费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、税金及附加费用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、其他商品和服务支出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、办公设备购置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、专用设备购置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、信息网络及软件购置更新</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、其他资本性支出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14:paraId="338D709E">
      <w:pPr>
        <w:spacing w:line="600" w:lineRule="exact"/>
        <w:ind w:firstLine="320" w:firstLineChars="100"/>
        <w:outlineLvl w:val="1"/>
        <w:rPr>
          <w:rStyle w:val="20"/>
          <w:rFonts w:ascii="黑体" w:hAnsi="黑体" w:eastAsia="黑体"/>
          <w:b w:val="0"/>
        </w:rPr>
      </w:pPr>
      <w:bookmarkStart w:id="98" w:name="_Toc7960"/>
      <w:bookmarkStart w:id="99" w:name="_Toc15396609"/>
      <w:bookmarkStart w:id="100" w:name="_Toc79163619"/>
      <w:bookmarkStart w:id="101" w:name="_Toc15377215"/>
      <w:bookmarkStart w:id="102" w:name="_Toc10699"/>
      <w:bookmarkStart w:id="103" w:name="_Toc79163869"/>
      <w:r>
        <w:rPr>
          <w:rFonts w:hint="eastAsia" w:ascii="黑体" w:eastAsia="黑体"/>
          <w:color w:val="000000"/>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98"/>
      <w:bookmarkEnd w:id="99"/>
      <w:bookmarkEnd w:id="100"/>
      <w:bookmarkEnd w:id="101"/>
      <w:bookmarkEnd w:id="102"/>
      <w:bookmarkEnd w:id="103"/>
    </w:p>
    <w:p w14:paraId="2B8F2DD3">
      <w:pPr>
        <w:spacing w:line="600" w:lineRule="exact"/>
        <w:ind w:firstLine="643" w:firstLineChars="200"/>
        <w:outlineLvl w:val="2"/>
        <w:rPr>
          <w:rFonts w:ascii="仿宋" w:hAnsi="仿宋" w:eastAsia="仿宋"/>
          <w:b/>
          <w:color w:val="000000"/>
          <w:sz w:val="32"/>
          <w:szCs w:val="32"/>
        </w:rPr>
      </w:pPr>
      <w:bookmarkStart w:id="104" w:name="_Toc5229"/>
      <w:bookmarkStart w:id="105" w:name="_Toc18315"/>
      <w:bookmarkStart w:id="106" w:name="_Toc79163620"/>
      <w:bookmarkStart w:id="107" w:name="_Toc15377216"/>
      <w:bookmarkStart w:id="108" w:name="_Toc79163870"/>
      <w:r>
        <w:rPr>
          <w:rFonts w:hint="eastAsia" w:ascii="仿宋" w:hAnsi="仿宋" w:eastAsia="仿宋"/>
          <w:b/>
          <w:color w:val="000000"/>
          <w:sz w:val="32"/>
          <w:szCs w:val="32"/>
        </w:rPr>
        <w:t>（一）“三公”经费财政拨款支出决算总体情况说明</w:t>
      </w:r>
      <w:bookmarkEnd w:id="104"/>
      <w:bookmarkEnd w:id="105"/>
      <w:bookmarkEnd w:id="106"/>
      <w:bookmarkEnd w:id="107"/>
      <w:bookmarkEnd w:id="108"/>
    </w:p>
    <w:p w14:paraId="2E0DFDE5">
      <w:pPr>
        <w:spacing w:line="600" w:lineRule="exact"/>
        <w:ind w:firstLine="960" w:firstLineChars="300"/>
        <w:rPr>
          <w:rFonts w:ascii="仿宋" w:hAnsi="仿宋" w:eastAsia="仿宋"/>
          <w:b/>
          <w:color w:val="FF0000"/>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年“三公”经费财</w:t>
      </w:r>
      <w:r>
        <w:rPr>
          <w:rFonts w:hint="eastAsia" w:ascii="仿宋" w:hAnsi="仿宋" w:eastAsia="仿宋"/>
          <w:color w:val="000000"/>
          <w:sz w:val="32"/>
          <w:szCs w:val="32"/>
        </w:rPr>
        <w:t>政拨款支出决算为</w:t>
      </w:r>
      <w:r>
        <w:rPr>
          <w:rFonts w:hint="eastAsia" w:ascii="仿宋" w:hAnsi="仿宋" w:eastAsia="仿宋"/>
          <w:color w:val="000000"/>
          <w:sz w:val="32"/>
          <w:szCs w:val="32"/>
          <w:lang w:val="en-US" w:eastAsia="zh-CN"/>
        </w:rPr>
        <w:t>15.28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2B4B0B08">
      <w:pPr>
        <w:spacing w:line="600" w:lineRule="exact"/>
        <w:ind w:firstLine="640"/>
        <w:outlineLvl w:val="2"/>
        <w:rPr>
          <w:rFonts w:ascii="仿宋" w:hAnsi="仿宋" w:eastAsia="仿宋"/>
          <w:b/>
          <w:color w:val="000000"/>
          <w:sz w:val="32"/>
          <w:szCs w:val="32"/>
        </w:rPr>
      </w:pPr>
      <w:bookmarkStart w:id="109" w:name="_Toc21575"/>
      <w:bookmarkStart w:id="110" w:name="_Toc16638"/>
      <w:bookmarkStart w:id="111" w:name="_Toc79163621"/>
      <w:bookmarkStart w:id="112" w:name="_Toc79163871"/>
      <w:bookmarkStart w:id="113" w:name="_Toc15377217"/>
      <w:r>
        <w:rPr>
          <w:rFonts w:hint="eastAsia" w:ascii="仿宋" w:hAnsi="仿宋" w:eastAsia="仿宋"/>
          <w:b/>
          <w:color w:val="000000"/>
          <w:sz w:val="32"/>
          <w:szCs w:val="32"/>
        </w:rPr>
        <w:t>（二）“三公”经费财政拨款支出决算具体情况说明</w:t>
      </w:r>
      <w:bookmarkEnd w:id="109"/>
      <w:bookmarkEnd w:id="110"/>
      <w:bookmarkEnd w:id="111"/>
      <w:bookmarkEnd w:id="112"/>
      <w:bookmarkEnd w:id="113"/>
    </w:p>
    <w:p w14:paraId="2A731305">
      <w:pPr>
        <w:spacing w:line="600" w:lineRule="exact"/>
        <w:ind w:firstLine="960" w:firstLineChars="3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14.81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96.92</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3.08</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451986C">
      <w:pPr>
        <w:pStyle w:val="2"/>
        <w:ind w:left="0" w:leftChars="0" w:firstLine="0" w:firstLineChars="0"/>
        <w:rPr>
          <w:rFonts w:hint="eastAsia" w:ascii="仿宋" w:hAnsi="仿宋" w:eastAsia="仿宋"/>
          <w:color w:val="000000"/>
          <w:sz w:val="32"/>
          <w:szCs w:val="32"/>
        </w:rPr>
      </w:pPr>
    </w:p>
    <w:p w14:paraId="3FC5F135">
      <w:pPr>
        <w:rPr>
          <w:rFonts w:hint="eastAsia" w:ascii="仿宋" w:hAnsi="仿宋" w:eastAsia="仿宋"/>
          <w:color w:val="000000"/>
          <w:sz w:val="32"/>
          <w:szCs w:val="32"/>
        </w:rPr>
      </w:pPr>
      <w:r>
        <w:drawing>
          <wp:inline distT="0" distB="0" distL="114300" distR="114300">
            <wp:extent cx="5415915" cy="2943860"/>
            <wp:effectExtent l="4445" t="4445" r="8890" b="23495"/>
            <wp:docPr id="2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C0DEE3">
      <w:pPr>
        <w:spacing w:line="600" w:lineRule="exact"/>
        <w:jc w:val="center"/>
        <w:rPr>
          <w:rFonts w:hint="eastAsia"/>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168BA60B">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774A5512">
      <w:pPr>
        <w:spacing w:line="600" w:lineRule="exact"/>
        <w:ind w:firstLine="643" w:firstLineChars="200"/>
        <w:rPr>
          <w:rFonts w:hint="eastAsia" w:ascii="黑体" w:hAnsi="黑体" w:eastAsia="黑体"/>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14.81</w:t>
      </w:r>
      <w:r>
        <w:rPr>
          <w:rFonts w:hint="eastAsia" w:ascii="仿宋_GB2312" w:eastAsia="仿宋_GB2312"/>
          <w:color w:val="000000"/>
          <w:sz w:val="32"/>
          <w:szCs w:val="32"/>
        </w:rPr>
        <w:t>万元</w:t>
      </w:r>
      <w:r>
        <w:rPr>
          <w:rFonts w:ascii="仿宋_GB2312" w:eastAsia="仿宋_GB2312"/>
          <w:color w:val="000000"/>
          <w:sz w:val="32"/>
          <w:szCs w:val="32"/>
        </w:rPr>
        <w:t>,</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1.27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auto"/>
          <w:sz w:val="32"/>
          <w:szCs w:val="32"/>
          <w:lang w:val="en-US" w:eastAsia="zh-CN"/>
        </w:rPr>
        <w:t>减少开支，厉行节约。</w:t>
      </w:r>
    </w:p>
    <w:p w14:paraId="3CA95588">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3FBF0135">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14.81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维稳、基层司法业务</w:t>
      </w:r>
      <w:r>
        <w:rPr>
          <w:rFonts w:hint="eastAsia" w:ascii="仿宋_GB2312" w:eastAsia="仿宋_GB2312"/>
          <w:color w:val="000000"/>
          <w:sz w:val="32"/>
          <w:szCs w:val="32"/>
        </w:rPr>
        <w:t>等所需的公务用车燃料费、维修费、过路过桥费、保险费等支出。</w:t>
      </w:r>
    </w:p>
    <w:p w14:paraId="42F35E40">
      <w:pPr>
        <w:numPr>
          <w:ilvl w:val="0"/>
          <w:numId w:val="3"/>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0.47</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23年持平</w:t>
      </w:r>
      <w:r>
        <w:rPr>
          <w:rFonts w:hint="eastAsia" w:ascii="仿宋_GB2312" w:eastAsia="仿宋_GB2312"/>
          <w:color w:val="000000"/>
          <w:sz w:val="32"/>
          <w:szCs w:val="32"/>
          <w:lang w:eastAsia="zh-CN"/>
        </w:rPr>
        <w:t>。</w:t>
      </w:r>
    </w:p>
    <w:p w14:paraId="096A7945">
      <w:pPr>
        <w:numPr>
          <w:ilvl w:val="0"/>
          <w:numId w:val="3"/>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国内公务接待支出</w:t>
      </w:r>
      <w:r>
        <w:rPr>
          <w:rFonts w:hint="eastAsia" w:ascii="仿宋" w:hAnsi="仿宋" w:eastAsia="仿宋"/>
          <w:color w:val="000000" w:themeColor="text1"/>
          <w:sz w:val="32"/>
          <w:szCs w:val="32"/>
          <w:lang w:val="en-US" w:eastAsia="zh-CN"/>
          <w14:textFill>
            <w14:solidFill>
              <w14:schemeClr w14:val="tx1"/>
            </w14:solidFill>
          </w14:textFill>
        </w:rPr>
        <w:t>0.47</w:t>
      </w:r>
      <w:r>
        <w:rPr>
          <w:rFonts w:hint="eastAsia" w:ascii="仿宋_GB2312" w:eastAsia="仿宋_GB2312"/>
          <w:color w:val="000000" w:themeColor="text1"/>
          <w:sz w:val="32"/>
          <w:szCs w:val="32"/>
          <w14:textFill>
            <w14:solidFill>
              <w14:schemeClr w14:val="tx1"/>
            </w14:solidFill>
          </w14:textFill>
        </w:rPr>
        <w:t>万元，主要用于执行公务、开展业务活动开支</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住宿费、用餐费等。国内公务接待</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55</w:t>
      </w:r>
      <w:r>
        <w:rPr>
          <w:rFonts w:hint="eastAsia" w:ascii="仿宋_GB2312" w:eastAsia="仿宋_GB2312"/>
          <w:color w:val="000000" w:themeColor="text1"/>
          <w:sz w:val="32"/>
          <w:szCs w:val="32"/>
          <w14:textFill>
            <w14:solidFill>
              <w14:schemeClr w14:val="tx1"/>
            </w14:solidFill>
          </w14:textFill>
        </w:rPr>
        <w:t>人次，共计支出</w:t>
      </w:r>
      <w:r>
        <w:rPr>
          <w:rFonts w:hint="eastAsia" w:ascii="仿宋_GB2312" w:eastAsia="仿宋_GB2312"/>
          <w:color w:val="000000" w:themeColor="text1"/>
          <w:sz w:val="32"/>
          <w:szCs w:val="32"/>
          <w:lang w:val="en-US" w:eastAsia="zh-CN"/>
          <w14:textFill>
            <w14:solidFill>
              <w14:schemeClr w14:val="tx1"/>
            </w14:solidFill>
          </w14:textFill>
        </w:rPr>
        <w:t>0.47</w:t>
      </w:r>
      <w:r>
        <w:rPr>
          <w:rFonts w:hint="eastAsia" w:ascii="仿宋_GB2312" w:eastAsia="仿宋_GB2312"/>
          <w:color w:val="000000" w:themeColor="text1"/>
          <w:sz w:val="32"/>
          <w:szCs w:val="32"/>
          <w14:textFill>
            <w14:solidFill>
              <w14:schemeClr w14:val="tx1"/>
            </w14:solidFill>
          </w14:textFill>
        </w:rPr>
        <w:t>万元，具体内容包括：</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lang w:eastAsia="zh-CN"/>
          <w14:textFill>
            <w14:solidFill>
              <w14:schemeClr w14:val="tx1"/>
            </w14:solidFill>
          </w14:textFill>
        </w:rPr>
        <w:t>接待黑水县司法局开展社区矫正工作，接待</w:t>
      </w:r>
      <w:r>
        <w:rPr>
          <w:rFonts w:hint="eastAsia" w:ascii="仿宋_GB2312" w:eastAsia="仿宋_GB2312"/>
          <w:color w:val="000000" w:themeColor="text1"/>
          <w:sz w:val="32"/>
          <w:szCs w:val="32"/>
          <w:lang w:val="en-US" w:eastAsia="zh-CN"/>
          <w14:textFill>
            <w14:solidFill>
              <w14:schemeClr w14:val="tx1"/>
            </w14:solidFill>
          </w14:textFill>
        </w:rPr>
        <w:t>1天8人次，接待金额504元；（2）州司法局调研法学会工作,接待1天，11人次，金额682元；（3）周司法局调研司法行政工作，</w:t>
      </w:r>
      <w:r>
        <w:rPr>
          <w:rFonts w:hint="eastAsia" w:ascii="仿宋_GB2312" w:eastAsia="仿宋_GB2312"/>
          <w:color w:val="000000" w:themeColor="text1"/>
          <w:sz w:val="32"/>
          <w:szCs w:val="32"/>
          <w:lang w:eastAsia="zh-CN"/>
          <w14:textFill>
            <w14:solidFill>
              <w14:schemeClr w14:val="tx1"/>
            </w14:solidFill>
          </w14:textFill>
        </w:rPr>
        <w:t>接待</w:t>
      </w:r>
      <w:r>
        <w:rPr>
          <w:rFonts w:hint="eastAsia" w:ascii="仿宋_GB2312" w:eastAsia="仿宋_GB2312"/>
          <w:color w:val="000000" w:themeColor="text1"/>
          <w:sz w:val="32"/>
          <w:szCs w:val="32"/>
          <w:lang w:val="en-US" w:eastAsia="zh-CN"/>
          <w14:textFill>
            <w14:solidFill>
              <w14:schemeClr w14:val="tx1"/>
            </w14:solidFill>
          </w14:textFill>
        </w:rPr>
        <w:t>1天8人次，接待金额496元；（4）接待德恒律师事务所案卷评查，</w:t>
      </w:r>
      <w:r>
        <w:rPr>
          <w:rFonts w:hint="eastAsia" w:ascii="仿宋_GB2312" w:eastAsia="仿宋_GB2312"/>
          <w:color w:val="000000" w:themeColor="text1"/>
          <w:sz w:val="32"/>
          <w:szCs w:val="32"/>
          <w:lang w:eastAsia="zh-CN"/>
          <w14:textFill>
            <w14:solidFill>
              <w14:schemeClr w14:val="tx1"/>
            </w14:solidFill>
          </w14:textFill>
        </w:rPr>
        <w:t>接待</w:t>
      </w:r>
      <w:r>
        <w:rPr>
          <w:rFonts w:hint="eastAsia" w:ascii="仿宋_GB2312" w:eastAsia="仿宋_GB2312"/>
          <w:color w:val="000000" w:themeColor="text1"/>
          <w:sz w:val="32"/>
          <w:szCs w:val="32"/>
          <w:lang w:val="en-US" w:eastAsia="zh-CN"/>
          <w14:textFill>
            <w14:solidFill>
              <w14:schemeClr w14:val="tx1"/>
            </w14:solidFill>
          </w14:textFill>
        </w:rPr>
        <w:t>2天28人次，接待金额2970元。</w:t>
      </w:r>
    </w:p>
    <w:p w14:paraId="79B7D6C5">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06168F2D">
      <w:pPr>
        <w:spacing w:line="600" w:lineRule="exact"/>
        <w:ind w:firstLine="640"/>
        <w:outlineLvl w:val="1"/>
        <w:rPr>
          <w:rStyle w:val="20"/>
          <w:rFonts w:ascii="黑体" w:hAnsi="黑体" w:eastAsia="黑体"/>
        </w:rPr>
      </w:pPr>
      <w:bookmarkStart w:id="114" w:name="_Toc15396610"/>
      <w:bookmarkStart w:id="115" w:name="_Toc8169"/>
      <w:bookmarkStart w:id="116" w:name="_Toc79163622"/>
      <w:bookmarkStart w:id="117" w:name="_Toc15377218"/>
      <w:bookmarkStart w:id="118" w:name="_Toc2611"/>
      <w:bookmarkStart w:id="119" w:name="_Toc79163872"/>
      <w:r>
        <w:rPr>
          <w:rFonts w:hint="eastAsia" w:ascii="黑体" w:eastAsia="黑体"/>
          <w:color w:val="000000"/>
          <w:sz w:val="32"/>
          <w:szCs w:val="32"/>
        </w:rPr>
        <w:t>八、</w:t>
      </w:r>
      <w:r>
        <w:rPr>
          <w:rStyle w:val="20"/>
          <w:rFonts w:hint="eastAsia" w:ascii="黑体" w:hAnsi="黑体" w:eastAsia="黑体"/>
          <w:b w:val="0"/>
        </w:rPr>
        <w:t>政府性基金预算支出决算情况说明</w:t>
      </w:r>
      <w:bookmarkEnd w:id="114"/>
      <w:bookmarkEnd w:id="115"/>
      <w:bookmarkEnd w:id="116"/>
      <w:bookmarkEnd w:id="117"/>
      <w:bookmarkEnd w:id="118"/>
      <w:bookmarkEnd w:id="119"/>
    </w:p>
    <w:p w14:paraId="2D616390">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无数据</w:t>
      </w:r>
      <w:r>
        <w:rPr>
          <w:rFonts w:hint="eastAsia" w:ascii="仿宋_GB2312" w:eastAsia="仿宋_GB2312"/>
          <w:color w:val="000000"/>
          <w:sz w:val="32"/>
          <w:szCs w:val="32"/>
          <w:lang w:eastAsia="zh-CN"/>
        </w:rPr>
        <w:t>，所以为空表</w:t>
      </w:r>
      <w:r>
        <w:rPr>
          <w:rFonts w:hint="eastAsia" w:ascii="仿宋_GB2312" w:eastAsia="仿宋_GB2312"/>
          <w:color w:val="000000"/>
          <w:sz w:val="32"/>
          <w:szCs w:val="32"/>
        </w:rPr>
        <w:t>。</w:t>
      </w:r>
    </w:p>
    <w:p w14:paraId="2DA41EB6">
      <w:pPr>
        <w:numPr>
          <w:ilvl w:val="0"/>
          <w:numId w:val="0"/>
        </w:numPr>
        <w:spacing w:line="600" w:lineRule="exact"/>
        <w:ind w:firstLine="640" w:firstLineChars="0"/>
        <w:outlineLvl w:val="1"/>
        <w:rPr>
          <w:rStyle w:val="20"/>
          <w:rFonts w:ascii="黑体" w:hAnsi="黑体" w:eastAsia="黑体"/>
          <w:b w:val="0"/>
        </w:rPr>
      </w:pPr>
      <w:bookmarkStart w:id="120" w:name="_Toc9237"/>
      <w:bookmarkStart w:id="121" w:name="_Toc79163623"/>
      <w:bookmarkStart w:id="122" w:name="_Toc79163873"/>
      <w:bookmarkStart w:id="123" w:name="_Toc15377219"/>
      <w:bookmarkStart w:id="124" w:name="_Toc15396611"/>
      <w:bookmarkStart w:id="125" w:name="_Toc15395"/>
      <w:r>
        <w:rPr>
          <w:rFonts w:hint="eastAsia" w:ascii="黑体" w:hAnsi="黑体" w:eastAsia="黑体" w:cs="Times New Roman"/>
          <w:b w:val="0"/>
          <w:bCs/>
          <w:kern w:val="2"/>
          <w:sz w:val="32"/>
          <w:szCs w:val="32"/>
          <w:lang w:val="en-US" w:eastAsia="zh-CN" w:bidi="ar-SA"/>
        </w:rPr>
        <w:t>九、</w:t>
      </w:r>
      <w:r>
        <w:rPr>
          <w:rStyle w:val="20"/>
          <w:rFonts w:hint="eastAsia" w:ascii="黑体" w:hAnsi="黑体" w:eastAsia="黑体"/>
          <w:b w:val="0"/>
        </w:rPr>
        <w:t>国有资本经营预算支出决算情况说明</w:t>
      </w:r>
      <w:bookmarkEnd w:id="120"/>
      <w:bookmarkEnd w:id="121"/>
      <w:bookmarkEnd w:id="122"/>
      <w:bookmarkEnd w:id="123"/>
      <w:bookmarkEnd w:id="124"/>
      <w:bookmarkEnd w:id="125"/>
    </w:p>
    <w:p w14:paraId="0F1AFDA7">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无数据，所以为空表</w:t>
      </w:r>
      <w:r>
        <w:rPr>
          <w:rFonts w:hint="eastAsia" w:ascii="仿宋_GB2312" w:eastAsia="仿宋_GB2312"/>
          <w:color w:val="000000"/>
          <w:sz w:val="32"/>
          <w:szCs w:val="32"/>
        </w:rPr>
        <w:t>。</w:t>
      </w:r>
    </w:p>
    <w:p w14:paraId="40C402CA">
      <w:pPr>
        <w:spacing w:line="600" w:lineRule="exact"/>
        <w:ind w:firstLine="800" w:firstLineChars="250"/>
        <w:outlineLvl w:val="1"/>
        <w:rPr>
          <w:rStyle w:val="20"/>
          <w:rFonts w:ascii="黑体" w:hAnsi="黑体" w:eastAsia="黑体"/>
        </w:rPr>
      </w:pPr>
      <w:bookmarkStart w:id="126" w:name="_Toc79163874"/>
      <w:bookmarkStart w:id="127" w:name="_Toc15396612"/>
      <w:bookmarkStart w:id="128" w:name="_Toc79163624"/>
      <w:bookmarkStart w:id="129" w:name="_Toc18439"/>
      <w:bookmarkStart w:id="130" w:name="_Toc15377221"/>
      <w:bookmarkStart w:id="131" w:name="_Toc29533"/>
      <w:r>
        <w:rPr>
          <w:rFonts w:hint="eastAsia" w:ascii="黑体" w:hAnsi="黑体" w:eastAsia="黑体"/>
          <w:color w:val="000000"/>
          <w:sz w:val="32"/>
          <w:szCs w:val="32"/>
        </w:rPr>
        <w:t>十</w:t>
      </w:r>
      <w:r>
        <w:rPr>
          <w:rStyle w:val="20"/>
          <w:rFonts w:hint="eastAsia" w:ascii="黑体" w:hAnsi="黑体" w:eastAsia="黑体"/>
        </w:rPr>
        <w:t>、</w:t>
      </w:r>
      <w:r>
        <w:rPr>
          <w:rStyle w:val="20"/>
          <w:rFonts w:hint="eastAsia" w:ascii="黑体" w:hAnsi="黑体" w:eastAsia="黑体"/>
          <w:b w:val="0"/>
        </w:rPr>
        <w:t>其他重要事项的情况说明</w:t>
      </w:r>
      <w:bookmarkEnd w:id="126"/>
      <w:bookmarkEnd w:id="127"/>
      <w:bookmarkEnd w:id="128"/>
      <w:bookmarkEnd w:id="129"/>
      <w:bookmarkEnd w:id="130"/>
      <w:bookmarkEnd w:id="131"/>
    </w:p>
    <w:p w14:paraId="28AA0B03">
      <w:pPr>
        <w:spacing w:line="600" w:lineRule="exact"/>
        <w:ind w:firstLine="643" w:firstLineChars="200"/>
        <w:outlineLvl w:val="2"/>
        <w:rPr>
          <w:rFonts w:ascii="仿宋" w:hAnsi="仿宋" w:eastAsia="仿宋"/>
          <w:color w:val="000000"/>
          <w:sz w:val="32"/>
          <w:szCs w:val="32"/>
        </w:rPr>
      </w:pPr>
      <w:bookmarkStart w:id="132" w:name="_Toc79163875"/>
      <w:bookmarkStart w:id="133" w:name="_Toc79163625"/>
      <w:bookmarkStart w:id="134" w:name="_Toc15377222"/>
      <w:bookmarkStart w:id="135" w:name="_Toc10448"/>
      <w:bookmarkStart w:id="136" w:name="_Toc30315"/>
      <w:r>
        <w:rPr>
          <w:rFonts w:hint="eastAsia" w:ascii="仿宋" w:hAnsi="仿宋" w:eastAsia="仿宋"/>
          <w:b/>
          <w:color w:val="000000"/>
          <w:sz w:val="32"/>
          <w:szCs w:val="32"/>
        </w:rPr>
        <w:t>（一）机关运行经费支出情况</w:t>
      </w:r>
      <w:bookmarkEnd w:id="132"/>
      <w:bookmarkEnd w:id="133"/>
      <w:bookmarkEnd w:id="134"/>
      <w:bookmarkEnd w:id="135"/>
      <w:bookmarkEnd w:id="136"/>
    </w:p>
    <w:p w14:paraId="46D0B104">
      <w:pPr>
        <w:spacing w:line="600" w:lineRule="exact"/>
        <w:ind w:firstLine="640" w:firstLineChars="200"/>
        <w:rPr>
          <w:rFonts w:hint="default" w:ascii="仿宋" w:hAnsi="仿宋" w:eastAsia="仿宋"/>
          <w:color w:val="auto"/>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67.76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4.00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6.27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auto"/>
          <w:sz w:val="32"/>
          <w:szCs w:val="32"/>
          <w:lang w:val="en-US" w:eastAsia="zh-CN"/>
        </w:rPr>
        <w:t>业务量增加。</w:t>
      </w:r>
    </w:p>
    <w:p w14:paraId="1DCF639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37" w:name="_Toc18056"/>
      <w:bookmarkStart w:id="138" w:name="_Toc79163626"/>
      <w:bookmarkStart w:id="139" w:name="_Toc15377223"/>
      <w:bookmarkStart w:id="140" w:name="_Toc895"/>
      <w:bookmarkStart w:id="141" w:name="_Toc79163876"/>
      <w:r>
        <w:rPr>
          <w:rFonts w:hint="eastAsia" w:ascii="仿宋" w:hAnsi="仿宋" w:eastAsia="仿宋"/>
          <w:b/>
          <w:color w:val="000000"/>
          <w:sz w:val="32"/>
          <w:szCs w:val="32"/>
        </w:rPr>
        <w:t>（二）政府采购支出情况</w:t>
      </w:r>
      <w:bookmarkEnd w:id="137"/>
      <w:bookmarkEnd w:id="138"/>
      <w:bookmarkEnd w:id="139"/>
      <w:bookmarkEnd w:id="140"/>
      <w:bookmarkEnd w:id="141"/>
    </w:p>
    <w:p w14:paraId="79F80D56">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12.10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11.50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0.60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设备购置</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12.10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12.10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14:paraId="42A5F64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42" w:name="_Toc7861"/>
      <w:bookmarkStart w:id="143" w:name="_Toc1241"/>
      <w:bookmarkStart w:id="144" w:name="_Toc15377224"/>
      <w:bookmarkStart w:id="145" w:name="_Toc79163877"/>
      <w:bookmarkStart w:id="146" w:name="_Toc79163627"/>
      <w:r>
        <w:rPr>
          <w:rFonts w:hint="eastAsia" w:ascii="仿宋" w:hAnsi="仿宋" w:eastAsia="仿宋"/>
          <w:b/>
          <w:color w:val="000000"/>
          <w:sz w:val="32"/>
          <w:szCs w:val="32"/>
        </w:rPr>
        <w:t>（三）国有资产占有使用情况</w:t>
      </w:r>
      <w:bookmarkEnd w:id="142"/>
      <w:bookmarkEnd w:id="143"/>
      <w:bookmarkEnd w:id="144"/>
      <w:bookmarkEnd w:id="145"/>
      <w:bookmarkEnd w:id="146"/>
    </w:p>
    <w:p w14:paraId="5D0CBA76">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（电瓶车）</w:t>
      </w:r>
      <w:r>
        <w:rPr>
          <w:rFonts w:hint="eastAsia" w:ascii="仿宋_GB2312" w:eastAsia="仿宋_GB2312"/>
          <w:color w:val="000000"/>
          <w:sz w:val="32"/>
          <w:szCs w:val="32"/>
        </w:rPr>
        <w:t>、</w:t>
      </w:r>
      <w:r>
        <w:rPr>
          <w:rFonts w:hint="eastAsia" w:ascii="仿宋_GB2312" w:eastAsia="仿宋_GB2312"/>
          <w:color w:val="000000"/>
          <w:sz w:val="32"/>
          <w:szCs w:val="32"/>
          <w:lang w:eastAsia="zh-CN"/>
        </w:rPr>
        <w:t>执法执勤用车</w:t>
      </w:r>
      <w:r>
        <w:rPr>
          <w:rFonts w:hint="eastAsia" w:ascii="仿宋_GB2312" w:eastAsia="仿宋_GB2312"/>
          <w:color w:val="000000"/>
          <w:sz w:val="32"/>
          <w:szCs w:val="32"/>
          <w:lang w:val="en-US" w:eastAsia="zh-CN"/>
        </w:rPr>
        <w:t>2辆，</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38BCBBDF">
      <w:pPr>
        <w:numPr>
          <w:ilvl w:val="0"/>
          <w:numId w:val="4"/>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147" w:name="_Toc15466"/>
      <w:bookmarkStart w:id="148" w:name="_Toc13871"/>
      <w:bookmarkStart w:id="149" w:name="_Toc79163878"/>
      <w:bookmarkStart w:id="150" w:name="_Toc79163628"/>
      <w:r>
        <w:rPr>
          <w:rFonts w:hint="eastAsia" w:ascii="仿宋" w:hAnsi="仿宋" w:eastAsia="仿宋"/>
          <w:b/>
          <w:color w:val="000000"/>
          <w:sz w:val="32"/>
          <w:szCs w:val="32"/>
        </w:rPr>
        <w:t>预算绩效管理情况。</w:t>
      </w:r>
      <w:bookmarkEnd w:id="147"/>
      <w:bookmarkEnd w:id="148"/>
      <w:bookmarkEnd w:id="149"/>
      <w:bookmarkEnd w:id="150"/>
    </w:p>
    <w:p w14:paraId="6DB81DAE">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根据预算绩效管理要求，本单位在年初预算编制阶段，组织对“</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“法治建设”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5个</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14:paraId="0A32A254">
      <w:pPr>
        <w:pStyle w:val="14"/>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auto"/>
          <w:sz w:val="32"/>
          <w:szCs w:val="32"/>
        </w:rPr>
        <w:t>本部门按要求对20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年部门整体支出开展绩效自评，从评价情况来看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w:t>
      </w:r>
      <w:r>
        <w:rPr>
          <w:rFonts w:hint="eastAsia" w:ascii="仿宋_GB2312" w:hAnsi="宋体" w:eastAsia="仿宋_GB2312" w:cs="宋体"/>
          <w:color w:val="000000" w:themeColor="text1"/>
          <w:sz w:val="32"/>
          <w:szCs w:val="32"/>
          <w:lang w:val="zh-CN" w:bidi="ar"/>
          <w14:textFill>
            <w14:solidFill>
              <w14:schemeClr w14:val="tx1"/>
            </w14:solidFill>
          </w14:textFill>
        </w:rPr>
        <w:t>根据《20</w:t>
      </w:r>
      <w:r>
        <w:rPr>
          <w:rFonts w:hint="eastAsia" w:ascii="仿宋_GB2312" w:hAnsi="宋体" w:eastAsia="仿宋_GB2312" w:cs="宋体"/>
          <w:color w:val="000000" w:themeColor="text1"/>
          <w:sz w:val="32"/>
          <w:szCs w:val="32"/>
          <w:lang w:val="en-US" w:eastAsia="zh-CN" w:bidi="ar"/>
          <w14:textFill>
            <w14:solidFill>
              <w14:schemeClr w14:val="tx1"/>
            </w14:solidFill>
          </w14:textFill>
        </w:rPr>
        <w:t>24</w:t>
      </w:r>
      <w:r>
        <w:rPr>
          <w:rFonts w:hint="eastAsia" w:ascii="仿宋_GB2312" w:hAnsi="宋体" w:eastAsia="仿宋_GB2312" w:cs="宋体"/>
          <w:color w:val="000000" w:themeColor="text1"/>
          <w:sz w:val="32"/>
          <w:szCs w:val="32"/>
          <w:lang w:val="zh-CN" w:bidi="ar"/>
          <w14:textFill>
            <w14:solidFill>
              <w14:schemeClr w14:val="tx1"/>
            </w14:solidFill>
          </w14:textFill>
        </w:rPr>
        <w:t>年红原县部门支出绩效评价指标体系》评分得分</w:t>
      </w:r>
      <w:r>
        <w:rPr>
          <w:rFonts w:hint="eastAsia" w:ascii="仿宋_GB2312" w:hAnsi="宋体" w:eastAsia="仿宋_GB2312" w:cs="宋体"/>
          <w:color w:val="000000" w:themeColor="text1"/>
          <w:sz w:val="32"/>
          <w:szCs w:val="32"/>
          <w:lang w:val="en-US" w:eastAsia="zh-CN" w:bidi="ar"/>
          <w14:textFill>
            <w14:solidFill>
              <w14:schemeClr w14:val="tx1"/>
            </w14:solidFill>
          </w14:textFill>
        </w:rPr>
        <w:t>91</w:t>
      </w:r>
      <w:r>
        <w:rPr>
          <w:rFonts w:hint="eastAsia" w:ascii="仿宋_GB2312" w:hAnsi="宋体" w:eastAsia="仿宋_GB2312" w:cs="宋体"/>
          <w:color w:val="000000" w:themeColor="text1"/>
          <w:sz w:val="32"/>
          <w:szCs w:val="32"/>
          <w:lang w:val="zh-CN" w:bidi="ar"/>
          <w14:textFill>
            <w14:solidFill>
              <w14:schemeClr w14:val="tx1"/>
            </w14:solidFill>
          </w14:textFill>
        </w:rPr>
        <w:t>分，部门整体支出绩效为“好”。</w:t>
      </w:r>
    </w:p>
    <w:p w14:paraId="785422B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color w:val="auto"/>
          <w:sz w:val="32"/>
          <w:szCs w:val="32"/>
        </w:rPr>
        <w:t>本部门还自行组织了</w:t>
      </w:r>
      <w:r>
        <w:rPr>
          <w:rFonts w:hint="eastAsia" w:ascii="仿宋_GB2312" w:hAnsi="仿宋_GB2312" w:eastAsia="仿宋_GB2312" w:cs="仿宋_GB2312"/>
          <w:color w:val="auto"/>
          <w:sz w:val="32"/>
          <w:szCs w:val="32"/>
          <w:lang w:eastAsia="zh-CN"/>
        </w:rPr>
        <w:t>对法治宣传工作经费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个项目绩效评价，从评价情况来看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普法宣传工作，使</w:t>
      </w:r>
      <w:r>
        <w:rPr>
          <w:rFonts w:hint="eastAsia" w:ascii="仿宋_GB2312" w:hAnsi="仿宋_GB2312" w:eastAsia="仿宋_GB2312" w:cs="仿宋_GB2312"/>
          <w:b w:val="0"/>
          <w:i w:val="0"/>
          <w:caps w:val="0"/>
          <w:color w:val="auto"/>
          <w:spacing w:val="0"/>
          <w:sz w:val="32"/>
          <w:szCs w:val="32"/>
          <w:shd w:val="clear" w:fill="FFFFFF"/>
          <w:lang w:eastAsia="zh-CN"/>
        </w:rPr>
        <w:t>人民群众</w:t>
      </w:r>
      <w:r>
        <w:rPr>
          <w:rFonts w:hint="eastAsia" w:ascii="仿宋_GB2312" w:hAnsi="仿宋_GB2312" w:eastAsia="仿宋_GB2312" w:cs="仿宋_GB2312"/>
          <w:b w:val="0"/>
          <w:i w:val="0"/>
          <w:caps w:val="0"/>
          <w:color w:val="auto"/>
          <w:spacing w:val="0"/>
          <w:sz w:val="32"/>
          <w:szCs w:val="32"/>
          <w:shd w:val="clear" w:fill="FFFFFF"/>
        </w:rPr>
        <w:t>法</w:t>
      </w:r>
      <w:r>
        <w:rPr>
          <w:rFonts w:hint="eastAsia" w:ascii="仿宋_GB2312" w:hAnsi="仿宋_GB2312" w:eastAsia="仿宋_GB2312" w:cs="仿宋_GB2312"/>
          <w:b w:val="0"/>
          <w:i w:val="0"/>
          <w:caps w:val="0"/>
          <w:color w:val="auto"/>
          <w:spacing w:val="0"/>
          <w:sz w:val="32"/>
          <w:szCs w:val="32"/>
          <w:shd w:val="clear" w:fill="FFFFFF"/>
          <w:lang w:eastAsia="zh-CN"/>
        </w:rPr>
        <w:t>律意识</w:t>
      </w:r>
      <w:r>
        <w:rPr>
          <w:rFonts w:hint="eastAsia" w:ascii="仿宋_GB2312" w:hAnsi="仿宋_GB2312" w:eastAsia="仿宋_GB2312" w:cs="仿宋_GB2312"/>
          <w:b w:val="0"/>
          <w:i w:val="0"/>
          <w:caps w:val="0"/>
          <w:color w:val="auto"/>
          <w:spacing w:val="0"/>
          <w:sz w:val="32"/>
          <w:szCs w:val="32"/>
          <w:shd w:val="clear" w:fill="FFFFFF"/>
        </w:rPr>
        <w:t>走入日常生活，越来越多的群众学会拿起法律的武器来维护自身的权益，树立了法治观念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p>
    <w:p w14:paraId="1DA69632">
      <w:pPr>
        <w:numPr>
          <w:ilvl w:val="0"/>
          <w:numId w:val="0"/>
        </w:numPr>
        <w:spacing w:line="580" w:lineRule="exact"/>
        <w:ind w:firstLine="643" w:firstLineChars="200"/>
        <w:rPr>
          <w:rFonts w:hint="eastAsia" w:ascii="仿宋" w:hAnsi="仿宋" w:eastAsia="仿宋" w:cs="楷体_GB2312"/>
          <w:b/>
          <w:bCs/>
          <w:color w:val="auto"/>
          <w:sz w:val="32"/>
          <w:szCs w:val="32"/>
          <w:lang w:eastAsia="zh-CN"/>
        </w:rPr>
      </w:pPr>
      <w:r>
        <w:rPr>
          <w:rFonts w:hint="eastAsia" w:ascii="仿宋" w:hAnsi="仿宋" w:eastAsia="仿宋" w:cs="楷体_GB2312"/>
          <w:b/>
          <w:bCs/>
          <w:color w:val="auto"/>
          <w:sz w:val="32"/>
          <w:szCs w:val="32"/>
          <w:lang w:val="en-US" w:eastAsia="zh-CN"/>
        </w:rPr>
        <w:t>1.</w:t>
      </w:r>
      <w:r>
        <w:rPr>
          <w:rFonts w:hint="eastAsia" w:ascii="仿宋" w:hAnsi="仿宋" w:eastAsia="仿宋" w:cs="楷体_GB2312"/>
          <w:b/>
          <w:bCs/>
          <w:color w:val="auto"/>
          <w:sz w:val="32"/>
          <w:szCs w:val="32"/>
        </w:rPr>
        <w:t>项目绩效目标完成情况。</w:t>
      </w:r>
    </w:p>
    <w:p w14:paraId="0CA74B2F">
      <w:pPr>
        <w:numPr>
          <w:ilvl w:val="0"/>
          <w:numId w:val="0"/>
        </w:numPr>
        <w:spacing w:line="58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本部门在20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“法制建设”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个项目绩效目标实际完成情况</w:t>
      </w:r>
      <w:r>
        <w:rPr>
          <w:rFonts w:hint="eastAsia" w:ascii="仿宋_GB2312" w:hAnsi="仿宋_GB2312" w:eastAsia="仿宋_GB2312" w:cs="仿宋_GB2312"/>
          <w:color w:val="auto"/>
          <w:sz w:val="32"/>
          <w:szCs w:val="32"/>
          <w:lang w:eastAsia="zh-CN"/>
        </w:rPr>
        <w:t>。</w:t>
      </w:r>
    </w:p>
    <w:p w14:paraId="36ED7773">
      <w:pPr>
        <w:numPr>
          <w:ilvl w:val="0"/>
          <w:numId w:val="0"/>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）一般行政管理事务项目</w:t>
      </w:r>
      <w:r>
        <w:rPr>
          <w:rFonts w:hint="eastAsia" w:ascii="仿宋_GB2312" w:hAnsi="仿宋_GB2312" w:eastAsia="仿宋_GB2312" w:cs="仿宋_GB2312"/>
          <w:color w:val="auto"/>
          <w:sz w:val="32"/>
          <w:szCs w:val="32"/>
        </w:rPr>
        <w:t>绩效目标完成情况综述。项目全年预算数</w:t>
      </w:r>
      <w:r>
        <w:rPr>
          <w:rFonts w:hint="eastAsia" w:ascii="仿宋_GB2312" w:hAnsi="仿宋_GB2312" w:eastAsia="仿宋_GB2312" w:cs="仿宋_GB2312"/>
          <w:color w:val="auto"/>
          <w:sz w:val="32"/>
          <w:szCs w:val="32"/>
          <w:lang w:val="en-US" w:eastAsia="zh-CN"/>
        </w:rPr>
        <w:t>70.33</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70.33</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此项目主要用于维稳，人民调解等基层业务，</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避免了纠纷激化升级，有力地保障了我县的社会稳定</w:t>
      </w:r>
      <w:r>
        <w:rPr>
          <w:rFonts w:ascii="微软雅黑" w:hAnsi="微软雅黑" w:eastAsia="微软雅黑" w:cs="微软雅黑"/>
          <w:b w:val="0"/>
          <w:bCs w:val="0"/>
          <w:i w:val="0"/>
          <w:caps w:val="0"/>
          <w:color w:val="auto"/>
          <w:spacing w:val="0"/>
          <w:sz w:val="18"/>
          <w:szCs w:val="18"/>
          <w:shd w:val="clear" w:fill="FFFFFF"/>
        </w:rPr>
        <w:t>。</w:t>
      </w:r>
    </w:p>
    <w:p w14:paraId="514EBBB8">
      <w:pPr>
        <w:numPr>
          <w:ilvl w:val="0"/>
          <w:numId w:val="0"/>
        </w:numPr>
        <w:spacing w:line="580" w:lineRule="exact"/>
        <w:ind w:firstLine="640" w:firstLineChars="200"/>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）法制建设</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w:t>
      </w:r>
      <w:r>
        <w:rPr>
          <w:rFonts w:hint="eastAsia" w:ascii="仿宋" w:hAnsi="仿宋" w:eastAsia="仿宋" w:cs="仿宋"/>
          <w:i w:val="0"/>
          <w:iCs w:val="0"/>
          <w:caps w:val="0"/>
          <w:color w:val="000000"/>
          <w:spacing w:val="0"/>
          <w:sz w:val="32"/>
          <w:szCs w:val="32"/>
          <w:shd w:val="clear" w:color="auto" w:fill="FFFFFF"/>
          <w:lang w:val="en-US" w:eastAsia="zh-CN"/>
        </w:rPr>
        <w:t>负责对法治政府工作的指导管理，组织实施、拟定法治政府工作发展规划、管理制度，并组织实施、监督检查法治政府工作情况。指导全县依法行政工作，加强对法治政府工作的监管工作。</w:t>
      </w:r>
    </w:p>
    <w:p w14:paraId="1F509795">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使广大人民群众在浓郁的法治氛围中学法用法，在潜移默化中接受法律的熏陶，取得了很好的社会效果</w:t>
      </w:r>
      <w:r>
        <w:rPr>
          <w:rFonts w:ascii="微软雅黑" w:hAnsi="微软雅黑" w:eastAsia="微软雅黑" w:cs="微软雅黑"/>
          <w:b w:val="0"/>
          <w:i w:val="0"/>
          <w:caps w:val="0"/>
          <w:color w:val="auto"/>
          <w:spacing w:val="0"/>
          <w:sz w:val="18"/>
          <w:szCs w:val="18"/>
          <w:shd w:val="clear" w:fill="FFFFFF"/>
        </w:rPr>
        <w:t>。</w:t>
      </w:r>
    </w:p>
    <w:p w14:paraId="72DBD7D8">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）法律援助</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6.21</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6.21</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让更多的老百姓知晓法律援助制度，懂得维权的基本程序和方法，应用法律手段捍卫自己的权益，不仅是新形势下推动社会管理创新的需要，也是法律援助事业不断发展壮大的需要。</w:t>
      </w:r>
    </w:p>
    <w:p w14:paraId="6EADB398">
      <w:pPr>
        <w:numPr>
          <w:ilvl w:val="0"/>
          <w:numId w:val="0"/>
        </w:num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）社区矫正</w:t>
      </w:r>
      <w:r>
        <w:rPr>
          <w:rFonts w:hint="eastAsia" w:ascii="仿宋_GB2312" w:hAnsi="仿宋_GB2312" w:eastAsia="仿宋_GB2312" w:cs="仿宋_GB2312"/>
          <w:b w:val="0"/>
          <w:bCs w:val="0"/>
          <w:color w:val="auto"/>
          <w:sz w:val="32"/>
          <w:szCs w:val="32"/>
        </w:rPr>
        <w:t>项目绩效目标完成情况综述。项目全年预算数</w:t>
      </w:r>
      <w:r>
        <w:rPr>
          <w:rFonts w:hint="eastAsia" w:ascii="仿宋_GB2312" w:hAnsi="仿宋_GB2312" w:eastAsia="仿宋_GB2312" w:cs="仿宋_GB2312"/>
          <w:b w:val="0"/>
          <w:bCs w:val="0"/>
          <w:color w:val="auto"/>
          <w:sz w:val="32"/>
          <w:szCs w:val="32"/>
          <w:lang w:val="en-US" w:eastAsia="zh-CN"/>
        </w:rPr>
        <w:t>4.21</w:t>
      </w:r>
      <w:r>
        <w:rPr>
          <w:rFonts w:hint="eastAsia" w:ascii="仿宋_GB2312" w:hAnsi="仿宋_GB2312" w:eastAsia="仿宋_GB2312" w:cs="仿宋_GB2312"/>
          <w:b w:val="0"/>
          <w:bCs w:val="0"/>
          <w:color w:val="auto"/>
          <w:sz w:val="32"/>
          <w:szCs w:val="32"/>
        </w:rPr>
        <w:t>万元，执行数为</w:t>
      </w:r>
      <w:r>
        <w:rPr>
          <w:rFonts w:hint="eastAsia" w:ascii="仿宋_GB2312" w:hAnsi="仿宋_GB2312" w:eastAsia="仿宋_GB2312" w:cs="仿宋_GB2312"/>
          <w:b w:val="0"/>
          <w:bCs w:val="0"/>
          <w:color w:val="auto"/>
          <w:sz w:val="32"/>
          <w:szCs w:val="32"/>
          <w:lang w:val="en-US" w:eastAsia="zh-CN"/>
        </w:rPr>
        <w:t>4.21</w:t>
      </w:r>
      <w:r>
        <w:rPr>
          <w:rFonts w:hint="eastAsia" w:ascii="仿宋_GB2312" w:hAnsi="仿宋_GB2312" w:eastAsia="仿宋_GB2312" w:cs="仿宋_GB2312"/>
          <w:b w:val="0"/>
          <w:bCs w:val="0"/>
          <w:color w:val="auto"/>
          <w:sz w:val="32"/>
          <w:szCs w:val="32"/>
        </w:rPr>
        <w:t>万元，完成预算的</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b w:val="0"/>
          <w:bCs w:val="0"/>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实现了社区矫正人员无漏管、脱管和重新犯罪的目标。为</w:t>
      </w:r>
      <w:r>
        <w:rPr>
          <w:rFonts w:hint="eastAsia" w:ascii="仿宋_GB2312" w:hAnsi="仿宋_GB2312" w:eastAsia="仿宋_GB2312" w:cs="仿宋_GB2312"/>
          <w:b w:val="0"/>
          <w:bCs w:val="0"/>
          <w:i w:val="0"/>
          <w:caps w:val="0"/>
          <w:color w:val="auto"/>
          <w:spacing w:val="0"/>
          <w:sz w:val="32"/>
          <w:szCs w:val="32"/>
          <w:shd w:val="clear" w:fill="FFFFFF"/>
          <w:lang w:eastAsia="zh-CN"/>
        </w:rPr>
        <w:t>全县</w:t>
      </w:r>
      <w:r>
        <w:rPr>
          <w:rFonts w:hint="eastAsia" w:ascii="仿宋_GB2312" w:hAnsi="仿宋_GB2312" w:eastAsia="仿宋_GB2312" w:cs="仿宋_GB2312"/>
          <w:b w:val="0"/>
          <w:bCs w:val="0"/>
          <w:i w:val="0"/>
          <w:caps w:val="0"/>
          <w:color w:val="auto"/>
          <w:spacing w:val="0"/>
          <w:sz w:val="32"/>
          <w:szCs w:val="32"/>
          <w:shd w:val="clear" w:fill="FFFFFF"/>
        </w:rPr>
        <w:t>的</w:t>
      </w:r>
      <w:r>
        <w:rPr>
          <w:rFonts w:hint="eastAsia" w:ascii="仿宋_GB2312" w:hAnsi="仿宋_GB2312" w:eastAsia="仿宋_GB2312" w:cs="仿宋_GB2312"/>
          <w:b w:val="0"/>
          <w:bCs w:val="0"/>
          <w:i w:val="0"/>
          <w:caps w:val="0"/>
          <w:color w:val="auto"/>
          <w:spacing w:val="0"/>
          <w:sz w:val="32"/>
          <w:szCs w:val="32"/>
          <w:shd w:val="clear" w:fill="FFFFFF"/>
          <w:lang w:eastAsia="zh-CN"/>
        </w:rPr>
        <w:t>平安</w:t>
      </w:r>
      <w:r>
        <w:rPr>
          <w:rFonts w:hint="eastAsia" w:ascii="仿宋_GB2312" w:hAnsi="仿宋_GB2312" w:eastAsia="仿宋_GB2312" w:cs="仿宋_GB2312"/>
          <w:b w:val="0"/>
          <w:bCs w:val="0"/>
          <w:i w:val="0"/>
          <w:caps w:val="0"/>
          <w:color w:val="auto"/>
          <w:spacing w:val="0"/>
          <w:sz w:val="32"/>
          <w:szCs w:val="32"/>
          <w:shd w:val="clear" w:fill="FFFFFF"/>
        </w:rPr>
        <w:t>建设作出了积极贡献。</w:t>
      </w:r>
    </w:p>
    <w:tbl>
      <w:tblPr>
        <w:tblStyle w:val="16"/>
        <w:tblpPr w:leftFromText="180" w:rightFromText="180" w:vertAnchor="text" w:horzAnchor="page" w:tblpX="1593" w:tblpY="538"/>
        <w:tblOverlap w:val="never"/>
        <w:tblW w:w="9525" w:type="dxa"/>
        <w:tblInd w:w="0" w:type="dxa"/>
        <w:shd w:val="clear" w:color="auto" w:fill="auto"/>
        <w:tblLayout w:type="fixed"/>
        <w:tblCellMar>
          <w:top w:w="0" w:type="dxa"/>
          <w:left w:w="0" w:type="dxa"/>
          <w:bottom w:w="0" w:type="dxa"/>
          <w:right w:w="0" w:type="dxa"/>
        </w:tblCellMar>
      </w:tblPr>
      <w:tblGrid>
        <w:gridCol w:w="449"/>
        <w:gridCol w:w="834"/>
        <w:gridCol w:w="1042"/>
        <w:gridCol w:w="746"/>
        <w:gridCol w:w="1176"/>
        <w:gridCol w:w="1742"/>
        <w:gridCol w:w="1620"/>
        <w:gridCol w:w="1916"/>
      </w:tblGrid>
      <w:tr w14:paraId="23275A4E">
        <w:tblPrEx>
          <w:shd w:val="clear" w:color="auto" w:fill="auto"/>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14:paraId="0D424650">
            <w:pPr>
              <w:keepNext w:val="0"/>
              <w:keepLines w:val="0"/>
              <w:widowControl/>
              <w:suppressLineNumbers w:val="0"/>
              <w:jc w:val="center"/>
              <w:textAlignment w:val="center"/>
              <w:rPr>
                <w:rFonts w:hint="eastAsia"/>
                <w:b/>
                <w:bCs/>
                <w:sz w:val="32"/>
                <w:szCs w:val="32"/>
                <w:lang w:val="en-US" w:eastAsia="zh-CN"/>
              </w:rPr>
            </w:pPr>
            <w:r>
              <w:rPr>
                <w:rFonts w:hint="eastAsia"/>
                <w:b/>
                <w:bCs/>
                <w:sz w:val="32"/>
                <w:szCs w:val="32"/>
                <w:lang w:val="en-US" w:eastAsia="zh-CN"/>
              </w:rPr>
              <w:t>项目绩效目标完成情况表</w:t>
            </w:r>
          </w:p>
          <w:p w14:paraId="14906F20">
            <w:pPr>
              <w:pStyle w:val="2"/>
              <w:ind w:firstLine="3534" w:firstLineChars="1100"/>
              <w:jc w:val="both"/>
              <w:rPr>
                <w:rFonts w:hint="eastAsia"/>
                <w:lang w:val="en-US" w:eastAsia="zh-CN"/>
              </w:rPr>
            </w:pPr>
            <w:r>
              <w:rPr>
                <w:rFonts w:hint="eastAsia" w:ascii="宋体" w:hAnsi="宋体" w:cs="宋体"/>
                <w:b/>
                <w:i w:val="0"/>
                <w:color w:val="auto"/>
                <w:sz w:val="32"/>
                <w:szCs w:val="32"/>
                <w:u w:val="none"/>
                <w:lang w:val="en-US" w:eastAsia="zh-CN"/>
              </w:rPr>
              <w:t>（2024年度）</w:t>
            </w:r>
          </w:p>
        </w:tc>
      </w:tr>
      <w:tr w14:paraId="065A3560">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6B1A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C02D9">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一般行政管理事务、法制建设、普法宣传、法律援助、社区矫正</w:t>
            </w:r>
          </w:p>
        </w:tc>
      </w:tr>
      <w:tr w14:paraId="0B9F6FFC">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725C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4CBB4">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红原县司法局</w:t>
            </w:r>
          </w:p>
        </w:tc>
      </w:tr>
      <w:tr w14:paraId="5689930F">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913A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A08D9">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704DA">
            <w:pPr>
              <w:jc w:val="center"/>
              <w:rPr>
                <w:rFonts w:hint="default" w:ascii="宋体" w:hAnsi="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122.43</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50E29">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47B3D">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122.43</w:t>
            </w:r>
          </w:p>
        </w:tc>
      </w:tr>
      <w:tr w14:paraId="700A57AD">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C738C">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F800E">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92194">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122.43</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45B3A">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1638">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122.43</w:t>
            </w:r>
          </w:p>
        </w:tc>
      </w:tr>
      <w:tr w14:paraId="2C4CE509">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61958">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D6B97">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826B7">
            <w:pPr>
              <w:jc w:val="center"/>
              <w:rPr>
                <w:rFonts w:hint="eastAsia" w:ascii="宋体" w:hAnsi="宋体" w:eastAsia="宋体" w:cs="宋体"/>
                <w:b/>
                <w:i w:val="0"/>
                <w:color w:val="auto"/>
                <w:sz w:val="24"/>
                <w:szCs w:val="24"/>
                <w:u w:val="none"/>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771F0">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09ABD">
            <w:pPr>
              <w:jc w:val="center"/>
              <w:rPr>
                <w:rFonts w:hint="eastAsia" w:ascii="宋体" w:hAnsi="宋体" w:eastAsia="宋体" w:cs="宋体"/>
                <w:b/>
                <w:i w:val="0"/>
                <w:color w:val="auto"/>
                <w:sz w:val="24"/>
                <w:szCs w:val="24"/>
                <w:u w:val="none"/>
              </w:rPr>
            </w:pPr>
          </w:p>
        </w:tc>
      </w:tr>
      <w:tr w14:paraId="11E85FF5">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E352F">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A5882">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7B1FF">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14:paraId="3B00D484">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DAE45">
            <w:pPr>
              <w:jc w:val="center"/>
              <w:rPr>
                <w:rFonts w:hint="eastAsia" w:ascii="宋体" w:hAnsi="宋体" w:eastAsia="宋体" w:cs="宋体"/>
                <w:i w:val="0"/>
                <w:color w:val="auto"/>
                <w:sz w:val="20"/>
                <w:szCs w:val="20"/>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38CAF">
            <w:pPr>
              <w:jc w:val="center"/>
              <w:rPr>
                <w:rFonts w:hint="eastAsia" w:eastAsia="宋体"/>
                <w:color w:val="auto"/>
                <w:lang w:val="en-US" w:eastAsia="zh-CN"/>
              </w:rPr>
            </w:pPr>
            <w:r>
              <w:rPr>
                <w:rFonts w:ascii="宋体" w:hAnsi="宋体" w:cs="宋体"/>
                <w:b/>
                <w:color w:val="auto"/>
                <w:sz w:val="24"/>
              </w:rPr>
              <w:t>保障业务费和装备购置费</w:t>
            </w:r>
            <w:r>
              <w:rPr>
                <w:rFonts w:hint="eastAsia" w:ascii="宋体" w:hAnsi="宋体" w:cs="宋体"/>
                <w:b/>
                <w:color w:val="auto"/>
                <w:sz w:val="24"/>
                <w:lang w:eastAsia="zh-CN"/>
              </w:rPr>
              <w:t>顺利实施</w:t>
            </w:r>
          </w:p>
          <w:p w14:paraId="5299185F">
            <w:pPr>
              <w:pStyle w:val="2"/>
              <w:rPr>
                <w:rFonts w:hint="default"/>
                <w:color w:val="auto"/>
                <w:lang w:val="en-US" w:eastAsia="zh-CN"/>
              </w:rPr>
            </w:pP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F9562">
            <w:pPr>
              <w:jc w:val="center"/>
              <w:rPr>
                <w:rFonts w:hint="default" w:ascii="宋体" w:hAnsi="宋体" w:eastAsia="宋体" w:cs="宋体"/>
                <w:b/>
                <w:i w:val="0"/>
                <w:color w:val="auto"/>
                <w:sz w:val="24"/>
                <w:szCs w:val="24"/>
                <w:u w:val="none"/>
                <w:lang w:val="en-US" w:eastAsia="zh-CN"/>
              </w:rPr>
            </w:pPr>
            <w:r>
              <w:rPr>
                <w:rFonts w:hint="eastAsia" w:ascii="宋体" w:hAnsi="宋体" w:cs="宋体"/>
                <w:b/>
                <w:color w:val="auto"/>
                <w:sz w:val="24"/>
                <w:lang w:eastAsia="zh-CN"/>
              </w:rPr>
              <w:t>业务经费及装备购置费</w:t>
            </w:r>
            <w:r>
              <w:rPr>
                <w:rFonts w:hint="eastAsia" w:ascii="宋体" w:hAnsi="宋体" w:cs="宋体"/>
                <w:b/>
                <w:color w:val="auto"/>
                <w:sz w:val="24"/>
              </w:rPr>
              <w:t>使用规范、合理，进一步提升了</w:t>
            </w:r>
            <w:r>
              <w:rPr>
                <w:rFonts w:hint="eastAsia" w:ascii="宋体" w:hAnsi="宋体" w:cs="宋体"/>
                <w:b/>
                <w:color w:val="auto"/>
                <w:sz w:val="24"/>
                <w:lang w:eastAsia="zh-CN"/>
              </w:rPr>
              <w:t>工作效率，顺利完成各项目标</w:t>
            </w:r>
            <w:r>
              <w:rPr>
                <w:rFonts w:hint="eastAsia" w:ascii="宋体" w:hAnsi="宋体" w:cs="宋体"/>
                <w:b/>
                <w:color w:val="auto"/>
                <w:sz w:val="24"/>
              </w:rPr>
              <w:t>。</w:t>
            </w:r>
          </w:p>
        </w:tc>
      </w:tr>
      <w:tr w14:paraId="0D2C8904">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2C5C6">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0BBEE8B">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8"/>
                  <wp:cNvGraphicFramePr/>
                  <a:graphic xmlns:a="http://schemas.openxmlformats.org/drawingml/2006/main">
                    <a:graphicData uri="http://schemas.openxmlformats.org/drawingml/2006/picture">
                      <pic:pic xmlns:pic="http://schemas.openxmlformats.org/drawingml/2006/picture">
                        <pic:nvPicPr>
                          <pic:cNvPr id="2"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9"/>
                  <wp:cNvGraphicFramePr/>
                  <a:graphic xmlns:a="http://schemas.openxmlformats.org/drawingml/2006/main">
                    <a:graphicData uri="http://schemas.openxmlformats.org/drawingml/2006/picture">
                      <pic:pic xmlns:pic="http://schemas.openxmlformats.org/drawingml/2006/picture">
                        <pic:nvPicPr>
                          <pic:cNvPr id="3"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7"/>
                  <wp:cNvGraphicFramePr/>
                  <a:graphic xmlns:a="http://schemas.openxmlformats.org/drawingml/2006/main">
                    <a:graphicData uri="http://schemas.openxmlformats.org/drawingml/2006/picture">
                      <pic:pic xmlns:pic="http://schemas.openxmlformats.org/drawingml/2006/picture">
                        <pic:nvPicPr>
                          <pic:cNvPr id="4"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lang w:val="en-US" w:eastAsia="zh-CN" w:bidi="ar"/>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C420639">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F0309D7">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92AB0FB">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B54F328">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54487E6">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14:paraId="0980D8C2">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75AC9">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1FBC19">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1583862">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9927B38">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AF8A660">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6E31BCD">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146B409">
            <w:pPr>
              <w:jc w:val="center"/>
              <w:rPr>
                <w:rFonts w:hint="eastAsia" w:ascii="宋体" w:hAnsi="宋体" w:eastAsia="宋体" w:cs="宋体"/>
                <w:b/>
                <w:i w:val="0"/>
                <w:color w:val="auto"/>
                <w:sz w:val="20"/>
                <w:szCs w:val="20"/>
                <w:u w:val="none"/>
              </w:rPr>
            </w:pPr>
          </w:p>
        </w:tc>
      </w:tr>
      <w:tr w14:paraId="7262E918">
        <w:tblPrEx>
          <w:tblCellMar>
            <w:top w:w="0" w:type="dxa"/>
            <w:left w:w="0" w:type="dxa"/>
            <w:bottom w:w="0" w:type="dxa"/>
            <w:right w:w="0"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FC2AC">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BA4978E">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4AC2CFA">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F4D1ECF">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1539FA6">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FC80FA9">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8CD5EF">
            <w:pPr>
              <w:jc w:val="center"/>
              <w:rPr>
                <w:rFonts w:hint="eastAsia" w:ascii="宋体" w:hAnsi="宋体" w:eastAsia="宋体" w:cs="宋体"/>
                <w:b/>
                <w:i w:val="0"/>
                <w:color w:val="auto"/>
                <w:sz w:val="20"/>
                <w:szCs w:val="20"/>
                <w:u w:val="none"/>
              </w:rPr>
            </w:pPr>
          </w:p>
        </w:tc>
      </w:tr>
      <w:tr w14:paraId="69EBFF92">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EDABA">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2262001">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7F0ADFB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0000571">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DFD4525">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5AA7719">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DCFDDF1">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686B4395">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B01E7">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3A10D67">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0CBC6D27">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221E9C7">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6AD6251">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A161D94">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E7F38AC">
            <w:pPr>
              <w:jc w:val="center"/>
              <w:rPr>
                <w:rFonts w:hint="eastAsia" w:ascii="宋体" w:hAnsi="宋体" w:cs="宋体"/>
                <w:i w:val="0"/>
                <w:color w:val="auto"/>
                <w:sz w:val="20"/>
                <w:szCs w:val="20"/>
                <w:u w:val="none"/>
                <w:lang w:val="en-US" w:eastAsia="zh-CN"/>
              </w:rPr>
            </w:pPr>
          </w:p>
          <w:p w14:paraId="7697C575">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eastAsia="zh-CN"/>
              </w:rPr>
              <w:t>明确</w:t>
            </w:r>
          </w:p>
        </w:tc>
      </w:tr>
      <w:tr w14:paraId="1026F4EC">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3966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44D3448">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25731F3">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236735E">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C52CE69">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436453B">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A99A2CC">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045C3BBE">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9ADB1">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93832E2">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3DA52A7B">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6224F47">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AB6ABEC">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CDB1C59">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C615435">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75E0A92C">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F28AD">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5E2BC4F">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EC84CE7">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1D0F753">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F2A670F">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5D0D9AD">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CBF0982">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14:paraId="5BB6767F">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661F7">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B34A246">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3FA2180F">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354C99A">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79348A1">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06FA41B">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BDF0398">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6E566E40">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2B19B">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B02CDF1">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5A012B2E">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61FA02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EB5D3BD">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32F4EB8">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F7322F6">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14:paraId="2B50F340">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74880">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D8F9929">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50F63264">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8755E03">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FDDD0B8">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C8BE490">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A2CAAEF">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tc>
      </w:tr>
      <w:tr w14:paraId="68459C3E">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63240">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84B8C2F">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054FE675">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4ED32F0">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385CFA">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52EE021">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524D60F">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14:paraId="04E8DC83">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4BB26">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3B23659">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4BA4474">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724459A">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792B375">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6E9BE6">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A131EDD">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6FE6E33C">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091B1">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CCF2779">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EDB33E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679E63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DD5277F">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38156FE">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9FB5E05">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7E9A55F4">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7FA14">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7B26E86">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470ABD7">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C22CAFB">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F7D20BC">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26E1C5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E4E202B">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2754449">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2C0557B8">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AFB69">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EE28667">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7C1C8AD">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54C0137">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D016D6">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C9DC1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76017AA">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合理</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8154D28">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合理</w:t>
            </w:r>
          </w:p>
        </w:tc>
      </w:tr>
      <w:tr w14:paraId="31E5AA8F">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60DB0">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4B6AAAB">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DD352F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A8CD248">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8C3A730">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E85DBAA">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54D4EC5">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14:paraId="728659B0">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46814">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29EE1DE">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7363479">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D9CE45F">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3571386">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63F0B9C">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BD3B0B2">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14:paraId="30601661">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438B3">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19A2B2F">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205471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20B067C">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D477DCC">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8CD761D">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EF460C9">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14:paraId="44FB1E4F">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1FD42">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52B6FEE">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DD47A2A">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D83BF9B">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AAD9931">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D9A14E1">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A61DC9E">
            <w:pPr>
              <w:jc w:val="center"/>
              <w:rPr>
                <w:rFonts w:hint="eastAsia" w:ascii="宋体" w:hAnsi="宋体" w:cs="宋体"/>
                <w:i w:val="0"/>
                <w:color w:val="auto"/>
                <w:sz w:val="20"/>
                <w:szCs w:val="20"/>
                <w:u w:val="none"/>
                <w:lang w:val="en-US" w:eastAsia="zh-CN"/>
              </w:rPr>
            </w:pPr>
          </w:p>
          <w:p w14:paraId="244FF74E">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0532A4AF">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15273">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9252831">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9757AD6">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423B1EA">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0823CE0">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D02A3C7">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0C037DF">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418892D2">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83318">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7CC3E58">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29D065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BD84953">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E93B9B4">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C9516A9">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78C93FC">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14:paraId="489B1EBE">
        <w:tblPrEx>
          <w:tblCellMar>
            <w:top w:w="0" w:type="dxa"/>
            <w:left w:w="0" w:type="dxa"/>
            <w:bottom w:w="0" w:type="dxa"/>
            <w:right w:w="0" w:type="dxa"/>
          </w:tblCellMar>
        </w:tblPrEx>
        <w:trPr>
          <w:trHeight w:val="68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4DC4F">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28FF2F9">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31F9D2E">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EF13566">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28ADFB0">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66C4DE7">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CD7FFFE">
            <w:pPr>
              <w:jc w:val="center"/>
              <w:rPr>
                <w:rFonts w:hint="eastAsia" w:ascii="宋体" w:hAnsi="宋体" w:cs="宋体"/>
                <w:i w:val="0"/>
                <w:color w:val="auto"/>
                <w:sz w:val="20"/>
                <w:szCs w:val="20"/>
                <w:u w:val="none"/>
                <w:lang w:val="en-US" w:eastAsia="zh-CN"/>
              </w:rPr>
            </w:pPr>
          </w:p>
          <w:p w14:paraId="584B8775">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14:paraId="728B59D1">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EF858">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44BACD9">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9C138EF">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0D3EBDA">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930FAFA">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42E0D28">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履行</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8D46D27">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履行</w:t>
            </w:r>
          </w:p>
        </w:tc>
      </w:tr>
      <w:tr w14:paraId="4EFE9108">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63FB6">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875B5CA">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52717D50">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61BD6D4">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8709C1D">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56123B2">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否</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0EE3337">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否</w:t>
            </w:r>
          </w:p>
        </w:tc>
      </w:tr>
      <w:tr w14:paraId="583ECC34">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9BE11">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827CE40">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1BFBABB">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53EF9F8">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B967706">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FB2931A">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严格</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1899A20">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严格</w:t>
            </w:r>
          </w:p>
        </w:tc>
      </w:tr>
      <w:tr w14:paraId="592F455C">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0BE3F">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2255D2A">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 name="直接连接符_6"/>
                  <wp:cNvGraphicFramePr/>
                  <a:graphic xmlns:a="http://schemas.openxmlformats.org/drawingml/2006/main">
                    <a:graphicData uri="http://schemas.openxmlformats.org/drawingml/2006/picture">
                      <pic:pic xmlns:pic="http://schemas.openxmlformats.org/drawingml/2006/picture">
                        <pic:nvPicPr>
                          <pic:cNvPr id="5"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 name="直接连接符_5"/>
                  <wp:cNvGraphicFramePr/>
                  <a:graphic xmlns:a="http://schemas.openxmlformats.org/drawingml/2006/main">
                    <a:graphicData uri="http://schemas.openxmlformats.org/drawingml/2006/picture">
                      <pic:pic xmlns:pic="http://schemas.openxmlformats.org/drawingml/2006/picture">
                        <pic:nvPicPr>
                          <pic:cNvPr id="6"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lang w:val="en-US" w:eastAsia="zh-CN" w:bidi="ar"/>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5325B811">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B123775">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AA1451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CB8F5A8">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7F0DD2">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3BF76BA3">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57E0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F8C9EB0">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31FE9EF3">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0401780">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20FD6FB">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D05D384">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F45C6E5">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35F0991D">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E20A1">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3B8DEA0">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7F24B54E">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C3DBE73">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058058C">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B4B5516">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1B0ACCB">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14:paraId="4570BFCE">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36AD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0540C52">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046899EE">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502BEE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7F17408">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184E5C3">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B9840C4">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7567E51A">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6DD4D">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8F60472">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10A92838">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4879F75">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531EBD3">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2332DE0">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FF83E33">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00D447A8">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457BA">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C56F44C">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93429E9">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46FC7DF">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A1E52BA">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204E507">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1AB3698">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38EBB488">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3BB7E">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EDB8B49">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4C8405C">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A5262F0">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B68AAC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A63B687">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74A237B">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709A1D9F">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EFC20">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23E633B">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FF1F7B1">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9160A9B">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4FFE84E">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A0EE557">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C252F6B">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6B9BF2B7">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B8E86">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803A1DF">
            <w:pPr>
              <w:rPr>
                <w:rFonts w:hint="eastAsia" w:ascii="宋体" w:hAnsi="宋体" w:eastAsia="宋体" w:cs="宋体"/>
                <w:i w:val="0"/>
                <w:color w:val="auto"/>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37667">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2056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D9CD7">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A75D9B6">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满意</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204715D">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满意</w:t>
            </w:r>
          </w:p>
        </w:tc>
      </w:tr>
    </w:tbl>
    <w:p w14:paraId="141EA1C9">
      <w:pPr>
        <w:pStyle w:val="2"/>
        <w:numPr>
          <w:ilvl w:val="0"/>
          <w:numId w:val="0"/>
        </w:numPr>
        <w:ind w:right="0" w:rightChars="0"/>
      </w:pPr>
    </w:p>
    <w:p w14:paraId="6E4CCDBF"/>
    <w:p w14:paraId="2AD31B52">
      <w:pPr>
        <w:numPr>
          <w:ilvl w:val="0"/>
          <w:numId w:val="0"/>
        </w:num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部门绩效评价结果。</w:t>
      </w:r>
    </w:p>
    <w:p w14:paraId="11C0C074">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本部门按要求对20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年部门整体支出绩效评价情况开展自评，《</w:t>
      </w:r>
      <w:r>
        <w:rPr>
          <w:rFonts w:hint="eastAsia" w:ascii="仿宋_GB2312" w:hAnsi="仿宋_GB2312" w:eastAsia="仿宋_GB2312" w:cs="仿宋_GB2312"/>
          <w:color w:val="auto"/>
          <w:sz w:val="32"/>
          <w:szCs w:val="32"/>
          <w:highlight w:val="none"/>
          <w:lang w:eastAsia="zh-CN"/>
        </w:rPr>
        <w:t>司法局</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年部门整体支出绩效评价报告》见附件</w:t>
      </w: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14:paraId="7CB481C1">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本部门</w:t>
      </w:r>
      <w:r>
        <w:rPr>
          <w:rFonts w:hint="eastAsia" w:ascii="仿宋_GB2312" w:hAnsi="仿宋_GB2312" w:eastAsia="仿宋_GB2312" w:cs="仿宋_GB2312"/>
          <w:color w:val="auto"/>
          <w:sz w:val="32"/>
          <w:szCs w:val="32"/>
          <w:highlight w:val="none"/>
          <w:lang w:eastAsia="zh-CN"/>
        </w:rPr>
        <w:t>自行组织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eastAsia="zh-CN"/>
        </w:rPr>
        <w:t>普法宣传项目开展了绩效评价，</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普法宣传项目</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年绩效评价报告》见附件</w:t>
      </w: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14:paraId="0B08A462">
      <w:pPr>
        <w:pStyle w:val="2"/>
        <w:numPr>
          <w:ilvl w:val="0"/>
          <w:numId w:val="0"/>
        </w:numPr>
        <w:ind w:leftChars="400" w:right="0" w:rightChars="0"/>
        <w:rPr>
          <w:highlight w:val="yellow"/>
        </w:rPr>
      </w:pPr>
    </w:p>
    <w:p w14:paraId="6C831C06">
      <w:pPr>
        <w:widowControl/>
        <w:jc w:val="left"/>
        <w:rPr>
          <w:rFonts w:ascii="仿宋_GB2312" w:eastAsia="仿宋_GB2312"/>
          <w:b/>
          <w:color w:val="000000"/>
          <w:sz w:val="32"/>
          <w:szCs w:val="32"/>
        </w:rPr>
      </w:pPr>
    </w:p>
    <w:p w14:paraId="090727B6">
      <w:pPr>
        <w:numPr>
          <w:ilvl w:val="0"/>
          <w:numId w:val="5"/>
        </w:numPr>
        <w:spacing w:line="600" w:lineRule="exact"/>
        <w:ind w:firstLine="660" w:firstLineChars="150"/>
        <w:jc w:val="center"/>
        <w:outlineLvl w:val="0"/>
        <w:rPr>
          <w:rStyle w:val="19"/>
          <w:rFonts w:ascii="黑体" w:hAnsi="黑体" w:eastAsia="黑体"/>
          <w:b w:val="0"/>
        </w:rPr>
      </w:pPr>
      <w:bookmarkStart w:id="151" w:name="_Toc79163629"/>
      <w:bookmarkStart w:id="152" w:name="_Toc21340"/>
      <w:bookmarkStart w:id="153" w:name="_Toc15377225"/>
      <w:bookmarkStart w:id="154" w:name="_Toc79163879"/>
      <w:bookmarkStart w:id="155" w:name="_Toc25373"/>
      <w:bookmarkStart w:id="156" w:name="_Toc15396613"/>
      <w:r>
        <w:rPr>
          <w:rFonts w:hint="eastAsia" w:ascii="黑体" w:hAnsi="黑体" w:eastAsia="黑体"/>
          <w:color w:val="000000"/>
          <w:sz w:val="44"/>
          <w:szCs w:val="44"/>
        </w:rPr>
        <w:t>名</w:t>
      </w:r>
      <w:r>
        <w:rPr>
          <w:rStyle w:val="19"/>
          <w:rFonts w:hint="eastAsia" w:ascii="黑体" w:hAnsi="黑体" w:eastAsia="黑体"/>
          <w:b w:val="0"/>
        </w:rPr>
        <w:t>词解释</w:t>
      </w:r>
      <w:bookmarkEnd w:id="151"/>
      <w:bookmarkEnd w:id="152"/>
      <w:bookmarkEnd w:id="153"/>
      <w:bookmarkEnd w:id="154"/>
      <w:bookmarkEnd w:id="155"/>
      <w:bookmarkEnd w:id="156"/>
    </w:p>
    <w:p w14:paraId="361B0AEB">
      <w:pPr>
        <w:spacing w:line="600" w:lineRule="exact"/>
        <w:jc w:val="left"/>
        <w:rPr>
          <w:rFonts w:ascii="宋体"/>
          <w:b/>
          <w:color w:val="000000"/>
          <w:sz w:val="44"/>
          <w:szCs w:val="44"/>
        </w:rPr>
      </w:pPr>
    </w:p>
    <w:p w14:paraId="039F2155">
      <w:pPr>
        <w:pStyle w:val="22"/>
        <w:spacing w:line="560" w:lineRule="exact"/>
        <w:ind w:firstLine="640" w:firstLineChars="200"/>
        <w:outlineLvl w:val="1"/>
        <w:rPr>
          <w:rFonts w:ascii="仿宋_GB2312" w:eastAsia="仿宋_GB2312"/>
          <w:sz w:val="32"/>
          <w:szCs w:val="32"/>
        </w:rPr>
      </w:pPr>
      <w:bookmarkStart w:id="157" w:name="_Toc22022"/>
      <w:bookmarkStart w:id="158" w:name="_Toc13872"/>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bookmarkEnd w:id="157"/>
      <w:bookmarkEnd w:id="158"/>
    </w:p>
    <w:p w14:paraId="2E25819A">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4032047">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0C47EC16">
      <w:pPr>
        <w:pStyle w:val="22"/>
        <w:spacing w:line="560" w:lineRule="exact"/>
        <w:ind w:firstLine="640" w:firstLineChars="200"/>
        <w:outlineLvl w:val="1"/>
        <w:rPr>
          <w:rFonts w:ascii="仿宋_GB2312" w:eastAsia="仿宋_GB2312"/>
          <w:sz w:val="32"/>
          <w:szCs w:val="32"/>
        </w:rPr>
      </w:pPr>
      <w:bookmarkStart w:id="159" w:name="_Toc13881"/>
      <w:bookmarkStart w:id="160" w:name="_Toc21396"/>
      <w:r>
        <w:rPr>
          <w:rFonts w:ascii="仿宋_GB2312" w:eastAsia="仿宋_GB2312"/>
          <w:sz w:val="32"/>
          <w:szCs w:val="32"/>
        </w:rPr>
        <w:t>4.</w:t>
      </w:r>
      <w:r>
        <w:rPr>
          <w:rFonts w:hint="eastAsia" w:ascii="仿宋_GB2312" w:eastAsia="仿宋_GB2312"/>
          <w:sz w:val="32"/>
          <w:szCs w:val="32"/>
        </w:rPr>
        <w:t>其他收入：指单位取得的除上述收入以外的各项收入。</w:t>
      </w:r>
      <w:bookmarkEnd w:id="159"/>
      <w:bookmarkEnd w:id="160"/>
      <w:r>
        <w:rPr>
          <w:rFonts w:ascii="仿宋_GB2312" w:eastAsia="仿宋_GB2312"/>
          <w:sz w:val="32"/>
          <w:szCs w:val="32"/>
        </w:rPr>
        <w:t xml:space="preserve"> </w:t>
      </w:r>
    </w:p>
    <w:p w14:paraId="49FBBE22">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43040210">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DA50B3A">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10AC0601">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年末结转和结余：指单位按有关规定结转到下年或以后年度继续使用的资金。</w:t>
      </w:r>
    </w:p>
    <w:p w14:paraId="3D7C2CD6">
      <w:pPr>
        <w:pStyle w:val="22"/>
        <w:spacing w:line="560" w:lineRule="exact"/>
        <w:ind w:firstLine="640" w:firstLineChars="200"/>
        <w:outlineLvl w:val="1"/>
        <w:rPr>
          <w:rFonts w:hint="eastAsia" w:ascii="仿宋_GB2312" w:hAnsi="仿宋_GB2312" w:eastAsia="仿宋_GB2312" w:cs="仿宋_GB2312"/>
          <w:color w:val="auto"/>
          <w:sz w:val="32"/>
          <w:szCs w:val="32"/>
          <w:lang w:val="en-US" w:eastAsia="zh-CN"/>
        </w:rPr>
      </w:pPr>
      <w:bookmarkStart w:id="161" w:name="_Toc24829"/>
      <w:bookmarkStart w:id="162" w:name="_Toc2814"/>
      <w:r>
        <w:rPr>
          <w:rFonts w:ascii="仿宋_GB2312" w:eastAsia="仿宋_GB2312"/>
          <w:color w:val="000000"/>
          <w:sz w:val="32"/>
          <w:szCs w:val="32"/>
        </w:rPr>
        <w:t>9.</w:t>
      </w:r>
      <w:r>
        <w:rPr>
          <w:rFonts w:hint="eastAsia" w:ascii="仿宋_GB2312" w:hAnsi="仿宋_GB2312" w:eastAsia="仿宋_GB2312" w:cs="仿宋_GB2312"/>
          <w:color w:val="auto"/>
          <w:sz w:val="32"/>
          <w:szCs w:val="32"/>
          <w:lang w:val="en-US" w:eastAsia="zh-CN"/>
        </w:rPr>
        <w:t>公共安全支出：反映政府维护社会公共安全方面的支出。</w:t>
      </w:r>
      <w:bookmarkEnd w:id="161"/>
      <w:bookmarkEnd w:id="162"/>
    </w:p>
    <w:p w14:paraId="1E237AFC">
      <w:pPr>
        <w:pStyle w:val="2"/>
        <w:ind w:left="0" w:leftChars="0"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10.行政运行：</w:t>
      </w:r>
      <w:r>
        <w:rPr>
          <w:rFonts w:hint="eastAsia" w:ascii="仿宋_GB2312" w:eastAsia="仿宋_GB2312"/>
          <w:color w:val="auto"/>
          <w:sz w:val="32"/>
          <w:szCs w:val="32"/>
          <w:lang w:eastAsia="zh-CN"/>
        </w:rPr>
        <w:t>行政运行</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行政单位（包括实行公务员管理的事业单位）的基本支出</w:t>
      </w:r>
      <w:r>
        <w:rPr>
          <w:rFonts w:hint="eastAsia" w:ascii="仿宋_GB2312" w:eastAsia="仿宋_GB2312"/>
          <w:color w:val="auto"/>
          <w:sz w:val="32"/>
          <w:szCs w:val="32"/>
        </w:rPr>
        <w:t>。</w:t>
      </w:r>
    </w:p>
    <w:p w14:paraId="202D58AC">
      <w:pPr>
        <w:pStyle w:val="22"/>
        <w:spacing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行政单位（包括实行公务员管理的事业单位）未单独设置项级科目的其他项目支出</w:t>
      </w:r>
      <w:r>
        <w:rPr>
          <w:rFonts w:hint="eastAsia" w:ascii="仿宋_GB2312" w:eastAsia="仿宋_GB2312"/>
          <w:color w:val="auto"/>
          <w:sz w:val="32"/>
          <w:szCs w:val="32"/>
        </w:rPr>
        <w:t>。</w:t>
      </w:r>
    </w:p>
    <w:p w14:paraId="6D3D286F">
      <w:pPr>
        <w:pStyle w:val="22"/>
        <w:spacing w:line="560" w:lineRule="exact"/>
        <w:ind w:firstLine="640" w:firstLineChars="200"/>
        <w:outlineLvl w:val="1"/>
        <w:rPr>
          <w:rFonts w:hint="eastAsia" w:ascii="仿宋_GB2312" w:eastAsia="仿宋_GB2312"/>
          <w:color w:val="auto"/>
          <w:sz w:val="32"/>
          <w:szCs w:val="32"/>
          <w:lang w:val="en-US" w:eastAsia="zh-CN"/>
        </w:rPr>
      </w:pPr>
      <w:bookmarkStart w:id="163" w:name="_Toc31662"/>
      <w:bookmarkStart w:id="164" w:name="_Toc12996"/>
      <w:r>
        <w:rPr>
          <w:rFonts w:hint="eastAsia" w:ascii="仿宋_GB2312" w:eastAsia="仿宋_GB2312"/>
          <w:color w:val="auto"/>
          <w:sz w:val="32"/>
          <w:szCs w:val="32"/>
          <w:lang w:val="en-US" w:eastAsia="zh-CN"/>
        </w:rPr>
        <w:t>12.基层司法业务：反映各级司法行政部门用于基础业务的支出。</w:t>
      </w:r>
      <w:bookmarkEnd w:id="163"/>
      <w:bookmarkEnd w:id="164"/>
    </w:p>
    <w:p w14:paraId="01D3A4C0">
      <w:pPr>
        <w:pStyle w:val="22"/>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13.普法宣传：反映各级司法行政部门用于组织各种媒体的宣传、普法装备与设施、宣传资料等支出。</w:t>
      </w:r>
    </w:p>
    <w:p w14:paraId="1927269E">
      <w:pPr>
        <w:pStyle w:val="22"/>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14.法律援助：指各级法律援助机构用于开展法律援助工作的支出。</w:t>
      </w:r>
    </w:p>
    <w:p w14:paraId="12E27ED2">
      <w:pPr>
        <w:pStyle w:val="22"/>
        <w:spacing w:line="560" w:lineRule="exact"/>
        <w:ind w:firstLine="640" w:firstLineChars="200"/>
        <w:outlineLvl w:val="1"/>
        <w:rPr>
          <w:rFonts w:hint="default" w:ascii="仿宋_GB2312" w:eastAsia="仿宋_GB2312"/>
          <w:color w:val="auto"/>
          <w:sz w:val="32"/>
          <w:szCs w:val="32"/>
          <w:lang w:val="en-US" w:eastAsia="zh-CN"/>
        </w:rPr>
      </w:pPr>
      <w:bookmarkStart w:id="165" w:name="_Toc21443"/>
      <w:bookmarkStart w:id="166" w:name="_Toc27305"/>
      <w:r>
        <w:rPr>
          <w:rFonts w:hint="eastAsia" w:ascii="仿宋_GB2312" w:eastAsia="仿宋_GB2312"/>
          <w:color w:val="auto"/>
          <w:sz w:val="32"/>
          <w:szCs w:val="32"/>
          <w:lang w:val="en-US" w:eastAsia="zh-CN"/>
        </w:rPr>
        <w:t>15.社区矫正：反映各级司法行政部门用于社区矫正的支出。</w:t>
      </w:r>
      <w:bookmarkEnd w:id="165"/>
      <w:bookmarkEnd w:id="166"/>
    </w:p>
    <w:p w14:paraId="514E8FC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16.社会保障和就业（类）行政事业单位离退休（款）机关事业单位基本养老保险缴费支出（项）：反映机关事业单位实施养老保险制度由单位缴纳的基本养老保险费支出。</w:t>
      </w:r>
    </w:p>
    <w:p w14:paraId="637F5E61">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17.社会保障和就业（类）行政事业单位离退休（款）机关事业单位职业年金缴费支出（项）: 反映机关事业单位实施养老保险制度由单位实际缴纳的职业年金支出。</w:t>
      </w:r>
    </w:p>
    <w:p w14:paraId="53210331">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18.医疗卫生与计划生育（类）行政事业单位医疗（款）行政单位医疗（项）: 反映财政部门集中安排的行政单位基本医疗保险缴费经费，未参加医疗保险的行政单位的公费医疗经费，按国家规定享受离休人员待遇的医疗经费。</w:t>
      </w:r>
    </w:p>
    <w:p w14:paraId="41442903">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.住房保障支出（类）住房改革支出（款）住房公积金（项）: 反映行政事业单位按人力资源和社会保障部、财政部规定的基本工资和津贴补贴以及规定比例为职工缴纳的住房公积金。</w:t>
      </w:r>
    </w:p>
    <w:p w14:paraId="5F079AAF">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.基本支出：指为保障机构正常运转、完成日常工作任务而发生的人员支出和公用支出。</w:t>
      </w:r>
    </w:p>
    <w:p w14:paraId="50CF8580">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 xml:space="preserve">.项目支出：指在基本支出之外为完成特定行政任务和事业发展目标所发生的支出。 </w:t>
      </w:r>
    </w:p>
    <w:p w14:paraId="7691D24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.经营支出：指事业单位在专业业务活动及其辅助活动之外开展非独立核算经营活动发生的支出。</w:t>
      </w:r>
    </w:p>
    <w:p w14:paraId="526AEEF9">
      <w:pPr>
        <w:pStyle w:val="22"/>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2844424">
      <w:pPr>
        <w:pStyle w:val="22"/>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A2E9B9">
      <w:pPr>
        <w:spacing w:line="600" w:lineRule="exact"/>
        <w:jc w:val="both"/>
        <w:outlineLvl w:val="9"/>
        <w:rPr>
          <w:rFonts w:hint="eastAsia" w:ascii="黑体" w:hAnsi="黑体" w:eastAsia="黑体"/>
          <w:color w:val="auto"/>
          <w:sz w:val="44"/>
          <w:szCs w:val="44"/>
        </w:rPr>
      </w:pPr>
    </w:p>
    <w:p w14:paraId="4E120F8A">
      <w:pPr>
        <w:spacing w:line="600" w:lineRule="exact"/>
        <w:ind w:firstLine="640"/>
        <w:rPr>
          <w:rFonts w:ascii="仿宋" w:hAnsi="仿宋" w:eastAsia="仿宋"/>
          <w:b/>
          <w:color w:val="000000"/>
          <w:sz w:val="32"/>
          <w:szCs w:val="32"/>
        </w:rPr>
      </w:pPr>
    </w:p>
    <w:p w14:paraId="626D3E18">
      <w:pPr>
        <w:pStyle w:val="2"/>
        <w:rPr>
          <w:rFonts w:ascii="仿宋" w:hAnsi="仿宋" w:eastAsia="仿宋"/>
          <w:b/>
          <w:color w:val="000000"/>
          <w:sz w:val="32"/>
          <w:szCs w:val="32"/>
        </w:rPr>
      </w:pPr>
    </w:p>
    <w:p w14:paraId="6F4B9CF0">
      <w:pPr>
        <w:rPr>
          <w:rFonts w:ascii="仿宋" w:hAnsi="仿宋" w:eastAsia="仿宋"/>
          <w:b/>
          <w:color w:val="000000"/>
          <w:sz w:val="32"/>
          <w:szCs w:val="32"/>
        </w:rPr>
      </w:pPr>
    </w:p>
    <w:p w14:paraId="2AC8E710">
      <w:pPr>
        <w:pStyle w:val="2"/>
      </w:pPr>
    </w:p>
    <w:p w14:paraId="4438FA95">
      <w:pPr>
        <w:numPr>
          <w:ilvl w:val="0"/>
          <w:numId w:val="5"/>
        </w:numPr>
        <w:spacing w:line="600" w:lineRule="exact"/>
        <w:ind w:left="0" w:leftChars="0" w:firstLine="660" w:firstLineChars="150"/>
        <w:jc w:val="center"/>
        <w:outlineLvl w:val="0"/>
        <w:rPr>
          <w:rStyle w:val="19"/>
          <w:rFonts w:hint="eastAsia" w:ascii="黑体" w:hAnsi="黑体" w:eastAsia="黑体"/>
          <w:b w:val="0"/>
        </w:rPr>
      </w:pPr>
      <w:bookmarkStart w:id="167" w:name="_Toc79163630"/>
      <w:bookmarkStart w:id="168" w:name="_Toc15396614"/>
      <w:bookmarkStart w:id="169" w:name="_Toc79163880"/>
      <w:bookmarkStart w:id="170" w:name="_Toc4348"/>
      <w:bookmarkStart w:id="171" w:name="_Toc16458"/>
      <w:bookmarkStart w:id="172" w:name="_Toc15377226"/>
      <w:r>
        <w:rPr>
          <w:rStyle w:val="19"/>
          <w:rFonts w:hint="eastAsia" w:ascii="黑体" w:hAnsi="黑体" w:eastAsia="黑体"/>
          <w:b w:val="0"/>
        </w:rPr>
        <w:t>附件</w:t>
      </w:r>
      <w:bookmarkEnd w:id="167"/>
      <w:bookmarkEnd w:id="168"/>
      <w:bookmarkEnd w:id="169"/>
      <w:bookmarkEnd w:id="170"/>
      <w:bookmarkEnd w:id="171"/>
    </w:p>
    <w:p w14:paraId="31BC1A8C">
      <w:pPr>
        <w:numPr>
          <w:ilvl w:val="0"/>
          <w:numId w:val="0"/>
        </w:numPr>
        <w:spacing w:line="600" w:lineRule="exact"/>
        <w:jc w:val="both"/>
        <w:outlineLvl w:val="1"/>
        <w:rPr>
          <w:rStyle w:val="23"/>
          <w:rFonts w:ascii="仿宋" w:hAnsi="仿宋" w:eastAsia="仿宋"/>
          <w:b w:val="0"/>
          <w:bCs w:val="0"/>
          <w:color w:val="auto"/>
          <w:sz w:val="32"/>
          <w:szCs w:val="32"/>
        </w:rPr>
      </w:pPr>
      <w:bookmarkStart w:id="173" w:name="_Toc29418"/>
      <w:bookmarkStart w:id="174" w:name="_Toc721"/>
      <w:r>
        <w:rPr>
          <w:rStyle w:val="23"/>
          <w:rFonts w:hint="eastAsia" w:ascii="仿宋" w:hAnsi="仿宋" w:eastAsia="仿宋"/>
          <w:b w:val="0"/>
          <w:bCs w:val="0"/>
          <w:color w:val="auto"/>
          <w:sz w:val="32"/>
          <w:szCs w:val="32"/>
        </w:rPr>
        <w:t>附件1</w:t>
      </w:r>
      <w:bookmarkEnd w:id="173"/>
      <w:bookmarkEnd w:id="174"/>
    </w:p>
    <w:p w14:paraId="0AB6925E">
      <w:pPr>
        <w:jc w:val="both"/>
        <w:rPr>
          <w:rFonts w:hint="eastAsia" w:ascii="方正小标宋简体" w:hAnsi="方正小标宋简体" w:eastAsia="方正小标宋简体" w:cs="方正小标宋简体"/>
          <w:b/>
          <w:bCs/>
          <w:color w:val="auto"/>
          <w:sz w:val="44"/>
          <w:szCs w:val="44"/>
        </w:rPr>
      </w:pPr>
      <w:bookmarkStart w:id="175" w:name="_Toc15396617"/>
      <w:r>
        <w:rPr>
          <w:rFonts w:hint="eastAsia" w:ascii="方正小标宋简体" w:hAnsi="方正小标宋简体" w:eastAsia="方正小标宋简体" w:cs="方正小标宋简体"/>
          <w:b/>
          <w:bCs/>
          <w:color w:val="auto"/>
          <w:sz w:val="44"/>
          <w:szCs w:val="44"/>
        </w:rPr>
        <w:t>司法局</w:t>
      </w:r>
      <w:r>
        <w:rPr>
          <w:rFonts w:hint="eastAsia" w:ascii="方正小标宋简体" w:hAnsi="方正小标宋简体" w:eastAsia="方正小标宋简体" w:cs="方正小标宋简体"/>
          <w:b/>
          <w:bCs/>
          <w:color w:val="auto"/>
          <w:sz w:val="44"/>
          <w:szCs w:val="44"/>
          <w:lang w:val="en-US" w:eastAsia="zh-CN"/>
        </w:rPr>
        <w:t>2024年部门</w:t>
      </w:r>
      <w:r>
        <w:rPr>
          <w:rFonts w:hint="eastAsia" w:ascii="方正小标宋简体" w:hAnsi="方正小标宋简体" w:eastAsia="方正小标宋简体" w:cs="方正小标宋简体"/>
          <w:b/>
          <w:bCs/>
          <w:color w:val="auto"/>
          <w:sz w:val="44"/>
          <w:szCs w:val="44"/>
        </w:rPr>
        <w:t>整体支出绩效</w:t>
      </w:r>
      <w:r>
        <w:rPr>
          <w:rFonts w:hint="eastAsia" w:ascii="方正小标宋简体" w:hAnsi="方正小标宋简体" w:eastAsia="方正小标宋简体" w:cs="方正小标宋简体"/>
          <w:b/>
          <w:bCs/>
          <w:color w:val="auto"/>
          <w:sz w:val="44"/>
          <w:szCs w:val="44"/>
          <w:lang w:eastAsia="zh-CN"/>
        </w:rPr>
        <w:t>评价</w:t>
      </w:r>
      <w:r>
        <w:rPr>
          <w:rFonts w:hint="eastAsia" w:ascii="方正小标宋简体" w:hAnsi="方正小标宋简体" w:eastAsia="方正小标宋简体" w:cs="方正小标宋简体"/>
          <w:b/>
          <w:bCs/>
          <w:color w:val="auto"/>
          <w:sz w:val="44"/>
          <w:szCs w:val="44"/>
        </w:rPr>
        <w:t>报告</w:t>
      </w:r>
    </w:p>
    <w:p w14:paraId="5A3991AA">
      <w:pPr>
        <w:overflowPunct w:val="0"/>
        <w:spacing w:line="576" w:lineRule="exact"/>
        <w:ind w:firstLine="640" w:firstLineChars="200"/>
        <w:jc w:val="left"/>
        <w:outlineLvl w:val="1"/>
        <w:rPr>
          <w:rFonts w:hint="eastAsia" w:ascii="方正黑体_GBK" w:eastAsia="方正黑体_GBK" w:cs="黑体"/>
          <w:sz w:val="32"/>
          <w:szCs w:val="32"/>
          <w:lang w:bidi="ar-SA"/>
        </w:rPr>
      </w:pPr>
      <w:bookmarkStart w:id="176" w:name="_Toc12184"/>
      <w:bookmarkStart w:id="177" w:name="_Toc20892"/>
      <w:r>
        <w:rPr>
          <w:rFonts w:hint="eastAsia" w:ascii="方正黑体_GBK" w:eastAsia="方正黑体_GBK" w:cs="黑体"/>
          <w:sz w:val="32"/>
          <w:szCs w:val="32"/>
          <w:lang w:bidi="ar-SA"/>
        </w:rPr>
        <w:t>一、部门（单位）慨况</w:t>
      </w:r>
      <w:bookmarkEnd w:id="176"/>
      <w:bookmarkEnd w:id="177"/>
    </w:p>
    <w:p w14:paraId="28C8CE1F">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78" w:name="_Toc24199"/>
      <w:bookmarkStart w:id="179" w:name="_Toc26139"/>
      <w:r>
        <w:rPr>
          <w:rFonts w:hint="eastAsia" w:ascii="方正楷体_GBK" w:eastAsia="方正楷体_GBK" w:cs="仿宋_GB2312"/>
          <w:b w:val="0"/>
          <w:bCs w:val="0"/>
          <w:sz w:val="32"/>
          <w:szCs w:val="32"/>
          <w:lang w:bidi="ar-SA"/>
        </w:rPr>
        <w:t>（一）机构组成</w:t>
      </w:r>
      <w:bookmarkEnd w:id="178"/>
      <w:bookmarkEnd w:id="179"/>
    </w:p>
    <w:p w14:paraId="77114886">
      <w:pPr>
        <w:spacing w:line="560" w:lineRule="exact"/>
        <w:ind w:firstLine="640"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Cs/>
          <w:sz w:val="32"/>
          <w:szCs w:val="32"/>
          <w:lang w:eastAsia="zh-CN" w:bidi="ar-SA"/>
        </w:rPr>
        <w:t>红原县司法局</w:t>
      </w:r>
      <w:r>
        <w:rPr>
          <w:rFonts w:hint="eastAsia" w:ascii="仿宋_GB2312" w:hAnsi="仿宋_GB2312" w:eastAsia="仿宋_GB2312" w:cs="仿宋_GB2312"/>
          <w:bCs/>
          <w:sz w:val="32"/>
          <w:szCs w:val="32"/>
          <w:lang w:bidi="ar-SA"/>
        </w:rPr>
        <w:t>为独立核算全额拨款行政单位，下设</w:t>
      </w:r>
      <w:r>
        <w:rPr>
          <w:rFonts w:hint="eastAsia" w:ascii="仿宋_GB2312" w:hAnsi="仿宋_GB2312" w:eastAsia="仿宋_GB2312" w:cs="仿宋_GB2312"/>
          <w:bCs/>
          <w:sz w:val="32"/>
          <w:szCs w:val="32"/>
          <w:lang w:val="en-US" w:eastAsia="zh-CN" w:bidi="ar-SA"/>
        </w:rPr>
        <w:t>9</w:t>
      </w:r>
      <w:r>
        <w:rPr>
          <w:rFonts w:hint="eastAsia" w:ascii="仿宋_GB2312" w:hAnsi="仿宋_GB2312" w:eastAsia="仿宋_GB2312" w:cs="仿宋_GB2312"/>
          <w:bCs/>
          <w:sz w:val="32"/>
          <w:szCs w:val="32"/>
          <w:lang w:bidi="ar-SA"/>
        </w:rPr>
        <w:t>个</w:t>
      </w:r>
      <w:r>
        <w:rPr>
          <w:rFonts w:hint="eastAsia" w:ascii="仿宋_GB2312" w:hAnsi="仿宋_GB2312" w:eastAsia="仿宋_GB2312" w:cs="仿宋_GB2312"/>
          <w:bCs/>
          <w:sz w:val="32"/>
          <w:szCs w:val="32"/>
          <w:lang w:eastAsia="zh-CN" w:bidi="ar-SA"/>
        </w:rPr>
        <w:t>机构</w:t>
      </w:r>
      <w:r>
        <w:rPr>
          <w:rFonts w:hint="eastAsia" w:ascii="仿宋_GB2312" w:hAnsi="仿宋_GB2312" w:eastAsia="仿宋_GB2312" w:cs="仿宋_GB2312"/>
          <w:bCs/>
          <w:sz w:val="32"/>
          <w:szCs w:val="32"/>
          <w:lang w:bidi="ar-SA"/>
        </w:rPr>
        <w:t>：</w:t>
      </w:r>
      <w:r>
        <w:rPr>
          <w:rFonts w:hint="eastAsia" w:ascii="仿宋_GB2312" w:hAnsi="仿宋_GB2312" w:eastAsia="仿宋_GB2312" w:cs="仿宋_GB2312"/>
          <w:bCs/>
          <w:color w:val="auto"/>
          <w:sz w:val="32"/>
          <w:szCs w:val="32"/>
        </w:rPr>
        <w:t>办公室、</w:t>
      </w:r>
      <w:r>
        <w:rPr>
          <w:rFonts w:hint="eastAsia" w:ascii="仿宋_GB2312" w:hAnsi="仿宋_GB2312" w:eastAsia="仿宋_GB2312" w:cs="仿宋_GB2312"/>
          <w:bCs/>
          <w:color w:val="auto"/>
          <w:sz w:val="32"/>
          <w:szCs w:val="32"/>
          <w:lang w:eastAsia="zh-CN"/>
        </w:rPr>
        <w:t>法制股、</w:t>
      </w:r>
      <w:r>
        <w:rPr>
          <w:rFonts w:hint="eastAsia" w:ascii="仿宋_GB2312" w:hAnsi="仿宋_GB2312" w:eastAsia="仿宋_GB2312" w:cs="仿宋_GB2312"/>
          <w:bCs/>
          <w:color w:val="auto"/>
          <w:sz w:val="32"/>
          <w:szCs w:val="32"/>
        </w:rPr>
        <w:t>基层工作股、法治宣传</w:t>
      </w:r>
      <w:r>
        <w:rPr>
          <w:rFonts w:hint="eastAsia" w:ascii="仿宋_GB2312" w:hAnsi="仿宋_GB2312" w:eastAsia="仿宋_GB2312" w:cs="仿宋_GB2312"/>
          <w:bCs/>
          <w:color w:val="auto"/>
          <w:sz w:val="32"/>
          <w:szCs w:val="32"/>
          <w:lang w:eastAsia="zh-CN"/>
        </w:rPr>
        <w:t>教育</w:t>
      </w:r>
      <w:r>
        <w:rPr>
          <w:rFonts w:hint="eastAsia" w:ascii="仿宋_GB2312" w:hAnsi="仿宋_GB2312" w:eastAsia="仿宋_GB2312" w:cs="仿宋_GB2312"/>
          <w:bCs/>
          <w:color w:val="auto"/>
          <w:sz w:val="32"/>
          <w:szCs w:val="32"/>
        </w:rPr>
        <w:t>股、</w:t>
      </w:r>
      <w:r>
        <w:rPr>
          <w:rFonts w:hint="eastAsia" w:ascii="仿宋_GB2312" w:hAnsi="仿宋_GB2312" w:eastAsia="仿宋_GB2312" w:cs="仿宋_GB2312"/>
          <w:bCs/>
          <w:color w:val="auto"/>
          <w:sz w:val="32"/>
          <w:szCs w:val="32"/>
          <w:lang w:eastAsia="zh-CN"/>
        </w:rPr>
        <w:t>装备财务保障股、公共法律服务管理股、政工室、社区矫正执法大队、行政复议与应诉股</w:t>
      </w:r>
      <w:r>
        <w:rPr>
          <w:rFonts w:hint="eastAsia" w:ascii="仿宋_GB2312" w:hAnsi="仿宋_GB2312" w:eastAsia="仿宋_GB2312" w:cs="仿宋_GB2312"/>
          <w:bCs/>
          <w:color w:val="auto"/>
          <w:sz w:val="32"/>
          <w:szCs w:val="32"/>
        </w:rPr>
        <w:t>。</w:t>
      </w:r>
    </w:p>
    <w:p w14:paraId="588BFE43">
      <w:pPr>
        <w:overflowPunct w:val="0"/>
        <w:spacing w:line="576" w:lineRule="exact"/>
        <w:ind w:left="0" w:firstLine="640" w:firstLineChars="200"/>
        <w:jc w:val="left"/>
        <w:rPr>
          <w:rFonts w:hint="eastAsia" w:ascii="仿宋_GB2312" w:hAnsi="仿宋_GB2312" w:eastAsia="仿宋_GB2312" w:cs="仿宋_GB2312"/>
          <w:bCs/>
          <w:sz w:val="32"/>
          <w:szCs w:val="32"/>
          <w:lang w:val="en-US" w:eastAsia="zh-CN" w:bidi="ar-SA"/>
        </w:rPr>
      </w:pPr>
    </w:p>
    <w:p w14:paraId="572A2117">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0" w:name="_Toc32319"/>
      <w:bookmarkStart w:id="181" w:name="_Toc22904"/>
      <w:r>
        <w:rPr>
          <w:rFonts w:hint="eastAsia" w:ascii="方正楷体_GBK" w:eastAsia="方正楷体_GBK" w:cs="仿宋_GB2312"/>
          <w:b w:val="0"/>
          <w:bCs w:val="0"/>
          <w:sz w:val="32"/>
          <w:szCs w:val="32"/>
          <w:lang w:bidi="ar-SA"/>
        </w:rPr>
        <w:t>（二）机构职能</w:t>
      </w:r>
      <w:bookmarkEnd w:id="180"/>
      <w:bookmarkEnd w:id="181"/>
    </w:p>
    <w:p w14:paraId="47985E65">
      <w:pPr>
        <w:pStyle w:val="6"/>
        <w:overflowPunct w:val="0"/>
        <w:adjustRightInd w:val="0"/>
        <w:snapToGrid w:val="0"/>
        <w:spacing w:before="93" w:line="576" w:lineRule="exact"/>
        <w:ind w:left="0" w:firstLine="640" w:firstLineChars="200"/>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 xml:space="preserve">1. </w:t>
      </w:r>
      <w:r>
        <w:rPr>
          <w:rFonts w:hint="eastAsia" w:ascii="仿宋_GB2312" w:hAnsi="仿宋_GB2312" w:eastAsia="仿宋_GB2312" w:cs="仿宋_GB2312"/>
          <w:bCs/>
          <w:sz w:val="32"/>
          <w:szCs w:val="32"/>
          <w:lang w:bidi="ar-SA"/>
        </w:rPr>
        <w:t>贯彻执行国家、省、州、县关于司法行政工作的方针、政策和法律、法规及规章，制订司法行政规范性文件和工作发展规划、工作计划并组织实施。</w:t>
      </w:r>
    </w:p>
    <w:p w14:paraId="6CFF18D3">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2.按照县委全面依法治县委员会要求，贯彻落实依法治县决策部署。承担全面依法治县重大问题的政策研究，协调有关方面提出全面依法治县规划建议，负责重大决策部署督察工作。</w:t>
      </w:r>
    </w:p>
    <w:p w14:paraId="2BA585E6">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3.负责县政府规范性文件、重大行政决策发布前的合法性审查。承办县政府规范性文件报送备案工作。负责各乡（镇）人民政府和县政府各部门规范性文件报送县政府的备案审查工作。组织开展规范性文件清理。</w:t>
      </w:r>
    </w:p>
    <w:p w14:paraId="23641BFC">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4.承担统筹推进法治政府建设的责任。指导监督县政府各部门、各乡（镇）人民政府依法行政工作。负责综合协调、监督检查行政执法，承担推进行政执法体制改革有关工作，推进严格规范公正文明执法。指导监督全县行政复议、行政应诉和行政赔偿工作，承办向县政府申请的行政复议、行政赔偿案件，代理县政府行政应诉案件。</w:t>
      </w:r>
    </w:p>
    <w:p w14:paraId="306DEF79">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5.负责拟定法治宣传教育规划，组织实施普法宣传工作，指导全县各行业的法治宣传和依法治理工作。</w:t>
      </w:r>
    </w:p>
    <w:p w14:paraId="33950612">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6.负责拟定全县公共法律服务体系建设规划并指导实施。指导、监督全县律师、公证、法律援助工作。</w:t>
      </w:r>
    </w:p>
    <w:p w14:paraId="24D1906B">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7.指导、监督基层司法所建设和人民调解、基层法律服务管理工作。指导人民陪审员、人民监督员选任管理工作。</w:t>
      </w:r>
    </w:p>
    <w:p w14:paraId="333EAA48">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8.指导管理社区矫正工作。指导刑满释放人员帮教安置工作。</w:t>
      </w:r>
      <w:r>
        <w:rPr>
          <w:rFonts w:hint="eastAsia" w:ascii="仿宋_GB2312" w:hAnsi="仿宋_GB2312" w:eastAsia="仿宋_GB2312" w:cs="仿宋_GB2312"/>
          <w:bCs/>
          <w:sz w:val="32"/>
          <w:szCs w:val="32"/>
          <w:lang w:bidi="ar-SA"/>
        </w:rPr>
        <w:t>主管司法鉴定机构和司法鉴定人的管理、审查登记工作。</w:t>
      </w:r>
    </w:p>
    <w:p w14:paraId="0EF65731">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9.协助上级主管部门开展国家司法考试、司法鉴定工作。</w:t>
      </w:r>
    </w:p>
    <w:p w14:paraId="1F85D1A7">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10.</w:t>
      </w:r>
      <w:r>
        <w:rPr>
          <w:rFonts w:hint="eastAsia" w:ascii="仿宋_GB2312" w:hAnsi="仿宋_GB2312" w:eastAsia="仿宋_GB2312" w:cs="仿宋_GB2312"/>
          <w:bCs/>
          <w:sz w:val="32"/>
          <w:szCs w:val="32"/>
          <w:lang w:bidi="ar-SA"/>
        </w:rPr>
        <w:t>指导管理全县司法行政系统的计划、财务、车辆、服装等物资装备工作。</w:t>
      </w:r>
    </w:p>
    <w:p w14:paraId="19C1E4A6">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11.</w:t>
      </w:r>
      <w:r>
        <w:rPr>
          <w:rFonts w:hint="eastAsia" w:ascii="仿宋_GB2312" w:hAnsi="仿宋_GB2312" w:eastAsia="仿宋_GB2312" w:cs="仿宋_GB2312"/>
          <w:bCs/>
          <w:sz w:val="32"/>
          <w:szCs w:val="32"/>
          <w:lang w:bidi="ar-SA"/>
        </w:rPr>
        <w:t>指导、监督全县司法行政系统队伍建设和思想政治工作，负责本系统人事警务和干警培训工作。</w:t>
      </w:r>
    </w:p>
    <w:p w14:paraId="46512DB0">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12.完成县委、县政府交办的其他任务。</w:t>
      </w:r>
    </w:p>
    <w:p w14:paraId="724188BE">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2" w:name="_Toc28031"/>
      <w:bookmarkStart w:id="183" w:name="_Toc27711"/>
      <w:r>
        <w:rPr>
          <w:rFonts w:hint="eastAsia" w:ascii="方正楷体_GBK" w:eastAsia="方正楷体_GBK" w:cs="仿宋_GB2312"/>
          <w:b w:val="0"/>
          <w:bCs w:val="0"/>
          <w:sz w:val="32"/>
          <w:szCs w:val="32"/>
          <w:lang w:val="en-US" w:eastAsia="zh-CN" w:bidi="ar-SA"/>
        </w:rPr>
        <w:t>(三)</w:t>
      </w:r>
      <w:r>
        <w:rPr>
          <w:rFonts w:hint="eastAsia" w:ascii="方正楷体_GBK" w:eastAsia="方正楷体_GBK" w:cs="仿宋_GB2312"/>
          <w:b w:val="0"/>
          <w:bCs w:val="0"/>
          <w:sz w:val="32"/>
          <w:szCs w:val="32"/>
          <w:lang w:bidi="ar-SA"/>
        </w:rPr>
        <w:t>人员概况</w:t>
      </w:r>
      <w:bookmarkEnd w:id="182"/>
      <w:bookmarkEnd w:id="183"/>
    </w:p>
    <w:p w14:paraId="17B90633">
      <w:pPr>
        <w:overflowPunct w:val="0"/>
        <w:spacing w:line="576" w:lineRule="exact"/>
        <w:ind w:left="0"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截至2023年底我单位共有编制35个，其中公务员编制28个，行政工勤编制2个，事业编制5个，在职33人，其中公务员26人，事业5人，工勤2人。</w:t>
      </w:r>
    </w:p>
    <w:p w14:paraId="6855886C">
      <w:pPr>
        <w:overflowPunct w:val="0"/>
        <w:spacing w:line="576" w:lineRule="exact"/>
        <w:ind w:firstLine="640" w:firstLineChars="200"/>
        <w:jc w:val="left"/>
        <w:outlineLvl w:val="1"/>
        <w:rPr>
          <w:rFonts w:hint="eastAsia" w:ascii="方正黑体_GBK" w:eastAsia="方正黑体_GBK" w:cs="黑体"/>
          <w:bCs/>
          <w:sz w:val="32"/>
          <w:szCs w:val="32"/>
          <w:lang w:bidi="ar-SA"/>
        </w:rPr>
      </w:pPr>
      <w:bookmarkStart w:id="184" w:name="_Toc680"/>
      <w:bookmarkStart w:id="185" w:name="_Toc9480"/>
      <w:r>
        <w:rPr>
          <w:rFonts w:hint="eastAsia" w:ascii="方正黑体_GBK" w:eastAsia="方正黑体_GBK" w:cs="黑体"/>
          <w:bCs/>
          <w:sz w:val="32"/>
          <w:szCs w:val="32"/>
          <w:lang w:bidi="ar-SA"/>
        </w:rPr>
        <w:t>二、部门财政资金收支情况</w:t>
      </w:r>
      <w:bookmarkEnd w:id="184"/>
      <w:bookmarkEnd w:id="185"/>
    </w:p>
    <w:p w14:paraId="696B6FB5">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6" w:name="_Toc21282"/>
      <w:bookmarkStart w:id="187" w:name="_Toc23808"/>
      <w:r>
        <w:rPr>
          <w:rFonts w:hint="eastAsia" w:ascii="方正楷体_GBK" w:eastAsia="方正楷体_GBK" w:cs="仿宋_GB2312"/>
          <w:b w:val="0"/>
          <w:bCs w:val="0"/>
          <w:sz w:val="32"/>
          <w:szCs w:val="32"/>
          <w:lang w:bidi="ar-SA"/>
        </w:rPr>
        <w:t>(一)部门财政资金收入情况</w:t>
      </w:r>
      <w:bookmarkEnd w:id="186"/>
      <w:bookmarkEnd w:id="187"/>
    </w:p>
    <w:p w14:paraId="72F4C79F">
      <w:pPr>
        <w:overflowPunct w:val="0"/>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10935728.08</w:t>
      </w:r>
      <w:r>
        <w:rPr>
          <w:rFonts w:hint="eastAsia" w:ascii="仿宋_GB2312" w:hAnsi="仿宋_GB2312" w:eastAsia="仿宋_GB2312" w:cs="仿宋_GB2312"/>
          <w:color w:val="000000"/>
          <w:sz w:val="32"/>
          <w:szCs w:val="32"/>
        </w:rPr>
        <w:t>元，其中：一般公共预算</w:t>
      </w:r>
      <w:r>
        <w:rPr>
          <w:rFonts w:hint="eastAsia" w:ascii="仿宋_GB2312" w:hAnsi="仿宋_GB2312" w:eastAsia="仿宋_GB2312" w:cs="仿宋_GB2312"/>
          <w:color w:val="000000"/>
          <w:sz w:val="32"/>
          <w:szCs w:val="32"/>
          <w:lang w:eastAsia="zh-CN"/>
        </w:rPr>
        <w:t>基本支出</w:t>
      </w:r>
      <w:r>
        <w:rPr>
          <w:rFonts w:hint="eastAsia" w:ascii="仿宋_GB2312" w:hAnsi="仿宋_GB2312" w:eastAsia="仿宋_GB2312" w:cs="仿宋_GB2312"/>
          <w:color w:val="000000"/>
          <w:sz w:val="32"/>
          <w:szCs w:val="32"/>
        </w:rPr>
        <w:t>拨款收入</w:t>
      </w:r>
      <w:r>
        <w:rPr>
          <w:rFonts w:hint="eastAsia" w:ascii="仿宋_GB2312" w:hAnsi="仿宋_GB2312" w:eastAsia="仿宋_GB2312" w:cs="仿宋_GB2312"/>
          <w:color w:val="000000"/>
          <w:sz w:val="32"/>
          <w:szCs w:val="32"/>
          <w:lang w:val="en-US" w:eastAsia="zh-CN"/>
        </w:rPr>
        <w:t>9711439.98</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88.80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项目支出拨款收入</w:t>
      </w:r>
      <w:r>
        <w:rPr>
          <w:rFonts w:hint="eastAsia" w:ascii="仿宋_GB2312" w:hAnsi="仿宋_GB2312" w:eastAsia="仿宋_GB2312" w:cs="仿宋_GB2312"/>
          <w:color w:val="000000"/>
          <w:sz w:val="32"/>
          <w:szCs w:val="32"/>
          <w:lang w:val="en-US" w:eastAsia="zh-CN"/>
        </w:rPr>
        <w:t>1224288.10元，占11.20%</w:t>
      </w:r>
      <w:r>
        <w:rPr>
          <w:rFonts w:hint="eastAsia" w:ascii="仿宋_GB2312" w:hAnsi="仿宋_GB2312" w:eastAsia="仿宋_GB2312" w:cs="仿宋_GB2312"/>
          <w:color w:val="000000"/>
          <w:sz w:val="32"/>
          <w:szCs w:val="32"/>
        </w:rPr>
        <w:t>。</w:t>
      </w:r>
    </w:p>
    <w:p w14:paraId="2725B405">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8" w:name="_Toc11539"/>
      <w:bookmarkStart w:id="189" w:name="_Toc18369"/>
      <w:r>
        <w:rPr>
          <w:rFonts w:hint="eastAsia" w:ascii="方正楷体_GBK" w:eastAsia="方正楷体_GBK" w:cs="仿宋_GB2312"/>
          <w:b w:val="0"/>
          <w:bCs w:val="0"/>
          <w:sz w:val="32"/>
          <w:szCs w:val="32"/>
          <w:lang w:bidi="ar-SA"/>
        </w:rPr>
        <w:t>（二）部门财政资金支出情况</w:t>
      </w:r>
      <w:bookmarkEnd w:id="188"/>
      <w:bookmarkEnd w:id="189"/>
    </w:p>
    <w:p w14:paraId="2D7486E9">
      <w:pPr>
        <w:overflowPunct w:val="0"/>
        <w:spacing w:line="576" w:lineRule="exact"/>
        <w:ind w:lef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10935728.08</w:t>
      </w:r>
      <w:r>
        <w:rPr>
          <w:rFonts w:hint="eastAsia" w:ascii="仿宋_GB2312" w:hAnsi="仿宋_GB2312" w:eastAsia="仿宋_GB2312" w:cs="仿宋_GB2312"/>
          <w:color w:val="000000"/>
          <w:sz w:val="32"/>
          <w:szCs w:val="32"/>
        </w:rPr>
        <w:t>元，其中：基本支出</w:t>
      </w:r>
      <w:r>
        <w:rPr>
          <w:rFonts w:hint="eastAsia" w:ascii="仿宋_GB2312" w:hAnsi="仿宋_GB2312" w:eastAsia="仿宋_GB2312" w:cs="仿宋_GB2312"/>
          <w:color w:val="000000"/>
          <w:sz w:val="32"/>
          <w:szCs w:val="32"/>
          <w:lang w:val="en-US" w:eastAsia="zh-CN"/>
        </w:rPr>
        <w:t>9711439.98</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88.80</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1224288.10</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11.20</w:t>
      </w:r>
      <w:r>
        <w:rPr>
          <w:rFonts w:hint="eastAsia" w:ascii="仿宋_GB2312" w:hAnsi="仿宋_GB2312" w:eastAsia="仿宋_GB2312" w:cs="仿宋_GB2312"/>
          <w:color w:val="000000"/>
          <w:sz w:val="32"/>
          <w:szCs w:val="32"/>
        </w:rPr>
        <w:t>%。</w:t>
      </w:r>
    </w:p>
    <w:p w14:paraId="2E43A484">
      <w:pPr>
        <w:overflowPunct w:val="0"/>
        <w:spacing w:line="576" w:lineRule="exact"/>
        <w:ind w:firstLine="645"/>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年度一般公共预算财政拨款基本支出</w:t>
      </w:r>
      <w:r>
        <w:rPr>
          <w:rFonts w:hint="eastAsia" w:ascii="仿宋_GB2312" w:hAnsi="仿宋_GB2312" w:eastAsia="仿宋_GB2312" w:cs="仿宋_GB2312"/>
          <w:color w:val="000000"/>
          <w:sz w:val="32"/>
          <w:szCs w:val="32"/>
          <w:lang w:val="en-US" w:eastAsia="zh-CN"/>
        </w:rPr>
        <w:t>9711439.98</w:t>
      </w:r>
      <w:r>
        <w:rPr>
          <w:rFonts w:hint="eastAsia" w:ascii="仿宋_GB2312" w:hAnsi="仿宋_GB2312" w:eastAsia="仿宋_GB2312" w:cs="仿宋_GB2312"/>
          <w:color w:val="000000"/>
          <w:sz w:val="32"/>
          <w:szCs w:val="32"/>
        </w:rPr>
        <w:t>元，其中：人员经费</w:t>
      </w:r>
      <w:r>
        <w:rPr>
          <w:rFonts w:hint="eastAsia" w:ascii="仿宋_GB2312" w:hAnsi="仿宋_GB2312" w:eastAsia="仿宋_GB2312" w:cs="仿宋_GB2312"/>
          <w:color w:val="000000"/>
          <w:sz w:val="32"/>
          <w:szCs w:val="32"/>
          <w:lang w:val="en-US" w:eastAsia="zh-CN"/>
        </w:rPr>
        <w:t>8809397.20</w:t>
      </w:r>
      <w:r>
        <w:rPr>
          <w:rFonts w:hint="eastAsia" w:ascii="仿宋_GB2312" w:hAnsi="仿宋_GB2312" w:eastAsia="仿宋_GB2312" w:cs="仿宋_GB2312"/>
          <w:color w:val="000000"/>
          <w:sz w:val="32"/>
          <w:szCs w:val="32"/>
        </w:rPr>
        <w:t>元，包括：基本工资</w:t>
      </w:r>
      <w:r>
        <w:rPr>
          <w:rFonts w:hint="eastAsia" w:ascii="仿宋_GB2312" w:hAnsi="仿宋_GB2312" w:eastAsia="仿宋_GB2312" w:cs="仿宋_GB2312"/>
          <w:color w:val="000000"/>
          <w:sz w:val="32"/>
          <w:szCs w:val="32"/>
          <w:lang w:val="en-US" w:eastAsia="zh-CN"/>
        </w:rPr>
        <w:t>1411261.00</w:t>
      </w:r>
      <w:r>
        <w:rPr>
          <w:rFonts w:hint="eastAsia" w:ascii="仿宋_GB2312" w:hAnsi="仿宋_GB2312" w:eastAsia="仿宋_GB2312" w:cs="仿宋_GB2312"/>
          <w:color w:val="000000"/>
          <w:sz w:val="32"/>
          <w:szCs w:val="32"/>
        </w:rPr>
        <w:t>元、津贴补贴</w:t>
      </w:r>
      <w:r>
        <w:rPr>
          <w:rFonts w:hint="eastAsia" w:ascii="仿宋_GB2312" w:hAnsi="仿宋_GB2312" w:eastAsia="仿宋_GB2312" w:cs="仿宋_GB2312"/>
          <w:color w:val="000000"/>
          <w:sz w:val="32"/>
          <w:szCs w:val="32"/>
          <w:lang w:val="en-US" w:eastAsia="zh-CN"/>
        </w:rPr>
        <w:t>2834584.50</w:t>
      </w:r>
      <w:r>
        <w:rPr>
          <w:rFonts w:hint="eastAsia" w:ascii="仿宋_GB2312" w:hAnsi="仿宋_GB2312" w:eastAsia="仿宋_GB2312" w:cs="仿宋_GB2312"/>
          <w:color w:val="000000"/>
          <w:sz w:val="32"/>
          <w:szCs w:val="32"/>
        </w:rPr>
        <w:t>元、奖金</w:t>
      </w:r>
      <w:r>
        <w:rPr>
          <w:rFonts w:hint="eastAsia" w:ascii="仿宋_GB2312" w:hAnsi="仿宋_GB2312" w:eastAsia="仿宋_GB2312" w:cs="仿宋_GB2312"/>
          <w:color w:val="000000"/>
          <w:sz w:val="32"/>
          <w:szCs w:val="32"/>
          <w:lang w:val="en-US" w:eastAsia="zh-CN"/>
        </w:rPr>
        <w:t>1841320.68</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150192.00元、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802719.36</w:t>
      </w:r>
      <w:r>
        <w:rPr>
          <w:rFonts w:hint="eastAsia" w:ascii="仿宋_GB2312" w:hAnsi="仿宋_GB2312" w:eastAsia="仿宋_GB2312" w:cs="仿宋_GB2312"/>
          <w:color w:val="000000"/>
          <w:sz w:val="32"/>
          <w:szCs w:val="32"/>
        </w:rPr>
        <w:t>元、职业年金缴费</w:t>
      </w:r>
      <w:r>
        <w:rPr>
          <w:rFonts w:hint="eastAsia" w:ascii="仿宋_GB2312" w:hAnsi="仿宋_GB2312" w:eastAsia="仿宋_GB2312" w:cs="仿宋_GB2312"/>
          <w:color w:val="000000"/>
          <w:sz w:val="32"/>
          <w:szCs w:val="32"/>
          <w:lang w:val="en-US" w:eastAsia="zh-CN"/>
        </w:rPr>
        <w:t>401359.68</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职工基本医疗保险缴费</w:t>
      </w:r>
      <w:r>
        <w:rPr>
          <w:rFonts w:hint="eastAsia" w:ascii="仿宋_GB2312" w:hAnsi="仿宋_GB2312" w:eastAsia="仿宋_GB2312" w:cs="仿宋_GB2312"/>
          <w:color w:val="000000"/>
          <w:sz w:val="32"/>
          <w:szCs w:val="32"/>
          <w:lang w:val="en-US" w:eastAsia="zh-CN"/>
        </w:rPr>
        <w:t>430931.90元、公务员医疗补助缴费102655.10元、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94451.98元</w:t>
      </w:r>
      <w:r>
        <w:rPr>
          <w:rFonts w:hint="eastAsia" w:ascii="仿宋_GB2312" w:hAnsi="仿宋_GB2312" w:eastAsia="仿宋_GB2312" w:cs="仿宋_GB2312"/>
          <w:color w:val="000000"/>
          <w:sz w:val="32"/>
          <w:szCs w:val="32"/>
        </w:rPr>
        <w:t>、医疗费</w:t>
      </w:r>
      <w:r>
        <w:rPr>
          <w:rFonts w:hint="eastAsia" w:ascii="仿宋_GB2312" w:hAnsi="仿宋_GB2312" w:eastAsia="仿宋_GB2312" w:cs="仿宋_GB2312"/>
          <w:color w:val="000000"/>
          <w:sz w:val="32"/>
          <w:szCs w:val="32"/>
          <w:lang w:val="en-US" w:eastAsia="zh-CN"/>
        </w:rPr>
        <w:t>27800.00</w:t>
      </w:r>
      <w:r>
        <w:rPr>
          <w:rFonts w:hint="eastAsia" w:ascii="仿宋_GB2312" w:hAnsi="仿宋_GB2312" w:eastAsia="仿宋_GB2312" w:cs="仿宋_GB2312"/>
          <w:color w:val="000000"/>
          <w:sz w:val="32"/>
          <w:szCs w:val="32"/>
        </w:rPr>
        <w:t>元</w:t>
      </w:r>
      <w:r>
        <w:rPr>
          <w:rFonts w:hint="eastAsia" w:ascii="方正仿宋_GBK" w:eastAsia="方正仿宋_GBK"/>
          <w:color w:val="000000"/>
          <w:sz w:val="32"/>
          <w:szCs w:val="32"/>
        </w:rPr>
        <w:t>、</w:t>
      </w:r>
      <w:r>
        <w:rPr>
          <w:rFonts w:hint="eastAsia" w:ascii="仿宋_GB2312" w:hAnsi="仿宋_GB2312" w:eastAsia="仿宋_GB2312" w:cs="仿宋_GB2312"/>
          <w:color w:val="000000"/>
          <w:sz w:val="32"/>
          <w:szCs w:val="32"/>
          <w:lang w:eastAsia="zh-CN"/>
        </w:rPr>
        <w:t>生活补助</w:t>
      </w:r>
      <w:r>
        <w:rPr>
          <w:rFonts w:hint="eastAsia" w:ascii="仿宋_GB2312" w:hAnsi="仿宋_GB2312" w:eastAsia="仿宋_GB2312" w:cs="仿宋_GB2312"/>
          <w:color w:val="000000"/>
          <w:sz w:val="32"/>
          <w:szCs w:val="32"/>
          <w:lang w:val="en-US" w:eastAsia="zh-CN"/>
        </w:rPr>
        <w:t>0元、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712121.00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759076.41</w:t>
      </w:r>
      <w:r>
        <w:rPr>
          <w:rFonts w:hint="eastAsia" w:ascii="仿宋_GB2312" w:hAnsi="仿宋_GB2312" w:eastAsia="仿宋_GB2312" w:cs="仿宋_GB2312"/>
          <w:color w:val="000000"/>
          <w:sz w:val="32"/>
          <w:szCs w:val="32"/>
        </w:rPr>
        <w:t>元，包括：办公费</w:t>
      </w:r>
      <w:r>
        <w:rPr>
          <w:rFonts w:hint="eastAsia" w:ascii="仿宋_GB2312" w:hAnsi="仿宋_GB2312" w:eastAsia="仿宋_GB2312" w:cs="仿宋_GB2312"/>
          <w:color w:val="000000"/>
          <w:sz w:val="32"/>
          <w:szCs w:val="32"/>
          <w:lang w:val="en-US" w:eastAsia="zh-CN"/>
        </w:rPr>
        <w:t>172550.50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印刷费</w:t>
      </w:r>
      <w:r>
        <w:rPr>
          <w:rFonts w:hint="eastAsia" w:ascii="仿宋_GB2312" w:hAnsi="仿宋_GB2312" w:eastAsia="仿宋_GB2312" w:cs="仿宋_GB2312"/>
          <w:color w:val="000000"/>
          <w:sz w:val="32"/>
          <w:szCs w:val="32"/>
          <w:lang w:val="en-US" w:eastAsia="zh-CN"/>
        </w:rPr>
        <w:t>18270.00元、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3132.00元、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69667.21</w:t>
      </w:r>
      <w:r>
        <w:rPr>
          <w:rFonts w:hint="eastAsia" w:ascii="仿宋_GB2312" w:hAnsi="仿宋_GB2312" w:eastAsia="仿宋_GB2312" w:cs="仿宋_GB2312"/>
          <w:color w:val="000000"/>
          <w:sz w:val="32"/>
          <w:szCs w:val="32"/>
        </w:rPr>
        <w:t>元、邮电费</w:t>
      </w:r>
      <w:r>
        <w:rPr>
          <w:rFonts w:hint="eastAsia" w:ascii="仿宋_GB2312" w:hAnsi="仿宋_GB2312" w:eastAsia="仿宋_GB2312" w:cs="仿宋_GB2312"/>
          <w:color w:val="000000"/>
          <w:sz w:val="32"/>
          <w:szCs w:val="32"/>
          <w:lang w:val="en-US" w:eastAsia="zh-CN"/>
        </w:rPr>
        <w:t>73644.75</w:t>
      </w:r>
      <w:r>
        <w:rPr>
          <w:rFonts w:hint="eastAsia" w:ascii="仿宋_GB2312" w:hAnsi="仿宋_GB2312" w:eastAsia="仿宋_GB2312" w:cs="仿宋_GB2312"/>
          <w:color w:val="000000"/>
          <w:sz w:val="32"/>
          <w:szCs w:val="32"/>
        </w:rPr>
        <w:t>元、取暖费</w:t>
      </w:r>
      <w:r>
        <w:rPr>
          <w:rFonts w:hint="eastAsia" w:ascii="仿宋_GB2312" w:hAnsi="仿宋_GB2312" w:eastAsia="仿宋_GB2312" w:cs="仿宋_GB2312"/>
          <w:color w:val="000000"/>
          <w:sz w:val="32"/>
          <w:szCs w:val="32"/>
          <w:lang w:val="en-US" w:eastAsia="zh-CN"/>
        </w:rPr>
        <w:t>29003.58</w:t>
      </w:r>
      <w:r>
        <w:rPr>
          <w:rFonts w:hint="eastAsia" w:ascii="仿宋_GB2312" w:hAnsi="仿宋_GB2312" w:eastAsia="仿宋_GB2312" w:cs="仿宋_GB2312"/>
          <w:color w:val="000000"/>
          <w:sz w:val="32"/>
          <w:szCs w:val="32"/>
        </w:rPr>
        <w:t>元、差旅费</w:t>
      </w:r>
      <w:r>
        <w:rPr>
          <w:rFonts w:hint="eastAsia" w:ascii="仿宋_GB2312" w:hAnsi="仿宋_GB2312" w:eastAsia="仿宋_GB2312" w:cs="仿宋_GB2312"/>
          <w:color w:val="000000"/>
          <w:sz w:val="32"/>
          <w:szCs w:val="32"/>
          <w:lang w:val="en-US" w:eastAsia="zh-CN"/>
        </w:rPr>
        <w:t>58864.00</w:t>
      </w:r>
      <w:r>
        <w:rPr>
          <w:rFonts w:hint="eastAsia" w:ascii="仿宋_GB2312" w:hAnsi="仿宋_GB2312" w:eastAsia="仿宋_GB2312" w:cs="仿宋_GB2312"/>
          <w:color w:val="000000"/>
          <w:sz w:val="32"/>
          <w:szCs w:val="32"/>
        </w:rPr>
        <w:t>元、培训费</w:t>
      </w:r>
      <w:r>
        <w:rPr>
          <w:rFonts w:hint="eastAsia" w:ascii="仿宋_GB2312" w:hAnsi="仿宋_GB2312" w:eastAsia="仿宋_GB2312" w:cs="仿宋_GB2312"/>
          <w:color w:val="000000"/>
          <w:sz w:val="32"/>
          <w:szCs w:val="32"/>
          <w:lang w:val="en-US" w:eastAsia="zh-CN"/>
        </w:rPr>
        <w:t>26590.00</w:t>
      </w:r>
      <w:r>
        <w:rPr>
          <w:rFonts w:hint="eastAsia" w:ascii="仿宋_GB2312" w:hAnsi="仿宋_GB2312" w:eastAsia="仿宋_GB2312" w:cs="仿宋_GB2312"/>
          <w:color w:val="000000"/>
          <w:sz w:val="32"/>
          <w:szCs w:val="32"/>
        </w:rPr>
        <w:t>元、公务接待费</w:t>
      </w:r>
      <w:r>
        <w:rPr>
          <w:rFonts w:hint="eastAsia" w:ascii="仿宋_GB2312" w:hAnsi="仿宋_GB2312" w:eastAsia="仿宋_GB2312" w:cs="仿宋_GB2312"/>
          <w:color w:val="000000"/>
          <w:sz w:val="32"/>
          <w:szCs w:val="32"/>
          <w:lang w:val="en-US" w:eastAsia="zh-CN"/>
        </w:rPr>
        <w:t>4652.00</w:t>
      </w:r>
      <w:r>
        <w:rPr>
          <w:rFonts w:hint="eastAsia" w:ascii="仿宋_GB2312" w:hAnsi="仿宋_GB2312" w:eastAsia="仿宋_GB2312" w:cs="仿宋_GB2312"/>
          <w:color w:val="000000"/>
          <w:sz w:val="32"/>
          <w:szCs w:val="32"/>
        </w:rPr>
        <w:t>元、劳务费</w:t>
      </w:r>
      <w:r>
        <w:rPr>
          <w:rFonts w:hint="eastAsia" w:ascii="仿宋_GB2312" w:hAnsi="仿宋_GB2312" w:eastAsia="仿宋_GB2312" w:cs="仿宋_GB2312"/>
          <w:color w:val="000000"/>
          <w:sz w:val="32"/>
          <w:szCs w:val="32"/>
          <w:lang w:val="en-US" w:eastAsia="zh-CN"/>
        </w:rPr>
        <w:t>31500.00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委托业务费</w:t>
      </w:r>
      <w:r>
        <w:rPr>
          <w:rFonts w:hint="eastAsia" w:ascii="仿宋_GB2312" w:hAnsi="仿宋_GB2312" w:eastAsia="仿宋_GB2312" w:cs="仿宋_GB2312"/>
          <w:color w:val="000000"/>
          <w:sz w:val="32"/>
          <w:szCs w:val="32"/>
          <w:lang w:val="en-US" w:eastAsia="zh-CN"/>
        </w:rPr>
        <w:t>3800.00元、</w:t>
      </w:r>
      <w:r>
        <w:rPr>
          <w:rFonts w:hint="eastAsia" w:ascii="仿宋_GB2312" w:hAnsi="仿宋_GB2312" w:eastAsia="仿宋_GB2312" w:cs="仿宋_GB2312"/>
          <w:color w:val="000000"/>
          <w:sz w:val="32"/>
          <w:szCs w:val="32"/>
          <w:lang w:eastAsia="zh-CN"/>
        </w:rPr>
        <w:t>工会经费</w:t>
      </w:r>
      <w:r>
        <w:rPr>
          <w:rFonts w:hint="eastAsia" w:ascii="仿宋_GB2312" w:hAnsi="仿宋_GB2312" w:eastAsia="仿宋_GB2312" w:cs="仿宋_GB2312"/>
          <w:color w:val="000000"/>
          <w:sz w:val="32"/>
          <w:szCs w:val="32"/>
          <w:lang w:val="en-US" w:eastAsia="zh-CN"/>
        </w:rPr>
        <w:t>69105.13元、</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val="en-US" w:eastAsia="zh-CN"/>
        </w:rPr>
        <w:t>148054.24</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、维修维护费</w:t>
      </w:r>
      <w:r>
        <w:rPr>
          <w:rFonts w:hint="eastAsia" w:ascii="仿宋_GB2312" w:hAnsi="仿宋_GB2312" w:eastAsia="仿宋_GB2312" w:cs="仿宋_GB2312"/>
          <w:color w:val="000000"/>
          <w:sz w:val="32"/>
          <w:szCs w:val="32"/>
          <w:lang w:val="en-US" w:eastAsia="zh-CN"/>
        </w:rPr>
        <w:t>50243.00元。对个人和家庭的补助142966.37元，包括：生活补助125000.00元、医疗费补助17966.37元。</w:t>
      </w:r>
    </w:p>
    <w:p w14:paraId="037F6BFE">
      <w:pPr>
        <w:overflowPunct w:val="0"/>
        <w:spacing w:line="576" w:lineRule="exact"/>
        <w:ind w:firstLine="645"/>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年度一般公共预算财政拨款项目支出</w:t>
      </w:r>
      <w:r>
        <w:rPr>
          <w:rFonts w:hint="eastAsia" w:ascii="仿宋_GB2312" w:hAnsi="仿宋_GB2312" w:eastAsia="仿宋_GB2312" w:cs="仿宋_GB2312"/>
          <w:color w:val="000000"/>
          <w:sz w:val="32"/>
          <w:szCs w:val="32"/>
          <w:lang w:val="en-US" w:eastAsia="zh-CN"/>
        </w:rPr>
        <w:t>1224288.10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一般行政管理事务</w:t>
      </w:r>
      <w:r>
        <w:rPr>
          <w:rFonts w:hint="eastAsia" w:ascii="仿宋_GB2312" w:hAnsi="仿宋_GB2312" w:eastAsia="仿宋_GB2312" w:cs="仿宋_GB2312"/>
          <w:color w:val="000000"/>
          <w:sz w:val="32"/>
          <w:szCs w:val="32"/>
          <w:lang w:val="en-US" w:eastAsia="zh-CN"/>
        </w:rPr>
        <w:t>703287.00元、</w:t>
      </w:r>
      <w:r>
        <w:rPr>
          <w:rFonts w:hint="eastAsia" w:ascii="仿宋_GB2312" w:hAnsi="仿宋_GB2312" w:eastAsia="仿宋_GB2312" w:cs="仿宋_GB2312"/>
          <w:color w:val="000000"/>
          <w:sz w:val="32"/>
          <w:szCs w:val="32"/>
        </w:rPr>
        <w:t>普法宣传</w:t>
      </w:r>
      <w:r>
        <w:rPr>
          <w:rFonts w:hint="eastAsia" w:ascii="仿宋_GB2312" w:hAnsi="仿宋_GB2312" w:eastAsia="仿宋_GB2312" w:cs="仿宋_GB2312"/>
          <w:color w:val="000000"/>
          <w:sz w:val="32"/>
          <w:szCs w:val="32"/>
          <w:lang w:val="en-US" w:eastAsia="zh-CN"/>
        </w:rPr>
        <w:t>80000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、公共法律服务</w:t>
      </w:r>
      <w:r>
        <w:rPr>
          <w:rFonts w:hint="eastAsia" w:ascii="仿宋_GB2312" w:hAnsi="仿宋_GB2312" w:eastAsia="仿宋_GB2312" w:cs="仿宋_GB2312"/>
          <w:color w:val="000000"/>
          <w:sz w:val="32"/>
          <w:szCs w:val="32"/>
          <w:lang w:val="en-US" w:eastAsia="zh-CN"/>
        </w:rPr>
        <w:t>62060.00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社区矫正</w:t>
      </w:r>
      <w:r>
        <w:rPr>
          <w:rFonts w:hint="eastAsia" w:ascii="仿宋_GB2312" w:hAnsi="仿宋_GB2312" w:eastAsia="仿宋_GB2312" w:cs="仿宋_GB2312"/>
          <w:color w:val="000000"/>
          <w:sz w:val="32"/>
          <w:szCs w:val="32"/>
          <w:lang w:val="en-US" w:eastAsia="zh-CN"/>
        </w:rPr>
        <w:t>42141.10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、法制建设</w:t>
      </w:r>
      <w:r>
        <w:rPr>
          <w:rFonts w:hint="eastAsia" w:ascii="仿宋_GB2312" w:hAnsi="仿宋_GB2312" w:eastAsia="仿宋_GB2312" w:cs="仿宋_GB2312"/>
          <w:color w:val="000000"/>
          <w:sz w:val="32"/>
          <w:szCs w:val="32"/>
          <w:lang w:val="en-US" w:eastAsia="zh-CN"/>
        </w:rPr>
        <w:t>80000元、基层司法业务256800元。</w:t>
      </w:r>
    </w:p>
    <w:p w14:paraId="01197A02">
      <w:pPr>
        <w:numPr>
          <w:ilvl w:val="0"/>
          <w:numId w:val="6"/>
        </w:numPr>
        <w:overflowPunct w:val="0"/>
        <w:spacing w:line="576" w:lineRule="exact"/>
        <w:ind w:firstLine="640" w:firstLineChars="200"/>
        <w:jc w:val="left"/>
        <w:outlineLvl w:val="1"/>
        <w:rPr>
          <w:rFonts w:hint="eastAsia" w:ascii="方正黑体_GBK" w:eastAsia="方正黑体_GBK" w:cs="黑体"/>
          <w:bCs/>
          <w:sz w:val="32"/>
          <w:szCs w:val="32"/>
          <w:lang w:bidi="ar-SA"/>
        </w:rPr>
      </w:pPr>
      <w:bookmarkStart w:id="190" w:name="_Toc22997"/>
      <w:bookmarkStart w:id="191" w:name="_Toc5168"/>
      <w:r>
        <w:rPr>
          <w:rFonts w:hint="eastAsia" w:ascii="方正黑体_GBK" w:eastAsia="方正黑体_GBK" w:cs="黑体"/>
          <w:bCs/>
          <w:sz w:val="32"/>
          <w:szCs w:val="32"/>
          <w:lang w:bidi="ar-SA"/>
        </w:rPr>
        <w:t>部门</w:t>
      </w:r>
      <w:r>
        <w:rPr>
          <w:rFonts w:hint="eastAsia" w:ascii="方正黑体_GBK" w:eastAsia="方正黑体_GBK" w:cs="黑体"/>
          <w:bCs/>
          <w:sz w:val="32"/>
          <w:szCs w:val="32"/>
          <w:lang w:eastAsia="zh-CN" w:bidi="ar-SA"/>
        </w:rPr>
        <w:t>整体预算绩效</w:t>
      </w:r>
      <w:r>
        <w:rPr>
          <w:rFonts w:hint="eastAsia" w:ascii="方正黑体_GBK" w:eastAsia="方正黑体_GBK" w:cs="黑体"/>
          <w:bCs/>
          <w:sz w:val="32"/>
          <w:szCs w:val="32"/>
          <w:lang w:bidi="ar-SA"/>
        </w:rPr>
        <w:t>管理情况</w:t>
      </w:r>
      <w:bookmarkEnd w:id="190"/>
      <w:bookmarkEnd w:id="191"/>
    </w:p>
    <w:p w14:paraId="23337CE9">
      <w:pPr>
        <w:pStyle w:val="2"/>
        <w:numPr>
          <w:ilvl w:val="0"/>
          <w:numId w:val="0"/>
        </w:numPr>
        <w:ind w:firstLine="640" w:firstLineChars="200"/>
        <w:outlineLvl w:val="2"/>
        <w:rPr>
          <w:rFonts w:hint="eastAsia" w:ascii="仿宋_GB2312" w:hAnsi="仿宋_GB2312" w:eastAsia="仿宋_GB2312" w:cs="仿宋_GB2312"/>
          <w:sz w:val="32"/>
          <w:szCs w:val="32"/>
          <w:lang w:eastAsia="zh-CN"/>
        </w:rPr>
      </w:pPr>
      <w:bookmarkStart w:id="192" w:name="_Toc23216"/>
      <w:bookmarkStart w:id="193" w:name="_Toc11728"/>
      <w:r>
        <w:rPr>
          <w:rFonts w:hint="eastAsia" w:ascii="仿宋_GB2312" w:hAnsi="仿宋_GB2312" w:eastAsia="仿宋_GB2312" w:cs="仿宋_GB2312"/>
          <w:sz w:val="32"/>
          <w:szCs w:val="32"/>
          <w:lang w:eastAsia="zh-CN"/>
        </w:rPr>
        <w:t>（一）部门预算管理</w:t>
      </w:r>
      <w:bookmarkEnd w:id="192"/>
      <w:bookmarkEnd w:id="193"/>
    </w:p>
    <w:p w14:paraId="0479B6D2">
      <w:pPr>
        <w:overflowPunct w:val="0"/>
        <w:spacing w:line="576" w:lineRule="exact"/>
        <w:ind w:left="0" w:firstLine="640" w:firstLineChars="200"/>
        <w:jc w:val="left"/>
        <w:rPr>
          <w:rFonts w:hint="eastAsia" w:ascii="方正楷体_GBK" w:eastAsia="方正楷体_GBK" w:cs="仿宋_GB2312"/>
          <w:b w:val="0"/>
          <w:bCs w:val="0"/>
          <w:sz w:val="32"/>
          <w:szCs w:val="32"/>
          <w:lang w:bidi="ar-SA"/>
        </w:rPr>
      </w:pPr>
      <w:r>
        <w:rPr>
          <w:rFonts w:hint="eastAsia" w:ascii="方正楷体_GBK" w:eastAsia="方正楷体_GBK" w:cs="仿宋_GB2312"/>
          <w:b w:val="0"/>
          <w:bCs w:val="0"/>
          <w:sz w:val="32"/>
          <w:szCs w:val="32"/>
          <w:lang w:val="en-US" w:eastAsia="zh-CN" w:bidi="ar-SA"/>
        </w:rPr>
        <w:t>1.</w:t>
      </w:r>
      <w:r>
        <w:rPr>
          <w:rFonts w:hint="eastAsia" w:ascii="方正楷体_GBK" w:eastAsia="方正楷体_GBK" w:cs="仿宋_GB2312"/>
          <w:b w:val="0"/>
          <w:bCs w:val="0"/>
          <w:sz w:val="32"/>
          <w:szCs w:val="32"/>
          <w:lang w:bidi="ar-SA"/>
        </w:rPr>
        <w:t>预算编制情况</w:t>
      </w:r>
    </w:p>
    <w:p w14:paraId="47AEB5FD">
      <w:pPr>
        <w:pStyle w:val="14"/>
        <w:widowControl/>
        <w:shd w:val="clear" w:color="auto" w:fill="FFFFFF"/>
        <w:overflowPunct w:val="0"/>
        <w:spacing w:before="0" w:beforeAutospacing="0" w:after="0" w:afterAutospacing="0" w:line="576" w:lineRule="exact"/>
        <w:ind w:firstLine="640" w:firstLineChars="200"/>
        <w:rPr>
          <w:rFonts w:hint="eastAsia" w:ascii="仿宋_GB2312" w:hAnsi="仿宋_GB2312" w:eastAsia="仿宋_GB2312" w:cs="仿宋_GB2312"/>
          <w:color w:val="333333"/>
          <w:sz w:val="32"/>
          <w:szCs w:val="32"/>
          <w:lang w:bidi="ar-SA"/>
        </w:rPr>
      </w:pPr>
      <w:r>
        <w:rPr>
          <w:rFonts w:hint="eastAsia" w:ascii="仿宋_GB2312" w:hAnsi="仿宋_GB2312" w:eastAsia="仿宋_GB2312" w:cs="仿宋_GB2312"/>
          <w:color w:val="333333"/>
          <w:sz w:val="32"/>
          <w:szCs w:val="32"/>
          <w:shd w:val="clear" w:color="auto" w:fill="FFFFFF"/>
          <w:lang w:bidi="ar-SA"/>
        </w:rPr>
        <w:t xml:space="preserve">根据《中华人民共和国预算法》及县财政局印发的《关于编制 </w:t>
      </w:r>
      <w:r>
        <w:rPr>
          <w:rFonts w:hint="eastAsia" w:ascii="仿宋_GB2312" w:hAnsi="仿宋_GB2312" w:eastAsia="仿宋_GB2312" w:cs="仿宋_GB2312"/>
          <w:color w:val="333333"/>
          <w:sz w:val="32"/>
          <w:szCs w:val="32"/>
          <w:shd w:val="clear" w:color="auto" w:fill="FFFFFF"/>
          <w:lang w:eastAsia="zh-CN" w:bidi="ar-SA"/>
        </w:rPr>
        <w:t>202</w:t>
      </w:r>
      <w:r>
        <w:rPr>
          <w:rFonts w:hint="eastAsia" w:ascii="仿宋_GB2312" w:hAnsi="仿宋_GB2312" w:eastAsia="仿宋_GB2312" w:cs="仿宋_GB2312"/>
          <w:color w:val="333333"/>
          <w:sz w:val="32"/>
          <w:szCs w:val="32"/>
          <w:shd w:val="clear" w:color="auto" w:fill="FFFFFF"/>
          <w:lang w:val="en-US" w:eastAsia="zh-CN" w:bidi="ar-SA"/>
        </w:rPr>
        <w:t>4</w:t>
      </w:r>
      <w:r>
        <w:rPr>
          <w:rFonts w:hint="eastAsia" w:ascii="仿宋_GB2312" w:hAnsi="仿宋_GB2312" w:eastAsia="仿宋_GB2312" w:cs="仿宋_GB2312"/>
          <w:color w:val="333333"/>
          <w:sz w:val="32"/>
          <w:szCs w:val="32"/>
          <w:shd w:val="clear" w:color="auto" w:fill="FFFFFF"/>
          <w:lang w:bidi="ar-SA"/>
        </w:rPr>
        <w:t>年部门预算的通知》要求，结合本单位实际，按照增收节支、保障重点、优化结构、厉行节约、绩效优化的原则，严控“三公”经费管理，从严从紧编制预算。</w:t>
      </w:r>
    </w:p>
    <w:p w14:paraId="213C50AB">
      <w:pPr>
        <w:overflowPunct w:val="0"/>
        <w:spacing w:line="576" w:lineRule="exact"/>
        <w:ind w:left="0" w:firstLine="640" w:firstLineChars="200"/>
        <w:jc w:val="left"/>
        <w:rPr>
          <w:rFonts w:hint="eastAsia" w:ascii="方正楷体_GBK" w:eastAsia="方正楷体_GBK" w:cs="仿宋_GB2312"/>
          <w:b w:val="0"/>
          <w:bCs w:val="0"/>
          <w:sz w:val="32"/>
          <w:szCs w:val="32"/>
          <w:lang w:bidi="ar-SA"/>
        </w:rPr>
      </w:pPr>
      <w:r>
        <w:rPr>
          <w:rFonts w:hint="eastAsia" w:ascii="方正楷体_GBK" w:eastAsia="方正楷体_GBK" w:cs="仿宋_GB2312"/>
          <w:b w:val="0"/>
          <w:bCs w:val="0"/>
          <w:sz w:val="32"/>
          <w:szCs w:val="32"/>
          <w:lang w:val="en-US" w:eastAsia="zh-CN" w:bidi="ar-SA"/>
        </w:rPr>
        <w:t>2.</w:t>
      </w:r>
      <w:r>
        <w:rPr>
          <w:rFonts w:hint="eastAsia" w:ascii="方正楷体_GBK" w:eastAsia="方正楷体_GBK" w:cs="仿宋_GB2312"/>
          <w:b w:val="0"/>
          <w:bCs w:val="0"/>
          <w:sz w:val="32"/>
          <w:szCs w:val="32"/>
          <w:lang w:bidi="ar-SA"/>
        </w:rPr>
        <w:t>执行管理情况</w:t>
      </w:r>
    </w:p>
    <w:p w14:paraId="3B0464F2">
      <w:pPr>
        <w:widowControl/>
        <w:overflowPunct w:val="0"/>
        <w:adjustRightInd w:val="0"/>
        <w:snapToGrid w:val="0"/>
        <w:spacing w:line="576" w:lineRule="exact"/>
        <w:ind w:firstLine="720"/>
        <w:jc w:val="left"/>
        <w:rPr>
          <w:rFonts w:hint="eastAsia" w:ascii="仿宋_GB2312" w:hAnsi="仿宋_GB2312" w:eastAsia="仿宋_GB2312" w:cs="仿宋_GB2312"/>
          <w:color w:val="333333"/>
          <w:sz w:val="32"/>
          <w:szCs w:val="32"/>
          <w:shd w:val="clear" w:color="auto" w:fill="FFFFFF"/>
          <w:lang w:bidi="ar-SA"/>
        </w:rPr>
      </w:pPr>
      <w:r>
        <w:rPr>
          <w:rFonts w:hint="eastAsia" w:ascii="仿宋_GB2312" w:hAnsi="仿宋_GB2312" w:eastAsia="仿宋_GB2312" w:cs="仿宋_GB2312"/>
          <w:color w:val="333333"/>
          <w:sz w:val="32"/>
          <w:szCs w:val="32"/>
          <w:shd w:val="clear" w:color="auto" w:fill="FFFFFF"/>
          <w:lang w:bidi="ar-SA"/>
        </w:rPr>
        <w:t>本着遵循先预算后支出的原则，</w:t>
      </w:r>
      <w:r>
        <w:rPr>
          <w:rFonts w:hint="eastAsia" w:ascii="仿宋_GB2312" w:hAnsi="仿宋_GB2312" w:eastAsia="仿宋_GB2312" w:cs="仿宋_GB2312"/>
          <w:color w:val="333333"/>
          <w:sz w:val="32"/>
          <w:szCs w:val="32"/>
          <w:shd w:val="clear" w:color="auto" w:fill="FFFFFF"/>
          <w:lang w:eastAsia="zh-CN" w:bidi="ar-SA"/>
        </w:rPr>
        <w:t>202</w:t>
      </w:r>
      <w:r>
        <w:rPr>
          <w:rFonts w:hint="eastAsia" w:ascii="仿宋_GB2312" w:hAnsi="仿宋_GB2312" w:eastAsia="仿宋_GB2312" w:cs="仿宋_GB2312"/>
          <w:color w:val="333333"/>
          <w:sz w:val="32"/>
          <w:szCs w:val="32"/>
          <w:shd w:val="clear" w:color="auto" w:fill="FFFFFF"/>
          <w:lang w:val="en-US" w:eastAsia="zh-CN" w:bidi="ar-SA"/>
        </w:rPr>
        <w:t>4</w:t>
      </w:r>
      <w:r>
        <w:rPr>
          <w:rFonts w:hint="eastAsia" w:ascii="仿宋_GB2312" w:hAnsi="仿宋_GB2312" w:eastAsia="仿宋_GB2312" w:cs="仿宋_GB2312"/>
          <w:color w:val="333333"/>
          <w:sz w:val="32"/>
          <w:szCs w:val="32"/>
          <w:shd w:val="clear" w:color="auto" w:fill="FFFFFF"/>
          <w:lang w:bidi="ar-SA"/>
        </w:rPr>
        <w:t>年财政预算支出全面落实到位，均按规定的用途支付。</w:t>
      </w:r>
    </w:p>
    <w:p w14:paraId="1C042781">
      <w:pPr>
        <w:overflowPunct w:val="0"/>
        <w:spacing w:line="576" w:lineRule="exact"/>
        <w:ind w:left="0" w:firstLine="640" w:firstLineChars="200"/>
        <w:jc w:val="left"/>
        <w:rPr>
          <w:rFonts w:hint="eastAsia" w:ascii="方正楷体_GBK" w:eastAsia="方正楷体_GBK" w:cs="仿宋_GB2312"/>
          <w:b w:val="0"/>
          <w:bCs w:val="0"/>
          <w:sz w:val="32"/>
          <w:szCs w:val="32"/>
          <w:lang w:val="zh-CN" w:eastAsia="zh-CN" w:bidi="ar-SA"/>
        </w:rPr>
      </w:pPr>
      <w:r>
        <w:rPr>
          <w:rFonts w:hint="eastAsia" w:ascii="方正楷体_GBK" w:eastAsia="方正楷体_GBK" w:cs="仿宋_GB2312"/>
          <w:b w:val="0"/>
          <w:bCs w:val="0"/>
          <w:sz w:val="32"/>
          <w:szCs w:val="32"/>
          <w:lang w:val="en-US" w:eastAsia="zh-CN" w:bidi="ar"/>
        </w:rPr>
        <w:t>3.</w:t>
      </w:r>
      <w:r>
        <w:rPr>
          <w:rFonts w:hint="eastAsia" w:ascii="方正楷体_GBK" w:eastAsia="方正楷体_GBK" w:cs="仿宋_GB2312"/>
          <w:b w:val="0"/>
          <w:bCs w:val="0"/>
          <w:sz w:val="32"/>
          <w:szCs w:val="32"/>
          <w:lang w:val="zh-CN" w:eastAsia="zh-CN" w:bidi="ar"/>
        </w:rPr>
        <w:t>综合管理情况</w:t>
      </w:r>
    </w:p>
    <w:p w14:paraId="07818F8E">
      <w:pPr>
        <w:overflowPunct w:val="0"/>
        <w:spacing w:line="576"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在财务管理过程中建立健全财务核算制度、严格执行国家相关财经法规，加强了会计基础工作、逐渐规范了财务管理行为。严格按照《</w:t>
      </w:r>
      <w:r>
        <w:rPr>
          <w:rFonts w:hint="eastAsia" w:ascii="仿宋_GB2312" w:hAnsi="仿宋_GB2312" w:eastAsia="仿宋_GB2312" w:cs="仿宋_GB2312"/>
          <w:color w:val="000000"/>
          <w:sz w:val="32"/>
          <w:szCs w:val="32"/>
          <w:lang w:eastAsia="zh-CN" w:bidi="ar-SA"/>
        </w:rPr>
        <w:t>政府</w:t>
      </w:r>
      <w:r>
        <w:rPr>
          <w:rFonts w:hint="eastAsia" w:ascii="仿宋_GB2312" w:hAnsi="仿宋_GB2312" w:eastAsia="仿宋_GB2312" w:cs="仿宋_GB2312"/>
          <w:color w:val="000000"/>
          <w:sz w:val="32"/>
          <w:szCs w:val="32"/>
          <w:lang w:bidi="ar-SA"/>
        </w:rPr>
        <w:t>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w:t>
      </w:r>
      <w:r>
        <w:rPr>
          <w:rFonts w:hint="eastAsia" w:ascii="仿宋_GB2312" w:hAnsi="仿宋_GB2312" w:eastAsia="仿宋_GB2312" w:cs="仿宋_GB2312"/>
          <w:color w:val="000000"/>
          <w:sz w:val="32"/>
          <w:szCs w:val="32"/>
          <w:lang w:eastAsia="zh-CN" w:bidi="ar-SA"/>
        </w:rPr>
        <w:t>我局</w:t>
      </w:r>
      <w:r>
        <w:rPr>
          <w:rFonts w:hint="eastAsia" w:ascii="仿宋_GB2312" w:hAnsi="仿宋_GB2312" w:eastAsia="仿宋_GB2312" w:cs="仿宋_GB2312"/>
          <w:color w:val="000000"/>
          <w:sz w:val="32"/>
          <w:szCs w:val="32"/>
          <w:lang w:bidi="ar-SA"/>
        </w:rPr>
        <w:t>在资金使用过程中，合理使用各项资金，严格执行各项经费开支范围和标准。对中央转移支付资金的使用全部用于与</w:t>
      </w:r>
      <w:r>
        <w:rPr>
          <w:rFonts w:hint="eastAsia" w:ascii="仿宋_GB2312" w:hAnsi="仿宋_GB2312" w:eastAsia="仿宋_GB2312" w:cs="仿宋_GB2312"/>
          <w:color w:val="000000"/>
          <w:sz w:val="32"/>
          <w:szCs w:val="32"/>
          <w:lang w:eastAsia="zh-CN" w:bidi="ar-SA"/>
        </w:rPr>
        <w:t>司法业务</w:t>
      </w:r>
      <w:r>
        <w:rPr>
          <w:rFonts w:hint="eastAsia" w:ascii="仿宋_GB2312" w:hAnsi="仿宋_GB2312" w:eastAsia="仿宋_GB2312" w:cs="仿宋_GB2312"/>
          <w:color w:val="000000"/>
          <w:sz w:val="32"/>
          <w:szCs w:val="32"/>
          <w:lang w:bidi="ar-SA"/>
        </w:rPr>
        <w:t>直接相关的业务及装备支出，并确保专款专用；在账务报销过程中贯彻执行国家颁布的有关财务制度，严格按照《</w:t>
      </w:r>
      <w:r>
        <w:rPr>
          <w:rFonts w:hint="eastAsia" w:ascii="仿宋_GB2312" w:hAnsi="仿宋_GB2312" w:eastAsia="仿宋_GB2312" w:cs="仿宋_GB2312"/>
          <w:color w:val="000000"/>
          <w:sz w:val="32"/>
          <w:szCs w:val="32"/>
          <w:lang w:eastAsia="zh-CN" w:bidi="ar-SA"/>
        </w:rPr>
        <w:t>预算法</w:t>
      </w:r>
      <w:r>
        <w:rPr>
          <w:rFonts w:hint="eastAsia" w:ascii="仿宋_GB2312" w:hAnsi="仿宋_GB2312" w:eastAsia="仿宋_GB2312" w:cs="仿宋_GB2312"/>
          <w:color w:val="000000"/>
          <w:sz w:val="32"/>
          <w:szCs w:val="32"/>
          <w:lang w:bidi="ar-SA"/>
        </w:rPr>
        <w:t>》《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w:t>
      </w:r>
      <w:r>
        <w:rPr>
          <w:rFonts w:hint="eastAsia" w:ascii="仿宋_GB2312" w:hAnsi="仿宋_GB2312" w:eastAsia="仿宋_GB2312" w:cs="仿宋_GB2312"/>
          <w:color w:val="000000"/>
          <w:sz w:val="32"/>
          <w:szCs w:val="32"/>
          <w:lang w:eastAsia="zh-CN" w:bidi="ar-SA"/>
        </w:rPr>
        <w:t>中央“八项规定”“六项禁令”</w:t>
      </w:r>
      <w:r>
        <w:rPr>
          <w:rFonts w:hint="eastAsia" w:ascii="仿宋_GB2312" w:hAnsi="仿宋_GB2312" w:eastAsia="仿宋_GB2312" w:cs="仿宋_GB2312"/>
          <w:color w:val="000000"/>
          <w:sz w:val="32"/>
          <w:szCs w:val="32"/>
          <w:lang w:bidi="ar-SA"/>
        </w:rPr>
        <w:t>的相关规定，进一步规范了“三公经费”的管理</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并严格控制了“三公经费”的支出。</w:t>
      </w:r>
    </w:p>
    <w:p w14:paraId="3325B7C2">
      <w:pPr>
        <w:overflowPunct w:val="0"/>
        <w:spacing w:line="576" w:lineRule="exact"/>
        <w:ind w:left="0" w:firstLine="640" w:firstLineChars="200"/>
        <w:jc w:val="left"/>
        <w:rPr>
          <w:rFonts w:hint="eastAsia" w:ascii="方正楷体_GBK" w:eastAsia="方正楷体_GBK" w:cs="仿宋_GB2312"/>
          <w:b w:val="0"/>
          <w:bCs w:val="0"/>
          <w:sz w:val="32"/>
          <w:szCs w:val="32"/>
          <w:lang w:val="zh-CN" w:eastAsia="zh-CN" w:bidi="ar"/>
        </w:rPr>
      </w:pPr>
      <w:r>
        <w:rPr>
          <w:rFonts w:hint="eastAsia" w:ascii="方正楷体_GBK" w:eastAsia="方正楷体_GBK" w:cs="仿宋_GB2312"/>
          <w:b w:val="0"/>
          <w:bCs w:val="0"/>
          <w:sz w:val="32"/>
          <w:szCs w:val="32"/>
          <w:lang w:val="en-US" w:eastAsia="zh-CN" w:bidi="ar"/>
        </w:rPr>
        <w:t>4.</w:t>
      </w:r>
      <w:r>
        <w:rPr>
          <w:rFonts w:hint="eastAsia" w:ascii="方正楷体_GBK" w:eastAsia="方正楷体_GBK" w:cs="仿宋_GB2312"/>
          <w:b w:val="0"/>
          <w:bCs w:val="0"/>
          <w:sz w:val="32"/>
          <w:szCs w:val="32"/>
          <w:lang w:val="zh-CN" w:eastAsia="zh-CN" w:bidi="ar"/>
        </w:rPr>
        <w:t>整体绩效</w:t>
      </w:r>
    </w:p>
    <w:p w14:paraId="5D4535F7">
      <w:pPr>
        <w:keepNext w:val="0"/>
        <w:keepLines w:val="0"/>
        <w:pageBreakBefore w:val="0"/>
        <w:widowControl/>
        <w:kinsoku/>
        <w:wordWrap/>
        <w:overflowPunct w:val="0"/>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通过整体绩效自评，反映本部门能按照司法行政相关职</w:t>
      </w:r>
    </w:p>
    <w:p w14:paraId="2DD13530">
      <w:pPr>
        <w:keepNext w:val="0"/>
        <w:keepLines w:val="0"/>
        <w:pageBreakBefore w:val="0"/>
        <w:widowControl/>
        <w:kinsoku/>
        <w:wordWrap/>
        <w:overflowPunct w:val="0"/>
        <w:topLinePunct w:val="0"/>
        <w:autoSpaceDE/>
        <w:autoSpaceDN/>
        <w:bidi w:val="0"/>
        <w:adjustRightInd w:val="0"/>
        <w:snapToGrid w:val="0"/>
        <w:spacing w:line="576" w:lineRule="exact"/>
        <w:jc w:val="both"/>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责要求有效履行职责，圆满完成了司法行政各项工作任务，绩效评价结果为优，人民群众对我县司法行政各项工作满意度较高。</w:t>
      </w:r>
    </w:p>
    <w:p w14:paraId="1404D065">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val="zh-CN" w:eastAsia="zh-CN" w:bidi="ar"/>
        </w:rPr>
      </w:pPr>
      <w:bookmarkStart w:id="194" w:name="_Toc17331"/>
      <w:bookmarkStart w:id="195" w:name="_Toc20364"/>
      <w:r>
        <w:rPr>
          <w:rFonts w:hint="eastAsia" w:ascii="方正楷体_GBK" w:eastAsia="方正楷体_GBK" w:cs="仿宋_GB2312"/>
          <w:b w:val="0"/>
          <w:bCs w:val="0"/>
          <w:sz w:val="32"/>
          <w:szCs w:val="32"/>
          <w:lang w:val="zh-CN" w:eastAsia="zh-CN" w:bidi="ar"/>
        </w:rPr>
        <w:t>（二）结果应用情况</w:t>
      </w:r>
      <w:bookmarkEnd w:id="194"/>
      <w:bookmarkEnd w:id="195"/>
    </w:p>
    <w:p w14:paraId="6593C2C2">
      <w:pPr>
        <w:widowControl/>
        <w:overflowPunct w:val="0"/>
        <w:adjustRightInd w:val="0"/>
        <w:snapToGrid w:val="0"/>
        <w:spacing w:line="576" w:lineRule="exact"/>
        <w:ind w:firstLine="640" w:firstLineChars="200"/>
        <w:jc w:val="both"/>
        <w:rPr>
          <w:rFonts w:hint="eastAsia" w:ascii="仿宋_GB2312" w:hAnsi="仿宋_GB2312" w:eastAsia="仿宋_GB2312" w:cs="仿宋_GB2312"/>
          <w:b/>
          <w:bCs/>
          <w:color w:val="000000"/>
          <w:kern w:val="0"/>
          <w:sz w:val="32"/>
          <w:szCs w:val="32"/>
          <w:lang w:val="en-US" w:eastAsia="en-US" w:bidi="ar-SA"/>
        </w:rPr>
      </w:pPr>
      <w:r>
        <w:rPr>
          <w:rFonts w:hint="eastAsia" w:ascii="仿宋_GB2312" w:hAnsi="仿宋_GB2312" w:eastAsia="仿宋_GB2312" w:cs="仿宋_GB2312"/>
          <w:color w:val="000000"/>
          <w:kern w:val="0"/>
          <w:sz w:val="32"/>
          <w:szCs w:val="32"/>
          <w:shd w:val="clear" w:color="auto" w:fill="FFFFFF"/>
          <w:lang w:val="en-US" w:eastAsia="zh-CN" w:bidi="ar-SA"/>
        </w:rPr>
        <w:t>2024年我单位从收支执行，三公经费管理，预算管理，绩效管理等方面进行了详尽</w:t>
      </w:r>
      <w:r>
        <w:rPr>
          <w:rFonts w:hint="eastAsia" w:ascii="仿宋_GB2312" w:hAnsi="仿宋_GB2312" w:eastAsia="仿宋_GB2312" w:cs="仿宋_GB2312"/>
          <w:color w:val="000000"/>
          <w:kern w:val="0"/>
          <w:sz w:val="32"/>
          <w:szCs w:val="32"/>
          <w:shd w:val="clear" w:color="auto" w:fill="FFFFFF"/>
          <w:lang w:val="zh-CN" w:eastAsia="zh-CN" w:bidi="ar-SA"/>
        </w:rPr>
        <w:t>自评、</w:t>
      </w:r>
      <w:r>
        <w:rPr>
          <w:rFonts w:hint="eastAsia" w:ascii="仿宋_GB2312" w:hAnsi="仿宋_GB2312" w:eastAsia="仿宋_GB2312" w:cs="仿宋_GB2312"/>
          <w:color w:val="000000"/>
          <w:kern w:val="0"/>
          <w:sz w:val="32"/>
          <w:szCs w:val="32"/>
          <w:shd w:val="clear" w:color="auto" w:fill="FFFFFF"/>
          <w:lang w:val="en-US" w:eastAsia="zh-CN" w:bidi="ar-SA"/>
        </w:rPr>
        <w:t>24年预算绩效目标，项目预算绩效目标等均进行了公开，评价结果较好，对部门预算编制不够精准细化的问题将在后续工作中逐步改进。</w:t>
      </w:r>
    </w:p>
    <w:p w14:paraId="23785BB2">
      <w:pPr>
        <w:overflowPunct w:val="0"/>
        <w:spacing w:line="576" w:lineRule="exact"/>
        <w:ind w:firstLine="640" w:firstLineChars="200"/>
        <w:jc w:val="left"/>
        <w:outlineLvl w:val="1"/>
        <w:rPr>
          <w:rFonts w:hint="eastAsia" w:ascii="方正黑体_GBK" w:eastAsia="方正黑体_GBK" w:cs="黑体"/>
          <w:bCs/>
          <w:sz w:val="32"/>
          <w:szCs w:val="32"/>
          <w:lang w:bidi="ar-SA"/>
        </w:rPr>
      </w:pPr>
      <w:bookmarkStart w:id="196" w:name="_Toc19453"/>
      <w:bookmarkStart w:id="197" w:name="_Toc21331"/>
      <w:r>
        <w:rPr>
          <w:rFonts w:hint="eastAsia" w:ascii="方正黑体_GBK" w:eastAsia="方正黑体_GBK" w:cs="黑体"/>
          <w:bCs/>
          <w:sz w:val="32"/>
          <w:szCs w:val="32"/>
          <w:lang w:bidi="ar-SA"/>
        </w:rPr>
        <w:t> 四、评价结论及建议</w:t>
      </w:r>
      <w:bookmarkEnd w:id="196"/>
      <w:bookmarkEnd w:id="197"/>
    </w:p>
    <w:p w14:paraId="6FCC2C0E">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val="zh-CN" w:eastAsia="zh-CN" w:bidi="ar"/>
        </w:rPr>
      </w:pPr>
      <w:bookmarkStart w:id="198" w:name="_Toc1000"/>
      <w:bookmarkStart w:id="199" w:name="_Toc16815"/>
      <w:r>
        <w:rPr>
          <w:rFonts w:hint="eastAsia" w:ascii="方正楷体_GBK" w:eastAsia="方正楷体_GBK" w:cs="仿宋_GB2312"/>
          <w:b w:val="0"/>
          <w:bCs w:val="0"/>
          <w:sz w:val="32"/>
          <w:szCs w:val="32"/>
          <w:lang w:val="zh-CN" w:eastAsia="zh-CN" w:bidi="ar"/>
        </w:rPr>
        <w:t> （一）评价结论</w:t>
      </w:r>
      <w:bookmarkEnd w:id="198"/>
      <w:bookmarkEnd w:id="199"/>
    </w:p>
    <w:p w14:paraId="611AB74F">
      <w:pPr>
        <w:pStyle w:val="14"/>
        <w:overflowPunct w:val="0"/>
        <w:bidi w:val="0"/>
        <w:spacing w:beforeAutospacing="0" w:afterAutospacing="0" w:line="576" w:lineRule="exact"/>
        <w:ind w:firstLine="640" w:firstLineChars="200"/>
        <w:jc w:val="both"/>
        <w:rPr>
          <w:rFonts w:hint="eastAsia" w:ascii="方正仿宋_GBK" w:eastAsia="方正仿宋_GBK" w:cs="仿宋_GB2312"/>
          <w:color w:val="333333"/>
          <w:sz w:val="32"/>
          <w:szCs w:val="32"/>
          <w:shd w:val="clear" w:color="auto" w:fill="FFFFFF"/>
          <w:lang w:bidi="ar-SA"/>
        </w:rPr>
      </w:pPr>
      <w:r>
        <w:rPr>
          <w:rFonts w:hint="eastAsia" w:ascii="仿宋_GB2312" w:hAnsi="仿宋_GB2312" w:eastAsia="仿宋_GB2312" w:cs="仿宋_GB2312"/>
          <w:sz w:val="32"/>
          <w:szCs w:val="32"/>
          <w:lang w:val="zh-CN" w:eastAsia="zh-CN" w:bidi="ar-SA"/>
        </w:rPr>
        <w:t>根据《202</w:t>
      </w:r>
      <w:r>
        <w:rPr>
          <w:rFonts w:hint="eastAsia" w:ascii="仿宋_GB2312" w:hAnsi="仿宋_GB2312" w:eastAsia="仿宋_GB2312" w:cs="仿宋_GB2312"/>
          <w:sz w:val="32"/>
          <w:szCs w:val="32"/>
          <w:lang w:val="en-US" w:eastAsia="zh-CN" w:bidi="ar-SA"/>
        </w:rPr>
        <w:t>4</w:t>
      </w:r>
      <w:r>
        <w:rPr>
          <w:rFonts w:hint="eastAsia" w:ascii="仿宋_GB2312" w:hAnsi="仿宋_GB2312" w:eastAsia="仿宋_GB2312" w:cs="仿宋_GB2312"/>
          <w:sz w:val="32"/>
          <w:szCs w:val="32"/>
          <w:lang w:val="zh-CN" w:eastAsia="zh-CN" w:bidi="ar-SA"/>
        </w:rPr>
        <w:t>年红原县部门整体支出绩效评价指标体系》（自评表）评分得分9</w:t>
      </w: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lang w:val="zh-CN" w:eastAsia="zh-CN" w:bidi="ar-SA"/>
        </w:rPr>
        <w:t>分，部门整体支出绩效为“好”。</w:t>
      </w:r>
    </w:p>
    <w:p w14:paraId="5A713FB4">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val="zh-CN" w:eastAsia="zh-CN" w:bidi="ar"/>
        </w:rPr>
      </w:pPr>
      <w:bookmarkStart w:id="200" w:name="_Toc21885"/>
      <w:bookmarkStart w:id="201" w:name="_Toc12215"/>
      <w:r>
        <w:rPr>
          <w:rFonts w:hint="eastAsia" w:ascii="方正楷体_GBK" w:eastAsia="方正楷体_GBK" w:cs="仿宋_GB2312"/>
          <w:b w:val="0"/>
          <w:bCs w:val="0"/>
          <w:sz w:val="32"/>
          <w:szCs w:val="32"/>
          <w:lang w:val="zh-CN" w:eastAsia="zh-CN" w:bidi="ar"/>
        </w:rPr>
        <w:t>（二）存在问题 </w:t>
      </w:r>
      <w:bookmarkEnd w:id="200"/>
      <w:bookmarkEnd w:id="201"/>
    </w:p>
    <w:p w14:paraId="7009B4C3">
      <w:pPr>
        <w:pStyle w:val="2"/>
        <w:keepNext w:val="0"/>
        <w:keepLines w:val="0"/>
        <w:pageBreakBefore w:val="0"/>
        <w:widowControl w:val="0"/>
        <w:kinsoku/>
        <w:wordWrap/>
        <w:overflowPunct w:val="0"/>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color w:val="000000"/>
          <w:sz w:val="32"/>
          <w:szCs w:val="32"/>
          <w:lang w:val="en-US" w:eastAsia="zh-CN" w:bidi="ar-SA"/>
        </w:rPr>
        <w:t>在平时工作推进过程中，缺乏专业人员进行专业指导及培训，工作推进存在一定困难，预算编制还需更加精准。</w:t>
      </w:r>
    </w:p>
    <w:p w14:paraId="67A1A452">
      <w:pPr>
        <w:overflowPunct w:val="0"/>
        <w:spacing w:line="576" w:lineRule="exact"/>
        <w:ind w:left="0" w:firstLine="643" w:firstLineChars="200"/>
        <w:jc w:val="left"/>
        <w:outlineLvl w:val="2"/>
        <w:rPr>
          <w:rFonts w:hint="eastAsia" w:ascii="方正楷体_GBK" w:eastAsia="方正楷体_GBK" w:cs="仿宋_GB2312"/>
          <w:b/>
          <w:bCs/>
          <w:sz w:val="32"/>
          <w:szCs w:val="32"/>
          <w:lang w:val="zh-CN" w:eastAsia="zh-CN" w:bidi="ar"/>
        </w:rPr>
      </w:pPr>
      <w:bookmarkStart w:id="202" w:name="_Toc29112"/>
      <w:bookmarkStart w:id="203" w:name="_Toc1975"/>
      <w:r>
        <w:rPr>
          <w:rFonts w:hint="eastAsia" w:ascii="方正楷体_GBK" w:eastAsia="方正楷体_GBK" w:cs="仿宋_GB2312"/>
          <w:b/>
          <w:bCs/>
          <w:sz w:val="32"/>
          <w:szCs w:val="32"/>
          <w:lang w:val="zh-CN" w:eastAsia="zh-CN" w:bidi="ar"/>
        </w:rPr>
        <w:t>   </w:t>
      </w:r>
      <w:r>
        <w:rPr>
          <w:rFonts w:hint="eastAsia" w:ascii="方正楷体_GBK" w:eastAsia="方正楷体_GBK" w:cs="仿宋_GB2312"/>
          <w:b w:val="0"/>
          <w:bCs w:val="0"/>
          <w:sz w:val="32"/>
          <w:szCs w:val="32"/>
          <w:lang w:val="zh-CN" w:eastAsia="zh-CN" w:bidi="ar"/>
        </w:rPr>
        <w:t>（三）改进建议</w:t>
      </w:r>
      <w:bookmarkEnd w:id="202"/>
      <w:bookmarkEnd w:id="203"/>
    </w:p>
    <w:p w14:paraId="46E63CDA">
      <w:pPr>
        <w:keepNext w:val="0"/>
        <w:keepLines w:val="0"/>
        <w:pageBreakBefore w:val="0"/>
        <w:widowControl w:val="0"/>
        <w:kinsoku/>
        <w:wordWrap/>
        <w:overflowPunct w:val="0"/>
        <w:topLinePunct w:val="0"/>
        <w:autoSpaceDE/>
        <w:autoSpaceDN/>
        <w:bidi w:val="0"/>
        <w:spacing w:line="576" w:lineRule="exact"/>
        <w:ind w:left="0" w:right="0" w:firstLine="640" w:firstLineChars="200"/>
        <w:jc w:val="left"/>
        <w:textAlignment w:val="auto"/>
        <w:outlineLvl w:val="9"/>
        <w:rPr>
          <w:rFonts w:hint="eastAsia" w:ascii="仿宋_GB2312" w:hAnsi="仿宋_GB2312" w:eastAsia="仿宋_GB2312" w:cs="仿宋_GB2312"/>
          <w:color w:val="000000"/>
          <w:sz w:val="32"/>
          <w:szCs w:val="32"/>
          <w:lang w:val="en-US" w:eastAsia="zh-CN" w:bidi="ar-SA"/>
        </w:rPr>
      </w:pPr>
      <w:r>
        <w:rPr>
          <w:rFonts w:hint="eastAsia" w:ascii="仿宋_GB2312" w:hAnsi="仿宋_GB2312" w:eastAsia="仿宋_GB2312" w:cs="仿宋_GB2312"/>
          <w:color w:val="000000"/>
          <w:sz w:val="32"/>
          <w:szCs w:val="32"/>
          <w:lang w:val="en-US" w:eastAsia="zh-CN" w:bidi="ar-SA"/>
        </w:rPr>
        <w:t>1.通过各种途径加强绩效管理学习，科学合理编制预算，严格执行预算。</w:t>
      </w:r>
    </w:p>
    <w:p w14:paraId="1F108203">
      <w:pPr>
        <w:keepNext w:val="0"/>
        <w:keepLines w:val="0"/>
        <w:pageBreakBefore w:val="0"/>
        <w:widowControl w:val="0"/>
        <w:kinsoku/>
        <w:wordWrap/>
        <w:overflowPunct w:val="0"/>
        <w:topLinePunct w:val="0"/>
        <w:autoSpaceDE/>
        <w:autoSpaceDN/>
        <w:bidi w:val="0"/>
        <w:spacing w:line="576" w:lineRule="exact"/>
        <w:ind w:left="0" w:right="0" w:firstLine="640" w:firstLineChars="200"/>
        <w:jc w:val="left"/>
        <w:textAlignment w:val="auto"/>
        <w:outlineLvl w:val="9"/>
        <w:rPr>
          <w:rFonts w:hint="eastAsia" w:ascii="仿宋_GB2312" w:hAnsi="仿宋_GB2312" w:eastAsia="仿宋_GB2312" w:cs="仿宋_GB2312"/>
          <w:color w:val="000000"/>
          <w:sz w:val="32"/>
          <w:szCs w:val="32"/>
          <w:lang w:val="en-US" w:eastAsia="zh-CN" w:bidi="ar-SA"/>
        </w:rPr>
      </w:pPr>
      <w:r>
        <w:rPr>
          <w:rFonts w:hint="eastAsia" w:ascii="仿宋_GB2312" w:hAnsi="仿宋_GB2312" w:eastAsia="仿宋_GB2312" w:cs="仿宋_GB2312"/>
          <w:color w:val="000000"/>
          <w:sz w:val="32"/>
          <w:szCs w:val="32"/>
          <w:lang w:val="en-US" w:eastAsia="zh-CN" w:bidi="ar-SA"/>
        </w:rPr>
        <w:t>2.规范账务处理，提高财务信息质量。</w:t>
      </w:r>
    </w:p>
    <w:p w14:paraId="3A81F00D">
      <w:pPr>
        <w:pStyle w:val="14"/>
        <w:widowControl/>
        <w:shd w:val="clear" w:color="auto" w:fill="FFFFFF"/>
        <w:overflowPunct w:val="0"/>
        <w:spacing w:before="0" w:beforeAutospacing="0" w:after="0" w:afterAutospacing="0" w:line="576" w:lineRule="exact"/>
        <w:ind w:firstLine="640" w:firstLineChars="200"/>
        <w:jc w:val="both"/>
        <w:rPr>
          <w:rFonts w:hint="eastAsia" w:ascii="仿宋_GB2312" w:hAnsi="仿宋_GB2312" w:eastAsia="仿宋_GB2312" w:cs="仿宋_GB2312"/>
          <w:color w:val="333333"/>
          <w:sz w:val="32"/>
          <w:szCs w:val="32"/>
          <w:shd w:val="clear" w:color="auto" w:fill="FFFFFF"/>
          <w:lang w:bidi="ar-SA"/>
        </w:rPr>
      </w:pPr>
      <w:r>
        <w:rPr>
          <w:rFonts w:hint="eastAsia" w:ascii="仿宋_GB2312" w:hAnsi="仿宋_GB2312" w:eastAsia="仿宋_GB2312" w:cs="仿宋_GB2312"/>
          <w:color w:val="333333"/>
          <w:sz w:val="32"/>
          <w:szCs w:val="32"/>
          <w:shd w:val="clear" w:color="auto" w:fill="FFFFFF"/>
          <w:lang w:val="en-US" w:eastAsia="zh-CN" w:bidi="ar-SA"/>
        </w:rPr>
        <w:t>3.</w:t>
      </w:r>
      <w:r>
        <w:rPr>
          <w:rFonts w:hint="eastAsia" w:ascii="仿宋_GB2312" w:hAnsi="仿宋_GB2312" w:eastAsia="仿宋_GB2312" w:cs="仿宋_GB2312"/>
          <w:color w:val="333333"/>
          <w:sz w:val="32"/>
          <w:szCs w:val="32"/>
          <w:shd w:val="clear" w:color="auto" w:fill="FFFFFF"/>
          <w:lang w:bidi="ar-SA"/>
        </w:rPr>
        <w:t>建立长效机制，严格财务管理，加强财务监督，坚持厉行节约，控制“三公经费”支出</w:t>
      </w:r>
      <w:r>
        <w:rPr>
          <w:rFonts w:hint="eastAsia" w:ascii="仿宋_GB2312" w:hAnsi="仿宋_GB2312" w:eastAsia="仿宋_GB2312" w:cs="仿宋_GB2312"/>
          <w:color w:val="333333"/>
          <w:sz w:val="32"/>
          <w:szCs w:val="32"/>
          <w:shd w:val="clear" w:color="auto" w:fill="FFFFFF"/>
          <w:lang w:eastAsia="zh-CN" w:bidi="ar-SA"/>
        </w:rPr>
        <w:t>。</w:t>
      </w:r>
      <w:r>
        <w:rPr>
          <w:rFonts w:hint="eastAsia" w:ascii="仿宋_GB2312" w:hAnsi="仿宋_GB2312" w:eastAsia="仿宋_GB2312" w:cs="仿宋_GB2312"/>
          <w:color w:val="333333"/>
          <w:sz w:val="32"/>
          <w:szCs w:val="32"/>
          <w:shd w:val="clear" w:color="auto" w:fill="FFFFFF"/>
          <w:lang w:bidi="ar-SA"/>
        </w:rPr>
        <w:t>  </w:t>
      </w:r>
    </w:p>
    <w:p w14:paraId="6C3C9639">
      <w:pPr>
        <w:pStyle w:val="14"/>
        <w:widowControl/>
        <w:shd w:val="clear" w:color="auto" w:fill="FFFFFF"/>
        <w:spacing w:before="0" w:beforeAutospacing="0" w:after="0" w:afterAutospacing="0" w:line="315" w:lineRule="atLeast"/>
        <w:ind w:firstLine="643" w:firstLineChars="200"/>
        <w:outlineLvl w:val="1"/>
        <w:rPr>
          <w:rFonts w:hint="eastAsia" w:ascii="黑体" w:hAnsi="黑体" w:eastAsia="黑体" w:cs="黑体"/>
          <w:color w:val="auto"/>
          <w:sz w:val="32"/>
          <w:szCs w:val="32"/>
        </w:rPr>
      </w:pPr>
      <w:bookmarkStart w:id="204" w:name="_Toc11039"/>
      <w:bookmarkStart w:id="205" w:name="_Toc31048"/>
      <w:r>
        <w:rPr>
          <w:rFonts w:hint="eastAsia" w:ascii="黑体" w:hAnsi="黑体" w:eastAsia="黑体" w:cs="黑体"/>
          <w:b/>
          <w:bCs/>
          <w:color w:val="auto"/>
          <w:sz w:val="32"/>
          <w:szCs w:val="32"/>
          <w:shd w:val="clear" w:color="auto" w:fill="FFFFFF"/>
        </w:rPr>
        <w:t> 四、评价结论及建议</w:t>
      </w:r>
      <w:bookmarkEnd w:id="204"/>
      <w:bookmarkEnd w:id="205"/>
    </w:p>
    <w:p w14:paraId="15AE83F0">
      <w:pPr>
        <w:pStyle w:val="14"/>
        <w:widowControl/>
        <w:shd w:val="clear" w:color="auto" w:fill="FFFFFF"/>
        <w:spacing w:before="0" w:beforeAutospacing="0" w:after="0" w:afterAutospacing="0" w:line="315" w:lineRule="atLeast"/>
        <w:ind w:firstLine="480"/>
        <w:outlineLvl w:val="2"/>
        <w:rPr>
          <w:rFonts w:hint="eastAsia" w:ascii="仿宋_GB2312" w:hAnsi="仿宋_GB2312" w:eastAsia="仿宋_GB2312" w:cs="仿宋_GB2312"/>
          <w:color w:val="auto"/>
          <w:sz w:val="32"/>
          <w:szCs w:val="32"/>
        </w:rPr>
      </w:pPr>
      <w:bookmarkStart w:id="206" w:name="_Toc24641"/>
      <w:bookmarkStart w:id="207" w:name="_Toc18852"/>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b/>
          <w:bCs/>
          <w:color w:val="auto"/>
          <w:sz w:val="32"/>
          <w:szCs w:val="32"/>
          <w:shd w:val="clear" w:color="auto" w:fill="FFFFFF"/>
        </w:rPr>
        <w:t>（一）评价结论</w:t>
      </w:r>
      <w:bookmarkEnd w:id="206"/>
      <w:bookmarkEnd w:id="207"/>
    </w:p>
    <w:p w14:paraId="0BA5F5F6">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shd w:val="clear" w:fill="FFFFFF"/>
          <w:lang w:val="zh-CN"/>
        </w:rPr>
      </w:pPr>
      <w:r>
        <w:rPr>
          <w:rFonts w:hint="eastAsia" w:ascii="仿宋_GB2312" w:hAnsi="仿宋_GB2312" w:eastAsia="仿宋_GB2312" w:cs="仿宋_GB2312"/>
          <w:b w:val="0"/>
          <w:i w:val="0"/>
          <w:caps w:val="0"/>
          <w:color w:val="auto"/>
          <w:spacing w:val="0"/>
          <w:sz w:val="32"/>
          <w:szCs w:val="32"/>
          <w:shd w:val="clear" w:fill="FFFFFF"/>
          <w:lang w:val="zh-CN"/>
        </w:rPr>
        <w:t>根据《20</w:t>
      </w:r>
      <w:r>
        <w:rPr>
          <w:rFonts w:hint="eastAsia" w:ascii="仿宋_GB2312" w:hAnsi="仿宋_GB2312" w:eastAsia="仿宋_GB2312" w:cs="仿宋_GB2312"/>
          <w:b w:val="0"/>
          <w:i w:val="0"/>
          <w:caps w:val="0"/>
          <w:color w:val="auto"/>
          <w:spacing w:val="0"/>
          <w:sz w:val="32"/>
          <w:szCs w:val="32"/>
          <w:shd w:val="clear" w:fill="FFFFFF"/>
          <w:lang w:val="en-US" w:eastAsia="zh-CN"/>
        </w:rPr>
        <w:t>24</w:t>
      </w:r>
      <w:r>
        <w:rPr>
          <w:rFonts w:hint="eastAsia" w:ascii="仿宋_GB2312" w:hAnsi="仿宋_GB2312" w:eastAsia="仿宋_GB2312" w:cs="仿宋_GB2312"/>
          <w:b w:val="0"/>
          <w:i w:val="0"/>
          <w:caps w:val="0"/>
          <w:color w:val="auto"/>
          <w:spacing w:val="0"/>
          <w:sz w:val="32"/>
          <w:szCs w:val="32"/>
          <w:shd w:val="clear" w:fill="FFFFFF"/>
          <w:lang w:val="zh-CN"/>
        </w:rPr>
        <w:t>年红原县部门支出绩效评价指标体系》评分得分</w:t>
      </w:r>
      <w:r>
        <w:rPr>
          <w:rFonts w:hint="eastAsia" w:ascii="仿宋_GB2312" w:hAnsi="仿宋_GB2312" w:eastAsia="仿宋_GB2312" w:cs="仿宋_GB2312"/>
          <w:b w:val="0"/>
          <w:i w:val="0"/>
          <w:caps w:val="0"/>
          <w:color w:val="auto"/>
          <w:spacing w:val="0"/>
          <w:sz w:val="32"/>
          <w:szCs w:val="32"/>
          <w:shd w:val="clear" w:fill="FFFFFF"/>
          <w:lang w:val="en-US" w:eastAsia="zh-CN"/>
        </w:rPr>
        <w:t>91</w:t>
      </w:r>
      <w:r>
        <w:rPr>
          <w:rFonts w:hint="eastAsia" w:ascii="仿宋_GB2312" w:hAnsi="仿宋_GB2312" w:eastAsia="仿宋_GB2312" w:cs="仿宋_GB2312"/>
          <w:b w:val="0"/>
          <w:i w:val="0"/>
          <w:caps w:val="0"/>
          <w:color w:val="auto"/>
          <w:spacing w:val="0"/>
          <w:sz w:val="32"/>
          <w:szCs w:val="32"/>
          <w:shd w:val="clear" w:fill="FFFFFF"/>
          <w:lang w:val="zh-CN"/>
        </w:rPr>
        <w:t>分，部门整体支出绩效为“好”。</w:t>
      </w:r>
    </w:p>
    <w:p w14:paraId="22280109">
      <w:pPr>
        <w:pStyle w:val="14"/>
        <w:widowControl/>
        <w:shd w:val="clear" w:color="auto" w:fill="FFFFFF"/>
        <w:spacing w:before="0" w:beforeAutospacing="0" w:after="0" w:afterAutospacing="0" w:line="315" w:lineRule="atLeast"/>
        <w:ind w:firstLine="643" w:firstLineChars="200"/>
        <w:outlineLvl w:val="2"/>
        <w:rPr>
          <w:rFonts w:hint="eastAsia" w:ascii="宋体" w:hAnsi="宋体" w:eastAsia="宋体" w:cs="宋体"/>
          <w:b w:val="0"/>
          <w:i w:val="0"/>
          <w:caps w:val="0"/>
          <w:color w:val="auto"/>
          <w:spacing w:val="0"/>
          <w:sz w:val="24"/>
          <w:szCs w:val="24"/>
        </w:rPr>
      </w:pPr>
      <w:bookmarkStart w:id="208" w:name="_Toc15112"/>
      <w:bookmarkStart w:id="209" w:name="_Toc29449"/>
      <w:r>
        <w:rPr>
          <w:rFonts w:hint="eastAsia" w:ascii="仿宋_GB2312" w:hAnsi="仿宋_GB2312" w:eastAsia="仿宋_GB2312" w:cs="仿宋_GB2312"/>
          <w:b/>
          <w:bCs/>
          <w:color w:val="auto"/>
          <w:sz w:val="32"/>
          <w:szCs w:val="32"/>
          <w:shd w:val="clear" w:color="auto" w:fill="FFFFFF"/>
        </w:rPr>
        <w:t>（二）存在问题</w:t>
      </w:r>
      <w:r>
        <w:rPr>
          <w:rFonts w:hint="eastAsia" w:ascii="仿宋_GB2312" w:hAnsi="仿宋_GB2312" w:eastAsia="仿宋_GB2312" w:cs="仿宋_GB2312"/>
          <w:color w:val="auto"/>
          <w:sz w:val="32"/>
          <w:szCs w:val="32"/>
          <w:shd w:val="clear" w:color="auto" w:fill="FFFFFF"/>
        </w:rPr>
        <w:t> </w:t>
      </w:r>
      <w:bookmarkEnd w:id="208"/>
      <w:bookmarkEnd w:id="209"/>
    </w:p>
    <w:p w14:paraId="48868DA5">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预算编制仍需进一步精准细化。</w:t>
      </w:r>
    </w:p>
    <w:p w14:paraId="4F173B34">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随着财务工作日益细化，各项资金需要完全按照所下指标用途分类来使用，我局目前还需要进一步提升对预算的细化工作，加强对资金使用的前瞻性预估。</w:t>
      </w:r>
    </w:p>
    <w:p w14:paraId="6808E372">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资产管理更新速度较慢。</w:t>
      </w:r>
    </w:p>
    <w:p w14:paraId="63F5A8B4">
      <w:pPr>
        <w:pStyle w:val="14"/>
        <w:widowControl/>
        <w:shd w:val="clear" w:color="auto" w:fill="FFFFFF"/>
        <w:spacing w:before="0" w:beforeAutospacing="0" w:after="0" w:afterAutospacing="0" w:line="315" w:lineRule="atLeast"/>
        <w:ind w:firstLine="643" w:firstLineChars="200"/>
        <w:outlineLvl w:val="2"/>
        <w:rPr>
          <w:rFonts w:hint="eastAsia" w:ascii="仿宋_GB2312" w:hAnsi="仿宋_GB2312" w:eastAsia="仿宋_GB2312" w:cs="仿宋_GB2312"/>
          <w:color w:val="auto"/>
          <w:sz w:val="32"/>
          <w:szCs w:val="32"/>
        </w:rPr>
      </w:pPr>
      <w:bookmarkStart w:id="210" w:name="_Toc8591"/>
      <w:bookmarkStart w:id="211" w:name="_Toc19049"/>
      <w:r>
        <w:rPr>
          <w:rFonts w:hint="eastAsia" w:ascii="仿宋_GB2312" w:hAnsi="仿宋_GB2312" w:eastAsia="仿宋_GB2312" w:cs="仿宋_GB2312"/>
          <w:b/>
          <w:bCs/>
          <w:color w:val="auto"/>
          <w:sz w:val="32"/>
          <w:szCs w:val="32"/>
          <w:shd w:val="clear" w:color="auto" w:fill="FFFFFF"/>
        </w:rPr>
        <w:t>（三）改进建议</w:t>
      </w:r>
      <w:bookmarkEnd w:id="210"/>
      <w:bookmarkEnd w:id="211"/>
    </w:p>
    <w:p w14:paraId="272EDA96">
      <w:pPr>
        <w:pStyle w:val="14"/>
        <w:keepNext w:val="0"/>
        <w:keepLines w:val="0"/>
        <w:widowControl/>
        <w:suppressLineNumbers w:val="0"/>
        <w:shd w:val="clear" w:fill="FFFFFF"/>
        <w:spacing w:before="0" w:beforeAutospacing="0" w:after="0" w:afterAutospacing="0" w:line="33" w:lineRule="atLeast"/>
        <w:ind w:firstLine="640" w:firstLineChars="20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科学合理编制预算，严格执行预算。在预算的编制阶段，多花时间、下功夫，将每项支出的预算做好做细。在预算的执行阶段，严格控制每项支出，并定期将预算使用情况向局党组汇报，针对突发性支出做好准备工作。</w:t>
      </w:r>
    </w:p>
    <w:p w14:paraId="6C64C455">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shd w:val="clear" w:fill="FFFFFF"/>
          <w:lang w:eastAsia="zh-CN"/>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完善管理制度，严格按照《固定资产管理办法》的规定加强资产管理</w:t>
      </w:r>
      <w:r>
        <w:rPr>
          <w:rFonts w:hint="eastAsia" w:ascii="仿宋_GB2312" w:hAnsi="仿宋_GB2312" w:eastAsia="仿宋_GB2312" w:cs="仿宋_GB2312"/>
          <w:b w:val="0"/>
          <w:i w:val="0"/>
          <w:caps w:val="0"/>
          <w:color w:val="auto"/>
          <w:spacing w:val="0"/>
          <w:sz w:val="32"/>
          <w:szCs w:val="32"/>
          <w:shd w:val="clear" w:fill="FFFFFF"/>
          <w:lang w:eastAsia="zh-CN"/>
        </w:rPr>
        <w:t>。</w:t>
      </w:r>
    </w:p>
    <w:p w14:paraId="0B10C34D">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shd w:val="clear" w:fill="FFFFFF"/>
          <w:lang w:eastAsia="zh-CN"/>
        </w:rPr>
      </w:pPr>
    </w:p>
    <w:p w14:paraId="022CC88D">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bookmarkStart w:id="212" w:name="_Toc22417"/>
      <w:bookmarkStart w:id="213" w:name="_Toc25166"/>
    </w:p>
    <w:p w14:paraId="26C2A78D">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6678DE7C">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65AA60A0">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2B3A4C94">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7C9CBD12">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5F75C950">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1DD06609">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55222357">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5972AB59">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70001F15">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p>
    <w:p w14:paraId="3AC269FE">
      <w:pPr>
        <w:pStyle w:val="14"/>
        <w:widowControl/>
        <w:shd w:val="clear" w:color="auto" w:fill="FFFFFF"/>
        <w:spacing w:before="0" w:beforeAutospacing="0" w:after="0" w:afterAutospacing="0" w:line="315" w:lineRule="atLeast"/>
        <w:ind w:firstLine="960" w:firstLineChars="300"/>
        <w:outlineLvl w:val="1"/>
        <w:rPr>
          <w:rStyle w:val="23"/>
          <w:rFonts w:hint="eastAsia" w:ascii="仿宋" w:hAnsi="仿宋" w:eastAsia="仿宋"/>
          <w:b w:val="0"/>
          <w:bCs w:val="0"/>
          <w:color w:val="auto"/>
          <w:sz w:val="32"/>
          <w:szCs w:val="32"/>
        </w:rPr>
      </w:pPr>
      <w:r>
        <w:rPr>
          <w:rStyle w:val="23"/>
          <w:rFonts w:hint="eastAsia" w:ascii="仿宋" w:hAnsi="仿宋" w:eastAsia="仿宋"/>
          <w:b w:val="0"/>
          <w:bCs w:val="0"/>
          <w:color w:val="auto"/>
          <w:sz w:val="32"/>
          <w:szCs w:val="32"/>
        </w:rPr>
        <w:t>附件2</w:t>
      </w:r>
      <w:bookmarkEnd w:id="175"/>
      <w:bookmarkEnd w:id="212"/>
      <w:bookmarkEnd w:id="213"/>
    </w:p>
    <w:p w14:paraId="02848F60">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color w:val="auto"/>
          <w:sz w:val="44"/>
          <w:szCs w:val="44"/>
          <w:lang w:val="en-US"/>
        </w:rPr>
      </w:pPr>
      <w:r>
        <w:rPr>
          <w:rFonts w:hint="eastAsia" w:ascii="方正小标宋简体" w:hAnsi="宋体" w:eastAsia="方正小标宋简体" w:cs="方正小标宋简体"/>
          <w:color w:val="auto"/>
          <w:kern w:val="2"/>
          <w:sz w:val="44"/>
          <w:szCs w:val="44"/>
          <w:lang w:val="en-US" w:eastAsia="zh-CN" w:bidi="ar"/>
        </w:rPr>
        <w:t>普法宣传项目2024年绩效评价报告</w:t>
      </w:r>
    </w:p>
    <w:p w14:paraId="4C513E57">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color w:val="auto"/>
          <w:szCs w:val="21"/>
          <w:lang w:val="en-US"/>
        </w:rPr>
      </w:pPr>
    </w:p>
    <w:p w14:paraId="4D99C170">
      <w:pPr>
        <w:pStyle w:val="14"/>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1"/>
        <w:rPr>
          <w:rFonts w:hint="eastAsia" w:ascii="黑体" w:hAnsi="宋体" w:eastAsia="黑体" w:cs="黑体"/>
          <w:color w:val="auto"/>
          <w:kern w:val="2"/>
          <w:sz w:val="32"/>
          <w:szCs w:val="21"/>
          <w:lang w:val="en-US" w:eastAsia="zh-CN" w:bidi="ar"/>
        </w:rPr>
      </w:pPr>
      <w:bookmarkStart w:id="214" w:name="_Toc20023"/>
      <w:bookmarkStart w:id="215" w:name="_Toc13953"/>
      <w:r>
        <w:rPr>
          <w:rFonts w:hint="eastAsia" w:ascii="黑体" w:hAnsi="宋体" w:eastAsia="黑体" w:cs="黑体"/>
          <w:color w:val="auto"/>
          <w:kern w:val="2"/>
          <w:sz w:val="32"/>
          <w:szCs w:val="21"/>
          <w:lang w:val="en-US" w:eastAsia="zh-CN" w:bidi="ar"/>
        </w:rPr>
        <w:t>项目慨况</w:t>
      </w:r>
      <w:bookmarkEnd w:id="214"/>
      <w:bookmarkEnd w:id="215"/>
    </w:p>
    <w:p w14:paraId="2CB5142F">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95" w:leftChars="0" w:right="0" w:rightChars="0"/>
        <w:jc w:val="left"/>
        <w:outlineLvl w:val="2"/>
        <w:rPr>
          <w:rFonts w:hint="eastAsia" w:ascii="仿宋_GB2312" w:hAnsi="仿宋_GB2312" w:eastAsia="仿宋_GB2312" w:cs="仿宋_GB2312"/>
          <w:b w:val="0"/>
          <w:i w:val="0"/>
          <w:caps w:val="0"/>
          <w:color w:val="auto"/>
          <w:spacing w:val="0"/>
          <w:sz w:val="32"/>
          <w:szCs w:val="32"/>
        </w:rPr>
      </w:pPr>
      <w:bookmarkStart w:id="216" w:name="_Toc17524"/>
      <w:bookmarkStart w:id="217" w:name="_Toc24560"/>
      <w:r>
        <w:rPr>
          <w:rFonts w:hint="eastAsia" w:ascii="仿宋_GB2312" w:hAnsi="仿宋_GB2312" w:eastAsia="仿宋_GB2312" w:cs="仿宋_GB2312"/>
          <w:b w:val="0"/>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rPr>
        <w:t>一)项目基本情况</w:t>
      </w:r>
      <w:r>
        <w:rPr>
          <w:rFonts w:hint="eastAsia" w:ascii="仿宋_GB2312" w:hAnsi="仿宋_GB2312" w:eastAsia="仿宋_GB2312" w:cs="仿宋_GB2312"/>
          <w:b w:val="0"/>
          <w:i w:val="0"/>
          <w:caps w:val="0"/>
          <w:color w:val="auto"/>
          <w:spacing w:val="0"/>
          <w:sz w:val="32"/>
          <w:szCs w:val="32"/>
          <w:shd w:val="clear" w:fill="FFFFFF"/>
        </w:rPr>
        <w:t>。</w:t>
      </w:r>
      <w:bookmarkEnd w:id="216"/>
      <w:bookmarkEnd w:id="217"/>
    </w:p>
    <w:p w14:paraId="37CD0A6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普法经费项目涉</w:t>
      </w:r>
      <w:r>
        <w:rPr>
          <w:rFonts w:hint="eastAsia" w:ascii="仿宋_GB2312" w:hAnsi="仿宋_GB2312" w:eastAsia="仿宋_GB2312" w:cs="仿宋_GB2312"/>
          <w:b w:val="0"/>
          <w:i w:val="0"/>
          <w:caps w:val="0"/>
          <w:color w:val="auto"/>
          <w:spacing w:val="0"/>
          <w:sz w:val="32"/>
          <w:szCs w:val="32"/>
          <w:shd w:val="clear" w:fill="FFFFFF"/>
          <w:lang w:eastAsia="zh-CN"/>
        </w:rPr>
        <w:t>及全县所有人员</w:t>
      </w:r>
      <w:r>
        <w:rPr>
          <w:rFonts w:hint="eastAsia" w:ascii="仿宋_GB2312" w:hAnsi="仿宋_GB2312" w:eastAsia="仿宋_GB2312" w:cs="仿宋_GB2312"/>
          <w:b w:val="0"/>
          <w:i w:val="0"/>
          <w:caps w:val="0"/>
          <w:color w:val="auto"/>
          <w:spacing w:val="0"/>
          <w:sz w:val="32"/>
          <w:szCs w:val="32"/>
          <w:shd w:val="clear" w:fill="FFFFFF"/>
        </w:rPr>
        <w:t>。普法宣传工作，是全县依法治县工作的重点工作，也是涉及民生及维稳的重大工程。县司法局认真按照上级部门的统一部署，统一思想认识，强化资金使用绩效，狠抓责任落实，推进普法宣传，建立完善普法宣传长效机制。</w:t>
      </w:r>
    </w:p>
    <w:p w14:paraId="3A982C4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仿宋_GB2312" w:hAnsi="仿宋_GB2312" w:eastAsia="仿宋_GB2312" w:cs="仿宋_GB2312"/>
          <w:b w:val="0"/>
          <w:i w:val="0"/>
          <w:caps w:val="0"/>
          <w:color w:val="auto"/>
          <w:spacing w:val="0"/>
          <w:sz w:val="32"/>
          <w:szCs w:val="32"/>
        </w:rPr>
      </w:pPr>
      <w:bookmarkStart w:id="218" w:name="_Toc19123"/>
      <w:bookmarkStart w:id="219" w:name="_Toc8299"/>
      <w:r>
        <w:rPr>
          <w:rFonts w:hint="eastAsia" w:ascii="仿宋_GB2312" w:hAnsi="仿宋_GB2312" w:eastAsia="仿宋_GB2312" w:cs="仿宋_GB2312"/>
          <w:b/>
          <w:bCs/>
          <w:i w:val="0"/>
          <w:caps w:val="0"/>
          <w:color w:val="auto"/>
          <w:spacing w:val="0"/>
          <w:sz w:val="32"/>
          <w:szCs w:val="32"/>
          <w:shd w:val="clear" w:fill="FFFFFF"/>
        </w:rPr>
        <w:t>(二)项目绩效目标</w:t>
      </w:r>
      <w:r>
        <w:rPr>
          <w:rFonts w:hint="eastAsia" w:ascii="仿宋_GB2312" w:hAnsi="仿宋_GB2312" w:eastAsia="仿宋_GB2312" w:cs="仿宋_GB2312"/>
          <w:b w:val="0"/>
          <w:i w:val="0"/>
          <w:caps w:val="0"/>
          <w:color w:val="auto"/>
          <w:spacing w:val="0"/>
          <w:sz w:val="32"/>
          <w:szCs w:val="32"/>
          <w:shd w:val="clear" w:fill="FFFFFF"/>
        </w:rPr>
        <w:t>。</w:t>
      </w:r>
      <w:bookmarkEnd w:id="218"/>
      <w:bookmarkEnd w:id="219"/>
    </w:p>
    <w:p w14:paraId="7D97302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宋体" w:eastAsia="黑体" w:cs="黑体"/>
          <w:color w:val="auto"/>
          <w:szCs w:val="21"/>
          <w:lang w:val="en-US"/>
        </w:rPr>
      </w:pPr>
      <w:r>
        <w:rPr>
          <w:rFonts w:hint="eastAsia" w:ascii="仿宋_GB2312" w:hAnsi="仿宋_GB2312" w:eastAsia="仿宋_GB2312" w:cs="仿宋_GB2312"/>
          <w:b w:val="0"/>
          <w:i w:val="0"/>
          <w:caps w:val="0"/>
          <w:color w:val="auto"/>
          <w:spacing w:val="0"/>
          <w:sz w:val="32"/>
          <w:szCs w:val="32"/>
          <w:shd w:val="clear" w:fill="FFFFFF"/>
        </w:rPr>
        <w:t>普法经费项目以“治蜀兴川、建设法治</w:t>
      </w:r>
      <w:r>
        <w:rPr>
          <w:rFonts w:hint="eastAsia" w:ascii="仿宋_GB2312" w:hAnsi="仿宋_GB2312" w:eastAsia="仿宋_GB2312" w:cs="仿宋_GB2312"/>
          <w:b w:val="0"/>
          <w:i w:val="0"/>
          <w:caps w:val="0"/>
          <w:color w:val="auto"/>
          <w:spacing w:val="0"/>
          <w:sz w:val="32"/>
          <w:szCs w:val="32"/>
          <w:shd w:val="clear" w:fill="FFFFFF"/>
          <w:lang w:eastAsia="zh-CN"/>
        </w:rPr>
        <w:t>红原</w:t>
      </w:r>
      <w:r>
        <w:rPr>
          <w:rFonts w:hint="eastAsia" w:ascii="仿宋_GB2312" w:hAnsi="仿宋_GB2312" w:eastAsia="仿宋_GB2312" w:cs="仿宋_GB2312"/>
          <w:b w:val="0"/>
          <w:i w:val="0"/>
          <w:caps w:val="0"/>
          <w:color w:val="auto"/>
          <w:spacing w:val="0"/>
          <w:sz w:val="32"/>
          <w:szCs w:val="32"/>
          <w:shd w:val="clear" w:fill="FFFFFF"/>
        </w:rPr>
        <w:t>”为目标，严格按照法治宣传工作要求，深入开展法治宣传教育，弘扬社会主义法治精神，推进法治宣传教育与法治实践相结合，推动全社会树立法治意识，为我县经济社会发展营造良好法治环境。</w:t>
      </w:r>
    </w:p>
    <w:p w14:paraId="6CA198B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黑体" w:hAnsi="宋体" w:eastAsia="黑体" w:cs="黑体"/>
          <w:color w:val="auto"/>
          <w:szCs w:val="21"/>
          <w:lang w:val="en-US"/>
        </w:rPr>
      </w:pPr>
      <w:bookmarkStart w:id="220" w:name="_Toc19141"/>
      <w:bookmarkStart w:id="221" w:name="_Toc26580"/>
      <w:r>
        <w:rPr>
          <w:rFonts w:hint="eastAsia" w:ascii="仿宋_GB2312" w:hAnsi="仿宋_GB2312" w:eastAsia="仿宋_GB2312" w:cs="仿宋_GB2312"/>
          <w:b/>
          <w:bCs/>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lang w:eastAsia="zh-CN"/>
        </w:rPr>
        <w:t>三</w:t>
      </w:r>
      <w:r>
        <w:rPr>
          <w:rFonts w:hint="eastAsia" w:ascii="仿宋_GB2312" w:hAnsi="仿宋_GB2312" w:eastAsia="仿宋_GB2312" w:cs="仿宋_GB2312"/>
          <w:b/>
          <w:bCs/>
          <w:i w:val="0"/>
          <w:caps w:val="0"/>
          <w:color w:val="auto"/>
          <w:spacing w:val="0"/>
          <w:sz w:val="32"/>
          <w:szCs w:val="32"/>
          <w:shd w:val="clear" w:fill="FFFFFF"/>
        </w:rPr>
        <w:t>)项目</w:t>
      </w:r>
      <w:r>
        <w:rPr>
          <w:rFonts w:hint="eastAsia" w:ascii="仿宋_GB2312" w:hAnsi="仿宋_GB2312" w:eastAsia="仿宋_GB2312" w:cs="仿宋_GB2312"/>
          <w:b/>
          <w:bCs/>
          <w:i w:val="0"/>
          <w:caps w:val="0"/>
          <w:color w:val="auto"/>
          <w:spacing w:val="0"/>
          <w:sz w:val="32"/>
          <w:szCs w:val="32"/>
          <w:shd w:val="clear" w:fill="FFFFFF"/>
          <w:lang w:eastAsia="zh-CN"/>
        </w:rPr>
        <w:t>自评步骤及方法</w:t>
      </w:r>
      <w:r>
        <w:rPr>
          <w:rFonts w:hint="eastAsia" w:ascii="仿宋_GB2312" w:hAnsi="仿宋_GB2312" w:eastAsia="仿宋_GB2312" w:cs="仿宋_GB2312"/>
          <w:b w:val="0"/>
          <w:i w:val="0"/>
          <w:caps w:val="0"/>
          <w:color w:val="auto"/>
          <w:spacing w:val="0"/>
          <w:sz w:val="32"/>
          <w:szCs w:val="32"/>
          <w:shd w:val="clear" w:fill="FFFFFF"/>
        </w:rPr>
        <w:t>。</w:t>
      </w:r>
      <w:bookmarkEnd w:id="220"/>
      <w:bookmarkEnd w:id="221"/>
    </w:p>
    <w:p w14:paraId="2368719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bCs w:val="0"/>
          <w:color w:val="auto"/>
          <w:kern w:val="2"/>
          <w:sz w:val="32"/>
          <w:szCs w:val="32"/>
          <w:lang w:val="en-US" w:eastAsia="zh-CN" w:bidi="ar"/>
        </w:rPr>
        <w:t>我局</w:t>
      </w:r>
      <w:r>
        <w:rPr>
          <w:rFonts w:hint="eastAsia" w:ascii="仿宋_GB2312" w:hAnsi="仿宋_GB2312" w:eastAsia="仿宋_GB2312" w:cs="仿宋_GB2312"/>
          <w:b w:val="0"/>
          <w:i w:val="0"/>
          <w:caps w:val="0"/>
          <w:color w:val="auto"/>
          <w:spacing w:val="0"/>
          <w:sz w:val="32"/>
          <w:szCs w:val="32"/>
          <w:shd w:val="clear" w:fill="FFFFFF"/>
        </w:rPr>
        <w:t>高度重视普法宣传工作，把此项工作作为重中之重来抓。制定普法宣传工作计划、工作方案和管理制度。落实工作人员，明确工作责任。加强监督，落实专人负责普法宣传工作的日常管理和监督，充分调动普法工作积极性。</w:t>
      </w:r>
    </w:p>
    <w:p w14:paraId="64653776">
      <w:pPr>
        <w:keepNext w:val="0"/>
        <w:keepLines w:val="0"/>
        <w:widowControl w:val="0"/>
        <w:numPr>
          <w:ilvl w:val="0"/>
          <w:numId w:val="0"/>
        </w:numPr>
        <w:suppressLineNumbers w:val="0"/>
        <w:tabs>
          <w:tab w:val="left" w:pos="392"/>
        </w:tabs>
        <w:snapToGrid w:val="0"/>
        <w:spacing w:before="0" w:beforeAutospacing="0" w:after="0" w:afterAutospacing="0" w:line="580" w:lineRule="exact"/>
        <w:ind w:right="0" w:rightChars="0" w:firstLine="640" w:firstLineChars="200"/>
        <w:jc w:val="both"/>
        <w:outlineLvl w:val="1"/>
        <w:rPr>
          <w:rFonts w:hint="eastAsia" w:ascii="黑体" w:hAnsi="宋体" w:eastAsia="黑体" w:cs="黑体"/>
          <w:color w:val="auto"/>
          <w:kern w:val="2"/>
          <w:sz w:val="32"/>
          <w:szCs w:val="21"/>
          <w:lang w:val="en-US" w:eastAsia="zh-CN" w:bidi="ar"/>
        </w:rPr>
      </w:pPr>
      <w:bookmarkStart w:id="222" w:name="_Toc170"/>
      <w:bookmarkStart w:id="223" w:name="_Toc25065"/>
      <w:r>
        <w:rPr>
          <w:rFonts w:hint="eastAsia" w:ascii="黑体" w:hAnsi="宋体" w:eastAsia="黑体" w:cs="黑体"/>
          <w:color w:val="auto"/>
          <w:kern w:val="2"/>
          <w:sz w:val="32"/>
          <w:szCs w:val="21"/>
          <w:lang w:val="en-US" w:eastAsia="zh-CN" w:bidi="ar"/>
        </w:rPr>
        <w:t>二、项目资金申报及使用情况</w:t>
      </w:r>
      <w:bookmarkEnd w:id="222"/>
      <w:bookmarkEnd w:id="223"/>
    </w:p>
    <w:p w14:paraId="2D0ED6FC">
      <w:pPr>
        <w:keepNext w:val="0"/>
        <w:keepLines w:val="0"/>
        <w:widowControl w:val="0"/>
        <w:numPr>
          <w:ilvl w:val="0"/>
          <w:numId w:val="8"/>
        </w:numPr>
        <w:suppressLineNumbers w:val="0"/>
        <w:snapToGrid w:val="0"/>
        <w:spacing w:before="0" w:beforeAutospacing="0" w:after="0" w:afterAutospacing="0" w:line="580" w:lineRule="exact"/>
        <w:ind w:left="495" w:leftChars="0" w:right="0" w:rightChars="0"/>
        <w:jc w:val="both"/>
        <w:outlineLvl w:val="2"/>
        <w:rPr>
          <w:rFonts w:hint="eastAsia" w:ascii="黑体" w:hAnsi="宋体" w:eastAsia="黑体" w:cs="黑体"/>
          <w:color w:val="auto"/>
          <w:kern w:val="2"/>
          <w:sz w:val="32"/>
          <w:szCs w:val="21"/>
          <w:lang w:val="en-US" w:eastAsia="zh-CN" w:bidi="ar"/>
        </w:rPr>
      </w:pPr>
      <w:bookmarkStart w:id="224" w:name="_Toc10008"/>
      <w:bookmarkStart w:id="225" w:name="_Toc3112"/>
      <w:r>
        <w:rPr>
          <w:rFonts w:hint="eastAsia" w:ascii="黑体" w:hAnsi="宋体" w:eastAsia="黑体" w:cs="黑体"/>
          <w:color w:val="auto"/>
          <w:kern w:val="2"/>
          <w:sz w:val="32"/>
          <w:szCs w:val="21"/>
          <w:lang w:val="en-US" w:eastAsia="zh-CN" w:bidi="ar"/>
        </w:rPr>
        <w:t>项目资金申报及批复情况</w:t>
      </w:r>
      <w:bookmarkEnd w:id="224"/>
      <w:bookmarkEnd w:id="225"/>
    </w:p>
    <w:p w14:paraId="1F7147A0">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both"/>
        <w:rPr>
          <w:rFonts w:hint="eastAsia" w:ascii="仿宋_GB2312" w:hAnsi="仿宋_GB2312" w:eastAsia="仿宋_GB2312" w:cs="仿宋_GB2312"/>
          <w:color w:val="auto"/>
          <w:kern w:val="2"/>
          <w:sz w:val="32"/>
          <w:szCs w:val="21"/>
          <w:lang w:val="en-US" w:eastAsia="zh-CN" w:bidi="ar"/>
        </w:rPr>
      </w:pPr>
      <w:r>
        <w:rPr>
          <w:rFonts w:hint="eastAsia" w:ascii="仿宋_GB2312" w:hAnsi="仿宋_GB2312" w:eastAsia="仿宋_GB2312" w:cs="仿宋_GB2312"/>
          <w:color w:val="auto"/>
          <w:kern w:val="2"/>
          <w:sz w:val="32"/>
          <w:szCs w:val="21"/>
          <w:lang w:val="en-US" w:eastAsia="zh-CN" w:bidi="ar"/>
        </w:rPr>
        <w:t>我局项目资金申报及批复按正常程序进行，程序规范合理。</w:t>
      </w:r>
    </w:p>
    <w:p w14:paraId="28B9A494">
      <w:pPr>
        <w:keepNext w:val="0"/>
        <w:keepLines w:val="0"/>
        <w:widowControl w:val="0"/>
        <w:numPr>
          <w:ilvl w:val="0"/>
          <w:numId w:val="8"/>
        </w:numPr>
        <w:suppressLineNumbers w:val="0"/>
        <w:snapToGrid w:val="0"/>
        <w:spacing w:before="0" w:beforeAutospacing="0" w:after="0" w:afterAutospacing="0" w:line="580" w:lineRule="exact"/>
        <w:ind w:left="495" w:leftChars="0" w:right="0" w:firstLine="0" w:firstLineChars="0"/>
        <w:jc w:val="both"/>
        <w:outlineLvl w:val="2"/>
        <w:rPr>
          <w:rFonts w:hint="eastAsia" w:ascii="楷体_GB2312" w:hAnsi="宋体" w:eastAsia="楷体_GB2312" w:cs="楷体_GB2312"/>
          <w:b/>
          <w:bCs w:val="0"/>
          <w:color w:val="auto"/>
          <w:kern w:val="2"/>
          <w:sz w:val="32"/>
          <w:szCs w:val="21"/>
          <w:lang w:val="en-US" w:eastAsia="zh-CN" w:bidi="ar"/>
        </w:rPr>
      </w:pPr>
      <w:bookmarkStart w:id="226" w:name="_Toc4135"/>
      <w:bookmarkStart w:id="227" w:name="_Toc13208"/>
      <w:r>
        <w:rPr>
          <w:rFonts w:hint="eastAsia" w:ascii="楷体_GB2312" w:hAnsi="宋体" w:eastAsia="楷体_GB2312" w:cs="楷体_GB2312"/>
          <w:b/>
          <w:bCs w:val="0"/>
          <w:color w:val="auto"/>
          <w:kern w:val="2"/>
          <w:sz w:val="32"/>
          <w:szCs w:val="21"/>
          <w:lang w:val="en-US" w:eastAsia="zh-CN" w:bidi="ar"/>
        </w:rPr>
        <w:t>资金计划、到位及使用情况</w:t>
      </w:r>
      <w:bookmarkEnd w:id="226"/>
      <w:bookmarkEnd w:id="227"/>
    </w:p>
    <w:p w14:paraId="3E87CF2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1、资金计划。司法局普法</w:t>
      </w:r>
      <w:r>
        <w:rPr>
          <w:rFonts w:hint="eastAsia" w:ascii="仿宋_GB2312" w:hAnsi="仿宋_GB2312" w:eastAsia="仿宋_GB2312" w:cs="仿宋_GB2312"/>
          <w:b w:val="0"/>
          <w:i w:val="0"/>
          <w:caps w:val="0"/>
          <w:color w:val="auto"/>
          <w:spacing w:val="0"/>
          <w:sz w:val="32"/>
          <w:szCs w:val="32"/>
          <w:shd w:val="clear" w:fill="FFFFFF"/>
          <w:lang w:eastAsia="zh-CN"/>
        </w:rPr>
        <w:t>宣传</w:t>
      </w:r>
      <w:r>
        <w:rPr>
          <w:rFonts w:hint="eastAsia" w:ascii="仿宋_GB2312" w:hAnsi="仿宋_GB2312" w:eastAsia="仿宋_GB2312" w:cs="仿宋_GB2312"/>
          <w:b w:val="0"/>
          <w:i w:val="0"/>
          <w:caps w:val="0"/>
          <w:color w:val="auto"/>
          <w:spacing w:val="0"/>
          <w:sz w:val="32"/>
          <w:szCs w:val="32"/>
          <w:shd w:val="clear" w:fill="FFFFFF"/>
        </w:rPr>
        <w:t>经费年初预算资金</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万元。在实施过程中，于20</w:t>
      </w:r>
      <w:r>
        <w:rPr>
          <w:rFonts w:hint="eastAsia" w:ascii="仿宋_GB2312" w:hAnsi="仿宋_GB2312" w:eastAsia="仿宋_GB2312" w:cs="仿宋_GB2312"/>
          <w:b w:val="0"/>
          <w:i w:val="0"/>
          <w:caps w:val="0"/>
          <w:color w:val="auto"/>
          <w:spacing w:val="0"/>
          <w:sz w:val="32"/>
          <w:szCs w:val="32"/>
          <w:shd w:val="clear" w:fill="FFFFFF"/>
          <w:lang w:val="en-US" w:eastAsia="zh-CN"/>
        </w:rPr>
        <w:t>24</w:t>
      </w:r>
      <w:r>
        <w:rPr>
          <w:rFonts w:hint="eastAsia" w:ascii="仿宋_GB2312" w:hAnsi="仿宋_GB2312" w:eastAsia="仿宋_GB2312" w:cs="仿宋_GB2312"/>
          <w:b w:val="0"/>
          <w:i w:val="0"/>
          <w:caps w:val="0"/>
          <w:color w:val="auto"/>
          <w:spacing w:val="0"/>
          <w:sz w:val="32"/>
          <w:szCs w:val="32"/>
          <w:shd w:val="clear" w:fill="FFFFFF"/>
        </w:rPr>
        <w:t>年申请并批复资金共计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14:paraId="593B73F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2、资金到位。截止20</w:t>
      </w:r>
      <w:r>
        <w:rPr>
          <w:rFonts w:hint="eastAsia" w:ascii="仿宋_GB2312" w:hAnsi="仿宋_GB2312" w:eastAsia="仿宋_GB2312" w:cs="仿宋_GB2312"/>
          <w:b w:val="0"/>
          <w:i w:val="0"/>
          <w:caps w:val="0"/>
          <w:color w:val="auto"/>
          <w:spacing w:val="0"/>
          <w:sz w:val="32"/>
          <w:szCs w:val="32"/>
          <w:shd w:val="clear" w:fill="FFFFFF"/>
          <w:lang w:val="en-US" w:eastAsia="zh-CN"/>
        </w:rPr>
        <w:t>24</w:t>
      </w:r>
      <w:r>
        <w:rPr>
          <w:rFonts w:hint="eastAsia" w:ascii="仿宋_GB2312" w:hAnsi="仿宋_GB2312" w:eastAsia="仿宋_GB2312" w:cs="仿宋_GB2312"/>
          <w:b w:val="0"/>
          <w:i w:val="0"/>
          <w:caps w:val="0"/>
          <w:color w:val="auto"/>
          <w:spacing w:val="0"/>
          <w:sz w:val="32"/>
          <w:szCs w:val="32"/>
          <w:shd w:val="clear" w:fill="FFFFFF"/>
        </w:rPr>
        <w:t>年12月31日，所有计划资金全部到位，共计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14:paraId="7795CC69">
      <w:pPr>
        <w:adjustRightInd w:val="0"/>
        <w:snapToGrid w:val="0"/>
        <w:spacing w:line="600" w:lineRule="exact"/>
        <w:ind w:firstLine="720"/>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rPr>
        <w:t>3、资金使用。截止20</w:t>
      </w:r>
      <w:r>
        <w:rPr>
          <w:rFonts w:hint="eastAsia" w:ascii="仿宋_GB2312" w:hAnsi="仿宋_GB2312" w:eastAsia="仿宋_GB2312" w:cs="仿宋_GB2312"/>
          <w:b w:val="0"/>
          <w:i w:val="0"/>
          <w:caps w:val="0"/>
          <w:color w:val="auto"/>
          <w:spacing w:val="0"/>
          <w:sz w:val="32"/>
          <w:szCs w:val="32"/>
          <w:shd w:val="clear" w:fill="FFFFFF"/>
          <w:lang w:val="en-US" w:eastAsia="zh-CN"/>
        </w:rPr>
        <w:t>24</w:t>
      </w:r>
      <w:r>
        <w:rPr>
          <w:rFonts w:hint="eastAsia" w:ascii="仿宋_GB2312" w:hAnsi="仿宋_GB2312" w:eastAsia="仿宋_GB2312" w:cs="仿宋_GB2312"/>
          <w:b w:val="0"/>
          <w:i w:val="0"/>
          <w:caps w:val="0"/>
          <w:color w:val="auto"/>
          <w:spacing w:val="0"/>
          <w:sz w:val="32"/>
          <w:szCs w:val="32"/>
          <w:shd w:val="clear" w:fill="FFFFFF"/>
        </w:rPr>
        <w:t>年12月31日，普法经费已全部支出，共计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万元，主要用于：</w:t>
      </w:r>
      <w:r>
        <w:rPr>
          <w:rFonts w:hint="eastAsia" w:ascii="仿宋_GB2312" w:hAnsi="仿宋_GB2312" w:eastAsia="仿宋_GB2312" w:cs="仿宋_GB2312"/>
          <w:b w:val="0"/>
          <w:i w:val="0"/>
          <w:caps w:val="0"/>
          <w:color w:val="auto"/>
          <w:spacing w:val="0"/>
          <w:sz w:val="32"/>
          <w:szCs w:val="32"/>
          <w:shd w:val="clear" w:fill="FFFFFF"/>
          <w:lang w:eastAsia="zh-CN"/>
        </w:rPr>
        <w:t>购买</w:t>
      </w:r>
      <w:r>
        <w:rPr>
          <w:rFonts w:hint="eastAsia" w:ascii="仿宋_GB2312" w:hAnsi="仿宋_GB2312" w:eastAsia="仿宋_GB2312" w:cs="仿宋_GB2312"/>
          <w:b w:val="0"/>
          <w:i w:val="0"/>
          <w:caps w:val="0"/>
          <w:color w:val="auto"/>
          <w:spacing w:val="0"/>
          <w:sz w:val="32"/>
          <w:szCs w:val="32"/>
          <w:shd w:val="clear" w:fill="FFFFFF"/>
        </w:rPr>
        <w:t>普法宣传资料、</w:t>
      </w:r>
      <w:r>
        <w:rPr>
          <w:rFonts w:hint="eastAsia" w:ascii="仿宋_GB2312" w:hAnsi="仿宋_GB2312" w:eastAsia="仿宋_GB2312" w:cs="仿宋_GB2312"/>
          <w:b w:val="0"/>
          <w:i w:val="0"/>
          <w:caps w:val="0"/>
          <w:color w:val="auto"/>
          <w:spacing w:val="0"/>
          <w:sz w:val="32"/>
          <w:szCs w:val="32"/>
          <w:shd w:val="clear" w:fill="FFFFFF"/>
          <w:lang w:eastAsia="zh-CN"/>
        </w:rPr>
        <w:t>开展</w:t>
      </w:r>
      <w:r>
        <w:rPr>
          <w:rFonts w:hint="eastAsia" w:ascii="仿宋_GB2312" w:hAnsi="仿宋_GB2312" w:eastAsia="仿宋_GB2312" w:cs="仿宋_GB2312"/>
          <w:b w:val="0"/>
          <w:i w:val="0"/>
          <w:caps w:val="0"/>
          <w:color w:val="auto"/>
          <w:spacing w:val="0"/>
          <w:sz w:val="32"/>
          <w:szCs w:val="32"/>
          <w:shd w:val="clear" w:fill="FFFFFF"/>
        </w:rPr>
        <w:t>普法宣传活动、12.4宪法日宣传活动</w:t>
      </w:r>
      <w:r>
        <w:rPr>
          <w:rFonts w:hint="eastAsia" w:ascii="仿宋_GB2312" w:hAnsi="仿宋_GB2312" w:eastAsia="仿宋_GB2312" w:cs="仿宋_GB2312"/>
          <w:b w:val="0"/>
          <w:i w:val="0"/>
          <w:caps w:val="0"/>
          <w:color w:val="auto"/>
          <w:spacing w:val="0"/>
          <w:sz w:val="32"/>
          <w:szCs w:val="32"/>
          <w:shd w:val="clear" w:fill="FFFFFF"/>
          <w:lang w:eastAsia="zh-CN"/>
        </w:rPr>
        <w:t>等</w:t>
      </w:r>
      <w:r>
        <w:rPr>
          <w:rFonts w:hint="eastAsia" w:ascii="仿宋_GB2312" w:hAnsi="仿宋_GB2312" w:eastAsia="仿宋_GB2312" w:cs="仿宋_GB2312"/>
          <w:b w:val="0"/>
          <w:i w:val="0"/>
          <w:caps w:val="0"/>
          <w:color w:val="auto"/>
          <w:spacing w:val="0"/>
          <w:sz w:val="32"/>
          <w:szCs w:val="32"/>
          <w:shd w:val="clear" w:fill="FFFFFF"/>
        </w:rPr>
        <w:t>支出。</w:t>
      </w:r>
    </w:p>
    <w:p w14:paraId="1C405AA5">
      <w:pPr>
        <w:adjustRightInd w:val="0"/>
        <w:snapToGrid w:val="0"/>
        <w:spacing w:line="600" w:lineRule="exact"/>
        <w:ind w:firstLine="720"/>
        <w:outlineLvl w:val="2"/>
        <w:rPr>
          <w:rFonts w:ascii="楷体_GB2312" w:hAnsi="宋体" w:eastAsia="楷体_GB2312"/>
          <w:b/>
          <w:sz w:val="32"/>
          <w:szCs w:val="32"/>
          <w:lang w:val="zh-CN"/>
        </w:rPr>
      </w:pPr>
      <w:bookmarkStart w:id="228" w:name="_Toc25042"/>
      <w:bookmarkStart w:id="229" w:name="_Toc15294"/>
      <w:r>
        <w:rPr>
          <w:rFonts w:hint="eastAsia" w:ascii="仿宋_GB2312" w:hAnsi="仿宋_GB2312" w:eastAsia="仿宋_GB2312" w:cs="仿宋_GB2312"/>
          <w:b w:val="0"/>
          <w:i w:val="0"/>
          <w:caps w:val="0"/>
          <w:color w:val="auto"/>
          <w:spacing w:val="0"/>
          <w:sz w:val="32"/>
          <w:szCs w:val="32"/>
          <w:shd w:val="clear" w:fill="FFFFFF"/>
          <w:lang w:eastAsia="zh-CN"/>
        </w:rPr>
        <w:t>（三）</w:t>
      </w:r>
      <w:r>
        <w:rPr>
          <w:rFonts w:hint="eastAsia" w:ascii="楷体_GB2312" w:hAnsi="宋体" w:eastAsia="楷体_GB2312"/>
          <w:b/>
          <w:sz w:val="32"/>
          <w:szCs w:val="32"/>
          <w:lang w:val="zh-CN"/>
        </w:rPr>
        <w:t>项目财务管理情况。</w:t>
      </w:r>
      <w:bookmarkEnd w:id="228"/>
      <w:bookmarkEnd w:id="229"/>
    </w:p>
    <w:p w14:paraId="0241B0E2">
      <w:pPr>
        <w:adjustRightInd w:val="0"/>
        <w:snapToGrid w:val="0"/>
        <w:spacing w:line="600" w:lineRule="exact"/>
        <w:ind w:firstLine="720"/>
        <w:rPr>
          <w:rFonts w:hint="eastAsia" w:ascii="仿宋_GB2312" w:hAnsi="仿宋_GB2312" w:eastAsia="仿宋_GB2312" w:cs="仿宋_GB2312"/>
          <w:b w:val="0"/>
          <w:i w:val="0"/>
          <w:caps w:val="0"/>
          <w:color w:val="auto"/>
          <w:spacing w:val="0"/>
          <w:sz w:val="32"/>
          <w:szCs w:val="32"/>
        </w:rPr>
      </w:pPr>
      <w:r>
        <w:rPr>
          <w:rFonts w:hint="eastAsia" w:ascii="仿宋_GB2312" w:hAnsi="宋体" w:eastAsia="仿宋_GB2312"/>
          <w:sz w:val="32"/>
          <w:szCs w:val="32"/>
          <w:lang w:val="zh-CN"/>
        </w:rPr>
        <w:t>司法局各项目实施财务管理制度健全，严格执行财务管理制度，账务处理及时，会计核算规范。</w:t>
      </w:r>
    </w:p>
    <w:p w14:paraId="084C6ED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outlineLvl w:val="1"/>
        <w:rPr>
          <w:rFonts w:hint="eastAsia" w:ascii="黑体" w:hAnsi="黑体" w:eastAsia="黑体" w:cs="黑体"/>
          <w:b w:val="0"/>
          <w:i w:val="0"/>
          <w:caps w:val="0"/>
          <w:color w:val="auto"/>
          <w:spacing w:val="0"/>
          <w:sz w:val="32"/>
          <w:szCs w:val="32"/>
        </w:rPr>
      </w:pPr>
      <w:bookmarkStart w:id="230" w:name="_Toc25150"/>
      <w:bookmarkStart w:id="231" w:name="_Toc21344"/>
      <w:r>
        <w:rPr>
          <w:rFonts w:hint="eastAsia" w:ascii="黑体" w:hAnsi="黑体" w:eastAsia="黑体" w:cs="黑体"/>
          <w:b w:val="0"/>
          <w:i w:val="0"/>
          <w:caps w:val="0"/>
          <w:color w:val="auto"/>
          <w:spacing w:val="0"/>
          <w:sz w:val="32"/>
          <w:szCs w:val="32"/>
          <w:shd w:val="clear" w:fill="FFFFFF"/>
          <w:lang w:eastAsia="zh-CN"/>
        </w:rPr>
        <w:t>三、</w:t>
      </w:r>
      <w:r>
        <w:rPr>
          <w:rFonts w:hint="eastAsia" w:ascii="黑体" w:hAnsi="黑体" w:eastAsia="黑体" w:cs="黑体"/>
          <w:b w:val="0"/>
          <w:i w:val="0"/>
          <w:caps w:val="0"/>
          <w:color w:val="auto"/>
          <w:spacing w:val="0"/>
          <w:sz w:val="32"/>
          <w:szCs w:val="32"/>
          <w:shd w:val="clear" w:fill="FFFFFF"/>
        </w:rPr>
        <w:t>项目</w:t>
      </w:r>
      <w:r>
        <w:rPr>
          <w:rFonts w:hint="eastAsia" w:ascii="黑体" w:hAnsi="黑体" w:eastAsia="黑体" w:cs="黑体"/>
          <w:b w:val="0"/>
          <w:i w:val="0"/>
          <w:caps w:val="0"/>
          <w:color w:val="auto"/>
          <w:spacing w:val="0"/>
          <w:sz w:val="32"/>
          <w:szCs w:val="32"/>
          <w:shd w:val="clear" w:fill="FFFFFF"/>
          <w:lang w:eastAsia="zh-CN"/>
        </w:rPr>
        <w:t>实施及</w:t>
      </w:r>
      <w:r>
        <w:rPr>
          <w:rFonts w:hint="eastAsia" w:ascii="黑体" w:hAnsi="黑体" w:eastAsia="黑体" w:cs="黑体"/>
          <w:b w:val="0"/>
          <w:i w:val="0"/>
          <w:caps w:val="0"/>
          <w:color w:val="auto"/>
          <w:spacing w:val="0"/>
          <w:sz w:val="32"/>
          <w:szCs w:val="32"/>
          <w:shd w:val="clear" w:fill="FFFFFF"/>
        </w:rPr>
        <w:t>管理情况。</w:t>
      </w:r>
      <w:bookmarkEnd w:id="230"/>
      <w:bookmarkEnd w:id="231"/>
    </w:p>
    <w:p w14:paraId="00185C8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该项目严格会计核算，确保专款专用，实行专账核算；加强财务管理</w:t>
      </w:r>
      <w:r>
        <w:rPr>
          <w:rFonts w:hint="eastAsia" w:ascii="仿宋_GB2312" w:hAnsi="仿宋_GB2312" w:eastAsia="仿宋_GB2312" w:cs="仿宋_GB2312"/>
          <w:b w:val="0"/>
          <w:i w:val="0"/>
          <w:caps w:val="0"/>
          <w:color w:val="auto"/>
          <w:spacing w:val="0"/>
          <w:sz w:val="32"/>
          <w:szCs w:val="32"/>
          <w:shd w:val="clear" w:fill="FFFFFF"/>
          <w:lang w:val="en-US" w:eastAsia="zh-CN"/>
        </w:rPr>
        <w:t>,经费</w:t>
      </w:r>
      <w:r>
        <w:rPr>
          <w:rFonts w:hint="eastAsia" w:ascii="仿宋_GB2312" w:hAnsi="仿宋_GB2312" w:eastAsia="仿宋_GB2312" w:cs="仿宋_GB2312"/>
          <w:b w:val="0"/>
          <w:i w:val="0"/>
          <w:caps w:val="0"/>
          <w:color w:val="auto"/>
          <w:spacing w:val="0"/>
          <w:sz w:val="32"/>
          <w:szCs w:val="32"/>
          <w:shd w:val="clear" w:fill="FFFFFF"/>
        </w:rPr>
        <w:t>一律通过银行进行转帐结算；在资金使用过程中，严把监督审核关，建立健全内部审核制度，坚持经手、复核、领导审签后财务划款原则。</w:t>
      </w:r>
    </w:p>
    <w:p w14:paraId="518C73BE">
      <w:pPr>
        <w:keepNext w:val="0"/>
        <w:keepLines w:val="0"/>
        <w:widowControl w:val="0"/>
        <w:suppressLineNumbers w:val="0"/>
        <w:snapToGrid w:val="0"/>
        <w:spacing w:before="0" w:beforeAutospacing="0" w:after="0" w:afterAutospacing="0" w:line="580" w:lineRule="exact"/>
        <w:ind w:left="0" w:right="0" w:firstLine="640" w:firstLineChars="200"/>
        <w:jc w:val="both"/>
        <w:outlineLvl w:val="1"/>
        <w:rPr>
          <w:rFonts w:hint="eastAsia" w:ascii="黑体" w:hAnsi="黑体" w:eastAsia="黑体" w:cs="黑体"/>
          <w:color w:val="auto"/>
          <w:sz w:val="32"/>
          <w:szCs w:val="32"/>
          <w:lang w:val="en-US"/>
        </w:rPr>
      </w:pPr>
      <w:bookmarkStart w:id="232" w:name="_Toc27873"/>
      <w:bookmarkStart w:id="233" w:name="_Toc14829"/>
      <w:r>
        <w:rPr>
          <w:rFonts w:hint="eastAsia" w:ascii="黑体" w:hAnsi="黑体" w:eastAsia="黑体" w:cs="黑体"/>
          <w:color w:val="auto"/>
          <w:kern w:val="2"/>
          <w:sz w:val="32"/>
          <w:szCs w:val="32"/>
          <w:lang w:val="en-US" w:eastAsia="zh-CN" w:bidi="ar"/>
        </w:rPr>
        <w:t>四、项目绩效情况</w:t>
      </w:r>
      <w:bookmarkEnd w:id="232"/>
      <w:bookmarkEnd w:id="233"/>
    </w:p>
    <w:p w14:paraId="2C3E755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宋体" w:hAnsi="宋体" w:eastAsia="仿宋_GB2312" w:cs="仿宋_GB2312"/>
          <w:b/>
          <w:bCs/>
          <w:color w:val="auto"/>
          <w:kern w:val="2"/>
          <w:sz w:val="32"/>
          <w:szCs w:val="21"/>
          <w:lang w:val="en-US" w:eastAsia="zh-CN" w:bidi="ar"/>
        </w:rPr>
      </w:pPr>
      <w:bookmarkStart w:id="234" w:name="_Toc9391"/>
      <w:bookmarkStart w:id="235" w:name="_Toc1238"/>
      <w:r>
        <w:rPr>
          <w:rFonts w:hint="eastAsia" w:ascii="宋体" w:hAnsi="宋体" w:eastAsia="仿宋_GB2312" w:cs="仿宋_GB2312"/>
          <w:b/>
          <w:bCs/>
          <w:color w:val="auto"/>
          <w:kern w:val="2"/>
          <w:sz w:val="32"/>
          <w:szCs w:val="21"/>
          <w:lang w:val="en-US" w:eastAsia="zh-CN" w:bidi="ar"/>
        </w:rPr>
        <w:t>（一）项目完成情况</w:t>
      </w:r>
      <w:bookmarkEnd w:id="234"/>
      <w:bookmarkEnd w:id="235"/>
    </w:p>
    <w:p w14:paraId="348FDD5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目标完成任务量。</w:t>
      </w:r>
    </w:p>
    <w:p w14:paraId="225B895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2024年，累计开展各类法治宣讲活动已达224次，各项受教育人数达6.10万余人，发放各类宣传资料数万份。</w:t>
      </w:r>
    </w:p>
    <w:p w14:paraId="009FA8E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目标完成质量。</w:t>
      </w:r>
    </w:p>
    <w:p w14:paraId="474A233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普法经费项目在上级有关部门的关心帮助下，在县委、县政府的领导下，顺利推进，圆满完成任务，达到预期目的。</w:t>
      </w:r>
    </w:p>
    <w:p w14:paraId="4A8D9B1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3、</w:t>
      </w:r>
      <w:r>
        <w:rPr>
          <w:rFonts w:hint="eastAsia" w:ascii="仿宋_GB2312" w:hAnsi="仿宋_GB2312" w:eastAsia="仿宋_GB2312" w:cs="仿宋_GB2312"/>
          <w:b w:val="0"/>
          <w:i w:val="0"/>
          <w:caps w:val="0"/>
          <w:color w:val="auto"/>
          <w:spacing w:val="0"/>
          <w:sz w:val="32"/>
          <w:szCs w:val="32"/>
          <w:shd w:val="clear" w:fill="FFFFFF"/>
        </w:rPr>
        <w:t>目标完成进度。</w:t>
      </w:r>
    </w:p>
    <w:p w14:paraId="08508F0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截止20</w:t>
      </w:r>
      <w:r>
        <w:rPr>
          <w:rFonts w:hint="eastAsia" w:ascii="仿宋_GB2312" w:hAnsi="仿宋_GB2312" w:eastAsia="仿宋_GB2312" w:cs="仿宋_GB2312"/>
          <w:b w:val="0"/>
          <w:i w:val="0"/>
          <w:caps w:val="0"/>
          <w:color w:val="auto"/>
          <w:spacing w:val="0"/>
          <w:sz w:val="32"/>
          <w:szCs w:val="32"/>
          <w:shd w:val="clear" w:fill="FFFFFF"/>
          <w:lang w:val="en-US" w:eastAsia="zh-CN"/>
        </w:rPr>
        <w:t>24</w:t>
      </w:r>
      <w:r>
        <w:rPr>
          <w:rFonts w:hint="eastAsia" w:ascii="仿宋_GB2312" w:hAnsi="仿宋_GB2312" w:eastAsia="仿宋_GB2312" w:cs="仿宋_GB2312"/>
          <w:b w:val="0"/>
          <w:i w:val="0"/>
          <w:caps w:val="0"/>
          <w:color w:val="auto"/>
          <w:spacing w:val="0"/>
          <w:sz w:val="32"/>
          <w:szCs w:val="32"/>
          <w:shd w:val="clear" w:fill="FFFFFF"/>
        </w:rPr>
        <w:t>年12月</w:t>
      </w:r>
      <w:r>
        <w:rPr>
          <w:rFonts w:hint="eastAsia" w:ascii="仿宋_GB2312" w:hAnsi="仿宋_GB2312" w:eastAsia="仿宋_GB2312" w:cs="仿宋_GB2312"/>
          <w:b w:val="0"/>
          <w:i w:val="0"/>
          <w:caps w:val="0"/>
          <w:color w:val="auto"/>
          <w:spacing w:val="0"/>
          <w:sz w:val="32"/>
          <w:szCs w:val="32"/>
          <w:shd w:val="clear" w:fill="FFFFFF"/>
          <w:lang w:val="en-US" w:eastAsia="zh-CN"/>
        </w:rPr>
        <w:t>31日</w:t>
      </w:r>
      <w:r>
        <w:rPr>
          <w:rFonts w:hint="eastAsia" w:ascii="仿宋_GB2312" w:hAnsi="仿宋_GB2312" w:eastAsia="仿宋_GB2312" w:cs="仿宋_GB2312"/>
          <w:b w:val="0"/>
          <w:i w:val="0"/>
          <w:caps w:val="0"/>
          <w:color w:val="auto"/>
          <w:spacing w:val="0"/>
          <w:sz w:val="32"/>
          <w:szCs w:val="32"/>
          <w:shd w:val="clear" w:fill="FFFFFF"/>
        </w:rPr>
        <w:t>，普法经费项目已全面完成。</w:t>
      </w:r>
    </w:p>
    <w:p w14:paraId="13E48EE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outlineLvl w:val="2"/>
        <w:rPr>
          <w:rFonts w:hint="eastAsia" w:ascii="黑体" w:hAnsi="黑体" w:eastAsia="黑体" w:cs="黑体"/>
          <w:b w:val="0"/>
          <w:i w:val="0"/>
          <w:caps w:val="0"/>
          <w:color w:val="auto"/>
          <w:spacing w:val="0"/>
          <w:sz w:val="21"/>
          <w:szCs w:val="21"/>
        </w:rPr>
      </w:pPr>
      <w:bookmarkStart w:id="236" w:name="_Toc17359"/>
      <w:bookmarkStart w:id="237" w:name="_Toc21401"/>
      <w:r>
        <w:rPr>
          <w:rFonts w:hint="eastAsia" w:ascii="黑体" w:hAnsi="黑体" w:eastAsia="黑体" w:cs="黑体"/>
          <w:color w:val="auto"/>
          <w:kern w:val="2"/>
          <w:sz w:val="32"/>
          <w:szCs w:val="21"/>
          <w:lang w:val="en-US" w:eastAsia="zh-CN" w:bidi="ar"/>
        </w:rPr>
        <w:t>（二）项目效益情况</w:t>
      </w:r>
      <w:bookmarkEnd w:id="236"/>
      <w:bookmarkEnd w:id="237"/>
    </w:p>
    <w:p w14:paraId="23DEAF2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宋体" w:hAnsi="宋体" w:eastAsia="仿宋_GB2312" w:cs="宋体"/>
          <w:b w:val="0"/>
          <w:i w:val="0"/>
          <w:caps w:val="0"/>
          <w:color w:val="auto"/>
          <w:spacing w:val="0"/>
          <w:sz w:val="21"/>
          <w:szCs w:val="21"/>
          <w:lang w:eastAsia="zh-CN"/>
        </w:rPr>
      </w:pPr>
      <w:r>
        <w:rPr>
          <w:rFonts w:hint="eastAsia" w:ascii="仿宋_GB2312" w:hAnsi="宋体" w:eastAsia="仿宋_GB2312" w:cs="仿宋_GB2312"/>
          <w:b w:val="0"/>
          <w:i w:val="0"/>
          <w:caps w:val="0"/>
          <w:color w:val="auto"/>
          <w:spacing w:val="0"/>
          <w:sz w:val="31"/>
          <w:szCs w:val="31"/>
        </w:rPr>
        <w:t>司法局项目经济效益指标是确保资金使用合理合规，加强保障</w:t>
      </w:r>
      <w:r>
        <w:rPr>
          <w:rFonts w:hint="eastAsia" w:ascii="仿宋_GB2312" w:hAnsi="宋体" w:eastAsia="仿宋_GB2312" w:cs="仿宋_GB2312"/>
          <w:b w:val="0"/>
          <w:i w:val="0"/>
          <w:caps w:val="0"/>
          <w:color w:val="auto"/>
          <w:spacing w:val="0"/>
          <w:sz w:val="31"/>
          <w:szCs w:val="31"/>
          <w:lang w:eastAsia="zh-CN"/>
        </w:rPr>
        <w:t>我县</w:t>
      </w:r>
      <w:r>
        <w:rPr>
          <w:rFonts w:hint="eastAsia" w:ascii="仿宋_GB2312" w:hAnsi="宋体" w:eastAsia="仿宋_GB2312" w:cs="仿宋_GB2312"/>
          <w:b w:val="0"/>
          <w:i w:val="0"/>
          <w:caps w:val="0"/>
          <w:color w:val="auto"/>
          <w:spacing w:val="0"/>
          <w:sz w:val="31"/>
          <w:szCs w:val="31"/>
        </w:rPr>
        <w:t>经济发展，创造良好环境。社会效益指标是不断提升司法行政各项业务工作能力，充分化解矛盾纠纷，加强律师培训，保证弱势群体应援尽援，维护</w:t>
      </w:r>
      <w:r>
        <w:rPr>
          <w:rFonts w:hint="eastAsia" w:ascii="仿宋_GB2312" w:hAnsi="宋体" w:eastAsia="仿宋_GB2312" w:cs="仿宋_GB2312"/>
          <w:b w:val="0"/>
          <w:i w:val="0"/>
          <w:caps w:val="0"/>
          <w:color w:val="auto"/>
          <w:spacing w:val="0"/>
          <w:sz w:val="31"/>
          <w:szCs w:val="31"/>
          <w:lang w:eastAsia="zh-CN"/>
        </w:rPr>
        <w:t>社会</w:t>
      </w:r>
      <w:r>
        <w:rPr>
          <w:rFonts w:hint="eastAsia" w:ascii="仿宋_GB2312" w:hAnsi="宋体" w:eastAsia="仿宋_GB2312" w:cs="仿宋_GB2312"/>
          <w:b w:val="0"/>
          <w:i w:val="0"/>
          <w:caps w:val="0"/>
          <w:color w:val="auto"/>
          <w:spacing w:val="0"/>
          <w:sz w:val="31"/>
          <w:szCs w:val="31"/>
        </w:rPr>
        <w:t>和谐稳定；生态效益指标是创造良好环境，保障人民群众安居乐业；可持续指标是维护社会政治稳定，不断提高公众安全感和满意度，做到人民群众满意</w:t>
      </w:r>
      <w:r>
        <w:rPr>
          <w:rFonts w:hint="eastAsia" w:ascii="仿宋_GB2312" w:hAnsi="宋体" w:eastAsia="仿宋_GB2312" w:cs="仿宋_GB2312"/>
          <w:b w:val="0"/>
          <w:i w:val="0"/>
          <w:caps w:val="0"/>
          <w:color w:val="auto"/>
          <w:spacing w:val="0"/>
          <w:sz w:val="31"/>
          <w:szCs w:val="31"/>
          <w:lang w:eastAsia="zh-CN"/>
        </w:rPr>
        <w:t>。</w:t>
      </w:r>
    </w:p>
    <w:p w14:paraId="0583FB81">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outlineLvl w:val="1"/>
        <w:rPr>
          <w:rFonts w:hint="eastAsia" w:ascii="黑体" w:hAnsi="宋体" w:eastAsia="黑体" w:cs="黑体"/>
          <w:color w:val="auto"/>
          <w:kern w:val="2"/>
          <w:sz w:val="32"/>
          <w:szCs w:val="21"/>
          <w:lang w:val="en-US" w:eastAsia="zh-CN" w:bidi="ar"/>
        </w:rPr>
      </w:pPr>
      <w:bookmarkStart w:id="238" w:name="_Toc5962"/>
      <w:bookmarkStart w:id="239" w:name="_Toc27077"/>
      <w:r>
        <w:rPr>
          <w:rFonts w:hint="eastAsia" w:ascii="黑体" w:hAnsi="宋体" w:eastAsia="黑体" w:cs="黑体"/>
          <w:color w:val="auto"/>
          <w:kern w:val="2"/>
          <w:sz w:val="32"/>
          <w:szCs w:val="21"/>
          <w:lang w:val="en-US" w:eastAsia="zh-CN" w:bidi="ar"/>
        </w:rPr>
        <w:t>五、评价结论及建议</w:t>
      </w:r>
      <w:bookmarkEnd w:id="238"/>
      <w:bookmarkEnd w:id="239"/>
    </w:p>
    <w:p w14:paraId="1F4E5AF3">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outlineLvl w:val="2"/>
        <w:rPr>
          <w:rFonts w:hint="eastAsia" w:ascii="黑体" w:hAnsi="宋体" w:eastAsia="黑体" w:cs="黑体"/>
          <w:color w:val="auto"/>
          <w:kern w:val="2"/>
          <w:sz w:val="32"/>
          <w:szCs w:val="21"/>
          <w:lang w:val="en-US" w:eastAsia="zh-CN" w:bidi="ar"/>
        </w:rPr>
      </w:pPr>
      <w:bookmarkStart w:id="240" w:name="_Toc16636"/>
      <w:bookmarkStart w:id="241" w:name="_Toc10517"/>
      <w:r>
        <w:rPr>
          <w:rFonts w:hint="eastAsia" w:ascii="黑体" w:hAnsi="宋体" w:eastAsia="黑体" w:cs="黑体"/>
          <w:color w:val="auto"/>
          <w:kern w:val="2"/>
          <w:sz w:val="32"/>
          <w:szCs w:val="21"/>
          <w:lang w:val="en-US" w:eastAsia="zh-CN" w:bidi="ar"/>
        </w:rPr>
        <w:t>（一）评价结论</w:t>
      </w:r>
      <w:bookmarkEnd w:id="240"/>
      <w:bookmarkEnd w:id="241"/>
    </w:p>
    <w:p w14:paraId="4E419C5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shd w:val="clear" w:fill="FFFFFF"/>
          <w:lang w:val="en-US" w:eastAsia="zh-CN"/>
        </w:rPr>
      </w:pPr>
      <w:r>
        <w:rPr>
          <w:rFonts w:hint="eastAsia" w:ascii="仿宋_GB2312" w:hAnsi="仿宋_GB2312" w:eastAsia="仿宋_GB2312" w:cs="仿宋_GB2312"/>
          <w:b w:val="0"/>
          <w:i w:val="0"/>
          <w:caps w:val="0"/>
          <w:color w:val="auto"/>
          <w:spacing w:val="0"/>
          <w:sz w:val="32"/>
          <w:szCs w:val="32"/>
          <w:shd w:val="clear" w:fill="FFFFFF"/>
        </w:rPr>
        <w:t>通过全县普法宣传工作，使普法宣传走入人民群众日常生活，越来越多的群众学会拿起法律的武器来维护自身的权益，树立了法治观念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r>
        <w:rPr>
          <w:rFonts w:hint="eastAsia" w:ascii="仿宋_GB2312" w:hAnsi="仿宋_GB2312" w:eastAsia="仿宋_GB2312" w:cs="仿宋_GB2312"/>
          <w:b w:val="0"/>
          <w:i w:val="0"/>
          <w:caps w:val="0"/>
          <w:color w:val="auto"/>
          <w:spacing w:val="0"/>
          <w:sz w:val="32"/>
          <w:szCs w:val="32"/>
          <w:shd w:val="clear" w:fill="FFFFFF"/>
          <w:lang w:eastAsia="zh-CN"/>
        </w:rPr>
        <w:t>项目评价得分</w:t>
      </w:r>
      <w:r>
        <w:rPr>
          <w:rFonts w:hint="eastAsia" w:ascii="仿宋_GB2312" w:hAnsi="仿宋_GB2312" w:eastAsia="仿宋_GB2312" w:cs="仿宋_GB2312"/>
          <w:b w:val="0"/>
          <w:i w:val="0"/>
          <w:caps w:val="0"/>
          <w:color w:val="auto"/>
          <w:spacing w:val="0"/>
          <w:sz w:val="32"/>
          <w:szCs w:val="32"/>
          <w:shd w:val="clear" w:fill="FFFFFF"/>
          <w:lang w:val="en-US" w:eastAsia="zh-CN"/>
        </w:rPr>
        <w:t>98分。</w:t>
      </w:r>
    </w:p>
    <w:p w14:paraId="3C26346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黑体" w:hAnsi="黑体" w:eastAsia="黑体" w:cs="黑体"/>
          <w:b/>
          <w:bCs/>
          <w:i w:val="0"/>
          <w:caps w:val="0"/>
          <w:color w:val="auto"/>
          <w:spacing w:val="0"/>
          <w:sz w:val="32"/>
          <w:szCs w:val="32"/>
          <w:shd w:val="clear" w:fill="FFFFFF"/>
          <w:lang w:val="en-US" w:eastAsia="zh-CN"/>
        </w:rPr>
      </w:pPr>
      <w:bookmarkStart w:id="242" w:name="_Toc26113"/>
      <w:bookmarkStart w:id="243" w:name="_Toc6026"/>
      <w:r>
        <w:rPr>
          <w:rFonts w:hint="eastAsia" w:ascii="黑体" w:hAnsi="黑体" w:eastAsia="黑体" w:cs="黑体"/>
          <w:b/>
          <w:bCs/>
          <w:i w:val="0"/>
          <w:caps w:val="0"/>
          <w:color w:val="auto"/>
          <w:spacing w:val="0"/>
          <w:sz w:val="32"/>
          <w:szCs w:val="32"/>
          <w:shd w:val="clear" w:fill="FFFFFF"/>
          <w:lang w:val="en-US" w:eastAsia="zh-CN"/>
        </w:rPr>
        <w:t>（二）存在的问题</w:t>
      </w:r>
      <w:bookmarkEnd w:id="242"/>
      <w:bookmarkEnd w:id="243"/>
    </w:p>
    <w:p w14:paraId="35FCDD99">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普法是一项需要长期坚持的工作，要让群众真正成为法律的守护者、真正能运用法律来维护自身的合法权益还需要长期的时间。</w:t>
      </w:r>
    </w:p>
    <w:p w14:paraId="6C94F19C">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outlineLvl w:val="2"/>
        <w:rPr>
          <w:rFonts w:hint="eastAsia" w:ascii="黑体" w:hAnsi="宋体" w:eastAsia="黑体" w:cs="黑体"/>
          <w:color w:val="auto"/>
          <w:kern w:val="2"/>
          <w:sz w:val="32"/>
          <w:szCs w:val="21"/>
          <w:lang w:val="en-US" w:eastAsia="zh-CN" w:bidi="ar"/>
        </w:rPr>
      </w:pPr>
      <w:bookmarkStart w:id="244" w:name="_Toc17185"/>
      <w:bookmarkStart w:id="245" w:name="_Toc21332"/>
      <w:r>
        <w:rPr>
          <w:rFonts w:hint="eastAsia" w:ascii="黑体" w:hAnsi="宋体" w:eastAsia="黑体" w:cs="黑体"/>
          <w:color w:val="auto"/>
          <w:kern w:val="2"/>
          <w:sz w:val="32"/>
          <w:szCs w:val="21"/>
          <w:lang w:val="en-US" w:eastAsia="zh-CN" w:bidi="ar"/>
        </w:rPr>
        <w:t>(三)相关建议</w:t>
      </w:r>
      <w:bookmarkEnd w:id="244"/>
      <w:bookmarkEnd w:id="245"/>
    </w:p>
    <w:p w14:paraId="451CB457">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shd w:val="clear" w:fill="FFFFFF"/>
        </w:rPr>
        <w:t>适当增加普法经费的预算，完善普法配套设施，真正实现全县普法宣传工作能够全面覆盖</w:t>
      </w:r>
      <w:r>
        <w:rPr>
          <w:rFonts w:hint="eastAsia" w:ascii="仿宋_GB2312" w:hAnsi="仿宋_GB2312" w:eastAsia="仿宋_GB2312" w:cs="仿宋_GB2312"/>
          <w:b w:val="0"/>
          <w:i w:val="0"/>
          <w:caps w:val="0"/>
          <w:color w:val="auto"/>
          <w:spacing w:val="0"/>
          <w:sz w:val="32"/>
          <w:szCs w:val="32"/>
          <w:shd w:val="clear" w:fill="FFFFFF"/>
          <w:lang w:eastAsia="zh-CN"/>
        </w:rPr>
        <w:t>。</w:t>
      </w:r>
    </w:p>
    <w:p w14:paraId="035386E7">
      <w:pPr>
        <w:pStyle w:val="2"/>
        <w:numPr>
          <w:ilvl w:val="0"/>
          <w:numId w:val="0"/>
        </w:numPr>
        <w:ind w:leftChars="150" w:right="0" w:rightChars="0"/>
      </w:pPr>
    </w:p>
    <w:p w14:paraId="554C6084">
      <w:pPr>
        <w:widowControl/>
        <w:ind w:firstLine="440" w:firstLineChars="100"/>
        <w:jc w:val="center"/>
        <w:rPr>
          <w:rFonts w:hint="eastAsia" w:ascii="黑体" w:hAnsi="黑体" w:eastAsia="黑体"/>
          <w:color w:val="000000"/>
          <w:sz w:val="44"/>
          <w:szCs w:val="44"/>
        </w:rPr>
      </w:pPr>
      <w:bookmarkStart w:id="246" w:name="_Toc79163885"/>
      <w:bookmarkStart w:id="247" w:name="_Toc79163635"/>
      <w:bookmarkStart w:id="248" w:name="_Toc15396618"/>
    </w:p>
    <w:p w14:paraId="02EA4968">
      <w:pPr>
        <w:widowControl/>
        <w:jc w:val="both"/>
        <w:rPr>
          <w:rFonts w:hint="eastAsia" w:ascii="黑体" w:hAnsi="黑体" w:eastAsia="黑体"/>
          <w:color w:val="000000"/>
          <w:sz w:val="44"/>
          <w:szCs w:val="44"/>
        </w:rPr>
      </w:pPr>
    </w:p>
    <w:p w14:paraId="63C50156">
      <w:pPr>
        <w:widowControl/>
        <w:jc w:val="center"/>
        <w:rPr>
          <w:rFonts w:hint="eastAsia" w:ascii="黑体" w:hAnsi="黑体" w:eastAsia="黑体"/>
          <w:color w:val="000000"/>
          <w:sz w:val="44"/>
          <w:szCs w:val="44"/>
        </w:rPr>
      </w:pPr>
    </w:p>
    <w:p w14:paraId="2C4F2544">
      <w:pPr>
        <w:widowControl/>
        <w:jc w:val="center"/>
        <w:outlineLvl w:val="0"/>
        <w:rPr>
          <w:rFonts w:hint="eastAsia" w:ascii="黑体" w:hAnsi="黑体" w:eastAsia="黑体"/>
          <w:color w:val="000000"/>
          <w:sz w:val="44"/>
          <w:szCs w:val="44"/>
        </w:rPr>
      </w:pPr>
      <w:bookmarkStart w:id="249" w:name="_Toc29704"/>
      <w:bookmarkStart w:id="250" w:name="_Toc8452"/>
    </w:p>
    <w:p w14:paraId="091A5F6A">
      <w:pPr>
        <w:widowControl/>
        <w:jc w:val="center"/>
        <w:outlineLvl w:val="0"/>
        <w:rPr>
          <w:rFonts w:hint="eastAsia" w:ascii="黑体" w:hAnsi="黑体" w:eastAsia="黑体"/>
          <w:color w:val="000000"/>
          <w:sz w:val="44"/>
          <w:szCs w:val="44"/>
        </w:rPr>
      </w:pPr>
    </w:p>
    <w:p w14:paraId="34948A58">
      <w:pPr>
        <w:widowControl/>
        <w:jc w:val="center"/>
        <w:outlineLvl w:val="0"/>
        <w:rPr>
          <w:rFonts w:hint="eastAsia" w:ascii="黑体" w:hAnsi="黑体" w:eastAsia="黑体"/>
          <w:color w:val="000000"/>
          <w:sz w:val="44"/>
          <w:szCs w:val="44"/>
        </w:rPr>
      </w:pPr>
    </w:p>
    <w:p w14:paraId="62D925FB">
      <w:pPr>
        <w:widowControl/>
        <w:jc w:val="center"/>
        <w:outlineLvl w:val="0"/>
        <w:rPr>
          <w:rFonts w:hint="eastAsia" w:ascii="黑体" w:hAnsi="黑体" w:eastAsia="黑体"/>
          <w:color w:val="000000"/>
          <w:sz w:val="44"/>
          <w:szCs w:val="44"/>
        </w:rPr>
      </w:pPr>
    </w:p>
    <w:p w14:paraId="3816892A">
      <w:pPr>
        <w:widowControl/>
        <w:jc w:val="center"/>
        <w:outlineLvl w:val="0"/>
        <w:rPr>
          <w:rFonts w:hint="eastAsia" w:ascii="黑体" w:hAnsi="黑体" w:eastAsia="黑体"/>
          <w:color w:val="000000"/>
          <w:sz w:val="44"/>
          <w:szCs w:val="44"/>
        </w:rPr>
      </w:pPr>
    </w:p>
    <w:p w14:paraId="3D0E44CD">
      <w:pPr>
        <w:widowControl/>
        <w:jc w:val="center"/>
        <w:outlineLvl w:val="0"/>
        <w:rPr>
          <w:rFonts w:hint="eastAsia" w:ascii="黑体" w:hAnsi="黑体" w:eastAsia="黑体"/>
          <w:color w:val="000000"/>
          <w:sz w:val="44"/>
          <w:szCs w:val="44"/>
        </w:rPr>
      </w:pPr>
    </w:p>
    <w:p w14:paraId="44257C78">
      <w:pPr>
        <w:widowControl/>
        <w:jc w:val="center"/>
        <w:outlineLvl w:val="0"/>
        <w:rPr>
          <w:rFonts w:hint="eastAsia" w:ascii="黑体" w:hAnsi="黑体" w:eastAsia="黑体"/>
          <w:color w:val="000000"/>
          <w:sz w:val="44"/>
          <w:szCs w:val="44"/>
        </w:rPr>
      </w:pPr>
    </w:p>
    <w:p w14:paraId="7F53ECC3">
      <w:pPr>
        <w:widowControl/>
        <w:jc w:val="center"/>
        <w:outlineLvl w:val="0"/>
        <w:rPr>
          <w:rFonts w:hint="eastAsia" w:ascii="黑体" w:hAnsi="黑体" w:eastAsia="黑体"/>
          <w:color w:val="000000"/>
          <w:sz w:val="44"/>
          <w:szCs w:val="44"/>
        </w:rPr>
      </w:pPr>
    </w:p>
    <w:p w14:paraId="4A337B6D">
      <w:pPr>
        <w:widowControl/>
        <w:jc w:val="center"/>
        <w:outlineLvl w:val="0"/>
        <w:rPr>
          <w:rFonts w:hint="eastAsia" w:ascii="黑体" w:hAnsi="黑体" w:eastAsia="黑体"/>
          <w:color w:val="000000"/>
          <w:sz w:val="44"/>
          <w:szCs w:val="44"/>
        </w:rPr>
      </w:pPr>
    </w:p>
    <w:p w14:paraId="2E9AB8E4">
      <w:pPr>
        <w:widowControl/>
        <w:jc w:val="center"/>
        <w:outlineLvl w:val="0"/>
        <w:rPr>
          <w:rFonts w:hint="eastAsia" w:ascii="黑体" w:hAnsi="黑体" w:eastAsia="黑体"/>
          <w:color w:val="000000"/>
          <w:sz w:val="44"/>
          <w:szCs w:val="44"/>
        </w:rPr>
      </w:pPr>
    </w:p>
    <w:p w14:paraId="51F9AADC">
      <w:pPr>
        <w:widowControl/>
        <w:jc w:val="center"/>
        <w:outlineLvl w:val="0"/>
        <w:rPr>
          <w:rFonts w:hint="eastAsia" w:ascii="黑体" w:hAnsi="黑体" w:eastAsia="黑体"/>
          <w:color w:val="000000"/>
          <w:sz w:val="44"/>
          <w:szCs w:val="44"/>
        </w:rPr>
      </w:pPr>
    </w:p>
    <w:p w14:paraId="775E9DF7">
      <w:pPr>
        <w:widowControl/>
        <w:jc w:val="center"/>
        <w:outlineLvl w:val="0"/>
        <w:rPr>
          <w:rFonts w:hint="eastAsia" w:ascii="黑体" w:hAnsi="黑体" w:eastAsia="黑体"/>
          <w:color w:val="000000"/>
          <w:sz w:val="44"/>
          <w:szCs w:val="44"/>
        </w:rPr>
      </w:pPr>
    </w:p>
    <w:p w14:paraId="79144C9E">
      <w:pPr>
        <w:widowControl/>
        <w:jc w:val="center"/>
        <w:outlineLvl w:val="0"/>
        <w:rPr>
          <w:rFonts w:hint="eastAsia" w:ascii="黑体" w:hAnsi="黑体" w:eastAsia="黑体"/>
          <w:color w:val="000000"/>
          <w:sz w:val="44"/>
          <w:szCs w:val="44"/>
        </w:rPr>
      </w:pPr>
    </w:p>
    <w:p w14:paraId="05CD4B24">
      <w:pPr>
        <w:widowControl/>
        <w:jc w:val="center"/>
        <w:outlineLvl w:val="0"/>
        <w:rPr>
          <w:rFonts w:hint="eastAsia"/>
          <w:lang w:val="en-US" w:eastAsia="zh-CN"/>
        </w:rPr>
      </w:pPr>
      <w:r>
        <w:rPr>
          <w:rFonts w:hint="eastAsia" w:ascii="黑体" w:hAnsi="黑体" w:eastAsia="黑体"/>
          <w:color w:val="000000"/>
          <w:sz w:val="44"/>
          <w:szCs w:val="44"/>
        </w:rPr>
        <w:t>第</w:t>
      </w:r>
      <w:r>
        <w:rPr>
          <w:rStyle w:val="19"/>
          <w:rFonts w:hint="eastAsia" w:ascii="黑体" w:hAnsi="黑体" w:eastAsia="黑体"/>
          <w:b w:val="0"/>
        </w:rPr>
        <w:t>五部分</w:t>
      </w:r>
      <w:r>
        <w:rPr>
          <w:rStyle w:val="19"/>
          <w:rFonts w:ascii="黑体" w:hAnsi="黑体" w:eastAsia="黑体"/>
          <w:b w:val="0"/>
        </w:rPr>
        <w:t xml:space="preserve"> </w:t>
      </w:r>
      <w:r>
        <w:rPr>
          <w:rStyle w:val="19"/>
          <w:rFonts w:hint="eastAsia" w:ascii="黑体" w:hAnsi="黑体" w:eastAsia="黑体"/>
          <w:b w:val="0"/>
        </w:rPr>
        <w:t>附表</w:t>
      </w:r>
      <w:bookmarkEnd w:id="172"/>
      <w:bookmarkEnd w:id="246"/>
      <w:bookmarkEnd w:id="247"/>
      <w:bookmarkEnd w:id="248"/>
      <w:bookmarkEnd w:id="249"/>
      <w:bookmarkEnd w:id="250"/>
    </w:p>
    <w:p w14:paraId="528717FB">
      <w:pPr>
        <w:pStyle w:val="5"/>
        <w:rPr>
          <w:rFonts w:ascii="仿宋" w:hAnsi="仿宋" w:eastAsia="仿宋"/>
          <w:color w:val="000000"/>
          <w:sz w:val="28"/>
          <w:szCs w:val="28"/>
        </w:rPr>
      </w:pPr>
      <w:bookmarkStart w:id="251" w:name="_Toc79163636"/>
      <w:bookmarkStart w:id="252" w:name="_Toc79163886"/>
      <w:bookmarkStart w:id="253" w:name="_Toc15396619"/>
      <w:r>
        <w:rPr>
          <w:rFonts w:hint="eastAsia" w:ascii="仿宋" w:hAnsi="仿宋" w:eastAsia="仿宋"/>
          <w:b w:val="0"/>
          <w:color w:val="000000"/>
          <w:sz w:val="28"/>
          <w:szCs w:val="28"/>
        </w:rPr>
        <w:t>一、收</w:t>
      </w:r>
      <w:r>
        <w:rPr>
          <w:rStyle w:val="20"/>
          <w:rFonts w:hint="eastAsia" w:ascii="仿宋" w:hAnsi="仿宋" w:eastAsia="仿宋"/>
          <w:b w:val="0"/>
          <w:bCs w:val="0"/>
          <w:sz w:val="28"/>
          <w:szCs w:val="28"/>
        </w:rPr>
        <w:t>入支出决算总表</w:t>
      </w:r>
      <w:bookmarkEnd w:id="251"/>
      <w:bookmarkEnd w:id="252"/>
      <w:bookmarkEnd w:id="253"/>
    </w:p>
    <w:p w14:paraId="6E51CDFF">
      <w:pPr>
        <w:pStyle w:val="5"/>
        <w:rPr>
          <w:rFonts w:ascii="仿宋" w:hAnsi="仿宋" w:eastAsia="仿宋"/>
          <w:color w:val="000000"/>
          <w:sz w:val="28"/>
          <w:szCs w:val="28"/>
        </w:rPr>
      </w:pPr>
      <w:bookmarkStart w:id="254" w:name="_Toc79163887"/>
      <w:bookmarkStart w:id="255" w:name="_Toc79163637"/>
      <w:bookmarkStart w:id="256" w:name="_Toc15396620"/>
      <w:r>
        <w:rPr>
          <w:rFonts w:hint="eastAsia" w:ascii="仿宋" w:hAnsi="仿宋" w:eastAsia="仿宋"/>
          <w:b w:val="0"/>
          <w:color w:val="000000"/>
          <w:sz w:val="28"/>
          <w:szCs w:val="28"/>
        </w:rPr>
        <w:t>二、收</w:t>
      </w:r>
      <w:r>
        <w:rPr>
          <w:rStyle w:val="20"/>
          <w:rFonts w:hint="eastAsia" w:ascii="仿宋" w:hAnsi="仿宋" w:eastAsia="仿宋"/>
          <w:b w:val="0"/>
          <w:bCs w:val="0"/>
          <w:sz w:val="28"/>
          <w:szCs w:val="28"/>
        </w:rPr>
        <w:t>入决算表</w:t>
      </w:r>
      <w:bookmarkEnd w:id="254"/>
      <w:bookmarkEnd w:id="255"/>
      <w:bookmarkEnd w:id="256"/>
    </w:p>
    <w:p w14:paraId="6C47DC28">
      <w:pPr>
        <w:pStyle w:val="5"/>
        <w:rPr>
          <w:rFonts w:ascii="仿宋" w:hAnsi="仿宋" w:eastAsia="仿宋"/>
          <w:color w:val="000000"/>
          <w:sz w:val="28"/>
          <w:szCs w:val="28"/>
        </w:rPr>
      </w:pPr>
      <w:bookmarkStart w:id="257" w:name="_Toc79163638"/>
      <w:bookmarkStart w:id="258" w:name="_Toc79163888"/>
      <w:bookmarkStart w:id="259" w:name="_Toc15396621"/>
      <w:r>
        <w:rPr>
          <w:rStyle w:val="20"/>
          <w:rFonts w:hint="eastAsia" w:ascii="仿宋" w:hAnsi="仿宋" w:eastAsia="仿宋"/>
          <w:b w:val="0"/>
          <w:bCs w:val="0"/>
          <w:sz w:val="28"/>
          <w:szCs w:val="28"/>
        </w:rPr>
        <w:t>三、</w:t>
      </w:r>
      <w:r>
        <w:rPr>
          <w:rFonts w:hint="eastAsia" w:ascii="仿宋" w:hAnsi="仿宋" w:eastAsia="仿宋"/>
          <w:b w:val="0"/>
          <w:color w:val="000000"/>
          <w:sz w:val="28"/>
          <w:szCs w:val="28"/>
        </w:rPr>
        <w:t>支</w:t>
      </w:r>
      <w:r>
        <w:rPr>
          <w:rStyle w:val="20"/>
          <w:rFonts w:hint="eastAsia" w:ascii="仿宋" w:hAnsi="仿宋" w:eastAsia="仿宋"/>
          <w:b w:val="0"/>
          <w:bCs w:val="0"/>
          <w:sz w:val="28"/>
          <w:szCs w:val="28"/>
        </w:rPr>
        <w:t>出决算表</w:t>
      </w:r>
      <w:bookmarkEnd w:id="257"/>
      <w:bookmarkEnd w:id="258"/>
      <w:bookmarkEnd w:id="259"/>
    </w:p>
    <w:p w14:paraId="740F6A48">
      <w:pPr>
        <w:pStyle w:val="5"/>
        <w:rPr>
          <w:rFonts w:ascii="仿宋" w:hAnsi="仿宋" w:eastAsia="仿宋"/>
          <w:b w:val="0"/>
          <w:color w:val="000000"/>
          <w:sz w:val="28"/>
          <w:szCs w:val="28"/>
        </w:rPr>
      </w:pPr>
      <w:bookmarkStart w:id="260" w:name="_Toc15396622"/>
      <w:bookmarkStart w:id="261" w:name="_Toc79163639"/>
      <w:bookmarkStart w:id="262" w:name="_Toc79163889"/>
      <w:r>
        <w:rPr>
          <w:rStyle w:val="20"/>
          <w:rFonts w:hint="eastAsia" w:ascii="仿宋" w:hAnsi="仿宋" w:eastAsia="仿宋"/>
          <w:b w:val="0"/>
          <w:bCs w:val="0"/>
          <w:sz w:val="28"/>
          <w:szCs w:val="28"/>
        </w:rPr>
        <w:t>四、</w:t>
      </w:r>
      <w:r>
        <w:rPr>
          <w:rFonts w:hint="eastAsia" w:ascii="仿宋" w:hAnsi="仿宋" w:eastAsia="仿宋"/>
          <w:b w:val="0"/>
          <w:color w:val="000000"/>
          <w:sz w:val="28"/>
          <w:szCs w:val="28"/>
        </w:rPr>
        <w:t>财</w:t>
      </w:r>
      <w:r>
        <w:rPr>
          <w:rStyle w:val="20"/>
          <w:rFonts w:hint="eastAsia" w:ascii="仿宋" w:hAnsi="仿宋" w:eastAsia="仿宋"/>
          <w:b w:val="0"/>
          <w:bCs w:val="0"/>
          <w:sz w:val="28"/>
          <w:szCs w:val="28"/>
        </w:rPr>
        <w:t>政拨款收入支出决算总表</w:t>
      </w:r>
      <w:bookmarkEnd w:id="260"/>
      <w:bookmarkEnd w:id="261"/>
      <w:bookmarkEnd w:id="262"/>
    </w:p>
    <w:p w14:paraId="4F493899">
      <w:pPr>
        <w:pStyle w:val="5"/>
        <w:rPr>
          <w:rStyle w:val="20"/>
          <w:rFonts w:ascii="仿宋" w:hAnsi="仿宋" w:eastAsia="仿宋"/>
          <w:b w:val="0"/>
          <w:bCs w:val="0"/>
          <w:sz w:val="28"/>
          <w:szCs w:val="28"/>
        </w:rPr>
      </w:pPr>
      <w:bookmarkStart w:id="263" w:name="_Toc79163890"/>
      <w:bookmarkStart w:id="264" w:name="_Toc79163640"/>
      <w:bookmarkStart w:id="265" w:name="_Toc15396623"/>
      <w:r>
        <w:rPr>
          <w:rStyle w:val="20"/>
          <w:rFonts w:hint="eastAsia" w:ascii="仿宋" w:hAnsi="仿宋" w:eastAsia="仿宋"/>
          <w:b w:val="0"/>
          <w:bCs w:val="0"/>
          <w:sz w:val="28"/>
          <w:szCs w:val="28"/>
        </w:rPr>
        <w:t>五、</w:t>
      </w:r>
      <w:r>
        <w:rPr>
          <w:rFonts w:hint="eastAsia" w:ascii="仿宋" w:hAnsi="仿宋" w:eastAsia="仿宋"/>
          <w:b w:val="0"/>
          <w:color w:val="000000"/>
          <w:sz w:val="28"/>
          <w:szCs w:val="28"/>
        </w:rPr>
        <w:t>财</w:t>
      </w:r>
      <w:r>
        <w:rPr>
          <w:rStyle w:val="20"/>
          <w:rFonts w:hint="eastAsia" w:ascii="仿宋" w:hAnsi="仿宋" w:eastAsia="仿宋"/>
          <w:b w:val="0"/>
          <w:bCs w:val="0"/>
          <w:sz w:val="28"/>
          <w:szCs w:val="28"/>
        </w:rPr>
        <w:t>政拨款支出决算明细表</w:t>
      </w:r>
      <w:bookmarkEnd w:id="263"/>
      <w:bookmarkEnd w:id="264"/>
      <w:bookmarkEnd w:id="265"/>
      <w:bookmarkStart w:id="266" w:name="_Toc15396624"/>
    </w:p>
    <w:p w14:paraId="132A7FE8">
      <w:pPr>
        <w:pStyle w:val="5"/>
        <w:rPr>
          <w:rFonts w:ascii="仿宋" w:hAnsi="仿宋" w:eastAsia="仿宋"/>
          <w:color w:val="000000"/>
          <w:sz w:val="28"/>
          <w:szCs w:val="28"/>
        </w:rPr>
      </w:pPr>
      <w:bookmarkStart w:id="267" w:name="_Toc79163641"/>
      <w:bookmarkStart w:id="268" w:name="_Toc79163891"/>
      <w:r>
        <w:rPr>
          <w:rStyle w:val="20"/>
          <w:rFonts w:hint="eastAsia" w:ascii="仿宋" w:hAnsi="仿宋" w:eastAsia="仿宋"/>
          <w:b w:val="0"/>
          <w:bCs w:val="0"/>
          <w:sz w:val="28"/>
          <w:szCs w:val="28"/>
        </w:rPr>
        <w:t>六、</w:t>
      </w:r>
      <w:r>
        <w:rPr>
          <w:rFonts w:hint="eastAsia" w:ascii="仿宋" w:hAnsi="仿宋" w:eastAsia="仿宋"/>
          <w:b w:val="0"/>
          <w:color w:val="000000"/>
          <w:sz w:val="28"/>
          <w:szCs w:val="28"/>
        </w:rPr>
        <w:t>一</w:t>
      </w:r>
      <w:r>
        <w:rPr>
          <w:rStyle w:val="20"/>
          <w:rFonts w:hint="eastAsia" w:ascii="仿宋" w:hAnsi="仿宋" w:eastAsia="仿宋"/>
          <w:b w:val="0"/>
          <w:bCs w:val="0"/>
          <w:sz w:val="28"/>
          <w:szCs w:val="28"/>
        </w:rPr>
        <w:t>般公共预算财政拨款支出决算表</w:t>
      </w:r>
      <w:bookmarkEnd w:id="266"/>
      <w:bookmarkEnd w:id="267"/>
      <w:bookmarkEnd w:id="268"/>
    </w:p>
    <w:p w14:paraId="4FC6DB47">
      <w:pPr>
        <w:pStyle w:val="5"/>
        <w:rPr>
          <w:rFonts w:ascii="仿宋" w:hAnsi="仿宋" w:eastAsia="仿宋"/>
          <w:color w:val="000000"/>
          <w:sz w:val="28"/>
          <w:szCs w:val="28"/>
        </w:rPr>
      </w:pPr>
      <w:bookmarkStart w:id="269" w:name="_Toc79163642"/>
      <w:bookmarkStart w:id="270" w:name="_Toc15396625"/>
      <w:bookmarkStart w:id="271" w:name="_Toc79163892"/>
      <w:r>
        <w:rPr>
          <w:rStyle w:val="20"/>
          <w:rFonts w:hint="eastAsia" w:ascii="仿宋" w:hAnsi="仿宋" w:eastAsia="仿宋"/>
          <w:b w:val="0"/>
          <w:bCs w:val="0"/>
          <w:sz w:val="28"/>
          <w:szCs w:val="28"/>
        </w:rPr>
        <w:t>七、</w:t>
      </w:r>
      <w:r>
        <w:rPr>
          <w:rFonts w:hint="eastAsia" w:ascii="仿宋" w:hAnsi="仿宋" w:eastAsia="仿宋"/>
          <w:b w:val="0"/>
          <w:color w:val="000000"/>
          <w:sz w:val="28"/>
          <w:szCs w:val="28"/>
        </w:rPr>
        <w:t>一</w:t>
      </w:r>
      <w:r>
        <w:rPr>
          <w:rStyle w:val="20"/>
          <w:rFonts w:hint="eastAsia" w:ascii="仿宋" w:hAnsi="仿宋" w:eastAsia="仿宋"/>
          <w:b w:val="0"/>
          <w:bCs w:val="0"/>
          <w:sz w:val="28"/>
          <w:szCs w:val="28"/>
        </w:rPr>
        <w:t>般公共预算财政拨款支出决算明细表</w:t>
      </w:r>
      <w:bookmarkEnd w:id="269"/>
      <w:bookmarkEnd w:id="270"/>
      <w:bookmarkEnd w:id="271"/>
    </w:p>
    <w:p w14:paraId="16613633">
      <w:pPr>
        <w:pStyle w:val="5"/>
        <w:rPr>
          <w:rFonts w:ascii="仿宋" w:hAnsi="仿宋" w:eastAsia="仿宋"/>
          <w:color w:val="000000"/>
          <w:sz w:val="28"/>
          <w:szCs w:val="28"/>
        </w:rPr>
      </w:pPr>
      <w:bookmarkStart w:id="272" w:name="_Toc79163643"/>
      <w:bookmarkStart w:id="273" w:name="_Toc79163893"/>
      <w:bookmarkStart w:id="274" w:name="_Toc15396626"/>
      <w:r>
        <w:rPr>
          <w:rStyle w:val="20"/>
          <w:rFonts w:hint="eastAsia" w:ascii="仿宋" w:hAnsi="仿宋" w:eastAsia="仿宋"/>
          <w:b w:val="0"/>
          <w:bCs w:val="0"/>
          <w:sz w:val="28"/>
          <w:szCs w:val="28"/>
        </w:rPr>
        <w:t>八、</w:t>
      </w:r>
      <w:r>
        <w:rPr>
          <w:rFonts w:hint="eastAsia" w:ascii="仿宋" w:hAnsi="仿宋" w:eastAsia="仿宋"/>
          <w:b w:val="0"/>
          <w:color w:val="000000"/>
          <w:sz w:val="28"/>
          <w:szCs w:val="28"/>
        </w:rPr>
        <w:t>一</w:t>
      </w:r>
      <w:r>
        <w:rPr>
          <w:rStyle w:val="20"/>
          <w:rFonts w:hint="eastAsia" w:ascii="仿宋" w:hAnsi="仿宋" w:eastAsia="仿宋"/>
          <w:b w:val="0"/>
          <w:bCs w:val="0"/>
          <w:sz w:val="28"/>
          <w:szCs w:val="28"/>
        </w:rPr>
        <w:t>般公共预算财政拨款基本支出决算表</w:t>
      </w:r>
      <w:bookmarkEnd w:id="272"/>
      <w:bookmarkEnd w:id="273"/>
      <w:bookmarkEnd w:id="274"/>
    </w:p>
    <w:p w14:paraId="7C94FD9C">
      <w:pPr>
        <w:pStyle w:val="5"/>
        <w:rPr>
          <w:rFonts w:ascii="仿宋" w:hAnsi="仿宋" w:eastAsia="仿宋"/>
          <w:color w:val="000000"/>
          <w:sz w:val="28"/>
          <w:szCs w:val="28"/>
        </w:rPr>
      </w:pPr>
      <w:bookmarkStart w:id="275" w:name="_Toc79163644"/>
      <w:bookmarkStart w:id="276" w:name="_Toc79163894"/>
      <w:bookmarkStart w:id="277" w:name="_Toc15396627"/>
      <w:r>
        <w:rPr>
          <w:rStyle w:val="20"/>
          <w:rFonts w:hint="eastAsia" w:ascii="仿宋" w:hAnsi="仿宋" w:eastAsia="仿宋"/>
          <w:b w:val="0"/>
          <w:bCs w:val="0"/>
          <w:sz w:val="28"/>
          <w:szCs w:val="28"/>
        </w:rPr>
        <w:t>九、</w:t>
      </w:r>
      <w:r>
        <w:rPr>
          <w:rFonts w:hint="eastAsia" w:ascii="仿宋" w:hAnsi="仿宋" w:eastAsia="仿宋"/>
          <w:b w:val="0"/>
          <w:color w:val="000000"/>
          <w:sz w:val="28"/>
          <w:szCs w:val="28"/>
        </w:rPr>
        <w:t>一</w:t>
      </w:r>
      <w:r>
        <w:rPr>
          <w:rStyle w:val="20"/>
          <w:rFonts w:hint="eastAsia" w:ascii="仿宋" w:hAnsi="仿宋" w:eastAsia="仿宋"/>
          <w:b w:val="0"/>
          <w:bCs w:val="0"/>
          <w:sz w:val="28"/>
          <w:szCs w:val="28"/>
        </w:rPr>
        <w:t>般公共预算财政拨款项目支出决算表</w:t>
      </w:r>
      <w:bookmarkEnd w:id="275"/>
      <w:bookmarkEnd w:id="276"/>
      <w:bookmarkEnd w:id="277"/>
    </w:p>
    <w:p w14:paraId="75479D63">
      <w:pPr>
        <w:pStyle w:val="13"/>
        <w:tabs>
          <w:tab w:val="right" w:leader="dot" w:pos="8296"/>
        </w:tabs>
        <w:ind w:left="0" w:leftChars="0" w:firstLine="0" w:firstLineChars="0"/>
        <w:rPr>
          <w:rFonts w:ascii="仿宋" w:hAnsi="仿宋" w:eastAsia="仿宋"/>
          <w:sz w:val="28"/>
          <w:szCs w:val="28"/>
        </w:rPr>
      </w:pPr>
      <w:r>
        <w:rPr>
          <w:rFonts w:ascii="仿宋" w:hAnsi="仿宋" w:eastAsia="仿宋"/>
          <w:sz w:val="28"/>
          <w:szCs w:val="28"/>
        </w:rPr>
        <w:t>十、</w:t>
      </w:r>
      <w:r>
        <w:rPr>
          <w:rFonts w:ascii="仿宋" w:hAnsi="仿宋" w:eastAsia="仿宋"/>
          <w:color w:val="000000"/>
          <w:sz w:val="28"/>
          <w:szCs w:val="28"/>
        </w:rPr>
        <w:t>政</w:t>
      </w:r>
      <w:r>
        <w:rPr>
          <w:rFonts w:ascii="仿宋" w:hAnsi="仿宋" w:eastAsia="仿宋"/>
          <w:sz w:val="28"/>
          <w:szCs w:val="28"/>
        </w:rPr>
        <w:t>府性基金预算财政拨款收入支出决算表</w:t>
      </w:r>
    </w:p>
    <w:p w14:paraId="5B1EA43E">
      <w:pPr>
        <w:pStyle w:val="2"/>
        <w:ind w:left="0" w:leftChars="0" w:firstLine="0" w:firstLineChars="0"/>
        <w:rPr>
          <w:rFonts w:ascii="仿宋" w:hAnsi="仿宋" w:eastAsia="仿宋"/>
        </w:rPr>
      </w:pPr>
    </w:p>
    <w:p w14:paraId="79BBA1FC">
      <w:pPr>
        <w:pStyle w:val="2"/>
        <w:numPr>
          <w:ilvl w:val="0"/>
          <w:numId w:val="9"/>
        </w:numPr>
        <w:ind w:left="0" w:leftChars="0" w:firstLine="0" w:firstLineChars="0"/>
        <w:rPr>
          <w:rFonts w:ascii="仿宋" w:hAnsi="仿宋" w:eastAsia="仿宋"/>
          <w:sz w:val="28"/>
          <w:szCs w:val="36"/>
        </w:rPr>
      </w:pPr>
      <w:r>
        <w:rPr>
          <w:rFonts w:ascii="仿宋" w:hAnsi="仿宋" w:eastAsia="仿宋"/>
          <w:color w:val="000000"/>
          <w:sz w:val="28"/>
          <w:szCs w:val="36"/>
        </w:rPr>
        <w:t>国</w:t>
      </w:r>
      <w:r>
        <w:rPr>
          <w:rFonts w:ascii="仿宋" w:hAnsi="仿宋" w:eastAsia="仿宋"/>
          <w:sz w:val="28"/>
          <w:szCs w:val="36"/>
        </w:rPr>
        <w:t>有资本经营预算财政拨款</w:t>
      </w:r>
      <w:r>
        <w:rPr>
          <w:rFonts w:hint="eastAsia" w:ascii="仿宋" w:hAnsi="仿宋" w:eastAsia="仿宋"/>
          <w:sz w:val="28"/>
          <w:szCs w:val="36"/>
          <w:lang w:eastAsia="zh-CN"/>
        </w:rPr>
        <w:t>收入</w:t>
      </w:r>
      <w:r>
        <w:rPr>
          <w:rFonts w:ascii="仿宋" w:hAnsi="仿宋" w:eastAsia="仿宋"/>
          <w:sz w:val="28"/>
          <w:szCs w:val="36"/>
        </w:rPr>
        <w:t>支出决算表</w:t>
      </w:r>
    </w:p>
    <w:p w14:paraId="79D883FA">
      <w:pPr>
        <w:numPr>
          <w:ilvl w:val="0"/>
          <w:numId w:val="0"/>
        </w:numPr>
      </w:pPr>
    </w:p>
    <w:p w14:paraId="60B64EFC">
      <w:pPr>
        <w:pStyle w:val="2"/>
        <w:ind w:left="0" w:leftChars="0" w:firstLine="0" w:firstLineChars="0"/>
      </w:pPr>
      <w:r>
        <w:rPr>
          <w:rFonts w:hint="eastAsia" w:ascii="仿宋" w:hAnsi="仿宋" w:eastAsia="仿宋" w:cs="仿宋"/>
          <w:sz w:val="28"/>
          <w:szCs w:val="36"/>
        </w:rPr>
        <w:t>十二、国有资本经营预算财政拨款支出决算表</w:t>
      </w:r>
    </w:p>
    <w:p w14:paraId="78A0839A"/>
    <w:p w14:paraId="23552E13">
      <w:pPr>
        <w:pStyle w:val="2"/>
        <w:ind w:left="0" w:leftChars="0" w:firstLine="0" w:firstLineChars="0"/>
      </w:pPr>
      <w:r>
        <w:rPr>
          <w:rFonts w:ascii="仿宋" w:hAnsi="仿宋" w:eastAsia="仿宋"/>
          <w:sz w:val="28"/>
          <w:szCs w:val="36"/>
        </w:rPr>
        <w:t>十</w:t>
      </w:r>
      <w:r>
        <w:rPr>
          <w:rFonts w:hint="eastAsia" w:ascii="仿宋" w:hAnsi="仿宋" w:eastAsia="仿宋"/>
          <w:sz w:val="28"/>
          <w:szCs w:val="36"/>
          <w:lang w:eastAsia="zh-CN"/>
        </w:rPr>
        <w:t>三</w:t>
      </w:r>
      <w:r>
        <w:rPr>
          <w:rFonts w:ascii="仿宋" w:hAnsi="仿宋" w:eastAsia="仿宋"/>
          <w:sz w:val="28"/>
          <w:szCs w:val="36"/>
        </w:rPr>
        <w:t>、财政拨款“三公”经费支出决算表</w:t>
      </w:r>
    </w:p>
    <w:p w14:paraId="4A12A5AA"/>
    <w:p w14:paraId="36A01E9C"/>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B04C5">
    <w:pPr>
      <w:pStyle w:val="9"/>
      <w:jc w:val="center"/>
    </w:pPr>
    <w:r>
      <w:fldChar w:fldCharType="begin"/>
    </w:r>
    <w:r>
      <w:instrText xml:space="preserve">PAGE   \* MERGEFORMAT</w:instrText>
    </w:r>
    <w:r>
      <w:fldChar w:fldCharType="separate"/>
    </w:r>
    <w:r>
      <w:rPr>
        <w:lang w:val="zh-CN"/>
      </w:rPr>
      <w:t>3</w:t>
    </w:r>
    <w:r>
      <w:fldChar w:fldCharType="end"/>
    </w:r>
  </w:p>
  <w:p w14:paraId="5FE9ECB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4897C">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B8DF3"/>
    <w:multiLevelType w:val="singleLevel"/>
    <w:tmpl w:val="AD5B8DF3"/>
    <w:lvl w:ilvl="0" w:tentative="0">
      <w:start w:val="11"/>
      <w:numFmt w:val="chineseCounting"/>
      <w:suff w:val="nothing"/>
      <w:lvlText w:val="%1、"/>
      <w:lvlJc w:val="left"/>
      <w:rPr>
        <w:rFonts w:hint="eastAsia"/>
      </w:rPr>
    </w:lvl>
  </w:abstractNum>
  <w:abstractNum w:abstractNumId="1">
    <w:nsid w:val="D5294310"/>
    <w:multiLevelType w:val="singleLevel"/>
    <w:tmpl w:val="D5294310"/>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F8A57FA0"/>
    <w:multiLevelType w:val="singleLevel"/>
    <w:tmpl w:val="F8A57FA0"/>
    <w:lvl w:ilvl="0" w:tentative="0">
      <w:start w:val="3"/>
      <w:numFmt w:val="chineseCounting"/>
      <w:suff w:val="nothing"/>
      <w:lvlText w:val="%1、"/>
      <w:lvlJc w:val="left"/>
      <w:rPr>
        <w:rFonts w:hint="eastAsia"/>
      </w:rPr>
    </w:lvl>
  </w:abstractNum>
  <w:abstractNum w:abstractNumId="4">
    <w:nsid w:val="F91D3298"/>
    <w:multiLevelType w:val="singleLevel"/>
    <w:tmpl w:val="F91D3298"/>
    <w:lvl w:ilvl="0" w:tentative="0">
      <w:start w:val="3"/>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14F7A59B"/>
    <w:multiLevelType w:val="singleLevel"/>
    <w:tmpl w:val="14F7A59B"/>
    <w:lvl w:ilvl="0" w:tentative="0">
      <w:start w:val="1"/>
      <w:numFmt w:val="chineseCounting"/>
      <w:suff w:val="nothing"/>
      <w:lvlText w:val="（%1）"/>
      <w:lvlJc w:val="left"/>
      <w:rPr>
        <w:rFonts w:hint="eastAsia"/>
      </w:rPr>
    </w:lvl>
  </w:abstractNum>
  <w:abstractNum w:abstractNumId="7">
    <w:nsid w:val="69F303D2"/>
    <w:multiLevelType w:val="singleLevel"/>
    <w:tmpl w:val="69F303D2"/>
    <w:lvl w:ilvl="0" w:tentative="0">
      <w:start w:val="1"/>
      <w:numFmt w:val="chineseCounting"/>
      <w:suff w:val="nothing"/>
      <w:lvlText w:val="%1、"/>
      <w:lvlJc w:val="left"/>
      <w:rPr>
        <w:rFonts w:hint="eastAsia"/>
      </w:rPr>
    </w:lvl>
  </w:abstractNum>
  <w:abstractNum w:abstractNumId="8">
    <w:nsid w:val="7032491E"/>
    <w:multiLevelType w:val="singleLevel"/>
    <w:tmpl w:val="7032491E"/>
    <w:lvl w:ilvl="0" w:tentative="0">
      <w:start w:val="4"/>
      <w:numFmt w:val="chineseCounting"/>
      <w:suff w:val="nothing"/>
      <w:lvlText w:val="（%1）"/>
      <w:lvlJc w:val="left"/>
      <w:rPr>
        <w:rFonts w:hint="eastAsia"/>
      </w:rPr>
    </w:lvl>
  </w:abstractNum>
  <w:num w:numId="1">
    <w:abstractNumId w:val="1"/>
  </w:num>
  <w:num w:numId="2">
    <w:abstractNumId w:val="5"/>
  </w:num>
  <w:num w:numId="3">
    <w:abstractNumId w:val="4"/>
  </w:num>
  <w:num w:numId="4">
    <w:abstractNumId w:val="8"/>
  </w:num>
  <w:num w:numId="5">
    <w:abstractNumId w:val="2"/>
  </w:num>
  <w:num w:numId="6">
    <w:abstractNumId w:val="3"/>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NDljYmVlNTIzMTczZjE3Y2QwNWNkNmQ0ZmRhNDYifQ=="/>
  </w:docVars>
  <w:rsids>
    <w:rsidRoot w:val="7D585141"/>
    <w:rsid w:val="006C573A"/>
    <w:rsid w:val="01554E02"/>
    <w:rsid w:val="04BB1F68"/>
    <w:rsid w:val="105158FF"/>
    <w:rsid w:val="16EE00E3"/>
    <w:rsid w:val="1D920BFF"/>
    <w:rsid w:val="216730EA"/>
    <w:rsid w:val="28F824D2"/>
    <w:rsid w:val="352D27C8"/>
    <w:rsid w:val="366E3652"/>
    <w:rsid w:val="372431A9"/>
    <w:rsid w:val="37FC4DBB"/>
    <w:rsid w:val="4A7F4E6E"/>
    <w:rsid w:val="5AA45971"/>
    <w:rsid w:val="5C265BB2"/>
    <w:rsid w:val="655D4688"/>
    <w:rsid w:val="7129416E"/>
    <w:rsid w:val="76C82100"/>
    <w:rsid w:val="79DB4A73"/>
    <w:rsid w:val="7A236D15"/>
    <w:rsid w:val="7D585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0"/>
    <w:qFormat/>
    <w:uiPriority w:val="9"/>
    <w:pPr>
      <w:keepNext/>
      <w:keepLines/>
      <w:spacing w:before="260" w:after="260" w:line="416" w:lineRule="auto"/>
      <w:outlineLvl w:val="1"/>
    </w:pPr>
    <w:rPr>
      <w:rFonts w:ascii="Cambria" w:hAnsi="Cambria"/>
      <w:b/>
      <w:bCs/>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paragraph" w:styleId="3">
    <w:name w:val="Body Text Indent"/>
    <w:basedOn w:val="1"/>
    <w:next w:val="2"/>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6">
    <w:name w:val="Body Text"/>
    <w:basedOn w:val="1"/>
    <w:qFormat/>
    <w:uiPriority w:val="99"/>
    <w:pPr>
      <w:spacing w:beforeLines="30"/>
    </w:pPr>
    <w:rPr>
      <w:rFonts w:ascii="仿宋_GB2312" w:eastAsia="仿宋_GB2312"/>
      <w:kern w:val="0"/>
      <w:sz w:val="24"/>
      <w:szCs w:val="20"/>
      <w:lang w:val="zh-CN" w:eastAsia="zh-CN"/>
    </w:rPr>
  </w:style>
  <w:style w:type="paragraph" w:styleId="7">
    <w:name w:val="toc 3"/>
    <w:basedOn w:val="1"/>
    <w:next w:val="1"/>
    <w:unhideWhenUsed/>
    <w:qFormat/>
    <w:uiPriority w:val="39"/>
    <w:pPr>
      <w:ind w:left="420"/>
      <w:jc w:val="left"/>
    </w:pPr>
    <w:rPr>
      <w:rFonts w:asciiTheme="minorHAnsi" w:eastAsiaTheme="minorHAnsi"/>
      <w:i/>
      <w:iCs/>
      <w:sz w:val="20"/>
      <w:szCs w:val="20"/>
    </w:rPr>
  </w:style>
  <w:style w:type="paragraph" w:styleId="8">
    <w:name w:val="Plain Text"/>
    <w:basedOn w:val="1"/>
    <w:qFormat/>
    <w:uiPriority w:val="0"/>
    <w:rPr>
      <w:rFonts w:ascii="宋体" w:hAnsi="宋体" w:eastAsia="楷体_GB2312" w:cs="Courier New"/>
      <w:sz w:val="32"/>
      <w:szCs w:val="21"/>
      <w:lang w:bidi="ar-SA"/>
    </w:rPr>
  </w:style>
  <w:style w:type="paragraph" w:styleId="9">
    <w:name w:val="footer"/>
    <w:basedOn w:val="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0">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1">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2">
    <w:name w:val="table of figures"/>
    <w:basedOn w:val="1"/>
    <w:next w:val="1"/>
    <w:qFormat/>
    <w:uiPriority w:val="0"/>
    <w:pPr>
      <w:ind w:leftChars="200" w:hanging="200" w:hangingChars="200"/>
    </w:pPr>
  </w:style>
  <w:style w:type="paragraph" w:styleId="13">
    <w:name w:val="toc 2"/>
    <w:basedOn w:val="1"/>
    <w:next w:val="1"/>
    <w:unhideWhenUsed/>
    <w:qFormat/>
    <w:uiPriority w:val="39"/>
    <w:pPr>
      <w:ind w:left="210"/>
      <w:jc w:val="left"/>
    </w:pPr>
    <w:rPr>
      <w:rFonts w:asciiTheme="minorHAnsi" w:eastAsiaTheme="minorHAnsi"/>
      <w:smallCaps/>
      <w:sz w:val="20"/>
      <w:szCs w:val="20"/>
    </w:rPr>
  </w:style>
  <w:style w:type="paragraph" w:styleId="14">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0"/>
      <w:lang w:val="en-US" w:eastAsia="zh-CN" w:bidi="ar"/>
    </w:rPr>
  </w:style>
  <w:style w:type="paragraph" w:styleId="15">
    <w:name w:val="Body Text First Indent"/>
    <w:basedOn w:val="6"/>
    <w:qFormat/>
    <w:uiPriority w:val="0"/>
    <w:pPr>
      <w:ind w:firstLine="420" w:firstLineChars="100"/>
    </w:pPr>
  </w:style>
  <w:style w:type="character" w:styleId="18">
    <w:name w:val="Strong"/>
    <w:basedOn w:val="17"/>
    <w:qFormat/>
    <w:uiPriority w:val="99"/>
    <w:rPr>
      <w:rFonts w:cs="Times New Roman"/>
      <w:b/>
    </w:rPr>
  </w:style>
  <w:style w:type="character" w:customStyle="1" w:styleId="19">
    <w:name w:val="标题 1 字符"/>
    <w:basedOn w:val="17"/>
    <w:link w:val="4"/>
    <w:qFormat/>
    <w:locked/>
    <w:uiPriority w:val="9"/>
    <w:rPr>
      <w:b/>
      <w:bCs/>
      <w:kern w:val="44"/>
      <w:sz w:val="44"/>
      <w:szCs w:val="44"/>
    </w:rPr>
  </w:style>
  <w:style w:type="character" w:customStyle="1" w:styleId="20">
    <w:name w:val="标题 2 字符"/>
    <w:basedOn w:val="17"/>
    <w:link w:val="5"/>
    <w:qFormat/>
    <w:locked/>
    <w:uiPriority w:val="9"/>
    <w:rPr>
      <w:rFonts w:ascii="Cambria" w:hAnsi="Cambria"/>
      <w:b/>
      <w:bCs/>
      <w:sz w:val="32"/>
      <w:szCs w:val="32"/>
    </w:rPr>
  </w:style>
  <w:style w:type="paragraph" w:customStyle="1" w:styleId="21">
    <w:name w:val="列表段落1"/>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3">
    <w:name w:val="标题 1 Char"/>
    <w:basedOn w:val="17"/>
    <w:link w:val="4"/>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AppData\Local\Temp\wps.YJGUHP\Workbook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AppData\Local\Temp\wps.ghtQQR\Workbook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AppData\Local\Temp\wps.POvFaR\Workbook6.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AppData\Local\Temp\wps.YtFyVw\Workbook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manualLayout>
          <c:xMode val="edge"/>
          <c:yMode val="edge"/>
          <c:x val="0.416490486257928"/>
          <c:y val="0.0283687943262411"/>
        </c:manualLayout>
      </c:layout>
      <c:overlay val="0"/>
      <c:spPr>
        <a:noFill/>
        <a:ln>
          <a:noFill/>
        </a:ln>
        <a:effectLst/>
      </c:spPr>
    </c:title>
    <c:autoTitleDeleted val="0"/>
    <c:plotArea>
      <c:layout/>
      <c:pieChart>
        <c:varyColors val="1"/>
        <c:ser>
          <c:idx val="0"/>
          <c:order val="0"/>
          <c:tx>
            <c:strRef>
              <c:f>[Workbook1.xlsx]Sheet1!$B$1</c:f>
              <c:strCache>
                <c:ptCount val="1"/>
                <c:pt idx="0">
                  <c:v>收入决算</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[Workbook1.xlsx]Sheet1!$A$2:$A$3</c:f>
              <c:strCache>
                <c:ptCount val="2"/>
                <c:pt idx="0">
                  <c:v>一般公共预算财政拨款</c:v>
                </c:pt>
                <c:pt idx="1">
                  <c:v>其他收入</c:v>
                </c:pt>
              </c:strCache>
            </c:strRef>
          </c:cat>
          <c:val>
            <c:numRef>
              <c:f>[Workbook1.xlsx]Sheet1!$B$2:$B$3</c:f>
              <c:numCache>
                <c:formatCode>General</c:formatCode>
                <c:ptCount val="2"/>
                <c:pt idx="0">
                  <c:v>1126.43</c:v>
                </c:pt>
                <c:pt idx="1">
                  <c:v>0</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bcb7f7-cf89-43e5-ac17-89204d21dff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[Workbook4.xlsx]Sheet1!$B$1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a:t>
                    </a:r>
                    <a:r>
                      <a:rPr lang="en-US" altLang="zh-CN"/>
                      <a:t>8.80</a:t>
                    </a:r>
                    <a:r>
                      <a:t>%</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971.14</a:t>
                    </a:r>
                    <a:r>
                      <a:rPr altLang="en-US"/>
                      <a:t>万元</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a:t>
                    </a:r>
                    <a:r>
                      <a:rPr lang="en-US" altLang="zh-CN"/>
                      <a:t>1.20</a:t>
                    </a:r>
                    <a:r>
                      <a:t>%</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122.43</a:t>
                    </a:r>
                    <a:r>
                      <a:rPr altLang="en-US"/>
                      <a:t>万元</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[Workbook4.xlsx]Sheet1!$A$2:$A$3</c:f>
              <c:strCache>
                <c:ptCount val="2"/>
                <c:pt idx="0">
                  <c:v>基本支出</c:v>
                </c:pt>
                <c:pt idx="1">
                  <c:v>项目支出</c:v>
                </c:pt>
              </c:strCache>
            </c:strRef>
          </c:cat>
          <c:val>
            <c:numRef>
              <c:f>[Workbook4.xlsx]Sheet1!$B$2:$B$3</c:f>
              <c:numCache>
                <c:formatCode>General</c:formatCode>
                <c:ptCount val="2"/>
                <c:pt idx="0">
                  <c:v>963.85</c:v>
                </c:pt>
                <c:pt idx="1">
                  <c:v>162.58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d57346-8605-47e6-8fbb-a938d8449bd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Sheet1!$B$2:$B$3</c:f>
              <c:numCache>
                <c:formatCode>General</c:formatCode>
                <c:ptCount val="2"/>
                <c:pt idx="0">
                  <c:v>1126.43</c:v>
                </c:pt>
                <c:pt idx="1">
                  <c:v>1126.43</c:v>
                </c:pt>
              </c:numCache>
            </c:numRef>
          </c:val>
        </c:ser>
        <c:ser>
          <c:idx val="1"/>
          <c:order val="1"/>
          <c:tx>
            <c:strRef>
              <c:f>Sheet1!$C$1</c:f>
              <c:strCache>
                <c:ptCount val="1"/>
                <c:pt idx="0">
                  <c:v>2024年</c:v>
                </c:pt>
              </c:strCache>
            </c:strRef>
          </c:tx>
          <c:spPr>
            <a:solidFill>
              <a:schemeClr val="accent2"/>
            </a:solidFill>
            <a:ln>
              <a:noFill/>
            </a:ln>
            <a:effectLst/>
          </c:spPr>
          <c:invertIfNegative val="0"/>
          <c:dLbls>
            <c:dLbl>
              <c:idx val="1"/>
              <c:layout>
                <c:manualLayout>
                  <c:x val="0.004059539918809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Sheet1!$C$2:$C$3</c:f>
              <c:numCache>
                <c:formatCode>General</c:formatCode>
                <c:ptCount val="2"/>
                <c:pt idx="0">
                  <c:v>1093.57</c:v>
                </c:pt>
                <c:pt idx="1">
                  <c:v>1093.57</c:v>
                </c:pt>
              </c:numCache>
            </c:numRef>
          </c:val>
        </c:ser>
        <c:dLbls>
          <c:showLegendKey val="0"/>
          <c:showVal val="1"/>
          <c:showCatName val="0"/>
          <c:showSerName val="0"/>
          <c:showPercent val="0"/>
          <c:showBubbleSize val="0"/>
        </c:dLbls>
        <c:gapWidth val="246"/>
        <c:overlap val="-28"/>
        <c:axId val="126497673"/>
        <c:axId val="882487303"/>
      </c:barChart>
      <c:catAx>
        <c:axId val="1264976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487303"/>
        <c:crosses val="autoZero"/>
        <c:auto val="1"/>
        <c:lblAlgn val="ctr"/>
        <c:lblOffset val="100"/>
        <c:noMultiLvlLbl val="0"/>
      </c:catAx>
      <c:valAx>
        <c:axId val="882487303"/>
        <c:scaling>
          <c:orientation val="minMax"/>
          <c:max val="1200"/>
          <c:min val="0"/>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64976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55dac4-5e7d-451b-a3fa-3a74e2801ba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一般公共预算财政拨款支出决算变动情况</a:t>
            </a:r>
          </a:p>
        </c:rich>
      </c:tx>
      <c:layout>
        <c:manualLayout>
          <c:xMode val="edge"/>
          <c:yMode val="edge"/>
          <c:x val="0.163445276636869"/>
          <c:y val="0.041436464088397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总支出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1126.43</c:v>
                </c:pt>
                <c:pt idx="1">
                  <c:v>1093.57</c:v>
                </c:pt>
              </c:numCache>
            </c:numRef>
          </c:val>
        </c:ser>
        <c:dLbls>
          <c:showLegendKey val="0"/>
          <c:showVal val="0"/>
          <c:showCatName val="0"/>
          <c:showSerName val="0"/>
          <c:showPercent val="0"/>
          <c:showBubbleSize val="0"/>
        </c:dLbls>
        <c:gapWidth val="246"/>
        <c:overlap val="-28"/>
        <c:axId val="742368575"/>
        <c:axId val="995704375"/>
      </c:barChart>
      <c:catAx>
        <c:axId val="7423685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704375"/>
        <c:crosses val="autoZero"/>
        <c:auto val="1"/>
        <c:lblAlgn val="ctr"/>
        <c:lblOffset val="100"/>
        <c:noMultiLvlLbl val="0"/>
      </c:catAx>
      <c:valAx>
        <c:axId val="995704375"/>
        <c:scaling>
          <c:orientation val="minMax"/>
          <c:max val="1200"/>
          <c:min val="0"/>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236857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d50d22a-a2e1-4c3b-a2cc-5a46139218a2}"/>
      </c:ext>
    </c:extLst>
  </c:chart>
  <c:spPr>
    <a:solidFill>
      <a:schemeClr val="bg1"/>
    </a:solidFill>
    <a:ln w="9525" cap="flat" cmpd="sng" algn="ctr">
      <a:solidFill>
        <a:schemeClr val="bg2"/>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206810284920083"/>
          <c:y val="0.191906954204022"/>
          <c:w val="0.437109103544128"/>
          <c:h val="0.762054761327841"/>
        </c:manualLayout>
      </c:layout>
      <c:pieChart>
        <c:varyColors val="1"/>
        <c:ser>
          <c:idx val="0"/>
          <c:order val="0"/>
          <c:tx>
            <c:strRef>
              <c:f>[Workbook6.xlsx]Sheet1!$B$1</c:f>
              <c:strCache>
                <c:ptCount val="1"/>
                <c:pt idx="0">
                  <c:v>一般公共预算财政拨款支出决算结构图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848.59</a:t>
                    </a:r>
                    <a:r>
                      <a:rPr altLang="en-US"/>
                      <a:t>万元，占</a:t>
                    </a:r>
                    <a:r>
                      <a:rPr lang="en-US" altLang="zh-CN"/>
                      <a:t>77.60’</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manualLayout>
                  <c:x val="0.0672943553456515"/>
                  <c:y val="0.13166462260244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120.41</a:t>
                    </a:r>
                    <a:r>
                      <a:rPr altLang="en-US"/>
                      <a:t>万元，占</a:t>
                    </a:r>
                    <a:r>
                      <a:t>1</a:t>
                    </a:r>
                    <a:r>
                      <a:rPr lang="en-US" altLang="zh-CN"/>
                      <a:t>1.01</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87185025197984"/>
                      <c:h val="0.159770114942529"/>
                    </c:manualLayout>
                  </c15:layout>
                </c:ext>
              </c:extLst>
            </c:dLbl>
            <c:dLbl>
              <c:idx val="2"/>
              <c:layout>
                <c:manualLayout>
                  <c:x val="-0.0299918227709101"/>
                  <c:y val="0.072567415935204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53.36</a:t>
                    </a:r>
                    <a:r>
                      <a:rPr altLang="en-US"/>
                      <a:t>万元，占</a:t>
                    </a:r>
                    <a:r>
                      <a:rPr lang="en-US" altLang="zh-CN"/>
                      <a:t>4.88</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71.21</a:t>
                    </a:r>
                    <a:r>
                      <a:rPr altLang="en-US"/>
                      <a:t>万元，占</a:t>
                    </a:r>
                    <a:r>
                      <a:rPr lang="en-US" altLang="zh-CN"/>
                      <a:t>6.51</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[Workbook6.xlsx]Sheet1!$A$2:$A$5</c:f>
              <c:strCache>
                <c:ptCount val="4"/>
                <c:pt idx="0">
                  <c:v>公共安全</c:v>
                </c:pt>
                <c:pt idx="1">
                  <c:v>社会保障和就业</c:v>
                </c:pt>
                <c:pt idx="2">
                  <c:v>卫生健康</c:v>
                </c:pt>
                <c:pt idx="3">
                  <c:v>住房保障</c:v>
                </c:pt>
              </c:strCache>
            </c:strRef>
          </c:cat>
          <c:val>
            <c:numRef>
              <c:f>[Workbook6.xlsx]Sheet1!$B$2:$B$5</c:f>
              <c:numCache>
                <c:formatCode>General</c:formatCode>
                <c:ptCount val="4"/>
                <c:pt idx="0">
                  <c:v>897.87</c:v>
                </c:pt>
                <c:pt idx="1">
                  <c:v>114.07</c:v>
                </c:pt>
                <c:pt idx="2">
                  <c:v>52.6</c:v>
                </c:pt>
                <c:pt idx="3">
                  <c:v>61.9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c6a8d2-f08c-4b6b-a2c5-2470575bed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[Workbook7.xlsx]Sheet1!$B$1</c:f>
              <c:strCache>
                <c:ptCount val="1"/>
                <c:pt idx="0">
                  <c:v>“三公”经费财政拨款支出机构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14.81</a:t>
                    </a:r>
                    <a:r>
                      <a:rPr altLang="en-US"/>
                      <a:t>万元，占</a:t>
                    </a:r>
                    <a:r>
                      <a:rPr lang="en-US" altLang="zh-CN"/>
                      <a:t>96.92</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0.47</a:t>
                    </a:r>
                    <a:r>
                      <a:rPr altLang="en-US"/>
                      <a:t>万元，占</a:t>
                    </a:r>
                    <a:r>
                      <a:rPr lang="en-US" altLang="zh-CN"/>
                      <a:t>3.08%</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[Workbook7.xlsx]Sheet1!$A$2:$A$3</c:f>
              <c:strCache>
                <c:ptCount val="2"/>
                <c:pt idx="0">
                  <c:v>公务用车购置及运行维修费</c:v>
                </c:pt>
                <c:pt idx="1">
                  <c:v>公务接待费</c:v>
                </c:pt>
              </c:strCache>
            </c:strRef>
          </c:cat>
          <c:val>
            <c:numRef>
              <c:f>[Workbook7.xlsx]Sheet1!$B$2:$B$3</c:f>
              <c:numCache>
                <c:formatCode>General</c:formatCode>
                <c:ptCount val="2"/>
                <c:pt idx="0">
                  <c:v>15</c:v>
                </c:pt>
                <c:pt idx="1">
                  <c:v>0.47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8c8309-1b7b-4296-bda0-777f64722c9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11887</Words>
  <Characters>13384</Characters>
  <Lines>0</Lines>
  <Paragraphs>0</Paragraphs>
  <TotalTime>35</TotalTime>
  <ScaleCrop>false</ScaleCrop>
  <LinksUpToDate>false</LinksUpToDate>
  <CharactersWithSpaces>13468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2024-11-13T02:11:00Z</dcterms:created>
  <dc:creator>Administrator</dc:creator>
  <cp:lastModifiedBy>Administrator</cp:lastModifiedBy>
  <dcterms:modified xsi:type="dcterms:W3CDTF">2025-09-24T03:24:53Z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9E78F680462C425E87AD30AEC3085E9C_11</vt:lpwstr>
  </property>
  <property fmtid="{D5CDD505-2E9C-101B-9397-08002B2CF9AE}" pid="4" name="KSOTemplateDocerSaveRecord">
    <vt:lpwstr>eyJoZGlkIjoiMTUyNDljYmVlNTIzMTczZjE3Y2QwNWNkNmQ0ZmRhNDYifQ==</vt:lpwstr>
  </property>
</Properties>
</file>