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7AC95">
      <w:pPr>
        <w:spacing w:line="600" w:lineRule="exact"/>
        <w:jc w:val="center"/>
        <w:outlineLvl w:val="9"/>
        <w:rPr>
          <w:rFonts w:ascii="方正小标宋简体" w:hAnsi="宋体" w:eastAsia="方正小标宋简体"/>
          <w:sz w:val="72"/>
          <w:szCs w:val="72"/>
        </w:rPr>
      </w:pPr>
      <w:bookmarkStart w:id="0" w:name="_Toc15378441"/>
      <w:bookmarkStart w:id="1" w:name="_Toc15396597"/>
      <w:bookmarkStart w:id="2" w:name="_Toc15377193"/>
      <w:bookmarkStart w:id="3" w:name="_Toc15377425"/>
      <w:bookmarkStart w:id="4" w:name="_Toc15396475"/>
      <w:bookmarkStart w:id="5" w:name="_Toc15306267"/>
    </w:p>
    <w:p w14:paraId="5343B99B">
      <w:pPr>
        <w:pStyle w:val="6"/>
        <w:spacing w:before="93"/>
      </w:pPr>
    </w:p>
    <w:p w14:paraId="7922B514">
      <w:pPr>
        <w:spacing w:line="600" w:lineRule="exact"/>
        <w:jc w:val="center"/>
        <w:outlineLvl w:val="9"/>
        <w:rPr>
          <w:rFonts w:ascii="方正小标宋简体" w:hAnsi="宋体" w:eastAsia="方正小标宋简体"/>
          <w:sz w:val="72"/>
          <w:szCs w:val="72"/>
        </w:rPr>
      </w:pPr>
    </w:p>
    <w:p w14:paraId="455D9E03">
      <w:pPr>
        <w:spacing w:line="600" w:lineRule="exact"/>
        <w:jc w:val="center"/>
        <w:outlineLvl w:val="9"/>
        <w:rPr>
          <w:rFonts w:ascii="方正小标宋简体" w:hAnsi="宋体" w:eastAsia="方正小标宋简体"/>
          <w:sz w:val="72"/>
          <w:szCs w:val="72"/>
        </w:rPr>
      </w:pPr>
    </w:p>
    <w:p w14:paraId="585CEEAD">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6" w:name="_Toc26578"/>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bookmarkEnd w:id="0"/>
      <w:bookmarkEnd w:id="1"/>
      <w:bookmarkEnd w:id="2"/>
      <w:bookmarkEnd w:id="3"/>
      <w:bookmarkEnd w:id="4"/>
      <w:bookmarkEnd w:id="6"/>
    </w:p>
    <w:bookmarkEnd w:id="5"/>
    <w:p w14:paraId="1FAA8B40">
      <w:pPr>
        <w:adjustRightInd w:val="0"/>
        <w:snapToGrid w:val="0"/>
        <w:spacing w:line="360" w:lineRule="auto"/>
        <w:jc w:val="center"/>
        <w:outlineLvl w:val="0"/>
        <w:rPr>
          <w:rFonts w:hint="eastAsia" w:ascii="方正小标宋简体" w:hAnsi="方正小标宋简体" w:eastAsia="方正小标宋简体" w:cs="方正小标宋简体"/>
          <w:sz w:val="44"/>
          <w:szCs w:val="44"/>
          <w:lang w:val="en-US" w:eastAsia="zh-CN"/>
        </w:rPr>
      </w:pPr>
      <w:bookmarkStart w:id="7" w:name="_Toc2897"/>
      <w:bookmarkStart w:id="8" w:name="_Toc15377426"/>
      <w:bookmarkStart w:id="9" w:name="_Toc15396476"/>
      <w:bookmarkStart w:id="10" w:name="_Toc15378442"/>
      <w:bookmarkStart w:id="11" w:name="_Toc15396598"/>
      <w:bookmarkStart w:id="12" w:name="_Toc15377194"/>
      <w:bookmarkStart w:id="13" w:name="_Toc15306268"/>
      <w:r>
        <w:rPr>
          <w:rFonts w:hint="eastAsia" w:ascii="方正小标宋简体" w:hAnsi="方正小标宋简体" w:eastAsia="方正小标宋简体" w:cs="方正小标宋简体"/>
          <w:sz w:val="44"/>
          <w:szCs w:val="44"/>
          <w:lang w:val="en-US" w:eastAsia="zh-CN"/>
        </w:rPr>
        <w:t>红原县退役军人事务局</w:t>
      </w:r>
      <w:bookmarkEnd w:id="7"/>
    </w:p>
    <w:p w14:paraId="6EB7FD54">
      <w:pPr>
        <w:adjustRightInd w:val="0"/>
        <w:snapToGrid w:val="0"/>
        <w:spacing w:line="360" w:lineRule="auto"/>
        <w:jc w:val="center"/>
        <w:outlineLvl w:val="0"/>
        <w:rPr>
          <w:rFonts w:hint="default" w:ascii="方正小标宋简体" w:hAnsi="方正小标宋简体" w:eastAsia="方正小标宋简体" w:cs="方正小标宋简体"/>
          <w:sz w:val="44"/>
          <w:szCs w:val="44"/>
          <w:lang w:val="en-US" w:eastAsia="zh-CN"/>
        </w:rPr>
      </w:pPr>
      <w:bookmarkStart w:id="14" w:name="_Toc10207"/>
      <w:r>
        <w:rPr>
          <w:rFonts w:hint="eastAsia" w:ascii="方正小标宋简体" w:hAnsi="方正小标宋简体" w:eastAsia="方正小标宋简体" w:cs="方正小标宋简体"/>
          <w:sz w:val="44"/>
          <w:szCs w:val="44"/>
        </w:rPr>
        <w:t>部门决算</w:t>
      </w:r>
      <w:bookmarkEnd w:id="8"/>
      <w:bookmarkEnd w:id="9"/>
      <w:bookmarkEnd w:id="10"/>
      <w:bookmarkEnd w:id="11"/>
      <w:bookmarkEnd w:id="12"/>
      <w:bookmarkEnd w:id="13"/>
      <w:r>
        <w:rPr>
          <w:rFonts w:hint="eastAsia" w:ascii="方正小标宋简体" w:hAnsi="方正小标宋简体" w:eastAsia="方正小标宋简体" w:cs="方正小标宋简体"/>
          <w:sz w:val="44"/>
          <w:szCs w:val="44"/>
          <w:lang w:val="en-US" w:eastAsia="zh-CN"/>
        </w:rPr>
        <w:t>公开编制说明</w:t>
      </w:r>
      <w:bookmarkEnd w:id="14"/>
    </w:p>
    <w:p w14:paraId="6C04E566">
      <w:pPr>
        <w:widowControl/>
        <w:jc w:val="center"/>
        <w:rPr>
          <w:rFonts w:ascii="方正小标宋简体" w:hAnsi="宋体" w:eastAsia="方正小标宋简体"/>
          <w:sz w:val="36"/>
          <w:szCs w:val="36"/>
        </w:rPr>
      </w:pPr>
    </w:p>
    <w:p w14:paraId="411B2FA2">
      <w:pPr>
        <w:widowControl/>
        <w:jc w:val="center"/>
        <w:rPr>
          <w:rFonts w:ascii="方正小标宋简体" w:hAnsi="宋体" w:eastAsia="方正小标宋简体"/>
          <w:sz w:val="36"/>
          <w:szCs w:val="36"/>
        </w:rPr>
      </w:pPr>
    </w:p>
    <w:p w14:paraId="04F0E170">
      <w:pPr>
        <w:widowControl/>
        <w:jc w:val="center"/>
        <w:rPr>
          <w:rFonts w:ascii="方正小标宋简体" w:hAnsi="宋体" w:eastAsia="方正小标宋简体"/>
          <w:sz w:val="36"/>
          <w:szCs w:val="36"/>
        </w:rPr>
      </w:pPr>
    </w:p>
    <w:p w14:paraId="735A4BD5">
      <w:pPr>
        <w:widowControl/>
        <w:jc w:val="center"/>
        <w:rPr>
          <w:rFonts w:ascii="方正小标宋简体" w:hAnsi="宋体" w:eastAsia="方正小标宋简体"/>
          <w:sz w:val="36"/>
          <w:szCs w:val="36"/>
        </w:rPr>
      </w:pPr>
    </w:p>
    <w:p w14:paraId="2254AAEA">
      <w:pPr>
        <w:widowControl/>
        <w:jc w:val="center"/>
        <w:rPr>
          <w:rFonts w:ascii="方正小标宋简体" w:hAnsi="宋体" w:eastAsia="方正小标宋简体"/>
          <w:sz w:val="36"/>
          <w:szCs w:val="36"/>
        </w:rPr>
      </w:pPr>
    </w:p>
    <w:p w14:paraId="27F5AF98">
      <w:pPr>
        <w:widowControl/>
        <w:jc w:val="center"/>
        <w:rPr>
          <w:rFonts w:ascii="方正小标宋简体" w:hAnsi="宋体" w:eastAsia="方正小标宋简体"/>
          <w:sz w:val="36"/>
          <w:szCs w:val="36"/>
        </w:rPr>
      </w:pPr>
    </w:p>
    <w:p w14:paraId="526D5024">
      <w:pPr>
        <w:widowControl/>
        <w:jc w:val="center"/>
        <w:rPr>
          <w:rFonts w:ascii="方正小标宋简体" w:hAnsi="宋体" w:eastAsia="方正小标宋简体"/>
          <w:sz w:val="36"/>
          <w:szCs w:val="36"/>
        </w:rPr>
      </w:pPr>
    </w:p>
    <w:p w14:paraId="0BD7EC64">
      <w:pPr>
        <w:widowControl/>
        <w:jc w:val="center"/>
        <w:rPr>
          <w:rFonts w:ascii="方正小标宋简体" w:hAnsi="宋体" w:eastAsia="方正小标宋简体"/>
          <w:sz w:val="36"/>
          <w:szCs w:val="36"/>
        </w:rPr>
      </w:pPr>
    </w:p>
    <w:p w14:paraId="06C8A80F">
      <w:pPr>
        <w:widowControl/>
        <w:jc w:val="center"/>
        <w:rPr>
          <w:rFonts w:ascii="方正小标宋简体" w:hAnsi="宋体" w:eastAsia="方正小标宋简体"/>
          <w:sz w:val="36"/>
          <w:szCs w:val="36"/>
        </w:rPr>
      </w:pPr>
    </w:p>
    <w:p w14:paraId="43133A7C">
      <w:pPr>
        <w:widowControl/>
        <w:jc w:val="center"/>
        <w:rPr>
          <w:rFonts w:ascii="方正小标宋简体" w:hAnsi="宋体" w:eastAsia="方正小标宋简体"/>
          <w:sz w:val="36"/>
          <w:szCs w:val="36"/>
        </w:rPr>
      </w:pPr>
    </w:p>
    <w:p w14:paraId="2C2F976C">
      <w:pPr>
        <w:widowControl/>
        <w:jc w:val="center"/>
        <w:rPr>
          <w:rFonts w:ascii="方正小标宋简体" w:hAnsi="宋体" w:eastAsia="方正小标宋简体"/>
          <w:sz w:val="36"/>
          <w:szCs w:val="36"/>
        </w:rPr>
      </w:pPr>
    </w:p>
    <w:p w14:paraId="78A1D912">
      <w:pPr>
        <w:pStyle w:val="15"/>
        <w:keepNext w:val="0"/>
        <w:keepLines w:val="0"/>
        <w:widowControl/>
        <w:suppressLineNumbers w:val="0"/>
        <w:ind w:left="0" w:right="75"/>
        <w:jc w:val="left"/>
      </w:pPr>
      <w:r>
        <w:rPr>
          <w:sz w:val="24"/>
          <w:szCs w:val="24"/>
          <w:shd w:val="clear" w:color="auto" w:fill="FFFFFF"/>
        </w:rPr>
        <w:t>保密审查情况：已审查，内容审定</w:t>
      </w:r>
    </w:p>
    <w:p w14:paraId="0B220E07">
      <w:pPr>
        <w:widowControl/>
        <w:jc w:val="both"/>
        <w:rPr>
          <w:rFonts w:ascii="黑体" w:hAnsi="黑体" w:eastAsia="黑体"/>
          <w:sz w:val="48"/>
          <w:szCs w:val="48"/>
        </w:rPr>
      </w:pPr>
      <w:r>
        <w:rPr>
          <w:sz w:val="24"/>
          <w:szCs w:val="24"/>
          <w:shd w:val="clear" w:color="auto" w:fill="FFFFFF"/>
        </w:rPr>
        <w:t>部门主要负责人审签情况：已审签，同意对外公开</w:t>
      </w:r>
      <w:r>
        <w:rPr>
          <w:rFonts w:ascii="方正小标宋简体" w:hAnsi="宋体" w:eastAsia="方正小标宋简体"/>
          <w:sz w:val="36"/>
          <w:szCs w:val="36"/>
        </w:rPr>
        <w:br w:type="page"/>
      </w:r>
    </w:p>
    <w:p w14:paraId="1C27E897">
      <w:pPr>
        <w:widowControl/>
        <w:jc w:val="center"/>
        <w:rPr>
          <w:rFonts w:hint="eastAsia" w:ascii="黑体" w:hAnsi="黑体" w:eastAsia="黑体" w:cstheme="minorBidi"/>
          <w:sz w:val="44"/>
          <w:szCs w:val="44"/>
          <w:lang w:val="en-US" w:eastAsia="zh-CN"/>
        </w:rPr>
      </w:pPr>
      <w:r>
        <w:rPr>
          <w:rFonts w:hint="eastAsia" w:ascii="黑体" w:hAnsi="黑体" w:eastAsia="黑体" w:cstheme="minorBidi"/>
          <w:sz w:val="44"/>
          <w:szCs w:val="44"/>
          <w:lang w:val="en-US" w:eastAsia="zh-CN"/>
        </w:rPr>
        <w:t>目录</w:t>
      </w:r>
    </w:p>
    <w:p w14:paraId="25397983">
      <w:pPr>
        <w:pStyle w:val="13"/>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20</w:t>
      </w:r>
      <w:r>
        <w:rPr>
          <w:rFonts w:hint="eastAsia"/>
        </w:rPr>
        <w:t>日</w:t>
      </w:r>
    </w:p>
    <w:sdt>
      <w:sdtPr>
        <w:rPr>
          <w:rFonts w:ascii="宋体" w:hAnsi="宋体" w:eastAsia="宋体" w:cs="Times New Roman"/>
          <w:kern w:val="2"/>
          <w:sz w:val="21"/>
          <w:szCs w:val="24"/>
          <w:lang w:val="en-US" w:eastAsia="zh-CN" w:bidi="ar-SA"/>
        </w:rPr>
        <w:id w:val="147452439"/>
        <w15:color w:val="DBDBDB"/>
        <w:docPartObj>
          <w:docPartGallery w:val="Table of Contents"/>
          <w:docPartUnique/>
        </w:docPartObj>
      </w:sdtPr>
      <w:sdtContent>
        <w:p w14:paraId="3A97F7D4">
          <w:pPr>
            <w:spacing w:before="0" w:beforeLines="0" w:after="0" w:afterLines="0" w:line="240" w:lineRule="auto"/>
            <w:ind w:left="0" w:leftChars="0" w:right="0" w:rightChars="0" w:firstLine="0" w:firstLineChars="0"/>
            <w:jc w:val="center"/>
          </w:pPr>
        </w:p>
        <w:p w14:paraId="23922BFD">
          <w:pPr>
            <w:pStyle w:val="13"/>
            <w:tabs>
              <w:tab w:val="right" w:leader="dot" w:pos="8306"/>
              <w:tab w:val="clear" w:pos="8296"/>
            </w:tabs>
          </w:pPr>
          <w:r>
            <w:fldChar w:fldCharType="begin"/>
          </w:r>
          <w:r>
            <w:instrText xml:space="preserve">TOC \o "1-1" \h \u </w:instrText>
          </w:r>
          <w:r>
            <w:fldChar w:fldCharType="separate"/>
          </w:r>
          <w:r>
            <w:fldChar w:fldCharType="begin"/>
          </w:r>
          <w:r>
            <w:instrText xml:space="preserve"> HYPERLINK \l _Toc26578 </w:instrText>
          </w:r>
          <w:r>
            <w:fldChar w:fldCharType="separate"/>
          </w:r>
          <w:r>
            <w:rPr>
              <w:rFonts w:hint="eastAsia" w:ascii="方正小标宋简体" w:hAnsi="方正小标宋简体" w:eastAsia="方正小标宋简体" w:cs="方正小标宋简体"/>
              <w:szCs w:val="44"/>
            </w:rPr>
            <w:t>202</w:t>
          </w:r>
          <w:r>
            <w:rPr>
              <w:rFonts w:hint="eastAsia" w:ascii="方正小标宋简体" w:hAnsi="方正小标宋简体" w:eastAsia="方正小标宋简体" w:cs="方正小标宋简体"/>
              <w:szCs w:val="44"/>
              <w:lang w:val="en-US" w:eastAsia="zh-CN"/>
            </w:rPr>
            <w:t>4</w:t>
          </w:r>
          <w:r>
            <w:rPr>
              <w:rFonts w:hint="eastAsia" w:ascii="方正小标宋简体" w:hAnsi="方正小标宋简体" w:eastAsia="方正小标宋简体" w:cs="方正小标宋简体"/>
              <w:szCs w:val="44"/>
            </w:rPr>
            <w:t>年度</w:t>
          </w:r>
          <w:r>
            <w:tab/>
          </w:r>
          <w:r>
            <w:fldChar w:fldCharType="begin"/>
          </w:r>
          <w:r>
            <w:instrText xml:space="preserve"> PAGEREF _Toc26578 \h </w:instrText>
          </w:r>
          <w:r>
            <w:fldChar w:fldCharType="separate"/>
          </w:r>
          <w:r>
            <w:t>1</w:t>
          </w:r>
          <w:r>
            <w:fldChar w:fldCharType="end"/>
          </w:r>
          <w:r>
            <w:fldChar w:fldCharType="end"/>
          </w:r>
        </w:p>
        <w:p w14:paraId="5ACB9010">
          <w:pPr>
            <w:pStyle w:val="13"/>
            <w:tabs>
              <w:tab w:val="right" w:leader="dot" w:pos="8306"/>
              <w:tab w:val="clear" w:pos="8296"/>
            </w:tabs>
          </w:pPr>
          <w:r>
            <w:fldChar w:fldCharType="begin"/>
          </w:r>
          <w:r>
            <w:instrText xml:space="preserve"> HYPERLINK \l _Toc2897 </w:instrText>
          </w:r>
          <w:r>
            <w:fldChar w:fldCharType="separate"/>
          </w:r>
          <w:r>
            <w:rPr>
              <w:rFonts w:hint="eastAsia" w:ascii="方正小标宋简体" w:hAnsi="方正小标宋简体" w:eastAsia="方正小标宋简体" w:cs="方正小标宋简体"/>
              <w:szCs w:val="44"/>
              <w:lang w:val="en-US" w:eastAsia="zh-CN"/>
            </w:rPr>
            <w:t>红原县退役军人事务局</w:t>
          </w:r>
          <w:r>
            <w:tab/>
          </w:r>
          <w:r>
            <w:fldChar w:fldCharType="begin"/>
          </w:r>
          <w:r>
            <w:instrText xml:space="preserve"> PAGEREF _Toc2897 \h </w:instrText>
          </w:r>
          <w:r>
            <w:fldChar w:fldCharType="separate"/>
          </w:r>
          <w:r>
            <w:t>1</w:t>
          </w:r>
          <w:r>
            <w:fldChar w:fldCharType="end"/>
          </w:r>
          <w:r>
            <w:fldChar w:fldCharType="end"/>
          </w:r>
        </w:p>
        <w:p w14:paraId="37DE7811">
          <w:pPr>
            <w:pStyle w:val="13"/>
            <w:tabs>
              <w:tab w:val="right" w:leader="dot" w:pos="8306"/>
              <w:tab w:val="clear" w:pos="8296"/>
            </w:tabs>
          </w:pPr>
          <w:r>
            <w:fldChar w:fldCharType="begin"/>
          </w:r>
          <w:r>
            <w:instrText xml:space="preserve"> HYPERLINK \l _Toc10207 </w:instrText>
          </w:r>
          <w:r>
            <w:fldChar w:fldCharType="separate"/>
          </w:r>
          <w:r>
            <w:rPr>
              <w:rFonts w:hint="eastAsia" w:ascii="方正小标宋简体" w:hAnsi="方正小标宋简体" w:eastAsia="方正小标宋简体" w:cs="方正小标宋简体"/>
              <w:szCs w:val="44"/>
            </w:rPr>
            <w:t>部门决算</w:t>
          </w:r>
          <w:r>
            <w:rPr>
              <w:rFonts w:hint="eastAsia" w:ascii="方正小标宋简体" w:hAnsi="方正小标宋简体" w:eastAsia="方正小标宋简体" w:cs="方正小标宋简体"/>
              <w:szCs w:val="44"/>
              <w:lang w:val="en-US" w:eastAsia="zh-CN"/>
            </w:rPr>
            <w:t>公开编制说明</w:t>
          </w:r>
          <w:r>
            <w:tab/>
          </w:r>
          <w:r>
            <w:fldChar w:fldCharType="begin"/>
          </w:r>
          <w:r>
            <w:instrText xml:space="preserve"> PAGEREF _Toc10207 \h </w:instrText>
          </w:r>
          <w:r>
            <w:fldChar w:fldCharType="separate"/>
          </w:r>
          <w:r>
            <w:t>1</w:t>
          </w:r>
          <w:r>
            <w:fldChar w:fldCharType="end"/>
          </w:r>
          <w:r>
            <w:fldChar w:fldCharType="end"/>
          </w:r>
        </w:p>
        <w:p w14:paraId="5AF5F28C">
          <w:pPr>
            <w:pStyle w:val="13"/>
            <w:tabs>
              <w:tab w:val="right" w:leader="dot" w:pos="8306"/>
              <w:tab w:val="clear" w:pos="8296"/>
            </w:tabs>
          </w:pPr>
          <w:r>
            <w:fldChar w:fldCharType="begin"/>
          </w:r>
          <w:r>
            <w:instrText xml:space="preserve"> HYPERLINK \l _Toc23233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_Toc23233 \h </w:instrText>
          </w:r>
          <w:r>
            <w:fldChar w:fldCharType="separate"/>
          </w:r>
          <w:r>
            <w:t>3</w:t>
          </w:r>
          <w:r>
            <w:fldChar w:fldCharType="end"/>
          </w:r>
          <w:r>
            <w:fldChar w:fldCharType="end"/>
          </w:r>
        </w:p>
        <w:p w14:paraId="655E4867">
          <w:pPr>
            <w:pStyle w:val="13"/>
            <w:tabs>
              <w:tab w:val="right" w:leader="dot" w:pos="8306"/>
              <w:tab w:val="clear" w:pos="8296"/>
            </w:tabs>
          </w:pPr>
          <w:r>
            <w:fldChar w:fldCharType="begin"/>
          </w:r>
          <w:r>
            <w:instrText xml:space="preserve"> HYPERLINK \l _Toc3941 </w:instrText>
          </w:r>
          <w:r>
            <w:fldChar w:fldCharType="separate"/>
          </w:r>
          <w:r>
            <w:rPr>
              <w:rFonts w:hint="eastAsia" w:ascii="黑体" w:hAnsi="黑体" w:eastAsia="黑体"/>
            </w:rPr>
            <w:t>第二部分 202</w:t>
          </w:r>
          <w:r>
            <w:rPr>
              <w:rFonts w:hint="eastAsia" w:ascii="黑体" w:hAnsi="黑体" w:eastAsia="黑体"/>
              <w:lang w:val="en-US" w:eastAsia="zh-CN"/>
            </w:rPr>
            <w:t>4</w:t>
          </w:r>
          <w:r>
            <w:rPr>
              <w:rFonts w:hint="eastAsia" w:ascii="黑体" w:hAnsi="黑体" w:eastAsia="黑体"/>
            </w:rPr>
            <w:t>年度</w:t>
          </w:r>
          <w:r>
            <w:rPr>
              <w:rFonts w:hint="eastAsia" w:ascii="黑体" w:hAnsi="黑体" w:eastAsia="黑体"/>
              <w:bCs/>
            </w:rPr>
            <w:t>部门决算情况说明</w:t>
          </w:r>
          <w:r>
            <w:tab/>
          </w:r>
          <w:r>
            <w:fldChar w:fldCharType="begin"/>
          </w:r>
          <w:r>
            <w:instrText xml:space="preserve"> PAGEREF _Toc3941 \h </w:instrText>
          </w:r>
          <w:r>
            <w:fldChar w:fldCharType="separate"/>
          </w:r>
          <w:r>
            <w:t>6</w:t>
          </w:r>
          <w:r>
            <w:fldChar w:fldCharType="end"/>
          </w:r>
          <w:r>
            <w:fldChar w:fldCharType="end"/>
          </w:r>
        </w:p>
        <w:p w14:paraId="6E0307A5">
          <w:pPr>
            <w:pStyle w:val="13"/>
            <w:tabs>
              <w:tab w:val="right" w:leader="dot" w:pos="8306"/>
              <w:tab w:val="clear" w:pos="8296"/>
            </w:tabs>
          </w:pPr>
          <w:r>
            <w:fldChar w:fldCharType="begin"/>
          </w:r>
          <w:r>
            <w:instrText xml:space="preserve"> HYPERLINK \l _Toc5327 </w:instrText>
          </w:r>
          <w:r>
            <w:fldChar w:fldCharType="separate"/>
          </w:r>
          <w:r>
            <w:rPr>
              <w:rFonts w:hint="eastAsia"/>
            </w:rPr>
            <w:t>第三部分 名词解释</w:t>
          </w:r>
          <w:r>
            <w:tab/>
          </w:r>
          <w:r>
            <w:fldChar w:fldCharType="begin"/>
          </w:r>
          <w:r>
            <w:instrText xml:space="preserve"> PAGEREF _Toc5327 \h </w:instrText>
          </w:r>
          <w:r>
            <w:fldChar w:fldCharType="separate"/>
          </w:r>
          <w:r>
            <w:t>16</w:t>
          </w:r>
          <w:r>
            <w:fldChar w:fldCharType="end"/>
          </w:r>
          <w:r>
            <w:fldChar w:fldCharType="end"/>
          </w:r>
        </w:p>
        <w:p w14:paraId="0A649E96">
          <w:pPr>
            <w:pStyle w:val="13"/>
            <w:tabs>
              <w:tab w:val="right" w:leader="dot" w:pos="8306"/>
              <w:tab w:val="clear" w:pos="8296"/>
            </w:tabs>
          </w:pPr>
          <w:r>
            <w:fldChar w:fldCharType="begin"/>
          </w:r>
          <w:r>
            <w:instrText xml:space="preserve"> HYPERLINK \l _Toc14595 </w:instrText>
          </w:r>
          <w:r>
            <w:fldChar w:fldCharType="separate"/>
          </w:r>
          <w:r>
            <w:rPr>
              <w:rFonts w:hint="eastAsia" w:ascii="黑体" w:hAnsi="黑体" w:eastAsia="黑体"/>
            </w:rPr>
            <w:t>第四部分 附件</w:t>
          </w:r>
          <w:r>
            <w:tab/>
          </w:r>
          <w:r>
            <w:fldChar w:fldCharType="begin"/>
          </w:r>
          <w:r>
            <w:instrText xml:space="preserve"> PAGEREF _Toc14595 \h </w:instrText>
          </w:r>
          <w:r>
            <w:fldChar w:fldCharType="separate"/>
          </w:r>
          <w:r>
            <w:t>19</w:t>
          </w:r>
          <w:r>
            <w:fldChar w:fldCharType="end"/>
          </w:r>
          <w:r>
            <w:fldChar w:fldCharType="end"/>
          </w:r>
        </w:p>
        <w:p w14:paraId="3C07379A">
          <w:pPr>
            <w:pStyle w:val="13"/>
            <w:tabs>
              <w:tab w:val="right" w:leader="dot" w:pos="8306"/>
              <w:tab w:val="clear" w:pos="8296"/>
            </w:tabs>
          </w:pPr>
          <w:r>
            <w:fldChar w:fldCharType="begin"/>
          </w:r>
          <w:r>
            <w:instrText xml:space="preserve"> HYPERLINK \l _Toc5058 </w:instrText>
          </w:r>
          <w:r>
            <w:fldChar w:fldCharType="separate"/>
          </w:r>
          <w:r>
            <w:rPr>
              <w:rFonts w:hint="eastAsia" w:ascii="黑体" w:hAnsi="黑体" w:eastAsia="黑体"/>
            </w:rPr>
            <w:t>第五部分 附表</w:t>
          </w:r>
          <w:r>
            <w:tab/>
          </w:r>
          <w:r>
            <w:fldChar w:fldCharType="begin"/>
          </w:r>
          <w:r>
            <w:instrText xml:space="preserve"> PAGEREF _Toc5058 \h </w:instrText>
          </w:r>
          <w:r>
            <w:fldChar w:fldCharType="separate"/>
          </w:r>
          <w:r>
            <w:t>38</w:t>
          </w:r>
          <w:r>
            <w:fldChar w:fldCharType="end"/>
          </w:r>
          <w:r>
            <w:fldChar w:fldCharType="end"/>
          </w:r>
        </w:p>
        <w:p w14:paraId="4A868CC5">
          <w:r>
            <w:fldChar w:fldCharType="end"/>
          </w:r>
        </w:p>
      </w:sdtContent>
    </w:sdt>
    <w:p w14:paraId="2680FC91"/>
    <w:p w14:paraId="669CD4EF">
      <w:pPr>
        <w:widowControl/>
        <w:spacing w:line="440" w:lineRule="exact"/>
        <w:jc w:val="left"/>
        <w:rPr>
          <w:rFonts w:ascii="仿宋" w:hAnsi="仿宋" w:eastAsia="仿宋"/>
          <w:bCs/>
          <w:kern w:val="44"/>
          <w:sz w:val="24"/>
        </w:rPr>
      </w:pPr>
      <w:r>
        <w:rPr>
          <w:rFonts w:ascii="仿宋" w:hAnsi="仿宋" w:eastAsia="仿宋"/>
          <w:b/>
          <w:sz w:val="24"/>
        </w:rPr>
        <w:br w:type="page"/>
      </w:r>
      <w:bookmarkStart w:id="64" w:name="_GoBack"/>
      <w:bookmarkEnd w:id="64"/>
    </w:p>
    <w:p w14:paraId="74B74966">
      <w:pPr>
        <w:pStyle w:val="3"/>
        <w:jc w:val="center"/>
        <w:rPr>
          <w:rStyle w:val="29"/>
          <w:rFonts w:ascii="黑体" w:hAnsi="黑体" w:eastAsia="黑体"/>
          <w:b/>
          <w:bCs w:val="0"/>
        </w:rPr>
      </w:pPr>
      <w:bookmarkStart w:id="15" w:name="_Toc23233"/>
      <w:r>
        <w:rPr>
          <w:rFonts w:hint="eastAsia" w:ascii="黑体" w:hAnsi="黑体" w:eastAsia="黑体"/>
          <w:b w:val="0"/>
        </w:rPr>
        <w:t xml:space="preserve">第一部分 </w:t>
      </w:r>
      <w:r>
        <w:rPr>
          <w:rStyle w:val="29"/>
          <w:rFonts w:hint="eastAsia" w:ascii="黑体" w:hAnsi="黑体" w:eastAsia="黑体"/>
          <w:b w:val="0"/>
          <w:bCs w:val="0"/>
        </w:rPr>
        <w:t>部门概况</w:t>
      </w:r>
      <w:bookmarkEnd w:id="15"/>
    </w:p>
    <w:p w14:paraId="51585812">
      <w:pPr>
        <w:widowControl/>
        <w:jc w:val="left"/>
        <w:rPr>
          <w:rFonts w:ascii="黑体" w:eastAsia="黑体"/>
          <w:sz w:val="32"/>
          <w:szCs w:val="32"/>
        </w:rPr>
      </w:pPr>
    </w:p>
    <w:p w14:paraId="017A2503">
      <w:pPr>
        <w:pStyle w:val="4"/>
        <w:numPr>
          <w:ilvl w:val="0"/>
          <w:numId w:val="1"/>
        </w:numPr>
        <w:rPr>
          <w:rFonts w:hint="eastAsia" w:ascii="黑体" w:hAnsi="黑体" w:eastAsia="黑体"/>
          <w:b w:val="0"/>
        </w:rPr>
      </w:pPr>
      <w:r>
        <w:rPr>
          <w:rFonts w:hint="eastAsia" w:ascii="黑体" w:hAnsi="黑体" w:eastAsia="黑体"/>
          <w:b w:val="0"/>
        </w:rPr>
        <w:t>部门职责</w:t>
      </w:r>
    </w:p>
    <w:p w14:paraId="74EA53EC">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bookmarkStart w:id="16" w:name="_Toc4740"/>
      <w:bookmarkStart w:id="17" w:name="_Toc2062"/>
      <w:bookmarkStart w:id="18" w:name="_Toc1550"/>
      <w:r>
        <w:rPr>
          <w:rFonts w:hint="eastAsia" w:ascii="Times New Roman" w:hAnsi="Times New Roman" w:eastAsia="仿宋_GB2312" w:cs="Times New Roman"/>
          <w:b w:val="0"/>
          <w:bCs w:val="0"/>
          <w:kern w:val="2"/>
          <w:sz w:val="32"/>
          <w:szCs w:val="32"/>
          <w:lang w:val="en-US" w:eastAsia="zh-CN" w:bidi="ar-SA"/>
        </w:rPr>
        <w:t>县退役军人局贯彻落实党中央关于退役军人工作的方针政策和省委、州委、县委的决策部署，在履行职责过程中坚持和加强党对退役军人工作的集中统一领导。主要职责是：</w:t>
      </w:r>
      <w:bookmarkEnd w:id="16"/>
      <w:bookmarkEnd w:id="17"/>
      <w:bookmarkEnd w:id="18"/>
    </w:p>
    <w:p w14:paraId="0F6E0A0A">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bookmarkStart w:id="19" w:name="_Toc3961"/>
      <w:bookmarkStart w:id="20" w:name="_Toc31188"/>
      <w:bookmarkStart w:id="21" w:name="_Toc29115"/>
      <w:r>
        <w:rPr>
          <w:rFonts w:hint="eastAsia" w:ascii="Times New Roman" w:hAnsi="Times New Roman" w:eastAsia="仿宋_GB2312" w:cs="Times New Roman"/>
          <w:b w:val="0"/>
          <w:bCs w:val="0"/>
          <w:kern w:val="2"/>
          <w:sz w:val="32"/>
          <w:szCs w:val="32"/>
          <w:lang w:val="en-US" w:eastAsia="zh-CN" w:bidi="ar-SA"/>
        </w:rPr>
        <w:t>1.贯彻执行有关退役军人思想政治、管理保障和安置优抚等法律法规，拟订退役军人工作政策并组织实施，褒扬彰显退役军人为党、国家和人民牺牲奉献的精神风范和价值导向。</w:t>
      </w:r>
      <w:bookmarkEnd w:id="19"/>
      <w:bookmarkEnd w:id="20"/>
      <w:bookmarkEnd w:id="21"/>
    </w:p>
    <w:p w14:paraId="7508706E">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bookmarkStart w:id="22" w:name="_Toc15099"/>
      <w:bookmarkStart w:id="23" w:name="_Toc12743"/>
      <w:bookmarkStart w:id="24" w:name="_Toc1208"/>
      <w:r>
        <w:rPr>
          <w:rFonts w:hint="eastAsia" w:ascii="Times New Roman" w:hAnsi="Times New Roman" w:eastAsia="仿宋_GB2312" w:cs="Times New Roman"/>
          <w:b w:val="0"/>
          <w:bCs w:val="0"/>
          <w:kern w:val="2"/>
          <w:sz w:val="32"/>
          <w:szCs w:val="32"/>
          <w:lang w:val="en-US" w:eastAsia="zh-CN" w:bidi="ar-SA"/>
        </w:rPr>
        <w:t>2.负责军队转业干部、复员干部、离休退休干部、退役士兵和无军籍退休退职职工的移交安置和自主择业、就业退役军人服务管理工作。</w:t>
      </w:r>
      <w:bookmarkEnd w:id="22"/>
      <w:bookmarkEnd w:id="23"/>
      <w:bookmarkEnd w:id="24"/>
    </w:p>
    <w:p w14:paraId="77370885">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3.组织、指导退役军人教育培训工作，承担退役军人和随军随调家属就业创业扶持工作。</w:t>
      </w:r>
    </w:p>
    <w:p w14:paraId="1F9B8763">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4.贯彻执行国家有关退役军人特殊保障政策。</w:t>
      </w:r>
    </w:p>
    <w:p w14:paraId="22C6607C">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5.组织、协调落实移交地方的离休退休军人、符合条件的其他退役军人和无军籍退休退职职工的住房保障工作，以及退役军人医疗保障、社会保险等待遇保障工作。</w:t>
      </w:r>
    </w:p>
    <w:p w14:paraId="78D95D8D">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6.负责伤病残退役军人服务管理和抚恤工作，贯彻执行有关</w:t>
      </w:r>
    </w:p>
    <w:p w14:paraId="7DA31292">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退役军人医疗、疗养、养老等机构的规划政策。承担不适宜继续服役的伤病残军人移交安置、退休安置、供等工作。</w:t>
      </w:r>
    </w:p>
    <w:p w14:paraId="34229870">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7.组织、指导拥军优属工作，承担现役军人、退役军人、军队文职人员和军属的优待、抚恤等工作。贯彻执行国家有关国民党抗战老兵等有关人员优待政策。</w:t>
      </w:r>
    </w:p>
    <w:p w14:paraId="22AFF133">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8.负责烈士及退役军人荣誉奖励、军人公墓和烈士纪念设施的建设管理、纪念活动等工作，依法承担英雄烈士保护相关工作，总结表彰和宣扬退役军人、退役军人工作单位和个人先进典型事迹。</w:t>
      </w:r>
    </w:p>
    <w:p w14:paraId="569EDC21">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9.指导并监督检查退役军人相关法律法规和政策措施的落实，组织开展退役军人权益维护和有关人员的帮扶援助工作。</w:t>
      </w:r>
    </w:p>
    <w:p w14:paraId="051E7109">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10.推动建立退役军人事务分级负责和突发事件应急联动机制，组织、指导退役军人综合服务体系建设。配合指导退役军人党建工作。</w:t>
      </w:r>
    </w:p>
    <w:p w14:paraId="233CCC7E">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11.负责职责范围内的安全生产和职业健康、生态环境保护、审批服务便民化工作。</w:t>
      </w:r>
    </w:p>
    <w:p w14:paraId="1CD45954">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12.完成县委、县政府和军方交办的其他任务。</w:t>
      </w:r>
    </w:p>
    <w:p w14:paraId="7E9758F3">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13.职能转变。加强全县退役军人思想政治工作以及服务保障体系建设，建立健全集中统一、职责清晰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p>
    <w:p w14:paraId="1DB50FCB">
      <w:pPr>
        <w:pStyle w:val="4"/>
        <w:rPr>
          <w:rStyle w:val="30"/>
          <w:b w:val="0"/>
          <w:bCs w:val="0"/>
        </w:rPr>
      </w:pPr>
      <w:bookmarkStart w:id="25" w:name="_Toc15377200"/>
      <w:bookmarkStart w:id="26" w:name="_Toc15396601"/>
      <w:r>
        <w:rPr>
          <w:rFonts w:hint="eastAsia" w:ascii="黑体" w:eastAsia="黑体"/>
          <w:b w:val="0"/>
        </w:rPr>
        <w:t>二、</w:t>
      </w:r>
      <w:r>
        <w:rPr>
          <w:rFonts w:hint="eastAsia" w:ascii="黑体" w:hAnsi="黑体" w:eastAsia="黑体"/>
          <w:b w:val="0"/>
        </w:rPr>
        <w:t>机</w:t>
      </w:r>
      <w:r>
        <w:rPr>
          <w:rStyle w:val="30"/>
          <w:rFonts w:hint="eastAsia" w:ascii="黑体" w:hAnsi="黑体" w:eastAsia="黑体"/>
          <w:b w:val="0"/>
          <w:bCs w:val="0"/>
        </w:rPr>
        <w:t>构设置</w:t>
      </w:r>
      <w:bookmarkEnd w:id="25"/>
      <w:bookmarkEnd w:id="26"/>
    </w:p>
    <w:p w14:paraId="2518E2FD">
      <w:pPr>
        <w:ind w:firstLine="800" w:firstLineChars="250"/>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红原县退役军人事务局本级下属二级预算单位1个，其中行政单位0个，参照公务员法管理的事业单位1个，其他事业单位0个。</w:t>
      </w:r>
    </w:p>
    <w:p w14:paraId="5D284ED0">
      <w:pPr>
        <w:widowControl/>
        <w:ind w:firstLine="640" w:firstLineChars="200"/>
        <w:jc w:val="left"/>
        <w:rPr>
          <w:rFonts w:ascii="仿宋" w:hAnsi="仿宋" w:eastAsia="仿宋"/>
          <w:kern w:val="0"/>
          <w:sz w:val="32"/>
          <w:szCs w:val="32"/>
        </w:rPr>
      </w:pPr>
      <w:r>
        <w:rPr>
          <w:rFonts w:hint="default" w:ascii="Times New Roman" w:hAnsi="Times New Roman" w:eastAsia="仿宋_GB2312" w:cs="Times New Roman"/>
          <w:b w:val="0"/>
          <w:bCs w:val="0"/>
          <w:kern w:val="2"/>
          <w:sz w:val="32"/>
          <w:szCs w:val="32"/>
          <w:lang w:val="en-US" w:eastAsia="zh-CN" w:bidi="ar-SA"/>
        </w:rPr>
        <w:t>截至202</w:t>
      </w:r>
      <w:r>
        <w:rPr>
          <w:rFonts w:hint="eastAsia" w:eastAsia="仿宋_GB2312" w:cs="Times New Roman"/>
          <w:b w:val="0"/>
          <w:bCs w:val="0"/>
          <w:kern w:val="2"/>
          <w:sz w:val="32"/>
          <w:szCs w:val="32"/>
          <w:lang w:val="en-US" w:eastAsia="zh-CN" w:bidi="ar-SA"/>
        </w:rPr>
        <w:t>4</w:t>
      </w:r>
      <w:r>
        <w:rPr>
          <w:rFonts w:hint="default" w:ascii="Times New Roman" w:hAnsi="Times New Roman" w:eastAsia="仿宋_GB2312" w:cs="Times New Roman"/>
          <w:b w:val="0"/>
          <w:bCs w:val="0"/>
          <w:kern w:val="2"/>
          <w:sz w:val="32"/>
          <w:szCs w:val="32"/>
          <w:lang w:val="en-US" w:eastAsia="zh-CN" w:bidi="ar-SA"/>
        </w:rPr>
        <w:t>年末，</w:t>
      </w:r>
      <w:r>
        <w:rPr>
          <w:rFonts w:hint="eastAsia" w:ascii="Times New Roman" w:hAnsi="Times New Roman" w:eastAsia="仿宋_GB2312" w:cs="Times New Roman"/>
          <w:b w:val="0"/>
          <w:bCs w:val="0"/>
          <w:kern w:val="2"/>
          <w:sz w:val="32"/>
          <w:szCs w:val="32"/>
          <w:lang w:val="en-US" w:eastAsia="zh-CN" w:bidi="ar-SA"/>
        </w:rPr>
        <w:t>本单位实有人数为10人，其中行政编制数5人，事业编制数5人，比上年增加0人；年末实有离退休人数为0人，比上年增加0人。年末实有其他人数为0人，比上年增加0人。</w:t>
      </w:r>
      <w:r>
        <w:rPr>
          <w:rFonts w:ascii="仿宋" w:hAnsi="仿宋" w:eastAsia="仿宋"/>
          <w:sz w:val="32"/>
          <w:szCs w:val="32"/>
        </w:rPr>
        <w:br w:type="page"/>
      </w:r>
    </w:p>
    <w:p w14:paraId="6FAAF20D">
      <w:pPr>
        <w:pStyle w:val="3"/>
        <w:ind w:right="440"/>
        <w:jc w:val="center"/>
        <w:rPr>
          <w:rStyle w:val="29"/>
          <w:rFonts w:ascii="黑体" w:hAnsi="黑体" w:eastAsia="黑体"/>
          <w:b w:val="0"/>
          <w:bCs/>
        </w:rPr>
      </w:pPr>
      <w:bookmarkStart w:id="27" w:name="_Toc15377204"/>
      <w:bookmarkStart w:id="28" w:name="_Toc15396602"/>
      <w:bookmarkStart w:id="29" w:name="_Toc3941"/>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9"/>
          <w:rFonts w:hint="eastAsia" w:ascii="黑体" w:hAnsi="黑体" w:eastAsia="黑体"/>
          <w:b w:val="0"/>
          <w:bCs/>
        </w:rPr>
        <w:t>部门决算情况说明</w:t>
      </w:r>
      <w:bookmarkEnd w:id="27"/>
      <w:bookmarkEnd w:id="28"/>
      <w:bookmarkEnd w:id="29"/>
    </w:p>
    <w:p w14:paraId="4CA7812F">
      <w:pPr>
        <w:pStyle w:val="28"/>
        <w:numPr>
          <w:ilvl w:val="0"/>
          <w:numId w:val="2"/>
        </w:numPr>
        <w:spacing w:line="600" w:lineRule="exact"/>
        <w:ind w:firstLineChars="0"/>
        <w:outlineLvl w:val="1"/>
        <w:rPr>
          <w:rStyle w:val="30"/>
          <w:rFonts w:ascii="黑体" w:hAnsi="黑体" w:eastAsia="黑体"/>
          <w:b w:val="0"/>
        </w:rPr>
      </w:pPr>
      <w:bookmarkStart w:id="30" w:name="_Toc15396603"/>
      <w:bookmarkStart w:id="31" w:name="_Toc15377205"/>
      <w:r>
        <w:rPr>
          <w:rFonts w:hint="eastAsia" w:ascii="黑体" w:hAnsi="黑体" w:eastAsia="黑体"/>
          <w:sz w:val="32"/>
          <w:szCs w:val="32"/>
        </w:rPr>
        <w:t>收</w:t>
      </w:r>
      <w:r>
        <w:rPr>
          <w:rStyle w:val="30"/>
          <w:rFonts w:hint="eastAsia" w:ascii="黑体" w:hAnsi="黑体" w:eastAsia="黑体"/>
          <w:b w:val="0"/>
        </w:rPr>
        <w:t>入支出决算总体情况说明</w:t>
      </w:r>
      <w:bookmarkEnd w:id="30"/>
      <w:bookmarkEnd w:id="31"/>
    </w:p>
    <w:p w14:paraId="2E8DE392">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2023年度收、支总计均为</w:t>
      </w:r>
      <w:r>
        <w:rPr>
          <w:rFonts w:hint="eastAsia" w:eastAsia="仿宋"/>
          <w:sz w:val="32"/>
          <w:szCs w:val="32"/>
          <w:lang w:val="en-US" w:eastAsia="zh-CN"/>
        </w:rPr>
        <w:t>1262.08</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年度相比，收、支总计各增加</w:t>
      </w:r>
      <w:r>
        <w:rPr>
          <w:rFonts w:hint="eastAsia" w:ascii="仿宋" w:hAnsi="仿宋" w:eastAsia="仿宋"/>
          <w:sz w:val="32"/>
          <w:szCs w:val="32"/>
          <w:lang w:val="en-US" w:eastAsia="zh-CN"/>
        </w:rPr>
        <w:t>-77.56</w:t>
      </w:r>
      <w:r>
        <w:rPr>
          <w:rFonts w:hint="eastAsia" w:ascii="仿宋" w:hAnsi="仿宋" w:eastAsia="仿宋"/>
          <w:sz w:val="32"/>
          <w:szCs w:val="32"/>
        </w:rPr>
        <w:t>万元，增长</w:t>
      </w:r>
      <w:r>
        <w:rPr>
          <w:rFonts w:hint="eastAsia" w:ascii="仿宋" w:hAnsi="仿宋" w:eastAsia="仿宋"/>
          <w:sz w:val="32"/>
          <w:szCs w:val="32"/>
          <w:lang w:val="en-US" w:eastAsia="zh-CN"/>
        </w:rPr>
        <w:t>-6.55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人员经费、公用经费、专项经费减</w:t>
      </w:r>
      <w:r>
        <w:rPr>
          <w:rFonts w:hint="eastAsia" w:ascii="仿宋" w:hAnsi="仿宋" w:eastAsia="仿宋"/>
          <w:sz w:val="32"/>
          <w:szCs w:val="32"/>
        </w:rPr>
        <w:t>。</w:t>
      </w:r>
    </w:p>
    <w:p w14:paraId="6C49E295">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3D3A8382">
      <w:pPr>
        <w:pStyle w:val="20"/>
        <w:outlineLvl w:val="9"/>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304790" cy="1789430"/>
            <wp:effectExtent l="4445" t="4445" r="5715" b="1587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1E599B9">
      <w:pPr>
        <w:pStyle w:val="28"/>
        <w:numPr>
          <w:ilvl w:val="0"/>
          <w:numId w:val="2"/>
        </w:numPr>
        <w:spacing w:line="600" w:lineRule="exact"/>
        <w:ind w:firstLineChars="0"/>
        <w:outlineLvl w:val="1"/>
        <w:rPr>
          <w:rStyle w:val="30"/>
          <w:rFonts w:ascii="黑体" w:hAnsi="黑体" w:eastAsia="黑体"/>
          <w:b w:val="0"/>
        </w:rPr>
      </w:pPr>
      <w:bookmarkStart w:id="32" w:name="_Toc15377206"/>
      <w:bookmarkStart w:id="33" w:name="_Toc15396604"/>
      <w:r>
        <w:rPr>
          <w:rFonts w:hint="eastAsia" w:ascii="黑体" w:hAnsi="黑体" w:eastAsia="黑体"/>
          <w:sz w:val="32"/>
          <w:szCs w:val="32"/>
        </w:rPr>
        <w:t>收</w:t>
      </w:r>
      <w:r>
        <w:rPr>
          <w:rStyle w:val="30"/>
          <w:rFonts w:hint="eastAsia" w:ascii="黑体" w:hAnsi="黑体" w:eastAsia="黑体"/>
          <w:b w:val="0"/>
        </w:rPr>
        <w:t>入决算情况说明</w:t>
      </w:r>
      <w:bookmarkEnd w:id="32"/>
      <w:bookmarkEnd w:id="33"/>
    </w:p>
    <w:p w14:paraId="217E0065">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eastAsia="仿宋"/>
          <w:sz w:val="32"/>
          <w:szCs w:val="32"/>
          <w:lang w:val="en-US" w:eastAsia="zh-CN"/>
        </w:rPr>
        <w:t>1262.08</w:t>
      </w:r>
      <w:r>
        <w:rPr>
          <w:rFonts w:hint="eastAsia" w:ascii="仿宋" w:hAnsi="仿宋" w:eastAsia="仿宋"/>
          <w:sz w:val="32"/>
          <w:szCs w:val="32"/>
        </w:rPr>
        <w:t>万元，其中：一般公共预算财政拨款收入</w:t>
      </w:r>
      <w:r>
        <w:rPr>
          <w:rFonts w:hint="eastAsia" w:eastAsia="仿宋"/>
          <w:sz w:val="32"/>
          <w:szCs w:val="32"/>
          <w:lang w:val="en-US" w:eastAsia="zh-CN"/>
        </w:rPr>
        <w:t>1262.08</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1DDE7F15">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（图2：收入决算结构图）（饼状图）</w:t>
      </w:r>
    </w:p>
    <w:p w14:paraId="4F344C9A">
      <w:pPr>
        <w:pStyle w:val="20"/>
        <w:outlineLvl w:val="9"/>
        <w:rPr>
          <w:rFonts w:ascii="仿宋_GB2312" w:eastAsia="仿宋_GB2312"/>
          <w:sz w:val="32"/>
          <w:szCs w:val="32"/>
        </w:rPr>
      </w:pPr>
      <w:r>
        <w:rPr>
          <w:rFonts w:hint="eastAsia" w:eastAsia="仿宋"/>
          <w:lang w:eastAsia="zh-CN"/>
        </w:rPr>
        <w:drawing>
          <wp:inline distT="0" distB="0" distL="114300" distR="114300">
            <wp:extent cx="2259330" cy="2014855"/>
            <wp:effectExtent l="4445" t="4445" r="22225" b="190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3E1D70D">
      <w:pPr>
        <w:pStyle w:val="28"/>
        <w:numPr>
          <w:ilvl w:val="0"/>
          <w:numId w:val="2"/>
        </w:numPr>
        <w:spacing w:line="600" w:lineRule="exact"/>
        <w:ind w:firstLineChars="0"/>
        <w:outlineLvl w:val="1"/>
        <w:rPr>
          <w:rStyle w:val="30"/>
          <w:rFonts w:ascii="黑体" w:hAnsi="黑体" w:eastAsia="黑体"/>
          <w:b w:val="0"/>
        </w:rPr>
      </w:pPr>
      <w:bookmarkStart w:id="34" w:name="_Toc15377207"/>
      <w:bookmarkStart w:id="35" w:name="_Toc15396605"/>
      <w:r>
        <w:rPr>
          <w:rFonts w:hint="eastAsia" w:ascii="黑体" w:hAnsi="黑体" w:eastAsia="黑体"/>
          <w:sz w:val="32"/>
          <w:szCs w:val="32"/>
        </w:rPr>
        <w:t>支</w:t>
      </w:r>
      <w:r>
        <w:rPr>
          <w:rStyle w:val="30"/>
          <w:rFonts w:hint="eastAsia" w:ascii="黑体" w:hAnsi="黑体" w:eastAsia="黑体"/>
          <w:b w:val="0"/>
        </w:rPr>
        <w:t>出决算情况说明</w:t>
      </w:r>
      <w:bookmarkEnd w:id="34"/>
      <w:bookmarkEnd w:id="35"/>
    </w:p>
    <w:p w14:paraId="62114BCF">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eastAsia="仿宋"/>
          <w:sz w:val="32"/>
          <w:szCs w:val="32"/>
          <w:lang w:val="en-US" w:eastAsia="zh-CN"/>
        </w:rPr>
        <w:t>1262.08</w:t>
      </w:r>
      <w:r>
        <w:rPr>
          <w:rFonts w:hint="eastAsia" w:ascii="仿宋" w:hAnsi="仿宋" w:eastAsia="仿宋"/>
          <w:sz w:val="32"/>
          <w:szCs w:val="32"/>
        </w:rPr>
        <w:t>万元，其中：基本支出</w:t>
      </w:r>
      <w:r>
        <w:rPr>
          <w:rFonts w:hint="eastAsia" w:eastAsia="仿宋"/>
          <w:sz w:val="32"/>
          <w:szCs w:val="32"/>
          <w:lang w:val="en-US" w:eastAsia="zh-CN"/>
        </w:rPr>
        <w:t>264.73</w:t>
      </w:r>
      <w:r>
        <w:rPr>
          <w:rFonts w:hint="eastAsia" w:ascii="仿宋" w:hAnsi="仿宋" w:eastAsia="仿宋"/>
          <w:sz w:val="32"/>
          <w:szCs w:val="32"/>
        </w:rPr>
        <w:t>万元，占</w:t>
      </w:r>
      <w:r>
        <w:rPr>
          <w:rFonts w:hint="eastAsia" w:eastAsia="仿宋"/>
          <w:sz w:val="32"/>
          <w:szCs w:val="32"/>
          <w:lang w:val="en-US" w:eastAsia="zh-CN"/>
        </w:rPr>
        <w:t>20.98</w:t>
      </w:r>
      <w:r>
        <w:rPr>
          <w:rFonts w:ascii="仿宋" w:hAnsi="仿宋" w:eastAsia="仿宋"/>
          <w:sz w:val="32"/>
          <w:szCs w:val="32"/>
        </w:rPr>
        <w:t>%</w:t>
      </w:r>
      <w:r>
        <w:rPr>
          <w:rFonts w:hint="eastAsia" w:ascii="仿宋" w:hAnsi="仿宋" w:eastAsia="仿宋"/>
          <w:sz w:val="32"/>
          <w:szCs w:val="32"/>
        </w:rPr>
        <w:t>；项目支出</w:t>
      </w:r>
      <w:r>
        <w:rPr>
          <w:rFonts w:hint="eastAsia" w:eastAsia="仿宋"/>
          <w:sz w:val="32"/>
          <w:szCs w:val="32"/>
          <w:lang w:val="en-US" w:eastAsia="zh-CN"/>
        </w:rPr>
        <w:t>997.35</w:t>
      </w:r>
      <w:r>
        <w:rPr>
          <w:rFonts w:hint="eastAsia" w:ascii="仿宋" w:hAnsi="仿宋" w:eastAsia="仿宋"/>
          <w:sz w:val="32"/>
          <w:szCs w:val="32"/>
        </w:rPr>
        <w:t>万元，占</w:t>
      </w:r>
      <w:r>
        <w:rPr>
          <w:rFonts w:hint="eastAsia" w:eastAsia="仿宋"/>
          <w:sz w:val="32"/>
          <w:szCs w:val="32"/>
          <w:lang w:val="en-US" w:eastAsia="zh-CN"/>
        </w:rPr>
        <w:t>79.02</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2763C384">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14:paraId="61D74757">
      <w:pPr>
        <w:pStyle w:val="20"/>
        <w:outlineLvl w:val="9"/>
        <w:rPr>
          <w:rFonts w:ascii="仿宋_GB2312" w:eastAsia="仿宋_GB2312"/>
          <w:sz w:val="32"/>
          <w:szCs w:val="32"/>
        </w:rPr>
      </w:pPr>
      <w:r>
        <w:rPr>
          <w:rFonts w:hint="eastAsia" w:eastAsia="仿宋"/>
          <w:lang w:eastAsia="zh-CN"/>
        </w:rPr>
        <w:drawing>
          <wp:inline distT="0" distB="0" distL="114300" distR="114300">
            <wp:extent cx="2508250" cy="2638425"/>
            <wp:effectExtent l="4445" t="4445" r="2095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FD82D8">
      <w:pPr>
        <w:spacing w:line="600" w:lineRule="exact"/>
        <w:ind w:firstLine="640" w:firstLineChars="200"/>
        <w:outlineLvl w:val="1"/>
        <w:rPr>
          <w:rStyle w:val="30"/>
          <w:rFonts w:ascii="黑体" w:hAnsi="黑体" w:eastAsia="黑体"/>
          <w:b w:val="0"/>
        </w:rPr>
      </w:pPr>
      <w:bookmarkStart w:id="36" w:name="_Toc15377208"/>
      <w:bookmarkStart w:id="37" w:name="_Toc15396606"/>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36"/>
      <w:bookmarkEnd w:id="37"/>
    </w:p>
    <w:p w14:paraId="4BC774B6">
      <w:pPr>
        <w:spacing w:line="600" w:lineRule="exact"/>
        <w:ind w:firstLine="640"/>
        <w:rPr>
          <w:rFonts w:hint="default" w:ascii="仿宋" w:hAnsi="仿宋" w:eastAsia="仿宋"/>
          <w:sz w:val="32"/>
          <w:szCs w:val="32"/>
          <w:lang w:val="en-US"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eastAsia="仿宋"/>
          <w:sz w:val="32"/>
          <w:szCs w:val="32"/>
          <w:lang w:val="en-US" w:eastAsia="zh-CN"/>
        </w:rPr>
        <w:t>1262.08</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年度相比，财政拨款收、支总计各增加</w:t>
      </w:r>
      <w:r>
        <w:rPr>
          <w:rFonts w:hint="eastAsia" w:ascii="仿宋" w:hAnsi="仿宋" w:eastAsia="仿宋"/>
          <w:sz w:val="32"/>
          <w:szCs w:val="32"/>
          <w:lang w:val="en-US" w:eastAsia="zh-CN"/>
        </w:rPr>
        <w:t>-77.56</w:t>
      </w:r>
      <w:r>
        <w:rPr>
          <w:rFonts w:hint="eastAsia" w:ascii="仿宋" w:hAnsi="仿宋" w:eastAsia="仿宋"/>
          <w:sz w:val="32"/>
          <w:szCs w:val="32"/>
        </w:rPr>
        <w:t>万元，增长</w:t>
      </w:r>
      <w:r>
        <w:rPr>
          <w:rFonts w:hint="eastAsia" w:ascii="仿宋" w:hAnsi="仿宋" w:eastAsia="仿宋"/>
          <w:sz w:val="32"/>
          <w:szCs w:val="32"/>
          <w:lang w:val="en-US" w:eastAsia="zh-CN"/>
        </w:rPr>
        <w:t>-6.55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人员经费、公用经费、专项经费减少。</w:t>
      </w:r>
    </w:p>
    <w:p w14:paraId="4F550CA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14:paraId="492921AE">
      <w:pPr>
        <w:pStyle w:val="20"/>
        <w:outlineLvl w:val="9"/>
        <w:rPr>
          <w:rFonts w:hint="eastAsia" w:ascii="仿宋" w:hAnsi="仿宋" w:eastAsia="仿宋"/>
          <w:b/>
          <w:sz w:val="32"/>
          <w:szCs w:val="32"/>
          <w:lang w:eastAsia="zh-CN"/>
        </w:rPr>
      </w:pPr>
      <w:r>
        <w:rPr>
          <w:rFonts w:hint="eastAsia" w:ascii="仿宋" w:hAnsi="仿宋" w:eastAsia="仿宋"/>
          <w:b/>
          <w:sz w:val="32"/>
          <w:szCs w:val="32"/>
          <w:lang w:eastAsia="zh-CN"/>
        </w:rPr>
        <w:drawing>
          <wp:inline distT="0" distB="0" distL="114300" distR="114300">
            <wp:extent cx="5086350" cy="1578610"/>
            <wp:effectExtent l="4445" t="4445" r="14605"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16E439">
      <w:pPr>
        <w:spacing w:line="600" w:lineRule="exact"/>
        <w:ind w:firstLine="640" w:firstLineChars="200"/>
        <w:outlineLvl w:val="1"/>
        <w:rPr>
          <w:rStyle w:val="30"/>
          <w:rFonts w:ascii="黑体" w:hAnsi="黑体" w:eastAsia="黑体"/>
          <w:b w:val="0"/>
        </w:rPr>
      </w:pPr>
      <w:bookmarkStart w:id="38" w:name="_Toc15377209"/>
      <w:bookmarkStart w:id="39" w:name="_Toc15396607"/>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38"/>
      <w:bookmarkEnd w:id="39"/>
    </w:p>
    <w:p w14:paraId="00718E15">
      <w:pPr>
        <w:spacing w:line="600" w:lineRule="exact"/>
        <w:ind w:firstLine="643" w:firstLineChars="200"/>
        <w:outlineLvl w:val="2"/>
        <w:rPr>
          <w:rFonts w:ascii="仿宋" w:hAnsi="仿宋" w:eastAsia="仿宋"/>
          <w:b/>
          <w:sz w:val="32"/>
          <w:szCs w:val="32"/>
        </w:rPr>
      </w:pPr>
      <w:bookmarkStart w:id="40" w:name="_Toc15377210"/>
      <w:r>
        <w:rPr>
          <w:rFonts w:hint="eastAsia" w:ascii="仿宋" w:hAnsi="仿宋" w:eastAsia="仿宋"/>
          <w:b/>
          <w:sz w:val="32"/>
          <w:szCs w:val="32"/>
        </w:rPr>
        <w:t>（一）一般公共预算财政拨款支出决算总体情况</w:t>
      </w:r>
      <w:bookmarkEnd w:id="40"/>
    </w:p>
    <w:p w14:paraId="4B8CCC2B">
      <w:pPr>
        <w:spacing w:line="60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1262.08</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年度相比，一般公共预算财政拨款支出增加</w:t>
      </w:r>
      <w:r>
        <w:rPr>
          <w:rFonts w:hint="eastAsia" w:ascii="仿宋" w:hAnsi="仿宋" w:eastAsia="仿宋"/>
          <w:sz w:val="32"/>
          <w:szCs w:val="32"/>
          <w:lang w:val="en-US" w:eastAsia="zh-CN"/>
        </w:rPr>
        <w:t>-77.56</w:t>
      </w:r>
      <w:r>
        <w:rPr>
          <w:rFonts w:hint="eastAsia" w:ascii="仿宋" w:hAnsi="仿宋" w:eastAsia="仿宋"/>
          <w:sz w:val="32"/>
          <w:szCs w:val="32"/>
        </w:rPr>
        <w:t>万元，增长</w:t>
      </w:r>
      <w:r>
        <w:rPr>
          <w:rFonts w:hint="eastAsia" w:ascii="仿宋" w:hAnsi="仿宋" w:eastAsia="仿宋"/>
          <w:sz w:val="32"/>
          <w:szCs w:val="32"/>
          <w:lang w:val="en-US" w:eastAsia="zh-CN"/>
        </w:rPr>
        <w:t>-6.55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人员经费、公用经费、专项经费减少。</w:t>
      </w:r>
    </w:p>
    <w:p w14:paraId="626F1F7C">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14:paraId="2086FD95">
      <w:pPr>
        <w:pStyle w:val="20"/>
        <w:outlineLvl w:val="9"/>
        <w:rPr>
          <w:rFonts w:ascii="仿宋" w:hAnsi="仿宋" w:eastAsia="仿宋"/>
          <w:sz w:val="32"/>
          <w:szCs w:val="32"/>
        </w:rPr>
      </w:pPr>
      <w:r>
        <w:rPr>
          <w:rFonts w:hint="eastAsia" w:eastAsia="仿宋"/>
          <w:lang w:eastAsia="zh-CN"/>
        </w:rPr>
        <w:drawing>
          <wp:inline distT="0" distB="0" distL="114300" distR="114300">
            <wp:extent cx="4840605" cy="1732280"/>
            <wp:effectExtent l="4445" t="5080" r="12700" b="1524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024D0A">
      <w:pPr>
        <w:spacing w:line="600" w:lineRule="exact"/>
        <w:ind w:firstLine="643" w:firstLineChars="200"/>
        <w:outlineLvl w:val="9"/>
        <w:rPr>
          <w:rFonts w:hint="eastAsia" w:ascii="仿宋" w:hAnsi="仿宋" w:eastAsia="仿宋"/>
          <w:b/>
          <w:sz w:val="32"/>
          <w:szCs w:val="32"/>
        </w:rPr>
      </w:pPr>
      <w:bookmarkStart w:id="41" w:name="_Toc15377211"/>
    </w:p>
    <w:p w14:paraId="7352DD5F">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bookmarkEnd w:id="41"/>
    </w:p>
    <w:p w14:paraId="045343AC">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sz w:val="32"/>
          <w:szCs w:val="32"/>
          <w:lang w:val="en-US" w:eastAsia="zh-CN"/>
        </w:rPr>
        <w:t>1262.08</w:t>
      </w:r>
      <w:r>
        <w:rPr>
          <w:rFonts w:hint="eastAsia" w:ascii="仿宋" w:hAnsi="仿宋" w:eastAsia="仿宋"/>
          <w:sz w:val="32"/>
          <w:szCs w:val="32"/>
        </w:rPr>
        <w:t>万元，主要用于以下方面:一般公共服务支出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%；科学技术支出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%；文化旅游体育与传媒支出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%；社会保障和就业支出</w:t>
      </w:r>
      <w:r>
        <w:rPr>
          <w:rFonts w:hint="eastAsia" w:ascii="仿宋" w:hAnsi="仿宋" w:eastAsia="仿宋"/>
          <w:sz w:val="32"/>
          <w:szCs w:val="32"/>
          <w:lang w:val="en-US" w:eastAsia="zh-CN"/>
        </w:rPr>
        <w:t>1223.74</w:t>
      </w:r>
      <w:r>
        <w:rPr>
          <w:rFonts w:hint="eastAsia" w:ascii="仿宋" w:hAnsi="仿宋" w:eastAsia="仿宋"/>
          <w:sz w:val="32"/>
          <w:szCs w:val="32"/>
        </w:rPr>
        <w:t>万元，占</w:t>
      </w:r>
      <w:r>
        <w:rPr>
          <w:rFonts w:hint="eastAsia" w:ascii="仿宋" w:hAnsi="仿宋" w:eastAsia="仿宋"/>
          <w:sz w:val="32"/>
          <w:szCs w:val="32"/>
          <w:lang w:val="en-US" w:eastAsia="zh-CN"/>
        </w:rPr>
        <w:t>96.96</w:t>
      </w:r>
      <w:r>
        <w:rPr>
          <w:rFonts w:hint="eastAsia" w:ascii="仿宋" w:hAnsi="仿宋" w:eastAsia="仿宋"/>
          <w:sz w:val="32"/>
          <w:szCs w:val="32"/>
        </w:rPr>
        <w:t>%；卫生健康支出</w:t>
      </w:r>
      <w:r>
        <w:rPr>
          <w:rFonts w:hint="eastAsia" w:ascii="仿宋" w:hAnsi="仿宋" w:eastAsia="仿宋"/>
          <w:sz w:val="32"/>
          <w:szCs w:val="32"/>
          <w:lang w:val="en-US" w:eastAsia="zh-CN"/>
        </w:rPr>
        <w:t>19.84</w:t>
      </w:r>
      <w:r>
        <w:rPr>
          <w:rFonts w:hint="eastAsia" w:ascii="仿宋" w:hAnsi="仿宋" w:eastAsia="仿宋"/>
          <w:sz w:val="32"/>
          <w:szCs w:val="32"/>
        </w:rPr>
        <w:t>万元，占</w:t>
      </w:r>
      <w:r>
        <w:rPr>
          <w:rFonts w:hint="eastAsia" w:ascii="仿宋" w:hAnsi="仿宋" w:eastAsia="仿宋"/>
          <w:sz w:val="32"/>
          <w:szCs w:val="32"/>
          <w:lang w:val="en-US" w:eastAsia="zh-CN"/>
        </w:rPr>
        <w:t>1.57</w:t>
      </w:r>
      <w:r>
        <w:rPr>
          <w:rFonts w:hint="eastAsia" w:ascii="仿宋" w:hAnsi="仿宋" w:eastAsia="仿宋"/>
          <w:sz w:val="32"/>
          <w:szCs w:val="32"/>
        </w:rPr>
        <w:t>%；住房保障支出</w:t>
      </w:r>
      <w:r>
        <w:rPr>
          <w:rFonts w:hint="eastAsia" w:ascii="仿宋" w:hAnsi="仿宋" w:eastAsia="仿宋"/>
          <w:sz w:val="32"/>
          <w:szCs w:val="32"/>
          <w:lang w:val="en-US" w:eastAsia="zh-CN"/>
        </w:rPr>
        <w:t>18.5</w:t>
      </w:r>
      <w:r>
        <w:rPr>
          <w:rFonts w:hint="eastAsia" w:ascii="仿宋" w:hAnsi="仿宋" w:eastAsia="仿宋"/>
          <w:sz w:val="32"/>
          <w:szCs w:val="32"/>
        </w:rPr>
        <w:t>万元，占</w:t>
      </w:r>
      <w:r>
        <w:rPr>
          <w:rFonts w:hint="eastAsia" w:ascii="仿宋" w:hAnsi="仿宋" w:eastAsia="仿宋"/>
          <w:sz w:val="32"/>
          <w:szCs w:val="32"/>
          <w:lang w:val="en-US" w:eastAsia="zh-CN"/>
        </w:rPr>
        <w:t>1.47</w:t>
      </w:r>
      <w:r>
        <w:rPr>
          <w:rFonts w:hint="eastAsia" w:ascii="仿宋" w:hAnsi="仿宋" w:eastAsia="仿宋"/>
          <w:sz w:val="32"/>
          <w:szCs w:val="32"/>
        </w:rPr>
        <w:t>%。</w:t>
      </w:r>
    </w:p>
    <w:p w14:paraId="2AA534C7">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14:paraId="6CF1D690">
      <w:pPr>
        <w:pStyle w:val="20"/>
        <w:outlineLvl w:val="9"/>
        <w:rPr>
          <w:rFonts w:hint="eastAsia" w:eastAsia="仿宋"/>
          <w:lang w:eastAsia="zh-CN"/>
        </w:rPr>
      </w:pPr>
      <w:r>
        <w:rPr>
          <w:rFonts w:hint="eastAsia" w:eastAsia="仿宋"/>
          <w:lang w:eastAsia="zh-CN"/>
        </w:rPr>
        <w:drawing>
          <wp:inline distT="0" distB="0" distL="114300" distR="114300">
            <wp:extent cx="3050540" cy="2498725"/>
            <wp:effectExtent l="4445" t="4445" r="12065" b="1143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4062D3">
      <w:pPr>
        <w:spacing w:line="600" w:lineRule="exact"/>
        <w:ind w:firstLine="643" w:firstLineChars="200"/>
        <w:outlineLvl w:val="2"/>
        <w:rPr>
          <w:rFonts w:ascii="仿宋" w:hAnsi="仿宋" w:eastAsia="仿宋"/>
          <w:b/>
          <w:sz w:val="32"/>
          <w:szCs w:val="32"/>
        </w:rPr>
      </w:pPr>
      <w:bookmarkStart w:id="42" w:name="_Toc15377212"/>
      <w:r>
        <w:rPr>
          <w:rFonts w:hint="eastAsia" w:ascii="仿宋" w:hAnsi="仿宋" w:eastAsia="仿宋"/>
          <w:b/>
          <w:sz w:val="32"/>
          <w:szCs w:val="32"/>
        </w:rPr>
        <w:t>（三）一般公共预算财政拨款支出决算具体情况</w:t>
      </w:r>
      <w:bookmarkEnd w:id="42"/>
    </w:p>
    <w:p w14:paraId="0D100BF8">
      <w:pPr>
        <w:spacing w:line="600" w:lineRule="exact"/>
        <w:ind w:firstLine="643" w:firstLineChars="200"/>
        <w:outlineLvl w:val="2"/>
        <w:rPr>
          <w:rFonts w:ascii="仿宋" w:hAnsi="仿宋" w:eastAsia="仿宋"/>
          <w:b/>
          <w:sz w:val="32"/>
          <w:szCs w:val="32"/>
        </w:rPr>
      </w:pPr>
      <w:bookmarkStart w:id="43" w:name="_Toc15377444"/>
      <w:bookmarkStart w:id="44" w:name="_Toc15378460"/>
      <w:bookmarkStart w:id="45" w:name="_Toc15377213"/>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eastAsia="仿宋"/>
          <w:sz w:val="32"/>
          <w:szCs w:val="32"/>
          <w:lang w:val="en-US" w:eastAsia="zh-CN"/>
        </w:rPr>
        <w:t>1262.08</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43"/>
      <w:bookmarkEnd w:id="44"/>
      <w:bookmarkEnd w:id="45"/>
    </w:p>
    <w:p w14:paraId="1C85AE49">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1.</w:t>
      </w:r>
      <w:r>
        <w:rPr>
          <w:rStyle w:val="18"/>
          <w:rFonts w:hint="eastAsia" w:ascii="仿宋" w:hAnsi="仿宋" w:eastAsia="仿宋"/>
          <w:bCs/>
          <w:sz w:val="32"/>
          <w:szCs w:val="32"/>
        </w:rPr>
        <w:t>社会保障和就业</w:t>
      </w:r>
      <w:r>
        <w:rPr>
          <w:rStyle w:val="18"/>
          <w:rFonts w:hint="eastAsia" w:ascii="仿宋" w:hAnsi="仿宋" w:eastAsia="仿宋"/>
          <w:bCs/>
          <w:sz w:val="32"/>
          <w:szCs w:val="32"/>
          <w:lang w:val="en-US" w:eastAsia="zh-CN"/>
        </w:rPr>
        <w:t>208</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1223.74</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96.96</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4D575F81">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机关事业单位基本养老保险缴费支出2080505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22.76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1.86</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6CA97CB6">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机关事业单位职业年金缴费支出2050506</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11.24</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0.92</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512413AB">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义务兵优待2080805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42.06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3.44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38C8A43F">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其他优抚支出2080899</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94.68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7.74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3ABB0879">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退役士兵安置2080901</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0.14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407ED3C7">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军队移交政府的离退休人员安置2080902</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428.93</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35.05</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1F0ECDA2">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军队移交政府离退休干部管理机构2080903</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320.94</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26.23</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7FD9E97D">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其他退役安置支出2080999</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14.23</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1.16</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11C6AA5E">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行政运行2082801</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109.42</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8.94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0EB272BC">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一般行政管理事务2082802</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13.06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1.07</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5B6AD9CB">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拥军优属2082804</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32.78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2.68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3A66A6F6">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事业运行2082805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85.49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6.99</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4C5EBBC1">
      <w:pPr>
        <w:numPr>
          <w:ilvl w:val="0"/>
          <w:numId w:val="0"/>
        </w:numPr>
        <w:spacing w:line="600" w:lineRule="exact"/>
        <w:ind w:firstLine="643" w:firstLineChars="200"/>
        <w:rPr>
          <w:rStyle w:val="18"/>
          <w:rFonts w:hint="eastAsia" w:ascii="仿宋" w:hAnsi="仿宋" w:eastAsia="仿宋"/>
          <w:b w:val="0"/>
          <w:bCs/>
          <w:sz w:val="32"/>
          <w:szCs w:val="32"/>
          <w:lang w:val="en-US" w:eastAsia="zh-CN"/>
        </w:rPr>
      </w:pPr>
      <w:r>
        <w:rPr>
          <w:rStyle w:val="18"/>
          <w:rFonts w:hint="eastAsia" w:ascii="仿宋" w:hAnsi="仿宋" w:eastAsia="仿宋"/>
          <w:bCs/>
          <w:sz w:val="32"/>
          <w:szCs w:val="32"/>
          <w:lang w:val="en-US" w:eastAsia="zh-CN"/>
        </w:rPr>
        <w:t xml:space="preserve">其他退役军人事务管理支出2082899: </w:t>
      </w:r>
      <w:r>
        <w:rPr>
          <w:rStyle w:val="18"/>
          <w:rFonts w:hint="eastAsia" w:ascii="仿宋" w:hAnsi="仿宋" w:eastAsia="仿宋"/>
          <w:b w:val="0"/>
          <w:bCs/>
          <w:sz w:val="32"/>
          <w:szCs w:val="32"/>
          <w:lang w:val="en-US" w:eastAsia="zh-CN"/>
        </w:rPr>
        <w:t>支出决算为21.46万元，完成预算1.75%，决算数等于预算数。</w:t>
      </w:r>
    </w:p>
    <w:p w14:paraId="467E4B4F">
      <w:pPr>
        <w:numPr>
          <w:ilvl w:val="0"/>
          <w:numId w:val="0"/>
        </w:numPr>
        <w:spacing w:line="600" w:lineRule="exact"/>
        <w:ind w:firstLine="643" w:firstLineChars="200"/>
        <w:rPr>
          <w:rStyle w:val="18"/>
          <w:rFonts w:hint="default" w:ascii="仿宋" w:hAnsi="仿宋" w:eastAsia="仿宋"/>
          <w:b w:val="0"/>
          <w:bCs/>
          <w:sz w:val="32"/>
          <w:szCs w:val="32"/>
          <w:lang w:val="en-US" w:eastAsia="zh-CN"/>
        </w:rPr>
      </w:pPr>
      <w:r>
        <w:rPr>
          <w:rStyle w:val="18"/>
          <w:rFonts w:hint="eastAsia" w:ascii="仿宋" w:hAnsi="仿宋" w:eastAsia="仿宋"/>
          <w:bCs/>
          <w:sz w:val="32"/>
          <w:szCs w:val="32"/>
          <w:lang w:val="en-US" w:eastAsia="zh-CN"/>
        </w:rPr>
        <w:t xml:space="preserve">其他社会保障和就业支出2089999: </w:t>
      </w:r>
      <w:r>
        <w:rPr>
          <w:rStyle w:val="18"/>
          <w:rFonts w:hint="eastAsia" w:ascii="仿宋" w:hAnsi="仿宋" w:eastAsia="仿宋"/>
          <w:b w:val="0"/>
          <w:bCs/>
          <w:sz w:val="32"/>
          <w:szCs w:val="32"/>
          <w:lang w:val="en-US" w:eastAsia="zh-CN"/>
        </w:rPr>
        <w:t>支出决算为24.99万元，完成预算2.04%，决算数等于预算数。</w:t>
      </w:r>
    </w:p>
    <w:p w14:paraId="487FD2AC">
      <w:pPr>
        <w:numPr>
          <w:ilvl w:val="0"/>
          <w:numId w:val="0"/>
        </w:numPr>
        <w:spacing w:line="600" w:lineRule="exact"/>
        <w:ind w:firstLine="643" w:firstLineChars="200"/>
        <w:rPr>
          <w:rStyle w:val="18"/>
          <w:rFonts w:hint="eastAsia" w:ascii="仿宋" w:hAnsi="仿宋" w:eastAsia="仿宋"/>
          <w:b w:val="0"/>
          <w:bCs/>
          <w:sz w:val="32"/>
          <w:szCs w:val="32"/>
        </w:rPr>
      </w:pPr>
      <w:r>
        <w:rPr>
          <w:rFonts w:hint="eastAsia" w:ascii="仿宋" w:hAnsi="仿宋" w:eastAsia="仿宋"/>
          <w:b/>
          <w:bCs/>
          <w:sz w:val="32"/>
          <w:szCs w:val="32"/>
          <w:lang w:val="en-US" w:eastAsia="zh-CN"/>
        </w:rPr>
        <w:t>2.</w:t>
      </w:r>
      <w:r>
        <w:rPr>
          <w:rFonts w:hint="eastAsia" w:ascii="仿宋" w:hAnsi="仿宋" w:eastAsia="仿宋"/>
          <w:b/>
          <w:bCs/>
          <w:sz w:val="32"/>
          <w:szCs w:val="32"/>
        </w:rPr>
        <w:t>卫生健康</w:t>
      </w:r>
      <w:r>
        <w:rPr>
          <w:rFonts w:hint="eastAsia" w:ascii="仿宋" w:hAnsi="仿宋" w:eastAsia="仿宋"/>
          <w:b/>
          <w:bCs/>
          <w:sz w:val="32"/>
          <w:szCs w:val="32"/>
          <w:lang w:val="en-US" w:eastAsia="zh-CN"/>
        </w:rPr>
        <w:t>210</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19.84</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1.57</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14:paraId="169E34BF">
      <w:pPr>
        <w:pStyle w:val="20"/>
        <w:numPr>
          <w:ilvl w:val="0"/>
          <w:numId w:val="0"/>
        </w:numPr>
        <w:ind w:firstLine="643" w:firstLineChars="200"/>
      </w:pPr>
      <w:r>
        <w:rPr>
          <w:rStyle w:val="18"/>
          <w:rFonts w:hint="eastAsia" w:ascii="仿宋" w:hAnsi="仿宋" w:eastAsia="仿宋"/>
          <w:b/>
          <w:bCs/>
          <w:sz w:val="32"/>
          <w:szCs w:val="32"/>
          <w:lang w:val="en-US" w:eastAsia="zh-CN"/>
        </w:rPr>
        <w:t>行政单位医疗2101101</w:t>
      </w:r>
      <w:r>
        <w:rPr>
          <w:rStyle w:val="18"/>
          <w:rFonts w:ascii="仿宋" w:hAnsi="仿宋" w:eastAsia="仿宋"/>
          <w:b/>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7.07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35.64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14:paraId="59B28D0C">
      <w:pPr>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事业单位医疗</w:t>
      </w:r>
      <w:r>
        <w:rPr>
          <w:rStyle w:val="18"/>
          <w:rFonts w:hint="eastAsia" w:ascii="仿宋" w:hAnsi="仿宋" w:eastAsia="仿宋"/>
          <w:b/>
          <w:bCs/>
          <w:sz w:val="32"/>
          <w:szCs w:val="32"/>
          <w:lang w:val="en-US" w:eastAsia="zh-CN"/>
        </w:rPr>
        <w:t>2101102</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5.19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26.16</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14:paraId="604269EC">
      <w:pPr>
        <w:pStyle w:val="20"/>
        <w:ind w:firstLine="643" w:firstLineChars="200"/>
        <w:rPr>
          <w:rStyle w:val="18"/>
          <w:rFonts w:hint="eastAsia" w:ascii="仿宋" w:hAnsi="仿宋" w:eastAsia="仿宋"/>
          <w:b w:val="0"/>
          <w:bCs/>
          <w:sz w:val="32"/>
          <w:szCs w:val="32"/>
        </w:rPr>
      </w:pPr>
      <w:r>
        <w:rPr>
          <w:rStyle w:val="18"/>
          <w:rFonts w:hint="eastAsia" w:ascii="仿宋" w:hAnsi="仿宋" w:eastAsia="仿宋"/>
          <w:b/>
          <w:bCs/>
          <w:sz w:val="32"/>
          <w:szCs w:val="32"/>
          <w:lang w:val="en-US" w:eastAsia="zh-CN"/>
        </w:rPr>
        <w:t>公务员医疗补助</w:t>
      </w:r>
      <w:r>
        <w:rPr>
          <w:rFonts w:ascii="宋体" w:hAnsi="宋体" w:eastAsia="宋体" w:cs="宋体"/>
          <w:sz w:val="24"/>
          <w:szCs w:val="24"/>
        </w:rPr>
        <w:t>2101103</w:t>
      </w:r>
      <w:r>
        <w:rPr>
          <w:rStyle w:val="18"/>
          <w:rFonts w:ascii="仿宋" w:hAnsi="仿宋" w:eastAsia="仿宋"/>
          <w:b/>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2.31</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11.64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14:paraId="56CC6439">
      <w:pPr>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其他行政事业单位医疗支出2101199</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2.76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13.91</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14:paraId="1F4055CC">
      <w:pPr>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优抚对象医疗补助2101401</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2.51</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12.65</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14:paraId="6484646E">
      <w:pPr>
        <w:pStyle w:val="20"/>
        <w:ind w:firstLine="643" w:firstLineChars="200"/>
        <w:rPr>
          <w:rStyle w:val="18"/>
          <w:rFonts w:hint="eastAsia" w:ascii="仿宋" w:hAnsi="仿宋" w:eastAsia="仿宋"/>
          <w:b w:val="0"/>
          <w:bCs/>
          <w:sz w:val="32"/>
          <w:szCs w:val="32"/>
        </w:rPr>
      </w:pPr>
      <w:r>
        <w:rPr>
          <w:rStyle w:val="18"/>
          <w:rFonts w:hint="eastAsia" w:ascii="仿宋" w:hAnsi="仿宋" w:eastAsia="仿宋"/>
          <w:b/>
          <w:bCs/>
          <w:sz w:val="32"/>
          <w:szCs w:val="32"/>
          <w:lang w:val="en-US" w:eastAsia="zh-CN"/>
        </w:rPr>
        <w:t>3.住房保障支出221</w:t>
      </w:r>
      <w:r>
        <w:rPr>
          <w:rStyle w:val="18"/>
          <w:rFonts w:ascii="仿宋" w:hAnsi="仿宋" w:eastAsia="仿宋"/>
          <w:b/>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18.5</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1.47</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14:paraId="7352D6F6">
      <w:pPr>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住房公积金2210201</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18.5</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14:paraId="5AF7EF68">
      <w:pPr>
        <w:tabs>
          <w:tab w:val="right" w:pos="8306"/>
        </w:tabs>
        <w:spacing w:line="600" w:lineRule="exact"/>
        <w:ind w:firstLine="640"/>
        <w:outlineLvl w:val="1"/>
        <w:rPr>
          <w:rStyle w:val="30"/>
        </w:rPr>
      </w:pPr>
      <w:bookmarkStart w:id="46" w:name="_Toc15377214"/>
      <w:bookmarkStart w:id="47"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46"/>
      <w:bookmarkEnd w:id="47"/>
      <w:r>
        <w:rPr>
          <w:rStyle w:val="30"/>
          <w:rFonts w:ascii="黑体" w:hAnsi="黑体" w:eastAsia="黑体"/>
          <w:b w:val="0"/>
        </w:rPr>
        <w:tab/>
      </w:r>
    </w:p>
    <w:p w14:paraId="756CF1AD">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eastAsia="仿宋"/>
          <w:sz w:val="32"/>
          <w:szCs w:val="32"/>
          <w:lang w:val="en-US" w:eastAsia="zh-CN"/>
        </w:rPr>
        <w:t>264.73</w:t>
      </w:r>
      <w:r>
        <w:rPr>
          <w:rFonts w:hint="eastAsia" w:ascii="仿宋" w:hAnsi="仿宋" w:eastAsia="仿宋"/>
          <w:sz w:val="32"/>
          <w:szCs w:val="32"/>
        </w:rPr>
        <w:t>万元，其中：</w:t>
      </w:r>
    </w:p>
    <w:p w14:paraId="3DCABB14">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eastAsia="仿宋"/>
          <w:sz w:val="32"/>
          <w:szCs w:val="32"/>
          <w:lang w:val="en-US" w:eastAsia="zh-CN"/>
        </w:rPr>
        <w:t>246.82</w:t>
      </w:r>
      <w:r>
        <w:rPr>
          <w:rFonts w:hint="eastAsia" w:ascii="仿宋" w:hAnsi="仿宋" w:eastAsia="仿宋"/>
          <w:sz w:val="32"/>
          <w:szCs w:val="32"/>
        </w:rPr>
        <w:t>万元，主要包括：基本工资</w:t>
      </w:r>
      <w:r>
        <w:rPr>
          <w:rFonts w:hint="eastAsia" w:ascii="仿宋" w:hAnsi="仿宋" w:eastAsia="仿宋"/>
          <w:sz w:val="32"/>
          <w:szCs w:val="32"/>
          <w:lang w:val="en-US" w:eastAsia="zh-CN"/>
        </w:rPr>
        <w:t>40.17万元</w:t>
      </w:r>
      <w:r>
        <w:rPr>
          <w:rFonts w:hint="eastAsia" w:ascii="仿宋" w:hAnsi="仿宋" w:eastAsia="仿宋"/>
          <w:sz w:val="32"/>
          <w:szCs w:val="32"/>
        </w:rPr>
        <w:t>、津贴补贴</w:t>
      </w:r>
      <w:r>
        <w:rPr>
          <w:rFonts w:hint="eastAsia" w:ascii="仿宋" w:hAnsi="仿宋" w:eastAsia="仿宋"/>
          <w:sz w:val="32"/>
          <w:szCs w:val="32"/>
          <w:lang w:val="en-US" w:eastAsia="zh-CN"/>
        </w:rPr>
        <w:t>73.19万元</w:t>
      </w:r>
      <w:r>
        <w:rPr>
          <w:rFonts w:hint="eastAsia" w:ascii="仿宋" w:hAnsi="仿宋" w:eastAsia="仿宋"/>
          <w:sz w:val="32"/>
          <w:szCs w:val="32"/>
        </w:rPr>
        <w:t>、奖金</w:t>
      </w:r>
      <w:r>
        <w:rPr>
          <w:rFonts w:hint="eastAsia" w:ascii="仿宋" w:hAnsi="仿宋" w:eastAsia="仿宋"/>
          <w:sz w:val="32"/>
          <w:szCs w:val="32"/>
          <w:lang w:val="en-US" w:eastAsia="zh-CN"/>
        </w:rPr>
        <w:t>32.83万元</w:t>
      </w:r>
      <w:r>
        <w:rPr>
          <w:rFonts w:hint="eastAsia" w:ascii="仿宋" w:hAnsi="仿宋" w:eastAsia="仿宋"/>
          <w:sz w:val="32"/>
          <w:szCs w:val="32"/>
        </w:rPr>
        <w:t>、伙食补助费</w:t>
      </w:r>
      <w:r>
        <w:rPr>
          <w:rFonts w:hint="eastAsia" w:ascii="仿宋" w:hAnsi="仿宋" w:eastAsia="仿宋"/>
          <w:sz w:val="32"/>
          <w:szCs w:val="32"/>
          <w:lang w:val="en-US" w:eastAsia="zh-CN"/>
        </w:rPr>
        <w:t>0万元</w:t>
      </w:r>
      <w:r>
        <w:rPr>
          <w:rFonts w:hint="eastAsia" w:ascii="仿宋" w:hAnsi="仿宋" w:eastAsia="仿宋"/>
          <w:sz w:val="32"/>
          <w:szCs w:val="32"/>
        </w:rPr>
        <w:t>、绩效工资</w:t>
      </w:r>
      <w:r>
        <w:rPr>
          <w:rFonts w:hint="eastAsia" w:ascii="仿宋" w:hAnsi="仿宋" w:eastAsia="仿宋"/>
          <w:sz w:val="32"/>
          <w:szCs w:val="32"/>
          <w:lang w:val="en-US" w:eastAsia="zh-CN"/>
        </w:rPr>
        <w:t>14.89万元</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22.76万元</w:t>
      </w:r>
      <w:r>
        <w:rPr>
          <w:rFonts w:hint="eastAsia" w:ascii="仿宋" w:hAnsi="仿宋" w:eastAsia="仿宋"/>
          <w:sz w:val="32"/>
          <w:szCs w:val="32"/>
        </w:rPr>
        <w:t>、职业年金缴费</w:t>
      </w:r>
      <w:r>
        <w:rPr>
          <w:rFonts w:hint="eastAsia" w:ascii="仿宋" w:hAnsi="仿宋" w:eastAsia="仿宋"/>
          <w:sz w:val="32"/>
          <w:szCs w:val="32"/>
          <w:lang w:val="en-US" w:eastAsia="zh-CN"/>
        </w:rPr>
        <w:t>11.24万元</w:t>
      </w:r>
      <w:r>
        <w:rPr>
          <w:rFonts w:hint="eastAsia" w:ascii="仿宋" w:hAnsi="仿宋" w:eastAsia="仿宋"/>
          <w:sz w:val="32"/>
          <w:szCs w:val="32"/>
        </w:rPr>
        <w:t>、</w:t>
      </w:r>
      <w:r>
        <w:rPr>
          <w:rFonts w:hint="eastAsia" w:ascii="仿宋" w:hAnsi="仿宋" w:eastAsia="仿宋"/>
          <w:sz w:val="32"/>
          <w:szCs w:val="32"/>
          <w:lang w:val="en-US" w:eastAsia="zh-CN"/>
        </w:rPr>
        <w:t>职工医疗保险缴费12.26万元、公务员医疗保险缴费5.07万元、</w:t>
      </w:r>
      <w:r>
        <w:rPr>
          <w:rFonts w:hint="eastAsia" w:ascii="仿宋" w:hAnsi="仿宋" w:eastAsia="仿宋"/>
          <w:sz w:val="32"/>
          <w:szCs w:val="32"/>
        </w:rPr>
        <w:t>其他社会保障缴费</w:t>
      </w:r>
      <w:r>
        <w:rPr>
          <w:rFonts w:hint="eastAsia" w:ascii="仿宋" w:hAnsi="仿宋" w:eastAsia="仿宋"/>
          <w:sz w:val="32"/>
          <w:szCs w:val="32"/>
          <w:lang w:val="en-US" w:eastAsia="zh-CN"/>
        </w:rPr>
        <w:t>2.92万元</w:t>
      </w:r>
      <w:r>
        <w:rPr>
          <w:rFonts w:hint="eastAsia" w:ascii="仿宋" w:hAnsi="仿宋" w:eastAsia="仿宋"/>
          <w:sz w:val="32"/>
          <w:szCs w:val="32"/>
        </w:rPr>
        <w:t>、</w:t>
      </w:r>
      <w:r>
        <w:rPr>
          <w:rFonts w:hint="eastAsia" w:ascii="仿宋" w:hAnsi="仿宋" w:eastAsia="仿宋"/>
          <w:sz w:val="32"/>
          <w:szCs w:val="32"/>
          <w:lang w:val="en-US" w:eastAsia="zh-CN"/>
        </w:rPr>
        <w:t>医疗费1.45万元、</w:t>
      </w:r>
      <w:r>
        <w:rPr>
          <w:rFonts w:hint="eastAsia" w:ascii="仿宋" w:hAnsi="仿宋" w:eastAsia="仿宋"/>
          <w:sz w:val="32"/>
          <w:szCs w:val="32"/>
        </w:rPr>
        <w:t>其他工资福利支出</w:t>
      </w:r>
      <w:r>
        <w:rPr>
          <w:rFonts w:hint="eastAsia" w:ascii="仿宋" w:hAnsi="仿宋" w:eastAsia="仿宋"/>
          <w:sz w:val="32"/>
          <w:szCs w:val="32"/>
          <w:lang w:val="en-US" w:eastAsia="zh-CN"/>
        </w:rPr>
        <w:t>9.33万元</w:t>
      </w:r>
      <w:r>
        <w:rPr>
          <w:rFonts w:hint="eastAsia" w:ascii="仿宋" w:hAnsi="仿宋" w:eastAsia="仿宋"/>
          <w:sz w:val="32"/>
          <w:szCs w:val="32"/>
        </w:rPr>
        <w:t>、离休费</w:t>
      </w:r>
      <w:r>
        <w:rPr>
          <w:rFonts w:hint="eastAsia" w:ascii="仿宋" w:hAnsi="仿宋" w:eastAsia="仿宋"/>
          <w:sz w:val="32"/>
          <w:szCs w:val="32"/>
          <w:lang w:val="en-US" w:eastAsia="zh-CN"/>
        </w:rPr>
        <w:t>0万元</w:t>
      </w:r>
      <w:r>
        <w:rPr>
          <w:rFonts w:hint="eastAsia" w:ascii="仿宋" w:hAnsi="仿宋" w:eastAsia="仿宋"/>
          <w:sz w:val="32"/>
          <w:szCs w:val="32"/>
        </w:rPr>
        <w:t>、退休费</w:t>
      </w:r>
      <w:r>
        <w:rPr>
          <w:rFonts w:hint="eastAsia" w:ascii="仿宋" w:hAnsi="仿宋" w:eastAsia="仿宋"/>
          <w:sz w:val="32"/>
          <w:szCs w:val="32"/>
          <w:lang w:val="en-US" w:eastAsia="zh-CN"/>
        </w:rPr>
        <w:t>0万元</w:t>
      </w:r>
      <w:r>
        <w:rPr>
          <w:rFonts w:hint="eastAsia" w:ascii="仿宋" w:hAnsi="仿宋" w:eastAsia="仿宋"/>
          <w:sz w:val="32"/>
          <w:szCs w:val="32"/>
        </w:rPr>
        <w:t>、抚恤金</w:t>
      </w:r>
      <w:r>
        <w:rPr>
          <w:rFonts w:hint="eastAsia" w:ascii="仿宋" w:hAnsi="仿宋" w:eastAsia="仿宋"/>
          <w:sz w:val="32"/>
          <w:szCs w:val="32"/>
          <w:lang w:val="en-US" w:eastAsia="zh-CN"/>
        </w:rPr>
        <w:t>0万元</w:t>
      </w:r>
      <w:r>
        <w:rPr>
          <w:rFonts w:hint="eastAsia" w:ascii="仿宋" w:hAnsi="仿宋" w:eastAsia="仿宋"/>
          <w:sz w:val="32"/>
          <w:szCs w:val="32"/>
        </w:rPr>
        <w:t>、生活补助</w:t>
      </w:r>
      <w:r>
        <w:rPr>
          <w:rFonts w:hint="eastAsia" w:ascii="仿宋" w:hAnsi="仿宋" w:eastAsia="仿宋"/>
          <w:sz w:val="32"/>
          <w:szCs w:val="32"/>
          <w:lang w:val="en-US" w:eastAsia="zh-CN"/>
        </w:rPr>
        <w:t>2.22万元</w:t>
      </w:r>
      <w:r>
        <w:rPr>
          <w:rFonts w:hint="eastAsia" w:ascii="仿宋" w:hAnsi="仿宋" w:eastAsia="仿宋"/>
          <w:sz w:val="32"/>
          <w:szCs w:val="32"/>
        </w:rPr>
        <w:t>、医疗费补助</w:t>
      </w:r>
      <w:r>
        <w:rPr>
          <w:rFonts w:hint="eastAsia" w:ascii="仿宋" w:hAnsi="仿宋" w:eastAsia="仿宋"/>
          <w:sz w:val="32"/>
          <w:szCs w:val="32"/>
          <w:lang w:val="en-US" w:eastAsia="zh-CN"/>
        </w:rPr>
        <w:t>0万元</w:t>
      </w:r>
      <w:r>
        <w:rPr>
          <w:rFonts w:hint="eastAsia" w:ascii="仿宋" w:hAnsi="仿宋" w:eastAsia="仿宋"/>
          <w:sz w:val="32"/>
          <w:szCs w:val="32"/>
        </w:rPr>
        <w:t>、奖励金</w:t>
      </w:r>
      <w:r>
        <w:rPr>
          <w:rFonts w:hint="eastAsia" w:ascii="仿宋" w:hAnsi="仿宋" w:eastAsia="仿宋"/>
          <w:sz w:val="32"/>
          <w:szCs w:val="32"/>
          <w:lang w:val="en-US" w:eastAsia="zh-CN"/>
        </w:rPr>
        <w:t>0.01万元</w:t>
      </w:r>
      <w:r>
        <w:rPr>
          <w:rFonts w:hint="eastAsia" w:ascii="仿宋" w:hAnsi="仿宋" w:eastAsia="仿宋"/>
          <w:sz w:val="32"/>
          <w:szCs w:val="32"/>
        </w:rPr>
        <w:t>、住房公积金</w:t>
      </w:r>
      <w:r>
        <w:rPr>
          <w:rFonts w:hint="eastAsia" w:ascii="仿宋" w:hAnsi="仿宋" w:eastAsia="仿宋"/>
          <w:sz w:val="32"/>
          <w:szCs w:val="32"/>
          <w:lang w:val="en-US" w:eastAsia="zh-CN"/>
        </w:rPr>
        <w:t>18.5万元</w:t>
      </w:r>
      <w:r>
        <w:rPr>
          <w:rFonts w:hint="eastAsia" w:ascii="仿宋" w:hAnsi="仿宋" w:eastAsia="仿宋"/>
          <w:sz w:val="32"/>
          <w:szCs w:val="32"/>
        </w:rPr>
        <w:t>、其他对个人和家庭的补助支出等。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17.91</w:t>
      </w:r>
      <w:r>
        <w:rPr>
          <w:rFonts w:hint="eastAsia" w:ascii="仿宋" w:hAnsi="仿宋" w:eastAsia="仿宋"/>
          <w:sz w:val="32"/>
          <w:szCs w:val="32"/>
        </w:rPr>
        <w:t>万元，主要包括：办公费</w:t>
      </w:r>
      <w:r>
        <w:rPr>
          <w:rFonts w:hint="eastAsia" w:ascii="仿宋" w:hAnsi="仿宋" w:eastAsia="仿宋"/>
          <w:sz w:val="32"/>
          <w:szCs w:val="32"/>
          <w:lang w:val="en-US" w:eastAsia="zh-CN"/>
        </w:rPr>
        <w:t>10.4万元</w:t>
      </w:r>
      <w:r>
        <w:rPr>
          <w:rFonts w:hint="eastAsia" w:ascii="仿宋" w:hAnsi="仿宋" w:eastAsia="仿宋"/>
          <w:sz w:val="32"/>
          <w:szCs w:val="32"/>
        </w:rPr>
        <w:t>、印刷费</w:t>
      </w:r>
      <w:r>
        <w:rPr>
          <w:rFonts w:hint="eastAsia" w:ascii="仿宋" w:hAnsi="仿宋" w:eastAsia="仿宋"/>
          <w:sz w:val="32"/>
          <w:szCs w:val="32"/>
          <w:lang w:val="en-US" w:eastAsia="zh-CN"/>
        </w:rPr>
        <w:t>1.35万元</w:t>
      </w:r>
      <w:r>
        <w:rPr>
          <w:rFonts w:hint="eastAsia" w:ascii="仿宋" w:hAnsi="仿宋" w:eastAsia="仿宋"/>
          <w:sz w:val="32"/>
          <w:szCs w:val="32"/>
        </w:rPr>
        <w:t>、咨询费</w:t>
      </w:r>
      <w:r>
        <w:rPr>
          <w:rFonts w:hint="eastAsia" w:ascii="仿宋" w:hAnsi="仿宋" w:eastAsia="仿宋"/>
          <w:sz w:val="32"/>
          <w:szCs w:val="32"/>
          <w:lang w:val="en-US" w:eastAsia="zh-CN"/>
        </w:rPr>
        <w:t>0万元</w:t>
      </w:r>
      <w:r>
        <w:rPr>
          <w:rFonts w:hint="eastAsia" w:ascii="仿宋" w:hAnsi="仿宋" w:eastAsia="仿宋"/>
          <w:sz w:val="32"/>
          <w:szCs w:val="32"/>
        </w:rPr>
        <w:t>、手续费</w:t>
      </w:r>
      <w:r>
        <w:rPr>
          <w:rFonts w:hint="eastAsia" w:ascii="仿宋" w:hAnsi="仿宋" w:eastAsia="仿宋"/>
          <w:sz w:val="32"/>
          <w:szCs w:val="32"/>
          <w:lang w:val="en-US" w:eastAsia="zh-CN"/>
        </w:rPr>
        <w:t>0万元</w:t>
      </w:r>
      <w:r>
        <w:rPr>
          <w:rFonts w:hint="eastAsia" w:ascii="仿宋" w:hAnsi="仿宋" w:eastAsia="仿宋"/>
          <w:sz w:val="32"/>
          <w:szCs w:val="32"/>
        </w:rPr>
        <w:t>、水费</w:t>
      </w:r>
      <w:r>
        <w:rPr>
          <w:rFonts w:hint="eastAsia" w:ascii="仿宋" w:hAnsi="仿宋" w:eastAsia="仿宋"/>
          <w:sz w:val="32"/>
          <w:szCs w:val="32"/>
          <w:lang w:val="en-US" w:eastAsia="zh-CN"/>
        </w:rPr>
        <w:t>0万元</w:t>
      </w:r>
      <w:r>
        <w:rPr>
          <w:rFonts w:hint="eastAsia" w:ascii="仿宋" w:hAnsi="仿宋" w:eastAsia="仿宋"/>
          <w:sz w:val="32"/>
          <w:szCs w:val="32"/>
        </w:rPr>
        <w:t>、电费</w:t>
      </w:r>
      <w:r>
        <w:rPr>
          <w:rFonts w:hint="eastAsia" w:ascii="仿宋" w:hAnsi="仿宋" w:eastAsia="仿宋"/>
          <w:sz w:val="32"/>
          <w:szCs w:val="32"/>
          <w:lang w:val="en-US" w:eastAsia="zh-CN"/>
        </w:rPr>
        <w:t>0.8万元</w:t>
      </w:r>
      <w:r>
        <w:rPr>
          <w:rFonts w:hint="eastAsia" w:ascii="仿宋" w:hAnsi="仿宋" w:eastAsia="仿宋"/>
          <w:sz w:val="32"/>
          <w:szCs w:val="32"/>
        </w:rPr>
        <w:t>、邮电费</w:t>
      </w:r>
      <w:r>
        <w:rPr>
          <w:rFonts w:hint="eastAsia" w:ascii="仿宋" w:hAnsi="仿宋" w:eastAsia="仿宋"/>
          <w:sz w:val="32"/>
          <w:szCs w:val="32"/>
          <w:lang w:val="en-US" w:eastAsia="zh-CN"/>
        </w:rPr>
        <w:t>0.6万元</w:t>
      </w:r>
      <w:r>
        <w:rPr>
          <w:rFonts w:hint="eastAsia" w:ascii="仿宋" w:hAnsi="仿宋" w:eastAsia="仿宋"/>
          <w:sz w:val="32"/>
          <w:szCs w:val="32"/>
        </w:rPr>
        <w:t>、取暖费</w:t>
      </w:r>
      <w:r>
        <w:rPr>
          <w:rFonts w:hint="eastAsia" w:ascii="仿宋" w:hAnsi="仿宋" w:eastAsia="仿宋"/>
          <w:sz w:val="32"/>
          <w:szCs w:val="32"/>
          <w:lang w:val="en-US" w:eastAsia="zh-CN"/>
        </w:rPr>
        <w:t>0.6万元</w:t>
      </w:r>
      <w:r>
        <w:rPr>
          <w:rFonts w:hint="eastAsia" w:ascii="仿宋" w:hAnsi="仿宋" w:eastAsia="仿宋"/>
          <w:sz w:val="32"/>
          <w:szCs w:val="32"/>
        </w:rPr>
        <w:t>、物业管理费</w:t>
      </w:r>
      <w:r>
        <w:rPr>
          <w:rFonts w:hint="eastAsia" w:ascii="仿宋" w:hAnsi="仿宋" w:eastAsia="仿宋"/>
          <w:sz w:val="32"/>
          <w:szCs w:val="32"/>
          <w:lang w:val="en-US" w:eastAsia="zh-CN"/>
        </w:rPr>
        <w:t>0万元</w:t>
      </w:r>
      <w:r>
        <w:rPr>
          <w:rFonts w:hint="eastAsia" w:ascii="仿宋" w:hAnsi="仿宋" w:eastAsia="仿宋"/>
          <w:sz w:val="32"/>
          <w:szCs w:val="32"/>
        </w:rPr>
        <w:t>、差旅费</w:t>
      </w:r>
      <w:r>
        <w:rPr>
          <w:rFonts w:hint="eastAsia" w:ascii="仿宋" w:hAnsi="仿宋" w:eastAsia="仿宋"/>
          <w:sz w:val="32"/>
          <w:szCs w:val="32"/>
          <w:lang w:val="en-US" w:eastAsia="zh-CN"/>
        </w:rPr>
        <w:t>1.98万元</w:t>
      </w:r>
      <w:r>
        <w:rPr>
          <w:rFonts w:hint="eastAsia" w:ascii="仿宋" w:hAnsi="仿宋" w:eastAsia="仿宋"/>
          <w:sz w:val="32"/>
          <w:szCs w:val="32"/>
        </w:rPr>
        <w:t>、因公出国（境）费用</w:t>
      </w:r>
      <w:r>
        <w:rPr>
          <w:rFonts w:hint="eastAsia" w:ascii="仿宋" w:hAnsi="仿宋" w:eastAsia="仿宋"/>
          <w:sz w:val="32"/>
          <w:szCs w:val="32"/>
          <w:lang w:val="en-US" w:eastAsia="zh-CN"/>
        </w:rPr>
        <w:t>0万元</w:t>
      </w:r>
      <w:r>
        <w:rPr>
          <w:rFonts w:hint="eastAsia" w:ascii="仿宋" w:hAnsi="仿宋" w:eastAsia="仿宋"/>
          <w:sz w:val="32"/>
          <w:szCs w:val="32"/>
        </w:rPr>
        <w:t>、维修（护）费</w:t>
      </w:r>
      <w:r>
        <w:rPr>
          <w:rFonts w:hint="eastAsia" w:ascii="仿宋" w:hAnsi="仿宋" w:eastAsia="仿宋"/>
          <w:sz w:val="32"/>
          <w:szCs w:val="32"/>
          <w:lang w:val="en-US" w:eastAsia="zh-CN"/>
        </w:rPr>
        <w:t>0万元</w:t>
      </w:r>
      <w:r>
        <w:rPr>
          <w:rFonts w:hint="eastAsia" w:ascii="仿宋" w:hAnsi="仿宋" w:eastAsia="仿宋"/>
          <w:sz w:val="32"/>
          <w:szCs w:val="32"/>
        </w:rPr>
        <w:t>、租赁费</w:t>
      </w:r>
      <w:r>
        <w:rPr>
          <w:rFonts w:hint="eastAsia" w:ascii="仿宋" w:hAnsi="仿宋" w:eastAsia="仿宋"/>
          <w:sz w:val="32"/>
          <w:szCs w:val="32"/>
          <w:lang w:val="en-US" w:eastAsia="zh-CN"/>
        </w:rPr>
        <w:t>0万元</w:t>
      </w:r>
      <w:r>
        <w:rPr>
          <w:rFonts w:hint="eastAsia" w:ascii="仿宋" w:hAnsi="仿宋" w:eastAsia="仿宋"/>
          <w:sz w:val="32"/>
          <w:szCs w:val="32"/>
        </w:rPr>
        <w:t>、会议费</w:t>
      </w:r>
      <w:r>
        <w:rPr>
          <w:rFonts w:hint="eastAsia" w:ascii="仿宋" w:hAnsi="仿宋" w:eastAsia="仿宋"/>
          <w:sz w:val="32"/>
          <w:szCs w:val="32"/>
          <w:lang w:val="en-US" w:eastAsia="zh-CN"/>
        </w:rPr>
        <w:t>0万元</w:t>
      </w:r>
      <w:r>
        <w:rPr>
          <w:rFonts w:hint="eastAsia" w:ascii="仿宋" w:hAnsi="仿宋" w:eastAsia="仿宋"/>
          <w:sz w:val="32"/>
          <w:szCs w:val="32"/>
        </w:rPr>
        <w:t>、培训费</w:t>
      </w:r>
      <w:r>
        <w:rPr>
          <w:rFonts w:hint="eastAsia" w:ascii="仿宋" w:hAnsi="仿宋" w:eastAsia="仿宋"/>
          <w:sz w:val="32"/>
          <w:szCs w:val="32"/>
          <w:lang w:val="en-US" w:eastAsia="zh-CN"/>
        </w:rPr>
        <w:t>0万元</w:t>
      </w:r>
      <w:r>
        <w:rPr>
          <w:rFonts w:hint="eastAsia" w:ascii="仿宋" w:hAnsi="仿宋" w:eastAsia="仿宋"/>
          <w:sz w:val="32"/>
          <w:szCs w:val="32"/>
        </w:rPr>
        <w:t>、公务接待费</w:t>
      </w:r>
      <w:r>
        <w:rPr>
          <w:rFonts w:hint="eastAsia" w:ascii="仿宋" w:hAnsi="仿宋" w:eastAsia="仿宋"/>
          <w:sz w:val="32"/>
          <w:szCs w:val="32"/>
          <w:lang w:val="en-US" w:eastAsia="zh-CN"/>
        </w:rPr>
        <w:t>0万元</w:t>
      </w:r>
      <w:r>
        <w:rPr>
          <w:rFonts w:hint="eastAsia" w:ascii="仿宋" w:hAnsi="仿宋" w:eastAsia="仿宋"/>
          <w:sz w:val="32"/>
          <w:szCs w:val="32"/>
        </w:rPr>
        <w:t>、劳务费</w:t>
      </w:r>
      <w:r>
        <w:rPr>
          <w:rFonts w:hint="eastAsia" w:ascii="仿宋" w:hAnsi="仿宋" w:eastAsia="仿宋"/>
          <w:sz w:val="32"/>
          <w:szCs w:val="32"/>
          <w:lang w:val="en-US" w:eastAsia="zh-CN"/>
        </w:rPr>
        <w:t>0万元</w:t>
      </w:r>
      <w:r>
        <w:rPr>
          <w:rFonts w:hint="eastAsia" w:ascii="仿宋" w:hAnsi="仿宋" w:eastAsia="仿宋"/>
          <w:sz w:val="32"/>
          <w:szCs w:val="32"/>
        </w:rPr>
        <w:t>、委托业务费</w:t>
      </w:r>
      <w:r>
        <w:rPr>
          <w:rFonts w:hint="eastAsia" w:ascii="仿宋" w:hAnsi="仿宋" w:eastAsia="仿宋"/>
          <w:sz w:val="32"/>
          <w:szCs w:val="32"/>
          <w:lang w:val="en-US" w:eastAsia="zh-CN"/>
        </w:rPr>
        <w:t>0万元</w:t>
      </w:r>
      <w:r>
        <w:rPr>
          <w:rFonts w:hint="eastAsia" w:ascii="仿宋" w:hAnsi="仿宋" w:eastAsia="仿宋"/>
          <w:sz w:val="32"/>
          <w:szCs w:val="32"/>
        </w:rPr>
        <w:t>、工会经费</w:t>
      </w:r>
      <w:r>
        <w:rPr>
          <w:rFonts w:hint="eastAsia" w:ascii="仿宋" w:hAnsi="仿宋" w:eastAsia="仿宋"/>
          <w:sz w:val="32"/>
          <w:szCs w:val="32"/>
          <w:lang w:val="en-US" w:eastAsia="zh-CN"/>
        </w:rPr>
        <w:t>1.82万元</w:t>
      </w:r>
      <w:r>
        <w:rPr>
          <w:rFonts w:hint="eastAsia" w:ascii="仿宋" w:hAnsi="仿宋" w:eastAsia="仿宋"/>
          <w:sz w:val="32"/>
          <w:szCs w:val="32"/>
        </w:rPr>
        <w:t>、福利费</w:t>
      </w:r>
      <w:r>
        <w:rPr>
          <w:rFonts w:hint="eastAsia" w:ascii="仿宋" w:hAnsi="仿宋" w:eastAsia="仿宋"/>
          <w:sz w:val="32"/>
          <w:szCs w:val="32"/>
          <w:lang w:val="en-US" w:eastAsia="zh-CN"/>
        </w:rPr>
        <w:t>0万元</w:t>
      </w:r>
      <w:r>
        <w:rPr>
          <w:rFonts w:hint="eastAsia" w:ascii="仿宋" w:hAnsi="仿宋" w:eastAsia="仿宋"/>
          <w:sz w:val="32"/>
          <w:szCs w:val="32"/>
        </w:rPr>
        <w:t>、公务用车运行维护费</w:t>
      </w:r>
      <w:r>
        <w:rPr>
          <w:rFonts w:hint="eastAsia" w:ascii="仿宋" w:hAnsi="仿宋" w:eastAsia="仿宋"/>
          <w:sz w:val="32"/>
          <w:szCs w:val="32"/>
          <w:lang w:val="en-US" w:eastAsia="zh-CN"/>
        </w:rPr>
        <w:t>0万元</w:t>
      </w:r>
      <w:r>
        <w:rPr>
          <w:rFonts w:hint="eastAsia" w:ascii="仿宋" w:hAnsi="仿宋" w:eastAsia="仿宋"/>
          <w:sz w:val="32"/>
          <w:szCs w:val="32"/>
        </w:rPr>
        <w:t>、其他交通费</w:t>
      </w:r>
      <w:r>
        <w:rPr>
          <w:rFonts w:hint="eastAsia" w:ascii="仿宋" w:hAnsi="仿宋" w:eastAsia="仿宋"/>
          <w:sz w:val="32"/>
          <w:szCs w:val="32"/>
          <w:lang w:val="en-US" w:eastAsia="zh-CN"/>
        </w:rPr>
        <w:t>0.36万元</w:t>
      </w:r>
      <w:r>
        <w:rPr>
          <w:rFonts w:hint="eastAsia" w:ascii="仿宋" w:hAnsi="仿宋" w:eastAsia="仿宋"/>
          <w:sz w:val="32"/>
          <w:szCs w:val="32"/>
        </w:rPr>
        <w:t>、税金及附加费用</w:t>
      </w:r>
      <w:r>
        <w:rPr>
          <w:rFonts w:hint="eastAsia" w:ascii="仿宋" w:hAnsi="仿宋" w:eastAsia="仿宋"/>
          <w:sz w:val="32"/>
          <w:szCs w:val="32"/>
          <w:lang w:val="en-US" w:eastAsia="zh-CN"/>
        </w:rPr>
        <w:t>0万元</w:t>
      </w:r>
      <w:r>
        <w:rPr>
          <w:rFonts w:hint="eastAsia" w:ascii="仿宋" w:hAnsi="仿宋" w:eastAsia="仿宋"/>
          <w:sz w:val="32"/>
          <w:szCs w:val="32"/>
        </w:rPr>
        <w:t>、其他商品和服务支出</w:t>
      </w:r>
      <w:r>
        <w:rPr>
          <w:rFonts w:hint="eastAsia" w:ascii="仿宋" w:hAnsi="仿宋" w:eastAsia="仿宋"/>
          <w:sz w:val="32"/>
          <w:szCs w:val="32"/>
          <w:lang w:val="en-US" w:eastAsia="zh-CN"/>
        </w:rPr>
        <w:t>0万元</w:t>
      </w:r>
      <w:r>
        <w:rPr>
          <w:rFonts w:hint="eastAsia" w:ascii="仿宋" w:hAnsi="仿宋" w:eastAsia="仿宋"/>
          <w:sz w:val="32"/>
          <w:szCs w:val="32"/>
        </w:rPr>
        <w:t>、办公设备购置</w:t>
      </w:r>
      <w:r>
        <w:rPr>
          <w:rFonts w:hint="eastAsia" w:ascii="仿宋" w:hAnsi="仿宋" w:eastAsia="仿宋"/>
          <w:sz w:val="32"/>
          <w:szCs w:val="32"/>
          <w:lang w:val="en-US" w:eastAsia="zh-CN"/>
        </w:rPr>
        <w:t>0万元</w:t>
      </w:r>
      <w:r>
        <w:rPr>
          <w:rFonts w:hint="eastAsia" w:ascii="仿宋" w:hAnsi="仿宋" w:eastAsia="仿宋"/>
          <w:sz w:val="32"/>
          <w:szCs w:val="32"/>
        </w:rPr>
        <w:t>、专用设备购置</w:t>
      </w:r>
      <w:r>
        <w:rPr>
          <w:rFonts w:hint="eastAsia" w:ascii="仿宋" w:hAnsi="仿宋" w:eastAsia="仿宋"/>
          <w:sz w:val="32"/>
          <w:szCs w:val="32"/>
          <w:lang w:val="en-US" w:eastAsia="zh-CN"/>
        </w:rPr>
        <w:t>0万元</w:t>
      </w:r>
      <w:r>
        <w:rPr>
          <w:rFonts w:hint="eastAsia" w:ascii="仿宋" w:hAnsi="仿宋" w:eastAsia="仿宋"/>
          <w:sz w:val="32"/>
          <w:szCs w:val="32"/>
        </w:rPr>
        <w:t>、信息网络及软件购置更新</w:t>
      </w:r>
      <w:r>
        <w:rPr>
          <w:rFonts w:hint="eastAsia" w:ascii="仿宋" w:hAnsi="仿宋" w:eastAsia="仿宋"/>
          <w:sz w:val="32"/>
          <w:szCs w:val="32"/>
          <w:lang w:val="en-US" w:eastAsia="zh-CN"/>
        </w:rPr>
        <w:t>0万元</w:t>
      </w:r>
      <w:r>
        <w:rPr>
          <w:rFonts w:hint="eastAsia" w:ascii="仿宋" w:hAnsi="仿宋" w:eastAsia="仿宋"/>
          <w:sz w:val="32"/>
          <w:szCs w:val="32"/>
        </w:rPr>
        <w:t>、其他资本性支出等。</w:t>
      </w:r>
    </w:p>
    <w:p w14:paraId="71E09832">
      <w:pPr>
        <w:spacing w:line="600" w:lineRule="exact"/>
        <w:ind w:firstLine="640"/>
        <w:outlineLvl w:val="1"/>
        <w:rPr>
          <w:rStyle w:val="30"/>
          <w:rFonts w:ascii="黑体" w:hAnsi="黑体" w:eastAsia="黑体"/>
          <w:b w:val="0"/>
        </w:rPr>
      </w:pPr>
      <w:bookmarkStart w:id="48" w:name="_Toc15377215"/>
      <w:bookmarkStart w:id="49" w:name="_Toc15396609"/>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48"/>
      <w:bookmarkEnd w:id="49"/>
    </w:p>
    <w:p w14:paraId="55E34688">
      <w:pPr>
        <w:spacing w:line="600" w:lineRule="exact"/>
        <w:ind w:firstLine="640"/>
        <w:outlineLvl w:val="2"/>
        <w:rPr>
          <w:rFonts w:ascii="仿宋" w:hAnsi="仿宋" w:eastAsia="仿宋"/>
          <w:b/>
          <w:sz w:val="32"/>
          <w:szCs w:val="32"/>
        </w:rPr>
      </w:pPr>
      <w:bookmarkStart w:id="50" w:name="_Toc15377216"/>
      <w:r>
        <w:rPr>
          <w:rFonts w:hint="eastAsia" w:ascii="仿宋" w:hAnsi="仿宋" w:eastAsia="仿宋"/>
          <w:b/>
          <w:sz w:val="32"/>
          <w:szCs w:val="32"/>
        </w:rPr>
        <w:t>（一）“三公”经费财政拨款支出决算总体情况说明</w:t>
      </w:r>
      <w:bookmarkEnd w:id="50"/>
    </w:p>
    <w:p w14:paraId="0DCE69FA">
      <w:pPr>
        <w:spacing w:line="600" w:lineRule="exact"/>
        <w:ind w:firstLine="640"/>
        <w:rPr>
          <w:rFonts w:ascii="仿宋" w:hAnsi="仿宋" w:eastAsia="仿宋"/>
          <w:b/>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sz w:val="32"/>
          <w:szCs w:val="32"/>
        </w:rPr>
        <w:t>0</w:t>
      </w:r>
      <w:r>
        <w:rPr>
          <w:rFonts w:hint="eastAsia" w:ascii="仿宋" w:hAnsi="仿宋" w:eastAsia="仿宋"/>
          <w:sz w:val="32"/>
          <w:szCs w:val="32"/>
        </w:rPr>
        <w:t>万元，完成预算</w:t>
      </w:r>
      <w:r>
        <w:rPr>
          <w:sz w:val="32"/>
          <w:szCs w:val="32"/>
        </w:rPr>
        <w:t>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w:t>
      </w:r>
      <w:r>
        <w:rPr>
          <w:rFonts w:hint="eastAsia" w:ascii="仿宋" w:hAnsi="仿宋" w:eastAsia="仿宋"/>
          <w:sz w:val="32"/>
          <w:szCs w:val="32"/>
        </w:rPr>
        <w:t>万元，下降</w:t>
      </w:r>
      <w:r>
        <w:rPr>
          <w:rFonts w:hint="eastAsia" w:ascii="仿宋" w:hAnsi="仿宋" w:eastAsia="仿宋"/>
          <w:sz w:val="32"/>
          <w:szCs w:val="32"/>
          <w:lang w:val="en-US" w:eastAsia="zh-CN"/>
        </w:rPr>
        <w:t>0</w:t>
      </w:r>
      <w:r>
        <w:rPr>
          <w:rFonts w:hint="eastAsia" w:ascii="仿宋" w:hAnsi="仿宋" w:eastAsia="仿宋"/>
          <w:sz w:val="32"/>
          <w:szCs w:val="32"/>
        </w:rPr>
        <w:t>%。决算数小于预算数的主要原因是</w:t>
      </w:r>
      <w:r>
        <w:rPr>
          <w:rFonts w:hint="eastAsia" w:ascii="仿宋" w:hAnsi="仿宋" w:eastAsia="仿宋"/>
          <w:sz w:val="32"/>
          <w:szCs w:val="32"/>
          <w:lang w:val="en-US" w:eastAsia="zh-CN"/>
        </w:rPr>
        <w:t>厉行节约</w:t>
      </w:r>
      <w:r>
        <w:rPr>
          <w:rFonts w:hint="eastAsia" w:ascii="仿宋" w:hAnsi="仿宋" w:eastAsia="仿宋"/>
          <w:sz w:val="32"/>
          <w:szCs w:val="32"/>
        </w:rPr>
        <w:t>。</w:t>
      </w:r>
    </w:p>
    <w:p w14:paraId="36EF4F5D">
      <w:pPr>
        <w:spacing w:line="600" w:lineRule="exact"/>
        <w:ind w:firstLine="640"/>
        <w:outlineLvl w:val="2"/>
        <w:rPr>
          <w:rFonts w:ascii="仿宋" w:hAnsi="仿宋" w:eastAsia="仿宋"/>
          <w:b/>
          <w:sz w:val="32"/>
          <w:szCs w:val="32"/>
        </w:rPr>
      </w:pPr>
      <w:bookmarkStart w:id="51" w:name="_Toc15377217"/>
      <w:r>
        <w:rPr>
          <w:rFonts w:hint="eastAsia" w:ascii="仿宋" w:hAnsi="仿宋" w:eastAsia="仿宋"/>
          <w:b/>
          <w:sz w:val="32"/>
          <w:szCs w:val="32"/>
        </w:rPr>
        <w:t>（二）“三公”经费财政拨款支出决算具体情况说明</w:t>
      </w:r>
      <w:bookmarkEnd w:id="51"/>
    </w:p>
    <w:p w14:paraId="45ADF22E">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p>
    <w:p w14:paraId="3CF7CBCC">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085756C9">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w:t>
      </w:r>
      <w:r>
        <w:rPr>
          <w:rFonts w:hint="eastAsia" w:ascii="仿宋_GB2312" w:eastAsia="仿宋_GB2312"/>
          <w:sz w:val="32"/>
          <w:szCs w:val="32"/>
        </w:rPr>
        <w:t>。</w:t>
      </w:r>
    </w:p>
    <w:p w14:paraId="72B4A7EB">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w:t>
      </w:r>
      <w:r>
        <w:rPr>
          <w:rFonts w:hint="eastAsia" w:ascii="仿宋_GB2312" w:eastAsia="仿宋_GB2312"/>
          <w:sz w:val="32"/>
          <w:szCs w:val="32"/>
        </w:rPr>
        <w:t>。</w:t>
      </w:r>
    </w:p>
    <w:p w14:paraId="2CCEAB32">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214DE02A">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w:t>
      </w:r>
      <w:r>
        <w:rPr>
          <w:rFonts w:hint="eastAsia" w:ascii="仿宋_GB2312" w:eastAsia="仿宋_GB2312"/>
          <w:sz w:val="32"/>
          <w:szCs w:val="32"/>
        </w:rPr>
        <w:t>。其中：</w:t>
      </w:r>
    </w:p>
    <w:p w14:paraId="7B194695">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万元，主要用于开展业务活动开支的住宿费、用餐费等。国内公务接待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万元，具体内容包括：（接待具体项目、金额）。</w:t>
      </w:r>
    </w:p>
    <w:p w14:paraId="2ECDDD95">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万元，主要用于接待（具体项目）。外事接待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0F6676BB">
      <w:pPr>
        <w:spacing w:line="600" w:lineRule="exact"/>
        <w:ind w:firstLine="640"/>
        <w:outlineLvl w:val="1"/>
        <w:rPr>
          <w:rStyle w:val="30"/>
          <w:rFonts w:ascii="黑体" w:hAnsi="黑体" w:eastAsia="黑体"/>
        </w:rPr>
      </w:pPr>
      <w:bookmarkStart w:id="52" w:name="_Toc15396610"/>
      <w:bookmarkStart w:id="53" w:name="_Toc15377218"/>
      <w:r>
        <w:rPr>
          <w:rFonts w:hint="eastAsia" w:ascii="黑体" w:eastAsia="黑体"/>
          <w:sz w:val="32"/>
          <w:szCs w:val="32"/>
        </w:rPr>
        <w:t>八、</w:t>
      </w:r>
      <w:r>
        <w:rPr>
          <w:rStyle w:val="30"/>
          <w:rFonts w:hint="eastAsia" w:ascii="黑体" w:hAnsi="黑体" w:eastAsia="黑体"/>
          <w:b w:val="0"/>
        </w:rPr>
        <w:t>政府性基金预算支出决算情况说明</w:t>
      </w:r>
      <w:bookmarkEnd w:id="52"/>
      <w:bookmarkEnd w:id="53"/>
    </w:p>
    <w:p w14:paraId="3C1AB93A">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sz w:val="32"/>
          <w:szCs w:val="32"/>
          <w:lang w:val="en-US" w:eastAsia="zh-CN"/>
        </w:rPr>
        <w:t>年初无</w:t>
      </w:r>
      <w:r>
        <w:rPr>
          <w:rFonts w:hint="eastAsia" w:ascii="仿宋_GB2312" w:eastAsia="仿宋_GB2312"/>
          <w:sz w:val="32"/>
          <w:szCs w:val="32"/>
        </w:rPr>
        <w:t>政府性基金预算财政拨款</w:t>
      </w:r>
      <w:r>
        <w:rPr>
          <w:rFonts w:hint="eastAsia" w:ascii="仿宋_GB2312" w:eastAsia="仿宋_GB2312"/>
          <w:sz w:val="32"/>
          <w:szCs w:val="32"/>
          <w:lang w:val="en-US" w:eastAsia="zh-CN"/>
        </w:rPr>
        <w:t>收入</w:t>
      </w:r>
      <w:r>
        <w:rPr>
          <w:rFonts w:hint="eastAsia" w:ascii="仿宋_GB2312" w:eastAsia="仿宋_GB2312"/>
          <w:sz w:val="32"/>
          <w:szCs w:val="32"/>
        </w:rPr>
        <w:t>。</w:t>
      </w:r>
    </w:p>
    <w:p w14:paraId="570089C2">
      <w:pPr>
        <w:numPr>
          <w:ilvl w:val="0"/>
          <w:numId w:val="3"/>
        </w:numPr>
        <w:spacing w:line="600" w:lineRule="exact"/>
        <w:ind w:firstLine="640"/>
        <w:outlineLvl w:val="1"/>
        <w:rPr>
          <w:rStyle w:val="30"/>
          <w:rFonts w:ascii="黑体" w:hAnsi="黑体" w:eastAsia="黑体"/>
          <w:b w:val="0"/>
        </w:rPr>
      </w:pPr>
      <w:bookmarkStart w:id="54" w:name="_Toc15377219"/>
      <w:bookmarkStart w:id="55" w:name="_Toc15396611"/>
      <w:r>
        <w:rPr>
          <w:rStyle w:val="30"/>
          <w:rFonts w:hint="eastAsia" w:ascii="黑体" w:hAnsi="黑体" w:eastAsia="黑体"/>
          <w:b w:val="0"/>
        </w:rPr>
        <w:t>国有资本经营预算支出决算情况说明</w:t>
      </w:r>
      <w:bookmarkEnd w:id="54"/>
      <w:bookmarkEnd w:id="55"/>
    </w:p>
    <w:p w14:paraId="257B9DB5">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sz w:val="32"/>
          <w:szCs w:val="32"/>
          <w:lang w:val="en-US" w:eastAsia="zh-CN"/>
        </w:rPr>
        <w:t>年初无</w:t>
      </w:r>
      <w:r>
        <w:rPr>
          <w:rFonts w:hint="eastAsia" w:ascii="仿宋_GB2312" w:eastAsia="仿宋_GB2312"/>
          <w:sz w:val="32"/>
          <w:szCs w:val="32"/>
        </w:rPr>
        <w:t>国有资本经营预算财政拨款</w:t>
      </w:r>
      <w:r>
        <w:rPr>
          <w:rFonts w:hint="eastAsia" w:ascii="仿宋_GB2312" w:eastAsia="仿宋_GB2312"/>
          <w:sz w:val="32"/>
          <w:szCs w:val="32"/>
          <w:lang w:val="en-US" w:eastAsia="zh-CN"/>
        </w:rPr>
        <w:t>收入</w:t>
      </w:r>
      <w:r>
        <w:rPr>
          <w:rFonts w:hint="eastAsia" w:ascii="仿宋_GB2312" w:eastAsia="仿宋_GB2312"/>
          <w:sz w:val="32"/>
          <w:szCs w:val="32"/>
        </w:rPr>
        <w:t>。</w:t>
      </w:r>
    </w:p>
    <w:p w14:paraId="1A873095">
      <w:pPr>
        <w:numPr>
          <w:ilvl w:val="0"/>
          <w:numId w:val="3"/>
        </w:numPr>
        <w:spacing w:line="600" w:lineRule="exact"/>
        <w:ind w:firstLine="640"/>
        <w:outlineLvl w:val="1"/>
        <w:rPr>
          <w:rStyle w:val="30"/>
          <w:rFonts w:ascii="黑体" w:hAnsi="黑体" w:eastAsia="黑体"/>
          <w:b w:val="0"/>
        </w:rPr>
      </w:pPr>
      <w:bookmarkStart w:id="56" w:name="_Toc15396612"/>
      <w:bookmarkStart w:id="57" w:name="_Toc15377221"/>
      <w:r>
        <w:rPr>
          <w:rStyle w:val="30"/>
          <w:rFonts w:hint="eastAsia" w:ascii="黑体" w:hAnsi="黑体" w:eastAsia="黑体"/>
          <w:b w:val="0"/>
        </w:rPr>
        <w:t>其他重要事项的情况说明</w:t>
      </w:r>
      <w:bookmarkEnd w:id="56"/>
      <w:bookmarkEnd w:id="57"/>
    </w:p>
    <w:p w14:paraId="7EA8F7B5">
      <w:pPr>
        <w:spacing w:line="600" w:lineRule="exact"/>
        <w:ind w:firstLine="643" w:firstLineChars="200"/>
        <w:outlineLvl w:val="2"/>
        <w:rPr>
          <w:rFonts w:ascii="仿宋" w:hAnsi="仿宋" w:eastAsia="仿宋"/>
          <w:sz w:val="32"/>
          <w:szCs w:val="32"/>
        </w:rPr>
      </w:pPr>
      <w:bookmarkStart w:id="58" w:name="_Toc15377222"/>
      <w:r>
        <w:rPr>
          <w:rFonts w:hint="eastAsia" w:ascii="仿宋" w:hAnsi="仿宋" w:eastAsia="仿宋"/>
          <w:b/>
          <w:sz w:val="32"/>
          <w:szCs w:val="32"/>
        </w:rPr>
        <w:t>（一）机关运行经费支出情况</w:t>
      </w:r>
      <w:bookmarkEnd w:id="58"/>
    </w:p>
    <w:p w14:paraId="58269829">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hAnsi="Times New Roman" w:eastAsia="仿宋_GB2312" w:cs="Times New Roman"/>
          <w:sz w:val="32"/>
          <w:szCs w:val="32"/>
        </w:rPr>
        <w:t>红原县退役军人事务局机关运行经费支</w:t>
      </w:r>
      <w:r>
        <w:rPr>
          <w:rFonts w:hint="eastAsia" w:ascii="仿宋_GB2312" w:eastAsia="仿宋_GB2312"/>
          <w:sz w:val="32"/>
          <w:szCs w:val="32"/>
        </w:rPr>
        <w:t>出</w:t>
      </w:r>
      <w:r>
        <w:rPr>
          <w:sz w:val="32"/>
          <w:szCs w:val="32"/>
        </w:rPr>
        <w:t>11.</w:t>
      </w:r>
      <w:r>
        <w:rPr>
          <w:rFonts w:hint="eastAsia"/>
          <w:sz w:val="32"/>
          <w:szCs w:val="32"/>
          <w:lang w:val="en-US" w:eastAsia="zh-CN"/>
        </w:rPr>
        <w:t>46</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sz w:val="32"/>
          <w:szCs w:val="32"/>
          <w:lang w:val="en-US" w:eastAsia="zh-CN"/>
        </w:rPr>
        <w:t>0.37</w:t>
      </w:r>
      <w:r>
        <w:rPr>
          <w:rFonts w:hint="eastAsia" w:ascii="仿宋_GB2312" w:eastAsia="仿宋_GB2312"/>
          <w:sz w:val="32"/>
          <w:szCs w:val="32"/>
        </w:rPr>
        <w:t>万元，增长</w:t>
      </w:r>
      <w:r>
        <w:rPr>
          <w:rFonts w:hint="eastAsia" w:ascii="仿宋_GB2312" w:eastAsia="仿宋_GB2312"/>
          <w:sz w:val="32"/>
          <w:szCs w:val="32"/>
          <w:lang w:val="en-US" w:eastAsia="zh-CN"/>
        </w:rPr>
        <w:t>3.38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公用经费增加</w:t>
      </w:r>
      <w:r>
        <w:rPr>
          <w:rFonts w:hint="eastAsia" w:ascii="仿宋_GB2312" w:eastAsia="仿宋_GB2312"/>
          <w:sz w:val="32"/>
          <w:szCs w:val="32"/>
        </w:rPr>
        <w:t>。</w:t>
      </w:r>
    </w:p>
    <w:p w14:paraId="34F9B912">
      <w:pPr>
        <w:autoSpaceDE w:val="0"/>
        <w:autoSpaceDN w:val="0"/>
        <w:adjustRightInd w:val="0"/>
        <w:spacing w:line="600" w:lineRule="exact"/>
        <w:ind w:firstLine="643" w:firstLineChars="200"/>
        <w:jc w:val="left"/>
        <w:outlineLvl w:val="2"/>
        <w:rPr>
          <w:rFonts w:ascii="仿宋" w:hAnsi="仿宋" w:eastAsia="仿宋"/>
          <w:b/>
          <w:sz w:val="32"/>
          <w:szCs w:val="32"/>
        </w:rPr>
      </w:pPr>
      <w:bookmarkStart w:id="59" w:name="_Toc15377223"/>
      <w:r>
        <w:rPr>
          <w:rFonts w:hint="eastAsia" w:ascii="仿宋" w:hAnsi="仿宋" w:eastAsia="仿宋"/>
          <w:b/>
          <w:sz w:val="32"/>
          <w:szCs w:val="32"/>
        </w:rPr>
        <w:t>（二）政府采购支出情况</w:t>
      </w:r>
      <w:bookmarkEnd w:id="59"/>
    </w:p>
    <w:p w14:paraId="3AC228C2">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hAnsi="Times New Roman" w:eastAsia="仿宋_GB2312" w:cs="Times New Roman"/>
          <w:sz w:val="32"/>
          <w:szCs w:val="32"/>
        </w:rPr>
        <w:t>，红原县退役军人事务局政府采购支出总</w:t>
      </w:r>
      <w:r>
        <w:rPr>
          <w:rFonts w:hint="eastAsia" w:ascii="仿宋_GB2312" w:eastAsia="仿宋_GB2312"/>
          <w:sz w:val="32"/>
          <w:szCs w:val="32"/>
        </w:rPr>
        <w:t>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546CA02B">
      <w:pPr>
        <w:autoSpaceDE w:val="0"/>
        <w:autoSpaceDN w:val="0"/>
        <w:adjustRightInd w:val="0"/>
        <w:spacing w:line="600" w:lineRule="exact"/>
        <w:ind w:firstLine="643" w:firstLineChars="200"/>
        <w:jc w:val="left"/>
        <w:outlineLvl w:val="2"/>
        <w:rPr>
          <w:rFonts w:ascii="仿宋" w:hAnsi="仿宋" w:eastAsia="仿宋"/>
          <w:b/>
          <w:sz w:val="32"/>
          <w:szCs w:val="32"/>
        </w:rPr>
      </w:pPr>
      <w:bookmarkStart w:id="60" w:name="_Toc15377224"/>
      <w:r>
        <w:rPr>
          <w:rFonts w:hint="eastAsia" w:ascii="仿宋" w:hAnsi="仿宋" w:eastAsia="仿宋"/>
          <w:b/>
          <w:sz w:val="32"/>
          <w:szCs w:val="32"/>
        </w:rPr>
        <w:t>（三）国有资产占有使用情况</w:t>
      </w:r>
      <w:bookmarkEnd w:id="60"/>
    </w:p>
    <w:p w14:paraId="676721FB">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hAnsi="Times New Roman" w:eastAsia="仿宋_GB2312" w:cs="Times New Roman"/>
          <w:sz w:val="32"/>
          <w:szCs w:val="32"/>
        </w:rPr>
        <w:t>，红原县退役军人事务局共有</w:t>
      </w:r>
      <w:r>
        <w:rPr>
          <w:rFonts w:hint="eastAsia" w:ascii="仿宋_GB2312" w:eastAsia="仿宋_GB2312"/>
          <w:sz w:val="32"/>
          <w:szCs w:val="32"/>
        </w:rPr>
        <w:t>车辆</w:t>
      </w:r>
      <w:r>
        <w:rPr>
          <w:rFonts w:ascii="仿宋_GB2312" w:eastAsia="仿宋_GB2312"/>
          <w:sz w:val="32"/>
          <w:szCs w:val="32"/>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辆，其他用车主要是用于</w:t>
      </w:r>
      <w:r>
        <w:rPr>
          <w:rFonts w:hint="eastAsia" w:ascii="仿宋_GB2312" w:eastAsia="仿宋_GB2312"/>
          <w:sz w:val="32"/>
          <w:szCs w:val="32"/>
          <w:lang w:val="en-US" w:eastAsia="zh-CN"/>
        </w:rPr>
        <w:t>公务用车燃油费、保险费、洗车费等</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25AD0B17">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76AE084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年度预算编制阶段，组织对</w:t>
      </w:r>
      <w:r>
        <w:rPr>
          <w:rFonts w:hint="eastAsia" w:ascii="仿宋_GB2312" w:hAnsi="仿宋_GB2312" w:eastAsia="仿宋_GB2312" w:cs="仿宋_GB2312"/>
          <w:sz w:val="32"/>
          <w:szCs w:val="32"/>
          <w:lang w:eastAsia="zh-CN"/>
        </w:rPr>
        <w:t>“退役军人事务局军转干部补助资金”、“双拥经费”、“军转干补助”、“义务兵优待金补助”、“军休无军籍工资”、“退役士兵一次性经济补助”</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个项目开展绩效监控。</w:t>
      </w:r>
    </w:p>
    <w:p w14:paraId="052416C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年度一般公共预算、政府性基金预算、国有资本经营预算、社会保险基金预算以及资本资产、债券资金等全面开展绩效自评，形成部门整体（含部门预算项目）绩效自评报告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分，绩效自评综述</w:t>
      </w:r>
      <w:r>
        <w:rPr>
          <w:rFonts w:hint="eastAsia" w:ascii="仿宋_GB2312" w:hAnsi="仿宋" w:eastAsia="仿宋_GB2312" w:cs="仿宋_GB2312"/>
          <w:color w:val="000000"/>
          <w:kern w:val="0"/>
          <w:sz w:val="32"/>
          <w:szCs w:val="32"/>
          <w:lang w:val="en-US" w:eastAsia="zh-CN" w:bidi="ar"/>
        </w:rPr>
        <w:t>（1）部门预算严格按照上级部门预算编制通知和有关要求，结合单位具体工作及县级相关规定编制，按时完成基础、项目报送工作，我局预算按时在红原县门户网站公开。</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eastAsia="仿宋_GB2312" w:cs="仿宋_GB2312"/>
          <w:color w:val="000000"/>
          <w:kern w:val="0"/>
          <w:sz w:val="32"/>
          <w:szCs w:val="32"/>
          <w:lang w:val="en-US" w:eastAsia="zh-CN" w:bidi="ar"/>
        </w:rPr>
        <w:t xml:space="preserve">   （2）严格执行支出预算，“三公经费”本着节约、高效的原则严格控制支出。</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eastAsia="仿宋_GB2312" w:cs="仿宋_GB2312"/>
          <w:color w:val="000000"/>
          <w:kern w:val="0"/>
          <w:sz w:val="32"/>
          <w:szCs w:val="32"/>
          <w:lang w:val="en-US" w:eastAsia="zh-CN" w:bidi="ar"/>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w:t>
      </w:r>
    </w:p>
    <w:p w14:paraId="5A6E86D7">
      <w:pPr>
        <w:pStyle w:val="3"/>
        <w:jc w:val="center"/>
      </w:pPr>
      <w:bookmarkStart w:id="61" w:name="_Toc5327"/>
      <w:r>
        <w:rPr>
          <w:rFonts w:hint="eastAsia"/>
        </w:rPr>
        <w:t>第三部分 名词解释</w:t>
      </w:r>
      <w:bookmarkEnd w:id="61"/>
    </w:p>
    <w:p w14:paraId="50137908"/>
    <w:p w14:paraId="6D11FEDC">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122A57DA">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38ED7C2D">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5CE50F05">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14:paraId="242D539E">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744A47DD">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2FAC647E">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3451C7A0">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5E073CD3">
      <w:pPr>
        <w:ind w:firstLine="640" w:firstLineChars="200"/>
        <w:rPr>
          <w:rFonts w:hint="eastAsia" w:ascii="仿宋_GB2312" w:eastAsia="仿宋_GB2312"/>
          <w:sz w:val="32"/>
          <w:szCs w:val="32"/>
        </w:rPr>
      </w:pPr>
      <w:r>
        <w:rPr>
          <w:rFonts w:hint="eastAsia" w:ascii="仿宋_GB2312" w:eastAsia="仿宋_GB2312"/>
          <w:sz w:val="32"/>
          <w:szCs w:val="32"/>
        </w:rPr>
        <w:t>9.一般公共服务（类）…（款）…（项）：指……。</w:t>
      </w:r>
    </w:p>
    <w:p w14:paraId="72A6997D">
      <w:pPr>
        <w:ind w:firstLine="640" w:firstLineChars="200"/>
        <w:rPr>
          <w:rFonts w:hint="eastAsia" w:ascii="仿宋_GB2312" w:eastAsia="仿宋_GB2312"/>
          <w:sz w:val="32"/>
          <w:szCs w:val="32"/>
        </w:rPr>
      </w:pPr>
      <w:r>
        <w:rPr>
          <w:rFonts w:hint="eastAsia" w:ascii="仿宋_GB2312" w:eastAsia="仿宋_GB2312"/>
          <w:sz w:val="32"/>
          <w:szCs w:val="32"/>
        </w:rPr>
        <w:t>10.外交（类）…（款）…（项）：指……。</w:t>
      </w:r>
    </w:p>
    <w:p w14:paraId="205FAEBD">
      <w:pPr>
        <w:ind w:firstLine="640" w:firstLineChars="200"/>
        <w:rPr>
          <w:rFonts w:hint="eastAsia" w:ascii="仿宋_GB2312" w:eastAsia="仿宋_GB2312"/>
          <w:sz w:val="32"/>
          <w:szCs w:val="32"/>
        </w:rPr>
      </w:pPr>
      <w:r>
        <w:rPr>
          <w:rFonts w:hint="eastAsia" w:ascii="仿宋_GB2312" w:eastAsia="仿宋_GB2312"/>
          <w:sz w:val="32"/>
          <w:szCs w:val="32"/>
        </w:rPr>
        <w:t>11.公共安全（类）…（款）…（项）：指……。</w:t>
      </w:r>
    </w:p>
    <w:p w14:paraId="4EB3ECFA">
      <w:pPr>
        <w:ind w:firstLine="640" w:firstLineChars="200"/>
        <w:rPr>
          <w:rFonts w:hint="eastAsia" w:ascii="仿宋_GB2312" w:eastAsia="仿宋_GB2312"/>
          <w:sz w:val="32"/>
          <w:szCs w:val="32"/>
        </w:rPr>
      </w:pPr>
      <w:r>
        <w:rPr>
          <w:rFonts w:hint="eastAsia" w:ascii="仿宋_GB2312" w:eastAsia="仿宋_GB2312"/>
          <w:sz w:val="32"/>
          <w:szCs w:val="32"/>
        </w:rPr>
        <w:t>12.教育（类）…（款）…（项）：指……。</w:t>
      </w:r>
    </w:p>
    <w:p w14:paraId="7BEBD5DC">
      <w:pPr>
        <w:ind w:firstLine="640" w:firstLineChars="200"/>
        <w:rPr>
          <w:rFonts w:hint="eastAsia" w:ascii="仿宋_GB2312" w:eastAsia="仿宋_GB2312"/>
          <w:sz w:val="32"/>
          <w:szCs w:val="32"/>
        </w:rPr>
      </w:pPr>
      <w:r>
        <w:rPr>
          <w:rFonts w:hint="eastAsia" w:ascii="仿宋_GB2312" w:eastAsia="仿宋_GB2312"/>
          <w:sz w:val="32"/>
          <w:szCs w:val="32"/>
        </w:rPr>
        <w:t>13.科学技术（类）…（款）…（项）：指……。</w:t>
      </w:r>
    </w:p>
    <w:p w14:paraId="43096D40">
      <w:pPr>
        <w:ind w:firstLine="640" w:firstLineChars="200"/>
        <w:rPr>
          <w:rFonts w:hint="eastAsia" w:ascii="仿宋_GB2312" w:eastAsia="仿宋_GB2312"/>
          <w:sz w:val="32"/>
          <w:szCs w:val="32"/>
        </w:rPr>
      </w:pPr>
      <w:r>
        <w:rPr>
          <w:rFonts w:hint="eastAsia" w:ascii="仿宋_GB2312" w:eastAsia="仿宋_GB2312"/>
          <w:sz w:val="32"/>
          <w:szCs w:val="32"/>
        </w:rPr>
        <w:t>14.文化旅游体育与传媒（类）…（款）…（项）：指……。</w:t>
      </w:r>
    </w:p>
    <w:p w14:paraId="3F286761">
      <w:pPr>
        <w:ind w:firstLine="640" w:firstLineChars="200"/>
        <w:rPr>
          <w:rFonts w:hint="eastAsia" w:ascii="仿宋_GB2312" w:eastAsia="仿宋_GB2312"/>
          <w:sz w:val="32"/>
          <w:szCs w:val="32"/>
        </w:rPr>
      </w:pPr>
      <w:r>
        <w:rPr>
          <w:rFonts w:hint="eastAsia" w:ascii="仿宋_GB2312" w:eastAsia="仿宋_GB2312"/>
          <w:sz w:val="32"/>
          <w:szCs w:val="32"/>
        </w:rPr>
        <w:t>15.社会保障和就业（类）…（款）…（项）：指……。</w:t>
      </w:r>
    </w:p>
    <w:p w14:paraId="72508407">
      <w:pPr>
        <w:ind w:firstLine="640" w:firstLineChars="200"/>
        <w:rPr>
          <w:rFonts w:hint="eastAsia" w:ascii="仿宋_GB2312" w:eastAsia="仿宋_GB2312"/>
          <w:sz w:val="32"/>
          <w:szCs w:val="32"/>
        </w:rPr>
      </w:pPr>
      <w:r>
        <w:rPr>
          <w:rFonts w:hint="eastAsia" w:ascii="仿宋_GB2312" w:eastAsia="仿宋_GB2312"/>
          <w:sz w:val="32"/>
          <w:szCs w:val="32"/>
        </w:rPr>
        <w:t>16.卫生健康（类）…（款）…（项）：指……。</w:t>
      </w:r>
    </w:p>
    <w:p w14:paraId="38CB4960">
      <w:pPr>
        <w:ind w:firstLine="640" w:firstLineChars="200"/>
        <w:rPr>
          <w:rFonts w:hint="eastAsia" w:ascii="仿宋_GB2312" w:eastAsia="仿宋_GB2312"/>
          <w:sz w:val="32"/>
          <w:szCs w:val="32"/>
        </w:rPr>
      </w:pPr>
      <w:r>
        <w:rPr>
          <w:rFonts w:hint="eastAsia" w:ascii="仿宋_GB2312" w:eastAsia="仿宋_GB2312"/>
          <w:sz w:val="32"/>
          <w:szCs w:val="32"/>
        </w:rPr>
        <w:t>17.节能环保（类）…（款）…（项）：指……。</w:t>
      </w:r>
    </w:p>
    <w:p w14:paraId="4A7F5415">
      <w:pPr>
        <w:ind w:firstLine="640" w:firstLineChars="200"/>
        <w:rPr>
          <w:rFonts w:hint="eastAsia" w:ascii="仿宋_GB2312" w:eastAsia="仿宋_GB2312"/>
          <w:sz w:val="32"/>
          <w:szCs w:val="32"/>
        </w:rPr>
      </w:pPr>
      <w:r>
        <w:rPr>
          <w:rFonts w:hint="eastAsia" w:ascii="仿宋_GB2312" w:eastAsia="仿宋_GB2312"/>
          <w:sz w:val="32"/>
          <w:szCs w:val="32"/>
        </w:rPr>
        <w:t>18.城乡社区（类）…（款）…（项）：指……。</w:t>
      </w:r>
    </w:p>
    <w:p w14:paraId="4AFAC565">
      <w:pPr>
        <w:ind w:firstLine="640" w:firstLineChars="200"/>
        <w:rPr>
          <w:rFonts w:hint="eastAsia" w:ascii="仿宋_GB2312" w:eastAsia="仿宋_GB2312"/>
          <w:sz w:val="32"/>
          <w:szCs w:val="32"/>
        </w:rPr>
      </w:pPr>
      <w:r>
        <w:rPr>
          <w:rFonts w:hint="eastAsia" w:ascii="仿宋_GB2312" w:eastAsia="仿宋_GB2312"/>
          <w:sz w:val="32"/>
          <w:szCs w:val="32"/>
        </w:rPr>
        <w:t>19.农林水（类）…（款）…（项）：指……。</w:t>
      </w:r>
    </w:p>
    <w:p w14:paraId="48D54537">
      <w:pPr>
        <w:ind w:firstLine="640" w:firstLineChars="200"/>
        <w:rPr>
          <w:rFonts w:hint="eastAsia" w:ascii="仿宋_GB2312" w:eastAsia="仿宋_GB2312"/>
          <w:sz w:val="32"/>
          <w:szCs w:val="32"/>
        </w:rPr>
      </w:pPr>
      <w:r>
        <w:rPr>
          <w:rFonts w:hint="eastAsia" w:ascii="仿宋_GB2312" w:eastAsia="仿宋_GB2312"/>
          <w:sz w:val="32"/>
          <w:szCs w:val="32"/>
        </w:rPr>
        <w:t>20.交通运输（类）…（款）…（项）：指……。</w:t>
      </w:r>
    </w:p>
    <w:p w14:paraId="6EFF4FE6">
      <w:pPr>
        <w:ind w:firstLine="640" w:firstLineChars="200"/>
        <w:rPr>
          <w:rFonts w:hint="eastAsia" w:ascii="仿宋_GB2312" w:eastAsia="仿宋_GB2312"/>
          <w:sz w:val="32"/>
          <w:szCs w:val="32"/>
        </w:rPr>
      </w:pPr>
      <w:r>
        <w:rPr>
          <w:rFonts w:hint="eastAsia" w:ascii="仿宋_GB2312" w:eastAsia="仿宋_GB2312"/>
          <w:sz w:val="32"/>
          <w:szCs w:val="32"/>
        </w:rPr>
        <w:t>21.资源勘探工业信息等（类）…（款）…（项）：指……。</w:t>
      </w:r>
    </w:p>
    <w:p w14:paraId="2E61675D">
      <w:pPr>
        <w:ind w:firstLine="640" w:firstLineChars="200"/>
        <w:rPr>
          <w:rFonts w:hint="eastAsia" w:ascii="仿宋_GB2312" w:eastAsia="仿宋_GB2312"/>
          <w:sz w:val="32"/>
          <w:szCs w:val="32"/>
        </w:rPr>
      </w:pPr>
      <w:r>
        <w:rPr>
          <w:rFonts w:hint="eastAsia" w:ascii="仿宋_GB2312" w:eastAsia="仿宋_GB2312"/>
          <w:sz w:val="32"/>
          <w:szCs w:val="32"/>
        </w:rPr>
        <w:t>22.商业服务业（类）…（款）…（项）：指……。</w:t>
      </w:r>
    </w:p>
    <w:p w14:paraId="695D9B26">
      <w:pPr>
        <w:ind w:firstLine="640" w:firstLineChars="200"/>
        <w:rPr>
          <w:rFonts w:hint="eastAsia" w:ascii="仿宋_GB2312" w:eastAsia="仿宋_GB2312"/>
          <w:sz w:val="32"/>
          <w:szCs w:val="32"/>
        </w:rPr>
      </w:pPr>
      <w:r>
        <w:rPr>
          <w:rFonts w:hint="eastAsia" w:ascii="仿宋_GB2312" w:eastAsia="仿宋_GB2312"/>
          <w:sz w:val="32"/>
          <w:szCs w:val="32"/>
        </w:rPr>
        <w:t>23.金融（类）…（款）…（项）：指……。</w:t>
      </w:r>
    </w:p>
    <w:p w14:paraId="391337A7">
      <w:pPr>
        <w:ind w:firstLine="640" w:firstLineChars="200"/>
        <w:rPr>
          <w:rFonts w:hint="eastAsia" w:ascii="仿宋_GB2312" w:eastAsia="仿宋_GB2312"/>
          <w:sz w:val="32"/>
          <w:szCs w:val="32"/>
        </w:rPr>
      </w:pPr>
      <w:r>
        <w:rPr>
          <w:rFonts w:hint="eastAsia" w:ascii="仿宋_GB2312" w:eastAsia="仿宋_GB2312"/>
          <w:sz w:val="32"/>
          <w:szCs w:val="32"/>
        </w:rPr>
        <w:t>24.自然资源海洋气象等（类）…（款）…（项）：指……。</w:t>
      </w:r>
    </w:p>
    <w:p w14:paraId="5042F90E">
      <w:pPr>
        <w:ind w:firstLine="640" w:firstLineChars="200"/>
        <w:rPr>
          <w:rFonts w:hint="eastAsia" w:ascii="仿宋_GB2312" w:eastAsia="仿宋_GB2312"/>
          <w:sz w:val="32"/>
          <w:szCs w:val="32"/>
        </w:rPr>
      </w:pPr>
      <w:r>
        <w:rPr>
          <w:rFonts w:hint="eastAsia" w:ascii="仿宋_GB2312" w:eastAsia="仿宋_GB2312"/>
          <w:sz w:val="32"/>
          <w:szCs w:val="32"/>
        </w:rPr>
        <w:t>25.住房保障（类）…（款）…（项）：指……。</w:t>
      </w:r>
    </w:p>
    <w:p w14:paraId="009F2852">
      <w:pPr>
        <w:ind w:firstLine="640" w:firstLineChars="200"/>
        <w:rPr>
          <w:rFonts w:hint="eastAsia" w:ascii="仿宋_GB2312" w:eastAsia="仿宋_GB2312"/>
          <w:sz w:val="32"/>
          <w:szCs w:val="32"/>
        </w:rPr>
      </w:pPr>
      <w:r>
        <w:rPr>
          <w:rFonts w:hint="eastAsia" w:ascii="仿宋_GB2312" w:eastAsia="仿宋_GB2312"/>
          <w:sz w:val="32"/>
          <w:szCs w:val="32"/>
        </w:rPr>
        <w:t>26.粮油物资储备（类）…（款）…（项）：指……。</w:t>
      </w:r>
    </w:p>
    <w:p w14:paraId="7CD873E4">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14:paraId="4FE72F77">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14:paraId="2490B83B">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14:paraId="29B28BEC">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06E2582">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F389C70">
      <w:pPr>
        <w:ind w:firstLine="643" w:firstLineChars="200"/>
        <w:rPr>
          <w:rFonts w:ascii="仿宋" w:hAnsi="仿宋" w:eastAsia="仿宋"/>
          <w:b/>
          <w:sz w:val="32"/>
          <w:szCs w:val="32"/>
        </w:rPr>
      </w:pPr>
      <w:r>
        <w:rPr>
          <w:rFonts w:ascii="仿宋" w:hAnsi="仿宋" w:eastAsia="仿宋"/>
          <w:b/>
          <w:sz w:val="32"/>
          <w:szCs w:val="32"/>
        </w:rPr>
        <w:br w:type="page"/>
      </w:r>
    </w:p>
    <w:p w14:paraId="1D145F0B">
      <w:pPr>
        <w:pStyle w:val="3"/>
        <w:jc w:val="center"/>
        <w:rPr>
          <w:rFonts w:ascii="黑体" w:hAnsi="黑体" w:eastAsia="黑体"/>
          <w:b w:val="0"/>
        </w:rPr>
      </w:pPr>
      <w:bookmarkStart w:id="62" w:name="_Toc14595"/>
      <w:r>
        <w:rPr>
          <w:rFonts w:hint="eastAsia" w:ascii="黑体" w:hAnsi="黑体" w:eastAsia="黑体"/>
          <w:b w:val="0"/>
        </w:rPr>
        <w:t>第四部分 附件</w:t>
      </w:r>
      <w:bookmarkEnd w:id="62"/>
    </w:p>
    <w:p w14:paraId="463CF3B1"/>
    <w:p w14:paraId="746D5EF1">
      <w:pPr>
        <w:rPr>
          <w:rFonts w:ascii="黑体" w:hAnsi="黑体" w:eastAsia="黑体"/>
          <w:sz w:val="32"/>
          <w:szCs w:val="32"/>
        </w:rPr>
      </w:pPr>
      <w:r>
        <w:rPr>
          <w:rFonts w:hint="eastAsia" w:ascii="黑体" w:hAnsi="黑体" w:eastAsia="黑体"/>
          <w:sz w:val="32"/>
          <w:szCs w:val="32"/>
        </w:rPr>
        <w:t>附件1</w:t>
      </w:r>
    </w:p>
    <w:p w14:paraId="135041F5">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14:paraId="3C68493A"/>
    <w:p w14:paraId="2C0227A7">
      <w:pPr>
        <w:rPr>
          <w:rFonts w:ascii="黑体" w:hAnsi="黑体" w:eastAsia="黑体"/>
          <w:sz w:val="32"/>
          <w:szCs w:val="32"/>
        </w:rPr>
      </w:pPr>
      <w:r>
        <w:rPr>
          <w:rFonts w:hint="eastAsia" w:ascii="黑体" w:hAnsi="黑体" w:eastAsia="黑体"/>
          <w:sz w:val="32"/>
          <w:szCs w:val="32"/>
        </w:rPr>
        <w:t>一、部门（单位）基本情况</w:t>
      </w:r>
    </w:p>
    <w:p w14:paraId="25B63B6B">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14:paraId="1A4D79F9">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本单位独立编制机构数共2个，比上年增加0个；独立核算机构数共2个，比上年增加0个。</w:t>
      </w:r>
    </w:p>
    <w:p w14:paraId="5A50EA71">
      <w:pPr>
        <w:pStyle w:val="4"/>
        <w:keepNext w:val="0"/>
        <w:keepLines w:val="0"/>
        <w:pageBreakBefore w:val="0"/>
        <w:widowControl w:val="0"/>
        <w:numPr>
          <w:ilvl w:val="0"/>
          <w:numId w:val="4"/>
        </w:numPr>
        <w:suppressLineNumbers w:val="0"/>
        <w:kinsoku/>
        <w:wordWrap/>
        <w:overflowPunct/>
        <w:topLinePunct w:val="0"/>
        <w:autoSpaceDE w:val="0"/>
        <w:autoSpaceDN/>
        <w:bidi w:val="0"/>
        <w:adjustRightInd/>
        <w:snapToGrid/>
        <w:spacing w:before="0" w:beforeAutospacing="0" w:after="0" w:afterAutospacing="0" w:line="560" w:lineRule="exact"/>
        <w:ind w:firstLine="643" w:firstLineChars="200"/>
        <w:textAlignment w:val="auto"/>
        <w:rPr>
          <w:rFonts w:hint="eastAsia" w:ascii="楷体_GB2312" w:eastAsia="楷体_GB2312"/>
          <w:b/>
          <w:sz w:val="32"/>
          <w:szCs w:val="32"/>
        </w:rPr>
      </w:pPr>
      <w:r>
        <w:rPr>
          <w:rFonts w:hint="eastAsia" w:ascii="楷体_GB2312" w:eastAsia="楷体_GB2312"/>
          <w:b/>
          <w:sz w:val="32"/>
          <w:szCs w:val="32"/>
        </w:rPr>
        <w:t>机构职能。</w:t>
      </w:r>
    </w:p>
    <w:p w14:paraId="23DC69DD">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县退役军人局贯彻落实党中央关于退役军人工作的方针政策和省委、州委、县委的决策部署，在履行职责过程中坚持和加强党对退役军人工作的集中统一领导。主要职责是：</w:t>
      </w:r>
    </w:p>
    <w:p w14:paraId="6F370783">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1.贯彻执行有关退役军人思想政治、管理保障和安置优抚等法律法规，拟订退役军人工作政策并组织实施，褒扬彰显退役军人为党、国家和人民牺牲奉献的精神风范和价值导向。</w:t>
      </w:r>
    </w:p>
    <w:p w14:paraId="7F31D1F3">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2.负责军队转业干部、复员干部、离休退休干部、退役士兵和无军籍退休退职职工的移交安置和自主择业、就业退役军人服务管理工作。</w:t>
      </w:r>
    </w:p>
    <w:p w14:paraId="6931EA70">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3.组织、指导退役军人教育培训工作，承担退役军人和随军随调家属就业创业扶持工作。</w:t>
      </w:r>
    </w:p>
    <w:p w14:paraId="3B47C430">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4.贯彻执行国家有关退役军人特殊保障政策。</w:t>
      </w:r>
    </w:p>
    <w:p w14:paraId="48A71A4D">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5.组织、协调落实移交地方的离休退休军人、符合条件的其他退役军人和无军籍退休退职职工的住房保障工作，以及退役军人医疗保障、社会保险等待遇保障工作。</w:t>
      </w:r>
    </w:p>
    <w:p w14:paraId="7441374E">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6.负责伤病残退役军人服务管理和抚恤工作，贯彻执行有关</w:t>
      </w:r>
    </w:p>
    <w:p w14:paraId="0027E30E">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退役军人医疗、疗养、养老等机构的规划政策。承担不适宜继续服役的伤病残军人移交安置、退休安置、供等工作。</w:t>
      </w:r>
    </w:p>
    <w:p w14:paraId="4ACAC73F">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7.组织、指导拥军优属工作，承担现役军人、退役军人、军队文职人员和军属的优待、抚恤等工作。贯彻执行国家有关国民党抗战老兵等有关人员优待政策。</w:t>
      </w:r>
    </w:p>
    <w:p w14:paraId="0CF30071">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8.负责烈士及退役军人荣誉奖励、军人公墓和烈士纪念设施的建设管理、纪念活动等工作，依法承担英雄烈士保护相关工作，总结表彰和宣扬退役军人、退役军人工作单位和个人先进典型事迹。</w:t>
      </w:r>
    </w:p>
    <w:p w14:paraId="5657C0CC">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9.指导并监督检查退役军人相关法律法规和政策措施的落实，组织开展退役军人权益维护和有关人员的帮扶援助工作。</w:t>
      </w:r>
    </w:p>
    <w:p w14:paraId="3AE2614A">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10.推动建立退役军人事务分级负责和突发事件应急联动机制，组织、指导退役军人综合服务体系建设。配合指导退役军人党建工作。</w:t>
      </w:r>
    </w:p>
    <w:p w14:paraId="0B8E9BAF">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11.负责职责范围内的安全生产和职业健康、生态环境保护、审批服务便民化工作。</w:t>
      </w:r>
    </w:p>
    <w:p w14:paraId="482604F6">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12.完成县委、县政府和军方交办的其他任务。</w:t>
      </w:r>
    </w:p>
    <w:p w14:paraId="01C0AA00">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ascii="楷体_GB2312" w:eastAsia="楷体_GB2312"/>
          <w:b/>
          <w:sz w:val="32"/>
          <w:szCs w:val="32"/>
        </w:rPr>
      </w:pPr>
      <w:r>
        <w:rPr>
          <w:rFonts w:hint="eastAsia" w:ascii="Times New Roman" w:hAnsi="Times New Roman" w:eastAsia="仿宋_GB2312" w:cs="Times New Roman"/>
          <w:b w:val="0"/>
          <w:bCs w:val="0"/>
          <w:kern w:val="2"/>
          <w:sz w:val="32"/>
          <w:szCs w:val="32"/>
          <w:lang w:val="en-US" w:eastAsia="zh-CN" w:bidi="ar-SA"/>
        </w:rPr>
        <w:t>13.职能转变。加强全县退役军人思想政治工作以及服务保障体系建设，建立健全集中统一、职责清晰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p>
    <w:p w14:paraId="6C761CC7">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14:paraId="73304712">
      <w:pPr>
        <w:ind w:firstLine="640" w:firstLineChars="200"/>
        <w:rPr>
          <w:rFonts w:hint="eastAsia"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截至202</w:t>
      </w:r>
      <w:r>
        <w:rPr>
          <w:rFonts w:hint="eastAsia" w:eastAsia="仿宋_GB2312" w:cs="Times New Roman"/>
          <w:b w:val="0"/>
          <w:bCs w:val="0"/>
          <w:kern w:val="2"/>
          <w:sz w:val="32"/>
          <w:szCs w:val="32"/>
          <w:lang w:val="en-US" w:eastAsia="zh-CN" w:bidi="ar-SA"/>
        </w:rPr>
        <w:t>4</w:t>
      </w:r>
      <w:r>
        <w:rPr>
          <w:rFonts w:hint="default" w:ascii="Times New Roman" w:hAnsi="Times New Roman" w:eastAsia="仿宋_GB2312" w:cs="Times New Roman"/>
          <w:b w:val="0"/>
          <w:bCs w:val="0"/>
          <w:kern w:val="2"/>
          <w:sz w:val="32"/>
          <w:szCs w:val="32"/>
          <w:lang w:val="en-US" w:eastAsia="zh-CN" w:bidi="ar-SA"/>
        </w:rPr>
        <w:t>年末，</w:t>
      </w:r>
      <w:r>
        <w:rPr>
          <w:rFonts w:hint="eastAsia" w:ascii="Times New Roman" w:hAnsi="Times New Roman" w:eastAsia="仿宋_GB2312" w:cs="Times New Roman"/>
          <w:b w:val="0"/>
          <w:bCs w:val="0"/>
          <w:kern w:val="2"/>
          <w:sz w:val="32"/>
          <w:szCs w:val="32"/>
          <w:lang w:val="en-US" w:eastAsia="zh-CN" w:bidi="ar-SA"/>
        </w:rPr>
        <w:t>本单位实有人数为10人，其中行政编制数5人，事业编制数5人，比上年增加0人；年末实有离退休人数为0人，比上年增加0人。年末实有其他人数为0人，比上年增加0人。</w:t>
      </w:r>
    </w:p>
    <w:p w14:paraId="7C9A47AB">
      <w:pPr>
        <w:rPr>
          <w:rFonts w:ascii="黑体" w:hAnsi="黑体" w:eastAsia="黑体"/>
          <w:sz w:val="32"/>
          <w:szCs w:val="32"/>
        </w:rPr>
      </w:pPr>
      <w:r>
        <w:rPr>
          <w:rFonts w:hint="eastAsia" w:ascii="黑体" w:hAnsi="黑体" w:eastAsia="黑体"/>
          <w:sz w:val="32"/>
          <w:szCs w:val="32"/>
        </w:rPr>
        <w:t>二、部门资金收支情况</w:t>
      </w:r>
    </w:p>
    <w:p w14:paraId="0F7BAB7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（一）收入情况。</w:t>
      </w:r>
    </w:p>
    <w:p w14:paraId="1D512CD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lang w:val="en-US" w:eastAsia="zh-CN"/>
        </w:rPr>
        <w:t>2024年</w:t>
      </w:r>
      <w:r>
        <w:rPr>
          <w:rFonts w:hint="eastAsia" w:ascii="仿宋_GB2312" w:hAnsi="仿宋" w:eastAsia="仿宋_GB2312"/>
          <w:sz w:val="32"/>
          <w:szCs w:val="32"/>
        </w:rPr>
        <w:t>收入全年预算数为</w:t>
      </w:r>
      <w:r>
        <w:rPr>
          <w:rFonts w:hint="eastAsia" w:ascii="仿宋_GB2312" w:hAnsi="仿宋"/>
          <w:sz w:val="32"/>
          <w:szCs w:val="32"/>
          <w:lang w:val="en-US" w:eastAsia="zh-CN"/>
        </w:rPr>
        <w:t>1268.29</w:t>
      </w:r>
      <w:r>
        <w:rPr>
          <w:rFonts w:hint="eastAsia" w:ascii="仿宋_GB2312" w:hAnsi="仿宋" w:eastAsia="仿宋_GB2312"/>
          <w:sz w:val="32"/>
          <w:szCs w:val="32"/>
        </w:rPr>
        <w:t>万元，收入决算数为</w:t>
      </w:r>
      <w:r>
        <w:rPr>
          <w:rFonts w:hint="eastAsia" w:ascii="仿宋_GB2312" w:hAnsi="仿宋"/>
          <w:sz w:val="32"/>
          <w:szCs w:val="32"/>
          <w:lang w:val="en-US" w:eastAsia="zh-CN"/>
        </w:rPr>
        <w:t>1262.08</w:t>
      </w:r>
      <w:r>
        <w:rPr>
          <w:rFonts w:hint="eastAsia" w:ascii="仿宋_GB2312" w:hAnsi="仿宋" w:eastAsia="仿宋_GB2312"/>
          <w:sz w:val="32"/>
          <w:szCs w:val="32"/>
        </w:rPr>
        <w:t>万元，预算完成度为</w:t>
      </w:r>
      <w:r>
        <w:rPr>
          <w:rFonts w:hint="eastAsia" w:ascii="仿宋_GB2312" w:hAnsi="仿宋" w:eastAsia="仿宋_GB2312"/>
          <w:sz w:val="32"/>
          <w:szCs w:val="32"/>
          <w:lang w:val="en-US" w:eastAsia="zh-CN"/>
        </w:rPr>
        <w:t>99.51</w:t>
      </w:r>
      <w:r>
        <w:rPr>
          <w:rFonts w:hint="eastAsia" w:ascii="仿宋_GB2312" w:hAnsi="仿宋" w:eastAsia="仿宋_GB2312"/>
          <w:sz w:val="32"/>
          <w:szCs w:val="32"/>
        </w:rPr>
        <w:t>%</w:t>
      </w:r>
      <w:r>
        <w:rPr>
          <w:rFonts w:hint="eastAsia" w:ascii="仿宋_GB2312" w:hAnsi="仿宋"/>
          <w:sz w:val="32"/>
          <w:szCs w:val="32"/>
          <w:lang w:eastAsia="zh-CN"/>
        </w:rPr>
        <w:t>。</w:t>
      </w:r>
      <w:r>
        <w:rPr>
          <w:rFonts w:hint="eastAsia" w:ascii="Times New Roman" w:hAnsi="Times New Roman" w:eastAsia="仿宋_GB2312" w:cs="Times New Roman"/>
          <w:b w:val="0"/>
          <w:bCs w:val="0"/>
          <w:kern w:val="2"/>
          <w:sz w:val="32"/>
          <w:szCs w:val="32"/>
          <w:lang w:val="zh-CN" w:eastAsia="zh-CN" w:bidi="ar-SA"/>
        </w:rPr>
        <w:t>20</w:t>
      </w:r>
      <w:r>
        <w:rPr>
          <w:rFonts w:hint="eastAsia" w:ascii="Times New Roman" w:hAnsi="Times New Roman" w:eastAsia="仿宋_GB2312" w:cs="Times New Roman"/>
          <w:b w:val="0"/>
          <w:bCs w:val="0"/>
          <w:kern w:val="2"/>
          <w:sz w:val="32"/>
          <w:szCs w:val="32"/>
          <w:lang w:val="en-US" w:eastAsia="zh-CN" w:bidi="ar-SA"/>
        </w:rPr>
        <w:t>2</w:t>
      </w:r>
      <w:r>
        <w:rPr>
          <w:rFonts w:hint="eastAsia" w:eastAsia="仿宋_GB2312" w:cs="Times New Roman"/>
          <w:b w:val="0"/>
          <w:bCs w:val="0"/>
          <w:kern w:val="2"/>
          <w:sz w:val="32"/>
          <w:szCs w:val="32"/>
          <w:lang w:val="en-US" w:eastAsia="zh-CN" w:bidi="ar-SA"/>
        </w:rPr>
        <w:t>4</w:t>
      </w:r>
      <w:r>
        <w:rPr>
          <w:rFonts w:hint="eastAsia" w:ascii="Times New Roman" w:hAnsi="Times New Roman" w:eastAsia="仿宋_GB2312" w:cs="Times New Roman"/>
          <w:b w:val="0"/>
          <w:bCs w:val="0"/>
          <w:kern w:val="2"/>
          <w:sz w:val="32"/>
          <w:szCs w:val="32"/>
          <w:lang w:val="en-US" w:eastAsia="zh-CN" w:bidi="ar-SA"/>
        </w:rPr>
        <w:t>3</w:t>
      </w:r>
      <w:r>
        <w:rPr>
          <w:rFonts w:hint="eastAsia" w:ascii="Times New Roman" w:hAnsi="Times New Roman" w:eastAsia="仿宋_GB2312" w:cs="Times New Roman"/>
          <w:b w:val="0"/>
          <w:bCs w:val="0"/>
          <w:kern w:val="2"/>
          <w:sz w:val="32"/>
          <w:szCs w:val="32"/>
          <w:lang w:val="zh-CN" w:eastAsia="zh-CN" w:bidi="ar-SA"/>
        </w:rPr>
        <w:t>年</w:t>
      </w:r>
      <w:r>
        <w:rPr>
          <w:rFonts w:hint="eastAsia" w:ascii="Times New Roman" w:hAnsi="Times New Roman" w:cs="Times New Roman"/>
          <w:b w:val="0"/>
          <w:bCs w:val="0"/>
          <w:kern w:val="2"/>
          <w:sz w:val="32"/>
          <w:szCs w:val="32"/>
          <w:lang w:val="en-US" w:eastAsia="zh-CN" w:bidi="ar-SA"/>
        </w:rPr>
        <w:t>总</w:t>
      </w:r>
      <w:r>
        <w:rPr>
          <w:rFonts w:hint="eastAsia" w:ascii="Times New Roman" w:hAnsi="Times New Roman" w:eastAsia="仿宋_GB2312" w:cs="Times New Roman"/>
          <w:b w:val="0"/>
          <w:bCs w:val="0"/>
          <w:kern w:val="2"/>
          <w:sz w:val="32"/>
          <w:szCs w:val="32"/>
          <w:lang w:val="zh-CN" w:eastAsia="zh-CN" w:bidi="ar-SA"/>
        </w:rPr>
        <w:t>收入</w:t>
      </w:r>
      <w:r>
        <w:rPr>
          <w:rFonts w:hint="eastAsia" w:eastAsia="仿宋_GB2312" w:cs="Times New Roman"/>
          <w:b w:val="0"/>
          <w:bCs w:val="0"/>
          <w:kern w:val="2"/>
          <w:sz w:val="32"/>
          <w:szCs w:val="32"/>
          <w:lang w:val="en-US" w:eastAsia="zh-CN" w:bidi="ar-SA"/>
        </w:rPr>
        <w:t>1262.08</w:t>
      </w:r>
      <w:r>
        <w:rPr>
          <w:rFonts w:hint="eastAsia" w:ascii="Times New Roman" w:hAnsi="Times New Roman" w:eastAsia="仿宋_GB2312" w:cs="Times New Roman"/>
          <w:b w:val="0"/>
          <w:bCs w:val="0"/>
          <w:kern w:val="2"/>
          <w:sz w:val="32"/>
          <w:szCs w:val="32"/>
          <w:lang w:val="zh-CN" w:eastAsia="zh-CN" w:bidi="ar-SA"/>
        </w:rPr>
        <w:t>万元，其中：财政拨款收入</w:t>
      </w:r>
      <w:r>
        <w:rPr>
          <w:rFonts w:hint="eastAsia" w:eastAsia="仿宋_GB2312" w:cs="Times New Roman"/>
          <w:b w:val="0"/>
          <w:bCs w:val="0"/>
          <w:kern w:val="2"/>
          <w:sz w:val="32"/>
          <w:szCs w:val="32"/>
          <w:lang w:val="en-US" w:eastAsia="zh-CN" w:bidi="ar-SA"/>
        </w:rPr>
        <w:t>1262.08</w:t>
      </w:r>
      <w:r>
        <w:rPr>
          <w:rFonts w:hint="eastAsia" w:ascii="Times New Roman" w:hAnsi="Times New Roman" w:eastAsia="仿宋_GB2312" w:cs="Times New Roman"/>
          <w:b w:val="0"/>
          <w:bCs w:val="0"/>
          <w:kern w:val="2"/>
          <w:sz w:val="32"/>
          <w:szCs w:val="32"/>
          <w:lang w:val="zh-CN" w:eastAsia="zh-CN" w:bidi="ar-SA"/>
        </w:rPr>
        <w:t>万元，占</w:t>
      </w:r>
      <w:r>
        <w:rPr>
          <w:rFonts w:hint="eastAsia" w:ascii="Times New Roman" w:hAnsi="Times New Roman" w:eastAsia="仿宋_GB2312" w:cs="Times New Roman"/>
          <w:b w:val="0"/>
          <w:bCs w:val="0"/>
          <w:kern w:val="2"/>
          <w:sz w:val="32"/>
          <w:szCs w:val="32"/>
          <w:lang w:val="en-US" w:eastAsia="zh-CN" w:bidi="ar-SA"/>
        </w:rPr>
        <w:t>100</w:t>
      </w:r>
      <w:r>
        <w:rPr>
          <w:rFonts w:hint="eastAsia" w:ascii="Times New Roman" w:hAnsi="Times New Roman" w:eastAsia="仿宋_GB2312" w:cs="Times New Roman"/>
          <w:b w:val="0"/>
          <w:bCs w:val="0"/>
          <w:kern w:val="2"/>
          <w:sz w:val="32"/>
          <w:szCs w:val="32"/>
          <w:lang w:val="zh-CN" w:eastAsia="zh-CN" w:bidi="ar-SA"/>
        </w:rPr>
        <w:t>%</w:t>
      </w:r>
      <w:r>
        <w:rPr>
          <w:rFonts w:hint="eastAsia" w:ascii="Times New Roman" w:hAnsi="Times New Roman" w:cs="Times New Roman"/>
          <w:b w:val="0"/>
          <w:bCs w:val="0"/>
          <w:kern w:val="2"/>
          <w:sz w:val="32"/>
          <w:szCs w:val="32"/>
          <w:lang w:val="en-US" w:eastAsia="zh-CN" w:bidi="ar-SA"/>
        </w:rPr>
        <w:t>。</w:t>
      </w:r>
    </w:p>
    <w:p w14:paraId="70FB84DE">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支出情况。</w:t>
      </w:r>
    </w:p>
    <w:p w14:paraId="658C364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lang w:val="en-US" w:eastAsia="zh-CN"/>
        </w:rPr>
        <w:t>2024年支出</w:t>
      </w:r>
      <w:r>
        <w:rPr>
          <w:rFonts w:hint="eastAsia" w:ascii="仿宋_GB2312" w:hAnsi="仿宋" w:eastAsia="仿宋_GB2312"/>
          <w:sz w:val="32"/>
          <w:szCs w:val="32"/>
        </w:rPr>
        <w:t>全年预算数为</w:t>
      </w:r>
      <w:r>
        <w:rPr>
          <w:rFonts w:hint="eastAsia" w:ascii="仿宋_GB2312" w:hAnsi="仿宋"/>
          <w:sz w:val="32"/>
          <w:szCs w:val="32"/>
          <w:lang w:val="en-US" w:eastAsia="zh-CN"/>
        </w:rPr>
        <w:t>1268.29</w:t>
      </w:r>
      <w:r>
        <w:rPr>
          <w:rFonts w:hint="eastAsia" w:ascii="仿宋_GB2312" w:hAnsi="仿宋" w:eastAsia="仿宋_GB2312"/>
          <w:sz w:val="32"/>
          <w:szCs w:val="32"/>
        </w:rPr>
        <w:t>万元，</w:t>
      </w:r>
      <w:r>
        <w:rPr>
          <w:rFonts w:hint="eastAsia" w:ascii="仿宋_GB2312" w:hAnsi="仿宋"/>
          <w:sz w:val="32"/>
          <w:szCs w:val="32"/>
          <w:lang w:val="en-US" w:eastAsia="zh-CN"/>
        </w:rPr>
        <w:t>支出</w:t>
      </w:r>
      <w:r>
        <w:rPr>
          <w:rFonts w:hint="eastAsia" w:ascii="仿宋_GB2312" w:hAnsi="仿宋" w:eastAsia="仿宋_GB2312"/>
          <w:sz w:val="32"/>
          <w:szCs w:val="32"/>
        </w:rPr>
        <w:t>决算数为</w:t>
      </w:r>
      <w:r>
        <w:rPr>
          <w:rFonts w:hint="eastAsia" w:ascii="仿宋_GB2312" w:hAnsi="仿宋"/>
          <w:sz w:val="32"/>
          <w:szCs w:val="32"/>
          <w:lang w:val="en-US" w:eastAsia="zh-CN"/>
        </w:rPr>
        <w:t>1262.08</w:t>
      </w:r>
      <w:r>
        <w:rPr>
          <w:rFonts w:hint="eastAsia" w:ascii="仿宋_GB2312" w:hAnsi="仿宋" w:eastAsia="仿宋_GB2312"/>
          <w:sz w:val="32"/>
          <w:szCs w:val="32"/>
        </w:rPr>
        <w:t>万元，预算完成度为</w:t>
      </w:r>
      <w:r>
        <w:rPr>
          <w:rFonts w:hint="eastAsia" w:ascii="仿宋_GB2312" w:hAnsi="仿宋" w:eastAsia="仿宋_GB2312"/>
          <w:sz w:val="32"/>
          <w:szCs w:val="32"/>
          <w:lang w:val="en-US" w:eastAsia="zh-CN"/>
        </w:rPr>
        <w:t>99.51</w:t>
      </w:r>
      <w:r>
        <w:rPr>
          <w:rFonts w:hint="eastAsia" w:ascii="仿宋_GB2312" w:hAnsi="仿宋" w:eastAsia="仿宋_GB2312"/>
          <w:sz w:val="32"/>
          <w:szCs w:val="32"/>
        </w:rPr>
        <w:t>%</w:t>
      </w:r>
      <w:r>
        <w:rPr>
          <w:rFonts w:hint="eastAsia" w:ascii="仿宋_GB2312" w:hAnsi="仿宋"/>
          <w:sz w:val="32"/>
          <w:szCs w:val="32"/>
          <w:lang w:eastAsia="zh-CN"/>
        </w:rPr>
        <w:t>。</w:t>
      </w:r>
      <w:r>
        <w:rPr>
          <w:rFonts w:hint="eastAsia" w:ascii="仿宋_GB2312" w:hAnsi="仿宋" w:eastAsia="仿宋_GB2312" w:cs="仿宋_GB2312"/>
          <w:color w:val="000000"/>
          <w:kern w:val="0"/>
          <w:sz w:val="32"/>
          <w:szCs w:val="32"/>
          <w:lang w:val="zh-CN" w:eastAsia="zh-CN" w:bidi="ar"/>
        </w:rPr>
        <w:t>20</w:t>
      </w:r>
      <w:r>
        <w:rPr>
          <w:rFonts w:hint="eastAsia" w:ascii="仿宋_GB2312" w:hAnsi="仿宋" w:eastAsia="仿宋_GB2312" w:cs="仿宋_GB2312"/>
          <w:color w:val="000000"/>
          <w:kern w:val="0"/>
          <w:sz w:val="32"/>
          <w:szCs w:val="32"/>
          <w:lang w:val="en-US" w:eastAsia="zh-CN" w:bidi="ar"/>
        </w:rPr>
        <w:t>24</w:t>
      </w:r>
      <w:r>
        <w:rPr>
          <w:rFonts w:hint="eastAsia" w:ascii="仿宋_GB2312" w:hAnsi="仿宋" w:eastAsia="仿宋_GB2312" w:cs="仿宋_GB2312"/>
          <w:color w:val="000000"/>
          <w:kern w:val="0"/>
          <w:sz w:val="32"/>
          <w:szCs w:val="32"/>
          <w:lang w:val="zh-CN" w:eastAsia="zh-CN" w:bidi="ar"/>
        </w:rPr>
        <w:t>年支出合计</w:t>
      </w:r>
      <w:r>
        <w:rPr>
          <w:rFonts w:hint="eastAsia" w:ascii="仿宋_GB2312" w:hAnsi="仿宋" w:eastAsia="仿宋_GB2312" w:cs="仿宋_GB2312"/>
          <w:color w:val="000000"/>
          <w:kern w:val="0"/>
          <w:sz w:val="32"/>
          <w:szCs w:val="32"/>
          <w:lang w:val="en-US" w:eastAsia="zh-CN" w:bidi="ar"/>
        </w:rPr>
        <w:t>1262.08</w:t>
      </w:r>
      <w:r>
        <w:rPr>
          <w:rFonts w:hint="eastAsia" w:ascii="仿宋_GB2312" w:hAnsi="仿宋" w:eastAsia="仿宋_GB2312" w:cs="仿宋_GB2312"/>
          <w:color w:val="000000"/>
          <w:kern w:val="0"/>
          <w:sz w:val="32"/>
          <w:szCs w:val="32"/>
          <w:lang w:val="zh-CN" w:eastAsia="zh-CN" w:bidi="ar"/>
        </w:rPr>
        <w:t>万元，其中：一般公共服务支出</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%；社会保障和就业支出</w:t>
      </w:r>
      <w:r>
        <w:rPr>
          <w:rFonts w:hint="eastAsia" w:ascii="仿宋_GB2312" w:hAnsi="仿宋" w:eastAsia="仿宋_GB2312" w:cs="仿宋_GB2312"/>
          <w:color w:val="000000"/>
          <w:kern w:val="0"/>
          <w:sz w:val="32"/>
          <w:szCs w:val="32"/>
          <w:lang w:val="en-US" w:eastAsia="zh-CN" w:bidi="ar"/>
        </w:rPr>
        <w:t>1223.74</w:t>
      </w:r>
      <w:r>
        <w:rPr>
          <w:rFonts w:hint="eastAsia" w:ascii="仿宋_GB2312" w:hAnsi="仿宋" w:eastAsia="仿宋_GB2312" w:cs="仿宋_GB2312"/>
          <w:color w:val="000000"/>
          <w:kern w:val="0"/>
          <w:sz w:val="32"/>
          <w:szCs w:val="32"/>
          <w:lang w:val="zh-CN" w:eastAsia="zh-CN" w:bidi="ar"/>
        </w:rPr>
        <w:t>万元，</w:t>
      </w:r>
      <w:r>
        <w:rPr>
          <w:rFonts w:hint="eastAsia" w:ascii="仿宋_GB2312" w:hAnsi="仿宋" w:eastAsia="仿宋_GB2312" w:cs="仿宋_GB2312"/>
          <w:color w:val="000000"/>
          <w:kern w:val="0"/>
          <w:sz w:val="32"/>
          <w:szCs w:val="32"/>
          <w:lang w:val="en-US" w:eastAsia="zh-CN" w:bidi="ar"/>
        </w:rPr>
        <w:t>占96.96</w:t>
      </w:r>
      <w:r>
        <w:rPr>
          <w:rFonts w:hint="eastAsia" w:ascii="仿宋_GB2312" w:hAnsi="仿宋" w:eastAsia="仿宋_GB2312" w:cs="仿宋_GB2312"/>
          <w:color w:val="000000"/>
          <w:kern w:val="0"/>
          <w:sz w:val="32"/>
          <w:szCs w:val="32"/>
          <w:lang w:val="zh-CN" w:eastAsia="zh-CN" w:bidi="ar"/>
        </w:rPr>
        <w:t>%；卫生健康支出</w:t>
      </w:r>
      <w:r>
        <w:rPr>
          <w:rFonts w:hint="eastAsia" w:ascii="仿宋_GB2312" w:hAnsi="仿宋" w:eastAsia="仿宋_GB2312" w:cs="仿宋_GB2312"/>
          <w:color w:val="000000"/>
          <w:kern w:val="0"/>
          <w:sz w:val="32"/>
          <w:szCs w:val="32"/>
          <w:lang w:val="en-US" w:eastAsia="zh-CN" w:bidi="ar"/>
        </w:rPr>
        <w:t>19.84</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1.57</w:t>
      </w:r>
      <w:r>
        <w:rPr>
          <w:rFonts w:hint="eastAsia" w:ascii="仿宋_GB2312" w:hAnsi="仿宋" w:eastAsia="仿宋_GB2312" w:cs="仿宋_GB2312"/>
          <w:color w:val="000000"/>
          <w:kern w:val="0"/>
          <w:sz w:val="32"/>
          <w:szCs w:val="32"/>
          <w:lang w:val="zh-CN" w:eastAsia="zh-CN" w:bidi="ar"/>
        </w:rPr>
        <w:t>%；住房保障支出</w:t>
      </w:r>
      <w:r>
        <w:rPr>
          <w:rFonts w:hint="eastAsia" w:ascii="仿宋_GB2312" w:hAnsi="仿宋" w:eastAsia="仿宋_GB2312" w:cs="仿宋_GB2312"/>
          <w:color w:val="000000"/>
          <w:kern w:val="0"/>
          <w:sz w:val="32"/>
          <w:szCs w:val="32"/>
          <w:lang w:val="en-US" w:eastAsia="zh-CN" w:bidi="ar"/>
        </w:rPr>
        <w:t>18.5</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1.47</w:t>
      </w:r>
      <w:r>
        <w:rPr>
          <w:rFonts w:hint="eastAsia" w:ascii="仿宋_GB2312" w:hAnsi="仿宋" w:eastAsia="仿宋_GB2312" w:cs="仿宋_GB2312"/>
          <w:color w:val="000000"/>
          <w:kern w:val="0"/>
          <w:sz w:val="32"/>
          <w:szCs w:val="32"/>
          <w:lang w:val="zh-CN" w:eastAsia="zh-CN" w:bidi="ar"/>
        </w:rPr>
        <w:t>%</w:t>
      </w:r>
      <w:r>
        <w:rPr>
          <w:rFonts w:hint="eastAsia" w:ascii="仿宋_GB2312" w:hAnsi="仿宋" w:cs="仿宋_GB2312"/>
          <w:color w:val="000000"/>
          <w:kern w:val="0"/>
          <w:sz w:val="32"/>
          <w:szCs w:val="32"/>
          <w:lang w:val="en-US" w:eastAsia="zh-CN" w:bidi="ar"/>
        </w:rPr>
        <w:t>。</w:t>
      </w:r>
    </w:p>
    <w:p w14:paraId="03894ADB">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结余分配和结转结余情况。</w:t>
      </w:r>
    </w:p>
    <w:p w14:paraId="70554F5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红原县退役军人事务局2024年决算报表</w:t>
      </w:r>
      <w:r>
        <w:rPr>
          <w:rFonts w:hint="default" w:ascii="仿宋_GB2312" w:hAnsi="仿宋" w:eastAsia="仿宋_GB2312" w:cs="仿宋_GB2312"/>
          <w:color w:val="000000"/>
          <w:kern w:val="0"/>
          <w:sz w:val="32"/>
          <w:szCs w:val="32"/>
          <w:lang w:val="en-US" w:eastAsia="zh-CN" w:bidi="ar"/>
        </w:rPr>
        <w:t>结转结余</w:t>
      </w:r>
      <w:r>
        <w:rPr>
          <w:rFonts w:hint="eastAsia" w:ascii="仿宋_GB2312" w:hAnsi="仿宋" w:cs="仿宋_GB2312"/>
          <w:color w:val="000000"/>
          <w:kern w:val="0"/>
          <w:sz w:val="32"/>
          <w:szCs w:val="32"/>
          <w:lang w:val="en-US" w:eastAsia="zh-CN" w:bidi="ar"/>
        </w:rPr>
        <w:t>为0元</w:t>
      </w:r>
      <w:r>
        <w:rPr>
          <w:rFonts w:hint="default" w:ascii="仿宋_GB2312" w:hAnsi="仿宋" w:eastAsia="仿宋_GB2312" w:cs="仿宋_GB2312"/>
          <w:color w:val="000000"/>
          <w:kern w:val="0"/>
          <w:sz w:val="32"/>
          <w:szCs w:val="32"/>
          <w:lang w:val="en-US" w:eastAsia="zh-CN" w:bidi="ar"/>
        </w:rPr>
        <w:t>。</w:t>
      </w:r>
    </w:p>
    <w:p w14:paraId="364D162D">
      <w:pPr>
        <w:rPr>
          <w:rFonts w:ascii="黑体" w:hAnsi="黑体" w:eastAsia="黑体"/>
          <w:sz w:val="32"/>
          <w:szCs w:val="32"/>
        </w:rPr>
      </w:pPr>
      <w:r>
        <w:rPr>
          <w:rFonts w:hint="eastAsia" w:ascii="黑体" w:hAnsi="黑体" w:eastAsia="黑体"/>
          <w:sz w:val="32"/>
          <w:szCs w:val="32"/>
        </w:rPr>
        <w:t>三、部门预算绩效分析</w:t>
      </w:r>
    </w:p>
    <w:p w14:paraId="7D5A13B6">
      <w:pPr>
        <w:rPr>
          <w:rFonts w:ascii="仿宋_GB2312" w:eastAsia="仿宋_GB2312"/>
          <w:sz w:val="32"/>
          <w:szCs w:val="32"/>
        </w:rPr>
      </w:pPr>
      <w:r>
        <w:rPr>
          <w:rFonts w:hint="eastAsia" w:ascii="楷体_GB2312" w:eastAsia="楷体_GB2312"/>
          <w:b/>
          <w:sz w:val="32"/>
          <w:szCs w:val="32"/>
        </w:rPr>
        <w:t>（一）部门预算总体绩效分析。</w:t>
      </w:r>
      <w:r>
        <w:rPr>
          <w:rFonts w:hint="eastAsia" w:ascii="仿宋_GB2312" w:eastAsia="仿宋_GB2312"/>
          <w:sz w:val="32"/>
          <w:szCs w:val="32"/>
        </w:rPr>
        <w:t>根据部门预算绩效评价指标体系“总体绩效”涉及二、三级指标进行逐项绩效分析并评分，依次包括履职效能、预算管理、财务管理、资产管理、采购管理等情况。</w:t>
      </w:r>
    </w:p>
    <w:p w14:paraId="4E3451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p>
    <w:p w14:paraId="6E1B2CDF">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产出指标：数量指标，军转干军休工资发放人数，定性指标，应保尽保，全年完成值应保尽保。</w:t>
      </w:r>
    </w:p>
    <w:p w14:paraId="3D52FE81">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产出指标：数量指标，军转干医保补助人数，定性指标，应保尽保，全年完成值应保尽保。</w:t>
      </w:r>
    </w:p>
    <w:p w14:paraId="416F7DC1">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产出指标：数量指标，义务兵优待金补助人数，定性指标，应保尽保，全年完成值应保尽保。</w:t>
      </w:r>
    </w:p>
    <w:p w14:paraId="25A22106">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效益指标：社会效益指标，维护优抚对象合法权益，维护涉军群体稳定，定性指标，进一步提高，全年完成值进一步提高。</w:t>
      </w:r>
    </w:p>
    <w:p w14:paraId="0E6A4FA2">
      <w:pPr>
        <w:ind w:firstLine="640" w:firstLineChars="200"/>
        <w:rPr>
          <w:color w:val="000000"/>
          <w:kern w:val="0"/>
          <w:sz w:val="32"/>
          <w:szCs w:val="32"/>
          <w:shd w:val="clear" w:color="auto" w:fill="FFFFFF"/>
          <w:lang w:val="zh-CN"/>
        </w:rPr>
      </w:pPr>
      <w:r>
        <w:rPr>
          <w:rFonts w:hint="eastAsia" w:ascii="仿宋_GB2312" w:hAnsi="Times New Roman" w:eastAsia="仿宋_GB2312" w:cs="Times New Roman"/>
          <w:sz w:val="32"/>
          <w:szCs w:val="32"/>
          <w:lang w:val="en-US" w:eastAsia="zh-CN"/>
        </w:rPr>
        <w:t>满意度指标：服务对象满意度指标，军休、义务兵服务对象满意度，定性指标，进一步提高，全年完成值进一步提高。</w:t>
      </w:r>
    </w:p>
    <w:p w14:paraId="1E7312AF">
      <w:pPr>
        <w:keepNext w:val="0"/>
        <w:keepLines w:val="0"/>
        <w:pageBreakBefore w:val="0"/>
        <w:widowControl w:val="0"/>
        <w:numPr>
          <w:ilvl w:val="0"/>
          <w:numId w:val="5"/>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预算管理。</w:t>
      </w:r>
    </w:p>
    <w:p w14:paraId="07212235">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预算编制质量：实际收入与预算收入无差异，实际支出与预算支出无差异。所有应纳入预算的项目被涵盖</w:t>
      </w:r>
      <w:r>
        <w:rPr>
          <w:rFonts w:hint="eastAsia" w:ascii="仿宋_GB2312" w:hAnsi="Times New Roman" w:eastAsia="仿宋_GB2312" w:cs="Times New Roman"/>
          <w:sz w:val="32"/>
          <w:szCs w:val="32"/>
          <w:lang w:val="en-US" w:eastAsia="zh-CN"/>
        </w:rPr>
        <w:t>100%，预算分配与单位的年度总体目标相匹配。预算编制符合法律法规和内部政策制度。</w:t>
      </w:r>
    </w:p>
    <w:p w14:paraId="14752FB2">
      <w:pPr>
        <w:ind w:firstLine="640"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单位收入统筹：</w:t>
      </w:r>
      <w:r>
        <w:rPr>
          <w:rFonts w:hint="eastAsia" w:ascii="仿宋_GB2312" w:hAnsi="Times New Roman" w:eastAsia="仿宋_GB2312" w:cs="Times New Roman"/>
          <w:sz w:val="32"/>
          <w:szCs w:val="32"/>
          <w:lang w:val="en-US" w:eastAsia="zh-CN"/>
        </w:rPr>
        <w:t>本单位202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en-US" w:eastAsia="zh-CN"/>
        </w:rPr>
        <w:t>年收入全年预算数为</w:t>
      </w:r>
      <w:r>
        <w:rPr>
          <w:rFonts w:hint="eastAsia" w:ascii="仿宋_GB2312" w:eastAsia="仿宋_GB2312" w:cs="Times New Roman"/>
          <w:sz w:val="32"/>
          <w:szCs w:val="32"/>
          <w:lang w:val="en-US" w:eastAsia="zh-CN"/>
        </w:rPr>
        <w:t>1268.29</w:t>
      </w:r>
      <w:r>
        <w:rPr>
          <w:rFonts w:hint="eastAsia" w:ascii="仿宋_GB2312" w:hAnsi="Times New Roman" w:eastAsia="仿宋_GB2312" w:cs="Times New Roman"/>
          <w:sz w:val="32"/>
          <w:szCs w:val="32"/>
          <w:lang w:val="en-US" w:eastAsia="zh-CN"/>
        </w:rPr>
        <w:t>万元，收入决算数为</w:t>
      </w:r>
      <w:r>
        <w:rPr>
          <w:rFonts w:hint="eastAsia" w:ascii="仿宋_GB2312" w:eastAsia="仿宋_GB2312" w:cs="Times New Roman"/>
          <w:sz w:val="32"/>
          <w:szCs w:val="32"/>
          <w:lang w:val="en-US" w:eastAsia="zh-CN"/>
        </w:rPr>
        <w:t>1262.08</w:t>
      </w:r>
      <w:r>
        <w:rPr>
          <w:rFonts w:hint="eastAsia" w:ascii="仿宋_GB2312" w:hAnsi="Times New Roman" w:eastAsia="仿宋_GB2312" w:cs="Times New Roman"/>
          <w:sz w:val="32"/>
          <w:szCs w:val="32"/>
          <w:lang w:val="en-US" w:eastAsia="zh-CN"/>
        </w:rPr>
        <w:t>万元，预算完成度为</w:t>
      </w:r>
      <w:r>
        <w:rPr>
          <w:rFonts w:hint="eastAsia" w:ascii="仿宋_GB2312" w:eastAsia="仿宋_GB2312" w:cs="Times New Roman"/>
          <w:sz w:val="32"/>
          <w:szCs w:val="32"/>
          <w:lang w:val="en-US" w:eastAsia="zh-CN"/>
        </w:rPr>
        <w:t>99.51</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zh-CN" w:eastAsia="zh-CN"/>
        </w:rPr>
        <w:t>20</w:t>
      </w:r>
      <w:r>
        <w:rPr>
          <w:rFonts w:hint="eastAsia" w:ascii="仿宋_GB2312" w:hAnsi="Times New Roman" w:eastAsia="仿宋_GB2312" w:cs="Times New Roman"/>
          <w:sz w:val="32"/>
          <w:szCs w:val="32"/>
          <w:lang w:val="en-US" w:eastAsia="zh-CN"/>
        </w:rPr>
        <w:t>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zh-CN" w:eastAsia="zh-CN"/>
        </w:rPr>
        <w:t>年度总收入</w:t>
      </w:r>
      <w:r>
        <w:rPr>
          <w:rFonts w:hint="eastAsia" w:ascii="仿宋_GB2312" w:eastAsia="仿宋_GB2312" w:cs="Times New Roman"/>
          <w:sz w:val="32"/>
          <w:szCs w:val="32"/>
          <w:lang w:val="en-US" w:eastAsia="zh-CN"/>
        </w:rPr>
        <w:t>1262.08</w:t>
      </w:r>
      <w:r>
        <w:rPr>
          <w:rFonts w:hint="eastAsia" w:ascii="仿宋_GB2312" w:hAnsi="Times New Roman" w:eastAsia="仿宋_GB2312" w:cs="Times New Roman"/>
          <w:sz w:val="32"/>
          <w:szCs w:val="32"/>
          <w:lang w:val="zh-CN" w:eastAsia="zh-CN"/>
        </w:rPr>
        <w:t>万元，其中：财政拨款收入</w:t>
      </w:r>
      <w:r>
        <w:rPr>
          <w:rFonts w:hint="eastAsia" w:ascii="仿宋_GB2312" w:eastAsia="仿宋_GB2312" w:cs="Times New Roman"/>
          <w:sz w:val="32"/>
          <w:szCs w:val="32"/>
          <w:lang w:val="en-US" w:eastAsia="zh-CN"/>
        </w:rPr>
        <w:t>1262.08</w:t>
      </w:r>
      <w:r>
        <w:rPr>
          <w:rFonts w:hint="eastAsia" w:ascii="仿宋_GB2312" w:hAnsi="Times New Roman" w:eastAsia="仿宋_GB2312" w:cs="Times New Roman"/>
          <w:sz w:val="32"/>
          <w:szCs w:val="32"/>
          <w:lang w:val="zh-CN" w:eastAsia="zh-CN"/>
        </w:rPr>
        <w:t>万元，占</w:t>
      </w:r>
      <w:r>
        <w:rPr>
          <w:rFonts w:hint="eastAsia" w:ascii="仿宋_GB2312" w:hAnsi="Times New Roman" w:eastAsia="仿宋_GB2312" w:cs="Times New Roman"/>
          <w:sz w:val="32"/>
          <w:szCs w:val="32"/>
          <w:lang w:val="en-US" w:eastAsia="zh-CN"/>
        </w:rPr>
        <w:t>100</w:t>
      </w:r>
      <w:r>
        <w:rPr>
          <w:rFonts w:hint="eastAsia" w:ascii="仿宋_GB2312" w:hAnsi="Times New Roman" w:eastAsia="仿宋_GB2312" w:cs="Times New Roman"/>
          <w:sz w:val="32"/>
          <w:szCs w:val="32"/>
          <w:lang w:val="zh-CN" w:eastAsia="zh-CN"/>
        </w:rPr>
        <w:t>%；政府性基金预算财政拨款</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万元，占</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%；其他收入</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万元，占</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%；上级补助收入0万元，占0%；事业收入0万元，占0%；经营收入0万元，占0%；附属单位上缴收入0万元，占0%；上年项目支出结转和结余</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万元，占</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w:t>
      </w:r>
    </w:p>
    <w:p w14:paraId="63C8BCA9">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支出执行进度：</w:t>
      </w:r>
      <w:r>
        <w:rPr>
          <w:rFonts w:hint="eastAsia" w:ascii="仿宋_GB2312" w:hAnsi="Times New Roman"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en-US" w:eastAsia="zh-CN"/>
        </w:rPr>
        <w:t>年度支出全年预算数为</w:t>
      </w:r>
      <w:r>
        <w:rPr>
          <w:rFonts w:hint="eastAsia" w:ascii="仿宋_GB2312" w:eastAsia="仿宋_GB2312" w:cs="Times New Roman"/>
          <w:sz w:val="32"/>
          <w:szCs w:val="32"/>
          <w:lang w:val="en-US" w:eastAsia="zh-CN"/>
        </w:rPr>
        <w:t>1268.29</w:t>
      </w:r>
      <w:r>
        <w:rPr>
          <w:rFonts w:hint="eastAsia" w:ascii="仿宋_GB2312" w:hAnsi="Times New Roman" w:eastAsia="仿宋_GB2312" w:cs="Times New Roman"/>
          <w:sz w:val="32"/>
          <w:szCs w:val="32"/>
          <w:lang w:val="en-US" w:eastAsia="zh-CN"/>
        </w:rPr>
        <w:t>万元，支出决算数为</w:t>
      </w:r>
      <w:r>
        <w:rPr>
          <w:rFonts w:hint="eastAsia" w:ascii="仿宋_GB2312" w:eastAsia="仿宋_GB2312" w:cs="Times New Roman"/>
          <w:sz w:val="32"/>
          <w:szCs w:val="32"/>
          <w:lang w:val="en-US" w:eastAsia="zh-CN"/>
        </w:rPr>
        <w:t>1262.08</w:t>
      </w:r>
      <w:r>
        <w:rPr>
          <w:rFonts w:hint="eastAsia" w:ascii="仿宋_GB2312" w:hAnsi="Times New Roman" w:eastAsia="仿宋_GB2312" w:cs="Times New Roman"/>
          <w:sz w:val="32"/>
          <w:szCs w:val="32"/>
          <w:lang w:val="en-US" w:eastAsia="zh-CN"/>
        </w:rPr>
        <w:t>万元，预算完成度为</w:t>
      </w:r>
      <w:r>
        <w:rPr>
          <w:rFonts w:hint="eastAsia" w:ascii="仿宋_GB2312" w:eastAsia="仿宋_GB2312" w:cs="Times New Roman"/>
          <w:sz w:val="32"/>
          <w:szCs w:val="32"/>
          <w:lang w:val="en-US" w:eastAsia="zh-CN"/>
        </w:rPr>
        <w:t>99.51</w:t>
      </w:r>
      <w:r>
        <w:rPr>
          <w:rFonts w:hint="eastAsia" w:ascii="仿宋_GB2312" w:hAnsi="Times New Roman" w:eastAsia="仿宋_GB2312" w:cs="Times New Roman"/>
          <w:sz w:val="32"/>
          <w:szCs w:val="32"/>
          <w:lang w:val="en-US" w:eastAsia="zh-CN"/>
        </w:rPr>
        <w:t>%，执行进度</w:t>
      </w:r>
      <w:r>
        <w:rPr>
          <w:rFonts w:hint="eastAsia" w:ascii="仿宋_GB2312" w:eastAsia="仿宋_GB2312" w:cs="Times New Roman"/>
          <w:sz w:val="32"/>
          <w:szCs w:val="32"/>
          <w:lang w:val="en-US" w:eastAsia="zh-CN"/>
        </w:rPr>
        <w:t>99.51</w:t>
      </w:r>
      <w:r>
        <w:rPr>
          <w:rFonts w:hint="eastAsia" w:ascii="仿宋_GB2312" w:hAnsi="Times New Roman" w:eastAsia="仿宋_GB2312" w:cs="Times New Roman"/>
          <w:sz w:val="32"/>
          <w:szCs w:val="32"/>
          <w:lang w:val="en-US" w:eastAsia="zh-CN"/>
        </w:rPr>
        <w:t>%。</w:t>
      </w:r>
    </w:p>
    <w:p w14:paraId="73385E02">
      <w:pPr>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仿宋_GB2312" w:hAnsi="Times New Roman" w:eastAsia="仿宋_GB2312" w:cs="Times New Roman"/>
          <w:sz w:val="32"/>
          <w:szCs w:val="32"/>
          <w:lang w:val="zh-CN" w:eastAsia="zh-CN"/>
        </w:rPr>
        <w:t>预算年终结余：无。</w:t>
      </w:r>
    </w:p>
    <w:p w14:paraId="7357BFF9">
      <w:pPr>
        <w:numPr>
          <w:ilvl w:val="0"/>
          <w:numId w:val="5"/>
        </w:numPr>
        <w:adjustRightInd w:val="0"/>
        <w:snapToGrid w:val="0"/>
        <w:spacing w:line="578" w:lineRule="exact"/>
        <w:ind w:left="0" w:leftChars="0" w:firstLine="640" w:firstLineChars="200"/>
        <w:jc w:val="left"/>
        <w:rPr>
          <w:rFonts w:hint="eastAsia" w:eastAsia="仿宋_GB2312"/>
          <w:sz w:val="32"/>
          <w:szCs w:val="32"/>
          <w:lang w:val="zh-CN"/>
        </w:rPr>
      </w:pP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围绕财务管理制度、财务岗位设置、资金使用规范进行绩效分析。</w:t>
      </w:r>
    </w:p>
    <w:p w14:paraId="5E1C226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005DDA5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2BA0884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A</w:t>
      </w:r>
      <w:r>
        <w:rPr>
          <w:rFonts w:hint="eastAsia" w:ascii="仿宋" w:hAnsi="仿宋" w:eastAsia="仿宋" w:cs="仿宋"/>
          <w:color w:val="000000"/>
          <w:kern w:val="0"/>
          <w:sz w:val="32"/>
          <w:szCs w:val="32"/>
          <w:highlight w:val="none"/>
          <w:shd w:val="clear" w:color="auto" w:fill="FFFFFF"/>
          <w:lang w:val="zh-CN"/>
        </w:rPr>
        <w:t>、明确了记账人员与审批人员、经办人员的职责权限，使其相互分离、相互制约，以明确责任，防止舞弊，各项业务事项得以有序进行。</w:t>
      </w:r>
    </w:p>
    <w:p w14:paraId="6D0867D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B</w:t>
      </w:r>
      <w:r>
        <w:rPr>
          <w:rFonts w:hint="eastAsia" w:ascii="仿宋" w:hAnsi="仿宋" w:eastAsia="仿宋" w:cs="仿宋"/>
          <w:color w:val="000000"/>
          <w:kern w:val="0"/>
          <w:sz w:val="32"/>
          <w:szCs w:val="32"/>
          <w:highlight w:val="none"/>
          <w:shd w:val="clear" w:color="auto" w:fill="FFFFFF"/>
          <w:lang w:val="zh-CN"/>
        </w:rPr>
        <w:t>、明确了财务收支审批程序和审批人的权限和责任，规范了各项资金的使用，提高了资金使用效益。</w:t>
      </w:r>
    </w:p>
    <w:p w14:paraId="27A7205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C</w:t>
      </w:r>
      <w:r>
        <w:rPr>
          <w:rFonts w:hint="eastAsia" w:ascii="仿宋" w:hAnsi="仿宋" w:eastAsia="仿宋" w:cs="仿宋"/>
          <w:color w:val="000000"/>
          <w:kern w:val="0"/>
          <w:sz w:val="32"/>
          <w:szCs w:val="32"/>
          <w:highlight w:val="none"/>
          <w:shd w:val="clear" w:color="auto" w:fill="FFFFFF"/>
          <w:lang w:val="zh-CN"/>
        </w:rPr>
        <w:t>、明确经费支出的范围和开支标准，采取各种有效措施控制经费开支，杜绝了浪费现象的发生。</w:t>
      </w:r>
    </w:p>
    <w:p w14:paraId="2A0CFA5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lang w:val="zh-CN"/>
        </w:rPr>
      </w:pPr>
      <w:r>
        <w:rPr>
          <w:rFonts w:hint="eastAsia" w:ascii="仿宋" w:hAnsi="仿宋" w:eastAsia="仿宋" w:cs="仿宋"/>
          <w:color w:val="000000"/>
          <w:kern w:val="0"/>
          <w:sz w:val="32"/>
          <w:szCs w:val="32"/>
          <w:highlight w:val="none"/>
          <w:shd w:val="clear" w:color="auto" w:fill="FFFFFF"/>
          <w:lang w:val="en-US" w:eastAsia="zh-CN"/>
        </w:rPr>
        <w:t>D</w:t>
      </w:r>
      <w:r>
        <w:rPr>
          <w:rFonts w:hint="eastAsia" w:ascii="仿宋" w:hAnsi="仿宋" w:eastAsia="仿宋" w:cs="仿宋"/>
          <w:color w:val="000000"/>
          <w:kern w:val="0"/>
          <w:sz w:val="32"/>
          <w:szCs w:val="32"/>
          <w:highlight w:val="none"/>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41F4E44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p>
    <w:p w14:paraId="14878E3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人均资产变化率：无变化。</w:t>
      </w:r>
    </w:p>
    <w:p w14:paraId="574C9B0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zh-CN"/>
        </w:rPr>
        <w:t>资产利用率：</w:t>
      </w:r>
      <w:r>
        <w:rPr>
          <w:rFonts w:hint="eastAsia" w:ascii="仿宋" w:hAnsi="仿宋" w:eastAsia="仿宋" w:cs="仿宋"/>
          <w:color w:val="000000"/>
          <w:kern w:val="0"/>
          <w:sz w:val="32"/>
          <w:szCs w:val="32"/>
          <w:highlight w:val="none"/>
          <w:shd w:val="clear" w:color="auto" w:fill="FFFFFF"/>
          <w:lang w:val="en-US" w:eastAsia="zh-CN"/>
        </w:rPr>
        <w:t>100%。</w:t>
      </w:r>
    </w:p>
    <w:p w14:paraId="5933D02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zh-CN"/>
        </w:rPr>
        <w:t>资产盘活率：</w:t>
      </w:r>
      <w:r>
        <w:rPr>
          <w:rFonts w:hint="eastAsia" w:ascii="仿宋" w:hAnsi="仿宋" w:eastAsia="仿宋" w:cs="仿宋"/>
          <w:color w:val="000000"/>
          <w:kern w:val="0"/>
          <w:sz w:val="32"/>
          <w:szCs w:val="32"/>
          <w:highlight w:val="none"/>
          <w:shd w:val="clear" w:color="auto" w:fill="FFFFFF"/>
          <w:lang w:val="en-US" w:eastAsia="zh-CN"/>
        </w:rPr>
        <w:t>90%。</w:t>
      </w:r>
    </w:p>
    <w:p w14:paraId="1456FF2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楷体_GB2312" w:hAnsi="楷体_GB2312" w:eastAsia="楷体_GB2312" w:cs="楷体_GB2312"/>
          <w:color w:val="000000"/>
          <w:kern w:val="0"/>
          <w:sz w:val="32"/>
          <w:szCs w:val="32"/>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14:paraId="5D76A209">
      <w:pPr>
        <w:numPr>
          <w:ilvl w:val="0"/>
          <w:numId w:val="5"/>
        </w:numPr>
        <w:adjustRightInd w:val="0"/>
        <w:snapToGrid w:val="0"/>
        <w:spacing w:line="578" w:lineRule="exact"/>
        <w:ind w:left="0" w:leftChars="0" w:firstLine="640" w:firstLineChars="200"/>
        <w:jc w:val="left"/>
        <w:rPr>
          <w:rFonts w:hint="eastAsia" w:eastAsia="仿宋_GB2312"/>
          <w:sz w:val="32"/>
          <w:szCs w:val="32"/>
          <w:lang w:val="zh-CN"/>
        </w:rPr>
      </w:pPr>
      <w:r>
        <w:rPr>
          <w:rFonts w:hint="eastAsia" w:ascii="楷体_GB2312" w:hAnsi="楷体_GB2312" w:eastAsia="楷体_GB2312" w:cs="楷体_GB2312"/>
          <w:color w:val="000000"/>
          <w:kern w:val="0"/>
          <w:sz w:val="32"/>
          <w:szCs w:val="32"/>
          <w:shd w:val="clear" w:color="auto" w:fill="FFFFFF"/>
          <w:lang w:val="zh-CN"/>
        </w:rPr>
        <w:t>采购管理。</w:t>
      </w:r>
      <w:r>
        <w:rPr>
          <w:rFonts w:hint="eastAsia" w:eastAsia="仿宋_GB2312"/>
          <w:sz w:val="32"/>
          <w:szCs w:val="32"/>
          <w:lang w:val="zh-CN"/>
        </w:rPr>
        <w:t>围绕支持中小企业发展、采购执行率进行绩效分析。</w:t>
      </w:r>
    </w:p>
    <w:p w14:paraId="36CA960F">
      <w:pPr>
        <w:pStyle w:val="8"/>
        <w:numPr>
          <w:ilvl w:val="0"/>
          <w:numId w:val="0"/>
        </w:numPr>
        <w:ind w:leftChars="200"/>
        <w:rPr>
          <w:lang w:val="zh-CN"/>
        </w:rPr>
      </w:pPr>
      <w:r>
        <w:rPr>
          <w:rFonts w:hint="eastAsia" w:ascii="Times New Roman" w:hAnsi="Times New Roman" w:eastAsia="仿宋_GB2312" w:cs="Times New Roman"/>
          <w:kern w:val="2"/>
          <w:sz w:val="32"/>
          <w:szCs w:val="32"/>
          <w:lang w:val="en-US" w:eastAsia="zh-CN" w:bidi="ar-SA"/>
        </w:rPr>
        <w:t>本单位无采购。</w:t>
      </w:r>
    </w:p>
    <w:p w14:paraId="605C5D11">
      <w:pPr>
        <w:ind w:firstLine="643" w:firstLineChars="200"/>
        <w:rPr>
          <w:rFonts w:eastAsia="仿宋_GB2312"/>
          <w:sz w:val="32"/>
          <w:szCs w:val="32"/>
          <w:lang w:val="zh-CN"/>
        </w:rPr>
      </w:pPr>
      <w:r>
        <w:rPr>
          <w:rFonts w:hint="eastAsia" w:ascii="楷体_GB2312" w:eastAsia="楷体_GB2312"/>
          <w:b/>
          <w:sz w:val="32"/>
          <w:szCs w:val="32"/>
        </w:rPr>
        <w:t>（二）部门预算项目绩效分析。</w:t>
      </w:r>
      <w:r>
        <w:rPr>
          <w:rFonts w:hint="eastAsia" w:eastAsia="仿宋_GB2312"/>
          <w:sz w:val="32"/>
          <w:szCs w:val="32"/>
          <w:lang w:val="zh-CN"/>
        </w:rPr>
        <w:t>填报以下数据，并根据部门预算绩效评价指标体系“项目绩效”涉及二、三级指标进行逐项绩效分析并评分，依次包括项目决策、项目执行、目标实现等情况。</w:t>
      </w:r>
    </w:p>
    <w:p w14:paraId="4631C136">
      <w:pPr>
        <w:ind w:firstLine="640" w:firstLineChars="200"/>
        <w:rPr>
          <w:rFonts w:hint="eastAsia" w:eastAsia="仿宋_GB2312"/>
          <w:sz w:val="32"/>
          <w:szCs w:val="32"/>
          <w:lang w:val="zh-CN"/>
        </w:rPr>
      </w:pPr>
      <w:r>
        <w:rPr>
          <w:rFonts w:hint="eastAsia" w:eastAsia="仿宋_GB2312"/>
          <w:sz w:val="32"/>
          <w:szCs w:val="32"/>
          <w:lang w:val="zh-CN"/>
        </w:rPr>
        <w:t>常年项目绩效分析。该类项目总数3个，涉及预算总金额378.16万元，1—12月预算执行总体进度为100%，其中：预算结余率大于10%的项目共计0个。</w:t>
      </w:r>
    </w:p>
    <w:p w14:paraId="7EBBF08E">
      <w:pPr>
        <w:ind w:firstLine="640" w:firstLineChars="200"/>
        <w:rPr>
          <w:rFonts w:hint="eastAsia" w:eastAsia="仿宋_GB2312"/>
          <w:sz w:val="32"/>
          <w:szCs w:val="32"/>
          <w:lang w:val="zh-CN" w:eastAsia="zh-CN"/>
        </w:rPr>
      </w:pPr>
      <w:r>
        <w:rPr>
          <w:rFonts w:hint="eastAsia" w:eastAsia="仿宋_GB2312"/>
          <w:sz w:val="32"/>
          <w:szCs w:val="32"/>
          <w:lang w:val="zh-CN"/>
        </w:rPr>
        <w:t>阶段（含一次性）项目绩效分析。该类项目总数20个，涉及预算总金额1076.01万元，1—12月预算执行总体进度为57.54%，其中：预算结余率大于10%的项目共计4个</w:t>
      </w:r>
      <w:r>
        <w:rPr>
          <w:rFonts w:hint="eastAsia" w:eastAsia="仿宋_GB2312"/>
          <w:sz w:val="32"/>
          <w:szCs w:val="32"/>
          <w:lang w:val="zh-CN" w:eastAsia="zh-CN"/>
        </w:rPr>
        <w:t>。</w:t>
      </w:r>
    </w:p>
    <w:p w14:paraId="5E909C81">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项目决策。</w:t>
      </w:r>
    </w:p>
    <w:p w14:paraId="402AC2C4">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决策程序：</w:t>
      </w:r>
      <w:r>
        <w:rPr>
          <w:rFonts w:hint="eastAsia" w:ascii="Times New Roman" w:hAnsi="Times New Roman" w:eastAsia="仿宋_GB2312" w:cs="Times New Roman"/>
          <w:sz w:val="32"/>
          <w:szCs w:val="32"/>
          <w:lang w:val="en-US" w:eastAsia="zh-CN"/>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14:paraId="685D5304">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目标设置：履行政治领导责任，做好理论武装何思想政治工作，负责学习、宣传、贯彻执行党的理论和路线方针政策，贯彻落实党中央、省委、州委和县委的，决策部署，发挥好把方向、管大局、保落实;提高退役军人思想政治、管理保障和安置优抚等法律法规，拟定退役军人工作政策并组织实施，褒扬彰显退役军人为党、国家和人民牺牲奉献的精神风范和价值导向;</w:t>
      </w:r>
    </w:p>
    <w:p w14:paraId="0E4995C9">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项目入库：</w:t>
      </w:r>
      <w:r>
        <w:rPr>
          <w:rFonts w:hint="eastAsia" w:ascii="Times New Roman" w:hAnsi="Times New Roman" w:eastAsia="仿宋_GB2312" w:cs="Times New Roman"/>
          <w:sz w:val="32"/>
          <w:szCs w:val="32"/>
          <w:lang w:val="en-US" w:eastAsia="zh-CN"/>
        </w:rPr>
        <w:t>严格</w:t>
      </w:r>
      <w:r>
        <w:rPr>
          <w:rFonts w:hint="eastAsia" w:ascii="Times New Roman" w:hAnsi="Times New Roman" w:eastAsia="仿宋_GB2312" w:cs="Times New Roman"/>
          <w:sz w:val="32"/>
          <w:szCs w:val="32"/>
          <w:lang w:val="zh-CN" w:eastAsia="zh-CN"/>
        </w:rPr>
        <w:t>按照程序以及要求，项目在资金使用前必须进行项目入库。</w:t>
      </w:r>
    </w:p>
    <w:p w14:paraId="4A2FE10B">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项目执行。</w:t>
      </w:r>
    </w:p>
    <w:p w14:paraId="198922AC">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w:t>
      </w:r>
      <w:r>
        <w:rPr>
          <w:rFonts w:hint="eastAsia" w:eastAsia="仿宋_GB2312"/>
          <w:sz w:val="32"/>
          <w:szCs w:val="32"/>
          <w:lang w:val="en-US" w:eastAsia="zh-CN"/>
        </w:rPr>
        <w:t>4</w:t>
      </w:r>
      <w:r>
        <w:rPr>
          <w:rFonts w:hint="eastAsia" w:ascii="Times New Roman" w:hAnsi="Times New Roman" w:eastAsia="仿宋_GB2312" w:cs="Times New Roman"/>
          <w:sz w:val="32"/>
          <w:szCs w:val="32"/>
          <w:lang w:val="en-US" w:eastAsia="zh-CN"/>
        </w:rPr>
        <w:t>年预算决算总收入</w:t>
      </w:r>
      <w:r>
        <w:rPr>
          <w:rFonts w:hint="eastAsia" w:eastAsia="仿宋_GB2312" w:cs="Times New Roman"/>
          <w:sz w:val="32"/>
          <w:szCs w:val="32"/>
          <w:lang w:val="en-US" w:eastAsia="zh-CN"/>
        </w:rPr>
        <w:t>1262.08</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年支出合计</w:t>
      </w:r>
      <w:r>
        <w:rPr>
          <w:rFonts w:hint="eastAsia" w:eastAsia="仿宋_GB2312" w:cs="Times New Roman"/>
          <w:sz w:val="32"/>
          <w:szCs w:val="32"/>
          <w:lang w:val="en-US" w:eastAsia="zh-CN"/>
        </w:rPr>
        <w:t>1262.08</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资金使用率</w:t>
      </w:r>
      <w:r>
        <w:rPr>
          <w:rFonts w:hint="eastAsia" w:ascii="Times New Roman" w:hAnsi="Times New Roman" w:eastAsia="仿宋_GB2312" w:cs="Times New Roman"/>
          <w:sz w:val="32"/>
          <w:szCs w:val="32"/>
          <w:lang w:val="zh-CN" w:eastAsia="zh-CN"/>
        </w:rPr>
        <w:t>100%。其中：一般公共服务支出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万元，占</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%；社会保障和就业支出</w:t>
      </w:r>
      <w:r>
        <w:rPr>
          <w:rFonts w:hint="eastAsia" w:eastAsia="仿宋_GB2312" w:cs="Times New Roman"/>
          <w:sz w:val="32"/>
          <w:szCs w:val="32"/>
          <w:lang w:val="en-US" w:eastAsia="zh-CN"/>
        </w:rPr>
        <w:t>1223.74</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占</w:t>
      </w:r>
      <w:r>
        <w:rPr>
          <w:rFonts w:hint="eastAsia" w:eastAsia="仿宋_GB2312" w:cs="Times New Roman"/>
          <w:sz w:val="32"/>
          <w:szCs w:val="32"/>
          <w:lang w:val="en-US" w:eastAsia="zh-CN"/>
        </w:rPr>
        <w:t>96.96</w:t>
      </w:r>
      <w:r>
        <w:rPr>
          <w:rFonts w:hint="eastAsia" w:ascii="Times New Roman" w:hAnsi="Times New Roman" w:eastAsia="仿宋_GB2312" w:cs="Times New Roman"/>
          <w:sz w:val="32"/>
          <w:szCs w:val="32"/>
          <w:lang w:val="zh-CN" w:eastAsia="zh-CN"/>
        </w:rPr>
        <w:t>%；卫生健康支出</w:t>
      </w:r>
      <w:r>
        <w:rPr>
          <w:rFonts w:hint="eastAsia" w:eastAsia="仿宋_GB2312" w:cs="Times New Roman"/>
          <w:sz w:val="32"/>
          <w:szCs w:val="32"/>
          <w:lang w:val="en-US" w:eastAsia="zh-CN"/>
        </w:rPr>
        <w:t>19.84</w:t>
      </w:r>
      <w:r>
        <w:rPr>
          <w:rFonts w:hint="eastAsia" w:ascii="Times New Roman" w:hAnsi="Times New Roman" w:eastAsia="仿宋_GB2312" w:cs="Times New Roman"/>
          <w:sz w:val="32"/>
          <w:szCs w:val="32"/>
          <w:lang w:val="zh-CN" w:eastAsia="zh-CN"/>
        </w:rPr>
        <w:t>万元，占</w:t>
      </w:r>
      <w:r>
        <w:rPr>
          <w:rFonts w:hint="eastAsia" w:eastAsia="仿宋_GB2312" w:cs="Times New Roman"/>
          <w:sz w:val="32"/>
          <w:szCs w:val="32"/>
          <w:lang w:val="en-US" w:eastAsia="zh-CN"/>
        </w:rPr>
        <w:t>1.57</w:t>
      </w:r>
      <w:r>
        <w:rPr>
          <w:rFonts w:hint="eastAsia" w:ascii="Times New Roman" w:hAnsi="Times New Roman" w:eastAsia="仿宋_GB2312" w:cs="Times New Roman"/>
          <w:sz w:val="32"/>
          <w:szCs w:val="32"/>
          <w:lang w:val="zh-CN" w:eastAsia="zh-CN"/>
        </w:rPr>
        <w:t>%；住房保障支出</w:t>
      </w:r>
      <w:r>
        <w:rPr>
          <w:rFonts w:hint="eastAsia" w:eastAsia="仿宋_GB2312" w:cs="Times New Roman"/>
          <w:sz w:val="32"/>
          <w:szCs w:val="32"/>
          <w:lang w:val="en-US" w:eastAsia="zh-CN"/>
        </w:rPr>
        <w:t>18.5</w:t>
      </w:r>
      <w:r>
        <w:rPr>
          <w:rFonts w:hint="eastAsia" w:ascii="Times New Roman" w:hAnsi="Times New Roman" w:eastAsia="仿宋_GB2312" w:cs="Times New Roman"/>
          <w:sz w:val="32"/>
          <w:szCs w:val="32"/>
          <w:lang w:val="zh-CN" w:eastAsia="zh-CN"/>
        </w:rPr>
        <w:t>万元，占</w:t>
      </w:r>
      <w:r>
        <w:rPr>
          <w:rFonts w:hint="eastAsia" w:eastAsia="仿宋_GB2312" w:cs="Times New Roman"/>
          <w:sz w:val="32"/>
          <w:szCs w:val="32"/>
          <w:lang w:val="en-US" w:eastAsia="zh-CN"/>
        </w:rPr>
        <w:t>1.47</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w:t>
      </w:r>
    </w:p>
    <w:p w14:paraId="44523324">
      <w:p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3.目标实现。</w:t>
      </w:r>
      <w:r>
        <w:rPr>
          <w:rFonts w:hint="eastAsia" w:eastAsia="仿宋_GB2312"/>
          <w:sz w:val="32"/>
          <w:szCs w:val="32"/>
          <w:lang w:val="zh-CN"/>
        </w:rPr>
        <w:t>围绕目标完成、目标偏离、实现效果进行绩效分析。</w:t>
      </w:r>
    </w:p>
    <w:p w14:paraId="7F21CE60">
      <w:pPr>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zh-CN"/>
        </w:rPr>
        <w:t>我局</w:t>
      </w:r>
      <w:r>
        <w:rPr>
          <w:rFonts w:hint="eastAsia" w:ascii="Times New Roman" w:hAnsi="Times New Roman" w:eastAsia="仿宋_GB2312" w:cs="Times New Roman"/>
          <w:sz w:val="32"/>
          <w:szCs w:val="32"/>
          <w:lang w:val="en-US" w:eastAsia="zh-CN"/>
        </w:rPr>
        <w:t>目标完成100%，未偏离目标。</w:t>
      </w:r>
      <w:r>
        <w:rPr>
          <w:rFonts w:hint="eastAsia" w:ascii="Times New Roman" w:hAnsi="Times New Roman" w:eastAsia="仿宋_GB2312" w:cs="Times New Roman"/>
          <w:sz w:val="32"/>
          <w:szCs w:val="32"/>
          <w:lang w:val="zh-CN" w:eastAsia="zh-CN"/>
        </w:rPr>
        <w:t>履行政治领导责任，做好理论武装何思想政治工作，负责学习、宣传、贯彻执行党的理论和路线方针政策，贯彻落实党中央、省委、州委和县委的，决策部署，发挥好把方向、管大局、保落实;提高退役军人思想政治、管理保障和安置优抚等法律法规，拟定退役军人工作政策并组织实施，褒扬彰显退役军人为党、国家和人民牺牲奉献的精神风范和价值导向。</w:t>
      </w:r>
    </w:p>
    <w:p w14:paraId="52C957D6">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重点领域绩效分析。</w:t>
      </w:r>
    </w:p>
    <w:p w14:paraId="5974434B">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我单位202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年未涉及重点领域事项。</w:t>
      </w:r>
    </w:p>
    <w:p w14:paraId="14DE648C">
      <w:pPr>
        <w:numPr>
          <w:ilvl w:val="0"/>
          <w:numId w:val="7"/>
        </w:numPr>
        <w:spacing w:line="560" w:lineRule="exact"/>
        <w:ind w:left="0" w:leftChars="0" w:firstLine="643" w:firstLineChars="200"/>
        <w:rPr>
          <w:rFonts w:hint="eastAsia" w:ascii="楷体_GB2312" w:eastAsia="楷体_GB2312"/>
          <w:b/>
          <w:sz w:val="32"/>
          <w:szCs w:val="32"/>
        </w:rPr>
      </w:pPr>
      <w:r>
        <w:rPr>
          <w:rFonts w:hint="eastAsia" w:ascii="楷体_GB2312" w:eastAsia="楷体_GB2312"/>
          <w:b/>
          <w:sz w:val="32"/>
          <w:szCs w:val="32"/>
        </w:rPr>
        <w:t>绩效结果应用情况。</w:t>
      </w:r>
    </w:p>
    <w:p w14:paraId="14BC9582">
      <w:pPr>
        <w:ind w:firstLine="640" w:firstLineChars="200"/>
        <w:rPr>
          <w:rFonts w:eastAsia="仿宋_GB2312"/>
          <w:sz w:val="32"/>
          <w:szCs w:val="32"/>
          <w:lang w:val="zh-CN"/>
        </w:rPr>
      </w:pPr>
      <w:r>
        <w:rPr>
          <w:rFonts w:hint="eastAsia" w:ascii="Times New Roman" w:hAnsi="Times New Roman" w:eastAsia="仿宋_GB2312" w:cs="Times New Roman"/>
          <w:sz w:val="32"/>
          <w:szCs w:val="32"/>
          <w:lang w:val="zh-CN" w:eastAsia="zh-CN"/>
        </w:rPr>
        <w:t>我局部门绩效结果应用到了下一年的绩效目标设定与调整。根据支出预决算，为下一年度的预算提供了基础预算数据。优化了</w:t>
      </w:r>
      <w:r>
        <w:rPr>
          <w:rFonts w:hint="eastAsia"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zh-CN" w:eastAsia="zh-CN"/>
        </w:rPr>
        <w:t>资金的使用率。保障了机关日常正常运转，专项资金保障了</w:t>
      </w:r>
      <w:r>
        <w:rPr>
          <w:rFonts w:hint="eastAsia" w:ascii="Times New Roman" w:hAnsi="Times New Roman" w:eastAsia="仿宋_GB2312" w:cs="Times New Roman"/>
          <w:sz w:val="32"/>
          <w:szCs w:val="32"/>
          <w:lang w:val="en-US" w:eastAsia="zh-CN"/>
        </w:rPr>
        <w:t>退役军人</w:t>
      </w:r>
      <w:r>
        <w:rPr>
          <w:rFonts w:hint="eastAsia" w:ascii="Times New Roman" w:hAnsi="Times New Roman" w:eastAsia="仿宋_GB2312" w:cs="Times New Roman"/>
          <w:sz w:val="32"/>
          <w:szCs w:val="32"/>
          <w:lang w:val="zh-CN" w:eastAsia="zh-CN"/>
        </w:rPr>
        <w:t>的基本生活，同时在维护少数名族地区的社会稳定，提高人民生活水平，改善人民生活质量等方面有着极其重要的意义，有力促进了社会和谐发展，为全县及乡镇的经济发展作出了应有的贡献，</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年预算及决算已在政府信息公开网站进行了公开。</w:t>
      </w:r>
    </w:p>
    <w:p w14:paraId="2D5CB69B">
      <w:pPr>
        <w:ind w:firstLine="640" w:firstLineChars="200"/>
        <w:rPr>
          <w:rFonts w:ascii="黑体" w:hAnsi="黑体" w:eastAsia="黑体"/>
          <w:sz w:val="32"/>
          <w:szCs w:val="32"/>
        </w:rPr>
      </w:pPr>
      <w:r>
        <w:rPr>
          <w:rFonts w:hint="eastAsia" w:ascii="黑体" w:hAnsi="黑体" w:eastAsia="黑体"/>
          <w:sz w:val="32"/>
          <w:szCs w:val="32"/>
        </w:rPr>
        <w:t>四、评价结论及建议</w:t>
      </w:r>
    </w:p>
    <w:p w14:paraId="76A7E12A">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（一）评价结论。</w:t>
      </w:r>
    </w:p>
    <w:p w14:paraId="71353AD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宋体"/>
          <w:sz w:val="32"/>
          <w:lang w:val="zh-CN"/>
        </w:rPr>
      </w:pPr>
      <w:r>
        <w:rPr>
          <w:rFonts w:hint="eastAsia" w:ascii="Times New Roman" w:hAnsi="Times New Roman" w:eastAsia="仿宋_GB2312" w:cs="Times New Roman"/>
          <w:sz w:val="32"/>
          <w:szCs w:val="32"/>
          <w:lang w:val="zh-CN" w:eastAsia="zh-CN"/>
        </w:rPr>
        <w:t>我局部门支出预算，保障了机关日常正常运转，专项资金保障了</w:t>
      </w:r>
      <w:r>
        <w:rPr>
          <w:rFonts w:hint="eastAsia" w:ascii="Times New Roman" w:hAnsi="Times New Roman" w:eastAsia="仿宋_GB2312" w:cs="Times New Roman"/>
          <w:sz w:val="32"/>
          <w:szCs w:val="32"/>
          <w:lang w:val="en-US" w:eastAsia="zh-CN"/>
        </w:rPr>
        <w:t>退役军人</w:t>
      </w:r>
      <w:r>
        <w:rPr>
          <w:rFonts w:hint="eastAsia" w:ascii="Times New Roman" w:hAnsi="Times New Roman" w:eastAsia="仿宋_GB2312" w:cs="Times New Roman"/>
          <w:sz w:val="32"/>
          <w:szCs w:val="32"/>
          <w:lang w:val="zh-CN" w:eastAsia="zh-CN"/>
        </w:rPr>
        <w:t>的基本生活，同时在维护少数名族地区的社会稳定，提高人民生活水平，改善人民生活质量等方面有着极其重要的意义，有力促进了社会和谐发展，为全县及乡镇的经济发展作出了应有的贡献，部门整体支出绩效自评等级为优秀。</w:t>
      </w:r>
    </w:p>
    <w:p w14:paraId="17935F28">
      <w:pPr>
        <w:numPr>
          <w:ilvl w:val="0"/>
          <w:numId w:val="8"/>
        </w:numPr>
        <w:ind w:firstLine="643" w:firstLineChars="200"/>
        <w:rPr>
          <w:rFonts w:hint="eastAsia" w:ascii="楷体_GB2312" w:eastAsia="楷体_GB2312"/>
          <w:b/>
          <w:sz w:val="32"/>
          <w:szCs w:val="32"/>
        </w:rPr>
      </w:pPr>
      <w:r>
        <w:rPr>
          <w:rFonts w:hint="eastAsia" w:ascii="楷体_GB2312" w:eastAsia="楷体_GB2312"/>
          <w:b/>
          <w:sz w:val="32"/>
          <w:szCs w:val="32"/>
        </w:rPr>
        <w:t>存在问题。</w:t>
      </w:r>
    </w:p>
    <w:p w14:paraId="1128080B">
      <w:pPr>
        <w:numPr>
          <w:ilvl w:val="0"/>
          <w:numId w:val="0"/>
        </w:numPr>
        <w:ind w:firstLine="640" w:firstLineChars="200"/>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由于财政支出的多样性和复杂性，绩效评价指标体系设置难度大，即使可以量化，但实际操作中很多项目间缺乏可比性且指标本身也在逐步变化，需要逐步完善。</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cs="仿宋_GB2312"/>
          <w:color w:val="000000"/>
          <w:kern w:val="0"/>
          <w:sz w:val="32"/>
          <w:szCs w:val="32"/>
          <w:lang w:val="en-US" w:eastAsia="zh-CN" w:bidi="ar"/>
        </w:rPr>
        <w:t xml:space="preserve">    </w:t>
      </w:r>
      <w:r>
        <w:rPr>
          <w:rFonts w:hint="eastAsia" w:ascii="仿宋_GB2312" w:hAnsi="仿宋" w:eastAsia="仿宋_GB2312" w:cs="仿宋_GB2312"/>
          <w:color w:val="000000"/>
          <w:kern w:val="0"/>
          <w:sz w:val="32"/>
          <w:szCs w:val="32"/>
          <w:lang w:val="en-US" w:eastAsia="zh-CN" w:bidi="ar"/>
        </w:rPr>
        <w:t>在平时工作推进过程中，缺乏技术人员进行专业指导及培训，工作推进存在一定困难，预算编制还需更加精准。</w:t>
      </w:r>
    </w:p>
    <w:p w14:paraId="0AB23C35">
      <w:pPr>
        <w:keepNext w:val="0"/>
        <w:keepLines w:val="0"/>
        <w:pageBreakBefore w:val="0"/>
        <w:widowControl w:val="0"/>
        <w:numPr>
          <w:ilvl w:val="0"/>
          <w:numId w:val="8"/>
        </w:numPr>
        <w:suppressLineNumbers w:val="0"/>
        <w:kinsoku/>
        <w:wordWrap/>
        <w:overflowPunct/>
        <w:topLinePunct w:val="0"/>
        <w:autoSpaceDE w:val="0"/>
        <w:autoSpaceDN/>
        <w:bidi w:val="0"/>
        <w:adjustRightInd/>
        <w:snapToGrid/>
        <w:spacing w:before="0" w:beforeAutospacing="0" w:after="0" w:afterAutospacing="0" w:line="560" w:lineRule="exact"/>
        <w:ind w:left="0" w:leftChars="0" w:right="0" w:rightChars="0" w:firstLine="643" w:firstLineChars="200"/>
        <w:jc w:val="left"/>
        <w:textAlignment w:val="auto"/>
        <w:rPr>
          <w:rFonts w:hint="eastAsia" w:ascii="楷体_GB2312" w:eastAsia="楷体_GB2312"/>
          <w:b/>
          <w:sz w:val="32"/>
          <w:szCs w:val="32"/>
        </w:rPr>
      </w:pPr>
      <w:r>
        <w:rPr>
          <w:rFonts w:hint="eastAsia" w:ascii="楷体_GB2312" w:eastAsia="楷体_GB2312"/>
          <w:b/>
          <w:sz w:val="32"/>
          <w:szCs w:val="32"/>
        </w:rPr>
        <w:t>改进建议。</w:t>
      </w:r>
    </w:p>
    <w:p w14:paraId="232CF46F">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1.通过各种途径加强绩效管理学习，科学合理编制预算，严格执行预算。</w:t>
      </w:r>
    </w:p>
    <w:p w14:paraId="777A98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2.规范账务处理，提高财务信息质量。</w:t>
      </w:r>
    </w:p>
    <w:p w14:paraId="7C84E0AF">
      <w:pPr>
        <w:ind w:firstLine="640" w:firstLineChars="200"/>
        <w:rPr>
          <w:rFonts w:eastAsia="仿宋_GB2312"/>
          <w:sz w:val="32"/>
          <w:szCs w:val="32"/>
          <w:lang w:val="zh-CN"/>
        </w:rPr>
      </w:pPr>
    </w:p>
    <w:p w14:paraId="2420E806">
      <w:pPr>
        <w:ind w:firstLine="640" w:firstLineChars="200"/>
        <w:rPr>
          <w:rFonts w:hint="eastAsia" w:asciiTheme="minorEastAsia" w:hAnsiTheme="minorEastAsia" w:eastAsiaTheme="minorEastAsia"/>
          <w:sz w:val="32"/>
          <w:szCs w:val="32"/>
          <w:lang w:val="zh-CN"/>
        </w:rPr>
      </w:pPr>
    </w:p>
    <w:p w14:paraId="42D371BC">
      <w:pPr>
        <w:ind w:firstLine="640" w:firstLineChars="200"/>
        <w:rPr>
          <w:rFonts w:hint="eastAsia" w:asciiTheme="minorEastAsia" w:hAnsiTheme="minorEastAsia" w:eastAsiaTheme="minorEastAsia"/>
          <w:sz w:val="32"/>
          <w:szCs w:val="32"/>
          <w:lang w:val="zh-CN"/>
        </w:rPr>
      </w:pPr>
    </w:p>
    <w:p w14:paraId="21214C1E">
      <w:pPr>
        <w:ind w:firstLine="640" w:firstLineChars="200"/>
        <w:rPr>
          <w:rFonts w:hint="eastAsia" w:asciiTheme="minorEastAsia" w:hAnsiTheme="minorEastAsia" w:eastAsiaTheme="minorEastAsia"/>
          <w:sz w:val="32"/>
          <w:szCs w:val="32"/>
          <w:lang w:val="zh-CN"/>
        </w:rPr>
      </w:pPr>
    </w:p>
    <w:p w14:paraId="548AD6D6">
      <w:pPr>
        <w:ind w:firstLine="640" w:firstLineChars="200"/>
        <w:rPr>
          <w:rFonts w:hint="eastAsia" w:asciiTheme="minorEastAsia" w:hAnsiTheme="minorEastAsia" w:eastAsiaTheme="minorEastAsia"/>
          <w:sz w:val="32"/>
          <w:szCs w:val="32"/>
          <w:lang w:val="zh-CN"/>
        </w:rPr>
      </w:pPr>
    </w:p>
    <w:p w14:paraId="2E5E6FF3">
      <w:pPr>
        <w:ind w:firstLine="640" w:firstLineChars="200"/>
        <w:rPr>
          <w:rFonts w:hint="eastAsia" w:asciiTheme="minorEastAsia" w:hAnsiTheme="minorEastAsia" w:eastAsiaTheme="minorEastAsia"/>
          <w:sz w:val="32"/>
          <w:szCs w:val="32"/>
          <w:lang w:val="zh-CN"/>
        </w:rPr>
      </w:pPr>
    </w:p>
    <w:p w14:paraId="3A417E2E">
      <w:pPr>
        <w:ind w:firstLine="640" w:firstLineChars="200"/>
        <w:rPr>
          <w:rFonts w:hint="eastAsia" w:asciiTheme="minorEastAsia" w:hAnsiTheme="minorEastAsia" w:eastAsiaTheme="minorEastAsia"/>
          <w:sz w:val="32"/>
          <w:szCs w:val="32"/>
          <w:lang w:val="zh-CN"/>
        </w:rPr>
      </w:pPr>
    </w:p>
    <w:p w14:paraId="26726F28">
      <w:pPr>
        <w:ind w:firstLine="640" w:firstLineChars="200"/>
        <w:rPr>
          <w:rFonts w:hint="eastAsia" w:asciiTheme="minorEastAsia" w:hAnsiTheme="minorEastAsia" w:eastAsiaTheme="minorEastAsia"/>
          <w:sz w:val="32"/>
          <w:szCs w:val="32"/>
          <w:lang w:val="zh-CN"/>
        </w:rPr>
      </w:pPr>
    </w:p>
    <w:p w14:paraId="6554D945">
      <w:pPr>
        <w:ind w:firstLine="640" w:firstLineChars="200"/>
        <w:rPr>
          <w:rFonts w:hint="eastAsia" w:asciiTheme="minorEastAsia" w:hAnsiTheme="minorEastAsia" w:eastAsiaTheme="minorEastAsia"/>
          <w:sz w:val="32"/>
          <w:szCs w:val="32"/>
          <w:lang w:val="zh-CN"/>
        </w:rPr>
      </w:pPr>
    </w:p>
    <w:p w14:paraId="01510434">
      <w:pPr>
        <w:ind w:firstLine="640" w:firstLineChars="200"/>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lang w:val="zh-CN"/>
        </w:rPr>
        <w:t>年度）</w:t>
      </w:r>
    </w:p>
    <w:p w14:paraId="11FAF04C">
      <w:pPr>
        <w:pStyle w:val="2"/>
      </w:pPr>
      <w:r>
        <w:drawing>
          <wp:inline distT="0" distB="0" distL="114300" distR="114300">
            <wp:extent cx="5467350" cy="373380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2"/>
                    <a:stretch>
                      <a:fillRect/>
                    </a:stretch>
                  </pic:blipFill>
                  <pic:spPr>
                    <a:xfrm>
                      <a:off x="0" y="0"/>
                      <a:ext cx="5467350" cy="3733800"/>
                    </a:xfrm>
                    <a:prstGeom prst="rect">
                      <a:avLst/>
                    </a:prstGeom>
                    <a:noFill/>
                    <a:ln w="9525">
                      <a:noFill/>
                    </a:ln>
                  </pic:spPr>
                </pic:pic>
              </a:graphicData>
            </a:graphic>
          </wp:inline>
        </w:drawing>
      </w:r>
    </w:p>
    <w:p w14:paraId="3BCCECAC">
      <w:pPr>
        <w:pStyle w:val="2"/>
        <w:rPr>
          <w:rFonts w:hint="eastAsia"/>
          <w:lang w:val="zh-CN"/>
        </w:rPr>
      </w:pPr>
    </w:p>
    <w:p w14:paraId="6511665D">
      <w:pPr>
        <w:pStyle w:val="2"/>
        <w:rPr>
          <w:rFonts w:hint="eastAsia" w:asciiTheme="minorEastAsia" w:hAnsiTheme="minorEastAsia" w:eastAsiaTheme="minorEastAsia"/>
          <w:sz w:val="32"/>
          <w:szCs w:val="32"/>
          <w:lang w:val="zh-CN"/>
        </w:rPr>
      </w:pPr>
      <w:r>
        <w:drawing>
          <wp:inline distT="0" distB="0" distL="114300" distR="114300">
            <wp:extent cx="5486400" cy="3857625"/>
            <wp:effectExtent l="0" t="0" r="0" b="952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3"/>
                    <a:stretch>
                      <a:fillRect/>
                    </a:stretch>
                  </pic:blipFill>
                  <pic:spPr>
                    <a:xfrm>
                      <a:off x="0" y="0"/>
                      <a:ext cx="5486400" cy="3857625"/>
                    </a:xfrm>
                    <a:prstGeom prst="rect">
                      <a:avLst/>
                    </a:prstGeom>
                    <a:noFill/>
                    <a:ln w="9525">
                      <a:noFill/>
                    </a:ln>
                  </pic:spPr>
                </pic:pic>
              </a:graphicData>
            </a:graphic>
          </wp:inline>
        </w:drawing>
      </w:r>
    </w:p>
    <w:p w14:paraId="3A18655A">
      <w:pPr>
        <w:pStyle w:val="2"/>
        <w:rPr>
          <w:rFonts w:hint="eastAsia" w:asciiTheme="minorEastAsia" w:hAnsiTheme="minorEastAsia" w:eastAsiaTheme="minorEastAsia"/>
          <w:sz w:val="32"/>
          <w:szCs w:val="32"/>
          <w:lang w:val="zh-CN"/>
        </w:rPr>
      </w:pPr>
    </w:p>
    <w:p w14:paraId="2658F2E7">
      <w:pPr>
        <w:pStyle w:val="2"/>
        <w:rPr>
          <w:rFonts w:hint="eastAsia" w:asciiTheme="minorEastAsia" w:hAnsiTheme="minorEastAsia" w:eastAsiaTheme="minorEastAsia"/>
          <w:sz w:val="32"/>
          <w:szCs w:val="32"/>
          <w:lang w:val="zh-CN"/>
        </w:rPr>
      </w:pPr>
    </w:p>
    <w:p w14:paraId="431A64E8">
      <w:pPr>
        <w:pStyle w:val="2"/>
      </w:pPr>
      <w:r>
        <w:drawing>
          <wp:inline distT="0" distB="0" distL="114300" distR="114300">
            <wp:extent cx="5457825" cy="4038600"/>
            <wp:effectExtent l="0" t="0" r="952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5457825" cy="4038600"/>
                    </a:xfrm>
                    <a:prstGeom prst="rect">
                      <a:avLst/>
                    </a:prstGeom>
                    <a:noFill/>
                    <a:ln w="9525">
                      <a:noFill/>
                    </a:ln>
                  </pic:spPr>
                </pic:pic>
              </a:graphicData>
            </a:graphic>
          </wp:inline>
        </w:drawing>
      </w:r>
    </w:p>
    <w:p w14:paraId="4F9D63F7">
      <w:pPr>
        <w:pStyle w:val="2"/>
      </w:pPr>
    </w:p>
    <w:p w14:paraId="1711643E">
      <w:pPr>
        <w:pStyle w:val="2"/>
        <w:rPr>
          <w:rFonts w:hint="eastAsia"/>
          <w:lang w:val="zh-CN"/>
        </w:rPr>
      </w:pPr>
      <w:r>
        <w:drawing>
          <wp:inline distT="0" distB="0" distL="114300" distR="114300">
            <wp:extent cx="5505450" cy="3905250"/>
            <wp:effectExtent l="0" t="0" r="0"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5"/>
                    <a:stretch>
                      <a:fillRect/>
                    </a:stretch>
                  </pic:blipFill>
                  <pic:spPr>
                    <a:xfrm>
                      <a:off x="0" y="0"/>
                      <a:ext cx="5505450" cy="3905250"/>
                    </a:xfrm>
                    <a:prstGeom prst="rect">
                      <a:avLst/>
                    </a:prstGeom>
                    <a:noFill/>
                    <a:ln w="9525">
                      <a:noFill/>
                    </a:ln>
                  </pic:spPr>
                </pic:pic>
              </a:graphicData>
            </a:graphic>
          </wp:inline>
        </w:drawing>
      </w:r>
    </w:p>
    <w:p w14:paraId="4A668F18">
      <w:pPr>
        <w:pStyle w:val="2"/>
        <w:rPr>
          <w:rFonts w:hint="eastAsia" w:asciiTheme="minorEastAsia" w:hAnsiTheme="minorEastAsia" w:eastAsiaTheme="minorEastAsia"/>
          <w:sz w:val="32"/>
          <w:szCs w:val="32"/>
          <w:lang w:val="zh-CN"/>
        </w:rPr>
      </w:pPr>
    </w:p>
    <w:p w14:paraId="77B532D0">
      <w:pPr>
        <w:pStyle w:val="2"/>
        <w:rPr>
          <w:rFonts w:hint="eastAsia" w:asciiTheme="minorEastAsia" w:hAnsiTheme="minorEastAsia" w:eastAsiaTheme="minorEastAsia"/>
          <w:sz w:val="32"/>
          <w:szCs w:val="32"/>
          <w:lang w:val="zh-CN"/>
        </w:rPr>
      </w:pPr>
    </w:p>
    <w:p w14:paraId="58E49237">
      <w:pPr>
        <w:pStyle w:val="2"/>
      </w:pPr>
      <w:r>
        <w:drawing>
          <wp:inline distT="0" distB="0" distL="114300" distR="114300">
            <wp:extent cx="5505450" cy="3724275"/>
            <wp:effectExtent l="0" t="0" r="0" b="952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6"/>
                    <a:stretch>
                      <a:fillRect/>
                    </a:stretch>
                  </pic:blipFill>
                  <pic:spPr>
                    <a:xfrm>
                      <a:off x="0" y="0"/>
                      <a:ext cx="5505450" cy="3724275"/>
                    </a:xfrm>
                    <a:prstGeom prst="rect">
                      <a:avLst/>
                    </a:prstGeom>
                    <a:noFill/>
                    <a:ln w="9525">
                      <a:noFill/>
                    </a:ln>
                  </pic:spPr>
                </pic:pic>
              </a:graphicData>
            </a:graphic>
          </wp:inline>
        </w:drawing>
      </w:r>
    </w:p>
    <w:p w14:paraId="47D29B49">
      <w:pPr>
        <w:pStyle w:val="2"/>
      </w:pPr>
    </w:p>
    <w:p w14:paraId="2595053C">
      <w:pPr>
        <w:pStyle w:val="2"/>
        <w:rPr>
          <w:rFonts w:hint="eastAsia"/>
          <w:lang w:val="zh-CN"/>
        </w:rPr>
      </w:pPr>
      <w:r>
        <w:drawing>
          <wp:inline distT="0" distB="0" distL="114300" distR="114300">
            <wp:extent cx="5448300" cy="3771900"/>
            <wp:effectExtent l="0" t="0" r="0"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7"/>
                    <a:stretch>
                      <a:fillRect/>
                    </a:stretch>
                  </pic:blipFill>
                  <pic:spPr>
                    <a:xfrm>
                      <a:off x="0" y="0"/>
                      <a:ext cx="5448300" cy="3771900"/>
                    </a:xfrm>
                    <a:prstGeom prst="rect">
                      <a:avLst/>
                    </a:prstGeom>
                    <a:noFill/>
                    <a:ln w="9525">
                      <a:noFill/>
                    </a:ln>
                  </pic:spPr>
                </pic:pic>
              </a:graphicData>
            </a:graphic>
          </wp:inline>
        </w:drawing>
      </w:r>
    </w:p>
    <w:p w14:paraId="18EA121F">
      <w:pPr>
        <w:pStyle w:val="2"/>
        <w:rPr>
          <w:rFonts w:hint="eastAsia" w:asciiTheme="minorEastAsia" w:hAnsiTheme="minorEastAsia" w:eastAsiaTheme="minorEastAsia"/>
          <w:sz w:val="32"/>
          <w:szCs w:val="32"/>
          <w:lang w:val="zh-CN"/>
        </w:rPr>
      </w:pPr>
    </w:p>
    <w:p w14:paraId="2D7A14DE">
      <w:pPr>
        <w:pStyle w:val="2"/>
        <w:rPr>
          <w:rFonts w:hint="eastAsia" w:asciiTheme="minorEastAsia" w:hAnsiTheme="minorEastAsia" w:eastAsiaTheme="minorEastAsia"/>
          <w:sz w:val="32"/>
          <w:szCs w:val="32"/>
          <w:lang w:val="zh-CN"/>
        </w:rPr>
      </w:pPr>
    </w:p>
    <w:p w14:paraId="14BFB9E7">
      <w:pPr>
        <w:pStyle w:val="2"/>
        <w:rPr>
          <w:rFonts w:hint="eastAsia" w:asciiTheme="minorEastAsia" w:hAnsiTheme="minorEastAsia" w:eastAsiaTheme="minorEastAsia"/>
          <w:sz w:val="32"/>
          <w:szCs w:val="32"/>
          <w:lang w:val="zh-CN"/>
        </w:rPr>
      </w:pPr>
    </w:p>
    <w:p w14:paraId="5DA94DE0">
      <w:pPr>
        <w:pStyle w:val="2"/>
        <w:rPr>
          <w:rFonts w:hint="eastAsia" w:asciiTheme="minorEastAsia" w:hAnsiTheme="minorEastAsia" w:eastAsiaTheme="minorEastAsia"/>
          <w:sz w:val="32"/>
          <w:szCs w:val="32"/>
          <w:lang w:val="zh-CN"/>
        </w:rPr>
      </w:pPr>
    </w:p>
    <w:p w14:paraId="385423C2">
      <w:pPr>
        <w:pStyle w:val="2"/>
        <w:rPr>
          <w:rFonts w:hint="eastAsia" w:asciiTheme="minorEastAsia" w:hAnsiTheme="minorEastAsia" w:eastAsiaTheme="minorEastAsia"/>
          <w:sz w:val="32"/>
          <w:szCs w:val="32"/>
          <w:lang w:val="zh-CN"/>
        </w:rPr>
      </w:pPr>
      <w:r>
        <w:drawing>
          <wp:inline distT="0" distB="0" distL="114300" distR="114300">
            <wp:extent cx="5448300" cy="3695700"/>
            <wp:effectExtent l="0" t="0" r="0" b="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8"/>
                    <a:stretch>
                      <a:fillRect/>
                    </a:stretch>
                  </pic:blipFill>
                  <pic:spPr>
                    <a:xfrm>
                      <a:off x="0" y="0"/>
                      <a:ext cx="5448300" cy="3695700"/>
                    </a:xfrm>
                    <a:prstGeom prst="rect">
                      <a:avLst/>
                    </a:prstGeom>
                    <a:noFill/>
                    <a:ln w="9525">
                      <a:noFill/>
                    </a:ln>
                  </pic:spPr>
                </pic:pic>
              </a:graphicData>
            </a:graphic>
          </wp:inline>
        </w:drawing>
      </w:r>
    </w:p>
    <w:p w14:paraId="47DC8259">
      <w:pPr>
        <w:pStyle w:val="2"/>
        <w:rPr>
          <w:rFonts w:hint="eastAsia" w:asciiTheme="minorEastAsia" w:hAnsiTheme="minorEastAsia" w:eastAsiaTheme="minorEastAsia"/>
          <w:sz w:val="32"/>
          <w:szCs w:val="32"/>
          <w:lang w:val="zh-CN"/>
        </w:rPr>
      </w:pPr>
    </w:p>
    <w:p w14:paraId="6628D784">
      <w:pPr>
        <w:pStyle w:val="2"/>
        <w:rPr>
          <w:rFonts w:hint="eastAsia" w:asciiTheme="minorEastAsia" w:hAnsiTheme="minorEastAsia" w:eastAsiaTheme="minorEastAsia"/>
          <w:sz w:val="32"/>
          <w:szCs w:val="32"/>
          <w:lang w:val="zh-CN"/>
        </w:rPr>
      </w:pPr>
      <w:r>
        <w:drawing>
          <wp:inline distT="0" distB="0" distL="114300" distR="114300">
            <wp:extent cx="5476875" cy="3781425"/>
            <wp:effectExtent l="0" t="0" r="9525" b="952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9"/>
                    <a:stretch>
                      <a:fillRect/>
                    </a:stretch>
                  </pic:blipFill>
                  <pic:spPr>
                    <a:xfrm>
                      <a:off x="0" y="0"/>
                      <a:ext cx="5476875" cy="3781425"/>
                    </a:xfrm>
                    <a:prstGeom prst="rect">
                      <a:avLst/>
                    </a:prstGeom>
                    <a:noFill/>
                    <a:ln w="9525">
                      <a:noFill/>
                    </a:ln>
                  </pic:spPr>
                </pic:pic>
              </a:graphicData>
            </a:graphic>
          </wp:inline>
        </w:drawing>
      </w:r>
    </w:p>
    <w:p w14:paraId="2BD32A37">
      <w:pPr>
        <w:pStyle w:val="2"/>
        <w:rPr>
          <w:rFonts w:hint="eastAsia" w:asciiTheme="minorEastAsia" w:hAnsiTheme="minorEastAsia" w:eastAsiaTheme="minorEastAsia"/>
          <w:sz w:val="32"/>
          <w:szCs w:val="32"/>
          <w:lang w:val="zh-CN"/>
        </w:rPr>
      </w:pPr>
    </w:p>
    <w:p w14:paraId="3168B46C">
      <w:pPr>
        <w:pStyle w:val="2"/>
        <w:rPr>
          <w:rFonts w:hint="eastAsia" w:asciiTheme="minorEastAsia" w:hAnsiTheme="minorEastAsia" w:eastAsiaTheme="minorEastAsia"/>
          <w:sz w:val="32"/>
          <w:szCs w:val="32"/>
          <w:lang w:val="zh-CN"/>
        </w:rPr>
      </w:pPr>
    </w:p>
    <w:p w14:paraId="68F05398">
      <w:pPr>
        <w:pStyle w:val="2"/>
        <w:rPr>
          <w:rFonts w:hint="eastAsia" w:asciiTheme="minorEastAsia" w:hAnsiTheme="minorEastAsia" w:eastAsiaTheme="minorEastAsia"/>
          <w:sz w:val="32"/>
          <w:szCs w:val="32"/>
          <w:lang w:val="zh-CN"/>
        </w:rPr>
      </w:pPr>
    </w:p>
    <w:p w14:paraId="307DDBB0">
      <w:pPr>
        <w:pStyle w:val="2"/>
        <w:rPr>
          <w:rFonts w:hint="eastAsia" w:asciiTheme="minorEastAsia" w:hAnsiTheme="minorEastAsia" w:eastAsiaTheme="minorEastAsia"/>
          <w:sz w:val="32"/>
          <w:szCs w:val="32"/>
          <w:lang w:val="zh-CN"/>
        </w:rPr>
      </w:pPr>
    </w:p>
    <w:p w14:paraId="1DB33207">
      <w:pPr>
        <w:pStyle w:val="2"/>
        <w:rPr>
          <w:rFonts w:hint="eastAsia" w:asciiTheme="minorEastAsia" w:hAnsiTheme="minorEastAsia" w:eastAsiaTheme="minorEastAsia"/>
          <w:sz w:val="32"/>
          <w:szCs w:val="32"/>
          <w:lang w:val="zh-CN"/>
        </w:rPr>
      </w:pPr>
      <w:r>
        <w:drawing>
          <wp:inline distT="0" distB="0" distL="114300" distR="114300">
            <wp:extent cx="5505450" cy="3800475"/>
            <wp:effectExtent l="0" t="0" r="0" b="952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20"/>
                    <a:stretch>
                      <a:fillRect/>
                    </a:stretch>
                  </pic:blipFill>
                  <pic:spPr>
                    <a:xfrm>
                      <a:off x="0" y="0"/>
                      <a:ext cx="5505450" cy="3800475"/>
                    </a:xfrm>
                    <a:prstGeom prst="rect">
                      <a:avLst/>
                    </a:prstGeom>
                    <a:noFill/>
                    <a:ln w="9525">
                      <a:noFill/>
                    </a:ln>
                  </pic:spPr>
                </pic:pic>
              </a:graphicData>
            </a:graphic>
          </wp:inline>
        </w:drawing>
      </w:r>
    </w:p>
    <w:p w14:paraId="5D829C6A">
      <w:pPr>
        <w:pStyle w:val="2"/>
        <w:rPr>
          <w:rFonts w:hint="eastAsia" w:asciiTheme="minorEastAsia" w:hAnsiTheme="minorEastAsia" w:eastAsiaTheme="minorEastAsia"/>
          <w:sz w:val="32"/>
          <w:szCs w:val="32"/>
          <w:lang w:val="zh-CN"/>
        </w:rPr>
      </w:pPr>
    </w:p>
    <w:p w14:paraId="41A29CEF">
      <w:pPr>
        <w:pStyle w:val="2"/>
        <w:rPr>
          <w:rFonts w:hint="eastAsia" w:asciiTheme="minorEastAsia" w:hAnsiTheme="minorEastAsia" w:eastAsiaTheme="minorEastAsia"/>
          <w:sz w:val="32"/>
          <w:szCs w:val="32"/>
          <w:lang w:val="zh-CN"/>
        </w:rPr>
      </w:pPr>
      <w:r>
        <w:drawing>
          <wp:inline distT="0" distB="0" distL="114300" distR="114300">
            <wp:extent cx="5476875" cy="3705225"/>
            <wp:effectExtent l="0" t="0" r="9525" b="9525"/>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21"/>
                    <a:stretch>
                      <a:fillRect/>
                    </a:stretch>
                  </pic:blipFill>
                  <pic:spPr>
                    <a:xfrm>
                      <a:off x="0" y="0"/>
                      <a:ext cx="5476875" cy="3705225"/>
                    </a:xfrm>
                    <a:prstGeom prst="rect">
                      <a:avLst/>
                    </a:prstGeom>
                    <a:noFill/>
                    <a:ln w="9525">
                      <a:noFill/>
                    </a:ln>
                  </pic:spPr>
                </pic:pic>
              </a:graphicData>
            </a:graphic>
          </wp:inline>
        </w:drawing>
      </w:r>
    </w:p>
    <w:p w14:paraId="3D5C4B49">
      <w:pPr>
        <w:pStyle w:val="2"/>
        <w:rPr>
          <w:rFonts w:hint="eastAsia" w:asciiTheme="minorEastAsia" w:hAnsiTheme="minorEastAsia" w:eastAsiaTheme="minorEastAsia"/>
          <w:sz w:val="32"/>
          <w:szCs w:val="32"/>
          <w:lang w:val="zh-CN"/>
        </w:rPr>
      </w:pPr>
    </w:p>
    <w:p w14:paraId="304F860D">
      <w:pPr>
        <w:pStyle w:val="2"/>
        <w:rPr>
          <w:rFonts w:hint="eastAsia" w:asciiTheme="minorEastAsia" w:hAnsiTheme="minorEastAsia" w:eastAsiaTheme="minorEastAsia"/>
          <w:sz w:val="32"/>
          <w:szCs w:val="32"/>
          <w:lang w:val="zh-CN"/>
        </w:rPr>
      </w:pPr>
    </w:p>
    <w:p w14:paraId="04306373">
      <w:pPr>
        <w:pStyle w:val="2"/>
        <w:rPr>
          <w:rFonts w:hint="eastAsia" w:asciiTheme="minorEastAsia" w:hAnsiTheme="minorEastAsia" w:eastAsiaTheme="minorEastAsia"/>
          <w:sz w:val="32"/>
          <w:szCs w:val="32"/>
          <w:lang w:val="zh-CN"/>
        </w:rPr>
      </w:pPr>
    </w:p>
    <w:p w14:paraId="360A4473">
      <w:pPr>
        <w:pStyle w:val="2"/>
        <w:rPr>
          <w:rFonts w:hint="eastAsia" w:asciiTheme="minorEastAsia" w:hAnsiTheme="minorEastAsia" w:eastAsiaTheme="minorEastAsia"/>
          <w:sz w:val="32"/>
          <w:szCs w:val="32"/>
          <w:lang w:val="zh-CN"/>
        </w:rPr>
      </w:pPr>
    </w:p>
    <w:p w14:paraId="4227CD82">
      <w:pPr>
        <w:pStyle w:val="2"/>
        <w:rPr>
          <w:rFonts w:hint="eastAsia" w:asciiTheme="minorEastAsia" w:hAnsiTheme="minorEastAsia" w:eastAsiaTheme="minorEastAsia"/>
          <w:sz w:val="32"/>
          <w:szCs w:val="32"/>
          <w:lang w:val="zh-CN"/>
        </w:rPr>
      </w:pPr>
      <w:r>
        <w:drawing>
          <wp:inline distT="0" distB="0" distL="114300" distR="114300">
            <wp:extent cx="5495925" cy="3790950"/>
            <wp:effectExtent l="0" t="0" r="9525" b="0"/>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22"/>
                    <a:stretch>
                      <a:fillRect/>
                    </a:stretch>
                  </pic:blipFill>
                  <pic:spPr>
                    <a:xfrm>
                      <a:off x="0" y="0"/>
                      <a:ext cx="5495925" cy="3790950"/>
                    </a:xfrm>
                    <a:prstGeom prst="rect">
                      <a:avLst/>
                    </a:prstGeom>
                    <a:noFill/>
                    <a:ln w="9525">
                      <a:noFill/>
                    </a:ln>
                  </pic:spPr>
                </pic:pic>
              </a:graphicData>
            </a:graphic>
          </wp:inline>
        </w:drawing>
      </w:r>
    </w:p>
    <w:p w14:paraId="1514CAB5">
      <w:pPr>
        <w:pStyle w:val="2"/>
        <w:rPr>
          <w:rFonts w:hint="eastAsia" w:asciiTheme="minorEastAsia" w:hAnsiTheme="minorEastAsia" w:eastAsiaTheme="minorEastAsia"/>
          <w:sz w:val="32"/>
          <w:szCs w:val="32"/>
          <w:lang w:val="zh-CN"/>
        </w:rPr>
      </w:pPr>
    </w:p>
    <w:p w14:paraId="5028DCE7">
      <w:pPr>
        <w:pStyle w:val="2"/>
        <w:rPr>
          <w:rFonts w:hint="eastAsia" w:asciiTheme="minorEastAsia" w:hAnsiTheme="minorEastAsia" w:eastAsiaTheme="minorEastAsia"/>
          <w:sz w:val="32"/>
          <w:szCs w:val="32"/>
          <w:lang w:val="zh-CN"/>
        </w:rPr>
      </w:pPr>
      <w:r>
        <w:drawing>
          <wp:inline distT="0" distB="0" distL="114300" distR="114300">
            <wp:extent cx="5476875" cy="3686175"/>
            <wp:effectExtent l="0" t="0" r="9525" b="9525"/>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23"/>
                    <a:stretch>
                      <a:fillRect/>
                    </a:stretch>
                  </pic:blipFill>
                  <pic:spPr>
                    <a:xfrm>
                      <a:off x="0" y="0"/>
                      <a:ext cx="5476875" cy="3686175"/>
                    </a:xfrm>
                    <a:prstGeom prst="rect">
                      <a:avLst/>
                    </a:prstGeom>
                    <a:noFill/>
                    <a:ln w="9525">
                      <a:noFill/>
                    </a:ln>
                  </pic:spPr>
                </pic:pic>
              </a:graphicData>
            </a:graphic>
          </wp:inline>
        </w:drawing>
      </w:r>
    </w:p>
    <w:p w14:paraId="1095A6C6">
      <w:pPr>
        <w:pStyle w:val="2"/>
        <w:rPr>
          <w:rFonts w:hint="eastAsia" w:asciiTheme="minorEastAsia" w:hAnsiTheme="minorEastAsia" w:eastAsiaTheme="minorEastAsia"/>
          <w:sz w:val="32"/>
          <w:szCs w:val="32"/>
          <w:lang w:val="zh-CN"/>
        </w:rPr>
      </w:pPr>
    </w:p>
    <w:p w14:paraId="3A0C0910">
      <w:pPr>
        <w:pStyle w:val="2"/>
        <w:rPr>
          <w:rFonts w:hint="eastAsia" w:asciiTheme="minorEastAsia" w:hAnsiTheme="minorEastAsia" w:eastAsiaTheme="minorEastAsia"/>
          <w:sz w:val="32"/>
          <w:szCs w:val="32"/>
          <w:lang w:val="zh-CN"/>
        </w:rPr>
      </w:pPr>
    </w:p>
    <w:p w14:paraId="09665381">
      <w:pPr>
        <w:pStyle w:val="2"/>
        <w:rPr>
          <w:rFonts w:hint="eastAsia" w:asciiTheme="minorEastAsia" w:hAnsiTheme="minorEastAsia" w:eastAsiaTheme="minorEastAsia"/>
          <w:sz w:val="32"/>
          <w:szCs w:val="32"/>
          <w:lang w:val="zh-CN"/>
        </w:rPr>
      </w:pPr>
    </w:p>
    <w:p w14:paraId="450AB4C8">
      <w:pPr>
        <w:pStyle w:val="2"/>
        <w:rPr>
          <w:rFonts w:hint="eastAsia" w:asciiTheme="minorEastAsia" w:hAnsiTheme="minorEastAsia" w:eastAsiaTheme="minorEastAsia"/>
          <w:sz w:val="32"/>
          <w:szCs w:val="32"/>
          <w:lang w:val="zh-CN"/>
        </w:rPr>
      </w:pPr>
    </w:p>
    <w:p w14:paraId="0EE693A7">
      <w:pPr>
        <w:pStyle w:val="2"/>
      </w:pPr>
      <w:r>
        <w:drawing>
          <wp:inline distT="0" distB="0" distL="114300" distR="114300">
            <wp:extent cx="5495925" cy="3790950"/>
            <wp:effectExtent l="0" t="0" r="9525" b="0"/>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24"/>
                    <a:stretch>
                      <a:fillRect/>
                    </a:stretch>
                  </pic:blipFill>
                  <pic:spPr>
                    <a:xfrm>
                      <a:off x="0" y="0"/>
                      <a:ext cx="5495925" cy="3790950"/>
                    </a:xfrm>
                    <a:prstGeom prst="rect">
                      <a:avLst/>
                    </a:prstGeom>
                    <a:noFill/>
                    <a:ln w="9525">
                      <a:noFill/>
                    </a:ln>
                  </pic:spPr>
                </pic:pic>
              </a:graphicData>
            </a:graphic>
          </wp:inline>
        </w:drawing>
      </w:r>
    </w:p>
    <w:p w14:paraId="0F3EAD7A">
      <w:pPr>
        <w:pStyle w:val="2"/>
      </w:pPr>
    </w:p>
    <w:p w14:paraId="3957FBD1">
      <w:pPr>
        <w:pStyle w:val="2"/>
      </w:pPr>
      <w:r>
        <w:drawing>
          <wp:inline distT="0" distB="0" distL="114300" distR="114300">
            <wp:extent cx="5476875" cy="3752850"/>
            <wp:effectExtent l="0" t="0" r="9525" b="0"/>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25"/>
                    <a:stretch>
                      <a:fillRect/>
                    </a:stretch>
                  </pic:blipFill>
                  <pic:spPr>
                    <a:xfrm>
                      <a:off x="0" y="0"/>
                      <a:ext cx="5476875" cy="3752850"/>
                    </a:xfrm>
                    <a:prstGeom prst="rect">
                      <a:avLst/>
                    </a:prstGeom>
                    <a:noFill/>
                    <a:ln w="9525">
                      <a:noFill/>
                    </a:ln>
                  </pic:spPr>
                </pic:pic>
              </a:graphicData>
            </a:graphic>
          </wp:inline>
        </w:drawing>
      </w:r>
    </w:p>
    <w:p w14:paraId="605721B9">
      <w:pPr>
        <w:pStyle w:val="2"/>
      </w:pPr>
    </w:p>
    <w:p w14:paraId="522CC4BD">
      <w:pPr>
        <w:pStyle w:val="2"/>
      </w:pPr>
    </w:p>
    <w:p w14:paraId="14385A4A">
      <w:pPr>
        <w:pStyle w:val="2"/>
      </w:pPr>
    </w:p>
    <w:p w14:paraId="435CCB83">
      <w:pPr>
        <w:pStyle w:val="2"/>
      </w:pPr>
    </w:p>
    <w:p w14:paraId="140CBB80">
      <w:pPr>
        <w:pStyle w:val="2"/>
      </w:pPr>
    </w:p>
    <w:p w14:paraId="46A2CC82">
      <w:pPr>
        <w:pStyle w:val="2"/>
      </w:pPr>
    </w:p>
    <w:p w14:paraId="45FB0450">
      <w:pPr>
        <w:pStyle w:val="2"/>
      </w:pPr>
    </w:p>
    <w:p w14:paraId="1ED6842D">
      <w:pPr>
        <w:pStyle w:val="2"/>
      </w:pPr>
    </w:p>
    <w:p w14:paraId="7F06C051">
      <w:pPr>
        <w:pStyle w:val="2"/>
      </w:pPr>
      <w:r>
        <w:drawing>
          <wp:inline distT="0" distB="0" distL="114300" distR="114300">
            <wp:extent cx="5553075" cy="3952875"/>
            <wp:effectExtent l="0" t="0" r="9525" b="9525"/>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26"/>
                    <a:stretch>
                      <a:fillRect/>
                    </a:stretch>
                  </pic:blipFill>
                  <pic:spPr>
                    <a:xfrm>
                      <a:off x="0" y="0"/>
                      <a:ext cx="5553075" cy="3952875"/>
                    </a:xfrm>
                    <a:prstGeom prst="rect">
                      <a:avLst/>
                    </a:prstGeom>
                    <a:noFill/>
                    <a:ln w="9525">
                      <a:noFill/>
                    </a:ln>
                  </pic:spPr>
                </pic:pic>
              </a:graphicData>
            </a:graphic>
          </wp:inline>
        </w:drawing>
      </w:r>
    </w:p>
    <w:p w14:paraId="2F54F4FB">
      <w:pPr>
        <w:pStyle w:val="2"/>
      </w:pPr>
    </w:p>
    <w:p w14:paraId="60643171">
      <w:pPr>
        <w:pStyle w:val="2"/>
      </w:pPr>
      <w:r>
        <w:drawing>
          <wp:inline distT="0" distB="0" distL="114300" distR="114300">
            <wp:extent cx="5505450" cy="4600575"/>
            <wp:effectExtent l="0" t="0" r="0" b="9525"/>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27"/>
                    <a:stretch>
                      <a:fillRect/>
                    </a:stretch>
                  </pic:blipFill>
                  <pic:spPr>
                    <a:xfrm>
                      <a:off x="0" y="0"/>
                      <a:ext cx="5505450" cy="4600575"/>
                    </a:xfrm>
                    <a:prstGeom prst="rect">
                      <a:avLst/>
                    </a:prstGeom>
                    <a:noFill/>
                    <a:ln w="9525">
                      <a:noFill/>
                    </a:ln>
                  </pic:spPr>
                </pic:pic>
              </a:graphicData>
            </a:graphic>
          </wp:inline>
        </w:drawing>
      </w:r>
    </w:p>
    <w:p w14:paraId="21924EE2">
      <w:pPr>
        <w:pStyle w:val="2"/>
      </w:pPr>
    </w:p>
    <w:p w14:paraId="16FDF78B">
      <w:pPr>
        <w:pStyle w:val="2"/>
      </w:pPr>
      <w:r>
        <w:drawing>
          <wp:inline distT="0" distB="0" distL="114300" distR="114300">
            <wp:extent cx="5600700" cy="3790950"/>
            <wp:effectExtent l="0" t="0" r="0" b="0"/>
            <wp:docPr id="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pic:cNvPicPr>
                      <a:picLocks noChangeAspect="1"/>
                    </pic:cNvPicPr>
                  </pic:nvPicPr>
                  <pic:blipFill>
                    <a:blip r:embed="rId28"/>
                    <a:stretch>
                      <a:fillRect/>
                    </a:stretch>
                  </pic:blipFill>
                  <pic:spPr>
                    <a:xfrm>
                      <a:off x="0" y="0"/>
                      <a:ext cx="5600700" cy="3790950"/>
                    </a:xfrm>
                    <a:prstGeom prst="rect">
                      <a:avLst/>
                    </a:prstGeom>
                    <a:noFill/>
                    <a:ln w="9525">
                      <a:noFill/>
                    </a:ln>
                  </pic:spPr>
                </pic:pic>
              </a:graphicData>
            </a:graphic>
          </wp:inline>
        </w:drawing>
      </w:r>
    </w:p>
    <w:p w14:paraId="60F6FBE0">
      <w:pPr>
        <w:pStyle w:val="2"/>
      </w:pPr>
    </w:p>
    <w:p w14:paraId="3A0C69D6">
      <w:pPr>
        <w:pStyle w:val="2"/>
      </w:pPr>
    </w:p>
    <w:p w14:paraId="3D6572F3">
      <w:pPr>
        <w:pStyle w:val="2"/>
      </w:pPr>
      <w:r>
        <w:drawing>
          <wp:inline distT="0" distB="0" distL="114300" distR="114300">
            <wp:extent cx="5495925" cy="4638675"/>
            <wp:effectExtent l="0" t="0" r="9525" b="9525"/>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29"/>
                    <a:stretch>
                      <a:fillRect/>
                    </a:stretch>
                  </pic:blipFill>
                  <pic:spPr>
                    <a:xfrm>
                      <a:off x="0" y="0"/>
                      <a:ext cx="5495925" cy="4638675"/>
                    </a:xfrm>
                    <a:prstGeom prst="rect">
                      <a:avLst/>
                    </a:prstGeom>
                    <a:noFill/>
                    <a:ln w="9525">
                      <a:noFill/>
                    </a:ln>
                  </pic:spPr>
                </pic:pic>
              </a:graphicData>
            </a:graphic>
          </wp:inline>
        </w:drawing>
      </w:r>
    </w:p>
    <w:p w14:paraId="475A0818">
      <w:pPr>
        <w:pStyle w:val="2"/>
      </w:pPr>
    </w:p>
    <w:p w14:paraId="1476707A">
      <w:pPr>
        <w:pStyle w:val="3"/>
        <w:jc w:val="center"/>
        <w:rPr>
          <w:rFonts w:ascii="黑体" w:hAnsi="黑体" w:eastAsia="黑体"/>
        </w:rPr>
      </w:pPr>
      <w:bookmarkStart w:id="63" w:name="_Toc5058"/>
      <w:r>
        <w:rPr>
          <w:rFonts w:hint="eastAsia" w:ascii="黑体" w:hAnsi="黑体" w:eastAsia="黑体"/>
        </w:rPr>
        <w:t>第五部分 附表</w:t>
      </w:r>
      <w:bookmarkEnd w:id="63"/>
    </w:p>
    <w:p w14:paraId="4BDDBE52">
      <w:pPr>
        <w:rPr>
          <w:rFonts w:ascii="仿宋" w:hAnsi="仿宋" w:eastAsia="仿宋"/>
          <w:sz w:val="32"/>
          <w:szCs w:val="32"/>
        </w:rPr>
      </w:pPr>
      <w:r>
        <w:rPr>
          <w:rFonts w:hint="eastAsia" w:ascii="仿宋" w:hAnsi="仿宋" w:eastAsia="仿宋"/>
          <w:sz w:val="32"/>
          <w:szCs w:val="32"/>
        </w:rPr>
        <w:t>一、收入支出决算总表</w:t>
      </w:r>
    </w:p>
    <w:p w14:paraId="037D2649">
      <w:pPr>
        <w:rPr>
          <w:rFonts w:ascii="仿宋" w:hAnsi="仿宋" w:eastAsia="仿宋"/>
          <w:sz w:val="32"/>
          <w:szCs w:val="32"/>
        </w:rPr>
      </w:pPr>
      <w:r>
        <w:rPr>
          <w:rFonts w:hint="eastAsia" w:ascii="仿宋" w:hAnsi="仿宋" w:eastAsia="仿宋"/>
          <w:sz w:val="32"/>
          <w:szCs w:val="32"/>
        </w:rPr>
        <w:t>二、收入决算表</w:t>
      </w:r>
    </w:p>
    <w:p w14:paraId="54CB4994">
      <w:pPr>
        <w:rPr>
          <w:rFonts w:ascii="仿宋" w:hAnsi="仿宋" w:eastAsia="仿宋"/>
          <w:sz w:val="32"/>
          <w:szCs w:val="32"/>
        </w:rPr>
      </w:pPr>
      <w:r>
        <w:rPr>
          <w:rFonts w:hint="eastAsia" w:ascii="仿宋" w:hAnsi="仿宋" w:eastAsia="仿宋"/>
          <w:sz w:val="32"/>
          <w:szCs w:val="32"/>
        </w:rPr>
        <w:t>三、支出决算表</w:t>
      </w:r>
    </w:p>
    <w:p w14:paraId="08466039">
      <w:pPr>
        <w:rPr>
          <w:rFonts w:ascii="仿宋" w:hAnsi="仿宋" w:eastAsia="仿宋"/>
          <w:sz w:val="32"/>
          <w:szCs w:val="32"/>
        </w:rPr>
      </w:pPr>
      <w:r>
        <w:rPr>
          <w:rFonts w:hint="eastAsia" w:ascii="仿宋" w:hAnsi="仿宋" w:eastAsia="仿宋"/>
          <w:sz w:val="32"/>
          <w:szCs w:val="32"/>
        </w:rPr>
        <w:t>四、财政拨款收入支出决算总表</w:t>
      </w:r>
    </w:p>
    <w:p w14:paraId="15A10572">
      <w:pPr>
        <w:rPr>
          <w:rFonts w:ascii="仿宋" w:hAnsi="仿宋" w:eastAsia="仿宋"/>
          <w:sz w:val="32"/>
          <w:szCs w:val="32"/>
        </w:rPr>
      </w:pPr>
      <w:r>
        <w:rPr>
          <w:rFonts w:hint="eastAsia" w:ascii="仿宋" w:hAnsi="仿宋" w:eastAsia="仿宋"/>
          <w:sz w:val="32"/>
          <w:szCs w:val="32"/>
        </w:rPr>
        <w:t>五、财政拨款支出决算明细表</w:t>
      </w:r>
    </w:p>
    <w:p w14:paraId="53C627B2">
      <w:pPr>
        <w:rPr>
          <w:rFonts w:ascii="仿宋" w:hAnsi="仿宋" w:eastAsia="仿宋"/>
          <w:sz w:val="32"/>
          <w:szCs w:val="32"/>
        </w:rPr>
      </w:pPr>
      <w:r>
        <w:rPr>
          <w:rFonts w:hint="eastAsia" w:ascii="仿宋" w:hAnsi="仿宋" w:eastAsia="仿宋"/>
          <w:sz w:val="32"/>
          <w:szCs w:val="32"/>
        </w:rPr>
        <w:t>六、一般公共预算财政拨款支出决算表</w:t>
      </w:r>
    </w:p>
    <w:p w14:paraId="3F6CC684">
      <w:pPr>
        <w:rPr>
          <w:rFonts w:ascii="仿宋" w:hAnsi="仿宋" w:eastAsia="仿宋"/>
          <w:sz w:val="32"/>
          <w:szCs w:val="32"/>
        </w:rPr>
      </w:pPr>
      <w:r>
        <w:rPr>
          <w:rFonts w:hint="eastAsia" w:ascii="仿宋" w:hAnsi="仿宋" w:eastAsia="仿宋"/>
          <w:sz w:val="32"/>
          <w:szCs w:val="32"/>
        </w:rPr>
        <w:t>七、一般公共预算财政拨款支出决算明细表</w:t>
      </w:r>
    </w:p>
    <w:p w14:paraId="5060AD5F">
      <w:pPr>
        <w:rPr>
          <w:rFonts w:ascii="仿宋" w:hAnsi="仿宋" w:eastAsia="仿宋"/>
          <w:sz w:val="32"/>
          <w:szCs w:val="32"/>
        </w:rPr>
      </w:pPr>
      <w:r>
        <w:rPr>
          <w:rFonts w:hint="eastAsia" w:ascii="仿宋" w:hAnsi="仿宋" w:eastAsia="仿宋"/>
          <w:sz w:val="32"/>
          <w:szCs w:val="32"/>
        </w:rPr>
        <w:t>八、一般公共预算财政拨款基本支出决算表</w:t>
      </w:r>
    </w:p>
    <w:p w14:paraId="4818E0B2">
      <w:pPr>
        <w:rPr>
          <w:rFonts w:ascii="仿宋" w:hAnsi="仿宋" w:eastAsia="仿宋"/>
          <w:sz w:val="32"/>
          <w:szCs w:val="32"/>
        </w:rPr>
      </w:pPr>
      <w:r>
        <w:rPr>
          <w:rFonts w:hint="eastAsia" w:ascii="仿宋" w:hAnsi="仿宋" w:eastAsia="仿宋"/>
          <w:sz w:val="32"/>
          <w:szCs w:val="32"/>
        </w:rPr>
        <w:t>九、一般公共预算财政拨款项目支出决算表</w:t>
      </w:r>
    </w:p>
    <w:p w14:paraId="634C622B">
      <w:pPr>
        <w:rPr>
          <w:rFonts w:ascii="仿宋" w:hAnsi="仿宋" w:eastAsia="仿宋"/>
          <w:sz w:val="32"/>
          <w:szCs w:val="32"/>
        </w:rPr>
      </w:pPr>
      <w:r>
        <w:rPr>
          <w:rFonts w:hint="eastAsia" w:ascii="仿宋" w:hAnsi="仿宋" w:eastAsia="仿宋"/>
          <w:sz w:val="32"/>
          <w:szCs w:val="32"/>
        </w:rPr>
        <w:t>十、政府性基金预算财政拨款收入支出决算表</w:t>
      </w:r>
    </w:p>
    <w:p w14:paraId="4D2C0F0C">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3FB547D7">
      <w:pPr>
        <w:rPr>
          <w:rFonts w:ascii="仿宋" w:hAnsi="仿宋" w:eastAsia="仿宋"/>
          <w:sz w:val="32"/>
          <w:szCs w:val="32"/>
        </w:rPr>
      </w:pPr>
      <w:r>
        <w:rPr>
          <w:rFonts w:hint="eastAsia" w:ascii="仿宋" w:hAnsi="仿宋" w:eastAsia="仿宋"/>
          <w:sz w:val="32"/>
          <w:szCs w:val="32"/>
        </w:rPr>
        <w:t>十二、国有资本经营预算财政拨款支出决算表</w:t>
      </w:r>
    </w:p>
    <w:p w14:paraId="0BB3777B">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7ADAB271">
        <w:pPr>
          <w:pStyle w:val="2"/>
          <w:jc w:val="center"/>
        </w:pPr>
        <w:r>
          <w:fldChar w:fldCharType="begin"/>
        </w:r>
        <w:r>
          <w:instrText xml:space="preserve">PAGE   \* MERGEFORMAT</w:instrText>
        </w:r>
        <w:r>
          <w:fldChar w:fldCharType="separate"/>
        </w:r>
        <w:r>
          <w:rPr>
            <w:lang w:val="zh-CN"/>
          </w:rPr>
          <w:t>23</w:t>
        </w:r>
        <w:r>
          <w:fldChar w:fldCharType="end"/>
        </w:r>
      </w:p>
    </w:sdtContent>
  </w:sdt>
  <w:p w14:paraId="798F43A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FFE3B">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23D64"/>
    <w:multiLevelType w:val="singleLevel"/>
    <w:tmpl w:val="AE623D64"/>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AA92D48"/>
    <w:multiLevelType w:val="singleLevel"/>
    <w:tmpl w:val="DAA92D48"/>
    <w:lvl w:ilvl="0" w:tentative="0">
      <w:start w:val="1"/>
      <w:numFmt w:val="decimal"/>
      <w:lvlText w:val="%1."/>
      <w:lvlJc w:val="left"/>
      <w:pPr>
        <w:tabs>
          <w:tab w:val="left" w:pos="312"/>
        </w:tabs>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EC51E60"/>
    <w:multiLevelType w:val="singleLevel"/>
    <w:tmpl w:val="1EC51E60"/>
    <w:lvl w:ilvl="0" w:tentative="0">
      <w:start w:val="2"/>
      <w:numFmt w:val="decimal"/>
      <w:lvlText w:val="%1."/>
      <w:lvlJc w:val="left"/>
      <w:pPr>
        <w:tabs>
          <w:tab w:val="left" w:pos="312"/>
        </w:tabs>
      </w:pPr>
    </w:lvl>
  </w:abstractNum>
  <w:abstractNum w:abstractNumId="5">
    <w:nsid w:val="642D7446"/>
    <w:multiLevelType w:val="singleLevel"/>
    <w:tmpl w:val="642D7446"/>
    <w:lvl w:ilvl="0" w:tentative="0">
      <w:start w:val="3"/>
      <w:numFmt w:val="chineseCounting"/>
      <w:suff w:val="nothing"/>
      <w:lvlText w:val="（%1）"/>
      <w:lvlJc w:val="left"/>
      <w:rPr>
        <w:rFonts w:hint="eastAsia"/>
      </w:rPr>
    </w:lvl>
  </w:abstractNum>
  <w:abstractNum w:abstractNumId="6">
    <w:nsid w:val="728A41A7"/>
    <w:multiLevelType w:val="singleLevel"/>
    <w:tmpl w:val="728A41A7"/>
    <w:lvl w:ilvl="0" w:tentative="0">
      <w:start w:val="2"/>
      <w:numFmt w:val="chineseCounting"/>
      <w:suff w:val="nothing"/>
      <w:lvlText w:val="（%1）"/>
      <w:lvlJc w:val="left"/>
      <w:rPr>
        <w:rFonts w:hint="eastAsia"/>
      </w:rPr>
    </w:lvl>
  </w:abstractNum>
  <w:abstractNum w:abstractNumId="7">
    <w:nsid w:val="7A05EA7E"/>
    <w:multiLevelType w:val="singleLevel"/>
    <w:tmpl w:val="7A05EA7E"/>
    <w:lvl w:ilvl="0" w:tentative="0">
      <w:start w:val="1"/>
      <w:numFmt w:val="chineseCounting"/>
      <w:suff w:val="nothing"/>
      <w:lvlText w:val="%1、"/>
      <w:lvlJc w:val="left"/>
      <w:rPr>
        <w:rFonts w:hint="eastAsia"/>
      </w:rPr>
    </w:lvl>
  </w:abstractNum>
  <w:num w:numId="1">
    <w:abstractNumId w:val="7"/>
  </w:num>
  <w:num w:numId="2">
    <w:abstractNumId w:val="3"/>
  </w:num>
  <w:num w:numId="3">
    <w:abstractNumId w:val="1"/>
  </w:num>
  <w:num w:numId="4">
    <w:abstractNumId w:val="0"/>
  </w:num>
  <w:num w:numId="5">
    <w:abstractNumId w:val="4"/>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5C7D"/>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3B6C6B"/>
    <w:rsid w:val="02FEBE30"/>
    <w:rsid w:val="036F8141"/>
    <w:rsid w:val="066E0107"/>
    <w:rsid w:val="07996F6E"/>
    <w:rsid w:val="07DFD8BA"/>
    <w:rsid w:val="081738E7"/>
    <w:rsid w:val="08F01959"/>
    <w:rsid w:val="0A2032A3"/>
    <w:rsid w:val="0AAD1C3F"/>
    <w:rsid w:val="0D35B1ED"/>
    <w:rsid w:val="0E7ED1F5"/>
    <w:rsid w:val="0F98263C"/>
    <w:rsid w:val="101860EC"/>
    <w:rsid w:val="10C055FF"/>
    <w:rsid w:val="118107EC"/>
    <w:rsid w:val="12F827F7"/>
    <w:rsid w:val="13D50BC4"/>
    <w:rsid w:val="13F5616D"/>
    <w:rsid w:val="153F1C83"/>
    <w:rsid w:val="16660930"/>
    <w:rsid w:val="16BB723D"/>
    <w:rsid w:val="17684E50"/>
    <w:rsid w:val="17F9714D"/>
    <w:rsid w:val="184F230D"/>
    <w:rsid w:val="1918F934"/>
    <w:rsid w:val="1AE87FAC"/>
    <w:rsid w:val="1B121933"/>
    <w:rsid w:val="1BE8440E"/>
    <w:rsid w:val="1D155CEE"/>
    <w:rsid w:val="1D656C71"/>
    <w:rsid w:val="1DFBC4B3"/>
    <w:rsid w:val="1E740ACF"/>
    <w:rsid w:val="1E750184"/>
    <w:rsid w:val="1F19C781"/>
    <w:rsid w:val="1F33FCE5"/>
    <w:rsid w:val="1F7F7398"/>
    <w:rsid w:val="1FD2DB6F"/>
    <w:rsid w:val="1FDE7774"/>
    <w:rsid w:val="1FF35744"/>
    <w:rsid w:val="1FF6BC77"/>
    <w:rsid w:val="1FF9236D"/>
    <w:rsid w:val="20D571A0"/>
    <w:rsid w:val="21FD6E81"/>
    <w:rsid w:val="22791808"/>
    <w:rsid w:val="2333840E"/>
    <w:rsid w:val="23860B96"/>
    <w:rsid w:val="240371BF"/>
    <w:rsid w:val="257C638F"/>
    <w:rsid w:val="258A1D0B"/>
    <w:rsid w:val="27382924"/>
    <w:rsid w:val="28A867F3"/>
    <w:rsid w:val="29FD04D3"/>
    <w:rsid w:val="2A094174"/>
    <w:rsid w:val="2A8061FB"/>
    <w:rsid w:val="2BD130F8"/>
    <w:rsid w:val="2BFF7BC6"/>
    <w:rsid w:val="2C8A61B5"/>
    <w:rsid w:val="2CD59C95"/>
    <w:rsid w:val="2DF04E50"/>
    <w:rsid w:val="2EFD05E5"/>
    <w:rsid w:val="2F040D46"/>
    <w:rsid w:val="2F4F95CE"/>
    <w:rsid w:val="2F7C4F47"/>
    <w:rsid w:val="2FACAFDD"/>
    <w:rsid w:val="2FAE5751"/>
    <w:rsid w:val="2FB1A395"/>
    <w:rsid w:val="2FCF0B76"/>
    <w:rsid w:val="2FD9A7D8"/>
    <w:rsid w:val="306039E1"/>
    <w:rsid w:val="30DC46A3"/>
    <w:rsid w:val="319F7F4E"/>
    <w:rsid w:val="3304709D"/>
    <w:rsid w:val="33775788"/>
    <w:rsid w:val="35A9743E"/>
    <w:rsid w:val="36AA5135"/>
    <w:rsid w:val="36BE0DA7"/>
    <w:rsid w:val="36BE293D"/>
    <w:rsid w:val="37573B52"/>
    <w:rsid w:val="376B6AA6"/>
    <w:rsid w:val="376D39B2"/>
    <w:rsid w:val="376D4159"/>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5A42EAF"/>
    <w:rsid w:val="46EF10B2"/>
    <w:rsid w:val="4737FB58"/>
    <w:rsid w:val="47ECCB02"/>
    <w:rsid w:val="47FA6A3F"/>
    <w:rsid w:val="49D7AE48"/>
    <w:rsid w:val="4A3F6C7E"/>
    <w:rsid w:val="4A627F82"/>
    <w:rsid w:val="4A9A28AE"/>
    <w:rsid w:val="4A9D279B"/>
    <w:rsid w:val="4B0E749A"/>
    <w:rsid w:val="4B4F25DA"/>
    <w:rsid w:val="4B5A1CFF"/>
    <w:rsid w:val="4BBB4781"/>
    <w:rsid w:val="4BD709A5"/>
    <w:rsid w:val="4BDD9BFF"/>
    <w:rsid w:val="4BE068DB"/>
    <w:rsid w:val="4C0B0286"/>
    <w:rsid w:val="4C182491"/>
    <w:rsid w:val="4D577224"/>
    <w:rsid w:val="4D8674BF"/>
    <w:rsid w:val="4DBF1CEB"/>
    <w:rsid w:val="4DBF6A6B"/>
    <w:rsid w:val="4DF6A672"/>
    <w:rsid w:val="4EAB630A"/>
    <w:rsid w:val="4ECE2238"/>
    <w:rsid w:val="4F7EA413"/>
    <w:rsid w:val="4FAB812F"/>
    <w:rsid w:val="4FE9BD67"/>
    <w:rsid w:val="4FEE4C07"/>
    <w:rsid w:val="4FFB052F"/>
    <w:rsid w:val="50B63380"/>
    <w:rsid w:val="537E6D0A"/>
    <w:rsid w:val="53AB6B88"/>
    <w:rsid w:val="53F74C96"/>
    <w:rsid w:val="5583522D"/>
    <w:rsid w:val="57BD3DD4"/>
    <w:rsid w:val="57F9CD1E"/>
    <w:rsid w:val="58CD7818"/>
    <w:rsid w:val="5A1F2BDC"/>
    <w:rsid w:val="5A255459"/>
    <w:rsid w:val="5AF92295"/>
    <w:rsid w:val="5AF9D8E9"/>
    <w:rsid w:val="5BDD38BD"/>
    <w:rsid w:val="5BDD79E6"/>
    <w:rsid w:val="5BEFC772"/>
    <w:rsid w:val="5BFF5DFC"/>
    <w:rsid w:val="5C3B7181"/>
    <w:rsid w:val="5CD71FC4"/>
    <w:rsid w:val="5D1F11B5"/>
    <w:rsid w:val="5D3647F9"/>
    <w:rsid w:val="5D3A4515"/>
    <w:rsid w:val="5DA644D4"/>
    <w:rsid w:val="5DAE1B18"/>
    <w:rsid w:val="5DE14842"/>
    <w:rsid w:val="5DE7D9E5"/>
    <w:rsid w:val="5ECEC941"/>
    <w:rsid w:val="5EFF8FC6"/>
    <w:rsid w:val="5F5BA39A"/>
    <w:rsid w:val="5F7D3B79"/>
    <w:rsid w:val="5F7F4610"/>
    <w:rsid w:val="5FBF9FF3"/>
    <w:rsid w:val="5FCD4E2C"/>
    <w:rsid w:val="5FEF394A"/>
    <w:rsid w:val="5FF67715"/>
    <w:rsid w:val="61CA71D5"/>
    <w:rsid w:val="627C5476"/>
    <w:rsid w:val="627EE9EA"/>
    <w:rsid w:val="63B23AA5"/>
    <w:rsid w:val="647F5392"/>
    <w:rsid w:val="64E322C4"/>
    <w:rsid w:val="65CA1D30"/>
    <w:rsid w:val="65FB93B9"/>
    <w:rsid w:val="6633C463"/>
    <w:rsid w:val="67D55B77"/>
    <w:rsid w:val="67EE7F84"/>
    <w:rsid w:val="686F5F53"/>
    <w:rsid w:val="688941B5"/>
    <w:rsid w:val="6AFFCEAF"/>
    <w:rsid w:val="6B96E9E6"/>
    <w:rsid w:val="6BCE57B5"/>
    <w:rsid w:val="6BFEA4DB"/>
    <w:rsid w:val="6BFFB662"/>
    <w:rsid w:val="6C0F2CA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923180"/>
    <w:rsid w:val="76E3355F"/>
    <w:rsid w:val="76F742AF"/>
    <w:rsid w:val="76F7BE7D"/>
    <w:rsid w:val="76FF5125"/>
    <w:rsid w:val="773570D3"/>
    <w:rsid w:val="77597F31"/>
    <w:rsid w:val="776F6FFA"/>
    <w:rsid w:val="7777A522"/>
    <w:rsid w:val="77858688"/>
    <w:rsid w:val="778769C8"/>
    <w:rsid w:val="77C9484C"/>
    <w:rsid w:val="77CB741A"/>
    <w:rsid w:val="77D7BE3A"/>
    <w:rsid w:val="77DC22F5"/>
    <w:rsid w:val="797E3A6C"/>
    <w:rsid w:val="799F6DD5"/>
    <w:rsid w:val="79CF70E2"/>
    <w:rsid w:val="79D7FD79"/>
    <w:rsid w:val="79E41890"/>
    <w:rsid w:val="79E75806"/>
    <w:rsid w:val="79EE5BA4"/>
    <w:rsid w:val="7A641148"/>
    <w:rsid w:val="7A6F8BF5"/>
    <w:rsid w:val="7A894339"/>
    <w:rsid w:val="7ACF82B5"/>
    <w:rsid w:val="7AFF28C9"/>
    <w:rsid w:val="7AFF72A0"/>
    <w:rsid w:val="7AFF7572"/>
    <w:rsid w:val="7B1B79E2"/>
    <w:rsid w:val="7B6B518E"/>
    <w:rsid w:val="7B6C7DFB"/>
    <w:rsid w:val="7B7D76A7"/>
    <w:rsid w:val="7BAE2FE2"/>
    <w:rsid w:val="7BAF6951"/>
    <w:rsid w:val="7BBFBED0"/>
    <w:rsid w:val="7BC3E394"/>
    <w:rsid w:val="7BF3FE4C"/>
    <w:rsid w:val="7BFB5035"/>
    <w:rsid w:val="7BFDE17E"/>
    <w:rsid w:val="7C1A66C9"/>
    <w:rsid w:val="7CBFC87B"/>
    <w:rsid w:val="7CFE0F48"/>
    <w:rsid w:val="7D3DE31C"/>
    <w:rsid w:val="7D7EC23E"/>
    <w:rsid w:val="7D7F8A13"/>
    <w:rsid w:val="7DBBCB01"/>
    <w:rsid w:val="7DC765D0"/>
    <w:rsid w:val="7DDB0EE0"/>
    <w:rsid w:val="7DFF51D8"/>
    <w:rsid w:val="7E39316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99"/>
    <w:rPr>
      <w:rFonts w:ascii="宋体" w:hAnsi="Courier New"/>
    </w:rPr>
  </w:style>
  <w:style w:type="paragraph" w:styleId="11">
    <w:name w:val="Balloon Text"/>
    <w:basedOn w:val="1"/>
    <w:link w:val="32"/>
    <w:semiHidden/>
    <w:unhideWhenUsed/>
    <w:qFormat/>
    <w:uiPriority w:val="99"/>
    <w:rPr>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1"/>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WPSOffice手动目录 1"/>
    <w:qFormat/>
    <w:uiPriority w:val="0"/>
    <w:pPr>
      <w:ind w:leftChars="0"/>
    </w:pPr>
    <w:rPr>
      <w:rFonts w:asciiTheme="minorHAnsi" w:hAnsiTheme="minorHAnsi" w:eastAsiaTheme="minorEastAsia" w:cstheme="minorBidi"/>
      <w:sz w:val="20"/>
      <w:szCs w:val="20"/>
    </w:rPr>
  </w:style>
  <w:style w:type="paragraph" w:customStyle="1" w:styleId="37">
    <w:name w:val="WPSOffice手动目录 2"/>
    <w:uiPriority w:val="0"/>
    <w:pPr>
      <w:ind w:leftChars="200"/>
    </w:pPr>
    <w:rPr>
      <w:sz w:val="20"/>
      <w:szCs w:val="20"/>
    </w:rPr>
  </w:style>
  <w:style w:type="paragraph" w:customStyle="1" w:styleId="38">
    <w:name w:val="WPSOffice手动目录 3"/>
    <w:uiPriority w:val="0"/>
    <w:pPr>
      <w:ind w:leftChars="4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595"/>
          <c:y val="0.0366666666666667"/>
          <c:w val="0.927925"/>
          <c:h val="0.8069"/>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2023年</c:v>
                </c:pt>
                <c:pt idx="1">
                  <c:v>2024年</c:v>
                </c:pt>
              </c:strCache>
            </c:strRef>
          </c:cat>
          <c:val>
            <c:numRef>
              <c:f>Sheet1!$B$2:$B$6</c:f>
              <c:numCache>
                <c:formatCode>General</c:formatCode>
                <c:ptCount val="5"/>
                <c:pt idx="0">
                  <c:v>1184.52</c:v>
                </c:pt>
                <c:pt idx="1">
                  <c:v>1262.08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2023年</c:v>
                </c:pt>
                <c:pt idx="1">
                  <c:v>2024年</c:v>
                </c:pt>
              </c:strCache>
            </c:strRef>
          </c:cat>
          <c:val>
            <c:numRef>
              <c:f>Sheet1!$C$2:$C$6</c:f>
              <c:numCache>
                <c:formatCode>General</c:formatCode>
                <c:ptCount val="5"/>
                <c:pt idx="0">
                  <c:v>1184.52</c:v>
                </c:pt>
                <c:pt idx="1">
                  <c:v>1262.08</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2023年</c:v>
                </c:pt>
                <c:pt idx="1">
                  <c:v>2024年</c:v>
                </c:pt>
              </c:strCache>
            </c:strRef>
          </c:cat>
          <c:val>
            <c:numRef>
              <c:f>Sheet1!$D$2:$D$6</c:f>
              <c:numCache>
                <c:formatCode>General</c:formatCode>
                <c:ptCount val="5"/>
              </c:numCache>
            </c:numRef>
          </c:val>
        </c:ser>
        <c:dLbls>
          <c:showLegendKey val="0"/>
          <c:showVal val="1"/>
          <c:showCatName val="0"/>
          <c:showSerName val="0"/>
          <c:showPercent val="0"/>
          <c:showBubbleSize val="0"/>
        </c:dLbls>
        <c:gapWidth val="219"/>
        <c:overlap val="-27"/>
        <c:axId val="772656749"/>
        <c:axId val="931384813"/>
      </c:barChart>
      <c:catAx>
        <c:axId val="7726567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1384813"/>
        <c:crosses val="autoZero"/>
        <c:auto val="1"/>
        <c:lblAlgn val="ctr"/>
        <c:lblOffset val="100"/>
        <c:noMultiLvlLbl val="0"/>
      </c:catAx>
      <c:valAx>
        <c:axId val="93138481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265674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4c3f742-fe68-49f9-bf48-f59da421e87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strCache>
            </c:strRef>
          </c:cat>
          <c:val>
            <c:numRef>
              <c:f>Sheet1!$B$2:$B$5</c:f>
              <c:numCache>
                <c:formatCode>General</c:formatCode>
                <c:ptCount val="4"/>
                <c:pt idx="0">
                  <c:v>1262.08</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01df10a-604f-406f-99a3-5d895ebe5c7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本年度支出情况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264.73</c:v>
                </c:pt>
                <c:pt idx="1">
                  <c:v>997.35</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85756ce-c825-4381-8b22-da09b64a9ea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Sheet1!$A$2:$A$5</c:f>
              <c:strCache>
                <c:ptCount val="4"/>
                <c:pt idx="0">
                  <c:v>2023年</c:v>
                </c:pt>
                <c:pt idx="1">
                  <c:v>2024年</c:v>
                </c:pt>
              </c:strCache>
            </c:strRef>
          </c:cat>
          <c:val>
            <c:numRef>
              <c:f>Sheet1!$B$2:$B$5</c:f>
              <c:numCache>
                <c:formatCode>General</c:formatCode>
                <c:ptCount val="4"/>
                <c:pt idx="0">
                  <c:v>1184.52</c:v>
                </c:pt>
                <c:pt idx="1">
                  <c:v>1262.08</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Sheet1!$A$2:$A$5</c:f>
              <c:strCache>
                <c:ptCount val="4"/>
                <c:pt idx="0">
                  <c:v>2023年</c:v>
                </c:pt>
                <c:pt idx="1">
                  <c:v>2024年</c:v>
                </c:pt>
              </c:strCache>
            </c:strRef>
          </c:cat>
          <c:val>
            <c:numRef>
              <c:f>Sheet1!$C$2:$C$5</c:f>
              <c:numCache>
                <c:formatCode>General</c:formatCode>
                <c:ptCount val="4"/>
                <c:pt idx="0">
                  <c:v>1184.52</c:v>
                </c:pt>
                <c:pt idx="1">
                  <c:v>1262.08</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2023年</c:v>
                </c:pt>
                <c:pt idx="1">
                  <c:v>2024年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50883824"/>
        <c:axId val="439690680"/>
      </c:barChart>
      <c:catAx>
        <c:axId val="9508838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9690680"/>
        <c:crosses val="autoZero"/>
        <c:auto val="1"/>
        <c:lblAlgn val="ctr"/>
        <c:lblOffset val="100"/>
        <c:noMultiLvlLbl val="0"/>
      </c:catAx>
      <c:valAx>
        <c:axId val="439690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08838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9dbffd0-2d3a-4aba-aa13-57aee4cf6ac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财政拨款支出变动情况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1184.52</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1">
                  <c:v>1262.08</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ser>
        <c:dLbls>
          <c:showLegendKey val="0"/>
          <c:showVal val="1"/>
          <c:showCatName val="0"/>
          <c:showSerName val="0"/>
          <c:showPercent val="0"/>
          <c:showBubbleSize val="0"/>
        </c:dLbls>
        <c:gapWidth val="150"/>
        <c:overlap val="100"/>
        <c:axId val="102469716"/>
        <c:axId val="240666841"/>
      </c:barChart>
      <c:catAx>
        <c:axId val="1024697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0666841"/>
        <c:crosses val="autoZero"/>
        <c:auto val="1"/>
        <c:lblAlgn val="ctr"/>
        <c:lblOffset val="100"/>
        <c:noMultiLvlLbl val="0"/>
      </c:catAx>
      <c:valAx>
        <c:axId val="24066684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4697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1b64a2a-8cbb-4462-9f0c-f7f83afb1db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社会保障支出</c:v>
                </c:pt>
                <c:pt idx="1">
                  <c:v>卫生健康</c:v>
                </c:pt>
                <c:pt idx="2">
                  <c:v>住房保障支出</c:v>
                </c:pt>
              </c:strCache>
            </c:strRef>
          </c:cat>
          <c:val>
            <c:numRef>
              <c:f>Sheet1!$B$2:$B$5</c:f>
              <c:numCache>
                <c:formatCode>General</c:formatCode>
                <c:ptCount val="4"/>
                <c:pt idx="0">
                  <c:v>1223.74</c:v>
                </c:pt>
                <c:pt idx="1">
                  <c:v>19.84</c:v>
                </c:pt>
                <c:pt idx="2">
                  <c:v>18.5</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社会保障支出</c:v>
                </c:pt>
                <c:pt idx="1">
                  <c:v>卫生健康</c:v>
                </c:pt>
                <c:pt idx="2">
                  <c:v>住房保障支出</c:v>
                </c:pt>
              </c:strCache>
            </c:strRef>
          </c:cat>
          <c:val>
            <c:numRef>
              <c:f>Sheet1!$C$2:$C$5</c:f>
              <c:numCache>
                <c:formatCode>General</c:formatCode>
                <c:ptCount val="4"/>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3457fe5-a678-49cf-bf20-b1d9d58bb37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1056</Words>
  <Characters>1089</Characters>
  <Lines>72</Lines>
  <Paragraphs>20</Paragraphs>
  <TotalTime>0</TotalTime>
  <ScaleCrop>false</ScaleCrop>
  <LinksUpToDate>false</LinksUpToDate>
  <CharactersWithSpaces>1119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嘉桑•D N Z M</cp:lastModifiedBy>
  <cp:lastPrinted>2023-08-03T10:35:00Z</cp:lastPrinted>
  <dcterms:modified xsi:type="dcterms:W3CDTF">2025-09-22T08:54:43Z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D042E783FEA342258C88DF42424A0CAF</vt:lpwstr>
  </property>
  <property fmtid="{D5CDD505-2E9C-101B-9397-08002B2CF9AE}" pid="4" name="KSOTemplateDocerSaveRecord">
    <vt:lpwstr>eyJoZGlkIjoiYTFjYjVlNzdlNDIzMjQxNmQwNzI1MmRmMzllN2QyNzEiLCJ1c2VySWQiOiIzMTAzNTcyOTAifQ==</vt:lpwstr>
  </property>
</Properties>
</file>