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7A574">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7193"/>
      <w:bookmarkStart w:id="2" w:name="_Toc15377425"/>
      <w:bookmarkStart w:id="3" w:name="_Toc15378441"/>
      <w:bookmarkStart w:id="4" w:name="_Toc15396475"/>
      <w:bookmarkStart w:id="5" w:name="_Toc15396597"/>
    </w:p>
    <w:p w14:paraId="1CA20FC9">
      <w:pPr>
        <w:pStyle w:val="7"/>
        <w:rPr>
          <w:rFonts w:hint="eastAsia" w:ascii="Times New Roman" w:hAnsi="Times New Roman" w:eastAsia="方正小标宋简体" w:cs="Times New Roman"/>
          <w:color w:val="auto"/>
          <w:kern w:val="2"/>
          <w:sz w:val="72"/>
          <w:szCs w:val="72"/>
          <w:highlight w:val="none"/>
          <w:lang w:val="en-US" w:eastAsia="zh-CN" w:bidi="ar-SA"/>
        </w:rPr>
      </w:pPr>
    </w:p>
    <w:p w14:paraId="7DF46067">
      <w:pPr>
        <w:pStyle w:val="7"/>
        <w:rPr>
          <w:rFonts w:hint="eastAsia" w:ascii="Times New Roman" w:hAnsi="Times New Roman" w:eastAsia="方正小标宋简体" w:cs="Times New Roman"/>
          <w:color w:val="auto"/>
          <w:kern w:val="2"/>
          <w:sz w:val="72"/>
          <w:szCs w:val="72"/>
          <w:highlight w:val="none"/>
          <w:lang w:val="en-US" w:eastAsia="zh-CN" w:bidi="ar-SA"/>
        </w:rPr>
      </w:pPr>
    </w:p>
    <w:p w14:paraId="65410F7A">
      <w:pPr>
        <w:pStyle w:val="7"/>
        <w:rPr>
          <w:rFonts w:hint="eastAsia" w:ascii="Times New Roman" w:hAnsi="Times New Roman" w:eastAsia="方正小标宋简体" w:cs="Times New Roman"/>
          <w:color w:val="auto"/>
          <w:kern w:val="2"/>
          <w:sz w:val="72"/>
          <w:szCs w:val="72"/>
          <w:highlight w:val="none"/>
          <w:lang w:val="en-US" w:eastAsia="zh-CN" w:bidi="ar-SA"/>
        </w:rPr>
      </w:pPr>
    </w:p>
    <w:p w14:paraId="2B218257">
      <w:pPr>
        <w:pStyle w:val="7"/>
        <w:rPr>
          <w:rFonts w:hint="eastAsia" w:ascii="Times New Roman" w:hAnsi="Times New Roman" w:eastAsia="方正小标宋简体" w:cs="Times New Roman"/>
          <w:color w:val="auto"/>
          <w:kern w:val="2"/>
          <w:sz w:val="72"/>
          <w:szCs w:val="72"/>
          <w:highlight w:val="none"/>
          <w:lang w:val="en-US" w:eastAsia="zh-CN" w:bidi="ar-SA"/>
        </w:rPr>
      </w:pPr>
    </w:p>
    <w:bookmarkEnd w:id="0"/>
    <w:bookmarkEnd w:id="1"/>
    <w:bookmarkEnd w:id="2"/>
    <w:bookmarkEnd w:id="3"/>
    <w:bookmarkEnd w:id="4"/>
    <w:bookmarkEnd w:id="5"/>
    <w:p w14:paraId="38419A0A">
      <w:pPr>
        <w:pStyle w:val="7"/>
        <w:ind w:firstLine="1120" w:firstLineChars="200"/>
        <w:jc w:val="both"/>
        <w:rPr>
          <w:rStyle w:val="19"/>
          <w:rFonts w:hint="eastAsia" w:ascii="方正大标宋简体" w:hAnsi="方正大标宋简体" w:eastAsia="方正大标宋简体" w:cs="方正大标宋简体"/>
          <w:b w:val="0"/>
          <w:bCs w:val="0"/>
          <w:sz w:val="56"/>
          <w:szCs w:val="56"/>
          <w:shd w:val="clear" w:color="auto" w:fill="FFFFFF"/>
          <w:lang w:val="en-US" w:eastAsia="zh-CN"/>
        </w:rPr>
      </w:pPr>
      <w:bookmarkStart w:id="6" w:name="_Toc15396476"/>
      <w:bookmarkStart w:id="7" w:name="_Toc15378442"/>
      <w:bookmarkStart w:id="8" w:name="_Toc15396598"/>
      <w:bookmarkStart w:id="9" w:name="_Toc15377194"/>
      <w:bookmarkStart w:id="10" w:name="_Toc15377426"/>
      <w:r>
        <w:rPr>
          <w:rFonts w:hint="eastAsia" w:ascii="方正大标宋简体" w:hAnsi="方正大标宋简体" w:eastAsia="方正大标宋简体" w:cs="方正大标宋简体"/>
          <w:b w:val="0"/>
          <w:bCs w:val="0"/>
          <w:color w:val="auto"/>
          <w:kern w:val="2"/>
          <w:sz w:val="56"/>
          <w:szCs w:val="56"/>
          <w:highlight w:val="none"/>
          <w:lang w:val="en-US" w:eastAsia="zh-CN" w:bidi="ar-SA"/>
        </w:rPr>
        <w:t>2024年度红原县</w:t>
      </w:r>
      <w:r>
        <w:rPr>
          <w:rStyle w:val="19"/>
          <w:rFonts w:hint="eastAsia" w:ascii="方正大标宋简体" w:hAnsi="方正大标宋简体" w:eastAsia="方正大标宋简体" w:cs="方正大标宋简体"/>
          <w:b w:val="0"/>
          <w:bCs w:val="0"/>
          <w:sz w:val="56"/>
          <w:szCs w:val="56"/>
          <w:shd w:val="clear" w:color="auto" w:fill="FFFFFF"/>
          <w:lang w:val="en-US" w:eastAsia="zh-CN"/>
        </w:rPr>
        <w:t>刷经寺镇</w:t>
      </w:r>
    </w:p>
    <w:p w14:paraId="08741253">
      <w:pPr>
        <w:pStyle w:val="7"/>
        <w:ind w:firstLine="2240" w:firstLineChars="400"/>
        <w:jc w:val="both"/>
        <w:rPr>
          <w:rStyle w:val="19"/>
          <w:rFonts w:hint="eastAsia" w:ascii="方正大标宋简体" w:hAnsi="方正大标宋简体" w:eastAsia="方正大标宋简体" w:cs="方正大标宋简体"/>
          <w:b w:val="0"/>
          <w:bCs w:val="0"/>
          <w:sz w:val="56"/>
          <w:szCs w:val="56"/>
          <w:shd w:val="clear" w:color="auto" w:fill="FFFFFF"/>
        </w:rPr>
      </w:pPr>
      <w:bookmarkStart w:id="67" w:name="_GoBack"/>
      <w:bookmarkEnd w:id="67"/>
      <w:r>
        <w:rPr>
          <w:rStyle w:val="19"/>
          <w:rFonts w:hint="eastAsia" w:ascii="方正大标宋简体" w:hAnsi="方正大标宋简体" w:eastAsia="方正大标宋简体" w:cs="方正大标宋简体"/>
          <w:b w:val="0"/>
          <w:bCs w:val="0"/>
          <w:sz w:val="56"/>
          <w:szCs w:val="56"/>
          <w:shd w:val="clear" w:color="auto" w:fill="FFFFFF"/>
          <w:lang w:val="en-US" w:eastAsia="zh-CN"/>
        </w:rPr>
        <w:t>中心卫生院</w:t>
      </w:r>
      <w:r>
        <w:rPr>
          <w:rStyle w:val="19"/>
          <w:rFonts w:hint="eastAsia" w:ascii="方正大标宋简体" w:hAnsi="方正大标宋简体" w:eastAsia="方正大标宋简体" w:cs="方正大标宋简体"/>
          <w:b w:val="0"/>
          <w:bCs w:val="0"/>
          <w:sz w:val="56"/>
          <w:szCs w:val="56"/>
          <w:shd w:val="clear" w:color="auto" w:fill="FFFFFF"/>
          <w:lang w:eastAsia="zh-CN"/>
        </w:rPr>
        <w:t>单位</w:t>
      </w:r>
      <w:r>
        <w:rPr>
          <w:rStyle w:val="19"/>
          <w:rFonts w:hint="eastAsia" w:ascii="方正大标宋简体" w:hAnsi="方正大标宋简体" w:eastAsia="方正大标宋简体" w:cs="方正大标宋简体"/>
          <w:b w:val="0"/>
          <w:bCs w:val="0"/>
          <w:sz w:val="56"/>
          <w:szCs w:val="56"/>
          <w:shd w:val="clear" w:color="auto" w:fill="FFFFFF"/>
        </w:rPr>
        <w:t>决算</w:t>
      </w:r>
      <w:bookmarkEnd w:id="6"/>
      <w:bookmarkEnd w:id="7"/>
      <w:bookmarkEnd w:id="8"/>
      <w:bookmarkEnd w:id="9"/>
      <w:bookmarkEnd w:id="10"/>
    </w:p>
    <w:p w14:paraId="7B08806E">
      <w:pPr>
        <w:pStyle w:val="7"/>
        <w:jc w:val="both"/>
        <w:rPr>
          <w:rStyle w:val="19"/>
          <w:rFonts w:hint="eastAsia" w:ascii="方正书宋_GBK" w:hAnsi="方正书宋_GBK" w:eastAsia="方正书宋_GBK" w:cs="方正书宋_GBK"/>
          <w:sz w:val="44"/>
          <w:szCs w:val="44"/>
          <w:shd w:val="clear" w:color="auto" w:fill="FFFFFF"/>
          <w:lang w:val="en-US" w:eastAsia="zh-CN"/>
        </w:rPr>
      </w:pPr>
    </w:p>
    <w:p w14:paraId="0A08672D">
      <w:pPr>
        <w:widowControl/>
        <w:jc w:val="center"/>
        <w:rPr>
          <w:rFonts w:hint="eastAsia" w:ascii="Times New Roman" w:hAnsi="Times New Roman" w:eastAsia="黑体"/>
          <w:color w:val="auto"/>
          <w:sz w:val="48"/>
          <w:szCs w:val="48"/>
          <w:highlight w:val="none"/>
        </w:rPr>
      </w:pPr>
    </w:p>
    <w:p w14:paraId="4C513B4C">
      <w:pPr>
        <w:widowControl/>
        <w:jc w:val="center"/>
        <w:rPr>
          <w:rFonts w:hint="eastAsia" w:ascii="Times New Roman" w:hAnsi="Times New Roman" w:eastAsia="黑体"/>
          <w:color w:val="auto"/>
          <w:sz w:val="48"/>
          <w:szCs w:val="48"/>
          <w:highlight w:val="none"/>
        </w:rPr>
      </w:pPr>
    </w:p>
    <w:p w14:paraId="1F47E0A9">
      <w:pPr>
        <w:widowControl/>
        <w:jc w:val="center"/>
        <w:rPr>
          <w:rFonts w:hint="eastAsia" w:ascii="Times New Roman" w:hAnsi="Times New Roman" w:eastAsia="黑体"/>
          <w:color w:val="auto"/>
          <w:sz w:val="48"/>
          <w:szCs w:val="48"/>
          <w:highlight w:val="none"/>
        </w:rPr>
      </w:pPr>
    </w:p>
    <w:p w14:paraId="30A4022C">
      <w:pPr>
        <w:widowControl/>
        <w:jc w:val="center"/>
        <w:rPr>
          <w:rFonts w:hint="eastAsia" w:ascii="Times New Roman" w:hAnsi="Times New Roman" w:eastAsia="黑体"/>
          <w:color w:val="auto"/>
          <w:sz w:val="48"/>
          <w:szCs w:val="48"/>
          <w:highlight w:val="none"/>
        </w:rPr>
      </w:pPr>
    </w:p>
    <w:p w14:paraId="5C5EEFDF">
      <w:pPr>
        <w:widowControl/>
        <w:jc w:val="center"/>
        <w:rPr>
          <w:rFonts w:hint="eastAsia" w:ascii="Times New Roman" w:hAnsi="Times New Roman" w:eastAsia="黑体"/>
          <w:color w:val="auto"/>
          <w:sz w:val="48"/>
          <w:szCs w:val="48"/>
          <w:highlight w:val="none"/>
        </w:rPr>
      </w:pPr>
    </w:p>
    <w:p w14:paraId="57753FB9">
      <w:pPr>
        <w:widowControl/>
        <w:jc w:val="center"/>
        <w:rPr>
          <w:rFonts w:hint="eastAsia" w:ascii="Times New Roman" w:hAnsi="Times New Roman" w:eastAsia="黑体"/>
          <w:color w:val="auto"/>
          <w:sz w:val="48"/>
          <w:szCs w:val="48"/>
          <w:highlight w:val="none"/>
        </w:rPr>
      </w:pPr>
    </w:p>
    <w:p w14:paraId="29680CD7">
      <w:pPr>
        <w:widowControl/>
        <w:jc w:val="center"/>
        <w:rPr>
          <w:rFonts w:hint="eastAsia" w:ascii="Times New Roman" w:hAnsi="Times New Roman" w:eastAsia="黑体"/>
          <w:color w:val="auto"/>
          <w:sz w:val="48"/>
          <w:szCs w:val="48"/>
          <w:highlight w:val="none"/>
        </w:rPr>
      </w:pPr>
    </w:p>
    <w:p w14:paraId="6F891A4C">
      <w:pPr>
        <w:widowControl/>
        <w:jc w:val="center"/>
        <w:rPr>
          <w:rFonts w:hint="eastAsia" w:ascii="Times New Roman" w:hAnsi="Times New Roman" w:eastAsia="黑体"/>
          <w:color w:val="auto"/>
          <w:sz w:val="48"/>
          <w:szCs w:val="48"/>
          <w:highlight w:val="none"/>
        </w:rPr>
      </w:pPr>
    </w:p>
    <w:p w14:paraId="1BEFA901">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b/>
          <w:bCs/>
          <w:color w:val="auto"/>
          <w:sz w:val="48"/>
          <w:szCs w:val="48"/>
          <w:highlight w:val="none"/>
        </w:rPr>
        <w:t>目</w:t>
      </w:r>
      <w:r>
        <w:rPr>
          <w:rFonts w:hint="eastAsia" w:eastAsia="黑体"/>
          <w:b/>
          <w:bCs/>
          <w:color w:val="auto"/>
          <w:sz w:val="48"/>
          <w:szCs w:val="48"/>
          <w:highlight w:val="none"/>
          <w:lang w:val="en-US" w:eastAsia="zh-CN"/>
        </w:rPr>
        <w:t xml:space="preserve">  </w:t>
      </w:r>
      <w:r>
        <w:rPr>
          <w:rFonts w:hint="eastAsia" w:ascii="Times New Roman" w:hAnsi="Times New Roman" w:eastAsia="黑体"/>
          <w:b/>
          <w:bCs/>
          <w:color w:val="auto"/>
          <w:sz w:val="48"/>
          <w:szCs w:val="48"/>
          <w:highlight w:val="none"/>
        </w:rPr>
        <w:t>录</w:t>
      </w:r>
    </w:p>
    <w:p w14:paraId="3BD21D0E">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28</w:t>
      </w:r>
      <w:r>
        <w:rPr>
          <w:rFonts w:hint="eastAsia" w:ascii="Times New Roman" w:hAnsi="Times New Roman" w:eastAsia="仿宋_GB2312" w:cs="仿宋_GB2312"/>
          <w:color w:val="auto"/>
          <w:sz w:val="32"/>
          <w:szCs w:val="32"/>
          <w:highlight w:val="none"/>
        </w:rPr>
        <w:t>日</w:t>
      </w:r>
    </w:p>
    <w:p w14:paraId="392BEBBD">
      <w:pPr>
        <w:rPr>
          <w:rFonts w:ascii="Times New Roman" w:hAnsi="Times New Roman"/>
          <w:color w:val="auto"/>
          <w:highlight w:val="none"/>
        </w:rPr>
      </w:pPr>
    </w:p>
    <w:p w14:paraId="56546D43">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b/>
          <w:bCs/>
          <w:color w:val="auto"/>
          <w:sz w:val="32"/>
          <w:szCs w:val="32"/>
          <w:highlight w:val="none"/>
          <w:lang w:eastAsia="zh-CN"/>
        </w:rPr>
      </w:pPr>
      <w:r>
        <w:rPr>
          <w:rFonts w:hint="eastAsia" w:ascii="Times New Roman" w:hAnsi="Times New Roman" w:eastAsia="黑体" w:cs="黑体"/>
          <w:b/>
          <w:bCs/>
          <w:color w:val="auto"/>
          <w:sz w:val="32"/>
          <w:szCs w:val="32"/>
          <w:highlight w:val="none"/>
        </w:rPr>
        <w:t>第一部分 部门概况</w:t>
      </w:r>
      <w:r>
        <w:rPr>
          <w:rFonts w:hint="eastAsia" w:ascii="Times New Roman" w:hAnsi="Times New Roman" w:eastAsia="黑体" w:cs="黑体"/>
          <w:b/>
          <w:bCs/>
          <w:color w:val="auto"/>
          <w:spacing w:val="-6"/>
          <w:sz w:val="32"/>
          <w:szCs w:val="32"/>
          <w:highlight w:val="none"/>
          <w:lang w:val="en-US" w:eastAsia="zh-CN"/>
        </w:rPr>
        <w:t xml:space="preserve"> </w:t>
      </w:r>
      <w:r>
        <w:rPr>
          <w:rFonts w:hint="eastAsia" w:ascii="Times New Roman" w:hAnsi="Times New Roman" w:eastAsia="仿宋_GB2312" w:cs="仿宋_GB2312"/>
          <w:color w:val="auto"/>
          <w:spacing w:val="0"/>
          <w:sz w:val="32"/>
          <w:szCs w:val="32"/>
          <w:highlight w:val="none"/>
          <w:lang w:eastAsia="zh-CN"/>
        </w:rPr>
        <w:t>…………………………</w:t>
      </w:r>
      <w:r>
        <w:rPr>
          <w:rFonts w:hint="eastAsia" w:ascii="Times New Roman" w:hAnsi="Times New Roman"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spacing w:val="0"/>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 xml:space="preserve"> 1</w:t>
      </w:r>
    </w:p>
    <w:p w14:paraId="57EE6DE4">
      <w:pPr>
        <w:pStyle w:val="12"/>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仿宋_GB2312" w:cs="仿宋_GB2312"/>
          <w:color w:val="auto"/>
          <w:sz w:val="32"/>
          <w:szCs w:val="32"/>
          <w:highlight w:val="none"/>
          <w:lang w:val="en-US" w:eastAsia="zh-CN"/>
        </w:rPr>
        <w:t xml:space="preserve"> 1</w:t>
      </w:r>
    </w:p>
    <w:p w14:paraId="092C82CD">
      <w:pPr>
        <w:pStyle w:val="12"/>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 xml:space="preserve"> 1</w:t>
      </w:r>
    </w:p>
    <w:p w14:paraId="2A013FC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第二部分</w:t>
      </w:r>
      <w:r>
        <w:rPr>
          <w:rFonts w:hint="eastAsia" w:ascii="Times New Roman" w:hAnsi="Times New Roman" w:eastAsia="黑体" w:cs="黑体"/>
          <w:b/>
          <w:bCs/>
          <w:color w:val="auto"/>
          <w:sz w:val="32"/>
          <w:szCs w:val="32"/>
          <w:highlight w:val="none"/>
          <w:lang w:val="en-US" w:eastAsia="zh-CN"/>
        </w:rPr>
        <w:t xml:space="preserve"> 2024年度</w:t>
      </w:r>
      <w:r>
        <w:rPr>
          <w:rFonts w:hint="eastAsia" w:ascii="Times New Roman" w:hAnsi="Times New Roman" w:eastAsia="黑体" w:cs="黑体"/>
          <w:b/>
          <w:bCs/>
          <w:color w:val="auto"/>
          <w:sz w:val="32"/>
          <w:szCs w:val="32"/>
          <w:highlight w:val="none"/>
        </w:rPr>
        <w:t>部门决算情况说明</w:t>
      </w:r>
      <w:r>
        <w:rPr>
          <w:rFonts w:hint="eastAsia" w:ascii="Times New Roman" w:hAnsi="Times New Roman"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val="en-US" w:eastAsia="zh-CN"/>
        </w:rPr>
        <w:t xml:space="preserve"> </w:t>
      </w:r>
      <w:r>
        <w:rPr>
          <w:rFonts w:hint="eastAsia" w:eastAsia="仿宋_GB2312" w:cs="仿宋_GB2312"/>
          <w:color w:val="auto"/>
          <w:sz w:val="32"/>
          <w:szCs w:val="32"/>
          <w:highlight w:val="none"/>
          <w:lang w:val="en-US" w:eastAsia="zh-CN"/>
        </w:rPr>
        <w:t>2</w:t>
      </w:r>
    </w:p>
    <w:p w14:paraId="559B0C1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1BBD636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5E27068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60C73E6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55FF45A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4</w:t>
      </w:r>
    </w:p>
    <w:p w14:paraId="7A7583D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5849FB3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7DEF3FA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1ED2F6F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9</w:t>
      </w:r>
    </w:p>
    <w:p w14:paraId="5855A00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Times New Roman" w:hAnsi="Times New Roman"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9</w:t>
      </w:r>
    </w:p>
    <w:p w14:paraId="010739B8">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第三部分 名词解释</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14</w:t>
      </w:r>
    </w:p>
    <w:p w14:paraId="58C5F110">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第四部分 附件</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17</w:t>
      </w:r>
    </w:p>
    <w:p w14:paraId="1FE2FF47">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第五部分 附表</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pacing w:val="-6"/>
          <w:sz w:val="32"/>
          <w:szCs w:val="32"/>
          <w:highlight w:val="none"/>
          <w:lang w:val="en-US" w:eastAsia="zh-CN"/>
        </w:rPr>
        <w:t>27</w:t>
      </w:r>
    </w:p>
    <w:p w14:paraId="0E6893FD">
      <w:pPr>
        <w:pStyle w:val="14"/>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58B3252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3DEC053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仿宋_GB2312" w:cs="仿宋_GB2312"/>
          <w:color w:val="auto"/>
          <w:spacing w:val="-23"/>
          <w:sz w:val="32"/>
          <w:szCs w:val="32"/>
          <w:highlight w:val="none"/>
          <w:lang w:eastAsia="zh-CN"/>
        </w:rPr>
        <w:t>…………………</w:t>
      </w:r>
      <w:r>
        <w:rPr>
          <w:rFonts w:hint="eastAsia" w:ascii="Times New Roman" w:hAnsi="Times New Roman" w:eastAsia="仿宋_GB2312" w:cs="仿宋_GB2312"/>
          <w:color w:val="auto"/>
          <w:spacing w:val="-17"/>
          <w:sz w:val="32"/>
          <w:szCs w:val="32"/>
          <w:highlight w:val="none"/>
          <w:lang w:eastAsia="zh-CN"/>
        </w:rPr>
        <w:t>………</w:t>
      </w:r>
      <w:r>
        <w:rPr>
          <w:rFonts w:hint="eastAsia" w:eastAsia="仿宋_GB2312" w:cs="仿宋_GB2312"/>
          <w:color w:val="auto"/>
          <w:sz w:val="32"/>
          <w:szCs w:val="32"/>
          <w:highlight w:val="none"/>
          <w:lang w:val="en-US" w:eastAsia="zh-CN"/>
        </w:rPr>
        <w:t>27</w:t>
      </w:r>
    </w:p>
    <w:p w14:paraId="1EA145A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28A84A3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125E503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3085D49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1C6B631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552BD14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578CAC6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355CE61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7F63603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ascii="Times New Roman" w:hAnsi="Times New Roman" w:eastAsia="仿宋_GB2312" w:cs="仿宋_GB2312"/>
          <w:color w:val="auto"/>
          <w:spacing w:val="-6"/>
          <w:sz w:val="32"/>
          <w:szCs w:val="32"/>
          <w:highlight w:val="none"/>
          <w:lang w:eastAsia="zh-CN"/>
        </w:rPr>
        <w:t>……………</w:t>
      </w:r>
      <w:r>
        <w:rPr>
          <w:rFonts w:hint="eastAsia" w:eastAsia="仿宋_GB2312" w:cs="仿宋_GB2312"/>
          <w:color w:val="auto"/>
          <w:sz w:val="32"/>
          <w:szCs w:val="32"/>
          <w:highlight w:val="none"/>
          <w:lang w:val="en-US" w:eastAsia="zh-CN"/>
        </w:rPr>
        <w:t>27</w:t>
      </w:r>
    </w:p>
    <w:p w14:paraId="3E6C1AD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3F5BBA02">
      <w:pPr>
        <w:pStyle w:val="4"/>
        <w:keepNext/>
        <w:keepLines/>
        <w:pageBreakBefore w:val="0"/>
        <w:widowControl w:val="0"/>
        <w:kinsoku/>
        <w:wordWrap/>
        <w:overflowPunct/>
        <w:topLinePunct w:val="0"/>
        <w:autoSpaceDE/>
        <w:autoSpaceDN/>
        <w:bidi w:val="0"/>
        <w:adjustRightInd w:val="0"/>
        <w:snapToGrid w:val="0"/>
        <w:spacing w:before="0" w:after="0" w:line="650" w:lineRule="exact"/>
        <w:jc w:val="center"/>
        <w:textAlignment w:val="auto"/>
        <w:rPr>
          <w:rFonts w:hint="eastAsia" w:ascii="Times New Roman" w:hAnsi="Times New Roman" w:eastAsia="方正小标宋简体" w:cs="方正小标宋简体"/>
          <w:b w:val="0"/>
          <w:color w:val="auto"/>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bookmarkStart w:id="11" w:name="_Toc15377196"/>
      <w:bookmarkStart w:id="12" w:name="_Toc15396599"/>
    </w:p>
    <w:p w14:paraId="76AADBAB">
      <w:pPr>
        <w:pStyle w:val="4"/>
        <w:keepNext/>
        <w:keepLines/>
        <w:pageBreakBefore w:val="0"/>
        <w:widowControl w:val="0"/>
        <w:kinsoku/>
        <w:wordWrap/>
        <w:overflowPunct/>
        <w:topLinePunct w:val="0"/>
        <w:autoSpaceDE/>
        <w:autoSpaceDN/>
        <w:bidi w:val="0"/>
        <w:adjustRightInd w:val="0"/>
        <w:snapToGrid w:val="0"/>
        <w:spacing w:before="0" w:after="0" w:line="650" w:lineRule="exact"/>
        <w:jc w:val="center"/>
        <w:textAlignment w:val="auto"/>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1"/>
      <w:bookmarkEnd w:id="12"/>
    </w:p>
    <w:p w14:paraId="39C7F28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b/>
          <w:bCs w:val="0"/>
          <w:color w:val="auto"/>
          <w:highlight w:val="none"/>
          <w:lang w:eastAsia="zh-CN"/>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b/>
          <w:bCs w:val="0"/>
          <w:color w:val="auto"/>
          <w:highlight w:val="none"/>
          <w:lang w:eastAsia="zh-CN"/>
        </w:rPr>
        <w:t>部门职责</w:t>
      </w:r>
    </w:p>
    <w:p w14:paraId="13D38423">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40C5C117">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3" w:name="_Toc15377200"/>
      <w:bookmarkStart w:id="14" w:name="_Toc15396601"/>
      <w:r>
        <w:rPr>
          <w:rFonts w:hint="eastAsia" w:ascii="Times New Roman" w:hAnsi="Times New Roman" w:eastAsia="黑体" w:cstheme="majorBidi"/>
          <w:b/>
          <w:bCs w:val="0"/>
          <w:color w:val="auto"/>
          <w:kern w:val="2"/>
          <w:sz w:val="32"/>
          <w:szCs w:val="32"/>
          <w:lang w:val="en-US" w:eastAsia="zh-CN" w:bidi="ar-SA"/>
        </w:rPr>
        <w:t>二、机构设置</w:t>
      </w:r>
      <w:bookmarkEnd w:id="13"/>
      <w:bookmarkEnd w:id="14"/>
    </w:p>
    <w:p w14:paraId="3C7E58CC">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红</w:t>
      </w:r>
      <w:r>
        <w:rPr>
          <w:rFonts w:hint="eastAsia" w:ascii="仿宋_GB2312" w:hAnsi="仿宋_GB2312" w:eastAsia="仿宋_GB2312" w:cs="仿宋_GB2312"/>
          <w:color w:val="auto"/>
          <w:sz w:val="32"/>
          <w:szCs w:val="32"/>
          <w:highlight w:val="none"/>
          <w:lang w:eastAsia="zh-CN"/>
        </w:rPr>
        <w:t>原县刷经寺镇中心卫生院下属二级预算单位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个，其中行政单位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个，参照公务员法管理的事业单位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个，其他事业单位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个。我单位为独立核算全额拨款事业单位，下设</w:t>
      </w:r>
      <w:r>
        <w:rPr>
          <w:rFonts w:hint="eastAsia" w:ascii="仿宋_GB2312" w:hAnsi="仿宋_GB2312" w:eastAsia="仿宋_GB2312" w:cs="仿宋_GB2312"/>
          <w:color w:val="auto"/>
          <w:sz w:val="32"/>
          <w:szCs w:val="32"/>
          <w:highlight w:val="none"/>
          <w:lang w:val="en-US" w:eastAsia="zh-CN"/>
        </w:rPr>
        <w:t>1机构。</w:t>
      </w:r>
      <w:r>
        <w:rPr>
          <w:rFonts w:hint="eastAsia" w:ascii="仿宋_GB2312" w:hAnsi="仿宋_GB2312" w:eastAsia="仿宋_GB2312" w:cs="仿宋_GB2312"/>
          <w:color w:val="auto"/>
          <w:sz w:val="32"/>
          <w:szCs w:val="32"/>
          <w:highlight w:val="none"/>
          <w:lang w:eastAsia="zh-CN"/>
        </w:rPr>
        <w:t>截止20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lang w:eastAsia="zh-CN"/>
        </w:rPr>
        <w:t>年底我单位</w:t>
      </w:r>
      <w:r>
        <w:rPr>
          <w:rFonts w:hint="eastAsia" w:ascii="仿宋_GB2312" w:hAnsi="仿宋_GB2312" w:eastAsia="仿宋_GB2312" w:cs="仿宋_GB2312"/>
          <w:color w:val="auto"/>
          <w:sz w:val="32"/>
          <w:szCs w:val="32"/>
          <w:highlight w:val="none"/>
          <w:lang w:val="en-US" w:eastAsia="zh-CN"/>
        </w:rPr>
        <w:t>共有编制10个，其中事业编10个，在职9人,</w:t>
      </w:r>
      <w:r>
        <w:rPr>
          <w:rFonts w:hint="eastAsia" w:ascii="仿宋_GB2312" w:hAnsi="仿宋_GB2312" w:eastAsia="仿宋_GB2312" w:cs="仿宋_GB2312"/>
          <w:color w:val="auto"/>
          <w:sz w:val="32"/>
          <w:szCs w:val="32"/>
          <w:highlight w:val="none"/>
          <w:lang w:eastAsia="zh-CN"/>
        </w:rPr>
        <w:t>事业编制</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eastAsia="zh-CN"/>
        </w:rPr>
        <w:t>人。</w:t>
      </w:r>
    </w:p>
    <w:p w14:paraId="4AF1B0E0">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Times New Roman" w:hAnsi="Times New Roman"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纳入红原县刷经寺镇中心卫生院2024年度部门决算编制范围的二级预算单位无</w:t>
      </w:r>
    </w:p>
    <w:p w14:paraId="235E8478">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b w:val="0"/>
          <w:color w:val="auto"/>
          <w:sz w:val="44"/>
          <w:szCs w:val="44"/>
          <w:highlight w:val="none"/>
        </w:rPr>
      </w:pPr>
      <w:bookmarkStart w:id="15" w:name="_Toc15377204"/>
      <w:bookmarkStart w:id="16" w:name="_Toc15396602"/>
      <w:r>
        <w:rPr>
          <w:rFonts w:hint="eastAsia" w:ascii="方正小标宋简体" w:hAnsi="方正小标宋简体" w:eastAsia="方正小标宋简体" w:cs="方正小标宋简体"/>
          <w:b w:val="0"/>
          <w:color w:val="auto"/>
          <w:sz w:val="44"/>
          <w:szCs w:val="44"/>
          <w:highlight w:val="none"/>
        </w:rPr>
        <w:t>第二部分</w:t>
      </w:r>
      <w:r>
        <w:rPr>
          <w:rFonts w:hint="eastAsia" w:ascii="方正小标宋简体" w:hAnsi="方正小标宋简体" w:eastAsia="方正小标宋简体" w:cs="方正小标宋简体"/>
          <w:b w:val="0"/>
          <w:color w:val="auto"/>
          <w:sz w:val="44"/>
          <w:szCs w:val="44"/>
          <w:highlight w:val="none"/>
          <w:lang w:val="en-US" w:eastAsia="zh-CN"/>
        </w:rPr>
        <w:t xml:space="preserve"> </w:t>
      </w:r>
      <w:r>
        <w:rPr>
          <w:rFonts w:hint="eastAsia" w:ascii="方正小标宋简体" w:hAnsi="方正小标宋简体" w:eastAsia="方正小标宋简体" w:cs="方正小标宋简体"/>
          <w:b w:val="0"/>
          <w:color w:val="auto"/>
          <w:sz w:val="44"/>
          <w:szCs w:val="44"/>
          <w:highlight w:val="none"/>
        </w:rPr>
        <w:t xml:space="preserve"> </w:t>
      </w:r>
      <w:r>
        <w:rPr>
          <w:rFonts w:hint="eastAsia" w:ascii="方正小标宋简体" w:hAnsi="方正小标宋简体" w:eastAsia="方正小标宋简体" w:cs="方正小标宋简体"/>
          <w:b w:val="0"/>
          <w:color w:val="auto"/>
          <w:sz w:val="44"/>
          <w:szCs w:val="44"/>
          <w:highlight w:val="none"/>
          <w:lang w:val="en-US" w:eastAsia="zh-CN"/>
        </w:rPr>
        <w:t>2024年度</w:t>
      </w:r>
      <w:r>
        <w:rPr>
          <w:rFonts w:hint="eastAsia" w:ascii="方正小标宋简体" w:hAnsi="方正小标宋简体" w:eastAsia="方正小标宋简体" w:cs="方正小标宋简体"/>
          <w:b w:val="0"/>
          <w:color w:val="auto"/>
          <w:sz w:val="44"/>
          <w:szCs w:val="44"/>
          <w:highlight w:val="none"/>
        </w:rPr>
        <w:t>部门决算情况说明</w:t>
      </w:r>
      <w:bookmarkEnd w:id="15"/>
      <w:bookmarkEnd w:id="16"/>
    </w:p>
    <w:p w14:paraId="3B233B32">
      <w:pPr>
        <w:rPr>
          <w:rFonts w:ascii="Times New Roman" w:hAnsi="Times New Roman"/>
          <w:color w:val="auto"/>
          <w:sz w:val="18"/>
          <w:szCs w:val="21"/>
          <w:highlight w:val="none"/>
        </w:rPr>
      </w:pPr>
    </w:p>
    <w:p w14:paraId="7BCCB0D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7" w:name="_Toc15377205"/>
      <w:bookmarkStart w:id="18" w:name="_Toc15396603"/>
      <w:r>
        <w:rPr>
          <w:rFonts w:hint="eastAsia" w:ascii="Times New Roman" w:hAnsi="Times New Roman" w:eastAsia="黑体" w:cstheme="majorBidi"/>
          <w:b/>
          <w:bCs w:val="0"/>
          <w:color w:val="auto"/>
          <w:kern w:val="2"/>
          <w:sz w:val="32"/>
          <w:szCs w:val="32"/>
          <w:lang w:val="en-US" w:eastAsia="zh-CN" w:bidi="ar-SA"/>
        </w:rPr>
        <w:t>一、收入支出决算总体情况说明</w:t>
      </w:r>
      <w:bookmarkEnd w:id="17"/>
      <w:bookmarkEnd w:id="18"/>
    </w:p>
    <w:p w14:paraId="5350E35D">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252.03</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lang w:val="en-US" w:eastAsia="zh-CN"/>
        </w:rPr>
        <w:t>251.17</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总计各增加</w:t>
      </w:r>
      <w:r>
        <w:rPr>
          <w:rFonts w:hint="eastAsia" w:ascii="仿宋_GB2312" w:hAnsi="仿宋_GB2312" w:eastAsia="仿宋_GB2312" w:cs="仿宋_GB2312"/>
          <w:color w:val="auto"/>
          <w:sz w:val="32"/>
          <w:szCs w:val="32"/>
          <w:highlight w:val="none"/>
          <w:lang w:val="en-US" w:eastAsia="zh-CN"/>
        </w:rPr>
        <w:t>0.56</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0.0022</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为工资调整。</w:t>
      </w:r>
    </w:p>
    <w:p w14:paraId="707E589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42545</wp:posOffset>
            </wp:positionH>
            <wp:positionV relativeFrom="paragraph">
              <wp:posOffset>26035</wp:posOffset>
            </wp:positionV>
            <wp:extent cx="5510530" cy="1461135"/>
            <wp:effectExtent l="4445" t="4445" r="9525" b="2032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4E72ADB6">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9" w:name="_Toc15377206"/>
      <w:bookmarkStart w:id="20" w:name="_Toc15396604"/>
      <w:r>
        <w:rPr>
          <w:rFonts w:hint="eastAsia" w:ascii="Times New Roman" w:hAnsi="Times New Roman" w:eastAsia="黑体" w:cstheme="majorBidi"/>
          <w:b/>
          <w:bCs w:val="0"/>
          <w:color w:val="auto"/>
          <w:kern w:val="2"/>
          <w:sz w:val="32"/>
          <w:szCs w:val="32"/>
          <w:lang w:val="en-US" w:eastAsia="zh-CN" w:bidi="ar-SA"/>
        </w:rPr>
        <w:t>二、收入决算情况说明</w:t>
      </w:r>
      <w:bookmarkEnd w:id="19"/>
      <w:bookmarkEnd w:id="20"/>
    </w:p>
    <w:p w14:paraId="2EDB8FDE">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252.03万元，其中：一般公共预算财政拨款收入252.03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4F228393">
      <w:pPr>
        <w:pageBreakBefore w:val="0"/>
        <w:widowControl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22860</wp:posOffset>
            </wp:positionH>
            <wp:positionV relativeFrom="paragraph">
              <wp:posOffset>57785</wp:posOffset>
            </wp:positionV>
            <wp:extent cx="5208905" cy="1468755"/>
            <wp:effectExtent l="4445" t="4445" r="6350" b="1270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14:paraId="0F431BD4">
      <w:pPr>
        <w:pageBreakBefore w:val="0"/>
        <w:widowControl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p>
    <w:p w14:paraId="7FC5921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21" w:name="_Toc15396605"/>
      <w:bookmarkStart w:id="22" w:name="_Toc15377207"/>
      <w:r>
        <w:rPr>
          <w:rFonts w:hint="eastAsia" w:ascii="Times New Roman" w:hAnsi="Times New Roman" w:eastAsia="黑体" w:cstheme="majorBidi"/>
          <w:b/>
          <w:bCs w:val="0"/>
          <w:color w:val="auto"/>
          <w:kern w:val="2"/>
          <w:sz w:val="32"/>
          <w:szCs w:val="32"/>
          <w:lang w:val="en-US" w:eastAsia="zh-CN" w:bidi="ar-SA"/>
        </w:rPr>
        <w:t>三、支出决算情况说明</w:t>
      </w:r>
      <w:bookmarkEnd w:id="21"/>
      <w:bookmarkEnd w:id="22"/>
    </w:p>
    <w:p w14:paraId="33ABC363">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252.03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228.25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90.56</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23.78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9.43</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57C7420C">
      <w:pPr>
        <w:pageBreakBefore w:val="0"/>
        <w:widowControl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-41910</wp:posOffset>
            </wp:positionH>
            <wp:positionV relativeFrom="paragraph">
              <wp:posOffset>237490</wp:posOffset>
            </wp:positionV>
            <wp:extent cx="5346065" cy="1622425"/>
            <wp:effectExtent l="4445" t="4445" r="21590" b="1143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4BB9453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23" w:name="_Toc15396606"/>
      <w:bookmarkStart w:id="24" w:name="_Toc15377208"/>
      <w:r>
        <w:rPr>
          <w:rFonts w:hint="eastAsia" w:ascii="Times New Roman" w:hAnsi="Times New Roman" w:eastAsia="黑体" w:cstheme="majorBidi"/>
          <w:b/>
          <w:bCs w:val="0"/>
          <w:color w:val="auto"/>
          <w:kern w:val="2"/>
          <w:sz w:val="32"/>
          <w:szCs w:val="32"/>
          <w:lang w:val="en-US" w:eastAsia="zh-CN" w:bidi="ar-SA"/>
        </w:rPr>
        <w:t>四、财政拨款收入支出决算总体情况说明</w:t>
      </w:r>
      <w:bookmarkEnd w:id="23"/>
      <w:bookmarkEnd w:id="24"/>
    </w:p>
    <w:p w14:paraId="28561284">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252.03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7.06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0.028</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工资调整。</w:t>
      </w:r>
    </w:p>
    <w:p w14:paraId="5FCAE94C">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-105410</wp:posOffset>
            </wp:positionH>
            <wp:positionV relativeFrom="paragraph">
              <wp:posOffset>116840</wp:posOffset>
            </wp:positionV>
            <wp:extent cx="5867400" cy="1827530"/>
            <wp:effectExtent l="4445" t="5080" r="14605" b="1524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147CE7BB">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25" w:name="_Toc15377209"/>
      <w:bookmarkStart w:id="26" w:name="_Toc15396607"/>
      <w:r>
        <w:rPr>
          <w:rFonts w:hint="eastAsia" w:ascii="Times New Roman" w:hAnsi="Times New Roman" w:eastAsia="黑体" w:cstheme="majorBidi"/>
          <w:b/>
          <w:bCs w:val="0"/>
          <w:color w:val="auto"/>
          <w:kern w:val="2"/>
          <w:sz w:val="32"/>
          <w:szCs w:val="32"/>
          <w:lang w:val="en-US" w:eastAsia="zh-CN" w:bidi="ar-SA"/>
        </w:rPr>
        <w:t>五、一般公共预算财政拨款支出决算情况说明</w:t>
      </w:r>
      <w:bookmarkEnd w:id="25"/>
      <w:bookmarkEnd w:id="26"/>
    </w:p>
    <w:p w14:paraId="3AEC73D4">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7"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7"/>
    </w:p>
    <w:p w14:paraId="3E958691">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252.03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%。与2023年度244.97相比，一般公共预算财政拨款支出增加7.06万元，增长0.028%。主要变动原因是</w:t>
      </w:r>
      <w:r>
        <w:rPr>
          <w:rFonts w:hint="eastAsia" w:eastAsia="仿宋_GB2312" w:cs="仿宋_GB2312"/>
          <w:color w:val="auto"/>
          <w:kern w:val="2"/>
          <w:sz w:val="32"/>
          <w:szCs w:val="32"/>
          <w:highlight w:val="none"/>
          <w:lang w:val="en-US" w:eastAsia="zh-CN" w:bidi="ar-SA"/>
        </w:rPr>
        <w:t>工资调整。</w:t>
      </w:r>
    </w:p>
    <w:p w14:paraId="741AC48B">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-107950</wp:posOffset>
            </wp:positionH>
            <wp:positionV relativeFrom="paragraph">
              <wp:posOffset>207645</wp:posOffset>
            </wp:positionV>
            <wp:extent cx="5807710" cy="2298700"/>
            <wp:effectExtent l="4445" t="4445" r="17145" b="2095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bookmarkStart w:id="28" w:name="_Toc15377211"/>
    </w:p>
    <w:p w14:paraId="40F42638">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8"/>
    </w:p>
    <w:p w14:paraId="4B4FA175">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252.03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一般公共服务支出**万元，占**%；科学技术支出**万元，占**%；文化旅游体育与传媒支出**万元，占**%；社会保障和就业支出</w:t>
      </w:r>
      <w:r>
        <w:rPr>
          <w:rFonts w:hint="eastAsia" w:eastAsia="仿宋_GB2312" w:cs="仿宋_GB2312"/>
          <w:color w:val="auto"/>
          <w:kern w:val="2"/>
          <w:sz w:val="32"/>
          <w:szCs w:val="32"/>
          <w:highlight w:val="none"/>
          <w:lang w:val="en-US" w:eastAsia="zh-CN" w:bidi="ar-SA"/>
        </w:rPr>
        <w:t>28.24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11.22</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206.59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81.97</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17.2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7EADC13C">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3DECCC5F">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5408" behindDoc="0" locked="0" layoutInCell="1" allowOverlap="1">
            <wp:simplePos x="0" y="0"/>
            <wp:positionH relativeFrom="column">
              <wp:posOffset>-302260</wp:posOffset>
            </wp:positionH>
            <wp:positionV relativeFrom="paragraph">
              <wp:posOffset>124460</wp:posOffset>
            </wp:positionV>
            <wp:extent cx="6013450" cy="1991995"/>
            <wp:effectExtent l="4445" t="5080" r="20955" b="2222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480DCC9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9"/>
    </w:p>
    <w:p w14:paraId="5342AB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0" w:name="_Toc15377213"/>
      <w:bookmarkStart w:id="31" w:name="_Toc15378460"/>
      <w:bookmarkStart w:id="32"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252.03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0"/>
      <w:bookmarkEnd w:id="31"/>
      <w:bookmarkEnd w:id="32"/>
    </w:p>
    <w:p w14:paraId="435B4F48">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1.社会保障和就业支出（208）行政事业单位养老支出（05）机关事业单位基本养老保险缴费支出（05）:支出决算</w:t>
      </w:r>
      <w:r>
        <w:rPr>
          <w:rFonts w:hint="eastAsia" w:ascii="仿宋" w:hAnsi="仿宋" w:eastAsia="仿宋" w:cs="仿宋"/>
          <w:color w:val="000000"/>
          <w:sz w:val="32"/>
          <w:szCs w:val="32"/>
          <w:lang w:val="en-US" w:eastAsia="zh-CN"/>
        </w:rPr>
        <w:t>18.83</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2.社会保障和就业支出（208）行政事业单位养老支出（05）机关事业单位职业年金缴费支出（06）:支出决算</w:t>
      </w:r>
      <w:r>
        <w:rPr>
          <w:rFonts w:hint="eastAsia" w:ascii="仿宋" w:hAnsi="仿宋" w:eastAsia="仿宋" w:cs="仿宋"/>
          <w:color w:val="000000"/>
          <w:sz w:val="32"/>
          <w:szCs w:val="32"/>
          <w:lang w:val="en-US" w:eastAsia="zh-CN"/>
        </w:rPr>
        <w:t>9.41</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3.</w:t>
      </w:r>
      <w:r>
        <w:rPr>
          <w:rFonts w:hint="eastAsia" w:ascii="仿宋" w:hAnsi="仿宋" w:eastAsia="仿宋" w:cs="仿宋"/>
          <w:color w:val="000000"/>
          <w:sz w:val="32"/>
          <w:szCs w:val="32"/>
        </w:rPr>
        <w:t>卫生健康支出（210）公共卫生（0</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基层医疗机构卫生</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）:支出决算</w:t>
      </w:r>
      <w:r>
        <w:rPr>
          <w:rFonts w:hint="eastAsia" w:ascii="仿宋" w:hAnsi="仿宋" w:eastAsia="仿宋" w:cs="仿宋"/>
          <w:color w:val="000000"/>
          <w:sz w:val="32"/>
          <w:szCs w:val="32"/>
          <w:lang w:val="en-US" w:eastAsia="zh-CN"/>
        </w:rPr>
        <w:t>179.2</w:t>
      </w:r>
      <w:r>
        <w:rPr>
          <w:rFonts w:hint="eastAsia" w:ascii="仿宋" w:hAnsi="仿宋" w:eastAsia="仿宋" w:cs="仿宋"/>
          <w:color w:val="000000"/>
          <w:sz w:val="32"/>
          <w:szCs w:val="32"/>
        </w:rPr>
        <w:t>万元，完成预算100%。</w:t>
      </w:r>
    </w:p>
    <w:p w14:paraId="6908EBDB">
      <w:pPr>
        <w:spacing w:line="600" w:lineRule="exact"/>
        <w:ind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仿宋" w:hAnsi="仿宋" w:eastAsia="仿宋" w:cs="仿宋"/>
          <w:color w:val="000000"/>
          <w:sz w:val="32"/>
          <w:szCs w:val="32"/>
        </w:rPr>
        <w:t>卫生健康支出（210）其他卫生健康支出（</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）其他卫生健康支出（99）:支出决算</w:t>
      </w:r>
      <w:r>
        <w:rPr>
          <w:rFonts w:hint="eastAsia" w:ascii="仿宋" w:hAnsi="仿宋" w:eastAsia="仿宋" w:cs="仿宋"/>
          <w:color w:val="000000"/>
          <w:sz w:val="32"/>
          <w:szCs w:val="32"/>
          <w:lang w:val="en-US" w:eastAsia="zh-CN"/>
        </w:rPr>
        <w:t>11.14</w:t>
      </w:r>
      <w:r>
        <w:rPr>
          <w:rFonts w:hint="eastAsia" w:ascii="仿宋" w:hAnsi="仿宋" w:eastAsia="仿宋" w:cs="仿宋"/>
          <w:color w:val="000000"/>
          <w:sz w:val="32"/>
          <w:szCs w:val="32"/>
        </w:rPr>
        <w:t>万元，完成预算100%。</w:t>
      </w:r>
    </w:p>
    <w:p w14:paraId="774645E4">
      <w:pPr>
        <w:spacing w:line="600" w:lineRule="exact"/>
        <w:ind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仿宋" w:hAnsi="仿宋" w:eastAsia="仿宋" w:cs="仿宋"/>
          <w:color w:val="000000"/>
          <w:sz w:val="32"/>
          <w:szCs w:val="32"/>
        </w:rPr>
        <w:t>卫生健康支出（210）公共卫生（0</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）基本公共卫生服务（0</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）:支出决算</w:t>
      </w:r>
      <w:r>
        <w:rPr>
          <w:rFonts w:hint="eastAsia" w:ascii="仿宋" w:hAnsi="仿宋" w:eastAsia="仿宋" w:cs="仿宋"/>
          <w:color w:val="000000"/>
          <w:sz w:val="32"/>
          <w:szCs w:val="32"/>
          <w:lang w:val="en-US" w:eastAsia="zh-CN"/>
        </w:rPr>
        <w:t>1.17</w:t>
      </w:r>
      <w:r>
        <w:rPr>
          <w:rFonts w:hint="eastAsia" w:ascii="仿宋" w:hAnsi="仿宋" w:eastAsia="仿宋" w:cs="仿宋"/>
          <w:color w:val="000000"/>
          <w:sz w:val="32"/>
          <w:szCs w:val="32"/>
        </w:rPr>
        <w:t>万元，完成预算100%。</w:t>
      </w:r>
    </w:p>
    <w:p w14:paraId="0731FB95">
      <w:pPr>
        <w:spacing w:line="600" w:lineRule="exact"/>
        <w:ind w:firstLine="640"/>
        <w:rPr>
          <w:rFonts w:hint="eastAsia" w:ascii="仿宋" w:hAnsi="仿宋" w:eastAsia="仿宋" w:cs="仿宋"/>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6.</w:t>
      </w:r>
      <w:r>
        <w:rPr>
          <w:rFonts w:hint="eastAsia" w:ascii="仿宋" w:hAnsi="仿宋" w:eastAsia="仿宋" w:cs="仿宋"/>
          <w:color w:val="000000"/>
          <w:sz w:val="32"/>
          <w:szCs w:val="32"/>
        </w:rPr>
        <w:t>卫生健康支出（210）行政事业单位医疗（11）事业单位医疗（02）:支出决算</w:t>
      </w:r>
      <w:r>
        <w:rPr>
          <w:rFonts w:hint="eastAsia" w:ascii="仿宋" w:hAnsi="仿宋" w:eastAsia="仿宋" w:cs="仿宋"/>
          <w:color w:val="000000"/>
          <w:sz w:val="32"/>
          <w:szCs w:val="32"/>
          <w:lang w:val="en-US" w:eastAsia="zh-CN"/>
        </w:rPr>
        <w:t>10.42</w:t>
      </w:r>
      <w:r>
        <w:rPr>
          <w:rFonts w:hint="eastAsia" w:ascii="仿宋" w:hAnsi="仿宋" w:eastAsia="仿宋" w:cs="仿宋"/>
          <w:color w:val="000000"/>
          <w:sz w:val="32"/>
          <w:szCs w:val="32"/>
        </w:rPr>
        <w:t>万元，完成预算100%。</w:t>
      </w:r>
    </w:p>
    <w:p w14:paraId="34EC006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7.卫生健康支出（210）其他卫生健康支出（</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）其他卫生健康支出（99）:支出决算</w:t>
      </w:r>
      <w:r>
        <w:rPr>
          <w:rFonts w:hint="eastAsia" w:ascii="仿宋" w:hAnsi="仿宋" w:eastAsia="仿宋" w:cs="仿宋"/>
          <w:color w:val="000000"/>
          <w:sz w:val="32"/>
          <w:szCs w:val="32"/>
          <w:lang w:val="en-US" w:eastAsia="zh-CN"/>
        </w:rPr>
        <w:t>4.66</w:t>
      </w:r>
      <w:r>
        <w:rPr>
          <w:rFonts w:hint="eastAsia" w:ascii="仿宋" w:hAnsi="仿宋" w:eastAsia="仿宋" w:cs="仿宋"/>
          <w:color w:val="000000"/>
          <w:sz w:val="32"/>
          <w:szCs w:val="32"/>
        </w:rPr>
        <w:t>万元，完成预算100%。</w:t>
      </w:r>
    </w:p>
    <w:p w14:paraId="3327A89E">
      <w:pPr>
        <w:pStyle w:val="2"/>
        <w:ind w:left="0" w:leftChars="0" w:firstLine="320" w:firstLineChars="1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住房保障支出（221）住房改革支出（02）住房公积金（01）:支出决算</w:t>
      </w:r>
      <w:r>
        <w:rPr>
          <w:rFonts w:hint="eastAsia" w:ascii="仿宋" w:hAnsi="仿宋" w:eastAsia="仿宋" w:cs="仿宋"/>
          <w:color w:val="000000"/>
          <w:sz w:val="32"/>
          <w:szCs w:val="32"/>
          <w:lang w:val="en-US" w:eastAsia="zh-CN"/>
        </w:rPr>
        <w:t>12.7</w:t>
      </w:r>
      <w:r>
        <w:rPr>
          <w:rFonts w:hint="eastAsia" w:ascii="仿宋" w:hAnsi="仿宋" w:eastAsia="仿宋" w:cs="仿宋"/>
          <w:color w:val="000000"/>
          <w:sz w:val="32"/>
          <w:szCs w:val="32"/>
        </w:rPr>
        <w:t>万元，完成预算100%。</w:t>
      </w:r>
    </w:p>
    <w:p w14:paraId="47E570E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6884EF0A">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3" w:name="_Toc15377214"/>
      <w:bookmarkStart w:id="34" w:name="_Toc15396608"/>
      <w:r>
        <w:rPr>
          <w:rFonts w:hint="eastAsia" w:ascii="Times New Roman" w:hAnsi="Times New Roman" w:eastAsia="黑体" w:cstheme="majorBidi"/>
          <w:b/>
          <w:bCs w:val="0"/>
          <w:color w:val="auto"/>
          <w:kern w:val="2"/>
          <w:sz w:val="32"/>
          <w:szCs w:val="32"/>
          <w:lang w:val="en-US" w:eastAsia="zh-CN" w:bidi="ar-SA"/>
        </w:rPr>
        <w:t>六、一般公共预算财政拨款基本支出决算情况说明</w:t>
      </w:r>
      <w:bookmarkEnd w:id="33"/>
      <w:bookmarkEnd w:id="34"/>
      <w:r>
        <w:rPr>
          <w:rFonts w:hint="eastAsia" w:ascii="Times New Roman" w:hAnsi="Times New Roman" w:eastAsia="黑体" w:cstheme="majorBidi"/>
          <w:b/>
          <w:bCs w:val="0"/>
          <w:color w:val="auto"/>
          <w:kern w:val="2"/>
          <w:sz w:val="32"/>
          <w:szCs w:val="32"/>
          <w:lang w:val="en-US" w:eastAsia="zh-CN" w:bidi="ar-SA"/>
        </w:rPr>
        <w:tab/>
      </w:r>
    </w:p>
    <w:p w14:paraId="5AD942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228.25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429623C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226.46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元，工会经费</w:t>
      </w:r>
      <w:r>
        <w:rPr>
          <w:rFonts w:hint="eastAsia" w:eastAsia="仿宋_GB2312" w:cs="仿宋_GB2312"/>
          <w:color w:val="auto"/>
          <w:kern w:val="2"/>
          <w:sz w:val="32"/>
          <w:szCs w:val="32"/>
          <w:highlight w:val="none"/>
          <w:lang w:val="en-US" w:eastAsia="zh-CN" w:bidi="ar-SA"/>
        </w:rPr>
        <w:t>1.79万元</w:t>
      </w:r>
      <w:r>
        <w:rPr>
          <w:rFonts w:hint="eastAsia" w:ascii="Times New Roman" w:hAnsi="Times New Roman" w:eastAsia="仿宋_GB2312" w:cs="仿宋_GB2312"/>
          <w:color w:val="auto"/>
          <w:kern w:val="2"/>
          <w:sz w:val="32"/>
          <w:szCs w:val="32"/>
          <w:highlight w:val="none"/>
          <w:lang w:val="en-US" w:eastAsia="zh-CN" w:bidi="ar-SA"/>
        </w:rPr>
        <w:t>。</w:t>
      </w:r>
    </w:p>
    <w:p w14:paraId="15A0F5D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0BB71455">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5" w:name="_Toc15377215"/>
      <w:bookmarkStart w:id="36" w:name="_Toc15396609"/>
      <w:r>
        <w:rPr>
          <w:rFonts w:hint="eastAsia" w:ascii="Times New Roman" w:hAnsi="Times New Roman" w:eastAsia="黑体" w:cstheme="majorBidi"/>
          <w:b/>
          <w:bCs w:val="0"/>
          <w:color w:val="auto"/>
          <w:kern w:val="2"/>
          <w:sz w:val="32"/>
          <w:szCs w:val="32"/>
          <w:lang w:val="en-US" w:eastAsia="zh-CN" w:bidi="ar-SA"/>
        </w:rPr>
        <w:t>七、财政拨款“三公”经费支出决算情况说明</w:t>
      </w:r>
      <w:bookmarkEnd w:id="35"/>
      <w:bookmarkEnd w:id="36"/>
    </w:p>
    <w:p w14:paraId="6882EAA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7"/>
    </w:p>
    <w:p w14:paraId="10F0A1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3.06</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3.06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%。决算数小于预算数（或与预算数持平）的主要原因是</w:t>
      </w:r>
      <w:r>
        <w:rPr>
          <w:rFonts w:hint="eastAsia" w:eastAsia="仿宋_GB2312" w:cs="仿宋_GB2312"/>
          <w:color w:val="auto"/>
          <w:kern w:val="2"/>
          <w:sz w:val="32"/>
          <w:szCs w:val="32"/>
          <w:highlight w:val="none"/>
          <w:lang w:val="en-US" w:eastAsia="zh-CN" w:bidi="ar-SA"/>
        </w:rPr>
        <w:t>公务用车运行维护费。</w:t>
      </w:r>
    </w:p>
    <w:p w14:paraId="280DB262">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3DC122A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8"/>
    </w:p>
    <w:p w14:paraId="53BCB9B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hAnsi="仿宋_GB2312" w:eastAsia="仿宋_GB2312" w:cs="仿宋_GB2312"/>
          <w:sz w:val="32"/>
          <w:szCs w:val="32"/>
        </w:rPr>
        <w:t>3.06</w:t>
      </w:r>
      <w:r>
        <w:rPr>
          <w:rFonts w:hint="eastAsia" w:ascii="仿宋_GB2312" w:hAnsi="仿宋_GB2312" w:eastAsia="仿宋_GB2312" w:cs="仿宋_GB2312"/>
          <w:color w:val="auto"/>
          <w:kern w:val="2"/>
          <w:sz w:val="32"/>
          <w:szCs w:val="32"/>
          <w:highlight w:val="none"/>
          <w:lang w:val="en-US" w:eastAsia="zh-CN" w:bidi="ar-SA"/>
        </w:rPr>
        <w:t>万元，占**%；公务接待费支出决算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万元，占**%。具体情况如下：</w:t>
      </w:r>
    </w:p>
    <w:p w14:paraId="0D7BF4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1B29FA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14:paraId="3C9F9F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14:paraId="172B249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3.06万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3.56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23年县级配套资金未发生</w:t>
      </w:r>
      <w:r>
        <w:rPr>
          <w:rFonts w:hint="eastAsia" w:ascii="Times New Roman" w:hAnsi="Times New Roman" w:eastAsia="仿宋_GB2312" w:cs="仿宋_GB2312"/>
          <w:color w:val="auto"/>
          <w:kern w:val="2"/>
          <w:sz w:val="32"/>
          <w:szCs w:val="32"/>
          <w:highlight w:val="none"/>
          <w:lang w:val="en-US" w:eastAsia="zh-CN" w:bidi="ar-SA"/>
        </w:rPr>
        <w:t>公务用车购置及运行维护费。其中：公务用车购置支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辆，其中：轿车**辆、越野车**辆、载客汽车**辆。</w:t>
      </w:r>
    </w:p>
    <w:p w14:paraId="17ADF5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3.06</w:t>
      </w:r>
      <w:r>
        <w:rPr>
          <w:rFonts w:hint="eastAsia" w:ascii="Times New Roman" w:hAnsi="Times New Roman" w:eastAsia="仿宋_GB2312" w:cs="仿宋_GB2312"/>
          <w:color w:val="auto"/>
          <w:kern w:val="2"/>
          <w:sz w:val="32"/>
          <w:szCs w:val="32"/>
          <w:highlight w:val="none"/>
          <w:lang w:val="en-US" w:eastAsia="zh-CN" w:bidi="ar-SA"/>
        </w:rPr>
        <w:t>万元。主要用于主要用于</w:t>
      </w:r>
      <w:r>
        <w:rPr>
          <w:rFonts w:hint="eastAsia" w:eastAsia="仿宋_GB2312" w:cs="仿宋_GB2312"/>
          <w:color w:val="auto"/>
          <w:kern w:val="2"/>
          <w:sz w:val="32"/>
          <w:szCs w:val="32"/>
          <w:highlight w:val="none"/>
          <w:lang w:val="en-US" w:eastAsia="zh-CN" w:bidi="ar-SA"/>
        </w:rPr>
        <w:t>购买救护车保险及救护车维修维护，下村燃油费。</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4F48B9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公务接待费支出决算比2023年度增加/减少**万元，增长/下降**%。主要原因是……。其中：</w:t>
      </w:r>
    </w:p>
    <w:p w14:paraId="454A23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14:paraId="1933CED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bookmarkStart w:id="39" w:name="_Toc15396610"/>
      <w:bookmarkStart w:id="40" w:name="_Toc15377218"/>
    </w:p>
    <w:p w14:paraId="5417E8C8">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八、政府性基金预算支出决算情况说明</w:t>
      </w:r>
      <w:bookmarkEnd w:id="39"/>
      <w:bookmarkEnd w:id="40"/>
    </w:p>
    <w:p w14:paraId="11F03A22">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75EADF6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B90012D">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41" w:name="_Toc15377219"/>
      <w:bookmarkStart w:id="42" w:name="_Toc15396611"/>
      <w:r>
        <w:rPr>
          <w:rFonts w:hint="eastAsia" w:ascii="Times New Roman" w:hAnsi="Times New Roman" w:eastAsia="黑体" w:cstheme="majorBidi"/>
          <w:b/>
          <w:bCs w:val="0"/>
          <w:color w:val="auto"/>
          <w:kern w:val="2"/>
          <w:sz w:val="32"/>
          <w:szCs w:val="32"/>
          <w:lang w:val="en-US" w:eastAsia="zh-CN" w:bidi="ar-SA"/>
        </w:rPr>
        <w:t>九、国有资本经营预算支出决算情况说明</w:t>
      </w:r>
      <w:bookmarkEnd w:id="41"/>
      <w:bookmarkEnd w:id="42"/>
    </w:p>
    <w:p w14:paraId="2A5DBF6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5ED72A7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43" w:name="_Toc15377221"/>
      <w:bookmarkStart w:id="44" w:name="_Toc15396612"/>
      <w:r>
        <w:rPr>
          <w:rFonts w:hint="eastAsia" w:ascii="Times New Roman" w:hAnsi="Times New Roman" w:eastAsia="黑体" w:cstheme="majorBidi"/>
          <w:b/>
          <w:bCs w:val="0"/>
          <w:color w:val="auto"/>
          <w:kern w:val="2"/>
          <w:sz w:val="32"/>
          <w:szCs w:val="32"/>
          <w:lang w:val="en-US" w:eastAsia="zh-CN" w:bidi="ar-SA"/>
        </w:rPr>
        <w:t>十、其他重要事项的情况说明</w:t>
      </w:r>
      <w:bookmarkEnd w:id="43"/>
      <w:bookmarkEnd w:id="44"/>
    </w:p>
    <w:p w14:paraId="3C6454E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22"/>
      <w:r>
        <w:rPr>
          <w:rFonts w:hint="eastAsia" w:ascii="Times New Roman" w:hAnsi="Times New Roman" w:eastAsia="楷体_GB2312" w:cs="楷体_GB2312"/>
          <w:b/>
          <w:color w:val="auto"/>
          <w:sz w:val="32"/>
          <w:szCs w:val="32"/>
          <w:highlight w:val="none"/>
        </w:rPr>
        <w:t>（一）机关运行经费支出情况</w:t>
      </w:r>
      <w:bookmarkEnd w:id="45"/>
    </w:p>
    <w:p w14:paraId="29A1B7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红原县刷经寺镇中心卫生院</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元，比2023年度增加/减少**万元，增长/下降**%（或与2023年度决算数持平）。</w:t>
      </w:r>
    </w:p>
    <w:p w14:paraId="5A9A2C0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3"/>
      <w:r>
        <w:rPr>
          <w:rFonts w:hint="eastAsia" w:ascii="Times New Roman" w:hAnsi="Times New Roman" w:eastAsia="楷体_GB2312" w:cs="楷体_GB2312"/>
          <w:b/>
          <w:color w:val="auto"/>
          <w:sz w:val="32"/>
          <w:szCs w:val="32"/>
          <w:highlight w:val="none"/>
        </w:rPr>
        <w:t>（二）政府采购支出情况</w:t>
      </w:r>
      <w:bookmarkEnd w:id="46"/>
    </w:p>
    <w:p w14:paraId="1C927C4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红原县刷经寺镇中心卫生院</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6CEC4CF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4"/>
      <w:r>
        <w:rPr>
          <w:rFonts w:hint="eastAsia" w:ascii="Times New Roman" w:hAnsi="Times New Roman" w:eastAsia="楷体_GB2312" w:cs="楷体_GB2312"/>
          <w:b/>
          <w:color w:val="auto"/>
          <w:sz w:val="32"/>
          <w:szCs w:val="32"/>
          <w:highlight w:val="none"/>
        </w:rPr>
        <w:t>（三）国有资产占有使用情况</w:t>
      </w:r>
      <w:bookmarkEnd w:id="47"/>
    </w:p>
    <w:p w14:paraId="421888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红原县刷经寺镇中心卫生院</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辆，其他用车主要是用于卫生医疗、急救等。单价100万元（含）以上设备（不含车辆）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4620FFF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CAAADEC">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项目（项目</w:t>
      </w:r>
      <w:r>
        <w:rPr>
          <w:rFonts w:hint="eastAsia" w:ascii="仿宋_GB2312" w:hAnsi="仿宋_GB2312" w:eastAsia="仿宋_GB2312" w:cs="仿宋_GB2312"/>
          <w:sz w:val="32"/>
          <w:szCs w:val="32"/>
          <w:lang w:eastAsia="zh-CN"/>
        </w:rPr>
        <w:t>：基本公共卫生及基本药物补助</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644A1D92">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整体支出开展绩效自评，从评价情况来看</w:t>
      </w:r>
      <w:r>
        <w:rPr>
          <w:rFonts w:hint="eastAsia" w:ascii="仿宋_GB2312" w:hAnsi="仿宋_GB2312" w:eastAsia="仿宋_GB2312" w:cs="仿宋_GB2312"/>
          <w:sz w:val="32"/>
          <w:szCs w:val="32"/>
          <w:lang w:eastAsia="zh-CN"/>
        </w:rPr>
        <w:t>该项目完成情况良好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个项目支出绩效评价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协助开展突发公共卫生事件应急调查和处置工作，承担区域内公共卫生相关信息的收集和报告</w:t>
      </w:r>
      <w:r>
        <w:rPr>
          <w:rFonts w:hint="eastAsia" w:ascii="仿宋_GB2312" w:hAnsi="仿宋_GB2312" w:eastAsia="仿宋_GB2312" w:cs="仿宋_GB2312"/>
          <w:sz w:val="32"/>
          <w:szCs w:val="32"/>
        </w:rPr>
        <w:t>）。</w:t>
      </w:r>
    </w:p>
    <w:p w14:paraId="1102FC5D">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3467F539">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2E1A8DF3">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153C2B93">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2A7AC54E">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2200168D">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681205BF">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4BE33F67">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2E386865">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185E9FA6">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5A68D6D3">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06F560E3">
      <w:pPr>
        <w:numPr>
          <w:ilvl w:val="0"/>
          <w:numId w:val="0"/>
        </w:numPr>
        <w:ind w:firstLine="640" w:firstLineChars="200"/>
        <w:rPr>
          <w:rFonts w:hint="eastAsia" w:asciiTheme="minorEastAsia" w:hAnsiTheme="minorEastAsia" w:eastAsiaTheme="minorEastAsia" w:cstheme="minorEastAsia"/>
          <w:kern w:val="2"/>
          <w:sz w:val="32"/>
          <w:szCs w:val="32"/>
          <w:lang w:val="en-US" w:eastAsia="zh-CN" w:bidi="ar-SA"/>
        </w:rPr>
      </w:pPr>
    </w:p>
    <w:p w14:paraId="4AF77D34">
      <w:pPr>
        <w:numPr>
          <w:ilvl w:val="0"/>
          <w:numId w:val="0"/>
        </w:numPr>
        <w:ind w:firstLine="643"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bCs/>
          <w:sz w:val="32"/>
          <w:szCs w:val="32"/>
        </w:rPr>
        <w:t>项目绩效目标完成情况</w:t>
      </w:r>
    </w:p>
    <w:tbl>
      <w:tblPr>
        <w:tblStyle w:val="17"/>
        <w:tblW w:w="89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15" w:type="dxa"/>
          <w:left w:w="15" w:type="dxa"/>
          <w:bottom w:w="15" w:type="dxa"/>
          <w:right w:w="15" w:type="dxa"/>
        </w:tblCellMar>
      </w:tblPr>
      <w:tblGrid>
        <w:gridCol w:w="777"/>
        <w:gridCol w:w="1661"/>
        <w:gridCol w:w="1271"/>
        <w:gridCol w:w="1914"/>
        <w:gridCol w:w="697"/>
        <w:gridCol w:w="1104"/>
        <w:gridCol w:w="936"/>
        <w:gridCol w:w="620"/>
      </w:tblGrid>
      <w:tr w14:paraId="521479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15" w:type="dxa"/>
            <w:left w:w="15" w:type="dxa"/>
            <w:bottom w:w="15" w:type="dxa"/>
            <w:right w:w="15" w:type="dxa"/>
          </w:tblCellMar>
        </w:tblPrEx>
        <w:trPr>
          <w:trHeight w:val="771" w:hRule="atLeast"/>
          <w:jc w:val="center"/>
        </w:trPr>
        <w:tc>
          <w:tcPr>
            <w:tcW w:w="8980" w:type="dxa"/>
            <w:gridSpan w:val="8"/>
            <w:tcBorders>
              <w:tl2br w:val="nil"/>
              <w:tr2bl w:val="nil"/>
            </w:tcBorders>
            <w:shd w:val="clear" w:color="auto" w:fill="auto"/>
            <w:vAlign w:val="center"/>
          </w:tcPr>
          <w:p w14:paraId="2B92DDB3">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方正小标宋简体" w:hAnsi="方正小标宋简体" w:eastAsia="方正小标宋简体" w:cs="方正小标宋简体"/>
                <w:b w:val="0"/>
                <w:bCs/>
                <w:i w:val="0"/>
                <w:color w:val="000000"/>
                <w:kern w:val="0"/>
                <w:sz w:val="40"/>
                <w:szCs w:val="40"/>
                <w:u w:val="none"/>
                <w:lang w:val="en-US" w:eastAsia="zh-CN" w:bidi="ar"/>
              </w:rPr>
              <w:t>年度绩效目标表</w:t>
            </w:r>
          </w:p>
        </w:tc>
      </w:tr>
      <w:tr w14:paraId="14480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1136" w:hRule="atLeast"/>
          <w:jc w:val="center"/>
        </w:trPr>
        <w:tc>
          <w:tcPr>
            <w:tcW w:w="777" w:type="dxa"/>
            <w:tcBorders>
              <w:tl2br w:val="nil"/>
              <w:tr2bl w:val="nil"/>
            </w:tcBorders>
            <w:shd w:val="clear" w:color="auto" w:fill="auto"/>
            <w:vAlign w:val="center"/>
          </w:tcPr>
          <w:p w14:paraId="48792AA6">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单位</w:t>
            </w:r>
          </w:p>
          <w:p w14:paraId="5A1DB50B">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w:t>
            </w:r>
          </w:p>
        </w:tc>
        <w:tc>
          <w:tcPr>
            <w:tcW w:w="1661" w:type="dxa"/>
            <w:tcBorders>
              <w:tl2br w:val="nil"/>
              <w:tr2bl w:val="nil"/>
            </w:tcBorders>
            <w:shd w:val="clear" w:color="auto" w:fill="auto"/>
            <w:vAlign w:val="center"/>
          </w:tcPr>
          <w:p w14:paraId="1AA7A7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122008-红原县刷经寺镇卫生院</w:t>
            </w:r>
          </w:p>
        </w:tc>
        <w:tc>
          <w:tcPr>
            <w:tcW w:w="1271" w:type="dxa"/>
            <w:tcBorders>
              <w:tl2br w:val="nil"/>
              <w:tr2bl w:val="nil"/>
            </w:tcBorders>
            <w:shd w:val="clear" w:color="auto" w:fill="auto"/>
            <w:vAlign w:val="center"/>
          </w:tcPr>
          <w:p w14:paraId="24504D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预算项目：</w:t>
            </w:r>
          </w:p>
        </w:tc>
        <w:tc>
          <w:tcPr>
            <w:tcW w:w="2611" w:type="dxa"/>
            <w:gridSpan w:val="2"/>
            <w:tcBorders>
              <w:tl2br w:val="nil"/>
              <w:tr2bl w:val="nil"/>
            </w:tcBorders>
            <w:shd w:val="clear" w:color="auto" w:fill="auto"/>
            <w:vAlign w:val="center"/>
          </w:tcPr>
          <w:p w14:paraId="79F316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51323325T000012954971-县级配套基本公共卫生</w:t>
            </w:r>
          </w:p>
        </w:tc>
        <w:tc>
          <w:tcPr>
            <w:tcW w:w="1104" w:type="dxa"/>
            <w:tcBorders>
              <w:tl2br w:val="nil"/>
              <w:tr2bl w:val="nil"/>
            </w:tcBorders>
            <w:shd w:val="clear" w:color="auto" w:fill="auto"/>
            <w:vAlign w:val="center"/>
          </w:tcPr>
          <w:p w14:paraId="0E39CF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职能职责与活动：</w:t>
            </w:r>
          </w:p>
        </w:tc>
        <w:tc>
          <w:tcPr>
            <w:tcW w:w="1556" w:type="dxa"/>
            <w:gridSpan w:val="2"/>
            <w:tcBorders>
              <w:tl2br w:val="nil"/>
              <w:tr2bl w:val="nil"/>
            </w:tcBorders>
            <w:shd w:val="clear" w:color="auto" w:fill="auto"/>
            <w:vAlign w:val="center"/>
          </w:tcPr>
          <w:p w14:paraId="4BAD6E5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12-医疗卫生服务/01-基本公共卫生</w:t>
            </w:r>
          </w:p>
        </w:tc>
      </w:tr>
      <w:tr w14:paraId="143492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771" w:hRule="atLeast"/>
          <w:jc w:val="center"/>
        </w:trPr>
        <w:tc>
          <w:tcPr>
            <w:tcW w:w="777" w:type="dxa"/>
            <w:tcBorders>
              <w:tl2br w:val="nil"/>
              <w:tr2bl w:val="nil"/>
            </w:tcBorders>
            <w:shd w:val="clear" w:color="auto" w:fill="auto"/>
            <w:vAlign w:val="center"/>
          </w:tcPr>
          <w:p w14:paraId="1FC0CC6A">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主管</w:t>
            </w:r>
          </w:p>
          <w:p w14:paraId="3C5C7914">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661" w:type="dxa"/>
            <w:tcBorders>
              <w:tl2br w:val="nil"/>
              <w:tr2bl w:val="nil"/>
            </w:tcBorders>
            <w:shd w:val="clear" w:color="auto" w:fill="auto"/>
            <w:vAlign w:val="center"/>
          </w:tcPr>
          <w:p w14:paraId="51C4B2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122-红原县卫生健康局</w:t>
            </w:r>
          </w:p>
        </w:tc>
        <w:tc>
          <w:tcPr>
            <w:tcW w:w="1271" w:type="dxa"/>
            <w:tcBorders>
              <w:tl2br w:val="nil"/>
              <w:tr2bl w:val="nil"/>
            </w:tcBorders>
            <w:shd w:val="clear" w:color="auto" w:fill="auto"/>
            <w:vAlign w:val="center"/>
          </w:tcPr>
          <w:p w14:paraId="476063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项目经办人：</w:t>
            </w:r>
          </w:p>
        </w:tc>
        <w:tc>
          <w:tcPr>
            <w:tcW w:w="1914" w:type="dxa"/>
            <w:tcBorders>
              <w:tl2br w:val="nil"/>
              <w:tr2bl w:val="nil"/>
            </w:tcBorders>
            <w:shd w:val="clear" w:color="auto" w:fill="auto"/>
            <w:vAlign w:val="center"/>
          </w:tcPr>
          <w:p w14:paraId="63BA421B">
            <w:pPr>
              <w:jc w:val="left"/>
              <w:rPr>
                <w:rFonts w:hint="eastAsia" w:ascii="宋体" w:hAnsi="宋体" w:eastAsia="宋体" w:cs="宋体"/>
                <w:i w:val="0"/>
                <w:color w:val="000000"/>
                <w:sz w:val="20"/>
                <w:szCs w:val="20"/>
                <w:u w:val="none"/>
              </w:rPr>
            </w:pPr>
          </w:p>
        </w:tc>
        <w:tc>
          <w:tcPr>
            <w:tcW w:w="697" w:type="dxa"/>
            <w:tcBorders>
              <w:tl2br w:val="nil"/>
              <w:tr2bl w:val="nil"/>
            </w:tcBorders>
            <w:shd w:val="clear" w:color="auto" w:fill="auto"/>
            <w:vAlign w:val="center"/>
          </w:tcPr>
          <w:p w14:paraId="7A1FE84E">
            <w:pPr>
              <w:jc w:val="right"/>
              <w:rPr>
                <w:rFonts w:hint="eastAsia" w:ascii="宋体" w:hAnsi="宋体" w:eastAsia="宋体" w:cs="宋体"/>
                <w:i w:val="0"/>
                <w:color w:val="000000"/>
                <w:sz w:val="20"/>
                <w:szCs w:val="20"/>
                <w:u w:val="none"/>
              </w:rPr>
            </w:pPr>
          </w:p>
        </w:tc>
        <w:tc>
          <w:tcPr>
            <w:tcW w:w="1104" w:type="dxa"/>
            <w:tcBorders>
              <w:tl2br w:val="nil"/>
              <w:tr2bl w:val="nil"/>
            </w:tcBorders>
            <w:shd w:val="clear" w:color="auto" w:fill="auto"/>
            <w:vAlign w:val="center"/>
          </w:tcPr>
          <w:p w14:paraId="70E0607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项目总额：</w:t>
            </w:r>
          </w:p>
        </w:tc>
        <w:tc>
          <w:tcPr>
            <w:tcW w:w="936" w:type="dxa"/>
            <w:tcBorders>
              <w:tl2br w:val="nil"/>
              <w:tr2bl w:val="nil"/>
            </w:tcBorders>
            <w:shd w:val="clear" w:color="auto" w:fill="auto"/>
            <w:vAlign w:val="center"/>
          </w:tcPr>
          <w:p w14:paraId="3D4FB92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w:t>
            </w:r>
          </w:p>
        </w:tc>
        <w:tc>
          <w:tcPr>
            <w:tcW w:w="620" w:type="dxa"/>
            <w:tcBorders>
              <w:tl2br w:val="nil"/>
              <w:tr2bl w:val="nil"/>
            </w:tcBorders>
            <w:shd w:val="clear" w:color="auto" w:fill="auto"/>
            <w:vAlign w:val="center"/>
          </w:tcPr>
          <w:p w14:paraId="33FEA39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553087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1136" w:hRule="atLeast"/>
          <w:jc w:val="center"/>
        </w:trPr>
        <w:tc>
          <w:tcPr>
            <w:tcW w:w="777" w:type="dxa"/>
            <w:tcBorders>
              <w:tl2br w:val="nil"/>
              <w:tr2bl w:val="nil"/>
            </w:tcBorders>
            <w:shd w:val="clear" w:color="auto" w:fill="auto"/>
            <w:vAlign w:val="center"/>
          </w:tcPr>
          <w:p w14:paraId="78AF5CA5">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预算执行率权重：</w:t>
            </w:r>
          </w:p>
        </w:tc>
        <w:tc>
          <w:tcPr>
            <w:tcW w:w="1661" w:type="dxa"/>
            <w:tcBorders>
              <w:tl2br w:val="nil"/>
              <w:tr2bl w:val="nil"/>
            </w:tcBorders>
            <w:shd w:val="clear" w:color="auto" w:fill="auto"/>
            <w:vAlign w:val="center"/>
          </w:tcPr>
          <w:p w14:paraId="23B68A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71" w:type="dxa"/>
            <w:tcBorders>
              <w:tl2br w:val="nil"/>
              <w:tr2bl w:val="nil"/>
            </w:tcBorders>
            <w:shd w:val="clear" w:color="auto" w:fill="auto"/>
            <w:vAlign w:val="center"/>
          </w:tcPr>
          <w:p w14:paraId="325F866A">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项目经办人电话：</w:t>
            </w:r>
          </w:p>
        </w:tc>
        <w:tc>
          <w:tcPr>
            <w:tcW w:w="1914" w:type="dxa"/>
            <w:tcBorders>
              <w:tl2br w:val="nil"/>
              <w:tr2bl w:val="nil"/>
            </w:tcBorders>
            <w:shd w:val="clear" w:color="auto" w:fill="auto"/>
            <w:vAlign w:val="center"/>
          </w:tcPr>
          <w:p w14:paraId="78B76DC1">
            <w:pPr>
              <w:jc w:val="left"/>
              <w:rPr>
                <w:rFonts w:hint="eastAsia" w:ascii="宋体" w:hAnsi="宋体" w:eastAsia="宋体" w:cs="宋体"/>
                <w:i w:val="0"/>
                <w:color w:val="000000"/>
                <w:sz w:val="20"/>
                <w:szCs w:val="20"/>
                <w:u w:val="none"/>
              </w:rPr>
            </w:pPr>
          </w:p>
        </w:tc>
        <w:tc>
          <w:tcPr>
            <w:tcW w:w="697" w:type="dxa"/>
            <w:tcBorders>
              <w:tl2br w:val="nil"/>
              <w:tr2bl w:val="nil"/>
            </w:tcBorders>
            <w:shd w:val="clear" w:color="auto" w:fill="auto"/>
            <w:vAlign w:val="center"/>
          </w:tcPr>
          <w:p w14:paraId="05D3F128">
            <w:pPr>
              <w:jc w:val="right"/>
              <w:rPr>
                <w:rFonts w:hint="eastAsia" w:ascii="宋体" w:hAnsi="宋体" w:eastAsia="宋体" w:cs="宋体"/>
                <w:i w:val="0"/>
                <w:color w:val="000000"/>
                <w:sz w:val="20"/>
                <w:szCs w:val="20"/>
                <w:u w:val="none"/>
              </w:rPr>
            </w:pPr>
          </w:p>
        </w:tc>
        <w:tc>
          <w:tcPr>
            <w:tcW w:w="1104" w:type="dxa"/>
            <w:tcBorders>
              <w:tl2br w:val="nil"/>
              <w:tr2bl w:val="nil"/>
            </w:tcBorders>
            <w:shd w:val="clear" w:color="auto" w:fill="auto"/>
            <w:vAlign w:val="center"/>
          </w:tcPr>
          <w:p w14:paraId="493F22DE">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其中：</w:t>
            </w:r>
          </w:p>
          <w:p w14:paraId="24E10F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w:t>
            </w:r>
          </w:p>
        </w:tc>
        <w:tc>
          <w:tcPr>
            <w:tcW w:w="936" w:type="dxa"/>
            <w:tcBorders>
              <w:tl2br w:val="nil"/>
              <w:tr2bl w:val="nil"/>
            </w:tcBorders>
            <w:shd w:val="clear" w:color="auto" w:fill="auto"/>
            <w:vAlign w:val="center"/>
          </w:tcPr>
          <w:p w14:paraId="18B5F7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w:t>
            </w:r>
          </w:p>
        </w:tc>
        <w:tc>
          <w:tcPr>
            <w:tcW w:w="620" w:type="dxa"/>
            <w:tcBorders>
              <w:tl2br w:val="nil"/>
              <w:tr2bl w:val="nil"/>
            </w:tcBorders>
            <w:shd w:val="clear" w:color="auto" w:fill="auto"/>
            <w:vAlign w:val="center"/>
          </w:tcPr>
          <w:p w14:paraId="098990D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42166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771" w:hRule="atLeast"/>
          <w:jc w:val="center"/>
        </w:trPr>
        <w:tc>
          <w:tcPr>
            <w:tcW w:w="777" w:type="dxa"/>
            <w:vMerge w:val="restart"/>
            <w:tcBorders>
              <w:tl2br w:val="nil"/>
              <w:tr2bl w:val="nil"/>
            </w:tcBorders>
            <w:shd w:val="clear" w:color="auto" w:fill="auto"/>
            <w:vAlign w:val="center"/>
          </w:tcPr>
          <w:p w14:paraId="521570E7">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年度</w:t>
            </w:r>
          </w:p>
          <w:p w14:paraId="28057987">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w:t>
            </w:r>
          </w:p>
        </w:tc>
        <w:tc>
          <w:tcPr>
            <w:tcW w:w="5543" w:type="dxa"/>
            <w:gridSpan w:val="4"/>
            <w:vMerge w:val="restart"/>
            <w:tcBorders>
              <w:tl2br w:val="nil"/>
              <w:tr2bl w:val="nil"/>
            </w:tcBorders>
            <w:shd w:val="clear" w:color="auto" w:fill="auto"/>
            <w:vAlign w:val="top"/>
          </w:tcPr>
          <w:p w14:paraId="315D830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1104" w:type="dxa"/>
            <w:tcBorders>
              <w:tl2br w:val="nil"/>
              <w:tr2bl w:val="nil"/>
            </w:tcBorders>
            <w:shd w:val="clear" w:color="auto" w:fill="auto"/>
            <w:vAlign w:val="center"/>
          </w:tcPr>
          <w:p w14:paraId="386BC46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财政专户管理资金：</w:t>
            </w:r>
          </w:p>
        </w:tc>
        <w:tc>
          <w:tcPr>
            <w:tcW w:w="936" w:type="dxa"/>
            <w:tcBorders>
              <w:tl2br w:val="nil"/>
              <w:tr2bl w:val="nil"/>
            </w:tcBorders>
            <w:shd w:val="clear" w:color="auto" w:fill="auto"/>
            <w:vAlign w:val="center"/>
          </w:tcPr>
          <w:p w14:paraId="1A791C8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620" w:type="dxa"/>
            <w:tcBorders>
              <w:tl2br w:val="nil"/>
              <w:tr2bl w:val="nil"/>
            </w:tcBorders>
            <w:shd w:val="clear" w:color="auto" w:fill="auto"/>
            <w:vAlign w:val="center"/>
          </w:tcPr>
          <w:p w14:paraId="0FB15CD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58A456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570" w:hRule="atLeast"/>
          <w:jc w:val="center"/>
        </w:trPr>
        <w:tc>
          <w:tcPr>
            <w:tcW w:w="777" w:type="dxa"/>
            <w:vMerge w:val="continue"/>
            <w:tcBorders>
              <w:tl2br w:val="nil"/>
              <w:tr2bl w:val="nil"/>
            </w:tcBorders>
            <w:shd w:val="clear" w:color="auto" w:fill="auto"/>
            <w:vAlign w:val="center"/>
          </w:tcPr>
          <w:p w14:paraId="20690874">
            <w:pPr>
              <w:jc w:val="left"/>
              <w:rPr>
                <w:rFonts w:hint="eastAsia" w:ascii="宋体" w:hAnsi="宋体" w:eastAsia="宋体" w:cs="宋体"/>
                <w:i w:val="0"/>
                <w:color w:val="000000"/>
                <w:sz w:val="20"/>
                <w:szCs w:val="20"/>
                <w:u w:val="none"/>
              </w:rPr>
            </w:pPr>
          </w:p>
        </w:tc>
        <w:tc>
          <w:tcPr>
            <w:tcW w:w="5543" w:type="dxa"/>
            <w:gridSpan w:val="4"/>
            <w:vMerge w:val="continue"/>
            <w:tcBorders>
              <w:tl2br w:val="nil"/>
              <w:tr2bl w:val="nil"/>
            </w:tcBorders>
            <w:shd w:val="clear" w:color="auto" w:fill="auto"/>
            <w:vAlign w:val="top"/>
          </w:tcPr>
          <w:p w14:paraId="0E2DFFDF">
            <w:pPr>
              <w:jc w:val="left"/>
              <w:rPr>
                <w:rFonts w:hint="eastAsia" w:ascii="宋体" w:hAnsi="宋体" w:eastAsia="宋体" w:cs="宋体"/>
                <w:i w:val="0"/>
                <w:color w:val="000000"/>
                <w:sz w:val="20"/>
                <w:szCs w:val="20"/>
                <w:u w:val="none"/>
              </w:rPr>
            </w:pPr>
          </w:p>
        </w:tc>
        <w:tc>
          <w:tcPr>
            <w:tcW w:w="1104" w:type="dxa"/>
            <w:tcBorders>
              <w:tl2br w:val="nil"/>
              <w:tr2bl w:val="nil"/>
            </w:tcBorders>
            <w:shd w:val="clear" w:color="auto" w:fill="auto"/>
            <w:vAlign w:val="center"/>
          </w:tcPr>
          <w:p w14:paraId="2EAE9DE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单位资金：</w:t>
            </w:r>
          </w:p>
        </w:tc>
        <w:tc>
          <w:tcPr>
            <w:tcW w:w="936" w:type="dxa"/>
            <w:tcBorders>
              <w:tl2br w:val="nil"/>
              <w:tr2bl w:val="nil"/>
            </w:tcBorders>
            <w:shd w:val="clear" w:color="auto" w:fill="auto"/>
            <w:vAlign w:val="center"/>
          </w:tcPr>
          <w:p w14:paraId="26D26B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620" w:type="dxa"/>
            <w:tcBorders>
              <w:tl2br w:val="nil"/>
              <w:tr2bl w:val="nil"/>
            </w:tcBorders>
            <w:shd w:val="clear" w:color="auto" w:fill="auto"/>
            <w:vAlign w:val="center"/>
          </w:tcPr>
          <w:p w14:paraId="47DC019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5584D3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771" w:hRule="atLeast"/>
          <w:jc w:val="center"/>
        </w:trPr>
        <w:tc>
          <w:tcPr>
            <w:tcW w:w="777" w:type="dxa"/>
            <w:vMerge w:val="continue"/>
            <w:tcBorders>
              <w:tl2br w:val="nil"/>
              <w:tr2bl w:val="nil"/>
            </w:tcBorders>
            <w:shd w:val="clear" w:color="auto" w:fill="auto"/>
            <w:vAlign w:val="center"/>
          </w:tcPr>
          <w:p w14:paraId="21C21910">
            <w:pPr>
              <w:jc w:val="left"/>
              <w:rPr>
                <w:rFonts w:hint="eastAsia" w:ascii="宋体" w:hAnsi="宋体" w:eastAsia="宋体" w:cs="宋体"/>
                <w:i w:val="0"/>
                <w:color w:val="000000"/>
                <w:sz w:val="20"/>
                <w:szCs w:val="20"/>
                <w:u w:val="none"/>
              </w:rPr>
            </w:pPr>
          </w:p>
        </w:tc>
        <w:tc>
          <w:tcPr>
            <w:tcW w:w="5543" w:type="dxa"/>
            <w:gridSpan w:val="4"/>
            <w:vMerge w:val="continue"/>
            <w:tcBorders>
              <w:tl2br w:val="nil"/>
              <w:tr2bl w:val="nil"/>
            </w:tcBorders>
            <w:shd w:val="clear" w:color="auto" w:fill="auto"/>
            <w:vAlign w:val="top"/>
          </w:tcPr>
          <w:p w14:paraId="1F69A454">
            <w:pPr>
              <w:jc w:val="left"/>
              <w:rPr>
                <w:rFonts w:hint="eastAsia" w:ascii="宋体" w:hAnsi="宋体" w:eastAsia="宋体" w:cs="宋体"/>
                <w:i w:val="0"/>
                <w:color w:val="000000"/>
                <w:sz w:val="20"/>
                <w:szCs w:val="20"/>
                <w:u w:val="none"/>
              </w:rPr>
            </w:pPr>
          </w:p>
        </w:tc>
        <w:tc>
          <w:tcPr>
            <w:tcW w:w="1104" w:type="dxa"/>
            <w:tcBorders>
              <w:tl2br w:val="nil"/>
              <w:tr2bl w:val="nil"/>
            </w:tcBorders>
            <w:shd w:val="clear" w:color="auto" w:fill="auto"/>
            <w:vAlign w:val="center"/>
          </w:tcPr>
          <w:p w14:paraId="356F134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社会投入资金：</w:t>
            </w:r>
          </w:p>
        </w:tc>
        <w:tc>
          <w:tcPr>
            <w:tcW w:w="936" w:type="dxa"/>
            <w:tcBorders>
              <w:tl2br w:val="nil"/>
              <w:tr2bl w:val="nil"/>
            </w:tcBorders>
            <w:shd w:val="clear" w:color="auto" w:fill="auto"/>
            <w:vAlign w:val="center"/>
          </w:tcPr>
          <w:p w14:paraId="2F8FDB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620" w:type="dxa"/>
            <w:tcBorders>
              <w:tl2br w:val="nil"/>
              <w:tr2bl w:val="nil"/>
            </w:tcBorders>
            <w:shd w:val="clear" w:color="auto" w:fill="auto"/>
            <w:vAlign w:val="center"/>
          </w:tcPr>
          <w:p w14:paraId="1280905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648D51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576" w:hRule="atLeast"/>
          <w:jc w:val="center"/>
        </w:trPr>
        <w:tc>
          <w:tcPr>
            <w:tcW w:w="777" w:type="dxa"/>
            <w:vMerge w:val="continue"/>
            <w:tcBorders>
              <w:tl2br w:val="nil"/>
              <w:tr2bl w:val="nil"/>
            </w:tcBorders>
            <w:shd w:val="clear" w:color="auto" w:fill="auto"/>
            <w:vAlign w:val="center"/>
          </w:tcPr>
          <w:p w14:paraId="7743FB02">
            <w:pPr>
              <w:jc w:val="left"/>
              <w:rPr>
                <w:rFonts w:hint="eastAsia" w:ascii="宋体" w:hAnsi="宋体" w:eastAsia="宋体" w:cs="宋体"/>
                <w:i w:val="0"/>
                <w:color w:val="000000"/>
                <w:sz w:val="20"/>
                <w:szCs w:val="20"/>
                <w:u w:val="none"/>
              </w:rPr>
            </w:pPr>
          </w:p>
        </w:tc>
        <w:tc>
          <w:tcPr>
            <w:tcW w:w="5543" w:type="dxa"/>
            <w:gridSpan w:val="4"/>
            <w:vMerge w:val="continue"/>
            <w:tcBorders>
              <w:tl2br w:val="nil"/>
              <w:tr2bl w:val="nil"/>
            </w:tcBorders>
            <w:shd w:val="clear" w:color="auto" w:fill="auto"/>
            <w:vAlign w:val="top"/>
          </w:tcPr>
          <w:p w14:paraId="0E49CC4D">
            <w:pPr>
              <w:jc w:val="left"/>
              <w:rPr>
                <w:rFonts w:hint="eastAsia" w:ascii="宋体" w:hAnsi="宋体" w:eastAsia="宋体" w:cs="宋体"/>
                <w:i w:val="0"/>
                <w:color w:val="000000"/>
                <w:sz w:val="20"/>
                <w:szCs w:val="20"/>
                <w:u w:val="none"/>
              </w:rPr>
            </w:pPr>
          </w:p>
        </w:tc>
        <w:tc>
          <w:tcPr>
            <w:tcW w:w="1104" w:type="dxa"/>
            <w:tcBorders>
              <w:tl2br w:val="nil"/>
              <w:tr2bl w:val="nil"/>
            </w:tcBorders>
            <w:shd w:val="clear" w:color="auto" w:fill="auto"/>
            <w:vAlign w:val="center"/>
          </w:tcPr>
          <w:p w14:paraId="749C898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银行贷款：</w:t>
            </w:r>
          </w:p>
        </w:tc>
        <w:tc>
          <w:tcPr>
            <w:tcW w:w="936" w:type="dxa"/>
            <w:tcBorders>
              <w:tl2br w:val="nil"/>
              <w:tr2bl w:val="nil"/>
            </w:tcBorders>
            <w:shd w:val="clear" w:color="auto" w:fill="auto"/>
            <w:vAlign w:val="center"/>
          </w:tcPr>
          <w:p w14:paraId="2B867A1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620" w:type="dxa"/>
            <w:tcBorders>
              <w:tl2br w:val="nil"/>
              <w:tr2bl w:val="nil"/>
            </w:tcBorders>
            <w:shd w:val="clear" w:color="auto" w:fill="auto"/>
            <w:vAlign w:val="center"/>
          </w:tcPr>
          <w:p w14:paraId="2C78605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bl>
    <w:p w14:paraId="7289751E">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p>
    <w:tbl>
      <w:tblPr>
        <w:tblStyle w:val="17"/>
        <w:tblW w:w="896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15" w:type="dxa"/>
          <w:left w:w="15" w:type="dxa"/>
          <w:bottom w:w="15" w:type="dxa"/>
          <w:right w:w="15" w:type="dxa"/>
        </w:tblCellMar>
      </w:tblPr>
      <w:tblGrid>
        <w:gridCol w:w="1038"/>
        <w:gridCol w:w="1335"/>
        <w:gridCol w:w="2130"/>
        <w:gridCol w:w="495"/>
        <w:gridCol w:w="643"/>
        <w:gridCol w:w="947"/>
        <w:gridCol w:w="1015"/>
        <w:gridCol w:w="674"/>
        <w:gridCol w:w="691"/>
      </w:tblGrid>
      <w:tr w14:paraId="32EBDD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15" w:type="dxa"/>
            <w:left w:w="15" w:type="dxa"/>
            <w:bottom w:w="15" w:type="dxa"/>
            <w:right w:w="15" w:type="dxa"/>
          </w:tblCellMar>
        </w:tblPrEx>
        <w:trPr>
          <w:trHeight w:val="847" w:hRule="atLeast"/>
          <w:jc w:val="center"/>
        </w:trPr>
        <w:tc>
          <w:tcPr>
            <w:tcW w:w="1038" w:type="dxa"/>
            <w:tcBorders>
              <w:tl2br w:val="nil"/>
              <w:tr2bl w:val="nil"/>
            </w:tcBorders>
            <w:shd w:val="clear" w:color="EBEFF3" w:fill="EBEFF3"/>
            <w:vAlign w:val="center"/>
          </w:tcPr>
          <w:p w14:paraId="5A099B9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335" w:type="dxa"/>
            <w:tcBorders>
              <w:tl2br w:val="nil"/>
              <w:tr2bl w:val="nil"/>
            </w:tcBorders>
            <w:shd w:val="clear" w:color="EBEFF3" w:fill="EBEFF3"/>
            <w:vAlign w:val="center"/>
          </w:tcPr>
          <w:p w14:paraId="363173C1">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二级</w:t>
            </w:r>
          </w:p>
          <w:p w14:paraId="4FBFFB9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w:t>
            </w:r>
          </w:p>
        </w:tc>
        <w:tc>
          <w:tcPr>
            <w:tcW w:w="2130" w:type="dxa"/>
            <w:tcBorders>
              <w:tl2br w:val="nil"/>
              <w:tr2bl w:val="nil"/>
            </w:tcBorders>
            <w:shd w:val="clear" w:color="EBEFF3" w:fill="EBEFF3"/>
            <w:vAlign w:val="center"/>
          </w:tcPr>
          <w:p w14:paraId="153E606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95" w:type="dxa"/>
            <w:tcBorders>
              <w:tl2br w:val="nil"/>
              <w:tr2bl w:val="nil"/>
            </w:tcBorders>
            <w:shd w:val="clear" w:color="EBEFF3" w:fill="EBEFF3"/>
            <w:vAlign w:val="center"/>
          </w:tcPr>
          <w:p w14:paraId="12F9784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指标性质</w:t>
            </w:r>
          </w:p>
        </w:tc>
        <w:tc>
          <w:tcPr>
            <w:tcW w:w="643" w:type="dxa"/>
            <w:tcBorders>
              <w:tl2br w:val="nil"/>
              <w:tr2bl w:val="nil"/>
            </w:tcBorders>
            <w:shd w:val="clear" w:color="EBEFF3" w:fill="EBEFF3"/>
            <w:vAlign w:val="center"/>
          </w:tcPr>
          <w:p w14:paraId="1241D31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947" w:type="dxa"/>
            <w:tcBorders>
              <w:tl2br w:val="nil"/>
              <w:tr2bl w:val="nil"/>
            </w:tcBorders>
            <w:shd w:val="clear" w:color="EBEFF3" w:fill="EBEFF3"/>
            <w:vAlign w:val="center"/>
          </w:tcPr>
          <w:p w14:paraId="2BB4AE1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本年绩效指标值</w:t>
            </w:r>
          </w:p>
        </w:tc>
        <w:tc>
          <w:tcPr>
            <w:tcW w:w="1015" w:type="dxa"/>
            <w:tcBorders>
              <w:tl2br w:val="nil"/>
              <w:tr2bl w:val="nil"/>
            </w:tcBorders>
            <w:shd w:val="clear" w:color="EBEFF3" w:fill="EBEFF3"/>
            <w:vAlign w:val="center"/>
          </w:tcPr>
          <w:p w14:paraId="2374B3D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度量单位</w:t>
            </w:r>
          </w:p>
        </w:tc>
        <w:tc>
          <w:tcPr>
            <w:tcW w:w="674" w:type="dxa"/>
            <w:tcBorders>
              <w:tl2br w:val="nil"/>
              <w:tr2bl w:val="nil"/>
            </w:tcBorders>
            <w:shd w:val="clear" w:color="EBEFF3" w:fill="EBEFF3"/>
            <w:vAlign w:val="center"/>
          </w:tcPr>
          <w:p w14:paraId="1564E0D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权重（%）</w:t>
            </w:r>
          </w:p>
        </w:tc>
        <w:tc>
          <w:tcPr>
            <w:tcW w:w="691" w:type="dxa"/>
            <w:tcBorders>
              <w:tl2br w:val="nil"/>
              <w:tr2bl w:val="nil"/>
            </w:tcBorders>
            <w:shd w:val="clear" w:color="EBEFF3" w:fill="EBEFF3"/>
            <w:vAlign w:val="center"/>
          </w:tcPr>
          <w:p w14:paraId="3E7CB90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本年权重</w:t>
            </w:r>
          </w:p>
        </w:tc>
      </w:tr>
      <w:tr w14:paraId="4341C2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22" w:hRule="atLeast"/>
          <w:jc w:val="center"/>
        </w:trPr>
        <w:tc>
          <w:tcPr>
            <w:tcW w:w="1038" w:type="dxa"/>
            <w:tcBorders>
              <w:tl2br w:val="nil"/>
              <w:tr2bl w:val="nil"/>
            </w:tcBorders>
            <w:shd w:val="clear" w:color="auto" w:fill="auto"/>
            <w:vAlign w:val="center"/>
          </w:tcPr>
          <w:p w14:paraId="46DDE7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35" w:type="dxa"/>
            <w:tcBorders>
              <w:tl2br w:val="nil"/>
              <w:tr2bl w:val="nil"/>
            </w:tcBorders>
            <w:shd w:val="clear" w:color="auto" w:fill="auto"/>
            <w:vAlign w:val="center"/>
          </w:tcPr>
          <w:p w14:paraId="571C9A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130" w:type="dxa"/>
            <w:tcBorders>
              <w:tl2br w:val="nil"/>
              <w:tr2bl w:val="nil"/>
            </w:tcBorders>
            <w:shd w:val="clear" w:color="auto" w:fill="auto"/>
            <w:vAlign w:val="center"/>
          </w:tcPr>
          <w:p w14:paraId="72564567">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65岁及以上居民健康管理人数</w:t>
            </w:r>
          </w:p>
        </w:tc>
        <w:tc>
          <w:tcPr>
            <w:tcW w:w="495" w:type="dxa"/>
            <w:tcBorders>
              <w:tl2br w:val="nil"/>
              <w:tr2bl w:val="nil"/>
            </w:tcBorders>
            <w:shd w:val="clear" w:color="auto" w:fill="auto"/>
            <w:vAlign w:val="center"/>
          </w:tcPr>
          <w:p w14:paraId="7D697B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43" w:type="dxa"/>
            <w:tcBorders>
              <w:tl2br w:val="nil"/>
              <w:tr2bl w:val="nil"/>
            </w:tcBorders>
            <w:shd w:val="clear" w:color="auto" w:fill="auto"/>
            <w:vAlign w:val="center"/>
          </w:tcPr>
          <w:p w14:paraId="38311A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w:t>
            </w:r>
          </w:p>
        </w:tc>
        <w:tc>
          <w:tcPr>
            <w:tcW w:w="947" w:type="dxa"/>
            <w:tcBorders>
              <w:tl2br w:val="nil"/>
              <w:tr2bl w:val="nil"/>
            </w:tcBorders>
            <w:shd w:val="clear" w:color="auto" w:fill="auto"/>
            <w:vAlign w:val="center"/>
          </w:tcPr>
          <w:p w14:paraId="08EF53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w:t>
            </w:r>
          </w:p>
        </w:tc>
        <w:tc>
          <w:tcPr>
            <w:tcW w:w="1015" w:type="dxa"/>
            <w:tcBorders>
              <w:tl2br w:val="nil"/>
              <w:tr2bl w:val="nil"/>
            </w:tcBorders>
            <w:shd w:val="clear" w:color="auto" w:fill="auto"/>
            <w:vAlign w:val="center"/>
          </w:tcPr>
          <w:p w14:paraId="59C3DD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674" w:type="dxa"/>
            <w:tcBorders>
              <w:tl2br w:val="nil"/>
              <w:tr2bl w:val="nil"/>
            </w:tcBorders>
            <w:shd w:val="clear" w:color="auto" w:fill="auto"/>
            <w:vAlign w:val="center"/>
          </w:tcPr>
          <w:p w14:paraId="16A4A2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1" w:type="dxa"/>
            <w:tcBorders>
              <w:tl2br w:val="nil"/>
              <w:tr2bl w:val="nil"/>
            </w:tcBorders>
            <w:shd w:val="clear" w:color="auto" w:fill="auto"/>
            <w:vAlign w:val="center"/>
          </w:tcPr>
          <w:p w14:paraId="7D0634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0E6F8F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22" w:hRule="atLeast"/>
          <w:jc w:val="center"/>
        </w:trPr>
        <w:tc>
          <w:tcPr>
            <w:tcW w:w="1038" w:type="dxa"/>
            <w:tcBorders>
              <w:tl2br w:val="nil"/>
              <w:tr2bl w:val="nil"/>
            </w:tcBorders>
            <w:shd w:val="clear" w:color="auto" w:fill="auto"/>
            <w:vAlign w:val="center"/>
          </w:tcPr>
          <w:p w14:paraId="6FE271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35" w:type="dxa"/>
            <w:tcBorders>
              <w:tl2br w:val="nil"/>
              <w:tr2bl w:val="nil"/>
            </w:tcBorders>
            <w:shd w:val="clear" w:color="auto" w:fill="auto"/>
            <w:vAlign w:val="center"/>
          </w:tcPr>
          <w:p w14:paraId="1FC66C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130" w:type="dxa"/>
            <w:tcBorders>
              <w:tl2br w:val="nil"/>
              <w:tr2bl w:val="nil"/>
            </w:tcBorders>
            <w:shd w:val="clear" w:color="auto" w:fill="auto"/>
            <w:vAlign w:val="center"/>
          </w:tcPr>
          <w:p w14:paraId="1B92EF79">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高血压患者管理人数</w:t>
            </w:r>
          </w:p>
        </w:tc>
        <w:tc>
          <w:tcPr>
            <w:tcW w:w="495" w:type="dxa"/>
            <w:tcBorders>
              <w:tl2br w:val="nil"/>
              <w:tr2bl w:val="nil"/>
            </w:tcBorders>
            <w:shd w:val="clear" w:color="auto" w:fill="auto"/>
            <w:vAlign w:val="center"/>
          </w:tcPr>
          <w:p w14:paraId="1E5377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43" w:type="dxa"/>
            <w:tcBorders>
              <w:tl2br w:val="nil"/>
              <w:tr2bl w:val="nil"/>
            </w:tcBorders>
            <w:shd w:val="clear" w:color="auto" w:fill="auto"/>
            <w:vAlign w:val="center"/>
          </w:tcPr>
          <w:p w14:paraId="2B827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947" w:type="dxa"/>
            <w:tcBorders>
              <w:tl2br w:val="nil"/>
              <w:tr2bl w:val="nil"/>
            </w:tcBorders>
            <w:shd w:val="clear" w:color="auto" w:fill="auto"/>
            <w:vAlign w:val="center"/>
          </w:tcPr>
          <w:p w14:paraId="51C6AB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1015" w:type="dxa"/>
            <w:tcBorders>
              <w:tl2br w:val="nil"/>
              <w:tr2bl w:val="nil"/>
            </w:tcBorders>
            <w:shd w:val="clear" w:color="auto" w:fill="auto"/>
            <w:vAlign w:val="center"/>
          </w:tcPr>
          <w:p w14:paraId="471CE7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674" w:type="dxa"/>
            <w:tcBorders>
              <w:tl2br w:val="nil"/>
              <w:tr2bl w:val="nil"/>
            </w:tcBorders>
            <w:shd w:val="clear" w:color="auto" w:fill="auto"/>
            <w:vAlign w:val="center"/>
          </w:tcPr>
          <w:p w14:paraId="24C227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1" w:type="dxa"/>
            <w:tcBorders>
              <w:tl2br w:val="nil"/>
              <w:tr2bl w:val="nil"/>
            </w:tcBorders>
            <w:shd w:val="clear" w:color="auto" w:fill="auto"/>
            <w:vAlign w:val="center"/>
          </w:tcPr>
          <w:p w14:paraId="029B1C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38B06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22" w:hRule="atLeast"/>
          <w:jc w:val="center"/>
        </w:trPr>
        <w:tc>
          <w:tcPr>
            <w:tcW w:w="1038" w:type="dxa"/>
            <w:tcBorders>
              <w:tl2br w:val="nil"/>
              <w:tr2bl w:val="nil"/>
            </w:tcBorders>
            <w:shd w:val="clear" w:color="auto" w:fill="auto"/>
            <w:vAlign w:val="center"/>
          </w:tcPr>
          <w:p w14:paraId="4A012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35" w:type="dxa"/>
            <w:tcBorders>
              <w:tl2br w:val="nil"/>
              <w:tr2bl w:val="nil"/>
            </w:tcBorders>
            <w:shd w:val="clear" w:color="auto" w:fill="auto"/>
            <w:vAlign w:val="center"/>
          </w:tcPr>
          <w:p w14:paraId="16A46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130" w:type="dxa"/>
            <w:tcBorders>
              <w:tl2br w:val="nil"/>
              <w:tr2bl w:val="nil"/>
            </w:tcBorders>
            <w:shd w:val="clear" w:color="auto" w:fill="auto"/>
            <w:vAlign w:val="center"/>
          </w:tcPr>
          <w:p w14:paraId="548E8222">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居民电子健康档案管理人数</w:t>
            </w:r>
          </w:p>
        </w:tc>
        <w:tc>
          <w:tcPr>
            <w:tcW w:w="495" w:type="dxa"/>
            <w:tcBorders>
              <w:tl2br w:val="nil"/>
              <w:tr2bl w:val="nil"/>
            </w:tcBorders>
            <w:shd w:val="clear" w:color="auto" w:fill="auto"/>
            <w:vAlign w:val="center"/>
          </w:tcPr>
          <w:p w14:paraId="7AC9B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43" w:type="dxa"/>
            <w:tcBorders>
              <w:tl2br w:val="nil"/>
              <w:tr2bl w:val="nil"/>
            </w:tcBorders>
            <w:shd w:val="clear" w:color="auto" w:fill="auto"/>
            <w:vAlign w:val="center"/>
          </w:tcPr>
          <w:p w14:paraId="595F7E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1983</w:t>
            </w:r>
          </w:p>
        </w:tc>
        <w:tc>
          <w:tcPr>
            <w:tcW w:w="947" w:type="dxa"/>
            <w:tcBorders>
              <w:tl2br w:val="nil"/>
              <w:tr2bl w:val="nil"/>
            </w:tcBorders>
            <w:shd w:val="clear" w:color="auto" w:fill="auto"/>
            <w:vAlign w:val="center"/>
          </w:tcPr>
          <w:p w14:paraId="3FE118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1983</w:t>
            </w:r>
          </w:p>
        </w:tc>
        <w:tc>
          <w:tcPr>
            <w:tcW w:w="1015" w:type="dxa"/>
            <w:tcBorders>
              <w:tl2br w:val="nil"/>
              <w:tr2bl w:val="nil"/>
            </w:tcBorders>
            <w:shd w:val="clear" w:color="auto" w:fill="auto"/>
            <w:vAlign w:val="center"/>
          </w:tcPr>
          <w:p w14:paraId="512327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674" w:type="dxa"/>
            <w:tcBorders>
              <w:tl2br w:val="nil"/>
              <w:tr2bl w:val="nil"/>
            </w:tcBorders>
            <w:shd w:val="clear" w:color="auto" w:fill="auto"/>
            <w:vAlign w:val="center"/>
          </w:tcPr>
          <w:p w14:paraId="4D658E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1" w:type="dxa"/>
            <w:tcBorders>
              <w:tl2br w:val="nil"/>
              <w:tr2bl w:val="nil"/>
            </w:tcBorders>
            <w:shd w:val="clear" w:color="auto" w:fill="auto"/>
            <w:vAlign w:val="center"/>
          </w:tcPr>
          <w:p w14:paraId="1D784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0F81F1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22" w:hRule="atLeast"/>
          <w:jc w:val="center"/>
        </w:trPr>
        <w:tc>
          <w:tcPr>
            <w:tcW w:w="1038" w:type="dxa"/>
            <w:tcBorders>
              <w:tl2br w:val="nil"/>
              <w:tr2bl w:val="nil"/>
            </w:tcBorders>
            <w:shd w:val="clear" w:color="auto" w:fill="auto"/>
            <w:vAlign w:val="center"/>
          </w:tcPr>
          <w:p w14:paraId="17E9D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35" w:type="dxa"/>
            <w:tcBorders>
              <w:tl2br w:val="nil"/>
              <w:tr2bl w:val="nil"/>
            </w:tcBorders>
            <w:shd w:val="clear" w:color="auto" w:fill="auto"/>
            <w:vAlign w:val="center"/>
          </w:tcPr>
          <w:p w14:paraId="45AEE4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130" w:type="dxa"/>
            <w:tcBorders>
              <w:tl2br w:val="nil"/>
              <w:tr2bl w:val="nil"/>
            </w:tcBorders>
            <w:shd w:val="clear" w:color="auto" w:fill="auto"/>
            <w:vAlign w:val="center"/>
          </w:tcPr>
          <w:p w14:paraId="51050C63">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2型糖尿病患者管理人数</w:t>
            </w:r>
          </w:p>
        </w:tc>
        <w:tc>
          <w:tcPr>
            <w:tcW w:w="495" w:type="dxa"/>
            <w:tcBorders>
              <w:tl2br w:val="nil"/>
              <w:tr2bl w:val="nil"/>
            </w:tcBorders>
            <w:shd w:val="clear" w:color="auto" w:fill="auto"/>
            <w:vAlign w:val="center"/>
          </w:tcPr>
          <w:p w14:paraId="63E306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43" w:type="dxa"/>
            <w:tcBorders>
              <w:tl2br w:val="nil"/>
              <w:tr2bl w:val="nil"/>
            </w:tcBorders>
            <w:shd w:val="clear" w:color="auto" w:fill="auto"/>
            <w:vAlign w:val="center"/>
          </w:tcPr>
          <w:p w14:paraId="3B0C2D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947" w:type="dxa"/>
            <w:tcBorders>
              <w:tl2br w:val="nil"/>
              <w:tr2bl w:val="nil"/>
            </w:tcBorders>
            <w:shd w:val="clear" w:color="auto" w:fill="auto"/>
            <w:vAlign w:val="center"/>
          </w:tcPr>
          <w:p w14:paraId="629386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1015" w:type="dxa"/>
            <w:tcBorders>
              <w:tl2br w:val="nil"/>
              <w:tr2bl w:val="nil"/>
            </w:tcBorders>
            <w:shd w:val="clear" w:color="auto" w:fill="auto"/>
            <w:vAlign w:val="center"/>
          </w:tcPr>
          <w:p w14:paraId="6F61C5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w:t>
            </w:r>
          </w:p>
        </w:tc>
        <w:tc>
          <w:tcPr>
            <w:tcW w:w="674" w:type="dxa"/>
            <w:tcBorders>
              <w:tl2br w:val="nil"/>
              <w:tr2bl w:val="nil"/>
            </w:tcBorders>
            <w:shd w:val="clear" w:color="auto" w:fill="auto"/>
            <w:vAlign w:val="center"/>
          </w:tcPr>
          <w:p w14:paraId="245FC2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1" w:type="dxa"/>
            <w:tcBorders>
              <w:tl2br w:val="nil"/>
              <w:tr2bl w:val="nil"/>
            </w:tcBorders>
            <w:shd w:val="clear" w:color="auto" w:fill="auto"/>
            <w:vAlign w:val="center"/>
          </w:tcPr>
          <w:p w14:paraId="0F10B3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14FCC4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22" w:hRule="atLeast"/>
          <w:jc w:val="center"/>
        </w:trPr>
        <w:tc>
          <w:tcPr>
            <w:tcW w:w="1038" w:type="dxa"/>
            <w:tcBorders>
              <w:tl2br w:val="nil"/>
              <w:tr2bl w:val="nil"/>
            </w:tcBorders>
            <w:shd w:val="clear" w:color="auto" w:fill="auto"/>
            <w:vAlign w:val="center"/>
          </w:tcPr>
          <w:p w14:paraId="6CF2AE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335" w:type="dxa"/>
            <w:tcBorders>
              <w:tl2br w:val="nil"/>
              <w:tr2bl w:val="nil"/>
            </w:tcBorders>
            <w:shd w:val="clear" w:color="auto" w:fill="auto"/>
            <w:vAlign w:val="center"/>
          </w:tcPr>
          <w:p w14:paraId="7748D1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130" w:type="dxa"/>
            <w:tcBorders>
              <w:tl2br w:val="nil"/>
              <w:tr2bl w:val="nil"/>
            </w:tcBorders>
            <w:shd w:val="clear" w:color="auto" w:fill="auto"/>
            <w:vAlign w:val="center"/>
          </w:tcPr>
          <w:p w14:paraId="6D046DEF">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提高公共卫生服务均等化水平</w:t>
            </w:r>
          </w:p>
        </w:tc>
        <w:tc>
          <w:tcPr>
            <w:tcW w:w="495" w:type="dxa"/>
            <w:tcBorders>
              <w:tl2br w:val="nil"/>
              <w:tr2bl w:val="nil"/>
            </w:tcBorders>
            <w:shd w:val="clear" w:color="auto" w:fill="auto"/>
            <w:vAlign w:val="center"/>
          </w:tcPr>
          <w:p w14:paraId="1529A3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定性</w:t>
            </w:r>
          </w:p>
        </w:tc>
        <w:tc>
          <w:tcPr>
            <w:tcW w:w="643" w:type="dxa"/>
            <w:tcBorders>
              <w:tl2br w:val="nil"/>
              <w:tr2bl w:val="nil"/>
            </w:tcBorders>
            <w:shd w:val="clear" w:color="auto" w:fill="auto"/>
            <w:vAlign w:val="center"/>
          </w:tcPr>
          <w:p w14:paraId="1CC223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优良中低</w:t>
            </w:r>
          </w:p>
        </w:tc>
        <w:tc>
          <w:tcPr>
            <w:tcW w:w="947" w:type="dxa"/>
            <w:tcBorders>
              <w:tl2br w:val="nil"/>
              <w:tr2bl w:val="nil"/>
            </w:tcBorders>
            <w:shd w:val="clear" w:color="auto" w:fill="auto"/>
            <w:vAlign w:val="center"/>
          </w:tcPr>
          <w:p w14:paraId="5A187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优良中低</w:t>
            </w:r>
          </w:p>
        </w:tc>
        <w:tc>
          <w:tcPr>
            <w:tcW w:w="1015" w:type="dxa"/>
            <w:tcBorders>
              <w:tl2br w:val="nil"/>
              <w:tr2bl w:val="nil"/>
            </w:tcBorders>
            <w:shd w:val="clear" w:color="auto" w:fill="auto"/>
            <w:vAlign w:val="center"/>
          </w:tcPr>
          <w:p w14:paraId="63D9576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20"/>
                <w:szCs w:val="20"/>
                <w:u w:val="none"/>
              </w:rPr>
            </w:pPr>
          </w:p>
        </w:tc>
        <w:tc>
          <w:tcPr>
            <w:tcW w:w="674" w:type="dxa"/>
            <w:tcBorders>
              <w:tl2br w:val="nil"/>
              <w:tr2bl w:val="nil"/>
            </w:tcBorders>
            <w:shd w:val="clear" w:color="auto" w:fill="auto"/>
            <w:vAlign w:val="center"/>
          </w:tcPr>
          <w:p w14:paraId="62BE34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691" w:type="dxa"/>
            <w:tcBorders>
              <w:tl2br w:val="nil"/>
              <w:tr2bl w:val="nil"/>
            </w:tcBorders>
            <w:shd w:val="clear" w:color="auto" w:fill="auto"/>
            <w:vAlign w:val="center"/>
          </w:tcPr>
          <w:p w14:paraId="4B270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r>
      <w:tr w14:paraId="66DA79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99" w:hRule="atLeast"/>
          <w:jc w:val="center"/>
        </w:trPr>
        <w:tc>
          <w:tcPr>
            <w:tcW w:w="1038" w:type="dxa"/>
            <w:tcBorders>
              <w:tl2br w:val="nil"/>
              <w:tr2bl w:val="nil"/>
            </w:tcBorders>
            <w:shd w:val="clear" w:color="auto" w:fill="auto"/>
            <w:vAlign w:val="center"/>
          </w:tcPr>
          <w:p w14:paraId="4BB707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335" w:type="dxa"/>
            <w:tcBorders>
              <w:tl2br w:val="nil"/>
              <w:tr2bl w:val="nil"/>
            </w:tcBorders>
            <w:shd w:val="clear" w:color="auto" w:fill="auto"/>
            <w:vAlign w:val="center"/>
          </w:tcPr>
          <w:p w14:paraId="7DEA4D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2130" w:type="dxa"/>
            <w:tcBorders>
              <w:tl2br w:val="nil"/>
              <w:tr2bl w:val="nil"/>
            </w:tcBorders>
            <w:shd w:val="clear" w:color="auto" w:fill="auto"/>
            <w:vAlign w:val="center"/>
          </w:tcPr>
          <w:p w14:paraId="759BA9A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基层群众满意度</w:t>
            </w:r>
          </w:p>
        </w:tc>
        <w:tc>
          <w:tcPr>
            <w:tcW w:w="495" w:type="dxa"/>
            <w:tcBorders>
              <w:tl2br w:val="nil"/>
              <w:tr2bl w:val="nil"/>
            </w:tcBorders>
            <w:shd w:val="clear" w:color="auto" w:fill="auto"/>
            <w:vAlign w:val="center"/>
          </w:tcPr>
          <w:p w14:paraId="06F317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43" w:type="dxa"/>
            <w:tcBorders>
              <w:tl2br w:val="nil"/>
              <w:tr2bl w:val="nil"/>
            </w:tcBorders>
            <w:shd w:val="clear" w:color="auto" w:fill="auto"/>
            <w:vAlign w:val="center"/>
          </w:tcPr>
          <w:p w14:paraId="568CA6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c>
          <w:tcPr>
            <w:tcW w:w="947" w:type="dxa"/>
            <w:tcBorders>
              <w:tl2br w:val="nil"/>
              <w:tr2bl w:val="nil"/>
            </w:tcBorders>
            <w:shd w:val="clear" w:color="auto" w:fill="auto"/>
            <w:vAlign w:val="center"/>
          </w:tcPr>
          <w:p w14:paraId="092987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c>
          <w:tcPr>
            <w:tcW w:w="1015" w:type="dxa"/>
            <w:tcBorders>
              <w:tl2br w:val="nil"/>
              <w:tr2bl w:val="nil"/>
            </w:tcBorders>
            <w:shd w:val="clear" w:color="auto" w:fill="auto"/>
            <w:vAlign w:val="center"/>
          </w:tcPr>
          <w:p w14:paraId="2DA83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4" w:type="dxa"/>
            <w:tcBorders>
              <w:tl2br w:val="nil"/>
              <w:tr2bl w:val="nil"/>
            </w:tcBorders>
            <w:shd w:val="clear" w:color="auto" w:fill="auto"/>
            <w:vAlign w:val="center"/>
          </w:tcPr>
          <w:p w14:paraId="6C743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1" w:type="dxa"/>
            <w:tcBorders>
              <w:tl2br w:val="nil"/>
              <w:tr2bl w:val="nil"/>
            </w:tcBorders>
            <w:shd w:val="clear" w:color="auto" w:fill="auto"/>
            <w:vAlign w:val="center"/>
          </w:tcPr>
          <w:p w14:paraId="7EC479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2D2504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10" w:hRule="atLeast"/>
          <w:jc w:val="center"/>
        </w:trPr>
        <w:tc>
          <w:tcPr>
            <w:tcW w:w="1038" w:type="dxa"/>
            <w:tcBorders>
              <w:tl2br w:val="nil"/>
              <w:tr2bl w:val="nil"/>
            </w:tcBorders>
            <w:shd w:val="clear" w:color="auto" w:fill="auto"/>
            <w:vAlign w:val="center"/>
          </w:tcPr>
          <w:p w14:paraId="44B97B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335" w:type="dxa"/>
            <w:tcBorders>
              <w:tl2br w:val="nil"/>
              <w:tr2bl w:val="nil"/>
            </w:tcBorders>
            <w:shd w:val="clear" w:color="auto" w:fill="auto"/>
            <w:vAlign w:val="center"/>
          </w:tcPr>
          <w:p w14:paraId="3AE3A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130" w:type="dxa"/>
            <w:tcBorders>
              <w:tl2br w:val="nil"/>
              <w:tr2bl w:val="nil"/>
            </w:tcBorders>
            <w:shd w:val="clear" w:color="auto" w:fill="auto"/>
            <w:vAlign w:val="center"/>
          </w:tcPr>
          <w:p w14:paraId="112BB465">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基本公共卫生服务县级配套项目成本</w:t>
            </w:r>
          </w:p>
        </w:tc>
        <w:tc>
          <w:tcPr>
            <w:tcW w:w="495" w:type="dxa"/>
            <w:tcBorders>
              <w:tl2br w:val="nil"/>
              <w:tr2bl w:val="nil"/>
            </w:tcBorders>
            <w:shd w:val="clear" w:color="auto" w:fill="auto"/>
            <w:vAlign w:val="center"/>
          </w:tcPr>
          <w:p w14:paraId="72C799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43" w:type="dxa"/>
            <w:tcBorders>
              <w:tl2br w:val="nil"/>
              <w:tr2bl w:val="nil"/>
            </w:tcBorders>
            <w:shd w:val="clear" w:color="auto" w:fill="auto"/>
            <w:vAlign w:val="center"/>
          </w:tcPr>
          <w:p w14:paraId="09A02E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1.37429</w:t>
            </w:r>
          </w:p>
        </w:tc>
        <w:tc>
          <w:tcPr>
            <w:tcW w:w="947" w:type="dxa"/>
            <w:tcBorders>
              <w:tl2br w:val="nil"/>
              <w:tr2bl w:val="nil"/>
            </w:tcBorders>
            <w:shd w:val="clear" w:color="auto" w:fill="auto"/>
            <w:vAlign w:val="center"/>
          </w:tcPr>
          <w:p w14:paraId="646376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1.37429</w:t>
            </w:r>
          </w:p>
        </w:tc>
        <w:tc>
          <w:tcPr>
            <w:tcW w:w="1015" w:type="dxa"/>
            <w:tcBorders>
              <w:tl2br w:val="nil"/>
              <w:tr2bl w:val="nil"/>
            </w:tcBorders>
            <w:shd w:val="clear" w:color="auto" w:fill="auto"/>
            <w:vAlign w:val="center"/>
          </w:tcPr>
          <w:p w14:paraId="7F37FE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c>
          <w:tcPr>
            <w:tcW w:w="674" w:type="dxa"/>
            <w:tcBorders>
              <w:tl2br w:val="nil"/>
              <w:tr2bl w:val="nil"/>
            </w:tcBorders>
            <w:shd w:val="clear" w:color="auto" w:fill="auto"/>
            <w:vAlign w:val="center"/>
          </w:tcPr>
          <w:p w14:paraId="3FAA58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1" w:type="dxa"/>
            <w:tcBorders>
              <w:tl2br w:val="nil"/>
              <w:tr2bl w:val="nil"/>
            </w:tcBorders>
            <w:shd w:val="clear" w:color="auto" w:fill="auto"/>
            <w:vAlign w:val="center"/>
          </w:tcPr>
          <w:p w14:paraId="10FED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bl>
    <w:p w14:paraId="68809026">
      <w:pPr>
        <w:pStyle w:val="2"/>
        <w:rPr>
          <w:rFonts w:hint="eastAsia"/>
          <w:lang w:val="en-US" w:eastAsia="zh-CN"/>
        </w:rPr>
      </w:pPr>
    </w:p>
    <w:tbl>
      <w:tblPr>
        <w:tblStyle w:val="17"/>
        <w:tblW w:w="85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15" w:type="dxa"/>
          <w:left w:w="15" w:type="dxa"/>
          <w:bottom w:w="15" w:type="dxa"/>
          <w:right w:w="15" w:type="dxa"/>
        </w:tblCellMar>
      </w:tblPr>
      <w:tblGrid>
        <w:gridCol w:w="877"/>
        <w:gridCol w:w="1874"/>
        <w:gridCol w:w="886"/>
        <w:gridCol w:w="1633"/>
        <w:gridCol w:w="537"/>
        <w:gridCol w:w="1119"/>
        <w:gridCol w:w="540"/>
        <w:gridCol w:w="1114"/>
      </w:tblGrid>
      <w:tr w14:paraId="6FB83C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15" w:type="dxa"/>
            <w:left w:w="15" w:type="dxa"/>
            <w:bottom w:w="15" w:type="dxa"/>
            <w:right w:w="15" w:type="dxa"/>
          </w:tblCellMar>
        </w:tblPrEx>
        <w:trPr>
          <w:trHeight w:val="613" w:hRule="atLeast"/>
          <w:jc w:val="center"/>
        </w:trPr>
        <w:tc>
          <w:tcPr>
            <w:tcW w:w="8580" w:type="dxa"/>
            <w:gridSpan w:val="8"/>
            <w:tcBorders>
              <w:tl2br w:val="nil"/>
              <w:tr2bl w:val="nil"/>
            </w:tcBorders>
            <w:shd w:val="clear" w:color="auto" w:fill="auto"/>
            <w:vAlign w:val="center"/>
          </w:tcPr>
          <w:p w14:paraId="0BCEDC68">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方正小标宋简体" w:hAnsi="方正小标宋简体" w:eastAsia="方正小标宋简体" w:cs="方正小标宋简体"/>
                <w:b w:val="0"/>
                <w:bCs/>
                <w:i w:val="0"/>
                <w:color w:val="000000"/>
                <w:kern w:val="0"/>
                <w:sz w:val="40"/>
                <w:szCs w:val="40"/>
                <w:u w:val="none"/>
                <w:lang w:val="en-US" w:eastAsia="zh-CN" w:bidi="ar"/>
              </w:rPr>
              <w:t>年度绩效目标表</w:t>
            </w:r>
          </w:p>
        </w:tc>
      </w:tr>
      <w:tr w14:paraId="5D0C10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02" w:hRule="atLeast"/>
          <w:jc w:val="center"/>
        </w:trPr>
        <w:tc>
          <w:tcPr>
            <w:tcW w:w="877" w:type="dxa"/>
            <w:tcBorders>
              <w:tl2br w:val="nil"/>
              <w:tr2bl w:val="nil"/>
            </w:tcBorders>
            <w:shd w:val="clear" w:color="auto" w:fill="auto"/>
            <w:vAlign w:val="center"/>
          </w:tcPr>
          <w:p w14:paraId="3257B5AC">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单位</w:t>
            </w:r>
          </w:p>
          <w:p w14:paraId="28BEDC42">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w:t>
            </w:r>
          </w:p>
        </w:tc>
        <w:tc>
          <w:tcPr>
            <w:tcW w:w="1874" w:type="dxa"/>
            <w:tcBorders>
              <w:tl2br w:val="nil"/>
              <w:tr2bl w:val="nil"/>
            </w:tcBorders>
            <w:shd w:val="clear" w:color="auto" w:fill="auto"/>
            <w:vAlign w:val="center"/>
          </w:tcPr>
          <w:p w14:paraId="1BE3483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122008-红原县刷经寺镇卫生院</w:t>
            </w:r>
          </w:p>
        </w:tc>
        <w:tc>
          <w:tcPr>
            <w:tcW w:w="886" w:type="dxa"/>
            <w:tcBorders>
              <w:tl2br w:val="nil"/>
              <w:tr2bl w:val="nil"/>
            </w:tcBorders>
            <w:shd w:val="clear" w:color="auto" w:fill="auto"/>
            <w:vAlign w:val="center"/>
          </w:tcPr>
          <w:p w14:paraId="5E3D74AD">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预算</w:t>
            </w:r>
          </w:p>
          <w:p w14:paraId="74194E3F">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w:t>
            </w:r>
          </w:p>
        </w:tc>
        <w:tc>
          <w:tcPr>
            <w:tcW w:w="2170" w:type="dxa"/>
            <w:gridSpan w:val="2"/>
            <w:tcBorders>
              <w:tl2br w:val="nil"/>
              <w:tr2bl w:val="nil"/>
            </w:tcBorders>
            <w:shd w:val="clear" w:color="auto" w:fill="auto"/>
            <w:vAlign w:val="center"/>
          </w:tcPr>
          <w:p w14:paraId="45689D1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51323325T000012954985-县级配套基本药物</w:t>
            </w:r>
          </w:p>
        </w:tc>
        <w:tc>
          <w:tcPr>
            <w:tcW w:w="1119" w:type="dxa"/>
            <w:tcBorders>
              <w:tl2br w:val="nil"/>
              <w:tr2bl w:val="nil"/>
            </w:tcBorders>
            <w:shd w:val="clear" w:color="auto" w:fill="auto"/>
            <w:vAlign w:val="center"/>
          </w:tcPr>
          <w:p w14:paraId="7D56242E">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职能职责与活动：</w:t>
            </w:r>
          </w:p>
        </w:tc>
        <w:tc>
          <w:tcPr>
            <w:tcW w:w="1654" w:type="dxa"/>
            <w:gridSpan w:val="2"/>
            <w:tcBorders>
              <w:tl2br w:val="nil"/>
              <w:tr2bl w:val="nil"/>
            </w:tcBorders>
            <w:shd w:val="clear" w:color="auto" w:fill="auto"/>
            <w:vAlign w:val="center"/>
          </w:tcPr>
          <w:p w14:paraId="78722967">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12-医疗卫生服务/04-基本药物制度</w:t>
            </w:r>
          </w:p>
        </w:tc>
      </w:tr>
      <w:tr w14:paraId="44F9B1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13" w:hRule="atLeast"/>
          <w:jc w:val="center"/>
        </w:trPr>
        <w:tc>
          <w:tcPr>
            <w:tcW w:w="877" w:type="dxa"/>
            <w:tcBorders>
              <w:tl2br w:val="nil"/>
              <w:tr2bl w:val="nil"/>
            </w:tcBorders>
            <w:shd w:val="clear" w:color="auto" w:fill="auto"/>
            <w:vAlign w:val="center"/>
          </w:tcPr>
          <w:p w14:paraId="78416961">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主管</w:t>
            </w:r>
          </w:p>
          <w:p w14:paraId="790E25E3">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874" w:type="dxa"/>
            <w:tcBorders>
              <w:tl2br w:val="nil"/>
              <w:tr2bl w:val="nil"/>
            </w:tcBorders>
            <w:shd w:val="clear" w:color="auto" w:fill="auto"/>
            <w:vAlign w:val="center"/>
          </w:tcPr>
          <w:p w14:paraId="4F16397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122-红原县卫生健康局</w:t>
            </w:r>
          </w:p>
        </w:tc>
        <w:tc>
          <w:tcPr>
            <w:tcW w:w="886" w:type="dxa"/>
            <w:tcBorders>
              <w:tl2br w:val="nil"/>
              <w:tr2bl w:val="nil"/>
            </w:tcBorders>
            <w:shd w:val="clear" w:color="auto" w:fill="auto"/>
            <w:vAlign w:val="center"/>
          </w:tcPr>
          <w:p w14:paraId="20633286">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项目经</w:t>
            </w:r>
          </w:p>
          <w:p w14:paraId="7BAAAFDC">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办人：</w:t>
            </w:r>
          </w:p>
        </w:tc>
        <w:tc>
          <w:tcPr>
            <w:tcW w:w="1633" w:type="dxa"/>
            <w:tcBorders>
              <w:tl2br w:val="nil"/>
              <w:tr2bl w:val="nil"/>
            </w:tcBorders>
            <w:shd w:val="clear" w:color="auto" w:fill="auto"/>
            <w:vAlign w:val="center"/>
          </w:tcPr>
          <w:p w14:paraId="16BB23C7">
            <w:pPr>
              <w:jc w:val="left"/>
              <w:rPr>
                <w:rFonts w:hint="eastAsia" w:ascii="宋体" w:hAnsi="宋体" w:eastAsia="宋体" w:cs="宋体"/>
                <w:i w:val="0"/>
                <w:color w:val="000000"/>
                <w:sz w:val="20"/>
                <w:szCs w:val="20"/>
                <w:u w:val="none"/>
              </w:rPr>
            </w:pPr>
          </w:p>
        </w:tc>
        <w:tc>
          <w:tcPr>
            <w:tcW w:w="537" w:type="dxa"/>
            <w:tcBorders>
              <w:tl2br w:val="nil"/>
              <w:tr2bl w:val="nil"/>
            </w:tcBorders>
            <w:shd w:val="clear" w:color="auto" w:fill="auto"/>
            <w:vAlign w:val="center"/>
          </w:tcPr>
          <w:p w14:paraId="6F12BD09">
            <w:pPr>
              <w:jc w:val="right"/>
              <w:rPr>
                <w:rFonts w:hint="eastAsia" w:ascii="宋体" w:hAnsi="宋体" w:eastAsia="宋体" w:cs="宋体"/>
                <w:i w:val="0"/>
                <w:color w:val="000000"/>
                <w:sz w:val="20"/>
                <w:szCs w:val="20"/>
                <w:u w:val="none"/>
              </w:rPr>
            </w:pPr>
          </w:p>
        </w:tc>
        <w:tc>
          <w:tcPr>
            <w:tcW w:w="1119" w:type="dxa"/>
            <w:tcBorders>
              <w:tl2br w:val="nil"/>
              <w:tr2bl w:val="nil"/>
            </w:tcBorders>
            <w:shd w:val="clear" w:color="auto" w:fill="auto"/>
            <w:vAlign w:val="center"/>
          </w:tcPr>
          <w:p w14:paraId="5114DA3F">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项目</w:t>
            </w:r>
          </w:p>
          <w:p w14:paraId="51624234">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总额：</w:t>
            </w:r>
          </w:p>
        </w:tc>
        <w:tc>
          <w:tcPr>
            <w:tcW w:w="540" w:type="dxa"/>
            <w:tcBorders>
              <w:tl2br w:val="nil"/>
              <w:tr2bl w:val="nil"/>
            </w:tcBorders>
            <w:shd w:val="clear" w:color="auto" w:fill="auto"/>
            <w:vAlign w:val="center"/>
          </w:tcPr>
          <w:p w14:paraId="5BC8AB1E">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0.59</w:t>
            </w:r>
          </w:p>
        </w:tc>
        <w:tc>
          <w:tcPr>
            <w:tcW w:w="1114" w:type="dxa"/>
            <w:tcBorders>
              <w:tl2br w:val="nil"/>
              <w:tr2bl w:val="nil"/>
            </w:tcBorders>
            <w:shd w:val="clear" w:color="auto" w:fill="auto"/>
            <w:vAlign w:val="center"/>
          </w:tcPr>
          <w:p w14:paraId="69E103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615BB4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13" w:hRule="atLeast"/>
          <w:jc w:val="center"/>
        </w:trPr>
        <w:tc>
          <w:tcPr>
            <w:tcW w:w="877" w:type="dxa"/>
            <w:tcBorders>
              <w:tl2br w:val="nil"/>
              <w:tr2bl w:val="nil"/>
            </w:tcBorders>
            <w:shd w:val="clear" w:color="auto" w:fill="auto"/>
            <w:vAlign w:val="center"/>
          </w:tcPr>
          <w:p w14:paraId="2CA7C714">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预算执行率权重：</w:t>
            </w:r>
          </w:p>
        </w:tc>
        <w:tc>
          <w:tcPr>
            <w:tcW w:w="1874" w:type="dxa"/>
            <w:tcBorders>
              <w:tl2br w:val="nil"/>
              <w:tr2bl w:val="nil"/>
            </w:tcBorders>
            <w:shd w:val="clear" w:color="auto" w:fill="auto"/>
            <w:vAlign w:val="center"/>
          </w:tcPr>
          <w:p w14:paraId="2545579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86" w:type="dxa"/>
            <w:tcBorders>
              <w:tl2br w:val="nil"/>
              <w:tr2bl w:val="nil"/>
            </w:tcBorders>
            <w:shd w:val="clear" w:color="auto" w:fill="auto"/>
            <w:vAlign w:val="center"/>
          </w:tcPr>
          <w:p w14:paraId="6F92AABA">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项目经办人电话：</w:t>
            </w:r>
          </w:p>
        </w:tc>
        <w:tc>
          <w:tcPr>
            <w:tcW w:w="1633" w:type="dxa"/>
            <w:tcBorders>
              <w:tl2br w:val="nil"/>
              <w:tr2bl w:val="nil"/>
            </w:tcBorders>
            <w:shd w:val="clear" w:color="auto" w:fill="auto"/>
            <w:vAlign w:val="center"/>
          </w:tcPr>
          <w:p w14:paraId="4CB71698">
            <w:pPr>
              <w:jc w:val="left"/>
              <w:rPr>
                <w:rFonts w:hint="eastAsia" w:ascii="宋体" w:hAnsi="宋体" w:eastAsia="宋体" w:cs="宋体"/>
                <w:i w:val="0"/>
                <w:color w:val="000000"/>
                <w:sz w:val="20"/>
                <w:szCs w:val="20"/>
                <w:u w:val="none"/>
              </w:rPr>
            </w:pPr>
          </w:p>
        </w:tc>
        <w:tc>
          <w:tcPr>
            <w:tcW w:w="537" w:type="dxa"/>
            <w:tcBorders>
              <w:tl2br w:val="nil"/>
              <w:tr2bl w:val="nil"/>
            </w:tcBorders>
            <w:shd w:val="clear" w:color="auto" w:fill="auto"/>
            <w:vAlign w:val="center"/>
          </w:tcPr>
          <w:p w14:paraId="0AFCE845">
            <w:pPr>
              <w:jc w:val="right"/>
              <w:rPr>
                <w:rFonts w:hint="eastAsia" w:ascii="宋体" w:hAnsi="宋体" w:eastAsia="宋体" w:cs="宋体"/>
                <w:i w:val="0"/>
                <w:color w:val="000000"/>
                <w:sz w:val="20"/>
                <w:szCs w:val="20"/>
                <w:u w:val="none"/>
              </w:rPr>
            </w:pPr>
          </w:p>
        </w:tc>
        <w:tc>
          <w:tcPr>
            <w:tcW w:w="1119" w:type="dxa"/>
            <w:tcBorders>
              <w:tl2br w:val="nil"/>
              <w:tr2bl w:val="nil"/>
            </w:tcBorders>
            <w:shd w:val="clear" w:color="auto" w:fill="auto"/>
            <w:vAlign w:val="center"/>
          </w:tcPr>
          <w:p w14:paraId="4119D1E1">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其中： </w:t>
            </w:r>
          </w:p>
          <w:p w14:paraId="7D56DCDA">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w:t>
            </w:r>
          </w:p>
        </w:tc>
        <w:tc>
          <w:tcPr>
            <w:tcW w:w="540" w:type="dxa"/>
            <w:tcBorders>
              <w:tl2br w:val="nil"/>
              <w:tr2bl w:val="nil"/>
            </w:tcBorders>
            <w:shd w:val="clear" w:color="auto" w:fill="auto"/>
            <w:vAlign w:val="center"/>
          </w:tcPr>
          <w:p w14:paraId="11C31A48">
            <w:pPr>
              <w:jc w:val="left"/>
              <w:rPr>
                <w:rFonts w:hint="eastAsia" w:ascii="宋体" w:hAnsi="宋体" w:eastAsia="宋体" w:cs="宋体"/>
                <w:i w:val="0"/>
                <w:color w:val="000000"/>
                <w:sz w:val="20"/>
                <w:szCs w:val="20"/>
                <w:u w:val="none"/>
              </w:rPr>
            </w:pPr>
          </w:p>
        </w:tc>
        <w:tc>
          <w:tcPr>
            <w:tcW w:w="1114" w:type="dxa"/>
            <w:tcBorders>
              <w:tl2br w:val="nil"/>
              <w:tr2bl w:val="nil"/>
            </w:tcBorders>
            <w:shd w:val="clear" w:color="auto" w:fill="auto"/>
            <w:vAlign w:val="center"/>
          </w:tcPr>
          <w:p w14:paraId="4D22D2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3B4C8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13" w:hRule="atLeast"/>
          <w:jc w:val="center"/>
        </w:trPr>
        <w:tc>
          <w:tcPr>
            <w:tcW w:w="877" w:type="dxa"/>
            <w:vMerge w:val="restart"/>
            <w:tcBorders>
              <w:tl2br w:val="nil"/>
              <w:tr2bl w:val="nil"/>
            </w:tcBorders>
            <w:shd w:val="clear" w:color="auto" w:fill="auto"/>
            <w:vAlign w:val="center"/>
          </w:tcPr>
          <w:p w14:paraId="3AD2E316">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年度</w:t>
            </w:r>
          </w:p>
          <w:p w14:paraId="293BE563">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w:t>
            </w:r>
          </w:p>
        </w:tc>
        <w:tc>
          <w:tcPr>
            <w:tcW w:w="4930" w:type="dxa"/>
            <w:gridSpan w:val="4"/>
            <w:vMerge w:val="restart"/>
            <w:tcBorders>
              <w:tl2br w:val="nil"/>
              <w:tr2bl w:val="nil"/>
            </w:tcBorders>
            <w:shd w:val="clear" w:color="auto" w:fill="auto"/>
            <w:vAlign w:val="top"/>
          </w:tcPr>
          <w:p w14:paraId="796757F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县级配套基本药物用于卫生院日常开支，包含办公费、邮电费、电费等</w:t>
            </w:r>
          </w:p>
        </w:tc>
        <w:tc>
          <w:tcPr>
            <w:tcW w:w="1119" w:type="dxa"/>
            <w:tcBorders>
              <w:tl2br w:val="nil"/>
              <w:tr2bl w:val="nil"/>
            </w:tcBorders>
            <w:shd w:val="clear" w:color="auto" w:fill="auto"/>
            <w:vAlign w:val="center"/>
          </w:tcPr>
          <w:p w14:paraId="7AB529CC">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财政专户管理资金：</w:t>
            </w:r>
          </w:p>
        </w:tc>
        <w:tc>
          <w:tcPr>
            <w:tcW w:w="540" w:type="dxa"/>
            <w:tcBorders>
              <w:tl2br w:val="nil"/>
              <w:tr2bl w:val="nil"/>
            </w:tcBorders>
            <w:shd w:val="clear" w:color="auto" w:fill="auto"/>
            <w:vAlign w:val="center"/>
          </w:tcPr>
          <w:p w14:paraId="39F0101B">
            <w:pPr>
              <w:jc w:val="left"/>
              <w:rPr>
                <w:rFonts w:hint="eastAsia" w:ascii="宋体" w:hAnsi="宋体" w:eastAsia="宋体" w:cs="宋体"/>
                <w:i w:val="0"/>
                <w:color w:val="000000"/>
                <w:sz w:val="20"/>
                <w:szCs w:val="20"/>
                <w:u w:val="none"/>
              </w:rPr>
            </w:pPr>
          </w:p>
        </w:tc>
        <w:tc>
          <w:tcPr>
            <w:tcW w:w="1114" w:type="dxa"/>
            <w:tcBorders>
              <w:tl2br w:val="nil"/>
              <w:tr2bl w:val="nil"/>
            </w:tcBorders>
            <w:shd w:val="clear" w:color="auto" w:fill="auto"/>
            <w:vAlign w:val="center"/>
          </w:tcPr>
          <w:p w14:paraId="33D5191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17E855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457" w:hRule="atLeast"/>
          <w:jc w:val="center"/>
        </w:trPr>
        <w:tc>
          <w:tcPr>
            <w:tcW w:w="877" w:type="dxa"/>
            <w:vMerge w:val="continue"/>
            <w:tcBorders>
              <w:tl2br w:val="nil"/>
              <w:tr2bl w:val="nil"/>
            </w:tcBorders>
            <w:shd w:val="clear" w:color="auto" w:fill="auto"/>
            <w:vAlign w:val="center"/>
          </w:tcPr>
          <w:p w14:paraId="79E2E66A">
            <w:pPr>
              <w:jc w:val="left"/>
              <w:rPr>
                <w:rFonts w:hint="eastAsia" w:ascii="宋体" w:hAnsi="宋体" w:eastAsia="宋体" w:cs="宋体"/>
                <w:i w:val="0"/>
                <w:color w:val="000000"/>
                <w:sz w:val="20"/>
                <w:szCs w:val="20"/>
                <w:u w:val="none"/>
              </w:rPr>
            </w:pPr>
          </w:p>
        </w:tc>
        <w:tc>
          <w:tcPr>
            <w:tcW w:w="4930" w:type="dxa"/>
            <w:gridSpan w:val="4"/>
            <w:vMerge w:val="continue"/>
            <w:tcBorders>
              <w:tl2br w:val="nil"/>
              <w:tr2bl w:val="nil"/>
            </w:tcBorders>
            <w:shd w:val="clear" w:color="auto" w:fill="auto"/>
            <w:vAlign w:val="top"/>
          </w:tcPr>
          <w:p w14:paraId="23F2F2B9">
            <w:pPr>
              <w:jc w:val="left"/>
              <w:rPr>
                <w:rFonts w:hint="eastAsia" w:ascii="宋体" w:hAnsi="宋体" w:eastAsia="宋体" w:cs="宋体"/>
                <w:i w:val="0"/>
                <w:color w:val="000000"/>
                <w:sz w:val="20"/>
                <w:szCs w:val="20"/>
                <w:u w:val="none"/>
              </w:rPr>
            </w:pPr>
          </w:p>
        </w:tc>
        <w:tc>
          <w:tcPr>
            <w:tcW w:w="1119" w:type="dxa"/>
            <w:tcBorders>
              <w:tl2br w:val="nil"/>
              <w:tr2bl w:val="nil"/>
            </w:tcBorders>
            <w:shd w:val="clear" w:color="auto" w:fill="auto"/>
            <w:vAlign w:val="center"/>
          </w:tcPr>
          <w:p w14:paraId="32C9252D">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单位资金：</w:t>
            </w:r>
          </w:p>
        </w:tc>
        <w:tc>
          <w:tcPr>
            <w:tcW w:w="540" w:type="dxa"/>
            <w:tcBorders>
              <w:tl2br w:val="nil"/>
              <w:tr2bl w:val="nil"/>
            </w:tcBorders>
            <w:shd w:val="clear" w:color="auto" w:fill="auto"/>
            <w:vAlign w:val="center"/>
          </w:tcPr>
          <w:p w14:paraId="38F0BBC3">
            <w:pPr>
              <w:jc w:val="left"/>
              <w:rPr>
                <w:rFonts w:hint="eastAsia" w:ascii="宋体" w:hAnsi="宋体" w:eastAsia="宋体" w:cs="宋体"/>
                <w:i w:val="0"/>
                <w:color w:val="000000"/>
                <w:sz w:val="20"/>
                <w:szCs w:val="20"/>
                <w:u w:val="none"/>
              </w:rPr>
            </w:pPr>
          </w:p>
        </w:tc>
        <w:tc>
          <w:tcPr>
            <w:tcW w:w="1114" w:type="dxa"/>
            <w:tcBorders>
              <w:tl2br w:val="nil"/>
              <w:tr2bl w:val="nil"/>
            </w:tcBorders>
            <w:shd w:val="clear" w:color="auto" w:fill="auto"/>
            <w:vAlign w:val="center"/>
          </w:tcPr>
          <w:p w14:paraId="722C53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688B8B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457" w:hRule="atLeast"/>
          <w:jc w:val="center"/>
        </w:trPr>
        <w:tc>
          <w:tcPr>
            <w:tcW w:w="877" w:type="dxa"/>
            <w:vMerge w:val="continue"/>
            <w:tcBorders>
              <w:tl2br w:val="nil"/>
              <w:tr2bl w:val="nil"/>
            </w:tcBorders>
            <w:shd w:val="clear" w:color="auto" w:fill="auto"/>
            <w:vAlign w:val="center"/>
          </w:tcPr>
          <w:p w14:paraId="0D2A6636">
            <w:pPr>
              <w:jc w:val="left"/>
              <w:rPr>
                <w:rFonts w:hint="eastAsia" w:ascii="宋体" w:hAnsi="宋体" w:eastAsia="宋体" w:cs="宋体"/>
                <w:i w:val="0"/>
                <w:color w:val="000000"/>
                <w:sz w:val="20"/>
                <w:szCs w:val="20"/>
                <w:u w:val="none"/>
              </w:rPr>
            </w:pPr>
          </w:p>
        </w:tc>
        <w:tc>
          <w:tcPr>
            <w:tcW w:w="4930" w:type="dxa"/>
            <w:gridSpan w:val="4"/>
            <w:vMerge w:val="continue"/>
            <w:tcBorders>
              <w:tl2br w:val="nil"/>
              <w:tr2bl w:val="nil"/>
            </w:tcBorders>
            <w:shd w:val="clear" w:color="auto" w:fill="auto"/>
            <w:vAlign w:val="top"/>
          </w:tcPr>
          <w:p w14:paraId="2B900FAA">
            <w:pPr>
              <w:jc w:val="left"/>
              <w:rPr>
                <w:rFonts w:hint="eastAsia" w:ascii="宋体" w:hAnsi="宋体" w:eastAsia="宋体" w:cs="宋体"/>
                <w:i w:val="0"/>
                <w:color w:val="000000"/>
                <w:sz w:val="20"/>
                <w:szCs w:val="20"/>
                <w:u w:val="none"/>
              </w:rPr>
            </w:pPr>
          </w:p>
        </w:tc>
        <w:tc>
          <w:tcPr>
            <w:tcW w:w="1119" w:type="dxa"/>
            <w:tcBorders>
              <w:tl2br w:val="nil"/>
              <w:tr2bl w:val="nil"/>
            </w:tcBorders>
            <w:shd w:val="clear" w:color="auto" w:fill="auto"/>
            <w:vAlign w:val="center"/>
          </w:tcPr>
          <w:p w14:paraId="38F707D0">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社会投入资金：</w:t>
            </w:r>
          </w:p>
        </w:tc>
        <w:tc>
          <w:tcPr>
            <w:tcW w:w="540" w:type="dxa"/>
            <w:tcBorders>
              <w:tl2br w:val="nil"/>
              <w:tr2bl w:val="nil"/>
            </w:tcBorders>
            <w:shd w:val="clear" w:color="auto" w:fill="auto"/>
            <w:vAlign w:val="center"/>
          </w:tcPr>
          <w:p w14:paraId="134C814D">
            <w:pPr>
              <w:jc w:val="left"/>
              <w:rPr>
                <w:rFonts w:hint="eastAsia" w:ascii="宋体" w:hAnsi="宋体" w:eastAsia="宋体" w:cs="宋体"/>
                <w:i w:val="0"/>
                <w:color w:val="000000"/>
                <w:sz w:val="20"/>
                <w:szCs w:val="20"/>
                <w:u w:val="none"/>
              </w:rPr>
            </w:pPr>
          </w:p>
        </w:tc>
        <w:tc>
          <w:tcPr>
            <w:tcW w:w="1114" w:type="dxa"/>
            <w:tcBorders>
              <w:tl2br w:val="nil"/>
              <w:tr2bl w:val="nil"/>
            </w:tcBorders>
            <w:shd w:val="clear" w:color="auto" w:fill="auto"/>
            <w:vAlign w:val="center"/>
          </w:tcPr>
          <w:p w14:paraId="03D7822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r w14:paraId="099B6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457" w:hRule="atLeast"/>
          <w:jc w:val="center"/>
        </w:trPr>
        <w:tc>
          <w:tcPr>
            <w:tcW w:w="877" w:type="dxa"/>
            <w:vMerge w:val="continue"/>
            <w:tcBorders>
              <w:tl2br w:val="nil"/>
              <w:tr2bl w:val="nil"/>
            </w:tcBorders>
            <w:shd w:val="clear" w:color="auto" w:fill="auto"/>
            <w:vAlign w:val="center"/>
          </w:tcPr>
          <w:p w14:paraId="795EFF8A">
            <w:pPr>
              <w:jc w:val="left"/>
              <w:rPr>
                <w:rFonts w:hint="eastAsia" w:ascii="宋体" w:hAnsi="宋体" w:eastAsia="宋体" w:cs="宋体"/>
                <w:i w:val="0"/>
                <w:color w:val="000000"/>
                <w:sz w:val="20"/>
                <w:szCs w:val="20"/>
                <w:u w:val="none"/>
              </w:rPr>
            </w:pPr>
          </w:p>
        </w:tc>
        <w:tc>
          <w:tcPr>
            <w:tcW w:w="4930" w:type="dxa"/>
            <w:gridSpan w:val="4"/>
            <w:vMerge w:val="continue"/>
            <w:tcBorders>
              <w:tl2br w:val="nil"/>
              <w:tr2bl w:val="nil"/>
            </w:tcBorders>
            <w:shd w:val="clear" w:color="auto" w:fill="auto"/>
            <w:vAlign w:val="top"/>
          </w:tcPr>
          <w:p w14:paraId="18C5E0C5">
            <w:pPr>
              <w:jc w:val="left"/>
              <w:rPr>
                <w:rFonts w:hint="eastAsia" w:ascii="宋体" w:hAnsi="宋体" w:eastAsia="宋体" w:cs="宋体"/>
                <w:i w:val="0"/>
                <w:color w:val="000000"/>
                <w:sz w:val="20"/>
                <w:szCs w:val="20"/>
                <w:u w:val="none"/>
              </w:rPr>
            </w:pPr>
          </w:p>
        </w:tc>
        <w:tc>
          <w:tcPr>
            <w:tcW w:w="1119" w:type="dxa"/>
            <w:tcBorders>
              <w:tl2br w:val="nil"/>
              <w:tr2bl w:val="nil"/>
            </w:tcBorders>
            <w:shd w:val="clear" w:color="auto" w:fill="auto"/>
            <w:vAlign w:val="center"/>
          </w:tcPr>
          <w:p w14:paraId="2B534120">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银行贷款：</w:t>
            </w:r>
          </w:p>
        </w:tc>
        <w:tc>
          <w:tcPr>
            <w:tcW w:w="540" w:type="dxa"/>
            <w:tcBorders>
              <w:tl2br w:val="nil"/>
              <w:tr2bl w:val="nil"/>
            </w:tcBorders>
            <w:shd w:val="clear" w:color="auto" w:fill="auto"/>
            <w:vAlign w:val="center"/>
          </w:tcPr>
          <w:p w14:paraId="012628BD">
            <w:pPr>
              <w:jc w:val="left"/>
              <w:rPr>
                <w:rFonts w:hint="eastAsia" w:ascii="宋体" w:hAnsi="宋体" w:eastAsia="宋体" w:cs="宋体"/>
                <w:i w:val="0"/>
                <w:color w:val="000000"/>
                <w:sz w:val="20"/>
                <w:szCs w:val="20"/>
                <w:u w:val="none"/>
              </w:rPr>
            </w:pPr>
          </w:p>
        </w:tc>
        <w:tc>
          <w:tcPr>
            <w:tcW w:w="1114" w:type="dxa"/>
            <w:tcBorders>
              <w:tl2br w:val="nil"/>
              <w:tr2bl w:val="nil"/>
            </w:tcBorders>
            <w:shd w:val="clear" w:color="auto" w:fill="auto"/>
            <w:vAlign w:val="center"/>
          </w:tcPr>
          <w:p w14:paraId="5B30BD4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万元</w:t>
            </w:r>
          </w:p>
        </w:tc>
      </w:tr>
    </w:tbl>
    <w:p w14:paraId="13A9CC67">
      <w:pPr>
        <w:rPr>
          <w:rFonts w:hint="eastAsia" w:ascii="宋体" w:hAnsi="宋体" w:eastAsia="宋体" w:cs="宋体"/>
          <w:b/>
          <w:i w:val="0"/>
          <w:color w:val="000000"/>
          <w:kern w:val="0"/>
          <w:sz w:val="20"/>
          <w:szCs w:val="20"/>
          <w:u w:val="none"/>
          <w:lang w:val="en-US" w:eastAsia="zh-CN" w:bidi="ar"/>
        </w:rPr>
      </w:pPr>
    </w:p>
    <w:tbl>
      <w:tblPr>
        <w:tblStyle w:val="17"/>
        <w:tblW w:w="86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15" w:type="dxa"/>
          <w:left w:w="15" w:type="dxa"/>
          <w:bottom w:w="15" w:type="dxa"/>
          <w:right w:w="15" w:type="dxa"/>
        </w:tblCellMar>
      </w:tblPr>
      <w:tblGrid>
        <w:gridCol w:w="1050"/>
        <w:gridCol w:w="883"/>
        <w:gridCol w:w="1888"/>
        <w:gridCol w:w="900"/>
        <w:gridCol w:w="840"/>
        <w:gridCol w:w="840"/>
        <w:gridCol w:w="570"/>
        <w:gridCol w:w="840"/>
        <w:gridCol w:w="854"/>
      </w:tblGrid>
      <w:tr w14:paraId="33AD2E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15" w:type="dxa"/>
            <w:left w:w="15" w:type="dxa"/>
            <w:bottom w:w="15" w:type="dxa"/>
            <w:right w:w="15" w:type="dxa"/>
          </w:tblCellMar>
        </w:tblPrEx>
        <w:trPr>
          <w:trHeight w:val="1016" w:hRule="atLeast"/>
          <w:jc w:val="center"/>
        </w:trPr>
        <w:tc>
          <w:tcPr>
            <w:tcW w:w="1050" w:type="dxa"/>
            <w:tcBorders>
              <w:tl2br w:val="nil"/>
              <w:tr2bl w:val="nil"/>
            </w:tcBorders>
            <w:shd w:val="clear" w:color="EBEFF3" w:fill="EBEFF3"/>
            <w:vAlign w:val="center"/>
          </w:tcPr>
          <w:p w14:paraId="3B50CAF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883" w:type="dxa"/>
            <w:tcBorders>
              <w:tl2br w:val="nil"/>
              <w:tr2bl w:val="nil"/>
            </w:tcBorders>
            <w:shd w:val="clear" w:color="EBEFF3" w:fill="EBEFF3"/>
            <w:vAlign w:val="center"/>
          </w:tcPr>
          <w:p w14:paraId="48BA8AA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1888" w:type="dxa"/>
            <w:tcBorders>
              <w:tl2br w:val="nil"/>
              <w:tr2bl w:val="nil"/>
            </w:tcBorders>
            <w:shd w:val="clear" w:color="EBEFF3" w:fill="EBEFF3"/>
            <w:vAlign w:val="center"/>
          </w:tcPr>
          <w:p w14:paraId="22913CB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900" w:type="dxa"/>
            <w:tcBorders>
              <w:tl2br w:val="nil"/>
              <w:tr2bl w:val="nil"/>
            </w:tcBorders>
            <w:shd w:val="clear" w:color="EBEFF3" w:fill="EBEFF3"/>
            <w:vAlign w:val="center"/>
          </w:tcPr>
          <w:p w14:paraId="7902407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指标性质</w:t>
            </w:r>
          </w:p>
        </w:tc>
        <w:tc>
          <w:tcPr>
            <w:tcW w:w="840" w:type="dxa"/>
            <w:tcBorders>
              <w:tl2br w:val="nil"/>
              <w:tr2bl w:val="nil"/>
            </w:tcBorders>
            <w:shd w:val="clear" w:color="EBEFF3" w:fill="EBEFF3"/>
            <w:vAlign w:val="center"/>
          </w:tcPr>
          <w:p w14:paraId="15DA3B3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指标值</w:t>
            </w:r>
          </w:p>
        </w:tc>
        <w:tc>
          <w:tcPr>
            <w:tcW w:w="840" w:type="dxa"/>
            <w:tcBorders>
              <w:tl2br w:val="nil"/>
              <w:tr2bl w:val="nil"/>
            </w:tcBorders>
            <w:shd w:val="clear" w:color="EBEFF3" w:fill="EBEFF3"/>
            <w:vAlign w:val="center"/>
          </w:tcPr>
          <w:p w14:paraId="0EC528F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本年绩效指标值</w:t>
            </w:r>
          </w:p>
        </w:tc>
        <w:tc>
          <w:tcPr>
            <w:tcW w:w="570" w:type="dxa"/>
            <w:tcBorders>
              <w:tl2br w:val="nil"/>
              <w:tr2bl w:val="nil"/>
            </w:tcBorders>
            <w:shd w:val="clear" w:color="EBEFF3" w:fill="EBEFF3"/>
            <w:vAlign w:val="center"/>
          </w:tcPr>
          <w:p w14:paraId="6364405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度量单位</w:t>
            </w:r>
          </w:p>
        </w:tc>
        <w:tc>
          <w:tcPr>
            <w:tcW w:w="840" w:type="dxa"/>
            <w:tcBorders>
              <w:tl2br w:val="nil"/>
              <w:tr2bl w:val="nil"/>
            </w:tcBorders>
            <w:shd w:val="clear" w:color="EBEFF3" w:fill="EBEFF3"/>
            <w:vAlign w:val="center"/>
          </w:tcPr>
          <w:p w14:paraId="2C479FD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权重（%）</w:t>
            </w:r>
          </w:p>
        </w:tc>
        <w:tc>
          <w:tcPr>
            <w:tcW w:w="854" w:type="dxa"/>
            <w:tcBorders>
              <w:tl2br w:val="nil"/>
              <w:tr2bl w:val="nil"/>
            </w:tcBorders>
            <w:shd w:val="clear" w:color="EBEFF3" w:fill="EBEFF3"/>
            <w:vAlign w:val="center"/>
          </w:tcPr>
          <w:p w14:paraId="039514B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本年权重</w:t>
            </w:r>
          </w:p>
        </w:tc>
      </w:tr>
      <w:tr w14:paraId="6A9BE5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56" w:hRule="atLeast"/>
          <w:jc w:val="center"/>
        </w:trPr>
        <w:tc>
          <w:tcPr>
            <w:tcW w:w="1050" w:type="dxa"/>
            <w:tcBorders>
              <w:tl2br w:val="nil"/>
              <w:tr2bl w:val="nil"/>
            </w:tcBorders>
            <w:shd w:val="clear" w:color="auto" w:fill="auto"/>
            <w:vAlign w:val="center"/>
          </w:tcPr>
          <w:p w14:paraId="567C1B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83" w:type="dxa"/>
            <w:tcBorders>
              <w:tl2br w:val="nil"/>
              <w:tr2bl w:val="nil"/>
            </w:tcBorders>
            <w:shd w:val="clear" w:color="auto" w:fill="auto"/>
            <w:vAlign w:val="center"/>
          </w:tcPr>
          <w:p w14:paraId="7DA397E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888" w:type="dxa"/>
            <w:tcBorders>
              <w:tl2br w:val="nil"/>
              <w:tr2bl w:val="nil"/>
            </w:tcBorders>
            <w:shd w:val="clear" w:color="auto" w:fill="auto"/>
            <w:vAlign w:val="center"/>
          </w:tcPr>
          <w:p w14:paraId="30F8DE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基层医疗机构基本药物网购置次数</w:t>
            </w:r>
          </w:p>
        </w:tc>
        <w:tc>
          <w:tcPr>
            <w:tcW w:w="900" w:type="dxa"/>
            <w:tcBorders>
              <w:tl2br w:val="nil"/>
              <w:tr2bl w:val="nil"/>
            </w:tcBorders>
            <w:shd w:val="clear" w:color="auto" w:fill="auto"/>
            <w:vAlign w:val="center"/>
          </w:tcPr>
          <w:p w14:paraId="4D53BD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04D410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840" w:type="dxa"/>
            <w:tcBorders>
              <w:tl2br w:val="nil"/>
              <w:tr2bl w:val="nil"/>
            </w:tcBorders>
            <w:shd w:val="clear" w:color="auto" w:fill="auto"/>
            <w:vAlign w:val="center"/>
          </w:tcPr>
          <w:p w14:paraId="203823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570" w:type="dxa"/>
            <w:tcBorders>
              <w:tl2br w:val="nil"/>
              <w:tr2bl w:val="nil"/>
            </w:tcBorders>
            <w:shd w:val="clear" w:color="auto" w:fill="auto"/>
            <w:vAlign w:val="center"/>
          </w:tcPr>
          <w:p w14:paraId="2D274AB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次</w:t>
            </w:r>
          </w:p>
        </w:tc>
        <w:tc>
          <w:tcPr>
            <w:tcW w:w="840" w:type="dxa"/>
            <w:tcBorders>
              <w:tl2br w:val="nil"/>
              <w:tr2bl w:val="nil"/>
            </w:tcBorders>
            <w:shd w:val="clear" w:color="auto" w:fill="auto"/>
            <w:vAlign w:val="center"/>
          </w:tcPr>
          <w:p w14:paraId="3D5430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54" w:type="dxa"/>
            <w:tcBorders>
              <w:tl2br w:val="nil"/>
              <w:tr2bl w:val="nil"/>
            </w:tcBorders>
            <w:shd w:val="clear" w:color="auto" w:fill="auto"/>
            <w:vAlign w:val="center"/>
          </w:tcPr>
          <w:p w14:paraId="15EDDC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205B55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66" w:hRule="atLeast"/>
          <w:jc w:val="center"/>
        </w:trPr>
        <w:tc>
          <w:tcPr>
            <w:tcW w:w="1050" w:type="dxa"/>
            <w:tcBorders>
              <w:tl2br w:val="nil"/>
              <w:tr2bl w:val="nil"/>
            </w:tcBorders>
            <w:shd w:val="clear" w:color="auto" w:fill="auto"/>
            <w:vAlign w:val="center"/>
          </w:tcPr>
          <w:p w14:paraId="731D797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83" w:type="dxa"/>
            <w:tcBorders>
              <w:tl2br w:val="nil"/>
              <w:tr2bl w:val="nil"/>
            </w:tcBorders>
            <w:shd w:val="clear" w:color="auto" w:fill="auto"/>
            <w:vAlign w:val="center"/>
          </w:tcPr>
          <w:p w14:paraId="68EC69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888" w:type="dxa"/>
            <w:tcBorders>
              <w:tl2br w:val="nil"/>
              <w:tr2bl w:val="nil"/>
            </w:tcBorders>
            <w:shd w:val="clear" w:color="auto" w:fill="auto"/>
            <w:vAlign w:val="center"/>
          </w:tcPr>
          <w:p w14:paraId="1A93CF5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基本药物补助县级配套资金支付准确率</w:t>
            </w:r>
          </w:p>
        </w:tc>
        <w:tc>
          <w:tcPr>
            <w:tcW w:w="900" w:type="dxa"/>
            <w:tcBorders>
              <w:tl2br w:val="nil"/>
              <w:tr2bl w:val="nil"/>
            </w:tcBorders>
            <w:shd w:val="clear" w:color="auto" w:fill="auto"/>
            <w:vAlign w:val="center"/>
          </w:tcPr>
          <w:p w14:paraId="7FB18CD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59B75A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40" w:type="dxa"/>
            <w:tcBorders>
              <w:tl2br w:val="nil"/>
              <w:tr2bl w:val="nil"/>
            </w:tcBorders>
            <w:shd w:val="clear" w:color="auto" w:fill="auto"/>
            <w:vAlign w:val="center"/>
          </w:tcPr>
          <w:p w14:paraId="590FB7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570" w:type="dxa"/>
            <w:tcBorders>
              <w:tl2br w:val="nil"/>
              <w:tr2bl w:val="nil"/>
            </w:tcBorders>
            <w:shd w:val="clear" w:color="auto" w:fill="auto"/>
            <w:vAlign w:val="center"/>
          </w:tcPr>
          <w:p w14:paraId="396BFB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0EC8660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54" w:type="dxa"/>
            <w:tcBorders>
              <w:tl2br w:val="nil"/>
              <w:tr2bl w:val="nil"/>
            </w:tcBorders>
            <w:shd w:val="clear" w:color="auto" w:fill="auto"/>
            <w:vAlign w:val="center"/>
          </w:tcPr>
          <w:p w14:paraId="403F68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0A16F2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66" w:hRule="atLeast"/>
          <w:jc w:val="center"/>
        </w:trPr>
        <w:tc>
          <w:tcPr>
            <w:tcW w:w="1050" w:type="dxa"/>
            <w:tcBorders>
              <w:tl2br w:val="nil"/>
              <w:tr2bl w:val="nil"/>
            </w:tcBorders>
            <w:shd w:val="clear" w:color="auto" w:fill="auto"/>
            <w:vAlign w:val="center"/>
          </w:tcPr>
          <w:p w14:paraId="2254B8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83" w:type="dxa"/>
            <w:tcBorders>
              <w:tl2br w:val="nil"/>
              <w:tr2bl w:val="nil"/>
            </w:tcBorders>
            <w:shd w:val="clear" w:color="auto" w:fill="auto"/>
            <w:vAlign w:val="center"/>
          </w:tcPr>
          <w:p w14:paraId="0F3B9A8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888" w:type="dxa"/>
            <w:tcBorders>
              <w:tl2br w:val="nil"/>
              <w:tr2bl w:val="nil"/>
            </w:tcBorders>
            <w:shd w:val="clear" w:color="auto" w:fill="auto"/>
            <w:vAlign w:val="center"/>
          </w:tcPr>
          <w:p w14:paraId="49BE5C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实行基本药物补助县级配套的基层医疗机构个数</w:t>
            </w:r>
          </w:p>
        </w:tc>
        <w:tc>
          <w:tcPr>
            <w:tcW w:w="900" w:type="dxa"/>
            <w:tcBorders>
              <w:tl2br w:val="nil"/>
              <w:tr2bl w:val="nil"/>
            </w:tcBorders>
            <w:shd w:val="clear" w:color="auto" w:fill="auto"/>
            <w:vAlign w:val="center"/>
          </w:tcPr>
          <w:p w14:paraId="6D260B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5EE6E9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40" w:type="dxa"/>
            <w:tcBorders>
              <w:tl2br w:val="nil"/>
              <w:tr2bl w:val="nil"/>
            </w:tcBorders>
            <w:shd w:val="clear" w:color="auto" w:fill="auto"/>
            <w:vAlign w:val="center"/>
          </w:tcPr>
          <w:p w14:paraId="7F8F68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70" w:type="dxa"/>
            <w:tcBorders>
              <w:tl2br w:val="nil"/>
              <w:tr2bl w:val="nil"/>
            </w:tcBorders>
            <w:shd w:val="clear" w:color="auto" w:fill="auto"/>
            <w:vAlign w:val="center"/>
          </w:tcPr>
          <w:p w14:paraId="3975BD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840" w:type="dxa"/>
            <w:tcBorders>
              <w:tl2br w:val="nil"/>
              <w:tr2bl w:val="nil"/>
            </w:tcBorders>
            <w:shd w:val="clear" w:color="auto" w:fill="auto"/>
            <w:vAlign w:val="center"/>
          </w:tcPr>
          <w:p w14:paraId="24CEB7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54" w:type="dxa"/>
            <w:tcBorders>
              <w:tl2br w:val="nil"/>
              <w:tr2bl w:val="nil"/>
            </w:tcBorders>
            <w:shd w:val="clear" w:color="auto" w:fill="auto"/>
            <w:vAlign w:val="center"/>
          </w:tcPr>
          <w:p w14:paraId="2EB3EF1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26F76D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66" w:hRule="atLeast"/>
          <w:jc w:val="center"/>
        </w:trPr>
        <w:tc>
          <w:tcPr>
            <w:tcW w:w="1050" w:type="dxa"/>
            <w:tcBorders>
              <w:tl2br w:val="nil"/>
              <w:tr2bl w:val="nil"/>
            </w:tcBorders>
            <w:shd w:val="clear" w:color="auto" w:fill="auto"/>
            <w:vAlign w:val="center"/>
          </w:tcPr>
          <w:p w14:paraId="774C3B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883" w:type="dxa"/>
            <w:tcBorders>
              <w:tl2br w:val="nil"/>
              <w:tr2bl w:val="nil"/>
            </w:tcBorders>
            <w:shd w:val="clear" w:color="auto" w:fill="auto"/>
            <w:vAlign w:val="center"/>
          </w:tcPr>
          <w:p w14:paraId="09D3AE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888" w:type="dxa"/>
            <w:tcBorders>
              <w:tl2br w:val="nil"/>
              <w:tr2bl w:val="nil"/>
            </w:tcBorders>
            <w:shd w:val="clear" w:color="auto" w:fill="auto"/>
            <w:vAlign w:val="center"/>
          </w:tcPr>
          <w:p w14:paraId="5F3755D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基本药物补助县级配套资金支付及时率</w:t>
            </w:r>
          </w:p>
        </w:tc>
        <w:tc>
          <w:tcPr>
            <w:tcW w:w="900" w:type="dxa"/>
            <w:tcBorders>
              <w:tl2br w:val="nil"/>
              <w:tr2bl w:val="nil"/>
            </w:tcBorders>
            <w:shd w:val="clear" w:color="auto" w:fill="auto"/>
            <w:vAlign w:val="center"/>
          </w:tcPr>
          <w:p w14:paraId="55D054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36F81E3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c>
          <w:tcPr>
            <w:tcW w:w="840" w:type="dxa"/>
            <w:tcBorders>
              <w:tl2br w:val="nil"/>
              <w:tr2bl w:val="nil"/>
            </w:tcBorders>
            <w:shd w:val="clear" w:color="auto" w:fill="auto"/>
            <w:vAlign w:val="center"/>
          </w:tcPr>
          <w:p w14:paraId="7AF94B4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c>
          <w:tcPr>
            <w:tcW w:w="570" w:type="dxa"/>
            <w:tcBorders>
              <w:tl2br w:val="nil"/>
              <w:tr2bl w:val="nil"/>
            </w:tcBorders>
            <w:shd w:val="clear" w:color="auto" w:fill="auto"/>
            <w:vAlign w:val="center"/>
          </w:tcPr>
          <w:p w14:paraId="3E6118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305052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54" w:type="dxa"/>
            <w:tcBorders>
              <w:tl2br w:val="nil"/>
              <w:tr2bl w:val="nil"/>
            </w:tcBorders>
            <w:shd w:val="clear" w:color="auto" w:fill="auto"/>
            <w:vAlign w:val="center"/>
          </w:tcPr>
          <w:p w14:paraId="772C06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14:paraId="75987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656" w:hRule="atLeast"/>
          <w:jc w:val="center"/>
        </w:trPr>
        <w:tc>
          <w:tcPr>
            <w:tcW w:w="1050" w:type="dxa"/>
            <w:tcBorders>
              <w:tl2br w:val="nil"/>
              <w:tr2bl w:val="nil"/>
            </w:tcBorders>
            <w:shd w:val="clear" w:color="auto" w:fill="auto"/>
            <w:vAlign w:val="center"/>
          </w:tcPr>
          <w:p w14:paraId="161C18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883" w:type="dxa"/>
            <w:tcBorders>
              <w:tl2br w:val="nil"/>
              <w:tr2bl w:val="nil"/>
            </w:tcBorders>
            <w:shd w:val="clear" w:color="auto" w:fill="auto"/>
            <w:vAlign w:val="center"/>
          </w:tcPr>
          <w:p w14:paraId="0443450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1888" w:type="dxa"/>
            <w:tcBorders>
              <w:tl2br w:val="nil"/>
              <w:tr2bl w:val="nil"/>
            </w:tcBorders>
            <w:shd w:val="clear" w:color="auto" w:fill="auto"/>
            <w:vAlign w:val="center"/>
          </w:tcPr>
          <w:p w14:paraId="1B9B23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基层医疗机构药品零差率</w:t>
            </w:r>
          </w:p>
        </w:tc>
        <w:tc>
          <w:tcPr>
            <w:tcW w:w="900" w:type="dxa"/>
            <w:tcBorders>
              <w:tl2br w:val="nil"/>
              <w:tr2bl w:val="nil"/>
            </w:tcBorders>
            <w:shd w:val="clear" w:color="auto" w:fill="auto"/>
            <w:vAlign w:val="center"/>
          </w:tcPr>
          <w:p w14:paraId="4F55505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定性</w:t>
            </w:r>
          </w:p>
        </w:tc>
        <w:tc>
          <w:tcPr>
            <w:tcW w:w="840" w:type="dxa"/>
            <w:tcBorders>
              <w:tl2br w:val="nil"/>
              <w:tr2bl w:val="nil"/>
            </w:tcBorders>
            <w:shd w:val="clear" w:color="auto" w:fill="auto"/>
            <w:vAlign w:val="center"/>
          </w:tcPr>
          <w:p w14:paraId="56FE04A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等于100</w:t>
            </w:r>
          </w:p>
        </w:tc>
        <w:tc>
          <w:tcPr>
            <w:tcW w:w="840" w:type="dxa"/>
            <w:tcBorders>
              <w:tl2br w:val="nil"/>
              <w:tr2bl w:val="nil"/>
            </w:tcBorders>
            <w:shd w:val="clear" w:color="auto" w:fill="auto"/>
            <w:vAlign w:val="center"/>
          </w:tcPr>
          <w:p w14:paraId="0599084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等于100</w:t>
            </w:r>
          </w:p>
        </w:tc>
        <w:tc>
          <w:tcPr>
            <w:tcW w:w="570" w:type="dxa"/>
            <w:tcBorders>
              <w:tl2br w:val="nil"/>
              <w:tr2bl w:val="nil"/>
            </w:tcBorders>
            <w:shd w:val="clear" w:color="auto" w:fill="auto"/>
            <w:vAlign w:val="center"/>
          </w:tcPr>
          <w:p w14:paraId="1F6BCBAF">
            <w:pPr>
              <w:jc w:val="center"/>
              <w:rPr>
                <w:rFonts w:hint="eastAsia" w:ascii="宋体" w:hAnsi="宋体" w:eastAsia="宋体" w:cs="宋体"/>
                <w:i w:val="0"/>
                <w:color w:val="000000"/>
                <w:sz w:val="20"/>
                <w:szCs w:val="20"/>
                <w:u w:val="none"/>
              </w:rPr>
            </w:pPr>
          </w:p>
        </w:tc>
        <w:tc>
          <w:tcPr>
            <w:tcW w:w="840" w:type="dxa"/>
            <w:tcBorders>
              <w:tl2br w:val="nil"/>
              <w:tr2bl w:val="nil"/>
            </w:tcBorders>
            <w:shd w:val="clear" w:color="auto" w:fill="auto"/>
            <w:vAlign w:val="center"/>
          </w:tcPr>
          <w:p w14:paraId="28BDE4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54" w:type="dxa"/>
            <w:tcBorders>
              <w:tl2br w:val="nil"/>
              <w:tr2bl w:val="nil"/>
            </w:tcBorders>
            <w:shd w:val="clear" w:color="auto" w:fill="auto"/>
            <w:vAlign w:val="center"/>
          </w:tcPr>
          <w:p w14:paraId="51D42A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r>
      <w:tr w14:paraId="14F775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66" w:hRule="atLeast"/>
          <w:jc w:val="center"/>
        </w:trPr>
        <w:tc>
          <w:tcPr>
            <w:tcW w:w="1050" w:type="dxa"/>
            <w:tcBorders>
              <w:tl2br w:val="nil"/>
              <w:tr2bl w:val="nil"/>
            </w:tcBorders>
            <w:shd w:val="clear" w:color="auto" w:fill="auto"/>
            <w:vAlign w:val="center"/>
          </w:tcPr>
          <w:p w14:paraId="497DE5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883" w:type="dxa"/>
            <w:tcBorders>
              <w:tl2br w:val="nil"/>
              <w:tr2bl w:val="nil"/>
            </w:tcBorders>
            <w:shd w:val="clear" w:color="auto" w:fill="auto"/>
            <w:vAlign w:val="center"/>
          </w:tcPr>
          <w:p w14:paraId="541B23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888" w:type="dxa"/>
            <w:tcBorders>
              <w:tl2br w:val="nil"/>
              <w:tr2bl w:val="nil"/>
            </w:tcBorders>
            <w:shd w:val="clear" w:color="auto" w:fill="auto"/>
            <w:vAlign w:val="center"/>
          </w:tcPr>
          <w:p w14:paraId="53E6DEA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确保药品采购公平、公正、公开</w:t>
            </w:r>
          </w:p>
        </w:tc>
        <w:tc>
          <w:tcPr>
            <w:tcW w:w="900" w:type="dxa"/>
            <w:tcBorders>
              <w:tl2br w:val="nil"/>
              <w:tr2bl w:val="nil"/>
            </w:tcBorders>
            <w:shd w:val="clear" w:color="auto" w:fill="auto"/>
            <w:vAlign w:val="center"/>
          </w:tcPr>
          <w:p w14:paraId="438CF99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定性</w:t>
            </w:r>
          </w:p>
        </w:tc>
        <w:tc>
          <w:tcPr>
            <w:tcW w:w="840" w:type="dxa"/>
            <w:tcBorders>
              <w:tl2br w:val="nil"/>
              <w:tr2bl w:val="nil"/>
            </w:tcBorders>
            <w:shd w:val="clear" w:color="auto" w:fill="auto"/>
            <w:vAlign w:val="center"/>
          </w:tcPr>
          <w:p w14:paraId="503782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优良中低差</w:t>
            </w:r>
          </w:p>
        </w:tc>
        <w:tc>
          <w:tcPr>
            <w:tcW w:w="840" w:type="dxa"/>
            <w:tcBorders>
              <w:tl2br w:val="nil"/>
              <w:tr2bl w:val="nil"/>
            </w:tcBorders>
            <w:shd w:val="clear" w:color="auto" w:fill="auto"/>
            <w:vAlign w:val="center"/>
          </w:tcPr>
          <w:p w14:paraId="72F46E8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优良中低差</w:t>
            </w:r>
          </w:p>
        </w:tc>
        <w:tc>
          <w:tcPr>
            <w:tcW w:w="570" w:type="dxa"/>
            <w:tcBorders>
              <w:tl2br w:val="nil"/>
              <w:tr2bl w:val="nil"/>
            </w:tcBorders>
            <w:shd w:val="clear" w:color="auto" w:fill="auto"/>
            <w:vAlign w:val="center"/>
          </w:tcPr>
          <w:p w14:paraId="5E7382F6">
            <w:pPr>
              <w:jc w:val="center"/>
              <w:rPr>
                <w:rFonts w:hint="eastAsia" w:ascii="宋体" w:hAnsi="宋体" w:eastAsia="宋体" w:cs="宋体"/>
                <w:i w:val="0"/>
                <w:color w:val="000000"/>
                <w:sz w:val="20"/>
                <w:szCs w:val="20"/>
                <w:u w:val="none"/>
              </w:rPr>
            </w:pPr>
          </w:p>
        </w:tc>
        <w:tc>
          <w:tcPr>
            <w:tcW w:w="840" w:type="dxa"/>
            <w:tcBorders>
              <w:tl2br w:val="nil"/>
              <w:tr2bl w:val="nil"/>
            </w:tcBorders>
            <w:shd w:val="clear" w:color="auto" w:fill="auto"/>
            <w:vAlign w:val="center"/>
          </w:tcPr>
          <w:p w14:paraId="1849967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54" w:type="dxa"/>
            <w:tcBorders>
              <w:tl2br w:val="nil"/>
              <w:tr2bl w:val="nil"/>
            </w:tcBorders>
            <w:shd w:val="clear" w:color="auto" w:fill="auto"/>
            <w:vAlign w:val="center"/>
          </w:tcPr>
          <w:p w14:paraId="1BD3F1D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r>
      <w:tr w14:paraId="79078D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71" w:hRule="atLeast"/>
          <w:jc w:val="center"/>
        </w:trPr>
        <w:tc>
          <w:tcPr>
            <w:tcW w:w="1050" w:type="dxa"/>
            <w:tcBorders>
              <w:tl2br w:val="nil"/>
              <w:tr2bl w:val="nil"/>
            </w:tcBorders>
            <w:shd w:val="clear" w:color="auto" w:fill="auto"/>
            <w:vAlign w:val="center"/>
          </w:tcPr>
          <w:p w14:paraId="355EF91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883" w:type="dxa"/>
            <w:tcBorders>
              <w:tl2br w:val="nil"/>
              <w:tr2bl w:val="nil"/>
            </w:tcBorders>
            <w:shd w:val="clear" w:color="auto" w:fill="auto"/>
            <w:vAlign w:val="center"/>
          </w:tcPr>
          <w:p w14:paraId="0F5304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服务对象满意度指标</w:t>
            </w:r>
          </w:p>
        </w:tc>
        <w:tc>
          <w:tcPr>
            <w:tcW w:w="1888" w:type="dxa"/>
            <w:tcBorders>
              <w:tl2br w:val="nil"/>
              <w:tr2bl w:val="nil"/>
            </w:tcBorders>
            <w:shd w:val="clear" w:color="auto" w:fill="auto"/>
            <w:vAlign w:val="center"/>
          </w:tcPr>
          <w:p w14:paraId="7A28F4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基层医疗机构工作人员满意度</w:t>
            </w:r>
          </w:p>
        </w:tc>
        <w:tc>
          <w:tcPr>
            <w:tcW w:w="900" w:type="dxa"/>
            <w:tcBorders>
              <w:tl2br w:val="nil"/>
              <w:tr2bl w:val="nil"/>
            </w:tcBorders>
            <w:shd w:val="clear" w:color="auto" w:fill="auto"/>
            <w:vAlign w:val="center"/>
          </w:tcPr>
          <w:p w14:paraId="2759779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1978F3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40" w:type="dxa"/>
            <w:tcBorders>
              <w:tl2br w:val="nil"/>
              <w:tr2bl w:val="nil"/>
            </w:tcBorders>
            <w:shd w:val="clear" w:color="auto" w:fill="auto"/>
            <w:vAlign w:val="center"/>
          </w:tcPr>
          <w:p w14:paraId="064D6E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570" w:type="dxa"/>
            <w:tcBorders>
              <w:tl2br w:val="nil"/>
              <w:tr2bl w:val="nil"/>
            </w:tcBorders>
            <w:shd w:val="clear" w:color="auto" w:fill="auto"/>
            <w:vAlign w:val="center"/>
          </w:tcPr>
          <w:p w14:paraId="18C9482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40" w:type="dxa"/>
            <w:tcBorders>
              <w:tl2br w:val="nil"/>
              <w:tr2bl w:val="nil"/>
            </w:tcBorders>
            <w:shd w:val="clear" w:color="auto" w:fill="auto"/>
            <w:vAlign w:val="center"/>
          </w:tcPr>
          <w:p w14:paraId="57DEC1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54" w:type="dxa"/>
            <w:tcBorders>
              <w:tl2br w:val="nil"/>
              <w:tr2bl w:val="nil"/>
            </w:tcBorders>
            <w:shd w:val="clear" w:color="auto" w:fill="auto"/>
            <w:vAlign w:val="center"/>
          </w:tcPr>
          <w:p w14:paraId="30304E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bl>
    <w:p w14:paraId="052D56B2">
      <w:pPr>
        <w:pStyle w:val="2"/>
        <w:rPr>
          <w:rFonts w:hint="eastAsia"/>
          <w:lang w:eastAsia="zh-CN"/>
        </w:rPr>
      </w:pPr>
    </w:p>
    <w:p w14:paraId="513BE163">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基本公共卫生及基本药物补助</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eastAsia="zh-CN"/>
        </w:rPr>
        <w:t>基本公共卫生</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辖区内居民基本公共卫生服务及医疗服务</w:t>
      </w:r>
    </w:p>
    <w:p w14:paraId="66124156">
      <w:pPr>
        <w:spacing w:line="600" w:lineRule="exact"/>
        <w:ind w:firstLine="640"/>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绩效自评报告详见附件。</w:t>
      </w:r>
      <w:r>
        <w:rPr>
          <w:rFonts w:hint="eastAsia" w:ascii="仿宋_GB2312" w:hAnsi="仿宋_GB2312" w:eastAsia="仿宋_GB2312" w:cs="仿宋_GB2312"/>
          <w:b/>
          <w:bCs/>
          <w:color w:val="auto"/>
          <w:kern w:val="2"/>
          <w:sz w:val="32"/>
          <w:szCs w:val="32"/>
          <w:highlight w:val="none"/>
          <w:lang w:val="en-US" w:eastAsia="zh-CN" w:bidi="ar-SA"/>
        </w:rPr>
        <w:t>（注：如不涉及，可根据实际修改表述。）</w:t>
      </w:r>
    </w:p>
    <w:p w14:paraId="2F8B83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2774F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30A0285">
      <w:pPr>
        <w:pStyle w:val="2"/>
        <w:rPr>
          <w:rFonts w:hint="eastAsia" w:ascii="Times New Roman" w:hAnsi="Times New Roman" w:eastAsia="仿宋_GB2312" w:cs="仿宋_GB2312"/>
          <w:color w:val="auto"/>
          <w:kern w:val="2"/>
          <w:sz w:val="32"/>
          <w:szCs w:val="32"/>
          <w:highlight w:val="none"/>
          <w:lang w:val="en-US" w:eastAsia="zh-CN" w:bidi="ar-SA"/>
        </w:rPr>
      </w:pPr>
    </w:p>
    <w:p w14:paraId="124908D0">
      <w:pPr>
        <w:pStyle w:val="2"/>
        <w:rPr>
          <w:rFonts w:hint="eastAsia" w:ascii="Times New Roman" w:hAnsi="Times New Roman" w:eastAsia="仿宋_GB2312" w:cs="仿宋_GB2312"/>
          <w:color w:val="auto"/>
          <w:kern w:val="2"/>
          <w:sz w:val="32"/>
          <w:szCs w:val="32"/>
          <w:highlight w:val="none"/>
          <w:lang w:val="en-US" w:eastAsia="zh-CN" w:bidi="ar-SA"/>
        </w:rPr>
      </w:pPr>
    </w:p>
    <w:p w14:paraId="47A5F9EB">
      <w:pPr>
        <w:pStyle w:val="2"/>
        <w:rPr>
          <w:rFonts w:hint="eastAsia" w:ascii="Times New Roman" w:hAnsi="Times New Roman" w:eastAsia="仿宋_GB2312" w:cs="仿宋_GB2312"/>
          <w:color w:val="auto"/>
          <w:kern w:val="2"/>
          <w:sz w:val="32"/>
          <w:szCs w:val="32"/>
          <w:highlight w:val="none"/>
          <w:lang w:val="en-US" w:eastAsia="zh-CN" w:bidi="ar-SA"/>
        </w:rPr>
      </w:pPr>
    </w:p>
    <w:p w14:paraId="782FD233">
      <w:pPr>
        <w:pStyle w:val="2"/>
        <w:rPr>
          <w:rFonts w:hint="eastAsia" w:ascii="Times New Roman" w:hAnsi="Times New Roman" w:eastAsia="仿宋_GB2312" w:cs="仿宋_GB2312"/>
          <w:color w:val="auto"/>
          <w:kern w:val="2"/>
          <w:sz w:val="32"/>
          <w:szCs w:val="32"/>
          <w:highlight w:val="none"/>
          <w:lang w:val="en-US" w:eastAsia="zh-CN" w:bidi="ar-SA"/>
        </w:rPr>
      </w:pPr>
    </w:p>
    <w:p w14:paraId="7F548CD6">
      <w:pPr>
        <w:pStyle w:val="2"/>
        <w:rPr>
          <w:rFonts w:hint="eastAsia" w:ascii="Times New Roman" w:hAnsi="Times New Roman" w:eastAsia="仿宋_GB2312" w:cs="仿宋_GB2312"/>
          <w:color w:val="auto"/>
          <w:kern w:val="2"/>
          <w:sz w:val="32"/>
          <w:szCs w:val="32"/>
          <w:highlight w:val="none"/>
          <w:lang w:val="en-US" w:eastAsia="zh-CN" w:bidi="ar-SA"/>
        </w:rPr>
      </w:pPr>
    </w:p>
    <w:p w14:paraId="51C2ED3B">
      <w:pPr>
        <w:pStyle w:val="2"/>
        <w:rPr>
          <w:rFonts w:hint="eastAsia" w:ascii="Times New Roman" w:hAnsi="Times New Roman" w:eastAsia="仿宋_GB2312" w:cs="仿宋_GB2312"/>
          <w:color w:val="auto"/>
          <w:kern w:val="2"/>
          <w:sz w:val="32"/>
          <w:szCs w:val="32"/>
          <w:highlight w:val="none"/>
          <w:lang w:val="en-US" w:eastAsia="zh-CN" w:bidi="ar-SA"/>
        </w:rPr>
      </w:pPr>
    </w:p>
    <w:p w14:paraId="2A4D1DFC">
      <w:pPr>
        <w:pStyle w:val="2"/>
        <w:rPr>
          <w:rFonts w:hint="eastAsia" w:ascii="Times New Roman" w:hAnsi="Times New Roman" w:eastAsia="仿宋_GB2312" w:cs="仿宋_GB2312"/>
          <w:color w:val="auto"/>
          <w:kern w:val="2"/>
          <w:sz w:val="32"/>
          <w:szCs w:val="32"/>
          <w:highlight w:val="none"/>
          <w:lang w:val="en-US" w:eastAsia="zh-CN" w:bidi="ar-SA"/>
        </w:rPr>
      </w:pPr>
    </w:p>
    <w:p w14:paraId="393B6B78">
      <w:pPr>
        <w:pStyle w:val="2"/>
        <w:rPr>
          <w:rFonts w:hint="eastAsia" w:ascii="Times New Roman" w:hAnsi="Times New Roman" w:eastAsia="仿宋_GB2312" w:cs="仿宋_GB2312"/>
          <w:color w:val="auto"/>
          <w:kern w:val="2"/>
          <w:sz w:val="32"/>
          <w:szCs w:val="32"/>
          <w:highlight w:val="none"/>
          <w:lang w:val="en-US" w:eastAsia="zh-CN" w:bidi="ar-SA"/>
        </w:rPr>
      </w:pPr>
    </w:p>
    <w:p w14:paraId="22659633">
      <w:pPr>
        <w:pStyle w:val="2"/>
        <w:rPr>
          <w:rFonts w:hint="eastAsia" w:ascii="Times New Roman" w:hAnsi="Times New Roman" w:eastAsia="仿宋_GB2312" w:cs="仿宋_GB2312"/>
          <w:color w:val="auto"/>
          <w:kern w:val="2"/>
          <w:sz w:val="32"/>
          <w:szCs w:val="32"/>
          <w:highlight w:val="none"/>
          <w:lang w:val="en-US" w:eastAsia="zh-CN" w:bidi="ar-SA"/>
        </w:rPr>
      </w:pPr>
    </w:p>
    <w:p w14:paraId="190B517B">
      <w:pPr>
        <w:pStyle w:val="2"/>
        <w:rPr>
          <w:rFonts w:hint="eastAsia" w:ascii="Times New Roman" w:hAnsi="Times New Roman" w:eastAsia="仿宋_GB2312" w:cs="仿宋_GB2312"/>
          <w:color w:val="auto"/>
          <w:kern w:val="2"/>
          <w:sz w:val="32"/>
          <w:szCs w:val="32"/>
          <w:highlight w:val="none"/>
          <w:lang w:val="en-US" w:eastAsia="zh-CN" w:bidi="ar-SA"/>
        </w:rPr>
      </w:pPr>
    </w:p>
    <w:p w14:paraId="3EAF83E0">
      <w:pPr>
        <w:pStyle w:val="2"/>
        <w:rPr>
          <w:rFonts w:hint="eastAsia" w:ascii="Times New Roman" w:hAnsi="Times New Roman" w:eastAsia="仿宋_GB2312" w:cs="仿宋_GB2312"/>
          <w:color w:val="auto"/>
          <w:kern w:val="2"/>
          <w:sz w:val="32"/>
          <w:szCs w:val="32"/>
          <w:highlight w:val="none"/>
          <w:lang w:val="en-US" w:eastAsia="zh-CN" w:bidi="ar-SA"/>
        </w:rPr>
      </w:pPr>
    </w:p>
    <w:p w14:paraId="5A2E2CBF">
      <w:pPr>
        <w:keepNext w:val="0"/>
        <w:keepLines w:val="0"/>
        <w:pageBreakBefore w:val="0"/>
        <w:widowControl w:val="0"/>
        <w:numPr>
          <w:ilvl w:val="0"/>
          <w:numId w:val="0"/>
        </w:numPr>
        <w:kinsoku/>
        <w:wordWrap/>
        <w:overflowPunct/>
        <w:topLinePunct w:val="0"/>
        <w:autoSpaceDE/>
        <w:autoSpaceDN/>
        <w:bidi w:val="0"/>
        <w:adjustRightInd w:val="0"/>
        <w:snapToGrid w:val="0"/>
        <w:spacing w:line="644" w:lineRule="exact"/>
        <w:jc w:val="center"/>
        <w:textAlignment w:val="auto"/>
        <w:outlineLvl w:val="0"/>
        <w:rPr>
          <w:rFonts w:hint="eastAsia" w:ascii="方正小标宋简体" w:hAnsi="方正小标宋简体" w:eastAsia="方正小标宋简体" w:cs="方正小标宋简体"/>
          <w:color w:val="auto"/>
          <w:sz w:val="44"/>
          <w:szCs w:val="44"/>
          <w:highlight w:val="none"/>
        </w:rPr>
      </w:pPr>
      <w:bookmarkStart w:id="48" w:name="_Toc15377225"/>
      <w:bookmarkStart w:id="49" w:name="_Toc15396613"/>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48"/>
      <w:bookmarkEnd w:id="49"/>
    </w:p>
    <w:p w14:paraId="2FCBB2D5">
      <w:pPr>
        <w:spacing w:line="600" w:lineRule="exact"/>
        <w:jc w:val="left"/>
        <w:rPr>
          <w:rFonts w:ascii="Times New Roman" w:hAnsi="Times New Roman"/>
          <w:b/>
          <w:color w:val="auto"/>
          <w:sz w:val="44"/>
          <w:szCs w:val="44"/>
          <w:highlight w:val="none"/>
        </w:rPr>
      </w:pPr>
    </w:p>
    <w:p w14:paraId="34D004C2">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3AD08192">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01D08964">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32B9E4D5">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43DDBCB1">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0F54DF41">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5727BF0B">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51BE4D14">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290A3E84">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14:paraId="4F024E7C">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14:paraId="23D76694">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14:paraId="0216CE4C">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14:paraId="7281B5B1">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14:paraId="68374C38">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14:paraId="6F046C2A">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（项）：指</w:t>
      </w:r>
    </w:p>
    <w:p w14:paraId="236FE249">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事业单位基本养老保险缴费支出。</w:t>
      </w:r>
    </w:p>
    <w:p w14:paraId="3CA420BC">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638" w:leftChars="304" w:firstLine="0" w:firstLineChars="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卫生健康（类）</w:t>
      </w:r>
      <w:r>
        <w:rPr>
          <w:rFonts w:hint="eastAsia" w:eastAsia="仿宋_GB2312" w:cs="仿宋_GB2312"/>
          <w:color w:val="auto"/>
          <w:kern w:val="2"/>
          <w:sz w:val="32"/>
          <w:szCs w:val="32"/>
          <w:highlight w:val="none"/>
          <w:lang w:val="en-US" w:eastAsia="zh-CN" w:bidi="ar-SA"/>
        </w:rPr>
        <w:t>03</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卫生健康支出。</w:t>
      </w:r>
    </w:p>
    <w:p w14:paraId="5C790CA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304"/>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14:paraId="584D8DE5">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14:paraId="740EF30E">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14:paraId="4DC30431">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14:paraId="2C05CB6C">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14:paraId="57058125">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14:paraId="59BE7D10">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14:paraId="2A1CC72B">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14:paraId="54F76502">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机关事业单位住房保障。</w:t>
      </w:r>
    </w:p>
    <w:p w14:paraId="3BEE4252">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14:paraId="4C1C5733">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14:paraId="063B96C2">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2F82C81C">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4F028B08">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7DDC9EA2">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5C2B1531">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C3D6FFA">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7CACAF">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30250914">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5E697565">
      <w:pPr>
        <w:spacing w:line="600" w:lineRule="exact"/>
        <w:jc w:val="center"/>
        <w:rPr>
          <w:rStyle w:val="30"/>
          <w:rFonts w:hint="eastAsia" w:ascii="方正小标宋简体" w:hAnsi="方正小标宋简体" w:eastAsia="方正小标宋简体" w:cs="方正小标宋简体"/>
          <w:b w:val="0"/>
          <w:color w:val="auto"/>
          <w:highlight w:val="none"/>
          <w:lang w:eastAsia="zh-CN"/>
        </w:rPr>
      </w:pPr>
      <w:bookmarkStart w:id="50"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1" w:name="_Toc15396614"/>
      <w:r>
        <w:rPr>
          <w:rFonts w:hint="eastAsia" w:ascii="方正小标宋简体" w:hAnsi="方正小标宋简体" w:eastAsia="方正小标宋简体" w:cs="方正小标宋简体"/>
          <w:color w:val="auto"/>
          <w:sz w:val="44"/>
          <w:szCs w:val="44"/>
          <w:highlight w:val="none"/>
        </w:rPr>
        <w:t>第四部分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 xml:space="preserve"> 附件</w:t>
      </w:r>
      <w:bookmarkEnd w:id="51"/>
    </w:p>
    <w:p w14:paraId="1E6C4312">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4F3FAE4">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6A90F4D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2476D4A3">
      <w:pPr>
        <w:pStyle w:val="15"/>
        <w:keepNext w:val="0"/>
        <w:keepLines w:val="0"/>
        <w:pageBreakBefore w:val="0"/>
        <w:widowControl/>
        <w:suppressLineNumbers w:val="0"/>
        <w:kinsoku/>
        <w:wordWrap/>
        <w:overflowPunct/>
        <w:topLinePunct w:val="0"/>
        <w:autoSpaceDE/>
        <w:autoSpaceDN/>
        <w:bidi w:val="0"/>
        <w:adjustRightInd w:val="0"/>
        <w:snapToGrid w:val="0"/>
        <w:spacing w:before="0" w:beforeAutospacing="0" w:line="644" w:lineRule="exact"/>
        <w:ind w:left="0"/>
        <w:jc w:val="center"/>
        <w:textAlignment w:val="auto"/>
        <w:rPr>
          <w:rFonts w:hint="eastAsia" w:ascii="方正小标宋简体" w:hAnsi="方正小标宋简体" w:eastAsia="方正小标宋简体" w:cs="方正小标宋简体"/>
          <w:sz w:val="44"/>
          <w:szCs w:val="44"/>
          <w:shd w:val="clear" w:color="auto" w:fill="FFFFFF"/>
          <w:lang w:val="en-US" w:eastAsia="zh-CN"/>
        </w:rPr>
      </w:pPr>
      <w:r>
        <w:rPr>
          <w:rFonts w:hint="eastAsia" w:ascii="方正小标宋简体" w:hAnsi="方正小标宋简体" w:eastAsia="方正小标宋简体" w:cs="方正小标宋简体"/>
          <w:sz w:val="44"/>
          <w:szCs w:val="44"/>
          <w:shd w:val="clear" w:color="auto" w:fill="FFFFFF"/>
        </w:rPr>
        <w:t>红原县</w:t>
      </w:r>
      <w:r>
        <w:rPr>
          <w:rFonts w:hint="eastAsia" w:ascii="方正小标宋简体" w:hAnsi="方正小标宋简体" w:eastAsia="方正小标宋简体" w:cs="方正小标宋简体"/>
          <w:sz w:val="44"/>
          <w:szCs w:val="44"/>
          <w:shd w:val="clear" w:color="auto" w:fill="FFFFFF"/>
          <w:lang w:eastAsia="zh-CN"/>
        </w:rPr>
        <w:t>刷经寺镇</w:t>
      </w:r>
      <w:r>
        <w:rPr>
          <w:rFonts w:hint="eastAsia" w:ascii="方正小标宋简体" w:hAnsi="方正小标宋简体" w:eastAsia="方正小标宋简体" w:cs="方正小标宋简体"/>
          <w:sz w:val="44"/>
          <w:szCs w:val="44"/>
          <w:shd w:val="clear" w:color="auto" w:fill="FFFFFF"/>
          <w:lang w:val="en-US" w:eastAsia="zh-CN"/>
        </w:rPr>
        <w:t>中心卫生院</w:t>
      </w:r>
    </w:p>
    <w:p w14:paraId="63E455B0">
      <w:pPr>
        <w:pStyle w:val="15"/>
        <w:keepNext w:val="0"/>
        <w:keepLines w:val="0"/>
        <w:pageBreakBefore w:val="0"/>
        <w:widowControl/>
        <w:suppressLineNumbers w:val="0"/>
        <w:kinsoku/>
        <w:wordWrap/>
        <w:overflowPunct/>
        <w:topLinePunct w:val="0"/>
        <w:autoSpaceDE/>
        <w:autoSpaceDN/>
        <w:bidi w:val="0"/>
        <w:adjustRightInd w:val="0"/>
        <w:snapToGrid w:val="0"/>
        <w:spacing w:before="0" w:beforeAutospacing="0" w:line="644"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shd w:val="clear" w:color="auto" w:fill="FFFFFF"/>
        </w:rPr>
        <w:t>202</w:t>
      </w:r>
      <w:r>
        <w:rPr>
          <w:rFonts w:hint="eastAsia" w:ascii="方正小标宋简体" w:hAnsi="方正小标宋简体" w:eastAsia="方正小标宋简体" w:cs="方正小标宋简体"/>
          <w:sz w:val="44"/>
          <w:szCs w:val="44"/>
          <w:shd w:val="clear" w:color="auto" w:fill="FFFFFF"/>
          <w:lang w:val="en-US" w:eastAsia="zh-CN"/>
        </w:rPr>
        <w:t>4</w:t>
      </w:r>
      <w:r>
        <w:rPr>
          <w:rFonts w:hint="eastAsia" w:ascii="方正小标宋简体" w:hAnsi="方正小标宋简体" w:eastAsia="方正小标宋简体" w:cs="方正小标宋简体"/>
          <w:sz w:val="44"/>
          <w:szCs w:val="44"/>
          <w:shd w:val="clear" w:color="auto" w:fill="FFFFFF"/>
        </w:rPr>
        <w:t>年</w:t>
      </w:r>
      <w:r>
        <w:rPr>
          <w:rFonts w:hint="eastAsia" w:ascii="方正小标宋简体" w:hAnsi="方正小标宋简体" w:eastAsia="方正小标宋简体" w:cs="方正小标宋简体"/>
          <w:sz w:val="44"/>
          <w:szCs w:val="44"/>
          <w:shd w:val="clear" w:color="auto" w:fill="FFFFFF"/>
          <w:lang w:eastAsia="zh-CN"/>
        </w:rPr>
        <w:t>单位</w:t>
      </w:r>
      <w:r>
        <w:rPr>
          <w:rFonts w:hint="eastAsia" w:ascii="方正小标宋简体" w:hAnsi="方正小标宋简体" w:eastAsia="方正小标宋简体" w:cs="方正小标宋简体"/>
          <w:sz w:val="44"/>
          <w:szCs w:val="44"/>
          <w:shd w:val="clear" w:color="auto" w:fill="FFFFFF"/>
        </w:rPr>
        <w:t>整体支出绩效评价报告</w:t>
      </w:r>
    </w:p>
    <w:p w14:paraId="14F2078D">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6562C103">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0DE9F31B">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zh-CN" w:eastAsia="zh-CN" w:bidi="ar-SA"/>
        </w:rPr>
        <w:t>一、</w:t>
      </w:r>
      <w:r>
        <w:rPr>
          <w:rFonts w:hint="default" w:ascii="Times New Roman" w:hAnsi="Times New Roman" w:eastAsia="黑体" w:cstheme="majorBidi"/>
          <w:b/>
          <w:bCs w:val="0"/>
          <w:color w:val="auto"/>
          <w:kern w:val="2"/>
          <w:sz w:val="32"/>
          <w:szCs w:val="32"/>
          <w:lang w:val="zh-CN" w:eastAsia="zh-CN" w:bidi="ar-SA"/>
        </w:rPr>
        <w:t>部门（单位）基本情况</w:t>
      </w:r>
    </w:p>
    <w:p w14:paraId="7895209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sz w:val="32"/>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color w:val="000000"/>
          <w:kern w:val="0"/>
          <w:sz w:val="32"/>
          <w:szCs w:val="32"/>
          <w:lang w:val="zh-CN" w:eastAsia="zh-CN" w:bidi="ar"/>
        </w:rPr>
        <w:t>我单位为独立核算全额拨款事业单位，下设</w:t>
      </w:r>
      <w:r>
        <w:rPr>
          <w:rFonts w:hint="eastAsia" w:ascii="仿宋_GB2312" w:hAnsi="仿宋_GB2312" w:eastAsia="仿宋_GB2312" w:cs="仿宋_GB2312"/>
          <w:color w:val="000000"/>
          <w:kern w:val="0"/>
          <w:sz w:val="32"/>
          <w:szCs w:val="32"/>
          <w:lang w:val="en-US" w:eastAsia="zh-CN" w:bidi="ar"/>
        </w:rPr>
        <w:t>1机构。</w:t>
      </w:r>
    </w:p>
    <w:p w14:paraId="3B512070">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Chars="0" w:right="0" w:rightChars="0" w:firstLine="643" w:firstLineChars="200"/>
        <w:jc w:val="left"/>
        <w:textAlignment w:val="auto"/>
        <w:rPr>
          <w:rFonts w:hint="eastAsia"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color w:val="000000"/>
          <w:kern w:val="0"/>
          <w:sz w:val="32"/>
          <w:szCs w:val="32"/>
          <w:lang w:val="zh-CN" w:eastAsia="zh-CN" w:bidi="ar"/>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41E219D3">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right="0" w:rightChars="0" w:firstLine="643" w:firstLineChars="200"/>
        <w:jc w:val="left"/>
        <w:textAlignment w:val="auto"/>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仿宋_GB2312" w:hAnsi="仿宋_GB2312" w:eastAsia="仿宋_GB2312" w:cs="仿宋_GB2312"/>
          <w:color w:val="000000"/>
          <w:kern w:val="0"/>
          <w:sz w:val="32"/>
          <w:szCs w:val="32"/>
          <w:lang w:val="en-US" w:eastAsia="zh-CN" w:bidi="ar"/>
        </w:rPr>
        <w:t>截至202</w:t>
      </w:r>
      <w:r>
        <w:rPr>
          <w:rFonts w:hint="eastAsia" w:ascii="仿宋_GB2312" w:hAnsi="仿宋_GB2312" w:eastAsia="仿宋_GB2312" w:cs="仿宋_GB2312"/>
          <w:color w:val="000000"/>
          <w:kern w:val="0"/>
          <w:sz w:val="32"/>
          <w:szCs w:val="32"/>
          <w:lang w:val="en-US" w:eastAsia="zh-CN" w:bidi="ar"/>
        </w:rPr>
        <w:t>4</w:t>
      </w:r>
      <w:r>
        <w:rPr>
          <w:rFonts w:hint="default" w:ascii="仿宋_GB2312" w:hAnsi="仿宋_GB2312" w:eastAsia="仿宋_GB2312" w:cs="仿宋_GB2312"/>
          <w:color w:val="000000"/>
          <w:kern w:val="0"/>
          <w:sz w:val="32"/>
          <w:szCs w:val="32"/>
          <w:lang w:val="en-US" w:eastAsia="zh-CN" w:bidi="ar"/>
        </w:rPr>
        <w:t>年末，</w:t>
      </w:r>
      <w:r>
        <w:rPr>
          <w:rFonts w:hint="eastAsia" w:ascii="仿宋_GB2312" w:hAnsi="仿宋_GB2312" w:eastAsia="仿宋_GB2312" w:cs="仿宋_GB2312"/>
          <w:color w:val="000000"/>
          <w:kern w:val="0"/>
          <w:sz w:val="32"/>
          <w:szCs w:val="32"/>
          <w:lang w:val="en-US" w:eastAsia="zh-CN" w:bidi="ar"/>
        </w:rPr>
        <w:t>其中事业编10个，在职9人,</w:t>
      </w:r>
      <w:r>
        <w:rPr>
          <w:rFonts w:hint="eastAsia" w:ascii="仿宋_GB2312" w:hAnsi="仿宋_GB2312" w:eastAsia="仿宋_GB2312" w:cs="仿宋_GB2312"/>
          <w:color w:val="000000"/>
          <w:kern w:val="0"/>
          <w:sz w:val="32"/>
          <w:szCs w:val="32"/>
          <w:lang w:val="zh-CN" w:eastAsia="zh-CN" w:bidi="ar"/>
        </w:rPr>
        <w:t>事业编制</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zh-CN" w:eastAsia="zh-CN" w:bidi="ar"/>
        </w:rPr>
        <w:t>人。</w:t>
      </w:r>
    </w:p>
    <w:p w14:paraId="274ABA45">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二、部门资金收支情况</w:t>
      </w:r>
    </w:p>
    <w:p w14:paraId="3D26022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lang w:val="zh-CN" w:eastAsia="zh-CN" w:bidi="ar"/>
        </w:rPr>
        <w:t>刷经寺卫生院</w:t>
      </w:r>
      <w:r>
        <w:rPr>
          <w:rFonts w:hint="eastAsia" w:ascii="仿宋_GB2312" w:hAnsi="仿宋_GB2312" w:eastAsia="仿宋_GB2312" w:cs="仿宋_GB2312"/>
          <w:color w:val="000000"/>
          <w:kern w:val="0"/>
          <w:sz w:val="32"/>
          <w:szCs w:val="32"/>
          <w:lang w:val="en-US" w:eastAsia="zh-CN" w:bidi="ar"/>
        </w:rPr>
        <w:t>2024年年初预算收入为244.1万元、决算报表收入为252.03万元。</w:t>
      </w:r>
    </w:p>
    <w:p w14:paraId="6B3B005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lang w:val="en-US" w:eastAsia="zh-CN" w:bidi="ar"/>
        </w:rPr>
        <w:t>刷经寺卫生院2024年年初预算支出244.1万元、决算报表支出为252.03万元。</w:t>
      </w:r>
    </w:p>
    <w:p w14:paraId="1163FB0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lang w:val="en-US" w:eastAsia="zh-CN" w:bidi="ar"/>
        </w:rPr>
        <w:t>刷经寺卫生院2024年决算报表无</w:t>
      </w:r>
      <w:r>
        <w:rPr>
          <w:rFonts w:hint="default" w:ascii="仿宋_GB2312" w:hAnsi="仿宋_GB2312" w:eastAsia="仿宋_GB2312" w:cs="仿宋_GB2312"/>
          <w:color w:val="000000"/>
          <w:kern w:val="0"/>
          <w:sz w:val="32"/>
          <w:szCs w:val="32"/>
          <w:lang w:val="en-US" w:eastAsia="zh-CN" w:bidi="ar"/>
        </w:rPr>
        <w:t>结转结余</w:t>
      </w:r>
      <w:r>
        <w:rPr>
          <w:rFonts w:hint="eastAsia" w:ascii="仿宋_GB2312" w:hAnsi="仿宋_GB2312" w:eastAsia="仿宋_GB2312" w:cs="仿宋_GB2312"/>
          <w:color w:val="000000"/>
          <w:kern w:val="0"/>
          <w:sz w:val="32"/>
          <w:szCs w:val="32"/>
          <w:lang w:val="en-US" w:eastAsia="zh-CN" w:bidi="ar"/>
        </w:rPr>
        <w:t>情况</w:t>
      </w:r>
      <w:r>
        <w:rPr>
          <w:rFonts w:hint="default" w:ascii="仿宋_GB2312" w:hAnsi="仿宋_GB2312" w:eastAsia="仿宋_GB2312" w:cs="仿宋_GB2312"/>
          <w:color w:val="000000"/>
          <w:kern w:val="0"/>
          <w:sz w:val="32"/>
          <w:szCs w:val="32"/>
          <w:lang w:val="en-US" w:eastAsia="zh-CN" w:bidi="ar"/>
        </w:rPr>
        <w:t>。</w:t>
      </w:r>
    </w:p>
    <w:p w14:paraId="639FFDD4">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三、部门预算绩效分析</w:t>
      </w:r>
    </w:p>
    <w:p w14:paraId="3182BEF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仿宋_GB2312" w:hAnsi="仿宋_GB2312" w:eastAsia="仿宋_GB2312" w:cs="仿宋_GB2312"/>
          <w:color w:val="000000"/>
          <w:kern w:val="0"/>
          <w:sz w:val="32"/>
          <w:szCs w:val="32"/>
          <w:lang w:val="zh-CN" w:eastAsia="zh-CN" w:bidi="ar"/>
        </w:rPr>
        <w:t>根据部门预算绩效评价指标体系</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总体绩效</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涉及</w:t>
      </w:r>
      <w:r>
        <w:rPr>
          <w:rFonts w:hint="eastAsia" w:ascii="仿宋_GB2312" w:hAnsi="仿宋_GB2312" w:eastAsia="仿宋_GB2312" w:cs="仿宋_GB2312"/>
          <w:color w:val="000000"/>
          <w:kern w:val="0"/>
          <w:sz w:val="32"/>
          <w:szCs w:val="32"/>
          <w:lang w:val="zh-CN" w:eastAsia="zh-CN" w:bidi="ar"/>
        </w:rPr>
        <w:t>二、三级</w:t>
      </w:r>
      <w:r>
        <w:rPr>
          <w:rFonts w:hint="default" w:ascii="仿宋_GB2312" w:hAnsi="仿宋_GB2312" w:eastAsia="仿宋_GB2312" w:cs="仿宋_GB2312"/>
          <w:color w:val="000000"/>
          <w:kern w:val="0"/>
          <w:sz w:val="32"/>
          <w:szCs w:val="32"/>
          <w:lang w:val="zh-CN" w:eastAsia="zh-CN" w:bidi="ar"/>
        </w:rPr>
        <w:t>指标进行</w:t>
      </w:r>
      <w:r>
        <w:rPr>
          <w:rFonts w:hint="eastAsia" w:ascii="仿宋_GB2312" w:hAnsi="仿宋_GB2312" w:eastAsia="仿宋_GB2312" w:cs="仿宋_GB2312"/>
          <w:color w:val="000000"/>
          <w:kern w:val="0"/>
          <w:sz w:val="32"/>
          <w:szCs w:val="32"/>
          <w:lang w:val="zh-CN" w:eastAsia="zh-CN" w:bidi="ar"/>
        </w:rPr>
        <w:t>逐项</w:t>
      </w:r>
      <w:r>
        <w:rPr>
          <w:rFonts w:hint="default" w:ascii="仿宋_GB2312" w:hAnsi="仿宋_GB2312" w:eastAsia="仿宋_GB2312" w:cs="仿宋_GB2312"/>
          <w:color w:val="000000"/>
          <w:kern w:val="0"/>
          <w:sz w:val="32"/>
          <w:szCs w:val="32"/>
          <w:lang w:val="zh-CN" w:eastAsia="zh-CN" w:bidi="ar"/>
        </w:rPr>
        <w:t>绩效分析</w:t>
      </w:r>
      <w:r>
        <w:rPr>
          <w:rFonts w:hint="eastAsia" w:ascii="仿宋_GB2312" w:hAnsi="仿宋_GB2312" w:eastAsia="仿宋_GB2312" w:cs="仿宋_GB2312"/>
          <w:color w:val="000000"/>
          <w:kern w:val="0"/>
          <w:sz w:val="32"/>
          <w:szCs w:val="32"/>
          <w:lang w:val="zh-CN" w:eastAsia="zh-CN" w:bidi="ar"/>
        </w:rPr>
        <w:t>并评分</w:t>
      </w:r>
      <w:r>
        <w:rPr>
          <w:rFonts w:hint="default" w:ascii="仿宋_GB2312" w:hAnsi="仿宋_GB2312" w:eastAsia="仿宋_GB2312" w:cs="仿宋_GB2312"/>
          <w:color w:val="000000"/>
          <w:kern w:val="0"/>
          <w:sz w:val="32"/>
          <w:szCs w:val="32"/>
          <w:lang w:val="zh-CN" w:eastAsia="zh-CN" w:bidi="ar"/>
        </w:rPr>
        <w:t>，依次包括履职效能、预算管理、财务管理、资产管理、采购管理等情况。</w:t>
      </w:r>
    </w:p>
    <w:p w14:paraId="39F7F9F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1.</w:t>
      </w:r>
      <w:r>
        <w:rPr>
          <w:rFonts w:hint="eastAsia" w:ascii="仿宋_GB2312" w:hAnsi="仿宋_GB2312" w:eastAsia="仿宋_GB2312" w:cs="仿宋_GB2312"/>
          <w:b/>
          <w:bCs/>
          <w:color w:val="000000"/>
          <w:kern w:val="0"/>
          <w:sz w:val="32"/>
          <w:szCs w:val="32"/>
          <w:lang w:val="zh-CN" w:eastAsia="zh-CN" w:bidi="ar"/>
        </w:rPr>
        <w:t>履职效能。</w:t>
      </w:r>
      <w:r>
        <w:rPr>
          <w:rFonts w:hint="eastAsia" w:ascii="仿宋_GB2312" w:hAnsi="仿宋_GB2312" w:eastAsia="仿宋_GB2312" w:cs="仿宋_GB2312"/>
          <w:color w:val="000000"/>
          <w:kern w:val="0"/>
          <w:sz w:val="32"/>
          <w:szCs w:val="32"/>
          <w:lang w:val="zh-CN" w:eastAsia="zh-CN" w:bidi="ar"/>
        </w:rPr>
        <w:t>部门整体绩效目标中选定3-5个核心职能目标，对职能目标完成效果情况绩效分析。宣传贯彻党和政府的各项医疗卫生方针政策，协助政府实施农村医改工作；提供基本医疗服务，提供基本公共卫生服务，包括建立居民健康档案、健康档案、预防接种、传染病防治、高血压糖尿</w:t>
      </w:r>
      <w:r>
        <w:rPr>
          <w:rFonts w:hint="eastAsia" w:ascii="仿宋" w:hAnsi="仿宋" w:eastAsia="仿宋" w:cs="仿宋"/>
          <w:sz w:val="32"/>
          <w:szCs w:val="32"/>
          <w:lang w:eastAsia="zh-CN"/>
        </w:rPr>
        <w:t>病</w:t>
      </w:r>
      <w:r>
        <w:rPr>
          <w:rFonts w:hint="eastAsia" w:ascii="仿宋_GB2312" w:hAnsi="仿宋_GB2312" w:eastAsia="仿宋_GB2312" w:cs="仿宋_GB2312"/>
          <w:color w:val="000000"/>
          <w:kern w:val="0"/>
          <w:sz w:val="32"/>
          <w:szCs w:val="32"/>
          <w:lang w:val="zh-CN" w:eastAsia="zh-CN" w:bidi="ar"/>
        </w:rPr>
        <w:t>等慢性病管理、重性精神疾病管理、儿童保健、孕产妇保健、老年人保健等；协助处置突发公共卫生事件。</w:t>
      </w:r>
    </w:p>
    <w:p w14:paraId="4715506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2.</w:t>
      </w:r>
      <w:r>
        <w:rPr>
          <w:rFonts w:hint="default" w:ascii="仿宋_GB2312" w:hAnsi="仿宋_GB2312" w:eastAsia="仿宋_GB2312" w:cs="仿宋_GB2312"/>
          <w:b/>
          <w:bCs/>
          <w:color w:val="000000"/>
          <w:kern w:val="0"/>
          <w:sz w:val="32"/>
          <w:szCs w:val="32"/>
          <w:lang w:val="zh-CN" w:eastAsia="zh-CN" w:bidi="ar"/>
        </w:rPr>
        <w:t>预算管理</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zh-CN" w:eastAsia="zh-CN" w:bidi="ar"/>
        </w:rPr>
        <w:t>围绕预算编制质量、单位收入统筹、支出执行进度、预算年终结余、严控一般性支出</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。我单位按规定内容公开预决算信息；按规定时限公开预决算信息；基础数据信息和会计信息资料真实；基础数据信息和会计信息资料完整；基础数据信息和汇集信息资料准确。</w:t>
      </w:r>
    </w:p>
    <w:p w14:paraId="2148887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3.</w:t>
      </w:r>
      <w:r>
        <w:rPr>
          <w:rFonts w:hint="default" w:ascii="仿宋_GB2312" w:hAnsi="仿宋_GB2312" w:eastAsia="仿宋_GB2312" w:cs="仿宋_GB2312"/>
          <w:b/>
          <w:bCs/>
          <w:color w:val="000000"/>
          <w:kern w:val="0"/>
          <w:sz w:val="32"/>
          <w:szCs w:val="32"/>
          <w:lang w:val="zh-CN" w:eastAsia="zh-CN" w:bidi="ar"/>
        </w:rPr>
        <w:t>财务管理</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zh-CN" w:eastAsia="zh-CN" w:bidi="ar"/>
        </w:rPr>
        <w:t>围绕财务管理制度、财务岗位设置、资金使用规范</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资金支出符合国家财经法规和财务管理制度规定以及有关专项资金管理办法的规定；资金拨付有完整的审批程序和手续；符合部门预算批复的用途；资金使用无截留、挤占、挪用、虚列支出等情况。建立长效机制，严格财务管理，加强财务监督，坚持厉行节约，严格杜绝现金支出</w:t>
      </w:r>
      <w:r>
        <w:rPr>
          <w:rFonts w:hint="eastAsia" w:ascii="仿宋_GB2312" w:hAnsi="仿宋_GB2312" w:eastAsia="仿宋_GB2312" w:cs="仿宋_GB2312"/>
          <w:color w:val="000000"/>
          <w:kern w:val="0"/>
          <w:sz w:val="32"/>
          <w:szCs w:val="32"/>
          <w:lang w:val="en-US" w:eastAsia="zh-CN" w:bidi="ar"/>
        </w:rPr>
        <w:t>;岗位按会计、出纳设置，各司其职。</w:t>
      </w:r>
      <w:r>
        <w:rPr>
          <w:rFonts w:hint="eastAsia" w:ascii="仿宋_GB2312" w:hAnsi="仿宋_GB2312" w:eastAsia="仿宋_GB2312" w:cs="仿宋_GB2312"/>
          <w:color w:val="000000"/>
          <w:kern w:val="0"/>
          <w:sz w:val="32"/>
          <w:szCs w:val="32"/>
          <w:lang w:val="zh-CN" w:eastAsia="zh-CN" w:bidi="ar"/>
        </w:rPr>
        <w:t xml:space="preserve"> </w:t>
      </w:r>
    </w:p>
    <w:p w14:paraId="220A828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仿宋_GB2312" w:cs="仿宋_GB2312"/>
          <w:b/>
          <w:bCs/>
          <w:color w:val="auto"/>
          <w:kern w:val="2"/>
          <w:sz w:val="32"/>
          <w:szCs w:val="32"/>
          <w:highlight w:val="none"/>
          <w:lang w:val="en-US" w:eastAsia="zh-CN" w:bidi="ar-SA"/>
        </w:rPr>
        <w:t>4.</w:t>
      </w:r>
      <w:r>
        <w:rPr>
          <w:rFonts w:hint="default" w:ascii="Times New Roman" w:hAnsi="Times New Roman" w:eastAsia="仿宋_GB2312" w:cs="仿宋_GB2312"/>
          <w:b/>
          <w:bCs/>
          <w:color w:val="auto"/>
          <w:kern w:val="2"/>
          <w:sz w:val="32"/>
          <w:szCs w:val="32"/>
          <w:highlight w:val="none"/>
          <w:lang w:val="zh-CN" w:eastAsia="zh-CN" w:bidi="ar-SA"/>
        </w:rPr>
        <w:t>资产管理</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zh-CN" w:eastAsia="zh-CN" w:bidi="ar-SA"/>
        </w:rPr>
        <w:t>围绕人均资产变化率、资产利用率、资产盘活率</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仿宋_GB2312" w:hAnsi="仿宋_GB2312" w:eastAsia="仿宋_GB2312" w:cs="仿宋_GB2312"/>
          <w:b w:val="0"/>
          <w:bCs w:val="0"/>
          <w:color w:val="000000"/>
          <w:kern w:val="0"/>
          <w:sz w:val="32"/>
          <w:szCs w:val="32"/>
          <w:lang w:val="zh-CN" w:eastAsia="zh-CN" w:bidi="ar"/>
        </w:rPr>
        <w:t>资产管理完善资产管理制度，注重业务学习;提高资产管理水平。加强日常资产管理，健全资产信息系统，准确核查系统数据，建立单位内控监督约束机制，确保资金安全、合理、有效使用，最大限度发挥财政资金使用效益。</w:t>
      </w:r>
    </w:p>
    <w:p w14:paraId="180BD12F">
      <w:pPr>
        <w:pStyle w:val="6"/>
        <w:keepNext/>
        <w:keepLines/>
        <w:pageBreakBefore w:val="0"/>
        <w:widowControl w:val="0"/>
        <w:kinsoku/>
        <w:wordWrap/>
        <w:overflowPunct/>
        <w:topLinePunct w:val="0"/>
        <w:autoSpaceDE/>
        <w:autoSpaceDN/>
        <w:bidi w:val="0"/>
        <w:adjustRightInd w:val="0"/>
        <w:snapToGrid w:val="0"/>
        <w:spacing w:before="0" w:after="0" w:line="576" w:lineRule="exact"/>
        <w:ind w:firstLine="1134"/>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。围绕支持中小企业发展、采购执行率</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r>
        <w:rPr>
          <w:rFonts w:hint="eastAsia" w:eastAsia="仿宋_GB2312" w:cs="仿宋_GB2312"/>
          <w:color w:val="auto"/>
          <w:kern w:val="2"/>
          <w:sz w:val="32"/>
          <w:szCs w:val="32"/>
          <w:highlight w:val="none"/>
          <w:lang w:val="zh-CN" w:eastAsia="zh-CN" w:bidi="ar-SA"/>
        </w:rPr>
        <w:t>无</w:t>
      </w:r>
    </w:p>
    <w:p w14:paraId="5508DA7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color w:val="000000"/>
          <w:kern w:val="0"/>
          <w:sz w:val="32"/>
          <w:szCs w:val="32"/>
          <w:lang w:val="zh-CN" w:eastAsia="zh-CN" w:bidi="ar"/>
        </w:rPr>
        <w:t>填报以下数据，并</w:t>
      </w:r>
      <w:r>
        <w:rPr>
          <w:rFonts w:hint="default" w:ascii="仿宋_GB2312" w:hAnsi="仿宋_GB2312" w:eastAsia="仿宋_GB2312" w:cs="仿宋_GB2312"/>
          <w:color w:val="000000"/>
          <w:kern w:val="0"/>
          <w:sz w:val="32"/>
          <w:szCs w:val="32"/>
          <w:lang w:val="zh-CN" w:eastAsia="zh-CN" w:bidi="ar"/>
        </w:rPr>
        <w:t>根据部门预算绩效评价指标体系</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项目绩效</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涉及</w:t>
      </w:r>
      <w:r>
        <w:rPr>
          <w:rFonts w:hint="eastAsia" w:ascii="仿宋_GB2312" w:hAnsi="仿宋_GB2312" w:eastAsia="仿宋_GB2312" w:cs="仿宋_GB2312"/>
          <w:color w:val="000000"/>
          <w:kern w:val="0"/>
          <w:sz w:val="32"/>
          <w:szCs w:val="32"/>
          <w:lang w:val="zh-CN" w:eastAsia="zh-CN" w:bidi="ar"/>
        </w:rPr>
        <w:t>二、三级</w:t>
      </w:r>
      <w:r>
        <w:rPr>
          <w:rFonts w:hint="default" w:ascii="仿宋_GB2312" w:hAnsi="仿宋_GB2312" w:eastAsia="仿宋_GB2312" w:cs="仿宋_GB2312"/>
          <w:color w:val="000000"/>
          <w:kern w:val="0"/>
          <w:sz w:val="32"/>
          <w:szCs w:val="32"/>
          <w:lang w:val="zh-CN" w:eastAsia="zh-CN" w:bidi="ar"/>
        </w:rPr>
        <w:t>指标进行</w:t>
      </w:r>
      <w:r>
        <w:rPr>
          <w:rFonts w:hint="eastAsia" w:ascii="仿宋_GB2312" w:hAnsi="仿宋_GB2312" w:eastAsia="仿宋_GB2312" w:cs="仿宋_GB2312"/>
          <w:color w:val="000000"/>
          <w:kern w:val="0"/>
          <w:sz w:val="32"/>
          <w:szCs w:val="32"/>
          <w:lang w:val="zh-CN" w:eastAsia="zh-CN" w:bidi="ar"/>
        </w:rPr>
        <w:t>逐项</w:t>
      </w:r>
      <w:r>
        <w:rPr>
          <w:rFonts w:hint="default" w:ascii="仿宋_GB2312" w:hAnsi="仿宋_GB2312" w:eastAsia="仿宋_GB2312" w:cs="仿宋_GB2312"/>
          <w:color w:val="000000"/>
          <w:kern w:val="0"/>
          <w:sz w:val="32"/>
          <w:szCs w:val="32"/>
          <w:lang w:val="zh-CN" w:eastAsia="zh-CN" w:bidi="ar"/>
        </w:rPr>
        <w:t>绩效分析</w:t>
      </w:r>
      <w:r>
        <w:rPr>
          <w:rFonts w:hint="eastAsia" w:ascii="仿宋_GB2312" w:hAnsi="仿宋_GB2312" w:eastAsia="仿宋_GB2312" w:cs="仿宋_GB2312"/>
          <w:color w:val="000000"/>
          <w:kern w:val="0"/>
          <w:sz w:val="32"/>
          <w:szCs w:val="32"/>
          <w:lang w:val="zh-CN" w:eastAsia="zh-CN" w:bidi="ar"/>
        </w:rPr>
        <w:t>并评分</w:t>
      </w:r>
      <w:r>
        <w:rPr>
          <w:rFonts w:hint="default" w:ascii="仿宋_GB2312" w:hAnsi="仿宋_GB2312" w:eastAsia="仿宋_GB2312" w:cs="仿宋_GB2312"/>
          <w:color w:val="000000"/>
          <w:kern w:val="0"/>
          <w:sz w:val="32"/>
          <w:szCs w:val="32"/>
          <w:lang w:val="zh-CN" w:eastAsia="zh-CN" w:bidi="ar"/>
        </w:rPr>
        <w:t>，依次包括项目</w:t>
      </w:r>
      <w:r>
        <w:rPr>
          <w:rFonts w:hint="default" w:ascii="仿宋_GB2312" w:hAnsi="仿宋_GB2312" w:eastAsia="仿宋_GB2312" w:cs="仿宋_GB2312"/>
          <w:color w:val="000000"/>
          <w:kern w:val="0"/>
          <w:sz w:val="32"/>
          <w:szCs w:val="32"/>
          <w:lang w:val="en-US" w:eastAsia="zh-CN" w:bidi="ar"/>
        </w:rPr>
        <w:t>决策、项目执行、目标实现等情况</w:t>
      </w:r>
      <w:r>
        <w:rPr>
          <w:rFonts w:hint="eastAsia" w:ascii="仿宋_GB2312" w:hAnsi="仿宋_GB2312" w:eastAsia="仿宋_GB2312" w:cs="仿宋_GB2312"/>
          <w:color w:val="000000"/>
          <w:kern w:val="0"/>
          <w:sz w:val="32"/>
          <w:szCs w:val="32"/>
          <w:lang w:val="en-US" w:eastAsia="zh-CN" w:bidi="ar"/>
        </w:rPr>
        <w:t>。</w:t>
      </w:r>
    </w:p>
    <w:p w14:paraId="6C773C6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Times New Roman" w:hAnsi="Times New Roman" w:eastAsia="仿宋_GB2312" w:cs="仿宋_GB2312"/>
          <w:b/>
          <w:bCs/>
          <w:color w:val="auto"/>
          <w:kern w:val="2"/>
          <w:sz w:val="32"/>
          <w:szCs w:val="32"/>
          <w:highlight w:val="none"/>
          <w:lang w:val="en-US" w:eastAsia="zh-CN" w:bidi="ar-SA"/>
        </w:rPr>
        <w:t>常年</w:t>
      </w:r>
      <w:r>
        <w:rPr>
          <w:rFonts w:hint="default" w:ascii="仿宋_GB2312" w:hAnsi="仿宋_GB2312" w:eastAsia="仿宋_GB2312" w:cs="仿宋_GB2312"/>
          <w:b/>
          <w:bCs/>
          <w:color w:val="000000"/>
          <w:kern w:val="0"/>
          <w:sz w:val="32"/>
          <w:szCs w:val="32"/>
          <w:lang w:val="en-US" w:eastAsia="zh-CN" w:bidi="ar"/>
        </w:rPr>
        <w:t>项目绩效分析。</w:t>
      </w:r>
      <w:r>
        <w:rPr>
          <w:rFonts w:hint="default" w:ascii="仿宋_GB2312" w:hAnsi="仿宋_GB2312" w:eastAsia="仿宋_GB2312" w:cs="仿宋_GB2312"/>
          <w:color w:val="000000"/>
          <w:kern w:val="0"/>
          <w:sz w:val="32"/>
          <w:szCs w:val="32"/>
          <w:lang w:val="zh-CN" w:eastAsia="zh-CN" w:bidi="ar"/>
        </w:rPr>
        <w:t>该类项目总数</w:t>
      </w:r>
      <w:r>
        <w:rPr>
          <w:rFonts w:hint="eastAsia"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个，涉及预算总金额</w:t>
      </w:r>
      <w:r>
        <w:rPr>
          <w:rFonts w:hint="eastAsia" w:ascii="仿宋_GB2312" w:hAnsi="仿宋_GB2312" w:eastAsia="仿宋_GB2312" w:cs="仿宋_GB2312"/>
          <w:color w:val="000000"/>
          <w:kern w:val="0"/>
          <w:sz w:val="32"/>
          <w:szCs w:val="32"/>
          <w:lang w:val="en-US" w:eastAsia="zh-CN" w:bidi="ar"/>
        </w:rPr>
        <w:t>1.96</w:t>
      </w:r>
      <w:r>
        <w:rPr>
          <w:rFonts w:hint="default" w:ascii="仿宋_GB2312" w:hAnsi="仿宋_GB2312" w:eastAsia="仿宋_GB2312" w:cs="仿宋_GB2312"/>
          <w:color w:val="000000"/>
          <w:kern w:val="0"/>
          <w:sz w:val="32"/>
          <w:szCs w:val="32"/>
          <w:lang w:val="zh-CN" w:eastAsia="zh-CN" w:bidi="ar"/>
        </w:rPr>
        <w:t>万元，1</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1</w:t>
      </w:r>
      <w:r>
        <w:rPr>
          <w:rFonts w:hint="default"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月预算执行总体进度为</w:t>
      </w:r>
      <w:r>
        <w:rPr>
          <w:rFonts w:hint="eastAsia" w:ascii="仿宋_GB2312" w:hAnsi="仿宋_GB2312" w:eastAsia="仿宋_GB2312" w:cs="仿宋_GB2312"/>
          <w:color w:val="000000"/>
          <w:kern w:val="0"/>
          <w:sz w:val="32"/>
          <w:szCs w:val="32"/>
          <w:lang w:val="en-US" w:eastAsia="zh-CN" w:bidi="ar"/>
        </w:rPr>
        <w:t>100</w:t>
      </w:r>
      <w:r>
        <w:rPr>
          <w:rFonts w:hint="default" w:ascii="仿宋_GB2312" w:hAnsi="仿宋_GB2312" w:eastAsia="仿宋_GB2312" w:cs="仿宋_GB2312"/>
          <w:color w:val="000000"/>
          <w:kern w:val="0"/>
          <w:sz w:val="32"/>
          <w:szCs w:val="32"/>
          <w:lang w:val="zh-CN" w:eastAsia="zh-CN" w:bidi="ar"/>
        </w:rPr>
        <w:t>%，其中：预算结余率大于</w:t>
      </w:r>
      <w:r>
        <w:rPr>
          <w:rFonts w:hint="default" w:ascii="仿宋_GB2312" w:hAnsi="仿宋_GB2312" w:eastAsia="仿宋_GB2312" w:cs="仿宋_GB2312"/>
          <w:color w:val="000000"/>
          <w:kern w:val="0"/>
          <w:sz w:val="32"/>
          <w:szCs w:val="32"/>
          <w:lang w:val="en-US" w:eastAsia="zh-CN" w:bidi="ar"/>
        </w:rPr>
        <w:t>10%</w:t>
      </w:r>
      <w:r>
        <w:rPr>
          <w:rFonts w:hint="default" w:ascii="仿宋_GB2312" w:hAnsi="仿宋_GB2312" w:eastAsia="仿宋_GB2312" w:cs="仿宋_GB2312"/>
          <w:color w:val="000000"/>
          <w:kern w:val="0"/>
          <w:sz w:val="32"/>
          <w:szCs w:val="32"/>
          <w:lang w:val="zh-CN" w:eastAsia="zh-CN" w:bidi="ar"/>
        </w:rPr>
        <w:t>的项目共计</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个。</w:t>
      </w:r>
    </w:p>
    <w:p w14:paraId="1A66B3E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default" w:ascii="仿宋_GB2312" w:hAnsi="仿宋_GB2312" w:eastAsia="仿宋_GB2312" w:cs="仿宋_GB2312"/>
          <w:b/>
          <w:bCs/>
          <w:color w:val="000000"/>
          <w:kern w:val="0"/>
          <w:sz w:val="32"/>
          <w:szCs w:val="32"/>
          <w:lang w:val="en-US" w:eastAsia="zh-CN" w:bidi="ar"/>
        </w:rPr>
        <w:t>阶段</w:t>
      </w:r>
      <w:r>
        <w:rPr>
          <w:rFonts w:hint="eastAsia" w:ascii="仿宋_GB2312" w:hAnsi="仿宋_GB2312" w:eastAsia="仿宋_GB2312" w:cs="仿宋_GB2312"/>
          <w:b/>
          <w:bCs/>
          <w:color w:val="000000"/>
          <w:kern w:val="0"/>
          <w:sz w:val="32"/>
          <w:szCs w:val="32"/>
          <w:lang w:val="en-US" w:eastAsia="zh-CN" w:bidi="ar"/>
        </w:rPr>
        <w:t>（</w:t>
      </w:r>
      <w:r>
        <w:rPr>
          <w:rFonts w:hint="default" w:ascii="仿宋_GB2312" w:hAnsi="仿宋_GB2312" w:eastAsia="仿宋_GB2312" w:cs="仿宋_GB2312"/>
          <w:b/>
          <w:bCs/>
          <w:color w:val="000000"/>
          <w:kern w:val="0"/>
          <w:sz w:val="32"/>
          <w:szCs w:val="32"/>
          <w:lang w:val="en-US" w:eastAsia="zh-CN" w:bidi="ar"/>
        </w:rPr>
        <w:t>一次性</w:t>
      </w:r>
      <w:r>
        <w:rPr>
          <w:rFonts w:hint="eastAsia" w:ascii="仿宋_GB2312" w:hAnsi="仿宋_GB2312" w:eastAsia="仿宋_GB2312" w:cs="仿宋_GB2312"/>
          <w:b/>
          <w:bCs/>
          <w:color w:val="000000"/>
          <w:kern w:val="0"/>
          <w:sz w:val="32"/>
          <w:szCs w:val="32"/>
          <w:lang w:val="en-US" w:eastAsia="zh-CN" w:bidi="ar"/>
        </w:rPr>
        <w:t>）</w:t>
      </w:r>
      <w:r>
        <w:rPr>
          <w:rFonts w:hint="default" w:ascii="仿宋_GB2312" w:hAnsi="仿宋_GB2312" w:eastAsia="仿宋_GB2312" w:cs="仿宋_GB2312"/>
          <w:b/>
          <w:bCs/>
          <w:color w:val="000000"/>
          <w:kern w:val="0"/>
          <w:sz w:val="32"/>
          <w:szCs w:val="32"/>
          <w:lang w:val="en-US" w:eastAsia="zh-CN" w:bidi="ar"/>
        </w:rPr>
        <w:t>项目绩效分析。</w:t>
      </w:r>
      <w:r>
        <w:rPr>
          <w:rFonts w:hint="default" w:ascii="仿宋_GB2312" w:hAnsi="仿宋_GB2312" w:eastAsia="仿宋_GB2312" w:cs="仿宋_GB2312"/>
          <w:b/>
          <w:bCs/>
          <w:color w:val="000000"/>
          <w:kern w:val="0"/>
          <w:sz w:val="32"/>
          <w:szCs w:val="32"/>
          <w:lang w:val="zh-CN" w:eastAsia="zh-CN" w:bidi="ar"/>
        </w:rPr>
        <w:t>该</w:t>
      </w:r>
      <w:r>
        <w:rPr>
          <w:rFonts w:hint="default" w:ascii="仿宋_GB2312" w:hAnsi="仿宋_GB2312" w:eastAsia="仿宋_GB2312" w:cs="仿宋_GB2312"/>
          <w:color w:val="000000"/>
          <w:kern w:val="0"/>
          <w:sz w:val="32"/>
          <w:szCs w:val="32"/>
          <w:lang w:val="zh-CN" w:eastAsia="zh-CN" w:bidi="ar"/>
        </w:rPr>
        <w:t>类项目总数</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个，涉及预算总金额</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万元，1</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1</w:t>
      </w:r>
      <w:r>
        <w:rPr>
          <w:rFonts w:hint="default" w:ascii="仿宋_GB2312" w:hAnsi="仿宋_GB2312" w:eastAsia="仿宋_GB2312" w:cs="仿宋_GB2312"/>
          <w:color w:val="000000"/>
          <w:kern w:val="0"/>
          <w:sz w:val="32"/>
          <w:szCs w:val="32"/>
          <w:lang w:val="en-US" w:eastAsia="zh-CN" w:bidi="ar"/>
        </w:rPr>
        <w:t>2</w:t>
      </w:r>
      <w:r>
        <w:rPr>
          <w:rFonts w:hint="default" w:ascii="仿宋_GB2312" w:hAnsi="仿宋_GB2312" w:eastAsia="仿宋_GB2312" w:cs="仿宋_GB2312"/>
          <w:color w:val="000000"/>
          <w:kern w:val="0"/>
          <w:sz w:val="32"/>
          <w:szCs w:val="32"/>
          <w:lang w:val="zh-CN" w:eastAsia="zh-CN" w:bidi="ar"/>
        </w:rPr>
        <w:t>月预算执行总体进度为</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%，其中：预算结余率大于</w:t>
      </w:r>
      <w:r>
        <w:rPr>
          <w:rFonts w:hint="default" w:ascii="仿宋_GB2312" w:hAnsi="仿宋_GB2312" w:eastAsia="仿宋_GB2312" w:cs="仿宋_GB2312"/>
          <w:color w:val="000000"/>
          <w:kern w:val="0"/>
          <w:sz w:val="32"/>
          <w:szCs w:val="32"/>
          <w:lang w:val="en-US" w:eastAsia="zh-CN" w:bidi="ar"/>
        </w:rPr>
        <w:t>10%</w:t>
      </w:r>
      <w:r>
        <w:rPr>
          <w:rFonts w:hint="default" w:ascii="仿宋_GB2312" w:hAnsi="仿宋_GB2312" w:eastAsia="仿宋_GB2312" w:cs="仿宋_GB2312"/>
          <w:color w:val="000000"/>
          <w:kern w:val="0"/>
          <w:sz w:val="32"/>
          <w:szCs w:val="32"/>
          <w:lang w:val="zh-CN" w:eastAsia="zh-CN" w:bidi="ar"/>
        </w:rPr>
        <w:t>的项目共计</w:t>
      </w:r>
      <w:r>
        <w:rPr>
          <w:rFonts w:hint="eastAsia" w:ascii="仿宋_GB2312" w:hAnsi="仿宋_GB2312" w:eastAsia="仿宋_GB2312" w:cs="仿宋_GB2312"/>
          <w:color w:val="000000"/>
          <w:kern w:val="0"/>
          <w:sz w:val="32"/>
          <w:szCs w:val="32"/>
          <w:lang w:val="en-US" w:eastAsia="zh-CN" w:bidi="ar"/>
        </w:rPr>
        <w:t>0</w:t>
      </w:r>
      <w:r>
        <w:rPr>
          <w:rFonts w:hint="default" w:ascii="仿宋_GB2312" w:hAnsi="仿宋_GB2312" w:eastAsia="仿宋_GB2312" w:cs="仿宋_GB2312"/>
          <w:color w:val="000000"/>
          <w:kern w:val="0"/>
          <w:sz w:val="32"/>
          <w:szCs w:val="32"/>
          <w:lang w:val="zh-CN" w:eastAsia="zh-CN" w:bidi="ar"/>
        </w:rPr>
        <w:t>个。</w:t>
      </w:r>
    </w:p>
    <w:p w14:paraId="6BDD05F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1.</w:t>
      </w:r>
      <w:r>
        <w:rPr>
          <w:rFonts w:hint="eastAsia" w:ascii="仿宋_GB2312" w:hAnsi="仿宋_GB2312" w:eastAsia="仿宋_GB2312" w:cs="仿宋_GB2312"/>
          <w:b/>
          <w:bCs/>
          <w:color w:val="000000"/>
          <w:kern w:val="0"/>
          <w:sz w:val="32"/>
          <w:szCs w:val="32"/>
          <w:lang w:val="zh-CN" w:eastAsia="zh-CN" w:bidi="ar"/>
        </w:rPr>
        <w:t>项目决策。</w:t>
      </w:r>
      <w:r>
        <w:rPr>
          <w:rFonts w:hint="eastAsia" w:ascii="仿宋_GB2312" w:hAnsi="仿宋_GB2312" w:eastAsia="仿宋_GB2312" w:cs="仿宋_GB2312"/>
          <w:color w:val="000000"/>
          <w:kern w:val="0"/>
          <w:sz w:val="32"/>
          <w:szCs w:val="32"/>
          <w:lang w:val="zh-CN" w:eastAsia="zh-CN" w:bidi="ar"/>
        </w:rPr>
        <w:t>围绕决策程序、目标设置、项目入库</w:t>
      </w:r>
      <w:r>
        <w:rPr>
          <w:rFonts w:hint="default" w:ascii="仿宋_GB2312" w:hAnsi="仿宋_GB2312" w:eastAsia="仿宋_GB2312" w:cs="仿宋_GB2312"/>
          <w:color w:val="000000"/>
          <w:kern w:val="0"/>
          <w:sz w:val="32"/>
          <w:szCs w:val="32"/>
          <w:lang w:val="zh-CN" w:eastAsia="zh-CN" w:bidi="ar"/>
        </w:rPr>
        <w:t>进行绩效分析</w:t>
      </w:r>
      <w:r>
        <w:rPr>
          <w:rFonts w:hint="eastAsia" w:ascii="仿宋_GB2312" w:hAnsi="仿宋_GB2312" w:eastAsia="仿宋_GB2312" w:cs="仿宋_GB2312"/>
          <w:color w:val="000000"/>
          <w:kern w:val="0"/>
          <w:sz w:val="32"/>
          <w:szCs w:val="32"/>
          <w:lang w:val="zh-CN" w:eastAsia="zh-CN" w:bidi="ar"/>
        </w:rPr>
        <w:t>。</w:t>
      </w:r>
    </w:p>
    <w:p w14:paraId="663BA98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000000"/>
          <w:kern w:val="0"/>
          <w:sz w:val="32"/>
          <w:szCs w:val="32"/>
          <w:lang w:val="en-US" w:eastAsia="zh-CN" w:bidi="ar"/>
        </w:rPr>
        <w:t>2.项目执行</w:t>
      </w:r>
      <w:r>
        <w:rPr>
          <w:rFonts w:hint="eastAsia" w:ascii="仿宋_GB2312" w:hAnsi="仿宋_GB2312" w:eastAsia="仿宋_GB2312" w:cs="仿宋_GB2312"/>
          <w:b/>
          <w:bCs/>
          <w:color w:val="000000"/>
          <w:kern w:val="0"/>
          <w:sz w:val="32"/>
          <w:szCs w:val="32"/>
          <w:lang w:val="zh-CN" w:eastAsia="zh-CN" w:bidi="ar"/>
        </w:rPr>
        <w:t>。</w:t>
      </w:r>
      <w:r>
        <w:rPr>
          <w:rFonts w:hint="eastAsia" w:ascii="仿宋_GB2312" w:hAnsi="仿宋_GB2312" w:eastAsia="仿宋_GB2312" w:cs="仿宋_GB2312"/>
          <w:color w:val="000000"/>
          <w:kern w:val="0"/>
          <w:sz w:val="32"/>
          <w:szCs w:val="32"/>
          <w:lang w:val="zh-CN" w:eastAsia="zh-CN" w:bidi="ar"/>
        </w:rPr>
        <w:t>围绕资金执行同向、项目调整、执行结果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079F4A82">
      <w:pPr>
        <w:keepNext w:val="0"/>
        <w:keepLines w:val="0"/>
        <w:widowControl/>
        <w:suppressLineNumbers w:val="0"/>
        <w:ind w:firstLine="643" w:firstLineChars="200"/>
        <w:jc w:val="both"/>
        <w:textAlignment w:val="center"/>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b/>
          <w:bCs/>
          <w:color w:val="auto"/>
          <w:kern w:val="2"/>
          <w:sz w:val="32"/>
          <w:szCs w:val="32"/>
          <w:highlight w:val="none"/>
          <w:lang w:val="en-US" w:eastAsia="zh-CN" w:bidi="ar-SA"/>
        </w:rPr>
        <w:t>3.</w:t>
      </w:r>
      <w:r>
        <w:rPr>
          <w:rFonts w:hint="eastAsia" w:ascii="Times New Roman" w:hAnsi="Times New Roman" w:eastAsia="仿宋_GB2312" w:cs="仿宋_GB2312"/>
          <w:b/>
          <w:bCs/>
          <w:color w:val="auto"/>
          <w:kern w:val="2"/>
          <w:sz w:val="32"/>
          <w:szCs w:val="32"/>
          <w:highlight w:val="none"/>
          <w:lang w:val="zh-CN" w:eastAsia="zh-CN" w:bidi="ar-SA"/>
        </w:rPr>
        <w:t>目标实现。</w:t>
      </w:r>
      <w:r>
        <w:rPr>
          <w:rFonts w:hint="eastAsia" w:ascii="Times New Roman" w:hAnsi="Times New Roman" w:eastAsia="仿宋_GB2312" w:cs="仿宋_GB2312"/>
          <w:color w:val="auto"/>
          <w:kern w:val="2"/>
          <w:sz w:val="32"/>
          <w:szCs w:val="32"/>
          <w:highlight w:val="none"/>
          <w:lang w:val="zh-CN" w:eastAsia="zh-CN" w:bidi="ar-SA"/>
        </w:rPr>
        <w:t>围绕目标完成、目标偏离、实现效果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14:paraId="2C963172">
      <w:pPr>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br w:type="page"/>
      </w:r>
    </w:p>
    <w:p w14:paraId="2D79892F">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部门预算项目绩效目标表（2025年度）</w:t>
      </w:r>
    </w:p>
    <w:p w14:paraId="7CC8CD2B">
      <w:pPr>
        <w:pStyle w:val="2"/>
        <w:ind w:left="0" w:leftChars="0" w:firstLine="0" w:firstLineChars="0"/>
        <w:jc w:val="center"/>
        <w:rPr>
          <w:rFonts w:hint="eastAsia" w:ascii="仿宋_GB2312" w:hAnsi="仿宋_GB2312" w:eastAsia="仿宋_GB2312" w:cs="仿宋_GB2312"/>
          <w:b w:val="0"/>
          <w:bCs/>
          <w:i w:val="0"/>
          <w:color w:val="000000"/>
          <w:kern w:val="0"/>
          <w:sz w:val="30"/>
          <w:szCs w:val="30"/>
          <w:u w:val="none"/>
          <w:lang w:val="en-US" w:eastAsia="zh-CN" w:bidi="ar"/>
        </w:rPr>
      </w:pPr>
      <w:r>
        <w:rPr>
          <w:rFonts w:hint="eastAsia" w:ascii="宋体" w:hAnsi="宋体" w:cs="宋体"/>
          <w:b/>
          <w:i w:val="0"/>
          <w:color w:val="000000"/>
          <w:kern w:val="0"/>
          <w:sz w:val="30"/>
          <w:szCs w:val="30"/>
          <w:u w:val="none"/>
          <w:lang w:val="en-US" w:eastAsia="zh-CN" w:bidi="ar"/>
        </w:rPr>
        <w:t xml:space="preserve">                                    </w:t>
      </w:r>
      <w:r>
        <w:rPr>
          <w:rFonts w:hint="eastAsia" w:ascii="仿宋_GB2312" w:hAnsi="仿宋_GB2312" w:eastAsia="仿宋_GB2312" w:cs="仿宋_GB2312"/>
          <w:b w:val="0"/>
          <w:bCs/>
          <w:i w:val="0"/>
          <w:color w:val="000000"/>
          <w:kern w:val="0"/>
          <w:sz w:val="30"/>
          <w:szCs w:val="30"/>
          <w:u w:val="none"/>
          <w:lang w:val="en-US" w:eastAsia="zh-CN" w:bidi="ar"/>
        </w:rPr>
        <w:t xml:space="preserve">   金额：万元</w:t>
      </w:r>
    </w:p>
    <w:tbl>
      <w:tblPr>
        <w:tblStyle w:val="17"/>
        <w:tblW w:w="9649" w:type="dxa"/>
        <w:tblInd w:w="-6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10"/>
        <w:gridCol w:w="1040"/>
        <w:gridCol w:w="850"/>
        <w:gridCol w:w="1074"/>
        <w:gridCol w:w="675"/>
        <w:gridCol w:w="938"/>
        <w:gridCol w:w="1587"/>
        <w:gridCol w:w="463"/>
        <w:gridCol w:w="450"/>
        <w:gridCol w:w="412"/>
        <w:gridCol w:w="538"/>
        <w:gridCol w:w="612"/>
      </w:tblGrid>
      <w:tr w14:paraId="118F6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10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9C1EB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104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F46C9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85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0B2B4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07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3191B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67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0A302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一级</w:t>
            </w:r>
          </w:p>
          <w:p w14:paraId="169FFA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5D3F8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二级</w:t>
            </w:r>
          </w:p>
          <w:p w14:paraId="1419B3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w:t>
            </w:r>
          </w:p>
        </w:tc>
        <w:tc>
          <w:tcPr>
            <w:tcW w:w="158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9F56A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63"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72206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45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F70FD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41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74A40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53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3896A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61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2889E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指标</w:t>
            </w:r>
          </w:p>
          <w:p w14:paraId="67EC4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方向性</w:t>
            </w:r>
          </w:p>
        </w:tc>
      </w:tr>
      <w:tr w14:paraId="4059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0" w:hRule="atLeast"/>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C05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B96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2CE2">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19,691.19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BD6F">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E0B8">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C3DD">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21EF">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A55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6483">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C0FF">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192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AB0A">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2E726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4" w:hRule="atLeast"/>
        </w:trPr>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089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122008-红原县刷经寺镇卫生院</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4740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46422">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13,742.19</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0C2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A9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CE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82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C99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F5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0E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98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00C9">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24E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9"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E4FB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54D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FF17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5678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B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w:t>
            </w:r>
          </w:p>
          <w:p w14:paraId="3F8F9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62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F3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2C2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0C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1.37429</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4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3E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4367">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5F60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2"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8F93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02A9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D3CFA">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83BA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9C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EE19A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C2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37F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65岁及以上居民健康管理人数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3CD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25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199</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B8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0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D492">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259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92AF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1915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5FBE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9DCB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E6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442504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B8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214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BC9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59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1983</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00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CE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9B50">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B1B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1"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3101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06B7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B49E">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4E20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C1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028628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62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93D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2型糖尿病患者管理人数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23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55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0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90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2FF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0653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2"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FB9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1AF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5156F">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458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8F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68BC4C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18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FD0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44D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83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14F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26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B499">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0722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9"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B64F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3754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70070">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D9AF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A5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073024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FD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7ED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高血压患者管理人数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FC5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2A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6F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16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0CC1">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575A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8"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297A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64C4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33D3D">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5,949.00</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0007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县级配套基本药物用于卫生院日常开支，包含办公费、邮电费、电费等</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4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4DA86D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8B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F89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基本药物补助县级配套资金支付及时率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F58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56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E2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34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B3BD">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6C02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5"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D1FE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4F93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73163">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8454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EE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50FE4A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E7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51A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确保药品采购公平、公正、公开</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0FA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B3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优良中低差</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FEA7">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92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120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1EB6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5"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F125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F669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FC709">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DA84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A9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F56DF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80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58C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基层医疗机构基本药物网购置次数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85D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5D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BD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0C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02F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9A2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9"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EBA8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B03E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1406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7AC0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05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3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04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基层医疗机构工作人员满意度</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407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C2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F1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77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4E2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0DA2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8"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4AB6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CC81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982C5">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372E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AD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C3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AC1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实行基本药物补助县级配套的基层医疗机构个数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606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DD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30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86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65A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2F372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6"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595E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4671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E4E44">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9519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5D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48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D06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基本药物补助县级配套资金支付准确率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2BE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11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82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30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CD5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1023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8" w:hRule="atLeast"/>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8B65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6B4C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BBEF4">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2F01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C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2B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EA3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基层医疗机构药品零差率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079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7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等于100</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599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EA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57A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bl>
    <w:p w14:paraId="7E23EAA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p>
    <w:p w14:paraId="6790D0C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省级部门对2024年度一般公共预算、政府性基金预算、国有资本经营预算安排的常年项目、阶段项目绩效目标完成情况，以及债券资金、政府购买服务有关情况进行梳理阐述</w:t>
      </w:r>
      <w:r>
        <w:rPr>
          <w:rFonts w:hint="eastAsia" w:ascii="仿宋_GB2312" w:hAnsi="仿宋_GB2312" w:eastAsia="仿宋_GB2312" w:cs="仿宋_GB2312"/>
          <w:color w:val="000000"/>
          <w:kern w:val="0"/>
          <w:sz w:val="32"/>
          <w:szCs w:val="32"/>
          <w:lang w:val="en-US" w:eastAsia="zh-CN" w:bidi="ar"/>
        </w:rPr>
        <w:t>。</w:t>
      </w:r>
    </w:p>
    <w:p w14:paraId="337E21B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仿宋_GB2312" w:hAnsi="仿宋_GB2312" w:eastAsia="仿宋_GB2312" w:cs="仿宋_GB2312"/>
          <w:color w:val="000000"/>
          <w:kern w:val="0"/>
          <w:sz w:val="32"/>
          <w:szCs w:val="32"/>
          <w:lang w:val="zh-CN" w:eastAsia="zh-CN" w:bidi="ar"/>
        </w:rPr>
      </w:pPr>
      <w:r>
        <w:rPr>
          <w:rFonts w:hint="eastAsia" w:ascii="楷体_GB2312" w:hAnsi="楷体_GB2312" w:eastAsia="楷体_GB2312" w:cs="楷体_GB2312"/>
          <w:b/>
          <w:bCs/>
          <w:color w:val="000000"/>
          <w:kern w:val="0"/>
          <w:sz w:val="32"/>
          <w:szCs w:val="32"/>
          <w:lang w:val="zh-CN" w:eastAsia="zh-CN" w:bidi="ar"/>
        </w:rPr>
        <w:t>（</w:t>
      </w:r>
      <w:r>
        <w:rPr>
          <w:rFonts w:hint="eastAsia" w:ascii="楷体_GB2312" w:hAnsi="楷体_GB2312" w:eastAsia="楷体_GB2312" w:cs="楷体_GB2312"/>
          <w:b/>
          <w:bCs/>
          <w:color w:val="000000"/>
          <w:kern w:val="0"/>
          <w:sz w:val="32"/>
          <w:szCs w:val="32"/>
          <w:lang w:val="en-US" w:eastAsia="zh-CN" w:bidi="ar"/>
        </w:rPr>
        <w:t>三</w:t>
      </w:r>
      <w:r>
        <w:rPr>
          <w:rFonts w:hint="eastAsia" w:ascii="楷体_GB2312" w:hAnsi="楷体_GB2312" w:eastAsia="楷体_GB2312" w:cs="楷体_GB2312"/>
          <w:b/>
          <w:bCs/>
          <w:color w:val="000000"/>
          <w:kern w:val="0"/>
          <w:sz w:val="32"/>
          <w:szCs w:val="32"/>
          <w:lang w:val="zh-CN" w:eastAsia="zh-CN" w:bidi="ar"/>
        </w:rPr>
        <w:t>）绩效结果应用情况。</w:t>
      </w:r>
      <w:r>
        <w:rPr>
          <w:rFonts w:hint="eastAsia" w:ascii="仿宋_GB2312" w:hAnsi="仿宋_GB2312" w:eastAsia="仿宋_GB2312" w:cs="仿宋_GB2312"/>
          <w:color w:val="000000"/>
          <w:kern w:val="0"/>
          <w:sz w:val="32"/>
          <w:szCs w:val="32"/>
          <w:lang w:val="zh-CN" w:eastAsia="zh-CN" w:bidi="ar"/>
        </w:rPr>
        <w:t>围绕内部应用情况、</w:t>
      </w:r>
      <w:r>
        <w:rPr>
          <w:rFonts w:hint="default" w:ascii="仿宋_GB2312" w:hAnsi="仿宋_GB2312" w:eastAsia="仿宋_GB2312" w:cs="仿宋_GB2312"/>
          <w:color w:val="000000"/>
          <w:kern w:val="0"/>
          <w:sz w:val="32"/>
          <w:szCs w:val="32"/>
          <w:lang w:val="zh-CN" w:eastAsia="zh-CN" w:bidi="ar"/>
        </w:rPr>
        <w:t>信息公开情况</w:t>
      </w:r>
      <w:r>
        <w:rPr>
          <w:rFonts w:hint="eastAsia" w:ascii="仿宋_GB2312" w:hAnsi="仿宋_GB2312" w:eastAsia="仿宋_GB2312" w:cs="仿宋_GB2312"/>
          <w:color w:val="000000"/>
          <w:kern w:val="0"/>
          <w:sz w:val="32"/>
          <w:szCs w:val="32"/>
          <w:lang w:val="zh-CN" w:eastAsia="zh-CN" w:bidi="ar"/>
        </w:rPr>
        <w:t>、</w:t>
      </w:r>
      <w:r>
        <w:rPr>
          <w:rFonts w:hint="default" w:ascii="仿宋_GB2312" w:hAnsi="仿宋_GB2312" w:eastAsia="仿宋_GB2312" w:cs="仿宋_GB2312"/>
          <w:color w:val="000000"/>
          <w:kern w:val="0"/>
          <w:sz w:val="32"/>
          <w:szCs w:val="32"/>
          <w:lang w:val="zh-CN" w:eastAsia="zh-CN" w:bidi="ar"/>
        </w:rPr>
        <w:t>整改反馈情况</w:t>
      </w:r>
      <w:r>
        <w:rPr>
          <w:rFonts w:hint="eastAsia" w:ascii="仿宋_GB2312" w:hAnsi="仿宋_GB2312" w:eastAsia="仿宋_GB2312" w:cs="仿宋_GB2312"/>
          <w:color w:val="000000"/>
          <w:kern w:val="0"/>
          <w:sz w:val="32"/>
          <w:szCs w:val="32"/>
          <w:lang w:val="zh-CN" w:eastAsia="zh-CN" w:bidi="ar"/>
        </w:rPr>
        <w:t>进行分析。</w:t>
      </w:r>
    </w:p>
    <w:p w14:paraId="7EEBBBB9">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四、评价结论及建议</w:t>
      </w:r>
    </w:p>
    <w:p w14:paraId="308807A6">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textAlignment w:val="auto"/>
        <w:rPr>
          <w:rFonts w:hint="eastAsia" w:ascii="楷体_GB2312" w:hAnsi="楷体_GB2312" w:eastAsia="楷体_GB2312" w:cs="楷体_GB2312"/>
          <w:b/>
          <w:bCs/>
          <w:color w:val="000000"/>
          <w:kern w:val="0"/>
          <w:sz w:val="32"/>
          <w:szCs w:val="32"/>
          <w:lang w:val="en-US" w:eastAsia="zh-CN" w:bidi="ar"/>
        </w:rPr>
      </w:pPr>
      <w:bookmarkStart w:id="52" w:name="_Hlk110546638"/>
      <w:r>
        <w:rPr>
          <w:rFonts w:hint="eastAsia" w:ascii="楷体_GB2312" w:hAnsi="楷体_GB2312" w:eastAsia="楷体_GB2312" w:cs="楷体_GB2312"/>
          <w:b/>
          <w:bCs/>
          <w:color w:val="000000"/>
          <w:kern w:val="0"/>
          <w:sz w:val="32"/>
          <w:szCs w:val="32"/>
          <w:lang w:val="en-US" w:eastAsia="zh-CN" w:bidi="ar"/>
        </w:rPr>
        <w:t>（一）评价结论。</w:t>
      </w:r>
    </w:p>
    <w:p w14:paraId="4E72889B">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2024年部门预算编制基础数据真实可靠，按照年度</w:t>
      </w:r>
      <w:r>
        <w:rPr>
          <w:rFonts w:hint="eastAsia" w:ascii="仿宋_GB2312" w:hAnsi="仿宋_GB2312" w:eastAsia="仿宋_GB2312" w:cs="仿宋_GB2312"/>
          <w:color w:val="000000"/>
          <w:kern w:val="0"/>
          <w:sz w:val="32"/>
          <w:szCs w:val="32"/>
          <w:lang w:val="en-US" w:eastAsia="zh-CN" w:bidi="ar"/>
        </w:rPr>
        <w:fldChar w:fldCharType="begin"/>
      </w:r>
      <w:r>
        <w:rPr>
          <w:rFonts w:hint="eastAsia" w:ascii="仿宋_GB2312" w:hAnsi="仿宋_GB2312" w:eastAsia="仿宋_GB2312" w:cs="仿宋_GB2312"/>
          <w:color w:val="000000"/>
          <w:kern w:val="0"/>
          <w:sz w:val="32"/>
          <w:szCs w:val="32"/>
          <w:lang w:val="en-US" w:eastAsia="zh-CN" w:bidi="ar"/>
        </w:rPr>
        <w:instrText xml:space="preserve"> HYPERLINK "http://www.91wenmi.com/wenmi/zongjie/gongzuojihua/" \t "_blank" </w:instrText>
      </w:r>
      <w:r>
        <w:rPr>
          <w:rFonts w:hint="eastAsia" w:ascii="仿宋_GB2312" w:hAnsi="仿宋_GB2312" w:eastAsia="仿宋_GB2312" w:cs="仿宋_GB2312"/>
          <w:color w:val="000000"/>
          <w:kern w:val="0"/>
          <w:sz w:val="32"/>
          <w:szCs w:val="32"/>
          <w:lang w:val="en-US" w:eastAsia="zh-CN" w:bidi="ar"/>
        </w:rPr>
        <w:fldChar w:fldCharType="separate"/>
      </w:r>
      <w:r>
        <w:rPr>
          <w:rFonts w:hint="eastAsia" w:ascii="仿宋_GB2312" w:hAnsi="仿宋_GB2312" w:eastAsia="仿宋_GB2312" w:cs="仿宋_GB2312"/>
          <w:color w:val="000000"/>
          <w:kern w:val="0"/>
          <w:sz w:val="32"/>
          <w:szCs w:val="32"/>
          <w:lang w:val="en-US" w:eastAsia="zh-CN" w:bidi="ar"/>
        </w:rPr>
        <w:t>工作计划</w:t>
      </w:r>
      <w:r>
        <w:rPr>
          <w:rFonts w:hint="eastAsia" w:ascii="仿宋_GB2312" w:hAnsi="仿宋_GB2312" w:eastAsia="仿宋_GB2312" w:cs="仿宋_GB2312"/>
          <w:color w:val="000000"/>
          <w:kern w:val="0"/>
          <w:sz w:val="32"/>
          <w:szCs w:val="32"/>
          <w:lang w:val="en-US" w:eastAsia="zh-CN" w:bidi="ar"/>
        </w:rPr>
        <w:fldChar w:fldCharType="end"/>
      </w:r>
      <w:r>
        <w:rPr>
          <w:rFonts w:hint="eastAsia" w:ascii="仿宋_GB2312" w:hAnsi="仿宋_GB2312" w:eastAsia="仿宋_GB2312" w:cs="仿宋_GB2312"/>
          <w:color w:val="000000"/>
          <w:kern w:val="0"/>
          <w:sz w:val="32"/>
          <w:szCs w:val="32"/>
          <w:lang w:val="en-US" w:eastAsia="zh-CN" w:bidi="ar"/>
        </w:rPr>
        <w:t>和支出标准合理编制预算方案，预算数据按要求及时报送。基本支出按时间进度支付，达到执行进度，年终无结余。严格执行“三公经费”预算，严格审批，无超预算、无预算执行的情况。</w:t>
      </w:r>
    </w:p>
    <w:p w14:paraId="1928DAC8">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（二）存在问题。</w:t>
      </w:r>
    </w:p>
    <w:p w14:paraId="577CB3DB">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专项资金执行进度有待进一步加快，固定资产管理继续加强中。账务处理有待于提高。</w:t>
      </w:r>
    </w:p>
    <w:p w14:paraId="215E87D5">
      <w:pPr>
        <w:pStyle w:val="1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（三）改进建议。</w:t>
      </w:r>
    </w:p>
    <w:p w14:paraId="2FA2384A">
      <w:pPr>
        <w:pStyle w:val="2"/>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en-US" w:eastAsia="zh-CN" w:bidi="ar"/>
        </w:rPr>
        <w:t>深入学习贯彻《预算法》等相关法律、法规，进一步增强预算意识，始终坚持先有预算、后有支出，没有预算不得支出的原则。科学合理编制部门预算，推进预算编制科学化、准确化。年度预算编制后，根据实际情况，定期做好预算执行分析，适时掌握预算执行进度，及时找出预算实际执行情况与预算目标之间存在的差距，进一步加快预算执行。加强与业务部门工作对接，做好提前准备工作，资金下达后及时开展项目工作，加快执行进度，充分发挥项目资金效益。</w:t>
      </w:r>
      <w:bookmarkEnd w:id="52"/>
    </w:p>
    <w:p w14:paraId="58A62BAC">
      <w:pPr>
        <w:pStyle w:val="2"/>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附表：</w:t>
      </w:r>
      <w:r>
        <w:rPr>
          <w:rFonts w:hint="eastAsia" w:ascii="仿宋_GB2312" w:hAnsi="仿宋_GB2312" w:eastAsia="仿宋_GB2312" w:cs="仿宋_GB2312"/>
          <w:color w:val="000000"/>
          <w:kern w:val="0"/>
          <w:sz w:val="32"/>
          <w:szCs w:val="32"/>
          <w:lang w:val="en-US" w:eastAsia="zh-CN" w:bidi="ar"/>
        </w:rPr>
        <w:t>部门预算项目支出绩效自评表（2024年度）</w:t>
      </w:r>
    </w:p>
    <w:p w14:paraId="6F3723E0">
      <w:pPr>
        <w:pStyle w:val="2"/>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en-US" w:eastAsia="zh-CN" w:bidi="ar"/>
        </w:rPr>
        <w:t>（注：按照绩效自评工作安排，各部门已在预算管理一体化系统绩效自评模块上传“部门预算项目支出绩效自评表（2024年度）”，该表格应作为附表予以公开）</w:t>
      </w:r>
    </w:p>
    <w:p w14:paraId="1F2D1C3E">
      <w:pPr>
        <w:pStyle w:val="2"/>
        <w:keepNext w:val="0"/>
        <w:keepLines w:val="0"/>
        <w:pageBreakBefore w:val="0"/>
        <w:numPr>
          <w:ilvl w:val="0"/>
          <w:numId w:val="0"/>
        </w:numPr>
        <w:kinsoku/>
        <w:wordWrap/>
        <w:overflowPunct/>
        <w:topLinePunct w:val="0"/>
        <w:autoSpaceDE/>
        <w:autoSpaceDN/>
        <w:bidi w:val="0"/>
        <w:adjustRightInd w:val="0"/>
        <w:snapToGrid w:val="0"/>
        <w:spacing w:line="576" w:lineRule="exact"/>
        <w:textAlignment w:val="auto"/>
        <w:rPr>
          <w:rFonts w:hint="eastAsia" w:ascii="Times New Roman" w:hAnsi="Times New Roman" w:cs="Times New Roman"/>
          <w:sz w:val="32"/>
          <w:szCs w:val="32"/>
          <w:highlight w:val="yellow"/>
          <w:lang w:val="zh-CN" w:eastAsia="zh-CN"/>
        </w:rPr>
      </w:pPr>
    </w:p>
    <w:p w14:paraId="387702D8">
      <w:pPr>
        <w:pStyle w:val="7"/>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cs="宋体"/>
          <w:color w:val="FF0000"/>
          <w:kern w:val="0"/>
          <w:sz w:val="32"/>
          <w:szCs w:val="32"/>
          <w:highlight w:val="yellow"/>
          <w:shd w:val="clear" w:color="auto" w:fill="FFFFFF"/>
          <w:lang w:val="zh-CN"/>
        </w:rPr>
      </w:pPr>
    </w:p>
    <w:p w14:paraId="167B543A">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66333C07">
      <w:pPr>
        <w:pStyle w:val="7"/>
        <w:rPr>
          <w:rFonts w:hint="eastAsia" w:ascii="Times New Roman" w:hAnsi="Times New Roman" w:eastAsia="方正小标宋简体" w:cs="方正小标宋简体"/>
          <w:color w:val="auto"/>
          <w:kern w:val="2"/>
          <w:sz w:val="44"/>
          <w:szCs w:val="44"/>
          <w:highlight w:val="none"/>
          <w:lang w:val="en-US" w:eastAsia="zh-CN"/>
        </w:rPr>
      </w:pPr>
      <w:r>
        <w:rPr>
          <w:rFonts w:hint="eastAsia" w:ascii="黑体" w:hAnsi="黑体" w:eastAsia="黑体" w:cs="黑体"/>
          <w:b w:val="0"/>
          <w:bCs w:val="0"/>
          <w:color w:val="auto"/>
          <w:kern w:val="0"/>
          <w:sz w:val="32"/>
          <w:szCs w:val="32"/>
          <w:highlight w:val="none"/>
          <w:shd w:val="clear" w:color="auto" w:fill="FFFFFF"/>
          <w:lang w:val="zh-CN"/>
        </w:rPr>
        <w:t>附件</w:t>
      </w:r>
      <w:r>
        <w:rPr>
          <w:rFonts w:hint="eastAsia" w:ascii="黑体" w:hAnsi="黑体" w:eastAsia="黑体" w:cs="黑体"/>
          <w:b w:val="0"/>
          <w:bCs w:val="0"/>
          <w:color w:val="auto"/>
          <w:kern w:val="0"/>
          <w:sz w:val="32"/>
          <w:szCs w:val="32"/>
          <w:highlight w:val="none"/>
          <w:shd w:val="clear" w:color="auto" w:fill="FFFFFF"/>
          <w:lang w:val="en-US" w:eastAsia="zh-CN"/>
        </w:rPr>
        <w:t>2</w:t>
      </w:r>
    </w:p>
    <w:p w14:paraId="55AE3E85">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215358D3">
      <w:pPr>
        <w:pStyle w:val="36"/>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655A9267">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cstheme="majorBidi"/>
          <w:b/>
          <w:bCs w:val="0"/>
          <w:color w:val="auto"/>
          <w:kern w:val="2"/>
          <w:sz w:val="32"/>
          <w:szCs w:val="32"/>
          <w:lang w:val="zh-CN" w:eastAsia="zh-CN" w:bidi="ar-SA"/>
        </w:rPr>
        <w:t>项目概况</w:t>
      </w:r>
    </w:p>
    <w:p w14:paraId="32A0815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仿宋_GB2312" w:eastAsia="仿宋_GB2312" w:cs="仿宋_GB2312"/>
          <w:color w:val="000000"/>
          <w:kern w:val="0"/>
          <w:sz w:val="32"/>
          <w:szCs w:val="32"/>
          <w:lang w:val="en-US" w:eastAsia="zh-CN" w:bidi="ar"/>
        </w:rPr>
        <w:t>项目设立原因及背景，</w:t>
      </w:r>
      <w:r>
        <w:rPr>
          <w:rFonts w:hint="eastAsia" w:ascii="仿宋_GB2312" w:hAnsi="仿宋_GB2312" w:eastAsia="仿宋_GB2312" w:cs="仿宋_GB2312"/>
          <w:color w:val="000000"/>
          <w:kern w:val="0"/>
          <w:sz w:val="32"/>
          <w:szCs w:val="32"/>
          <w:lang w:val="zh-CN" w:eastAsia="zh-CN" w:bidi="ar"/>
        </w:rPr>
        <w:t>项</w:t>
      </w:r>
      <w:r>
        <w:rPr>
          <w:rFonts w:hint="eastAsia" w:ascii="Times New Roman" w:hAnsi="Times New Roman" w:eastAsia="仿宋_GB2312" w:cs="仿宋_GB2312"/>
          <w:b w:val="0"/>
          <w:bCs w:val="0"/>
          <w:kern w:val="0"/>
          <w:position w:val="0"/>
          <w:sz w:val="32"/>
          <w:szCs w:val="32"/>
          <w:highlight w:val="none"/>
          <w:lang w:val="zh-CN" w:eastAsia="zh-CN" w:bidi="ar-SA"/>
        </w:rPr>
        <w:t>目立项、资金申报的依据，项目主要内容</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14:paraId="41DA1D6B">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14:paraId="0390FE3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14:paraId="48B61383">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14:paraId="289673B6">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二、评价实施</w:t>
      </w:r>
    </w:p>
    <w:p w14:paraId="20E302E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14:paraId="6A7FE1A1">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14:paraId="69E73DC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14:paraId="13C7381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6A09E63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14:paraId="60436129">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en-US" w:eastAsia="zh-CN" w:bidi="ar-SA"/>
        </w:rPr>
        <w:t>三、绩效分析</w:t>
      </w:r>
      <w:r>
        <w:rPr>
          <w:rFonts w:hint="eastAsia" w:ascii="Times New Roman" w:hAnsi="Times New Roman" w:eastAsia="黑体" w:cstheme="majorBidi"/>
          <w:b/>
          <w:bCs w:val="0"/>
          <w:color w:val="auto"/>
          <w:kern w:val="2"/>
          <w:sz w:val="32"/>
          <w:szCs w:val="32"/>
          <w:lang w:val="zh-CN" w:eastAsia="zh-CN" w:bidi="ar-SA"/>
        </w:rPr>
        <w:tab/>
      </w:r>
    </w:p>
    <w:p w14:paraId="71162F2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7B4EC0D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F07D1D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1.</w:t>
      </w:r>
      <w:r>
        <w:rPr>
          <w:rFonts w:hint="eastAsia" w:ascii="Times New Roman" w:hAnsi="Times New Roman" w:eastAsia="仿宋_GB2312" w:cs="仿宋_GB2312"/>
          <w:b/>
          <w:bCs/>
          <w:kern w:val="0"/>
          <w:position w:val="0"/>
          <w:sz w:val="32"/>
          <w:szCs w:val="32"/>
          <w:highlight w:val="none"/>
          <w:lang w:val="zh-CN" w:eastAsia="zh-CN" w:bidi="ar-SA"/>
        </w:rPr>
        <w:t>项目决策。</w:t>
      </w:r>
      <w:r>
        <w:rPr>
          <w:rFonts w:hint="eastAsia" w:ascii="Times New Roman" w:hAnsi="Times New Roman" w:eastAsia="仿宋_GB2312" w:cs="仿宋_GB2312"/>
          <w:b w:val="0"/>
          <w:bCs w:val="0"/>
          <w:kern w:val="0"/>
          <w:position w:val="0"/>
          <w:sz w:val="32"/>
          <w:szCs w:val="32"/>
          <w:highlight w:val="none"/>
          <w:lang w:val="zh-CN" w:eastAsia="zh-CN" w:bidi="ar-SA"/>
        </w:rPr>
        <w:t>围绕决策程序、规划论证、资金投向进行绩效分析。</w:t>
      </w:r>
    </w:p>
    <w:p w14:paraId="3DA11DD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2.</w:t>
      </w:r>
      <w:r>
        <w:rPr>
          <w:rFonts w:hint="eastAsia" w:ascii="Times New Roman" w:hAnsi="Times New Roman" w:eastAsia="仿宋_GB2312" w:cs="仿宋_GB2312"/>
          <w:b/>
          <w:bCs/>
          <w:kern w:val="0"/>
          <w:position w:val="0"/>
          <w:sz w:val="32"/>
          <w:szCs w:val="32"/>
          <w:highlight w:val="none"/>
          <w:lang w:val="zh-CN" w:eastAsia="zh-CN" w:bidi="ar-SA"/>
        </w:rPr>
        <w:t>项目管理。</w:t>
      </w:r>
      <w:r>
        <w:rPr>
          <w:rFonts w:hint="eastAsia" w:ascii="Times New Roman" w:hAnsi="Times New Roman" w:eastAsia="仿宋_GB2312" w:cs="仿宋_GB2312"/>
          <w:b w:val="0"/>
          <w:bCs w:val="0"/>
          <w:kern w:val="0"/>
          <w:position w:val="0"/>
          <w:sz w:val="32"/>
          <w:szCs w:val="32"/>
          <w:highlight w:val="none"/>
          <w:lang w:val="zh-CN" w:eastAsia="zh-CN" w:bidi="ar-SA"/>
        </w:rPr>
        <w:t>围绕制度办法、分配管理、绩效监管进行绩效分析。</w:t>
      </w:r>
    </w:p>
    <w:p w14:paraId="5562797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14:paraId="2E7B469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4.项目结果。</w:t>
      </w:r>
      <w:r>
        <w:rPr>
          <w:rFonts w:hint="eastAsia" w:ascii="Times New Roman" w:hAnsi="Times New Roman" w:eastAsia="仿宋_GB2312" w:cs="仿宋_GB2312"/>
          <w:b w:val="0"/>
          <w:bCs w:val="0"/>
          <w:kern w:val="0"/>
          <w:position w:val="0"/>
          <w:sz w:val="32"/>
          <w:szCs w:val="32"/>
          <w:highlight w:val="none"/>
          <w:lang w:val="en-US" w:eastAsia="zh-CN" w:bidi="ar-SA"/>
        </w:rPr>
        <w:t>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14:paraId="67B2D3E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14:paraId="6FE2AD5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1.产业发展。</w:t>
      </w:r>
      <w:r>
        <w:rPr>
          <w:rFonts w:hint="eastAsia" w:ascii="Times New Roman" w:hAnsi="Times New Roman" w:eastAsia="仿宋_GB2312" w:cs="仿宋_GB2312"/>
          <w:b w:val="0"/>
          <w:bCs w:val="0"/>
          <w:kern w:val="0"/>
          <w:position w:val="0"/>
          <w:sz w:val="32"/>
          <w:szCs w:val="32"/>
          <w:highlight w:val="none"/>
          <w:lang w:val="en-US" w:eastAsia="zh-CN" w:bidi="ar-SA"/>
        </w:rPr>
        <w:t>围绕符合性、成长性、经济性进行绩效分析。</w:t>
      </w:r>
    </w:p>
    <w:p w14:paraId="0183E3E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Times New Roman" w:hAnsi="Times New Roman" w:eastAsia="仿宋_GB2312" w:cs="仿宋_GB2312"/>
          <w:b/>
          <w:bCs/>
          <w:kern w:val="0"/>
          <w:position w:val="0"/>
          <w:sz w:val="32"/>
          <w:szCs w:val="32"/>
          <w:highlight w:val="none"/>
          <w:lang w:val="en-US" w:eastAsia="zh-CN" w:bidi="ar-SA"/>
        </w:rPr>
        <w:t>2.</w:t>
      </w:r>
      <w:r>
        <w:rPr>
          <w:rFonts w:hint="eastAsia" w:ascii="Times New Roman" w:hAnsi="Times New Roman" w:eastAsia="仿宋_GB2312" w:cs="仿宋_GB2312"/>
          <w:b/>
          <w:bCs/>
          <w:kern w:val="0"/>
          <w:position w:val="0"/>
          <w:sz w:val="32"/>
          <w:szCs w:val="32"/>
          <w:highlight w:val="none"/>
          <w:lang w:val="zh-CN" w:eastAsia="zh-CN" w:bidi="ar-SA"/>
        </w:rPr>
        <w:t>民</w:t>
      </w:r>
      <w:r>
        <w:rPr>
          <w:rFonts w:hint="eastAsia" w:ascii="仿宋_GB2312" w:hAnsi="仿宋_GB2312" w:eastAsia="仿宋_GB2312" w:cs="仿宋_GB2312"/>
          <w:b/>
          <w:bCs/>
          <w:color w:val="000000"/>
          <w:kern w:val="0"/>
          <w:sz w:val="32"/>
          <w:szCs w:val="32"/>
          <w:lang w:val="zh-CN" w:eastAsia="zh-CN" w:bidi="ar"/>
        </w:rPr>
        <w:t>生保障。</w:t>
      </w:r>
      <w:r>
        <w:rPr>
          <w:rFonts w:hint="eastAsia" w:ascii="仿宋_GB2312" w:hAnsi="仿宋_GB2312" w:eastAsia="仿宋_GB2312" w:cs="仿宋_GB2312"/>
          <w:color w:val="000000"/>
          <w:kern w:val="0"/>
          <w:sz w:val="32"/>
          <w:szCs w:val="32"/>
          <w:lang w:val="en-US" w:eastAsia="zh-CN" w:bidi="ar"/>
        </w:rPr>
        <w:t>围绕区域均衡性、对象精准性、标准合理性、群众满意度进行绩效分析。</w:t>
      </w:r>
    </w:p>
    <w:p w14:paraId="4F5DCF2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3.基础设施。</w:t>
      </w:r>
      <w:r>
        <w:rPr>
          <w:rFonts w:hint="eastAsia" w:ascii="仿宋_GB2312" w:hAnsi="仿宋_GB2312" w:eastAsia="仿宋_GB2312" w:cs="仿宋_GB2312"/>
          <w:color w:val="000000"/>
          <w:kern w:val="0"/>
          <w:sz w:val="32"/>
          <w:szCs w:val="32"/>
          <w:lang w:val="en-US" w:eastAsia="zh-CN" w:bidi="ar"/>
        </w:rPr>
        <w:t>在建项目围绕工程进度和资金拨付进行绩效分析；建成项目围绕项目验收、功能实现、后续管护进行</w:t>
      </w:r>
      <w:r>
        <w:rPr>
          <w:rFonts w:hint="eastAsia" w:ascii="仿宋_GB2312" w:hAnsi="仿宋_GB2312" w:eastAsia="仿宋_GB2312" w:cs="仿宋_GB2312"/>
          <w:color w:val="000000"/>
          <w:kern w:val="0"/>
          <w:sz w:val="32"/>
          <w:szCs w:val="32"/>
          <w:lang w:val="zh-CN" w:eastAsia="zh-CN" w:bidi="ar"/>
        </w:rPr>
        <w:t>绩效分析。</w:t>
      </w:r>
    </w:p>
    <w:p w14:paraId="4A7C160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4.</w:t>
      </w:r>
      <w:r>
        <w:rPr>
          <w:rFonts w:hint="eastAsia" w:ascii="Times New Roman" w:hAnsi="Times New Roman" w:eastAsia="仿宋_GB2312" w:cs="仿宋_GB2312"/>
          <w:b/>
          <w:bCs/>
          <w:kern w:val="0"/>
          <w:position w:val="0"/>
          <w:sz w:val="32"/>
          <w:szCs w:val="32"/>
          <w:highlight w:val="none"/>
          <w:lang w:val="zh-CN" w:eastAsia="zh-CN" w:bidi="ar-SA"/>
        </w:rPr>
        <w:t>行政运转。</w:t>
      </w:r>
      <w:r>
        <w:rPr>
          <w:rFonts w:hint="eastAsia" w:ascii="Times New Roman" w:hAnsi="Times New Roman" w:eastAsia="仿宋_GB2312" w:cs="仿宋_GB2312"/>
          <w:b w:val="0"/>
          <w:bCs w:val="0"/>
          <w:kern w:val="0"/>
          <w:position w:val="0"/>
          <w:sz w:val="32"/>
          <w:szCs w:val="32"/>
          <w:highlight w:val="none"/>
          <w:lang w:val="zh-CN" w:eastAsia="zh-CN" w:bidi="ar-SA"/>
        </w:rPr>
        <w:t>围绕用途合规性、程序合规性、标准合规性进行绩效分析。</w:t>
      </w:r>
    </w:p>
    <w:p w14:paraId="2DA1FB3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14:paraId="467E1EAB">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四、评价结论</w:t>
      </w:r>
    </w:p>
    <w:p w14:paraId="0BCC66C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14:paraId="1904C14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五、存在主要问题</w:t>
      </w:r>
    </w:p>
    <w:p w14:paraId="4E61362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14:paraId="39E88927">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zh-CN" w:eastAsia="zh-CN" w:bidi="ar-SA"/>
        </w:rPr>
        <w:t>六、改进建议</w:t>
      </w:r>
    </w:p>
    <w:p w14:paraId="68B2026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14:paraId="09FF961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bCs/>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w:t>
      </w:r>
      <w:r>
        <w:rPr>
          <w:rFonts w:hint="eastAsia" w:eastAsia="仿宋_GB2312" w:cs="仿宋_GB2312"/>
          <w:b/>
          <w:bCs/>
          <w:kern w:val="0"/>
          <w:position w:val="0"/>
          <w:sz w:val="32"/>
          <w:szCs w:val="32"/>
          <w:highlight w:val="none"/>
          <w:lang w:val="en-US" w:eastAsia="zh-CN" w:bidi="ar-SA"/>
        </w:rPr>
        <w:t>注：</w:t>
      </w:r>
      <w:r>
        <w:rPr>
          <w:rFonts w:hint="eastAsia" w:ascii="Times New Roman" w:hAnsi="Times New Roman" w:eastAsia="仿宋_GB2312" w:cs="仿宋_GB2312"/>
          <w:b/>
          <w:bCs/>
          <w:kern w:val="0"/>
          <w:position w:val="0"/>
          <w:sz w:val="32"/>
          <w:szCs w:val="32"/>
          <w:highlight w:val="none"/>
          <w:lang w:val="en-US" w:eastAsia="zh-CN" w:bidi="ar-SA"/>
        </w:rPr>
        <w:t>以上绩效自评报告，除涉密敏感内容外，原则上都应予以公开）</w:t>
      </w:r>
    </w:p>
    <w:p w14:paraId="499864F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bCs/>
          <w:kern w:val="0"/>
          <w:position w:val="0"/>
          <w:sz w:val="32"/>
          <w:szCs w:val="32"/>
          <w:highlight w:val="none"/>
          <w:lang w:val="en-US" w:eastAsia="zh-CN" w:bidi="ar-SA"/>
        </w:rPr>
      </w:pPr>
    </w:p>
    <w:p w14:paraId="671E3C2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F89F82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3"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42F5EB4">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50"/>
      <w:bookmarkEnd w:id="53"/>
      <w:bookmarkStart w:id="54" w:name="_Toc15396619"/>
    </w:p>
    <w:p w14:paraId="6423A8C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2305C58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14:paraId="0F0D80C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14:paraId="5CAEBA2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168EEE1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1CEA3C0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064F406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4C75E5A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0C3376A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760E484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68A16CD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0E84DBD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1302462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056647B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7347AB75">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仿宋_GB2312"/>
    <w:panose1 w:val="02010601030101010101"/>
    <w:charset w:val="86"/>
    <w:family w:val="script"/>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A8812">
    <w:pPr>
      <w:pStyle w:val="10"/>
      <w:jc w:val="center"/>
    </w:pPr>
  </w:p>
  <w:p w14:paraId="593F696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69C79">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2595245</wp:posOffset>
              </wp:positionH>
              <wp:positionV relativeFrom="paragraph">
                <wp:posOffset>10160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32156">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0.8pt;height:144pt;width:144pt;mso-position-horizontal-relative:margin;mso-wrap-style:none;z-index:251659264;mso-width-relative:page;mso-height-relative:page;" filled="f" stroked="f" coordsize="21600,21600" o:gfxdata="UEsDBAoAAAAAAIdO4kAAAAAAAAAAAAAAAAAEAAAAZHJzL1BLAwQUAAAACACHTuJAtfYbzNYAAAAJ&#10;AQAADwAAAGRycy9kb3ducmV2LnhtbE2PwU7DMBBE70j8g7VI3KjdUpk0jVOJinBEouHA0Y2XJCW2&#10;I9tNw9+znOhx9Eazb4vdbAc2YYi9dwqWCwEMXeNN71oFH3X1kAGLSTujB+9QwQ9G2JW3N4XOjb+4&#10;d5wOqWU04mKuFXQpjTnnsenQ6rjwIzpiXz5YnSiGlpugLzRuB74SQnKre0cXOj3ivsPm+3C2CvZV&#10;XYcJYxg+8bV6PL09r/FlVur+bim2wBLO6b8Mf/qkDiU5Hf3ZmcgGBWuRPVGVgARGXG4k5aOCVbaR&#10;wMuCX39Q/gJ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19hvM1gAAAAk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14:paraId="7BB32156">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v:textbox>
            </v:shape>
          </w:pict>
        </mc:Fallback>
      </mc:AlternateContent>
    </w:r>
  </w:p>
  <w:p w14:paraId="7B6778E4">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A56EF">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E5BFA">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1E5BFA">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6656C">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793EAB"/>
    <w:multiLevelType w:val="singleLevel"/>
    <w:tmpl w:val="50793EAB"/>
    <w:lvl w:ilvl="0" w:tentative="0">
      <w:start w:val="1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zM4ODU2Mzc1NWJlMDFkNjNjMGNjOGVhYTRmNm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8125F9"/>
    <w:rsid w:val="04916F1E"/>
    <w:rsid w:val="05F82BC8"/>
    <w:rsid w:val="061E35DE"/>
    <w:rsid w:val="066E0107"/>
    <w:rsid w:val="06ED0F56"/>
    <w:rsid w:val="07996F6E"/>
    <w:rsid w:val="07DFD8BA"/>
    <w:rsid w:val="09725218"/>
    <w:rsid w:val="09867E8F"/>
    <w:rsid w:val="0A2032A3"/>
    <w:rsid w:val="0AA02478"/>
    <w:rsid w:val="0AAE3C4A"/>
    <w:rsid w:val="0AD957CE"/>
    <w:rsid w:val="0BB11F5D"/>
    <w:rsid w:val="0BD754F0"/>
    <w:rsid w:val="0C953CE6"/>
    <w:rsid w:val="0CA8290A"/>
    <w:rsid w:val="0CB51277"/>
    <w:rsid w:val="0CC73EE2"/>
    <w:rsid w:val="0D35B1ED"/>
    <w:rsid w:val="0E162F43"/>
    <w:rsid w:val="0E254B6B"/>
    <w:rsid w:val="0F4B7E8B"/>
    <w:rsid w:val="0F98263C"/>
    <w:rsid w:val="10035E40"/>
    <w:rsid w:val="101860EC"/>
    <w:rsid w:val="101F47CC"/>
    <w:rsid w:val="10C055FF"/>
    <w:rsid w:val="11495469"/>
    <w:rsid w:val="11694EBD"/>
    <w:rsid w:val="11772AA4"/>
    <w:rsid w:val="118107EC"/>
    <w:rsid w:val="11C66D85"/>
    <w:rsid w:val="128616C2"/>
    <w:rsid w:val="12E24EE2"/>
    <w:rsid w:val="13D50BC4"/>
    <w:rsid w:val="13FA6FD7"/>
    <w:rsid w:val="14B17F78"/>
    <w:rsid w:val="15312B29"/>
    <w:rsid w:val="157B4BF7"/>
    <w:rsid w:val="165E0673"/>
    <w:rsid w:val="16B831D5"/>
    <w:rsid w:val="16BB723D"/>
    <w:rsid w:val="17E50567"/>
    <w:rsid w:val="186504BB"/>
    <w:rsid w:val="19A445FC"/>
    <w:rsid w:val="1B6418C7"/>
    <w:rsid w:val="1BAD6B61"/>
    <w:rsid w:val="1BC974C6"/>
    <w:rsid w:val="1BE8440E"/>
    <w:rsid w:val="1CAC0B06"/>
    <w:rsid w:val="1D155CEE"/>
    <w:rsid w:val="1D1638FE"/>
    <w:rsid w:val="1E312DEB"/>
    <w:rsid w:val="1E740ACF"/>
    <w:rsid w:val="1E9B518C"/>
    <w:rsid w:val="1F905DD5"/>
    <w:rsid w:val="1FF35744"/>
    <w:rsid w:val="1FF6BC77"/>
    <w:rsid w:val="211D5FBD"/>
    <w:rsid w:val="21396331"/>
    <w:rsid w:val="2186353C"/>
    <w:rsid w:val="23860B96"/>
    <w:rsid w:val="23E04169"/>
    <w:rsid w:val="240371BF"/>
    <w:rsid w:val="244F3473"/>
    <w:rsid w:val="24C97D99"/>
    <w:rsid w:val="25A718F0"/>
    <w:rsid w:val="25BB59F6"/>
    <w:rsid w:val="25D307F2"/>
    <w:rsid w:val="260F557C"/>
    <w:rsid w:val="26970054"/>
    <w:rsid w:val="271418B4"/>
    <w:rsid w:val="272612ED"/>
    <w:rsid w:val="281408E2"/>
    <w:rsid w:val="29131BF5"/>
    <w:rsid w:val="292C15BD"/>
    <w:rsid w:val="293904DD"/>
    <w:rsid w:val="29FD04D3"/>
    <w:rsid w:val="2BFF7BC6"/>
    <w:rsid w:val="2C8A61B5"/>
    <w:rsid w:val="2DF04E50"/>
    <w:rsid w:val="2E586DFA"/>
    <w:rsid w:val="2F040D46"/>
    <w:rsid w:val="2F2975AC"/>
    <w:rsid w:val="2F6B035B"/>
    <w:rsid w:val="2FAE5751"/>
    <w:rsid w:val="2FB1A395"/>
    <w:rsid w:val="2FD9A7D8"/>
    <w:rsid w:val="2FDBF714"/>
    <w:rsid w:val="2FEE7D9F"/>
    <w:rsid w:val="3025054B"/>
    <w:rsid w:val="30AB6865"/>
    <w:rsid w:val="319F7F4E"/>
    <w:rsid w:val="32BD1EF1"/>
    <w:rsid w:val="3304709D"/>
    <w:rsid w:val="33A773CB"/>
    <w:rsid w:val="34127CC6"/>
    <w:rsid w:val="34404B0F"/>
    <w:rsid w:val="349D6851"/>
    <w:rsid w:val="36AA5135"/>
    <w:rsid w:val="36BE0DA7"/>
    <w:rsid w:val="370A6DDE"/>
    <w:rsid w:val="376B6AA6"/>
    <w:rsid w:val="376D39B2"/>
    <w:rsid w:val="37E16F03"/>
    <w:rsid w:val="37F53A3B"/>
    <w:rsid w:val="389B6C89"/>
    <w:rsid w:val="38D469F0"/>
    <w:rsid w:val="39627CCD"/>
    <w:rsid w:val="397BAF1F"/>
    <w:rsid w:val="3AB79AF3"/>
    <w:rsid w:val="3AE834C0"/>
    <w:rsid w:val="3B7EF35A"/>
    <w:rsid w:val="3B9FDB6C"/>
    <w:rsid w:val="3BF5BC2F"/>
    <w:rsid w:val="3CB87E5A"/>
    <w:rsid w:val="3CC60821"/>
    <w:rsid w:val="3CEBA265"/>
    <w:rsid w:val="3D4E5D1E"/>
    <w:rsid w:val="3D98207C"/>
    <w:rsid w:val="3DEE7CF3"/>
    <w:rsid w:val="3E740A63"/>
    <w:rsid w:val="3E78745D"/>
    <w:rsid w:val="3EE17838"/>
    <w:rsid w:val="3F55381A"/>
    <w:rsid w:val="3F7F7599"/>
    <w:rsid w:val="3FF4CAE0"/>
    <w:rsid w:val="3FF7B227"/>
    <w:rsid w:val="41FB5A5F"/>
    <w:rsid w:val="42D96C70"/>
    <w:rsid w:val="44E268DA"/>
    <w:rsid w:val="450D13D7"/>
    <w:rsid w:val="45506656"/>
    <w:rsid w:val="460F3BDA"/>
    <w:rsid w:val="486A6C7A"/>
    <w:rsid w:val="48C67D38"/>
    <w:rsid w:val="491546D4"/>
    <w:rsid w:val="4A627F82"/>
    <w:rsid w:val="4A7053AD"/>
    <w:rsid w:val="4AFA49E8"/>
    <w:rsid w:val="4B0E749A"/>
    <w:rsid w:val="4B2477C4"/>
    <w:rsid w:val="4B487E33"/>
    <w:rsid w:val="4B4F25DA"/>
    <w:rsid w:val="4B902697"/>
    <w:rsid w:val="4BE068DB"/>
    <w:rsid w:val="4C572E37"/>
    <w:rsid w:val="4D577224"/>
    <w:rsid w:val="4DBF1CEB"/>
    <w:rsid w:val="4DF0007C"/>
    <w:rsid w:val="4DF15646"/>
    <w:rsid w:val="4EAB630A"/>
    <w:rsid w:val="4ECE2238"/>
    <w:rsid w:val="4EED304C"/>
    <w:rsid w:val="4F833267"/>
    <w:rsid w:val="4FE9BD67"/>
    <w:rsid w:val="4FFB052F"/>
    <w:rsid w:val="525E56EE"/>
    <w:rsid w:val="533A49BB"/>
    <w:rsid w:val="537E6D0A"/>
    <w:rsid w:val="53F74C96"/>
    <w:rsid w:val="55170BA8"/>
    <w:rsid w:val="553218C9"/>
    <w:rsid w:val="55855259"/>
    <w:rsid w:val="55A56D8A"/>
    <w:rsid w:val="567E1AA5"/>
    <w:rsid w:val="56E47B74"/>
    <w:rsid w:val="57175D52"/>
    <w:rsid w:val="57BD3DD4"/>
    <w:rsid w:val="58E75AB0"/>
    <w:rsid w:val="59020628"/>
    <w:rsid w:val="5AF92295"/>
    <w:rsid w:val="5B250254"/>
    <w:rsid w:val="5B5F5EB3"/>
    <w:rsid w:val="5BDD79E6"/>
    <w:rsid w:val="5BE42A70"/>
    <w:rsid w:val="5BF561CA"/>
    <w:rsid w:val="5BFF5DFC"/>
    <w:rsid w:val="5CD71FC4"/>
    <w:rsid w:val="5D1F11B5"/>
    <w:rsid w:val="5D695134"/>
    <w:rsid w:val="5DAE1B18"/>
    <w:rsid w:val="5DE7D9E5"/>
    <w:rsid w:val="5E001545"/>
    <w:rsid w:val="5E5A0649"/>
    <w:rsid w:val="5ECEC941"/>
    <w:rsid w:val="5FBF9FF3"/>
    <w:rsid w:val="5FCD4E2C"/>
    <w:rsid w:val="5FEF394A"/>
    <w:rsid w:val="5FF67715"/>
    <w:rsid w:val="615F5404"/>
    <w:rsid w:val="627E6492"/>
    <w:rsid w:val="62BF3928"/>
    <w:rsid w:val="63B3701E"/>
    <w:rsid w:val="647F5392"/>
    <w:rsid w:val="648F6BAC"/>
    <w:rsid w:val="65333887"/>
    <w:rsid w:val="65E66580"/>
    <w:rsid w:val="664B1D71"/>
    <w:rsid w:val="664B4E8E"/>
    <w:rsid w:val="67277B67"/>
    <w:rsid w:val="677B39A9"/>
    <w:rsid w:val="67AA3209"/>
    <w:rsid w:val="67F566A7"/>
    <w:rsid w:val="698D0931"/>
    <w:rsid w:val="69924B44"/>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442A9"/>
    <w:rsid w:val="6FEFFFD8"/>
    <w:rsid w:val="6FF5CC65"/>
    <w:rsid w:val="6FFB47EC"/>
    <w:rsid w:val="6FFF034A"/>
    <w:rsid w:val="701E4690"/>
    <w:rsid w:val="70484440"/>
    <w:rsid w:val="712A28F1"/>
    <w:rsid w:val="71343F39"/>
    <w:rsid w:val="7138106E"/>
    <w:rsid w:val="715C0E4B"/>
    <w:rsid w:val="71992E7C"/>
    <w:rsid w:val="72233669"/>
    <w:rsid w:val="72734D90"/>
    <w:rsid w:val="72771EB7"/>
    <w:rsid w:val="73160E6D"/>
    <w:rsid w:val="7332FE48"/>
    <w:rsid w:val="73AB61DA"/>
    <w:rsid w:val="73AD73D5"/>
    <w:rsid w:val="73B6EB34"/>
    <w:rsid w:val="73FA497D"/>
    <w:rsid w:val="744731E5"/>
    <w:rsid w:val="74BBD01D"/>
    <w:rsid w:val="74ED5379"/>
    <w:rsid w:val="75B877BB"/>
    <w:rsid w:val="75DEEEC2"/>
    <w:rsid w:val="75E32345"/>
    <w:rsid w:val="76285C17"/>
    <w:rsid w:val="76E3355F"/>
    <w:rsid w:val="76FF5125"/>
    <w:rsid w:val="77672D83"/>
    <w:rsid w:val="776F6FFA"/>
    <w:rsid w:val="778769C8"/>
    <w:rsid w:val="77A75DCA"/>
    <w:rsid w:val="77DC22F5"/>
    <w:rsid w:val="783E271A"/>
    <w:rsid w:val="78616DE9"/>
    <w:rsid w:val="78E875D7"/>
    <w:rsid w:val="79086DAD"/>
    <w:rsid w:val="79D7FD79"/>
    <w:rsid w:val="79EE5BA4"/>
    <w:rsid w:val="7A894339"/>
    <w:rsid w:val="7AD284E8"/>
    <w:rsid w:val="7AFF7572"/>
    <w:rsid w:val="7B375C85"/>
    <w:rsid w:val="7B6C7DFB"/>
    <w:rsid w:val="7BBFBED0"/>
    <w:rsid w:val="7BC3E394"/>
    <w:rsid w:val="7C1F3737"/>
    <w:rsid w:val="7CBFC87B"/>
    <w:rsid w:val="7CFE0F48"/>
    <w:rsid w:val="7D272ABC"/>
    <w:rsid w:val="7D7EC23E"/>
    <w:rsid w:val="7D9778EE"/>
    <w:rsid w:val="7DFA1130"/>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Body Text First Indent"/>
    <w:basedOn w:val="7"/>
    <w:qFormat/>
    <w:uiPriority w:val="99"/>
    <w:pPr>
      <w:tabs>
        <w:tab w:val="left" w:pos="2160"/>
      </w:tabs>
      <w:ind w:firstLineChars="1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4"/>
    <w:qFormat/>
    <w:uiPriority w:val="9"/>
    <w:rPr>
      <w:rFonts w:ascii="Times New Roman" w:hAnsi="Times New Roman"/>
      <w:b/>
      <w:bCs/>
      <w:kern w:val="44"/>
      <w:sz w:val="44"/>
      <w:szCs w:val="44"/>
    </w:rPr>
  </w:style>
  <w:style w:type="character" w:customStyle="1" w:styleId="31">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9"/>
    <w:semiHidden/>
    <w:qFormat/>
    <w:uiPriority w:val="99"/>
    <w:rPr>
      <w:rFonts w:ascii="Times New Roman" w:hAnsi="Times New Roman"/>
      <w:kern w:val="2"/>
      <w:sz w:val="18"/>
      <w:szCs w:val="18"/>
    </w:rPr>
  </w:style>
  <w:style w:type="character" w:customStyle="1" w:styleId="34">
    <w:name w:val="标题 3 Char"/>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1</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647874799928864"/>
          <c:y val="0.283233532934132"/>
          <c:w val="0.93254490485506"/>
          <c:h val="0.489940119760479"/>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23年收入</c:v>
                </c:pt>
                <c:pt idx="1">
                  <c:v>24年收入</c:v>
                </c:pt>
              </c:strCache>
            </c:strRef>
          </c:cat>
          <c:val>
            <c:numRef>
              <c:f>Sheet1!$B$2:$B$3</c:f>
              <c:numCache>
                <c:formatCode>General</c:formatCode>
                <c:ptCount val="2"/>
                <c:pt idx="0">
                  <c:v>251.47</c:v>
                </c:pt>
                <c:pt idx="1">
                  <c:v>252.03</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f047147-a717-44d0-ac3b-2f3b8e5c6f8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24</a:t>
            </a:r>
            <a:r>
              <a:t>年全年收入结构图</a:t>
            </a:r>
            <a:r>
              <a:rPr lang="en-US" altLang="zh-CN"/>
              <a:t>2</a:t>
            </a:r>
            <a:endParaRPr lang="en-US" altLang="zh-CN"/>
          </a:p>
        </c:rich>
      </c:tx>
      <c:layout>
        <c:manualLayout>
          <c:xMode val="edge"/>
          <c:yMode val="edge"/>
          <c:x val="0.352974093527027"/>
          <c:y val="0.0513022156678027"/>
        </c:manualLayout>
      </c:layout>
      <c:overlay val="0"/>
      <c:spPr>
        <a:noFill/>
        <a:ln>
          <a:noFill/>
        </a:ln>
        <a:effectLst/>
      </c:spPr>
    </c:title>
    <c:autoTitleDeleted val="0"/>
    <c:plotArea>
      <c:layout/>
      <c:pieChart>
        <c:varyColors val="1"/>
        <c:ser>
          <c:idx val="0"/>
          <c:order val="0"/>
          <c:tx>
            <c:strRef>
              <c:f>Sheet1!$B$1</c:f>
              <c:strCache>
                <c:ptCount val="1"/>
                <c:pt idx="0">
                  <c:v>2024年本年收入结构图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事业收入</c:v>
                </c:pt>
              </c:strCache>
            </c:strRef>
          </c:cat>
          <c:val>
            <c:numRef>
              <c:f>Sheet1!$B$2:$B$3</c:f>
              <c:numCache>
                <c:formatCode>General</c:formatCode>
                <c:ptCount val="2"/>
                <c:pt idx="0">
                  <c:v>252.03</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cf73710-edc7-4760-800a-8a441df20e3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年本年支出结构图</a:t>
            </a:r>
            <a:r>
              <a:rPr lang="en-US" altLang="zh-CN"/>
              <a:t>3</a:t>
            </a:r>
            <a:endParaRPr lang="en-US" altLang="zh-CN"/>
          </a:p>
        </c:rich>
      </c:tx>
      <c:layout>
        <c:manualLayout>
          <c:xMode val="edge"/>
          <c:yMode val="edge"/>
          <c:x val="0.353507374475086"/>
          <c:y val="0.105891866662585"/>
        </c:manualLayout>
      </c:layout>
      <c:overlay val="0"/>
      <c:spPr>
        <a:noFill/>
        <a:ln>
          <a:noFill/>
        </a:ln>
        <a:effectLst/>
      </c:spPr>
    </c:title>
    <c:autoTitleDeleted val="0"/>
    <c:plotArea>
      <c:layout/>
      <c:pieChart>
        <c:varyColors val="1"/>
        <c:ser>
          <c:idx val="0"/>
          <c:order val="0"/>
          <c:tx>
            <c:strRef>
              <c:f>Sheet1!$B$1</c:f>
              <c:strCache>
                <c:ptCount val="1"/>
                <c:pt idx="0">
                  <c:v>2023年本年支出结构图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228.25</c:v>
                </c:pt>
                <c:pt idx="1">
                  <c:v>23.78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e861ccd-4ee6-4dcc-915f-31d576089b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r>
              <a:rPr lang="en-US" altLang="zh-CN"/>
              <a:t>4</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416681486750845"/>
          <c:y val="0.406903103229892"/>
          <c:w val="0.93254490485506"/>
          <c:h val="0.462127929069031"/>
        </c:manualLayout>
      </c:layout>
      <c:barChart>
        <c:barDir val="col"/>
        <c:grouping val="clustered"/>
        <c:varyColors val="0"/>
        <c:ser>
          <c:idx val="0"/>
          <c:order val="0"/>
          <c:tx>
            <c:strRef>
              <c:f>Sheet1!$B$1</c:f>
              <c:strCache>
                <c:ptCount val="1"/>
                <c:pt idx="0">
                  <c:v>财政拨款收支决算总计变动情况图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24年财政收入</c:v>
                </c:pt>
                <c:pt idx="1">
                  <c:v>23年财政收入</c:v>
                </c:pt>
              </c:strCache>
            </c:strRef>
          </c:cat>
          <c:val>
            <c:numRef>
              <c:f>Sheet1!$B$2:$B$4</c:f>
              <c:numCache>
                <c:formatCode>General</c:formatCode>
                <c:ptCount val="3"/>
                <c:pt idx="0">
                  <c:v>252.03</c:v>
                </c:pt>
                <c:pt idx="1">
                  <c:v>244.97</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plotVisOnly val="1"/>
    <c:dispBlanksAs val="gap"/>
    <c:showDLblsOverMax val="0"/>
    <c:extLst>
      <c:ext uri="{0b15fc19-7d7d-44ad-8c2d-2c3a37ce22c3}">
        <chartProps xmlns="https://web.wps.cn/et/2018/main" chartId="{f531c656-bc3b-47f1-a62b-a9f50e94ef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5</a:t>
            </a:r>
            <a:endParaRPr lang="en-US" altLang="zh-CN"/>
          </a:p>
        </c:rich>
      </c:tx>
      <c:layout>
        <c:manualLayout>
          <c:xMode val="edge"/>
          <c:yMode val="edge"/>
          <c:x val="0.163758467763102"/>
          <c:y val="0.00898203592814371"/>
        </c:manualLayout>
      </c:layout>
      <c:overlay val="0"/>
      <c:spPr>
        <a:noFill/>
        <a:ln>
          <a:noFill/>
        </a:ln>
        <a:effectLst/>
      </c:spPr>
    </c:title>
    <c:autoTitleDeleted val="0"/>
    <c:plotArea>
      <c:layout>
        <c:manualLayout>
          <c:layoutTarget val="inner"/>
          <c:xMode val="edge"/>
          <c:yMode val="edge"/>
          <c:x val="0.0646466323102647"/>
          <c:y val="0.38622754491018"/>
          <c:w val="0.93254490485506"/>
          <c:h val="0.48994011976047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23年财政支出</c:v>
                </c:pt>
                <c:pt idx="1">
                  <c:v>24年财政支出</c:v>
                </c:pt>
              </c:strCache>
            </c:strRef>
          </c:cat>
          <c:val>
            <c:numRef>
              <c:f>Sheet1!$B$2:$B$3</c:f>
              <c:numCache>
                <c:formatCode>General</c:formatCode>
                <c:ptCount val="2"/>
                <c:pt idx="0">
                  <c:v>244.97</c:v>
                </c:pt>
                <c:pt idx="1">
                  <c:v>252.03</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manualLayout>
          <c:xMode val="edge"/>
          <c:yMode val="edge"/>
          <c:x val="0.344692005242464"/>
          <c:y val="0.206586826347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0efbd19-cd03-4dd3-a8a6-2b6438ca190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r>
              <a:rPr lang="en-US" altLang="zh-CN"/>
              <a:t>6</a:t>
            </a:r>
            <a:endParaRPr lang="en-US" altLang="zh-CN"/>
          </a:p>
        </c:rich>
      </c:tx>
      <c:layout>
        <c:manualLayout>
          <c:xMode val="edge"/>
          <c:yMode val="edge"/>
          <c:x val="0.212926388811133"/>
          <c:y val="0.0611432706222865"/>
        </c:manualLayout>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Sheet1!$B$2:$B$4</c:f>
              <c:numCache>
                <c:formatCode>General</c:formatCode>
                <c:ptCount val="3"/>
                <c:pt idx="0">
                  <c:v>28.24</c:v>
                </c:pt>
                <c:pt idx="1">
                  <c:v>206.59</c:v>
                </c:pt>
                <c:pt idx="2">
                  <c:v>17.2</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Sheet1!$C$2:$C$4</c:f>
              <c:numCache>
                <c:formatCode>General</c:formatCode>
                <c:ptCount val="3"/>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4463270481951"/>
          <c:y val="0.84533211391478"/>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e3abe62-3212-4147-a0dd-c7128196966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11176</Words>
  <Characters>12021</Characters>
  <Lines>61</Lines>
  <Paragraphs>17</Paragraphs>
  <TotalTime>14</TotalTime>
  <ScaleCrop>false</ScaleCrop>
  <LinksUpToDate>false</LinksUpToDate>
  <CharactersWithSpaces>12109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2025-09-29T02:06:05Z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966E9EEA1FB946F7B2E8E6F8B8E6DC4F_13</vt:lpwstr>
  </property>
  <property fmtid="{D5CDD505-2E9C-101B-9397-08002B2CF9AE}" pid="4" name="KSOTemplateDocerSaveRecord">
    <vt:lpwstr>eyJoZGlkIjoiZDBjMmFlOGNmNWFiYWRmY2RmY2NjOWQ1MWI5ODQ0MWQifQ==</vt:lpwstr>
  </property>
</Properties>
</file>