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66108">
      <w:pPr>
        <w:spacing w:line="600" w:lineRule="exact"/>
        <w:jc w:val="center"/>
        <w:outlineLvl w:val="0"/>
        <w:rPr>
          <w:rFonts w:ascii="方正小标宋简体" w:eastAsia="方正小标宋简体"/>
          <w:sz w:val="72"/>
          <w:szCs w:val="72"/>
        </w:rPr>
      </w:pPr>
      <w:bookmarkStart w:id="0" w:name="_Toc15306267"/>
    </w:p>
    <w:p w14:paraId="357AA662">
      <w:pPr>
        <w:spacing w:line="600" w:lineRule="exact"/>
        <w:jc w:val="center"/>
        <w:outlineLvl w:val="0"/>
        <w:rPr>
          <w:rFonts w:ascii="方正小标宋简体" w:eastAsia="方正小标宋简体"/>
          <w:sz w:val="72"/>
          <w:szCs w:val="72"/>
        </w:rPr>
      </w:pPr>
    </w:p>
    <w:p w14:paraId="26879B53">
      <w:pPr>
        <w:spacing w:line="600" w:lineRule="exact"/>
        <w:jc w:val="center"/>
        <w:outlineLvl w:val="0"/>
        <w:rPr>
          <w:rFonts w:ascii="方正小标宋简体" w:eastAsia="方正小标宋简体"/>
          <w:sz w:val="72"/>
          <w:szCs w:val="72"/>
        </w:rPr>
      </w:pPr>
    </w:p>
    <w:p w14:paraId="115AD370">
      <w:pPr>
        <w:spacing w:line="600" w:lineRule="exact"/>
        <w:jc w:val="center"/>
        <w:outlineLvl w:val="0"/>
        <w:rPr>
          <w:rFonts w:ascii="方正小标宋简体" w:eastAsia="方正小标宋简体"/>
          <w:sz w:val="72"/>
          <w:szCs w:val="72"/>
        </w:rPr>
      </w:pPr>
    </w:p>
    <w:p w14:paraId="5523EAE6">
      <w:pPr>
        <w:adjustRightInd w:val="0"/>
        <w:snapToGrid w:val="0"/>
        <w:spacing w:line="360" w:lineRule="auto"/>
        <w:jc w:val="center"/>
        <w:outlineLvl w:val="0"/>
        <w:rPr>
          <w:rFonts w:ascii="方正小标宋简体" w:eastAsia="方正小标宋简体" w:cs="方正小标宋简体"/>
          <w:sz w:val="72"/>
          <w:szCs w:val="72"/>
        </w:rPr>
      </w:pPr>
      <w:bookmarkStart w:id="1" w:name="_Toc15396597"/>
      <w:bookmarkStart w:id="2" w:name="_Toc15378441"/>
      <w:bookmarkStart w:id="3" w:name="_Toc15377193"/>
      <w:bookmarkStart w:id="4" w:name="_Toc15396475"/>
      <w:bookmarkStart w:id="5" w:name="_Toc15377425"/>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4</w:t>
      </w:r>
      <w:r>
        <w:rPr>
          <w:rFonts w:hint="eastAsia" w:ascii="方正小标宋简体" w:eastAsia="方正小标宋简体" w:cs="方正小标宋简体"/>
          <w:sz w:val="72"/>
          <w:szCs w:val="72"/>
        </w:rPr>
        <w:t>年度</w:t>
      </w:r>
      <w:bookmarkEnd w:id="1"/>
      <w:bookmarkEnd w:id="2"/>
      <w:bookmarkEnd w:id="3"/>
      <w:bookmarkEnd w:id="4"/>
      <w:bookmarkEnd w:id="5"/>
    </w:p>
    <w:p w14:paraId="19557A76">
      <w:pPr>
        <w:pStyle w:val="33"/>
        <w:keepNext w:val="0"/>
        <w:keepLines w:val="0"/>
        <w:widowControl/>
        <w:suppressLineNumbers w:val="0"/>
        <w:spacing w:before="0" w:beforeAutospacing="0"/>
        <w:ind w:left="0"/>
        <w:jc w:val="center"/>
        <w:rPr>
          <w:rFonts w:hint="eastAsia" w:ascii="方正小标宋简体" w:eastAsia="方正小标宋简体" w:cs="方正小标宋简体"/>
          <w:sz w:val="72"/>
          <w:szCs w:val="72"/>
        </w:rPr>
      </w:pPr>
      <w:bookmarkStart w:id="6" w:name="_Toc15377426"/>
      <w:bookmarkStart w:id="7" w:name="_Toc15378442"/>
      <w:bookmarkStart w:id="8" w:name="_Toc15396476"/>
      <w:bookmarkStart w:id="9" w:name="_Toc15396598"/>
      <w:bookmarkStart w:id="10" w:name="_Toc15377194"/>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rPr>
        <w:t>红原县人民医院</w:t>
      </w:r>
    </w:p>
    <w:p w14:paraId="5DBF8906">
      <w:pPr>
        <w:pStyle w:val="33"/>
        <w:keepNext w:val="0"/>
        <w:keepLines w:val="0"/>
        <w:widowControl/>
        <w:suppressLineNumbers w:val="0"/>
        <w:spacing w:before="0" w:beforeAutospacing="0"/>
        <w:ind w:left="0"/>
        <w:jc w:val="center"/>
        <w:rPr>
          <w:rFonts w:hint="default"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lang w:val="en-US" w:eastAsia="zh-CN"/>
        </w:rPr>
        <w:t>单位</w:t>
      </w:r>
      <w:r>
        <w:rPr>
          <w:rFonts w:hint="eastAsia" w:ascii="方正小标宋简体" w:eastAsia="方正小标宋简体" w:cs="方正小标宋简体"/>
          <w:sz w:val="72"/>
          <w:szCs w:val="72"/>
        </w:rPr>
        <w:t>决算公开</w:t>
      </w:r>
      <w:r>
        <w:rPr>
          <w:rFonts w:hint="eastAsia" w:ascii="方正小标宋简体" w:eastAsia="方正小标宋简体" w:cs="方正小标宋简体"/>
          <w:sz w:val="72"/>
          <w:szCs w:val="72"/>
          <w:lang w:val="en-US" w:eastAsia="zh-CN"/>
        </w:rPr>
        <w:t>编制说明</w:t>
      </w:r>
    </w:p>
    <w:bookmarkEnd w:id="6"/>
    <w:bookmarkEnd w:id="7"/>
    <w:bookmarkEnd w:id="8"/>
    <w:bookmarkEnd w:id="9"/>
    <w:bookmarkEnd w:id="10"/>
    <w:bookmarkEnd w:id="11"/>
    <w:p w14:paraId="635155E7">
      <w:pPr>
        <w:pStyle w:val="7"/>
        <w:spacing w:before="93"/>
      </w:pPr>
    </w:p>
    <w:p w14:paraId="14CF3190">
      <w:pPr>
        <w:pStyle w:val="7"/>
        <w:spacing w:before="93"/>
      </w:pPr>
    </w:p>
    <w:p w14:paraId="7479207F">
      <w:pPr>
        <w:pStyle w:val="7"/>
        <w:spacing w:before="93"/>
      </w:pPr>
    </w:p>
    <w:p w14:paraId="1412EB16">
      <w:pPr>
        <w:pStyle w:val="7"/>
        <w:spacing w:before="93"/>
      </w:pPr>
    </w:p>
    <w:p w14:paraId="4A44AAA0">
      <w:pPr>
        <w:pStyle w:val="7"/>
        <w:spacing w:before="93"/>
      </w:pPr>
    </w:p>
    <w:p w14:paraId="00589574">
      <w:pPr>
        <w:pStyle w:val="7"/>
        <w:spacing w:before="93"/>
      </w:pPr>
    </w:p>
    <w:p w14:paraId="0FBDEF68">
      <w:pPr>
        <w:pStyle w:val="7"/>
        <w:spacing w:before="93"/>
      </w:pPr>
    </w:p>
    <w:p w14:paraId="26903221">
      <w:pPr>
        <w:pStyle w:val="7"/>
        <w:spacing w:before="93"/>
        <w:jc w:val="center"/>
        <w:rPr>
          <w:rFonts w:hint="eastAsia"/>
        </w:rPr>
      </w:pPr>
      <w:bookmarkStart w:id="12" w:name="_Hlk113547609"/>
      <w:r>
        <w:rPr>
          <w:rFonts w:hint="eastAsia" w:cs="仿宋_GB2312"/>
          <w:sz w:val="32"/>
          <w:szCs w:val="32"/>
        </w:rPr>
        <w:t>已经保密审查、内容审定，同意对外公开</w:t>
      </w:r>
      <w:bookmarkEnd w:id="12"/>
    </w:p>
    <w:p w14:paraId="4623F79B">
      <w:pPr>
        <w:widowControl/>
        <w:jc w:val="center"/>
        <w:rPr>
          <w:rFonts w:hint="eastAsia" w:ascii="黑体"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14:paraId="29B039A7">
      <w:pPr>
        <w:widowControl/>
        <w:jc w:val="center"/>
        <w:rPr>
          <w:rFonts w:ascii="黑体" w:eastAsia="黑体"/>
          <w:sz w:val="48"/>
          <w:szCs w:val="48"/>
        </w:rPr>
      </w:pPr>
      <w:r>
        <w:rPr>
          <w:rFonts w:hint="eastAsia" w:ascii="黑体" w:eastAsia="黑体"/>
          <w:sz w:val="48"/>
          <w:szCs w:val="48"/>
        </w:rPr>
        <w:t>目录</w:t>
      </w:r>
    </w:p>
    <w:p w14:paraId="291F3DA9">
      <w:pPr>
        <w:widowControl/>
        <w:jc w:val="center"/>
        <w:rPr>
          <w:rFonts w:ascii="黑体" w:eastAsia="黑体" w:cs="Arial"/>
          <w:sz w:val="28"/>
          <w:szCs w:val="28"/>
        </w:rPr>
      </w:pPr>
    </w:p>
    <w:p w14:paraId="412FDD88">
      <w:pPr>
        <w:pStyle w:val="14"/>
      </w:pPr>
      <w:r>
        <w:rPr>
          <w:rFonts w:hint="eastAsia"/>
        </w:rPr>
        <w:t>公开时间：202</w:t>
      </w:r>
      <w:r>
        <w:rPr>
          <w:rFonts w:hint="eastAsia"/>
          <w:lang w:val="en-US" w:eastAsia="zh-CN"/>
        </w:rPr>
        <w:t>5</w:t>
      </w:r>
      <w:r>
        <w:rPr>
          <w:rFonts w:hint="eastAsia"/>
        </w:rPr>
        <w:t>年</w:t>
      </w:r>
      <w:r>
        <w:rPr>
          <w:rFonts w:hint="eastAsia"/>
          <w:lang w:val="en-US" w:eastAsia="zh-CN"/>
        </w:rPr>
        <w:t>09</w:t>
      </w:r>
      <w:r>
        <w:rPr>
          <w:rFonts w:hint="eastAsia"/>
        </w:rPr>
        <w:t>月</w:t>
      </w:r>
      <w:r>
        <w:rPr>
          <w:rFonts w:hint="eastAsia"/>
          <w:lang w:val="en-US" w:eastAsia="zh-CN"/>
        </w:rPr>
        <w:t>25</w:t>
      </w:r>
      <w:r>
        <w:rPr>
          <w:rFonts w:hint="eastAsia"/>
        </w:rPr>
        <w:t>日</w:t>
      </w:r>
    </w:p>
    <w:p w14:paraId="449374E9"/>
    <w:p w14:paraId="51EE0D35">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第一部分 单位概况</w:t>
      </w:r>
      <w:r>
        <w:rPr>
          <w:rFonts w:hint="eastAsia" w:ascii="仿宋" w:hAnsi="仿宋" w:eastAsia="仿宋" w:cs="仿宋"/>
          <w:sz w:val="24"/>
          <w:szCs w:val="24"/>
          <w:lang w:val="en-US" w:eastAsia="zh-CN"/>
        </w:rPr>
        <w:t>.....................................</w:t>
      </w:r>
      <w:r>
        <w:rPr>
          <w:rFonts w:hint="eastAsia" w:ascii="仿宋" w:hAnsi="仿宋" w:eastAsia="仿宋" w:cs="仿宋"/>
          <w:kern w:val="0"/>
          <w:sz w:val="24"/>
          <w:szCs w:val="24"/>
          <w:shd w:val="clear" w:color="auto" w:fill="FFFFFF"/>
          <w:lang w:val="en-US" w:eastAsia="zh-CN" w:bidi="ar"/>
        </w:rPr>
        <w:t>...4</w:t>
      </w:r>
    </w:p>
    <w:p w14:paraId="07A0D77D">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一、</w:t>
      </w:r>
      <w:r>
        <w:rPr>
          <w:rFonts w:hint="eastAsia" w:ascii="仿宋" w:hAnsi="仿宋" w:eastAsia="仿宋" w:cs="仿宋"/>
          <w:sz w:val="24"/>
          <w:szCs w:val="24"/>
          <w:lang w:val="en-US" w:eastAsia="zh-CN"/>
        </w:rPr>
        <w:t>机构设置情况</w:t>
      </w:r>
      <w:r>
        <w:rPr>
          <w:rFonts w:hint="eastAsia" w:ascii="仿宋" w:hAnsi="仿宋" w:eastAsia="仿宋" w:cs="仿宋"/>
          <w:kern w:val="0"/>
          <w:sz w:val="24"/>
          <w:szCs w:val="24"/>
          <w:shd w:val="clear" w:color="auto" w:fill="FFFFFF"/>
          <w:lang w:val="en-US" w:eastAsia="zh-CN" w:bidi="ar"/>
        </w:rPr>
        <w:t>......................................4</w:t>
      </w:r>
    </w:p>
    <w:p w14:paraId="1D8434D3">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二、职能简介</w:t>
      </w:r>
      <w:r>
        <w:rPr>
          <w:rFonts w:hint="eastAsia" w:ascii="仿宋" w:hAnsi="仿宋" w:eastAsia="仿宋" w:cs="仿宋"/>
          <w:kern w:val="0"/>
          <w:sz w:val="24"/>
          <w:szCs w:val="24"/>
          <w:shd w:val="clear" w:color="auto" w:fill="FFFFFF"/>
          <w:lang w:val="en-US" w:eastAsia="zh-CN" w:bidi="ar"/>
        </w:rPr>
        <w:t>..........................................4</w:t>
      </w:r>
    </w:p>
    <w:p w14:paraId="6904A1A0">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lang w:val="en-US" w:eastAsia="zh-CN"/>
        </w:rPr>
        <w:t>三</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年重点工作完成情况</w:t>
      </w:r>
      <w:r>
        <w:rPr>
          <w:rFonts w:hint="eastAsia" w:ascii="仿宋" w:hAnsi="仿宋" w:eastAsia="仿宋" w:cs="仿宋"/>
          <w:kern w:val="0"/>
          <w:sz w:val="24"/>
          <w:szCs w:val="24"/>
          <w:shd w:val="clear" w:color="auto" w:fill="FFFFFF"/>
          <w:lang w:val="en-US" w:eastAsia="zh-CN" w:bidi="ar"/>
        </w:rPr>
        <w:t>...........................4</w:t>
      </w:r>
    </w:p>
    <w:p w14:paraId="075A3B8E">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rPr>
      </w:pPr>
      <w:r>
        <w:rPr>
          <w:rFonts w:hint="eastAsia" w:ascii="仿宋" w:hAnsi="仿宋" w:eastAsia="仿宋" w:cs="仿宋"/>
          <w:sz w:val="24"/>
          <w:szCs w:val="24"/>
        </w:rPr>
        <w:t>第二部分 202</w:t>
      </w:r>
      <w:r>
        <w:rPr>
          <w:rFonts w:hint="eastAsia" w:hAnsi="仿宋" w:cs="仿宋"/>
          <w:sz w:val="24"/>
          <w:szCs w:val="24"/>
          <w:lang w:val="en-US" w:eastAsia="zh-CN"/>
        </w:rPr>
        <w:t>3</w:t>
      </w:r>
      <w:r>
        <w:rPr>
          <w:rFonts w:hint="eastAsia" w:ascii="仿宋" w:hAnsi="仿宋" w:eastAsia="仿宋" w:cs="仿宋"/>
          <w:sz w:val="24"/>
          <w:szCs w:val="24"/>
        </w:rPr>
        <w:t>年度单位决算情况说明</w:t>
      </w:r>
      <w:r>
        <w:rPr>
          <w:rFonts w:hint="eastAsia" w:ascii="仿宋" w:hAnsi="仿宋" w:eastAsia="仿宋" w:cs="仿宋"/>
          <w:kern w:val="0"/>
          <w:sz w:val="24"/>
          <w:szCs w:val="24"/>
          <w:shd w:val="clear" w:color="auto" w:fill="FFFFFF"/>
          <w:lang w:val="en-US" w:eastAsia="zh-CN" w:bidi="ar"/>
        </w:rPr>
        <w:t>........................8</w:t>
      </w:r>
    </w:p>
    <w:p w14:paraId="0C5D1554">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一、收入支出决算总体情况说明</w:t>
      </w:r>
      <w:r>
        <w:rPr>
          <w:rFonts w:hint="eastAsia" w:ascii="仿宋" w:hAnsi="仿宋" w:eastAsia="仿宋" w:cs="仿宋"/>
          <w:kern w:val="0"/>
          <w:sz w:val="24"/>
          <w:szCs w:val="24"/>
          <w:shd w:val="clear" w:color="auto" w:fill="FFFFFF"/>
          <w:lang w:val="en-US" w:eastAsia="zh-CN" w:bidi="ar"/>
        </w:rPr>
        <w:t>..........................8</w:t>
      </w:r>
    </w:p>
    <w:p w14:paraId="115AE502">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二、收入决算情况说明</w:t>
      </w:r>
      <w:r>
        <w:rPr>
          <w:rFonts w:hint="eastAsia" w:ascii="仿宋" w:hAnsi="仿宋" w:eastAsia="仿宋" w:cs="仿宋"/>
          <w:kern w:val="0"/>
          <w:sz w:val="24"/>
          <w:szCs w:val="24"/>
          <w:shd w:val="clear" w:color="auto" w:fill="FFFFFF"/>
          <w:lang w:val="en-US" w:eastAsia="zh-CN" w:bidi="ar"/>
        </w:rPr>
        <w:t>..................................9</w:t>
      </w:r>
    </w:p>
    <w:p w14:paraId="075EC156">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三、支出决算情况说明</w:t>
      </w:r>
      <w:r>
        <w:rPr>
          <w:rFonts w:hint="eastAsia" w:ascii="仿宋" w:hAnsi="仿宋" w:eastAsia="仿宋" w:cs="仿宋"/>
          <w:kern w:val="0"/>
          <w:sz w:val="24"/>
          <w:szCs w:val="24"/>
          <w:shd w:val="clear" w:color="auto" w:fill="FFFFFF"/>
          <w:lang w:val="en-US" w:eastAsia="zh-CN" w:bidi="ar"/>
        </w:rPr>
        <w:t>..................................9</w:t>
      </w:r>
    </w:p>
    <w:p w14:paraId="4AA9A4A8">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四、财政拨款收入支出决算总体情况说明</w:t>
      </w:r>
      <w:r>
        <w:rPr>
          <w:rFonts w:hint="eastAsia" w:ascii="仿宋" w:hAnsi="仿宋" w:eastAsia="仿宋" w:cs="仿宋"/>
          <w:kern w:val="0"/>
          <w:sz w:val="24"/>
          <w:szCs w:val="24"/>
          <w:shd w:val="clear" w:color="auto" w:fill="FFFFFF"/>
          <w:lang w:val="en-US" w:eastAsia="zh-CN" w:bidi="ar"/>
        </w:rPr>
        <w:t>..................10</w:t>
      </w:r>
    </w:p>
    <w:p w14:paraId="107BC56A">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五、一般公共预算财政拨款支出决算情况说明</w:t>
      </w:r>
      <w:r>
        <w:rPr>
          <w:rFonts w:hint="eastAsia" w:ascii="仿宋" w:hAnsi="仿宋" w:eastAsia="仿宋" w:cs="仿宋"/>
          <w:kern w:val="0"/>
          <w:sz w:val="24"/>
          <w:szCs w:val="24"/>
          <w:shd w:val="clear" w:color="auto" w:fill="FFFFFF"/>
          <w:lang w:val="en-US" w:eastAsia="zh-CN" w:bidi="ar"/>
        </w:rPr>
        <w:t>..............11</w:t>
      </w:r>
    </w:p>
    <w:p w14:paraId="45A41D0A">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六、一般公共预算财政拨款基本支出决算情况说明</w:t>
      </w:r>
      <w:r>
        <w:rPr>
          <w:rFonts w:hint="eastAsia" w:ascii="仿宋" w:hAnsi="仿宋" w:eastAsia="仿宋" w:cs="仿宋"/>
          <w:kern w:val="0"/>
          <w:sz w:val="24"/>
          <w:szCs w:val="24"/>
          <w:shd w:val="clear" w:color="auto" w:fill="FFFFFF"/>
          <w:lang w:val="en-US" w:eastAsia="zh-CN" w:bidi="ar"/>
        </w:rPr>
        <w:t>..........13</w:t>
      </w:r>
    </w:p>
    <w:p w14:paraId="5E122324">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七、“三公”经费财政拨款支出决算情况说明</w:t>
      </w:r>
      <w:r>
        <w:rPr>
          <w:rFonts w:hint="eastAsia" w:ascii="仿宋" w:hAnsi="仿宋" w:eastAsia="仿宋" w:cs="仿宋"/>
          <w:kern w:val="0"/>
          <w:sz w:val="24"/>
          <w:szCs w:val="24"/>
          <w:shd w:val="clear" w:color="auto" w:fill="FFFFFF"/>
          <w:lang w:val="en-US" w:eastAsia="zh-CN" w:bidi="ar"/>
        </w:rPr>
        <w:t>..............13</w:t>
      </w:r>
    </w:p>
    <w:p w14:paraId="03A9A12B">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八、政府性基金预算支出决算情况说明</w:t>
      </w:r>
      <w:r>
        <w:rPr>
          <w:rFonts w:hint="eastAsia" w:ascii="仿宋" w:hAnsi="仿宋" w:eastAsia="仿宋" w:cs="仿宋"/>
          <w:kern w:val="0"/>
          <w:sz w:val="24"/>
          <w:szCs w:val="24"/>
          <w:shd w:val="clear" w:color="auto" w:fill="FFFFFF"/>
          <w:lang w:val="en-US" w:eastAsia="zh-CN" w:bidi="ar"/>
        </w:rPr>
        <w:t>....................14</w:t>
      </w:r>
    </w:p>
    <w:p w14:paraId="7B0F96D1">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九、国有资本经营预算支出决算情况说明</w:t>
      </w:r>
      <w:r>
        <w:rPr>
          <w:rFonts w:hint="eastAsia" w:ascii="仿宋" w:hAnsi="仿宋" w:eastAsia="仿宋" w:cs="仿宋"/>
          <w:kern w:val="0"/>
          <w:sz w:val="24"/>
          <w:szCs w:val="24"/>
          <w:shd w:val="clear" w:color="auto" w:fill="FFFFFF"/>
          <w:lang w:val="en-US" w:eastAsia="zh-CN" w:bidi="ar"/>
        </w:rPr>
        <w:t>..................14</w:t>
      </w:r>
    </w:p>
    <w:p w14:paraId="7CA81B5C">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十、其他重要事项的情况说明</w:t>
      </w:r>
      <w:r>
        <w:rPr>
          <w:rFonts w:hint="eastAsia" w:ascii="仿宋" w:hAnsi="仿宋" w:eastAsia="仿宋" w:cs="仿宋"/>
          <w:kern w:val="0"/>
          <w:sz w:val="24"/>
          <w:szCs w:val="24"/>
          <w:shd w:val="clear" w:color="auto" w:fill="FFFFFF"/>
          <w:lang w:val="en-US" w:eastAsia="zh-CN" w:bidi="ar"/>
        </w:rPr>
        <w:t>............................15</w:t>
      </w:r>
    </w:p>
    <w:p w14:paraId="5C4701E3">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rPr>
      </w:pPr>
      <w:r>
        <w:rPr>
          <w:rFonts w:hint="eastAsia" w:ascii="仿宋" w:hAnsi="仿宋" w:eastAsia="仿宋" w:cs="仿宋"/>
          <w:sz w:val="24"/>
          <w:szCs w:val="24"/>
        </w:rPr>
        <w:t>第三部分 名词解释</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w:t>
      </w:r>
      <w:r>
        <w:rPr>
          <w:rFonts w:hint="eastAsia" w:ascii="仿宋" w:hAnsi="仿宋" w:eastAsia="仿宋" w:cs="仿宋"/>
          <w:kern w:val="0"/>
          <w:sz w:val="24"/>
          <w:szCs w:val="24"/>
          <w:shd w:val="clear" w:color="auto" w:fill="FFFFFF"/>
          <w:lang w:val="en-US" w:eastAsia="zh-CN" w:bidi="ar"/>
        </w:rPr>
        <w:t>16</w:t>
      </w:r>
    </w:p>
    <w:p w14:paraId="79738F71">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第四部分 附件</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w:t>
      </w:r>
      <w:r>
        <w:rPr>
          <w:rFonts w:hint="eastAsia" w:ascii="仿宋" w:hAnsi="仿宋" w:eastAsia="仿宋" w:cs="仿宋"/>
          <w:kern w:val="0"/>
          <w:sz w:val="24"/>
          <w:szCs w:val="24"/>
          <w:shd w:val="clear" w:color="auto" w:fill="FFFFFF"/>
          <w:lang w:val="en-US" w:eastAsia="zh-CN" w:bidi="ar"/>
        </w:rPr>
        <w:t>19</w:t>
      </w:r>
    </w:p>
    <w:p w14:paraId="01E589C7">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 w:hAnsi="仿宋" w:eastAsia="仿宋" w:cs="仿宋"/>
          <w:sz w:val="24"/>
          <w:szCs w:val="24"/>
          <w:lang w:val="en-US"/>
        </w:rPr>
      </w:pPr>
      <w:r>
        <w:rPr>
          <w:rFonts w:hint="eastAsia" w:ascii="仿宋" w:hAnsi="仿宋" w:eastAsia="仿宋" w:cs="仿宋"/>
          <w:sz w:val="24"/>
          <w:szCs w:val="24"/>
        </w:rPr>
        <w:t>第五部分 附表</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............34</w:t>
      </w:r>
    </w:p>
    <w:p w14:paraId="48827E23">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一、收入支出决算总表</w:t>
      </w:r>
      <w:r>
        <w:rPr>
          <w:rFonts w:hint="eastAsia" w:ascii="仿宋" w:hAnsi="仿宋" w:eastAsia="仿宋" w:cs="仿宋"/>
          <w:kern w:val="0"/>
          <w:sz w:val="24"/>
          <w:szCs w:val="24"/>
          <w:shd w:val="clear" w:color="auto" w:fill="FFFFFF"/>
          <w:lang w:val="en-US" w:eastAsia="zh-CN" w:bidi="ar"/>
        </w:rPr>
        <w:t>...............................35</w:t>
      </w:r>
    </w:p>
    <w:p w14:paraId="5B96562C">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二、收入决算表</w:t>
      </w:r>
      <w:r>
        <w:rPr>
          <w:rFonts w:hint="eastAsia" w:ascii="仿宋" w:hAnsi="仿宋" w:eastAsia="仿宋" w:cs="仿宋"/>
          <w:kern w:val="0"/>
          <w:sz w:val="24"/>
          <w:szCs w:val="24"/>
          <w:shd w:val="clear" w:color="auto" w:fill="FFFFFF"/>
          <w:lang w:val="en-US" w:eastAsia="zh-CN" w:bidi="ar"/>
        </w:rPr>
        <w:t>.....................................35</w:t>
      </w:r>
    </w:p>
    <w:p w14:paraId="31AF705A">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三、支出决算表</w:t>
      </w:r>
      <w:r>
        <w:rPr>
          <w:rFonts w:hint="eastAsia" w:ascii="仿宋" w:hAnsi="仿宋" w:eastAsia="仿宋" w:cs="仿宋"/>
          <w:kern w:val="0"/>
          <w:sz w:val="24"/>
          <w:szCs w:val="24"/>
          <w:shd w:val="clear" w:color="auto" w:fill="FFFFFF"/>
          <w:lang w:val="en-US" w:eastAsia="zh-CN" w:bidi="ar"/>
        </w:rPr>
        <w:t>.....................................35</w:t>
      </w:r>
    </w:p>
    <w:p w14:paraId="6999CF32">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四、财政拨款收入支出决算总表</w:t>
      </w:r>
      <w:r>
        <w:rPr>
          <w:rFonts w:hint="eastAsia" w:ascii="仿宋" w:hAnsi="仿宋" w:eastAsia="仿宋" w:cs="仿宋"/>
          <w:kern w:val="0"/>
          <w:sz w:val="24"/>
          <w:szCs w:val="24"/>
          <w:shd w:val="clear" w:color="auto" w:fill="FFFFFF"/>
          <w:lang w:val="en-US" w:eastAsia="zh-CN" w:bidi="ar"/>
        </w:rPr>
        <w:t>.......................35</w:t>
      </w:r>
    </w:p>
    <w:p w14:paraId="3BB66DA3">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五、财政拨款支出决算明细表</w:t>
      </w:r>
      <w:r>
        <w:rPr>
          <w:rFonts w:hint="eastAsia" w:ascii="仿宋" w:hAnsi="仿宋" w:eastAsia="仿宋" w:cs="仿宋"/>
          <w:kern w:val="0"/>
          <w:sz w:val="24"/>
          <w:szCs w:val="24"/>
          <w:shd w:val="clear" w:color="auto" w:fill="FFFFFF"/>
          <w:lang w:val="en-US" w:eastAsia="zh-CN" w:bidi="ar"/>
        </w:rPr>
        <w:t>.........................35</w:t>
      </w:r>
    </w:p>
    <w:p w14:paraId="2B0D7B84">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六、一般公共预算财政拨款支出决算表</w:t>
      </w:r>
      <w:r>
        <w:rPr>
          <w:rFonts w:hint="eastAsia" w:ascii="仿宋" w:hAnsi="仿宋" w:eastAsia="仿宋" w:cs="仿宋"/>
          <w:kern w:val="0"/>
          <w:sz w:val="24"/>
          <w:szCs w:val="24"/>
          <w:shd w:val="clear" w:color="auto" w:fill="FFFFFF"/>
          <w:lang w:val="en-US" w:eastAsia="zh-CN" w:bidi="ar"/>
        </w:rPr>
        <w:t>.................35</w:t>
      </w:r>
    </w:p>
    <w:p w14:paraId="1E754F82">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七、一般公共预算财政拨款支出决算明细表</w:t>
      </w:r>
      <w:r>
        <w:rPr>
          <w:rFonts w:hint="eastAsia" w:ascii="仿宋" w:hAnsi="仿宋" w:eastAsia="仿宋" w:cs="仿宋"/>
          <w:kern w:val="0"/>
          <w:sz w:val="24"/>
          <w:szCs w:val="24"/>
          <w:shd w:val="clear" w:color="auto" w:fill="FFFFFF"/>
          <w:lang w:val="en-US" w:eastAsia="zh-CN" w:bidi="ar"/>
        </w:rPr>
        <w:t>.............35</w:t>
      </w:r>
    </w:p>
    <w:p w14:paraId="043B3CE7">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八、一般公共预算财政拨款基本支出决算表</w:t>
      </w:r>
      <w:r>
        <w:rPr>
          <w:rFonts w:hint="eastAsia" w:ascii="仿宋" w:hAnsi="仿宋" w:eastAsia="仿宋" w:cs="仿宋"/>
          <w:kern w:val="0"/>
          <w:sz w:val="24"/>
          <w:szCs w:val="24"/>
          <w:shd w:val="clear" w:color="auto" w:fill="FFFFFF"/>
          <w:lang w:val="en-US" w:eastAsia="zh-CN" w:bidi="ar"/>
        </w:rPr>
        <w:t>.............35</w:t>
      </w:r>
    </w:p>
    <w:p w14:paraId="7861D8B8">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九、一般公共预算财政拨款项目支出决算表</w:t>
      </w:r>
      <w:r>
        <w:rPr>
          <w:rFonts w:hint="eastAsia" w:ascii="仿宋" w:hAnsi="仿宋" w:eastAsia="仿宋" w:cs="仿宋"/>
          <w:kern w:val="0"/>
          <w:sz w:val="24"/>
          <w:szCs w:val="24"/>
          <w:shd w:val="clear" w:color="auto" w:fill="FFFFFF"/>
          <w:lang w:val="en-US" w:eastAsia="zh-CN" w:bidi="ar"/>
        </w:rPr>
        <w:t>.............35</w:t>
      </w:r>
    </w:p>
    <w:p w14:paraId="652ECE23">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十、政府性基金预算财政拨款收入支出决算表</w:t>
      </w:r>
      <w:r>
        <w:rPr>
          <w:rFonts w:hint="eastAsia" w:ascii="仿宋" w:hAnsi="仿宋" w:eastAsia="仿宋" w:cs="仿宋"/>
          <w:kern w:val="0"/>
          <w:sz w:val="24"/>
          <w:szCs w:val="24"/>
          <w:shd w:val="clear" w:color="auto" w:fill="FFFFFF"/>
          <w:lang w:val="en-US" w:eastAsia="zh-CN" w:bidi="ar"/>
        </w:rPr>
        <w:t>...........35</w:t>
      </w:r>
    </w:p>
    <w:p w14:paraId="67B89B71">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十</w:t>
      </w:r>
      <w:r>
        <w:rPr>
          <w:rFonts w:hint="eastAsia" w:ascii="仿宋" w:hAnsi="仿宋" w:eastAsia="仿宋" w:cs="仿宋"/>
          <w:sz w:val="24"/>
          <w:szCs w:val="24"/>
          <w:lang w:val="en-US" w:eastAsia="zh-CN"/>
        </w:rPr>
        <w:t>一</w:t>
      </w:r>
      <w:r>
        <w:rPr>
          <w:rFonts w:hint="eastAsia" w:ascii="仿宋" w:hAnsi="仿宋" w:eastAsia="仿宋" w:cs="仿宋"/>
          <w:sz w:val="24"/>
          <w:szCs w:val="24"/>
        </w:rPr>
        <w:t>、国有资本经营预算财政拨款收入支出决算表</w:t>
      </w:r>
      <w:r>
        <w:rPr>
          <w:rFonts w:hint="eastAsia" w:ascii="仿宋" w:hAnsi="仿宋" w:eastAsia="仿宋" w:cs="仿宋"/>
          <w:kern w:val="0"/>
          <w:sz w:val="24"/>
          <w:szCs w:val="24"/>
          <w:shd w:val="clear" w:color="auto" w:fill="FFFFFF"/>
          <w:lang w:val="en-US" w:eastAsia="zh-CN" w:bidi="ar"/>
        </w:rPr>
        <w:t>.......35</w:t>
      </w:r>
    </w:p>
    <w:p w14:paraId="4D17DEFE">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十</w:t>
      </w:r>
      <w:r>
        <w:rPr>
          <w:rFonts w:hint="eastAsia" w:ascii="仿宋" w:hAnsi="仿宋" w:eastAsia="仿宋" w:cs="仿宋"/>
          <w:sz w:val="24"/>
          <w:szCs w:val="24"/>
          <w:lang w:val="en-US" w:eastAsia="zh-CN"/>
        </w:rPr>
        <w:t>二</w:t>
      </w:r>
      <w:r>
        <w:rPr>
          <w:rFonts w:hint="eastAsia" w:ascii="仿宋" w:hAnsi="仿宋" w:eastAsia="仿宋" w:cs="仿宋"/>
          <w:sz w:val="24"/>
          <w:szCs w:val="24"/>
        </w:rPr>
        <w:t>、国有资本经营预算财政拨款支出决算表</w:t>
      </w:r>
      <w:r>
        <w:rPr>
          <w:rFonts w:hint="eastAsia" w:ascii="仿宋" w:hAnsi="仿宋" w:eastAsia="仿宋" w:cs="仿宋"/>
          <w:kern w:val="0"/>
          <w:sz w:val="24"/>
          <w:szCs w:val="24"/>
          <w:shd w:val="clear" w:color="auto" w:fill="FFFFFF"/>
          <w:lang w:val="en-US" w:eastAsia="zh-CN" w:bidi="ar"/>
        </w:rPr>
        <w:t>...........35</w:t>
      </w:r>
    </w:p>
    <w:p w14:paraId="16FF54F5">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十</w:t>
      </w:r>
      <w:r>
        <w:rPr>
          <w:rFonts w:hint="eastAsia" w:ascii="仿宋" w:hAnsi="仿宋" w:eastAsia="仿宋" w:cs="仿宋"/>
          <w:sz w:val="24"/>
          <w:szCs w:val="24"/>
          <w:lang w:val="en-US" w:eastAsia="zh-CN"/>
        </w:rPr>
        <w:t>三</w:t>
      </w:r>
      <w:r>
        <w:rPr>
          <w:rFonts w:hint="eastAsia" w:ascii="仿宋" w:hAnsi="仿宋" w:eastAsia="仿宋" w:cs="仿宋"/>
          <w:sz w:val="24"/>
          <w:szCs w:val="24"/>
        </w:rPr>
        <w:t>、</w:t>
      </w:r>
      <w:r>
        <w:rPr>
          <w:rFonts w:hint="default" w:ascii="仿宋" w:hAnsi="仿宋" w:eastAsia="仿宋" w:cs="仿宋"/>
          <w:sz w:val="24"/>
          <w:szCs w:val="24"/>
          <w:lang w:val="en-US"/>
        </w:rPr>
        <w:t>财政拨款“三公”经费支出决算表</w:t>
      </w:r>
      <w:r>
        <w:rPr>
          <w:rFonts w:hint="eastAsia" w:ascii="仿宋" w:hAnsi="仿宋" w:eastAsia="仿宋" w:cs="仿宋"/>
          <w:sz w:val="24"/>
          <w:szCs w:val="24"/>
          <w:lang w:val="en-US" w:eastAsia="zh-CN"/>
        </w:rPr>
        <w:t>...............</w:t>
      </w:r>
      <w:r>
        <w:rPr>
          <w:rFonts w:hint="eastAsia" w:ascii="仿宋" w:hAnsi="仿宋" w:eastAsia="仿宋" w:cs="仿宋"/>
          <w:kern w:val="0"/>
          <w:sz w:val="24"/>
          <w:szCs w:val="24"/>
          <w:shd w:val="clear" w:color="auto" w:fill="FFFFFF"/>
          <w:lang w:val="en-US" w:eastAsia="zh-CN" w:bidi="ar"/>
        </w:rPr>
        <w:t>35</w:t>
      </w:r>
    </w:p>
    <w:p w14:paraId="62546E4D">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十四、取消药品加成项目绩效自评表...................</w:t>
      </w:r>
      <w:r>
        <w:rPr>
          <w:rFonts w:hint="eastAsia" w:ascii="仿宋" w:hAnsi="仿宋" w:eastAsia="仿宋" w:cs="仿宋"/>
          <w:kern w:val="0"/>
          <w:sz w:val="24"/>
          <w:szCs w:val="24"/>
          <w:shd w:val="clear" w:color="auto" w:fill="FFFFFF"/>
          <w:lang w:val="en-US" w:eastAsia="zh-CN" w:bidi="ar"/>
        </w:rPr>
        <w:t>35</w:t>
      </w:r>
    </w:p>
    <w:p w14:paraId="25EAACB3">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bookmarkStart w:id="13" w:name="_Toc15377196"/>
      <w:bookmarkStart w:id="14" w:name="_Toc15396599"/>
      <w:r>
        <w:rPr>
          <w:rFonts w:hint="eastAsia" w:ascii="仿宋" w:hAnsi="仿宋" w:eastAsia="仿宋" w:cs="仿宋"/>
          <w:sz w:val="24"/>
          <w:szCs w:val="24"/>
          <w:lang w:val="en-US" w:eastAsia="zh-CN"/>
        </w:rPr>
        <w:t>十五、重大疾病防控项目绩效自评表..................</w:t>
      </w:r>
      <w:r>
        <w:rPr>
          <w:rFonts w:hint="eastAsia" w:ascii="仿宋" w:hAnsi="仿宋" w:eastAsia="仿宋" w:cs="仿宋"/>
          <w:kern w:val="0"/>
          <w:sz w:val="24"/>
          <w:szCs w:val="24"/>
          <w:shd w:val="clear" w:color="auto" w:fill="FFFFFF"/>
          <w:lang w:val="en-US" w:eastAsia="zh-CN" w:bidi="ar"/>
        </w:rPr>
        <w:t>35</w:t>
      </w:r>
    </w:p>
    <w:p w14:paraId="0D49A557">
      <w:pPr>
        <w:pStyle w:val="15"/>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十六、部门整体绩效目标自评表......................</w:t>
      </w:r>
      <w:r>
        <w:rPr>
          <w:rFonts w:hint="eastAsia" w:ascii="仿宋" w:hAnsi="仿宋" w:eastAsia="仿宋" w:cs="仿宋"/>
          <w:kern w:val="0"/>
          <w:sz w:val="24"/>
          <w:szCs w:val="24"/>
          <w:shd w:val="clear" w:color="auto" w:fill="FFFFFF"/>
          <w:lang w:val="en-US" w:eastAsia="zh-CN" w:bidi="ar"/>
        </w:rPr>
        <w:t>35</w:t>
      </w:r>
    </w:p>
    <w:p w14:paraId="334DB8EA">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bCs/>
          <w:kern w:val="44"/>
          <w:sz w:val="24"/>
          <w:szCs w:val="24"/>
        </w:rPr>
      </w:pPr>
      <w:r>
        <w:rPr>
          <w:rFonts w:hint="eastAsia" w:ascii="仿宋" w:hAnsi="仿宋" w:eastAsia="仿宋" w:cs="仿宋"/>
          <w:b/>
          <w:sz w:val="24"/>
          <w:szCs w:val="24"/>
        </w:rPr>
        <w:br w:type="page"/>
      </w:r>
    </w:p>
    <w:p w14:paraId="44B1A34D">
      <w:pPr>
        <w:pStyle w:val="3"/>
        <w:pageBreakBefore w:val="0"/>
        <w:kinsoku/>
        <w:wordWrap/>
        <w:overflowPunct/>
        <w:topLinePunct w:val="0"/>
        <w:autoSpaceDE/>
        <w:autoSpaceDN/>
        <w:bidi w:val="0"/>
        <w:adjustRightInd/>
        <w:snapToGrid/>
        <w:spacing w:line="560" w:lineRule="exact"/>
        <w:ind w:right="440"/>
        <w:jc w:val="center"/>
        <w:textAlignment w:val="auto"/>
        <w:rPr>
          <w:rFonts w:hint="eastAsia" w:ascii="黑体" w:eastAsia="黑体"/>
          <w:b w:val="0"/>
          <w:lang w:val="en-US" w:eastAsia="zh-CN"/>
        </w:rPr>
      </w:pPr>
      <w:r>
        <w:rPr>
          <w:rFonts w:hint="eastAsia" w:ascii="黑体" w:eastAsia="黑体"/>
          <w:b w:val="0"/>
          <w:lang w:val="en-US" w:eastAsia="zh-CN"/>
        </w:rPr>
        <w:t>第一部分</w:t>
      </w:r>
      <w:r>
        <w:rPr>
          <w:rFonts w:hint="eastAsia" w:ascii="黑体" w:eastAsia="黑体"/>
          <w:b w:val="0"/>
        </w:rPr>
        <w:t>单位概况</w:t>
      </w:r>
      <w:bookmarkEnd w:id="13"/>
      <w:bookmarkEnd w:id="14"/>
    </w:p>
    <w:p w14:paraId="2D92B61F">
      <w:pPr>
        <w:widowControl/>
        <w:ind w:firstLine="640" w:firstLineChars="200"/>
        <w:jc w:val="left"/>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一、机构设置情况</w:t>
      </w:r>
    </w:p>
    <w:p w14:paraId="0263574D">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（一）设临床科室12个：内科、外科、妇产科、儿科、急诊科、五官科、口腔科、麻醉科、中医康复科、皮肤科、疼痛科、精神科等科室。</w:t>
      </w:r>
      <w:r>
        <w:rPr>
          <w:rFonts w:hint="eastAsia" w:ascii="仿宋" w:hAnsi="宋体" w:eastAsia="仿宋" w:cs="宋体"/>
          <w:kern w:val="0"/>
          <w:sz w:val="32"/>
          <w:szCs w:val="32"/>
          <w:lang w:val="en-US" w:eastAsia="zh-CN" w:bidi="ar"/>
        </w:rPr>
        <w:br w:type="textWrapping"/>
      </w:r>
      <w:r>
        <w:rPr>
          <w:rFonts w:hint="eastAsia" w:ascii="仿宋" w:hAnsi="宋体" w:eastAsia="仿宋" w:cs="宋体"/>
          <w:kern w:val="0"/>
          <w:sz w:val="32"/>
          <w:szCs w:val="32"/>
          <w:lang w:val="en-US" w:eastAsia="zh-CN" w:bidi="ar"/>
        </w:rPr>
        <w:t xml:space="preserve">   （二）设医疗辅助科室8个：药剂科、医学检验科（输血科）、医学影像科、手术室、消毒供应室、超声科、心电图室、体检科等医技科室。  </w:t>
      </w:r>
    </w:p>
    <w:p w14:paraId="1023BB5A">
      <w:pPr>
        <w:widowControl/>
        <w:ind w:firstLine="640" w:firstLineChars="200"/>
        <w:jc w:val="left"/>
        <w:rPr>
          <w:rFonts w:hint="eastAsia" w:ascii="黑体" w:hAnsi="Times New Roman" w:eastAsia="黑体" w:cs="Times New Roman"/>
          <w:kern w:val="2"/>
          <w:sz w:val="32"/>
          <w:szCs w:val="32"/>
          <w:lang w:val="en-US" w:eastAsia="zh-CN" w:bidi="ar-SA"/>
        </w:rPr>
      </w:pPr>
      <w:r>
        <w:rPr>
          <w:rFonts w:hint="eastAsia" w:ascii="仿宋" w:hAnsi="宋体" w:eastAsia="仿宋" w:cs="宋体"/>
          <w:kern w:val="0"/>
          <w:sz w:val="32"/>
          <w:szCs w:val="32"/>
          <w:lang w:val="en-US" w:eastAsia="zh-CN" w:bidi="ar"/>
        </w:rPr>
        <w:t>（三）设职能科室8个：院感科、党政办公室、医务科、护理部、信息科、病案统计科、财务科、后勤保障科。  </w:t>
      </w:r>
    </w:p>
    <w:p w14:paraId="0E27369C">
      <w:pPr>
        <w:widowControl/>
        <w:ind w:firstLine="640" w:firstLineChars="200"/>
        <w:jc w:val="left"/>
        <w:rPr>
          <w:rFonts w:hint="eastAsia"/>
          <w:lang w:val="en-US" w:eastAsia="zh-CN"/>
        </w:rPr>
      </w:pPr>
      <w:bookmarkStart w:id="15" w:name="_Toc15396600"/>
      <w:bookmarkStart w:id="16" w:name="_Toc15377197"/>
      <w:r>
        <w:rPr>
          <w:rFonts w:hint="eastAsia" w:ascii="黑体" w:hAnsi="Times New Roman" w:eastAsia="黑体" w:cs="Times New Roman"/>
          <w:kern w:val="2"/>
          <w:sz w:val="32"/>
          <w:szCs w:val="32"/>
          <w:lang w:val="en-US" w:eastAsia="zh-CN" w:bidi="ar-SA"/>
        </w:rPr>
        <w:t>二、职能简</w:t>
      </w:r>
      <w:r>
        <w:rPr>
          <w:rFonts w:hint="eastAsia" w:ascii="黑体" w:hAnsi="Times New Roman" w:eastAsia="黑体" w:cs="Times New Roman"/>
          <w:b w:val="0"/>
          <w:bCs w:val="0"/>
          <w:kern w:val="2"/>
          <w:sz w:val="32"/>
          <w:szCs w:val="32"/>
          <w:lang w:val="en-US" w:eastAsia="zh-CN" w:bidi="ar-SA"/>
        </w:rPr>
        <w:t>介</w:t>
      </w:r>
    </w:p>
    <w:p w14:paraId="2F2AAC12">
      <w:pPr>
        <w:widowControl/>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 xml:space="preserve">    承担县内常见病、多发病的诊治任务，承担急危重症抢救和复杂疑难病症诊治任务;承担120急救和各类突发事故的现场抢救及院内急救;接受下级医疗卫生机构的转诊，指导乡(镇)卫生院做好医疗、康复、预防保健等业务技术工作;贯彻执行传染病预防诊治和管理工作,开展健康教育，进行防病指导;承担基层医疗卫生机构卫生技术人员的进修和培训。</w:t>
      </w:r>
    </w:p>
    <w:p w14:paraId="4B83E330">
      <w:pPr>
        <w:widowControl/>
        <w:ind w:firstLine="640" w:firstLineChars="200"/>
        <w:jc w:val="left"/>
        <w:rPr>
          <w:rFonts w:hint="eastAsia" w:ascii="黑体" w:hAnsi="Times New Roman" w:eastAsia="黑体" w:cs="Times New Roman"/>
          <w:color w:val="auto"/>
          <w:kern w:val="2"/>
          <w:sz w:val="32"/>
          <w:szCs w:val="32"/>
          <w:lang w:val="en-US" w:eastAsia="zh-CN" w:bidi="ar-SA"/>
        </w:rPr>
      </w:pPr>
      <w:r>
        <w:rPr>
          <w:rFonts w:hint="eastAsia" w:ascii="黑体" w:hAnsi="Times New Roman" w:eastAsia="黑体" w:cs="Times New Roman"/>
          <w:color w:val="auto"/>
          <w:kern w:val="2"/>
          <w:sz w:val="32"/>
          <w:szCs w:val="32"/>
          <w:lang w:val="en-US" w:eastAsia="zh-CN" w:bidi="ar-SA"/>
        </w:rPr>
        <w:t>三、202</w:t>
      </w:r>
      <w:r>
        <w:rPr>
          <w:rFonts w:hint="eastAsia" w:ascii="黑体" w:eastAsia="黑体" w:cs="Times New Roman"/>
          <w:color w:val="auto"/>
          <w:kern w:val="2"/>
          <w:sz w:val="32"/>
          <w:szCs w:val="32"/>
          <w:lang w:val="en-US" w:eastAsia="zh-CN" w:bidi="ar-SA"/>
        </w:rPr>
        <w:t>4</w:t>
      </w:r>
      <w:r>
        <w:rPr>
          <w:rFonts w:hint="eastAsia" w:ascii="黑体" w:hAnsi="Times New Roman" w:eastAsia="黑体" w:cs="Times New Roman"/>
          <w:color w:val="auto"/>
          <w:kern w:val="2"/>
          <w:sz w:val="32"/>
          <w:szCs w:val="32"/>
          <w:lang w:val="en-US" w:eastAsia="zh-CN" w:bidi="ar-SA"/>
        </w:rPr>
        <w:t>年重点工作</w:t>
      </w:r>
      <w:bookmarkEnd w:id="15"/>
      <w:bookmarkEnd w:id="16"/>
      <w:r>
        <w:rPr>
          <w:rFonts w:hint="eastAsia" w:ascii="黑体" w:hAnsi="Times New Roman" w:eastAsia="黑体" w:cs="Times New Roman"/>
          <w:color w:val="auto"/>
          <w:kern w:val="2"/>
          <w:sz w:val="32"/>
          <w:szCs w:val="32"/>
          <w:lang w:val="en-US" w:eastAsia="zh-CN" w:bidi="ar-SA"/>
        </w:rPr>
        <w:t>完成情况</w:t>
      </w:r>
    </w:p>
    <w:p w14:paraId="28EFDC10">
      <w:pPr>
        <w:widowControl/>
        <w:ind w:firstLine="964" w:firstLineChars="300"/>
        <w:jc w:val="left"/>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（一）以医疗业务工作为重点，促进高质量发展。</w:t>
      </w:r>
    </w:p>
    <w:p w14:paraId="683F79D6">
      <w:pPr>
        <w:widowControl/>
        <w:ind w:firstLine="964" w:firstLineChars="300"/>
        <w:jc w:val="left"/>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1.强化制度保障。</w:t>
      </w:r>
    </w:p>
    <w:p w14:paraId="2E75AE2B">
      <w:pPr>
        <w:wordWrap/>
        <w:adjustRightInd/>
        <w:snapToGrid/>
        <w:spacing w:line="560" w:lineRule="exact"/>
        <w:ind w:firstLine="640" w:firstLineChars="200"/>
        <w:textAlignment w:val="auto"/>
        <w:rPr>
          <w:rFonts w:hint="default" w:ascii="Adobe 仿宋 Std R" w:hAnsi="Adobe 仿宋 Std R" w:eastAsia="Adobe 仿宋 Std R" w:cs="Adobe 仿宋 Std R"/>
          <w:b w:val="0"/>
          <w:bCs w:val="0"/>
          <w:color w:val="0000FF"/>
          <w:kern w:val="2"/>
          <w:sz w:val="32"/>
          <w:szCs w:val="32"/>
          <w:u w:val="none"/>
          <w:lang w:val="en-US" w:eastAsia="zh-CN" w:bidi="zh-CN"/>
        </w:rPr>
      </w:pPr>
      <w:r>
        <w:rPr>
          <w:rFonts w:hint="eastAsia" w:ascii="仿宋" w:hAnsi="宋体" w:eastAsia="仿宋" w:cs="宋体"/>
          <w:kern w:val="0"/>
          <w:sz w:val="32"/>
          <w:szCs w:val="32"/>
          <w:lang w:val="en-US" w:eastAsia="zh-CN" w:bidi="ar"/>
        </w:rPr>
        <w:t xml:space="preserve">通过强化制度保障、健全规范标准、完善质控体系、科学精细指导和推进质量公开等具体举措，全面贯彻落实十八项核心制度，提升医疗质量管理的科学化、专业化和精细化水平。采用PDCA循环管理手段，使医疗质量在PDCA循环中不断得到提升，修订并完善了各项质量管理制度和流程文件。 </w:t>
      </w:r>
      <w:r>
        <w:rPr>
          <w:rFonts w:hint="eastAsia" w:ascii="Adobe 仿宋 Std R" w:hAnsi="Adobe 仿宋 Std R" w:eastAsia="Adobe 仿宋 Std R" w:cs="Adobe 仿宋 Std R"/>
          <w:b w:val="0"/>
          <w:bCs w:val="0"/>
          <w:color w:val="0000FF"/>
          <w:kern w:val="2"/>
          <w:sz w:val="32"/>
          <w:szCs w:val="32"/>
          <w:u w:val="none"/>
          <w:lang w:val="en-US" w:eastAsia="zh-CN" w:bidi="zh-CN"/>
        </w:rPr>
        <w:t xml:space="preserve">    </w:t>
      </w:r>
    </w:p>
    <w:p w14:paraId="1B918B78">
      <w:pPr>
        <w:numPr>
          <w:ilvl w:val="0"/>
          <w:numId w:val="0"/>
        </w:numPr>
        <w:wordWrap/>
        <w:adjustRightInd/>
        <w:snapToGrid/>
        <w:spacing w:line="560" w:lineRule="exact"/>
        <w:ind w:firstLine="643" w:firstLineChars="200"/>
        <w:textAlignment w:val="auto"/>
        <w:rPr>
          <w:rFonts w:hint="default" w:ascii="Adobe 仿宋 Std R" w:hAnsi="Adobe 仿宋 Std R" w:eastAsia="Adobe 仿宋 Std R" w:cs="Adobe 仿宋 Std R"/>
          <w:b w:val="0"/>
          <w:bCs w:val="0"/>
          <w:color w:val="0000FF"/>
          <w:kern w:val="2"/>
          <w:sz w:val="32"/>
          <w:szCs w:val="32"/>
          <w:u w:val="none"/>
          <w:lang w:val="en-US" w:eastAsia="zh-CN" w:bidi="zh-CN"/>
        </w:rPr>
      </w:pPr>
      <w:r>
        <w:rPr>
          <w:rFonts w:hint="eastAsia" w:ascii="仿宋" w:hAnsi="仿宋" w:eastAsia="仿宋" w:cs="仿宋"/>
          <w:b/>
          <w:bCs/>
          <w:kern w:val="2"/>
          <w:sz w:val="32"/>
          <w:szCs w:val="32"/>
          <w:lang w:val="en-US" w:eastAsia="zh-CN" w:bidi="ar-SA"/>
        </w:rPr>
        <w:t>2.提升业务水平</w:t>
      </w:r>
      <w:r>
        <w:rPr>
          <w:rFonts w:hint="eastAsia" w:ascii="仿宋" w:hAnsi="仿宋" w:eastAsia="仿宋" w:cs="仿宋"/>
          <w:b/>
          <w:bCs/>
          <w:color w:val="000000"/>
          <w:kern w:val="2"/>
          <w:sz w:val="32"/>
          <w:szCs w:val="32"/>
          <w:lang w:val="en-US" w:eastAsia="zh-CN" w:bidi="ar-SA"/>
        </w:rPr>
        <w:t xml:space="preserve">    </w:t>
      </w:r>
      <w:r>
        <w:rPr>
          <w:rFonts w:hint="eastAsia" w:ascii="Adobe 仿宋 Std R" w:hAnsi="Adobe 仿宋 Std R" w:eastAsia="Adobe 仿宋 Std R" w:cs="Adobe 仿宋 Std R"/>
          <w:b w:val="0"/>
          <w:bCs w:val="0"/>
          <w:color w:val="0000FF"/>
          <w:kern w:val="2"/>
          <w:sz w:val="32"/>
          <w:szCs w:val="32"/>
          <w:u w:val="none"/>
          <w:lang w:val="en-US" w:eastAsia="zh-CN" w:bidi="zh-CN"/>
        </w:rPr>
        <w:t xml:space="preserve"> </w:t>
      </w:r>
    </w:p>
    <w:p w14:paraId="7434F8A4">
      <w:pPr>
        <w:wordWrap/>
        <w:adjustRightInd/>
        <w:snapToGrid/>
        <w:spacing w:line="560" w:lineRule="exact"/>
        <w:ind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是组织业务查房，全院培训；院感培训，开展院感应急演练。其中“组团式”帮扶队员开展学术讲座、业务培训，教学查房、疑难病例讨论，远程会诊。二是开展新技术、新项目，其中本地医护人员开展新技术、新项目7项。三是继续强化急诊急救“五大中心”内涵建设。各中心完成演练，院内培训；卒中中心完成5例救治、胸痛中心完成50例救治；危重儿童和新生儿救治中心完成56例救治；危重孕产妇救治中心完成38例救治；创伤中心完成30例救治。四是加快推进“健康阿坝、健康红原”建设进程，确保重点人群结核筛查工作落实落地，共为10152名师生、 868 名僧尼开展了结合筛查，完成率达到94%。</w:t>
      </w:r>
    </w:p>
    <w:p w14:paraId="063476FC">
      <w:pPr>
        <w:numPr>
          <w:ilvl w:val="0"/>
          <w:numId w:val="0"/>
        </w:numPr>
        <w:wordWrap/>
        <w:adjustRightInd/>
        <w:snapToGrid/>
        <w:spacing w:line="560" w:lineRule="exact"/>
        <w:ind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3.加强专科建设</w:t>
      </w:r>
    </w:p>
    <w:p w14:paraId="3415B380">
      <w:pPr>
        <w:wordWrap/>
        <w:adjustRightInd/>
        <w:snapToGrid/>
        <w:spacing w:line="560" w:lineRule="exact"/>
        <w:ind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完成了高压氧舱诊疗中心的提档升级和液态供氧改造工作，新开设了精神专科门诊，进一步加强呼吸内科的建设管理，强化管理组织体系、培训、技术操作、业务指标运用。引进绵阳市第三人民医院董琼兰重症医学团队及重症医学科医疗技术，建强了重症医学科。疼痛科、普外科、骨科成功创建为县级重点专科，同时已分别向县卫健局、阿坝州卫健委申请儿科、妇产科、普外科、超声科、检验科为州级重点专科，目前正在审核中。</w:t>
      </w:r>
    </w:p>
    <w:p w14:paraId="2050D25A">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4.义诊巡诊</w:t>
      </w:r>
    </w:p>
    <w:p w14:paraId="053C573B">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 w:hAnsi="宋体" w:eastAsia="仿宋" w:cs="宋体"/>
          <w:kern w:val="0"/>
          <w:sz w:val="32"/>
          <w:szCs w:val="32"/>
          <w:lang w:val="en-US" w:eastAsia="zh-CN" w:bidi="ar"/>
        </w:rPr>
        <w:t>深入各乡镇、村、寺庙开展巡诊义诊，年度共派出349名专业技术人员下乡开展义诊巡诊十余场次，免费健康咨询、发放宣传资料、免费发放药品、免检查费</w:t>
      </w:r>
      <w:r>
        <w:rPr>
          <w:rFonts w:hint="eastAsia" w:ascii="仿宋_GB2312" w:hAnsi="仿宋_GB2312" w:eastAsia="仿宋_GB2312" w:cs="仿宋_GB2312"/>
          <w:b w:val="0"/>
          <w:bCs w:val="0"/>
          <w:color w:val="000000"/>
          <w:sz w:val="32"/>
          <w:szCs w:val="32"/>
          <w:lang w:val="en-US" w:eastAsia="zh-CN"/>
        </w:rPr>
        <w:t>。</w:t>
      </w:r>
    </w:p>
    <w:p w14:paraId="08B9BB8E">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643"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（二）以对口支援为契机，提升综合实力。</w:t>
      </w:r>
    </w:p>
    <w:p w14:paraId="119413E0">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县委、县政府坚持以改善民生为帮扶工作的出发点和着力点，高度重视医疗帮扶工作，并成立医疗人才“组团式”帮扶工作专班，制定《红原县医疗人才“组团式”帮扶工作实施方案》，确保各项帮扶任务落地落实。</w:t>
      </w:r>
    </w:p>
    <w:p w14:paraId="3B43E64A">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是充分运用和发挥好“传帮带”、“组团式”帮扶优质资源，修订“对口支援人员”管理办法，制定有针对性的帮扶计划。定期召开支援专家座谈会，并分别在1月2日和6月19日完成了“传帮带”和“组团式”帮扶队员轮换工作。二是紧扣“二级公立医院绩效考核”指标，强化管理。以“盯住目标，抓指标；围绕问题，抓整改；围绕部署，抓落实”的工作措施，层层落实责任，月月分析问题和差距，找出问题的根源，从源头上进行整改。医疗质量稳步提升，医疗服务能力明显提高。三是共派出20名医护人员到绵阳市第三人民医院的重症医学科、血液透析室、麻醉科、神经内科、口腔科、普外科、妇产科等科室学习。四是绵阳市第三人民医院和盐亭县人民医院领导班子带队，共15次来红原县医院开展定点帮扶指导工作。把三甲医院先进的诊疗技术及管理经验带到我院，并逐步取得实效。通过支援老师的“传、帮、带”，签订“师带徒 ”协议44份，让我院年轻医生成长提速。开辟了“绵浙红专家走廊”，开设了“绵浙红专家专科门诊”。</w:t>
      </w:r>
    </w:p>
    <w:p w14:paraId="6173EF55">
      <w:pPr>
        <w:spacing w:line="560" w:lineRule="exact"/>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（三）以硬件设施为基础，拓宽医院业务。</w:t>
      </w:r>
    </w:p>
    <w:p w14:paraId="1197E715">
      <w:pPr>
        <w:ind w:firstLine="640" w:firstLineChars="200"/>
        <w:jc w:val="both"/>
        <w:rPr>
          <w:rFonts w:hint="eastAsia" w:ascii="仿宋" w:hAnsi="仿宋" w:eastAsia="仿宋" w:cs="仿宋"/>
          <w:b w:val="0"/>
          <w:bCs w:val="0"/>
          <w:color w:val="000000"/>
          <w:sz w:val="32"/>
          <w:szCs w:val="32"/>
          <w:lang w:val="en-US" w:eastAsia="zh-CN"/>
        </w:rPr>
      </w:pPr>
      <w:r>
        <w:rPr>
          <w:rFonts w:hint="eastAsia" w:ascii="仿宋" w:hAnsi="宋体" w:eastAsia="仿宋" w:cs="宋体"/>
          <w:kern w:val="0"/>
          <w:sz w:val="32"/>
          <w:szCs w:val="32"/>
          <w:lang w:val="en-US" w:eastAsia="zh-CN" w:bidi="ar"/>
        </w:rPr>
        <w:t>一是加快智慧医院建设步伐。从2020年至今，我院一直致力于智慧医院建设，智慧医院建设一期三个项目于5月1日正式系统上线投入使用，并完成验收工作。智慧医院建设二期项目已开始招标工作</w:t>
      </w:r>
      <w:r>
        <w:rPr>
          <w:rFonts w:hint="eastAsia" w:ascii="仿宋" w:hAnsi="仿宋" w:eastAsia="仿宋" w:cs="仿宋"/>
          <w:b w:val="0"/>
          <w:bCs w:val="0"/>
          <w:color w:val="000000"/>
          <w:sz w:val="32"/>
          <w:szCs w:val="32"/>
          <w:lang w:val="en-US" w:eastAsia="zh-CN"/>
        </w:rPr>
        <w:t>。</w:t>
      </w:r>
    </w:p>
    <w:p w14:paraId="7F335604">
      <w:pPr>
        <w:spacing w:line="560" w:lineRule="exact"/>
        <w:ind w:firstLine="643" w:firstLineChars="200"/>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（四）以二甲复审为依托，落实以评促改。</w:t>
      </w:r>
    </w:p>
    <w:p w14:paraId="4543CABA">
      <w:pPr>
        <w:ind w:firstLine="640" w:firstLineChars="200"/>
        <w:jc w:val="both"/>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2024年，在我院复审领导小组的领导下开展复审准备工作，按照评审标准指导各部门、各科室按照任务分工要求进一步疏理条款，理解标准内容，按照评审标准查漏补缺；加强部门沟通，加强人员培训，用二甲评审标准规范我院的各项工作，落实“以评促建、以评促改、评建并举、重在内涵”的评审原则，修订制度、职责、规范等，加强质量控制，落实核心制度，制定应急预案，优化工作流程，提升工作质量，加强医院内涵建设。12月迎接阿坝州卫生健康委员会评审专家团队对我院的二甲复评工作检查，我院的复审工作从院领导的重视及复审工作的准备都得到了专家组的一致肯定，对专家提出的建议和意见我们也进行了深入的分析和讨论，提出整改措施，计划在新的一年按照标准积极整改。</w:t>
      </w:r>
    </w:p>
    <w:p w14:paraId="51D24962">
      <w:pPr>
        <w:ind w:firstLine="643" w:firstLineChars="200"/>
        <w:jc w:val="both"/>
        <w:rPr>
          <w:rFonts w:hint="eastAsia" w:ascii="仿宋" w:hAnsi="宋体" w:eastAsia="仿宋" w:cs="宋体"/>
          <w:b/>
          <w:bCs/>
          <w:kern w:val="0"/>
          <w:sz w:val="32"/>
          <w:szCs w:val="32"/>
          <w:lang w:val="en-US" w:eastAsia="zh-CN" w:bidi="ar"/>
        </w:rPr>
      </w:pPr>
      <w:r>
        <w:rPr>
          <w:rFonts w:hint="eastAsia" w:ascii="仿宋" w:hAnsi="宋体" w:eastAsia="仿宋" w:cs="宋体"/>
          <w:b/>
          <w:bCs/>
          <w:kern w:val="0"/>
          <w:sz w:val="32"/>
          <w:szCs w:val="32"/>
          <w:lang w:val="en-US" w:eastAsia="zh-CN" w:bidi="ar"/>
        </w:rPr>
        <w:t>（五）以文化建设为载体，增强团队凝聚力。</w:t>
      </w:r>
    </w:p>
    <w:p w14:paraId="283EDB4C">
      <w:pPr>
        <w:ind w:firstLine="640" w:firstLineChars="200"/>
        <w:jc w:val="both"/>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积极组织干部职工参加院各项活动，丰富职工精神文化生活，有效提升团队凝聚力。一是通过三八妇女节、医师节、护士节等活动，激发了干部职工的工作热情和创造力。二是通过开展“医疗质量月暨党建知识、心肺复苏”等活动，让党建工作与业务工作深度融合，提升职工业务能力和服务水平，提升党组织凝聚力。</w:t>
      </w:r>
    </w:p>
    <w:p w14:paraId="09EA930D">
      <w:pPr>
        <w:pStyle w:val="3"/>
        <w:pageBreakBefore w:val="0"/>
        <w:kinsoku/>
        <w:wordWrap/>
        <w:overflowPunct/>
        <w:topLinePunct w:val="0"/>
        <w:autoSpaceDE/>
        <w:autoSpaceDN/>
        <w:bidi w:val="0"/>
        <w:adjustRightInd/>
        <w:snapToGrid/>
        <w:spacing w:line="560" w:lineRule="exact"/>
        <w:ind w:right="440"/>
        <w:jc w:val="both"/>
        <w:textAlignment w:val="auto"/>
      </w:pPr>
      <w:bookmarkStart w:id="17" w:name="_Toc15396602"/>
      <w:bookmarkStart w:id="18" w:name="_Toc15377204"/>
      <w:r>
        <w:rPr>
          <w:rFonts w:hint="eastAsia" w:ascii="黑体" w:eastAsia="黑体"/>
          <w:b w:val="0"/>
          <w:lang w:val="en-US" w:eastAsia="zh-CN"/>
        </w:rPr>
        <w:t xml:space="preserve"> </w:t>
      </w:r>
      <w:r>
        <w:rPr>
          <w:rFonts w:hint="eastAsia" w:ascii="黑体" w:eastAsia="黑体"/>
          <w:b w:val="0"/>
        </w:rPr>
        <w:t>第二部分 202</w:t>
      </w:r>
      <w:r>
        <w:rPr>
          <w:rFonts w:hint="eastAsia" w:ascii="黑体" w:eastAsia="黑体"/>
          <w:b w:val="0"/>
          <w:lang w:val="en-US" w:eastAsia="zh-CN"/>
        </w:rPr>
        <w:t>4</w:t>
      </w:r>
      <w:r>
        <w:rPr>
          <w:rFonts w:hint="eastAsia" w:ascii="黑体" w:eastAsia="黑体"/>
          <w:b w:val="0"/>
        </w:rPr>
        <w:t>年度</w:t>
      </w:r>
      <w:r>
        <w:rPr>
          <w:rStyle w:val="24"/>
          <w:rFonts w:hint="eastAsia" w:ascii="黑体" w:eastAsia="黑体"/>
          <w:b w:val="0"/>
          <w:bCs/>
        </w:rPr>
        <w:t>单位决算情况说明</w:t>
      </w:r>
      <w:bookmarkEnd w:id="17"/>
      <w:bookmarkEnd w:id="18"/>
    </w:p>
    <w:p w14:paraId="66A6BEE5">
      <w:pPr>
        <w:pStyle w:val="30"/>
        <w:pageBreakBefore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5"/>
          <w:rFonts w:ascii="黑体" w:eastAsia="黑体"/>
          <w:b w:val="0"/>
        </w:rPr>
      </w:pPr>
      <w:bookmarkStart w:id="19" w:name="_Toc15377205"/>
      <w:bookmarkStart w:id="20" w:name="_Toc15396603"/>
      <w:r>
        <w:rPr>
          <w:rFonts w:hint="eastAsia" w:ascii="黑体" w:eastAsia="黑体"/>
          <w:sz w:val="32"/>
          <w:szCs w:val="32"/>
        </w:rPr>
        <w:t>收</w:t>
      </w:r>
      <w:r>
        <w:rPr>
          <w:rStyle w:val="25"/>
          <w:rFonts w:hint="eastAsia" w:ascii="黑体" w:eastAsia="黑体"/>
          <w:b w:val="0"/>
        </w:rPr>
        <w:t>入支出决算总体情况说明</w:t>
      </w:r>
      <w:bookmarkEnd w:id="19"/>
      <w:bookmarkEnd w:id="20"/>
    </w:p>
    <w:p w14:paraId="68C79DA3">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color w:val="auto"/>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4</w:t>
      </w:r>
      <w:r>
        <w:rPr>
          <w:rFonts w:hint="eastAsia" w:ascii="仿宋" w:eastAsia="仿宋"/>
          <w:sz w:val="32"/>
          <w:szCs w:val="32"/>
        </w:rPr>
        <w:t>年度收</w:t>
      </w:r>
      <w:r>
        <w:rPr>
          <w:rFonts w:hint="eastAsia" w:ascii="仿宋" w:eastAsia="仿宋"/>
          <w:sz w:val="32"/>
          <w:szCs w:val="32"/>
          <w:lang w:val="en-US" w:eastAsia="zh-CN"/>
        </w:rPr>
        <w:t>入7185.66</w:t>
      </w:r>
      <w:r>
        <w:rPr>
          <w:rFonts w:hint="eastAsia" w:ascii="仿宋" w:eastAsia="仿宋"/>
          <w:sz w:val="32"/>
          <w:szCs w:val="32"/>
        </w:rPr>
        <w:t>万元、支</w:t>
      </w:r>
      <w:r>
        <w:rPr>
          <w:rFonts w:hint="eastAsia" w:ascii="仿宋" w:eastAsia="仿宋"/>
          <w:sz w:val="32"/>
          <w:szCs w:val="32"/>
          <w:lang w:val="en-US" w:eastAsia="zh-CN"/>
        </w:rPr>
        <w:t>出7185.53</w:t>
      </w:r>
      <w:r>
        <w:rPr>
          <w:rFonts w:hint="eastAsia" w:ascii="仿宋" w:eastAsia="仿宋"/>
          <w:sz w:val="32"/>
          <w:szCs w:val="32"/>
        </w:rPr>
        <w:t>万元。与202</w:t>
      </w:r>
      <w:r>
        <w:rPr>
          <w:rFonts w:hint="eastAsia" w:ascii="仿宋" w:eastAsia="仿宋"/>
          <w:sz w:val="32"/>
          <w:szCs w:val="32"/>
          <w:lang w:val="en-US" w:eastAsia="zh-CN"/>
        </w:rPr>
        <w:t>3</w:t>
      </w:r>
      <w:r>
        <w:rPr>
          <w:rFonts w:hint="eastAsia" w:ascii="仿宋" w:eastAsia="仿宋"/>
          <w:sz w:val="32"/>
          <w:szCs w:val="32"/>
        </w:rPr>
        <w:t>年相比，</w:t>
      </w:r>
      <w:r>
        <w:rPr>
          <w:rFonts w:hint="eastAsia" w:ascii="仿宋" w:eastAsia="仿宋"/>
          <w:sz w:val="32"/>
          <w:szCs w:val="32"/>
          <w:lang w:val="en-US" w:eastAsia="zh-CN"/>
        </w:rPr>
        <w:t>收入增加480.25万元、支出增加1039.49万元，收入增加7%，支出</w:t>
      </w:r>
      <w:r>
        <w:rPr>
          <w:rFonts w:hint="eastAsia" w:ascii="仿宋" w:eastAsia="仿宋"/>
          <w:color w:val="auto"/>
          <w:sz w:val="32"/>
          <w:szCs w:val="32"/>
          <w:lang w:val="en-US" w:eastAsia="zh-CN"/>
        </w:rPr>
        <w:t>增加16.9%。主要变动原因是2023年财政专项资金收入和支出较上年增加较多，所以本年收入支出数较上年变动较大。</w:t>
      </w:r>
    </w:p>
    <w:p w14:paraId="27825C76">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both"/>
        <w:textAlignment w:val="auto"/>
        <w:rPr>
          <w:rFonts w:hint="eastAsia" w:ascii="仿宋" w:eastAsia="仿宋"/>
          <w:color w:val="auto"/>
          <w:sz w:val="32"/>
          <w:szCs w:val="32"/>
          <w:lang w:val="en-US" w:eastAsia="zh-CN"/>
        </w:rPr>
      </w:pPr>
      <w:r>
        <w:drawing>
          <wp:anchor distT="0" distB="0" distL="114300" distR="114300" simplePos="0" relativeHeight="251659264" behindDoc="0" locked="0" layoutInCell="1" allowOverlap="1">
            <wp:simplePos x="0" y="0"/>
            <wp:positionH relativeFrom="column">
              <wp:posOffset>480695</wp:posOffset>
            </wp:positionH>
            <wp:positionV relativeFrom="paragraph">
              <wp:posOffset>185420</wp:posOffset>
            </wp:positionV>
            <wp:extent cx="4634865" cy="2489200"/>
            <wp:effectExtent l="4445" t="4445" r="8890" b="2095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712D3B2">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jc w:val="both"/>
        <w:textAlignment w:val="auto"/>
        <w:rPr>
          <w:rFonts w:hint="eastAsia" w:ascii="仿宋" w:eastAsia="仿宋"/>
          <w:color w:val="auto"/>
          <w:sz w:val="32"/>
          <w:szCs w:val="32"/>
          <w:lang w:val="en-US" w:eastAsia="zh-CN"/>
        </w:rPr>
      </w:pPr>
    </w:p>
    <w:p w14:paraId="73A50821">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jc w:val="both"/>
        <w:textAlignment w:val="auto"/>
        <w:rPr>
          <w:rFonts w:hint="eastAsia" w:ascii="仿宋" w:eastAsia="仿宋"/>
          <w:color w:val="auto"/>
          <w:sz w:val="32"/>
          <w:szCs w:val="32"/>
          <w:lang w:val="en-US" w:eastAsia="zh-CN"/>
        </w:rPr>
      </w:pPr>
    </w:p>
    <w:p w14:paraId="5E1843BB">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jc w:val="both"/>
        <w:textAlignment w:val="auto"/>
        <w:rPr>
          <w:rFonts w:hint="eastAsia" w:ascii="仿宋" w:eastAsia="仿宋"/>
          <w:color w:val="auto"/>
          <w:sz w:val="32"/>
          <w:szCs w:val="32"/>
          <w:lang w:val="en-US" w:eastAsia="zh-CN"/>
        </w:rPr>
      </w:pPr>
    </w:p>
    <w:p w14:paraId="26ABE800">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jc w:val="both"/>
        <w:textAlignment w:val="auto"/>
        <w:rPr>
          <w:rFonts w:hint="eastAsia" w:ascii="仿宋" w:eastAsia="仿宋"/>
          <w:color w:val="auto"/>
          <w:sz w:val="32"/>
          <w:szCs w:val="32"/>
          <w:lang w:val="en-US" w:eastAsia="zh-CN"/>
        </w:rPr>
      </w:pPr>
    </w:p>
    <w:p w14:paraId="2A76E011">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jc w:val="both"/>
        <w:textAlignment w:val="auto"/>
        <w:rPr>
          <w:rFonts w:hint="eastAsia" w:ascii="仿宋" w:eastAsia="仿宋"/>
          <w:color w:val="auto"/>
          <w:sz w:val="32"/>
          <w:szCs w:val="32"/>
          <w:lang w:val="en-US" w:eastAsia="zh-CN"/>
        </w:rPr>
      </w:pPr>
    </w:p>
    <w:p w14:paraId="5D862A99">
      <w:pPr>
        <w:pStyle w:val="9"/>
        <w:ind w:left="0" w:leftChars="0" w:firstLine="0" w:firstLineChars="0"/>
      </w:pPr>
    </w:p>
    <w:p w14:paraId="535D75E1">
      <w:pPr>
        <w:pStyle w:val="30"/>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5"/>
          <w:rFonts w:ascii="黑体" w:eastAsia="黑体"/>
          <w:b w:val="0"/>
        </w:rPr>
      </w:pPr>
      <w:bookmarkStart w:id="21" w:name="_Toc15377206"/>
      <w:bookmarkStart w:id="22" w:name="_Toc15396604"/>
      <w:r>
        <w:rPr>
          <w:rFonts w:hint="eastAsia" w:ascii="黑体" w:eastAsia="黑体"/>
          <w:sz w:val="32"/>
          <w:szCs w:val="32"/>
        </w:rPr>
        <w:t>收</w:t>
      </w:r>
      <w:r>
        <w:rPr>
          <w:rStyle w:val="25"/>
          <w:rFonts w:hint="eastAsia" w:ascii="黑体" w:eastAsia="黑体"/>
          <w:b w:val="0"/>
        </w:rPr>
        <w:t>入决算情况说明</w:t>
      </w:r>
      <w:bookmarkEnd w:id="21"/>
      <w:bookmarkEnd w:id="22"/>
    </w:p>
    <w:p w14:paraId="285D93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eastAsia="仿宋"/>
          <w:color w:val="auto"/>
          <w:sz w:val="32"/>
          <w:szCs w:val="32"/>
        </w:rPr>
      </w:pPr>
      <w:r>
        <w:rPr>
          <w:rFonts w:ascii="仿宋" w:eastAsia="仿宋"/>
          <w:color w:val="auto"/>
          <w:sz w:val="32"/>
          <w:szCs w:val="32"/>
        </w:rPr>
        <w:t>20</w:t>
      </w:r>
      <w:r>
        <w:rPr>
          <w:rFonts w:hint="eastAsia" w:ascii="仿宋" w:eastAsia="仿宋"/>
          <w:color w:val="auto"/>
          <w:sz w:val="32"/>
          <w:szCs w:val="32"/>
        </w:rPr>
        <w:t>2</w:t>
      </w:r>
      <w:r>
        <w:rPr>
          <w:rFonts w:hint="eastAsia" w:ascii="仿宋" w:eastAsia="仿宋"/>
          <w:color w:val="auto"/>
          <w:sz w:val="32"/>
          <w:szCs w:val="32"/>
          <w:lang w:val="en-US" w:eastAsia="zh-CN"/>
        </w:rPr>
        <w:t>4</w:t>
      </w:r>
      <w:r>
        <w:rPr>
          <w:rFonts w:hint="eastAsia" w:ascii="仿宋" w:eastAsia="仿宋"/>
          <w:color w:val="auto"/>
          <w:sz w:val="32"/>
          <w:szCs w:val="32"/>
        </w:rPr>
        <w:t>年本</w:t>
      </w:r>
      <w:r>
        <w:rPr>
          <w:rFonts w:hint="eastAsia" w:ascii="仿宋" w:eastAsia="仿宋"/>
          <w:sz w:val="32"/>
          <w:szCs w:val="32"/>
        </w:rPr>
        <w:t>年收入合计</w:t>
      </w:r>
      <w:r>
        <w:rPr>
          <w:rFonts w:hint="eastAsia" w:ascii="仿宋" w:eastAsia="仿宋"/>
          <w:sz w:val="32"/>
          <w:szCs w:val="32"/>
          <w:lang w:val="en-US" w:eastAsia="zh-CN"/>
        </w:rPr>
        <w:t>71.85.66</w:t>
      </w:r>
      <w:r>
        <w:rPr>
          <w:rFonts w:hint="eastAsia" w:ascii="仿宋" w:eastAsia="仿宋"/>
          <w:sz w:val="32"/>
          <w:szCs w:val="32"/>
        </w:rPr>
        <w:t>万元，其中：一般公共预算财政拨款收入</w:t>
      </w:r>
      <w:r>
        <w:rPr>
          <w:rFonts w:hint="eastAsia" w:ascii="仿宋" w:eastAsia="仿宋"/>
          <w:sz w:val="32"/>
          <w:szCs w:val="32"/>
          <w:lang w:val="en-US" w:eastAsia="zh-CN"/>
        </w:rPr>
        <w:t>4809.73</w:t>
      </w:r>
      <w:r>
        <w:rPr>
          <w:rFonts w:hint="eastAsia" w:ascii="仿宋" w:eastAsia="仿宋"/>
          <w:sz w:val="32"/>
          <w:szCs w:val="32"/>
        </w:rPr>
        <w:t>万元，占</w:t>
      </w:r>
      <w:r>
        <w:rPr>
          <w:rFonts w:hint="eastAsia" w:ascii="仿宋" w:eastAsia="仿宋"/>
          <w:color w:val="auto"/>
          <w:sz w:val="32"/>
          <w:szCs w:val="32"/>
          <w:lang w:val="en-US" w:eastAsia="zh-CN"/>
        </w:rPr>
        <w:t>66.9</w:t>
      </w:r>
      <w:r>
        <w:rPr>
          <w:rFonts w:hint="eastAsia" w:ascii="仿宋" w:eastAsia="仿宋"/>
          <w:color w:val="auto"/>
          <w:sz w:val="32"/>
          <w:szCs w:val="32"/>
        </w:rPr>
        <w:t>%；政府性基金预算财政拨款收入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%；国有资本经营预算财政拨款收入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%；上级补助收入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%；事业收入</w:t>
      </w:r>
      <w:r>
        <w:rPr>
          <w:rFonts w:hint="eastAsia" w:ascii="仿宋" w:eastAsia="仿宋"/>
          <w:color w:val="auto"/>
          <w:sz w:val="32"/>
          <w:szCs w:val="32"/>
          <w:lang w:val="en-US" w:eastAsia="zh-CN"/>
        </w:rPr>
        <w:t>2375.93</w:t>
      </w:r>
      <w:r>
        <w:rPr>
          <w:rFonts w:hint="eastAsia" w:ascii="仿宋" w:eastAsia="仿宋"/>
          <w:color w:val="auto"/>
          <w:sz w:val="32"/>
          <w:szCs w:val="32"/>
        </w:rPr>
        <w:t>万元，占</w:t>
      </w:r>
      <w:r>
        <w:rPr>
          <w:rFonts w:hint="eastAsia" w:ascii="仿宋" w:eastAsia="仿宋"/>
          <w:color w:val="auto"/>
          <w:sz w:val="32"/>
          <w:szCs w:val="32"/>
          <w:lang w:val="en-US" w:eastAsia="zh-CN"/>
        </w:rPr>
        <w:t>33.1</w:t>
      </w:r>
      <w:r>
        <w:rPr>
          <w:rFonts w:hint="eastAsia" w:ascii="仿宋" w:eastAsia="仿宋"/>
          <w:color w:val="auto"/>
          <w:sz w:val="32"/>
          <w:szCs w:val="32"/>
        </w:rPr>
        <w:t>%；经营收入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%；附属单位上缴收入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%；其他收入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w:t>
      </w:r>
    </w:p>
    <w:p w14:paraId="37460091">
      <w:pPr>
        <w:pStyle w:val="9"/>
        <w:rPr>
          <w:rFonts w:ascii="仿宋_GB2312" w:eastAsia="仿宋_GB2312"/>
          <w:sz w:val="32"/>
          <w:szCs w:val="32"/>
        </w:rPr>
      </w:pPr>
      <w:r>
        <w:drawing>
          <wp:inline distT="0" distB="0" distL="114300" distR="114300">
            <wp:extent cx="4826000" cy="2743200"/>
            <wp:effectExtent l="4445" t="4445" r="8255" b="14605"/>
            <wp:docPr id="6" name="图表 5"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86CAB8">
      <w:pPr>
        <w:pStyle w:val="30"/>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5"/>
          <w:rFonts w:ascii="黑体" w:eastAsia="黑体"/>
          <w:b w:val="0"/>
        </w:rPr>
      </w:pPr>
      <w:bookmarkStart w:id="23" w:name="_Toc15396605"/>
      <w:bookmarkStart w:id="24" w:name="_Toc15377207"/>
      <w:r>
        <w:rPr>
          <w:rFonts w:hint="eastAsia" w:ascii="黑体" w:eastAsia="黑体"/>
          <w:sz w:val="32"/>
          <w:szCs w:val="32"/>
        </w:rPr>
        <w:t>支</w:t>
      </w:r>
      <w:r>
        <w:rPr>
          <w:rStyle w:val="25"/>
          <w:rFonts w:hint="eastAsia" w:ascii="黑体" w:eastAsia="黑体"/>
          <w:b w:val="0"/>
        </w:rPr>
        <w:t>出决算情况说明</w:t>
      </w:r>
      <w:bookmarkEnd w:id="23"/>
      <w:bookmarkEnd w:id="24"/>
    </w:p>
    <w:p w14:paraId="7B715D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年本年支出合计</w:t>
      </w:r>
      <w:r>
        <w:rPr>
          <w:rFonts w:hint="eastAsia" w:ascii="仿宋" w:eastAsia="仿宋"/>
          <w:sz w:val="32"/>
          <w:szCs w:val="32"/>
          <w:lang w:val="en-US" w:eastAsia="zh-CN"/>
        </w:rPr>
        <w:t>7185.53</w:t>
      </w:r>
      <w:r>
        <w:rPr>
          <w:rFonts w:hint="eastAsia" w:ascii="仿宋" w:eastAsia="仿宋"/>
          <w:sz w:val="32"/>
          <w:szCs w:val="32"/>
        </w:rPr>
        <w:t>万元，其中：基本支出</w:t>
      </w:r>
      <w:r>
        <w:rPr>
          <w:rFonts w:hint="eastAsia" w:ascii="仿宋" w:eastAsia="仿宋"/>
          <w:sz w:val="32"/>
          <w:szCs w:val="32"/>
          <w:lang w:val="en-US" w:eastAsia="zh-CN"/>
        </w:rPr>
        <w:t>4999.94</w:t>
      </w:r>
      <w:r>
        <w:rPr>
          <w:rFonts w:hint="eastAsia" w:ascii="仿宋" w:eastAsia="仿宋"/>
          <w:sz w:val="32"/>
          <w:szCs w:val="32"/>
        </w:rPr>
        <w:t>万元，占</w:t>
      </w:r>
      <w:r>
        <w:rPr>
          <w:rFonts w:hint="eastAsia" w:ascii="仿宋" w:eastAsia="仿宋"/>
          <w:sz w:val="32"/>
          <w:szCs w:val="32"/>
          <w:lang w:val="en-US" w:eastAsia="zh-CN"/>
        </w:rPr>
        <w:t>69.6</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2185.59</w:t>
      </w:r>
      <w:r>
        <w:rPr>
          <w:rFonts w:hint="eastAsia" w:ascii="仿宋" w:eastAsia="仿宋"/>
          <w:sz w:val="32"/>
          <w:szCs w:val="32"/>
        </w:rPr>
        <w:t>万元，占</w:t>
      </w:r>
      <w:r>
        <w:rPr>
          <w:rFonts w:hint="eastAsia" w:ascii="仿宋" w:eastAsia="仿宋"/>
          <w:sz w:val="32"/>
          <w:szCs w:val="32"/>
          <w:lang w:val="en-US" w:eastAsia="zh-CN"/>
        </w:rPr>
        <w:t>30.4</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14:paraId="59C28DC9">
      <w:pPr>
        <w:pStyle w:val="9"/>
        <w:rPr>
          <w:rFonts w:ascii="仿宋_GB2312" w:eastAsia="仿宋_GB2312"/>
          <w:sz w:val="32"/>
          <w:szCs w:val="32"/>
        </w:rPr>
      </w:pPr>
      <w:r>
        <w:drawing>
          <wp:inline distT="0" distB="0" distL="114300" distR="114300">
            <wp:extent cx="4826000" cy="2743200"/>
            <wp:effectExtent l="4445" t="4445" r="8255" b="14605"/>
            <wp:docPr id="7" name="图表 6"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6517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5"/>
          <w:rFonts w:ascii="黑体" w:eastAsia="黑体"/>
          <w:b w:val="0"/>
        </w:rPr>
      </w:pPr>
      <w:bookmarkStart w:id="25" w:name="_Toc15377208"/>
      <w:bookmarkStart w:id="26" w:name="_Toc15396606"/>
      <w:r>
        <w:rPr>
          <w:rFonts w:hint="eastAsia" w:ascii="黑体" w:eastAsia="黑体"/>
          <w:color w:val="auto"/>
          <w:sz w:val="32"/>
          <w:szCs w:val="32"/>
        </w:rPr>
        <w:t>四、</w:t>
      </w:r>
      <w:r>
        <w:rPr>
          <w:rFonts w:hint="eastAsia" w:ascii="黑体" w:eastAsia="黑体"/>
          <w:sz w:val="32"/>
          <w:szCs w:val="32"/>
        </w:rPr>
        <w:t>财</w:t>
      </w:r>
      <w:r>
        <w:rPr>
          <w:rStyle w:val="25"/>
          <w:rFonts w:hint="eastAsia" w:ascii="黑体" w:eastAsia="黑体"/>
          <w:b w:val="0"/>
        </w:rPr>
        <w:t>政拨款收入支出决算总体情况说明</w:t>
      </w:r>
      <w:bookmarkEnd w:id="25"/>
      <w:bookmarkEnd w:id="26"/>
    </w:p>
    <w:p w14:paraId="084B88FF">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年财政拨款收</w:t>
      </w:r>
      <w:r>
        <w:rPr>
          <w:rFonts w:hint="eastAsia" w:ascii="仿宋" w:eastAsia="仿宋"/>
          <w:sz w:val="32"/>
          <w:szCs w:val="32"/>
          <w:lang w:val="en-US" w:eastAsia="zh-CN"/>
        </w:rPr>
        <w:t>入4809.73</w:t>
      </w:r>
      <w:r>
        <w:rPr>
          <w:rFonts w:hint="eastAsia" w:ascii="仿宋" w:eastAsia="仿宋"/>
          <w:sz w:val="32"/>
          <w:szCs w:val="32"/>
        </w:rPr>
        <w:t>万元、支</w:t>
      </w:r>
      <w:r>
        <w:rPr>
          <w:rFonts w:hint="eastAsia" w:ascii="仿宋" w:eastAsia="仿宋"/>
          <w:sz w:val="32"/>
          <w:szCs w:val="32"/>
          <w:lang w:val="en-US" w:eastAsia="zh-CN"/>
        </w:rPr>
        <w:t>出4809.73</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年相比，财政拨款收</w:t>
      </w:r>
      <w:r>
        <w:rPr>
          <w:rFonts w:hint="eastAsia" w:ascii="仿宋" w:eastAsia="仿宋"/>
          <w:sz w:val="32"/>
          <w:szCs w:val="32"/>
          <w:lang w:val="en-US" w:eastAsia="zh-CN"/>
        </w:rPr>
        <w:t>入增加925.23</w:t>
      </w:r>
      <w:r>
        <w:rPr>
          <w:rFonts w:hint="eastAsia" w:ascii="仿宋" w:eastAsia="仿宋"/>
          <w:sz w:val="32"/>
          <w:szCs w:val="32"/>
        </w:rPr>
        <w:t>万元、支</w:t>
      </w:r>
      <w:r>
        <w:rPr>
          <w:rFonts w:hint="eastAsia" w:ascii="仿宋" w:eastAsia="仿宋"/>
          <w:sz w:val="32"/>
          <w:szCs w:val="32"/>
          <w:lang w:val="en-US" w:eastAsia="zh-CN"/>
        </w:rPr>
        <w:t>出增加925.23</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lang w:val="en-US" w:eastAsia="zh-CN"/>
        </w:rPr>
        <w:t>收入增加23.8</w:t>
      </w:r>
      <w:r>
        <w:rPr>
          <w:rFonts w:hint="eastAsia" w:ascii="仿宋" w:eastAsia="仿宋"/>
          <w:sz w:val="32"/>
          <w:szCs w:val="32"/>
        </w:rPr>
        <w:t>%</w:t>
      </w:r>
      <w:r>
        <w:rPr>
          <w:rFonts w:hint="eastAsia" w:ascii="仿宋" w:eastAsia="仿宋"/>
          <w:sz w:val="32"/>
          <w:szCs w:val="32"/>
          <w:lang w:eastAsia="zh-CN"/>
        </w:rPr>
        <w:t>、</w:t>
      </w:r>
      <w:r>
        <w:rPr>
          <w:rFonts w:hint="eastAsia" w:ascii="仿宋" w:eastAsia="仿宋"/>
          <w:sz w:val="32"/>
          <w:szCs w:val="32"/>
          <w:lang w:val="en-US" w:eastAsia="zh-CN"/>
        </w:rPr>
        <w:t>支出增加23.8</w:t>
      </w:r>
      <w:r>
        <w:rPr>
          <w:rFonts w:hint="eastAsia" w:ascii="仿宋" w:eastAsia="仿宋"/>
          <w:sz w:val="32"/>
          <w:szCs w:val="32"/>
        </w:rPr>
        <w:t>%。主要变动原因</w:t>
      </w:r>
      <w:r>
        <w:rPr>
          <w:rFonts w:hint="eastAsia" w:ascii="仿宋" w:eastAsia="仿宋"/>
          <w:color w:val="auto"/>
          <w:sz w:val="32"/>
          <w:szCs w:val="32"/>
          <w:lang w:val="en-US" w:eastAsia="zh-CN"/>
        </w:rPr>
        <w:t>是2023年财政专项资金收入和支出较上年增加较多，所以本年收入支出数较上年变动较大</w:t>
      </w:r>
      <w:r>
        <w:rPr>
          <w:rFonts w:hint="eastAsia" w:ascii="仿宋" w:eastAsia="仿宋"/>
          <w:sz w:val="32"/>
          <w:szCs w:val="32"/>
        </w:rPr>
        <w:t>。</w:t>
      </w:r>
    </w:p>
    <w:p w14:paraId="6EB98C54">
      <w:pPr>
        <w:pStyle w:val="9"/>
        <w:tabs>
          <w:tab w:val="left" w:pos="898"/>
        </w:tabs>
        <w:rPr>
          <w:rFonts w:hint="eastAsia" w:ascii="仿宋" w:eastAsia="仿宋"/>
          <w:sz w:val="32"/>
          <w:szCs w:val="32"/>
        </w:rPr>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CB64C2">
      <w:pPr>
        <w:spacing w:line="600" w:lineRule="exact"/>
        <w:ind w:firstLine="640" w:firstLineChars="200"/>
        <w:outlineLvl w:val="1"/>
        <w:rPr>
          <w:rStyle w:val="25"/>
          <w:rFonts w:ascii="黑体" w:eastAsia="黑体"/>
          <w:b w:val="0"/>
        </w:rPr>
      </w:pPr>
      <w:bookmarkStart w:id="27" w:name="_Toc15396607"/>
      <w:bookmarkStart w:id="28" w:name="_Toc15377209"/>
      <w:r>
        <w:rPr>
          <w:rFonts w:hint="eastAsia" w:ascii="黑体" w:eastAsia="黑体"/>
          <w:sz w:val="32"/>
          <w:szCs w:val="32"/>
        </w:rPr>
        <w:t>五、</w:t>
      </w:r>
      <w:r>
        <w:rPr>
          <w:rFonts w:hint="eastAsia" w:ascii="黑体" w:eastAsia="黑体"/>
          <w:b/>
          <w:sz w:val="32"/>
          <w:szCs w:val="32"/>
        </w:rPr>
        <w:t>一</w:t>
      </w:r>
      <w:r>
        <w:rPr>
          <w:rStyle w:val="25"/>
          <w:rFonts w:hint="eastAsia" w:ascii="黑体" w:eastAsia="黑体"/>
          <w:b w:val="0"/>
        </w:rPr>
        <w:t>般公共预算财政拨款支出决算情况说明</w:t>
      </w:r>
      <w:bookmarkEnd w:id="27"/>
      <w:bookmarkEnd w:id="28"/>
    </w:p>
    <w:p w14:paraId="7014A8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eastAsia="仿宋"/>
          <w:b/>
          <w:sz w:val="32"/>
          <w:szCs w:val="32"/>
        </w:rPr>
      </w:pPr>
      <w:bookmarkStart w:id="29" w:name="_Toc15377210"/>
      <w:r>
        <w:rPr>
          <w:rFonts w:hint="eastAsia" w:ascii="仿宋" w:eastAsia="仿宋"/>
          <w:b/>
          <w:sz w:val="32"/>
          <w:szCs w:val="32"/>
        </w:rPr>
        <w:t>（一）一般公共预算财政拨款支出决算总体情况</w:t>
      </w:r>
      <w:bookmarkEnd w:id="29"/>
    </w:p>
    <w:p w14:paraId="780F74AF">
      <w:pPr>
        <w:pStyle w:val="3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年一般公共预算财政拨款支出</w:t>
      </w:r>
      <w:r>
        <w:rPr>
          <w:rFonts w:hint="eastAsia" w:ascii="仿宋" w:eastAsia="仿宋"/>
          <w:sz w:val="32"/>
          <w:szCs w:val="32"/>
          <w:lang w:val="en-US" w:eastAsia="zh-CN"/>
        </w:rPr>
        <w:t>4809.73</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年相比，一般公共预算财政拨款支出</w:t>
      </w:r>
      <w:r>
        <w:rPr>
          <w:rFonts w:hint="eastAsia" w:ascii="仿宋" w:eastAsia="仿宋"/>
          <w:sz w:val="32"/>
          <w:szCs w:val="32"/>
          <w:lang w:val="en-US" w:eastAsia="zh-CN"/>
        </w:rPr>
        <w:t>增加925.23</w:t>
      </w:r>
      <w:r>
        <w:rPr>
          <w:rFonts w:hint="eastAsia" w:ascii="仿宋" w:eastAsia="仿宋"/>
          <w:sz w:val="32"/>
          <w:szCs w:val="32"/>
        </w:rPr>
        <w:t>万元，</w:t>
      </w:r>
      <w:r>
        <w:rPr>
          <w:rFonts w:hint="eastAsia" w:ascii="仿宋" w:eastAsia="仿宋"/>
          <w:sz w:val="32"/>
          <w:szCs w:val="32"/>
          <w:lang w:val="en-US" w:eastAsia="zh-CN"/>
        </w:rPr>
        <w:t>增加23.8</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kern w:val="0"/>
          <w:sz w:val="32"/>
          <w:szCs w:val="32"/>
          <w:shd w:val="clear" w:color="auto" w:fill="FFFFFF"/>
        </w:rPr>
        <w:t>今年财政项目收支</w:t>
      </w:r>
      <w:r>
        <w:rPr>
          <w:rFonts w:hint="eastAsia" w:ascii="仿宋_GB2312" w:hAnsi="仿宋_GB2312" w:eastAsia="仿宋_GB2312" w:cs="仿宋_GB2312"/>
          <w:kern w:val="0"/>
          <w:sz w:val="32"/>
          <w:szCs w:val="32"/>
          <w:shd w:val="clear" w:color="auto" w:fill="FFFFFF"/>
          <w:lang w:val="en-US" w:eastAsia="zh-CN"/>
        </w:rPr>
        <w:t>增加</w:t>
      </w:r>
      <w:r>
        <w:rPr>
          <w:rFonts w:hint="eastAsia" w:ascii="仿宋_GB2312" w:hAnsi="仿宋_GB2312" w:eastAsia="仿宋_GB2312" w:cs="仿宋_GB2312"/>
          <w:kern w:val="0"/>
          <w:sz w:val="32"/>
          <w:szCs w:val="32"/>
          <w:shd w:val="clear" w:color="auto" w:fill="FFFFFF"/>
        </w:rPr>
        <w:t>。</w:t>
      </w:r>
    </w:p>
    <w:p w14:paraId="2B7FB87C">
      <w:pPr>
        <w:pStyle w:val="9"/>
      </w:pPr>
    </w:p>
    <w:p w14:paraId="564935C2">
      <w:r>
        <w:drawing>
          <wp:inline distT="0" distB="0" distL="114300" distR="114300">
            <wp:extent cx="4826000" cy="2743200"/>
            <wp:effectExtent l="4445" t="4445" r="825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758E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eastAsia="仿宋"/>
          <w:b/>
          <w:sz w:val="32"/>
          <w:szCs w:val="32"/>
        </w:rPr>
      </w:pPr>
      <w:bookmarkStart w:id="30" w:name="_Toc15377211"/>
      <w:r>
        <w:rPr>
          <w:rFonts w:hint="eastAsia" w:ascii="仿宋" w:eastAsia="仿宋"/>
          <w:b/>
          <w:sz w:val="32"/>
          <w:szCs w:val="32"/>
        </w:rPr>
        <w:t>（二）一般公共预算财政拨款支出决算结构情况</w:t>
      </w:r>
      <w:bookmarkEnd w:id="30"/>
    </w:p>
    <w:p w14:paraId="0B2AB3A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eastAsia="仿宋"/>
          <w:color w:val="auto"/>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34</w:t>
      </w:r>
      <w:r>
        <w:rPr>
          <w:rFonts w:hint="eastAsia" w:ascii="仿宋" w:eastAsia="仿宋"/>
          <w:sz w:val="32"/>
          <w:szCs w:val="32"/>
        </w:rPr>
        <w:t>年一般公共预算财政拨款支出</w:t>
      </w:r>
      <w:r>
        <w:rPr>
          <w:rFonts w:hint="eastAsia" w:ascii="仿宋" w:eastAsia="仿宋"/>
          <w:sz w:val="32"/>
          <w:szCs w:val="32"/>
          <w:lang w:val="en-US" w:eastAsia="zh-CN"/>
        </w:rPr>
        <w:t>4809.73</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bookmarkStart w:id="31" w:name="OLE_LINK1"/>
      <w:r>
        <w:rPr>
          <w:rFonts w:hint="eastAsia" w:ascii="仿宋" w:eastAsia="仿宋"/>
          <w:b/>
          <w:sz w:val="32"/>
          <w:szCs w:val="32"/>
        </w:rPr>
        <w:t>社会保障和就业</w:t>
      </w:r>
      <w:bookmarkEnd w:id="31"/>
      <w:r>
        <w:rPr>
          <w:rFonts w:hint="eastAsia" w:ascii="仿宋" w:eastAsia="仿宋"/>
          <w:b/>
          <w:sz w:val="32"/>
          <w:szCs w:val="32"/>
        </w:rPr>
        <w:t>（类）</w:t>
      </w:r>
      <w:r>
        <w:rPr>
          <w:rFonts w:hint="eastAsia" w:ascii="仿宋" w:eastAsia="仿宋"/>
          <w:sz w:val="32"/>
          <w:szCs w:val="32"/>
        </w:rPr>
        <w:t>支出</w:t>
      </w:r>
      <w:r>
        <w:rPr>
          <w:rFonts w:hint="eastAsia" w:ascii="仿宋" w:eastAsia="仿宋"/>
          <w:sz w:val="32"/>
          <w:szCs w:val="32"/>
          <w:lang w:val="en-US" w:eastAsia="zh-CN"/>
        </w:rPr>
        <w:t>425.28</w:t>
      </w:r>
      <w:r>
        <w:rPr>
          <w:rFonts w:hint="eastAsia" w:ascii="仿宋" w:eastAsia="仿宋"/>
          <w:color w:val="auto"/>
          <w:sz w:val="32"/>
          <w:szCs w:val="32"/>
        </w:rPr>
        <w:t>万元，占</w:t>
      </w:r>
      <w:r>
        <w:rPr>
          <w:rFonts w:hint="eastAsia" w:ascii="仿宋" w:eastAsia="仿宋"/>
          <w:color w:val="auto"/>
          <w:sz w:val="32"/>
          <w:szCs w:val="32"/>
          <w:lang w:val="en-US" w:eastAsia="zh-CN"/>
        </w:rPr>
        <w:t>8.84</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卫生健康支出</w:t>
      </w:r>
      <w:r>
        <w:rPr>
          <w:rFonts w:hint="eastAsia" w:ascii="仿宋" w:eastAsia="仿宋"/>
          <w:color w:val="auto"/>
          <w:sz w:val="32"/>
          <w:szCs w:val="32"/>
          <w:lang w:val="en-US" w:eastAsia="zh-CN"/>
        </w:rPr>
        <w:t>4098.84</w:t>
      </w:r>
      <w:r>
        <w:rPr>
          <w:rFonts w:hint="eastAsia" w:ascii="仿宋" w:eastAsia="仿宋"/>
          <w:color w:val="auto"/>
          <w:sz w:val="32"/>
          <w:szCs w:val="32"/>
        </w:rPr>
        <w:t>万元，占</w:t>
      </w:r>
      <w:r>
        <w:rPr>
          <w:rFonts w:hint="eastAsia" w:ascii="仿宋" w:eastAsia="仿宋"/>
          <w:color w:val="auto"/>
          <w:sz w:val="32"/>
          <w:szCs w:val="32"/>
          <w:lang w:val="en-US" w:eastAsia="zh-CN"/>
        </w:rPr>
        <w:t>85.22</w:t>
      </w:r>
      <w:r>
        <w:rPr>
          <w:rFonts w:ascii="仿宋" w:eastAsia="仿宋"/>
          <w:color w:val="auto"/>
          <w:sz w:val="32"/>
          <w:szCs w:val="32"/>
        </w:rPr>
        <w:t>%</w:t>
      </w:r>
      <w:r>
        <w:rPr>
          <w:rFonts w:hint="eastAsia" w:ascii="仿宋" w:eastAsia="仿宋"/>
          <w:b/>
          <w:bCs/>
          <w:color w:val="auto"/>
          <w:sz w:val="32"/>
          <w:szCs w:val="32"/>
        </w:rPr>
        <w:t>；农林水支出</w:t>
      </w:r>
      <w:r>
        <w:rPr>
          <w:rFonts w:hint="eastAsia" w:ascii="仿宋" w:eastAsia="仿宋"/>
          <w:color w:val="auto"/>
          <w:sz w:val="32"/>
          <w:szCs w:val="32"/>
          <w:lang w:val="en-US" w:eastAsia="zh-CN"/>
        </w:rPr>
        <w:t>69.84</w:t>
      </w:r>
      <w:r>
        <w:rPr>
          <w:rFonts w:hint="eastAsia" w:ascii="仿宋" w:eastAsia="仿宋"/>
          <w:color w:val="auto"/>
          <w:sz w:val="32"/>
          <w:szCs w:val="32"/>
        </w:rPr>
        <w:t>万元，占</w:t>
      </w:r>
      <w:r>
        <w:rPr>
          <w:rFonts w:hint="eastAsia" w:ascii="仿宋" w:eastAsia="仿宋"/>
          <w:color w:val="auto"/>
          <w:sz w:val="32"/>
          <w:szCs w:val="32"/>
          <w:lang w:val="en-US" w:eastAsia="zh-CN"/>
        </w:rPr>
        <w:t>1.45</w:t>
      </w:r>
      <w:r>
        <w:rPr>
          <w:rFonts w:ascii="仿宋" w:eastAsia="仿宋"/>
          <w:color w:val="auto"/>
          <w:sz w:val="32"/>
          <w:szCs w:val="32"/>
        </w:rPr>
        <w:t>%</w:t>
      </w:r>
      <w:r>
        <w:rPr>
          <w:rFonts w:hint="eastAsia" w:ascii="仿宋" w:eastAsia="仿宋"/>
          <w:b/>
          <w:bCs/>
          <w:color w:val="auto"/>
          <w:sz w:val="32"/>
          <w:szCs w:val="32"/>
        </w:rPr>
        <w:t>；住房保障</w:t>
      </w:r>
      <w:r>
        <w:rPr>
          <w:rFonts w:hint="eastAsia" w:ascii="仿宋" w:eastAsia="仿宋"/>
          <w:b/>
          <w:color w:val="auto"/>
          <w:sz w:val="32"/>
          <w:szCs w:val="32"/>
        </w:rPr>
        <w:t>（类）</w:t>
      </w:r>
      <w:r>
        <w:rPr>
          <w:rFonts w:hint="eastAsia" w:ascii="仿宋" w:eastAsia="仿宋"/>
          <w:b/>
          <w:color w:val="auto"/>
          <w:sz w:val="32"/>
          <w:szCs w:val="32"/>
          <w:lang w:val="en-US" w:eastAsia="zh-CN"/>
        </w:rPr>
        <w:t>支出</w:t>
      </w:r>
      <w:r>
        <w:rPr>
          <w:rFonts w:hint="eastAsia" w:ascii="仿宋" w:eastAsia="仿宋"/>
          <w:color w:val="auto"/>
          <w:sz w:val="32"/>
          <w:szCs w:val="32"/>
          <w:lang w:val="en-US" w:eastAsia="zh-CN"/>
        </w:rPr>
        <w:t>215.77</w:t>
      </w:r>
      <w:r>
        <w:rPr>
          <w:rFonts w:hint="eastAsia" w:ascii="仿宋" w:eastAsia="仿宋"/>
          <w:color w:val="auto"/>
          <w:sz w:val="32"/>
          <w:szCs w:val="32"/>
        </w:rPr>
        <w:t>万元，占</w:t>
      </w:r>
      <w:r>
        <w:rPr>
          <w:rFonts w:hint="eastAsia" w:ascii="仿宋" w:eastAsia="仿宋"/>
          <w:color w:val="auto"/>
          <w:sz w:val="32"/>
          <w:szCs w:val="32"/>
          <w:lang w:val="en-US" w:eastAsia="zh-CN"/>
        </w:rPr>
        <w:t>4.49</w:t>
      </w:r>
      <w:r>
        <w:rPr>
          <w:rFonts w:ascii="仿宋" w:eastAsia="仿宋"/>
          <w:color w:val="auto"/>
          <w:sz w:val="32"/>
          <w:szCs w:val="32"/>
        </w:rPr>
        <w:t>%</w:t>
      </w:r>
      <w:r>
        <w:rPr>
          <w:rFonts w:hint="eastAsia" w:ascii="仿宋" w:eastAsia="仿宋"/>
          <w:color w:val="auto"/>
          <w:sz w:val="32"/>
          <w:szCs w:val="32"/>
        </w:rPr>
        <w:t>。</w:t>
      </w:r>
    </w:p>
    <w:p w14:paraId="61847C7F">
      <w:pPr>
        <w:pStyle w:val="9"/>
      </w:pPr>
      <w:r>
        <w:drawing>
          <wp:inline distT="0" distB="0" distL="114300" distR="114300">
            <wp:extent cx="4826000" cy="2743200"/>
            <wp:effectExtent l="4445" t="4445" r="8255" b="14605"/>
            <wp:docPr id="5" name="图表 4"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E7C99A">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b/>
          <w:sz w:val="32"/>
          <w:szCs w:val="32"/>
        </w:rPr>
      </w:pPr>
      <w:bookmarkStart w:id="32" w:name="_Toc15377212"/>
      <w:r>
        <w:rPr>
          <w:rFonts w:hint="eastAsia" w:ascii="仿宋" w:eastAsia="仿宋"/>
          <w:b/>
          <w:sz w:val="32"/>
          <w:szCs w:val="32"/>
        </w:rPr>
        <w:t>（三）一般公共预算财政拨款支出决算具体情况</w:t>
      </w:r>
      <w:bookmarkEnd w:id="32"/>
    </w:p>
    <w:p w14:paraId="4D488AF3">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b w:val="0"/>
          <w:bCs w:val="0"/>
          <w:color w:val="FF0000"/>
          <w:sz w:val="32"/>
          <w:szCs w:val="32"/>
        </w:rPr>
      </w:pPr>
      <w:bookmarkStart w:id="33" w:name="_Toc15377213"/>
      <w:bookmarkStart w:id="34" w:name="_Toc15378460"/>
      <w:bookmarkStart w:id="35" w:name="_Toc15377444"/>
      <w:r>
        <w:rPr>
          <w:rFonts w:hint="eastAsia" w:ascii="仿宋" w:eastAsia="仿宋"/>
          <w:b/>
          <w:sz w:val="32"/>
          <w:szCs w:val="32"/>
        </w:rPr>
        <w:t>202</w:t>
      </w:r>
      <w:r>
        <w:rPr>
          <w:rFonts w:hint="eastAsia" w:ascii="仿宋" w:eastAsia="仿宋"/>
          <w:b/>
          <w:sz w:val="32"/>
          <w:szCs w:val="32"/>
          <w:lang w:val="en-US" w:eastAsia="zh-CN"/>
        </w:rPr>
        <w:t>4</w:t>
      </w:r>
      <w:r>
        <w:rPr>
          <w:rFonts w:hint="eastAsia" w:ascii="仿宋" w:eastAsia="仿宋"/>
          <w:b/>
          <w:color w:val="auto"/>
          <w:sz w:val="32"/>
          <w:szCs w:val="32"/>
        </w:rPr>
        <w:t>年一般公共预算支出决算数为</w:t>
      </w:r>
      <w:r>
        <w:rPr>
          <w:rFonts w:hint="eastAsia" w:ascii="仿宋" w:eastAsia="仿宋"/>
          <w:sz w:val="32"/>
          <w:szCs w:val="32"/>
          <w:lang w:val="en-US" w:eastAsia="zh-CN"/>
        </w:rPr>
        <w:t>4809.73</w:t>
      </w:r>
      <w:r>
        <w:rPr>
          <w:rFonts w:hint="eastAsia" w:ascii="仿宋" w:eastAsia="仿宋"/>
          <w:b w:val="0"/>
          <w:bCs w:val="0"/>
          <w:color w:val="auto"/>
          <w:sz w:val="32"/>
          <w:szCs w:val="32"/>
        </w:rPr>
        <w:t>万元，</w:t>
      </w:r>
      <w:r>
        <w:rPr>
          <w:rStyle w:val="19"/>
          <w:rFonts w:hint="eastAsia" w:ascii="仿宋" w:eastAsia="仿宋"/>
          <w:b w:val="0"/>
          <w:bCs w:val="0"/>
          <w:color w:val="auto"/>
          <w:sz w:val="32"/>
          <w:szCs w:val="32"/>
        </w:rPr>
        <w:t>完成预算</w:t>
      </w:r>
      <w:r>
        <w:rPr>
          <w:rStyle w:val="19"/>
          <w:rFonts w:hint="eastAsia" w:ascii="仿宋" w:eastAsia="仿宋"/>
          <w:b w:val="0"/>
          <w:bCs w:val="0"/>
          <w:color w:val="auto"/>
          <w:sz w:val="32"/>
          <w:szCs w:val="32"/>
          <w:lang w:val="en-US" w:eastAsia="zh-CN"/>
        </w:rPr>
        <w:t>100</w:t>
      </w:r>
      <w:r>
        <w:rPr>
          <w:rStyle w:val="19"/>
          <w:rFonts w:ascii="仿宋" w:eastAsia="仿宋"/>
          <w:b w:val="0"/>
          <w:bCs w:val="0"/>
          <w:color w:val="auto"/>
          <w:sz w:val="32"/>
          <w:szCs w:val="32"/>
        </w:rPr>
        <w:t>%</w:t>
      </w:r>
      <w:r>
        <w:rPr>
          <w:rStyle w:val="19"/>
          <w:rFonts w:hint="eastAsia" w:ascii="仿宋" w:eastAsia="仿宋"/>
          <w:b w:val="0"/>
          <w:bCs w:val="0"/>
          <w:color w:val="auto"/>
          <w:sz w:val="32"/>
          <w:szCs w:val="32"/>
        </w:rPr>
        <w:t>。其中：</w:t>
      </w:r>
      <w:bookmarkEnd w:id="33"/>
      <w:bookmarkEnd w:id="34"/>
      <w:bookmarkEnd w:id="35"/>
    </w:p>
    <w:p w14:paraId="109AB200">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 xml:space="preserve">1.社会保障和就业: </w:t>
      </w:r>
      <w:r>
        <w:rPr>
          <w:rFonts w:hint="eastAsia" w:ascii="仿宋" w:eastAsia="仿宋"/>
          <w:sz w:val="32"/>
          <w:szCs w:val="32"/>
          <w:lang w:val="en-US" w:eastAsia="zh-CN"/>
        </w:rPr>
        <w:t>支出决算为425.28万元，完成预算100%。</w:t>
      </w:r>
    </w:p>
    <w:p w14:paraId="3251C1A0">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2.卫生健康:</w:t>
      </w:r>
      <w:r>
        <w:rPr>
          <w:rFonts w:hint="eastAsia" w:ascii="仿宋" w:eastAsia="仿宋"/>
          <w:sz w:val="32"/>
          <w:szCs w:val="32"/>
          <w:lang w:val="en-US" w:eastAsia="zh-CN"/>
        </w:rPr>
        <w:t>支出决算为</w:t>
      </w:r>
      <w:r>
        <w:rPr>
          <w:rFonts w:hint="eastAsia" w:ascii="仿宋" w:eastAsia="仿宋"/>
          <w:color w:val="auto"/>
          <w:sz w:val="32"/>
          <w:szCs w:val="32"/>
          <w:lang w:val="en-US" w:eastAsia="zh-CN"/>
        </w:rPr>
        <w:t>4098.84</w:t>
      </w:r>
      <w:r>
        <w:rPr>
          <w:rFonts w:hint="eastAsia" w:ascii="仿宋" w:eastAsia="仿宋"/>
          <w:sz w:val="32"/>
          <w:szCs w:val="32"/>
          <w:lang w:val="en-US" w:eastAsia="zh-CN"/>
        </w:rPr>
        <w:t>万元，完成预算100%。</w:t>
      </w:r>
    </w:p>
    <w:p w14:paraId="0CA76C54">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3.住房保障:</w:t>
      </w:r>
      <w:r>
        <w:rPr>
          <w:rFonts w:hint="eastAsia" w:ascii="仿宋" w:eastAsia="仿宋"/>
          <w:sz w:val="32"/>
          <w:szCs w:val="32"/>
          <w:lang w:val="en-US" w:eastAsia="zh-CN"/>
        </w:rPr>
        <w:t>支出决算为</w:t>
      </w:r>
      <w:r>
        <w:rPr>
          <w:rFonts w:hint="eastAsia" w:ascii="仿宋" w:eastAsia="仿宋"/>
          <w:color w:val="auto"/>
          <w:sz w:val="32"/>
          <w:szCs w:val="32"/>
          <w:lang w:val="en-US" w:eastAsia="zh-CN"/>
        </w:rPr>
        <w:t>215.77</w:t>
      </w:r>
      <w:r>
        <w:rPr>
          <w:rFonts w:hint="eastAsia" w:ascii="仿宋" w:eastAsia="仿宋"/>
          <w:sz w:val="32"/>
          <w:szCs w:val="32"/>
          <w:lang w:val="en-US" w:eastAsia="zh-CN"/>
        </w:rPr>
        <w:t>万元，完成预算100%。</w:t>
      </w:r>
    </w:p>
    <w:p w14:paraId="576E022D">
      <w:pPr>
        <w:keepNext w:val="0"/>
        <w:keepLines w:val="0"/>
        <w:pageBreakBefore w:val="0"/>
        <w:kinsoku/>
        <w:wordWrap/>
        <w:overflowPunct/>
        <w:topLinePunct w:val="0"/>
        <w:bidi w:val="0"/>
        <w:snapToGrid/>
        <w:spacing w:line="560" w:lineRule="exact"/>
        <w:ind w:firstLine="645"/>
        <w:textAlignment w:val="auto"/>
        <w:rPr>
          <w:rFonts w:hint="default" w:ascii="仿宋" w:eastAsia="仿宋"/>
          <w:sz w:val="32"/>
          <w:szCs w:val="32"/>
          <w:lang w:val="en-US" w:eastAsia="zh-CN"/>
        </w:rPr>
      </w:pPr>
      <w:r>
        <w:rPr>
          <w:rFonts w:hint="eastAsia" w:ascii="仿宋" w:eastAsia="仿宋"/>
          <w:b/>
          <w:bCs/>
          <w:sz w:val="32"/>
          <w:szCs w:val="32"/>
          <w:lang w:val="en-US" w:eastAsia="zh-CN"/>
        </w:rPr>
        <w:t>4.农林水:</w:t>
      </w:r>
      <w:r>
        <w:rPr>
          <w:rFonts w:hint="eastAsia" w:ascii="仿宋" w:eastAsia="仿宋"/>
          <w:sz w:val="32"/>
          <w:szCs w:val="32"/>
          <w:lang w:val="en-US" w:eastAsia="zh-CN"/>
        </w:rPr>
        <w:t>支出</w:t>
      </w:r>
      <w:r>
        <w:rPr>
          <w:rFonts w:hint="eastAsia" w:ascii="仿宋" w:eastAsia="仿宋"/>
          <w:color w:val="auto"/>
          <w:sz w:val="32"/>
          <w:szCs w:val="32"/>
          <w:lang w:val="en-US" w:eastAsia="zh-CN"/>
        </w:rPr>
        <w:t>69.84</w:t>
      </w:r>
      <w:r>
        <w:rPr>
          <w:rFonts w:hint="eastAsia" w:ascii="仿宋" w:eastAsia="仿宋"/>
          <w:sz w:val="32"/>
          <w:szCs w:val="32"/>
          <w:lang w:val="en-US" w:eastAsia="zh-CN"/>
        </w:rPr>
        <w:t>万元，完成预算100%。</w:t>
      </w:r>
    </w:p>
    <w:p w14:paraId="44FA8815">
      <w:pPr>
        <w:keepNext w:val="0"/>
        <w:keepLines w:val="0"/>
        <w:pageBreakBefore w:val="0"/>
        <w:tabs>
          <w:tab w:val="right" w:pos="8306"/>
        </w:tabs>
        <w:kinsoku/>
        <w:wordWrap/>
        <w:overflowPunct/>
        <w:topLinePunct w:val="0"/>
        <w:bidi w:val="0"/>
        <w:snapToGrid/>
        <w:spacing w:line="560" w:lineRule="exact"/>
        <w:ind w:firstLine="640"/>
        <w:textAlignment w:val="auto"/>
        <w:outlineLvl w:val="1"/>
        <w:rPr>
          <w:rStyle w:val="25"/>
        </w:rPr>
      </w:pPr>
      <w:bookmarkStart w:id="36" w:name="_Toc15396608"/>
      <w:bookmarkStart w:id="37" w:name="_Toc15377214"/>
      <w:r>
        <w:rPr>
          <w:rFonts w:hint="eastAsia" w:ascii="黑体" w:eastAsia="黑体"/>
          <w:sz w:val="32"/>
          <w:szCs w:val="32"/>
        </w:rPr>
        <w:t>六</w:t>
      </w:r>
      <w:r>
        <w:rPr>
          <w:rFonts w:hint="eastAsia" w:ascii="黑体" w:eastAsia="黑体"/>
          <w:b/>
          <w:sz w:val="32"/>
          <w:szCs w:val="32"/>
        </w:rPr>
        <w:t>、一</w:t>
      </w:r>
      <w:r>
        <w:rPr>
          <w:rStyle w:val="25"/>
          <w:rFonts w:hint="eastAsia" w:ascii="黑体" w:eastAsia="黑体"/>
          <w:b w:val="0"/>
        </w:rPr>
        <w:t>般公共预算财政拨款基本支出决算情况说明</w:t>
      </w:r>
      <w:bookmarkEnd w:id="36"/>
      <w:bookmarkEnd w:id="37"/>
      <w:r>
        <w:rPr>
          <w:rStyle w:val="25"/>
          <w:rFonts w:ascii="黑体" w:eastAsia="黑体"/>
          <w:b w:val="0"/>
        </w:rPr>
        <w:tab/>
      </w:r>
    </w:p>
    <w:p w14:paraId="2D5572BA">
      <w:pPr>
        <w:keepNext w:val="0"/>
        <w:keepLines w:val="0"/>
        <w:pageBreakBefore w:val="0"/>
        <w:kinsoku/>
        <w:wordWrap/>
        <w:overflowPunct/>
        <w:topLinePunct w:val="0"/>
        <w:bidi w:val="0"/>
        <w:snapToGrid/>
        <w:spacing w:line="560" w:lineRule="exact"/>
        <w:ind w:firstLine="645"/>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年一般公共预算财政拨款基本支出</w:t>
      </w:r>
      <w:r>
        <w:rPr>
          <w:rFonts w:hint="eastAsia" w:ascii="仿宋" w:eastAsia="仿宋"/>
          <w:sz w:val="32"/>
          <w:szCs w:val="32"/>
          <w:lang w:val="en-US" w:eastAsia="zh-CN"/>
        </w:rPr>
        <w:t>2624.14</w:t>
      </w:r>
      <w:r>
        <w:rPr>
          <w:rFonts w:hint="eastAsia" w:ascii="仿宋" w:eastAsia="仿宋"/>
          <w:sz w:val="32"/>
          <w:szCs w:val="32"/>
        </w:rPr>
        <w:t>万元，其中：</w:t>
      </w:r>
    </w:p>
    <w:p w14:paraId="1ED8C064">
      <w:pPr>
        <w:keepNext w:val="0"/>
        <w:keepLines w:val="0"/>
        <w:pageBreakBefore w:val="0"/>
        <w:kinsoku/>
        <w:wordWrap/>
        <w:overflowPunct/>
        <w:topLinePunct w:val="0"/>
        <w:bidi w:val="0"/>
        <w:snapToGrid/>
        <w:spacing w:line="560" w:lineRule="exact"/>
        <w:ind w:firstLine="645"/>
        <w:textAlignment w:val="auto"/>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2592.47</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31.66</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BED321">
      <w:pPr>
        <w:keepNext w:val="0"/>
        <w:keepLines w:val="0"/>
        <w:pageBreakBefore w:val="0"/>
        <w:kinsoku/>
        <w:wordWrap/>
        <w:overflowPunct/>
        <w:topLinePunct w:val="0"/>
        <w:bidi w:val="0"/>
        <w:snapToGrid/>
        <w:spacing w:line="560" w:lineRule="exact"/>
        <w:ind w:firstLine="640"/>
        <w:textAlignment w:val="auto"/>
        <w:outlineLvl w:val="1"/>
        <w:rPr>
          <w:rStyle w:val="25"/>
          <w:rFonts w:ascii="黑体" w:eastAsia="黑体"/>
          <w:b w:val="0"/>
        </w:rPr>
      </w:pPr>
      <w:bookmarkStart w:id="38" w:name="_Toc15396609"/>
      <w:bookmarkStart w:id="39" w:name="_Toc15377215"/>
      <w:r>
        <w:rPr>
          <w:rFonts w:hint="eastAsia" w:ascii="黑体" w:eastAsia="黑体"/>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38"/>
      <w:bookmarkEnd w:id="39"/>
    </w:p>
    <w:p w14:paraId="203A8806">
      <w:pPr>
        <w:keepNext w:val="0"/>
        <w:keepLines w:val="0"/>
        <w:pageBreakBefore w:val="0"/>
        <w:kinsoku/>
        <w:wordWrap/>
        <w:overflowPunct/>
        <w:topLinePunct w:val="0"/>
        <w:bidi w:val="0"/>
        <w:snapToGrid/>
        <w:spacing w:line="560" w:lineRule="exact"/>
        <w:ind w:firstLine="640"/>
        <w:textAlignment w:val="auto"/>
        <w:outlineLvl w:val="2"/>
        <w:rPr>
          <w:rFonts w:ascii="仿宋" w:eastAsia="仿宋"/>
          <w:b/>
          <w:sz w:val="32"/>
          <w:szCs w:val="32"/>
        </w:rPr>
      </w:pPr>
      <w:bookmarkStart w:id="40" w:name="_Toc15377216"/>
      <w:r>
        <w:rPr>
          <w:rFonts w:hint="eastAsia" w:ascii="仿宋" w:eastAsia="仿宋"/>
          <w:b/>
          <w:sz w:val="32"/>
          <w:szCs w:val="32"/>
        </w:rPr>
        <w:t>（一）“三公”经费财政拨款支出决算总体情况说明</w:t>
      </w:r>
      <w:bookmarkEnd w:id="40"/>
    </w:p>
    <w:p w14:paraId="797003C1">
      <w:pPr>
        <w:keepNext w:val="0"/>
        <w:keepLines w:val="0"/>
        <w:pageBreakBefore w:val="0"/>
        <w:kinsoku/>
        <w:wordWrap/>
        <w:overflowPunct/>
        <w:topLinePunct w:val="0"/>
        <w:bidi w:val="0"/>
        <w:snapToGrid/>
        <w:spacing w:line="560" w:lineRule="exact"/>
        <w:ind w:firstLine="640"/>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，决算数与预算数持平的主要原因是</w:t>
      </w:r>
      <w:r>
        <w:rPr>
          <w:rFonts w:hint="eastAsia" w:ascii="仿宋" w:eastAsia="仿宋"/>
          <w:sz w:val="32"/>
          <w:szCs w:val="32"/>
          <w:lang w:val="en-US" w:eastAsia="zh-CN"/>
        </w:rPr>
        <w:t>我院无</w:t>
      </w:r>
      <w:r>
        <w:rPr>
          <w:rFonts w:hint="eastAsia" w:ascii="仿宋" w:eastAsia="仿宋"/>
          <w:sz w:val="32"/>
          <w:szCs w:val="32"/>
        </w:rPr>
        <w:t>“三公”经费财政拨款支出。</w:t>
      </w:r>
    </w:p>
    <w:p w14:paraId="22F98AB3">
      <w:pPr>
        <w:keepNext w:val="0"/>
        <w:keepLines w:val="0"/>
        <w:pageBreakBefore w:val="0"/>
        <w:kinsoku/>
        <w:wordWrap/>
        <w:overflowPunct/>
        <w:topLinePunct w:val="0"/>
        <w:bidi w:val="0"/>
        <w:snapToGrid/>
        <w:spacing w:line="560" w:lineRule="exact"/>
        <w:ind w:firstLine="640"/>
        <w:textAlignment w:val="auto"/>
        <w:outlineLvl w:val="2"/>
        <w:rPr>
          <w:rFonts w:ascii="仿宋" w:eastAsia="仿宋"/>
          <w:b/>
          <w:sz w:val="32"/>
          <w:szCs w:val="32"/>
        </w:rPr>
      </w:pPr>
      <w:bookmarkStart w:id="41" w:name="_Toc15377217"/>
      <w:r>
        <w:rPr>
          <w:rFonts w:hint="eastAsia" w:ascii="仿宋" w:eastAsia="仿宋"/>
          <w:b/>
          <w:sz w:val="32"/>
          <w:szCs w:val="32"/>
        </w:rPr>
        <w:t>（二）“三公”经费财政拨款支出决算具体情况说明</w:t>
      </w:r>
      <w:bookmarkEnd w:id="41"/>
    </w:p>
    <w:p w14:paraId="7463E692">
      <w:pPr>
        <w:keepNext w:val="0"/>
        <w:keepLines w:val="0"/>
        <w:pageBreakBefore w:val="0"/>
        <w:kinsoku/>
        <w:wordWrap/>
        <w:overflowPunct/>
        <w:topLinePunct w:val="0"/>
        <w:bidi w:val="0"/>
        <w:snapToGrid/>
        <w:spacing w:line="560" w:lineRule="exact"/>
        <w:ind w:firstLine="640"/>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14:paraId="31D81AB8">
      <w:pPr>
        <w:keepNext w:val="0"/>
        <w:keepLines w:val="0"/>
        <w:pageBreakBefore w:val="0"/>
        <w:kinsoku/>
        <w:wordWrap/>
        <w:overflowPunct/>
        <w:topLinePunct w:val="0"/>
        <w:bidi w:val="0"/>
        <w:snapToGrid/>
        <w:spacing w:line="560" w:lineRule="exact"/>
        <w:ind w:firstLine="640"/>
        <w:textAlignment w:val="auto"/>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9"/>
          <w:rFonts w:hint="eastAsia" w:ascii="仿宋" w:eastAsia="仿宋"/>
          <w:b w:val="0"/>
          <w:bCs/>
          <w:sz w:val="32"/>
          <w:szCs w:val="32"/>
        </w:rPr>
        <w:t>完成预算</w:t>
      </w:r>
      <w:r>
        <w:rPr>
          <w:rStyle w:val="19"/>
          <w:rFonts w:hint="eastAsia" w:ascii="仿宋" w:eastAsia="仿宋"/>
          <w:b w:val="0"/>
          <w:bCs/>
          <w:sz w:val="32"/>
          <w:szCs w:val="32"/>
          <w:lang w:val="en-US" w:eastAsia="zh-CN"/>
        </w:rPr>
        <w:t>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p>
    <w:p w14:paraId="2A6A5167">
      <w:pPr>
        <w:keepNext w:val="0"/>
        <w:keepLines w:val="0"/>
        <w:pageBreakBefore w:val="0"/>
        <w:kinsoku/>
        <w:wordWrap/>
        <w:overflowPunct/>
        <w:topLinePunct w:val="0"/>
        <w:bidi w:val="0"/>
        <w:snapToGrid/>
        <w:spacing w:line="560" w:lineRule="exact"/>
        <w:ind w:firstLine="64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9"/>
          <w:rFonts w:hint="eastAsia" w:ascii="仿宋" w:eastAsia="仿宋"/>
          <w:b w:val="0"/>
          <w:bCs/>
          <w:sz w:val="32"/>
          <w:szCs w:val="32"/>
        </w:rPr>
        <w:t>完成预算</w:t>
      </w:r>
      <w:r>
        <w:rPr>
          <w:rStyle w:val="19"/>
          <w:rFonts w:hint="eastAsia" w:ascii="仿宋" w:eastAsia="仿宋"/>
          <w:b w:val="0"/>
          <w:bCs/>
          <w:sz w:val="32"/>
          <w:szCs w:val="32"/>
          <w:lang w:val="en-US" w:eastAsia="zh-CN"/>
        </w:rPr>
        <w:t>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p>
    <w:p w14:paraId="4DDBA2B6">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color w:val="auto"/>
          <w:sz w:val="32"/>
          <w:szCs w:val="32"/>
        </w:rPr>
        <w:t>全年</w:t>
      </w:r>
      <w:r>
        <w:rPr>
          <w:rFonts w:hint="eastAsia" w:ascii="仿宋_GB2312" w:hAnsi="Times New Roman" w:eastAsia="仿宋_GB2312" w:cs="Times New Roman"/>
          <w:color w:val="auto"/>
          <w:sz w:val="32"/>
          <w:szCs w:val="32"/>
        </w:rPr>
        <w:t>按规定更新购置公务用车</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辆，其中：轿车</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辆、金额</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hAnsi="Times New Roman" w:eastAsia="仿宋_GB2312" w:cs="Times New Roman"/>
          <w:sz w:val="32"/>
          <w:szCs w:val="32"/>
        </w:rPr>
        <w:t>金额</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rPr>
        <w:t>万元。截至202</w:t>
      </w:r>
      <w:r>
        <w:rPr>
          <w:rFonts w:hint="eastAsia" w:ascii="仿宋_GB2312" w:eastAsia="仿宋_GB2312" w:cs="Times New Roman"/>
          <w:sz w:val="32"/>
          <w:szCs w:val="32"/>
          <w:lang w:val="en-US" w:eastAsia="zh-CN"/>
        </w:rPr>
        <w:t>4</w:t>
      </w:r>
      <w:r>
        <w:rPr>
          <w:rFonts w:hint="eastAsia" w:ascii="仿宋_GB2312" w:eastAsia="仿宋_GB2312"/>
          <w:color w:val="auto"/>
          <w:sz w:val="32"/>
          <w:szCs w:val="32"/>
        </w:rPr>
        <w:t>年12月底，单位共有公务用车</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、应急保障用车</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w:t>
      </w:r>
      <w:r>
        <w:rPr>
          <w:rFonts w:hint="eastAsia" w:ascii="仿宋_GB2312" w:eastAsia="仿宋_GB2312"/>
          <w:color w:val="auto"/>
          <w:sz w:val="32"/>
          <w:szCs w:val="32"/>
          <w:lang w:val="en-US" w:eastAsia="zh-CN"/>
        </w:rPr>
        <w:t>特种专业技术车0</w:t>
      </w:r>
      <w:r>
        <w:rPr>
          <w:rFonts w:hint="eastAsia" w:ascii="仿宋_GB2312" w:eastAsia="仿宋_GB2312"/>
          <w:color w:val="auto"/>
          <w:sz w:val="32"/>
          <w:szCs w:val="32"/>
        </w:rPr>
        <w:t>辆。</w:t>
      </w: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31D52583">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9"/>
          <w:rFonts w:hint="eastAsia" w:ascii="仿宋" w:eastAsia="仿宋"/>
          <w:b w:val="0"/>
          <w:bCs/>
          <w:sz w:val="32"/>
          <w:szCs w:val="32"/>
        </w:rPr>
        <w:t>完成预算</w:t>
      </w:r>
      <w:r>
        <w:rPr>
          <w:rStyle w:val="19"/>
          <w:rFonts w:hint="eastAsia" w:ascii="仿宋" w:eastAsia="仿宋"/>
          <w:b w:val="0"/>
          <w:bCs/>
          <w:sz w:val="32"/>
          <w:szCs w:val="32"/>
          <w:lang w:val="en-US" w:eastAsia="zh-CN"/>
        </w:rPr>
        <w:t>0</w:t>
      </w:r>
      <w:r>
        <w:rPr>
          <w:rStyle w:val="19"/>
          <w:rFonts w:ascii="仿宋" w:eastAsia="仿宋"/>
          <w:b w:val="0"/>
          <w:bCs/>
          <w:sz w:val="32"/>
          <w:szCs w:val="32"/>
        </w:rPr>
        <w:t>%</w:t>
      </w:r>
      <w:r>
        <w:rPr>
          <w:rStyle w:val="19"/>
          <w:rFonts w:hint="eastAsia" w:ascii="仿宋" w:eastAsia="仿宋"/>
          <w:b w:val="0"/>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bookmarkStart w:id="42" w:name="_Toc15377218"/>
      <w:bookmarkStart w:id="43" w:name="_Toc15396610"/>
      <w:r>
        <w:rPr>
          <w:rFonts w:hint="eastAsia" w:ascii="仿宋_GB2312" w:eastAsia="仿宋_GB2312"/>
          <w:sz w:val="32"/>
          <w:szCs w:val="32"/>
          <w:lang w:eastAsia="zh-CN"/>
        </w:rPr>
        <w:t>。</w:t>
      </w:r>
    </w:p>
    <w:p w14:paraId="206D4E15">
      <w:pPr>
        <w:keepNext w:val="0"/>
        <w:keepLines w:val="0"/>
        <w:pageBreakBefore w:val="0"/>
        <w:kinsoku/>
        <w:wordWrap/>
        <w:overflowPunct/>
        <w:topLinePunct w:val="0"/>
        <w:bidi w:val="0"/>
        <w:snapToGrid/>
        <w:spacing w:line="560" w:lineRule="exact"/>
        <w:ind w:firstLine="640"/>
        <w:textAlignment w:val="auto"/>
        <w:outlineLvl w:val="1"/>
        <w:rPr>
          <w:rStyle w:val="25"/>
          <w:rFonts w:ascii="黑体" w:eastAsia="黑体"/>
        </w:rPr>
      </w:pPr>
      <w:r>
        <w:rPr>
          <w:rFonts w:hint="eastAsia" w:ascii="黑体" w:eastAsia="黑体"/>
          <w:sz w:val="32"/>
          <w:szCs w:val="32"/>
        </w:rPr>
        <w:t>八、</w:t>
      </w:r>
      <w:r>
        <w:rPr>
          <w:rStyle w:val="25"/>
          <w:rFonts w:hint="eastAsia" w:ascii="黑体" w:eastAsia="黑体"/>
          <w:b w:val="0"/>
        </w:rPr>
        <w:t>政府性基金预算支出决算情况说明</w:t>
      </w:r>
      <w:bookmarkEnd w:id="42"/>
      <w:bookmarkEnd w:id="43"/>
    </w:p>
    <w:p w14:paraId="37035AE3">
      <w:pPr>
        <w:keepNext w:val="0"/>
        <w:keepLines w:val="0"/>
        <w:pageBreakBefore w:val="0"/>
        <w:kinsoku/>
        <w:wordWrap/>
        <w:overflowPunct/>
        <w:topLinePunct w:val="0"/>
        <w:bidi w:val="0"/>
        <w:snapToGrid/>
        <w:spacing w:line="560" w:lineRule="exact"/>
        <w:ind w:firstLine="64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545F07F3">
      <w:pPr>
        <w:keepNext w:val="0"/>
        <w:keepLines w:val="0"/>
        <w:pageBreakBefore w:val="0"/>
        <w:numPr>
          <w:ilvl w:val="0"/>
          <w:numId w:val="2"/>
        </w:numPr>
        <w:kinsoku/>
        <w:wordWrap/>
        <w:overflowPunct/>
        <w:topLinePunct w:val="0"/>
        <w:bidi w:val="0"/>
        <w:snapToGrid/>
        <w:spacing w:line="560" w:lineRule="exact"/>
        <w:ind w:firstLine="640"/>
        <w:textAlignment w:val="auto"/>
        <w:outlineLvl w:val="1"/>
        <w:rPr>
          <w:rStyle w:val="25"/>
          <w:rFonts w:ascii="黑体" w:eastAsia="黑体"/>
          <w:b w:val="0"/>
        </w:rPr>
      </w:pPr>
      <w:bookmarkStart w:id="44" w:name="_Toc15396611"/>
      <w:bookmarkStart w:id="45" w:name="_Toc15377219"/>
      <w:r>
        <w:rPr>
          <w:rStyle w:val="25"/>
          <w:rFonts w:hint="eastAsia" w:ascii="黑体" w:eastAsia="黑体"/>
          <w:b w:val="0"/>
        </w:rPr>
        <w:t>国有资本经营预算支出决算情况说明</w:t>
      </w:r>
      <w:bookmarkEnd w:id="44"/>
      <w:bookmarkEnd w:id="45"/>
    </w:p>
    <w:p w14:paraId="3D88F4FD">
      <w:pPr>
        <w:keepNext w:val="0"/>
        <w:keepLines w:val="0"/>
        <w:pageBreakBefore w:val="0"/>
        <w:kinsoku/>
        <w:wordWrap/>
        <w:overflowPunct/>
        <w:topLinePunct w:val="0"/>
        <w:bidi w:val="0"/>
        <w:snapToGrid/>
        <w:spacing w:line="560" w:lineRule="exact"/>
        <w:ind w:firstLine="64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445D0016">
      <w:pPr>
        <w:keepNext w:val="0"/>
        <w:keepLines w:val="0"/>
        <w:pageBreakBefore w:val="0"/>
        <w:numPr>
          <w:ilvl w:val="0"/>
          <w:numId w:val="2"/>
        </w:numPr>
        <w:kinsoku/>
        <w:wordWrap/>
        <w:overflowPunct/>
        <w:topLinePunct w:val="0"/>
        <w:bidi w:val="0"/>
        <w:snapToGrid/>
        <w:spacing w:line="560" w:lineRule="exact"/>
        <w:ind w:firstLine="640"/>
        <w:textAlignment w:val="auto"/>
        <w:outlineLvl w:val="1"/>
        <w:rPr>
          <w:rStyle w:val="25"/>
          <w:rFonts w:ascii="黑体" w:eastAsia="黑体"/>
          <w:b w:val="0"/>
        </w:rPr>
      </w:pPr>
      <w:bookmarkStart w:id="46" w:name="_Toc15396612"/>
      <w:bookmarkStart w:id="47" w:name="_Toc15377221"/>
      <w:r>
        <w:rPr>
          <w:rStyle w:val="25"/>
          <w:rFonts w:hint="eastAsia" w:ascii="黑体" w:eastAsia="黑体"/>
          <w:b w:val="0"/>
        </w:rPr>
        <w:t>其他重要事项的情况说明</w:t>
      </w:r>
      <w:bookmarkEnd w:id="46"/>
      <w:bookmarkEnd w:id="47"/>
    </w:p>
    <w:p w14:paraId="16DC3AFB">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sz w:val="32"/>
          <w:szCs w:val="32"/>
        </w:rPr>
      </w:pPr>
      <w:bookmarkStart w:id="48" w:name="_Toc15377222"/>
      <w:r>
        <w:rPr>
          <w:rFonts w:hint="eastAsia" w:ascii="仿宋" w:eastAsia="仿宋"/>
          <w:b/>
          <w:sz w:val="32"/>
          <w:szCs w:val="32"/>
        </w:rPr>
        <w:t>（一）机关运行经费支出情况</w:t>
      </w:r>
      <w:bookmarkEnd w:id="48"/>
    </w:p>
    <w:p w14:paraId="2CD20EEF">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color w:val="auto"/>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年增加</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我院无</w:t>
      </w:r>
      <w:r>
        <w:rPr>
          <w:rFonts w:hint="eastAsia" w:ascii="仿宋_GB2312" w:eastAsia="仿宋_GB2312"/>
          <w:color w:val="auto"/>
          <w:sz w:val="32"/>
          <w:szCs w:val="32"/>
        </w:rPr>
        <w:t>机关运行经费</w:t>
      </w:r>
      <w:r>
        <w:rPr>
          <w:rFonts w:hint="eastAsia" w:ascii="仿宋_GB2312" w:eastAsia="仿宋_GB2312"/>
          <w:color w:val="auto"/>
          <w:sz w:val="32"/>
          <w:szCs w:val="32"/>
          <w:lang w:eastAsia="zh-CN"/>
        </w:rPr>
        <w:t>。</w:t>
      </w:r>
    </w:p>
    <w:p w14:paraId="0B4C91D3">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bookmarkStart w:id="49" w:name="_Toc15377223"/>
      <w:r>
        <w:rPr>
          <w:rFonts w:hint="eastAsia" w:ascii="仿宋" w:eastAsia="仿宋"/>
          <w:b/>
          <w:color w:val="auto"/>
          <w:sz w:val="32"/>
          <w:szCs w:val="32"/>
        </w:rPr>
        <w:t>（二）政府采购支出情</w:t>
      </w:r>
      <w:r>
        <w:rPr>
          <w:rFonts w:hint="eastAsia" w:ascii="仿宋" w:eastAsia="仿宋"/>
          <w:b/>
          <w:sz w:val="32"/>
          <w:szCs w:val="32"/>
        </w:rPr>
        <w:t>况</w:t>
      </w:r>
      <w:bookmarkEnd w:id="49"/>
    </w:p>
    <w:p w14:paraId="58DD0C3D">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hAnsi="仿宋_GB2312" w:eastAsia="仿宋_GB2312" w:cs="仿宋_GB2312"/>
          <w:kern w:val="0"/>
          <w:sz w:val="32"/>
          <w:szCs w:val="32"/>
          <w:shd w:val="clear" w:color="auto" w:fill="FFFFFF"/>
        </w:rPr>
        <w:t>红原县人民医院</w:t>
      </w:r>
      <w:r>
        <w:rPr>
          <w:rFonts w:hint="eastAsia" w:ascii="仿宋_GB2312" w:eastAsia="仿宋_GB2312"/>
          <w:sz w:val="32"/>
          <w:szCs w:val="32"/>
        </w:rPr>
        <w:t>政府</w:t>
      </w:r>
      <w:r>
        <w:rPr>
          <w:rFonts w:hint="eastAsia" w:ascii="仿宋_GB2312" w:eastAsia="仿宋_GB2312"/>
          <w:color w:val="auto"/>
          <w:sz w:val="32"/>
          <w:szCs w:val="32"/>
        </w:rPr>
        <w:t>采购支出总额</w:t>
      </w:r>
      <w:r>
        <w:rPr>
          <w:rFonts w:hint="eastAsia" w:ascii="仿宋_GB2312" w:eastAsia="仿宋_GB2312"/>
          <w:color w:val="auto"/>
          <w:sz w:val="32"/>
          <w:szCs w:val="32"/>
          <w:lang w:val="en-US" w:eastAsia="zh-CN"/>
        </w:rPr>
        <w:t>1397</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1397</w:t>
      </w:r>
      <w:r>
        <w:rPr>
          <w:rFonts w:hint="eastAsia" w:ascii="仿宋_GB2312" w:eastAsia="仿宋_GB2312"/>
          <w:color w:val="auto"/>
          <w:sz w:val="32"/>
          <w:szCs w:val="32"/>
        </w:rPr>
        <w:t>万元、</w:t>
      </w:r>
      <w:r>
        <w:rPr>
          <w:rFonts w:hint="eastAsia" w:ascii="仿宋_GB2312" w:eastAsia="仿宋_GB2312"/>
          <w:sz w:val="32"/>
          <w:szCs w:val="32"/>
        </w:rPr>
        <w:t>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w:t>
      </w:r>
      <w:r>
        <w:rPr>
          <w:rFonts w:hint="eastAsia" w:ascii="仿宋_GB2312" w:eastAsia="仿宋_GB2312"/>
          <w:color w:val="auto"/>
          <w:sz w:val="32"/>
          <w:szCs w:val="32"/>
        </w:rPr>
        <w:t>额</w:t>
      </w:r>
      <w:r>
        <w:rPr>
          <w:rFonts w:hint="eastAsia" w:ascii="仿宋_GB2312" w:eastAsia="仿宋_GB2312"/>
          <w:color w:val="auto"/>
          <w:sz w:val="32"/>
          <w:szCs w:val="32"/>
          <w:lang w:val="en-US" w:eastAsia="zh-CN"/>
        </w:rPr>
        <w:t>380.35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26509D0">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bookmarkStart w:id="50" w:name="_Toc15377224"/>
      <w:r>
        <w:rPr>
          <w:rFonts w:hint="eastAsia" w:ascii="仿宋" w:eastAsia="仿宋"/>
          <w:b/>
          <w:sz w:val="32"/>
          <w:szCs w:val="32"/>
        </w:rPr>
        <w:t>（三）国有资产占有使用情况</w:t>
      </w:r>
      <w:bookmarkEnd w:id="50"/>
    </w:p>
    <w:p w14:paraId="3E916613">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Times New Roman" w:eastAsia="仿宋_GB2312" w:cs="Times New Roman"/>
          <w:color w:val="auto"/>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w:t>
      </w:r>
      <w:r>
        <w:rPr>
          <w:rFonts w:hint="eastAsia" w:ascii="仿宋_GB2312" w:eastAsia="仿宋_GB2312"/>
          <w:color w:val="auto"/>
          <w:sz w:val="32"/>
          <w:szCs w:val="32"/>
        </w:rPr>
        <w:t>车辆</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辆，</w:t>
      </w:r>
      <w:r>
        <w:rPr>
          <w:rFonts w:hint="eastAsia" w:ascii="仿宋_GB2312" w:eastAsia="仿宋_GB2312"/>
          <w:sz w:val="32"/>
          <w:szCs w:val="32"/>
        </w:rPr>
        <w:t>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8</w:t>
      </w:r>
      <w:r>
        <w:rPr>
          <w:rFonts w:hint="eastAsia" w:ascii="仿宋_GB2312" w:eastAsia="仿宋_GB2312"/>
          <w:sz w:val="32"/>
          <w:szCs w:val="32"/>
        </w:rPr>
        <w:t>辆</w:t>
      </w:r>
      <w:r>
        <w:rPr>
          <w:rFonts w:hint="eastAsia" w:ascii="仿宋_GB2312" w:hAnsi="Times New Roman" w:eastAsia="仿宋_GB2312" w:cs="Times New Roman"/>
          <w:color w:val="auto"/>
          <w:sz w:val="32"/>
          <w:szCs w:val="32"/>
        </w:rPr>
        <w:t>、其他用</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w:t>
      </w:r>
      <w:r>
        <w:rPr>
          <w:rFonts w:hint="eastAsia" w:ascii="仿宋_GB2312" w:hAnsi="Times New Roman" w:eastAsia="仿宋_GB2312" w:cs="Times New Roman"/>
          <w:color w:val="auto"/>
          <w:sz w:val="32"/>
          <w:szCs w:val="32"/>
          <w:lang w:val="en-US" w:eastAsia="zh-CN"/>
        </w:rPr>
        <w:t>特种专业技术用车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主要是用于</w:t>
      </w:r>
      <w:r>
        <w:rPr>
          <w:rFonts w:hint="eastAsia" w:ascii="仿宋_GB2312" w:hAnsi="Times New Roman" w:eastAsia="仿宋_GB2312" w:cs="Times New Roman"/>
          <w:color w:val="auto"/>
          <w:sz w:val="32"/>
          <w:szCs w:val="32"/>
          <w:lang w:val="en-US" w:eastAsia="zh-CN"/>
        </w:rPr>
        <w:t>医院医疗救治。</w:t>
      </w:r>
      <w:r>
        <w:rPr>
          <w:rFonts w:hint="eastAsia" w:ascii="仿宋_GB2312" w:hAnsi="Times New Roman" w:eastAsia="仿宋_GB2312" w:cs="Times New Roman"/>
          <w:color w:val="auto"/>
          <w:sz w:val="32"/>
          <w:szCs w:val="32"/>
        </w:rPr>
        <w:t>单价50万元以上通用设备</w:t>
      </w:r>
      <w:r>
        <w:rPr>
          <w:rFonts w:hint="eastAsia" w:ascii="仿宋_GB2312"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台（套），单价100万元以上专用设备</w:t>
      </w:r>
      <w:r>
        <w:rPr>
          <w:rFonts w:hint="eastAsia" w:ascii="仿宋_GB2312"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台（套）。</w:t>
      </w:r>
    </w:p>
    <w:p w14:paraId="7FF03997">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r>
        <w:rPr>
          <w:rFonts w:hint="eastAsia" w:ascii="仿宋" w:eastAsia="仿宋"/>
          <w:b/>
          <w:sz w:val="32"/>
          <w:szCs w:val="32"/>
        </w:rPr>
        <w:t>（四）预算绩效管理情况</w:t>
      </w:r>
    </w:p>
    <w:p w14:paraId="0C295601">
      <w:pPr>
        <w:keepNext w:val="0"/>
        <w:keepLines w:val="0"/>
        <w:pageBreakBefore w:val="0"/>
        <w:widowControl/>
        <w:kinsoku/>
        <w:wordWrap/>
        <w:overflowPunct/>
        <w:topLinePunct w:val="0"/>
        <w:bidi w:val="0"/>
        <w:snapToGrid/>
        <w:spacing w:line="560" w:lineRule="exact"/>
        <w:ind w:firstLine="640" w:firstLineChars="200"/>
        <w:jc w:val="left"/>
        <w:textAlignment w:val="auto"/>
        <w:rPr>
          <w:rFonts w:ascii="仿宋_GB2312" w:eastAsia="仿宋_GB2312"/>
          <w:b/>
          <w:sz w:val="32"/>
          <w:szCs w:val="32"/>
        </w:rPr>
      </w:pPr>
      <w:r>
        <w:rPr>
          <w:rFonts w:hint="eastAsia" w:ascii="仿宋_GB2312" w:eastAsia="仿宋_GB2312" w:cs="仿宋_GB2312"/>
          <w:sz w:val="32"/>
          <w:szCs w:val="32"/>
        </w:rPr>
        <w:t>根据预算绩效管理要求，本单位在202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取消药品加成</w:t>
      </w:r>
      <w:r>
        <w:rPr>
          <w:rFonts w:hint="eastAsia" w:ascii="仿宋_GB2312" w:eastAsia="仿宋_GB2312" w:cs="仿宋_GB2312"/>
          <w:sz w:val="32"/>
          <w:szCs w:val="32"/>
        </w:rPr>
        <w:t>项目等开展了预算事前绩效评估，对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w:t>
      </w:r>
      <w:r>
        <w:rPr>
          <w:rFonts w:hint="eastAsia" w:ascii="仿宋_GB2312" w:eastAsia="仿宋_GB2312" w:cs="仿宋_GB2312"/>
          <w:sz w:val="32"/>
          <w:szCs w:val="32"/>
          <w:lang w:eastAsia="zh-CN"/>
        </w:rPr>
        <w:t>取消药品加成</w:t>
      </w:r>
      <w:r>
        <w:rPr>
          <w:rFonts w:hint="eastAsia" w:ascii="仿宋_GB2312" w:hAnsi="Times New Roman" w:eastAsia="仿宋_GB2312" w:cs="仿宋_GB2312"/>
          <w:sz w:val="32"/>
          <w:szCs w:val="32"/>
          <w:lang w:val="en-US" w:eastAsia="zh-CN"/>
        </w:rPr>
        <w:t>项目和</w:t>
      </w:r>
      <w:r>
        <w:rPr>
          <w:rFonts w:hint="eastAsia" w:ascii="仿宋_GB2312" w:hAnsi="Times New Roman" w:eastAsia="仿宋_GB2312" w:cs="仿宋_GB2312"/>
          <w:sz w:val="32"/>
          <w:szCs w:val="32"/>
        </w:rPr>
        <w:t>2024年度重大疾病防控项目开展了绩效自评</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绩效自评报告详见附件</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br w:type="page"/>
      </w:r>
    </w:p>
    <w:p w14:paraId="6FCB5367">
      <w:pPr>
        <w:numPr>
          <w:ilvl w:val="0"/>
          <w:numId w:val="3"/>
        </w:numPr>
        <w:spacing w:line="600" w:lineRule="exact"/>
        <w:ind w:firstLine="660" w:firstLineChars="150"/>
        <w:jc w:val="center"/>
        <w:outlineLvl w:val="0"/>
        <w:rPr>
          <w:rStyle w:val="24"/>
          <w:rFonts w:ascii="黑体" w:eastAsia="黑体"/>
          <w:b w:val="0"/>
        </w:rPr>
      </w:pPr>
      <w:bookmarkStart w:id="51" w:name="_Toc15377225"/>
      <w:bookmarkStart w:id="52" w:name="_Toc15396613"/>
      <w:r>
        <w:rPr>
          <w:rFonts w:hint="eastAsia" w:ascii="黑体" w:eastAsia="黑体"/>
          <w:sz w:val="44"/>
          <w:szCs w:val="44"/>
        </w:rPr>
        <w:t>名</w:t>
      </w:r>
      <w:r>
        <w:rPr>
          <w:rStyle w:val="24"/>
          <w:rFonts w:hint="eastAsia" w:ascii="黑体" w:eastAsia="黑体"/>
          <w:b w:val="0"/>
        </w:rPr>
        <w:t>词解释</w:t>
      </w:r>
      <w:bookmarkEnd w:id="51"/>
      <w:bookmarkEnd w:id="52"/>
    </w:p>
    <w:p w14:paraId="3D9B8CD3">
      <w:pPr>
        <w:spacing w:line="600" w:lineRule="exact"/>
        <w:jc w:val="left"/>
        <w:rPr>
          <w:rFonts w:ascii="宋体"/>
          <w:b/>
          <w:sz w:val="44"/>
          <w:szCs w:val="44"/>
        </w:rPr>
      </w:pPr>
    </w:p>
    <w:p w14:paraId="6041FAEB">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C3E4A83">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1AC21754">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6C1340FF">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031111E2">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14:paraId="5B8D2742">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1C9F08F9">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0AB74B6E">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097FFCD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14:paraId="013343D2">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14:paraId="096DB88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14:paraId="32094748">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14:paraId="23A0AB31">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14:paraId="196071A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14:paraId="393BE10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14:paraId="6FE98BFB">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14:paraId="75800C8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14:paraId="5550B17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14:paraId="54AF30E4">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14:paraId="01621855">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14:paraId="04924CD7">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14:paraId="551F10C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14:paraId="555835C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14:paraId="7DC0E066">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14:paraId="0F07B43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14:paraId="73957B8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14:paraId="3CD8217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1BF0FB93">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52AE111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7083AF2E">
      <w:pPr>
        <w:keepNext w:val="0"/>
        <w:keepLines w:val="0"/>
        <w:pageBreakBefore w:val="0"/>
        <w:widowControl w:val="0"/>
        <w:kinsoku/>
        <w:wordWrap/>
        <w:overflowPunct/>
        <w:topLinePunct w:val="0"/>
        <w:bidi w:val="0"/>
        <w:snapToGrid/>
        <w:spacing w:line="560" w:lineRule="exact"/>
        <w:ind w:firstLine="640"/>
        <w:textAlignment w:val="auto"/>
        <w:rPr>
          <w:rFonts w:ascii="仿宋" w:eastAsia="仿宋"/>
          <w:b/>
          <w:sz w:val="32"/>
          <w:szCs w:val="32"/>
        </w:rPr>
      </w:pPr>
      <w:r>
        <w:rPr>
          <w:rFonts w:hint="eastAsia" w:ascii="仿宋" w:eastAsia="仿宋"/>
          <w:b/>
          <w:sz w:val="32"/>
          <w:szCs w:val="32"/>
        </w:rPr>
        <w:t>（解释本单位决算报表中涉及的全部功能分类科目至项级，不涉及的科目请自行删除。请参照《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14:paraId="757FBB26">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14:paraId="45F66BB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65316A8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3B86BCEC">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96E68B">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D82343">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14:paraId="16A30A32">
      <w:pPr>
        <w:pStyle w:val="29"/>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黑体"/>
          <w:color w:val="auto"/>
          <w:sz w:val="32"/>
          <w:szCs w:val="32"/>
        </w:rPr>
      </w:pPr>
    </w:p>
    <w:p w14:paraId="1E51E4D8">
      <w:pPr>
        <w:keepNext w:val="0"/>
        <w:keepLines w:val="0"/>
        <w:pageBreakBefore w:val="0"/>
        <w:widowControl w:val="0"/>
        <w:kinsoku/>
        <w:wordWrap/>
        <w:overflowPunct/>
        <w:topLinePunct w:val="0"/>
        <w:bidi w:val="0"/>
        <w:snapToGrid/>
        <w:spacing w:line="560" w:lineRule="exact"/>
        <w:ind w:firstLine="643" w:firstLineChars="200"/>
        <w:textAlignment w:val="auto"/>
        <w:rPr>
          <w:rFonts w:ascii="仿宋" w:eastAsia="仿宋"/>
          <w:b/>
          <w:sz w:val="32"/>
          <w:szCs w:val="32"/>
        </w:rPr>
      </w:pPr>
      <w:r>
        <w:rPr>
          <w:rFonts w:hint="eastAsia" w:ascii="仿宋" w:eastAsia="仿宋"/>
          <w:b/>
          <w:sz w:val="32"/>
          <w:szCs w:val="32"/>
        </w:rPr>
        <w:t>（名词解释部分请根据各单位实际列支情况罗列，并根据本单位职责职能增减名词解释内容。）</w:t>
      </w:r>
    </w:p>
    <w:p w14:paraId="20617B9E">
      <w:pPr>
        <w:keepNext w:val="0"/>
        <w:keepLines w:val="0"/>
        <w:pageBreakBefore w:val="0"/>
        <w:widowControl w:val="0"/>
        <w:kinsoku/>
        <w:wordWrap/>
        <w:overflowPunct/>
        <w:topLinePunct w:val="0"/>
        <w:autoSpaceDE/>
        <w:autoSpaceDN/>
        <w:bidi w:val="0"/>
        <w:snapToGrid/>
        <w:spacing w:line="560" w:lineRule="exact"/>
        <w:jc w:val="center"/>
        <w:textAlignment w:val="auto"/>
        <w:outlineLvl w:val="0"/>
        <w:rPr>
          <w:rStyle w:val="24"/>
          <w:rFonts w:ascii="黑体" w:eastAsia="黑体"/>
          <w:b w:val="0"/>
        </w:rPr>
      </w:pPr>
      <w:bookmarkStart w:id="53" w:name="_Toc15377226"/>
      <w:r>
        <w:rPr>
          <w:rFonts w:ascii="宋体"/>
          <w:b/>
          <w:sz w:val="44"/>
          <w:szCs w:val="44"/>
        </w:rPr>
        <w:br w:type="page"/>
      </w:r>
      <w:bookmarkStart w:id="54" w:name="_Toc15396614"/>
      <w:r>
        <w:rPr>
          <w:rFonts w:hint="eastAsia" w:ascii="黑体" w:eastAsia="黑体"/>
          <w:sz w:val="44"/>
          <w:szCs w:val="44"/>
        </w:rPr>
        <w:t>第</w:t>
      </w:r>
      <w:r>
        <w:rPr>
          <w:rStyle w:val="24"/>
          <w:rFonts w:hint="eastAsia" w:ascii="黑体" w:eastAsia="黑体"/>
          <w:b w:val="0"/>
        </w:rPr>
        <w:t>四部分 附件</w:t>
      </w:r>
      <w:bookmarkEnd w:id="54"/>
    </w:p>
    <w:p w14:paraId="4BF6794D">
      <w:pPr>
        <w:pStyle w:val="35"/>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eastAsia" w:ascii="Times New Roman" w:hAnsi="Times New Roman" w:eastAsia="方正小标宋简体" w:cs="Times New Roman"/>
          <w:color w:val="auto"/>
          <w:kern w:val="2"/>
          <w:sz w:val="44"/>
          <w:szCs w:val="44"/>
          <w:highlight w:val="none"/>
          <w:lang w:val="en-US" w:eastAsia="zh-CN"/>
        </w:rPr>
      </w:pPr>
      <w:bookmarkStart w:id="55" w:name="_Toc15396618"/>
    </w:p>
    <w:p w14:paraId="795C4B3F">
      <w:pPr>
        <w:pStyle w:val="35"/>
        <w:keepNext w:val="0"/>
        <w:keepLines w:val="0"/>
        <w:pageBreakBefore w:val="0"/>
        <w:widowControl w:val="0"/>
        <w:kinsoku/>
        <w:wordWrap/>
        <w:overflowPunct/>
        <w:topLinePunct w:val="0"/>
        <w:autoSpaceDE/>
        <w:autoSpaceDN/>
        <w:bidi w:val="0"/>
        <w:spacing w:line="578" w:lineRule="exact"/>
        <w:ind w:left="0" w:leftChars="0" w:firstLine="1320" w:firstLineChars="300"/>
        <w:jc w:val="both"/>
        <w:textAlignment w:val="auto"/>
        <w:rPr>
          <w:rFonts w:hint="default" w:ascii="Times New Roman" w:hAnsi="Times New Roman" w:cs="Times New Roman"/>
          <w:color w:val="auto"/>
          <w:kern w:val="2"/>
          <w:sz w:val="32"/>
          <w:szCs w:val="32"/>
          <w:highlight w:val="none"/>
        </w:rPr>
      </w:pPr>
      <w:r>
        <w:rPr>
          <w:rFonts w:hint="eastAsia" w:ascii="Times New Roman" w:hAnsi="Times New Roman" w:eastAsia="方正小标宋简体" w:cs="Times New Roman"/>
          <w:color w:val="auto"/>
          <w:kern w:val="2"/>
          <w:sz w:val="44"/>
          <w:szCs w:val="44"/>
          <w:highlight w:val="none"/>
          <w:lang w:val="en-US" w:eastAsia="zh-CN"/>
        </w:rPr>
        <w:t>取消药品加成</w:t>
      </w:r>
      <w:r>
        <w:rPr>
          <w:rFonts w:hint="default" w:ascii="Times New Roman" w:hAnsi="Times New Roman" w:eastAsia="方正小标宋简体" w:cs="Times New Roman"/>
          <w:color w:val="auto"/>
          <w:kern w:val="2"/>
          <w:sz w:val="44"/>
          <w:szCs w:val="44"/>
          <w:highlight w:val="none"/>
          <w:lang w:val="en-US" w:eastAsia="zh-CN"/>
        </w:rPr>
        <w:t>专项预算绩效自评报告</w:t>
      </w:r>
    </w:p>
    <w:p w14:paraId="55002046">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rPr>
          <w:rFonts w:hint="eastAsia" w:ascii="仿宋" w:hAnsi="仿宋" w:eastAsia="仿宋" w:cs="仿宋"/>
          <w:b/>
          <w:bCs/>
          <w:sz w:val="32"/>
          <w:szCs w:val="32"/>
          <w:highlight w:val="none"/>
        </w:rPr>
      </w:pPr>
    </w:p>
    <w:p w14:paraId="32C4B1C6">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rPr>
          <w:rFonts w:hint="eastAsia" w:ascii="仿宋" w:hAnsi="仿宋" w:eastAsia="仿宋" w:cs="仿宋"/>
          <w:b/>
          <w:bCs/>
          <w:sz w:val="32"/>
          <w:szCs w:val="32"/>
          <w:highlight w:val="none"/>
          <w:lang w:val="zh-CN"/>
        </w:rPr>
      </w:pPr>
      <w:r>
        <w:rPr>
          <w:rFonts w:hint="eastAsia" w:ascii="仿宋" w:hAnsi="仿宋" w:eastAsia="仿宋" w:cs="仿宋"/>
          <w:b/>
          <w:bCs/>
          <w:sz w:val="32"/>
          <w:szCs w:val="32"/>
          <w:highlight w:val="none"/>
        </w:rPr>
        <w:t>一、</w:t>
      </w:r>
      <w:r>
        <w:rPr>
          <w:rFonts w:hint="eastAsia" w:ascii="仿宋" w:hAnsi="仿宋" w:eastAsia="仿宋" w:cs="仿宋"/>
          <w:b/>
          <w:bCs/>
          <w:sz w:val="32"/>
          <w:szCs w:val="32"/>
          <w:highlight w:val="none"/>
          <w:lang w:val="zh-CN"/>
        </w:rPr>
        <w:t>项目概况</w:t>
      </w:r>
    </w:p>
    <w:p w14:paraId="2275EB1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 w:hAnsi="仿宋" w:eastAsia="仿宋" w:cs="仿宋"/>
          <w:b/>
          <w:color w:val="auto"/>
          <w:sz w:val="32"/>
          <w:szCs w:val="32"/>
          <w:highlight w:val="none"/>
          <w:u w:val="none"/>
          <w:lang w:val="zh-CN"/>
        </w:rPr>
      </w:pPr>
      <w:r>
        <w:rPr>
          <w:rFonts w:hint="eastAsia" w:ascii="仿宋" w:hAnsi="仿宋" w:eastAsia="仿宋" w:cs="仿宋"/>
          <w:b/>
          <w:color w:val="auto"/>
          <w:sz w:val="32"/>
          <w:szCs w:val="32"/>
          <w:highlight w:val="none"/>
          <w:u w:val="none"/>
          <w:lang w:val="zh-CN"/>
        </w:rPr>
        <w:t>（一）设立背景及基本情况。</w:t>
      </w:r>
    </w:p>
    <w:p w14:paraId="2978CEF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 w:hAnsi="仿宋" w:eastAsia="仿宋" w:cs="仿宋"/>
          <w:color w:val="auto"/>
          <w:kern w:val="0"/>
          <w:sz w:val="32"/>
          <w:szCs w:val="32"/>
          <w:highlight w:val="none"/>
          <w:u w:val="none"/>
          <w:shd w:val="clear" w:color="auto" w:fill="FFFFFF"/>
          <w:lang w:val="zh-CN"/>
        </w:rPr>
      </w:pPr>
      <w:r>
        <w:rPr>
          <w:rFonts w:hint="eastAsia" w:ascii="仿宋" w:hAnsi="仿宋" w:eastAsia="仿宋" w:cs="仿宋"/>
          <w:color w:val="auto"/>
          <w:kern w:val="0"/>
          <w:sz w:val="32"/>
          <w:szCs w:val="32"/>
          <w:highlight w:val="none"/>
          <w:u w:val="none"/>
          <w:shd w:val="clear" w:color="auto" w:fill="FFFFFF"/>
          <w:lang w:val="zh-CN" w:eastAsia="zh-CN"/>
        </w:rPr>
        <w:t>我院按阿坝州发展和改革委员会等五部门贯彻《关于印发四川省县级公立医院取消药品加成经费补偿办法的通知的意见》阿州发改价格[201</w:t>
      </w:r>
      <w:r>
        <w:rPr>
          <w:rFonts w:hint="eastAsia" w:ascii="仿宋" w:hAnsi="仿宋" w:eastAsia="仿宋" w:cs="仿宋"/>
          <w:color w:val="auto"/>
          <w:kern w:val="0"/>
          <w:sz w:val="32"/>
          <w:szCs w:val="32"/>
          <w:highlight w:val="none"/>
          <w:u w:val="none"/>
          <w:shd w:val="clear" w:color="auto" w:fill="FFFFFF"/>
          <w:lang w:val="en-US" w:eastAsia="zh-CN"/>
        </w:rPr>
        <w:t>3</w:t>
      </w:r>
      <w:r>
        <w:rPr>
          <w:rFonts w:hint="eastAsia" w:ascii="仿宋" w:hAnsi="仿宋" w:eastAsia="仿宋" w:cs="仿宋"/>
          <w:color w:val="auto"/>
          <w:kern w:val="0"/>
          <w:sz w:val="32"/>
          <w:szCs w:val="32"/>
          <w:highlight w:val="none"/>
          <w:u w:val="none"/>
          <w:shd w:val="clear" w:color="auto" w:fill="FFFFFF"/>
          <w:lang w:val="zh-CN" w:eastAsia="zh-CN"/>
        </w:rPr>
        <w:t>]</w:t>
      </w:r>
      <w:r>
        <w:rPr>
          <w:rFonts w:hint="eastAsia" w:ascii="仿宋" w:hAnsi="仿宋" w:eastAsia="仿宋" w:cs="仿宋"/>
          <w:color w:val="auto"/>
          <w:kern w:val="0"/>
          <w:sz w:val="32"/>
          <w:szCs w:val="32"/>
          <w:highlight w:val="none"/>
          <w:u w:val="none"/>
          <w:shd w:val="clear" w:color="auto" w:fill="FFFFFF"/>
          <w:lang w:val="en-US" w:eastAsia="zh-CN"/>
        </w:rPr>
        <w:t>695</w:t>
      </w:r>
      <w:r>
        <w:rPr>
          <w:rFonts w:hint="eastAsia" w:ascii="仿宋" w:hAnsi="仿宋" w:eastAsia="仿宋" w:cs="仿宋"/>
          <w:color w:val="auto"/>
          <w:kern w:val="0"/>
          <w:sz w:val="32"/>
          <w:szCs w:val="32"/>
          <w:highlight w:val="none"/>
          <w:u w:val="none"/>
          <w:shd w:val="clear" w:color="auto" w:fill="FFFFFF"/>
          <w:lang w:val="zh-CN" w:eastAsia="zh-CN"/>
        </w:rPr>
        <w:t>号文件，</w:t>
      </w:r>
      <w:r>
        <w:rPr>
          <w:rFonts w:hint="eastAsia" w:ascii="仿宋" w:hAnsi="仿宋" w:eastAsia="仿宋" w:cs="仿宋"/>
          <w:color w:val="auto"/>
          <w:kern w:val="0"/>
          <w:sz w:val="32"/>
          <w:szCs w:val="32"/>
          <w:highlight w:val="none"/>
          <w:u w:val="none"/>
          <w:shd w:val="clear" w:color="auto" w:fill="FFFFFF"/>
          <w:lang w:val="en-US" w:eastAsia="zh-CN"/>
        </w:rPr>
        <w:t>2013年10月1日起</w:t>
      </w:r>
      <w:r>
        <w:rPr>
          <w:rFonts w:hint="eastAsia" w:ascii="仿宋" w:hAnsi="仿宋" w:eastAsia="仿宋" w:cs="仿宋"/>
          <w:color w:val="auto"/>
          <w:kern w:val="0"/>
          <w:sz w:val="32"/>
          <w:szCs w:val="32"/>
          <w:highlight w:val="none"/>
          <w:u w:val="none"/>
          <w:shd w:val="clear" w:color="auto" w:fill="FFFFFF"/>
          <w:lang w:val="zh-CN" w:eastAsia="zh-CN"/>
        </w:rPr>
        <w:t>取消了所有西药及中成药品加成。</w:t>
      </w:r>
    </w:p>
    <w:p w14:paraId="6F425AA4">
      <w:pPr>
        <w:keepNext w:val="0"/>
        <w:keepLines w:val="0"/>
        <w:pageBreakBefore w:val="0"/>
        <w:widowControl w:val="0"/>
        <w:numPr>
          <w:ilvl w:val="0"/>
          <w:numId w:val="4"/>
        </w:numPr>
        <w:kinsoku/>
        <w:wordWrap/>
        <w:overflowPunct/>
        <w:topLinePunct w:val="0"/>
        <w:autoSpaceDE/>
        <w:autoSpaceDN/>
        <w:bidi w:val="0"/>
        <w:adjustRightInd w:val="0"/>
        <w:snapToGrid w:val="0"/>
        <w:spacing w:line="576" w:lineRule="exact"/>
        <w:ind w:left="1283" w:leftChars="0" w:right="0" w:hanging="643" w:firstLineChars="0"/>
        <w:textAlignment w:val="auto"/>
        <w:outlineLvl w:val="9"/>
        <w:rPr>
          <w:rFonts w:hint="eastAsia" w:ascii="仿宋" w:hAnsi="仿宋" w:eastAsia="仿宋" w:cs="仿宋"/>
          <w:b/>
          <w:color w:val="auto"/>
          <w:sz w:val="32"/>
          <w:szCs w:val="32"/>
          <w:highlight w:val="none"/>
          <w:u w:val="none"/>
          <w:lang w:val="en-US" w:eastAsia="zh-CN"/>
        </w:rPr>
      </w:pPr>
      <w:r>
        <w:rPr>
          <w:rFonts w:hint="eastAsia" w:ascii="仿宋" w:hAnsi="仿宋" w:eastAsia="仿宋" w:cs="仿宋"/>
          <w:b/>
          <w:color w:val="auto"/>
          <w:sz w:val="32"/>
          <w:szCs w:val="32"/>
          <w:highlight w:val="none"/>
          <w:u w:val="none"/>
          <w:lang w:val="en-US" w:eastAsia="zh-CN"/>
        </w:rPr>
        <w:t>实施目的及支持方向。</w:t>
      </w:r>
    </w:p>
    <w:p w14:paraId="08DAF789">
      <w:pPr>
        <w:numPr>
          <w:ilvl w:val="0"/>
          <w:numId w:val="0"/>
        </w:numPr>
        <w:wordWrap/>
        <w:adjustRightInd w:val="0"/>
        <w:snapToGrid w:val="0"/>
        <w:spacing w:line="576" w:lineRule="exact"/>
        <w:ind w:right="0" w:rightChars="0" w:firstLine="640" w:firstLineChars="200"/>
        <w:textAlignment w:val="auto"/>
        <w:outlineLvl w:val="9"/>
        <w:rPr>
          <w:rFonts w:hint="eastAsia" w:ascii="仿宋" w:hAnsi="仿宋" w:eastAsia="仿宋" w:cs="仿宋"/>
          <w:color w:val="auto"/>
          <w:kern w:val="0"/>
          <w:sz w:val="32"/>
          <w:szCs w:val="32"/>
          <w:highlight w:val="none"/>
          <w:u w:val="none"/>
          <w:shd w:val="clear" w:color="auto" w:fill="FFFFFF"/>
          <w:lang w:val="zh-CN"/>
        </w:rPr>
      </w:pPr>
      <w:r>
        <w:rPr>
          <w:rFonts w:hint="eastAsia" w:ascii="仿宋" w:hAnsi="仿宋" w:eastAsia="仿宋" w:cs="仿宋"/>
          <w:color w:val="auto"/>
          <w:kern w:val="0"/>
          <w:sz w:val="32"/>
          <w:szCs w:val="32"/>
          <w:highlight w:val="none"/>
          <w:u w:val="none"/>
          <w:shd w:val="clear" w:color="auto" w:fill="FFFFFF"/>
          <w:lang w:val="zh-CN" w:eastAsia="zh-CN"/>
        </w:rPr>
        <w:t>我院财务管理制度健全，严格执行财务管理制度，账务处理及时，会计核算规范。严格按照国家有关法律、法规和财务规章，加强项目资金的管理，做到专帐管理、专项核算、专款专用。严禁以任何形式截留或挪用项目资金。</w:t>
      </w:r>
    </w:p>
    <w:p w14:paraId="72F364D3">
      <w:pPr>
        <w:numPr>
          <w:ilvl w:val="0"/>
          <w:numId w:val="4"/>
        </w:numPr>
        <w:spacing w:line="560" w:lineRule="exact"/>
        <w:ind w:left="640" w:leftChars="0" w:firstLine="0" w:firstLineChars="0"/>
        <w:rPr>
          <w:rFonts w:hint="eastAsia" w:ascii="仿宋" w:hAnsi="仿宋" w:eastAsia="仿宋" w:cs="仿宋"/>
          <w:b/>
          <w:color w:val="auto"/>
          <w:sz w:val="32"/>
          <w:szCs w:val="32"/>
          <w:highlight w:val="none"/>
          <w:u w:val="none"/>
          <w:lang w:val="zh-CN" w:eastAsia="zh-CN"/>
        </w:rPr>
      </w:pPr>
      <w:r>
        <w:rPr>
          <w:rFonts w:hint="eastAsia" w:ascii="仿宋" w:hAnsi="仿宋" w:eastAsia="仿宋" w:cs="仿宋"/>
          <w:b/>
          <w:color w:val="auto"/>
          <w:sz w:val="32"/>
          <w:szCs w:val="32"/>
          <w:highlight w:val="none"/>
          <w:u w:val="none"/>
          <w:lang w:val="en-US" w:eastAsia="zh-CN"/>
        </w:rPr>
        <w:t>预算安排及分配管理</w:t>
      </w:r>
      <w:r>
        <w:rPr>
          <w:rFonts w:hint="eastAsia" w:ascii="仿宋" w:hAnsi="仿宋" w:eastAsia="仿宋" w:cs="仿宋"/>
          <w:b/>
          <w:color w:val="auto"/>
          <w:sz w:val="32"/>
          <w:szCs w:val="32"/>
          <w:highlight w:val="none"/>
          <w:u w:val="none"/>
          <w:lang w:val="zh-CN" w:eastAsia="zh-CN"/>
        </w:rPr>
        <w:t>。</w:t>
      </w:r>
    </w:p>
    <w:p w14:paraId="43DEC011">
      <w:pPr>
        <w:numPr>
          <w:ilvl w:val="0"/>
          <w:numId w:val="0"/>
        </w:numPr>
        <w:spacing w:line="560" w:lineRule="exact"/>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阿州财社〔2024〕22号、阿州财社〔2024〕28号资金到位共计7.92万元，资金已支付7.92万元，支付率达100%。</w:t>
      </w:r>
    </w:p>
    <w:p w14:paraId="3B6C4198">
      <w:pPr>
        <w:numPr>
          <w:ilvl w:val="0"/>
          <w:numId w:val="4"/>
        </w:numPr>
        <w:wordWrap/>
        <w:adjustRightInd w:val="0"/>
        <w:snapToGrid w:val="0"/>
        <w:spacing w:line="576" w:lineRule="exact"/>
        <w:ind w:left="640" w:leftChars="0" w:right="0" w:firstLine="0" w:firstLineChars="0"/>
        <w:textAlignment w:val="auto"/>
        <w:outlineLvl w:val="9"/>
        <w:rPr>
          <w:rFonts w:hint="eastAsia" w:ascii="仿宋" w:hAnsi="仿宋" w:eastAsia="仿宋" w:cs="仿宋"/>
          <w:b/>
          <w:color w:val="auto"/>
          <w:sz w:val="32"/>
          <w:szCs w:val="32"/>
          <w:highlight w:val="none"/>
          <w:u w:val="none"/>
          <w:lang w:val="zh-CN" w:eastAsia="zh-CN"/>
        </w:rPr>
      </w:pPr>
      <w:r>
        <w:rPr>
          <w:rFonts w:hint="eastAsia" w:ascii="仿宋" w:hAnsi="仿宋" w:eastAsia="仿宋" w:cs="仿宋"/>
          <w:b/>
          <w:color w:val="auto"/>
          <w:sz w:val="32"/>
          <w:szCs w:val="32"/>
          <w:highlight w:val="none"/>
          <w:u w:val="none"/>
          <w:lang w:val="zh-CN" w:eastAsia="zh-CN"/>
        </w:rPr>
        <w:t>项目绩效目标设置。</w:t>
      </w:r>
    </w:p>
    <w:p w14:paraId="39AE2BCB">
      <w:pPr>
        <w:numPr>
          <w:ilvl w:val="0"/>
          <w:numId w:val="0"/>
        </w:numPr>
        <w:wordWrap/>
        <w:adjustRightInd w:val="0"/>
        <w:snapToGrid w:val="0"/>
        <w:spacing w:line="576" w:lineRule="exact"/>
        <w:ind w:right="0" w:rightChars="0" w:firstLine="640" w:firstLineChars="200"/>
        <w:textAlignment w:val="auto"/>
        <w:outlineLvl w:val="9"/>
        <w:rPr>
          <w:rFonts w:hint="eastAsia" w:ascii="仿宋" w:hAnsi="仿宋" w:eastAsia="仿宋" w:cs="仿宋"/>
          <w:color w:val="auto"/>
          <w:kern w:val="0"/>
          <w:sz w:val="32"/>
          <w:szCs w:val="32"/>
          <w:highlight w:val="none"/>
          <w:u w:val="none"/>
          <w:shd w:val="clear" w:color="auto" w:fill="FFFFFF"/>
          <w:lang w:val="en-US" w:eastAsia="zh-CN"/>
        </w:rPr>
      </w:pPr>
      <w:r>
        <w:rPr>
          <w:rFonts w:hint="eastAsia" w:ascii="仿宋" w:hAnsi="仿宋" w:eastAsia="仿宋" w:cs="仿宋"/>
          <w:color w:val="auto"/>
          <w:kern w:val="0"/>
          <w:sz w:val="32"/>
          <w:szCs w:val="32"/>
          <w:highlight w:val="none"/>
          <w:u w:val="none"/>
          <w:shd w:val="clear" w:color="auto" w:fill="FFFFFF"/>
          <w:lang w:val="en-US" w:eastAsia="zh-CN"/>
        </w:rPr>
        <w:t>从2013年10月1日零点</w:t>
      </w:r>
      <w:r>
        <w:rPr>
          <w:rFonts w:hint="eastAsia" w:ascii="仿宋" w:hAnsi="仿宋" w:eastAsia="仿宋" w:cs="仿宋"/>
          <w:color w:val="auto"/>
          <w:kern w:val="0"/>
          <w:sz w:val="32"/>
          <w:szCs w:val="32"/>
          <w:highlight w:val="none"/>
          <w:u w:val="none"/>
          <w:shd w:val="clear" w:color="auto" w:fill="FFFFFF"/>
          <w:lang w:val="zh-CN" w:eastAsia="zh-CN"/>
        </w:rPr>
        <w:t>一直执行西药及中成药品零加成制度。我院严格执行西药和中成药零加成制度。</w:t>
      </w:r>
      <w:r>
        <w:rPr>
          <w:rFonts w:hint="eastAsia" w:ascii="仿宋" w:hAnsi="仿宋" w:eastAsia="仿宋" w:cs="仿宋"/>
          <w:color w:val="auto"/>
          <w:kern w:val="0"/>
          <w:sz w:val="32"/>
          <w:szCs w:val="32"/>
          <w:highlight w:val="none"/>
          <w:u w:val="none"/>
          <w:shd w:val="clear" w:color="auto" w:fill="FFFFFF"/>
          <w:lang w:val="en-US" w:eastAsia="zh-CN"/>
        </w:rPr>
        <w:t>按照建机制、控费用、调结构、强监管的原则，通过落实政府办医责任、调整医疗服务价格、改革收付费方式以及加强公立医院成本管理等综合措施和联动政策，破除“以药补医”机制，降低患者医药费用负担。</w:t>
      </w:r>
    </w:p>
    <w:p w14:paraId="3A44D784">
      <w:pPr>
        <w:numPr>
          <w:ilvl w:val="0"/>
          <w:numId w:val="0"/>
        </w:numPr>
        <w:wordWrap/>
        <w:adjustRightInd w:val="0"/>
        <w:snapToGrid w:val="0"/>
        <w:spacing w:line="576" w:lineRule="exact"/>
        <w:ind w:right="0"/>
        <w:textAlignment w:val="auto"/>
        <w:outlineLvl w:val="9"/>
        <w:rPr>
          <w:rFonts w:hint="eastAsia" w:ascii="仿宋" w:hAnsi="仿宋" w:eastAsia="仿宋" w:cs="仿宋"/>
          <w:color w:val="auto"/>
          <w:kern w:val="0"/>
          <w:sz w:val="32"/>
          <w:szCs w:val="32"/>
          <w:highlight w:val="none"/>
          <w:u w:val="none"/>
          <w:shd w:val="clear" w:color="auto" w:fill="FFFFFF"/>
          <w:lang w:val="zh-CN" w:eastAsia="zh-CN"/>
        </w:rPr>
      </w:pPr>
      <w:r>
        <w:rPr>
          <w:rFonts w:hint="eastAsia" w:ascii="仿宋" w:hAnsi="仿宋" w:eastAsia="仿宋" w:cs="仿宋"/>
          <w:color w:val="auto"/>
          <w:kern w:val="0"/>
          <w:sz w:val="32"/>
          <w:szCs w:val="32"/>
          <w:highlight w:val="none"/>
          <w:u w:val="none"/>
          <w:shd w:val="clear" w:color="auto" w:fill="FFFFFF"/>
          <w:lang w:val="en-US" w:eastAsia="zh-CN"/>
        </w:rPr>
        <w:t xml:space="preserve">     </w:t>
      </w:r>
      <w:r>
        <w:rPr>
          <w:rFonts w:hint="eastAsia" w:ascii="仿宋" w:hAnsi="仿宋" w:eastAsia="仿宋" w:cs="仿宋"/>
          <w:color w:val="auto"/>
          <w:kern w:val="0"/>
          <w:sz w:val="32"/>
          <w:szCs w:val="32"/>
          <w:highlight w:val="none"/>
          <w:u w:val="none"/>
          <w:shd w:val="clear" w:color="auto" w:fill="FFFFFF"/>
          <w:lang w:val="zh-CN" w:eastAsia="zh-CN"/>
        </w:rPr>
        <w:t>严格按照专款专用组织实施，</w:t>
      </w:r>
      <w:r>
        <w:rPr>
          <w:rFonts w:hint="eastAsia" w:ascii="仿宋" w:hAnsi="仿宋" w:eastAsia="仿宋" w:cs="仿宋"/>
          <w:color w:val="auto"/>
          <w:kern w:val="0"/>
          <w:sz w:val="32"/>
          <w:szCs w:val="32"/>
          <w:highlight w:val="none"/>
          <w:u w:val="none"/>
          <w:shd w:val="clear" w:color="auto" w:fill="FFFFFF"/>
          <w:lang w:val="en-US" w:eastAsia="zh-CN"/>
        </w:rPr>
        <w:t>通过政府财政管理信息系统专款专用支付购药款。</w:t>
      </w:r>
    </w:p>
    <w:p w14:paraId="4E8D8D91">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rPr>
        <w:t>二、</w:t>
      </w:r>
      <w:r>
        <w:rPr>
          <w:rFonts w:hint="eastAsia" w:ascii="仿宋" w:hAnsi="仿宋" w:eastAsia="仿宋" w:cs="仿宋"/>
          <w:b/>
          <w:bCs/>
          <w:sz w:val="32"/>
          <w:szCs w:val="32"/>
          <w:highlight w:val="none"/>
          <w:lang w:eastAsia="zh-CN"/>
        </w:rPr>
        <w:t>评价实施</w:t>
      </w:r>
    </w:p>
    <w:p w14:paraId="344BF025">
      <w:pPr>
        <w:ind w:firstLine="321" w:firstLineChars="100"/>
        <w:rPr>
          <w:rFonts w:hint="eastAsia" w:ascii="仿宋" w:hAnsi="仿宋" w:eastAsia="仿宋" w:cs="仿宋"/>
          <w:b/>
          <w:color w:val="auto"/>
          <w:sz w:val="32"/>
          <w:szCs w:val="32"/>
          <w:highlight w:val="none"/>
          <w:u w:val="none"/>
          <w:lang w:val="zh-CN"/>
        </w:rPr>
      </w:pPr>
      <w:r>
        <w:rPr>
          <w:rFonts w:hint="eastAsia" w:ascii="仿宋" w:hAnsi="仿宋" w:eastAsia="仿宋" w:cs="仿宋"/>
          <w:b/>
          <w:color w:val="auto"/>
          <w:sz w:val="32"/>
          <w:szCs w:val="32"/>
          <w:highlight w:val="none"/>
          <w:u w:val="none"/>
          <w:lang w:val="zh-CN"/>
        </w:rPr>
        <w:t>（一）评价目的。</w:t>
      </w:r>
    </w:p>
    <w:p w14:paraId="429C481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本次项目绩效自评旨在全面、客观、公正地评价项目的实施情况和绩效成果，实现以下目的：1. 衡量项目目标的达成程度，明确项目是否按照预期计划完成了各项任务和指标。2. 评估项目资金的使用效率和合理性，检查资金是否得到了合规、有效的运用。3. 发现项目实施过程中存在的问题和不足之处，为今后类似项目的策划、实施和管理提供经验教训和改进建议。4. 增强项目责任主体的绩效意识，促进项目管理水平的提升，提高公共资源的配置效率和使用效益。</w:t>
      </w:r>
    </w:p>
    <w:p w14:paraId="6D392D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321" w:firstLineChars="100"/>
        <w:textAlignment w:val="auto"/>
        <w:outlineLvl w:val="9"/>
        <w:rPr>
          <w:rFonts w:hint="eastAsia" w:ascii="仿宋" w:hAnsi="仿宋" w:eastAsia="仿宋" w:cs="仿宋"/>
          <w:sz w:val="32"/>
          <w:szCs w:val="32"/>
          <w:lang w:eastAsia="zh-CN"/>
        </w:rPr>
      </w:pPr>
      <w:r>
        <w:rPr>
          <w:rFonts w:hint="eastAsia" w:ascii="仿宋" w:hAnsi="仿宋" w:eastAsia="仿宋" w:cs="仿宋"/>
          <w:b/>
          <w:color w:val="auto"/>
          <w:sz w:val="32"/>
          <w:szCs w:val="32"/>
          <w:highlight w:val="none"/>
          <w:u w:val="none"/>
          <w:lang w:val="zh-CN"/>
        </w:rPr>
        <w:t>（二）预设问题及评价重点。</w:t>
      </w:r>
    </w:p>
    <w:p w14:paraId="3A678F7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按照绩效评价指标体系，对资金支出使用全过程及其实施效果进行综合评价和判断</w:t>
      </w:r>
      <w:r>
        <w:rPr>
          <w:rFonts w:hint="eastAsia" w:ascii="仿宋" w:hAnsi="仿宋" w:eastAsia="仿宋" w:cs="仿宋"/>
          <w:sz w:val="32"/>
          <w:szCs w:val="32"/>
          <w:lang w:eastAsia="zh-CN"/>
        </w:rPr>
        <w:t>。</w:t>
      </w:r>
    </w:p>
    <w:p w14:paraId="6A450231">
      <w:pPr>
        <w:rPr>
          <w:rFonts w:hint="eastAsia" w:ascii="仿宋" w:hAnsi="仿宋" w:eastAsia="仿宋" w:cs="仿宋"/>
          <w:sz w:val="32"/>
          <w:szCs w:val="32"/>
          <w:lang w:eastAsia="zh-CN"/>
        </w:rPr>
      </w:pPr>
      <w:r>
        <w:rPr>
          <w:rFonts w:hint="eastAsia" w:ascii="仿宋" w:hAnsi="仿宋" w:eastAsia="仿宋" w:cs="仿宋"/>
          <w:sz w:val="32"/>
          <w:szCs w:val="32"/>
          <w:lang w:val="zh-CN"/>
        </w:rPr>
        <w:t>预设问题</w:t>
      </w:r>
      <w:r>
        <w:rPr>
          <w:rFonts w:hint="eastAsia" w:ascii="仿宋" w:hAnsi="仿宋" w:eastAsia="仿宋" w:cs="仿宋"/>
          <w:sz w:val="32"/>
          <w:szCs w:val="32"/>
          <w:lang w:val="en-US" w:eastAsia="zh-CN"/>
        </w:rPr>
        <w:t>:</w:t>
      </w:r>
      <w:r>
        <w:rPr>
          <w:rFonts w:hint="eastAsia" w:ascii="仿宋" w:hAnsi="仿宋" w:eastAsia="仿宋" w:cs="仿宋"/>
          <w:sz w:val="32"/>
          <w:szCs w:val="32"/>
        </w:rPr>
        <w:t>1.项目目标是否明确、具体、可衡量？</w:t>
      </w:r>
      <w:r>
        <w:rPr>
          <w:rFonts w:hint="eastAsia" w:ascii="仿宋" w:hAnsi="仿宋" w:eastAsia="仿宋" w:cs="仿宋"/>
          <w:sz w:val="32"/>
          <w:szCs w:val="32"/>
          <w:lang w:val="en-US" w:eastAsia="zh-CN"/>
        </w:rPr>
        <w:t>2</w:t>
      </w:r>
      <w:r>
        <w:rPr>
          <w:rFonts w:hint="eastAsia" w:ascii="仿宋" w:hAnsi="仿宋" w:eastAsia="仿宋" w:cs="仿宋"/>
          <w:sz w:val="32"/>
          <w:szCs w:val="32"/>
        </w:rPr>
        <w:t>.项目资金预算编制是否合理、准确？</w:t>
      </w:r>
      <w:r>
        <w:rPr>
          <w:rFonts w:hint="eastAsia" w:ascii="仿宋" w:hAnsi="仿宋" w:eastAsia="仿宋" w:cs="仿宋"/>
          <w:sz w:val="32"/>
          <w:szCs w:val="32"/>
          <w:lang w:val="en-US" w:eastAsia="zh-CN"/>
        </w:rPr>
        <w:t>3</w:t>
      </w:r>
      <w:r>
        <w:rPr>
          <w:rFonts w:hint="eastAsia" w:ascii="仿宋" w:hAnsi="仿宋" w:eastAsia="仿宋" w:cs="仿宋"/>
          <w:sz w:val="32"/>
          <w:szCs w:val="32"/>
        </w:rPr>
        <w:t>.项目执行过程中是否存在进度滞后、资源浪费等情况？</w:t>
      </w:r>
      <w:r>
        <w:rPr>
          <w:rFonts w:hint="eastAsia" w:ascii="仿宋" w:hAnsi="仿宋" w:eastAsia="仿宋" w:cs="仿宋"/>
          <w:sz w:val="32"/>
          <w:szCs w:val="32"/>
          <w:lang w:val="en-US" w:eastAsia="zh-CN"/>
        </w:rPr>
        <w:t>4</w:t>
      </w:r>
      <w:r>
        <w:rPr>
          <w:rFonts w:hint="eastAsia" w:ascii="仿宋" w:hAnsi="仿宋" w:eastAsia="仿宋" w:cs="仿宋"/>
          <w:sz w:val="32"/>
          <w:szCs w:val="32"/>
        </w:rPr>
        <w:t>.项目成果是否达到预期质量标准？</w:t>
      </w:r>
      <w:r>
        <w:rPr>
          <w:rFonts w:hint="eastAsia" w:ascii="仿宋" w:hAnsi="仿宋" w:eastAsia="仿宋" w:cs="仿宋"/>
          <w:sz w:val="32"/>
          <w:szCs w:val="32"/>
          <w:lang w:val="en-US" w:eastAsia="zh-CN"/>
        </w:rPr>
        <w:t>5</w:t>
      </w:r>
      <w:r>
        <w:rPr>
          <w:rFonts w:hint="eastAsia" w:ascii="仿宋" w:hAnsi="仿宋" w:eastAsia="仿宋" w:cs="仿宋"/>
          <w:sz w:val="32"/>
          <w:szCs w:val="32"/>
        </w:rPr>
        <w:t>.项目的社会效益和经济效益是否显著？</w:t>
      </w:r>
      <w:r>
        <w:rPr>
          <w:rFonts w:hint="eastAsia" w:ascii="仿宋" w:hAnsi="仿宋" w:eastAsia="仿宋" w:cs="仿宋"/>
          <w:sz w:val="32"/>
          <w:szCs w:val="32"/>
          <w:lang w:val="zh-CN"/>
        </w:rPr>
        <w:t>评价重点</w:t>
      </w:r>
      <w:r>
        <w:rPr>
          <w:rFonts w:hint="eastAsia" w:ascii="仿宋" w:hAnsi="仿宋" w:eastAsia="仿宋" w:cs="仿宋"/>
          <w:sz w:val="32"/>
          <w:szCs w:val="32"/>
          <w:lang w:val="en-US" w:eastAsia="zh-CN"/>
        </w:rPr>
        <w:t>:</w:t>
      </w:r>
      <w:r>
        <w:rPr>
          <w:rFonts w:hint="eastAsia" w:ascii="仿宋" w:hAnsi="仿宋" w:eastAsia="仿宋" w:cs="仿宋"/>
          <w:sz w:val="32"/>
          <w:szCs w:val="32"/>
        </w:rPr>
        <w:t>1.资金使用合规性：审查项目资金的支出是否符合相关法律法规、财务制度和项目预算的要求，有无挪用、截留、挤占等违规行为。</w:t>
      </w:r>
      <w:r>
        <w:rPr>
          <w:rFonts w:hint="eastAsia" w:ascii="仿宋" w:hAnsi="仿宋" w:eastAsia="仿宋" w:cs="仿宋"/>
          <w:sz w:val="32"/>
          <w:szCs w:val="32"/>
          <w:lang w:val="en-US" w:eastAsia="zh-CN"/>
        </w:rPr>
        <w:t>2.</w:t>
      </w:r>
      <w:r>
        <w:rPr>
          <w:rFonts w:hint="eastAsia" w:ascii="仿宋" w:hAnsi="仿宋" w:eastAsia="仿宋" w:cs="仿宋"/>
          <w:sz w:val="32"/>
          <w:szCs w:val="32"/>
        </w:rPr>
        <w:t>项目目标完成情况：对比项目设定的目标和实际完成的指标，评估目标的实现程度。</w:t>
      </w:r>
      <w:r>
        <w:rPr>
          <w:rFonts w:hint="eastAsia" w:ascii="仿宋" w:hAnsi="仿宋" w:eastAsia="仿宋" w:cs="仿宋"/>
          <w:sz w:val="32"/>
          <w:szCs w:val="32"/>
          <w:lang w:val="en-US" w:eastAsia="zh-CN"/>
        </w:rPr>
        <w:t>3.</w:t>
      </w:r>
      <w:r>
        <w:rPr>
          <w:rFonts w:hint="eastAsia" w:ascii="仿宋" w:hAnsi="仿宋" w:eastAsia="仿宋" w:cs="仿宋"/>
          <w:sz w:val="32"/>
          <w:szCs w:val="32"/>
        </w:rPr>
        <w:t>项目效益：分析项目在经济、社会、环境等方面产生的效益，包括直接效益和间接效益。</w:t>
      </w:r>
    </w:p>
    <w:p w14:paraId="49B1E02B">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Chars="200"/>
        <w:textAlignment w:val="auto"/>
        <w:outlineLvl w:val="9"/>
        <w:rPr>
          <w:rFonts w:hint="eastAsia" w:ascii="仿宋" w:hAnsi="仿宋" w:eastAsia="仿宋" w:cs="仿宋"/>
          <w:b/>
          <w:color w:val="auto"/>
          <w:sz w:val="32"/>
          <w:szCs w:val="32"/>
          <w:highlight w:val="none"/>
          <w:u w:val="none"/>
          <w:lang w:val="zh-CN"/>
        </w:rPr>
      </w:pPr>
      <w:r>
        <w:rPr>
          <w:rFonts w:hint="eastAsia" w:ascii="仿宋" w:hAnsi="仿宋" w:eastAsia="仿宋" w:cs="仿宋"/>
          <w:b/>
          <w:color w:val="auto"/>
          <w:sz w:val="32"/>
          <w:szCs w:val="32"/>
          <w:highlight w:val="none"/>
          <w:u w:val="none"/>
          <w:lang w:val="zh-CN"/>
        </w:rPr>
        <w:t>评价选点。</w:t>
      </w:r>
    </w:p>
    <w:p w14:paraId="77CCEE4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 w:hAnsi="仿宋" w:eastAsia="仿宋" w:cs="仿宋"/>
          <w:sz w:val="32"/>
          <w:szCs w:val="32"/>
          <w:lang w:val="zh-CN" w:eastAsia="zh-CN"/>
        </w:rPr>
      </w:pPr>
      <w:r>
        <w:rPr>
          <w:rFonts w:hint="eastAsia" w:ascii="仿宋" w:hAnsi="仿宋" w:eastAsia="仿宋" w:cs="仿宋"/>
          <w:sz w:val="32"/>
          <w:szCs w:val="32"/>
        </w:rPr>
        <w:t>抽取了项目资金支出凭证和相关文件进行审查。</w:t>
      </w:r>
    </w:p>
    <w:p w14:paraId="13560DA1">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Chars="200"/>
        <w:textAlignment w:val="auto"/>
        <w:outlineLvl w:val="9"/>
        <w:rPr>
          <w:rFonts w:hint="eastAsia" w:ascii="仿宋" w:hAnsi="仿宋" w:eastAsia="仿宋" w:cs="仿宋"/>
          <w:b/>
          <w:color w:val="auto"/>
          <w:sz w:val="32"/>
          <w:szCs w:val="32"/>
          <w:highlight w:val="none"/>
          <w:u w:val="none"/>
          <w:lang w:val="zh-CN" w:eastAsia="zh-CN"/>
        </w:rPr>
      </w:pPr>
      <w:r>
        <w:rPr>
          <w:rFonts w:hint="eastAsia" w:ascii="仿宋" w:hAnsi="仿宋" w:eastAsia="仿宋" w:cs="仿宋"/>
          <w:b/>
          <w:color w:val="auto"/>
          <w:sz w:val="32"/>
          <w:szCs w:val="32"/>
          <w:highlight w:val="none"/>
          <w:u w:val="none"/>
          <w:lang w:val="zh-CN"/>
        </w:rPr>
        <w:t>评价方法。</w:t>
      </w:r>
    </w:p>
    <w:p w14:paraId="340D4247">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单位自评法</w:t>
      </w:r>
      <w:r>
        <w:rPr>
          <w:rFonts w:hint="eastAsia" w:ascii="仿宋" w:hAnsi="仿宋" w:eastAsia="仿宋" w:cs="仿宋"/>
          <w:sz w:val="32"/>
          <w:szCs w:val="32"/>
          <w:lang w:val="en-US" w:eastAsia="zh-CN"/>
        </w:rPr>
        <w:t>:</w:t>
      </w:r>
      <w:r>
        <w:rPr>
          <w:rFonts w:hint="eastAsia" w:ascii="仿宋" w:hAnsi="仿宋" w:eastAsia="仿宋" w:cs="仿宋"/>
          <w:sz w:val="32"/>
          <w:szCs w:val="32"/>
        </w:rPr>
        <w:t>项目实施单位对项目的绩效情况进行自我评价，提交自评报告。评价组对自评报告进行审核和分析，结合其他评价方法进行综合评估。</w:t>
      </w:r>
    </w:p>
    <w:p w14:paraId="3922A9FF">
      <w:pPr>
        <w:numPr>
          <w:ilvl w:val="0"/>
          <w:numId w:val="5"/>
        </w:numPr>
        <w:ind w:left="420" w:leftChars="200" w:firstLine="0" w:firstLineChars="0"/>
        <w:rPr>
          <w:rFonts w:hint="eastAsia" w:ascii="仿宋" w:hAnsi="仿宋" w:eastAsia="仿宋" w:cs="仿宋"/>
          <w:b/>
          <w:color w:val="auto"/>
          <w:sz w:val="32"/>
          <w:szCs w:val="32"/>
          <w:highlight w:val="none"/>
          <w:u w:val="none"/>
          <w:lang w:val="zh-CN"/>
        </w:rPr>
      </w:pPr>
      <w:r>
        <w:rPr>
          <w:rFonts w:hint="eastAsia" w:ascii="仿宋" w:hAnsi="仿宋" w:eastAsia="仿宋" w:cs="仿宋"/>
          <w:b/>
          <w:color w:val="auto"/>
          <w:sz w:val="32"/>
          <w:szCs w:val="32"/>
          <w:highlight w:val="none"/>
          <w:u w:val="none"/>
          <w:lang w:val="zh-CN"/>
        </w:rPr>
        <w:t>评价组织。</w:t>
      </w:r>
    </w:p>
    <w:p w14:paraId="1746C243">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评价组人员构成</w:t>
      </w:r>
      <w:r>
        <w:rPr>
          <w:rFonts w:hint="eastAsia" w:ascii="仿宋" w:hAnsi="仿宋" w:eastAsia="仿宋" w:cs="仿宋"/>
          <w:sz w:val="32"/>
          <w:szCs w:val="32"/>
          <w:lang w:val="en-US" w:eastAsia="zh-CN"/>
        </w:rPr>
        <w:t>一名组长两名成员。</w:t>
      </w:r>
      <w:r>
        <w:rPr>
          <w:rFonts w:hint="eastAsia" w:ascii="仿宋" w:hAnsi="仿宋" w:eastAsia="仿宋" w:cs="仿宋"/>
          <w:sz w:val="32"/>
          <w:szCs w:val="32"/>
        </w:rPr>
        <w:t>职责分工组长：制定评价工作计划和方案，明确评价目标、范围、方法和步骤。组织协调评价工作的开展，解决评价过程中出现的问题和争议。审核评价报告，确保评价结果的客观、公正、准确。</w:t>
      </w:r>
    </w:p>
    <w:p w14:paraId="075EA0AB">
      <w:pPr>
        <w:rPr>
          <w:rFonts w:hint="eastAsia" w:ascii="仿宋" w:hAnsi="仿宋" w:eastAsia="仿宋" w:cs="仿宋"/>
          <w:sz w:val="32"/>
          <w:szCs w:val="32"/>
          <w:lang w:val="en-US" w:eastAsia="zh-CN"/>
        </w:rPr>
      </w:pPr>
      <w:r>
        <w:rPr>
          <w:rFonts w:hint="eastAsia" w:ascii="仿宋" w:hAnsi="仿宋" w:eastAsia="仿宋" w:cs="仿宋"/>
          <w:sz w:val="32"/>
          <w:szCs w:val="32"/>
        </w:rPr>
        <w:t>成员：按照评价工作计划和方案的要求，收集、整理和分析相关评价资料。对评价指标进行评估和打分，撰写评价工作底稿和评价报告初稿。参加座谈会和实地调研，获取评价所需的信息和证据。协助组长完成评价报告的审核和修改工作。</w:t>
      </w:r>
    </w:p>
    <w:p w14:paraId="48EE1C0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 w:hAnsi="仿宋" w:eastAsia="仿宋" w:cs="仿宋"/>
          <w:bCs/>
          <w:sz w:val="32"/>
          <w:szCs w:val="32"/>
          <w:lang w:eastAsia="zh-CN"/>
        </w:rPr>
      </w:pPr>
    </w:p>
    <w:p w14:paraId="583916F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eastAsia" w:ascii="仿宋" w:hAnsi="仿宋" w:eastAsia="仿宋" w:cs="仿宋"/>
          <w:color w:val="auto"/>
          <w:sz w:val="32"/>
          <w:szCs w:val="32"/>
          <w:highlight w:val="none"/>
          <w:u w:val="none"/>
          <w:lang w:val="zh-CN"/>
        </w:rPr>
      </w:pPr>
      <w:r>
        <w:rPr>
          <w:rFonts w:hint="eastAsia" w:ascii="仿宋" w:hAnsi="仿宋" w:eastAsia="仿宋" w:cs="仿宋"/>
          <w:b/>
          <w:bCs/>
          <w:color w:val="auto"/>
          <w:sz w:val="32"/>
          <w:szCs w:val="32"/>
          <w:highlight w:val="none"/>
          <w:u w:val="none"/>
        </w:rPr>
        <w:t>三、</w:t>
      </w:r>
      <w:r>
        <w:rPr>
          <w:rFonts w:hint="eastAsia" w:ascii="仿宋" w:hAnsi="仿宋" w:eastAsia="仿宋" w:cs="仿宋"/>
          <w:b/>
          <w:bCs/>
          <w:color w:val="auto"/>
          <w:sz w:val="32"/>
          <w:szCs w:val="32"/>
          <w:highlight w:val="none"/>
          <w:u w:val="none"/>
          <w:lang w:eastAsia="zh-CN"/>
        </w:rPr>
        <w:t>绩效分析</w:t>
      </w:r>
      <w:r>
        <w:rPr>
          <w:rFonts w:hint="eastAsia" w:ascii="仿宋" w:hAnsi="仿宋" w:eastAsia="仿宋" w:cs="仿宋"/>
          <w:color w:val="auto"/>
          <w:sz w:val="32"/>
          <w:szCs w:val="32"/>
          <w:highlight w:val="none"/>
          <w:u w:val="none"/>
          <w:lang w:val="zh-CN"/>
        </w:rPr>
        <w:tab/>
      </w:r>
    </w:p>
    <w:tbl>
      <w:tblPr>
        <w:tblStyle w:val="17"/>
        <w:tblW w:w="93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6"/>
        <w:gridCol w:w="1629"/>
        <w:gridCol w:w="1412"/>
        <w:gridCol w:w="1795"/>
        <w:gridCol w:w="421"/>
        <w:gridCol w:w="1335"/>
        <w:gridCol w:w="422"/>
        <w:gridCol w:w="884"/>
        <w:gridCol w:w="486"/>
        <w:gridCol w:w="396"/>
      </w:tblGrid>
      <w:tr w14:paraId="73AE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54" w:type="dxa"/>
            <w:vMerge w:val="restart"/>
            <w:tcBorders>
              <w:top w:val="single" w:color="000000" w:sz="4" w:space="0"/>
              <w:left w:val="single" w:color="000000" w:sz="4" w:space="0"/>
              <w:bottom w:val="single" w:color="000000" w:sz="4" w:space="0"/>
              <w:right w:val="single" w:color="000000" w:sz="4" w:space="0"/>
            </w:tcBorders>
            <w:noWrap w:val="0"/>
            <w:vAlign w:val="center"/>
          </w:tcPr>
          <w:p w14:paraId="2DD4D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1E62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81E9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68AEB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66151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E145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01D36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625F5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2ACB3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49A35A">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8D7F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3D307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64A05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7.92</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164FF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7.92</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6458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51942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464E7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6B7A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7EAB8">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6513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1758F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0DE3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6B2C6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7.92</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5460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4A592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19B3D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BC81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4DE5F7">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9A0C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61DB0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14EE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27FDB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E407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292B6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44D91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D651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2A98C8">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79A8D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69590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537A6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049CC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42CC6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73C8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77FF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4F5D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CCFB5">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7C4C3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51184C2C">
            <w:pPr>
              <w:jc w:val="center"/>
              <w:rPr>
                <w:rFonts w:hint="eastAsia" w:ascii="微软雅黑" w:hAnsi="微软雅黑" w:eastAsia="微软雅黑" w:cs="微软雅黑"/>
                <w:i/>
                <w:iCs/>
                <w:color w:val="000000"/>
                <w:sz w:val="16"/>
                <w:szCs w:val="16"/>
                <w:u w:val="none"/>
              </w:rPr>
            </w:pP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40843E83">
            <w:pPr>
              <w:jc w:val="center"/>
              <w:rPr>
                <w:rFonts w:hint="eastAsia" w:ascii="微软雅黑" w:hAnsi="微软雅黑" w:eastAsia="微软雅黑" w:cs="微软雅黑"/>
                <w:i/>
                <w:iCs/>
                <w:color w:val="000000"/>
                <w:sz w:val="16"/>
                <w:szCs w:val="16"/>
                <w:u w:val="none"/>
              </w:rPr>
            </w:pPr>
          </w:p>
        </w:tc>
        <w:tc>
          <w:tcPr>
            <w:tcW w:w="2204" w:type="dxa"/>
            <w:gridSpan w:val="3"/>
            <w:tcBorders>
              <w:top w:val="single" w:color="000000" w:sz="4" w:space="0"/>
              <w:left w:val="single" w:color="000000" w:sz="4" w:space="0"/>
              <w:bottom w:val="single" w:color="000000" w:sz="4" w:space="0"/>
              <w:right w:val="single" w:color="000000" w:sz="4" w:space="0"/>
            </w:tcBorders>
            <w:noWrap w:val="0"/>
            <w:vAlign w:val="center"/>
          </w:tcPr>
          <w:p w14:paraId="3ED97D5E">
            <w:pPr>
              <w:jc w:val="center"/>
              <w:rPr>
                <w:rFonts w:hint="eastAsia" w:ascii="微软雅黑" w:hAnsi="微软雅黑" w:eastAsia="微软雅黑" w:cs="微软雅黑"/>
                <w:i/>
                <w:iCs/>
                <w:color w:val="000000"/>
                <w:sz w:val="16"/>
                <w:szCs w:val="16"/>
                <w:u w:val="none"/>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A112916">
            <w:pPr>
              <w:jc w:val="center"/>
              <w:rPr>
                <w:rFonts w:hint="eastAsia" w:ascii="微软雅黑" w:hAnsi="微软雅黑" w:eastAsia="微软雅黑" w:cs="微软雅黑"/>
                <w:i/>
                <w:iCs/>
                <w:color w:val="000000"/>
                <w:sz w:val="16"/>
                <w:szCs w:val="16"/>
                <w:u w:val="none"/>
              </w:rPr>
            </w:pP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26E5C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7D83E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1D74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554" w:type="dxa"/>
            <w:vMerge w:val="restart"/>
            <w:tcBorders>
              <w:top w:val="single" w:color="000000" w:sz="4" w:space="0"/>
              <w:left w:val="single" w:color="000000" w:sz="4" w:space="0"/>
              <w:bottom w:val="single" w:color="000000" w:sz="4" w:space="0"/>
              <w:right w:val="single" w:color="000000" w:sz="4" w:space="0"/>
            </w:tcBorders>
            <w:noWrap w:val="0"/>
            <w:vAlign w:val="center"/>
          </w:tcPr>
          <w:p w14:paraId="6E9AB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8829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1D289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0FF8B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2" w:type="dxa"/>
            <w:tcBorders>
              <w:top w:val="single" w:color="000000" w:sz="4" w:space="0"/>
              <w:left w:val="single" w:color="000000" w:sz="4" w:space="0"/>
              <w:bottom w:val="single" w:color="000000" w:sz="4" w:space="0"/>
              <w:right w:val="single" w:color="000000" w:sz="4" w:space="0"/>
            </w:tcBorders>
            <w:noWrap w:val="0"/>
            <w:vAlign w:val="center"/>
          </w:tcPr>
          <w:p w14:paraId="00C97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27561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682C5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4786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60206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59159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646C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C81DC">
            <w:pPr>
              <w:jc w:val="center"/>
              <w:rPr>
                <w:rFonts w:hint="eastAsia" w:ascii="宋体" w:hAnsi="宋体" w:eastAsia="宋体" w:cs="宋体"/>
                <w:i w:val="0"/>
                <w:iCs w:val="0"/>
                <w:color w:val="000000"/>
                <w:sz w:val="18"/>
                <w:szCs w:val="18"/>
                <w:u w:val="none"/>
              </w:rPr>
            </w:pPr>
          </w:p>
        </w:tc>
        <w:tc>
          <w:tcPr>
            <w:tcW w:w="1662" w:type="dxa"/>
            <w:vMerge w:val="restart"/>
            <w:tcBorders>
              <w:top w:val="single" w:color="000000" w:sz="4" w:space="0"/>
              <w:left w:val="single" w:color="000000" w:sz="4" w:space="0"/>
              <w:bottom w:val="single" w:color="000000" w:sz="4" w:space="0"/>
              <w:right w:val="single" w:color="000000" w:sz="4" w:space="0"/>
            </w:tcBorders>
            <w:noWrap w:val="0"/>
            <w:vAlign w:val="center"/>
          </w:tcPr>
          <w:p w14:paraId="25DD8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53FB3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234A3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红原县常住人口</w:t>
            </w:r>
          </w:p>
        </w:tc>
        <w:tc>
          <w:tcPr>
            <w:tcW w:w="422" w:type="dxa"/>
            <w:tcBorders>
              <w:top w:val="single" w:color="000000" w:sz="4" w:space="0"/>
              <w:left w:val="single" w:color="000000" w:sz="4" w:space="0"/>
              <w:bottom w:val="single" w:color="000000" w:sz="4" w:space="0"/>
              <w:right w:val="single" w:color="000000" w:sz="4" w:space="0"/>
            </w:tcBorders>
            <w:noWrap w:val="0"/>
            <w:vAlign w:val="center"/>
          </w:tcPr>
          <w:p w14:paraId="77E86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3EC69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0B998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2D7B1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1320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7B05D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7B804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w:t>
            </w:r>
          </w:p>
        </w:tc>
      </w:tr>
      <w:tr w14:paraId="1F82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2E7E4">
            <w:pPr>
              <w:jc w:val="center"/>
              <w:rPr>
                <w:rFonts w:hint="eastAsia" w:ascii="宋体" w:hAnsi="宋体" w:eastAsia="宋体" w:cs="宋体"/>
                <w:i w:val="0"/>
                <w:iCs w:val="0"/>
                <w:color w:val="000000"/>
                <w:sz w:val="18"/>
                <w:szCs w:val="18"/>
                <w:u w:val="none"/>
              </w:rPr>
            </w:pPr>
          </w:p>
        </w:tc>
        <w:tc>
          <w:tcPr>
            <w:tcW w:w="16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9C7CF4">
            <w:pPr>
              <w:jc w:val="center"/>
              <w:rPr>
                <w:rFonts w:hint="eastAsia" w:ascii="宋体" w:hAnsi="宋体" w:eastAsia="宋体" w:cs="宋体"/>
                <w:i w:val="0"/>
                <w:iCs w:val="0"/>
                <w:color w:val="000000"/>
                <w:sz w:val="18"/>
                <w:szCs w:val="18"/>
                <w:u w:val="none"/>
              </w:rPr>
            </w:pP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38260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50DB7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本年内完成</w:t>
            </w:r>
          </w:p>
        </w:tc>
        <w:tc>
          <w:tcPr>
            <w:tcW w:w="422" w:type="dxa"/>
            <w:tcBorders>
              <w:top w:val="single" w:color="000000" w:sz="4" w:space="0"/>
              <w:left w:val="single" w:color="000000" w:sz="4" w:space="0"/>
              <w:bottom w:val="single" w:color="000000" w:sz="4" w:space="0"/>
              <w:right w:val="single" w:color="000000" w:sz="4" w:space="0"/>
            </w:tcBorders>
            <w:noWrap w:val="0"/>
            <w:vAlign w:val="center"/>
          </w:tcPr>
          <w:p w14:paraId="1D6CC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2CF6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19DFA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3ADB5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5B79E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20148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66424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6EFD4">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2DDF4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4805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759E1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减轻患者就医压力</w:t>
            </w:r>
          </w:p>
        </w:tc>
        <w:tc>
          <w:tcPr>
            <w:tcW w:w="422" w:type="dxa"/>
            <w:tcBorders>
              <w:top w:val="single" w:color="000000" w:sz="4" w:space="0"/>
              <w:left w:val="single" w:color="000000" w:sz="4" w:space="0"/>
              <w:bottom w:val="single" w:color="000000" w:sz="4" w:space="0"/>
              <w:right w:val="single" w:color="000000" w:sz="4" w:space="0"/>
            </w:tcBorders>
            <w:noWrap w:val="0"/>
            <w:vAlign w:val="center"/>
          </w:tcPr>
          <w:p w14:paraId="4FD14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54D3A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4D6EE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AD29E8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6AF65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23004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4F44F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81A38">
            <w:pPr>
              <w:jc w:val="center"/>
              <w:rPr>
                <w:rFonts w:hint="eastAsia" w:ascii="宋体" w:hAnsi="宋体" w:eastAsia="宋体" w:cs="宋体"/>
                <w:i w:val="0"/>
                <w:iCs w:val="0"/>
                <w:color w:val="000000"/>
                <w:sz w:val="18"/>
                <w:szCs w:val="18"/>
                <w:u w:val="none"/>
              </w:rPr>
            </w:pP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36DB4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0240A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834" w:type="dxa"/>
            <w:tcBorders>
              <w:top w:val="single" w:color="000000" w:sz="4" w:space="0"/>
              <w:left w:val="single" w:color="000000" w:sz="4" w:space="0"/>
              <w:bottom w:val="single" w:color="000000" w:sz="4" w:space="0"/>
              <w:right w:val="single" w:color="000000" w:sz="4" w:space="0"/>
            </w:tcBorders>
            <w:noWrap w:val="0"/>
            <w:vAlign w:val="center"/>
          </w:tcPr>
          <w:p w14:paraId="4E9BC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422" w:type="dxa"/>
            <w:tcBorders>
              <w:top w:val="single" w:color="000000" w:sz="4" w:space="0"/>
              <w:left w:val="single" w:color="000000" w:sz="4" w:space="0"/>
              <w:bottom w:val="single" w:color="000000" w:sz="4" w:space="0"/>
              <w:right w:val="single" w:color="000000" w:sz="4" w:space="0"/>
            </w:tcBorders>
            <w:noWrap w:val="0"/>
            <w:vAlign w:val="center"/>
          </w:tcPr>
          <w:p w14:paraId="4B6B8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5CB7B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79933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663755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3A5EC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01B01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7008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577" w:type="dxa"/>
            <w:gridSpan w:val="8"/>
            <w:tcBorders>
              <w:top w:val="single" w:color="000000" w:sz="4" w:space="0"/>
              <w:left w:val="single" w:color="000000" w:sz="4" w:space="0"/>
              <w:bottom w:val="single" w:color="000000" w:sz="4" w:space="0"/>
              <w:right w:val="single" w:color="000000" w:sz="4" w:space="0"/>
            </w:tcBorders>
            <w:noWrap w:val="0"/>
            <w:vAlign w:val="center"/>
          </w:tcPr>
          <w:p w14:paraId="18ACD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1B83A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70" w:type="dxa"/>
            <w:tcBorders>
              <w:top w:val="single" w:color="000000" w:sz="4" w:space="0"/>
              <w:left w:val="single" w:color="000000" w:sz="4" w:space="0"/>
              <w:bottom w:val="single" w:color="000000" w:sz="4" w:space="0"/>
              <w:right w:val="single" w:color="000000" w:sz="4" w:space="0"/>
            </w:tcBorders>
            <w:noWrap w:val="0"/>
            <w:vAlign w:val="center"/>
          </w:tcPr>
          <w:p w14:paraId="1561CCF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r>
    </w:tbl>
    <w:p w14:paraId="77087E7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 w:hAnsi="仿宋" w:eastAsia="仿宋" w:cs="仿宋"/>
          <w:b/>
          <w:color w:val="auto"/>
          <w:sz w:val="32"/>
          <w:szCs w:val="32"/>
          <w:highlight w:val="none"/>
          <w:u w:val="none"/>
          <w:lang w:val="en-US" w:eastAsia="zh-CN"/>
        </w:rPr>
      </w:pPr>
      <w:r>
        <w:rPr>
          <w:rFonts w:hint="eastAsia" w:ascii="仿宋" w:hAnsi="仿宋" w:eastAsia="仿宋" w:cs="仿宋"/>
          <w:b/>
          <w:color w:val="auto"/>
          <w:sz w:val="32"/>
          <w:szCs w:val="32"/>
          <w:highlight w:val="none"/>
          <w:u w:val="none"/>
          <w:lang w:val="zh-CN"/>
        </w:rPr>
        <w:t>（一）</w:t>
      </w:r>
      <w:r>
        <w:rPr>
          <w:rFonts w:hint="eastAsia" w:ascii="仿宋" w:hAnsi="仿宋" w:eastAsia="仿宋" w:cs="仿宋"/>
          <w:b/>
          <w:color w:val="auto"/>
          <w:sz w:val="32"/>
          <w:szCs w:val="32"/>
          <w:highlight w:val="none"/>
          <w:u w:val="none"/>
          <w:lang w:val="en-US" w:eastAsia="zh-CN"/>
        </w:rPr>
        <w:t>通用指标</w:t>
      </w:r>
      <w:r>
        <w:rPr>
          <w:rFonts w:hint="eastAsia" w:ascii="仿宋" w:hAnsi="仿宋" w:eastAsia="仿宋" w:cs="仿宋"/>
          <w:b/>
          <w:bCs/>
          <w:color w:val="000000"/>
          <w:kern w:val="0"/>
          <w:sz w:val="32"/>
          <w:szCs w:val="32"/>
          <w:highlight w:val="none"/>
          <w:shd w:val="clear" w:color="auto" w:fill="FFFFFF"/>
          <w:lang w:val="zh-CN"/>
        </w:rPr>
        <w:t>绩效分析。</w:t>
      </w:r>
    </w:p>
    <w:p w14:paraId="3E91F5C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项目决策。</w:t>
      </w:r>
    </w:p>
    <w:p w14:paraId="2EAA52D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 w:hAnsi="仿宋" w:eastAsia="仿宋" w:cs="仿宋"/>
          <w:color w:val="auto"/>
          <w:sz w:val="32"/>
          <w:szCs w:val="32"/>
          <w:lang w:eastAsia="zh-CN"/>
        </w:rPr>
      </w:pPr>
      <w:r>
        <w:rPr>
          <w:rFonts w:hint="eastAsia" w:ascii="仿宋" w:hAnsi="仿宋" w:eastAsia="仿宋" w:cs="仿宋"/>
          <w:sz w:val="32"/>
          <w:szCs w:val="32"/>
        </w:rPr>
        <w:t>项目决策程序规范，经过了充分的调研、论证和审批流程。资金投向明确，重点投向了项目的关键环节和核心领域，确保了资金的使用效率和效益。</w:t>
      </w:r>
    </w:p>
    <w:p w14:paraId="0B4AD598">
      <w:pPr>
        <w:numPr>
          <w:ilvl w:val="0"/>
          <w:numId w:val="0"/>
        </w:numPr>
        <w:tabs>
          <w:tab w:val="left" w:pos="1206"/>
        </w:tabs>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项目管理。</w:t>
      </w:r>
    </w:p>
    <w:p w14:paraId="0A8CC9EF">
      <w:pPr>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rPr>
        <w:t>建立了完善的项目管理制度和办法，包括项目立项、审批、实施、监督、验收等环节的管理制度。制度办法明确了各部门和人员的职责和权限，规范了项目管理流程，为项目的顺利实施提供了制度保障</w:t>
      </w:r>
      <w:r>
        <w:rPr>
          <w:rFonts w:hint="eastAsia" w:ascii="仿宋" w:hAnsi="仿宋" w:eastAsia="仿宋" w:cs="仿宋"/>
          <w:sz w:val="32"/>
          <w:szCs w:val="32"/>
          <w:lang w:eastAsia="zh-CN"/>
        </w:rPr>
        <w:t>；</w:t>
      </w:r>
      <w:r>
        <w:rPr>
          <w:rFonts w:hint="eastAsia" w:ascii="仿宋" w:hAnsi="仿宋" w:eastAsia="仿宋" w:cs="仿宋"/>
          <w:sz w:val="32"/>
          <w:szCs w:val="32"/>
        </w:rPr>
        <w:t>资金分配合理，根据项目的建设任务和资金需求，制定了科学的资金分配方案。在分配过程中，充分考虑了项目的重要性、紧迫性和实施难度等因素，确保了资金分配的公平、公正和合理</w:t>
      </w:r>
      <w:r>
        <w:rPr>
          <w:rFonts w:hint="eastAsia" w:ascii="仿宋" w:hAnsi="仿宋" w:eastAsia="仿宋" w:cs="仿宋"/>
          <w:sz w:val="32"/>
          <w:szCs w:val="32"/>
          <w:lang w:eastAsia="zh-CN"/>
        </w:rPr>
        <w:t>；</w:t>
      </w:r>
      <w:r>
        <w:rPr>
          <w:rFonts w:hint="eastAsia" w:ascii="仿宋" w:hAnsi="仿宋" w:eastAsia="仿宋" w:cs="仿宋"/>
          <w:sz w:val="32"/>
          <w:szCs w:val="32"/>
        </w:rPr>
        <w:t>建立了有效的绩效监管机制，对项目的实施进度、资金使用、质量安全等进行定期监测和评估。通过绩效监管，及时发现项目实施过程中存在的问题，并采取有效的措施加以解决，确保项目按照预定的目标和计划顺利推进。</w:t>
      </w:r>
    </w:p>
    <w:p w14:paraId="18A20B0A">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3.项目实施。</w:t>
      </w:r>
    </w:p>
    <w:p w14:paraId="351E37DC">
      <w:p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rPr>
        <w:t>预算执行情况良好，截至报告期末，项目预算执行率达到了</w:t>
      </w:r>
      <w:r>
        <w:rPr>
          <w:rFonts w:hint="eastAsia" w:ascii="仿宋" w:hAnsi="仿宋" w:eastAsia="仿宋" w:cs="仿宋"/>
          <w:sz w:val="32"/>
          <w:szCs w:val="32"/>
          <w:lang w:val="en-US" w:eastAsia="zh-CN"/>
        </w:rPr>
        <w:t>100</w:t>
      </w:r>
      <w:r>
        <w:rPr>
          <w:rFonts w:hint="eastAsia" w:ascii="仿宋" w:hAnsi="仿宋" w:eastAsia="仿宋" w:cs="仿宋"/>
          <w:sz w:val="32"/>
          <w:szCs w:val="32"/>
        </w:rPr>
        <w:t>%。在预算执行过程中，严格按照预算安排使用资金，确保了资金的合理支出和有效利用。资金使用规范，严格遵守国家财务管理制度和项目资金管理办法的相关规定。资金支出审批程序严格，报销凭证齐全，不存在挪用、截留、挤占资金等违规行为。同时，加强了对资金使用的监督和审计，确保资金使用的安全和透明。</w:t>
      </w:r>
    </w:p>
    <w:p w14:paraId="7355F077">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4.项目结果。</w:t>
      </w:r>
    </w:p>
    <w:p w14:paraId="0B329947">
      <w:pPr>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rPr>
        <w:t>项目目标完成情况较好，产品质量达到了国家标准，经济效益和社会效益显著。项目按时完成，在规定的时间内交付使用。项目实施过程中，合理安排工作计划，加强协调沟通，及时解决了影响项目进度的各种问题，确保了项目的顺利完成。</w:t>
      </w:r>
    </w:p>
    <w:p w14:paraId="78EC9C88">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firstLine="643" w:firstLineChars="200"/>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color w:val="auto"/>
          <w:sz w:val="32"/>
          <w:szCs w:val="32"/>
          <w:highlight w:val="none"/>
          <w:u w:val="none"/>
          <w:lang w:val="en-US" w:eastAsia="zh-CN"/>
        </w:rPr>
        <w:t>专用指标</w:t>
      </w:r>
      <w:r>
        <w:rPr>
          <w:rFonts w:hint="eastAsia" w:ascii="仿宋" w:hAnsi="仿宋" w:eastAsia="仿宋" w:cs="仿宋"/>
          <w:b/>
          <w:bCs/>
          <w:color w:val="000000"/>
          <w:kern w:val="0"/>
          <w:sz w:val="32"/>
          <w:szCs w:val="32"/>
          <w:highlight w:val="none"/>
          <w:shd w:val="clear" w:color="auto" w:fill="FFFFFF"/>
          <w:lang w:val="zh-CN"/>
        </w:rPr>
        <w:t>绩效分析。</w:t>
      </w:r>
    </w:p>
    <w:p w14:paraId="0AB03FB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960" w:firstLineChars="300"/>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根据</w:t>
      </w:r>
      <w:r>
        <w:rPr>
          <w:rFonts w:hint="eastAsia" w:ascii="仿宋" w:hAnsi="仿宋" w:eastAsia="仿宋" w:cs="仿宋"/>
          <w:color w:val="auto"/>
          <w:sz w:val="32"/>
          <w:szCs w:val="32"/>
          <w:lang w:val="en-US" w:eastAsia="zh-CN"/>
        </w:rPr>
        <w:t>专项预算项目资金支持对象选择所属指标进行绩效分析。支持对象</w:t>
      </w:r>
      <w:r>
        <w:rPr>
          <w:rFonts w:hint="eastAsia" w:ascii="仿宋" w:hAnsi="仿宋" w:eastAsia="仿宋" w:cs="仿宋"/>
          <w:color w:val="auto"/>
          <w:sz w:val="32"/>
          <w:szCs w:val="32"/>
          <w:lang w:val="zh-CN" w:eastAsia="zh-CN"/>
        </w:rPr>
        <w:t>包括产业发展、民生保障、基础设施、行政运转等方面。</w:t>
      </w:r>
    </w:p>
    <w:p w14:paraId="128DA207">
      <w:pPr>
        <w:numPr>
          <w:ilvl w:val="0"/>
          <w:numId w:val="7"/>
        </w:numPr>
        <w:ind w:firstLine="640" w:firstLineChars="200"/>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zh-CN" w:eastAsia="zh-CN"/>
        </w:rPr>
        <w:t>民生保障</w:t>
      </w:r>
      <w:r>
        <w:rPr>
          <w:rFonts w:hint="eastAsia" w:ascii="仿宋" w:hAnsi="仿宋" w:eastAsia="仿宋" w:cs="仿宋"/>
          <w:color w:val="auto"/>
          <w:sz w:val="32"/>
          <w:szCs w:val="32"/>
          <w:lang w:val="en-US" w:eastAsia="zh-CN"/>
        </w:rPr>
        <w:t>类</w:t>
      </w:r>
      <w:r>
        <w:rPr>
          <w:rFonts w:hint="eastAsia" w:ascii="仿宋" w:hAnsi="仿宋" w:eastAsia="仿宋" w:cs="仿宋"/>
          <w:color w:val="auto"/>
          <w:sz w:val="32"/>
          <w:szCs w:val="32"/>
          <w:lang w:val="zh-CN" w:eastAsia="zh-CN"/>
        </w:rPr>
        <w:t>。</w:t>
      </w:r>
    </w:p>
    <w:p w14:paraId="61C60817">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sz w:val="32"/>
          <w:szCs w:val="32"/>
        </w:rPr>
        <w:t>项目实施对象精准，重点关注了困难群体和弱势群体，确保了民生保障政策的精准落实。</w:t>
      </w:r>
    </w:p>
    <w:p w14:paraId="0E86916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textAlignment w:val="auto"/>
        <w:outlineLvl w:val="9"/>
        <w:rPr>
          <w:rFonts w:hint="eastAsia" w:ascii="仿宋" w:hAnsi="仿宋" w:eastAsia="仿宋" w:cs="仿宋"/>
          <w:color w:val="auto"/>
          <w:sz w:val="32"/>
          <w:szCs w:val="32"/>
          <w:lang w:val="zh-CN"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val="zh-CN" w:eastAsia="zh-CN"/>
        </w:rPr>
        <w:t>行政运转</w:t>
      </w:r>
      <w:r>
        <w:rPr>
          <w:rFonts w:hint="eastAsia" w:ascii="仿宋" w:hAnsi="仿宋" w:eastAsia="仿宋" w:cs="仿宋"/>
          <w:color w:val="auto"/>
          <w:sz w:val="32"/>
          <w:szCs w:val="32"/>
          <w:lang w:val="en-US" w:eastAsia="zh-CN"/>
        </w:rPr>
        <w:t>类</w:t>
      </w:r>
      <w:r>
        <w:rPr>
          <w:rFonts w:hint="eastAsia" w:ascii="仿宋" w:hAnsi="仿宋" w:eastAsia="仿宋" w:cs="仿宋"/>
          <w:color w:val="auto"/>
          <w:sz w:val="32"/>
          <w:szCs w:val="32"/>
          <w:lang w:val="zh-CN" w:eastAsia="zh-CN"/>
        </w:rPr>
        <w:t>。</w:t>
      </w:r>
    </w:p>
    <w:p w14:paraId="5F75B4B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sz w:val="32"/>
          <w:szCs w:val="32"/>
        </w:rPr>
        <w:t>行政运转资金用途合规，全部用于保障单位的正常运转和履行职能所需的各项支出，不存在违规使用资金的情况。</w:t>
      </w:r>
    </w:p>
    <w:p w14:paraId="5ED201D0">
      <w:pPr>
        <w:keepNext w:val="0"/>
        <w:keepLines w:val="0"/>
        <w:pageBreakBefore w:val="0"/>
        <w:widowControl w:val="0"/>
        <w:numPr>
          <w:ilvl w:val="0"/>
          <w:numId w:val="8"/>
        </w:numPr>
        <w:kinsoku/>
        <w:wordWrap/>
        <w:overflowPunct/>
        <w:topLinePunct w:val="0"/>
        <w:autoSpaceDE/>
        <w:autoSpaceDN/>
        <w:bidi w:val="0"/>
        <w:adjustRightInd/>
        <w:snapToGrid/>
        <w:spacing w:line="578" w:lineRule="exact"/>
        <w:ind w:firstLine="640"/>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color w:val="auto"/>
          <w:sz w:val="32"/>
          <w:szCs w:val="32"/>
          <w:highlight w:val="none"/>
          <w:u w:val="none"/>
          <w:lang w:val="en-US" w:eastAsia="zh-CN"/>
        </w:rPr>
        <w:t>个性指标</w:t>
      </w:r>
      <w:r>
        <w:rPr>
          <w:rFonts w:hint="eastAsia" w:ascii="仿宋" w:hAnsi="仿宋" w:eastAsia="仿宋" w:cs="仿宋"/>
          <w:b/>
          <w:bCs/>
          <w:color w:val="000000"/>
          <w:kern w:val="0"/>
          <w:sz w:val="32"/>
          <w:szCs w:val="32"/>
          <w:highlight w:val="none"/>
          <w:shd w:val="clear" w:color="auto" w:fill="FFFFFF"/>
          <w:lang w:val="zh-CN"/>
        </w:rPr>
        <w:t>绩效分析。</w:t>
      </w:r>
    </w:p>
    <w:p w14:paraId="5BD8223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auto"/>
          <w:sz w:val="32"/>
          <w:szCs w:val="32"/>
          <w:lang w:val="zh-CN" w:eastAsia="zh-CN"/>
        </w:rPr>
        <w:t>减轻患者购药负担，</w:t>
      </w:r>
      <w:r>
        <w:rPr>
          <w:rFonts w:hint="eastAsia" w:ascii="仿宋" w:hAnsi="仿宋" w:eastAsia="仿宋" w:cs="仿宋"/>
          <w:color w:val="000000"/>
          <w:sz w:val="32"/>
          <w:szCs w:val="32"/>
          <w:lang w:val="en-US" w:eastAsia="zh-CN"/>
        </w:rPr>
        <w:t>项目预算执行率达到了100%。</w:t>
      </w:r>
    </w:p>
    <w:p w14:paraId="2F7B85F5">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lang w:eastAsia="zh-CN"/>
        </w:rPr>
        <w:t>四</w:t>
      </w:r>
      <w:r>
        <w:rPr>
          <w:rFonts w:hint="eastAsia" w:ascii="仿宋" w:hAnsi="仿宋" w:eastAsia="仿宋" w:cs="仿宋"/>
          <w:color w:val="auto"/>
          <w:sz w:val="32"/>
          <w:szCs w:val="32"/>
          <w:highlight w:val="none"/>
          <w:u w:val="none"/>
        </w:rPr>
        <w:t>、评价结论</w:t>
      </w:r>
    </w:p>
    <w:p w14:paraId="562D75B6">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b w:val="0"/>
          <w:bCs w:val="0"/>
          <w:kern w:val="0"/>
          <w:position w:val="0"/>
          <w:sz w:val="32"/>
          <w:szCs w:val="32"/>
          <w:highlight w:val="none"/>
          <w:lang w:val="en-US" w:eastAsia="zh-CN" w:bidi="ar-SA"/>
        </w:rPr>
      </w:pPr>
      <w:r>
        <w:rPr>
          <w:rFonts w:hint="eastAsia" w:ascii="仿宋" w:hAnsi="仿宋" w:eastAsia="仿宋" w:cs="仿宋"/>
          <w:b w:val="0"/>
          <w:bCs w:val="0"/>
          <w:kern w:val="0"/>
          <w:position w:val="0"/>
          <w:sz w:val="32"/>
          <w:szCs w:val="32"/>
          <w:highlight w:val="none"/>
          <w:lang w:val="en-US" w:eastAsia="zh-CN" w:bidi="ar-SA"/>
        </w:rPr>
        <w:t>进一步推动落实了各项公立医院综合改革任务，在一定程度上降低药品收费，减轻患者的负担，缓解“看病难，看病贵”的问题。进一步端正医疗态度，规范医生的用药行为。</w:t>
      </w:r>
      <w:r>
        <w:rPr>
          <w:rFonts w:hint="eastAsia" w:ascii="仿宋" w:hAnsi="仿宋" w:eastAsia="仿宋" w:cs="仿宋"/>
          <w:b w:val="0"/>
          <w:bCs w:val="0"/>
          <w:color w:val="000000"/>
          <w:kern w:val="0"/>
          <w:position w:val="0"/>
          <w:sz w:val="32"/>
          <w:szCs w:val="32"/>
          <w:highlight w:val="none"/>
          <w:lang w:val="en-US" w:eastAsia="zh-CN" w:bidi="ar-SA"/>
        </w:rPr>
        <w:t>绩效自评分97分</w:t>
      </w:r>
      <w:r>
        <w:rPr>
          <w:rFonts w:hint="eastAsia" w:ascii="仿宋" w:hAnsi="仿宋" w:eastAsia="仿宋" w:cs="仿宋"/>
          <w:b w:val="0"/>
          <w:bCs w:val="0"/>
          <w:kern w:val="0"/>
          <w:position w:val="0"/>
          <w:sz w:val="32"/>
          <w:szCs w:val="32"/>
          <w:highlight w:val="none"/>
          <w:lang w:val="en-US" w:eastAsia="zh-CN" w:bidi="ar-SA"/>
        </w:rPr>
        <w:t>。</w:t>
      </w:r>
    </w:p>
    <w:p w14:paraId="46604924">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color w:val="auto"/>
          <w:sz w:val="32"/>
          <w:szCs w:val="32"/>
          <w:highlight w:val="none"/>
          <w:u w:val="none"/>
          <w:lang w:eastAsia="zh-CN"/>
        </w:rPr>
      </w:pPr>
      <w:r>
        <w:rPr>
          <w:rFonts w:hint="eastAsia" w:ascii="仿宋" w:hAnsi="仿宋" w:eastAsia="仿宋" w:cs="仿宋"/>
          <w:color w:val="auto"/>
          <w:sz w:val="32"/>
          <w:szCs w:val="32"/>
          <w:highlight w:val="none"/>
          <w:u w:val="none"/>
          <w:lang w:eastAsia="zh-CN"/>
        </w:rPr>
        <w:t>五、存在主要问题</w:t>
      </w:r>
    </w:p>
    <w:p w14:paraId="70A579BE">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b w:val="0"/>
          <w:bCs w:val="0"/>
          <w:kern w:val="2"/>
          <w:position w:val="0"/>
          <w:sz w:val="32"/>
          <w:szCs w:val="32"/>
          <w:highlight w:val="none"/>
          <w:lang w:val="en-US" w:eastAsia="zh-CN" w:bidi="ar-SA"/>
        </w:rPr>
      </w:pPr>
      <w:r>
        <w:rPr>
          <w:rFonts w:hint="eastAsia" w:ascii="仿宋" w:hAnsi="仿宋" w:eastAsia="仿宋" w:cs="仿宋"/>
          <w:b w:val="0"/>
          <w:bCs w:val="0"/>
          <w:kern w:val="0"/>
          <w:position w:val="0"/>
          <w:sz w:val="32"/>
          <w:szCs w:val="32"/>
          <w:highlight w:val="none"/>
          <w:lang w:val="en-US" w:eastAsia="zh-CN" w:bidi="ar-SA"/>
        </w:rPr>
        <w:t>无</w:t>
      </w:r>
    </w:p>
    <w:p w14:paraId="44542EFE">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黑体" w:cs="Times New Roman"/>
          <w:color w:val="auto"/>
          <w:kern w:val="0"/>
          <w:position w:val="3"/>
          <w:sz w:val="32"/>
          <w:szCs w:val="32"/>
          <w:highlight w:val="none"/>
          <w:u w:val="none"/>
          <w:lang w:val="zh-CN" w:eastAsia="zh-CN" w:bidi="ar-SA"/>
        </w:rPr>
      </w:pPr>
      <w:r>
        <w:rPr>
          <w:rFonts w:hint="default" w:ascii="Times New Roman" w:hAnsi="Times New Roman" w:eastAsia="黑体" w:cs="Times New Roman"/>
          <w:color w:val="auto"/>
          <w:kern w:val="0"/>
          <w:position w:val="3"/>
          <w:sz w:val="32"/>
          <w:szCs w:val="32"/>
          <w:highlight w:val="none"/>
          <w:u w:val="none"/>
          <w:lang w:val="zh-CN" w:eastAsia="zh-CN" w:bidi="ar-SA"/>
        </w:rPr>
        <w:t>六、改进建议</w:t>
      </w:r>
    </w:p>
    <w:p w14:paraId="382CF94D">
      <w:pPr>
        <w:tabs>
          <w:tab w:val="left" w:pos="1911"/>
        </w:tabs>
        <w:ind w:firstLine="640"/>
        <w:jc w:val="left"/>
        <w:rPr>
          <w:rFonts w:hint="eastAsia" w:cs="Times New Roman"/>
          <w:b w:val="0"/>
          <w:bCs w:val="0"/>
          <w:kern w:val="0"/>
          <w:position w:val="0"/>
          <w:sz w:val="32"/>
          <w:szCs w:val="32"/>
          <w:highlight w:val="none"/>
          <w:lang w:val="en-US" w:eastAsia="zh-CN" w:bidi="ar-SA"/>
        </w:rPr>
      </w:pPr>
      <w:r>
        <w:rPr>
          <w:rFonts w:hint="eastAsia" w:cs="Times New Roman"/>
          <w:b w:val="0"/>
          <w:bCs w:val="0"/>
          <w:kern w:val="0"/>
          <w:position w:val="0"/>
          <w:sz w:val="32"/>
          <w:szCs w:val="32"/>
          <w:highlight w:val="none"/>
          <w:lang w:val="en-US" w:eastAsia="zh-CN" w:bidi="ar-SA"/>
        </w:rPr>
        <w:t>无</w:t>
      </w:r>
      <w:bookmarkStart w:id="56" w:name="_Hlk110546638"/>
    </w:p>
    <w:p w14:paraId="738B780A">
      <w:pPr>
        <w:jc w:val="both"/>
        <w:rPr>
          <w:rFonts w:hint="eastAsia" w:ascii="方正小标宋_GBK" w:hAnsi="方正小标宋_GBK" w:eastAsia="方正小标宋_GBK" w:cs="方正小标宋_GBK"/>
          <w:b w:val="0"/>
          <w:bCs/>
          <w:kern w:val="0"/>
          <w:sz w:val="36"/>
          <w:szCs w:val="44"/>
          <w:lang w:val="en-US" w:eastAsia="zh-CN" w:bidi="ar"/>
        </w:rPr>
      </w:pPr>
    </w:p>
    <w:p w14:paraId="5F26F477">
      <w:pPr>
        <w:jc w:val="center"/>
        <w:rPr>
          <w:rFonts w:hint="eastAsia" w:ascii="方正小标宋_GBK" w:hAnsi="方正小标宋_GBK" w:eastAsia="方正小标宋_GBK" w:cs="方正小标宋_GBK"/>
          <w:b w:val="0"/>
          <w:bCs/>
          <w:kern w:val="0"/>
          <w:sz w:val="36"/>
          <w:szCs w:val="44"/>
          <w:lang w:val="en-US" w:eastAsia="zh-CN" w:bidi="ar"/>
        </w:rPr>
      </w:pPr>
      <w:r>
        <w:rPr>
          <w:rFonts w:hint="eastAsia" w:ascii="方正小标宋_GBK" w:hAnsi="方正小标宋_GBK" w:eastAsia="方正小标宋_GBK" w:cs="方正小标宋_GBK"/>
          <w:b w:val="0"/>
          <w:bCs/>
          <w:kern w:val="0"/>
          <w:sz w:val="36"/>
          <w:szCs w:val="44"/>
          <w:lang w:val="en-US" w:eastAsia="zh-CN" w:bidi="ar"/>
        </w:rPr>
        <w:t>红原县人民医院</w:t>
      </w:r>
    </w:p>
    <w:p w14:paraId="0A19D33A">
      <w:pPr>
        <w:pStyle w:val="16"/>
        <w:keepNext w:val="0"/>
        <w:keepLines w:val="0"/>
        <w:widowControl/>
        <w:suppressLineNumbers w:val="0"/>
        <w:spacing w:before="0" w:beforeAutospacing="0" w:after="0" w:afterAutospacing="0"/>
        <w:ind w:left="0" w:right="0" w:firstLine="0"/>
        <w:jc w:val="center"/>
        <w:rPr>
          <w:rFonts w:hint="eastAsia" w:ascii="方正小标宋_GBK" w:hAnsi="方正小标宋_GBK" w:eastAsia="方正小标宋_GBK" w:cs="方正小标宋_GBK"/>
          <w:b w:val="0"/>
          <w:bCs/>
          <w:sz w:val="36"/>
          <w:szCs w:val="44"/>
        </w:rPr>
      </w:pPr>
      <w:r>
        <w:rPr>
          <w:rFonts w:hint="eastAsia" w:ascii="方正小标宋_GBK" w:hAnsi="方正小标宋_GBK" w:eastAsia="方正小标宋_GBK" w:cs="方正小标宋_GBK"/>
          <w:b w:val="0"/>
          <w:bCs/>
          <w:sz w:val="36"/>
          <w:szCs w:val="44"/>
        </w:rPr>
        <w:t>中央转移支付2024年度重大疾病防控项目</w:t>
      </w:r>
    </w:p>
    <w:p w14:paraId="78942260">
      <w:pPr>
        <w:pStyle w:val="16"/>
        <w:keepNext w:val="0"/>
        <w:keepLines w:val="0"/>
        <w:widowControl/>
        <w:suppressLineNumbers w:val="0"/>
        <w:spacing w:before="0" w:beforeAutospacing="0" w:after="0" w:afterAutospacing="0"/>
        <w:ind w:left="0" w:right="0" w:firstLine="0"/>
        <w:jc w:val="center"/>
      </w:pPr>
      <w:r>
        <w:rPr>
          <w:rFonts w:hint="eastAsia" w:ascii="方正小标宋_GBK" w:hAnsi="方正小标宋_GBK" w:eastAsia="方正小标宋_GBK" w:cs="方正小标宋_GBK"/>
          <w:b w:val="0"/>
          <w:bCs/>
          <w:sz w:val="36"/>
          <w:szCs w:val="44"/>
        </w:rPr>
        <w:t>绩效自评报告</w:t>
      </w:r>
    </w:p>
    <w:p w14:paraId="7B540DF4">
      <w:pPr>
        <w:jc w:val="center"/>
        <w:rPr>
          <w:rFonts w:hint="eastAsia" w:ascii="方正小标宋_GBK" w:hAnsi="方正小标宋_GBK" w:eastAsia="方正小标宋_GBK" w:cs="方正小标宋_GBK"/>
          <w:b w:val="0"/>
          <w:bCs/>
          <w:sz w:val="36"/>
          <w:szCs w:val="44"/>
        </w:rPr>
      </w:pPr>
    </w:p>
    <w:p w14:paraId="6CA81FFB">
      <w:pPr>
        <w:jc w:val="center"/>
        <w:rPr>
          <w:rFonts w:ascii="仿宋_GB2312" w:hAnsi="华文中宋"/>
          <w:bCs/>
          <w:szCs w:val="32"/>
        </w:rPr>
      </w:pPr>
    </w:p>
    <w:p w14:paraId="22A60970">
      <w:pPr>
        <w:ind w:firstLine="643" w:firstLineChars="200"/>
        <w:rPr>
          <w:rFonts w:hint="eastAsia" w:ascii="仿宋" w:hAnsi="仿宋" w:eastAsia="仿宋" w:cs="仿宋"/>
          <w:b/>
          <w:bCs w:val="0"/>
          <w:sz w:val="32"/>
          <w:szCs w:val="32"/>
          <w:lang w:eastAsia="zh-CN"/>
        </w:rPr>
      </w:pPr>
      <w:r>
        <w:rPr>
          <w:rFonts w:hint="eastAsia" w:ascii="仿宋" w:hAnsi="仿宋" w:eastAsia="仿宋" w:cs="仿宋"/>
          <w:b/>
          <w:bCs w:val="0"/>
          <w:sz w:val="32"/>
          <w:szCs w:val="32"/>
        </w:rPr>
        <w:t>一、</w:t>
      </w:r>
      <w:r>
        <w:rPr>
          <w:rFonts w:hint="eastAsia" w:ascii="仿宋" w:hAnsi="仿宋" w:eastAsia="仿宋" w:cs="仿宋"/>
          <w:b/>
          <w:bCs w:val="0"/>
          <w:sz w:val="32"/>
          <w:szCs w:val="32"/>
          <w:lang w:eastAsia="zh-CN"/>
        </w:rPr>
        <w:t>基本情况</w:t>
      </w:r>
    </w:p>
    <w:p w14:paraId="70081F2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（一）转移支付概况。</w:t>
      </w:r>
    </w:p>
    <w:p w14:paraId="2F7C641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此项目资金主要用于支持扩大国家免疫规划、艾滋病防治、结核病防治、血吸虫病与包虫病防治、精神卫生与慢性非传染性疾病防治、新冠肺炎重点传染病监测等工作。</w:t>
      </w:r>
    </w:p>
    <w:p w14:paraId="1C4D569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拨付红原县人民医院总金额102.33万元用于结核病防治专项工作。</w:t>
      </w:r>
    </w:p>
    <w:p w14:paraId="7C855F02">
      <w:pPr>
        <w:numPr>
          <w:ilvl w:val="0"/>
          <w:numId w:val="9"/>
        </w:numPr>
        <w:ind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lang w:eastAsia="zh-CN"/>
        </w:rPr>
        <w:t>整体绩效目标情况。</w:t>
      </w:r>
      <w:r>
        <w:rPr>
          <w:rFonts w:hint="eastAsia" w:ascii="仿宋" w:hAnsi="仿宋" w:eastAsia="仿宋" w:cs="仿宋"/>
          <w:b/>
          <w:bCs/>
          <w:sz w:val="32"/>
          <w:szCs w:val="32"/>
        </w:rPr>
        <w:tab/>
      </w:r>
    </w:p>
    <w:p w14:paraId="063B5EF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产出指标情况：此项目设置三个二级指标：数量指标、质量指标、时效指标，各自分别对应两个三级指标，其中：筛查学生人次指标值为：10415，实际完成：11261；筛查僧尼人次指标值为：1359，实际完成值为：868；筛查结果准确性误诊率指标值为：0，实际值为：0；筛查工作规范性指标值为100%，实际值为：100%；筛查任务完成及时性指标值为：100%，实际值为：100%；报告出具及时性指标值为：11261，实际值为：10891。</w:t>
      </w:r>
    </w:p>
    <w:p w14:paraId="5C192CB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效益指标情况：此项目设置二级指标四个，分别为：经济效益指标、社会效益指标、生态效益指标、可持续影响指标，各自对应三级指标及目标值。</w:t>
      </w:r>
    </w:p>
    <w:p w14:paraId="3E25107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经济效益指标 要求：早起筛查发现并及时治疗，使后期严重病例明显减少，其目标值为重症患者占比&lt;5%，实际值0；因疾病得到预防，患者人数减少，或者早发现及时治疗，患者预后较好，劳动力得到保障，其所创造的价值逐渐增多，目标值为：创造值&gt;0，结合目前我院了解的数据，无因结核及其相关并发症为主要死亡原因引起死亡的情况，故该项指标确定完成。</w:t>
      </w:r>
    </w:p>
    <w:p w14:paraId="31153A4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社会效益指标 结核防止工作开展最有效的评估数据即为罹患率，2024年我县结核病罹患率为：0.27‰，该项指标完成。</w:t>
      </w:r>
    </w:p>
    <w:p w14:paraId="5DED35E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生态效益指标  结核菌素可能存在于环境中，就目前现有结核病罹患率看，环境得到有效改善，该项指标完成。</w:t>
      </w:r>
    </w:p>
    <w:p w14:paraId="47070BB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可持续影响指标 结核疾病防治工作持续推进最终目的是完全清除该项疾病，其持续影响力在于前三个指标的汇总；当通过宣传、义诊等活动提升了当地居民疾病认知以后，再辅以积极筛查、早期治疗、跟踪随访、定期复查等工作，目前患病率确实明显下降，故该项工作已产生可持续的影响力，该指标完成。</w:t>
      </w:r>
    </w:p>
    <w:p w14:paraId="0DF8491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sz w:val="32"/>
          <w:szCs w:val="32"/>
        </w:rPr>
      </w:pPr>
      <w:r>
        <w:rPr>
          <w:rFonts w:hint="eastAsia" w:ascii="仿宋" w:hAnsi="仿宋" w:eastAsia="仿宋" w:cs="仿宋"/>
          <w:kern w:val="2"/>
          <w:sz w:val="32"/>
          <w:szCs w:val="32"/>
          <w:lang w:val="en-US" w:eastAsia="zh-CN" w:bidi="ar-SA"/>
        </w:rPr>
        <w:t>服务对象满意度指标情况：此项目设置三级指标群众满意度，指标内容为满意程度，指标值≥95%，实际完成值接近100%。</w:t>
      </w:r>
    </w:p>
    <w:p w14:paraId="0D375C2C">
      <w:pPr>
        <w:ind w:firstLine="643" w:firstLineChars="200"/>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二、综合评价结论</w:t>
      </w:r>
    </w:p>
    <w:p w14:paraId="617A91D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整体项目得分为 92.5分，资金投入指标得分4.5分，资金管理得分40分，产出指标28分，效益指标15分，满意度指标中服务对象满意度得分5分。</w:t>
      </w:r>
    </w:p>
    <w:p w14:paraId="00CA75EC">
      <w:pPr>
        <w:ind w:firstLine="643" w:firstLineChars="200"/>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三</w:t>
      </w:r>
      <w:r>
        <w:rPr>
          <w:rFonts w:hint="eastAsia" w:ascii="仿宋" w:hAnsi="仿宋" w:eastAsia="仿宋" w:cs="仿宋"/>
          <w:b/>
          <w:bCs w:val="0"/>
          <w:sz w:val="32"/>
          <w:szCs w:val="32"/>
        </w:rPr>
        <w:t>、</w:t>
      </w:r>
      <w:r>
        <w:rPr>
          <w:rFonts w:hint="eastAsia" w:ascii="仿宋" w:hAnsi="仿宋" w:eastAsia="仿宋" w:cs="仿宋"/>
          <w:b/>
          <w:bCs w:val="0"/>
          <w:sz w:val="32"/>
          <w:szCs w:val="32"/>
          <w:lang w:eastAsia="zh-CN"/>
        </w:rPr>
        <w:t>绩效情况分析</w:t>
      </w:r>
    </w:p>
    <w:p w14:paraId="121FD93D">
      <w:pPr>
        <w:ind w:firstLine="643" w:firstLineChars="200"/>
        <w:outlineLvl w:val="0"/>
        <w:rPr>
          <w:rFonts w:hint="eastAsia" w:ascii="仿宋" w:hAnsi="仿宋" w:eastAsia="仿宋" w:cs="仿宋"/>
          <w:kern w:val="2"/>
          <w:sz w:val="32"/>
          <w:szCs w:val="32"/>
          <w:lang w:val="en-US" w:eastAsia="zh-CN" w:bidi="ar-SA"/>
        </w:rPr>
      </w:pPr>
      <w:r>
        <w:rPr>
          <w:rFonts w:hint="eastAsia" w:ascii="仿宋" w:hAnsi="仿宋" w:eastAsia="仿宋" w:cs="仿宋"/>
          <w:b/>
          <w:bCs/>
          <w:sz w:val="32"/>
          <w:szCs w:val="32"/>
        </w:rPr>
        <w:t>（一）资金情况分析。</w:t>
      </w:r>
      <w:r>
        <w:rPr>
          <w:rFonts w:hint="eastAsia" w:ascii="仿宋" w:hAnsi="仿宋" w:eastAsia="仿宋" w:cs="仿宋"/>
          <w:kern w:val="2"/>
          <w:sz w:val="32"/>
          <w:szCs w:val="32"/>
          <w:lang w:val="en-US" w:eastAsia="zh-CN" w:bidi="ar-SA"/>
        </w:rPr>
        <w:t>该项目总下达资金102.33万元，资金及时到位，84.92万元已用于结核疾病筛查工作。</w:t>
      </w:r>
    </w:p>
    <w:p w14:paraId="7F9E2E93">
      <w:pPr>
        <w:ind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eastAsia="zh-CN"/>
        </w:rPr>
        <w:t>资金管理情况分析</w:t>
      </w:r>
      <w:r>
        <w:rPr>
          <w:rFonts w:hint="eastAsia" w:ascii="仿宋" w:hAnsi="仿宋" w:eastAsia="仿宋" w:cs="仿宋"/>
          <w:b/>
          <w:bCs/>
          <w:sz w:val="32"/>
          <w:szCs w:val="32"/>
        </w:rPr>
        <w:t>。</w:t>
      </w:r>
    </w:p>
    <w:p w14:paraId="5A4BC26E">
      <w:pPr>
        <w:ind w:firstLine="640" w:firstLineChars="200"/>
        <w:outlineLvl w:val="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该资金分配合理、及时下达、拨付合规、使用合理、执行准确、全面实现预算绩效管理。</w:t>
      </w:r>
    </w:p>
    <w:p w14:paraId="58F2BBB5">
      <w:pPr>
        <w:numPr>
          <w:ilvl w:val="0"/>
          <w:numId w:val="9"/>
        </w:numPr>
        <w:ind w:left="0" w:leftChars="0"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rPr>
        <w:t>绩效指标完成情况分析。</w:t>
      </w:r>
    </w:p>
    <w:p w14:paraId="548F2F56">
      <w:pPr>
        <w:ind w:firstLine="640" w:firstLineChars="200"/>
        <w:outlineLvl w:val="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结合第一部分介绍，我院该项目12项三级指标中仅有2项未完成，其余均完成甚至超额完成；针对未完成指标，筛查僧尼人次指标值为：1359，实际完成值为：868，其原因为：因部分僧尼在外佛学院学习一年；报告出具及时性指标值为：11261，实际值为：10891，未完成原因为：学生放假未能及时查看皮试结果。</w:t>
      </w:r>
    </w:p>
    <w:p w14:paraId="577BCF08">
      <w:pPr>
        <w:ind w:firstLine="643" w:firstLineChars="200"/>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三、偏离绩效目标的原因和下一步改进措施</w:t>
      </w:r>
    </w:p>
    <w:p w14:paraId="6466F5E3">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全年</w:t>
      </w:r>
      <w:r>
        <w:rPr>
          <w:rFonts w:hint="eastAsia" w:ascii="仿宋" w:hAnsi="仿宋" w:eastAsia="仿宋" w:cs="仿宋"/>
          <w:sz w:val="32"/>
          <w:szCs w:val="32"/>
        </w:rPr>
        <w:t>总体绩效目标</w:t>
      </w:r>
      <w:r>
        <w:rPr>
          <w:rFonts w:hint="eastAsia" w:ascii="仿宋" w:hAnsi="仿宋" w:eastAsia="仿宋" w:cs="仿宋"/>
          <w:sz w:val="32"/>
          <w:szCs w:val="32"/>
          <w:lang w:eastAsia="zh-CN"/>
        </w:rPr>
        <w:t>已完成。</w:t>
      </w:r>
    </w:p>
    <w:p w14:paraId="488D0A9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绩效指标</w:t>
      </w:r>
      <w:r>
        <w:rPr>
          <w:rFonts w:hint="eastAsia" w:ascii="仿宋" w:hAnsi="仿宋" w:eastAsia="仿宋" w:cs="仿宋"/>
          <w:sz w:val="32"/>
          <w:szCs w:val="32"/>
          <w:lang w:eastAsia="zh-CN"/>
        </w:rPr>
        <w:t>中未完成部分主要是僧尼筛查和报告出具及时性，后期改善措施如下：</w:t>
      </w:r>
    </w:p>
    <w:p w14:paraId="7CBC864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1.针对僧尼，提前联系所有寺庙，确定在寺人数，对于不在寺内的明确原因，若短时外出，则联系在筛查期内返回完成筛查；若长期在外，则联系僧尼外出所在寺庙开展相关工作，并从应检总数中予以排除；</w:t>
      </w:r>
    </w:p>
    <w:p w14:paraId="0157B35B">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2.针对报告出具及时性问题 提前与学习协商、沟通，明确大概放假时间，根据学校安排，动态调整筛查工作的开展计划，以保证在学生放假之前查看所有结果，保证报告的及时出具。</w:t>
      </w:r>
    </w:p>
    <w:p w14:paraId="41E2C957">
      <w:pPr>
        <w:numPr>
          <w:ilvl w:val="0"/>
          <w:numId w:val="10"/>
        </w:numPr>
        <w:ind w:firstLine="640" w:firstLineChars="200"/>
        <w:rPr>
          <w:rFonts w:hint="eastAsia" w:ascii="仿宋" w:hAnsi="仿宋" w:eastAsia="仿宋" w:cs="仿宋"/>
          <w:bCs/>
          <w:sz w:val="32"/>
          <w:szCs w:val="32"/>
        </w:rPr>
      </w:pPr>
      <w:r>
        <w:rPr>
          <w:rFonts w:hint="eastAsia" w:ascii="仿宋" w:hAnsi="仿宋" w:eastAsia="仿宋" w:cs="仿宋"/>
          <w:bCs/>
          <w:sz w:val="32"/>
          <w:szCs w:val="32"/>
        </w:rPr>
        <w:t>绩效自评结果拟应用和公开情况</w:t>
      </w:r>
    </w:p>
    <w:p w14:paraId="7B48B249">
      <w:pPr>
        <w:numPr>
          <w:ilvl w:val="0"/>
          <w:numId w:val="0"/>
        </w:numPr>
        <w:ind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绩效自评结果已公开，自评结果为优。</w:t>
      </w:r>
    </w:p>
    <w:p w14:paraId="3ED74630">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五、其他需要说明的问题</w:t>
      </w:r>
    </w:p>
    <w:p w14:paraId="416DE989">
      <w:pPr>
        <w:ind w:firstLine="640" w:firstLineChars="200"/>
        <w:rPr>
          <w:rFonts w:hint="eastAsia" w:ascii="仿宋" w:hAnsi="仿宋" w:eastAsia="仿宋" w:cs="仿宋"/>
          <w:sz w:val="32"/>
          <w:szCs w:val="32"/>
        </w:rPr>
      </w:pPr>
      <w:r>
        <w:rPr>
          <w:rFonts w:hint="eastAsia" w:ascii="仿宋" w:hAnsi="仿宋" w:eastAsia="仿宋" w:cs="仿宋"/>
          <w:sz w:val="32"/>
          <w:szCs w:val="32"/>
        </w:rPr>
        <w:t>中央巡视、各级审计和财政监督中</w:t>
      </w:r>
      <w:r>
        <w:rPr>
          <w:rFonts w:hint="eastAsia" w:ascii="仿宋" w:hAnsi="仿宋" w:eastAsia="仿宋" w:cs="仿宋"/>
          <w:sz w:val="32"/>
          <w:szCs w:val="32"/>
          <w:lang w:eastAsia="zh-CN"/>
        </w:rPr>
        <w:t>未</w:t>
      </w:r>
      <w:r>
        <w:rPr>
          <w:rFonts w:hint="eastAsia" w:ascii="仿宋" w:hAnsi="仿宋" w:eastAsia="仿宋" w:cs="仿宋"/>
          <w:sz w:val="32"/>
          <w:szCs w:val="32"/>
        </w:rPr>
        <w:t>发现问题。</w:t>
      </w:r>
    </w:p>
    <w:p w14:paraId="3D3F11F6">
      <w:pPr>
        <w:ind w:firstLine="640" w:firstLineChars="200"/>
        <w:rPr>
          <w:rFonts w:hint="eastAsia" w:ascii="仿宋" w:hAnsi="仿宋" w:eastAsia="仿宋" w:cs="仿宋"/>
          <w:sz w:val="32"/>
          <w:szCs w:val="32"/>
        </w:rPr>
      </w:pPr>
    </w:p>
    <w:p w14:paraId="040E4B80">
      <w:pPr>
        <w:pStyle w:val="2"/>
        <w:rPr>
          <w:rFonts w:hint="eastAsia" w:ascii="仿宋" w:hAnsi="仿宋" w:eastAsia="仿宋" w:cs="仿宋"/>
          <w:sz w:val="32"/>
          <w:szCs w:val="32"/>
        </w:rPr>
      </w:pPr>
    </w:p>
    <w:p w14:paraId="78061984">
      <w:pPr>
        <w:rPr>
          <w:rFonts w:hint="eastAsia" w:ascii="仿宋" w:hAnsi="仿宋" w:eastAsia="仿宋" w:cs="仿宋"/>
          <w:sz w:val="32"/>
          <w:szCs w:val="32"/>
        </w:rPr>
      </w:pPr>
    </w:p>
    <w:p w14:paraId="41607BE2">
      <w:pPr>
        <w:pStyle w:val="2"/>
        <w:rPr>
          <w:rFonts w:hint="eastAsia" w:ascii="仿宋" w:hAnsi="仿宋" w:eastAsia="仿宋" w:cs="仿宋"/>
          <w:sz w:val="32"/>
          <w:szCs w:val="32"/>
        </w:rPr>
      </w:pPr>
    </w:p>
    <w:p w14:paraId="6806CC9C">
      <w:pPr>
        <w:rPr>
          <w:rFonts w:hint="eastAsia" w:ascii="仿宋" w:hAnsi="仿宋" w:eastAsia="仿宋" w:cs="仿宋"/>
          <w:sz w:val="32"/>
          <w:szCs w:val="32"/>
        </w:rPr>
      </w:pPr>
    </w:p>
    <w:p w14:paraId="400B4BDC">
      <w:pPr>
        <w:pStyle w:val="2"/>
        <w:rPr>
          <w:rFonts w:hint="eastAsia"/>
        </w:rPr>
      </w:pPr>
    </w:p>
    <w:p w14:paraId="008BFC3C">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大标宋简体" w:hAnsi="方正大标宋简体" w:eastAsia="方正大标宋简体" w:cs="方正大标宋简体"/>
          <w:b/>
          <w:color w:val="000000"/>
          <w:kern w:val="0"/>
          <w:sz w:val="44"/>
          <w:szCs w:val="44"/>
          <w:lang w:val="en-US" w:eastAsia="zh-CN" w:bidi="ar"/>
        </w:rPr>
      </w:pPr>
      <w:r>
        <w:rPr>
          <w:rFonts w:hint="eastAsia" w:ascii="方正大标宋简体" w:hAnsi="方正大标宋简体" w:eastAsia="方正大标宋简体" w:cs="方正大标宋简体"/>
          <w:b/>
          <w:color w:val="000000"/>
          <w:kern w:val="0"/>
          <w:sz w:val="44"/>
          <w:szCs w:val="44"/>
          <w:lang w:val="en-US" w:eastAsia="zh-CN" w:bidi="ar"/>
        </w:rPr>
        <w:t>红原县人民医院</w:t>
      </w:r>
    </w:p>
    <w:p w14:paraId="310B45F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大标宋简体" w:hAnsi="方正大标宋简体" w:eastAsia="方正大标宋简体" w:cs="方正大标宋简体"/>
          <w:b/>
          <w:color w:val="000000"/>
          <w:kern w:val="0"/>
          <w:sz w:val="44"/>
          <w:szCs w:val="44"/>
          <w:lang w:val="en-US" w:eastAsia="zh-CN" w:bidi="ar"/>
        </w:rPr>
      </w:pPr>
      <w:r>
        <w:rPr>
          <w:rFonts w:hint="eastAsia" w:ascii="方正大标宋简体" w:hAnsi="方正大标宋简体" w:eastAsia="方正大标宋简体" w:cs="方正大标宋简体"/>
          <w:b/>
          <w:color w:val="000000"/>
          <w:kern w:val="0"/>
          <w:sz w:val="44"/>
          <w:szCs w:val="44"/>
          <w:lang w:val="en-US" w:eastAsia="zh-CN" w:bidi="ar"/>
        </w:rPr>
        <w:t>2024年度部门整体支出绩效评价自评报告</w:t>
      </w:r>
    </w:p>
    <w:p w14:paraId="05B61142">
      <w:pPr>
        <w:keepNext w:val="0"/>
        <w:keepLines w:val="0"/>
        <w:pageBreakBefore w:val="0"/>
        <w:widowControl/>
        <w:kinsoku/>
        <w:wordWrap/>
        <w:overflowPunct/>
        <w:topLinePunct w:val="0"/>
        <w:bidi w:val="0"/>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14:paraId="7B8BBF8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0E7440A0">
      <w:pPr>
        <w:pStyle w:val="9"/>
        <w:keepNext w:val="0"/>
        <w:keepLines w:val="0"/>
        <w:pageBreakBefore w:val="0"/>
        <w:kinsoku/>
        <w:wordWrap/>
        <w:overflowPunct/>
        <w:topLinePunct w:val="0"/>
        <w:bidi w:val="0"/>
        <w:spacing w:line="560" w:lineRule="exact"/>
        <w:ind w:left="0" w:leftChars="0" w:firstLine="643" w:firstLineChars="200"/>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（一）机构组成。</w:t>
      </w:r>
    </w:p>
    <w:p w14:paraId="5C3B908E">
      <w:pPr>
        <w:pStyle w:val="9"/>
        <w:keepNext w:val="0"/>
        <w:keepLines w:val="0"/>
        <w:pageBreakBefore w:val="0"/>
        <w:kinsoku/>
        <w:wordWrap/>
        <w:overflowPunct/>
        <w:topLinePunct w:val="0"/>
        <w:bidi w:val="0"/>
        <w:spacing w:line="560" w:lineRule="exact"/>
        <w:ind w:left="0" w:leftChars="0" w:firstLine="640" w:firstLineChars="200"/>
        <w:rPr>
          <w:rFonts w:hint="eastAsia" w:ascii="仿宋" w:hAnsi="仿宋" w:eastAsia="仿宋" w:cs="仿宋"/>
          <w:color w:val="000000"/>
          <w:kern w:val="0"/>
          <w:sz w:val="32"/>
          <w:szCs w:val="32"/>
          <w:lang w:val="en-US" w:eastAsia="zh-CN" w:bidi="ar-SA"/>
        </w:rPr>
      </w:pPr>
      <w:r>
        <w:rPr>
          <w:rFonts w:hint="eastAsia" w:ascii="仿宋" w:hAnsi="仿宋" w:eastAsia="仿宋" w:cs="仿宋"/>
          <w:b w:val="0"/>
          <w:bCs/>
          <w:kern w:val="0"/>
          <w:sz w:val="32"/>
          <w:szCs w:val="32"/>
          <w:lang w:val="en-US" w:eastAsia="zh-CN" w:bidi="ar"/>
        </w:rPr>
        <w:t>1.</w:t>
      </w:r>
      <w:r>
        <w:rPr>
          <w:rFonts w:hint="eastAsia" w:ascii="仿宋" w:hAnsi="仿宋" w:eastAsia="仿宋" w:cs="仿宋"/>
          <w:color w:val="000000"/>
          <w:kern w:val="0"/>
          <w:sz w:val="32"/>
          <w:szCs w:val="32"/>
          <w:lang w:val="en-US" w:eastAsia="zh-CN" w:bidi="ar-SA"/>
        </w:rPr>
        <w:t>设临床科室13个：内科、外科、妇产科、儿科、急诊科、五官科、口腔科、麻醉科、中医康复科、皮肤科、疼痛科、精神科、血液透析中心等科室。</w:t>
      </w:r>
      <w:r>
        <w:rPr>
          <w:rFonts w:hint="eastAsia" w:ascii="仿宋" w:hAnsi="仿宋" w:eastAsia="仿宋" w:cs="仿宋"/>
          <w:color w:val="000000"/>
          <w:kern w:val="0"/>
          <w:sz w:val="32"/>
          <w:szCs w:val="32"/>
          <w:lang w:val="en-US" w:eastAsia="zh-CN" w:bidi="ar-SA"/>
        </w:rPr>
        <w:br w:type="textWrapping"/>
      </w:r>
      <w:r>
        <w:rPr>
          <w:rFonts w:hint="eastAsia" w:ascii="仿宋" w:hAnsi="仿宋" w:eastAsia="仿宋" w:cs="仿宋"/>
          <w:color w:val="000000"/>
          <w:kern w:val="0"/>
          <w:sz w:val="32"/>
          <w:szCs w:val="32"/>
          <w:lang w:val="en-US" w:eastAsia="zh-CN" w:bidi="ar-SA"/>
        </w:rPr>
        <w:t xml:space="preserve">     </w:t>
      </w:r>
      <w:r>
        <w:rPr>
          <w:rFonts w:hint="eastAsia" w:ascii="仿宋" w:hAnsi="仿宋" w:eastAsia="仿宋" w:cs="仿宋"/>
          <w:b w:val="0"/>
          <w:bCs/>
          <w:kern w:val="0"/>
          <w:sz w:val="32"/>
          <w:szCs w:val="32"/>
          <w:lang w:val="en-US" w:eastAsia="zh-CN" w:bidi="ar"/>
        </w:rPr>
        <w:t>2.</w:t>
      </w:r>
      <w:r>
        <w:rPr>
          <w:rFonts w:hint="eastAsia" w:ascii="仿宋" w:hAnsi="仿宋" w:eastAsia="仿宋" w:cs="仿宋"/>
          <w:color w:val="000000"/>
          <w:kern w:val="0"/>
          <w:sz w:val="32"/>
          <w:szCs w:val="32"/>
          <w:lang w:val="en-US" w:eastAsia="zh-CN" w:bidi="ar-SA"/>
        </w:rPr>
        <w:t>设医疗辅助科室8个：药剂科、医学检验科（输血科）、医学影像科、手术室、消毒供应室、超声科、心电图室、体检科等医技科室。  </w:t>
      </w:r>
    </w:p>
    <w:p w14:paraId="13A8675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sz w:val="32"/>
          <w:szCs w:val="32"/>
        </w:rPr>
      </w:pPr>
      <w:r>
        <w:rPr>
          <w:rFonts w:hint="eastAsia" w:ascii="仿宋" w:hAnsi="仿宋" w:eastAsia="仿宋" w:cs="仿宋"/>
          <w:b w:val="0"/>
          <w:bCs/>
          <w:kern w:val="0"/>
          <w:sz w:val="32"/>
          <w:szCs w:val="32"/>
          <w:lang w:val="en-US" w:eastAsia="zh-CN" w:bidi="ar"/>
        </w:rPr>
        <w:t>3.</w:t>
      </w:r>
      <w:r>
        <w:rPr>
          <w:rFonts w:hint="eastAsia" w:ascii="仿宋" w:hAnsi="仿宋" w:eastAsia="仿宋" w:cs="仿宋"/>
          <w:color w:val="000000"/>
          <w:kern w:val="0"/>
          <w:sz w:val="32"/>
          <w:szCs w:val="32"/>
          <w:lang w:val="en-US" w:eastAsia="zh-CN" w:bidi="ar-SA"/>
        </w:rPr>
        <w:t>设职能科室8个：院感科、党政办公室、医务科、护理部、信息科、病案统计科、财务科、后勤保障科。</w:t>
      </w:r>
    </w:p>
    <w:p w14:paraId="62C8F9E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（二）机构职能。</w:t>
      </w:r>
    </w:p>
    <w:p w14:paraId="2CF60B57">
      <w:pPr>
        <w:pStyle w:val="7"/>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val="0"/>
          <w:bCs/>
          <w:kern w:val="0"/>
          <w:sz w:val="32"/>
          <w:szCs w:val="32"/>
          <w:lang w:val="en-US" w:eastAsia="zh-CN" w:bidi="ar"/>
        </w:rPr>
        <w:t>1.作为全县医疗业务技术服务中心，承担县内常见病、多发病的诊治任务，开展二级专科服务，承担急危重症抢救和复杂疑难病症诊治任务；2.作为县人民医院承担120急救和突发事故的现场抢救及院内急救；3.接受下级医疗卫生机构的转诊，指导乡（镇）卫生院做好医疗、康复、预防保健等业务技术工作；4.贯彻执行传染病预防诊治和管理工作，开展健康教育进行防病指导；5.承担基层医疗卫生机构卫生技术人员的进修和培训，承担医院校临床教学、实习任务；6.做好城镇职工基本医疗保险、城镇居民基本医疗保险等定点医疗机构的各项工作。参与卫生扶贫、重要会议与重大活动的医疗卫生保障工作。承担县委政府及县卫健局交办的其他卫生工作。</w:t>
      </w:r>
    </w:p>
    <w:p w14:paraId="1995387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highlight w:val="none"/>
          <w:shd w:val="clear" w:color="auto" w:fill="FFFFFF"/>
          <w:lang w:val="zh-CN"/>
        </w:rPr>
        <w:t>（三）人员概况。</w:t>
      </w:r>
      <w:r>
        <w:rPr>
          <w:rFonts w:hint="eastAsia" w:ascii="仿宋" w:hAnsi="仿宋" w:eastAsia="仿宋" w:cs="仿宋"/>
          <w:sz w:val="32"/>
          <w:szCs w:val="32"/>
        </w:rPr>
        <w:t>截至202</w:t>
      </w:r>
      <w:r>
        <w:rPr>
          <w:rFonts w:hint="eastAsia" w:ascii="仿宋" w:hAnsi="仿宋" w:eastAsia="仿宋" w:cs="仿宋"/>
          <w:sz w:val="32"/>
          <w:szCs w:val="32"/>
          <w:lang w:val="en-US" w:eastAsia="zh-CN"/>
        </w:rPr>
        <w:t>4</w:t>
      </w:r>
      <w:r>
        <w:rPr>
          <w:rFonts w:hint="eastAsia" w:ascii="仿宋" w:hAnsi="仿宋" w:eastAsia="仿宋" w:cs="仿宋"/>
          <w:sz w:val="32"/>
          <w:szCs w:val="32"/>
        </w:rPr>
        <w:t>年末，</w:t>
      </w:r>
      <w:r>
        <w:rPr>
          <w:rFonts w:hint="eastAsia" w:ascii="仿宋" w:hAnsi="仿宋" w:eastAsia="仿宋" w:cs="仿宋"/>
          <w:b w:val="0"/>
          <w:bCs/>
          <w:kern w:val="0"/>
          <w:sz w:val="32"/>
          <w:szCs w:val="32"/>
          <w:lang w:val="zh-CN" w:eastAsia="zh-CN" w:bidi="ar"/>
        </w:rPr>
        <w:t>本单位编制人数124人，全部为事业编制；</w:t>
      </w:r>
      <w:r>
        <w:rPr>
          <w:rFonts w:hint="eastAsia" w:ascii="仿宋" w:hAnsi="仿宋" w:eastAsia="仿宋" w:cs="仿宋"/>
          <w:b w:val="0"/>
          <w:bCs/>
          <w:kern w:val="0"/>
          <w:sz w:val="32"/>
          <w:szCs w:val="32"/>
          <w:lang w:val="en-US" w:eastAsia="zh-CN" w:bidi="ar"/>
        </w:rPr>
        <w:t>年末</w:t>
      </w:r>
      <w:r>
        <w:rPr>
          <w:rFonts w:hint="eastAsia" w:ascii="仿宋" w:hAnsi="仿宋" w:eastAsia="仿宋" w:cs="仿宋"/>
          <w:b w:val="0"/>
          <w:bCs/>
          <w:kern w:val="0"/>
          <w:sz w:val="32"/>
          <w:szCs w:val="32"/>
          <w:lang w:val="zh-CN" w:eastAsia="zh-CN" w:bidi="ar"/>
        </w:rPr>
        <w:t>实有人数</w:t>
      </w:r>
      <w:r>
        <w:rPr>
          <w:rFonts w:hint="eastAsia" w:ascii="仿宋" w:hAnsi="仿宋" w:eastAsia="仿宋" w:cs="仿宋"/>
          <w:b w:val="0"/>
          <w:bCs/>
          <w:kern w:val="0"/>
          <w:sz w:val="32"/>
          <w:szCs w:val="32"/>
          <w:lang w:val="en-US" w:eastAsia="zh-CN" w:bidi="ar"/>
        </w:rPr>
        <w:t>112</w:t>
      </w:r>
      <w:r>
        <w:rPr>
          <w:rFonts w:hint="eastAsia" w:ascii="仿宋" w:hAnsi="仿宋" w:eastAsia="仿宋" w:cs="仿宋"/>
          <w:b w:val="0"/>
          <w:bCs/>
          <w:kern w:val="0"/>
          <w:sz w:val="32"/>
          <w:szCs w:val="32"/>
          <w:lang w:val="zh-CN" w:eastAsia="zh-CN" w:bidi="ar"/>
        </w:rPr>
        <w:t>人。</w:t>
      </w:r>
    </w:p>
    <w:p w14:paraId="04FFF55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1C604F50">
      <w:pPr>
        <w:pStyle w:val="9"/>
        <w:keepNext w:val="0"/>
        <w:keepLines w:val="0"/>
        <w:pageBreakBefore w:val="0"/>
        <w:kinsoku/>
        <w:wordWrap/>
        <w:overflowPunct/>
        <w:topLinePunct w:val="0"/>
        <w:bidi w:val="0"/>
        <w:spacing w:line="560" w:lineRule="exact"/>
        <w:ind w:left="0" w:leftChars="0" w:firstLine="643" w:firstLineChars="200"/>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（一）收入情况。</w:t>
      </w:r>
    </w:p>
    <w:p w14:paraId="5E697D53">
      <w:pPr>
        <w:pStyle w:val="9"/>
        <w:keepNext w:val="0"/>
        <w:keepLines w:val="0"/>
        <w:pageBreakBefore w:val="0"/>
        <w:kinsoku/>
        <w:wordWrap/>
        <w:overflowPunct/>
        <w:topLinePunct w:val="0"/>
        <w:bidi w:val="0"/>
        <w:spacing w:line="560" w:lineRule="exact"/>
        <w:ind w:left="0" w:leftChars="0" w:firstLine="640" w:firstLineChars="200"/>
        <w:rPr>
          <w:rFonts w:hint="eastAsia" w:ascii="仿宋" w:hAnsi="仿宋" w:eastAsia="仿宋" w:cs="仿宋"/>
          <w:b/>
          <w:bCs/>
          <w:color w:val="000000"/>
          <w:kern w:val="0"/>
          <w:sz w:val="32"/>
          <w:szCs w:val="32"/>
          <w:highlight w:val="none"/>
          <w:shd w:val="clear" w:color="auto" w:fill="FFFFFF"/>
          <w:lang w:val="en-US"/>
        </w:rPr>
      </w:pPr>
      <w:r>
        <w:rPr>
          <w:rFonts w:hint="eastAsia" w:ascii="仿宋" w:hAnsi="仿宋" w:eastAsia="仿宋" w:cs="仿宋"/>
          <w:color w:val="000000"/>
          <w:kern w:val="0"/>
          <w:sz w:val="32"/>
          <w:szCs w:val="32"/>
          <w:shd w:val="clear" w:color="auto" w:fill="FFFFFF"/>
          <w:lang w:val="en-US" w:eastAsia="zh-CN" w:bidi="ar-SA"/>
        </w:rPr>
        <w:t>单位2024年年初预算收入</w:t>
      </w:r>
      <w:r>
        <w:rPr>
          <w:rFonts w:hint="eastAsia" w:ascii="仿宋" w:hAnsi="仿宋" w:eastAsia="仿宋" w:cs="仿宋"/>
          <w:color w:val="000000"/>
          <w:kern w:val="0"/>
          <w:sz w:val="32"/>
          <w:szCs w:val="32"/>
          <w:highlight w:val="none"/>
          <w:shd w:val="clear" w:color="auto" w:fill="FFFFFF"/>
          <w:lang w:val="en-US" w:eastAsia="zh-CN" w:bidi="ar-SA"/>
        </w:rPr>
        <w:t>5778.61</w:t>
      </w:r>
      <w:r>
        <w:rPr>
          <w:rFonts w:hint="eastAsia" w:ascii="仿宋" w:hAnsi="仿宋" w:eastAsia="仿宋" w:cs="仿宋"/>
          <w:color w:val="000000"/>
          <w:kern w:val="0"/>
          <w:sz w:val="32"/>
          <w:szCs w:val="32"/>
          <w:shd w:val="clear" w:color="auto" w:fill="FFFFFF"/>
          <w:lang w:val="en-US" w:eastAsia="zh-CN" w:bidi="ar-SA"/>
        </w:rPr>
        <w:t>万元，决算报表收入7185.66万元。2024年事业收入2375.93万元，占33.06%。财政收入总计4809.73万元，占 66.94%，其中：一般公共预算财政拨款收入4809.73万元，占 100%；政府性基金预算财政拨款收入0万元，占0%；国有资本经营预算财政拨款收入0.00万元，占 0.00%，</w:t>
      </w:r>
    </w:p>
    <w:p w14:paraId="54D7A9FA">
      <w:pPr>
        <w:keepNext w:val="0"/>
        <w:keepLines w:val="0"/>
        <w:pageBreakBefore w:val="0"/>
        <w:widowControl/>
        <w:numPr>
          <w:ilvl w:val="0"/>
          <w:numId w:val="11"/>
        </w:numPr>
        <w:kinsoku/>
        <w:wordWrap/>
        <w:overflowPunct/>
        <w:topLinePunct w:val="0"/>
        <w:bidi w:val="0"/>
        <w:adjustRightInd w:val="0"/>
        <w:snapToGrid w:val="0"/>
        <w:spacing w:line="560" w:lineRule="exact"/>
        <w:ind w:firstLine="643" w:firstLineChars="200"/>
        <w:contextualSpacing/>
        <w:jc w:val="left"/>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支出情况。</w:t>
      </w:r>
    </w:p>
    <w:p w14:paraId="784727E6">
      <w:pPr>
        <w:keepNext w:val="0"/>
        <w:keepLines w:val="0"/>
        <w:pageBreakBefore w:val="0"/>
        <w:widowControl/>
        <w:numPr>
          <w:ilvl w:val="0"/>
          <w:numId w:val="0"/>
        </w:numPr>
        <w:kinsoku/>
        <w:wordWrap/>
        <w:overflowPunct/>
        <w:topLinePunct w:val="0"/>
        <w:bidi w:val="0"/>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val="en-US" w:eastAsia="zh-CN" w:bidi="ar-SA"/>
        </w:rPr>
      </w:pPr>
      <w:r>
        <w:rPr>
          <w:rFonts w:hint="eastAsia" w:ascii="仿宋" w:hAnsi="仿宋" w:eastAsia="仿宋" w:cs="仿宋"/>
          <w:color w:val="000000"/>
          <w:kern w:val="0"/>
          <w:sz w:val="32"/>
          <w:szCs w:val="32"/>
          <w:shd w:val="clear" w:color="auto" w:fill="FFFFFF"/>
          <w:lang w:val="en-US" w:eastAsia="zh-CN" w:bidi="ar-SA"/>
        </w:rPr>
        <w:t>单位2024年年初预算支出情况</w:t>
      </w:r>
      <w:r>
        <w:rPr>
          <w:rFonts w:hint="eastAsia" w:ascii="仿宋" w:hAnsi="仿宋" w:eastAsia="仿宋" w:cs="仿宋"/>
          <w:color w:val="000000"/>
          <w:kern w:val="0"/>
          <w:sz w:val="32"/>
          <w:szCs w:val="32"/>
          <w:highlight w:val="none"/>
          <w:shd w:val="clear" w:color="auto" w:fill="FFFFFF"/>
          <w:lang w:val="en-US" w:eastAsia="zh-CN" w:bidi="ar-SA"/>
        </w:rPr>
        <w:t>5778.61</w:t>
      </w:r>
      <w:r>
        <w:rPr>
          <w:rFonts w:hint="eastAsia" w:ascii="仿宋" w:hAnsi="仿宋" w:eastAsia="仿宋" w:cs="仿宋"/>
          <w:color w:val="000000"/>
          <w:kern w:val="0"/>
          <w:sz w:val="32"/>
          <w:szCs w:val="32"/>
          <w:shd w:val="clear" w:color="auto" w:fill="FFFFFF"/>
          <w:lang w:val="en-US" w:eastAsia="zh-CN" w:bidi="ar-SA"/>
        </w:rPr>
        <w:t>万元，决算报表支出7185.53万元。</w:t>
      </w:r>
      <w:r>
        <w:rPr>
          <w:rFonts w:hint="eastAsia" w:ascii="仿宋" w:hAnsi="仿宋" w:eastAsia="仿宋" w:cs="仿宋"/>
          <w:color w:val="000000"/>
          <w:kern w:val="0"/>
          <w:sz w:val="32"/>
          <w:szCs w:val="32"/>
          <w:shd w:val="clear" w:color="auto" w:fill="FFFFFF"/>
          <w:lang w:val="zh-CN" w:eastAsia="zh-CN" w:bidi="ar-SA"/>
        </w:rPr>
        <w:t>202</w:t>
      </w:r>
      <w:r>
        <w:rPr>
          <w:rFonts w:hint="eastAsia" w:ascii="仿宋" w:hAnsi="仿宋" w:eastAsia="仿宋" w:cs="仿宋"/>
          <w:color w:val="000000"/>
          <w:kern w:val="0"/>
          <w:sz w:val="32"/>
          <w:szCs w:val="32"/>
          <w:shd w:val="clear" w:color="auto" w:fill="FFFFFF"/>
          <w:lang w:val="en-US" w:eastAsia="zh-CN" w:bidi="ar-SA"/>
        </w:rPr>
        <w:t>4</w:t>
      </w:r>
      <w:r>
        <w:rPr>
          <w:rFonts w:hint="eastAsia" w:ascii="仿宋" w:hAnsi="仿宋" w:eastAsia="仿宋" w:cs="仿宋"/>
          <w:color w:val="000000"/>
          <w:kern w:val="0"/>
          <w:sz w:val="32"/>
          <w:szCs w:val="32"/>
          <w:shd w:val="clear" w:color="auto" w:fill="FFFFFF"/>
          <w:lang w:val="zh-CN" w:eastAsia="zh-CN" w:bidi="ar-SA"/>
        </w:rPr>
        <w:t>年</w:t>
      </w:r>
      <w:r>
        <w:rPr>
          <w:rFonts w:hint="eastAsia" w:ascii="仿宋" w:hAnsi="仿宋" w:eastAsia="仿宋" w:cs="仿宋"/>
          <w:color w:val="000000"/>
          <w:kern w:val="0"/>
          <w:sz w:val="32"/>
          <w:szCs w:val="32"/>
          <w:shd w:val="clear" w:color="auto" w:fill="FFFFFF"/>
          <w:lang w:val="en-US" w:eastAsia="zh-CN" w:bidi="ar-SA"/>
        </w:rPr>
        <w:t>事业支出2375.80万元</w:t>
      </w:r>
      <w:r>
        <w:rPr>
          <w:rFonts w:hint="eastAsia" w:ascii="仿宋" w:hAnsi="仿宋" w:eastAsia="仿宋" w:cs="仿宋"/>
          <w:color w:val="000000"/>
          <w:kern w:val="0"/>
          <w:sz w:val="32"/>
          <w:szCs w:val="32"/>
          <w:shd w:val="clear" w:color="auto" w:fill="FFFFFF"/>
          <w:lang w:val="zh-CN" w:eastAsia="zh-CN" w:bidi="ar-SA"/>
        </w:rPr>
        <w:t>，占</w:t>
      </w:r>
      <w:r>
        <w:rPr>
          <w:rFonts w:hint="eastAsia" w:ascii="仿宋" w:hAnsi="仿宋" w:eastAsia="仿宋" w:cs="仿宋"/>
          <w:color w:val="000000"/>
          <w:kern w:val="0"/>
          <w:sz w:val="32"/>
          <w:szCs w:val="32"/>
          <w:shd w:val="clear" w:color="auto" w:fill="FFFFFF"/>
          <w:lang w:val="en-US" w:eastAsia="zh-CN" w:bidi="ar-SA"/>
        </w:rPr>
        <w:t>33.06</w:t>
      </w:r>
      <w:r>
        <w:rPr>
          <w:rFonts w:hint="eastAsia" w:ascii="仿宋" w:hAnsi="仿宋" w:eastAsia="仿宋" w:cs="仿宋"/>
          <w:color w:val="000000"/>
          <w:kern w:val="0"/>
          <w:sz w:val="32"/>
          <w:szCs w:val="32"/>
          <w:shd w:val="clear" w:color="auto" w:fill="FFFFFF"/>
          <w:lang w:val="zh-CN" w:eastAsia="zh-CN" w:bidi="ar-SA"/>
        </w:rPr>
        <w:t>%</w:t>
      </w:r>
      <w:r>
        <w:rPr>
          <w:rFonts w:hint="eastAsia" w:ascii="仿宋" w:hAnsi="仿宋" w:eastAsia="仿宋" w:cs="仿宋"/>
          <w:color w:val="000000"/>
          <w:kern w:val="0"/>
          <w:sz w:val="32"/>
          <w:szCs w:val="32"/>
          <w:shd w:val="clear" w:color="auto" w:fill="FFFFFF"/>
          <w:lang w:val="en-US" w:eastAsia="zh-CN" w:bidi="ar-SA"/>
        </w:rPr>
        <w:t>，</w:t>
      </w:r>
      <w:r>
        <w:rPr>
          <w:rFonts w:hint="eastAsia" w:ascii="仿宋" w:hAnsi="仿宋" w:eastAsia="仿宋" w:cs="仿宋"/>
          <w:color w:val="000000"/>
          <w:kern w:val="0"/>
          <w:sz w:val="32"/>
          <w:szCs w:val="32"/>
          <w:shd w:val="clear" w:color="auto" w:fill="FFFFFF"/>
          <w:lang w:val="zh-CN" w:eastAsia="zh-CN" w:bidi="ar-SA"/>
        </w:rPr>
        <w:t>主要用于卫生健康支出（类）</w:t>
      </w:r>
      <w:r>
        <w:rPr>
          <w:rFonts w:hint="eastAsia" w:ascii="仿宋" w:hAnsi="仿宋" w:eastAsia="仿宋" w:cs="仿宋"/>
          <w:color w:val="000000"/>
          <w:kern w:val="0"/>
          <w:sz w:val="32"/>
          <w:szCs w:val="32"/>
          <w:shd w:val="clear" w:color="auto" w:fill="FFFFFF"/>
          <w:lang w:val="en-US" w:eastAsia="zh-CN" w:bidi="ar-SA"/>
        </w:rPr>
        <w:t>2375.80万元。</w:t>
      </w:r>
      <w:r>
        <w:rPr>
          <w:rFonts w:hint="eastAsia" w:ascii="仿宋" w:hAnsi="仿宋" w:eastAsia="仿宋" w:cs="仿宋"/>
          <w:color w:val="000000"/>
          <w:kern w:val="0"/>
          <w:sz w:val="32"/>
          <w:szCs w:val="32"/>
          <w:shd w:val="clear" w:color="auto" w:fill="FFFFFF"/>
          <w:lang w:val="zh-CN" w:eastAsia="zh-CN" w:bidi="ar-SA"/>
        </w:rPr>
        <w:t>202</w:t>
      </w:r>
      <w:r>
        <w:rPr>
          <w:rFonts w:hint="eastAsia" w:ascii="仿宋" w:hAnsi="仿宋" w:eastAsia="仿宋" w:cs="仿宋"/>
          <w:color w:val="000000"/>
          <w:kern w:val="0"/>
          <w:sz w:val="32"/>
          <w:szCs w:val="32"/>
          <w:shd w:val="clear" w:color="auto" w:fill="FFFFFF"/>
          <w:lang w:val="en-US" w:eastAsia="zh-CN" w:bidi="ar-SA"/>
        </w:rPr>
        <w:t>4</w:t>
      </w:r>
      <w:r>
        <w:rPr>
          <w:rFonts w:hint="eastAsia" w:ascii="仿宋" w:hAnsi="仿宋" w:eastAsia="仿宋" w:cs="仿宋"/>
          <w:color w:val="000000"/>
          <w:kern w:val="0"/>
          <w:sz w:val="32"/>
          <w:szCs w:val="32"/>
          <w:shd w:val="clear" w:color="auto" w:fill="FFFFFF"/>
          <w:lang w:val="zh-CN" w:eastAsia="zh-CN" w:bidi="ar-SA"/>
        </w:rPr>
        <w:t>年一般公共预算财政拨款支出</w:t>
      </w:r>
      <w:r>
        <w:rPr>
          <w:rFonts w:hint="eastAsia" w:ascii="仿宋" w:hAnsi="仿宋" w:eastAsia="仿宋" w:cs="仿宋"/>
          <w:color w:val="000000"/>
          <w:kern w:val="0"/>
          <w:sz w:val="32"/>
          <w:szCs w:val="32"/>
          <w:shd w:val="clear" w:color="auto" w:fill="FFFFFF"/>
          <w:lang w:val="en-US" w:eastAsia="zh-CN" w:bidi="ar-SA"/>
        </w:rPr>
        <w:t>4809.73</w:t>
      </w:r>
      <w:r>
        <w:rPr>
          <w:rFonts w:hint="eastAsia" w:ascii="仿宋" w:hAnsi="仿宋" w:eastAsia="仿宋" w:cs="仿宋"/>
          <w:color w:val="000000"/>
          <w:kern w:val="0"/>
          <w:sz w:val="32"/>
          <w:szCs w:val="32"/>
          <w:shd w:val="clear" w:color="auto" w:fill="FFFFFF"/>
          <w:lang w:val="zh-CN" w:eastAsia="zh-CN" w:bidi="ar-SA"/>
        </w:rPr>
        <w:t>万元，占</w:t>
      </w:r>
      <w:r>
        <w:rPr>
          <w:rFonts w:hint="eastAsia" w:ascii="仿宋" w:hAnsi="仿宋" w:eastAsia="仿宋" w:cs="仿宋"/>
          <w:color w:val="000000"/>
          <w:kern w:val="0"/>
          <w:sz w:val="32"/>
          <w:szCs w:val="32"/>
          <w:shd w:val="clear" w:color="auto" w:fill="FFFFFF"/>
          <w:lang w:val="en-US" w:eastAsia="zh-CN" w:bidi="ar-SA"/>
        </w:rPr>
        <w:t>66.94</w:t>
      </w:r>
      <w:r>
        <w:rPr>
          <w:rFonts w:hint="eastAsia" w:ascii="仿宋" w:hAnsi="仿宋" w:eastAsia="仿宋" w:cs="仿宋"/>
          <w:color w:val="000000"/>
          <w:kern w:val="0"/>
          <w:sz w:val="32"/>
          <w:szCs w:val="32"/>
          <w:shd w:val="clear" w:color="auto" w:fill="FFFFFF"/>
          <w:lang w:val="zh-CN" w:eastAsia="zh-CN" w:bidi="ar-SA"/>
        </w:rPr>
        <w:t>%，主要用于以下方面:卫生健康支出（类）</w:t>
      </w:r>
      <w:r>
        <w:rPr>
          <w:rFonts w:hint="eastAsia" w:ascii="仿宋" w:hAnsi="仿宋" w:eastAsia="仿宋" w:cs="仿宋"/>
          <w:color w:val="000000"/>
          <w:kern w:val="0"/>
          <w:sz w:val="32"/>
          <w:szCs w:val="32"/>
          <w:shd w:val="clear" w:color="auto" w:fill="FFFFFF"/>
          <w:lang w:val="en-US" w:eastAsia="zh-CN" w:bidi="ar-SA"/>
        </w:rPr>
        <w:t>4098.84</w:t>
      </w:r>
      <w:r>
        <w:rPr>
          <w:rFonts w:hint="eastAsia" w:ascii="仿宋" w:hAnsi="仿宋" w:eastAsia="仿宋" w:cs="仿宋"/>
          <w:color w:val="000000"/>
          <w:kern w:val="0"/>
          <w:sz w:val="32"/>
          <w:szCs w:val="32"/>
          <w:shd w:val="clear" w:color="auto" w:fill="FFFFFF"/>
          <w:lang w:val="zh-CN" w:eastAsia="zh-CN" w:bidi="ar-SA"/>
        </w:rPr>
        <w:t>万元，占</w:t>
      </w:r>
      <w:r>
        <w:rPr>
          <w:rFonts w:hint="eastAsia" w:ascii="仿宋" w:hAnsi="仿宋" w:eastAsia="仿宋" w:cs="仿宋"/>
          <w:color w:val="000000"/>
          <w:kern w:val="0"/>
          <w:sz w:val="32"/>
          <w:szCs w:val="32"/>
          <w:shd w:val="clear" w:color="auto" w:fill="FFFFFF"/>
          <w:lang w:val="en-US" w:eastAsia="zh-CN" w:bidi="ar-SA"/>
        </w:rPr>
        <w:t>85.22</w:t>
      </w:r>
      <w:r>
        <w:rPr>
          <w:rFonts w:hint="eastAsia" w:ascii="仿宋" w:hAnsi="仿宋" w:eastAsia="仿宋" w:cs="仿宋"/>
          <w:color w:val="000000"/>
          <w:kern w:val="0"/>
          <w:sz w:val="32"/>
          <w:szCs w:val="32"/>
          <w:shd w:val="clear" w:color="auto" w:fill="FFFFFF"/>
          <w:lang w:val="zh-CN" w:eastAsia="zh-CN" w:bidi="ar-SA"/>
        </w:rPr>
        <w:t>%；</w:t>
      </w:r>
      <w:r>
        <w:rPr>
          <w:rFonts w:hint="eastAsia" w:ascii="仿宋" w:hAnsi="仿宋" w:eastAsia="仿宋" w:cs="仿宋"/>
          <w:color w:val="000000"/>
          <w:kern w:val="0"/>
          <w:sz w:val="32"/>
          <w:szCs w:val="32"/>
          <w:shd w:val="clear" w:color="auto" w:fill="FFFFFF"/>
          <w:lang w:val="en-US" w:eastAsia="zh-CN" w:bidi="ar-SA"/>
        </w:rPr>
        <w:t>社会保障和就业支出425.28，占8.84%；农林水支出69.84万元，占1.45%；住房保障支出215.77万元，占4.49%。</w:t>
      </w:r>
    </w:p>
    <w:p w14:paraId="45A1B913">
      <w:pPr>
        <w:keepNext w:val="0"/>
        <w:keepLines w:val="0"/>
        <w:pageBreakBefore w:val="0"/>
        <w:widowControl/>
        <w:numPr>
          <w:ilvl w:val="0"/>
          <w:numId w:val="11"/>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仿宋" w:hAnsi="仿宋" w:eastAsia="仿宋" w:cs="仿宋"/>
          <w:b/>
          <w:sz w:val="32"/>
          <w:szCs w:val="32"/>
          <w:lang w:eastAsia="zh-CN"/>
        </w:rPr>
      </w:pPr>
      <w:r>
        <w:rPr>
          <w:rFonts w:hint="eastAsia" w:ascii="仿宋" w:hAnsi="仿宋" w:eastAsia="仿宋" w:cs="仿宋"/>
          <w:b/>
          <w:sz w:val="32"/>
          <w:szCs w:val="32"/>
        </w:rPr>
        <w:t>结余分配和结转结余情况</w:t>
      </w:r>
      <w:r>
        <w:rPr>
          <w:rFonts w:hint="eastAsia" w:ascii="仿宋" w:hAnsi="仿宋" w:eastAsia="仿宋" w:cs="仿宋"/>
          <w:b/>
          <w:sz w:val="32"/>
          <w:szCs w:val="32"/>
          <w:lang w:eastAsia="zh-CN"/>
        </w:rPr>
        <w:t>。</w:t>
      </w:r>
    </w:p>
    <w:p w14:paraId="6AAD912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color w:val="000000"/>
          <w:kern w:val="0"/>
          <w:sz w:val="32"/>
          <w:szCs w:val="32"/>
          <w:highlight w:val="none"/>
          <w:shd w:val="clear" w:color="auto" w:fill="FFFFFF"/>
          <w:lang w:val="zh-CN" w:eastAsia="zh-CN"/>
        </w:rPr>
      </w:pPr>
      <w:r>
        <w:rPr>
          <w:rFonts w:hint="eastAsia" w:ascii="仿宋" w:hAnsi="仿宋" w:eastAsia="仿宋" w:cs="仿宋"/>
          <w:b w:val="0"/>
          <w:bCs w:val="0"/>
          <w:color w:val="000000"/>
          <w:kern w:val="0"/>
          <w:sz w:val="32"/>
          <w:szCs w:val="32"/>
          <w:highlight w:val="none"/>
          <w:shd w:val="clear" w:color="auto" w:fill="FFFFFF"/>
          <w:lang w:val="en-US" w:eastAsia="zh-CN"/>
        </w:rPr>
        <w:t>本单位</w:t>
      </w:r>
      <w:r>
        <w:rPr>
          <w:rFonts w:hint="eastAsia" w:ascii="仿宋" w:hAnsi="仿宋" w:eastAsia="仿宋" w:cs="仿宋"/>
          <w:sz w:val="32"/>
          <w:szCs w:val="32"/>
          <w:lang w:val="en-US" w:eastAsia="zh-CN"/>
        </w:rPr>
        <w:t>2024年决算报表</w:t>
      </w:r>
      <w:r>
        <w:rPr>
          <w:rFonts w:hint="eastAsia" w:ascii="仿宋" w:hAnsi="仿宋" w:eastAsia="仿宋" w:cs="仿宋"/>
          <w:b w:val="0"/>
          <w:bCs w:val="0"/>
          <w:color w:val="000000"/>
          <w:kern w:val="0"/>
          <w:sz w:val="32"/>
          <w:szCs w:val="32"/>
          <w:highlight w:val="none"/>
          <w:shd w:val="clear" w:color="auto" w:fill="FFFFFF"/>
          <w:lang w:val="en-US" w:eastAsia="zh-CN"/>
        </w:rPr>
        <w:t>结转结余情况。年初结转结余559.36万元、年末结转结余559.49万元。</w:t>
      </w:r>
    </w:p>
    <w:p w14:paraId="64B8080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47648B5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（一）部门预算总体绩效分析。</w:t>
      </w:r>
    </w:p>
    <w:p w14:paraId="4EF656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履职效能。</w:t>
      </w:r>
    </w:p>
    <w:p w14:paraId="751A11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0"/>
          <w:sz w:val="32"/>
          <w:szCs w:val="32"/>
          <w:highlight w:val="none"/>
          <w:shd w:val="clear" w:color="auto" w:fill="FFFFFF"/>
          <w:lang w:val="zh-CN"/>
        </w:rPr>
      </w:pPr>
      <w:r>
        <w:rPr>
          <w:rFonts w:hint="eastAsia" w:ascii="仿宋" w:hAnsi="仿宋" w:eastAsia="仿宋" w:cs="仿宋"/>
          <w:color w:val="auto"/>
          <w:kern w:val="0"/>
          <w:sz w:val="32"/>
          <w:szCs w:val="32"/>
          <w:highlight w:val="none"/>
          <w:shd w:val="clear" w:color="auto" w:fill="FFFFFF"/>
          <w:lang w:val="zh-CN"/>
        </w:rPr>
        <w:t>（</w:t>
      </w:r>
      <w:r>
        <w:rPr>
          <w:rFonts w:hint="eastAsia" w:ascii="仿宋" w:hAnsi="仿宋" w:eastAsia="仿宋" w:cs="仿宋"/>
          <w:color w:val="auto"/>
          <w:kern w:val="0"/>
          <w:sz w:val="32"/>
          <w:szCs w:val="32"/>
          <w:highlight w:val="none"/>
          <w:shd w:val="clear" w:color="auto" w:fill="FFFFFF"/>
          <w:lang w:val="en-US" w:eastAsia="zh-CN"/>
        </w:rPr>
        <w:t>1</w:t>
      </w:r>
      <w:r>
        <w:rPr>
          <w:rFonts w:hint="eastAsia" w:ascii="仿宋" w:hAnsi="仿宋" w:eastAsia="仿宋" w:cs="仿宋"/>
          <w:color w:val="auto"/>
          <w:kern w:val="0"/>
          <w:sz w:val="32"/>
          <w:szCs w:val="32"/>
          <w:highlight w:val="none"/>
          <w:shd w:val="clear" w:color="auto" w:fill="FFFFFF"/>
          <w:lang w:val="zh-CN"/>
        </w:rPr>
        <w:t>）基本公共卫生服务：对慢性非传染性疾病的管理率有所提高，对传染病和突发公共卫生事件的报告率达到95%以上；使城乡居民公共卫生差距不断缩小，基本公共卫生服务水平不断提高。（</w:t>
      </w:r>
      <w:r>
        <w:rPr>
          <w:rFonts w:hint="eastAsia" w:ascii="仿宋" w:hAnsi="仿宋" w:eastAsia="仿宋" w:cs="仿宋"/>
          <w:color w:val="auto"/>
          <w:kern w:val="0"/>
          <w:sz w:val="32"/>
          <w:szCs w:val="32"/>
          <w:highlight w:val="none"/>
          <w:shd w:val="clear" w:color="auto" w:fill="FFFFFF"/>
          <w:lang w:val="en-US" w:eastAsia="zh-CN"/>
        </w:rPr>
        <w:t>2</w:t>
      </w:r>
      <w:r>
        <w:rPr>
          <w:rFonts w:hint="eastAsia" w:ascii="仿宋" w:hAnsi="仿宋" w:eastAsia="仿宋" w:cs="仿宋"/>
          <w:color w:val="auto"/>
          <w:kern w:val="0"/>
          <w:sz w:val="32"/>
          <w:szCs w:val="32"/>
          <w:highlight w:val="none"/>
          <w:shd w:val="clear" w:color="auto" w:fill="FFFFFF"/>
          <w:lang w:val="zh-CN"/>
        </w:rPr>
        <w:t>）智慧医院建设2：逐步完善我院各项自助服务项目，节省患者等待时间。（</w:t>
      </w:r>
      <w:r>
        <w:rPr>
          <w:rFonts w:hint="eastAsia" w:ascii="仿宋" w:hAnsi="仿宋" w:eastAsia="仿宋" w:cs="仿宋"/>
          <w:color w:val="auto"/>
          <w:kern w:val="0"/>
          <w:sz w:val="32"/>
          <w:szCs w:val="32"/>
          <w:highlight w:val="none"/>
          <w:shd w:val="clear" w:color="auto" w:fill="FFFFFF"/>
          <w:lang w:val="en-US" w:eastAsia="zh-CN"/>
        </w:rPr>
        <w:t>3</w:t>
      </w:r>
      <w:r>
        <w:rPr>
          <w:rFonts w:hint="eastAsia" w:ascii="仿宋" w:hAnsi="仿宋" w:eastAsia="仿宋" w:cs="仿宋"/>
          <w:color w:val="auto"/>
          <w:kern w:val="0"/>
          <w:sz w:val="32"/>
          <w:szCs w:val="32"/>
          <w:highlight w:val="none"/>
          <w:shd w:val="clear" w:color="auto" w:fill="FFFFFF"/>
          <w:lang w:val="zh-CN"/>
        </w:rPr>
        <w:t>）帮扶团队工作经费：以提升诊疗能力、培养人才队伍、加强医院管理为重点，持续推动县级医院综合能力提升，为人民群众提供更高质量的健康保障。（</w:t>
      </w:r>
      <w:r>
        <w:rPr>
          <w:rFonts w:hint="eastAsia" w:ascii="仿宋" w:hAnsi="仿宋" w:eastAsia="仿宋" w:cs="仿宋"/>
          <w:color w:val="auto"/>
          <w:kern w:val="0"/>
          <w:sz w:val="32"/>
          <w:szCs w:val="32"/>
          <w:highlight w:val="none"/>
          <w:shd w:val="clear" w:color="auto" w:fill="FFFFFF"/>
          <w:lang w:val="en-US" w:eastAsia="zh-CN"/>
        </w:rPr>
        <w:t>4</w:t>
      </w:r>
      <w:r>
        <w:rPr>
          <w:rFonts w:hint="eastAsia" w:ascii="仿宋" w:hAnsi="仿宋" w:eastAsia="仿宋" w:cs="仿宋"/>
          <w:color w:val="auto"/>
          <w:kern w:val="0"/>
          <w:sz w:val="32"/>
          <w:szCs w:val="32"/>
          <w:highlight w:val="none"/>
          <w:shd w:val="clear" w:color="auto" w:fill="FFFFFF"/>
          <w:lang w:val="zh-CN"/>
        </w:rPr>
        <w:t>）红原县人民医院应急医疗救治能力提升项目：通过项目实现患者信息安全及电子化就医。（</w:t>
      </w:r>
      <w:r>
        <w:rPr>
          <w:rFonts w:hint="eastAsia" w:ascii="仿宋" w:hAnsi="仿宋" w:eastAsia="仿宋" w:cs="仿宋"/>
          <w:color w:val="auto"/>
          <w:kern w:val="0"/>
          <w:sz w:val="32"/>
          <w:szCs w:val="32"/>
          <w:highlight w:val="none"/>
          <w:shd w:val="clear" w:color="auto" w:fill="FFFFFF"/>
          <w:lang w:val="en-US" w:eastAsia="zh-CN"/>
        </w:rPr>
        <w:t>5</w:t>
      </w:r>
      <w:r>
        <w:rPr>
          <w:rFonts w:hint="eastAsia" w:ascii="仿宋" w:hAnsi="仿宋" w:eastAsia="仿宋" w:cs="仿宋"/>
          <w:color w:val="auto"/>
          <w:kern w:val="0"/>
          <w:sz w:val="32"/>
          <w:szCs w:val="32"/>
          <w:highlight w:val="none"/>
          <w:shd w:val="clear" w:color="auto" w:fill="FFFFFF"/>
          <w:lang w:val="zh-CN"/>
        </w:rPr>
        <w:t>）红原县人民医院血透中心建设项目：项目的实施有利于改善当地患者的就医体念,减轻患者的经济负担，节约患者就医时间。</w:t>
      </w:r>
    </w:p>
    <w:p w14:paraId="45DBF8F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FF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预算管理。</w:t>
      </w:r>
    </w:p>
    <w:p w14:paraId="4824C69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FF0000"/>
          <w:kern w:val="0"/>
          <w:sz w:val="32"/>
          <w:szCs w:val="32"/>
          <w:highlight w:val="none"/>
          <w:shd w:val="clear" w:color="auto" w:fill="FFFFFF"/>
          <w:lang w:val="en-US" w:eastAsia="zh-CN"/>
        </w:rPr>
      </w:pPr>
      <w:r>
        <w:rPr>
          <w:rFonts w:hint="eastAsia" w:ascii="仿宋" w:hAnsi="仿宋" w:eastAsia="仿宋" w:cs="仿宋"/>
          <w:color w:val="auto"/>
          <w:kern w:val="0"/>
          <w:sz w:val="32"/>
          <w:szCs w:val="32"/>
          <w:highlight w:val="none"/>
          <w:shd w:val="clear" w:color="auto" w:fill="FFFFFF"/>
          <w:lang w:val="en-US" w:eastAsia="zh-CN"/>
        </w:rPr>
        <w:t>本单位</w:t>
      </w:r>
      <w:r>
        <w:rPr>
          <w:rFonts w:hint="eastAsia" w:ascii="仿宋" w:hAnsi="仿宋" w:eastAsia="仿宋" w:cs="仿宋"/>
          <w:color w:val="auto"/>
          <w:kern w:val="0"/>
          <w:sz w:val="32"/>
          <w:szCs w:val="32"/>
          <w:highlight w:val="none"/>
          <w:shd w:val="clear" w:color="auto" w:fill="FFFFFF"/>
          <w:lang w:val="zh-CN"/>
        </w:rPr>
        <w:t>严格按要求编制年初部门预算，基于可靠的数据和合理的预测，对未来的收支和资源做出</w:t>
      </w:r>
      <w:r>
        <w:rPr>
          <w:rFonts w:hint="eastAsia" w:ascii="仿宋" w:hAnsi="仿宋" w:eastAsia="仿宋" w:cs="仿宋"/>
          <w:color w:val="auto"/>
          <w:kern w:val="0"/>
          <w:sz w:val="32"/>
          <w:szCs w:val="32"/>
          <w:highlight w:val="none"/>
          <w:shd w:val="clear" w:color="auto" w:fill="FFFFFF"/>
          <w:lang w:val="en-US" w:eastAsia="zh-CN"/>
        </w:rPr>
        <w:t>的较</w:t>
      </w:r>
      <w:r>
        <w:rPr>
          <w:rFonts w:hint="eastAsia" w:ascii="仿宋" w:hAnsi="仿宋" w:eastAsia="仿宋" w:cs="仿宋"/>
          <w:color w:val="auto"/>
          <w:kern w:val="0"/>
          <w:sz w:val="32"/>
          <w:szCs w:val="32"/>
          <w:highlight w:val="none"/>
          <w:shd w:val="clear" w:color="auto" w:fill="FFFFFF"/>
          <w:lang w:val="zh-CN"/>
        </w:rPr>
        <w:t>精确的估计。</w:t>
      </w:r>
      <w:r>
        <w:rPr>
          <w:rFonts w:hint="eastAsia" w:ascii="仿宋" w:hAnsi="仿宋" w:eastAsia="仿宋" w:cs="仿宋"/>
          <w:color w:val="auto"/>
          <w:kern w:val="0"/>
          <w:sz w:val="32"/>
          <w:szCs w:val="32"/>
          <w:highlight w:val="none"/>
          <w:shd w:val="clear" w:color="auto" w:fill="FFFFFF"/>
          <w:lang w:val="en-US" w:eastAsia="zh-CN"/>
        </w:rPr>
        <w:t>与本单位的计划和目标相适应，符合实际情况和发展趋势，预算编制结构清晰，各项内容易于理解和解读，方便不同部门和人员之间的沟通和协作；合理统筹自有收入，提高资金使用效率，实现资金的最大化利用；本单位严控“三公”经费、会议、培训、差旅、办节办展、办公设备购置、信息网络及软件购置更新、课题经费等一般性支出，一般性支出财政拨款年初预算数和一般性支出财政拨款预算执行数较上年无增减。</w:t>
      </w:r>
    </w:p>
    <w:p w14:paraId="3B32699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财务管理。</w:t>
      </w:r>
    </w:p>
    <w:p w14:paraId="4542AA1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auto"/>
          <w:kern w:val="0"/>
          <w:sz w:val="32"/>
          <w:szCs w:val="32"/>
          <w:highlight w:val="none"/>
          <w:shd w:val="clear" w:color="auto" w:fill="FFFFFF"/>
          <w:lang w:val="zh-CN"/>
        </w:rPr>
      </w:pPr>
      <w:r>
        <w:rPr>
          <w:rFonts w:hint="eastAsia" w:ascii="仿宋" w:hAnsi="仿宋" w:eastAsia="仿宋" w:cs="仿宋"/>
          <w:color w:val="auto"/>
          <w:kern w:val="0"/>
          <w:sz w:val="32"/>
          <w:szCs w:val="32"/>
          <w:highlight w:val="none"/>
          <w:shd w:val="clear" w:color="auto" w:fill="FFFFFF"/>
          <w:lang w:val="en-US" w:eastAsia="zh-CN"/>
        </w:rPr>
        <w:t>本单位</w:t>
      </w:r>
      <w:r>
        <w:rPr>
          <w:rFonts w:hint="eastAsia" w:ascii="仿宋" w:hAnsi="仿宋" w:eastAsia="仿宋" w:cs="仿宋"/>
          <w:color w:val="auto"/>
          <w:kern w:val="0"/>
          <w:sz w:val="32"/>
          <w:szCs w:val="32"/>
          <w:highlight w:val="none"/>
          <w:shd w:val="clear" w:color="auto" w:fill="FFFFFF"/>
          <w:lang w:val="zh-CN"/>
        </w:rPr>
        <w:t>已制定内部财务管理制度等制度机制，</w:t>
      </w:r>
      <w:r>
        <w:rPr>
          <w:rFonts w:hint="eastAsia" w:ascii="仿宋" w:hAnsi="仿宋" w:eastAsia="仿宋" w:cs="仿宋"/>
          <w:color w:val="auto"/>
          <w:kern w:val="0"/>
          <w:sz w:val="32"/>
          <w:szCs w:val="32"/>
          <w:highlight w:val="none"/>
          <w:shd w:val="clear" w:color="auto" w:fill="FFFFFF"/>
          <w:lang w:val="en-US" w:eastAsia="zh-CN"/>
        </w:rPr>
        <w:t>并且</w:t>
      </w:r>
      <w:r>
        <w:rPr>
          <w:rFonts w:hint="eastAsia" w:ascii="仿宋" w:hAnsi="仿宋" w:eastAsia="仿宋" w:cs="仿宋"/>
          <w:color w:val="auto"/>
          <w:kern w:val="0"/>
          <w:sz w:val="32"/>
          <w:szCs w:val="32"/>
          <w:highlight w:val="none"/>
          <w:shd w:val="clear" w:color="auto" w:fill="FFFFFF"/>
          <w:lang w:val="zh-CN"/>
        </w:rPr>
        <w:t>财务管理制度得到落实；</w:t>
      </w:r>
      <w:r>
        <w:rPr>
          <w:rFonts w:hint="eastAsia" w:ascii="仿宋" w:hAnsi="仿宋" w:eastAsia="仿宋" w:cs="仿宋"/>
          <w:color w:val="auto"/>
          <w:kern w:val="0"/>
          <w:sz w:val="32"/>
          <w:szCs w:val="32"/>
          <w:highlight w:val="none"/>
          <w:shd w:val="clear" w:color="auto" w:fill="FFFFFF"/>
          <w:lang w:val="en-US" w:eastAsia="zh-CN"/>
        </w:rPr>
        <w:t>单位</w:t>
      </w:r>
      <w:r>
        <w:rPr>
          <w:rFonts w:hint="eastAsia" w:ascii="仿宋" w:hAnsi="仿宋" w:eastAsia="仿宋" w:cs="仿宋"/>
          <w:color w:val="auto"/>
          <w:kern w:val="0"/>
          <w:sz w:val="32"/>
          <w:szCs w:val="32"/>
          <w:highlight w:val="none"/>
          <w:shd w:val="clear" w:color="auto" w:fill="FFFFFF"/>
          <w:lang w:val="zh-CN"/>
        </w:rPr>
        <w:t>合理设置财务工作岗位，明确</w:t>
      </w:r>
      <w:r>
        <w:rPr>
          <w:rFonts w:hint="eastAsia" w:ascii="仿宋" w:hAnsi="仿宋" w:eastAsia="仿宋" w:cs="仿宋"/>
          <w:color w:val="auto"/>
          <w:kern w:val="0"/>
          <w:sz w:val="32"/>
          <w:szCs w:val="32"/>
          <w:highlight w:val="none"/>
          <w:shd w:val="clear" w:color="auto" w:fill="FFFFFF"/>
          <w:lang w:val="en-US" w:eastAsia="zh-CN"/>
        </w:rPr>
        <w:t>了</w:t>
      </w:r>
      <w:r>
        <w:rPr>
          <w:rFonts w:hint="eastAsia" w:ascii="仿宋" w:hAnsi="仿宋" w:eastAsia="仿宋" w:cs="仿宋"/>
          <w:color w:val="auto"/>
          <w:kern w:val="0"/>
          <w:sz w:val="32"/>
          <w:szCs w:val="32"/>
          <w:highlight w:val="none"/>
          <w:shd w:val="clear" w:color="auto" w:fill="FFFFFF"/>
          <w:lang w:val="zh-CN"/>
        </w:rPr>
        <w:t>职责权限，并严格实行不相容岗位分离；部门资金使用符合相关财务管理制度规定。</w:t>
      </w:r>
    </w:p>
    <w:p w14:paraId="14EB7CF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4.</w:t>
      </w:r>
      <w:r>
        <w:rPr>
          <w:rFonts w:hint="eastAsia" w:ascii="仿宋" w:hAnsi="仿宋" w:eastAsia="仿宋" w:cs="仿宋"/>
          <w:color w:val="000000"/>
          <w:kern w:val="0"/>
          <w:sz w:val="32"/>
          <w:szCs w:val="32"/>
          <w:highlight w:val="none"/>
          <w:shd w:val="clear" w:color="auto" w:fill="FFFFFF"/>
          <w:lang w:val="zh-CN"/>
        </w:rPr>
        <w:t>资产管理。</w:t>
      </w:r>
    </w:p>
    <w:p w14:paraId="451DBE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auto"/>
          <w:kern w:val="0"/>
          <w:sz w:val="32"/>
          <w:szCs w:val="32"/>
          <w:highlight w:val="none"/>
          <w:shd w:val="clear" w:color="auto" w:fill="FFFFFF"/>
          <w:lang w:val="en-US" w:eastAsia="zh-CN"/>
        </w:rPr>
      </w:pPr>
      <w:r>
        <w:rPr>
          <w:rFonts w:hint="eastAsia" w:ascii="仿宋" w:hAnsi="仿宋" w:eastAsia="仿宋" w:cs="仿宋"/>
          <w:color w:val="auto"/>
          <w:kern w:val="0"/>
          <w:sz w:val="32"/>
          <w:szCs w:val="32"/>
          <w:highlight w:val="none"/>
          <w:shd w:val="clear" w:color="auto" w:fill="FFFFFF"/>
          <w:lang w:val="en-US" w:eastAsia="zh-CN"/>
        </w:rPr>
        <w:t>本单位由于期末人数较期初人数减少了7个人所以期末</w:t>
      </w:r>
      <w:r>
        <w:rPr>
          <w:rFonts w:hint="eastAsia" w:ascii="仿宋" w:hAnsi="仿宋" w:eastAsia="仿宋" w:cs="仿宋"/>
          <w:color w:val="auto"/>
          <w:kern w:val="0"/>
          <w:sz w:val="32"/>
          <w:szCs w:val="32"/>
          <w:highlight w:val="none"/>
          <w:shd w:val="clear" w:color="auto" w:fill="FFFFFF"/>
          <w:lang w:val="zh-CN" w:eastAsia="zh-CN"/>
        </w:rPr>
        <w:t>人均资产</w:t>
      </w:r>
      <w:r>
        <w:rPr>
          <w:rFonts w:hint="eastAsia" w:ascii="仿宋" w:hAnsi="仿宋" w:eastAsia="仿宋" w:cs="仿宋"/>
          <w:color w:val="auto"/>
          <w:kern w:val="0"/>
          <w:sz w:val="32"/>
          <w:szCs w:val="32"/>
          <w:highlight w:val="none"/>
          <w:shd w:val="clear" w:color="auto" w:fill="FFFFFF"/>
          <w:lang w:val="en-US" w:eastAsia="zh-CN"/>
        </w:rPr>
        <w:t>较期初</w:t>
      </w:r>
      <w:r>
        <w:rPr>
          <w:rFonts w:hint="eastAsia" w:ascii="仿宋" w:hAnsi="仿宋" w:eastAsia="仿宋" w:cs="仿宋"/>
          <w:color w:val="auto"/>
          <w:kern w:val="0"/>
          <w:sz w:val="32"/>
          <w:szCs w:val="32"/>
          <w:highlight w:val="none"/>
          <w:shd w:val="clear" w:color="auto" w:fill="FFFFFF"/>
          <w:lang w:val="zh-CN" w:eastAsia="zh-CN"/>
        </w:rPr>
        <w:t>人均资产</w:t>
      </w:r>
      <w:r>
        <w:rPr>
          <w:rFonts w:hint="eastAsia" w:ascii="仿宋" w:hAnsi="仿宋" w:eastAsia="仿宋" w:cs="仿宋"/>
          <w:color w:val="auto"/>
          <w:kern w:val="0"/>
          <w:sz w:val="32"/>
          <w:szCs w:val="32"/>
          <w:highlight w:val="none"/>
          <w:shd w:val="clear" w:color="auto" w:fill="FFFFFF"/>
          <w:lang w:val="en-US" w:eastAsia="zh-CN"/>
        </w:rPr>
        <w:t>增加了，对应着人均资产变化率为正数；办公家具都未超最低使用年限资产利用率较低；两年均无闲置资产。</w:t>
      </w:r>
    </w:p>
    <w:p w14:paraId="60E90CF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5.</w:t>
      </w:r>
      <w:r>
        <w:rPr>
          <w:rFonts w:hint="eastAsia" w:ascii="仿宋" w:hAnsi="仿宋" w:eastAsia="仿宋" w:cs="仿宋"/>
          <w:color w:val="000000"/>
          <w:kern w:val="0"/>
          <w:sz w:val="32"/>
          <w:szCs w:val="32"/>
          <w:highlight w:val="none"/>
          <w:shd w:val="clear" w:color="auto" w:fill="FFFFFF"/>
          <w:lang w:val="zh-CN"/>
        </w:rPr>
        <w:t>采购管理。</w:t>
      </w:r>
    </w:p>
    <w:p w14:paraId="6F9940D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FF0000"/>
          <w:kern w:val="0"/>
          <w:sz w:val="32"/>
          <w:szCs w:val="32"/>
          <w:highlight w:val="none"/>
          <w:shd w:val="clear" w:color="auto" w:fill="FFFFFF"/>
          <w:lang w:val="zh-CN"/>
        </w:rPr>
      </w:pPr>
      <w:r>
        <w:rPr>
          <w:rFonts w:hint="eastAsia" w:ascii="仿宋" w:hAnsi="仿宋" w:eastAsia="仿宋" w:cs="仿宋"/>
          <w:color w:val="auto"/>
          <w:kern w:val="0"/>
          <w:sz w:val="32"/>
          <w:szCs w:val="32"/>
          <w:highlight w:val="none"/>
          <w:shd w:val="clear" w:color="auto" w:fill="FFFFFF"/>
          <w:lang w:val="en-US" w:eastAsia="zh-CN"/>
        </w:rPr>
        <w:t>本单位严格执行政府采购促进中小企业发展相关管理办法。</w:t>
      </w:r>
    </w:p>
    <w:p w14:paraId="70C756D8">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部门预算项目绩效分析。</w:t>
      </w:r>
    </w:p>
    <w:p w14:paraId="44079AE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zh-CN" w:eastAsia="zh-CN"/>
        </w:rPr>
        <w:t>填报以下数据，</w:t>
      </w:r>
      <w:r>
        <w:rPr>
          <w:rFonts w:hint="eastAsia" w:ascii="仿宋" w:hAnsi="仿宋" w:eastAsia="仿宋" w:cs="仿宋"/>
          <w:color w:val="000000"/>
          <w:kern w:val="0"/>
          <w:sz w:val="32"/>
          <w:szCs w:val="32"/>
          <w:highlight w:val="none"/>
          <w:shd w:val="clear" w:color="auto" w:fill="FFFFFF"/>
          <w:lang w:val="zh-CN"/>
        </w:rPr>
        <w:t>并根据部门预算绩效评价指标体系“项目绩效”涉及二、三级指标进行逐项绩效分析并评分，依次包括项目</w:t>
      </w:r>
      <w:r>
        <w:rPr>
          <w:rFonts w:hint="eastAsia" w:ascii="仿宋" w:hAnsi="仿宋" w:eastAsia="仿宋" w:cs="仿宋"/>
          <w:color w:val="000000"/>
          <w:kern w:val="0"/>
          <w:sz w:val="32"/>
          <w:szCs w:val="32"/>
          <w:highlight w:val="none"/>
          <w:shd w:val="clear" w:color="auto" w:fill="FFFFFF"/>
          <w:lang w:val="en-US" w:eastAsia="zh-CN"/>
        </w:rPr>
        <w:t>决策、项目执行、目标实现等情况。</w:t>
      </w:r>
    </w:p>
    <w:p w14:paraId="4582304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常年项目绩效分析。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 xml:space="preserve">   2659.85</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 xml:space="preserve">  89.73 </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 xml:space="preserve"> 1 </w:t>
      </w:r>
      <w:r>
        <w:rPr>
          <w:rFonts w:hint="eastAsia" w:ascii="仿宋" w:hAnsi="仿宋" w:eastAsia="仿宋" w:cs="仿宋"/>
          <w:color w:val="000000"/>
          <w:kern w:val="0"/>
          <w:sz w:val="32"/>
          <w:szCs w:val="32"/>
          <w:highlight w:val="none"/>
          <w:shd w:val="clear" w:color="auto" w:fill="FFFFFF"/>
          <w:lang w:val="zh-CN" w:eastAsia="zh-CN"/>
        </w:rPr>
        <w:t>个。</w:t>
      </w:r>
    </w:p>
    <w:p w14:paraId="32FE1A3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阶段（含一次性）项目绩效分析。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 xml:space="preserve"> 27</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 xml:space="preserve"> 2889.12 </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 xml:space="preserve"> 75.27 </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 xml:space="preserve"> 6 </w:t>
      </w:r>
      <w:r>
        <w:rPr>
          <w:rFonts w:hint="eastAsia" w:ascii="仿宋" w:hAnsi="仿宋" w:eastAsia="仿宋" w:cs="仿宋"/>
          <w:color w:val="000000"/>
          <w:kern w:val="0"/>
          <w:sz w:val="32"/>
          <w:szCs w:val="32"/>
          <w:highlight w:val="none"/>
          <w:shd w:val="clear" w:color="auto" w:fill="FFFFFF"/>
          <w:lang w:val="zh-CN" w:eastAsia="zh-CN"/>
        </w:rPr>
        <w:t>个。</w:t>
      </w:r>
    </w:p>
    <w:p w14:paraId="0097D75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项目决策。</w:t>
      </w:r>
    </w:p>
    <w:p w14:paraId="21DCC54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单位</w:t>
      </w:r>
      <w:r>
        <w:rPr>
          <w:rFonts w:hint="eastAsia" w:ascii="仿宋" w:hAnsi="仿宋" w:eastAsia="仿宋" w:cs="仿宋"/>
          <w:color w:val="000000"/>
          <w:kern w:val="0"/>
          <w:sz w:val="32"/>
          <w:szCs w:val="32"/>
          <w:highlight w:val="none"/>
          <w:shd w:val="clear" w:color="auto" w:fill="FFFFFF"/>
          <w:lang w:val="zh-CN"/>
        </w:rPr>
        <w:t>预算项目设立按规定履行评估论证、申报程序；预算项目绩效目标与计划期内的任务量、预算安排的资金量匹配，绩效目标设置科学合理、规范完整、量化细化、预算匹配；预算项目在规定时间完成项目入库。</w:t>
      </w:r>
    </w:p>
    <w:p w14:paraId="284D1A2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2.项目执行</w:t>
      </w:r>
      <w:r>
        <w:rPr>
          <w:rFonts w:hint="eastAsia" w:ascii="仿宋" w:hAnsi="仿宋" w:eastAsia="仿宋" w:cs="仿宋"/>
          <w:color w:val="000000"/>
          <w:kern w:val="0"/>
          <w:sz w:val="32"/>
          <w:szCs w:val="32"/>
          <w:highlight w:val="none"/>
          <w:shd w:val="clear" w:color="auto" w:fill="FFFFFF"/>
          <w:lang w:val="zh-CN"/>
        </w:rPr>
        <w:t>。</w:t>
      </w:r>
    </w:p>
    <w:p w14:paraId="2CF90B5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en-US" w:eastAsia="zh-CN"/>
        </w:rPr>
        <w:t>单位</w:t>
      </w:r>
      <w:r>
        <w:rPr>
          <w:rFonts w:hint="eastAsia" w:ascii="仿宋" w:hAnsi="仿宋" w:eastAsia="仿宋" w:cs="仿宋"/>
          <w:color w:val="000000"/>
          <w:kern w:val="0"/>
          <w:sz w:val="32"/>
          <w:szCs w:val="32"/>
          <w:highlight w:val="none"/>
          <w:shd w:val="clear" w:color="auto" w:fill="FFFFFF"/>
          <w:lang w:val="zh-CN"/>
        </w:rPr>
        <w:t>预算项目在规定时间完成</w:t>
      </w:r>
      <w:r>
        <w:rPr>
          <w:rFonts w:hint="eastAsia" w:ascii="仿宋" w:hAnsi="仿宋" w:eastAsia="仿宋" w:cs="仿宋"/>
          <w:color w:val="000000"/>
          <w:kern w:val="0"/>
          <w:sz w:val="32"/>
          <w:szCs w:val="32"/>
          <w:highlight w:val="none"/>
          <w:shd w:val="clear" w:color="auto" w:fill="FFFFFF"/>
          <w:lang w:val="en-US" w:eastAsia="zh-CN"/>
        </w:rPr>
        <w:t>了</w:t>
      </w:r>
      <w:r>
        <w:rPr>
          <w:rFonts w:hint="eastAsia" w:ascii="仿宋" w:hAnsi="仿宋" w:eastAsia="仿宋" w:cs="仿宋"/>
          <w:color w:val="000000"/>
          <w:kern w:val="0"/>
          <w:sz w:val="32"/>
          <w:szCs w:val="32"/>
          <w:highlight w:val="none"/>
          <w:shd w:val="clear" w:color="auto" w:fill="FFFFFF"/>
          <w:lang w:val="zh-CN"/>
        </w:rPr>
        <w:t>项目入库；预算项目实际列支内容与绩效目标设置方向相符；预算项目</w:t>
      </w:r>
      <w:r>
        <w:rPr>
          <w:rFonts w:hint="eastAsia" w:ascii="仿宋" w:hAnsi="仿宋" w:eastAsia="仿宋" w:cs="仿宋"/>
          <w:color w:val="000000"/>
          <w:kern w:val="0"/>
          <w:sz w:val="32"/>
          <w:szCs w:val="32"/>
          <w:highlight w:val="none"/>
          <w:shd w:val="clear" w:color="auto" w:fill="FFFFFF"/>
          <w:lang w:val="en-US" w:eastAsia="zh-CN"/>
        </w:rPr>
        <w:t>需要调整的</w:t>
      </w:r>
      <w:r>
        <w:rPr>
          <w:rFonts w:hint="eastAsia" w:ascii="仿宋" w:hAnsi="仿宋" w:eastAsia="仿宋" w:cs="仿宋"/>
          <w:color w:val="000000"/>
          <w:kern w:val="0"/>
          <w:sz w:val="32"/>
          <w:szCs w:val="32"/>
          <w:highlight w:val="none"/>
          <w:shd w:val="clear" w:color="auto" w:fill="FFFFFF"/>
          <w:lang w:val="zh-CN"/>
        </w:rPr>
        <w:t>采取</w:t>
      </w:r>
      <w:r>
        <w:rPr>
          <w:rFonts w:hint="eastAsia" w:ascii="仿宋" w:hAnsi="仿宋" w:eastAsia="仿宋" w:cs="仿宋"/>
          <w:color w:val="000000"/>
          <w:kern w:val="0"/>
          <w:sz w:val="32"/>
          <w:szCs w:val="32"/>
          <w:highlight w:val="none"/>
          <w:shd w:val="clear" w:color="auto" w:fill="FFFFFF"/>
          <w:lang w:val="en-US" w:eastAsia="zh-CN"/>
        </w:rPr>
        <w:t>了</w:t>
      </w:r>
      <w:r>
        <w:rPr>
          <w:rFonts w:hint="eastAsia" w:ascii="仿宋" w:hAnsi="仿宋" w:eastAsia="仿宋" w:cs="仿宋"/>
          <w:color w:val="000000"/>
          <w:kern w:val="0"/>
          <w:sz w:val="32"/>
          <w:szCs w:val="32"/>
          <w:highlight w:val="none"/>
          <w:shd w:val="clear" w:color="auto" w:fill="FFFFFF"/>
          <w:lang w:val="zh-CN"/>
        </w:rPr>
        <w:t>对应调整措施；预算项目预算执行</w:t>
      </w:r>
      <w:r>
        <w:rPr>
          <w:rFonts w:hint="eastAsia" w:ascii="仿宋" w:hAnsi="仿宋" w:eastAsia="仿宋" w:cs="仿宋"/>
          <w:color w:val="000000"/>
          <w:kern w:val="0"/>
          <w:sz w:val="32"/>
          <w:szCs w:val="32"/>
          <w:highlight w:val="none"/>
          <w:shd w:val="clear" w:color="auto" w:fill="FFFFFF"/>
          <w:lang w:val="en-US" w:eastAsia="zh-CN"/>
        </w:rPr>
        <w:t>率较低，目前正在实施，未达到验收条件的，只拨付了部分进度款。</w:t>
      </w:r>
    </w:p>
    <w:p w14:paraId="290961B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仿宋" w:hAnsi="仿宋" w:eastAsia="仿宋" w:cs="仿宋"/>
          <w:color w:val="FF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目标实现。</w:t>
      </w:r>
    </w:p>
    <w:p w14:paraId="7B4B2F9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FF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预算项目在规定时间完成</w:t>
      </w:r>
      <w:r>
        <w:rPr>
          <w:rFonts w:hint="eastAsia" w:ascii="仿宋" w:hAnsi="仿宋" w:eastAsia="仿宋" w:cs="仿宋"/>
          <w:color w:val="000000"/>
          <w:kern w:val="0"/>
          <w:sz w:val="32"/>
          <w:szCs w:val="32"/>
          <w:highlight w:val="none"/>
          <w:shd w:val="clear" w:color="auto" w:fill="FFFFFF"/>
          <w:lang w:val="en-US" w:eastAsia="zh-CN"/>
        </w:rPr>
        <w:t>了</w:t>
      </w:r>
      <w:r>
        <w:rPr>
          <w:rFonts w:hint="eastAsia" w:ascii="仿宋" w:hAnsi="仿宋" w:eastAsia="仿宋" w:cs="仿宋"/>
          <w:color w:val="000000"/>
          <w:kern w:val="0"/>
          <w:sz w:val="32"/>
          <w:szCs w:val="32"/>
          <w:highlight w:val="none"/>
          <w:shd w:val="clear" w:color="auto" w:fill="FFFFFF"/>
          <w:lang w:val="zh-CN"/>
        </w:rPr>
        <w:t>项目入库；预算项目实际列支内容与绩效目标设置方向相符</w:t>
      </w:r>
    </w:p>
    <w:p w14:paraId="285828EF">
      <w:pPr>
        <w:keepNext w:val="0"/>
        <w:keepLines w:val="0"/>
        <w:pageBreakBefore w:val="0"/>
        <w:widowControl w:val="0"/>
        <w:numPr>
          <w:ilvl w:val="0"/>
          <w:numId w:val="11"/>
        </w:numPr>
        <w:kinsoku/>
        <w:wordWrap/>
        <w:overflowPunct/>
        <w:topLinePunct w:val="0"/>
        <w:autoSpaceDE/>
        <w:autoSpaceDN/>
        <w:bidi w:val="0"/>
        <w:snapToGrid w:val="0"/>
        <w:spacing w:line="600" w:lineRule="exact"/>
        <w:ind w:left="0" w:leftChars="0" w:firstLine="643" w:firstLineChars="200"/>
        <w:textAlignment w:val="auto"/>
        <w:rPr>
          <w:rFonts w:hint="eastAsia" w:ascii="仿宋" w:hAnsi="仿宋" w:eastAsia="仿宋" w:cs="仿宋"/>
          <w:b/>
          <w:bCs/>
          <w:sz w:val="32"/>
          <w:szCs w:val="32"/>
          <w:lang w:val="zh-CN"/>
        </w:rPr>
      </w:pPr>
      <w:r>
        <w:rPr>
          <w:rFonts w:hint="eastAsia" w:ascii="仿宋" w:hAnsi="仿宋" w:eastAsia="仿宋" w:cs="仿宋"/>
          <w:b/>
          <w:bCs/>
          <w:sz w:val="32"/>
          <w:szCs w:val="32"/>
          <w:lang w:val="zh-CN"/>
        </w:rPr>
        <w:t>绩效结果应用情况。</w:t>
      </w:r>
    </w:p>
    <w:p w14:paraId="2B938533">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color w:val="auto"/>
          <w:kern w:val="0"/>
          <w:sz w:val="32"/>
          <w:szCs w:val="32"/>
          <w:highlight w:val="none"/>
          <w:shd w:val="clear" w:color="auto" w:fill="FFFFFF"/>
          <w:lang w:val="zh-CN" w:eastAsia="zh-CN"/>
        </w:rPr>
        <w:t>1、严把预算编制。在编制年度单位预算时，认真贯彻</w:t>
      </w:r>
      <w:r>
        <w:rPr>
          <w:rFonts w:hint="eastAsia" w:ascii="仿宋" w:hAnsi="仿宋" w:eastAsia="仿宋" w:cs="仿宋"/>
          <w:color w:val="auto"/>
          <w:kern w:val="0"/>
          <w:sz w:val="32"/>
          <w:szCs w:val="32"/>
          <w:highlight w:val="none"/>
          <w:shd w:val="clear" w:color="auto" w:fill="FFFFFF"/>
          <w:lang w:val="en-US" w:eastAsia="zh-CN"/>
        </w:rPr>
        <w:t>了</w:t>
      </w:r>
      <w:r>
        <w:rPr>
          <w:rFonts w:hint="eastAsia" w:ascii="仿宋" w:hAnsi="仿宋" w:eastAsia="仿宋" w:cs="仿宋"/>
          <w:color w:val="auto"/>
          <w:kern w:val="0"/>
          <w:sz w:val="32"/>
          <w:szCs w:val="32"/>
          <w:highlight w:val="none"/>
          <w:shd w:val="clear" w:color="auto" w:fill="FFFFFF"/>
          <w:lang w:val="zh-CN" w:eastAsia="zh-CN"/>
        </w:rPr>
        <w:t>厉行勤俭节约、严控各项目经费编制，严审编报资料、预算建议及计划，对项目资金申请综合考虑。2、及时关注预算完成情况、预算使用情况及比例。3、在绩效申报时，综合研判项目绩效及整体绩效目标依据是否充分，是否符合客观事实，绩效指标是否清晰、细化、可衡量。</w:t>
      </w:r>
      <w:r>
        <w:rPr>
          <w:rFonts w:hint="eastAsia" w:ascii="仿宋" w:hAnsi="仿宋" w:eastAsia="仿宋" w:cs="仿宋"/>
          <w:color w:val="auto"/>
          <w:kern w:val="0"/>
          <w:sz w:val="32"/>
          <w:szCs w:val="32"/>
          <w:highlight w:val="none"/>
          <w:shd w:val="clear" w:color="auto" w:fill="FFFFFF"/>
          <w:lang w:val="en-US" w:eastAsia="zh-CN"/>
        </w:rPr>
        <w:t>4</w:t>
      </w:r>
      <w:r>
        <w:rPr>
          <w:rFonts w:hint="eastAsia" w:ascii="仿宋" w:hAnsi="仿宋" w:eastAsia="仿宋" w:cs="仿宋"/>
          <w:color w:val="auto"/>
          <w:kern w:val="0"/>
          <w:sz w:val="32"/>
          <w:szCs w:val="32"/>
          <w:highlight w:val="none"/>
          <w:shd w:val="clear" w:color="auto" w:fill="FFFFFF"/>
          <w:lang w:val="zh-CN" w:eastAsia="zh-CN"/>
        </w:rPr>
        <w:t>、严格把控各项目等资金的使用。控制节约情况，保证项目资金使用的合理性。</w:t>
      </w:r>
      <w:r>
        <w:rPr>
          <w:rFonts w:hint="eastAsia" w:ascii="仿宋" w:hAnsi="仿宋" w:eastAsia="仿宋" w:cs="仿宋"/>
          <w:color w:val="auto"/>
          <w:kern w:val="0"/>
          <w:sz w:val="32"/>
          <w:szCs w:val="32"/>
          <w:highlight w:val="none"/>
          <w:shd w:val="clear" w:color="auto" w:fill="FFFFFF"/>
          <w:lang w:val="en-US" w:eastAsia="zh-CN"/>
        </w:rPr>
        <w:t>5</w:t>
      </w:r>
      <w:r>
        <w:rPr>
          <w:rFonts w:hint="eastAsia" w:ascii="仿宋" w:hAnsi="仿宋" w:eastAsia="仿宋" w:cs="仿宋"/>
          <w:color w:val="auto"/>
          <w:kern w:val="0"/>
          <w:sz w:val="32"/>
          <w:szCs w:val="32"/>
          <w:highlight w:val="none"/>
          <w:shd w:val="clear" w:color="auto" w:fill="FFFFFF"/>
          <w:lang w:val="zh-CN" w:eastAsia="zh-CN"/>
        </w:rPr>
        <w:t>、做好</w:t>
      </w:r>
      <w:r>
        <w:rPr>
          <w:rFonts w:hint="eastAsia" w:ascii="仿宋" w:hAnsi="仿宋" w:eastAsia="仿宋" w:cs="仿宋"/>
          <w:color w:val="auto"/>
          <w:kern w:val="0"/>
          <w:sz w:val="32"/>
          <w:szCs w:val="32"/>
          <w:highlight w:val="none"/>
          <w:shd w:val="clear" w:color="auto" w:fill="FFFFFF"/>
          <w:lang w:val="en-US" w:eastAsia="zh-CN"/>
        </w:rPr>
        <w:t>了</w:t>
      </w:r>
      <w:r>
        <w:rPr>
          <w:rFonts w:hint="eastAsia" w:ascii="仿宋" w:hAnsi="仿宋" w:eastAsia="仿宋" w:cs="仿宋"/>
          <w:color w:val="auto"/>
          <w:kern w:val="0"/>
          <w:sz w:val="32"/>
          <w:szCs w:val="32"/>
          <w:highlight w:val="none"/>
          <w:shd w:val="clear" w:color="auto" w:fill="FFFFFF"/>
          <w:lang w:val="zh-CN" w:eastAsia="zh-CN"/>
        </w:rPr>
        <w:t>预决算</w:t>
      </w:r>
      <w:r>
        <w:rPr>
          <w:rFonts w:hint="eastAsia" w:ascii="仿宋" w:hAnsi="仿宋" w:eastAsia="仿宋" w:cs="仿宋"/>
          <w:color w:val="auto"/>
          <w:kern w:val="0"/>
          <w:sz w:val="32"/>
          <w:szCs w:val="32"/>
          <w:highlight w:val="none"/>
          <w:shd w:val="clear" w:color="auto" w:fill="FFFFFF"/>
          <w:lang w:val="en-US" w:eastAsia="zh-CN"/>
        </w:rPr>
        <w:t>公开</w:t>
      </w:r>
      <w:r>
        <w:rPr>
          <w:rFonts w:hint="eastAsia" w:ascii="仿宋" w:hAnsi="仿宋" w:eastAsia="仿宋" w:cs="仿宋"/>
          <w:color w:val="auto"/>
          <w:kern w:val="0"/>
          <w:sz w:val="32"/>
          <w:szCs w:val="32"/>
          <w:highlight w:val="none"/>
          <w:shd w:val="clear" w:color="auto" w:fill="FFFFFF"/>
          <w:lang w:val="zh-CN" w:eastAsia="zh-CN"/>
        </w:rPr>
        <w:t>。按照要求及时、准确公布单位预决算。</w:t>
      </w:r>
      <w:r>
        <w:rPr>
          <w:rFonts w:hint="eastAsia" w:ascii="仿宋" w:hAnsi="仿宋" w:eastAsia="仿宋" w:cs="仿宋"/>
          <w:color w:val="auto"/>
          <w:kern w:val="0"/>
          <w:sz w:val="32"/>
          <w:szCs w:val="32"/>
          <w:highlight w:val="none"/>
          <w:shd w:val="clear" w:color="auto" w:fill="FFFFFF"/>
          <w:lang w:val="en-US" w:eastAsia="zh-CN"/>
        </w:rPr>
        <w:t xml:space="preserve"> </w:t>
      </w:r>
    </w:p>
    <w:p w14:paraId="2EB9B49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5D4DD971">
      <w:pPr>
        <w:pStyle w:val="7"/>
        <w:pageBreakBefore w:val="0"/>
        <w:numPr>
          <w:ilvl w:val="0"/>
          <w:numId w:val="0"/>
        </w:numPr>
        <w:tabs>
          <w:tab w:val="left" w:pos="2160"/>
        </w:tabs>
        <w:kinsoku/>
        <w:wordWrap/>
        <w:overflowPunct/>
        <w:topLinePunct w:val="0"/>
        <w:autoSpaceDE/>
        <w:autoSpaceDN/>
        <w:bidi w:val="0"/>
        <w:adjustRightInd/>
        <w:spacing w:line="600" w:lineRule="exact"/>
        <w:ind w:firstLine="643" w:firstLineChars="200"/>
        <w:textAlignment w:val="auto"/>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（一）评价结论。</w:t>
      </w:r>
    </w:p>
    <w:p w14:paraId="1A746734">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b w:val="0"/>
          <w:bCs w:val="0"/>
          <w:color w:val="auto"/>
          <w:kern w:val="2"/>
          <w:position w:val="0"/>
          <w:sz w:val="32"/>
          <w:szCs w:val="32"/>
          <w:highlight w:val="none"/>
          <w:lang w:val="en-US" w:eastAsia="zh-CN" w:bidi="ar-SA"/>
        </w:rPr>
      </w:pPr>
      <w:r>
        <w:rPr>
          <w:rFonts w:hint="eastAsia" w:ascii="仿宋" w:hAnsi="仿宋" w:eastAsia="仿宋" w:cs="仿宋"/>
          <w:b w:val="0"/>
          <w:bCs w:val="0"/>
          <w:kern w:val="0"/>
          <w:position w:val="0"/>
          <w:sz w:val="32"/>
          <w:szCs w:val="32"/>
          <w:highlight w:val="none"/>
          <w:lang w:val="en-US" w:eastAsia="zh-CN" w:bidi="ar-SA"/>
        </w:rPr>
        <w:t>在实施的过程中无违纪、违法情况发生</w:t>
      </w:r>
      <w:r>
        <w:rPr>
          <w:rFonts w:hint="eastAsia" w:ascii="仿宋" w:hAnsi="仿宋" w:eastAsia="仿宋" w:cs="仿宋"/>
          <w:b w:val="0"/>
          <w:bCs w:val="0"/>
          <w:color w:val="auto"/>
          <w:sz w:val="32"/>
          <w:szCs w:val="32"/>
          <w:highlight w:val="none"/>
          <w:lang w:val="zh-CN"/>
        </w:rPr>
        <w:t>。绩效自评</w:t>
      </w:r>
      <w:r>
        <w:rPr>
          <w:rFonts w:hint="eastAsia" w:ascii="仿宋" w:hAnsi="仿宋" w:eastAsia="仿宋" w:cs="仿宋"/>
          <w:b w:val="0"/>
          <w:bCs w:val="0"/>
          <w:color w:val="auto"/>
          <w:sz w:val="32"/>
          <w:szCs w:val="32"/>
          <w:highlight w:val="none"/>
          <w:lang w:val="en-US" w:eastAsia="zh-CN"/>
        </w:rPr>
        <w:t>得分91分</w:t>
      </w:r>
      <w:r>
        <w:rPr>
          <w:rFonts w:hint="eastAsia" w:ascii="仿宋" w:hAnsi="仿宋" w:eastAsia="仿宋" w:cs="仿宋"/>
          <w:b w:val="0"/>
          <w:bCs w:val="0"/>
          <w:color w:val="auto"/>
          <w:sz w:val="32"/>
          <w:szCs w:val="32"/>
          <w:highlight w:val="none"/>
          <w:lang w:val="zh-CN"/>
        </w:rPr>
        <w:t>。</w:t>
      </w:r>
    </w:p>
    <w:p w14:paraId="231C175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（二）存在问题。</w:t>
      </w:r>
    </w:p>
    <w:p w14:paraId="7EC5252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b w:val="0"/>
          <w:bCs w:val="0"/>
          <w:kern w:val="0"/>
          <w:position w:val="0"/>
          <w:sz w:val="32"/>
          <w:szCs w:val="32"/>
          <w:highlight w:val="none"/>
          <w:lang w:val="en-US" w:eastAsia="zh-CN" w:bidi="ar-SA"/>
        </w:rPr>
      </w:pPr>
      <w:r>
        <w:rPr>
          <w:rFonts w:hint="eastAsia" w:ascii="仿宋" w:hAnsi="仿宋" w:eastAsia="仿宋" w:cs="仿宋"/>
          <w:b w:val="0"/>
          <w:bCs w:val="0"/>
          <w:kern w:val="0"/>
          <w:position w:val="0"/>
          <w:sz w:val="32"/>
          <w:szCs w:val="32"/>
          <w:highlight w:val="none"/>
          <w:lang w:val="en-US" w:eastAsia="zh-CN" w:bidi="ar-SA"/>
        </w:rPr>
        <w:t>无</w:t>
      </w:r>
    </w:p>
    <w:p w14:paraId="3DF49FFB">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仿宋" w:hAnsi="仿宋" w:eastAsia="仿宋" w:cs="仿宋"/>
          <w:b/>
          <w:bCs/>
          <w:color w:val="000000"/>
          <w:kern w:val="0"/>
          <w:sz w:val="32"/>
          <w:szCs w:val="32"/>
          <w:highlight w:val="none"/>
          <w:shd w:val="clear" w:color="auto" w:fill="FFFFFF"/>
          <w:lang w:val="zh-CN" w:eastAsia="zh-CN"/>
        </w:rPr>
      </w:pPr>
      <w:r>
        <w:rPr>
          <w:rFonts w:hint="eastAsia" w:ascii="仿宋" w:hAnsi="仿宋" w:eastAsia="仿宋" w:cs="仿宋"/>
          <w:b/>
          <w:bCs/>
          <w:color w:val="000000"/>
          <w:kern w:val="0"/>
          <w:sz w:val="32"/>
          <w:szCs w:val="32"/>
          <w:highlight w:val="none"/>
          <w:shd w:val="clear" w:color="auto" w:fill="FFFFFF"/>
          <w:lang w:val="zh-CN" w:eastAsia="zh-CN"/>
        </w:rPr>
        <w:t>（三）改进建议。</w:t>
      </w:r>
    </w:p>
    <w:p w14:paraId="0A5DC8E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 w:hAnsi="仿宋" w:eastAsia="仿宋" w:cs="仿宋"/>
          <w:b/>
          <w:bCs w:val="0"/>
          <w:color w:val="auto"/>
          <w:sz w:val="32"/>
          <w:szCs w:val="32"/>
        </w:rPr>
      </w:pPr>
      <w:r>
        <w:rPr>
          <w:rFonts w:hint="eastAsia" w:ascii="仿宋" w:hAnsi="仿宋" w:eastAsia="仿宋" w:cs="仿宋"/>
          <w:color w:val="auto"/>
          <w:kern w:val="0"/>
          <w:sz w:val="32"/>
          <w:szCs w:val="32"/>
          <w:highlight w:val="none"/>
          <w:shd w:val="clear" w:color="auto" w:fill="FFFFFF"/>
          <w:lang w:val="zh-CN" w:eastAsia="zh-CN"/>
        </w:rPr>
        <w:t>定期开展项目绩效推进会，做到理清原因并提出了改进建议，以切实提高资金使用效益，为强化预算支出的责任的效率提供参考依据。同时充分应用预算绩效评估、执行、监控、评价结果，以保证</w:t>
      </w:r>
      <w:r>
        <w:rPr>
          <w:rFonts w:hint="eastAsia" w:ascii="仿宋" w:hAnsi="仿宋" w:eastAsia="仿宋" w:cs="仿宋"/>
          <w:color w:val="auto"/>
          <w:kern w:val="0"/>
          <w:sz w:val="32"/>
          <w:szCs w:val="32"/>
          <w:highlight w:val="none"/>
          <w:shd w:val="clear" w:color="auto" w:fill="FFFFFF"/>
          <w:lang w:val="en-US" w:eastAsia="zh-CN"/>
        </w:rPr>
        <w:t>医院</w:t>
      </w:r>
      <w:r>
        <w:rPr>
          <w:rFonts w:hint="eastAsia" w:ascii="仿宋" w:hAnsi="仿宋" w:eastAsia="仿宋" w:cs="仿宋"/>
          <w:color w:val="auto"/>
          <w:kern w:val="0"/>
          <w:sz w:val="32"/>
          <w:szCs w:val="32"/>
          <w:highlight w:val="none"/>
          <w:shd w:val="clear" w:color="auto" w:fill="FFFFFF"/>
          <w:lang w:val="zh-CN" w:eastAsia="zh-CN"/>
        </w:rPr>
        <w:t>正常运</w:t>
      </w:r>
      <w:bookmarkStart w:id="66" w:name="_GoBack"/>
      <w:bookmarkEnd w:id="66"/>
      <w:r>
        <w:rPr>
          <w:rFonts w:hint="eastAsia" w:ascii="仿宋" w:hAnsi="仿宋" w:eastAsia="仿宋" w:cs="仿宋"/>
          <w:color w:val="auto"/>
          <w:kern w:val="0"/>
          <w:sz w:val="32"/>
          <w:szCs w:val="32"/>
          <w:highlight w:val="none"/>
          <w:shd w:val="clear" w:color="auto" w:fill="FFFFFF"/>
          <w:lang w:val="zh-CN" w:eastAsia="zh-CN"/>
        </w:rPr>
        <w:t>转、可持续发展。</w:t>
      </w:r>
    </w:p>
    <w:p w14:paraId="08BCA37C">
      <w:pPr>
        <w:ind w:firstLine="600"/>
        <w:rPr>
          <w:rFonts w:hint="eastAsia" w:ascii="仿宋" w:hAnsi="仿宋" w:eastAsia="仿宋" w:cs="仿宋"/>
          <w:sz w:val="32"/>
          <w:szCs w:val="32"/>
          <w:lang w:val="en-US" w:eastAsia="zh-CN"/>
        </w:rPr>
      </w:pPr>
    </w:p>
    <w:p w14:paraId="4AD7B89B">
      <w:pPr>
        <w:ind w:firstLine="600"/>
        <w:rPr>
          <w:rFonts w:hint="eastAsia" w:ascii="仿宋" w:hAnsi="仿宋" w:eastAsia="仿宋" w:cs="仿宋"/>
          <w:sz w:val="32"/>
          <w:szCs w:val="32"/>
          <w:lang w:val="en-US" w:eastAsia="zh-CN"/>
        </w:rPr>
      </w:pPr>
    </w:p>
    <w:p w14:paraId="2FC90BEE">
      <w:pPr>
        <w:ind w:firstLine="600"/>
        <w:rPr>
          <w:rFonts w:hint="eastAsia" w:ascii="仿宋" w:hAnsi="仿宋" w:eastAsia="仿宋" w:cs="仿宋"/>
          <w:sz w:val="32"/>
          <w:szCs w:val="32"/>
          <w:lang w:val="en-US" w:eastAsia="zh-CN"/>
        </w:rPr>
      </w:pPr>
    </w:p>
    <w:p w14:paraId="51E2AB3C">
      <w:pPr>
        <w:tabs>
          <w:tab w:val="left" w:pos="1911"/>
        </w:tabs>
        <w:ind w:firstLine="640"/>
        <w:jc w:val="left"/>
        <w:rPr>
          <w:rFonts w:hint="default" w:cs="Times New Roman"/>
          <w:b w:val="0"/>
          <w:bCs w:val="0"/>
          <w:kern w:val="0"/>
          <w:position w:val="0"/>
          <w:sz w:val="32"/>
          <w:szCs w:val="32"/>
          <w:highlight w:val="none"/>
          <w:lang w:val="en" w:eastAsia="zh-CN" w:bidi="ar-SA"/>
        </w:rPr>
      </w:pPr>
    </w:p>
    <w:bookmarkEnd w:id="56"/>
    <w:p w14:paraId="6BE1E83E">
      <w:pPr>
        <w:pageBreakBefore w:val="0"/>
        <w:widowControl w:val="0"/>
        <w:kinsoku/>
        <w:wordWrap/>
        <w:overflowPunct/>
        <w:topLinePunct w:val="0"/>
        <w:autoSpaceDE/>
        <w:autoSpaceDN/>
        <w:bidi w:val="0"/>
        <w:spacing w:line="560" w:lineRule="exact"/>
        <w:jc w:val="both"/>
        <w:textAlignment w:val="auto"/>
        <w:outlineLvl w:val="0"/>
        <w:rPr>
          <w:rFonts w:ascii="黑体" w:eastAsia="黑体"/>
          <w:sz w:val="44"/>
          <w:szCs w:val="44"/>
        </w:rPr>
      </w:pPr>
    </w:p>
    <w:p w14:paraId="17CF25FD">
      <w:pPr>
        <w:pageBreakBefore w:val="0"/>
        <w:widowControl w:val="0"/>
        <w:kinsoku/>
        <w:wordWrap/>
        <w:overflowPunct/>
        <w:topLinePunct w:val="0"/>
        <w:autoSpaceDE/>
        <w:autoSpaceDN/>
        <w:bidi w:val="0"/>
        <w:spacing w:line="560" w:lineRule="exact"/>
        <w:jc w:val="center"/>
        <w:textAlignment w:val="auto"/>
        <w:outlineLvl w:val="0"/>
        <w:rPr>
          <w:rFonts w:ascii="仿宋" w:eastAsia="仿宋"/>
        </w:rPr>
      </w:pPr>
      <w:r>
        <w:rPr>
          <w:rFonts w:hint="eastAsia" w:ascii="黑体" w:eastAsia="黑体"/>
          <w:sz w:val="44"/>
          <w:szCs w:val="44"/>
        </w:rPr>
        <w:t>第</w:t>
      </w:r>
      <w:r>
        <w:rPr>
          <w:rStyle w:val="24"/>
          <w:rFonts w:hint="eastAsia" w:ascii="黑体" w:eastAsia="黑体"/>
          <w:b w:val="0"/>
        </w:rPr>
        <w:t>五部分 附表</w:t>
      </w:r>
      <w:bookmarkEnd w:id="53"/>
      <w:bookmarkEnd w:id="55"/>
      <w:bookmarkStart w:id="57" w:name="_Toc15396619"/>
    </w:p>
    <w:p w14:paraId="00E0C2B1">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r>
        <w:rPr>
          <w:rFonts w:hint="eastAsia" w:ascii="仿宋" w:eastAsia="仿宋"/>
          <w:b w:val="0"/>
          <w:sz w:val="32"/>
          <w:szCs w:val="32"/>
        </w:rPr>
        <w:t>一、收</w:t>
      </w:r>
      <w:r>
        <w:rPr>
          <w:rStyle w:val="25"/>
          <w:rFonts w:hint="eastAsia" w:ascii="仿宋" w:eastAsia="仿宋"/>
          <w:b w:val="0"/>
          <w:bCs w:val="0"/>
          <w:sz w:val="32"/>
          <w:szCs w:val="32"/>
        </w:rPr>
        <w:t>入支出决算总表</w:t>
      </w:r>
      <w:bookmarkEnd w:id="57"/>
    </w:p>
    <w:p w14:paraId="79E538B9">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58" w:name="_Toc15396620"/>
      <w:r>
        <w:rPr>
          <w:rFonts w:hint="eastAsia" w:ascii="仿宋" w:eastAsia="仿宋"/>
          <w:b w:val="0"/>
          <w:sz w:val="32"/>
          <w:szCs w:val="32"/>
        </w:rPr>
        <w:t>二、收</w:t>
      </w:r>
      <w:r>
        <w:rPr>
          <w:rStyle w:val="25"/>
          <w:rFonts w:hint="eastAsia" w:ascii="仿宋" w:eastAsia="仿宋"/>
          <w:b w:val="0"/>
          <w:bCs w:val="0"/>
          <w:sz w:val="32"/>
          <w:szCs w:val="32"/>
        </w:rPr>
        <w:t>入决算表</w:t>
      </w:r>
      <w:bookmarkEnd w:id="58"/>
    </w:p>
    <w:p w14:paraId="4ABD3457">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59" w:name="_Toc15396621"/>
      <w:r>
        <w:rPr>
          <w:rStyle w:val="25"/>
          <w:rFonts w:hint="eastAsia" w:ascii="仿宋" w:eastAsia="仿宋"/>
          <w:b w:val="0"/>
          <w:bCs w:val="0"/>
          <w:sz w:val="32"/>
          <w:szCs w:val="32"/>
        </w:rPr>
        <w:t>三、</w:t>
      </w:r>
      <w:r>
        <w:rPr>
          <w:rFonts w:hint="eastAsia" w:ascii="仿宋" w:eastAsia="仿宋"/>
          <w:b w:val="0"/>
          <w:sz w:val="32"/>
          <w:szCs w:val="32"/>
        </w:rPr>
        <w:t>支</w:t>
      </w:r>
      <w:r>
        <w:rPr>
          <w:rStyle w:val="25"/>
          <w:rFonts w:hint="eastAsia" w:ascii="仿宋" w:eastAsia="仿宋"/>
          <w:b w:val="0"/>
          <w:bCs w:val="0"/>
          <w:sz w:val="32"/>
          <w:szCs w:val="32"/>
        </w:rPr>
        <w:t>出决算表</w:t>
      </w:r>
      <w:bookmarkEnd w:id="59"/>
    </w:p>
    <w:p w14:paraId="320ABF1A">
      <w:pPr>
        <w:pStyle w:val="4"/>
        <w:pageBreakBefore w:val="0"/>
        <w:widowControl w:val="0"/>
        <w:kinsoku/>
        <w:wordWrap/>
        <w:overflowPunct/>
        <w:topLinePunct w:val="0"/>
        <w:autoSpaceDE/>
        <w:autoSpaceDN/>
        <w:bidi w:val="0"/>
        <w:spacing w:line="560" w:lineRule="exact"/>
        <w:textAlignment w:val="auto"/>
        <w:rPr>
          <w:rFonts w:ascii="仿宋" w:eastAsia="仿宋"/>
          <w:b w:val="0"/>
          <w:sz w:val="32"/>
          <w:szCs w:val="32"/>
        </w:rPr>
      </w:pPr>
      <w:bookmarkStart w:id="60" w:name="_Toc15396622"/>
      <w:r>
        <w:rPr>
          <w:rStyle w:val="25"/>
          <w:rFonts w:hint="eastAsia" w:ascii="仿宋" w:eastAsia="仿宋"/>
          <w:b w:val="0"/>
          <w:bCs w:val="0"/>
          <w:sz w:val="32"/>
          <w:szCs w:val="32"/>
        </w:rPr>
        <w:t>四、</w:t>
      </w:r>
      <w:r>
        <w:rPr>
          <w:rFonts w:hint="eastAsia" w:ascii="仿宋" w:eastAsia="仿宋"/>
          <w:b w:val="0"/>
          <w:sz w:val="32"/>
          <w:szCs w:val="32"/>
        </w:rPr>
        <w:t>财</w:t>
      </w:r>
      <w:r>
        <w:rPr>
          <w:rStyle w:val="25"/>
          <w:rFonts w:hint="eastAsia" w:ascii="仿宋" w:eastAsia="仿宋"/>
          <w:b w:val="0"/>
          <w:bCs w:val="0"/>
          <w:sz w:val="32"/>
          <w:szCs w:val="32"/>
        </w:rPr>
        <w:t>政拨款收入支出决算总表</w:t>
      </w:r>
      <w:bookmarkEnd w:id="60"/>
    </w:p>
    <w:p w14:paraId="45C894C2">
      <w:pPr>
        <w:pStyle w:val="4"/>
        <w:pageBreakBefore w:val="0"/>
        <w:widowControl w:val="0"/>
        <w:kinsoku/>
        <w:wordWrap/>
        <w:overflowPunct/>
        <w:topLinePunct w:val="0"/>
        <w:autoSpaceDE/>
        <w:autoSpaceDN/>
        <w:bidi w:val="0"/>
        <w:spacing w:line="560" w:lineRule="exact"/>
        <w:textAlignment w:val="auto"/>
        <w:rPr>
          <w:rStyle w:val="25"/>
          <w:rFonts w:ascii="仿宋" w:eastAsia="仿宋"/>
          <w:b w:val="0"/>
          <w:bCs w:val="0"/>
          <w:sz w:val="32"/>
          <w:szCs w:val="32"/>
        </w:rPr>
      </w:pPr>
      <w:bookmarkStart w:id="61" w:name="_Toc15396623"/>
      <w:r>
        <w:rPr>
          <w:rStyle w:val="25"/>
          <w:rFonts w:hint="eastAsia" w:ascii="仿宋" w:eastAsia="仿宋"/>
          <w:b w:val="0"/>
          <w:bCs w:val="0"/>
          <w:sz w:val="32"/>
          <w:szCs w:val="32"/>
        </w:rPr>
        <w:t>五、</w:t>
      </w:r>
      <w:r>
        <w:rPr>
          <w:rFonts w:hint="eastAsia" w:ascii="仿宋" w:eastAsia="仿宋"/>
          <w:b w:val="0"/>
          <w:sz w:val="32"/>
          <w:szCs w:val="32"/>
        </w:rPr>
        <w:t>财</w:t>
      </w:r>
      <w:r>
        <w:rPr>
          <w:rStyle w:val="25"/>
          <w:rFonts w:hint="eastAsia" w:ascii="仿宋" w:eastAsia="仿宋"/>
          <w:b w:val="0"/>
          <w:bCs w:val="0"/>
          <w:sz w:val="32"/>
          <w:szCs w:val="32"/>
        </w:rPr>
        <w:t>政拨款支出决算明细表</w:t>
      </w:r>
      <w:bookmarkEnd w:id="61"/>
      <w:bookmarkStart w:id="62" w:name="_Toc15396624"/>
    </w:p>
    <w:p w14:paraId="4F131DAE">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r>
        <w:rPr>
          <w:rStyle w:val="25"/>
          <w:rFonts w:hint="eastAsia" w:ascii="仿宋" w:eastAsia="仿宋"/>
          <w:b w:val="0"/>
          <w:bCs w:val="0"/>
          <w:sz w:val="32"/>
          <w:szCs w:val="32"/>
        </w:rPr>
        <w:t>六、</w:t>
      </w:r>
      <w:r>
        <w:rPr>
          <w:rFonts w:hint="eastAsia" w:ascii="仿宋" w:eastAsia="仿宋"/>
          <w:b w:val="0"/>
          <w:sz w:val="32"/>
          <w:szCs w:val="32"/>
        </w:rPr>
        <w:t>一</w:t>
      </w:r>
      <w:r>
        <w:rPr>
          <w:rStyle w:val="25"/>
          <w:rFonts w:hint="eastAsia" w:ascii="仿宋" w:eastAsia="仿宋"/>
          <w:b w:val="0"/>
          <w:bCs w:val="0"/>
          <w:sz w:val="32"/>
          <w:szCs w:val="32"/>
        </w:rPr>
        <w:t>般公共预算财政拨款支出决算表</w:t>
      </w:r>
      <w:bookmarkEnd w:id="62"/>
    </w:p>
    <w:p w14:paraId="7E8C5487">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63" w:name="_Toc15396625"/>
      <w:r>
        <w:rPr>
          <w:rStyle w:val="25"/>
          <w:rFonts w:hint="eastAsia" w:ascii="仿宋" w:eastAsia="仿宋"/>
          <w:b w:val="0"/>
          <w:bCs w:val="0"/>
          <w:sz w:val="32"/>
          <w:szCs w:val="32"/>
        </w:rPr>
        <w:t>七、</w:t>
      </w:r>
      <w:r>
        <w:rPr>
          <w:rFonts w:hint="eastAsia" w:ascii="仿宋" w:eastAsia="仿宋"/>
          <w:b w:val="0"/>
          <w:sz w:val="32"/>
          <w:szCs w:val="32"/>
        </w:rPr>
        <w:t>一</w:t>
      </w:r>
      <w:r>
        <w:rPr>
          <w:rStyle w:val="25"/>
          <w:rFonts w:hint="eastAsia" w:ascii="仿宋" w:eastAsia="仿宋"/>
          <w:b w:val="0"/>
          <w:bCs w:val="0"/>
          <w:sz w:val="32"/>
          <w:szCs w:val="32"/>
        </w:rPr>
        <w:t>般公共预算财政拨款支出决算明细表</w:t>
      </w:r>
      <w:bookmarkEnd w:id="63"/>
    </w:p>
    <w:p w14:paraId="1CCC32E5">
      <w:pPr>
        <w:pStyle w:val="4"/>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64" w:name="_Toc15396626"/>
      <w:r>
        <w:rPr>
          <w:rStyle w:val="25"/>
          <w:rFonts w:hint="eastAsia" w:ascii="仿宋" w:eastAsia="仿宋"/>
          <w:b w:val="0"/>
          <w:bCs w:val="0"/>
          <w:sz w:val="32"/>
          <w:szCs w:val="32"/>
        </w:rPr>
        <w:t>八、</w:t>
      </w:r>
      <w:r>
        <w:rPr>
          <w:rFonts w:hint="eastAsia" w:ascii="仿宋" w:eastAsia="仿宋"/>
          <w:b w:val="0"/>
          <w:sz w:val="32"/>
          <w:szCs w:val="32"/>
        </w:rPr>
        <w:t>一</w:t>
      </w:r>
      <w:r>
        <w:rPr>
          <w:rStyle w:val="25"/>
          <w:rFonts w:hint="eastAsia" w:ascii="仿宋" w:eastAsia="仿宋"/>
          <w:b w:val="0"/>
          <w:bCs w:val="0"/>
          <w:sz w:val="32"/>
          <w:szCs w:val="32"/>
        </w:rPr>
        <w:t>般公共预算财政拨款基本支出决算表</w:t>
      </w:r>
      <w:bookmarkEnd w:id="64"/>
    </w:p>
    <w:p w14:paraId="1B5CBEE0">
      <w:pPr>
        <w:pStyle w:val="4"/>
        <w:pageBreakBefore w:val="0"/>
        <w:widowControl w:val="0"/>
        <w:kinsoku/>
        <w:wordWrap/>
        <w:overflowPunct/>
        <w:topLinePunct w:val="0"/>
        <w:autoSpaceDE/>
        <w:autoSpaceDN/>
        <w:bidi w:val="0"/>
        <w:spacing w:line="560" w:lineRule="exact"/>
        <w:textAlignment w:val="auto"/>
        <w:rPr>
          <w:rStyle w:val="25"/>
          <w:rFonts w:hint="eastAsia" w:ascii="仿宋" w:eastAsia="仿宋"/>
          <w:b w:val="0"/>
          <w:bCs w:val="0"/>
          <w:sz w:val="32"/>
          <w:szCs w:val="32"/>
        </w:rPr>
      </w:pPr>
      <w:bookmarkStart w:id="65" w:name="_Toc15396627"/>
      <w:r>
        <w:rPr>
          <w:rStyle w:val="25"/>
          <w:rFonts w:hint="eastAsia" w:ascii="仿宋" w:eastAsia="仿宋"/>
          <w:b w:val="0"/>
          <w:bCs w:val="0"/>
          <w:sz w:val="32"/>
          <w:szCs w:val="32"/>
        </w:rPr>
        <w:t>九、一般公共预算财政拨款项目支出决算表</w:t>
      </w:r>
      <w:bookmarkEnd w:id="65"/>
    </w:p>
    <w:p w14:paraId="3E038EB7">
      <w:pPr>
        <w:pStyle w:val="4"/>
        <w:pageBreakBefore w:val="0"/>
        <w:widowControl w:val="0"/>
        <w:kinsoku/>
        <w:wordWrap/>
        <w:overflowPunct/>
        <w:topLinePunct w:val="0"/>
        <w:autoSpaceDE/>
        <w:autoSpaceDN/>
        <w:bidi w:val="0"/>
        <w:spacing w:line="560" w:lineRule="exact"/>
        <w:textAlignment w:val="auto"/>
        <w:rPr>
          <w:rStyle w:val="25"/>
          <w:rFonts w:hint="eastAsia" w:ascii="仿宋" w:eastAsia="仿宋"/>
          <w:b w:val="0"/>
          <w:bCs w:val="0"/>
          <w:sz w:val="32"/>
          <w:szCs w:val="32"/>
          <w:lang w:val="en-US" w:eastAsia="zh-CN"/>
        </w:rPr>
      </w:pPr>
      <w:r>
        <w:rPr>
          <w:rStyle w:val="25"/>
          <w:rFonts w:hint="eastAsia" w:ascii="仿宋" w:eastAsia="仿宋"/>
          <w:b w:val="0"/>
          <w:bCs w:val="0"/>
          <w:sz w:val="32"/>
          <w:szCs w:val="32"/>
        </w:rPr>
        <w:t>十、政府性基金预算财政拨款收入支出决算表</w:t>
      </w:r>
    </w:p>
    <w:p w14:paraId="465C6CCF">
      <w:pPr>
        <w:pStyle w:val="4"/>
        <w:pageBreakBefore w:val="0"/>
        <w:widowControl w:val="0"/>
        <w:kinsoku/>
        <w:wordWrap/>
        <w:overflowPunct/>
        <w:topLinePunct w:val="0"/>
        <w:autoSpaceDE/>
        <w:autoSpaceDN/>
        <w:bidi w:val="0"/>
        <w:spacing w:line="560" w:lineRule="exact"/>
        <w:textAlignment w:val="auto"/>
        <w:rPr>
          <w:rStyle w:val="25"/>
          <w:rFonts w:hint="default" w:ascii="仿宋" w:eastAsia="仿宋"/>
          <w:b w:val="0"/>
          <w:bCs w:val="0"/>
          <w:sz w:val="32"/>
          <w:szCs w:val="32"/>
          <w:lang w:val="en-US"/>
        </w:rPr>
      </w:pPr>
      <w:r>
        <w:rPr>
          <w:rStyle w:val="25"/>
          <w:rFonts w:hint="eastAsia" w:ascii="仿宋" w:eastAsia="仿宋"/>
          <w:b w:val="0"/>
          <w:bCs w:val="0"/>
          <w:sz w:val="32"/>
          <w:szCs w:val="32"/>
        </w:rPr>
        <w:t>十</w:t>
      </w:r>
      <w:r>
        <w:rPr>
          <w:rStyle w:val="25"/>
          <w:rFonts w:hint="eastAsia" w:ascii="仿宋" w:eastAsia="仿宋"/>
          <w:b w:val="0"/>
          <w:bCs w:val="0"/>
          <w:sz w:val="32"/>
          <w:szCs w:val="32"/>
          <w:lang w:val="en-US" w:eastAsia="zh-CN"/>
        </w:rPr>
        <w:t>一</w:t>
      </w:r>
      <w:r>
        <w:rPr>
          <w:rStyle w:val="25"/>
          <w:rFonts w:hint="eastAsia" w:ascii="仿宋" w:eastAsia="仿宋"/>
          <w:b w:val="0"/>
          <w:bCs w:val="0"/>
          <w:sz w:val="32"/>
          <w:szCs w:val="32"/>
        </w:rPr>
        <w:t>、国有资本经营预算财政拨款收入支出决算表</w:t>
      </w:r>
    </w:p>
    <w:p w14:paraId="2348D492">
      <w:pPr>
        <w:pStyle w:val="4"/>
        <w:pageBreakBefore w:val="0"/>
        <w:widowControl w:val="0"/>
        <w:kinsoku/>
        <w:wordWrap/>
        <w:overflowPunct/>
        <w:topLinePunct w:val="0"/>
        <w:autoSpaceDE/>
        <w:autoSpaceDN/>
        <w:bidi w:val="0"/>
        <w:spacing w:line="560" w:lineRule="exact"/>
        <w:textAlignment w:val="auto"/>
        <w:rPr>
          <w:rStyle w:val="25"/>
          <w:rFonts w:hint="eastAsia" w:ascii="仿宋" w:eastAsia="仿宋"/>
          <w:b w:val="0"/>
          <w:bCs w:val="0"/>
          <w:sz w:val="32"/>
          <w:szCs w:val="32"/>
          <w:lang w:val="en-US" w:eastAsia="zh-CN"/>
        </w:rPr>
      </w:pPr>
      <w:r>
        <w:rPr>
          <w:rStyle w:val="25"/>
          <w:rFonts w:hint="eastAsia" w:ascii="仿宋" w:eastAsia="仿宋"/>
          <w:b w:val="0"/>
          <w:bCs w:val="0"/>
          <w:sz w:val="32"/>
          <w:szCs w:val="32"/>
        </w:rPr>
        <w:t>十</w:t>
      </w:r>
      <w:r>
        <w:rPr>
          <w:rStyle w:val="25"/>
          <w:rFonts w:hint="eastAsia" w:ascii="仿宋" w:eastAsia="仿宋"/>
          <w:b w:val="0"/>
          <w:bCs w:val="0"/>
          <w:sz w:val="32"/>
          <w:szCs w:val="32"/>
          <w:lang w:val="en-US" w:eastAsia="zh-CN"/>
        </w:rPr>
        <w:t>二</w:t>
      </w:r>
      <w:r>
        <w:rPr>
          <w:rStyle w:val="25"/>
          <w:rFonts w:hint="eastAsia" w:ascii="仿宋" w:eastAsia="仿宋"/>
          <w:b w:val="0"/>
          <w:bCs w:val="0"/>
          <w:sz w:val="32"/>
          <w:szCs w:val="32"/>
        </w:rPr>
        <w:t>、国有资本经营预算财政拨款支出决算表</w:t>
      </w:r>
    </w:p>
    <w:p w14:paraId="7858F5B0">
      <w:pPr>
        <w:pStyle w:val="4"/>
        <w:pageBreakBefore w:val="0"/>
        <w:widowControl w:val="0"/>
        <w:kinsoku/>
        <w:wordWrap/>
        <w:overflowPunct/>
        <w:topLinePunct w:val="0"/>
        <w:autoSpaceDE/>
        <w:autoSpaceDN/>
        <w:bidi w:val="0"/>
        <w:spacing w:line="560" w:lineRule="exact"/>
        <w:textAlignment w:val="auto"/>
        <w:rPr>
          <w:rStyle w:val="25"/>
          <w:rFonts w:hint="default" w:ascii="仿宋" w:eastAsia="仿宋"/>
          <w:b w:val="0"/>
          <w:bCs w:val="0"/>
          <w:sz w:val="32"/>
          <w:szCs w:val="32"/>
          <w:lang w:val="en-US"/>
        </w:rPr>
      </w:pPr>
      <w:r>
        <w:rPr>
          <w:rStyle w:val="25"/>
          <w:rFonts w:hint="eastAsia" w:ascii="仿宋" w:eastAsia="仿宋"/>
          <w:b w:val="0"/>
          <w:bCs w:val="0"/>
          <w:sz w:val="32"/>
          <w:szCs w:val="32"/>
        </w:rPr>
        <w:t>十</w:t>
      </w:r>
      <w:r>
        <w:rPr>
          <w:rStyle w:val="25"/>
          <w:rFonts w:hint="eastAsia" w:ascii="仿宋" w:eastAsia="仿宋"/>
          <w:b w:val="0"/>
          <w:bCs w:val="0"/>
          <w:sz w:val="32"/>
          <w:szCs w:val="32"/>
          <w:lang w:val="en-US" w:eastAsia="zh-CN"/>
        </w:rPr>
        <w:t>三</w:t>
      </w:r>
      <w:r>
        <w:rPr>
          <w:rStyle w:val="25"/>
          <w:rFonts w:hint="eastAsia" w:ascii="仿宋" w:eastAsia="仿宋"/>
          <w:b w:val="0"/>
          <w:bCs w:val="0"/>
          <w:sz w:val="32"/>
          <w:szCs w:val="32"/>
        </w:rPr>
        <w:t>、</w:t>
      </w:r>
      <w:r>
        <w:rPr>
          <w:rStyle w:val="25"/>
          <w:rFonts w:hint="default" w:ascii="仿宋" w:eastAsia="仿宋"/>
          <w:b w:val="0"/>
          <w:bCs w:val="0"/>
          <w:sz w:val="32"/>
          <w:szCs w:val="32"/>
          <w:lang w:val="en-US"/>
        </w:rPr>
        <w:t>财政拨款“三公”经费支出决算表</w:t>
      </w:r>
    </w:p>
    <w:p w14:paraId="0851E56D">
      <w:pPr>
        <w:pStyle w:val="22"/>
        <w:rPr>
          <w:rStyle w:val="25"/>
          <w:rFonts w:hint="eastAsia" w:ascii="仿宋" w:eastAsia="仿宋"/>
          <w:b w:val="0"/>
          <w:bCs w:val="0"/>
        </w:rPr>
      </w:pPr>
    </w:p>
    <w:sectPr>
      <w:footerReference r:id="rId7" w:type="first"/>
      <w:footerReference r:id="rId6" w:type="default"/>
      <w:pgSz w:w="11906" w:h="16838"/>
      <w:pgMar w:top="1984"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Adobe 仿宋 Std R">
    <w:altName w:val="仿宋"/>
    <w:panose1 w:val="02020400000000000000"/>
    <w:charset w:val="86"/>
    <w:family w:val="auto"/>
    <w:pitch w:val="default"/>
    <w:sig w:usb0="00000000" w:usb1="00000000" w:usb2="00000016" w:usb3="00000000" w:csb0="00060007"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大标宋简体">
    <w:altName w:val="微软雅黑"/>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B7CF0">
    <w:pPr>
      <w:pStyle w:val="12"/>
      <w:jc w:val="center"/>
    </w:pPr>
  </w:p>
  <w:p w14:paraId="1407BE8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A46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8DC72">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1887915"/>
                          </w:sdtPr>
                          <w:sdtContent>
                            <w:p w14:paraId="2E5F10FA">
                              <w:pPr>
                                <w:pStyle w:val="12"/>
                                <w:jc w:val="center"/>
                              </w:pPr>
                              <w:r>
                                <w:fldChar w:fldCharType="begin"/>
                              </w:r>
                              <w:r>
                                <w:instrText xml:space="preserve">PAGE   \* MERGEFORMAT</w:instrText>
                              </w:r>
                              <w:r>
                                <w:fldChar w:fldCharType="separate"/>
                              </w:r>
                              <w:r>
                                <w:rPr>
                                  <w:lang w:val="zh-CN"/>
                                </w:rPr>
                                <w:t>8</w:t>
                              </w:r>
                              <w:r>
                                <w:fldChar w:fldCharType="end"/>
                              </w:r>
                            </w:p>
                          </w:sdtContent>
                        </w:sdt>
                        <w:p w14:paraId="58A5DCEE">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sdt>
                    <w:sdtPr>
                      <w:id w:val="-611887915"/>
                    </w:sdtPr>
                    <w:sdtContent>
                      <w:p w14:paraId="2E5F10FA">
                        <w:pPr>
                          <w:pStyle w:val="12"/>
                          <w:jc w:val="center"/>
                        </w:pPr>
                        <w:r>
                          <w:fldChar w:fldCharType="begin"/>
                        </w:r>
                        <w:r>
                          <w:instrText xml:space="preserve">PAGE   \* MERGEFORMAT</w:instrText>
                        </w:r>
                        <w:r>
                          <w:fldChar w:fldCharType="separate"/>
                        </w:r>
                        <w:r>
                          <w:rPr>
                            <w:lang w:val="zh-CN"/>
                          </w:rPr>
                          <w:t>8</w:t>
                        </w:r>
                        <w:r>
                          <w:fldChar w:fldCharType="end"/>
                        </w:r>
                      </w:p>
                    </w:sdtContent>
                  </w:sdt>
                  <w:p w14:paraId="58A5DCEE">
                    <w:pPr>
                      <w:pStyle w:val="9"/>
                    </w:pPr>
                  </w:p>
                </w:txbxContent>
              </v:textbox>
            </v:shape>
          </w:pict>
        </mc:Fallback>
      </mc:AlternateContent>
    </w:r>
  </w:p>
  <w:p w14:paraId="7E123953">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D68B">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5A1D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985A1D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35A5">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770E8"/>
    <w:multiLevelType w:val="singleLevel"/>
    <w:tmpl w:val="854770E8"/>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DA0B587F"/>
    <w:multiLevelType w:val="singleLevel"/>
    <w:tmpl w:val="DA0B587F"/>
    <w:lvl w:ilvl="0" w:tentative="0">
      <w:start w:val="4"/>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4">
    <w:nsid w:val="F5A541FB"/>
    <w:multiLevelType w:val="singleLevel"/>
    <w:tmpl w:val="F5A541FB"/>
    <w:lvl w:ilvl="0" w:tentative="0">
      <w:start w:val="3"/>
      <w:numFmt w:val="chineseCounting"/>
      <w:suff w:val="nothing"/>
      <w:lvlText w:val="（%1）"/>
      <w:lvlJc w:val="left"/>
      <w:rPr>
        <w:rFonts w:hint="eastAsia"/>
      </w:rPr>
    </w:lvl>
  </w:abstractNum>
  <w:abstractNum w:abstractNumId="5">
    <w:nsid w:val="0F3B70AE"/>
    <w:multiLevelType w:val="singleLevel"/>
    <w:tmpl w:val="0F3B70AE"/>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355666A7"/>
    <w:multiLevelType w:val="singleLevel"/>
    <w:tmpl w:val="355666A7"/>
    <w:lvl w:ilvl="0" w:tentative="0">
      <w:start w:val="2"/>
      <w:numFmt w:val="chineseCounting"/>
      <w:suff w:val="nothing"/>
      <w:lvlText w:val="（%1）"/>
      <w:lvlJc w:val="left"/>
      <w:rPr>
        <w:rFonts w:hint="eastAsia"/>
      </w:rPr>
    </w:lvl>
  </w:abstractNum>
  <w:abstractNum w:abstractNumId="8">
    <w:nsid w:val="3635C27D"/>
    <w:multiLevelType w:val="singleLevel"/>
    <w:tmpl w:val="3635C27D"/>
    <w:lvl w:ilvl="0" w:tentative="0">
      <w:start w:val="2"/>
      <w:numFmt w:val="chineseCounting"/>
      <w:suff w:val="nothing"/>
      <w:lvlText w:val="（%1）"/>
      <w:lvlJc w:val="left"/>
      <w:pPr>
        <w:ind w:left="640"/>
      </w:pPr>
      <w:rPr>
        <w:rFonts w:hint="eastAsia"/>
      </w:rPr>
    </w:lvl>
  </w:abstractNum>
  <w:abstractNum w:abstractNumId="9">
    <w:nsid w:val="4426F189"/>
    <w:multiLevelType w:val="singleLevel"/>
    <w:tmpl w:val="4426F189"/>
    <w:lvl w:ilvl="0" w:tentative="0">
      <w:start w:val="1"/>
      <w:numFmt w:val="decimal"/>
      <w:lvlText w:val="%1."/>
      <w:lvlJc w:val="left"/>
      <w:pPr>
        <w:tabs>
          <w:tab w:val="left" w:pos="312"/>
        </w:tabs>
      </w:pPr>
    </w:lvl>
  </w:abstractNum>
  <w:abstractNum w:abstractNumId="10">
    <w:nsid w:val="500DF103"/>
    <w:multiLevelType w:val="singleLevel"/>
    <w:tmpl w:val="500DF103"/>
    <w:lvl w:ilvl="0" w:tentative="0">
      <w:start w:val="3"/>
      <w:numFmt w:val="chineseCounting"/>
      <w:suff w:val="nothing"/>
      <w:lvlText w:val="（%1）"/>
      <w:lvlJc w:val="left"/>
      <w:rPr>
        <w:rFonts w:hint="eastAsia"/>
      </w:rPr>
    </w:lvl>
  </w:abstractNum>
  <w:num w:numId="1">
    <w:abstractNumId w:val="6"/>
  </w:num>
  <w:num w:numId="2">
    <w:abstractNumId w:val="1"/>
  </w:num>
  <w:num w:numId="3">
    <w:abstractNumId w:val="3"/>
  </w:num>
  <w:num w:numId="4">
    <w:abstractNumId w:val="8"/>
  </w:num>
  <w:num w:numId="5">
    <w:abstractNumId w:val="4"/>
  </w:num>
  <w:num w:numId="6">
    <w:abstractNumId w:val="7"/>
  </w:num>
  <w:num w:numId="7">
    <w:abstractNumId w:val="9"/>
  </w:num>
  <w:num w:numId="8">
    <w:abstractNumId w:val="10"/>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ExZGUxMzYwMjFkZjVhNThjZTAxOTFmZGZiNGRjODIifQ=="/>
  </w:docVars>
  <w:rsids>
    <w:rsidRoot w:val="008C6A67"/>
    <w:rsid w:val="00190606"/>
    <w:rsid w:val="004F482C"/>
    <w:rsid w:val="00733E26"/>
    <w:rsid w:val="008C6A67"/>
    <w:rsid w:val="0119677B"/>
    <w:rsid w:val="01270291"/>
    <w:rsid w:val="01837B27"/>
    <w:rsid w:val="01A324E9"/>
    <w:rsid w:val="027C6540"/>
    <w:rsid w:val="02897931"/>
    <w:rsid w:val="02F474A0"/>
    <w:rsid w:val="039D7B38"/>
    <w:rsid w:val="03C05D91"/>
    <w:rsid w:val="03D1333D"/>
    <w:rsid w:val="03E72B61"/>
    <w:rsid w:val="04640482"/>
    <w:rsid w:val="04DA4474"/>
    <w:rsid w:val="04DE21B6"/>
    <w:rsid w:val="055C757F"/>
    <w:rsid w:val="05CB05C6"/>
    <w:rsid w:val="073562D9"/>
    <w:rsid w:val="073575CE"/>
    <w:rsid w:val="07642C1E"/>
    <w:rsid w:val="077D6E60"/>
    <w:rsid w:val="07F7533D"/>
    <w:rsid w:val="086506C6"/>
    <w:rsid w:val="08A74FB5"/>
    <w:rsid w:val="09440A55"/>
    <w:rsid w:val="09615163"/>
    <w:rsid w:val="096A5973"/>
    <w:rsid w:val="096E7880"/>
    <w:rsid w:val="09A757A5"/>
    <w:rsid w:val="0A206DCD"/>
    <w:rsid w:val="0A287A2F"/>
    <w:rsid w:val="0A6B7243"/>
    <w:rsid w:val="0BB23E19"/>
    <w:rsid w:val="0BBE4AEF"/>
    <w:rsid w:val="0C122745"/>
    <w:rsid w:val="0CD65E68"/>
    <w:rsid w:val="0CD81BE1"/>
    <w:rsid w:val="0D0344B1"/>
    <w:rsid w:val="0D444B80"/>
    <w:rsid w:val="0D8E7604"/>
    <w:rsid w:val="0DEA1BCB"/>
    <w:rsid w:val="0EB2020F"/>
    <w:rsid w:val="0F096081"/>
    <w:rsid w:val="0F7B2CC4"/>
    <w:rsid w:val="1010343F"/>
    <w:rsid w:val="10233173"/>
    <w:rsid w:val="10392996"/>
    <w:rsid w:val="11496C09"/>
    <w:rsid w:val="1279351E"/>
    <w:rsid w:val="12C34799"/>
    <w:rsid w:val="132545E3"/>
    <w:rsid w:val="133E4C1F"/>
    <w:rsid w:val="135D42E1"/>
    <w:rsid w:val="13B64C70"/>
    <w:rsid w:val="13BF7656"/>
    <w:rsid w:val="13FF3EF7"/>
    <w:rsid w:val="141212D2"/>
    <w:rsid w:val="14777F31"/>
    <w:rsid w:val="147F2942"/>
    <w:rsid w:val="150177FB"/>
    <w:rsid w:val="15C87289"/>
    <w:rsid w:val="15D13671"/>
    <w:rsid w:val="160E21CF"/>
    <w:rsid w:val="161B3331"/>
    <w:rsid w:val="166242C9"/>
    <w:rsid w:val="167209B0"/>
    <w:rsid w:val="16734728"/>
    <w:rsid w:val="16C02152"/>
    <w:rsid w:val="170B4961"/>
    <w:rsid w:val="170D252C"/>
    <w:rsid w:val="171F21BA"/>
    <w:rsid w:val="17237EFC"/>
    <w:rsid w:val="1763654B"/>
    <w:rsid w:val="178C5AA1"/>
    <w:rsid w:val="18194E5B"/>
    <w:rsid w:val="181F6915"/>
    <w:rsid w:val="18F7512B"/>
    <w:rsid w:val="19B60BB4"/>
    <w:rsid w:val="19CD414F"/>
    <w:rsid w:val="1A1D6E85"/>
    <w:rsid w:val="1A623B0D"/>
    <w:rsid w:val="1A907657"/>
    <w:rsid w:val="1AC44BF5"/>
    <w:rsid w:val="1B796274"/>
    <w:rsid w:val="1B7E3953"/>
    <w:rsid w:val="1BBC5647"/>
    <w:rsid w:val="1C86133B"/>
    <w:rsid w:val="1C862BC0"/>
    <w:rsid w:val="1CEB3DD2"/>
    <w:rsid w:val="1D172BCC"/>
    <w:rsid w:val="1D4E55A7"/>
    <w:rsid w:val="1D70551D"/>
    <w:rsid w:val="1E4470D6"/>
    <w:rsid w:val="1EB959E8"/>
    <w:rsid w:val="1EF03BDF"/>
    <w:rsid w:val="1F0B19A2"/>
    <w:rsid w:val="1F415D71"/>
    <w:rsid w:val="1F642E60"/>
    <w:rsid w:val="1F867B54"/>
    <w:rsid w:val="205E1FA5"/>
    <w:rsid w:val="206B4E60"/>
    <w:rsid w:val="20B816B5"/>
    <w:rsid w:val="2117483A"/>
    <w:rsid w:val="21C423DC"/>
    <w:rsid w:val="2254540E"/>
    <w:rsid w:val="227B0BEC"/>
    <w:rsid w:val="231A1384"/>
    <w:rsid w:val="23256DAA"/>
    <w:rsid w:val="233314C7"/>
    <w:rsid w:val="23474F72"/>
    <w:rsid w:val="234B4A63"/>
    <w:rsid w:val="23BF2D5B"/>
    <w:rsid w:val="2423778D"/>
    <w:rsid w:val="24505746"/>
    <w:rsid w:val="24D10F97"/>
    <w:rsid w:val="251D6EAD"/>
    <w:rsid w:val="2613738E"/>
    <w:rsid w:val="2670658E"/>
    <w:rsid w:val="26B172D2"/>
    <w:rsid w:val="26EA6341"/>
    <w:rsid w:val="273121C1"/>
    <w:rsid w:val="273B6B9C"/>
    <w:rsid w:val="275B2D9A"/>
    <w:rsid w:val="276205CD"/>
    <w:rsid w:val="276C7B5F"/>
    <w:rsid w:val="277F01E4"/>
    <w:rsid w:val="2790513A"/>
    <w:rsid w:val="27A74232"/>
    <w:rsid w:val="289E3886"/>
    <w:rsid w:val="28EE2BAE"/>
    <w:rsid w:val="29162311"/>
    <w:rsid w:val="29170EB2"/>
    <w:rsid w:val="29472944"/>
    <w:rsid w:val="297B7724"/>
    <w:rsid w:val="29890093"/>
    <w:rsid w:val="2A3A138D"/>
    <w:rsid w:val="2A655741"/>
    <w:rsid w:val="2AA607D0"/>
    <w:rsid w:val="2AE80BF4"/>
    <w:rsid w:val="2B513946"/>
    <w:rsid w:val="2C092CED"/>
    <w:rsid w:val="2C9A00F3"/>
    <w:rsid w:val="2D47298B"/>
    <w:rsid w:val="2D947006"/>
    <w:rsid w:val="2D962D7E"/>
    <w:rsid w:val="2DC378EB"/>
    <w:rsid w:val="2E163EBF"/>
    <w:rsid w:val="2E5845FC"/>
    <w:rsid w:val="2E905A1F"/>
    <w:rsid w:val="2EA9088F"/>
    <w:rsid w:val="2EF508C3"/>
    <w:rsid w:val="2F2148C9"/>
    <w:rsid w:val="2F370591"/>
    <w:rsid w:val="2F394DAF"/>
    <w:rsid w:val="2F3A598B"/>
    <w:rsid w:val="2F3B1E2F"/>
    <w:rsid w:val="2F5C1DA5"/>
    <w:rsid w:val="2F854E58"/>
    <w:rsid w:val="2FDE5A1A"/>
    <w:rsid w:val="2FE14059"/>
    <w:rsid w:val="2FEF4EA2"/>
    <w:rsid w:val="303D1BD7"/>
    <w:rsid w:val="304271ED"/>
    <w:rsid w:val="30A734F4"/>
    <w:rsid w:val="30E26576"/>
    <w:rsid w:val="310821E5"/>
    <w:rsid w:val="310F13B2"/>
    <w:rsid w:val="314B3E80"/>
    <w:rsid w:val="31EA5447"/>
    <w:rsid w:val="328238D1"/>
    <w:rsid w:val="32877139"/>
    <w:rsid w:val="329F4483"/>
    <w:rsid w:val="33134E71"/>
    <w:rsid w:val="33C82C9C"/>
    <w:rsid w:val="348F22D5"/>
    <w:rsid w:val="34C06933"/>
    <w:rsid w:val="34CC52D7"/>
    <w:rsid w:val="35267A5F"/>
    <w:rsid w:val="35576957"/>
    <w:rsid w:val="35B93B6F"/>
    <w:rsid w:val="36814A24"/>
    <w:rsid w:val="36CE5337"/>
    <w:rsid w:val="381E22EE"/>
    <w:rsid w:val="386C5BAC"/>
    <w:rsid w:val="38AE3672"/>
    <w:rsid w:val="38FD1F03"/>
    <w:rsid w:val="390C2146"/>
    <w:rsid w:val="3962445C"/>
    <w:rsid w:val="39894A2E"/>
    <w:rsid w:val="399F2FBB"/>
    <w:rsid w:val="39DC7D6B"/>
    <w:rsid w:val="3A267859"/>
    <w:rsid w:val="3A461688"/>
    <w:rsid w:val="3A5B15D7"/>
    <w:rsid w:val="3AC3717D"/>
    <w:rsid w:val="3B3911ED"/>
    <w:rsid w:val="3C382211"/>
    <w:rsid w:val="3C5B5562"/>
    <w:rsid w:val="3C753C66"/>
    <w:rsid w:val="3CA174DE"/>
    <w:rsid w:val="3CE33F43"/>
    <w:rsid w:val="3DA768E2"/>
    <w:rsid w:val="3DDE1C46"/>
    <w:rsid w:val="3EEB27FE"/>
    <w:rsid w:val="3F073ADC"/>
    <w:rsid w:val="3F095E8F"/>
    <w:rsid w:val="3F620D12"/>
    <w:rsid w:val="3FBA0B4E"/>
    <w:rsid w:val="3FD538C2"/>
    <w:rsid w:val="40C71F4C"/>
    <w:rsid w:val="415B3C6B"/>
    <w:rsid w:val="41823260"/>
    <w:rsid w:val="41C71300"/>
    <w:rsid w:val="427A2817"/>
    <w:rsid w:val="42AD6748"/>
    <w:rsid w:val="438439C9"/>
    <w:rsid w:val="43AD2778"/>
    <w:rsid w:val="43C52C83"/>
    <w:rsid w:val="444E3F5B"/>
    <w:rsid w:val="44DF2E05"/>
    <w:rsid w:val="4519136F"/>
    <w:rsid w:val="451A3E3D"/>
    <w:rsid w:val="451F76A5"/>
    <w:rsid w:val="45B47DEE"/>
    <w:rsid w:val="45FC3543"/>
    <w:rsid w:val="4625224C"/>
    <w:rsid w:val="46847726"/>
    <w:rsid w:val="47723ABC"/>
    <w:rsid w:val="47FF736B"/>
    <w:rsid w:val="486275B7"/>
    <w:rsid w:val="48800083"/>
    <w:rsid w:val="491F5EC6"/>
    <w:rsid w:val="4924528A"/>
    <w:rsid w:val="49570AD5"/>
    <w:rsid w:val="498B355B"/>
    <w:rsid w:val="4A723154"/>
    <w:rsid w:val="4A8E6E5F"/>
    <w:rsid w:val="4AAF22A8"/>
    <w:rsid w:val="4ACE0369"/>
    <w:rsid w:val="4AF929AE"/>
    <w:rsid w:val="4B165A7F"/>
    <w:rsid w:val="4B840262"/>
    <w:rsid w:val="4BF31D33"/>
    <w:rsid w:val="4C043151"/>
    <w:rsid w:val="4C0F4ADE"/>
    <w:rsid w:val="4C83676C"/>
    <w:rsid w:val="4D7A3337"/>
    <w:rsid w:val="4D956757"/>
    <w:rsid w:val="4DB36BDD"/>
    <w:rsid w:val="4DED20EF"/>
    <w:rsid w:val="4E353A96"/>
    <w:rsid w:val="4EBF69BD"/>
    <w:rsid w:val="4EC07803"/>
    <w:rsid w:val="4F3E697A"/>
    <w:rsid w:val="4FBA4253"/>
    <w:rsid w:val="4FE13ED5"/>
    <w:rsid w:val="5006393C"/>
    <w:rsid w:val="50615016"/>
    <w:rsid w:val="506A5C79"/>
    <w:rsid w:val="506B379F"/>
    <w:rsid w:val="5088576D"/>
    <w:rsid w:val="511018A7"/>
    <w:rsid w:val="51E23F34"/>
    <w:rsid w:val="51EC30C9"/>
    <w:rsid w:val="520A56A8"/>
    <w:rsid w:val="52135DFE"/>
    <w:rsid w:val="521C41DC"/>
    <w:rsid w:val="52622E1E"/>
    <w:rsid w:val="52C13B4A"/>
    <w:rsid w:val="53081779"/>
    <w:rsid w:val="531E2D4A"/>
    <w:rsid w:val="54C811C0"/>
    <w:rsid w:val="556C4241"/>
    <w:rsid w:val="55A97243"/>
    <w:rsid w:val="55E13070"/>
    <w:rsid w:val="560D0856"/>
    <w:rsid w:val="56D025AE"/>
    <w:rsid w:val="56E12A0D"/>
    <w:rsid w:val="574A366F"/>
    <w:rsid w:val="57DB3900"/>
    <w:rsid w:val="581A7F84"/>
    <w:rsid w:val="587C1A74"/>
    <w:rsid w:val="58B54151"/>
    <w:rsid w:val="58C957A0"/>
    <w:rsid w:val="591305FD"/>
    <w:rsid w:val="59CB2660"/>
    <w:rsid w:val="5AD54636"/>
    <w:rsid w:val="5AEA7ACA"/>
    <w:rsid w:val="5B5A4801"/>
    <w:rsid w:val="5CFF4C0D"/>
    <w:rsid w:val="5D395350"/>
    <w:rsid w:val="5D3B49B3"/>
    <w:rsid w:val="5D4A130C"/>
    <w:rsid w:val="5D665A1A"/>
    <w:rsid w:val="5DD010E5"/>
    <w:rsid w:val="5DF748C4"/>
    <w:rsid w:val="5E0240EC"/>
    <w:rsid w:val="5E4C2E61"/>
    <w:rsid w:val="5E9071F2"/>
    <w:rsid w:val="5F37766E"/>
    <w:rsid w:val="5FC101C7"/>
    <w:rsid w:val="601654D5"/>
    <w:rsid w:val="60F6689E"/>
    <w:rsid w:val="611D0AE5"/>
    <w:rsid w:val="61361F5C"/>
    <w:rsid w:val="61F2764D"/>
    <w:rsid w:val="62571338"/>
    <w:rsid w:val="629E7A04"/>
    <w:rsid w:val="6472739A"/>
    <w:rsid w:val="64EB6A8D"/>
    <w:rsid w:val="657432EA"/>
    <w:rsid w:val="657D13E8"/>
    <w:rsid w:val="66F127F8"/>
    <w:rsid w:val="6734593C"/>
    <w:rsid w:val="6759214B"/>
    <w:rsid w:val="67B21A22"/>
    <w:rsid w:val="67F85E08"/>
    <w:rsid w:val="68774F7F"/>
    <w:rsid w:val="6888718C"/>
    <w:rsid w:val="68D51CA5"/>
    <w:rsid w:val="691C78D4"/>
    <w:rsid w:val="692C7B17"/>
    <w:rsid w:val="69731BEA"/>
    <w:rsid w:val="6A0C16F7"/>
    <w:rsid w:val="6A892D47"/>
    <w:rsid w:val="6ADA35A3"/>
    <w:rsid w:val="6B064398"/>
    <w:rsid w:val="6B3453A9"/>
    <w:rsid w:val="6C0E769F"/>
    <w:rsid w:val="6C180827"/>
    <w:rsid w:val="6C450EF0"/>
    <w:rsid w:val="6C53360D"/>
    <w:rsid w:val="6C8B629B"/>
    <w:rsid w:val="6CBB3BFD"/>
    <w:rsid w:val="6CD209D6"/>
    <w:rsid w:val="6CD219FF"/>
    <w:rsid w:val="6CFA1CDB"/>
    <w:rsid w:val="6D486AFE"/>
    <w:rsid w:val="6DC6021C"/>
    <w:rsid w:val="6DDB5FB0"/>
    <w:rsid w:val="6E1D3ED3"/>
    <w:rsid w:val="6E4964A3"/>
    <w:rsid w:val="6E625D89"/>
    <w:rsid w:val="6E730F69"/>
    <w:rsid w:val="6E7C509D"/>
    <w:rsid w:val="6FF704D5"/>
    <w:rsid w:val="7013357E"/>
    <w:rsid w:val="70473489"/>
    <w:rsid w:val="7064228D"/>
    <w:rsid w:val="70710506"/>
    <w:rsid w:val="718B22F5"/>
    <w:rsid w:val="72023B0B"/>
    <w:rsid w:val="72AE5A41"/>
    <w:rsid w:val="72E326E7"/>
    <w:rsid w:val="732E6B82"/>
    <w:rsid w:val="732F2BE6"/>
    <w:rsid w:val="743D52CE"/>
    <w:rsid w:val="747B1953"/>
    <w:rsid w:val="75A31161"/>
    <w:rsid w:val="764861AD"/>
    <w:rsid w:val="76634D94"/>
    <w:rsid w:val="766F3739"/>
    <w:rsid w:val="76EE0B02"/>
    <w:rsid w:val="77FB2D90"/>
    <w:rsid w:val="782D565A"/>
    <w:rsid w:val="7840538D"/>
    <w:rsid w:val="79E104AA"/>
    <w:rsid w:val="7A1A39BC"/>
    <w:rsid w:val="7A3905A1"/>
    <w:rsid w:val="7AFB559C"/>
    <w:rsid w:val="7B0D52CF"/>
    <w:rsid w:val="7BC42DCB"/>
    <w:rsid w:val="7C9E6B26"/>
    <w:rsid w:val="7CA80172"/>
    <w:rsid w:val="7D8349B7"/>
    <w:rsid w:val="7DC205F3"/>
    <w:rsid w:val="7DE95B7F"/>
    <w:rsid w:val="7DF033B2"/>
    <w:rsid w:val="7E296083"/>
    <w:rsid w:val="7EB42631"/>
    <w:rsid w:val="7EB51F05"/>
    <w:rsid w:val="7EEA6A1B"/>
    <w:rsid w:val="7EFB02D5"/>
    <w:rsid w:val="7FA77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Salutation"/>
    <w:basedOn w:val="1"/>
    <w:next w:val="1"/>
    <w:qFormat/>
    <w:uiPriority w:val="0"/>
    <w:rPr>
      <w:rFonts w:ascii="Times New Roman" w:hAnsi="Times New Roman" w:eastAsia="宋体" w:cs="Times New Roman"/>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9">
    <w:name w:val="Body Text First Indent 2"/>
    <w:basedOn w:val="8"/>
    <w:next w:val="1"/>
    <w:qFormat/>
    <w:uiPriority w:val="99"/>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首行缩进"/>
    <w:basedOn w:val="1"/>
    <w:qFormat/>
    <w:uiPriority w:val="0"/>
    <w:pPr>
      <w:ind w:firstLine="200" w:firstLineChars="200"/>
    </w:pPr>
  </w:style>
  <w:style w:type="paragraph" w:customStyle="1" w:styleId="22">
    <w:name w:val="BodyText"/>
    <w:basedOn w:val="1"/>
    <w:next w:val="23"/>
    <w:qFormat/>
    <w:uiPriority w:val="0"/>
    <w:pPr>
      <w:jc w:val="both"/>
      <w:textAlignment w:val="baseline"/>
    </w:pPr>
  </w:style>
  <w:style w:type="paragraph" w:customStyle="1" w:styleId="23">
    <w:name w:val="Index5"/>
    <w:basedOn w:val="1"/>
    <w:next w:val="1"/>
    <w:qFormat/>
    <w:uiPriority w:val="0"/>
    <w:pPr>
      <w:ind w:left="1680"/>
      <w:jc w:val="both"/>
      <w:textAlignment w:val="baseline"/>
    </w:pPr>
  </w:style>
  <w:style w:type="character" w:customStyle="1" w:styleId="24">
    <w:name w:val="标题 1 字符"/>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标题 2 字符"/>
    <w:basedOn w:val="18"/>
    <w:link w:val="4"/>
    <w:qFormat/>
    <w:uiPriority w:val="0"/>
    <w:rPr>
      <w:rFonts w:ascii="Cambria" w:hAnsi="Cambria" w:eastAsia="宋体" w:cs="Times New Roman"/>
      <w:b/>
      <w:bCs/>
      <w:kern w:val="2"/>
      <w:sz w:val="32"/>
      <w:szCs w:val="32"/>
      <w:lang w:val="en-US" w:eastAsia="zh-CN" w:bidi="ar-SA"/>
    </w:rPr>
  </w:style>
  <w:style w:type="character" w:customStyle="1" w:styleId="26">
    <w:name w:val="Header Char"/>
    <w:basedOn w:val="18"/>
    <w:qFormat/>
    <w:uiPriority w:val="0"/>
    <w:rPr>
      <w:rFonts w:ascii="Times New Roman" w:hAnsi="Times New Roman"/>
      <w:sz w:val="18"/>
      <w:szCs w:val="18"/>
    </w:rPr>
  </w:style>
  <w:style w:type="character" w:customStyle="1" w:styleId="27">
    <w:name w:val="Footer Char"/>
    <w:basedOn w:val="18"/>
    <w:qFormat/>
    <w:uiPriority w:val="0"/>
    <w:rPr>
      <w:rFonts w:ascii="Times New Roman" w:hAnsi="Times New Roman"/>
      <w:sz w:val="18"/>
      <w:szCs w:val="18"/>
    </w:rPr>
  </w:style>
  <w:style w:type="character" w:customStyle="1" w:styleId="28">
    <w:name w:val="Body Text Char"/>
    <w:basedOn w:val="18"/>
    <w:qFormat/>
    <w:uiPriority w:val="0"/>
    <w:rPr>
      <w:rFonts w:ascii="Times New Roman" w:hAnsi="Times New Roman"/>
      <w:szCs w:val="24"/>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0">
    <w:name w:val="List Paragraph"/>
    <w:basedOn w:val="1"/>
    <w:qFormat/>
    <w:uiPriority w:val="0"/>
    <w:pPr>
      <w:ind w:firstLine="200" w:firstLineChars="200"/>
    </w:pPr>
  </w:style>
  <w:style w:type="paragraph" w:customStyle="1" w:styleId="31">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34">
    <w:name w:val="21"/>
    <w:basedOn w:val="18"/>
    <w:qFormat/>
    <w:uiPriority w:val="0"/>
    <w:rPr>
      <w:rFonts w:hint="default" w:ascii="Times New Roman" w:hAnsi="Times New Roman" w:cs="Times New Roman"/>
      <w:b/>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rPr>
  </w:style>
  <w:style w:type="paragraph" w:customStyle="1" w:styleId="36">
    <w:name w:val="Body Text First Indent 21"/>
    <w:basedOn w:val="37"/>
    <w:qFormat/>
    <w:uiPriority w:val="0"/>
    <w:pPr>
      <w:ind w:firstLine="420" w:firstLineChars="200"/>
    </w:pPr>
    <w:rPr>
      <w:rFonts w:ascii="Calibri" w:hAnsi="Calibri" w:eastAsia="宋体" w:cs="Times New Roman"/>
    </w:rPr>
  </w:style>
  <w:style w:type="paragraph" w:customStyle="1" w:styleId="37">
    <w:name w:val="Body Text Indent1"/>
    <w:basedOn w:val="1"/>
    <w:qFormat/>
    <w:uiPriority w:val="0"/>
    <w:pPr>
      <w:ind w:left="420" w:leftChars="200"/>
    </w:pPr>
    <w:rPr>
      <w:rFonts w:ascii="Calibri" w:hAnsi="Calibri"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3.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收支决算情况变动图</a:t>
            </a:r>
          </a:p>
        </c:rich>
      </c:tx>
      <c:layout/>
      <c:overlay val="0"/>
      <c:spPr>
        <a:noFill/>
        <a:ln>
          <a:noFill/>
        </a:ln>
        <a:effectLst/>
      </c:spPr>
    </c:title>
    <c:autoTitleDeleted val="0"/>
    <c:plotArea>
      <c:layout/>
      <c:barChart>
        <c:barDir val="col"/>
        <c:grouping val="clustered"/>
        <c:varyColors val="0"/>
        <c:ser>
          <c:idx val="0"/>
          <c:order val="0"/>
          <c:tx>
            <c:strRef>
              <c:f>'[新建 XLS 工作表.xls]Sheet3'!$I$8</c:f>
              <c:strCache>
                <c:ptCount val="1"/>
                <c:pt idx="0">
                  <c:v>收入</c:v>
                </c:pt>
              </c:strCache>
            </c:strRef>
          </c:tx>
          <c:spPr>
            <a:solidFill>
              <a:schemeClr val="accent1"/>
            </a:solidFill>
            <a:ln>
              <a:noFill/>
            </a:ln>
            <a:effectLst/>
          </c:spPr>
          <c:invertIfNegative val="0"/>
          <c:dLbls>
            <c:delete val="1"/>
          </c:dLbls>
          <c:cat>
            <c:strRef>
              <c:f>'[新建 XLS 工作表.xls]Sheet3'!$J$7:$K$7</c:f>
              <c:strCache>
                <c:ptCount val="2"/>
                <c:pt idx="0">
                  <c:v>2023年</c:v>
                </c:pt>
                <c:pt idx="1">
                  <c:v>2024年</c:v>
                </c:pt>
              </c:strCache>
            </c:strRef>
          </c:cat>
          <c:val>
            <c:numRef>
              <c:f>'[新建 XLS 工作表.xls]Sheet3'!$J$8:$K$8</c:f>
              <c:numCache>
                <c:formatCode>General</c:formatCode>
                <c:ptCount val="2"/>
                <c:pt idx="0">
                  <c:v>6705.41</c:v>
                </c:pt>
                <c:pt idx="1">
                  <c:v>7185.66</c:v>
                </c:pt>
              </c:numCache>
            </c:numRef>
          </c:val>
        </c:ser>
        <c:ser>
          <c:idx val="1"/>
          <c:order val="1"/>
          <c:tx>
            <c:strRef>
              <c:f>'[新建 XLS 工作表.xls]Sheet3'!$I$9</c:f>
              <c:strCache>
                <c:ptCount val="1"/>
                <c:pt idx="0">
                  <c:v>支出</c:v>
                </c:pt>
              </c:strCache>
            </c:strRef>
          </c:tx>
          <c:spPr>
            <a:solidFill>
              <a:schemeClr val="accent2"/>
            </a:solidFill>
            <a:ln>
              <a:noFill/>
            </a:ln>
            <a:effectLst/>
          </c:spPr>
          <c:invertIfNegative val="0"/>
          <c:dLbls>
            <c:delete val="1"/>
          </c:dLbls>
          <c:cat>
            <c:strRef>
              <c:f>'[新建 XLS 工作表.xls]Sheet3'!$J$7:$K$7</c:f>
              <c:strCache>
                <c:ptCount val="2"/>
                <c:pt idx="0">
                  <c:v>2023年</c:v>
                </c:pt>
                <c:pt idx="1">
                  <c:v>2024年</c:v>
                </c:pt>
              </c:strCache>
            </c:strRef>
          </c:cat>
          <c:val>
            <c:numRef>
              <c:f>'[新建 XLS 工作表.xls]Sheet3'!$J$9:$K$9</c:f>
              <c:numCache>
                <c:formatCode>General</c:formatCode>
                <c:ptCount val="2"/>
                <c:pt idx="0">
                  <c:v>6146.04</c:v>
                </c:pt>
                <c:pt idx="1">
                  <c:v>7185.53</c:v>
                </c:pt>
              </c:numCache>
            </c:numRef>
          </c:val>
        </c:ser>
        <c:dLbls>
          <c:showLegendKey val="0"/>
          <c:showVal val="0"/>
          <c:showCatName val="0"/>
          <c:showSerName val="0"/>
          <c:showPercent val="0"/>
          <c:showBubbleSize val="0"/>
        </c:dLbls>
        <c:gapWidth val="246"/>
        <c:overlap val="-28"/>
        <c:axId val="596273906"/>
        <c:axId val="909178032"/>
      </c:barChart>
      <c:catAx>
        <c:axId val="5962739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9178032"/>
        <c:crosses val="autoZero"/>
        <c:auto val="1"/>
        <c:lblAlgn val="ctr"/>
        <c:lblOffset val="100"/>
        <c:noMultiLvlLbl val="0"/>
      </c:catAx>
      <c:valAx>
        <c:axId val="90917803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627390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183d57-c3fb-4a56-88c9-aab1c90bd67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收入决算结构图</a:t>
            </a:r>
            <a:endParaRPr lang="en-US" altLang="zh-CN"/>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工作表.xls]Sheet1'!$B$22:$C$22</c:f>
              <c:strCache>
                <c:ptCount val="2"/>
                <c:pt idx="0">
                  <c:v>一般公共预算财政拨款收入</c:v>
                </c:pt>
                <c:pt idx="1">
                  <c:v>事业收入</c:v>
                </c:pt>
              </c:strCache>
            </c:strRef>
          </c:cat>
          <c:val>
            <c:numRef>
              <c:f>'[新建 XLS 工作表.xls]Sheet1'!$B$23:$C$23</c:f>
              <c:numCache>
                <c:formatCode>0.00%</c:formatCode>
                <c:ptCount val="2"/>
                <c:pt idx="0">
                  <c:v>0.669</c:v>
                </c:pt>
                <c:pt idx="1">
                  <c:v>0.331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f52cece2-9bec-4711-817b-75f2695e85d8}"/>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支出决算结构图</a:t>
            </a:r>
            <a:endParaRPr lang="zh-CN" altLang="en-US"/>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工作表.xls]Sheet1'!$B$34:$C$34</c:f>
              <c:strCache>
                <c:ptCount val="2"/>
                <c:pt idx="0">
                  <c:v>基本支出</c:v>
                </c:pt>
                <c:pt idx="1">
                  <c:v>项目支出</c:v>
                </c:pt>
              </c:strCache>
            </c:strRef>
          </c:cat>
          <c:val>
            <c:numRef>
              <c:f>'[新建 XLS 工作表.xls]Sheet1'!$B$35:$C$35</c:f>
              <c:numCache>
                <c:formatCode>0.00%</c:formatCode>
                <c:ptCount val="2"/>
                <c:pt idx="0">
                  <c:v>0.696</c:v>
                </c:pt>
                <c:pt idx="1">
                  <c:v>0.304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921879b4-a4fb-4305-b0c0-86c8c7f0dcf5}"/>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财政拨款收、支决算变动情况图</a:t>
            </a:r>
          </a:p>
        </c:rich>
      </c:tx>
      <c:layout/>
      <c:overlay val="0"/>
      <c:spPr>
        <a:noFill/>
        <a:ln>
          <a:noFill/>
        </a:ln>
        <a:effectLst/>
      </c:spPr>
    </c:title>
    <c:autoTitleDeleted val="0"/>
    <c:plotArea>
      <c:layout/>
      <c:barChart>
        <c:barDir val="col"/>
        <c:grouping val="clustered"/>
        <c:varyColors val="0"/>
        <c:ser>
          <c:idx val="0"/>
          <c:order val="0"/>
          <c:tx>
            <c:strRef>
              <c:f>'[新建 XLS 工作表.xls]Sheet3'!$I$42</c:f>
              <c:strCache>
                <c:ptCount val="1"/>
                <c:pt idx="0">
                  <c:v>财政拨款收入</c:v>
                </c:pt>
              </c:strCache>
            </c:strRef>
          </c:tx>
          <c:spPr>
            <a:solidFill>
              <a:schemeClr val="accent1"/>
            </a:solidFill>
            <a:ln>
              <a:noFill/>
            </a:ln>
            <a:effectLst/>
          </c:spPr>
          <c:invertIfNegative val="0"/>
          <c:dLbls>
            <c:delete val="1"/>
          </c:dLbls>
          <c:cat>
            <c:strRef>
              <c:f>'[新建 XLS 工作表.xls]Sheet3'!$J$41:$K$41</c:f>
              <c:strCache>
                <c:ptCount val="2"/>
                <c:pt idx="0">
                  <c:v>2023年</c:v>
                </c:pt>
                <c:pt idx="1">
                  <c:v>2024年</c:v>
                </c:pt>
              </c:strCache>
            </c:strRef>
          </c:cat>
          <c:val>
            <c:numRef>
              <c:f>'[新建 XLS 工作表.xls]Sheet3'!$J$42:$K$42</c:f>
              <c:numCache>
                <c:formatCode>General</c:formatCode>
                <c:ptCount val="2"/>
                <c:pt idx="0">
                  <c:v>3884.5</c:v>
                </c:pt>
                <c:pt idx="1">
                  <c:v>4809.73</c:v>
                </c:pt>
              </c:numCache>
            </c:numRef>
          </c:val>
        </c:ser>
        <c:ser>
          <c:idx val="1"/>
          <c:order val="1"/>
          <c:tx>
            <c:strRef>
              <c:f>'[新建 XLS 工作表.xls]Sheet3'!$I$43</c:f>
              <c:strCache>
                <c:ptCount val="1"/>
                <c:pt idx="0">
                  <c:v>财政拨款支出</c:v>
                </c:pt>
              </c:strCache>
            </c:strRef>
          </c:tx>
          <c:spPr>
            <a:solidFill>
              <a:schemeClr val="accent2"/>
            </a:solidFill>
            <a:ln>
              <a:noFill/>
            </a:ln>
            <a:effectLst/>
          </c:spPr>
          <c:invertIfNegative val="0"/>
          <c:dLbls>
            <c:delete val="1"/>
          </c:dLbls>
          <c:cat>
            <c:strRef>
              <c:f>'[新建 XLS 工作表.xls]Sheet3'!$J$41:$K$41</c:f>
              <c:strCache>
                <c:ptCount val="2"/>
                <c:pt idx="0">
                  <c:v>2023年</c:v>
                </c:pt>
                <c:pt idx="1">
                  <c:v>2024年</c:v>
                </c:pt>
              </c:strCache>
            </c:strRef>
          </c:cat>
          <c:val>
            <c:numRef>
              <c:f>'[新建 XLS 工作表.xls]Sheet3'!$J$43:$K$43</c:f>
              <c:numCache>
                <c:formatCode>General</c:formatCode>
                <c:ptCount val="2"/>
                <c:pt idx="0">
                  <c:v>3884.5</c:v>
                </c:pt>
                <c:pt idx="1">
                  <c:v>4809.73</c:v>
                </c:pt>
              </c:numCache>
            </c:numRef>
          </c:val>
        </c:ser>
        <c:dLbls>
          <c:showLegendKey val="0"/>
          <c:showVal val="0"/>
          <c:showCatName val="0"/>
          <c:showSerName val="0"/>
          <c:showPercent val="0"/>
          <c:showBubbleSize val="0"/>
        </c:dLbls>
        <c:gapWidth val="246"/>
        <c:overlap val="-28"/>
        <c:axId val="10769607"/>
        <c:axId val="793034193"/>
      </c:barChart>
      <c:catAx>
        <c:axId val="107696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034193"/>
        <c:crosses val="autoZero"/>
        <c:auto val="1"/>
        <c:lblAlgn val="ctr"/>
        <c:lblOffset val="100"/>
        <c:noMultiLvlLbl val="0"/>
      </c:catAx>
      <c:valAx>
        <c:axId val="79303419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6960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bbc5ea0-ad06-4480-aac1-a041f4b645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财政拨款支出决算变动图</a:t>
            </a:r>
          </a:p>
        </c:rich>
      </c:tx>
      <c:layout/>
      <c:overlay val="0"/>
      <c:spPr>
        <a:noFill/>
        <a:ln>
          <a:noFill/>
        </a:ln>
        <a:effectLst/>
      </c:spPr>
    </c:title>
    <c:autoTitleDeleted val="0"/>
    <c:plotArea>
      <c:layout/>
      <c:barChart>
        <c:barDir val="col"/>
        <c:grouping val="clustered"/>
        <c:varyColors val="0"/>
        <c:ser>
          <c:idx val="0"/>
          <c:order val="0"/>
          <c:tx>
            <c:strRef>
              <c:f>'[新建 XLS 工作表.xls]Sheet3'!$I$78</c:f>
              <c:strCache>
                <c:ptCount val="1"/>
                <c:pt idx="0">
                  <c:v>财政拨款支出</c:v>
                </c:pt>
              </c:strCache>
            </c:strRef>
          </c:tx>
          <c:spPr>
            <a:solidFill>
              <a:schemeClr val="accent1"/>
            </a:solidFill>
            <a:ln>
              <a:noFill/>
            </a:ln>
            <a:effectLst/>
          </c:spPr>
          <c:invertIfNegative val="0"/>
          <c:dLbls>
            <c:delete val="1"/>
          </c:dLbls>
          <c:cat>
            <c:strRef>
              <c:f>'[新建 XLS 工作表.xls]Sheet3'!$J$77:$K$77</c:f>
              <c:strCache>
                <c:ptCount val="2"/>
                <c:pt idx="0">
                  <c:v>2023年</c:v>
                </c:pt>
                <c:pt idx="1">
                  <c:v>2024年</c:v>
                </c:pt>
              </c:strCache>
            </c:strRef>
          </c:cat>
          <c:val>
            <c:numRef>
              <c:f>'[新建 XLS 工作表.xls]Sheet3'!$J$78:$K$78</c:f>
              <c:numCache>
                <c:formatCode>General</c:formatCode>
                <c:ptCount val="2"/>
                <c:pt idx="0">
                  <c:v>3884.5</c:v>
                </c:pt>
                <c:pt idx="1">
                  <c:v>4809.73</c:v>
                </c:pt>
              </c:numCache>
            </c:numRef>
          </c:val>
        </c:ser>
        <c:dLbls>
          <c:showLegendKey val="0"/>
          <c:showVal val="0"/>
          <c:showCatName val="0"/>
          <c:showSerName val="0"/>
          <c:showPercent val="0"/>
          <c:showBubbleSize val="0"/>
        </c:dLbls>
        <c:gapWidth val="246"/>
        <c:overlap val="-28"/>
        <c:axId val="611762746"/>
        <c:axId val="24290846"/>
      </c:barChart>
      <c:catAx>
        <c:axId val="6117627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290846"/>
        <c:crosses val="autoZero"/>
        <c:auto val="1"/>
        <c:lblAlgn val="ctr"/>
        <c:lblOffset val="100"/>
        <c:noMultiLvlLbl val="0"/>
      </c:catAx>
      <c:valAx>
        <c:axId val="2429084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176274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525986b-f8de-4aa1-ba5a-e24a8f1453e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一般公共预算财政拨款支出决算结构图</a:t>
            </a:r>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'[新建 XLS 工作表.xls]Sheet3'!$F$128:$I$128</c:f>
              <c:strCache>
                <c:ptCount val="4"/>
                <c:pt idx="0">
                  <c:v>社会保障和就业支出</c:v>
                </c:pt>
                <c:pt idx="1">
                  <c:v>卫生健康支出</c:v>
                </c:pt>
                <c:pt idx="2">
                  <c:v>农林水支出</c:v>
                </c:pt>
                <c:pt idx="3">
                  <c:v>住房保障支出</c:v>
                </c:pt>
              </c:strCache>
            </c:strRef>
          </c:cat>
          <c:val>
            <c:numRef>
              <c:f>'[新建 XLS 工作表.xls]Sheet3'!$F$129:$I$129</c:f>
              <c:numCache>
                <c:formatCode>0.00%</c:formatCode>
                <c:ptCount val="4"/>
                <c:pt idx="0">
                  <c:v>0.0884</c:v>
                </c:pt>
                <c:pt idx="1">
                  <c:v>0.8522</c:v>
                </c:pt>
                <c:pt idx="2">
                  <c:v>0.0145</c:v>
                </c:pt>
                <c:pt idx="3">
                  <c:v>0.0449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098cdb41-fe16-4fd0-b1ef-0f4c2962c43c}"/>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7672</Words>
  <Characters>9066</Characters>
  <Lines>44</Lines>
  <Paragraphs>12</Paragraphs>
  <TotalTime>0</TotalTime>
  <ScaleCrop>false</ScaleCrop>
  <LinksUpToDate>false</LinksUpToDate>
  <CharactersWithSpaces>9116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安</cp:lastModifiedBy>
  <cp:lastPrinted>2022-08-06T02:23:00Z</cp:lastPrinted>
  <dcterms:modified xsi:type="dcterms:W3CDTF">2025-09-25T08:48:36Z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FE62E0A44C3B41F29262A3036D92B991_13</vt:lpwstr>
  </property>
  <property fmtid="{D5CDD505-2E9C-101B-9397-08002B2CF9AE}" pid="4" name="KSOTemplateDocerSaveRecord">
    <vt:lpwstr>eyJoZGlkIjoiNWExZGUxMzYwMjFkZjVhNThjZTAxOTFmZGZiNGRjODIiLCJ1c2VySWQiOiIyMjU0MDY1NDgifQ==</vt:lpwstr>
  </property>
</Properties>
</file>