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BCF02">
      <w:pPr>
        <w:spacing w:line="600" w:lineRule="exact"/>
        <w:jc w:val="center"/>
        <w:outlineLvl w:val="0"/>
        <w:rPr>
          <w:rFonts w:ascii="方正小标宋简体" w:hAnsi="宋体" w:eastAsia="方正小标宋简体"/>
          <w:sz w:val="72"/>
          <w:szCs w:val="72"/>
        </w:rPr>
      </w:pPr>
      <w:bookmarkStart w:id="0" w:name="_Toc15377425"/>
      <w:bookmarkStart w:id="1" w:name="_Toc15378441"/>
      <w:bookmarkStart w:id="2" w:name="_Toc15396597"/>
      <w:bookmarkStart w:id="3" w:name="_Toc15377193"/>
      <w:bookmarkStart w:id="4" w:name="_Toc15396475"/>
      <w:bookmarkStart w:id="5" w:name="_Toc15306267"/>
    </w:p>
    <w:p w14:paraId="053A4B1B">
      <w:pPr>
        <w:pStyle w:val="6"/>
        <w:spacing w:before="93"/>
      </w:pPr>
    </w:p>
    <w:p w14:paraId="47127C00">
      <w:pPr>
        <w:spacing w:line="600" w:lineRule="exact"/>
        <w:jc w:val="center"/>
        <w:outlineLvl w:val="0"/>
        <w:rPr>
          <w:rFonts w:ascii="方正小标宋简体" w:hAnsi="宋体" w:eastAsia="方正小标宋简体"/>
          <w:sz w:val="72"/>
          <w:szCs w:val="72"/>
        </w:rPr>
      </w:pPr>
    </w:p>
    <w:p w14:paraId="239A37A0">
      <w:pPr>
        <w:spacing w:line="600" w:lineRule="exact"/>
        <w:jc w:val="center"/>
        <w:outlineLvl w:val="0"/>
        <w:rPr>
          <w:rFonts w:ascii="方正小标宋简体" w:hAnsi="宋体" w:eastAsia="方正小标宋简体"/>
          <w:sz w:val="72"/>
          <w:szCs w:val="72"/>
        </w:rPr>
      </w:pPr>
    </w:p>
    <w:p w14:paraId="41A51FE3">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p>
    <w:bookmarkEnd w:id="5"/>
    <w:p w14:paraId="1BFD8DF5">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val="en-US" w:eastAsia="zh-CN"/>
        </w:rPr>
      </w:pPr>
      <w:bookmarkStart w:id="6" w:name="_Toc15377194"/>
      <w:bookmarkStart w:id="7" w:name="_Toc15377426"/>
      <w:bookmarkStart w:id="8" w:name="_Toc15396598"/>
      <w:bookmarkStart w:id="9" w:name="_Toc15396476"/>
      <w:bookmarkStart w:id="10" w:name="_Toc15306268"/>
      <w:bookmarkStart w:id="11" w:name="_Toc15378442"/>
      <w:r>
        <w:rPr>
          <w:rFonts w:hint="eastAsia" w:ascii="方正小标宋简体" w:hAnsi="方正小标宋简体" w:eastAsia="方正小标宋简体" w:cs="方正小标宋简体"/>
          <w:sz w:val="72"/>
          <w:szCs w:val="72"/>
          <w:lang w:eastAsia="zh-CN"/>
        </w:rPr>
        <w:t>红原县住房和城乡建设局</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r>
        <w:rPr>
          <w:rFonts w:hint="eastAsia" w:ascii="方正小标宋简体" w:hAnsi="方正小标宋简体" w:eastAsia="方正小标宋简体" w:cs="方正小标宋简体"/>
          <w:sz w:val="72"/>
          <w:szCs w:val="72"/>
          <w:lang w:val="en-US" w:eastAsia="zh-CN"/>
        </w:rPr>
        <w:t>报告</w:t>
      </w:r>
    </w:p>
    <w:p w14:paraId="4FCCC24F">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066C39E2">
      <w:pPr>
        <w:widowControl/>
        <w:jc w:val="center"/>
        <w:rPr>
          <w:rFonts w:ascii="黑体" w:hAnsi="黑体" w:eastAsia="黑体" w:cstheme="minorBidi"/>
          <w:sz w:val="28"/>
          <w:szCs w:val="28"/>
        </w:rPr>
      </w:pPr>
    </w:p>
    <w:p w14:paraId="634279AA">
      <w:pPr>
        <w:pStyle w:val="12"/>
      </w:pPr>
      <w:r>
        <w:rPr>
          <w:rFonts w:hint="eastAsia"/>
        </w:rPr>
        <w:t>公开时间：202</w:t>
      </w:r>
      <w:r>
        <w:rPr>
          <w:rFonts w:hint="eastAsia"/>
          <w:lang w:val="en-US" w:eastAsia="zh-CN"/>
        </w:rPr>
        <w:t>5</w:t>
      </w:r>
      <w:r>
        <w:rPr>
          <w:rFonts w:hint="eastAsia"/>
        </w:rPr>
        <w:t>年</w:t>
      </w:r>
      <w:r>
        <w:rPr>
          <w:rFonts w:hint="eastAsia"/>
          <w:lang w:val="en-US" w:eastAsia="zh-CN"/>
        </w:rPr>
        <w:t>9</w:t>
      </w:r>
      <w:r>
        <w:rPr>
          <w:rFonts w:hint="eastAsia"/>
        </w:rPr>
        <w:t xml:space="preserve">月 </w:t>
      </w:r>
      <w:r>
        <w:rPr>
          <w:rFonts w:hint="eastAsia"/>
          <w:lang w:val="en-US" w:eastAsia="zh-CN"/>
        </w:rPr>
        <w:t>16</w:t>
      </w:r>
      <w:r>
        <w:rPr>
          <w:rFonts w:hint="eastAsia"/>
        </w:rPr>
        <w:t>日</w:t>
      </w:r>
    </w:p>
    <w:p w14:paraId="640FB31A"/>
    <w:p w14:paraId="789C0EEA">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60C02741">
      <w:pPr>
        <w:pStyle w:val="13"/>
        <w:adjustRightInd w:val="0"/>
        <w:snapToGrid w:val="0"/>
        <w:spacing w:line="440" w:lineRule="exact"/>
        <w:jc w:val="left"/>
        <w:rPr>
          <w:rFonts w:ascii="仿宋" w:hAnsi="仿宋" w:eastAsia="仿宋"/>
          <w:sz w:val="24"/>
        </w:rPr>
      </w:pPr>
      <w:r>
        <w:rPr>
          <w:rFonts w:hint="eastAsia"/>
          <w:sz w:val="24"/>
        </w:rPr>
        <w:t>一、部门职责</w:t>
      </w:r>
    </w:p>
    <w:p w14:paraId="337A0554">
      <w:pPr>
        <w:pStyle w:val="13"/>
        <w:adjustRightInd w:val="0"/>
        <w:snapToGrid w:val="0"/>
        <w:spacing w:line="440" w:lineRule="exact"/>
        <w:jc w:val="left"/>
        <w:rPr>
          <w:rFonts w:ascii="仿宋" w:hAnsi="仿宋" w:eastAsia="仿宋" w:cstheme="minorBidi"/>
          <w:sz w:val="24"/>
        </w:rPr>
      </w:pPr>
      <w:r>
        <w:rPr>
          <w:rFonts w:hint="eastAsia"/>
          <w:sz w:val="24"/>
        </w:rPr>
        <w:t>二、机构设置</w:t>
      </w:r>
    </w:p>
    <w:p w14:paraId="749D2480">
      <w:pPr>
        <w:pStyle w:val="12"/>
        <w:adjustRightInd w:val="0"/>
        <w:snapToGrid w:val="0"/>
        <w:spacing w:before="0" w:line="440" w:lineRule="exact"/>
        <w:jc w:val="left"/>
        <w:rPr>
          <w:sz w:val="24"/>
          <w:szCs w:val="24"/>
        </w:rPr>
      </w:pPr>
      <w:r>
        <w:rPr>
          <w:rFonts w:hint="eastAsia"/>
          <w:sz w:val="24"/>
        </w:rPr>
        <w:t>第二部分 202</w:t>
      </w:r>
      <w:r>
        <w:rPr>
          <w:rFonts w:hint="eastAsia"/>
          <w:sz w:val="24"/>
          <w:lang w:val="en-US" w:eastAsia="zh-CN"/>
        </w:rPr>
        <w:t>4</w:t>
      </w:r>
      <w:bookmarkStart w:id="53" w:name="_GoBack"/>
      <w:bookmarkEnd w:id="53"/>
      <w:r>
        <w:rPr>
          <w:rFonts w:hint="eastAsia"/>
          <w:sz w:val="24"/>
        </w:rPr>
        <w:t>年度部门决算情况说明</w:t>
      </w:r>
    </w:p>
    <w:p w14:paraId="5CB8E50A">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4D59C1CF">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p>
    <w:p w14:paraId="3115BCBD">
      <w:pPr>
        <w:pStyle w:val="13"/>
        <w:adjustRightInd w:val="0"/>
        <w:snapToGrid w:val="0"/>
        <w:spacing w:line="440" w:lineRule="exact"/>
        <w:jc w:val="left"/>
        <w:rPr>
          <w:rFonts w:ascii="仿宋" w:hAnsi="仿宋" w:eastAsia="仿宋" w:cstheme="minorBidi"/>
          <w:sz w:val="24"/>
        </w:rPr>
      </w:pPr>
      <w:r>
        <w:rPr>
          <w:rFonts w:hint="eastAsia"/>
          <w:sz w:val="24"/>
        </w:rPr>
        <w:t>三、支出决算情况说明</w:t>
      </w:r>
    </w:p>
    <w:p w14:paraId="1AB62137">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0C225F39">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60DB34F6">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6A4620C7">
      <w:pPr>
        <w:pStyle w:val="13"/>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p>
    <w:p w14:paraId="7B464167">
      <w:pPr>
        <w:pStyle w:val="13"/>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11289138">
      <w:pPr>
        <w:pStyle w:val="13"/>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p>
    <w:p w14:paraId="486B2878">
      <w:pPr>
        <w:adjustRightInd w:val="0"/>
        <w:snapToGrid w:val="0"/>
        <w:spacing w:line="440" w:lineRule="exact"/>
        <w:ind w:firstLine="420" w:firstLineChars="175"/>
        <w:jc w:val="left"/>
        <w:rPr>
          <w:rFonts w:asciiTheme="minorEastAsia" w:hAnsiTheme="minorEastAsia" w:eastAsiaTheme="minorEastAsia" w:cstheme="minorEastAsia"/>
          <w:sz w:val="24"/>
        </w:rPr>
      </w:pPr>
      <w:r>
        <w:rPr>
          <w:rStyle w:val="19"/>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p>
    <w:p w14:paraId="3D6A1E5B">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666D509B">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719F19C1">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39F3E48A">
      <w:pPr>
        <w:pStyle w:val="13"/>
        <w:adjustRightInd w:val="0"/>
        <w:snapToGrid w:val="0"/>
        <w:spacing w:line="440" w:lineRule="exact"/>
        <w:jc w:val="left"/>
        <w:rPr>
          <w:sz w:val="24"/>
        </w:rPr>
      </w:pPr>
      <w:r>
        <w:rPr>
          <w:rFonts w:hint="eastAsia"/>
          <w:sz w:val="24"/>
        </w:rPr>
        <w:t>一、收入支出决算总表</w:t>
      </w:r>
    </w:p>
    <w:p w14:paraId="5833B3F1">
      <w:pPr>
        <w:pStyle w:val="13"/>
        <w:adjustRightInd w:val="0"/>
        <w:snapToGrid w:val="0"/>
        <w:spacing w:line="440" w:lineRule="exact"/>
        <w:jc w:val="left"/>
        <w:rPr>
          <w:sz w:val="24"/>
        </w:rPr>
      </w:pPr>
      <w:r>
        <w:rPr>
          <w:rFonts w:hint="eastAsia"/>
          <w:sz w:val="24"/>
        </w:rPr>
        <w:t>二、收入决算表</w:t>
      </w:r>
    </w:p>
    <w:p w14:paraId="3800085C">
      <w:pPr>
        <w:pStyle w:val="13"/>
        <w:adjustRightInd w:val="0"/>
        <w:snapToGrid w:val="0"/>
        <w:spacing w:line="440" w:lineRule="exact"/>
        <w:jc w:val="left"/>
        <w:rPr>
          <w:sz w:val="24"/>
        </w:rPr>
      </w:pPr>
      <w:r>
        <w:rPr>
          <w:rFonts w:hint="eastAsia"/>
          <w:sz w:val="24"/>
        </w:rPr>
        <w:t>三、支出决算表</w:t>
      </w:r>
    </w:p>
    <w:p w14:paraId="05FAC61C">
      <w:pPr>
        <w:pStyle w:val="13"/>
        <w:adjustRightInd w:val="0"/>
        <w:snapToGrid w:val="0"/>
        <w:spacing w:line="440" w:lineRule="exact"/>
        <w:jc w:val="left"/>
        <w:rPr>
          <w:sz w:val="24"/>
        </w:rPr>
      </w:pPr>
      <w:r>
        <w:rPr>
          <w:rFonts w:hint="eastAsia"/>
          <w:sz w:val="24"/>
        </w:rPr>
        <w:t>四、财政拨款收入支出决算总表</w:t>
      </w:r>
    </w:p>
    <w:p w14:paraId="28A66282">
      <w:pPr>
        <w:pStyle w:val="13"/>
        <w:adjustRightInd w:val="0"/>
        <w:snapToGrid w:val="0"/>
        <w:spacing w:line="440" w:lineRule="exact"/>
        <w:jc w:val="left"/>
        <w:rPr>
          <w:sz w:val="24"/>
        </w:rPr>
      </w:pPr>
      <w:r>
        <w:rPr>
          <w:rFonts w:hint="eastAsia"/>
          <w:sz w:val="24"/>
        </w:rPr>
        <w:t>五、财政拨款支出决算明细表</w:t>
      </w:r>
    </w:p>
    <w:p w14:paraId="2DA58E7A">
      <w:pPr>
        <w:pStyle w:val="13"/>
        <w:adjustRightInd w:val="0"/>
        <w:snapToGrid w:val="0"/>
        <w:spacing w:line="440" w:lineRule="exact"/>
        <w:jc w:val="left"/>
        <w:rPr>
          <w:sz w:val="24"/>
        </w:rPr>
      </w:pPr>
      <w:r>
        <w:rPr>
          <w:rFonts w:hint="eastAsia"/>
          <w:sz w:val="24"/>
        </w:rPr>
        <w:t>六、一般公共预算财政拨款支出决算表</w:t>
      </w:r>
    </w:p>
    <w:p w14:paraId="45BDD36D">
      <w:pPr>
        <w:pStyle w:val="13"/>
        <w:adjustRightInd w:val="0"/>
        <w:snapToGrid w:val="0"/>
        <w:spacing w:line="440" w:lineRule="exact"/>
        <w:jc w:val="left"/>
        <w:rPr>
          <w:sz w:val="24"/>
        </w:rPr>
      </w:pPr>
      <w:r>
        <w:rPr>
          <w:rFonts w:hint="eastAsia"/>
          <w:sz w:val="24"/>
        </w:rPr>
        <w:t>七、一般公共预算财政拨款支出决算明细表</w:t>
      </w:r>
    </w:p>
    <w:p w14:paraId="4E1F700A">
      <w:pPr>
        <w:pStyle w:val="13"/>
        <w:adjustRightInd w:val="0"/>
        <w:snapToGrid w:val="0"/>
        <w:spacing w:line="440" w:lineRule="exact"/>
        <w:jc w:val="left"/>
        <w:rPr>
          <w:sz w:val="24"/>
        </w:rPr>
      </w:pPr>
      <w:r>
        <w:rPr>
          <w:rFonts w:hint="eastAsia"/>
          <w:sz w:val="24"/>
        </w:rPr>
        <w:t>八、一般公共预算财政拨款基本支出决算明细表</w:t>
      </w:r>
    </w:p>
    <w:p w14:paraId="582AD86E">
      <w:pPr>
        <w:pStyle w:val="13"/>
        <w:adjustRightInd w:val="0"/>
        <w:snapToGrid w:val="0"/>
        <w:spacing w:line="440" w:lineRule="exact"/>
        <w:jc w:val="left"/>
        <w:rPr>
          <w:sz w:val="24"/>
        </w:rPr>
      </w:pPr>
      <w:r>
        <w:rPr>
          <w:rFonts w:hint="eastAsia"/>
          <w:sz w:val="24"/>
        </w:rPr>
        <w:t>九、一般公共预算财政拨款项目支出决算表</w:t>
      </w:r>
    </w:p>
    <w:p w14:paraId="2406D87D">
      <w:pPr>
        <w:pStyle w:val="13"/>
        <w:adjustRightInd w:val="0"/>
        <w:snapToGrid w:val="0"/>
        <w:spacing w:line="440" w:lineRule="exact"/>
        <w:jc w:val="left"/>
        <w:rPr>
          <w:sz w:val="24"/>
        </w:rPr>
      </w:pPr>
      <w:r>
        <w:rPr>
          <w:rFonts w:hint="eastAsia"/>
          <w:sz w:val="24"/>
        </w:rPr>
        <w:t>十、政府性基金预算财政拨款收入支出决算表</w:t>
      </w:r>
    </w:p>
    <w:p w14:paraId="69762201">
      <w:pPr>
        <w:pStyle w:val="13"/>
        <w:adjustRightInd w:val="0"/>
        <w:snapToGrid w:val="0"/>
        <w:spacing w:line="440" w:lineRule="exact"/>
        <w:jc w:val="left"/>
        <w:rPr>
          <w:sz w:val="24"/>
        </w:rPr>
      </w:pPr>
      <w:r>
        <w:rPr>
          <w:rFonts w:hint="eastAsia"/>
          <w:sz w:val="24"/>
        </w:rPr>
        <w:t>十一、国有资本经营预算财政拨款收入支出决算表</w:t>
      </w:r>
    </w:p>
    <w:p w14:paraId="5C6EC794">
      <w:pPr>
        <w:pStyle w:val="13"/>
        <w:adjustRightInd w:val="0"/>
        <w:snapToGrid w:val="0"/>
        <w:spacing w:line="440" w:lineRule="exact"/>
        <w:jc w:val="left"/>
        <w:rPr>
          <w:sz w:val="24"/>
        </w:rPr>
      </w:pPr>
      <w:r>
        <w:rPr>
          <w:rFonts w:hint="eastAsia"/>
          <w:sz w:val="24"/>
        </w:rPr>
        <w:t>十二、国有资本经营预算财政拨款支出决算表</w:t>
      </w:r>
    </w:p>
    <w:p w14:paraId="0BFB1315">
      <w:pPr>
        <w:pStyle w:val="13"/>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14:paraId="11F099A6">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21B70AFA">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7CC4E461">
      <w:pPr>
        <w:pStyle w:val="3"/>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14:paraId="213E94DA">
      <w:pPr>
        <w:widowControl/>
        <w:jc w:val="left"/>
        <w:rPr>
          <w:rFonts w:ascii="黑体" w:eastAsia="黑体"/>
          <w:sz w:val="32"/>
          <w:szCs w:val="32"/>
        </w:rPr>
      </w:pPr>
    </w:p>
    <w:p w14:paraId="71AA6E0B">
      <w:pPr>
        <w:pStyle w:val="4"/>
        <w:numPr>
          <w:ilvl w:val="0"/>
          <w:numId w:val="1"/>
        </w:numPr>
        <w:rPr>
          <w:rFonts w:hint="eastAsia" w:ascii="黑体" w:hAnsi="黑体" w:eastAsia="黑体"/>
          <w:b w:val="0"/>
        </w:rPr>
      </w:pPr>
      <w:r>
        <w:rPr>
          <w:rFonts w:hint="eastAsia" w:ascii="黑体" w:hAnsi="黑体" w:eastAsia="黑体"/>
          <w:b w:val="0"/>
        </w:rPr>
        <w:t>部门职责</w:t>
      </w:r>
    </w:p>
    <w:p w14:paraId="1BBC7E17">
      <w:pPr>
        <w:pStyle w:val="14"/>
        <w:shd w:val="clear" w:color="auto" w:fill="FFFFFF"/>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val="en-US" w:eastAsia="zh-CN" w:bidi="ar-SA"/>
        </w:rPr>
        <w:t>（一）主要职能</w:t>
      </w:r>
      <w:r>
        <w:rPr>
          <w:b/>
          <w:bCs/>
        </w:rPr>
        <w:t>。</w:t>
      </w:r>
    </w:p>
    <w:p w14:paraId="740DA6E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1、贯彻执行国家、省、州有关住房和城乡建设、城市管理、市政园林工作的方针政策和法律、法规、规章，实施有关相对集中行政处罚权的地方性法规、规章和政策。</w:t>
      </w:r>
    </w:p>
    <w:p w14:paraId="6D79F96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2、负责住房保障工作，拟订全县住房保障发展规划和年度规划并组织实施；会同有关部门加强住房保障资金的管理，推进住房改革与发展。</w:t>
      </w:r>
    </w:p>
    <w:p w14:paraId="2348DF4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3、负责房地产市场监督管理工作，拟订房地产业的行业发展规划、发展计划和房地产市场监督管理措施，并监督执行。</w:t>
      </w:r>
    </w:p>
    <w:p w14:paraId="7901C15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4、负责建筑市场监督管理工作，指导全县建筑活动，核发《建设工程施工许可证》，指导监督建设工程标准定额的实施。</w:t>
      </w:r>
    </w:p>
    <w:p w14:paraId="464CFE4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5、负责建设工程质量安全监督管理和竣工验收备案管理，组织或参与工程质量安全事故的调查处理。</w:t>
      </w:r>
    </w:p>
    <w:p w14:paraId="250C0F5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6、指导农村住房建设及危房改造和村镇人居生态环境的改善工作。</w:t>
      </w:r>
    </w:p>
    <w:p w14:paraId="6BF2534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7、负责县政府交办的建设工程的组织实施工作。</w:t>
      </w:r>
    </w:p>
    <w:p w14:paraId="22F9227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8、负责推进行业科学发展和建筑节能工作，推广应用新技术、新材料、新工艺。</w:t>
      </w:r>
    </w:p>
    <w:p w14:paraId="33020EE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9、负责房地产市场和建筑市场动态巡查工作，协助有关部门查处房地产市场和建筑市场违法案件。</w:t>
      </w:r>
    </w:p>
    <w:p w14:paraId="46BA974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10、指导城市建设档案管理。</w:t>
      </w:r>
    </w:p>
    <w:p w14:paraId="31B2E8C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11、行使市容环境卫生管理、城市规划管理、城市绿化管理、市政管理、城市燃气管理、供水管理、户外广告设施设置管理方面的法律、法规、规章规定的行政处罚权；</w:t>
      </w:r>
    </w:p>
    <w:p w14:paraId="4BB3C9D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12、负责市政设施、园林绿化、环境卫生、城市照明、城市燃气和户外广告设施的行业管理，承担安全监督管理责任；指导协调市容市貌和环境卫生工作，组织协调专项治理等重大活动。</w:t>
      </w:r>
    </w:p>
    <w:p w14:paraId="268031A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13、拟订城市维护费和专项经费的年度计划及资金划拨计划，并对使用情况实施监督。</w:t>
      </w:r>
    </w:p>
    <w:p w14:paraId="14BD0BE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14、组织实施市政、环卫、照明等城市基础设施的建设和维修改造，负责全县地下管线的综合协调工作。</w:t>
      </w:r>
    </w:p>
    <w:p w14:paraId="1F338A5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15、承办县政府和上级部门交办的其他事项。</w:t>
      </w:r>
    </w:p>
    <w:p w14:paraId="0AC1AE90">
      <w:pPr>
        <w:numPr>
          <w:ilvl w:val="0"/>
          <w:numId w:val="0"/>
        </w:numPr>
      </w:pPr>
    </w:p>
    <w:p w14:paraId="1244B18F">
      <w:pPr>
        <w:pStyle w:val="4"/>
        <w:rPr>
          <w:rStyle w:val="29"/>
          <w:b w:val="0"/>
          <w:bCs w:val="0"/>
        </w:rPr>
      </w:pPr>
      <w:bookmarkStart w:id="14" w:name="_Toc15377200"/>
      <w:bookmarkStart w:id="15" w:name="_Toc15396601"/>
      <w:r>
        <w:rPr>
          <w:rFonts w:hint="eastAsia" w:ascii="黑体" w:eastAsia="黑体"/>
          <w:b w:val="0"/>
        </w:rPr>
        <w:t>二、</w:t>
      </w:r>
      <w:r>
        <w:rPr>
          <w:rFonts w:hint="eastAsia" w:ascii="黑体" w:hAnsi="黑体" w:eastAsia="黑体"/>
          <w:b w:val="0"/>
        </w:rPr>
        <w:t>机</w:t>
      </w:r>
      <w:r>
        <w:rPr>
          <w:rStyle w:val="29"/>
          <w:rFonts w:hint="eastAsia" w:ascii="黑体" w:hAnsi="黑体" w:eastAsia="黑体"/>
          <w:b w:val="0"/>
          <w:bCs w:val="0"/>
        </w:rPr>
        <w:t>构设置</w:t>
      </w:r>
      <w:bookmarkEnd w:id="14"/>
      <w:bookmarkEnd w:id="15"/>
    </w:p>
    <w:p w14:paraId="67591326">
      <w:pPr>
        <w:ind w:firstLine="800" w:firstLineChars="250"/>
        <w:rPr>
          <w:rFonts w:ascii="仿宋" w:hAnsi="仿宋" w:eastAsia="仿宋"/>
          <w:sz w:val="32"/>
          <w:szCs w:val="32"/>
        </w:rPr>
      </w:pPr>
      <w:r>
        <w:rPr>
          <w:sz w:val="32"/>
          <w:szCs w:val="32"/>
        </w:rPr>
        <w:t>红原县住房和城乡建设局本级</w:t>
      </w:r>
      <w:r>
        <w:rPr>
          <w:rFonts w:hint="eastAsia" w:ascii="仿宋" w:hAnsi="仿宋" w:eastAsia="仿宋"/>
          <w:sz w:val="32"/>
          <w:szCs w:val="32"/>
        </w:rPr>
        <w:t>下属二级预算单位</w:t>
      </w:r>
      <w:r>
        <w:rPr>
          <w:sz w:val="32"/>
          <w:szCs w:val="32"/>
        </w:rPr>
        <w:t>2</w:t>
      </w:r>
      <w:r>
        <w:rPr>
          <w:rFonts w:hint="eastAsia" w:ascii="仿宋" w:hAnsi="仿宋" w:eastAsia="仿宋"/>
          <w:sz w:val="32"/>
          <w:szCs w:val="32"/>
        </w:rPr>
        <w:t>个，其中行政单位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14:paraId="44EECD8F">
      <w:pPr>
        <w:pStyle w:val="6"/>
        <w:adjustRightInd w:val="0"/>
        <w:snapToGrid w:val="0"/>
        <w:spacing w:before="93" w:line="600" w:lineRule="exact"/>
        <w:ind w:firstLine="672" w:firstLineChars="210"/>
        <w:rPr>
          <w:rFonts w:ascii="仿宋" w:hAnsi="仿宋" w:eastAsia="仿宋"/>
          <w:sz w:val="32"/>
          <w:szCs w:val="32"/>
        </w:rPr>
      </w:pPr>
      <w:r>
        <w:rPr>
          <w:rFonts w:hint="eastAsia" w:ascii="仿宋" w:hAnsi="仿宋" w:eastAsia="仿宋"/>
          <w:sz w:val="32"/>
          <w:szCs w:val="32"/>
        </w:rPr>
        <w:t>纳入</w:t>
      </w:r>
      <w:r>
        <w:rPr>
          <w:rFonts w:ascii="Times New Roman" w:eastAsia="宋体"/>
          <w:kern w:val="2"/>
          <w:sz w:val="32"/>
          <w:szCs w:val="32"/>
        </w:rPr>
        <w:t>红原县住房和城乡建设局本级</w:t>
      </w: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年度部门决算编制范围的二级预算单位包括：</w:t>
      </w:r>
    </w:p>
    <w:p w14:paraId="48EFB2DD">
      <w:pPr>
        <w:pStyle w:val="6"/>
        <w:numPr>
          <w:ilvl w:val="0"/>
          <w:numId w:val="2"/>
        </w:numPr>
        <w:adjustRightInd w:val="0"/>
        <w:snapToGrid w:val="0"/>
        <w:spacing w:before="93" w:line="600" w:lineRule="exact"/>
        <w:outlineLvl w:val="2"/>
        <w:rPr>
          <w:rFonts w:ascii="仿宋" w:hAnsi="仿宋" w:eastAsia="仿宋"/>
          <w:sz w:val="32"/>
          <w:szCs w:val="32"/>
        </w:rPr>
      </w:pPr>
      <w:bookmarkStart w:id="16" w:name="_Toc15377433"/>
      <w:bookmarkStart w:id="17" w:name="_Toc15378449"/>
      <w:bookmarkStart w:id="18" w:name="_Toc15306276"/>
      <w:bookmarkStart w:id="19" w:name="_Toc15377202"/>
      <w:r>
        <w:rPr>
          <w:rFonts w:hint="eastAsia" w:ascii="仿宋" w:hAnsi="仿宋" w:eastAsia="仿宋"/>
          <w:sz w:val="32"/>
          <w:szCs w:val="32"/>
          <w:lang w:eastAsia="zh-CN"/>
        </w:rPr>
        <w:t>红原县住房和城乡建设局</w:t>
      </w:r>
      <w:bookmarkEnd w:id="16"/>
      <w:bookmarkEnd w:id="17"/>
      <w:bookmarkEnd w:id="18"/>
      <w:bookmarkEnd w:id="19"/>
    </w:p>
    <w:p w14:paraId="6FADF470">
      <w:pPr>
        <w:pStyle w:val="6"/>
        <w:numPr>
          <w:ilvl w:val="0"/>
          <w:numId w:val="2"/>
        </w:numPr>
        <w:adjustRightInd w:val="0"/>
        <w:snapToGrid w:val="0"/>
        <w:spacing w:before="93" w:line="600" w:lineRule="exact"/>
        <w:outlineLvl w:val="2"/>
        <w:rPr>
          <w:rFonts w:ascii="仿宋" w:hAnsi="仿宋" w:eastAsia="仿宋"/>
          <w:sz w:val="32"/>
          <w:szCs w:val="32"/>
        </w:rPr>
      </w:pPr>
      <w:r>
        <w:rPr>
          <w:rFonts w:hint="eastAsia" w:ascii="仿宋" w:hAnsi="仿宋" w:eastAsia="仿宋"/>
          <w:sz w:val="32"/>
          <w:szCs w:val="32"/>
          <w:lang w:eastAsia="zh-CN"/>
        </w:rPr>
        <w:t>红原县住房和城乡建设局（事业）</w:t>
      </w:r>
    </w:p>
    <w:p w14:paraId="2FE66D08">
      <w:pPr>
        <w:widowControl/>
        <w:jc w:val="left"/>
        <w:rPr>
          <w:rFonts w:ascii="仿宋" w:hAnsi="仿宋" w:eastAsia="仿宋"/>
          <w:kern w:val="0"/>
          <w:sz w:val="32"/>
          <w:szCs w:val="32"/>
        </w:rPr>
      </w:pPr>
      <w:r>
        <w:rPr>
          <w:rFonts w:ascii="仿宋" w:hAnsi="仿宋" w:eastAsia="仿宋"/>
          <w:sz w:val="32"/>
          <w:szCs w:val="32"/>
        </w:rPr>
        <w:br w:type="page"/>
      </w:r>
    </w:p>
    <w:p w14:paraId="171C2B24">
      <w:pPr>
        <w:pStyle w:val="3"/>
        <w:ind w:right="440"/>
        <w:jc w:val="center"/>
        <w:rPr>
          <w:rStyle w:val="28"/>
          <w:rFonts w:ascii="黑体" w:hAnsi="黑体" w:eastAsia="黑体"/>
          <w:b w:val="0"/>
          <w:bCs/>
        </w:rPr>
      </w:pPr>
      <w:bookmarkStart w:id="20" w:name="_Toc15396602"/>
      <w:bookmarkStart w:id="21" w:name="_Toc15377204"/>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28"/>
          <w:rFonts w:hint="eastAsia" w:ascii="黑体" w:hAnsi="黑体" w:eastAsia="黑体"/>
          <w:b w:val="0"/>
          <w:bCs/>
        </w:rPr>
        <w:t>部门决算情况说明</w:t>
      </w:r>
      <w:bookmarkEnd w:id="20"/>
      <w:bookmarkEnd w:id="21"/>
    </w:p>
    <w:p w14:paraId="5F536ECD"/>
    <w:p w14:paraId="6A8016EF">
      <w:pPr>
        <w:pStyle w:val="27"/>
        <w:numPr>
          <w:ilvl w:val="0"/>
          <w:numId w:val="3"/>
        </w:numPr>
        <w:spacing w:line="600" w:lineRule="exact"/>
        <w:ind w:firstLineChars="0"/>
        <w:outlineLvl w:val="1"/>
        <w:rPr>
          <w:rStyle w:val="29"/>
          <w:rFonts w:ascii="黑体" w:hAnsi="黑体" w:eastAsia="黑体"/>
          <w:b w:val="0"/>
        </w:rPr>
      </w:pPr>
      <w:bookmarkStart w:id="22" w:name="_Toc15396603"/>
      <w:bookmarkStart w:id="23" w:name="_Toc15377205"/>
      <w:r>
        <w:rPr>
          <w:rFonts w:hint="eastAsia" w:ascii="黑体" w:hAnsi="黑体" w:eastAsia="黑体"/>
          <w:sz w:val="32"/>
          <w:szCs w:val="32"/>
        </w:rPr>
        <w:t>收</w:t>
      </w:r>
      <w:r>
        <w:rPr>
          <w:rStyle w:val="29"/>
          <w:rFonts w:hint="eastAsia" w:ascii="黑体" w:hAnsi="黑体" w:eastAsia="黑体"/>
          <w:b w:val="0"/>
        </w:rPr>
        <w:t>入支出决算总体情况说明</w:t>
      </w:r>
      <w:bookmarkEnd w:id="22"/>
      <w:bookmarkEnd w:id="23"/>
    </w:p>
    <w:p w14:paraId="6D262927">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sz w:val="32"/>
          <w:szCs w:val="32"/>
        </w:rPr>
        <w:t>13522</w:t>
      </w:r>
      <w:r>
        <w:rPr>
          <w:rFonts w:hint="eastAsia"/>
          <w:sz w:val="32"/>
          <w:szCs w:val="32"/>
          <w:lang w:val="en-US" w:eastAsia="zh-CN"/>
        </w:rPr>
        <w:t>.</w:t>
      </w:r>
      <w:r>
        <w:rPr>
          <w:rFonts w:hint="eastAsia"/>
          <w:sz w:val="32"/>
          <w:szCs w:val="32"/>
        </w:rPr>
        <w:t>38</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年度相比，收、支总计</w:t>
      </w:r>
      <w:r>
        <w:rPr>
          <w:rFonts w:hint="eastAsia"/>
          <w:sz w:val="32"/>
          <w:szCs w:val="32"/>
        </w:rPr>
        <w:t>17406.89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 w:hAnsi="仿宋" w:eastAsia="仿宋"/>
          <w:sz w:val="32"/>
          <w:szCs w:val="32"/>
        </w:rPr>
        <w:t>减少</w:t>
      </w:r>
      <w:r>
        <w:rPr>
          <w:rFonts w:hint="eastAsia" w:ascii="仿宋" w:hAnsi="仿宋" w:eastAsia="仿宋"/>
          <w:sz w:val="32"/>
          <w:szCs w:val="32"/>
          <w:lang w:val="en-US" w:eastAsia="zh-CN"/>
        </w:rPr>
        <w:t>3884.51</w:t>
      </w:r>
      <w:r>
        <w:rPr>
          <w:rFonts w:hint="eastAsia" w:ascii="仿宋" w:hAnsi="仿宋" w:eastAsia="仿宋"/>
          <w:sz w:val="32"/>
          <w:szCs w:val="32"/>
        </w:rPr>
        <w:t>万元，下降</w:t>
      </w:r>
      <w:r>
        <w:rPr>
          <w:rFonts w:hint="eastAsia" w:ascii="仿宋" w:hAnsi="仿宋" w:eastAsia="仿宋"/>
          <w:sz w:val="32"/>
          <w:szCs w:val="32"/>
          <w:lang w:val="en-US" w:eastAsia="zh-CN"/>
        </w:rPr>
        <w:t>22.3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2023年项目资金及项目数量均有所减少</w:t>
      </w:r>
      <w:r>
        <w:rPr>
          <w:rFonts w:hint="eastAsia" w:ascii="仿宋" w:hAnsi="仿宋" w:eastAsia="仿宋"/>
          <w:sz w:val="32"/>
          <w:szCs w:val="32"/>
        </w:rPr>
        <w:t>。</w:t>
      </w:r>
    </w:p>
    <w:p w14:paraId="31614F57">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77173347">
      <w:pPr>
        <w:spacing w:line="600" w:lineRule="exact"/>
        <w:ind w:firstLine="640" w:firstLineChars="200"/>
        <w:jc w:val="left"/>
        <w:rPr>
          <w:rFonts w:ascii="仿宋_GB2312" w:eastAsia="仿宋_GB2312"/>
          <w:sz w:val="32"/>
          <w:szCs w:val="32"/>
        </w:rPr>
      </w:pPr>
    </w:p>
    <w:p w14:paraId="4B745AD3">
      <w:pPr>
        <w:spacing w:line="60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90805</wp:posOffset>
            </wp:positionH>
            <wp:positionV relativeFrom="paragraph">
              <wp:posOffset>229235</wp:posOffset>
            </wp:positionV>
            <wp:extent cx="5266690" cy="4630420"/>
            <wp:effectExtent l="4445" t="4445" r="5715" b="13335"/>
            <wp:wrapSquare wrapText="bothSides"/>
            <wp:docPr id="47" name="图表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45A767F4">
      <w:pPr>
        <w:pStyle w:val="27"/>
        <w:numPr>
          <w:ilvl w:val="0"/>
          <w:numId w:val="3"/>
        </w:numPr>
        <w:spacing w:line="600" w:lineRule="exact"/>
        <w:ind w:firstLineChars="0"/>
        <w:outlineLvl w:val="1"/>
        <w:rPr>
          <w:rStyle w:val="29"/>
          <w:rFonts w:ascii="黑体" w:hAnsi="黑体" w:eastAsia="黑体"/>
          <w:b w:val="0"/>
        </w:rPr>
      </w:pPr>
      <w:bookmarkStart w:id="24" w:name="_Toc15396604"/>
      <w:bookmarkStart w:id="25" w:name="_Toc15377206"/>
      <w:r>
        <w:rPr>
          <w:rFonts w:hint="eastAsia" w:ascii="黑体" w:hAnsi="黑体" w:eastAsia="黑体"/>
          <w:sz w:val="32"/>
          <w:szCs w:val="32"/>
        </w:rPr>
        <w:t>收</w:t>
      </w:r>
      <w:r>
        <w:rPr>
          <w:rStyle w:val="29"/>
          <w:rFonts w:hint="eastAsia" w:ascii="黑体" w:hAnsi="黑体" w:eastAsia="黑体"/>
          <w:b w:val="0"/>
        </w:rPr>
        <w:t>入决算情况说明</w:t>
      </w:r>
      <w:bookmarkEnd w:id="24"/>
      <w:bookmarkEnd w:id="25"/>
    </w:p>
    <w:p w14:paraId="58B8F81B">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年度本年收入合计</w:t>
      </w:r>
      <w:r>
        <w:rPr>
          <w:rFonts w:hint="eastAsia"/>
          <w:sz w:val="32"/>
          <w:szCs w:val="32"/>
        </w:rPr>
        <w:t>13522</w:t>
      </w:r>
      <w:r>
        <w:rPr>
          <w:rFonts w:hint="eastAsia"/>
          <w:sz w:val="32"/>
          <w:szCs w:val="32"/>
          <w:lang w:val="en-US" w:eastAsia="zh-CN"/>
        </w:rPr>
        <w:t>.</w:t>
      </w:r>
      <w:r>
        <w:rPr>
          <w:rFonts w:hint="eastAsia"/>
          <w:sz w:val="32"/>
          <w:szCs w:val="32"/>
        </w:rPr>
        <w:t>38</w:t>
      </w:r>
      <w:r>
        <w:rPr>
          <w:rFonts w:hint="eastAsia" w:ascii="仿宋" w:hAnsi="仿宋" w:eastAsia="仿宋"/>
          <w:sz w:val="32"/>
          <w:szCs w:val="32"/>
        </w:rPr>
        <w:t>万元，其中：一般公共预算财政拨款收入</w:t>
      </w:r>
      <w:r>
        <w:rPr>
          <w:rFonts w:hint="eastAsia"/>
          <w:sz w:val="32"/>
          <w:szCs w:val="32"/>
        </w:rPr>
        <w:t>13522</w:t>
      </w:r>
      <w:r>
        <w:rPr>
          <w:rFonts w:hint="eastAsia"/>
          <w:sz w:val="32"/>
          <w:szCs w:val="32"/>
          <w:lang w:val="en-US" w:eastAsia="zh-CN"/>
        </w:rPr>
        <w:t>.</w:t>
      </w:r>
      <w:r>
        <w:rPr>
          <w:rFonts w:hint="eastAsia"/>
          <w:sz w:val="32"/>
          <w:szCs w:val="32"/>
        </w:rPr>
        <w:t>38</w:t>
      </w:r>
      <w:r>
        <w:rPr>
          <w:rFonts w:hint="eastAsia" w:ascii="仿宋" w:hAnsi="仿宋" w:eastAsia="仿宋"/>
          <w:sz w:val="32"/>
          <w:szCs w:val="32"/>
        </w:rPr>
        <w:t>万元，占</w:t>
      </w:r>
      <w:r>
        <w:rPr>
          <w:rFonts w:hint="eastAsia"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rFonts w:hint="eastAsia" w:eastAsia="仿宋"/>
          <w:sz w:val="32"/>
          <w:szCs w:val="32"/>
          <w:lang w:val="en-US" w:eastAsia="zh-CN"/>
        </w:rPr>
        <w:t>0</w:t>
      </w:r>
      <w:r>
        <w:rPr>
          <w:rFonts w:hint="eastAsia" w:ascii="仿宋" w:hAnsi="仿宋" w:eastAsia="仿宋"/>
          <w:sz w:val="32"/>
          <w:szCs w:val="32"/>
        </w:rPr>
        <w:t>万元，占</w:t>
      </w:r>
      <w:r>
        <w:rPr>
          <w:rFonts w:hint="eastAsia"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p>
    <w:p w14:paraId="6548A859">
      <w:pPr>
        <w:spacing w:line="600" w:lineRule="exact"/>
        <w:ind w:firstLine="643" w:firstLineChars="200"/>
        <w:outlineLvl w:val="1"/>
        <w:rPr>
          <w:rFonts w:ascii="仿宋" w:hAnsi="仿宋" w:eastAsia="仿宋"/>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14:paraId="401C7C4B">
      <w:pPr>
        <w:spacing w:line="600" w:lineRule="exact"/>
        <w:ind w:firstLine="640" w:firstLineChars="200"/>
        <w:rPr>
          <w:rFonts w:ascii="仿宋_GB2312" w:eastAsia="仿宋_GB2312"/>
          <w:sz w:val="32"/>
          <w:szCs w:val="32"/>
        </w:rPr>
      </w:pPr>
      <w:r>
        <w:rPr>
          <w:rFonts w:hint="eastAsia" w:ascii="仿宋" w:hAnsi="仿宋" w:eastAsia="仿宋"/>
          <w:sz w:val="32"/>
          <w:szCs w:val="32"/>
        </w:rPr>
        <w:t>（图2：收入决算结构图）（饼状图）</w:t>
      </w:r>
    </w:p>
    <w:p w14:paraId="0F46E51E">
      <w:pPr>
        <w:pStyle w:val="2"/>
        <w:rPr>
          <w:rFonts w:ascii="仿宋_GB2312" w:eastAsia="仿宋_GB2312"/>
          <w:sz w:val="32"/>
          <w:szCs w:val="32"/>
        </w:rPr>
      </w:pPr>
    </w:p>
    <w:p w14:paraId="186FE276">
      <w:r>
        <w:rPr>
          <w:rFonts w:hint="eastAsia" w:ascii="仿宋_GB2312" w:hAnsi="仿宋_GB2312" w:eastAsia="仿宋_GB2312" w:cs="仿宋_GB2312"/>
          <w:sz w:val="32"/>
          <w:szCs w:val="32"/>
          <w:lang w:eastAsia="zh-CN"/>
        </w:rPr>
        <w:drawing>
          <wp:anchor distT="0" distB="0" distL="114300" distR="114300" simplePos="0" relativeHeight="251660288" behindDoc="0" locked="0" layoutInCell="1" allowOverlap="1">
            <wp:simplePos x="0" y="0"/>
            <wp:positionH relativeFrom="column">
              <wp:posOffset>185420</wp:posOffset>
            </wp:positionH>
            <wp:positionV relativeFrom="paragraph">
              <wp:posOffset>37465</wp:posOffset>
            </wp:positionV>
            <wp:extent cx="4747260" cy="2736850"/>
            <wp:effectExtent l="4445" t="4445" r="10795" b="20955"/>
            <wp:wrapSquare wrapText="bothSides"/>
            <wp:docPr id="51" name="图表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54AA232F">
      <w:pPr>
        <w:pStyle w:val="27"/>
        <w:numPr>
          <w:ilvl w:val="0"/>
          <w:numId w:val="3"/>
        </w:numPr>
        <w:spacing w:line="600" w:lineRule="exact"/>
        <w:ind w:firstLineChars="0"/>
        <w:outlineLvl w:val="1"/>
        <w:rPr>
          <w:rStyle w:val="29"/>
          <w:rFonts w:ascii="黑体" w:hAnsi="黑体" w:eastAsia="黑体"/>
          <w:b w:val="0"/>
        </w:rPr>
      </w:pPr>
      <w:bookmarkStart w:id="26" w:name="_Toc15396605"/>
      <w:bookmarkStart w:id="27" w:name="_Toc15377207"/>
      <w:r>
        <w:rPr>
          <w:rFonts w:hint="eastAsia" w:ascii="黑体" w:hAnsi="黑体" w:eastAsia="黑体"/>
          <w:sz w:val="32"/>
          <w:szCs w:val="32"/>
        </w:rPr>
        <w:t>支</w:t>
      </w:r>
      <w:r>
        <w:rPr>
          <w:rStyle w:val="29"/>
          <w:rFonts w:hint="eastAsia" w:ascii="黑体" w:hAnsi="黑体" w:eastAsia="黑体"/>
          <w:b w:val="0"/>
        </w:rPr>
        <w:t>出决算情况说明</w:t>
      </w:r>
      <w:bookmarkEnd w:id="26"/>
      <w:bookmarkEnd w:id="27"/>
    </w:p>
    <w:p w14:paraId="70BD4B56">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sz w:val="32"/>
          <w:szCs w:val="32"/>
        </w:rPr>
        <w:t>13522</w:t>
      </w:r>
      <w:r>
        <w:rPr>
          <w:rFonts w:hint="eastAsia"/>
          <w:sz w:val="32"/>
          <w:szCs w:val="32"/>
          <w:lang w:val="en-US" w:eastAsia="zh-CN"/>
        </w:rPr>
        <w:t>.</w:t>
      </w:r>
      <w:r>
        <w:rPr>
          <w:rFonts w:hint="eastAsia"/>
          <w:sz w:val="32"/>
          <w:szCs w:val="32"/>
        </w:rPr>
        <w:t>38</w:t>
      </w:r>
      <w:r>
        <w:rPr>
          <w:rFonts w:hint="eastAsia" w:ascii="仿宋" w:hAnsi="仿宋" w:eastAsia="仿宋"/>
          <w:sz w:val="32"/>
          <w:szCs w:val="32"/>
        </w:rPr>
        <w:t>万元，其中：基本支出</w:t>
      </w:r>
      <w:r>
        <w:rPr>
          <w:rFonts w:hint="eastAsia"/>
          <w:sz w:val="32"/>
          <w:szCs w:val="32"/>
        </w:rPr>
        <w:t>931</w:t>
      </w:r>
      <w:r>
        <w:rPr>
          <w:rFonts w:hint="eastAsia"/>
          <w:sz w:val="32"/>
          <w:szCs w:val="32"/>
          <w:lang w:val="en-US" w:eastAsia="zh-CN"/>
        </w:rPr>
        <w:t>.</w:t>
      </w:r>
      <w:r>
        <w:rPr>
          <w:rFonts w:hint="eastAsia"/>
          <w:sz w:val="32"/>
          <w:szCs w:val="32"/>
        </w:rPr>
        <w:t>62</w:t>
      </w:r>
      <w:r>
        <w:rPr>
          <w:rFonts w:hint="eastAsia" w:ascii="仿宋" w:hAnsi="仿宋" w:eastAsia="仿宋"/>
          <w:sz w:val="32"/>
          <w:szCs w:val="32"/>
        </w:rPr>
        <w:t>万元，占</w:t>
      </w:r>
      <w:r>
        <w:rPr>
          <w:rFonts w:hint="eastAsia" w:eastAsia="仿宋"/>
          <w:sz w:val="32"/>
          <w:szCs w:val="32"/>
          <w:lang w:val="en-US" w:eastAsia="zh-CN"/>
        </w:rPr>
        <w:t>6.89</w:t>
      </w:r>
      <w:r>
        <w:rPr>
          <w:rFonts w:ascii="仿宋" w:hAnsi="仿宋" w:eastAsia="仿宋"/>
          <w:sz w:val="32"/>
          <w:szCs w:val="32"/>
        </w:rPr>
        <w:t>%</w:t>
      </w:r>
      <w:r>
        <w:rPr>
          <w:rFonts w:hint="eastAsia" w:ascii="仿宋" w:hAnsi="仿宋" w:eastAsia="仿宋"/>
          <w:sz w:val="32"/>
          <w:szCs w:val="32"/>
        </w:rPr>
        <w:t>；项目支出</w:t>
      </w:r>
      <w:r>
        <w:rPr>
          <w:rFonts w:hint="eastAsia"/>
          <w:sz w:val="32"/>
          <w:szCs w:val="32"/>
        </w:rPr>
        <w:t>12577</w:t>
      </w:r>
      <w:r>
        <w:rPr>
          <w:rFonts w:hint="eastAsia"/>
          <w:sz w:val="32"/>
          <w:szCs w:val="32"/>
          <w:lang w:val="en-US" w:eastAsia="zh-CN"/>
        </w:rPr>
        <w:t>.</w:t>
      </w:r>
      <w:r>
        <w:rPr>
          <w:rFonts w:hint="eastAsia"/>
          <w:sz w:val="32"/>
          <w:szCs w:val="32"/>
        </w:rPr>
        <w:t>76</w:t>
      </w:r>
      <w:r>
        <w:rPr>
          <w:rFonts w:hint="eastAsia" w:ascii="仿宋" w:hAnsi="仿宋" w:eastAsia="仿宋"/>
          <w:sz w:val="32"/>
          <w:szCs w:val="32"/>
        </w:rPr>
        <w:t>万元，占</w:t>
      </w:r>
      <w:r>
        <w:rPr>
          <w:rFonts w:hint="eastAsia" w:eastAsia="仿宋"/>
          <w:sz w:val="32"/>
          <w:szCs w:val="32"/>
          <w:lang w:val="en-US" w:eastAsia="zh-CN"/>
        </w:rPr>
        <w:t>93.01</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2C64BADD">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p>
    <w:p w14:paraId="05B7B30F">
      <w:pPr>
        <w:spacing w:line="600" w:lineRule="exact"/>
        <w:ind w:firstLine="1280" w:firstLineChars="400"/>
        <w:rPr>
          <w:rFonts w:hint="eastAsia" w:ascii="仿宋" w:hAnsi="仿宋" w:eastAsia="仿宋"/>
          <w:sz w:val="32"/>
          <w:szCs w:val="32"/>
        </w:rPr>
      </w:pPr>
    </w:p>
    <w:p w14:paraId="7620E0C5">
      <w:pPr>
        <w:spacing w:line="600" w:lineRule="exact"/>
        <w:ind w:firstLine="1280" w:firstLineChars="400"/>
        <w:rPr>
          <w:rFonts w:hint="eastAsia" w:ascii="仿宋" w:hAnsi="仿宋" w:eastAsia="仿宋"/>
          <w:sz w:val="32"/>
          <w:szCs w:val="32"/>
        </w:rPr>
      </w:pPr>
      <w:r>
        <w:rPr>
          <w:rFonts w:hint="eastAsia" w:ascii="仿宋" w:hAnsi="仿宋" w:eastAsia="仿宋"/>
          <w:sz w:val="32"/>
          <w:szCs w:val="32"/>
        </w:rPr>
        <w:t>（图3：支出决算结构图）（饼状图）</w:t>
      </w:r>
    </w:p>
    <w:p w14:paraId="5A350B7C">
      <w:pPr>
        <w:spacing w:line="600" w:lineRule="exact"/>
        <w:ind w:firstLine="1280" w:firstLineChars="400"/>
        <w:rPr>
          <w:rFonts w:ascii="仿宋_GB2312" w:eastAsia="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1312" behindDoc="0" locked="0" layoutInCell="1" allowOverlap="1">
            <wp:simplePos x="0" y="0"/>
            <wp:positionH relativeFrom="column">
              <wp:posOffset>233045</wp:posOffset>
            </wp:positionH>
            <wp:positionV relativeFrom="paragraph">
              <wp:posOffset>327660</wp:posOffset>
            </wp:positionV>
            <wp:extent cx="5282565" cy="3547110"/>
            <wp:effectExtent l="4445" t="4445" r="8890" b="1079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C0CFEDE">
      <w:pPr>
        <w:spacing w:line="600" w:lineRule="exact"/>
        <w:ind w:firstLine="640" w:firstLineChars="200"/>
        <w:outlineLvl w:val="1"/>
        <w:rPr>
          <w:rStyle w:val="29"/>
          <w:rFonts w:ascii="黑体" w:hAnsi="黑体" w:eastAsia="黑体"/>
          <w:b w:val="0"/>
        </w:rPr>
      </w:pPr>
      <w:bookmarkStart w:id="28" w:name="_Toc15396606"/>
      <w:bookmarkStart w:id="29" w:name="_Toc15377208"/>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8"/>
      <w:bookmarkEnd w:id="29"/>
    </w:p>
    <w:p w14:paraId="26D05FAD">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年度财政拨款收、支总计均为</w:t>
      </w:r>
      <w:r>
        <w:rPr>
          <w:rFonts w:hint="eastAsia"/>
          <w:sz w:val="32"/>
          <w:szCs w:val="32"/>
        </w:rPr>
        <w:t>13522</w:t>
      </w:r>
      <w:r>
        <w:rPr>
          <w:rFonts w:hint="eastAsia"/>
          <w:sz w:val="32"/>
          <w:szCs w:val="32"/>
          <w:lang w:val="en-US" w:eastAsia="zh-CN"/>
        </w:rPr>
        <w:t>.</w:t>
      </w:r>
      <w:r>
        <w:rPr>
          <w:rFonts w:hint="eastAsia"/>
          <w:sz w:val="32"/>
          <w:szCs w:val="32"/>
        </w:rPr>
        <w:t>38</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w:t>
      </w:r>
      <w:r>
        <w:rPr>
          <w:sz w:val="32"/>
          <w:szCs w:val="32"/>
        </w:rPr>
        <w:t>17401.89</w:t>
      </w:r>
      <w:r>
        <w:rPr>
          <w:rFonts w:hint="eastAsia" w:ascii="仿宋" w:hAnsi="仿宋" w:eastAsia="仿宋"/>
          <w:sz w:val="32"/>
          <w:szCs w:val="32"/>
        </w:rPr>
        <w:t>度相比，财政拨款收、支总计减少</w:t>
      </w:r>
      <w:r>
        <w:rPr>
          <w:rFonts w:hint="eastAsia" w:ascii="仿宋" w:hAnsi="仿宋" w:eastAsia="仿宋"/>
          <w:sz w:val="32"/>
          <w:szCs w:val="32"/>
          <w:lang w:val="en-US" w:eastAsia="zh-CN"/>
        </w:rPr>
        <w:t>3879.51</w:t>
      </w:r>
      <w:r>
        <w:rPr>
          <w:rFonts w:hint="eastAsia" w:ascii="仿宋" w:hAnsi="仿宋" w:eastAsia="仿宋"/>
          <w:sz w:val="32"/>
          <w:szCs w:val="32"/>
        </w:rPr>
        <w:t>万元，下降</w:t>
      </w:r>
      <w:r>
        <w:rPr>
          <w:rFonts w:hint="eastAsia" w:ascii="仿宋" w:hAnsi="仿宋" w:eastAsia="仿宋"/>
          <w:sz w:val="32"/>
          <w:szCs w:val="32"/>
          <w:lang w:val="en-US" w:eastAsia="zh-CN"/>
        </w:rPr>
        <w:t>22.3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2024年项目资金及项目数量均有所减少</w:t>
      </w:r>
      <w:r>
        <w:rPr>
          <w:rFonts w:hint="eastAsia" w:ascii="仿宋" w:hAnsi="仿宋" w:eastAsia="仿宋"/>
          <w:sz w:val="32"/>
          <w:szCs w:val="32"/>
        </w:rPr>
        <w:t>。</w:t>
      </w:r>
    </w:p>
    <w:p w14:paraId="16AE949B">
      <w:pPr>
        <w:spacing w:line="600" w:lineRule="exact"/>
        <w:ind w:firstLine="640"/>
        <w:rPr>
          <w:rFonts w:ascii="仿宋" w:hAnsi="仿宋" w:eastAsia="仿宋"/>
          <w:sz w:val="32"/>
          <w:szCs w:val="32"/>
        </w:rPr>
      </w:pPr>
    </w:p>
    <w:p w14:paraId="10031AE1">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1720DCB0">
      <w:pPr>
        <w:spacing w:line="600" w:lineRule="exact"/>
        <w:rPr>
          <w:rFonts w:ascii="仿宋" w:hAnsi="仿宋" w:eastAsia="仿宋"/>
          <w:sz w:val="32"/>
          <w:szCs w:val="32"/>
        </w:rPr>
      </w:pPr>
    </w:p>
    <w:p w14:paraId="549552DF">
      <w:pPr>
        <w:spacing w:line="600" w:lineRule="exact"/>
        <w:ind w:firstLine="640" w:firstLineChars="200"/>
      </w:pPr>
      <w:r>
        <w:rPr>
          <w:rFonts w:hint="eastAsia" w:ascii="仿宋" w:hAnsi="仿宋" w:eastAsia="仿宋"/>
          <w:sz w:val="32"/>
          <w:szCs w:val="32"/>
        </w:rPr>
        <w:t>（图4：财政拨款收、支决算总计变动情况）（柱状图）</w:t>
      </w:r>
      <w:r>
        <w:rPr>
          <w:rFonts w:hint="eastAsia" w:ascii="仿宋_GB2312" w:hAnsi="仿宋_GB2312" w:eastAsia="仿宋_GB2312" w:cs="仿宋_GB2312"/>
          <w:sz w:val="32"/>
          <w:szCs w:val="32"/>
          <w:lang w:eastAsia="zh-CN"/>
        </w:rPr>
        <w:drawing>
          <wp:anchor distT="0" distB="0" distL="114300" distR="114300" simplePos="0" relativeHeight="251662336" behindDoc="0" locked="0" layoutInCell="1" allowOverlap="1">
            <wp:simplePos x="0" y="0"/>
            <wp:positionH relativeFrom="column">
              <wp:posOffset>-251460</wp:posOffset>
            </wp:positionH>
            <wp:positionV relativeFrom="paragraph">
              <wp:posOffset>129540</wp:posOffset>
            </wp:positionV>
            <wp:extent cx="5567045" cy="3012440"/>
            <wp:effectExtent l="4445" t="4445" r="10160" b="12065"/>
            <wp:wrapSquare wrapText="bothSides"/>
            <wp:docPr id="52" name="图表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FBB1BB2">
      <w:pPr>
        <w:spacing w:line="600" w:lineRule="exact"/>
        <w:ind w:firstLine="640" w:firstLineChars="200"/>
        <w:outlineLvl w:val="1"/>
        <w:rPr>
          <w:rFonts w:hint="eastAsia" w:ascii="黑体" w:hAnsi="黑体" w:eastAsia="黑体"/>
          <w:sz w:val="32"/>
          <w:szCs w:val="32"/>
        </w:rPr>
      </w:pPr>
      <w:bookmarkStart w:id="30" w:name="_Toc15377209"/>
      <w:bookmarkStart w:id="31" w:name="_Toc15396607"/>
    </w:p>
    <w:p w14:paraId="7FD8FA35">
      <w:pPr>
        <w:spacing w:line="600" w:lineRule="exact"/>
        <w:ind w:firstLine="640" w:firstLineChars="200"/>
        <w:outlineLvl w:val="1"/>
        <w:rPr>
          <w:rStyle w:val="29"/>
          <w:rFonts w:ascii="黑体" w:hAnsi="黑体" w:eastAsia="黑体"/>
          <w:b w:val="0"/>
        </w:rPr>
      </w:pPr>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30"/>
      <w:bookmarkEnd w:id="31"/>
    </w:p>
    <w:p w14:paraId="63C4F16D">
      <w:pPr>
        <w:spacing w:line="600" w:lineRule="exact"/>
        <w:ind w:firstLine="643" w:firstLineChars="200"/>
        <w:outlineLvl w:val="2"/>
        <w:rPr>
          <w:rFonts w:ascii="仿宋" w:hAnsi="仿宋" w:eastAsia="仿宋"/>
          <w:b/>
          <w:sz w:val="32"/>
          <w:szCs w:val="32"/>
        </w:rPr>
      </w:pPr>
      <w:bookmarkStart w:id="32" w:name="_Toc15377210"/>
      <w:r>
        <w:rPr>
          <w:rFonts w:hint="eastAsia" w:ascii="仿宋" w:hAnsi="仿宋" w:eastAsia="仿宋"/>
          <w:b/>
          <w:sz w:val="32"/>
          <w:szCs w:val="32"/>
        </w:rPr>
        <w:t>（一）一般公共预算财政拨款支出决算总体情况</w:t>
      </w:r>
      <w:bookmarkEnd w:id="32"/>
    </w:p>
    <w:p w14:paraId="71A7A92C">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sz w:val="32"/>
          <w:szCs w:val="32"/>
        </w:rPr>
        <w:t>13509</w:t>
      </w:r>
      <w:r>
        <w:rPr>
          <w:rFonts w:hint="eastAsia"/>
          <w:sz w:val="32"/>
          <w:szCs w:val="32"/>
          <w:lang w:val="en-US" w:eastAsia="zh-CN"/>
        </w:rPr>
        <w:t>.</w:t>
      </w:r>
      <w:r>
        <w:rPr>
          <w:rFonts w:hint="eastAsia"/>
          <w:sz w:val="32"/>
          <w:szCs w:val="32"/>
        </w:rPr>
        <w:t>38</w:t>
      </w:r>
      <w:r>
        <w:rPr>
          <w:rFonts w:hint="eastAsia" w:ascii="仿宋" w:hAnsi="仿宋" w:eastAsia="仿宋"/>
          <w:sz w:val="32"/>
          <w:szCs w:val="32"/>
        </w:rPr>
        <w:t>万元，占本年支出合计的</w:t>
      </w:r>
      <w:r>
        <w:rPr>
          <w:sz w:val="32"/>
          <w:szCs w:val="32"/>
        </w:rPr>
        <w:t>99.9</w:t>
      </w:r>
      <w:r>
        <w:rPr>
          <w:rFonts w:hint="eastAsia"/>
          <w:sz w:val="32"/>
          <w:szCs w:val="32"/>
          <w:lang w:val="en-US" w:eastAsia="zh-CN"/>
        </w:rPr>
        <w:t>0</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w:t>
      </w:r>
      <w:r>
        <w:rPr>
          <w:sz w:val="32"/>
          <w:szCs w:val="32"/>
        </w:rPr>
        <w:t>17401.89</w:t>
      </w:r>
      <w:r>
        <w:rPr>
          <w:rFonts w:hint="eastAsia" w:ascii="仿宋_GB2312" w:hAnsi="仿宋_GB2312" w:eastAsia="仿宋_GB2312" w:cs="仿宋_GB2312"/>
          <w:sz w:val="32"/>
          <w:szCs w:val="32"/>
          <w:lang w:eastAsia="zh-CN"/>
        </w:rPr>
        <w:t>万元</w:t>
      </w:r>
      <w:r>
        <w:rPr>
          <w:rFonts w:hint="eastAsia" w:ascii="仿宋" w:hAnsi="仿宋" w:eastAsia="仿宋"/>
          <w:sz w:val="32"/>
          <w:szCs w:val="32"/>
        </w:rPr>
        <w:t>相比，一般公共预算财政拨款支出减少</w:t>
      </w:r>
      <w:r>
        <w:rPr>
          <w:rFonts w:hint="eastAsia" w:ascii="仿宋" w:hAnsi="仿宋" w:eastAsia="仿宋"/>
          <w:sz w:val="32"/>
          <w:szCs w:val="32"/>
          <w:lang w:val="en-US" w:eastAsia="zh-CN"/>
        </w:rPr>
        <w:t>3892.51</w:t>
      </w:r>
      <w:r>
        <w:rPr>
          <w:rFonts w:hint="eastAsia" w:ascii="仿宋" w:hAnsi="仿宋" w:eastAsia="仿宋"/>
          <w:sz w:val="32"/>
          <w:szCs w:val="32"/>
        </w:rPr>
        <w:t>万元，下降</w:t>
      </w:r>
      <w:r>
        <w:rPr>
          <w:rFonts w:hint="eastAsia" w:ascii="仿宋" w:hAnsi="仿宋" w:eastAsia="仿宋"/>
          <w:sz w:val="32"/>
          <w:szCs w:val="32"/>
          <w:lang w:val="en-US" w:eastAsia="zh-CN"/>
        </w:rPr>
        <w:t>22.36</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2024年项目资金及项目数量均有所减少，导致一般公共预算较2024年的有所减少</w:t>
      </w:r>
      <w:r>
        <w:rPr>
          <w:rFonts w:hint="eastAsia" w:ascii="仿宋" w:hAnsi="仿宋" w:eastAsia="仿宋"/>
          <w:sz w:val="32"/>
          <w:szCs w:val="32"/>
        </w:rPr>
        <w:t>。</w:t>
      </w:r>
    </w:p>
    <w:p w14:paraId="5A88AA0B">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23A86AF1">
      <w:pPr>
        <w:spacing w:line="600" w:lineRule="exact"/>
        <w:ind w:firstLine="640" w:firstLineChars="200"/>
        <w:rPr>
          <w:rFonts w:ascii="仿宋" w:hAnsi="仿宋" w:eastAsia="仿宋"/>
          <w:sz w:val="32"/>
          <w:szCs w:val="32"/>
        </w:rPr>
      </w:pPr>
    </w:p>
    <w:p w14:paraId="6040E139">
      <w:pPr>
        <w:pStyle w:val="2"/>
      </w:pPr>
      <w:r>
        <w:rPr>
          <w:rFonts w:hint="eastAsia" w:ascii="仿宋_GB2312" w:hAnsi="仿宋_GB2312" w:eastAsia="仿宋_GB2312" w:cs="仿宋_GB2312"/>
          <w:sz w:val="32"/>
          <w:szCs w:val="32"/>
          <w:lang w:eastAsia="zh-CN"/>
        </w:rPr>
        <w:drawing>
          <wp:anchor distT="0" distB="0" distL="114300" distR="114300" simplePos="0" relativeHeight="251663360" behindDoc="0" locked="0" layoutInCell="1" allowOverlap="1">
            <wp:simplePos x="0" y="0"/>
            <wp:positionH relativeFrom="column">
              <wp:posOffset>167005</wp:posOffset>
            </wp:positionH>
            <wp:positionV relativeFrom="paragraph">
              <wp:posOffset>452120</wp:posOffset>
            </wp:positionV>
            <wp:extent cx="5067300" cy="3517900"/>
            <wp:effectExtent l="4445" t="4445" r="14605" b="20955"/>
            <wp:wrapSquare wrapText="bothSides"/>
            <wp:docPr id="53" name="图表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17889E4">
      <w:pPr>
        <w:spacing w:line="600" w:lineRule="exact"/>
        <w:ind w:firstLine="643" w:firstLineChars="200"/>
        <w:outlineLvl w:val="2"/>
        <w:rPr>
          <w:rFonts w:ascii="仿宋" w:hAnsi="仿宋" w:eastAsia="仿宋"/>
          <w:b/>
          <w:sz w:val="32"/>
          <w:szCs w:val="32"/>
        </w:rPr>
      </w:pPr>
      <w:bookmarkStart w:id="33" w:name="_Toc15377211"/>
      <w:r>
        <w:rPr>
          <w:rFonts w:hint="eastAsia" w:ascii="仿宋" w:hAnsi="仿宋" w:eastAsia="仿宋"/>
          <w:b/>
          <w:sz w:val="32"/>
          <w:szCs w:val="32"/>
        </w:rPr>
        <w:t>（二）一般公共预算财政拨款支出决算结构情况</w:t>
      </w:r>
      <w:bookmarkEnd w:id="33"/>
    </w:p>
    <w:p w14:paraId="32C65266">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sz w:val="32"/>
          <w:szCs w:val="32"/>
        </w:rPr>
        <w:t>13509</w:t>
      </w:r>
      <w:r>
        <w:rPr>
          <w:rFonts w:hint="eastAsia"/>
          <w:sz w:val="32"/>
          <w:szCs w:val="32"/>
          <w:lang w:val="en-US" w:eastAsia="zh-CN"/>
        </w:rPr>
        <w:t>.</w:t>
      </w:r>
      <w:r>
        <w:rPr>
          <w:rFonts w:hint="eastAsia"/>
          <w:sz w:val="32"/>
          <w:szCs w:val="32"/>
        </w:rPr>
        <w:t>38</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节能环保</w:t>
      </w:r>
      <w:r>
        <w:rPr>
          <w:rFonts w:hint="eastAsia" w:ascii="仿宋" w:hAnsi="仿宋" w:eastAsia="仿宋"/>
          <w:b/>
          <w:bCs/>
          <w:sz w:val="32"/>
          <w:szCs w:val="32"/>
        </w:rPr>
        <w:t>支出</w:t>
      </w:r>
      <w:r>
        <w:rPr>
          <w:rFonts w:hint="eastAsia" w:ascii="仿宋" w:hAnsi="仿宋" w:eastAsia="仿宋"/>
          <w:sz w:val="32"/>
          <w:szCs w:val="32"/>
        </w:rPr>
        <w:t>499万元，占</w:t>
      </w:r>
      <w:r>
        <w:rPr>
          <w:rFonts w:hint="eastAsia" w:ascii="仿宋" w:hAnsi="仿宋" w:eastAsia="仿宋"/>
          <w:sz w:val="32"/>
          <w:szCs w:val="32"/>
          <w:lang w:val="en-US" w:eastAsia="zh-CN"/>
        </w:rPr>
        <w:t>36.93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城乡社区</w:t>
      </w:r>
      <w:r>
        <w:rPr>
          <w:rFonts w:hint="eastAsia" w:ascii="仿宋" w:hAnsi="仿宋" w:eastAsia="仿宋"/>
          <w:b/>
          <w:bCs/>
          <w:sz w:val="32"/>
          <w:szCs w:val="32"/>
        </w:rPr>
        <w:t>支出</w:t>
      </w:r>
      <w:r>
        <w:rPr>
          <w:rFonts w:hint="eastAsia" w:ascii="仿宋" w:hAnsi="仿宋" w:eastAsia="仿宋"/>
          <w:sz w:val="32"/>
          <w:szCs w:val="32"/>
        </w:rPr>
        <w:t>7381</w:t>
      </w:r>
      <w:r>
        <w:rPr>
          <w:rFonts w:hint="eastAsia" w:ascii="仿宋" w:hAnsi="仿宋" w:eastAsia="仿宋"/>
          <w:sz w:val="32"/>
          <w:szCs w:val="32"/>
          <w:lang w:val="en-US" w:eastAsia="zh-CN"/>
        </w:rPr>
        <w:t>.</w:t>
      </w:r>
      <w:r>
        <w:rPr>
          <w:rFonts w:hint="eastAsia" w:ascii="仿宋" w:hAnsi="仿宋" w:eastAsia="仿宋"/>
          <w:sz w:val="32"/>
          <w:szCs w:val="32"/>
        </w:rPr>
        <w:t>06万元，占</w:t>
      </w:r>
      <w:r>
        <w:rPr>
          <w:rFonts w:hint="eastAsia" w:ascii="仿宋" w:hAnsi="仿宋" w:eastAsia="仿宋"/>
          <w:sz w:val="32"/>
          <w:szCs w:val="32"/>
          <w:lang w:val="en-US" w:eastAsia="zh-CN"/>
        </w:rPr>
        <w:t>54.64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lang w:eastAsia="zh-CN"/>
        </w:rPr>
        <w:t>农林水</w:t>
      </w:r>
      <w:r>
        <w:rPr>
          <w:rFonts w:hint="eastAsia" w:ascii="仿宋" w:hAnsi="仿宋" w:eastAsia="仿宋"/>
          <w:b/>
          <w:bCs/>
          <w:sz w:val="32"/>
          <w:szCs w:val="32"/>
        </w:rPr>
        <w:t>支出5195</w:t>
      </w:r>
      <w:r>
        <w:rPr>
          <w:rFonts w:hint="eastAsia" w:ascii="仿宋" w:hAnsi="仿宋" w:eastAsia="仿宋"/>
          <w:b/>
          <w:bCs/>
          <w:sz w:val="32"/>
          <w:szCs w:val="32"/>
          <w:lang w:val="en-US" w:eastAsia="zh-CN"/>
        </w:rPr>
        <w:t>.</w:t>
      </w:r>
      <w:r>
        <w:rPr>
          <w:rFonts w:hint="eastAsia" w:ascii="仿宋" w:hAnsi="仿宋" w:eastAsia="仿宋"/>
          <w:b/>
          <w:bCs/>
          <w:sz w:val="32"/>
          <w:szCs w:val="32"/>
        </w:rPr>
        <w:t>35万元，占</w:t>
      </w:r>
      <w:r>
        <w:rPr>
          <w:rFonts w:hint="eastAsia" w:ascii="仿宋" w:hAnsi="仿宋" w:eastAsia="仿宋"/>
          <w:b/>
          <w:bCs/>
          <w:sz w:val="32"/>
          <w:szCs w:val="32"/>
          <w:lang w:val="en-US" w:eastAsia="zh-CN"/>
        </w:rPr>
        <w:t>38.46</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126</w:t>
      </w:r>
      <w:r>
        <w:rPr>
          <w:rFonts w:hint="eastAsia" w:ascii="仿宋" w:hAnsi="仿宋" w:eastAsia="仿宋"/>
          <w:sz w:val="32"/>
          <w:szCs w:val="32"/>
          <w:lang w:val="en-US" w:eastAsia="zh-CN"/>
        </w:rPr>
        <w:t>.</w:t>
      </w:r>
      <w:r>
        <w:rPr>
          <w:rFonts w:hint="eastAsia" w:ascii="仿宋" w:hAnsi="仿宋" w:eastAsia="仿宋"/>
          <w:sz w:val="32"/>
          <w:szCs w:val="32"/>
        </w:rPr>
        <w:t>17万元，占</w:t>
      </w:r>
      <w:r>
        <w:rPr>
          <w:rFonts w:hint="eastAsia" w:ascii="仿宋" w:hAnsi="仿宋" w:eastAsia="仿宋"/>
          <w:sz w:val="32"/>
          <w:szCs w:val="32"/>
          <w:lang w:val="en-US" w:eastAsia="zh-CN"/>
        </w:rPr>
        <w:t>9.33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54</w:t>
      </w:r>
      <w:r>
        <w:rPr>
          <w:rFonts w:hint="eastAsia" w:ascii="仿宋" w:hAnsi="仿宋" w:eastAsia="仿宋"/>
          <w:sz w:val="32"/>
          <w:szCs w:val="32"/>
          <w:lang w:val="en-US" w:eastAsia="zh-CN"/>
        </w:rPr>
        <w:t>.</w:t>
      </w:r>
      <w:r>
        <w:rPr>
          <w:rFonts w:hint="eastAsia" w:ascii="仿宋" w:hAnsi="仿宋" w:eastAsia="仿宋"/>
          <w:sz w:val="32"/>
          <w:szCs w:val="32"/>
        </w:rPr>
        <w:t>79万元，占</w:t>
      </w:r>
      <w:r>
        <w:rPr>
          <w:rFonts w:hint="eastAsia" w:ascii="仿宋" w:hAnsi="仿宋" w:eastAsia="仿宋"/>
          <w:sz w:val="32"/>
          <w:szCs w:val="32"/>
          <w:lang w:val="en-US" w:eastAsia="zh-CN"/>
        </w:rPr>
        <w:t>0.09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161</w:t>
      </w:r>
      <w:r>
        <w:rPr>
          <w:rFonts w:hint="eastAsia" w:ascii="仿宋" w:hAnsi="仿宋" w:eastAsia="仿宋"/>
          <w:sz w:val="32"/>
          <w:szCs w:val="32"/>
          <w:lang w:val="en-US" w:eastAsia="zh-CN"/>
        </w:rPr>
        <w:t>.</w:t>
      </w:r>
      <w:r>
        <w:rPr>
          <w:rFonts w:hint="eastAsia" w:ascii="仿宋" w:hAnsi="仿宋" w:eastAsia="仿宋"/>
          <w:sz w:val="32"/>
          <w:szCs w:val="32"/>
        </w:rPr>
        <w:t>9</w:t>
      </w:r>
      <w:r>
        <w:rPr>
          <w:rFonts w:hint="eastAsia" w:ascii="仿宋" w:hAnsi="仿宋" w:eastAsia="仿宋"/>
          <w:sz w:val="32"/>
          <w:szCs w:val="32"/>
          <w:lang w:val="en-US" w:eastAsia="zh-CN"/>
        </w:rPr>
        <w:t>7</w:t>
      </w:r>
      <w:r>
        <w:rPr>
          <w:rFonts w:hint="eastAsia" w:ascii="仿宋" w:hAnsi="仿宋" w:eastAsia="仿宋"/>
          <w:sz w:val="32"/>
          <w:szCs w:val="32"/>
        </w:rPr>
        <w:t>万元，占</w:t>
      </w:r>
      <w:r>
        <w:rPr>
          <w:rFonts w:hint="eastAsia" w:ascii="仿宋" w:hAnsi="仿宋" w:eastAsia="仿宋"/>
          <w:sz w:val="32"/>
          <w:szCs w:val="32"/>
          <w:lang w:val="en-US" w:eastAsia="zh-CN"/>
        </w:rPr>
        <w:t>1.12</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lang w:eastAsia="zh-CN"/>
        </w:rPr>
        <w:t>；自然资源海洋气候支出</w:t>
      </w:r>
      <w:r>
        <w:rPr>
          <w:rFonts w:hint="eastAsia" w:ascii="仿宋" w:hAnsi="仿宋" w:eastAsia="仿宋"/>
          <w:sz w:val="32"/>
          <w:szCs w:val="32"/>
          <w:lang w:val="en-US" w:eastAsia="zh-CN"/>
        </w:rPr>
        <w:t>0</w:t>
      </w:r>
      <w:r>
        <w:rPr>
          <w:rFonts w:hint="eastAsia" w:ascii="仿宋" w:hAnsi="仿宋" w:eastAsia="仿宋"/>
          <w:sz w:val="32"/>
          <w:szCs w:val="32"/>
          <w:lang w:eastAsia="zh-CN"/>
        </w:rPr>
        <w:t>；其他支出</w:t>
      </w:r>
      <w:r>
        <w:rPr>
          <w:rFonts w:hint="eastAsia" w:ascii="仿宋" w:hAnsi="仿宋" w:eastAsia="仿宋"/>
          <w:sz w:val="32"/>
          <w:szCs w:val="32"/>
          <w:lang w:val="en-US" w:eastAsia="zh-CN"/>
        </w:rPr>
        <w:t>91.04万元</w:t>
      </w:r>
      <w:r>
        <w:rPr>
          <w:rFonts w:hint="eastAsia" w:ascii="仿宋" w:hAnsi="仿宋" w:eastAsia="仿宋"/>
          <w:sz w:val="32"/>
          <w:szCs w:val="32"/>
        </w:rPr>
        <w:t>。</w:t>
      </w:r>
    </w:p>
    <w:p w14:paraId="295041BB">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（注：数据来源于财决01-1表，仅罗列本部门涉及的全部功能分类科目，至类级。）</w:t>
      </w:r>
    </w:p>
    <w:p w14:paraId="4051718E">
      <w:pPr>
        <w:spacing w:line="600" w:lineRule="exact"/>
        <w:ind w:firstLine="640"/>
        <w:rPr>
          <w:rFonts w:ascii="仿宋" w:hAnsi="仿宋" w:eastAsia="仿宋"/>
          <w:sz w:val="32"/>
          <w:szCs w:val="32"/>
        </w:rPr>
      </w:pPr>
    </w:p>
    <w:p w14:paraId="1C11BF63">
      <w:pPr>
        <w:spacing w:line="600" w:lineRule="exact"/>
        <w:ind w:firstLine="640" w:firstLineChars="200"/>
      </w:pPr>
      <w:r>
        <w:rPr>
          <w:rFonts w:hint="eastAsia" w:ascii="仿宋" w:hAnsi="仿宋" w:eastAsia="仿宋"/>
          <w:sz w:val="32"/>
          <w:szCs w:val="32"/>
        </w:rPr>
        <w:t>（图6：一般公共预算财政拨款支出决算结构）（饼状图）</w:t>
      </w:r>
      <w:r>
        <w:rPr>
          <w:rFonts w:hint="eastAsia" w:ascii="仿宋_GB2312" w:hAnsi="仿宋_GB2312" w:eastAsia="仿宋_GB2312" w:cs="仿宋_GB2312"/>
          <w:sz w:val="32"/>
          <w:szCs w:val="32"/>
          <w:lang w:eastAsia="zh-CN"/>
        </w:rPr>
        <w:drawing>
          <wp:anchor distT="0" distB="0" distL="114300" distR="114300" simplePos="0" relativeHeight="251664384" behindDoc="0" locked="0" layoutInCell="1" allowOverlap="1">
            <wp:simplePos x="0" y="0"/>
            <wp:positionH relativeFrom="column">
              <wp:posOffset>-43180</wp:posOffset>
            </wp:positionH>
            <wp:positionV relativeFrom="paragraph">
              <wp:posOffset>13970</wp:posOffset>
            </wp:positionV>
            <wp:extent cx="5685155" cy="3451860"/>
            <wp:effectExtent l="4445" t="4445" r="6350" b="10795"/>
            <wp:wrapSquare wrapText="bothSides"/>
            <wp:docPr id="54" name="图表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1F19783">
      <w:pPr>
        <w:spacing w:line="600" w:lineRule="exact"/>
        <w:ind w:firstLine="643" w:firstLineChars="200"/>
        <w:outlineLvl w:val="2"/>
        <w:rPr>
          <w:rFonts w:ascii="仿宋" w:hAnsi="仿宋" w:eastAsia="仿宋"/>
          <w:b/>
          <w:sz w:val="32"/>
          <w:szCs w:val="32"/>
        </w:rPr>
      </w:pPr>
      <w:bookmarkStart w:id="34" w:name="_Toc15377212"/>
      <w:r>
        <w:rPr>
          <w:rFonts w:hint="eastAsia" w:ascii="仿宋" w:hAnsi="仿宋" w:eastAsia="仿宋"/>
          <w:b/>
          <w:sz w:val="32"/>
          <w:szCs w:val="32"/>
        </w:rPr>
        <w:t>（三）一般公共预算财政拨款支出决算具体情况</w:t>
      </w:r>
      <w:bookmarkEnd w:id="34"/>
    </w:p>
    <w:p w14:paraId="5CAD1C20">
      <w:pPr>
        <w:spacing w:line="600" w:lineRule="exact"/>
        <w:ind w:firstLine="643" w:firstLineChars="200"/>
        <w:outlineLvl w:val="2"/>
        <w:rPr>
          <w:rFonts w:ascii="仿宋" w:hAnsi="仿宋" w:eastAsia="仿宋"/>
          <w:sz w:val="32"/>
          <w:szCs w:val="32"/>
        </w:rPr>
      </w:pPr>
      <w:bookmarkStart w:id="35" w:name="_Toc15377213"/>
      <w:bookmarkStart w:id="36" w:name="_Toc15377444"/>
      <w:bookmarkStart w:id="37" w:name="_Toc15378460"/>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sz w:val="32"/>
          <w:szCs w:val="32"/>
        </w:rPr>
        <w:t>13509</w:t>
      </w:r>
      <w:r>
        <w:rPr>
          <w:rFonts w:hint="eastAsia"/>
          <w:sz w:val="32"/>
          <w:szCs w:val="32"/>
          <w:lang w:val="en-US" w:eastAsia="zh-CN"/>
        </w:rPr>
        <w:t>.</w:t>
      </w:r>
      <w:r>
        <w:rPr>
          <w:rFonts w:hint="eastAsia"/>
          <w:sz w:val="32"/>
          <w:szCs w:val="32"/>
        </w:rPr>
        <w:t>38</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bookmarkEnd w:id="35"/>
      <w:bookmarkEnd w:id="36"/>
      <w:bookmarkEnd w:id="37"/>
    </w:p>
    <w:p w14:paraId="27E7BFCE">
      <w:pPr>
        <w:spacing w:line="600" w:lineRule="exact"/>
        <w:ind w:firstLine="643" w:firstLineChars="200"/>
        <w:rPr>
          <w:rFonts w:ascii="仿宋" w:hAnsi="仿宋" w:eastAsia="仿宋"/>
          <w:b/>
          <w:sz w:val="32"/>
          <w:szCs w:val="32"/>
        </w:rPr>
      </w:pPr>
      <w:r>
        <w:rPr>
          <w:rStyle w:val="18"/>
          <w:rFonts w:ascii="仿宋" w:hAnsi="仿宋" w:eastAsia="仿宋"/>
          <w:bCs/>
          <w:sz w:val="32"/>
          <w:szCs w:val="32"/>
        </w:rPr>
        <w:t>1.</w:t>
      </w:r>
      <w:r>
        <w:rPr>
          <w:rStyle w:val="18"/>
          <w:rFonts w:hint="eastAsia" w:ascii="仿宋" w:hAnsi="仿宋" w:eastAsia="仿宋"/>
          <w:bCs/>
          <w:sz w:val="32"/>
          <w:szCs w:val="32"/>
        </w:rPr>
        <w:t>一般公共服务（类）</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0</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158A8BB4">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2</w:t>
      </w:r>
      <w:r>
        <w:rPr>
          <w:rStyle w:val="18"/>
          <w:rFonts w:ascii="仿宋" w:hAnsi="仿宋" w:eastAsia="仿宋"/>
          <w:bCs/>
          <w:sz w:val="32"/>
          <w:szCs w:val="32"/>
        </w:rPr>
        <w:t>.</w:t>
      </w:r>
      <w:r>
        <w:rPr>
          <w:rStyle w:val="18"/>
          <w:rFonts w:hint="eastAsia" w:ascii="仿宋" w:hAnsi="仿宋" w:eastAsia="仿宋"/>
          <w:bCs/>
          <w:sz w:val="32"/>
          <w:szCs w:val="32"/>
        </w:rPr>
        <w:t>科学技术（类）</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0</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4845DB28">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3</w:t>
      </w:r>
      <w:r>
        <w:rPr>
          <w:rStyle w:val="18"/>
          <w:rFonts w:ascii="仿宋" w:hAnsi="仿宋" w:eastAsia="仿宋"/>
          <w:bCs/>
          <w:sz w:val="32"/>
          <w:szCs w:val="32"/>
        </w:rPr>
        <w:t>.</w:t>
      </w:r>
      <w:r>
        <w:rPr>
          <w:rStyle w:val="18"/>
          <w:rFonts w:hint="eastAsia" w:ascii="仿宋" w:hAnsi="仿宋" w:eastAsia="仿宋"/>
          <w:bCs/>
          <w:sz w:val="32"/>
          <w:szCs w:val="32"/>
        </w:rPr>
        <w:t>文化旅游体育与传媒（类）</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58.85</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30781199">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4</w:t>
      </w:r>
      <w:r>
        <w:rPr>
          <w:rStyle w:val="18"/>
          <w:rFonts w:ascii="仿宋" w:hAnsi="仿宋" w:eastAsia="仿宋"/>
          <w:bCs/>
          <w:sz w:val="32"/>
          <w:szCs w:val="32"/>
        </w:rPr>
        <w:t>.</w:t>
      </w:r>
      <w:r>
        <w:rPr>
          <w:rStyle w:val="18"/>
          <w:rFonts w:hint="eastAsia" w:ascii="仿宋" w:hAnsi="仿宋" w:eastAsia="仿宋"/>
          <w:bCs/>
          <w:sz w:val="32"/>
          <w:szCs w:val="32"/>
        </w:rPr>
        <w:t>社会保障和就业（类）</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Fonts w:hint="eastAsia" w:ascii="仿宋" w:hAnsi="仿宋" w:eastAsia="仿宋"/>
          <w:sz w:val="32"/>
          <w:szCs w:val="32"/>
        </w:rPr>
        <w:t>126</w:t>
      </w:r>
      <w:r>
        <w:rPr>
          <w:rFonts w:hint="eastAsia" w:ascii="仿宋" w:hAnsi="仿宋" w:eastAsia="仿宋"/>
          <w:sz w:val="32"/>
          <w:szCs w:val="32"/>
          <w:lang w:val="en-US" w:eastAsia="zh-CN"/>
        </w:rPr>
        <w:t>.</w:t>
      </w:r>
      <w:r>
        <w:rPr>
          <w:rFonts w:hint="eastAsia" w:ascii="仿宋" w:hAnsi="仿宋" w:eastAsia="仿宋"/>
          <w:sz w:val="32"/>
          <w:szCs w:val="32"/>
        </w:rPr>
        <w:t>17</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1A969666">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5</w:t>
      </w:r>
      <w:r>
        <w:rPr>
          <w:rStyle w:val="18"/>
          <w:rFonts w:ascii="仿宋" w:hAnsi="仿宋" w:eastAsia="仿宋"/>
          <w:bCs/>
          <w:sz w:val="32"/>
          <w:szCs w:val="32"/>
        </w:rPr>
        <w:t>.</w:t>
      </w:r>
      <w:r>
        <w:rPr>
          <w:rFonts w:hint="eastAsia" w:ascii="仿宋" w:hAnsi="仿宋" w:eastAsia="仿宋"/>
          <w:b/>
          <w:bCs/>
          <w:sz w:val="32"/>
          <w:szCs w:val="32"/>
        </w:rPr>
        <w:t>卫生健康</w:t>
      </w:r>
      <w:r>
        <w:rPr>
          <w:rStyle w:val="18"/>
          <w:rFonts w:hint="eastAsia" w:ascii="仿宋" w:hAnsi="仿宋" w:eastAsia="仿宋"/>
          <w:bCs/>
          <w:sz w:val="32"/>
          <w:szCs w:val="32"/>
        </w:rPr>
        <w:t>（类）</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Fonts w:hint="eastAsia" w:ascii="仿宋" w:hAnsi="仿宋" w:eastAsia="仿宋"/>
          <w:sz w:val="32"/>
          <w:szCs w:val="32"/>
        </w:rPr>
        <w:t>54</w:t>
      </w:r>
      <w:r>
        <w:rPr>
          <w:rFonts w:hint="eastAsia" w:ascii="仿宋" w:hAnsi="仿宋" w:eastAsia="仿宋"/>
          <w:sz w:val="32"/>
          <w:szCs w:val="32"/>
          <w:lang w:val="en-US" w:eastAsia="zh-CN"/>
        </w:rPr>
        <w:t>.</w:t>
      </w:r>
      <w:r>
        <w:rPr>
          <w:rFonts w:hint="eastAsia" w:ascii="仿宋" w:hAnsi="仿宋" w:eastAsia="仿宋"/>
          <w:sz w:val="32"/>
          <w:szCs w:val="32"/>
        </w:rPr>
        <w:t>79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7BE1A0F0">
      <w:pPr>
        <w:spacing w:line="600" w:lineRule="exact"/>
        <w:ind w:firstLine="640" w:firstLineChars="200"/>
        <w:rPr>
          <w:rFonts w:ascii="仿宋" w:hAnsi="仿宋" w:eastAsia="仿宋"/>
          <w:sz w:val="32"/>
          <w:szCs w:val="32"/>
        </w:rPr>
      </w:pPr>
      <w:r>
        <w:rPr>
          <w:rFonts w:hint="eastAsia" w:ascii="仿宋" w:hAnsi="仿宋" w:eastAsia="仿宋"/>
          <w:sz w:val="32"/>
          <w:szCs w:val="32"/>
        </w:rPr>
        <w:t>……</w:t>
      </w:r>
    </w:p>
    <w:p w14:paraId="05C79F98">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1-1表和财决08表，仅罗列本部门涉及的全部功能分类科目，至项级。上述“预算”口径为全年预算数。增减变动原因为决算数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14:paraId="1869E2E4">
      <w:pPr>
        <w:spacing w:line="600" w:lineRule="exact"/>
        <w:ind w:firstLine="640"/>
        <w:rPr>
          <w:rFonts w:ascii="仿宋" w:hAnsi="仿宋" w:eastAsia="仿宋"/>
          <w:b/>
          <w:sz w:val="32"/>
          <w:szCs w:val="32"/>
        </w:rPr>
      </w:pPr>
    </w:p>
    <w:p w14:paraId="13004300">
      <w:pPr>
        <w:tabs>
          <w:tab w:val="right" w:pos="8306"/>
        </w:tabs>
        <w:spacing w:line="600" w:lineRule="exact"/>
        <w:ind w:firstLine="640"/>
        <w:outlineLvl w:val="1"/>
        <w:rPr>
          <w:rStyle w:val="29"/>
        </w:rPr>
      </w:pPr>
      <w:bookmarkStart w:id="38" w:name="_Toc15377214"/>
      <w:bookmarkStart w:id="39"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8"/>
      <w:bookmarkEnd w:id="39"/>
      <w:r>
        <w:rPr>
          <w:rStyle w:val="29"/>
          <w:rFonts w:ascii="黑体" w:hAnsi="黑体" w:eastAsia="黑体"/>
          <w:b w:val="0"/>
        </w:rPr>
        <w:tab/>
      </w:r>
    </w:p>
    <w:p w14:paraId="0B42F868">
      <w:pPr>
        <w:spacing w:line="600" w:lineRule="exact"/>
        <w:ind w:firstLine="64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sz w:val="32"/>
          <w:szCs w:val="32"/>
        </w:rPr>
        <w:t>927</w:t>
      </w:r>
      <w:r>
        <w:rPr>
          <w:rFonts w:hint="eastAsia"/>
          <w:sz w:val="32"/>
          <w:szCs w:val="32"/>
          <w:lang w:val="en-US" w:eastAsia="zh-CN"/>
        </w:rPr>
        <w:t>.</w:t>
      </w:r>
      <w:r>
        <w:rPr>
          <w:rFonts w:hint="eastAsia"/>
          <w:sz w:val="32"/>
          <w:szCs w:val="32"/>
        </w:rPr>
        <w:t>0</w:t>
      </w:r>
      <w:r>
        <w:rPr>
          <w:rFonts w:hint="eastAsia"/>
          <w:sz w:val="32"/>
          <w:szCs w:val="32"/>
          <w:lang w:val="en-US" w:eastAsia="zh-CN"/>
        </w:rPr>
        <w:t>6</w:t>
      </w:r>
      <w:r>
        <w:rPr>
          <w:rFonts w:hint="eastAsia" w:ascii="仿宋" w:hAnsi="仿宋" w:eastAsia="仿宋"/>
          <w:sz w:val="32"/>
          <w:szCs w:val="32"/>
        </w:rPr>
        <w:t>万元，其中：</w:t>
      </w:r>
    </w:p>
    <w:p w14:paraId="16217BCC">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sz w:val="32"/>
          <w:szCs w:val="32"/>
        </w:rPr>
        <w:t>868</w:t>
      </w:r>
      <w:r>
        <w:rPr>
          <w:rFonts w:hint="eastAsia"/>
          <w:sz w:val="32"/>
          <w:szCs w:val="32"/>
          <w:lang w:val="en-US" w:eastAsia="zh-CN"/>
        </w:rPr>
        <w:t>.</w:t>
      </w:r>
      <w:r>
        <w:rPr>
          <w:rFonts w:hint="eastAsia"/>
          <w:sz w:val="32"/>
          <w:szCs w:val="32"/>
        </w:rPr>
        <w:t>99</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hint="eastAsia"/>
          <w:sz w:val="32"/>
          <w:szCs w:val="32"/>
        </w:rPr>
        <w:t>58</w:t>
      </w:r>
      <w:r>
        <w:rPr>
          <w:rFonts w:hint="eastAsia"/>
          <w:sz w:val="32"/>
          <w:szCs w:val="32"/>
          <w:lang w:val="en-US" w:eastAsia="zh-CN"/>
        </w:rPr>
        <w:t>.</w:t>
      </w:r>
      <w:r>
        <w:rPr>
          <w:rFonts w:hint="eastAsia"/>
          <w:sz w:val="32"/>
          <w:szCs w:val="32"/>
        </w:rPr>
        <w:t>06</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EAF6812">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7表和财决08-1表，仅罗列本部门实际支出涉及的经济分类科目。）</w:t>
      </w:r>
    </w:p>
    <w:p w14:paraId="4CBB59C0">
      <w:pPr>
        <w:spacing w:line="600" w:lineRule="exact"/>
        <w:ind w:firstLine="640"/>
        <w:rPr>
          <w:rFonts w:ascii="仿宋" w:hAnsi="仿宋" w:eastAsia="仿宋"/>
          <w:b/>
          <w:sz w:val="32"/>
          <w:szCs w:val="32"/>
        </w:rPr>
      </w:pPr>
    </w:p>
    <w:p w14:paraId="547E6CFF">
      <w:pPr>
        <w:spacing w:line="600" w:lineRule="exact"/>
        <w:ind w:firstLine="640"/>
        <w:outlineLvl w:val="1"/>
        <w:rPr>
          <w:rStyle w:val="29"/>
          <w:rFonts w:ascii="黑体" w:hAnsi="黑体" w:eastAsia="黑体"/>
          <w:b w:val="0"/>
        </w:rPr>
      </w:pPr>
      <w:bookmarkStart w:id="40" w:name="_Toc15396609"/>
      <w:bookmarkStart w:id="41" w:name="_Toc15377215"/>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40"/>
      <w:bookmarkEnd w:id="41"/>
    </w:p>
    <w:p w14:paraId="23C0066C">
      <w:pPr>
        <w:spacing w:line="600" w:lineRule="exact"/>
        <w:ind w:firstLine="640"/>
        <w:outlineLvl w:val="2"/>
        <w:rPr>
          <w:rFonts w:ascii="仿宋" w:hAnsi="仿宋" w:eastAsia="仿宋"/>
          <w:b/>
          <w:sz w:val="32"/>
          <w:szCs w:val="32"/>
        </w:rPr>
      </w:pPr>
      <w:bookmarkStart w:id="42" w:name="_Toc15377216"/>
      <w:r>
        <w:rPr>
          <w:rFonts w:hint="eastAsia" w:ascii="仿宋" w:hAnsi="仿宋" w:eastAsia="仿宋"/>
          <w:b/>
          <w:sz w:val="32"/>
          <w:szCs w:val="32"/>
        </w:rPr>
        <w:t>（一）“三公”经费财政拨款支出决算总体情况说明</w:t>
      </w:r>
      <w:bookmarkEnd w:id="42"/>
    </w:p>
    <w:p w14:paraId="318D9284">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hint="eastAsia" w:eastAsia="仿宋"/>
          <w:sz w:val="32"/>
          <w:szCs w:val="32"/>
          <w:lang w:val="en-US" w:eastAsia="zh-CN"/>
        </w:rPr>
        <w:t>6.51</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0.97</w:t>
      </w:r>
      <w:r>
        <w:rPr>
          <w:rFonts w:hint="eastAsia" w:ascii="仿宋" w:hAnsi="仿宋" w:eastAsia="仿宋"/>
          <w:sz w:val="32"/>
          <w:szCs w:val="32"/>
        </w:rPr>
        <w:t>万元，下降</w:t>
      </w:r>
      <w:r>
        <w:rPr>
          <w:rFonts w:hint="eastAsia" w:ascii="仿宋" w:hAnsi="仿宋" w:eastAsia="仿宋"/>
          <w:sz w:val="32"/>
          <w:szCs w:val="32"/>
          <w:lang w:val="en-US" w:eastAsia="zh-CN"/>
        </w:rPr>
        <w:t>12.97</w:t>
      </w:r>
      <w:r>
        <w:rPr>
          <w:rFonts w:hint="eastAsia" w:ascii="仿宋" w:hAnsi="仿宋" w:eastAsia="仿宋"/>
          <w:sz w:val="32"/>
          <w:szCs w:val="32"/>
        </w:rPr>
        <w:t>%。</w:t>
      </w:r>
    </w:p>
    <w:p w14:paraId="146C071C">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1974E6B0">
      <w:pPr>
        <w:spacing w:line="600" w:lineRule="exact"/>
        <w:ind w:firstLine="640"/>
        <w:outlineLvl w:val="2"/>
        <w:rPr>
          <w:rFonts w:ascii="仿宋" w:hAnsi="仿宋" w:eastAsia="仿宋"/>
          <w:b/>
          <w:sz w:val="32"/>
          <w:szCs w:val="32"/>
        </w:rPr>
      </w:pPr>
      <w:bookmarkStart w:id="43" w:name="_Toc15377217"/>
      <w:r>
        <w:rPr>
          <w:rFonts w:hint="eastAsia" w:ascii="仿宋" w:hAnsi="仿宋" w:eastAsia="仿宋"/>
          <w:b/>
          <w:sz w:val="32"/>
          <w:szCs w:val="32"/>
        </w:rPr>
        <w:t>（二）“三公”经费财政拨款支出决算具体情况说明</w:t>
      </w:r>
      <w:bookmarkEnd w:id="43"/>
    </w:p>
    <w:p w14:paraId="3EB5C513">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eastAsia="仿宋"/>
          <w:sz w:val="32"/>
          <w:szCs w:val="32"/>
          <w:lang w:val="en-US" w:eastAsia="zh-CN"/>
        </w:rPr>
        <w:t>5.94</w:t>
      </w:r>
      <w:r>
        <w:rPr>
          <w:rFonts w:hint="eastAsia" w:ascii="仿宋" w:hAnsi="仿宋" w:eastAsia="仿宋"/>
          <w:sz w:val="32"/>
          <w:szCs w:val="32"/>
        </w:rPr>
        <w:t>万元，占</w:t>
      </w:r>
      <w:r>
        <w:rPr>
          <w:rFonts w:hint="eastAsia" w:eastAsia="仿宋"/>
          <w:sz w:val="32"/>
          <w:szCs w:val="32"/>
          <w:lang w:val="en-US" w:eastAsia="zh-CN"/>
        </w:rPr>
        <w:t>91.24</w:t>
      </w:r>
      <w:r>
        <w:rPr>
          <w:rFonts w:ascii="仿宋" w:hAnsi="仿宋" w:eastAsia="仿宋"/>
          <w:sz w:val="32"/>
          <w:szCs w:val="32"/>
        </w:rPr>
        <w:t>%</w:t>
      </w:r>
      <w:r>
        <w:rPr>
          <w:rFonts w:hint="eastAsia" w:ascii="仿宋" w:hAnsi="仿宋" w:eastAsia="仿宋"/>
          <w:sz w:val="32"/>
          <w:szCs w:val="32"/>
        </w:rPr>
        <w:t>；公务接待费支出决算</w:t>
      </w:r>
      <w:r>
        <w:rPr>
          <w:rFonts w:hint="eastAsia" w:eastAsia="仿宋"/>
          <w:sz w:val="32"/>
          <w:szCs w:val="32"/>
          <w:lang w:val="en-US" w:eastAsia="zh-CN"/>
        </w:rPr>
        <w:t>0.58</w:t>
      </w:r>
      <w:r>
        <w:rPr>
          <w:rFonts w:hint="eastAsia" w:ascii="仿宋" w:hAnsi="仿宋" w:eastAsia="仿宋"/>
          <w:sz w:val="32"/>
          <w:szCs w:val="32"/>
        </w:rPr>
        <w:t>万元，占</w:t>
      </w:r>
      <w:r>
        <w:rPr>
          <w:rFonts w:hint="eastAsia" w:eastAsia="仿宋"/>
          <w:sz w:val="32"/>
          <w:szCs w:val="32"/>
          <w:lang w:val="en-US" w:eastAsia="zh-CN"/>
        </w:rPr>
        <w:t>8.9</w:t>
      </w:r>
      <w:r>
        <w:rPr>
          <w:rFonts w:ascii="仿宋" w:hAnsi="仿宋" w:eastAsia="仿宋"/>
          <w:sz w:val="32"/>
          <w:szCs w:val="32"/>
        </w:rPr>
        <w:t>%</w:t>
      </w:r>
      <w:r>
        <w:rPr>
          <w:rFonts w:hint="eastAsia" w:ascii="仿宋" w:hAnsi="仿宋" w:eastAsia="仿宋"/>
          <w:sz w:val="32"/>
          <w:szCs w:val="32"/>
        </w:rPr>
        <w:t>。具体情况如下：</w:t>
      </w:r>
    </w:p>
    <w:p w14:paraId="7D71BC5A">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5A8996AC">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036DD578">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
          <w:sz w:val="32"/>
          <w:szCs w:val="32"/>
          <w:lang w:val="en-US" w:eastAsia="zh-CN"/>
        </w:rPr>
        <w:t>5.94</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年度减少</w:t>
      </w:r>
      <w:r>
        <w:rPr>
          <w:rFonts w:hint="eastAsia" w:ascii="仿宋_GB2312" w:eastAsia="仿宋_GB2312"/>
          <w:sz w:val="32"/>
          <w:szCs w:val="32"/>
          <w:lang w:val="en-US" w:eastAsia="zh-CN"/>
        </w:rPr>
        <w:t>1.05</w:t>
      </w:r>
      <w:r>
        <w:rPr>
          <w:rFonts w:hint="eastAsia" w:ascii="仿宋_GB2312" w:eastAsia="仿宋_GB2312"/>
          <w:sz w:val="32"/>
          <w:szCs w:val="32"/>
        </w:rPr>
        <w:t>万元，下降</w:t>
      </w:r>
      <w:r>
        <w:rPr>
          <w:rFonts w:hint="eastAsia" w:ascii="仿宋_GB2312" w:eastAsia="仿宋_GB2312"/>
          <w:sz w:val="32"/>
          <w:szCs w:val="32"/>
          <w:lang w:val="en-US" w:eastAsia="zh-CN"/>
        </w:rPr>
        <w:t>15.02</w:t>
      </w:r>
      <w:r>
        <w:rPr>
          <w:rFonts w:ascii="仿宋_GB2312" w:eastAsia="仿宋_GB2312"/>
          <w:sz w:val="32"/>
          <w:szCs w:val="32"/>
        </w:rPr>
        <w:t>%</w:t>
      </w:r>
      <w:r>
        <w:rPr>
          <w:rFonts w:hint="eastAsia" w:ascii="仿宋_GB2312" w:eastAsia="仿宋_GB2312"/>
          <w:sz w:val="32"/>
          <w:szCs w:val="32"/>
        </w:rPr>
        <w:t>。</w:t>
      </w:r>
    </w:p>
    <w:p w14:paraId="3AE22B88">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6</w:t>
      </w:r>
      <w:r>
        <w:rPr>
          <w:rFonts w:hint="eastAsia" w:ascii="仿宋_GB2312" w:eastAsia="仿宋_GB2312"/>
          <w:sz w:val="32"/>
          <w:szCs w:val="32"/>
        </w:rPr>
        <w:t>辆，其中：轿车</w:t>
      </w:r>
      <w:r>
        <w:rPr>
          <w:rFonts w:hint="eastAsia" w:ascii="仿宋_GB2312" w:eastAsia="仿宋_GB2312"/>
          <w:sz w:val="32"/>
          <w:szCs w:val="32"/>
          <w:lang w:val="en-US" w:eastAsia="zh-CN"/>
        </w:rPr>
        <w:t>4</w:t>
      </w:r>
      <w:r>
        <w:rPr>
          <w:rFonts w:hint="eastAsia" w:ascii="仿宋_GB2312" w:eastAsia="仿宋_GB2312"/>
          <w:sz w:val="32"/>
          <w:szCs w:val="32"/>
        </w:rPr>
        <w:t>辆、越野车</w:t>
      </w:r>
      <w:r>
        <w:rPr>
          <w:rFonts w:hint="eastAsia" w:ascii="仿宋_GB2312" w:eastAsia="仿宋_GB2312"/>
          <w:sz w:val="32"/>
          <w:szCs w:val="32"/>
          <w:lang w:val="en-US" w:eastAsia="zh-CN"/>
        </w:rPr>
        <w:t>2</w:t>
      </w:r>
      <w:r>
        <w:rPr>
          <w:rFonts w:hint="eastAsia" w:ascii="仿宋_GB2312" w:eastAsia="仿宋_GB2312"/>
          <w:sz w:val="32"/>
          <w:szCs w:val="32"/>
        </w:rPr>
        <w:t>辆。</w:t>
      </w:r>
    </w:p>
    <w:p w14:paraId="0ED7E313">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eastAsia="仿宋"/>
          <w:sz w:val="32"/>
          <w:szCs w:val="32"/>
          <w:lang w:val="en-US" w:eastAsia="zh-CN"/>
        </w:rPr>
        <w:t>5.94</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（具体工作）等所需的公务用车燃料费、维修费、过路过桥费、保险费等支出。</w:t>
      </w:r>
    </w:p>
    <w:p w14:paraId="07CD4A3A">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eastAsia="仿宋"/>
          <w:sz w:val="32"/>
          <w:szCs w:val="32"/>
          <w:lang w:val="en-US" w:eastAsia="zh-CN"/>
        </w:rPr>
        <w:t>0.58</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100%</w:t>
      </w:r>
      <w:r>
        <w:rPr>
          <w:rStyle w:val="18"/>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hint="eastAsia" w:ascii="仿宋_GB2312" w:eastAsia="仿宋_GB2312"/>
          <w:sz w:val="32"/>
          <w:szCs w:val="32"/>
          <w:lang w:val="en-US" w:eastAsia="zh-CN"/>
        </w:rPr>
        <w:t>0.09</w:t>
      </w:r>
      <w:r>
        <w:rPr>
          <w:rFonts w:hint="eastAsia" w:ascii="仿宋_GB2312" w:eastAsia="仿宋_GB2312"/>
          <w:sz w:val="32"/>
          <w:szCs w:val="32"/>
        </w:rPr>
        <w:t>万元，增长</w:t>
      </w:r>
      <w:r>
        <w:rPr>
          <w:rFonts w:hint="eastAsia" w:ascii="仿宋_GB2312" w:eastAsia="仿宋_GB2312"/>
          <w:sz w:val="32"/>
          <w:szCs w:val="32"/>
          <w:lang w:val="en-US" w:eastAsia="zh-CN"/>
        </w:rPr>
        <w:t>18.75</w:t>
      </w:r>
      <w:r>
        <w:rPr>
          <w:rFonts w:ascii="仿宋_GB2312" w:eastAsia="仿宋_GB2312"/>
          <w:sz w:val="32"/>
          <w:szCs w:val="32"/>
        </w:rPr>
        <w:t>%</w:t>
      </w:r>
      <w:r>
        <w:rPr>
          <w:rFonts w:hint="eastAsia" w:ascii="仿宋_GB2312" w:eastAsia="仿宋_GB2312"/>
          <w:sz w:val="32"/>
          <w:szCs w:val="32"/>
        </w:rPr>
        <w:t>。</w:t>
      </w:r>
    </w:p>
    <w:p w14:paraId="30B82DFC">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eastAsia="仿宋"/>
          <w:sz w:val="32"/>
          <w:szCs w:val="32"/>
          <w:lang w:val="en-US" w:eastAsia="zh-CN"/>
        </w:rPr>
        <w:t>0.58</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4</w:t>
      </w:r>
      <w:r>
        <w:rPr>
          <w:rFonts w:hint="eastAsia" w:ascii="仿宋_GB2312" w:eastAsia="仿宋_GB2312"/>
          <w:sz w:val="32"/>
          <w:szCs w:val="32"/>
        </w:rPr>
        <w:t>批次，</w:t>
      </w:r>
      <w:r>
        <w:rPr>
          <w:rFonts w:hint="eastAsia" w:ascii="仿宋_GB2312" w:eastAsia="仿宋_GB2312"/>
          <w:sz w:val="32"/>
          <w:szCs w:val="32"/>
          <w:lang w:val="en-US" w:eastAsia="zh-CN"/>
        </w:rPr>
        <w:t>14</w:t>
      </w:r>
      <w:r>
        <w:rPr>
          <w:rFonts w:hint="eastAsia" w:ascii="仿宋_GB2312" w:eastAsia="仿宋_GB2312"/>
          <w:sz w:val="32"/>
          <w:szCs w:val="32"/>
        </w:rPr>
        <w:t>人次（不包括陪同人员），共计支出</w:t>
      </w:r>
      <w:r>
        <w:rPr>
          <w:rFonts w:hint="eastAsia" w:eastAsia="仿宋"/>
          <w:sz w:val="32"/>
          <w:szCs w:val="32"/>
          <w:lang w:val="en-US" w:eastAsia="zh-CN"/>
        </w:rPr>
        <w:t>0.58</w:t>
      </w:r>
      <w:r>
        <w:rPr>
          <w:rFonts w:hint="eastAsia" w:ascii="仿宋_GB2312" w:eastAsia="仿宋_GB2312"/>
          <w:sz w:val="32"/>
          <w:szCs w:val="32"/>
        </w:rPr>
        <w:t>万元。</w:t>
      </w:r>
    </w:p>
    <w:p w14:paraId="3E878180">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55F53449">
      <w:pPr>
        <w:spacing w:line="600" w:lineRule="exact"/>
        <w:ind w:firstLine="640"/>
        <w:outlineLvl w:val="1"/>
        <w:rPr>
          <w:rFonts w:ascii="黑体" w:eastAsia="黑体"/>
          <w:sz w:val="32"/>
          <w:szCs w:val="32"/>
        </w:rPr>
      </w:pPr>
      <w:bookmarkStart w:id="44" w:name="_Toc15377218"/>
      <w:bookmarkStart w:id="45" w:name="_Toc15396610"/>
    </w:p>
    <w:p w14:paraId="77B0A38E">
      <w:pPr>
        <w:spacing w:line="600" w:lineRule="exact"/>
        <w:ind w:firstLine="64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4"/>
      <w:bookmarkEnd w:id="45"/>
    </w:p>
    <w:p w14:paraId="57E2AB71">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sz w:val="32"/>
          <w:szCs w:val="32"/>
        </w:rPr>
        <w:t>0</w:t>
      </w:r>
      <w:r>
        <w:rPr>
          <w:rFonts w:hint="eastAsia" w:ascii="仿宋_GB2312" w:eastAsia="仿宋_GB2312"/>
          <w:sz w:val="32"/>
          <w:szCs w:val="32"/>
        </w:rPr>
        <w:t>万元。</w:t>
      </w:r>
    </w:p>
    <w:p w14:paraId="786E9A6B">
      <w:pPr>
        <w:spacing w:line="600" w:lineRule="exact"/>
        <w:ind w:firstLine="640"/>
        <w:rPr>
          <w:rFonts w:ascii="仿宋_GB2312" w:eastAsia="仿宋_GB2312"/>
          <w:sz w:val="32"/>
          <w:szCs w:val="32"/>
        </w:rPr>
      </w:pPr>
    </w:p>
    <w:p w14:paraId="250E409D">
      <w:pPr>
        <w:numPr>
          <w:ilvl w:val="0"/>
          <w:numId w:val="4"/>
        </w:numPr>
        <w:spacing w:line="600" w:lineRule="exact"/>
        <w:ind w:firstLine="640"/>
        <w:outlineLvl w:val="1"/>
        <w:rPr>
          <w:rStyle w:val="29"/>
          <w:rFonts w:ascii="黑体" w:hAnsi="黑体" w:eastAsia="黑体"/>
          <w:b w:val="0"/>
        </w:rPr>
      </w:pPr>
      <w:bookmarkStart w:id="46" w:name="_Toc15396611"/>
      <w:bookmarkStart w:id="47" w:name="_Toc15377219"/>
      <w:r>
        <w:rPr>
          <w:rStyle w:val="29"/>
          <w:rFonts w:hint="eastAsia" w:ascii="黑体" w:hAnsi="黑体" w:eastAsia="黑体"/>
          <w:b w:val="0"/>
        </w:rPr>
        <w:t>国有资本经营预算支出决算情况说明</w:t>
      </w:r>
      <w:bookmarkEnd w:id="46"/>
      <w:bookmarkEnd w:id="47"/>
    </w:p>
    <w:p w14:paraId="546C3884">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14:paraId="4C8F77B7">
      <w:pPr>
        <w:spacing w:line="580" w:lineRule="exact"/>
        <w:jc w:val="center"/>
        <w:rPr>
          <w:rFonts w:ascii="方正小标宋简体" w:hAnsi="方正小标宋简体" w:eastAsia="方正小标宋简体" w:cs="方正小标宋简体"/>
          <w:sz w:val="44"/>
          <w:szCs w:val="44"/>
        </w:rPr>
      </w:pPr>
    </w:p>
    <w:p w14:paraId="3F014600">
      <w:pPr>
        <w:numPr>
          <w:ilvl w:val="0"/>
          <w:numId w:val="4"/>
        </w:numPr>
        <w:spacing w:line="600" w:lineRule="exact"/>
        <w:ind w:firstLine="640"/>
        <w:outlineLvl w:val="1"/>
        <w:rPr>
          <w:rStyle w:val="29"/>
          <w:rFonts w:ascii="黑体" w:hAnsi="黑体" w:eastAsia="黑体"/>
          <w:b w:val="0"/>
        </w:rPr>
      </w:pPr>
      <w:bookmarkStart w:id="48" w:name="_Toc15396612"/>
      <w:bookmarkStart w:id="49" w:name="_Toc15377221"/>
      <w:r>
        <w:rPr>
          <w:rStyle w:val="29"/>
          <w:rFonts w:hint="eastAsia" w:ascii="黑体" w:hAnsi="黑体" w:eastAsia="黑体"/>
          <w:b w:val="0"/>
        </w:rPr>
        <w:t>其他重要事项的情况说明</w:t>
      </w:r>
      <w:bookmarkEnd w:id="48"/>
      <w:bookmarkEnd w:id="49"/>
    </w:p>
    <w:p w14:paraId="7D689C06">
      <w:pPr>
        <w:spacing w:line="600" w:lineRule="exact"/>
        <w:ind w:firstLine="643" w:firstLineChars="200"/>
        <w:outlineLvl w:val="2"/>
        <w:rPr>
          <w:rFonts w:ascii="仿宋" w:hAnsi="仿宋" w:eastAsia="仿宋"/>
          <w:sz w:val="32"/>
          <w:szCs w:val="32"/>
        </w:rPr>
      </w:pPr>
      <w:bookmarkStart w:id="50" w:name="_Toc15377222"/>
      <w:r>
        <w:rPr>
          <w:rFonts w:hint="eastAsia" w:ascii="仿宋" w:hAnsi="仿宋" w:eastAsia="仿宋"/>
          <w:b/>
          <w:sz w:val="32"/>
          <w:szCs w:val="32"/>
        </w:rPr>
        <w:t>（一）机关运行经费支出情况</w:t>
      </w:r>
      <w:bookmarkEnd w:id="50"/>
    </w:p>
    <w:p w14:paraId="0BF6239F">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sz w:val="32"/>
          <w:szCs w:val="32"/>
        </w:rPr>
        <w:t>红原县住房和城乡建设局本级</w:t>
      </w:r>
      <w:r>
        <w:rPr>
          <w:rFonts w:hint="eastAsia" w:ascii="仿宋_GB2312" w:eastAsia="仿宋_GB2312"/>
          <w:sz w:val="32"/>
          <w:szCs w:val="32"/>
        </w:rPr>
        <w:t>机关运行经费支出</w:t>
      </w:r>
      <w:r>
        <w:rPr>
          <w:rFonts w:hint="eastAsia"/>
          <w:sz w:val="32"/>
          <w:szCs w:val="32"/>
        </w:rPr>
        <w:t>28</w:t>
      </w:r>
      <w:r>
        <w:rPr>
          <w:rFonts w:hint="eastAsia"/>
          <w:sz w:val="32"/>
          <w:szCs w:val="32"/>
          <w:lang w:val="en-US" w:eastAsia="zh-CN"/>
        </w:rPr>
        <w:t>.</w:t>
      </w:r>
      <w:r>
        <w:rPr>
          <w:rFonts w:hint="eastAsia"/>
          <w:sz w:val="32"/>
          <w:szCs w:val="32"/>
        </w:rPr>
        <w:t>2</w:t>
      </w:r>
      <w:r>
        <w:rPr>
          <w:rFonts w:hint="eastAsia"/>
          <w:sz w:val="32"/>
          <w:szCs w:val="32"/>
          <w:lang w:val="en-US" w:eastAsia="zh-CN"/>
        </w:rPr>
        <w:t>9</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hint="eastAsia" w:ascii="仿宋_GB2312" w:eastAsia="仿宋_GB2312"/>
          <w:sz w:val="32"/>
          <w:szCs w:val="32"/>
          <w:lang w:val="en-US" w:eastAsia="zh-CN"/>
        </w:rPr>
        <w:t>0.42</w:t>
      </w:r>
      <w:r>
        <w:rPr>
          <w:rFonts w:hint="eastAsia" w:ascii="仿宋_GB2312" w:eastAsia="仿宋_GB2312"/>
          <w:sz w:val="32"/>
          <w:szCs w:val="32"/>
        </w:rPr>
        <w:t>万元，增长</w:t>
      </w:r>
      <w:r>
        <w:rPr>
          <w:rFonts w:hint="eastAsia" w:ascii="仿宋_GB2312" w:eastAsia="仿宋_GB2312"/>
          <w:sz w:val="32"/>
          <w:szCs w:val="32"/>
          <w:lang w:val="en-US" w:eastAsia="zh-CN"/>
        </w:rPr>
        <w:t>1.51</w:t>
      </w:r>
      <w:r>
        <w:rPr>
          <w:rFonts w:ascii="仿宋_GB2312" w:eastAsia="仿宋_GB2312"/>
          <w:sz w:val="32"/>
          <w:szCs w:val="32"/>
        </w:rPr>
        <w:t>%</w:t>
      </w:r>
      <w:r>
        <w:rPr>
          <w:rFonts w:hint="eastAsia" w:ascii="仿宋_GB2312" w:eastAsia="仿宋_GB2312"/>
          <w:sz w:val="32"/>
          <w:szCs w:val="32"/>
        </w:rPr>
        <w:t>。</w:t>
      </w:r>
    </w:p>
    <w:p w14:paraId="45693417">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6C79DD6A">
      <w:pPr>
        <w:autoSpaceDE w:val="0"/>
        <w:autoSpaceDN w:val="0"/>
        <w:adjustRightInd w:val="0"/>
        <w:spacing w:line="600" w:lineRule="exact"/>
        <w:ind w:firstLine="643" w:firstLineChars="200"/>
        <w:jc w:val="left"/>
        <w:outlineLvl w:val="2"/>
        <w:rPr>
          <w:rFonts w:ascii="仿宋" w:hAnsi="仿宋" w:eastAsia="仿宋"/>
          <w:b/>
          <w:sz w:val="32"/>
          <w:szCs w:val="32"/>
        </w:rPr>
      </w:pPr>
      <w:bookmarkStart w:id="51" w:name="_Toc15377223"/>
      <w:r>
        <w:rPr>
          <w:rFonts w:hint="eastAsia" w:ascii="仿宋" w:hAnsi="仿宋" w:eastAsia="仿宋"/>
          <w:b/>
          <w:sz w:val="32"/>
          <w:szCs w:val="32"/>
        </w:rPr>
        <w:t>（二）政府采购支出情况</w:t>
      </w:r>
      <w:bookmarkEnd w:id="51"/>
    </w:p>
    <w:p w14:paraId="2E0243DD">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sz w:val="32"/>
          <w:szCs w:val="32"/>
        </w:rPr>
        <w:t>红原县住房和城乡建设局本级</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41F9A4AD">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0BD2B037">
      <w:pPr>
        <w:autoSpaceDE w:val="0"/>
        <w:autoSpaceDN w:val="0"/>
        <w:adjustRightInd w:val="0"/>
        <w:spacing w:line="600" w:lineRule="exact"/>
        <w:ind w:firstLine="643" w:firstLineChars="200"/>
        <w:jc w:val="left"/>
        <w:outlineLvl w:val="2"/>
        <w:rPr>
          <w:rFonts w:ascii="仿宋" w:hAnsi="仿宋" w:eastAsia="仿宋"/>
          <w:b/>
          <w:sz w:val="32"/>
          <w:szCs w:val="32"/>
        </w:rPr>
      </w:pPr>
      <w:bookmarkStart w:id="52" w:name="_Toc15377224"/>
      <w:r>
        <w:rPr>
          <w:rFonts w:hint="eastAsia" w:ascii="仿宋" w:hAnsi="仿宋" w:eastAsia="仿宋"/>
          <w:b/>
          <w:sz w:val="32"/>
          <w:szCs w:val="32"/>
        </w:rPr>
        <w:t>（三）国有资产占有使用情况</w:t>
      </w:r>
      <w:bookmarkEnd w:id="52"/>
    </w:p>
    <w:p w14:paraId="1F23A8F1">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红原县住房和城乡建设局本级</w:t>
      </w:r>
      <w:r>
        <w:rPr>
          <w:rFonts w:hint="eastAsia" w:ascii="仿宋_GB2312" w:eastAsia="仿宋_GB2312"/>
          <w:sz w:val="32"/>
          <w:szCs w:val="32"/>
        </w:rPr>
        <w:t>共有车辆</w:t>
      </w:r>
      <w:r>
        <w:rPr>
          <w:rFonts w:hint="eastAsia" w:ascii="仿宋_GB2312" w:eastAsia="仿宋_GB2312"/>
          <w:sz w:val="32"/>
          <w:szCs w:val="32"/>
          <w:lang w:val="en-US" w:eastAsia="zh-CN"/>
        </w:rPr>
        <w:t>6</w:t>
      </w:r>
      <w:r>
        <w:rPr>
          <w:rFonts w:hint="eastAsia" w:ascii="仿宋_GB2312" w:eastAsia="仿宋_GB2312"/>
          <w:sz w:val="32"/>
          <w:szCs w:val="32"/>
        </w:rPr>
        <w:t>辆，其中：应急保障用车</w:t>
      </w:r>
      <w:r>
        <w:rPr>
          <w:rFonts w:hint="eastAsia" w:ascii="仿宋_GB2312" w:eastAsia="仿宋_GB2312"/>
          <w:sz w:val="32"/>
          <w:szCs w:val="32"/>
          <w:lang w:val="en-US" w:eastAsia="zh-CN"/>
        </w:rPr>
        <w:t>2</w:t>
      </w:r>
      <w:r>
        <w:rPr>
          <w:rFonts w:hint="eastAsia" w:ascii="仿宋_GB2312" w:eastAsia="仿宋_GB2312"/>
          <w:sz w:val="32"/>
          <w:szCs w:val="32"/>
        </w:rPr>
        <w:t>辆、</w:t>
      </w:r>
      <w:r>
        <w:rPr>
          <w:rFonts w:hint="eastAsia" w:ascii="仿宋_GB2312" w:eastAsia="仿宋_GB2312"/>
          <w:sz w:val="32"/>
          <w:szCs w:val="32"/>
          <w:lang w:val="en-US" w:eastAsia="zh-CN"/>
        </w:rPr>
        <w:t>执法</w:t>
      </w:r>
      <w:r>
        <w:rPr>
          <w:rFonts w:hint="eastAsia" w:ascii="仿宋_GB2312" w:eastAsia="仿宋_GB2312"/>
          <w:sz w:val="32"/>
          <w:szCs w:val="32"/>
        </w:rPr>
        <w:t>用车</w:t>
      </w:r>
      <w:r>
        <w:rPr>
          <w:rFonts w:hint="eastAsia" w:ascii="仿宋_GB2312" w:eastAsia="仿宋_GB2312"/>
          <w:sz w:val="32"/>
          <w:szCs w:val="32"/>
          <w:lang w:val="en-US" w:eastAsia="zh-CN"/>
        </w:rPr>
        <w:t>4</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1CFCEE64">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0AD52EB3">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3F39D1F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年度预算编制阶段，组织对红原县黄河流域垃圾焚烧飞灰固化填埋场建设项目项目（项目名称）</w:t>
      </w:r>
      <w:r>
        <w:rPr>
          <w:rFonts w:hint="eastAsia" w:ascii="仿宋_GB2312" w:hAnsi="仿宋_GB2312" w:eastAsia="仿宋_GB2312" w:cs="仿宋_GB2312"/>
          <w:sz w:val="32"/>
          <w:szCs w:val="32"/>
          <w:lang w:val="en-US" w:eastAsia="zh-CN"/>
        </w:rPr>
        <w:t>等4个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个项目开展绩效监控。</w:t>
      </w:r>
    </w:p>
    <w:p w14:paraId="41A79C1F">
      <w:pPr>
        <w:pStyle w:val="3"/>
        <w:jc w:val="center"/>
      </w:pPr>
      <w:r>
        <w:rPr>
          <w:rFonts w:hint="eastAsia"/>
        </w:rPr>
        <w:t>第三部分 名词解释</w:t>
      </w:r>
    </w:p>
    <w:p w14:paraId="62AE996F"/>
    <w:p w14:paraId="7E0BF669">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15D46238">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14:paraId="30133F57">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1332BC3D">
      <w:pPr>
        <w:ind w:firstLine="640" w:firstLineChars="200"/>
        <w:rPr>
          <w:rFonts w:hint="eastAsia" w:ascii="仿宋_GB2312" w:eastAsia="仿宋_GB2312"/>
          <w:sz w:val="32"/>
          <w:szCs w:val="32"/>
        </w:rPr>
      </w:pPr>
      <w:r>
        <w:rPr>
          <w:rFonts w:hint="eastAsia" w:ascii="仿宋_GB2312" w:eastAsia="仿宋_GB2312"/>
          <w:sz w:val="32"/>
          <w:szCs w:val="32"/>
        </w:rPr>
        <w:t>4.其他收入：指单位取得的除上述收入以外的各项收入。</w:t>
      </w:r>
    </w:p>
    <w:p w14:paraId="54769ED8">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14:paraId="24AD910E">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3D12B09F">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0B7515F3">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53124EE2">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.基本支出：指为保障机构正常运转、完成日常工作任务而发生的人员支出和公用支出。</w:t>
      </w:r>
    </w:p>
    <w:p w14:paraId="39AA7FAB">
      <w:pPr>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 xml:space="preserve">.项目支出：指在基本支出之外为完成特定行政任务和事业发展目标所发生的支出。 </w:t>
      </w:r>
    </w:p>
    <w:p w14:paraId="18CA3D41">
      <w:pPr>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.经营支出：指事业单位在专业业务活动及其辅助活动之外开展非独立核算经营活动发生的支出。</w:t>
      </w:r>
    </w:p>
    <w:p w14:paraId="65DF64C6">
      <w:pPr>
        <w:ind w:firstLine="640" w:firstLineChars="200"/>
        <w:rPr>
          <w:rFonts w:ascii="仿宋_GB2312" w:eastAsia="仿宋_GB2312"/>
          <w:sz w:val="32"/>
          <w:szCs w:val="32"/>
        </w:rPr>
      </w:pPr>
      <w:r>
        <w:rPr>
          <w:rFonts w:hint="eastAsia" w:ascii="仿宋_GB2312" w:eastAsia="仿宋_GB2312"/>
          <w:sz w:val="32"/>
          <w:szCs w:val="32"/>
          <w:lang w:val="en-US" w:eastAsia="zh-CN"/>
        </w:rPr>
        <w:t>12</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29D2B07">
      <w:pPr>
        <w:ind w:firstLine="640" w:firstLineChars="200"/>
        <w:rPr>
          <w:rFonts w:ascii="仿宋_GB2312" w:eastAsia="仿宋_GB2312"/>
          <w:sz w:val="32"/>
          <w:szCs w:val="32"/>
        </w:rPr>
      </w:pPr>
      <w:r>
        <w:rPr>
          <w:rFonts w:hint="eastAsia" w:ascii="仿宋_GB2312" w:eastAsia="仿宋_GB2312"/>
          <w:sz w:val="32"/>
          <w:szCs w:val="32"/>
          <w:lang w:val="en-US" w:eastAsia="zh-CN"/>
        </w:rPr>
        <w:t>13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A7B846E">
      <w:pPr>
        <w:ind w:firstLine="643" w:firstLineChars="200"/>
        <w:rPr>
          <w:rFonts w:ascii="仿宋" w:hAnsi="仿宋" w:eastAsia="仿宋"/>
          <w:b/>
          <w:sz w:val="32"/>
          <w:szCs w:val="32"/>
        </w:rPr>
      </w:pPr>
      <w:r>
        <w:rPr>
          <w:rFonts w:ascii="仿宋" w:hAnsi="仿宋" w:eastAsia="仿宋"/>
          <w:b/>
          <w:sz w:val="32"/>
          <w:szCs w:val="32"/>
        </w:rPr>
        <w:br w:type="page"/>
      </w:r>
    </w:p>
    <w:p w14:paraId="48E9574C">
      <w:pPr>
        <w:pStyle w:val="3"/>
        <w:jc w:val="center"/>
        <w:rPr>
          <w:rFonts w:ascii="黑体" w:hAnsi="黑体" w:eastAsia="黑体"/>
        </w:rPr>
      </w:pPr>
      <w:r>
        <w:rPr>
          <w:rFonts w:hint="eastAsia" w:ascii="黑体" w:hAnsi="黑体" w:eastAsia="黑体"/>
        </w:rPr>
        <w:t>第</w:t>
      </w:r>
      <w:r>
        <w:rPr>
          <w:rFonts w:hint="eastAsia" w:ascii="黑体" w:hAnsi="黑体" w:eastAsia="黑体"/>
          <w:lang w:val="en-US" w:eastAsia="zh-CN"/>
        </w:rPr>
        <w:t>四</w:t>
      </w:r>
      <w:r>
        <w:rPr>
          <w:rFonts w:hint="eastAsia" w:ascii="黑体" w:hAnsi="黑体" w:eastAsia="黑体"/>
        </w:rPr>
        <w:t>部分 附表</w:t>
      </w:r>
    </w:p>
    <w:p w14:paraId="7565F29C">
      <w:pPr>
        <w:rPr>
          <w:rFonts w:ascii="仿宋" w:hAnsi="仿宋" w:eastAsia="仿宋"/>
          <w:sz w:val="32"/>
          <w:szCs w:val="32"/>
        </w:rPr>
      </w:pPr>
      <w:r>
        <w:rPr>
          <w:rFonts w:hint="eastAsia" w:ascii="仿宋" w:hAnsi="仿宋" w:eastAsia="仿宋"/>
          <w:sz w:val="32"/>
          <w:szCs w:val="32"/>
        </w:rPr>
        <w:t>一、收入支出决算总表</w:t>
      </w:r>
    </w:p>
    <w:p w14:paraId="7956734B">
      <w:pPr>
        <w:rPr>
          <w:rFonts w:ascii="仿宋" w:hAnsi="仿宋" w:eastAsia="仿宋"/>
          <w:sz w:val="32"/>
          <w:szCs w:val="32"/>
        </w:rPr>
      </w:pPr>
      <w:r>
        <w:rPr>
          <w:rFonts w:hint="eastAsia" w:ascii="仿宋" w:hAnsi="仿宋" w:eastAsia="仿宋"/>
          <w:sz w:val="32"/>
          <w:szCs w:val="32"/>
        </w:rPr>
        <w:t>二、收入决算表</w:t>
      </w:r>
    </w:p>
    <w:p w14:paraId="3D494A76">
      <w:pPr>
        <w:rPr>
          <w:rFonts w:ascii="仿宋" w:hAnsi="仿宋" w:eastAsia="仿宋"/>
          <w:sz w:val="32"/>
          <w:szCs w:val="32"/>
        </w:rPr>
      </w:pPr>
      <w:r>
        <w:rPr>
          <w:rFonts w:hint="eastAsia" w:ascii="仿宋" w:hAnsi="仿宋" w:eastAsia="仿宋"/>
          <w:sz w:val="32"/>
          <w:szCs w:val="32"/>
        </w:rPr>
        <w:t>三、支出决算表</w:t>
      </w:r>
    </w:p>
    <w:p w14:paraId="7B01F2F4">
      <w:pPr>
        <w:rPr>
          <w:rFonts w:ascii="仿宋" w:hAnsi="仿宋" w:eastAsia="仿宋"/>
          <w:sz w:val="32"/>
          <w:szCs w:val="32"/>
        </w:rPr>
      </w:pPr>
      <w:r>
        <w:rPr>
          <w:rFonts w:hint="eastAsia" w:ascii="仿宋" w:hAnsi="仿宋" w:eastAsia="仿宋"/>
          <w:sz w:val="32"/>
          <w:szCs w:val="32"/>
        </w:rPr>
        <w:t>四、财政拨款收入支出决算总表</w:t>
      </w:r>
    </w:p>
    <w:p w14:paraId="5B6C051E">
      <w:pPr>
        <w:rPr>
          <w:rFonts w:ascii="仿宋" w:hAnsi="仿宋" w:eastAsia="仿宋"/>
          <w:sz w:val="32"/>
          <w:szCs w:val="32"/>
        </w:rPr>
      </w:pPr>
      <w:r>
        <w:rPr>
          <w:rFonts w:hint="eastAsia" w:ascii="仿宋" w:hAnsi="仿宋" w:eastAsia="仿宋"/>
          <w:sz w:val="32"/>
          <w:szCs w:val="32"/>
        </w:rPr>
        <w:t>五、财政拨款支出决算明细表</w:t>
      </w:r>
    </w:p>
    <w:p w14:paraId="776FCD2E">
      <w:pPr>
        <w:rPr>
          <w:rFonts w:ascii="仿宋" w:hAnsi="仿宋" w:eastAsia="仿宋"/>
          <w:sz w:val="32"/>
          <w:szCs w:val="32"/>
        </w:rPr>
      </w:pPr>
      <w:r>
        <w:rPr>
          <w:rFonts w:hint="eastAsia" w:ascii="仿宋" w:hAnsi="仿宋" w:eastAsia="仿宋"/>
          <w:sz w:val="32"/>
          <w:szCs w:val="32"/>
        </w:rPr>
        <w:t>六、一般公共预算财政拨款支出决算表</w:t>
      </w:r>
    </w:p>
    <w:p w14:paraId="1E32334A">
      <w:pPr>
        <w:rPr>
          <w:rFonts w:ascii="仿宋" w:hAnsi="仿宋" w:eastAsia="仿宋"/>
          <w:sz w:val="32"/>
          <w:szCs w:val="32"/>
        </w:rPr>
      </w:pPr>
      <w:r>
        <w:rPr>
          <w:rFonts w:hint="eastAsia" w:ascii="仿宋" w:hAnsi="仿宋" w:eastAsia="仿宋"/>
          <w:sz w:val="32"/>
          <w:szCs w:val="32"/>
        </w:rPr>
        <w:t>七、一般公共预算财政拨款支出决算明细表</w:t>
      </w:r>
    </w:p>
    <w:p w14:paraId="10806302">
      <w:pPr>
        <w:rPr>
          <w:rFonts w:ascii="仿宋" w:hAnsi="仿宋" w:eastAsia="仿宋"/>
          <w:sz w:val="32"/>
          <w:szCs w:val="32"/>
        </w:rPr>
      </w:pPr>
      <w:r>
        <w:rPr>
          <w:rFonts w:hint="eastAsia" w:ascii="仿宋" w:hAnsi="仿宋" w:eastAsia="仿宋"/>
          <w:sz w:val="32"/>
          <w:szCs w:val="32"/>
        </w:rPr>
        <w:t>八、一般公共预算财政拨款基本支出决算表</w:t>
      </w:r>
    </w:p>
    <w:p w14:paraId="0EDA2B45">
      <w:pPr>
        <w:rPr>
          <w:rFonts w:ascii="仿宋" w:hAnsi="仿宋" w:eastAsia="仿宋"/>
          <w:sz w:val="32"/>
          <w:szCs w:val="32"/>
        </w:rPr>
      </w:pPr>
      <w:r>
        <w:rPr>
          <w:rFonts w:hint="eastAsia" w:ascii="仿宋" w:hAnsi="仿宋" w:eastAsia="仿宋"/>
          <w:sz w:val="32"/>
          <w:szCs w:val="32"/>
        </w:rPr>
        <w:t>九、一般公共预算财政拨款项目支出决算表</w:t>
      </w:r>
    </w:p>
    <w:p w14:paraId="4E451EF3">
      <w:pPr>
        <w:rPr>
          <w:rFonts w:ascii="仿宋" w:hAnsi="仿宋" w:eastAsia="仿宋"/>
          <w:sz w:val="32"/>
          <w:szCs w:val="32"/>
        </w:rPr>
      </w:pPr>
      <w:r>
        <w:rPr>
          <w:rFonts w:hint="eastAsia" w:ascii="仿宋" w:hAnsi="仿宋" w:eastAsia="仿宋"/>
          <w:sz w:val="32"/>
          <w:szCs w:val="32"/>
        </w:rPr>
        <w:t>十、政府性基金预算财政拨款收入支出决算表</w:t>
      </w:r>
    </w:p>
    <w:p w14:paraId="2E8A9B29">
      <w:pPr>
        <w:rPr>
          <w:rFonts w:ascii="仿宋" w:hAnsi="仿宋" w:eastAsia="仿宋"/>
          <w:sz w:val="32"/>
          <w:szCs w:val="32"/>
        </w:rPr>
      </w:pPr>
      <w:r>
        <w:rPr>
          <w:rFonts w:hint="eastAsia" w:ascii="仿宋" w:hAnsi="仿宋" w:eastAsia="仿宋"/>
          <w:sz w:val="32"/>
          <w:szCs w:val="32"/>
        </w:rPr>
        <w:t>十一、国有资本经营预算财政拨款收入支出决算表</w:t>
      </w:r>
    </w:p>
    <w:p w14:paraId="12D38DE0">
      <w:pPr>
        <w:rPr>
          <w:rFonts w:ascii="仿宋" w:hAnsi="仿宋" w:eastAsia="仿宋"/>
          <w:sz w:val="32"/>
          <w:szCs w:val="32"/>
        </w:rPr>
      </w:pPr>
      <w:r>
        <w:rPr>
          <w:rFonts w:hint="eastAsia" w:ascii="仿宋" w:hAnsi="仿宋" w:eastAsia="仿宋"/>
          <w:sz w:val="32"/>
          <w:szCs w:val="32"/>
        </w:rPr>
        <w:t>十二、国有资本经营预算财政拨款支出决算表</w:t>
      </w:r>
    </w:p>
    <w:p w14:paraId="7B885A30">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2491465B">
        <w:pPr>
          <w:pStyle w:val="10"/>
          <w:jc w:val="center"/>
        </w:pPr>
        <w:r>
          <w:fldChar w:fldCharType="begin"/>
        </w:r>
        <w:r>
          <w:instrText xml:space="preserve">PAGE   \* MERGEFORMAT</w:instrText>
        </w:r>
        <w:r>
          <w:fldChar w:fldCharType="separate"/>
        </w:r>
        <w:r>
          <w:rPr>
            <w:lang w:val="zh-CN"/>
          </w:rPr>
          <w:t>23</w:t>
        </w:r>
        <w:r>
          <w:fldChar w:fldCharType="end"/>
        </w:r>
      </w:p>
    </w:sdtContent>
  </w:sdt>
  <w:p w14:paraId="7407D682">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EFAE7">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A9EA867"/>
    <w:multiLevelType w:val="singleLevel"/>
    <w:tmpl w:val="4A9EA867"/>
    <w:lvl w:ilvl="0" w:tentative="0">
      <w:start w:val="1"/>
      <w:numFmt w:val="chineseCounting"/>
      <w:suff w:val="nothing"/>
      <w:lvlText w:val="%1、"/>
      <w:lvlJc w:val="left"/>
      <w:rPr>
        <w:rFonts w:hint="eastAsia"/>
      </w:r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0C4B30"/>
    <w:rsid w:val="036F8141"/>
    <w:rsid w:val="056F72B2"/>
    <w:rsid w:val="066E0107"/>
    <w:rsid w:val="078C2F68"/>
    <w:rsid w:val="07996F6E"/>
    <w:rsid w:val="07DFD8BA"/>
    <w:rsid w:val="0A2032A3"/>
    <w:rsid w:val="0D35B1ED"/>
    <w:rsid w:val="0E7ED1F5"/>
    <w:rsid w:val="0F98263C"/>
    <w:rsid w:val="101860EC"/>
    <w:rsid w:val="10C055FF"/>
    <w:rsid w:val="118107EC"/>
    <w:rsid w:val="13D50BC4"/>
    <w:rsid w:val="13F5616D"/>
    <w:rsid w:val="158944F4"/>
    <w:rsid w:val="16BB723D"/>
    <w:rsid w:val="17F9714D"/>
    <w:rsid w:val="1918F934"/>
    <w:rsid w:val="1BE8440E"/>
    <w:rsid w:val="1C166655"/>
    <w:rsid w:val="1D155CEE"/>
    <w:rsid w:val="1DFBC4B3"/>
    <w:rsid w:val="1E704B2F"/>
    <w:rsid w:val="1E740ACF"/>
    <w:rsid w:val="1F19C781"/>
    <w:rsid w:val="1F33FCE5"/>
    <w:rsid w:val="1F7F7398"/>
    <w:rsid w:val="1FD2DB6F"/>
    <w:rsid w:val="1FF35744"/>
    <w:rsid w:val="1FF6BC77"/>
    <w:rsid w:val="1FF9236D"/>
    <w:rsid w:val="2333840E"/>
    <w:rsid w:val="23860B96"/>
    <w:rsid w:val="240371BF"/>
    <w:rsid w:val="257C638F"/>
    <w:rsid w:val="28E1787C"/>
    <w:rsid w:val="29FD04D3"/>
    <w:rsid w:val="2BFF7BC6"/>
    <w:rsid w:val="2C8A61B5"/>
    <w:rsid w:val="2CD59C95"/>
    <w:rsid w:val="2DF04E50"/>
    <w:rsid w:val="2EFD05E5"/>
    <w:rsid w:val="2F040D46"/>
    <w:rsid w:val="2F4F95CE"/>
    <w:rsid w:val="2FACAFDD"/>
    <w:rsid w:val="2FAE5751"/>
    <w:rsid w:val="2FB1A395"/>
    <w:rsid w:val="2FCF0B76"/>
    <w:rsid w:val="2FD9A7D8"/>
    <w:rsid w:val="319F7F4E"/>
    <w:rsid w:val="3304709D"/>
    <w:rsid w:val="358F4C83"/>
    <w:rsid w:val="36AA5135"/>
    <w:rsid w:val="36BE0DA7"/>
    <w:rsid w:val="36F97700"/>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AD542A"/>
    <w:rsid w:val="3EEE77E9"/>
    <w:rsid w:val="3F394AF5"/>
    <w:rsid w:val="3FBE5714"/>
    <w:rsid w:val="3FDD8615"/>
    <w:rsid w:val="3FDFB2FF"/>
    <w:rsid w:val="3FF4CAE0"/>
    <w:rsid w:val="3FF75FAF"/>
    <w:rsid w:val="3FF7B227"/>
    <w:rsid w:val="40DA6FCE"/>
    <w:rsid w:val="42FA5E42"/>
    <w:rsid w:val="44E268DA"/>
    <w:rsid w:val="457F4F6B"/>
    <w:rsid w:val="45C22A78"/>
    <w:rsid w:val="4737FB58"/>
    <w:rsid w:val="47ECCB02"/>
    <w:rsid w:val="47FA6A3F"/>
    <w:rsid w:val="49D7AE48"/>
    <w:rsid w:val="4A3F6C7E"/>
    <w:rsid w:val="4A627F82"/>
    <w:rsid w:val="4B0E749A"/>
    <w:rsid w:val="4B382A3B"/>
    <w:rsid w:val="4B4F25DA"/>
    <w:rsid w:val="4BBB4781"/>
    <w:rsid w:val="4BD709A5"/>
    <w:rsid w:val="4BDD9BFF"/>
    <w:rsid w:val="4BE068DB"/>
    <w:rsid w:val="4D577224"/>
    <w:rsid w:val="4DBF1CEB"/>
    <w:rsid w:val="4DBF6A6B"/>
    <w:rsid w:val="4DF6A672"/>
    <w:rsid w:val="4E077AA1"/>
    <w:rsid w:val="4EAB630A"/>
    <w:rsid w:val="4ECE2238"/>
    <w:rsid w:val="4F7EA413"/>
    <w:rsid w:val="4FA0776F"/>
    <w:rsid w:val="4FAB812F"/>
    <w:rsid w:val="4FE9BD67"/>
    <w:rsid w:val="4FEE4C07"/>
    <w:rsid w:val="4FFB052F"/>
    <w:rsid w:val="537E6D0A"/>
    <w:rsid w:val="53AB6B88"/>
    <w:rsid w:val="53F74C96"/>
    <w:rsid w:val="545B7233"/>
    <w:rsid w:val="5583522D"/>
    <w:rsid w:val="571D387C"/>
    <w:rsid w:val="5721105B"/>
    <w:rsid w:val="57BD3DD4"/>
    <w:rsid w:val="57F9CD1E"/>
    <w:rsid w:val="5A4A2677"/>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78736B"/>
    <w:rsid w:val="61CA71D5"/>
    <w:rsid w:val="627EE9EA"/>
    <w:rsid w:val="63B23AA5"/>
    <w:rsid w:val="647F5392"/>
    <w:rsid w:val="64E322C4"/>
    <w:rsid w:val="65FB93B9"/>
    <w:rsid w:val="6633C463"/>
    <w:rsid w:val="667B3DA7"/>
    <w:rsid w:val="67D55B77"/>
    <w:rsid w:val="67EE7F84"/>
    <w:rsid w:val="686F5F53"/>
    <w:rsid w:val="6AFFCEAF"/>
    <w:rsid w:val="6B96E9E6"/>
    <w:rsid w:val="6BCE57B5"/>
    <w:rsid w:val="6BFEA4DB"/>
    <w:rsid w:val="6BFFB662"/>
    <w:rsid w:val="6C4A05C8"/>
    <w:rsid w:val="6CFF4FB8"/>
    <w:rsid w:val="6D6BD6E0"/>
    <w:rsid w:val="6D77E73C"/>
    <w:rsid w:val="6DBF5E93"/>
    <w:rsid w:val="6DF66946"/>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36FAC"/>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C1128"/>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spacing w:before="100" w:beforeAutospacing="1" w:after="100" w:afterAutospacing="1"/>
    </w:p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7"/>
    <w:link w:val="3"/>
    <w:qFormat/>
    <w:uiPriority w:val="9"/>
    <w:rPr>
      <w:rFonts w:ascii="Times New Roman" w:hAnsi="Times New Roman"/>
      <w:b/>
      <w:bCs/>
      <w:kern w:val="44"/>
      <w:sz w:val="44"/>
      <w:szCs w:val="44"/>
    </w:rPr>
  </w:style>
  <w:style w:type="character" w:customStyle="1" w:styleId="29">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7"/>
    <w:link w:val="9"/>
    <w:semiHidden/>
    <w:qFormat/>
    <w:uiPriority w:val="99"/>
    <w:rPr>
      <w:rFonts w:ascii="Times New Roman" w:hAnsi="Times New Roman"/>
      <w:kern w:val="2"/>
      <w:sz w:val="18"/>
      <w:szCs w:val="18"/>
    </w:rPr>
  </w:style>
  <w:style w:type="character" w:customStyle="1" w:styleId="32">
    <w:name w:val="标题 3 字符"/>
    <w:basedOn w:val="17"/>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收支总计对比图     单位：万元</a:t>
            </a:r>
          </a:p>
        </c:rich>
      </c:tx>
      <c:layout>
        <c:manualLayout>
          <c:xMode val="edge"/>
          <c:yMode val="edge"/>
          <c:x val="0.309712988487109"/>
          <c:y val="0.00825763831544178"/>
        </c:manualLayout>
      </c:layout>
      <c:overlay val="0"/>
      <c:spPr>
        <a:noFill/>
        <a:ln>
          <a:noFill/>
        </a:ln>
        <a:effectLst/>
      </c:spPr>
    </c:title>
    <c:autoTitleDeleted val="0"/>
    <c:plotArea>
      <c:layout>
        <c:manualLayout>
          <c:layoutTarget val="inner"/>
          <c:xMode val="edge"/>
          <c:yMode val="edge"/>
          <c:x val="0.0993402378780919"/>
          <c:y val="0.181830476174692"/>
          <c:w val="0.880573895378365"/>
          <c:h val="0.682259488084731"/>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Sheet1!$B$2</c:f>
              <c:numCache>
                <c:formatCode>General</c:formatCode>
                <c:ptCount val="1"/>
                <c:pt idx="0">
                  <c:v>17406.89</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Sheet1!$C$2</c:f>
              <c:numCache>
                <c:formatCode>General</c:formatCode>
                <c:ptCount val="1"/>
                <c:pt idx="0">
                  <c:v>13522.38</c:v>
                </c:pt>
              </c:numCache>
            </c:numRef>
          </c:val>
        </c:ser>
        <c:dLbls>
          <c:showLegendKey val="0"/>
          <c:showVal val="0"/>
          <c:showCatName val="0"/>
          <c:showSerName val="0"/>
          <c:showPercent val="0"/>
          <c:showBubbleSize val="0"/>
        </c:dLbls>
        <c:gapWidth val="219"/>
        <c:overlap val="-27"/>
        <c:axId val="777945126"/>
        <c:axId val="726580040"/>
      </c:barChart>
      <c:catAx>
        <c:axId val="777945126"/>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6580040"/>
        <c:crosses val="autoZero"/>
        <c:auto val="1"/>
        <c:lblAlgn val="ctr"/>
        <c:lblOffset val="100"/>
        <c:noMultiLvlLbl val="0"/>
      </c:catAx>
      <c:valAx>
        <c:axId val="726580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7945126"/>
        <c:crosses val="autoZero"/>
        <c:crossBetween val="between"/>
      </c:valAx>
      <c:spPr>
        <a:noFill/>
        <a:ln>
          <a:noFill/>
        </a:ln>
        <a:effectLst/>
      </c:spPr>
    </c:plotArea>
    <c:legend>
      <c:legendPos val="b"/>
      <c:layout>
        <c:manualLayout>
          <c:xMode val="edge"/>
          <c:yMode val="edge"/>
          <c:x val="0.396076688674454"/>
          <c:y val="0.8875299122573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0e9c459-087e-4fad-a23c-476a76eb304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支出对比图      单位：万元</a:t>
            </a:r>
          </a:p>
        </c:rich>
      </c:tx>
      <c:layout>
        <c:manualLayout>
          <c:xMode val="edge"/>
          <c:yMode val="edge"/>
          <c:x val="0.356747897097995"/>
          <c:y val="0.0371942500414164"/>
        </c:manualLayout>
      </c:layout>
      <c:overlay val="0"/>
      <c:spPr>
        <a:noFill/>
        <a:ln>
          <a:noFill/>
        </a:ln>
        <a:effectLst/>
      </c:spPr>
    </c:title>
    <c:autoTitleDeleted val="0"/>
    <c:plotArea>
      <c:layout/>
      <c:pieChart>
        <c:varyColors val="1"/>
        <c:ser>
          <c:idx val="0"/>
          <c:order val="0"/>
          <c:tx>
            <c:strRef>
              <c:f>Sheet1!$B$1</c:f>
              <c:strCache>
                <c:ptCount val="1"/>
                <c:pt idx="0">
                  <c:v>支出对比图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其他收入</c:v>
                </c:pt>
                <c:pt idx="1">
                  <c:v>一般公共预算财政拨款收入</c:v>
                </c:pt>
              </c:strCache>
            </c:strRef>
          </c:cat>
          <c:val>
            <c:numRef>
              <c:f>Sheet1!$B$2:$B$3</c:f>
              <c:numCache>
                <c:formatCode>General</c:formatCode>
                <c:ptCount val="2"/>
                <c:pt idx="0">
                  <c:v>0</c:v>
                </c:pt>
                <c:pt idx="1" c:formatCode="#,##0.00">
                  <c:v>13522.38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79d4811-fb08-4141-a10f-5df4b480c0f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支出对比图      单位：万元</a:t>
            </a:r>
          </a:p>
        </c:rich>
      </c:tx>
      <c:layout>
        <c:manualLayout>
          <c:xMode val="edge"/>
          <c:yMode val="edge"/>
          <c:x val="0.356747897097995"/>
          <c:y val="0.0371942500414164"/>
        </c:manualLayout>
      </c:layout>
      <c:overlay val="0"/>
      <c:spPr>
        <a:noFill/>
        <a:ln>
          <a:noFill/>
        </a:ln>
        <a:effectLst/>
      </c:spPr>
    </c:title>
    <c:autoTitleDeleted val="0"/>
    <c:plotArea>
      <c:layout/>
      <c:pieChart>
        <c:varyColors val="1"/>
        <c:ser>
          <c:idx val="0"/>
          <c:order val="0"/>
          <c:tx>
            <c:strRef>
              <c:f>Sheet1!$B$1</c:f>
              <c:strCache>
                <c:ptCount val="1"/>
                <c:pt idx="0">
                  <c:v>支出对比图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931.62</c:v>
                </c:pt>
                <c:pt idx="1" c:formatCode="#,##0.00">
                  <c:v>12577.76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dc62995-a31c-49af-8042-1ad86f17121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财政拨款收、支对比图          单位：万元</a:t>
            </a:r>
          </a:p>
        </c:rich>
      </c:tx>
      <c:layout>
        <c:manualLayout>
          <c:xMode val="edge"/>
          <c:yMode val="edge"/>
          <c:x val="0.219598702630051"/>
          <c:y val="0.0210298691125515"/>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收支总计对比图</c:v>
                </c:pt>
              </c:strCache>
            </c:strRef>
          </c:tx>
          <c:spPr>
            <a:solidFill>
              <a:schemeClr val="accent1"/>
            </a:solidFill>
            <a:ln>
              <a:noFill/>
            </a:ln>
            <a:effectLst/>
          </c:spPr>
          <c:invertIfNegative val="0"/>
          <c:dPt>
            <c:idx val="1"/>
            <c:invertIfNegative val="0"/>
            <c:bubble3D val="0"/>
            <c:spPr>
              <a:solidFill>
                <a:srgbClr val="C00000"/>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2023年财政拨款收、支总计</c:v>
                </c:pt>
                <c:pt idx="1">
                  <c:v>2024年相比，财政拨款收、支总计</c:v>
                </c:pt>
              </c:strCache>
            </c:strRef>
          </c:cat>
          <c:val>
            <c:numRef>
              <c:f>Sheet1!$B$2:$B$3</c:f>
              <c:numCache>
                <c:formatCode>#,##0.00</c:formatCode>
                <c:ptCount val="2"/>
                <c:pt idx="0">
                  <c:v>17401.89</c:v>
                </c:pt>
                <c:pt idx="1" c:formatCode="General">
                  <c:v>13522.38</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2023年财政拨款收、支总计</c:v>
                </c:pt>
                <c:pt idx="1">
                  <c:v>2024年相比，财政拨款收、支总计</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2023年财政拨款收、支总计</c:v>
                </c:pt>
                <c:pt idx="1">
                  <c:v>2024年相比，财政拨款收、支总计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5362656"/>
        <c:axId val="712434907"/>
      </c:barChart>
      <c:catAx>
        <c:axId val="353626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2434907"/>
        <c:crosses val="autoZero"/>
        <c:auto val="1"/>
        <c:lblAlgn val="ctr"/>
        <c:lblOffset val="100"/>
        <c:noMultiLvlLbl val="0"/>
      </c:catAx>
      <c:valAx>
        <c:axId val="7124349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36265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88b5585-751e-4d46-a2d4-df466d6a95c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一般公共预算对比图       单位：万元     </a:t>
            </a:r>
          </a:p>
        </c:rich>
      </c:tx>
      <c:layout>
        <c:manualLayout>
          <c:xMode val="edge"/>
          <c:yMode val="edge"/>
          <c:x val="0.215755586415857"/>
          <c:y val="0.0250417362270451"/>
        </c:manualLayout>
      </c:layout>
      <c:overlay val="0"/>
      <c:spPr>
        <a:noFill/>
        <a:ln>
          <a:noFill/>
        </a:ln>
        <a:effectLst/>
      </c:spPr>
    </c:title>
    <c:autoTitleDeleted val="0"/>
    <c:plotArea>
      <c:layout>
        <c:manualLayout>
          <c:layoutTarget val="inner"/>
          <c:xMode val="edge"/>
          <c:yMode val="edge"/>
          <c:x val="0.144757182441301"/>
          <c:y val="0.179554704333254"/>
          <c:w val="0.823158815808663"/>
          <c:h val="0.592626286808714"/>
        </c:manualLayout>
      </c:layout>
      <c:barChart>
        <c:barDir val="col"/>
        <c:grouping val="clustered"/>
        <c:varyColors val="0"/>
        <c:ser>
          <c:idx val="0"/>
          <c:order val="0"/>
          <c:tx>
            <c:strRef>
              <c:f>Sheet1!$B$1</c:f>
              <c:strCache>
                <c:ptCount val="1"/>
                <c:pt idx="0">
                  <c:v>一般公共预算财政拨款支出对比表</c:v>
                </c:pt>
              </c:strCache>
            </c:strRef>
          </c:tx>
          <c:spPr>
            <a:solidFill>
              <a:schemeClr val="accent1"/>
            </a:solidFill>
            <a:ln>
              <a:noFill/>
            </a:ln>
            <a:effectLst/>
          </c:spPr>
          <c:invertIfNegative val="0"/>
          <c:dPt>
            <c:idx val="0"/>
            <c:invertIfNegative val="0"/>
            <c:bubble3D val="0"/>
            <c:spPr>
              <a:solidFill>
                <a:schemeClr val="accent1"/>
              </a:solidFill>
              <a:ln>
                <a:noFill/>
              </a:ln>
              <a:effectLst/>
            </c:spPr>
          </c:dPt>
          <c:dPt>
            <c:idx val="1"/>
            <c:invertIfNegative val="0"/>
            <c:bubble3D val="0"/>
            <c:spPr>
              <a:gradFill>
                <a:gsLst>
                  <a:gs pos="0">
                    <a:srgbClr val="A73737"/>
                  </a:gs>
                  <a:gs pos="75000">
                    <a:srgbClr val="872C2C">
                      <a:lumMod val="95000"/>
                      <a:lumOff val="5000"/>
                    </a:srgbClr>
                  </a:gs>
                </a:gsLst>
                <a:lin scaled="1"/>
              </a:gradFill>
              <a:ln>
                <a:solidFill>
                  <a:srgbClr val="0000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2023年一般公共预算财政拨款支出</c:v>
                </c:pt>
                <c:pt idx="1">
                  <c:v>2024年一般公共预算财政拨款支出</c:v>
                </c:pt>
              </c:strCache>
            </c:strRef>
          </c:cat>
          <c:val>
            <c:numRef>
              <c:f>Sheet1!$B$2:$B$3</c:f>
              <c:numCache>
                <c:formatCode>#,##0.00</c:formatCode>
                <c:ptCount val="2"/>
                <c:pt idx="0">
                  <c:v>17401.89</c:v>
                </c:pt>
                <c:pt idx="1" c:formatCode="General">
                  <c:v>13509.38</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2023年一般公共预算财政拨款支出</c:v>
                </c:pt>
                <c:pt idx="1">
                  <c:v>2024年一般公共预算财政拨款支出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2023年一般公共预算财政拨款支出</c:v>
                </c:pt>
                <c:pt idx="1">
                  <c:v>2024年一般公共预算财政拨款支出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06259973"/>
        <c:axId val="144060691"/>
      </c:barChart>
      <c:catAx>
        <c:axId val="1062599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4060691"/>
        <c:crosses val="autoZero"/>
        <c:auto val="1"/>
        <c:lblAlgn val="ctr"/>
        <c:lblOffset val="100"/>
        <c:noMultiLvlLbl val="0"/>
      </c:catAx>
      <c:valAx>
        <c:axId val="14406069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6259973"/>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e66c72d-e6c0-4051-aecc-890a3e39cd2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一般公共预算财政拨款支出对比图     单位：万元</a:t>
            </a:r>
          </a:p>
        </c:rich>
      </c:tx>
      <c:layout>
        <c:manualLayout>
          <c:xMode val="edge"/>
          <c:yMode val="edge"/>
          <c:x val="0.147732292678381"/>
          <c:y val="0.0120789858810895"/>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0.00923264233610141"/>
                  <c:y val="-0.029144945889381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34958540034576"/>
                  <c:y val="0.0003584975258441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69934067114711"/>
                  <c:y val="0.04346852040671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69724445689143"/>
                  <c:y val="-0.27218137067141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584477640167145"/>
                  <c:y val="-0.00444207791002094"/>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0920828258221681"/>
                      <c:h val="0.049237552820136"/>
                    </c:manualLayout>
                  </c15:layout>
                </c:ext>
              </c:extLst>
            </c:dLbl>
            <c:dLbl>
              <c:idx val="5"/>
              <c:layout>
                <c:manualLayout>
                  <c:x val="-0.0724342709693841"/>
                  <c:y val="-0.0015858207340302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社会保障和就业（类）支出</c:v>
                </c:pt>
                <c:pt idx="1">
                  <c:v>卫生健康支出（类）</c:v>
                </c:pt>
                <c:pt idx="2">
                  <c:v>节能环保支出（类）</c:v>
                </c:pt>
                <c:pt idx="3">
                  <c:v>城乡社区支出（类）</c:v>
                </c:pt>
                <c:pt idx="4">
                  <c:v>农林水支出（类）</c:v>
                </c:pt>
                <c:pt idx="5">
                  <c:v>住房保障支出（类）</c:v>
                </c:pt>
                <c:pt idx="6">
                  <c:v>其他</c:v>
                </c:pt>
              </c:strCache>
            </c:strRef>
          </c:cat>
          <c:val>
            <c:numRef>
              <c:f>Sheet1!$B$2:$B$8</c:f>
              <c:numCache>
                <c:formatCode>General</c:formatCode>
                <c:ptCount val="7"/>
                <c:pt idx="0">
                  <c:v>126.17</c:v>
                </c:pt>
                <c:pt idx="1">
                  <c:v>54.79</c:v>
                </c:pt>
                <c:pt idx="2" c:formatCode="#,##0.00">
                  <c:v>499</c:v>
                </c:pt>
                <c:pt idx="3" c:formatCode="#,##0.00">
                  <c:v>7381.06</c:v>
                </c:pt>
                <c:pt idx="4" c:formatCode="#,##0.00">
                  <c:v>5195.35</c:v>
                </c:pt>
                <c:pt idx="5">
                  <c:v>161.97</c:v>
                </c:pt>
                <c:pt idx="6">
                  <c:v>91.04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836591086786552"/>
          <c:y val="0.768395879323032"/>
          <c:w val="0.869540935999106"/>
          <c:h val="0.17108167770419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8262ef0-84d2-43f9-b344-cdc45f7a70b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5211</Words>
  <Characters>5697</Characters>
  <Lines>72</Lines>
  <Paragraphs>20</Paragraphs>
  <TotalTime>10</TotalTime>
  <ScaleCrop>false</ScaleCrop>
  <LinksUpToDate>false</LinksUpToDate>
  <CharactersWithSpaces>5719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Bible</cp:lastModifiedBy>
  <cp:lastPrinted>2023-08-03T10:35:00Z</cp:lastPrinted>
  <dcterms:modified xsi:type="dcterms:W3CDTF">2025-09-16T08:40:43Z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A2CAD50D60E8405B8B07B2C66F9DD67E_13</vt:lpwstr>
  </property>
  <property fmtid="{D5CDD505-2E9C-101B-9397-08002B2CF9AE}" pid="4" name="KSOTemplateDocerSaveRecord">
    <vt:lpwstr>eyJoZGlkIjoiOWI4MWIxZmU4MTUzZDRkNGU4N2E5ZTI4ZjljODZmOWEiLCJ1c2VySWQiOiI0NjY2NzkwMjIifQ==</vt:lpwstr>
  </property>
</Properties>
</file>