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9F608">
      <w:pPr>
        <w:pStyle w:val="8"/>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78441"/>
      <w:bookmarkStart w:id="1" w:name="_Toc15377425"/>
      <w:bookmarkStart w:id="2" w:name="_Toc15396597"/>
      <w:bookmarkStart w:id="3" w:name="_Toc15396475"/>
      <w:bookmarkStart w:id="4" w:name="_Toc15377193"/>
      <w:bookmarkStart w:id="5" w:name="_Toc15306267"/>
    </w:p>
    <w:bookmarkEnd w:id="0"/>
    <w:bookmarkEnd w:id="1"/>
    <w:bookmarkEnd w:id="2"/>
    <w:bookmarkEnd w:id="3"/>
    <w:bookmarkEnd w:id="4"/>
    <w:bookmarkEnd w:id="5"/>
    <w:p w14:paraId="26576E01">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72"/>
          <w:szCs w:val="72"/>
        </w:rPr>
      </w:pPr>
    </w:p>
    <w:p w14:paraId="493F3DD2">
      <w:pPr>
        <w:pStyle w:val="16"/>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p>
    <w:p w14:paraId="50B4DB2F">
      <w:pPr>
        <w:pStyle w:val="16"/>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四川省</w:t>
      </w:r>
      <w:r>
        <w:rPr>
          <w:rFonts w:hint="eastAsia" w:ascii="方正小标宋简体" w:hAnsi="方正小标宋简体" w:eastAsia="方正小标宋简体" w:cs="方正小标宋简体"/>
          <w:sz w:val="44"/>
          <w:szCs w:val="44"/>
        </w:rPr>
        <w:t>阿坝州</w:t>
      </w:r>
      <w:r>
        <w:rPr>
          <w:rFonts w:hint="eastAsia" w:ascii="方正小标宋简体" w:hAnsi="方正小标宋简体" w:eastAsia="方正小标宋简体" w:cs="方正小标宋简体"/>
          <w:sz w:val="44"/>
          <w:szCs w:val="44"/>
          <w:lang w:val="en-US" w:eastAsia="zh-CN"/>
        </w:rPr>
        <w:t>红原县融媒体中心</w:t>
      </w:r>
    </w:p>
    <w:p w14:paraId="42EA6A58">
      <w:pPr>
        <w:pStyle w:val="16"/>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default" w:ascii="仿宋_GB2312" w:hAnsi="仿宋_GB2312" w:eastAsia="方正小标宋简体" w:cs="仿宋_GB2312"/>
          <w:sz w:val="36"/>
          <w:szCs w:val="36"/>
          <w:lang w:val="en-US" w:eastAsia="zh-CN"/>
        </w:rPr>
      </w:pPr>
      <w:r>
        <w:rPr>
          <w:rFonts w:hint="eastAsia" w:ascii="方正小标宋简体" w:hAnsi="方正小标宋简体" w:eastAsia="方正小标宋简体" w:cs="方正小标宋简体"/>
          <w:sz w:val="44"/>
          <w:szCs w:val="44"/>
        </w:rPr>
        <w:t>部门决算</w:t>
      </w:r>
      <w:r>
        <w:rPr>
          <w:rFonts w:hint="eastAsia" w:ascii="方正小标宋简体" w:hAnsi="方正小标宋简体" w:eastAsia="方正小标宋简体" w:cs="方正小标宋简体"/>
          <w:sz w:val="44"/>
          <w:szCs w:val="44"/>
          <w:lang w:val="en-US" w:eastAsia="zh-CN"/>
        </w:rPr>
        <w:t>公开编制说明</w:t>
      </w:r>
    </w:p>
    <w:p w14:paraId="04DA2A1A">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7DCEF69D">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397E30D7">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4C34C7A1">
      <w:pPr>
        <w:pStyle w:val="8"/>
        <w:jc w:val="center"/>
        <w:rPr>
          <w:rFonts w:hint="eastAsia" w:ascii="Times New Roman" w:hAnsi="Times New Roman" w:eastAsia="方正小标宋简体" w:cs="Times New Roman"/>
          <w:color w:val="auto"/>
          <w:kern w:val="2"/>
          <w:sz w:val="44"/>
          <w:szCs w:val="44"/>
          <w:highlight w:val="none"/>
          <w:lang w:val="en-US" w:eastAsia="zh-CN" w:bidi="ar-SA"/>
        </w:rPr>
      </w:pPr>
      <w:bookmarkStart w:id="62" w:name="_GoBack"/>
      <w:bookmarkEnd w:id="62"/>
    </w:p>
    <w:p w14:paraId="7D9BA84C">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18E98C90">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5EED073F">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2A7A622A">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6EC624F2">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0D102469">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24CEADEC">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37190C7D">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12E1D5A7">
      <w:pPr>
        <w:pStyle w:val="16"/>
        <w:pageBreakBefore w:val="0"/>
        <w:widowControl/>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rPr>
      </w:pPr>
      <w:r>
        <w:rPr>
          <w:rFonts w:hint="eastAsia" w:ascii="仿宋_GB2312" w:hAnsi="仿宋_GB2312" w:eastAsia="仿宋_GB2312" w:cs="仿宋_GB2312"/>
          <w:shd w:val="clear" w:color="auto" w:fill="FFFFFF"/>
        </w:rPr>
        <w:t>保密审查情况：已审查，内容审定</w:t>
      </w:r>
    </w:p>
    <w:p w14:paraId="76BB6175">
      <w:pPr>
        <w:pStyle w:val="8"/>
        <w:jc w:val="both"/>
        <w:rPr>
          <w:rFonts w:hint="eastAsia" w:ascii="Times New Roman" w:hAnsi="Times New Roman" w:eastAsia="方正小标宋简体" w:cs="Times New Roman"/>
          <w:color w:val="auto"/>
          <w:kern w:val="2"/>
          <w:sz w:val="44"/>
          <w:szCs w:val="44"/>
          <w:highlight w:val="none"/>
          <w:lang w:val="en-US" w:eastAsia="zh-CN" w:bidi="ar-SA"/>
        </w:rPr>
      </w:pPr>
      <w:r>
        <w:rPr>
          <w:rFonts w:hint="eastAsia" w:ascii="仿宋_GB2312" w:hAnsi="仿宋_GB2312" w:eastAsia="仿宋_GB2312" w:cs="仿宋_GB2312"/>
          <w:shd w:val="clear" w:color="auto" w:fill="FFFFFF"/>
        </w:rPr>
        <w:t>部门主要负责人审签情况：已审签，同意对外公开</w:t>
      </w:r>
    </w:p>
    <w:p w14:paraId="3CD0160F">
      <w:pPr>
        <w:pStyle w:val="8"/>
        <w:jc w:val="both"/>
        <w:rPr>
          <w:rFonts w:hint="eastAsia" w:ascii="Times New Roman" w:hAnsi="Times New Roman" w:eastAsia="黑体"/>
          <w:color w:val="auto"/>
          <w:sz w:val="48"/>
          <w:szCs w:val="48"/>
          <w:highlight w:val="none"/>
        </w:rPr>
      </w:pPr>
    </w:p>
    <w:p w14:paraId="7ABDE142">
      <w:pPr>
        <w:pStyle w:val="8"/>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73A3ED61">
      <w:pPr>
        <w:widowControl/>
        <w:jc w:val="center"/>
        <w:rPr>
          <w:rFonts w:ascii="Times New Roman" w:hAnsi="Times New Roman" w:eastAsia="黑体" w:cstheme="minorBidi"/>
          <w:color w:val="auto"/>
          <w:sz w:val="28"/>
          <w:szCs w:val="28"/>
          <w:highlight w:val="none"/>
        </w:rPr>
      </w:pPr>
    </w:p>
    <w:p w14:paraId="1423C530">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23</w:t>
      </w:r>
      <w:r>
        <w:rPr>
          <w:rFonts w:hint="eastAsia" w:ascii="Times New Roman" w:hAnsi="Times New Roman" w:eastAsia="仿宋_GB2312" w:cs="仿宋_GB2312"/>
          <w:color w:val="auto"/>
          <w:sz w:val="32"/>
          <w:szCs w:val="32"/>
          <w:highlight w:val="none"/>
        </w:rPr>
        <w:t>日</w:t>
      </w:r>
    </w:p>
    <w:p w14:paraId="538097E1">
      <w:pPr>
        <w:rPr>
          <w:rFonts w:ascii="Times New Roman" w:hAnsi="Times New Roman"/>
          <w:color w:val="auto"/>
          <w:highlight w:val="none"/>
        </w:rPr>
      </w:pPr>
    </w:p>
    <w:p w14:paraId="3722D970">
      <w:pPr>
        <w:pStyle w:val="15"/>
        <w:bidi w:val="0"/>
        <w:rPr>
          <w:rFonts w:hint="default" w:eastAsia="宋体"/>
          <w:lang w:val="en-US" w:eastAsia="zh-CN"/>
        </w:rPr>
      </w:pPr>
      <w:r>
        <w:rPr>
          <w:rFonts w:hint="eastAsia"/>
        </w:rPr>
        <w:t>第一部分 部门概况</w:t>
      </w:r>
      <w:r>
        <w:rPr>
          <w:rFonts w:hint="eastAsia"/>
          <w:lang w:val="en-US" w:eastAsia="zh-CN"/>
        </w:rPr>
        <w:t>..........................................................................................................3</w:t>
      </w:r>
    </w:p>
    <w:p w14:paraId="67F56507">
      <w:pPr>
        <w:pStyle w:val="15"/>
        <w:bidi w:val="0"/>
        <w:rPr>
          <w:rFonts w:hint="default"/>
          <w:lang w:val="en-US"/>
        </w:rPr>
      </w:pPr>
      <w:r>
        <w:rPr>
          <w:rFonts w:hint="eastAsia"/>
        </w:rPr>
        <w:t>一、</w:t>
      </w:r>
      <w:r>
        <w:rPr>
          <w:rFonts w:hint="eastAsia"/>
          <w:lang w:eastAsia="zh-CN"/>
        </w:rPr>
        <w:t>部门职责</w:t>
      </w:r>
      <w:r>
        <w:rPr>
          <w:rFonts w:hint="eastAsia"/>
          <w:lang w:val="en-US" w:eastAsia="zh-CN"/>
        </w:rPr>
        <w:t xml:space="preserve">....................................................................................................................3                                         </w:t>
      </w:r>
    </w:p>
    <w:p w14:paraId="3EED8477">
      <w:pPr>
        <w:pStyle w:val="15"/>
        <w:bidi w:val="0"/>
        <w:rPr>
          <w:rFonts w:hint="default" w:eastAsia="宋体"/>
          <w:lang w:val="en-US" w:eastAsia="zh-CN"/>
        </w:rPr>
      </w:pPr>
      <w:r>
        <w:rPr>
          <w:rFonts w:hint="eastAsia"/>
        </w:rPr>
        <w:t>二、机构设置</w:t>
      </w:r>
      <w:r>
        <w:rPr>
          <w:rFonts w:hint="eastAsia"/>
          <w:lang w:val="en-US" w:eastAsia="zh-CN"/>
        </w:rPr>
        <w:t>....................................................................................................................3</w:t>
      </w:r>
    </w:p>
    <w:p w14:paraId="1C47A2CF">
      <w:pPr>
        <w:pStyle w:val="15"/>
        <w:bidi w:val="0"/>
        <w:rPr>
          <w:rFonts w:hint="default" w:eastAsia="宋体"/>
          <w:lang w:val="en-US" w:eastAsia="zh-CN"/>
        </w:rPr>
      </w:pPr>
      <w:r>
        <w:rPr>
          <w:rFonts w:hint="eastAsia"/>
        </w:rPr>
        <w:t>第二部分</w:t>
      </w:r>
      <w:r>
        <w:rPr>
          <w:rFonts w:hint="eastAsia"/>
          <w:lang w:val="en-US" w:eastAsia="zh-CN"/>
        </w:rPr>
        <w:t xml:space="preserve"> 2024年度</w:t>
      </w:r>
      <w:r>
        <w:rPr>
          <w:rFonts w:hint="eastAsia"/>
        </w:rPr>
        <w:t>部门决算情况说明</w:t>
      </w:r>
      <w:r>
        <w:rPr>
          <w:rFonts w:hint="eastAsia"/>
          <w:lang w:val="en-US" w:eastAsia="zh-CN"/>
        </w:rPr>
        <w:t>.........................................................................5</w:t>
      </w:r>
    </w:p>
    <w:p w14:paraId="2BD06BFA">
      <w:pPr>
        <w:pStyle w:val="15"/>
        <w:bidi w:val="0"/>
        <w:rPr>
          <w:rFonts w:hint="default" w:eastAsia="宋体"/>
          <w:lang w:val="en-US" w:eastAsia="zh-CN"/>
        </w:rPr>
      </w:pPr>
      <w:r>
        <w:rPr>
          <w:rFonts w:hint="eastAsia"/>
        </w:rPr>
        <w:t>一、收入支出决算总体情况说明</w:t>
      </w:r>
      <w:r>
        <w:rPr>
          <w:rFonts w:hint="eastAsia"/>
          <w:lang w:val="en-US" w:eastAsia="zh-CN"/>
        </w:rPr>
        <w:t>....................................................................................5</w:t>
      </w:r>
    </w:p>
    <w:p w14:paraId="06DAD635">
      <w:pPr>
        <w:pStyle w:val="15"/>
        <w:bidi w:val="0"/>
        <w:rPr>
          <w:rFonts w:hint="default" w:eastAsia="宋体"/>
          <w:lang w:val="en-US" w:eastAsia="zh-CN"/>
        </w:rPr>
      </w:pPr>
      <w:r>
        <w:rPr>
          <w:rFonts w:hint="eastAsia"/>
        </w:rPr>
        <w:t>二、收入决算情况说明</w:t>
      </w:r>
      <w:r>
        <w:rPr>
          <w:rFonts w:hint="eastAsia"/>
          <w:lang w:val="en-US" w:eastAsia="zh-CN"/>
        </w:rPr>
        <w:t>....................................................................................................5</w:t>
      </w:r>
    </w:p>
    <w:p w14:paraId="4B3DAD3E">
      <w:pPr>
        <w:pStyle w:val="15"/>
        <w:bidi w:val="0"/>
        <w:rPr>
          <w:rFonts w:hint="default" w:eastAsia="宋体"/>
          <w:lang w:val="en-US" w:eastAsia="zh-CN"/>
        </w:rPr>
      </w:pPr>
      <w:r>
        <w:rPr>
          <w:rFonts w:hint="eastAsia"/>
        </w:rPr>
        <w:t>三、支出决算情况说明</w:t>
      </w:r>
      <w:r>
        <w:rPr>
          <w:rFonts w:hint="eastAsia"/>
          <w:lang w:val="en-US" w:eastAsia="zh-CN"/>
        </w:rPr>
        <w:t>...................................................................................................6</w:t>
      </w:r>
    </w:p>
    <w:p w14:paraId="6655A51B">
      <w:pPr>
        <w:pStyle w:val="15"/>
        <w:bidi w:val="0"/>
        <w:rPr>
          <w:rFonts w:hint="default" w:eastAsia="宋体"/>
          <w:lang w:val="en-US" w:eastAsia="zh-CN"/>
        </w:rPr>
      </w:pPr>
      <w:r>
        <w:rPr>
          <w:rFonts w:hint="eastAsia"/>
        </w:rPr>
        <w:t>四、财政拨款收入支出决算总体情况说明</w:t>
      </w:r>
      <w:r>
        <w:rPr>
          <w:rFonts w:hint="eastAsia"/>
          <w:lang w:val="en-US" w:eastAsia="zh-CN"/>
        </w:rPr>
        <w:t>...................................................................7</w:t>
      </w:r>
    </w:p>
    <w:p w14:paraId="50A9B8DC">
      <w:pPr>
        <w:pStyle w:val="15"/>
        <w:bidi w:val="0"/>
        <w:rPr>
          <w:rFonts w:hint="default" w:eastAsia="宋体"/>
          <w:lang w:val="en-US" w:eastAsia="zh-CN"/>
        </w:rPr>
      </w:pPr>
      <w:r>
        <w:rPr>
          <w:rFonts w:hint="eastAsia"/>
        </w:rPr>
        <w:t>五、一般公共预算财政拨款支出决算情况说明</w:t>
      </w:r>
      <w:r>
        <w:rPr>
          <w:rFonts w:hint="eastAsia"/>
          <w:lang w:val="en-US" w:eastAsia="zh-CN"/>
        </w:rPr>
        <w:t>...........................................................7</w:t>
      </w:r>
    </w:p>
    <w:p w14:paraId="7FD8ABA5">
      <w:pPr>
        <w:pStyle w:val="15"/>
        <w:bidi w:val="0"/>
        <w:rPr>
          <w:rFonts w:hint="default" w:eastAsia="宋体"/>
          <w:lang w:val="en-US" w:eastAsia="zh-CN"/>
        </w:rPr>
      </w:pPr>
      <w:r>
        <w:rPr>
          <w:rFonts w:hint="eastAsia"/>
        </w:rPr>
        <w:t>六、一般公共预算财政拨款基本支出决算情况说明</w:t>
      </w:r>
      <w:r>
        <w:rPr>
          <w:rFonts w:hint="eastAsia"/>
          <w:lang w:val="en-US" w:eastAsia="zh-CN"/>
        </w:rPr>
        <w:t>.................................................10</w:t>
      </w:r>
    </w:p>
    <w:p w14:paraId="7CFCAD40">
      <w:pPr>
        <w:pStyle w:val="15"/>
        <w:bidi w:val="0"/>
        <w:rPr>
          <w:rFonts w:hint="default" w:eastAsia="宋体"/>
          <w:lang w:val="en-US" w:eastAsia="zh-CN"/>
        </w:rPr>
      </w:pPr>
      <w:r>
        <w:rPr>
          <w:rFonts w:hint="eastAsia"/>
        </w:rPr>
        <w:t>七、财政拨款</w:t>
      </w:r>
      <w:r>
        <w:rPr>
          <w:rFonts w:hint="eastAsia"/>
          <w:lang w:eastAsia="zh-CN"/>
        </w:rPr>
        <w:t>“</w:t>
      </w:r>
      <w:r>
        <w:rPr>
          <w:rFonts w:hint="eastAsia"/>
        </w:rPr>
        <w:t>三公”经费支出决算情况说明</w:t>
      </w:r>
      <w:r>
        <w:rPr>
          <w:rFonts w:hint="eastAsia"/>
          <w:lang w:val="en-US" w:eastAsia="zh-CN"/>
        </w:rPr>
        <w:t>.........................................................10</w:t>
      </w:r>
    </w:p>
    <w:p w14:paraId="2671F70F">
      <w:pPr>
        <w:pStyle w:val="15"/>
        <w:bidi w:val="0"/>
        <w:rPr>
          <w:rFonts w:hint="default" w:eastAsia="宋体"/>
          <w:lang w:val="en-US" w:eastAsia="zh-CN"/>
        </w:rPr>
      </w:pPr>
      <w:r>
        <w:rPr>
          <w:rFonts w:hint="eastAsia"/>
        </w:rPr>
        <w:t>八、政府性基金预算支出决算情况说明</w:t>
      </w:r>
      <w:r>
        <w:rPr>
          <w:rFonts w:hint="eastAsia"/>
          <w:lang w:val="en-US" w:eastAsia="zh-CN"/>
        </w:rPr>
        <w:t>.....................................................................12</w:t>
      </w:r>
    </w:p>
    <w:p w14:paraId="54B73323">
      <w:pPr>
        <w:pStyle w:val="15"/>
        <w:bidi w:val="0"/>
        <w:rPr>
          <w:rFonts w:hint="default" w:eastAsia="宋体"/>
          <w:lang w:val="en-US" w:eastAsia="zh-CN"/>
        </w:rPr>
      </w:pPr>
      <w:r>
        <w:rPr>
          <w:rFonts w:hint="eastAsia"/>
        </w:rPr>
        <w:t>九、</w:t>
      </w:r>
      <w:r>
        <w:rPr>
          <w:rFonts w:hint="eastAsia"/>
          <w:lang w:eastAsia="zh-CN"/>
        </w:rPr>
        <w:t>国</w:t>
      </w:r>
      <w:r>
        <w:rPr>
          <w:rFonts w:hint="eastAsia"/>
        </w:rPr>
        <w:t>有资本经营预算支出决算情况说明</w:t>
      </w:r>
      <w:r>
        <w:rPr>
          <w:rFonts w:hint="eastAsia"/>
          <w:lang w:val="en-US" w:eastAsia="zh-CN"/>
        </w:rPr>
        <w:t>.................................................................12</w:t>
      </w:r>
    </w:p>
    <w:p w14:paraId="617A6FA0">
      <w:pPr>
        <w:pStyle w:val="15"/>
        <w:bidi w:val="0"/>
        <w:rPr>
          <w:rFonts w:hint="default" w:eastAsia="宋体"/>
          <w:lang w:val="en-US" w:eastAsia="zh-CN"/>
        </w:rPr>
      </w:pPr>
      <w:r>
        <w:rPr>
          <w:rFonts w:hint="eastAsia"/>
          <w:lang w:eastAsia="zh-CN"/>
        </w:rPr>
        <w:t>十</w:t>
      </w:r>
      <w:r>
        <w:rPr>
          <w:rFonts w:hint="eastAsia"/>
        </w:rPr>
        <w:t>、其他重要事项的情况说明</w:t>
      </w:r>
      <w:r>
        <w:rPr>
          <w:rFonts w:hint="eastAsia"/>
          <w:lang w:val="en-US" w:eastAsia="zh-CN"/>
        </w:rPr>
        <w:t>.....................................................................................12</w:t>
      </w:r>
    </w:p>
    <w:p w14:paraId="678E6FB6">
      <w:pPr>
        <w:pStyle w:val="15"/>
        <w:bidi w:val="0"/>
        <w:rPr>
          <w:rFonts w:hint="default" w:eastAsia="宋体"/>
          <w:lang w:val="en-US" w:eastAsia="zh-CN"/>
        </w:rPr>
      </w:pPr>
      <w:r>
        <w:rPr>
          <w:rFonts w:hint="eastAsia"/>
        </w:rPr>
        <w:t>第三部分 名词解释</w:t>
      </w:r>
      <w:r>
        <w:rPr>
          <w:rFonts w:hint="eastAsia"/>
          <w:lang w:val="en-US" w:eastAsia="zh-CN"/>
        </w:rPr>
        <w:t>.......................................................................................................14</w:t>
      </w:r>
    </w:p>
    <w:p w14:paraId="15C9A8A9">
      <w:pPr>
        <w:pStyle w:val="15"/>
        <w:bidi w:val="0"/>
        <w:rPr>
          <w:rFonts w:hint="default" w:eastAsia="宋体"/>
          <w:lang w:val="en-US" w:eastAsia="zh-CN"/>
        </w:rPr>
      </w:pPr>
      <w:r>
        <w:rPr>
          <w:rFonts w:hint="eastAsia"/>
        </w:rPr>
        <w:t>第四部分 附件</w:t>
      </w:r>
      <w:r>
        <w:rPr>
          <w:rFonts w:hint="eastAsia"/>
          <w:lang w:val="en-US" w:eastAsia="zh-CN"/>
        </w:rPr>
        <w:t>...............................................................................................................17</w:t>
      </w:r>
    </w:p>
    <w:p w14:paraId="480B837E">
      <w:pPr>
        <w:pStyle w:val="15"/>
        <w:bidi w:val="0"/>
        <w:rPr>
          <w:rFonts w:hint="default" w:eastAsia="宋体"/>
          <w:lang w:val="en-US" w:eastAsia="zh-CN"/>
        </w:rPr>
      </w:pPr>
      <w:r>
        <w:rPr>
          <w:rFonts w:hint="eastAsia"/>
        </w:rPr>
        <w:t>第五部分 附表</w:t>
      </w:r>
      <w:r>
        <w:rPr>
          <w:rFonts w:hint="eastAsia"/>
          <w:lang w:val="en-US" w:eastAsia="zh-CN"/>
        </w:rPr>
        <w:t>...............................................................................................................30</w:t>
      </w:r>
    </w:p>
    <w:p w14:paraId="5C7EC067">
      <w:pPr>
        <w:pStyle w:val="15"/>
        <w:bidi w:val="0"/>
        <w:rPr>
          <w:rFonts w:hint="eastAsia"/>
        </w:rPr>
      </w:pPr>
      <w:r>
        <w:rPr>
          <w:rFonts w:hint="eastAsia"/>
        </w:rPr>
        <w:t>一、收入支出决算总表</w:t>
      </w:r>
      <w:r>
        <w:rPr>
          <w:rFonts w:hint="eastAsia"/>
          <w:lang w:val="en-US" w:eastAsia="zh-CN"/>
        </w:rPr>
        <w:t>.................................................................................................30</w:t>
      </w:r>
    </w:p>
    <w:p w14:paraId="16EC4CFD">
      <w:pPr>
        <w:pStyle w:val="15"/>
        <w:bidi w:val="0"/>
        <w:rPr>
          <w:rFonts w:hint="eastAsia"/>
        </w:rPr>
      </w:pPr>
      <w:r>
        <w:rPr>
          <w:rFonts w:hint="eastAsia"/>
        </w:rPr>
        <w:t>二、收入决算表</w:t>
      </w:r>
      <w:r>
        <w:rPr>
          <w:rFonts w:hint="eastAsia"/>
          <w:lang w:val="en-US" w:eastAsia="zh-CN"/>
        </w:rPr>
        <w:t>.............................................................................................................30</w:t>
      </w:r>
    </w:p>
    <w:p w14:paraId="19A51B1C">
      <w:pPr>
        <w:pStyle w:val="15"/>
        <w:bidi w:val="0"/>
        <w:rPr>
          <w:rFonts w:hint="eastAsia"/>
        </w:rPr>
      </w:pPr>
      <w:r>
        <w:rPr>
          <w:rFonts w:hint="eastAsia"/>
        </w:rPr>
        <w:t>三、支出决算表</w:t>
      </w:r>
      <w:r>
        <w:rPr>
          <w:rFonts w:hint="eastAsia"/>
          <w:lang w:val="en-US" w:eastAsia="zh-CN"/>
        </w:rPr>
        <w:t>.............................................................................................................30</w:t>
      </w:r>
    </w:p>
    <w:p w14:paraId="086FB3FE">
      <w:pPr>
        <w:pStyle w:val="15"/>
        <w:bidi w:val="0"/>
        <w:rPr>
          <w:rFonts w:hint="eastAsia"/>
        </w:rPr>
      </w:pPr>
      <w:r>
        <w:rPr>
          <w:rFonts w:hint="eastAsia"/>
        </w:rPr>
        <w:t>四、财政拨款收入支出决算总表</w:t>
      </w:r>
      <w:r>
        <w:rPr>
          <w:rFonts w:hint="eastAsia"/>
          <w:lang w:val="en-US" w:eastAsia="zh-CN"/>
        </w:rPr>
        <w:t>.................................................................................30</w:t>
      </w:r>
    </w:p>
    <w:p w14:paraId="7BE70155">
      <w:pPr>
        <w:pStyle w:val="15"/>
        <w:bidi w:val="0"/>
        <w:rPr>
          <w:rFonts w:hint="eastAsia"/>
        </w:rPr>
      </w:pPr>
      <w:r>
        <w:rPr>
          <w:rFonts w:hint="eastAsia"/>
        </w:rPr>
        <w:t>五、财政拨款支出决算明细表</w:t>
      </w:r>
      <w:r>
        <w:rPr>
          <w:rFonts w:hint="eastAsia"/>
          <w:lang w:val="en-US" w:eastAsia="zh-CN"/>
        </w:rPr>
        <w:t>.....................................................................................30</w:t>
      </w:r>
    </w:p>
    <w:p w14:paraId="623E6741">
      <w:pPr>
        <w:pStyle w:val="15"/>
        <w:bidi w:val="0"/>
        <w:rPr>
          <w:rFonts w:hint="eastAsia"/>
        </w:rPr>
      </w:pPr>
      <w:r>
        <w:rPr>
          <w:rFonts w:hint="eastAsia"/>
        </w:rPr>
        <w:t>六、一般公共预算财政拨款支出决算表</w:t>
      </w:r>
      <w:r>
        <w:rPr>
          <w:rFonts w:hint="eastAsia"/>
          <w:lang w:val="en-US" w:eastAsia="zh-CN"/>
        </w:rPr>
        <w:t>.....................................................................30</w:t>
      </w:r>
    </w:p>
    <w:p w14:paraId="01424C55">
      <w:pPr>
        <w:pStyle w:val="15"/>
        <w:bidi w:val="0"/>
        <w:rPr>
          <w:rFonts w:hint="eastAsia"/>
        </w:rPr>
      </w:pPr>
      <w:r>
        <w:rPr>
          <w:rFonts w:hint="eastAsia"/>
        </w:rPr>
        <w:t>七、一般公共预算财政拨款支出决算明细表</w:t>
      </w:r>
      <w:r>
        <w:rPr>
          <w:rFonts w:hint="eastAsia"/>
          <w:lang w:val="en-US" w:eastAsia="zh-CN"/>
        </w:rPr>
        <w:t>.............................................................30</w:t>
      </w:r>
    </w:p>
    <w:p w14:paraId="68FE8059">
      <w:pPr>
        <w:pStyle w:val="15"/>
        <w:bidi w:val="0"/>
        <w:rPr>
          <w:rFonts w:hint="eastAsia"/>
        </w:rPr>
      </w:pPr>
      <w:r>
        <w:rPr>
          <w:rFonts w:hint="eastAsia"/>
        </w:rPr>
        <w:t>八、一般公共预算财政拨款基本支出决算</w:t>
      </w:r>
      <w:r>
        <w:rPr>
          <w:rFonts w:hint="eastAsia"/>
          <w:lang w:eastAsia="zh-CN"/>
        </w:rPr>
        <w:t>明细</w:t>
      </w:r>
      <w:r>
        <w:rPr>
          <w:rFonts w:hint="eastAsia"/>
        </w:rPr>
        <w:t>表</w:t>
      </w:r>
      <w:r>
        <w:rPr>
          <w:rFonts w:hint="eastAsia"/>
          <w:lang w:val="en-US" w:eastAsia="zh-CN"/>
        </w:rPr>
        <w:t>.....................................................30</w:t>
      </w:r>
    </w:p>
    <w:p w14:paraId="5BA1C663">
      <w:pPr>
        <w:pStyle w:val="15"/>
        <w:bidi w:val="0"/>
        <w:rPr>
          <w:rFonts w:hint="eastAsia"/>
        </w:rPr>
      </w:pPr>
      <w:r>
        <w:rPr>
          <w:rFonts w:hint="eastAsia"/>
        </w:rPr>
        <w:t>九、一般公共预算财政拨款项目支出决算表</w:t>
      </w:r>
      <w:r>
        <w:rPr>
          <w:rFonts w:hint="eastAsia"/>
          <w:lang w:val="en-US" w:eastAsia="zh-CN"/>
        </w:rPr>
        <w:t>.............................................................30</w:t>
      </w:r>
    </w:p>
    <w:p w14:paraId="367B440B">
      <w:pPr>
        <w:pStyle w:val="15"/>
        <w:bidi w:val="0"/>
        <w:rPr>
          <w:rFonts w:hint="eastAsia"/>
        </w:rPr>
      </w:pPr>
      <w:r>
        <w:rPr>
          <w:rFonts w:hint="eastAsia"/>
        </w:rPr>
        <w:t>十、政府性基金预算财政拨款收入支出决算表</w:t>
      </w:r>
      <w:r>
        <w:rPr>
          <w:rFonts w:hint="eastAsia"/>
          <w:lang w:val="en-US" w:eastAsia="zh-CN"/>
        </w:rPr>
        <w:t>.........................................................30</w:t>
      </w:r>
    </w:p>
    <w:p w14:paraId="5392D2A1">
      <w:pPr>
        <w:pStyle w:val="15"/>
        <w:bidi w:val="0"/>
        <w:rPr>
          <w:rFonts w:hint="eastAsia"/>
        </w:rPr>
      </w:pPr>
      <w:r>
        <w:rPr>
          <w:rFonts w:hint="eastAsia"/>
        </w:rPr>
        <w:t>十一、国有资本经营预算财政拨款收入支出决算表</w:t>
      </w:r>
      <w:r>
        <w:rPr>
          <w:rFonts w:hint="eastAsia"/>
          <w:lang w:val="en-US" w:eastAsia="zh-CN"/>
        </w:rPr>
        <w:t>.................................................30</w:t>
      </w:r>
    </w:p>
    <w:p w14:paraId="2E317EC7">
      <w:pPr>
        <w:pStyle w:val="15"/>
        <w:bidi w:val="0"/>
        <w:rPr>
          <w:rFonts w:hint="eastAsia"/>
        </w:rPr>
      </w:pPr>
      <w:r>
        <w:rPr>
          <w:rFonts w:hint="eastAsia"/>
        </w:rPr>
        <w:t>十二、</w:t>
      </w:r>
      <w:r>
        <w:rPr>
          <w:rFonts w:hint="eastAsia"/>
          <w:lang w:val="en-US" w:eastAsia="zh-CN"/>
        </w:rPr>
        <w:t>国有资本经营预算财政拨款支出决算表.........................................................30</w:t>
      </w:r>
    </w:p>
    <w:p w14:paraId="709CD02F">
      <w:pPr>
        <w:pStyle w:val="15"/>
        <w:bidi w:val="0"/>
        <w:rPr>
          <w:rFonts w:hint="eastAsia"/>
        </w:rPr>
      </w:pPr>
      <w:r>
        <w:rPr>
          <w:rFonts w:hint="eastAsia"/>
        </w:rPr>
        <w:t>十三、财政拨款“三公”经费支出决算表</w:t>
      </w:r>
      <w:r>
        <w:rPr>
          <w:rFonts w:hint="eastAsia"/>
          <w:lang w:val="en-US" w:eastAsia="zh-CN"/>
        </w:rPr>
        <w:t>.................................................................30</w:t>
      </w:r>
    </w:p>
    <w:p w14:paraId="4ED1587D">
      <w:pPr>
        <w:pStyle w:val="15"/>
        <w:bidi w:val="0"/>
        <w:rPr>
          <w:rFonts w:hint="eastAsia"/>
        </w:rPr>
      </w:pPr>
    </w:p>
    <w:p w14:paraId="17AC762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p>
    <w:p w14:paraId="2B76602D">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14:paraId="1CCF0927">
      <w:pPr>
        <w:pStyle w:val="5"/>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2"/>
          <w:rFonts w:hint="eastAsia" w:ascii="Times New Roman" w:hAnsi="Times New Roman" w:eastAsia="方正小标宋简体" w:cs="方正小标宋简体"/>
          <w:b w:val="0"/>
          <w:bCs w:val="0"/>
          <w:color w:val="auto"/>
          <w:highlight w:val="none"/>
        </w:rPr>
        <w:t>部门概况</w:t>
      </w:r>
      <w:bookmarkEnd w:id="6"/>
      <w:bookmarkEnd w:id="7"/>
    </w:p>
    <w:p w14:paraId="7D7C9F5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eastAsia="zh-CN"/>
        </w:rPr>
      </w:pPr>
      <w:r>
        <w:rPr>
          <w:rFonts w:hint="eastAsia" w:ascii="Times New Roman" w:hAnsi="Times New Roman" w:eastAsia="黑体" w:cs="Times New Roman"/>
          <w:color w:val="000000"/>
          <w:kern w:val="0"/>
          <w:sz w:val="32"/>
          <w:szCs w:val="32"/>
          <w:highlight w:val="none"/>
          <w:shd w:val="clear" w:color="auto" w:fill="FFFFFF"/>
          <w:lang w:val="en-US" w:eastAsia="zh-CN"/>
        </w:rPr>
        <w:t>一、</w:t>
      </w:r>
      <w:r>
        <w:rPr>
          <w:rFonts w:hint="eastAsia" w:ascii="Times New Roman" w:hAnsi="Times New Roman" w:eastAsia="黑体" w:cs="Times New Roman"/>
          <w:color w:val="000000"/>
          <w:kern w:val="0"/>
          <w:sz w:val="32"/>
          <w:szCs w:val="32"/>
          <w:highlight w:val="none"/>
          <w:shd w:val="clear" w:color="auto" w:fill="FFFFFF"/>
          <w:lang w:val="zh-CN" w:eastAsia="zh-CN"/>
        </w:rPr>
        <w:t>部门职责</w:t>
      </w:r>
    </w:p>
    <w:p w14:paraId="76FD0601">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480" w:firstLineChars="200"/>
        <w:jc w:val="both"/>
        <w:textAlignment w:val="auto"/>
        <w:rPr>
          <w:rFonts w:hint="default" w:ascii="仿宋_GB2312" w:hAnsi="仿宋_GB2312" w:eastAsia="仿宋_GB2312" w:cs="仿宋_GB2312"/>
          <w:bCs/>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bCs/>
          <w:kern w:val="2"/>
          <w:sz w:val="32"/>
          <w:szCs w:val="32"/>
          <w:lang w:val="en-US" w:eastAsia="zh-CN" w:bidi="ar-SA"/>
        </w:rPr>
        <w:t xml:space="preserve"> 负责贯彻落实党的新闻宣传方针政策，宣传党的理论、路线和各项方针政策，把握新闻宣传基调，坚持正面宣传，为全县经济社会发展提供舆论支持；</w:t>
      </w:r>
      <w:r>
        <w:rPr>
          <w:rFonts w:hint="default" w:ascii="仿宋_GB2312" w:hAnsi="仿宋_GB2312" w:eastAsia="仿宋_GB2312" w:cs="仿宋_GB2312"/>
          <w:bCs/>
          <w:kern w:val="2"/>
          <w:sz w:val="32"/>
          <w:szCs w:val="32"/>
          <w:lang w:val="en-US" w:eastAsia="zh-CN" w:bidi="ar-SA"/>
        </w:rPr>
        <w:t>负责围绕县委、县政府中心工作，积极开展对内对外新闻宣传报道，落实全县新闻报道计划，完成宣传任务</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负责全县电视、网站以及“两微一端”等新媒体新闻宣传报道的策划、采集、编辑、审核、播出工作</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负责全县各单位（网站、网页、上传稿件等）对外宣传新闻稿件审核工作</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负责县委县政府交办的各类宣传片、专题片、汇报片的策划、拍摄、制作、推广工作</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负责全县新闻业务管理指导和对外通联工作，协助配合衔接上级媒体和新闻单位来县采访及其他协调服务工作</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负责全县新闻通讯员业务技能培训，协助抓好全县新闻人才队伍建设</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负责会同有关部门做好新媒体推广工作</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负责全县民族语言文字的藏汉翻译、藏语配音工作</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负责参与编制全县广播电视事业发展规划、项目申报并组织实施</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负责全县广播和有线电视传输网络调试、巡查、维修、维护等工作，确保电视广播网络安全运行，节目安全播出</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完成县委、县政府、县委宣传部交办的其他工作。</w:t>
      </w:r>
    </w:p>
    <w:p w14:paraId="22143A3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bookmarkStart w:id="8" w:name="_Toc15396601"/>
      <w:bookmarkStart w:id="9" w:name="_Toc15377200"/>
      <w:r>
        <w:rPr>
          <w:rFonts w:hint="eastAsia" w:ascii="Times New Roman" w:hAnsi="Times New Roman" w:eastAsia="黑体" w:cs="Times New Roman"/>
          <w:color w:val="000000"/>
          <w:kern w:val="0"/>
          <w:sz w:val="32"/>
          <w:szCs w:val="32"/>
          <w:highlight w:val="none"/>
          <w:shd w:val="clear" w:color="auto" w:fill="FFFFFF"/>
          <w:lang w:val="en-US" w:eastAsia="zh-CN"/>
        </w:rPr>
        <w:t>二、机构设置</w:t>
      </w:r>
      <w:bookmarkEnd w:id="8"/>
      <w:bookmarkEnd w:id="9"/>
    </w:p>
    <w:p w14:paraId="5A3FB9D2">
      <w:pPr>
        <w:ind w:firstLine="800" w:firstLineChars="250"/>
        <w:rPr>
          <w:rFonts w:ascii="Times New Roman" w:hAnsi="Times New Roman" w:eastAsia="仿宋"/>
          <w:color w:val="auto"/>
          <w:kern w:val="0"/>
          <w:sz w:val="32"/>
          <w:szCs w:val="32"/>
          <w:highlight w:val="none"/>
        </w:rPr>
      </w:pPr>
      <w:r>
        <w:rPr>
          <w:rFonts w:hint="eastAsia" w:ascii="仿宋_GB2312" w:hAnsi="仿宋_GB2312" w:eastAsia="仿宋_GB2312" w:cs="仿宋_GB2312"/>
          <w:bCs/>
          <w:kern w:val="2"/>
          <w:sz w:val="32"/>
          <w:szCs w:val="32"/>
          <w:lang w:val="en-US" w:eastAsia="zh-CN" w:bidi="ar-SA"/>
        </w:rPr>
        <w:t>红原县融媒体中心下属二级预算单位0个，其中行政单位0个，参照公务员法管理的事业单位0个，其他事业单位1个。</w:t>
      </w:r>
      <w:r>
        <w:rPr>
          <w:rFonts w:ascii="Times New Roman" w:hAnsi="Times New Roman" w:eastAsia="仿宋"/>
          <w:color w:val="auto"/>
          <w:sz w:val="32"/>
          <w:szCs w:val="32"/>
          <w:highlight w:val="none"/>
        </w:rPr>
        <w:br w:type="page"/>
      </w:r>
    </w:p>
    <w:p w14:paraId="12BA2433">
      <w:pPr>
        <w:pStyle w:val="5"/>
        <w:jc w:val="center"/>
        <w:rPr>
          <w:rFonts w:hint="eastAsia" w:ascii="Times New Roman" w:hAnsi="Times New Roman" w:eastAsia="方正小标宋简体" w:cs="方正小标宋简体"/>
          <w:b w:val="0"/>
          <w:color w:val="auto"/>
          <w:highlight w:val="none"/>
        </w:rPr>
      </w:pPr>
      <w:bookmarkStart w:id="10" w:name="_Toc15377204"/>
      <w:bookmarkStart w:id="11"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14:paraId="0DA729C8">
      <w:pPr>
        <w:rPr>
          <w:rFonts w:ascii="Times New Roman" w:hAnsi="Times New Roman"/>
          <w:color w:val="auto"/>
          <w:highlight w:val="none"/>
        </w:rPr>
      </w:pPr>
    </w:p>
    <w:p w14:paraId="40D4DA4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bookmarkStart w:id="12" w:name="_Toc15377205"/>
      <w:bookmarkStart w:id="13" w:name="_Toc15396603"/>
      <w:r>
        <w:rPr>
          <w:rFonts w:hint="eastAsia" w:ascii="Times New Roman" w:hAnsi="Times New Roman" w:eastAsia="黑体" w:cs="Times New Roman"/>
          <w:color w:val="000000"/>
          <w:kern w:val="0"/>
          <w:sz w:val="32"/>
          <w:szCs w:val="32"/>
          <w:highlight w:val="none"/>
          <w:shd w:val="clear" w:color="auto" w:fill="FFFFFF"/>
          <w:lang w:val="en-US" w:eastAsia="zh-CN"/>
        </w:rPr>
        <w:t>一、收入支出决算总体情况说明</w:t>
      </w:r>
      <w:bookmarkEnd w:id="12"/>
      <w:bookmarkEnd w:id="13"/>
    </w:p>
    <w:p w14:paraId="2C95AA27">
      <w:pPr>
        <w:ind w:firstLine="800" w:firstLineChars="250"/>
        <w:rPr>
          <w:rFonts w:hint="eastAsia" w:eastAsia="仿宋_GB2312" w:cs="仿宋_GB2312"/>
          <w:color w:val="auto"/>
          <w:sz w:val="32"/>
          <w:szCs w:val="32"/>
          <w:highlight w:val="none"/>
          <w:lang w:val="en-US" w:eastAsia="zh-CN"/>
        </w:rPr>
      </w:pPr>
      <w:r>
        <w:rPr>
          <w:rFonts w:hint="eastAsia" w:ascii="仿宋_GB2312" w:hAnsi="仿宋_GB2312" w:eastAsia="仿宋_GB2312" w:cs="仿宋_GB2312"/>
          <w:bCs/>
          <w:kern w:val="2"/>
          <w:sz w:val="32"/>
          <w:szCs w:val="32"/>
          <w:lang w:val="en-US" w:eastAsia="zh-CN" w:bidi="ar-SA"/>
        </w:rPr>
        <w:t>2024年度收入、支出总计均为725.16万元。与2023年度相比，收入、支出总计各减少142.34万元，下降16.41%。主要变动原因是项目经费减少和退休人员1个、调出人员2个调进人员1个。</w:t>
      </w:r>
    </w:p>
    <w:p w14:paraId="52D3D796">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
          <w:lang w:eastAsia="zh-CN"/>
        </w:rPr>
      </w:pPr>
      <w:r>
        <w:rPr>
          <w:rFonts w:hint="eastAsia" w:eastAsia="仿宋"/>
          <w:lang w:eastAsia="zh-CN"/>
        </w:rPr>
        <w:drawing>
          <wp:anchor distT="0" distB="0" distL="114300" distR="114300" simplePos="0" relativeHeight="251659264" behindDoc="1" locked="0" layoutInCell="1" allowOverlap="1">
            <wp:simplePos x="0" y="0"/>
            <wp:positionH relativeFrom="column">
              <wp:posOffset>295910</wp:posOffset>
            </wp:positionH>
            <wp:positionV relativeFrom="paragraph">
              <wp:posOffset>145415</wp:posOffset>
            </wp:positionV>
            <wp:extent cx="4792345" cy="2488565"/>
            <wp:effectExtent l="4445" t="5080" r="22860" b="2095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60FD5B5">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
          <w:lang w:eastAsia="zh-CN"/>
        </w:rPr>
      </w:pPr>
    </w:p>
    <w:p w14:paraId="3A84F939">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
          <w:lang w:eastAsia="zh-CN"/>
        </w:rPr>
      </w:pPr>
    </w:p>
    <w:p w14:paraId="522BE58A">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
          <w:lang w:eastAsia="zh-CN"/>
        </w:rPr>
      </w:pPr>
    </w:p>
    <w:p w14:paraId="587E1589">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
          <w:lang w:eastAsia="zh-CN"/>
        </w:rPr>
      </w:pPr>
    </w:p>
    <w:p w14:paraId="23575730">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
          <w:lang w:val="en-US" w:eastAsia="zh-CN"/>
        </w:rPr>
      </w:pPr>
    </w:p>
    <w:p w14:paraId="7C2A1E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59BA9D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ascii="Times New Roman" w:hAnsi="Times New Roman" w:eastAsia="仿宋_GB2312" w:cs="仿宋_GB2312"/>
          <w:color w:val="auto"/>
          <w:sz w:val="32"/>
          <w:szCs w:val="32"/>
          <w:highlight w:val="none"/>
        </w:rPr>
        <w:t>（</w:t>
      </w:r>
      <w:r>
        <w:rPr>
          <w:rFonts w:hint="eastAsia" w:ascii="仿宋_GB2312" w:hAnsi="仿宋_GB2312" w:eastAsia="仿宋_GB2312" w:cs="仿宋_GB2312"/>
          <w:bCs/>
          <w:kern w:val="2"/>
          <w:sz w:val="32"/>
          <w:szCs w:val="32"/>
          <w:lang w:val="en-US" w:eastAsia="zh-CN" w:bidi="ar-SA"/>
        </w:rPr>
        <w:t>图1：收入、支出决算总计变动情况图</w:t>
      </w:r>
      <w:r>
        <w:rPr>
          <w:rFonts w:hint="eastAsia" w:ascii="Times New Roman" w:hAnsi="Times New Roman" w:eastAsia="仿宋_GB2312" w:cs="仿宋_GB2312"/>
          <w:color w:val="auto"/>
          <w:sz w:val="32"/>
          <w:szCs w:val="32"/>
          <w:highlight w:val="none"/>
        </w:rPr>
        <w:t>）（</w:t>
      </w:r>
      <w:r>
        <w:rPr>
          <w:rFonts w:hint="eastAsia" w:ascii="仿宋_GB2312" w:hAnsi="仿宋_GB2312" w:eastAsia="仿宋_GB2312" w:cs="仿宋_GB2312"/>
          <w:bCs/>
          <w:kern w:val="2"/>
          <w:sz w:val="32"/>
          <w:szCs w:val="32"/>
          <w:lang w:val="en-US" w:eastAsia="zh-CN" w:bidi="ar-SA"/>
        </w:rPr>
        <w:t>柱状图</w:t>
      </w:r>
      <w:r>
        <w:rPr>
          <w:rFonts w:hint="eastAsia" w:ascii="Times New Roman" w:hAnsi="Times New Roman" w:eastAsia="仿宋_GB2312" w:cs="仿宋_GB2312"/>
          <w:color w:val="auto"/>
          <w:sz w:val="32"/>
          <w:szCs w:val="32"/>
          <w:highlight w:val="none"/>
        </w:rPr>
        <w:t>）</w:t>
      </w:r>
    </w:p>
    <w:p w14:paraId="2A2AD62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bookmarkStart w:id="14" w:name="_Toc15377206"/>
      <w:bookmarkStart w:id="15" w:name="_Toc15396604"/>
      <w:r>
        <w:rPr>
          <w:rFonts w:hint="eastAsia" w:ascii="Times New Roman" w:hAnsi="Times New Roman" w:eastAsia="黑体" w:cs="Times New Roman"/>
          <w:color w:val="000000"/>
          <w:kern w:val="0"/>
          <w:sz w:val="32"/>
          <w:szCs w:val="32"/>
          <w:highlight w:val="none"/>
          <w:shd w:val="clear" w:color="auto" w:fill="FFFFFF"/>
          <w:lang w:val="en-US" w:eastAsia="zh-CN"/>
        </w:rPr>
        <w:t>二、收入决算情况说明</w:t>
      </w:r>
      <w:bookmarkEnd w:id="14"/>
      <w:bookmarkEnd w:id="15"/>
    </w:p>
    <w:p w14:paraId="67C74BCA">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本年收入合计725.16万元，其中：一般公共预算财政拨款收入725.16万元，占100%；政府性基金预算财政拨款收入0万元，占0%%；国有资本经营预算财政拨款收入0万元，占0%；上级补助收入0万元，占0%；事业收入0万元，占0%；经营收入0万元，占0%；附属单位上缴收入0万元，占0%；其他收入0万元，占0%。</w:t>
      </w:r>
    </w:p>
    <w:p w14:paraId="11D500F6">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03CA8FB3">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4" name="图表 4"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936CFC">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w:t>
      </w:r>
      <w:r>
        <w:rPr>
          <w:rFonts w:hint="eastAsia" w:ascii="仿宋_GB2312" w:hAnsi="仿宋_GB2312" w:eastAsia="仿宋_GB2312" w:cs="仿宋_GB2312"/>
          <w:bCs/>
          <w:kern w:val="2"/>
          <w:sz w:val="32"/>
          <w:szCs w:val="32"/>
          <w:lang w:val="en-US" w:eastAsia="zh-CN" w:bidi="ar-SA"/>
        </w:rPr>
        <w:t>图2：收入决算结构图</w:t>
      </w:r>
      <w:r>
        <w:rPr>
          <w:rFonts w:hint="eastAsia" w:ascii="Times New Roman" w:hAnsi="Times New Roman" w:eastAsia="仿宋_GB2312" w:cs="仿宋_GB2312"/>
          <w:color w:val="auto"/>
          <w:sz w:val="32"/>
          <w:szCs w:val="32"/>
          <w:highlight w:val="none"/>
          <w:lang w:eastAsia="zh-CN"/>
        </w:rPr>
        <w:t>）（</w:t>
      </w:r>
      <w:r>
        <w:rPr>
          <w:rFonts w:hint="eastAsia" w:ascii="仿宋_GB2312" w:hAnsi="仿宋_GB2312" w:eastAsia="仿宋_GB2312" w:cs="仿宋_GB2312"/>
          <w:bCs/>
          <w:kern w:val="2"/>
          <w:sz w:val="32"/>
          <w:szCs w:val="32"/>
          <w:lang w:val="en-US" w:eastAsia="zh-CN" w:bidi="ar-SA"/>
        </w:rPr>
        <w:t>饼状图</w:t>
      </w:r>
      <w:r>
        <w:rPr>
          <w:rFonts w:hint="eastAsia" w:ascii="Times New Roman" w:hAnsi="Times New Roman" w:eastAsia="仿宋_GB2312" w:cs="仿宋_GB2312"/>
          <w:color w:val="auto"/>
          <w:sz w:val="32"/>
          <w:szCs w:val="32"/>
          <w:highlight w:val="none"/>
          <w:lang w:eastAsia="zh-CN"/>
        </w:rPr>
        <w:t>）</w:t>
      </w:r>
    </w:p>
    <w:p w14:paraId="514182F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bookmarkStart w:id="16" w:name="_Toc15377207"/>
      <w:bookmarkStart w:id="17" w:name="_Toc15396605"/>
      <w:r>
        <w:rPr>
          <w:rFonts w:hint="eastAsia" w:ascii="Times New Roman" w:hAnsi="Times New Roman" w:eastAsia="黑体" w:cs="Times New Roman"/>
          <w:color w:val="000000"/>
          <w:kern w:val="0"/>
          <w:sz w:val="32"/>
          <w:szCs w:val="32"/>
          <w:highlight w:val="none"/>
          <w:shd w:val="clear" w:color="auto" w:fill="FFFFFF"/>
          <w:lang w:val="en-US" w:eastAsia="zh-CN"/>
        </w:rPr>
        <w:t>三、支出决算情况说明</w:t>
      </w:r>
      <w:bookmarkEnd w:id="16"/>
      <w:bookmarkEnd w:id="17"/>
    </w:p>
    <w:p w14:paraId="618F7C1E">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2024年度本年支出合计725.16万元，其中：基本支出632.08万元，占87.16%；项目支出93.08万元，占12.83%；上缴上级支出0万元，占0%；经营支出0万元，占0%；对附属单位补助支出0万元，占0%。</w:t>
      </w:r>
    </w:p>
    <w:p w14:paraId="6F00D8F2">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353578BB">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581FF6D6">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60F7CBAE">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0326A7F8">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drawing>
          <wp:anchor distT="0" distB="0" distL="114300" distR="114300" simplePos="0" relativeHeight="251660288" behindDoc="1" locked="0" layoutInCell="1" allowOverlap="1">
            <wp:simplePos x="0" y="0"/>
            <wp:positionH relativeFrom="column">
              <wp:posOffset>410845</wp:posOffset>
            </wp:positionH>
            <wp:positionV relativeFrom="paragraph">
              <wp:posOffset>-1366520</wp:posOffset>
            </wp:positionV>
            <wp:extent cx="4173220" cy="2571750"/>
            <wp:effectExtent l="4445" t="5080" r="13335" b="1397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D060B84">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4C73DB67">
      <w:pPr>
        <w:pStyle w:val="8"/>
        <w:rPr>
          <w:rFonts w:hint="eastAsia"/>
          <w:lang w:eastAsia="zh-CN"/>
        </w:rPr>
      </w:pPr>
    </w:p>
    <w:p w14:paraId="09D362D6">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w:t>
      </w:r>
      <w:r>
        <w:rPr>
          <w:rFonts w:hint="eastAsia" w:ascii="仿宋_GB2312" w:hAnsi="仿宋_GB2312" w:eastAsia="仿宋_GB2312" w:cs="仿宋_GB2312"/>
          <w:bCs/>
          <w:kern w:val="2"/>
          <w:sz w:val="32"/>
          <w:szCs w:val="32"/>
          <w:lang w:val="en-US" w:eastAsia="zh-CN" w:bidi="ar-SA"/>
        </w:rPr>
        <w:t>图3：支出决算结构图）（饼状图</w:t>
      </w:r>
      <w:r>
        <w:rPr>
          <w:rFonts w:hint="eastAsia" w:ascii="Times New Roman" w:hAnsi="Times New Roman" w:eastAsia="仿宋_GB2312" w:cs="仿宋_GB2312"/>
          <w:color w:val="auto"/>
          <w:sz w:val="32"/>
          <w:szCs w:val="32"/>
          <w:highlight w:val="none"/>
          <w:lang w:eastAsia="zh-CN"/>
        </w:rPr>
        <w:t>）</w:t>
      </w:r>
    </w:p>
    <w:p w14:paraId="18593CB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bookmarkStart w:id="18" w:name="_Toc15396606"/>
      <w:bookmarkStart w:id="19" w:name="_Toc15377208"/>
      <w:r>
        <w:rPr>
          <w:rFonts w:hint="eastAsia" w:ascii="Times New Roman" w:hAnsi="Times New Roman" w:eastAsia="黑体" w:cs="Times New Roman"/>
          <w:color w:val="000000"/>
          <w:kern w:val="0"/>
          <w:sz w:val="32"/>
          <w:szCs w:val="32"/>
          <w:highlight w:val="none"/>
          <w:shd w:val="clear" w:color="auto" w:fill="FFFFFF"/>
          <w:lang w:val="en-US" w:eastAsia="zh-CN"/>
        </w:rPr>
        <w:t>四、财政拨款收入支出决算总体情况说明</w:t>
      </w:r>
      <w:bookmarkEnd w:id="18"/>
      <w:bookmarkEnd w:id="19"/>
    </w:p>
    <w:p w14:paraId="52DF7236">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2024年度财政拨款收入、支出总计均为725.16万元。与2023年度相比，财政拨款收入总计、支出总计各增加/减少142.34万元，下降16.41%。主要变动原因是项目经费减少和退休人员1个、调出人员2个调进人员1个。</w:t>
      </w:r>
    </w:p>
    <w:p w14:paraId="10F6241C">
      <w:pPr>
        <w:pStyle w:val="8"/>
        <w:rPr>
          <w:rFonts w:hint="default"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drawing>
          <wp:inline distT="0" distB="0" distL="114300" distR="114300">
            <wp:extent cx="5256530" cy="2988310"/>
            <wp:effectExtent l="5080" t="4445" r="15240" b="1714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0F46E2">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（图4：财政拨款收、支决算总计变动情况）（柱状图）</w:t>
      </w:r>
    </w:p>
    <w:p w14:paraId="2F614C2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bookmarkStart w:id="20" w:name="_Toc15377209"/>
      <w:bookmarkStart w:id="21" w:name="_Toc15396607"/>
      <w:r>
        <w:rPr>
          <w:rFonts w:hint="eastAsia" w:ascii="Times New Roman" w:hAnsi="Times New Roman" w:eastAsia="黑体" w:cs="Times New Roman"/>
          <w:color w:val="000000"/>
          <w:kern w:val="0"/>
          <w:sz w:val="32"/>
          <w:szCs w:val="32"/>
          <w:highlight w:val="none"/>
          <w:shd w:val="clear" w:color="auto" w:fill="FFFFFF"/>
          <w:lang w:val="en-US" w:eastAsia="zh-CN"/>
        </w:rPr>
        <w:t>五、一般公共预算财政拨款支出决算情况说明</w:t>
      </w:r>
      <w:bookmarkEnd w:id="20"/>
      <w:bookmarkEnd w:id="21"/>
    </w:p>
    <w:p w14:paraId="2E41DFF9">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bookmarkStart w:id="22" w:name="_Toc15377210"/>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（一）一般公共预算财政拨款支出决算总体情况</w:t>
      </w:r>
      <w:bookmarkEnd w:id="22"/>
    </w:p>
    <w:p w14:paraId="24890320">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一般公共预算财政拨款支出725.16万元，占本年支出合计的100%。与2023年度相比，一般公共预算财政拨款支出减少142.34万元，下降16.41%。主要变动原因是项目经费减少和退休人员1个、调出人员2个调进人员1个。</w:t>
      </w:r>
    </w:p>
    <w:p w14:paraId="74F03010">
      <w:pPr>
        <w:spacing w:line="600" w:lineRule="exact"/>
        <w:ind w:firstLine="640"/>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drawing>
          <wp:anchor distT="0" distB="0" distL="114300" distR="114300" simplePos="0" relativeHeight="251661312" behindDoc="1" locked="0" layoutInCell="1" allowOverlap="1">
            <wp:simplePos x="0" y="0"/>
            <wp:positionH relativeFrom="column">
              <wp:posOffset>307975</wp:posOffset>
            </wp:positionH>
            <wp:positionV relativeFrom="paragraph">
              <wp:posOffset>66040</wp:posOffset>
            </wp:positionV>
            <wp:extent cx="5029835" cy="2643505"/>
            <wp:effectExtent l="4445" t="4445" r="13970" b="1905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9AFD05E">
      <w:pPr>
        <w:pStyle w:val="8"/>
        <w:rPr>
          <w:rFonts w:hint="eastAsia" w:eastAsia="仿宋_GB2312" w:cs="仿宋_GB2312"/>
          <w:color w:val="auto"/>
          <w:sz w:val="32"/>
          <w:szCs w:val="32"/>
          <w:highlight w:val="none"/>
          <w:lang w:val="en-US" w:eastAsia="zh-CN"/>
        </w:rPr>
      </w:pPr>
    </w:p>
    <w:p w14:paraId="48B197F8">
      <w:pPr>
        <w:pStyle w:val="17"/>
        <w:rPr>
          <w:rFonts w:hint="eastAsia" w:eastAsia="仿宋_GB2312" w:cs="仿宋_GB2312"/>
          <w:color w:val="auto"/>
          <w:sz w:val="32"/>
          <w:szCs w:val="32"/>
          <w:highlight w:val="none"/>
          <w:lang w:val="en-US" w:eastAsia="zh-CN"/>
        </w:rPr>
      </w:pPr>
    </w:p>
    <w:p w14:paraId="08242348">
      <w:pPr>
        <w:pStyle w:val="17"/>
        <w:rPr>
          <w:rFonts w:hint="eastAsia" w:eastAsia="仿宋_GB2312" w:cs="仿宋_GB2312"/>
          <w:color w:val="auto"/>
          <w:sz w:val="32"/>
          <w:szCs w:val="32"/>
          <w:highlight w:val="none"/>
          <w:lang w:val="en-US" w:eastAsia="zh-CN"/>
        </w:rPr>
      </w:pPr>
    </w:p>
    <w:p w14:paraId="5E540E9C">
      <w:pPr>
        <w:pStyle w:val="17"/>
        <w:rPr>
          <w:rFonts w:hint="eastAsia" w:eastAsia="仿宋_GB2312" w:cs="仿宋_GB2312"/>
          <w:color w:val="auto"/>
          <w:sz w:val="32"/>
          <w:szCs w:val="32"/>
          <w:highlight w:val="none"/>
          <w:lang w:val="en-US" w:eastAsia="zh-CN"/>
        </w:rPr>
      </w:pPr>
    </w:p>
    <w:p w14:paraId="10B9D24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7865E7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A2DF91D">
      <w:pPr>
        <w:ind w:firstLine="800" w:firstLineChars="25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bCs/>
          <w:kern w:val="2"/>
          <w:sz w:val="32"/>
          <w:szCs w:val="32"/>
          <w:lang w:val="en-US" w:eastAsia="zh-CN" w:bidi="ar-SA"/>
        </w:rPr>
        <w:t>（图5：一般公共预算财政拨款支出决算变动情况）（柱状图）</w:t>
      </w:r>
    </w:p>
    <w:p w14:paraId="18FBB833">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bookmarkStart w:id="23" w:name="_Toc15377211"/>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（二）一般公共预算财政拨款支出决算结构情况</w:t>
      </w:r>
      <w:bookmarkEnd w:id="23"/>
    </w:p>
    <w:p w14:paraId="701E60DD">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一般公共预算财政拨款支出725.16万元，主要用于以下方面：一般公共服务支出462.95万元，占63.84%；文化旅游体育与传媒支出93.08万元，占12.84%；社会保障和就业支出86.04万元，占11.86%；卫生健康支出36.64万元，占5.05%；住房保障支出46.45万元，占6.41%。</w:t>
      </w:r>
    </w:p>
    <w:p w14:paraId="1DD97D28">
      <w:pPr>
        <w:pStyle w:val="8"/>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drawing>
          <wp:anchor distT="0" distB="0" distL="114300" distR="114300" simplePos="0" relativeHeight="251662336" behindDoc="1" locked="0" layoutInCell="1" allowOverlap="1">
            <wp:simplePos x="0" y="0"/>
            <wp:positionH relativeFrom="column">
              <wp:posOffset>-19050</wp:posOffset>
            </wp:positionH>
            <wp:positionV relativeFrom="paragraph">
              <wp:posOffset>156210</wp:posOffset>
            </wp:positionV>
            <wp:extent cx="4983480" cy="2012315"/>
            <wp:effectExtent l="4445" t="4445" r="22225" b="2159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8C43922">
      <w:pPr>
        <w:pStyle w:val="17"/>
        <w:rPr>
          <w:rFonts w:hint="eastAsia" w:eastAsia="仿宋_GB2312" w:cs="仿宋_GB2312"/>
          <w:color w:val="auto"/>
          <w:kern w:val="2"/>
          <w:sz w:val="32"/>
          <w:szCs w:val="32"/>
          <w:highlight w:val="none"/>
          <w:lang w:val="en-US" w:eastAsia="zh-CN" w:bidi="ar-SA"/>
        </w:rPr>
      </w:pPr>
    </w:p>
    <w:p w14:paraId="08A53319">
      <w:pPr>
        <w:pStyle w:val="17"/>
        <w:rPr>
          <w:rFonts w:hint="eastAsia" w:eastAsia="仿宋_GB2312" w:cs="仿宋_GB2312"/>
          <w:color w:val="auto"/>
          <w:kern w:val="2"/>
          <w:sz w:val="32"/>
          <w:szCs w:val="32"/>
          <w:highlight w:val="none"/>
          <w:lang w:val="en-US" w:eastAsia="zh-CN" w:bidi="ar-SA"/>
        </w:rPr>
      </w:pPr>
    </w:p>
    <w:p w14:paraId="75E6CA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766E6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E5E229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CCED082">
      <w:pPr>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（图6：一般公共预算财政拨款支出决算结构）（饼状图）</w:t>
      </w:r>
    </w:p>
    <w:p w14:paraId="3E800D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C98EAEE">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bookmarkStart w:id="24" w:name="_Toc15377212"/>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（三）一般公共预算财政拨款支出决算具体情况</w:t>
      </w:r>
      <w:bookmarkEnd w:id="24"/>
    </w:p>
    <w:p w14:paraId="39B49D65">
      <w:pPr>
        <w:ind w:firstLine="800" w:firstLineChars="250"/>
        <w:rPr>
          <w:rFonts w:hint="eastAsia" w:ascii="仿宋_GB2312" w:hAnsi="仿宋_GB2312" w:eastAsia="仿宋_GB2312" w:cs="仿宋_GB2312"/>
          <w:bCs/>
          <w:kern w:val="2"/>
          <w:sz w:val="32"/>
          <w:szCs w:val="32"/>
          <w:lang w:val="en-US" w:eastAsia="zh-CN" w:bidi="ar-SA"/>
        </w:rPr>
      </w:pPr>
      <w:bookmarkStart w:id="25" w:name="_Toc15377444"/>
      <w:bookmarkStart w:id="26" w:name="_Toc15377213"/>
      <w:bookmarkStart w:id="27" w:name="_Toc15378460"/>
      <w:r>
        <w:rPr>
          <w:rFonts w:hint="eastAsia" w:ascii="仿宋_GB2312" w:hAnsi="仿宋_GB2312" w:eastAsia="仿宋_GB2312" w:cs="仿宋_GB2312"/>
          <w:bCs/>
          <w:kern w:val="2"/>
          <w:sz w:val="32"/>
          <w:szCs w:val="32"/>
          <w:lang w:val="en-US" w:eastAsia="zh-CN" w:bidi="ar-SA"/>
        </w:rPr>
        <w:t>2024年度一般公共预算财政拨款支出决算数为725.16，完成预算100%。其中：</w:t>
      </w:r>
      <w:bookmarkEnd w:id="25"/>
      <w:bookmarkEnd w:id="26"/>
      <w:bookmarkEnd w:id="27"/>
    </w:p>
    <w:p w14:paraId="630F49CE">
      <w:pPr>
        <w:numPr>
          <w:ilvl w:val="0"/>
          <w:numId w:val="0"/>
        </w:numPr>
        <w:spacing w:line="600" w:lineRule="exact"/>
        <w:ind w:firstLine="640" w:firstLineChars="20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1.一般公共服务（类）：2013301</w:t>
      </w:r>
      <w:r>
        <w:rPr>
          <w:rStyle w:val="21"/>
          <w:rFonts w:hint="eastAsia" w:ascii="仿宋" w:hAnsi="仿宋" w:eastAsia="仿宋" w:cs="Times New Roman"/>
          <w:b/>
          <w:bCs w:val="0"/>
          <w:color w:val="000000"/>
          <w:sz w:val="32"/>
          <w:szCs w:val="32"/>
          <w:lang w:val="en-US" w:eastAsia="zh-CN"/>
        </w:rPr>
        <w:t>行政运行</w:t>
      </w:r>
      <w:r>
        <w:rPr>
          <w:rFonts w:hint="eastAsia" w:ascii="仿宋_GB2312" w:hAnsi="仿宋_GB2312" w:eastAsia="仿宋_GB2312" w:cs="仿宋_GB2312"/>
          <w:bCs/>
          <w:kern w:val="2"/>
          <w:sz w:val="32"/>
          <w:szCs w:val="32"/>
          <w:lang w:val="en-US" w:eastAsia="zh-CN" w:bidi="ar-SA"/>
        </w:rPr>
        <w:t>支出决算30.94万元，完成预算100%，决算数小于预算数的原因是退休1人。2013350</w:t>
      </w:r>
      <w:r>
        <w:rPr>
          <w:rStyle w:val="21"/>
          <w:rFonts w:hint="eastAsia" w:ascii="仿宋" w:hAnsi="仿宋" w:eastAsia="仿宋" w:cs="Times New Roman"/>
          <w:b/>
          <w:bCs w:val="0"/>
          <w:color w:val="000000"/>
          <w:sz w:val="32"/>
          <w:szCs w:val="32"/>
          <w:lang w:val="en-US" w:eastAsia="zh-CN"/>
        </w:rPr>
        <w:t>事业运</w:t>
      </w:r>
      <w:r>
        <w:rPr>
          <w:rFonts w:hint="eastAsia" w:ascii="仿宋_GB2312" w:hAnsi="仿宋_GB2312" w:eastAsia="仿宋_GB2312" w:cs="仿宋_GB2312"/>
          <w:bCs/>
          <w:kern w:val="2"/>
          <w:sz w:val="32"/>
          <w:szCs w:val="32"/>
          <w:lang w:val="en-US" w:eastAsia="zh-CN" w:bidi="ar-SA"/>
        </w:rPr>
        <w:t>行支出决算432.01万元，完成预算100%，决算数小于预算数的原因是人员调出2人，调入1人。</w:t>
      </w:r>
    </w:p>
    <w:p w14:paraId="202EA632">
      <w:pPr>
        <w:spacing w:line="600" w:lineRule="exact"/>
        <w:ind w:firstLine="640"/>
        <w:rPr>
          <w:rFonts w:hint="eastAsia" w:ascii="仿宋" w:hAnsi="仿宋" w:eastAsia="仿宋" w:cs="仿宋"/>
          <w:color w:val="000000"/>
          <w:sz w:val="32"/>
          <w:szCs w:val="32"/>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bCs/>
          <w:kern w:val="2"/>
          <w:sz w:val="32"/>
          <w:szCs w:val="32"/>
          <w:lang w:val="en-US" w:eastAsia="zh-CN" w:bidi="ar-SA"/>
        </w:rPr>
        <w:t>文化旅游体育与传媒（类）：2070802</w:t>
      </w:r>
      <w:r>
        <w:rPr>
          <w:rStyle w:val="21"/>
          <w:rFonts w:hint="eastAsia" w:ascii="仿宋" w:hAnsi="仿宋" w:eastAsia="仿宋" w:cs="Times New Roman"/>
          <w:b/>
          <w:bCs w:val="0"/>
          <w:color w:val="000000"/>
          <w:sz w:val="32"/>
          <w:szCs w:val="32"/>
          <w:lang w:val="en-US" w:eastAsia="zh-CN"/>
        </w:rPr>
        <w:t>一般行政管理事务</w:t>
      </w:r>
      <w:r>
        <w:rPr>
          <w:rFonts w:hint="eastAsia" w:ascii="仿宋_GB2312" w:hAnsi="仿宋_GB2312" w:eastAsia="仿宋_GB2312" w:cs="仿宋_GB2312"/>
          <w:bCs/>
          <w:kern w:val="2"/>
          <w:sz w:val="32"/>
          <w:szCs w:val="32"/>
          <w:lang w:val="en-US" w:eastAsia="zh-CN" w:bidi="ar-SA"/>
        </w:rPr>
        <w:t>支出决算5.46万元，完成预算100%，决算数与预算数持平；2070899</w:t>
      </w:r>
      <w:r>
        <w:rPr>
          <w:rStyle w:val="21"/>
          <w:rFonts w:hint="eastAsia" w:ascii="仿宋" w:hAnsi="仿宋" w:eastAsia="仿宋" w:cs="Times New Roman"/>
          <w:b/>
          <w:bCs w:val="0"/>
          <w:color w:val="000000"/>
          <w:sz w:val="32"/>
          <w:szCs w:val="32"/>
          <w:lang w:val="en-US" w:eastAsia="zh-CN"/>
        </w:rPr>
        <w:t>其他广播电视</w:t>
      </w:r>
      <w:r>
        <w:rPr>
          <w:rFonts w:hint="eastAsia" w:ascii="仿宋_GB2312" w:hAnsi="仿宋_GB2312" w:eastAsia="仿宋_GB2312" w:cs="仿宋_GB2312"/>
          <w:bCs/>
          <w:kern w:val="2"/>
          <w:sz w:val="32"/>
          <w:szCs w:val="32"/>
          <w:lang w:val="en-US" w:eastAsia="zh-CN" w:bidi="ar-SA"/>
        </w:rPr>
        <w:t>支出决算72.62万元，完成预算100%，决算数小于预算数的原因是项目经费是2年期限，2024年未使用完，2025年继续使用；2079999</w:t>
      </w:r>
      <w:r>
        <w:rPr>
          <w:rStyle w:val="21"/>
          <w:rFonts w:hint="eastAsia" w:ascii="仿宋" w:hAnsi="仿宋" w:eastAsia="仿宋" w:cs="Times New Roman"/>
          <w:b/>
          <w:bCs w:val="0"/>
          <w:color w:val="000000"/>
          <w:sz w:val="32"/>
          <w:szCs w:val="32"/>
          <w:lang w:val="en-US" w:eastAsia="zh-CN"/>
        </w:rPr>
        <w:t>其他文化旅游体育与传媒</w:t>
      </w:r>
      <w:r>
        <w:rPr>
          <w:rFonts w:hint="eastAsia" w:ascii="仿宋_GB2312" w:hAnsi="仿宋_GB2312" w:eastAsia="仿宋_GB2312" w:cs="仿宋_GB2312"/>
          <w:bCs/>
          <w:kern w:val="2"/>
          <w:sz w:val="32"/>
          <w:szCs w:val="32"/>
          <w:lang w:val="en-US" w:eastAsia="zh-CN" w:bidi="ar-SA"/>
        </w:rPr>
        <w:t>支出决算14.97万元，完成预算99.84%，决算数小于预算数的原因是招标成交价小于预算数</w:t>
      </w:r>
      <w:r>
        <w:rPr>
          <w:rFonts w:hint="eastAsia" w:ascii="仿宋" w:hAnsi="仿宋" w:eastAsia="仿宋" w:cs="仿宋"/>
          <w:color w:val="000000"/>
          <w:sz w:val="32"/>
          <w:szCs w:val="32"/>
        </w:rPr>
        <w:t>。</w:t>
      </w:r>
    </w:p>
    <w:p w14:paraId="3FC99E57">
      <w:pPr>
        <w:spacing w:line="600" w:lineRule="exact"/>
        <w:ind w:firstLine="640"/>
        <w:rPr>
          <w:rFonts w:hint="eastAsia" w:ascii="仿宋" w:hAnsi="仿宋" w:eastAsia="仿宋" w:cs="仿宋"/>
          <w:color w:val="000000"/>
          <w:sz w:val="32"/>
          <w:szCs w:val="32"/>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bCs/>
          <w:kern w:val="2"/>
          <w:sz w:val="32"/>
          <w:szCs w:val="32"/>
          <w:lang w:val="en-US" w:eastAsia="zh-CN" w:bidi="ar-SA"/>
        </w:rPr>
        <w:t>社会保障和就业（类）：2080505</w:t>
      </w:r>
      <w:r>
        <w:rPr>
          <w:rStyle w:val="21"/>
          <w:rFonts w:hint="eastAsia" w:ascii="仿宋" w:hAnsi="仿宋" w:eastAsia="仿宋" w:cs="Times New Roman"/>
          <w:b/>
          <w:bCs w:val="0"/>
          <w:color w:val="000000"/>
          <w:sz w:val="32"/>
          <w:szCs w:val="32"/>
          <w:lang w:val="en-US" w:eastAsia="zh-CN"/>
        </w:rPr>
        <w:t>机关事业单位基本养老保险缴费</w:t>
      </w:r>
      <w:r>
        <w:rPr>
          <w:rFonts w:hint="eastAsia" w:ascii="仿宋_GB2312" w:hAnsi="仿宋_GB2312" w:eastAsia="仿宋_GB2312" w:cs="仿宋_GB2312"/>
          <w:bCs/>
          <w:kern w:val="2"/>
          <w:sz w:val="32"/>
          <w:szCs w:val="32"/>
          <w:lang w:val="en-US" w:eastAsia="zh-CN" w:bidi="ar-SA"/>
        </w:rPr>
        <w:t>支出决算57.36万元，完成预算100%，决算数与预算数持平。2080506</w:t>
      </w:r>
      <w:r>
        <w:rPr>
          <w:rStyle w:val="21"/>
          <w:rFonts w:hint="eastAsia" w:ascii="仿宋" w:hAnsi="仿宋" w:eastAsia="仿宋" w:cs="Times New Roman"/>
          <w:b/>
          <w:bCs w:val="0"/>
          <w:color w:val="000000"/>
          <w:sz w:val="32"/>
          <w:szCs w:val="32"/>
          <w:lang w:val="en-US" w:eastAsia="zh-CN"/>
        </w:rPr>
        <w:t>机关事业单位职业年金缴费</w:t>
      </w:r>
      <w:r>
        <w:rPr>
          <w:rFonts w:hint="eastAsia" w:ascii="仿宋_GB2312" w:hAnsi="仿宋_GB2312" w:eastAsia="仿宋_GB2312" w:cs="仿宋_GB2312"/>
          <w:bCs/>
          <w:kern w:val="2"/>
          <w:sz w:val="32"/>
          <w:szCs w:val="32"/>
          <w:lang w:val="en-US" w:eastAsia="zh-CN" w:bidi="ar-SA"/>
        </w:rPr>
        <w:t>支出决算28.68万元，完成预算100%，决算数与预算数持平。</w:t>
      </w:r>
    </w:p>
    <w:p w14:paraId="66E6AEA9">
      <w:pPr>
        <w:spacing w:line="600" w:lineRule="exact"/>
        <w:ind w:firstLine="640"/>
        <w:rPr>
          <w:rFonts w:hint="eastAsia" w:ascii="仿宋" w:hAnsi="仿宋" w:eastAsia="仿宋" w:cs="仿宋"/>
          <w:color w:val="000000"/>
          <w:sz w:val="32"/>
          <w:szCs w:val="32"/>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bCs/>
          <w:kern w:val="2"/>
          <w:sz w:val="32"/>
          <w:szCs w:val="32"/>
          <w:lang w:val="en-US" w:eastAsia="zh-CN" w:bidi="ar-SA"/>
        </w:rPr>
        <w:t>卫生健康（类）：2101101</w:t>
      </w:r>
      <w:r>
        <w:rPr>
          <w:rStyle w:val="21"/>
          <w:rFonts w:hint="eastAsia" w:ascii="仿宋" w:hAnsi="仿宋" w:eastAsia="仿宋" w:cs="Times New Roman"/>
          <w:b/>
          <w:bCs w:val="0"/>
          <w:color w:val="000000"/>
          <w:sz w:val="32"/>
          <w:szCs w:val="32"/>
          <w:lang w:val="en-US" w:eastAsia="zh-CN"/>
        </w:rPr>
        <w:t>行政单位医疗</w:t>
      </w:r>
      <w:r>
        <w:rPr>
          <w:rFonts w:hint="eastAsia" w:ascii="仿宋_GB2312" w:hAnsi="仿宋_GB2312" w:eastAsia="仿宋_GB2312" w:cs="仿宋_GB2312"/>
          <w:bCs/>
          <w:kern w:val="2"/>
          <w:sz w:val="32"/>
          <w:szCs w:val="32"/>
          <w:lang w:val="en-US" w:eastAsia="zh-CN" w:bidi="ar-SA"/>
        </w:rPr>
        <w:t>支出决算1.77万元，完成预算100%，决算数与预算数持平。2101102</w:t>
      </w:r>
      <w:r>
        <w:rPr>
          <w:rStyle w:val="21"/>
          <w:rFonts w:hint="eastAsia" w:ascii="仿宋" w:hAnsi="仿宋" w:eastAsia="仿宋" w:cs="Times New Roman"/>
          <w:b/>
          <w:bCs w:val="0"/>
          <w:color w:val="000000"/>
          <w:sz w:val="32"/>
          <w:szCs w:val="32"/>
          <w:lang w:val="en-US" w:eastAsia="zh-CN"/>
        </w:rPr>
        <w:t>事业单位医疗</w:t>
      </w:r>
      <w:r>
        <w:rPr>
          <w:rFonts w:hint="eastAsia" w:ascii="仿宋_GB2312" w:hAnsi="仿宋_GB2312" w:eastAsia="仿宋_GB2312" w:cs="仿宋_GB2312"/>
          <w:bCs/>
          <w:kern w:val="2"/>
          <w:sz w:val="32"/>
          <w:szCs w:val="32"/>
          <w:lang w:val="en-US" w:eastAsia="zh-CN" w:bidi="ar-SA"/>
        </w:rPr>
        <w:t>支出决算26.69万元，完成预算100%，决算数与预算数持平。</w:t>
      </w:r>
      <w:r>
        <w:rPr>
          <w:rFonts w:hint="eastAsia" w:eastAsia="仿宋_GB2312" w:cs="仿宋_GB2312"/>
          <w:color w:val="auto"/>
          <w:kern w:val="2"/>
          <w:sz w:val="32"/>
          <w:szCs w:val="32"/>
          <w:highlight w:val="none"/>
          <w:lang w:val="en-US" w:eastAsia="zh-CN" w:bidi="ar-SA"/>
        </w:rPr>
        <w:t>2101103</w:t>
      </w:r>
      <w:r>
        <w:rPr>
          <w:rStyle w:val="21"/>
          <w:rFonts w:hint="eastAsia" w:ascii="仿宋" w:hAnsi="仿宋" w:eastAsia="仿宋" w:cs="Times New Roman"/>
          <w:b/>
          <w:bCs w:val="0"/>
          <w:color w:val="000000"/>
          <w:sz w:val="32"/>
          <w:szCs w:val="32"/>
          <w:lang w:val="en-US" w:eastAsia="zh-CN"/>
        </w:rPr>
        <w:t>公务员医疗补助</w:t>
      </w:r>
      <w:r>
        <w:rPr>
          <w:rFonts w:hint="eastAsia" w:ascii="仿宋_GB2312" w:hAnsi="仿宋_GB2312" w:eastAsia="仿宋_GB2312" w:cs="仿宋_GB2312"/>
          <w:bCs/>
          <w:kern w:val="2"/>
          <w:sz w:val="32"/>
          <w:szCs w:val="32"/>
          <w:lang w:val="en-US" w:eastAsia="zh-CN" w:bidi="ar-SA"/>
        </w:rPr>
        <w:t>支出决算0.65万元，完成预算100%，决算数与预算数持平。2101199</w:t>
      </w:r>
      <w:r>
        <w:rPr>
          <w:rStyle w:val="21"/>
          <w:rFonts w:hint="eastAsia" w:ascii="仿宋" w:hAnsi="仿宋" w:eastAsia="仿宋" w:cs="Times New Roman"/>
          <w:b/>
          <w:bCs w:val="0"/>
          <w:color w:val="000000"/>
          <w:sz w:val="32"/>
          <w:szCs w:val="32"/>
          <w:lang w:val="en-US" w:eastAsia="zh-CN"/>
        </w:rPr>
        <w:t>其他行政事业单位医疗</w:t>
      </w:r>
      <w:r>
        <w:rPr>
          <w:rFonts w:hint="eastAsia" w:ascii="仿宋_GB2312" w:hAnsi="仿宋_GB2312" w:eastAsia="仿宋_GB2312" w:cs="仿宋_GB2312"/>
          <w:bCs/>
          <w:kern w:val="2"/>
          <w:sz w:val="32"/>
          <w:szCs w:val="32"/>
          <w:lang w:val="en-US" w:eastAsia="zh-CN" w:bidi="ar-SA"/>
        </w:rPr>
        <w:t>支出决算7.53万元，完成预算100%，决算数与预算数持平</w:t>
      </w:r>
      <w:r>
        <w:rPr>
          <w:rFonts w:hint="eastAsia" w:ascii="仿宋" w:hAnsi="仿宋" w:eastAsia="仿宋" w:cs="仿宋"/>
          <w:color w:val="000000"/>
          <w:sz w:val="32"/>
          <w:szCs w:val="32"/>
        </w:rPr>
        <w:t>。</w:t>
      </w:r>
    </w:p>
    <w:p w14:paraId="719FD97B">
      <w:pPr>
        <w:spacing w:line="600" w:lineRule="exact"/>
        <w:ind w:firstLine="640"/>
        <w:rPr>
          <w:rFonts w:hint="eastAsia"/>
          <w:lang w:val="en-US" w:eastAsia="zh-CN"/>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ascii="仿宋_GB2312" w:hAnsi="仿宋_GB2312" w:eastAsia="仿宋_GB2312" w:cs="仿宋_GB2312"/>
          <w:bCs/>
          <w:kern w:val="2"/>
          <w:sz w:val="32"/>
          <w:szCs w:val="32"/>
          <w:lang w:val="en-US" w:eastAsia="zh-CN" w:bidi="ar-SA"/>
        </w:rPr>
        <w:t>住房保障（类）：</w:t>
      </w:r>
      <w:r>
        <w:rPr>
          <w:rFonts w:hint="eastAsia" w:eastAsia="仿宋_GB2312" w:cs="仿宋_GB2312"/>
          <w:color w:val="auto"/>
          <w:kern w:val="2"/>
          <w:sz w:val="32"/>
          <w:szCs w:val="32"/>
          <w:highlight w:val="none"/>
          <w:lang w:val="en-US" w:eastAsia="zh-CN" w:bidi="ar-SA"/>
        </w:rPr>
        <w:t>2210201</w:t>
      </w:r>
      <w:r>
        <w:rPr>
          <w:rStyle w:val="21"/>
          <w:rFonts w:hint="eastAsia" w:ascii="仿宋" w:hAnsi="仿宋" w:eastAsia="仿宋" w:cs="Times New Roman"/>
          <w:b/>
          <w:bCs w:val="0"/>
          <w:color w:val="000000"/>
          <w:sz w:val="32"/>
          <w:szCs w:val="32"/>
          <w:lang w:val="en-US" w:eastAsia="zh-CN"/>
        </w:rPr>
        <w:t>住房公积金</w:t>
      </w:r>
      <w:r>
        <w:rPr>
          <w:rFonts w:hint="eastAsia" w:ascii="仿宋_GB2312" w:hAnsi="仿宋_GB2312" w:eastAsia="仿宋_GB2312" w:cs="仿宋_GB2312"/>
          <w:bCs/>
          <w:kern w:val="2"/>
          <w:sz w:val="32"/>
          <w:szCs w:val="32"/>
          <w:lang w:val="en-US" w:eastAsia="zh-CN" w:bidi="ar-SA"/>
        </w:rPr>
        <w:t>支出决算46.45万元，完成预算100%，决算数与预算数持平。</w:t>
      </w:r>
    </w:p>
    <w:p w14:paraId="2F32F61B">
      <w:pPr>
        <w:tabs>
          <w:tab w:val="right" w:pos="8306"/>
        </w:tabs>
        <w:spacing w:line="600" w:lineRule="exact"/>
        <w:ind w:firstLine="640"/>
        <w:outlineLvl w:val="1"/>
        <w:rPr>
          <w:rStyle w:val="33"/>
          <w:rFonts w:ascii="Times New Roman" w:hAnsi="Times New Roman"/>
          <w:color w:val="auto"/>
          <w:highlight w:val="none"/>
        </w:rPr>
      </w:pPr>
      <w:bookmarkStart w:id="28" w:name="_Toc15396608"/>
      <w:bookmarkStart w:id="29" w:name="_Toc15377214"/>
      <w:r>
        <w:rPr>
          <w:rFonts w:hint="eastAsia" w:ascii="Times New Roman" w:hAnsi="Times New Roman" w:eastAsia="黑体" w:cs="Times New Roman"/>
          <w:color w:val="000000"/>
          <w:kern w:val="0"/>
          <w:sz w:val="32"/>
          <w:szCs w:val="32"/>
          <w:highlight w:val="none"/>
          <w:shd w:val="clear" w:color="auto" w:fill="FFFFFF"/>
          <w:lang w:val="en-US" w:eastAsia="zh-CN"/>
        </w:rPr>
        <w:t>六、一般公共预算财政拨款基本支出决算情况说明</w:t>
      </w:r>
      <w:bookmarkEnd w:id="28"/>
      <w:bookmarkEnd w:id="29"/>
      <w:r>
        <w:rPr>
          <w:rStyle w:val="33"/>
          <w:rFonts w:ascii="Times New Roman" w:hAnsi="Times New Roman" w:eastAsia="黑体"/>
          <w:b w:val="0"/>
          <w:color w:val="auto"/>
          <w:highlight w:val="none"/>
        </w:rPr>
        <w:tab/>
      </w:r>
    </w:p>
    <w:p w14:paraId="1C013112">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2024年度一般公共预算财政拨款基本支出632.08万元，其中：</w:t>
      </w:r>
    </w:p>
    <w:p w14:paraId="3533FBDF">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人员经费596.46万元，主要包括：基本工资93.17万元、津贴补贴179.19万元、奖金64.74万元、伙食补助费0.00万元、绩效工资79.21万元、机关事业单位基本养老保险缴费57.36万元、职业年金缴费28.68万元、  职工基本医疗保险缴费28.45万元、公务员医疗补助缴费8.18万元、其他社会保障缴费8.63万元、住房公积金46.45万元、医疗费2.41万元。</w:t>
      </w:r>
      <w:r>
        <w:rPr>
          <w:rFonts w:hint="eastAsia" w:ascii="仿宋_GB2312" w:hAnsi="仿宋_GB2312" w:eastAsia="仿宋_GB2312" w:cs="仿宋_GB2312"/>
          <w:bCs/>
          <w:kern w:val="2"/>
          <w:sz w:val="32"/>
          <w:szCs w:val="32"/>
          <w:lang w:val="en-US" w:eastAsia="zh-CN" w:bidi="ar-SA"/>
        </w:rPr>
        <w:br w:type="textWrapping"/>
      </w:r>
      <w:r>
        <w:rPr>
          <w:rFonts w:hint="eastAsia" w:ascii="仿宋_GB2312" w:hAnsi="仿宋_GB2312" w:eastAsia="仿宋_GB2312" w:cs="仿宋_GB2312"/>
          <w:bCs/>
          <w:kern w:val="2"/>
          <w:sz w:val="32"/>
          <w:szCs w:val="32"/>
          <w:lang w:val="en-US" w:eastAsia="zh-CN" w:bidi="ar-SA"/>
        </w:rPr>
        <w:t>　　公用经费35.62万元，主要包括：办公费10.7万元、印刷费0.13万元、水费0.37万元、电费0.5万元、邮电费0.7万元、差旅费16.04万元、维修（护）费0.74万元、工会经费4.5万元、公务用车运行维护费1.93万元。</w:t>
      </w:r>
    </w:p>
    <w:p w14:paraId="0EAEADF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bookmarkStart w:id="30" w:name="_Toc15396609"/>
      <w:bookmarkStart w:id="31" w:name="_Toc15377215"/>
      <w:r>
        <w:rPr>
          <w:rFonts w:hint="eastAsia" w:ascii="Times New Roman" w:hAnsi="Times New Roman" w:eastAsia="黑体" w:cs="Times New Roman"/>
          <w:color w:val="000000"/>
          <w:kern w:val="0"/>
          <w:sz w:val="32"/>
          <w:szCs w:val="32"/>
          <w:highlight w:val="none"/>
          <w:shd w:val="clear" w:color="auto" w:fill="FFFFFF"/>
          <w:lang w:val="en-US" w:eastAsia="zh-CN"/>
        </w:rPr>
        <w:t>七、财政拨款“三公”经费支出决算情况说明</w:t>
      </w:r>
      <w:bookmarkEnd w:id="30"/>
      <w:bookmarkEnd w:id="31"/>
    </w:p>
    <w:p w14:paraId="449509F9">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bookmarkStart w:id="32" w:name="_Toc15377216"/>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（一）“三公”经费财政拨款支出决算总体情况说明</w:t>
      </w:r>
      <w:bookmarkEnd w:id="32"/>
    </w:p>
    <w:p w14:paraId="219033C7">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2024年度“三公”经费财政拨款支出决算为1.93万元，完成预算73.68%，较上年度减少0.83万元，下降31.09%。决算数小于预算数的主要原因是未产生公务接待。</w:t>
      </w:r>
      <w:bookmarkStart w:id="33" w:name="_Toc15377217"/>
    </w:p>
    <w:p w14:paraId="1200BA8C">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（二）“三公”经费财政拨款支出决算具体情况说明</w:t>
      </w:r>
      <w:bookmarkEnd w:id="33"/>
    </w:p>
    <w:p w14:paraId="12812921">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2024年度“三公”经费财政拨款支出决算中，因公出国（境）费支出决算0万元，占0%；公务用车购置及运行维护费支出决算1.93万元，占100%；公务接待费支出决算0万元，占0%。具体情况如下：</w:t>
      </w:r>
    </w:p>
    <w:p w14:paraId="0D04832B">
      <w:pPr>
        <w:pStyle w:val="8"/>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drawing>
          <wp:inline distT="0" distB="0" distL="114300" distR="114300">
            <wp:extent cx="5256530" cy="2988310"/>
            <wp:effectExtent l="5080" t="4445" r="15240"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E4AA78">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（图7：“三公”经费财政拨款支出结构）（饼状图）</w:t>
      </w:r>
    </w:p>
    <w:p w14:paraId="41A0C81D">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bCs/>
          <w:kern w:val="2"/>
          <w:sz w:val="32"/>
          <w:szCs w:val="32"/>
          <w:lang w:val="en-US" w:eastAsia="zh-CN" w:bidi="ar-SA"/>
        </w:rPr>
        <w:t>全年安排因公出国（境）团组0次，出国（境）0人。</w:t>
      </w:r>
      <w:r>
        <w:rPr>
          <w:rFonts w:hint="default" w:ascii="仿宋_GB2312" w:hAnsi="仿宋_GB2312" w:eastAsia="仿宋_GB2312" w:cs="仿宋_GB2312"/>
          <w:bCs/>
          <w:kern w:val="2"/>
          <w:sz w:val="32"/>
          <w:szCs w:val="32"/>
          <w:lang w:val="en-US" w:eastAsia="zh-CN" w:bidi="ar-SA"/>
        </w:rPr>
        <w:t>因公出国（境）支出决算与202</w:t>
      </w:r>
      <w:r>
        <w:rPr>
          <w:rFonts w:hint="eastAsia" w:ascii="仿宋_GB2312" w:hAnsi="仿宋_GB2312" w:eastAsia="仿宋_GB2312" w:cs="仿宋_GB2312"/>
          <w:bCs/>
          <w:kern w:val="2"/>
          <w:sz w:val="32"/>
          <w:szCs w:val="32"/>
          <w:lang w:val="en-US" w:eastAsia="zh-CN" w:bidi="ar-SA"/>
        </w:rPr>
        <w:t>3</w:t>
      </w:r>
      <w:r>
        <w:rPr>
          <w:rFonts w:hint="default" w:ascii="仿宋_GB2312" w:hAnsi="仿宋_GB2312" w:eastAsia="仿宋_GB2312" w:cs="仿宋_GB2312"/>
          <w:bCs/>
          <w:kern w:val="2"/>
          <w:sz w:val="32"/>
          <w:szCs w:val="32"/>
          <w:lang w:val="en-US" w:eastAsia="zh-CN" w:bidi="ar-SA"/>
        </w:rPr>
        <w:t>年持平。</w:t>
      </w:r>
    </w:p>
    <w:p w14:paraId="65D472A8">
      <w:pPr>
        <w:ind w:firstLine="803" w:firstLineChars="25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1.93万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bCs/>
          <w:kern w:val="2"/>
          <w:sz w:val="32"/>
          <w:szCs w:val="32"/>
          <w:lang w:val="en-US" w:eastAsia="zh-CN" w:bidi="ar-SA"/>
        </w:rPr>
        <w:t>公务用车购置及运行维护费支出决算比2023年度增加/减少0.83万元，下降31.09%。主要原因是2024年，中心严格执行财经纪律，厉行节约、控制各项支出。</w:t>
      </w:r>
    </w:p>
    <w:p w14:paraId="530B88C9">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其中：公务用车购置支出0万元。全年按规定更新购置公务用车0辆，其中：轿车0辆、金额0万元，越野车0辆、金额0万元，载客汽车0辆、金额0万元。截至2024年12月31日，单位共有公务用车1辆，其中：轿车1辆、越野车0辆、载客汽车0辆。</w:t>
      </w:r>
    </w:p>
    <w:p w14:paraId="03B07734">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公务用车运行维护费支出1.93万元。主要用于到各乡镇和县城周边采访、办事等所需的公务用车燃料费、维修费、保险费等支出。</w:t>
      </w:r>
    </w:p>
    <w:p w14:paraId="2FA4AAD7">
      <w:pPr>
        <w:pageBreakBefore w:val="0"/>
        <w:kinsoku/>
        <w:wordWrap/>
        <w:overflowPunct/>
        <w:topLinePunct w:val="0"/>
        <w:bidi w:val="0"/>
        <w:snapToGrid/>
        <w:spacing w:afterAutospacing="0" w:line="576" w:lineRule="exact"/>
        <w:ind w:firstLine="643" w:firstLineChars="200"/>
        <w:textAlignment w:val="auto"/>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bCs/>
          <w:kern w:val="2"/>
          <w:sz w:val="32"/>
          <w:szCs w:val="32"/>
          <w:lang w:val="en-US" w:eastAsia="zh-CN" w:bidi="ar-SA"/>
        </w:rPr>
        <w:t>公务接待费支出决算与2023年持平。</w:t>
      </w:r>
      <w:bookmarkStart w:id="34" w:name="_Toc15377218"/>
      <w:bookmarkStart w:id="35" w:name="_Toc15396610"/>
    </w:p>
    <w:p w14:paraId="6CF5F1D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r>
        <w:rPr>
          <w:rFonts w:hint="eastAsia" w:ascii="Times New Roman" w:hAnsi="Times New Roman" w:eastAsia="黑体" w:cs="Times New Roman"/>
          <w:color w:val="000000"/>
          <w:kern w:val="0"/>
          <w:sz w:val="32"/>
          <w:szCs w:val="32"/>
          <w:highlight w:val="none"/>
          <w:shd w:val="clear" w:color="auto" w:fill="FFFFFF"/>
          <w:lang w:val="en-US" w:eastAsia="zh-CN"/>
        </w:rPr>
        <w:t>八、政府性基金预算支出决算情况说明</w:t>
      </w:r>
      <w:bookmarkEnd w:id="34"/>
      <w:bookmarkEnd w:id="35"/>
    </w:p>
    <w:p w14:paraId="5FB25DD5">
      <w:pPr>
        <w:ind w:firstLine="800" w:firstLineChars="250"/>
        <w:rPr>
          <w:rFonts w:hint="default" w:ascii="仿宋_GB2312" w:hAnsi="仿宋_GB2312" w:eastAsia="仿宋_GB2312" w:cs="仿宋_GB2312"/>
          <w:bCs/>
          <w:kern w:val="2"/>
          <w:sz w:val="32"/>
          <w:szCs w:val="32"/>
          <w:lang w:val="en-US" w:eastAsia="zh-CN" w:bidi="ar-SA"/>
        </w:rPr>
      </w:pPr>
      <w:bookmarkStart w:id="36" w:name="_Toc15396611"/>
      <w:bookmarkStart w:id="37" w:name="_Toc15377219"/>
      <w:r>
        <w:rPr>
          <w:rFonts w:hint="default" w:ascii="仿宋_GB2312" w:hAnsi="仿宋_GB2312" w:eastAsia="仿宋_GB2312" w:cs="仿宋_GB2312"/>
          <w:bCs/>
          <w:kern w:val="2"/>
          <w:sz w:val="32"/>
          <w:szCs w:val="32"/>
          <w:lang w:val="en-US" w:eastAsia="zh-CN" w:bidi="ar-SA"/>
        </w:rPr>
        <w:t>202</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年度政府性基金预算财政拨款支出0万元。</w:t>
      </w:r>
    </w:p>
    <w:p w14:paraId="0B5BDAF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r>
        <w:rPr>
          <w:rFonts w:hint="eastAsia" w:ascii="Times New Roman" w:hAnsi="Times New Roman" w:eastAsia="黑体" w:cs="Times New Roman"/>
          <w:color w:val="000000"/>
          <w:kern w:val="0"/>
          <w:sz w:val="32"/>
          <w:szCs w:val="32"/>
          <w:highlight w:val="none"/>
          <w:shd w:val="clear" w:color="auto" w:fill="FFFFFF"/>
          <w:lang w:val="en-US" w:eastAsia="zh-CN"/>
        </w:rPr>
        <w:t>九、国有资本经营预算支出决算情况说明</w:t>
      </w:r>
      <w:bookmarkEnd w:id="36"/>
      <w:bookmarkEnd w:id="37"/>
    </w:p>
    <w:p w14:paraId="5A83761B">
      <w:pPr>
        <w:ind w:firstLine="800" w:firstLineChars="250"/>
        <w:rPr>
          <w:rFonts w:hint="eastAsia" w:ascii="仿宋_GB2312" w:hAnsi="仿宋_GB2312" w:eastAsia="仿宋_GB2312" w:cs="仿宋_GB2312"/>
          <w:bCs/>
          <w:kern w:val="2"/>
          <w:sz w:val="32"/>
          <w:szCs w:val="32"/>
          <w:lang w:val="en-US" w:eastAsia="zh-CN" w:bidi="ar-SA"/>
        </w:rPr>
      </w:pPr>
      <w:bookmarkStart w:id="38" w:name="_Toc15377221"/>
      <w:bookmarkStart w:id="39" w:name="_Toc15396612"/>
      <w:r>
        <w:rPr>
          <w:rFonts w:hint="default" w:ascii="仿宋_GB2312" w:hAnsi="仿宋_GB2312" w:eastAsia="仿宋_GB2312" w:cs="仿宋_GB2312"/>
          <w:bCs/>
          <w:kern w:val="2"/>
          <w:sz w:val="32"/>
          <w:szCs w:val="32"/>
          <w:lang w:val="en-US" w:eastAsia="zh-CN" w:bidi="ar-SA"/>
        </w:rPr>
        <w:t>202</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年度国有资本经营预算财政拨款支出0万元</w:t>
      </w:r>
      <w:r>
        <w:rPr>
          <w:rFonts w:hint="eastAsia" w:ascii="仿宋_GB2312" w:hAnsi="仿宋_GB2312" w:eastAsia="仿宋_GB2312" w:cs="仿宋_GB2312"/>
          <w:bCs/>
          <w:kern w:val="2"/>
          <w:sz w:val="32"/>
          <w:szCs w:val="32"/>
          <w:lang w:val="en-US" w:eastAsia="zh-CN" w:bidi="ar-SA"/>
        </w:rPr>
        <w:t>。</w:t>
      </w:r>
    </w:p>
    <w:p w14:paraId="36B0122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r>
        <w:rPr>
          <w:rFonts w:hint="eastAsia" w:ascii="Times New Roman" w:hAnsi="Times New Roman" w:eastAsia="黑体" w:cs="Times New Roman"/>
          <w:color w:val="000000"/>
          <w:kern w:val="0"/>
          <w:sz w:val="32"/>
          <w:szCs w:val="32"/>
          <w:highlight w:val="none"/>
          <w:shd w:val="clear" w:color="auto" w:fill="FFFFFF"/>
          <w:lang w:val="en-US" w:eastAsia="zh-CN"/>
        </w:rPr>
        <w:t>十、其他重要事项的情况说明</w:t>
      </w:r>
      <w:bookmarkEnd w:id="38"/>
      <w:bookmarkEnd w:id="39"/>
    </w:p>
    <w:p w14:paraId="2320DF45">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bookmarkStart w:id="40" w:name="_Toc15377222"/>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（一）机关运行经费支出情况</w:t>
      </w:r>
      <w:bookmarkEnd w:id="40"/>
    </w:p>
    <w:p w14:paraId="365A7C92">
      <w:pPr>
        <w:ind w:firstLine="800" w:firstLineChars="250"/>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2024年度，红原县融媒体中心机关运行经费支出2.33万元，比2023年度减少3.95万元，下降62.9%。主要原因是2024年，中心严格执行财经纪律，厉行节约、控制各项支出。</w:t>
      </w:r>
    </w:p>
    <w:p w14:paraId="3AAA63AC">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bookmarkStart w:id="41" w:name="_Toc15377223"/>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（二）政府采购支出情况</w:t>
      </w:r>
      <w:bookmarkEnd w:id="41"/>
    </w:p>
    <w:p w14:paraId="3D466E34">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红原县融媒体中心政府采购支出总额4.09万元，其中：政府采购货物支出4.09万元、政府采购工程支出0万元、政府采购服务支出0万元。主要用于中心演播大厅提升改造。授予中小企业合同金额4.09万元，占政府采购支出总额的100%，其中：授予小微企业合同金额0万元，占政府采购支出总额的0%。</w:t>
      </w:r>
    </w:p>
    <w:p w14:paraId="6CB1D7BB">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bookmarkStart w:id="42" w:name="_Toc15377224"/>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（三）国有资产占有使用情况</w:t>
      </w:r>
      <w:bookmarkEnd w:id="42"/>
    </w:p>
    <w:p w14:paraId="0E03E924">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截至2024年12月31日，红原县融媒体中心共有车辆1辆，其中：部级领导干部用车0辆、一般公务用车1辆，主要是用于日常采访和出差使用。</w:t>
      </w:r>
    </w:p>
    <w:p w14:paraId="796F9659">
      <w:pPr>
        <w:spacing w:line="600" w:lineRule="exact"/>
        <w:ind w:firstLine="643" w:firstLineChars="200"/>
        <w:outlineLvl w:val="2"/>
        <w:rPr>
          <w:rFonts w:hint="eastAsia" w:ascii="Times New Roman" w:hAnsi="Times New Roman" w:eastAsia="楷体_GB2312" w:cs="Times New Roman"/>
          <w:b/>
          <w:bCs/>
          <w:color w:val="000000"/>
          <w:kern w:val="0"/>
          <w:sz w:val="32"/>
          <w:szCs w:val="32"/>
          <w:highlight w:val="none"/>
          <w:shd w:val="clear" w:color="auto" w:fill="FFFFFF"/>
          <w:lang w:val="zh-CN" w:eastAsia="zh-CN" w:bidi="ar-SA"/>
        </w:rPr>
      </w:pP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（四）预算绩效管理情况</w:t>
      </w:r>
    </w:p>
    <w:p w14:paraId="280234A8">
      <w:pPr>
        <w:ind w:firstLine="800" w:firstLineChars="25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根据预算绩效管理要求，本单位在2024年度预算编制阶段，组织对2024年中央少数民族地区和边疆地区文化安全补助资金等8个项目开展了预算事前绩效评估，对8个项目编制了绩效目标，预算执行过程中，选取8个项目开展绩效监控。</w:t>
      </w:r>
    </w:p>
    <w:p w14:paraId="51AF675E">
      <w:pPr>
        <w:ind w:firstLine="800" w:firstLineChars="25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bCs/>
          <w:kern w:val="2"/>
          <w:sz w:val="32"/>
          <w:szCs w:val="32"/>
          <w:lang w:val="en-US" w:eastAsia="zh-CN" w:bidi="ar-SA"/>
        </w:rPr>
        <w:t>组织对2024年度一般公共预算、政府性基金预算、国有资本经营预算、社会保险基金预算以及资本资产、债券资金等全面开展绩效自评，形成红原县融媒体中心关于</w:t>
      </w:r>
      <w:r>
        <w:rPr>
          <w:rFonts w:hint="default" w:ascii="仿宋_GB2312" w:hAnsi="仿宋_GB2312" w:eastAsia="仿宋_GB2312" w:cs="仿宋_GB2312"/>
          <w:bCs/>
          <w:kern w:val="2"/>
          <w:sz w:val="32"/>
          <w:szCs w:val="32"/>
          <w:lang w:val="en-US" w:eastAsia="zh-CN" w:bidi="ar-SA"/>
        </w:rPr>
        <w:t>预算绩效</w:t>
      </w:r>
      <w:r>
        <w:rPr>
          <w:rFonts w:hint="eastAsia" w:ascii="仿宋_GB2312" w:hAnsi="仿宋_GB2312" w:eastAsia="仿宋_GB2312" w:cs="仿宋_GB2312"/>
          <w:bCs/>
          <w:kern w:val="2"/>
          <w:sz w:val="32"/>
          <w:szCs w:val="32"/>
          <w:lang w:val="en-US" w:eastAsia="zh-CN" w:bidi="ar-SA"/>
        </w:rPr>
        <w:t>自评的</w:t>
      </w:r>
      <w:r>
        <w:rPr>
          <w:rFonts w:hint="default" w:ascii="仿宋_GB2312" w:hAnsi="仿宋_GB2312" w:eastAsia="仿宋_GB2312" w:cs="仿宋_GB2312"/>
          <w:bCs/>
          <w:kern w:val="2"/>
          <w:sz w:val="32"/>
          <w:szCs w:val="32"/>
          <w:lang w:val="en-US" w:eastAsia="zh-CN" w:bidi="ar-SA"/>
        </w:rPr>
        <w:t>报告</w:t>
      </w:r>
      <w:r>
        <w:rPr>
          <w:rFonts w:hint="eastAsia" w:ascii="仿宋_GB2312" w:hAnsi="仿宋_GB2312" w:eastAsia="仿宋_GB2312" w:cs="仿宋_GB2312"/>
          <w:bCs/>
          <w:kern w:val="2"/>
          <w:sz w:val="32"/>
          <w:szCs w:val="32"/>
          <w:lang w:val="en-US" w:eastAsia="zh-CN" w:bidi="ar-SA"/>
        </w:rPr>
        <w:t>。其中，</w:t>
      </w:r>
      <w:r>
        <w:rPr>
          <w:rFonts w:hint="eastAsia" w:ascii="仿宋_GB2312" w:hAnsi="仿宋_GB2312" w:eastAsia="仿宋_GB2312" w:cs="仿宋_GB2312"/>
          <w:bCs/>
          <w:kern w:val="2"/>
          <w:sz w:val="32"/>
          <w:szCs w:val="32"/>
          <w:lang w:val="zh-CN" w:eastAsia="zh-CN" w:bidi="ar-SA"/>
        </w:rPr>
        <w:t>202</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年《红原县部门预算绩效评价指标体系》（自评表）评分得分9</w:t>
      </w:r>
      <w:r>
        <w:rPr>
          <w:rFonts w:hint="eastAsia" w:ascii="仿宋_GB2312" w:hAnsi="仿宋_GB2312" w:eastAsia="仿宋_GB2312" w:cs="仿宋_GB2312"/>
          <w:bCs/>
          <w:kern w:val="2"/>
          <w:sz w:val="32"/>
          <w:szCs w:val="32"/>
          <w:lang w:val="en-US" w:eastAsia="zh-CN" w:bidi="ar-SA"/>
        </w:rPr>
        <w:t>6</w:t>
      </w:r>
      <w:r>
        <w:rPr>
          <w:rFonts w:hint="eastAsia" w:ascii="仿宋_GB2312" w:hAnsi="仿宋_GB2312" w:eastAsia="仿宋_GB2312" w:cs="仿宋_GB2312"/>
          <w:bCs/>
          <w:kern w:val="2"/>
          <w:sz w:val="32"/>
          <w:szCs w:val="32"/>
          <w:lang w:val="zh-CN" w:eastAsia="zh-CN" w:bidi="ar-SA"/>
        </w:rPr>
        <w:t>分</w:t>
      </w:r>
      <w:r>
        <w:rPr>
          <w:rFonts w:hint="eastAsia" w:ascii="仿宋_GB2312" w:hAnsi="仿宋_GB2312" w:eastAsia="仿宋_GB2312" w:cs="仿宋_GB2312"/>
          <w:bCs/>
          <w:kern w:val="2"/>
          <w:sz w:val="32"/>
          <w:szCs w:val="32"/>
          <w:lang w:val="en-US" w:eastAsia="zh-CN" w:bidi="ar-SA"/>
        </w:rPr>
        <w:t>。绩效自评报告详见附件。</w:t>
      </w:r>
    </w:p>
    <w:p w14:paraId="75510B25">
      <w:pPr>
        <w:pStyle w:val="5"/>
        <w:jc w:val="center"/>
        <w:rPr>
          <w:rFonts w:hint="eastAsia" w:ascii="Times New Roman" w:hAnsi="Times New Roman" w:eastAsia="方正小标宋简体" w:cs="方正小标宋简体"/>
          <w:b w:val="0"/>
          <w:color w:val="auto"/>
          <w:highlight w:val="none"/>
        </w:rPr>
      </w:pPr>
      <w:bookmarkStart w:id="43" w:name="_Toc15377225"/>
      <w:bookmarkStart w:id="44" w:name="_Toc15396613"/>
      <w:r>
        <w:rPr>
          <w:rFonts w:hint="eastAsia" w:ascii="Times New Roman" w:hAnsi="Times New Roman" w:eastAsia="方正小标宋简体" w:cs="方正小标宋简体"/>
          <w:b w:val="0"/>
          <w:color w:val="auto"/>
          <w:highlight w:val="none"/>
        </w:rPr>
        <w:t>第</w:t>
      </w:r>
      <w:r>
        <w:rPr>
          <w:rFonts w:hint="eastAsia" w:ascii="Times New Roman" w:hAnsi="Times New Roman" w:eastAsia="方正小标宋简体" w:cs="方正小标宋简体"/>
          <w:b w:val="0"/>
          <w:color w:val="auto"/>
          <w:highlight w:val="none"/>
          <w:lang w:eastAsia="zh-CN"/>
        </w:rPr>
        <w:t>三</w:t>
      </w:r>
      <w:r>
        <w:rPr>
          <w:rFonts w:hint="eastAsia" w:ascii="Times New Roman" w:hAnsi="Times New Roman" w:eastAsia="方正小标宋简体" w:cs="方正小标宋简体"/>
          <w:b w:val="0"/>
          <w:color w:val="auto"/>
          <w:highlight w:val="none"/>
        </w:rPr>
        <w:t>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名词解释</w:t>
      </w:r>
      <w:bookmarkEnd w:id="43"/>
      <w:bookmarkEnd w:id="44"/>
    </w:p>
    <w:p w14:paraId="5DBB0E93">
      <w:pPr>
        <w:spacing w:line="600" w:lineRule="exact"/>
        <w:jc w:val="left"/>
        <w:rPr>
          <w:rFonts w:ascii="Times New Roman" w:hAnsi="Times New Roman"/>
          <w:b/>
          <w:color w:val="auto"/>
          <w:sz w:val="44"/>
          <w:szCs w:val="44"/>
          <w:highlight w:val="none"/>
        </w:rPr>
      </w:pPr>
    </w:p>
    <w:p w14:paraId="69C09B0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w:t>
      </w:r>
      <w:r>
        <w:rPr>
          <w:rFonts w:hint="eastAsia" w:ascii="仿宋_GB2312" w:hAnsi="仿宋_GB2312" w:eastAsia="仿宋_GB2312" w:cs="仿宋_GB2312"/>
          <w:bCs/>
          <w:kern w:val="2"/>
          <w:sz w:val="32"/>
          <w:szCs w:val="32"/>
          <w:lang w:val="en-US" w:eastAsia="zh-CN" w:bidi="ar-SA"/>
        </w:rPr>
        <w:t>财政拨款收入：指单位从同级财政部门取得的财政预算资金。</w:t>
      </w:r>
    </w:p>
    <w:p w14:paraId="5C94D50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w:t>
      </w:r>
      <w:r>
        <w:rPr>
          <w:rFonts w:hint="eastAsia" w:ascii="仿宋_GB2312" w:hAnsi="仿宋_GB2312" w:eastAsia="仿宋_GB2312" w:cs="仿宋_GB2312"/>
          <w:bCs/>
          <w:kern w:val="2"/>
          <w:sz w:val="32"/>
          <w:szCs w:val="32"/>
          <w:lang w:val="en-US" w:eastAsia="zh-CN" w:bidi="ar-SA"/>
        </w:rPr>
        <w:t>事业收入：指事业单位开展专业业务活动及辅助活动取得的收入。</w:t>
      </w:r>
    </w:p>
    <w:p w14:paraId="4E0E0C1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w:t>
      </w:r>
      <w:r>
        <w:rPr>
          <w:rFonts w:hint="eastAsia" w:ascii="仿宋_GB2312" w:hAnsi="仿宋_GB2312" w:eastAsia="仿宋_GB2312" w:cs="仿宋_GB2312"/>
          <w:bCs/>
          <w:kern w:val="2"/>
          <w:sz w:val="32"/>
          <w:szCs w:val="32"/>
          <w:lang w:val="en-US" w:eastAsia="zh-CN" w:bidi="ar-SA"/>
        </w:rPr>
        <w:t>经营收入：指事业单位在专业业务活动及其辅助活动之外开展非独立核算经营活动取得的收入。</w:t>
      </w:r>
    </w:p>
    <w:p w14:paraId="1679112B">
      <w:pPr>
        <w:spacing w:line="600" w:lineRule="exact"/>
        <w:ind w:firstLine="640"/>
        <w:rPr>
          <w:rFonts w:hint="eastAsia"/>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4.</w:t>
      </w:r>
      <w:r>
        <w:rPr>
          <w:rFonts w:hint="eastAsia" w:ascii="仿宋_GB2312" w:hAnsi="仿宋_GB2312" w:eastAsia="仿宋_GB2312" w:cs="仿宋_GB2312"/>
          <w:bCs/>
          <w:kern w:val="2"/>
          <w:sz w:val="32"/>
          <w:szCs w:val="32"/>
          <w:lang w:val="en-US" w:eastAsia="zh-CN" w:bidi="ar-SA"/>
        </w:rPr>
        <w:t>其他收入：指单位取得的除上述收入以外的各项收入。</w:t>
      </w:r>
    </w:p>
    <w:p w14:paraId="73B1BC26">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5.</w:t>
      </w:r>
      <w:r>
        <w:rPr>
          <w:rFonts w:hint="eastAsia" w:ascii="仿宋_GB2312" w:hAnsi="仿宋_GB2312" w:eastAsia="仿宋_GB2312" w:cs="仿宋_GB2312"/>
          <w:bCs/>
          <w:kern w:val="2"/>
          <w:sz w:val="32"/>
          <w:szCs w:val="32"/>
          <w:lang w:val="en-US" w:eastAsia="zh-CN" w:bidi="ar-SA"/>
        </w:rPr>
        <w:t xml:space="preserve">使用非财政拨款结余（含专用结余）：指事业单位使用以前年度积累的非财政拨款结余弥补当年收支差额的金额。 </w:t>
      </w:r>
    </w:p>
    <w:p w14:paraId="06953C1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6.</w:t>
      </w:r>
      <w:r>
        <w:rPr>
          <w:rFonts w:hint="eastAsia" w:ascii="仿宋_GB2312" w:hAnsi="仿宋_GB2312" w:eastAsia="仿宋_GB2312" w:cs="仿宋_GB2312"/>
          <w:bCs/>
          <w:kern w:val="2"/>
          <w:sz w:val="32"/>
          <w:szCs w:val="32"/>
          <w:lang w:val="en-US" w:eastAsia="zh-CN" w:bidi="ar-SA"/>
        </w:rPr>
        <w:t>年初结转和结余：指以前年度尚未完成、结转到本年按有关规定继续使用的资金。</w:t>
      </w:r>
      <w:r>
        <w:rPr>
          <w:rFonts w:hint="eastAsia" w:ascii="Times New Roman" w:hAnsi="Times New Roman" w:eastAsia="仿宋_GB2312" w:cs="仿宋_GB2312"/>
          <w:color w:val="auto"/>
          <w:kern w:val="2"/>
          <w:sz w:val="32"/>
          <w:szCs w:val="32"/>
          <w:highlight w:val="none"/>
          <w:lang w:val="en-US" w:eastAsia="zh-CN" w:bidi="ar-SA"/>
        </w:rPr>
        <w:t xml:space="preserve"> </w:t>
      </w:r>
    </w:p>
    <w:p w14:paraId="6AA6B3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7.</w:t>
      </w:r>
      <w:r>
        <w:rPr>
          <w:rFonts w:hint="eastAsia" w:ascii="仿宋_GB2312" w:hAnsi="仿宋_GB2312" w:eastAsia="仿宋_GB2312" w:cs="仿宋_GB2312"/>
          <w:bCs/>
          <w:kern w:val="2"/>
          <w:sz w:val="32"/>
          <w:szCs w:val="32"/>
          <w:lang w:val="en-US" w:eastAsia="zh-CN" w:bidi="ar-SA"/>
        </w:rPr>
        <w:t>结余分配：指事业单位按照会计制度规定缴纳的所得税、提取的专用结余以及转入非财政拨款结余的金额等。</w:t>
      </w:r>
    </w:p>
    <w:p w14:paraId="29F60ADE">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8.</w:t>
      </w:r>
      <w:r>
        <w:rPr>
          <w:rFonts w:hint="eastAsia" w:ascii="仿宋_GB2312" w:hAnsi="仿宋_GB2312" w:eastAsia="仿宋_GB2312" w:cs="仿宋_GB2312"/>
          <w:bCs/>
          <w:kern w:val="2"/>
          <w:sz w:val="32"/>
          <w:szCs w:val="32"/>
          <w:lang w:val="en-US" w:eastAsia="zh-CN" w:bidi="ar-SA"/>
        </w:rPr>
        <w:t>年末结转和结余：指单位按有关规定结转到下年或以后年度继续使用的资金。</w:t>
      </w:r>
    </w:p>
    <w:p w14:paraId="6F98DE63">
      <w:pPr>
        <w:pStyle w:val="16"/>
        <w:keepNext w:val="0"/>
        <w:keepLines w:val="0"/>
        <w:pageBreakBefore w:val="0"/>
        <w:widowControl/>
        <w:suppressLineNumbers w:val="0"/>
        <w:kinsoku/>
        <w:wordWrap/>
        <w:topLinePunct w:val="0"/>
        <w:bidi w:val="0"/>
        <w:spacing w:before="0" w:beforeAutospacing="0" w:after="0" w:afterAutospacing="0" w:line="576" w:lineRule="exact"/>
        <w:ind w:left="0" w:firstLine="643" w:firstLineChars="200"/>
        <w:jc w:val="left"/>
        <w:rPr>
          <w:rFonts w:hint="default" w:ascii="仿宋_GB2312" w:hAnsi="仿宋_GB2312" w:eastAsia="仿宋_GB2312" w:cs="仿宋_GB2312"/>
          <w:bCs/>
          <w:kern w:val="2"/>
          <w:sz w:val="32"/>
          <w:szCs w:val="32"/>
          <w:lang w:val="en-US" w:eastAsia="zh-CN" w:bidi="ar-SA"/>
        </w:rPr>
      </w:pPr>
      <w:r>
        <w:rPr>
          <w:rFonts w:hint="default" w:ascii="Times New Roman" w:hAnsi="Times New Roman" w:eastAsia="仿宋_GB2312" w:cs="仿宋_GB2312"/>
          <w:b/>
          <w:bCs/>
          <w:color w:val="auto"/>
          <w:kern w:val="2"/>
          <w:sz w:val="32"/>
          <w:szCs w:val="32"/>
          <w:highlight w:val="none"/>
          <w:lang w:val="zh-CN" w:eastAsia="zh-CN" w:bidi="ar-SA"/>
        </w:rPr>
        <w:t>9.</w:t>
      </w:r>
      <w:r>
        <w:rPr>
          <w:rFonts w:hint="default" w:ascii="仿宋_GB2312" w:hAnsi="仿宋_GB2312" w:eastAsia="仿宋_GB2312" w:cs="仿宋_GB2312"/>
          <w:bCs/>
          <w:kern w:val="2"/>
          <w:sz w:val="32"/>
          <w:szCs w:val="32"/>
          <w:lang w:val="zh-CN" w:eastAsia="zh-CN" w:bidi="ar-SA"/>
        </w:rPr>
        <w:t>一般公共服务</w:t>
      </w:r>
      <w:r>
        <w:rPr>
          <w:rFonts w:hint="eastAsia" w:ascii="仿宋_GB2312" w:hAnsi="仿宋_GB2312" w:eastAsia="仿宋_GB2312" w:cs="仿宋_GB2312"/>
          <w:bCs/>
          <w:kern w:val="2"/>
          <w:sz w:val="32"/>
          <w:szCs w:val="32"/>
          <w:lang w:val="en-US" w:eastAsia="zh-CN" w:bidi="ar-SA"/>
        </w:rPr>
        <w:t>支出</w:t>
      </w:r>
      <w:r>
        <w:rPr>
          <w:rFonts w:hint="default" w:ascii="仿宋_GB2312" w:hAnsi="仿宋_GB2312" w:eastAsia="仿宋_GB2312" w:cs="仿宋_GB2312"/>
          <w:bCs/>
          <w:kern w:val="2"/>
          <w:sz w:val="32"/>
          <w:szCs w:val="32"/>
          <w:lang w:val="zh-CN" w:eastAsia="zh-CN" w:bidi="ar-SA"/>
        </w:rPr>
        <w:t>：201类</w:t>
      </w:r>
      <w:r>
        <w:rPr>
          <w:rFonts w:hint="eastAsia" w:ascii="仿宋_GB2312" w:hAnsi="仿宋_GB2312" w:eastAsia="仿宋_GB2312" w:cs="仿宋_GB2312"/>
          <w:bCs/>
          <w:kern w:val="2"/>
          <w:sz w:val="32"/>
          <w:szCs w:val="32"/>
          <w:lang w:val="en-US" w:eastAsia="zh-CN" w:bidi="ar-SA"/>
        </w:rPr>
        <w:t>20132款组织</w:t>
      </w:r>
      <w:r>
        <w:rPr>
          <w:rFonts w:hint="default" w:ascii="仿宋_GB2312" w:hAnsi="仿宋_GB2312" w:eastAsia="仿宋_GB2312" w:cs="仿宋_GB2312"/>
          <w:bCs/>
          <w:kern w:val="2"/>
          <w:sz w:val="32"/>
          <w:szCs w:val="32"/>
          <w:lang w:val="zh-CN" w:eastAsia="zh-CN" w:bidi="ar-SA"/>
        </w:rPr>
        <w:t>事务，</w:t>
      </w:r>
      <w:r>
        <w:rPr>
          <w:rFonts w:hint="eastAsia" w:ascii="仿宋_GB2312" w:hAnsi="仿宋_GB2312" w:eastAsia="仿宋_GB2312" w:cs="仿宋_GB2312"/>
          <w:bCs/>
          <w:kern w:val="2"/>
          <w:sz w:val="32"/>
          <w:szCs w:val="32"/>
          <w:lang w:val="en-US" w:eastAsia="zh-CN" w:bidi="ar-SA"/>
        </w:rPr>
        <w:t>2013299项指其它组织事务支出</w:t>
      </w:r>
      <w:r>
        <w:rPr>
          <w:rFonts w:hint="eastAsia" w:ascii="仿宋_GB2312" w:hAnsi="仿宋_GB2312" w:eastAsia="仿宋_GB2312" w:cs="仿宋_GB2312"/>
          <w:bCs/>
          <w:kern w:val="2"/>
          <w:sz w:val="32"/>
          <w:szCs w:val="32"/>
          <w:lang w:val="zh-CN" w:eastAsia="zh-CN" w:bidi="ar-SA"/>
        </w:rPr>
        <w:t>。</w:t>
      </w:r>
      <w:r>
        <w:rPr>
          <w:rFonts w:hint="eastAsia" w:ascii="仿宋_GB2312" w:hAnsi="仿宋_GB2312" w:eastAsia="仿宋_GB2312" w:cs="仿宋_GB2312"/>
          <w:bCs/>
          <w:kern w:val="2"/>
          <w:sz w:val="32"/>
          <w:szCs w:val="32"/>
          <w:lang w:val="en-US" w:eastAsia="zh-CN" w:bidi="ar-SA"/>
        </w:rPr>
        <w:t>201类20133款宣传事务，2013310项指行政运行、2013350项指事业运行、2013399项指其他宣传事务支出。</w:t>
      </w:r>
    </w:p>
    <w:p w14:paraId="1D1D8A19">
      <w:pPr>
        <w:pStyle w:val="16"/>
        <w:keepNext w:val="0"/>
        <w:keepLines w:val="0"/>
        <w:pageBreakBefore w:val="0"/>
        <w:widowControl/>
        <w:suppressLineNumbers w:val="0"/>
        <w:kinsoku/>
        <w:wordWrap/>
        <w:topLinePunct w:val="0"/>
        <w:bidi w:val="0"/>
        <w:spacing w:before="0" w:beforeAutospacing="0" w:after="0" w:afterAutospacing="0" w:line="576" w:lineRule="exact"/>
        <w:ind w:left="0" w:firstLine="643" w:firstLineChars="200"/>
        <w:jc w:val="left"/>
        <w:rPr>
          <w:rFonts w:hint="default" w:ascii="仿宋_GB2312" w:hAnsi="仿宋_GB2312" w:eastAsia="仿宋_GB2312" w:cs="仿宋_GB2312"/>
          <w:bCs/>
          <w:kern w:val="2"/>
          <w:sz w:val="32"/>
          <w:szCs w:val="32"/>
          <w:lang w:val="en-US" w:eastAsia="zh-CN" w:bidi="ar-SA"/>
        </w:rPr>
      </w:pPr>
      <w:r>
        <w:rPr>
          <w:rFonts w:hint="default" w:ascii="Times New Roman" w:hAnsi="Times New Roman" w:eastAsia="仿宋_GB2312" w:cs="仿宋_GB2312"/>
          <w:b/>
          <w:bCs/>
          <w:color w:val="auto"/>
          <w:kern w:val="2"/>
          <w:sz w:val="32"/>
          <w:szCs w:val="32"/>
          <w:highlight w:val="none"/>
          <w:lang w:val="zh-CN" w:eastAsia="zh-CN" w:bidi="ar-SA"/>
        </w:rPr>
        <w:t>10.</w:t>
      </w:r>
      <w:r>
        <w:rPr>
          <w:rFonts w:hint="eastAsia" w:ascii="仿宋_GB2312" w:hAnsi="仿宋_GB2312" w:eastAsia="仿宋_GB2312" w:cs="仿宋_GB2312"/>
          <w:bCs/>
          <w:kern w:val="2"/>
          <w:sz w:val="32"/>
          <w:szCs w:val="32"/>
          <w:lang w:val="en-US" w:eastAsia="zh-CN" w:bidi="ar-SA"/>
        </w:rPr>
        <w:t>文化旅游体育与传媒支出</w:t>
      </w:r>
      <w:r>
        <w:rPr>
          <w:rFonts w:hint="default" w:ascii="仿宋_GB2312" w:hAnsi="仿宋_GB2312" w:eastAsia="仿宋_GB2312" w:cs="仿宋_GB2312"/>
          <w:bCs/>
          <w:kern w:val="2"/>
          <w:sz w:val="32"/>
          <w:szCs w:val="32"/>
          <w:lang w:val="zh-CN" w:eastAsia="zh-CN" w:bidi="ar-SA"/>
        </w:rPr>
        <w:t>：20</w:t>
      </w:r>
      <w:r>
        <w:rPr>
          <w:rFonts w:hint="eastAsia" w:ascii="仿宋_GB2312" w:hAnsi="仿宋_GB2312" w:eastAsia="仿宋_GB2312" w:cs="仿宋_GB2312"/>
          <w:bCs/>
          <w:kern w:val="2"/>
          <w:sz w:val="32"/>
          <w:szCs w:val="32"/>
          <w:lang w:val="en-US" w:eastAsia="zh-CN" w:bidi="ar-SA"/>
        </w:rPr>
        <w:t>7</w:t>
      </w:r>
      <w:r>
        <w:rPr>
          <w:rFonts w:hint="default" w:ascii="仿宋_GB2312" w:hAnsi="仿宋_GB2312" w:eastAsia="仿宋_GB2312" w:cs="仿宋_GB2312"/>
          <w:bCs/>
          <w:kern w:val="2"/>
          <w:sz w:val="32"/>
          <w:szCs w:val="32"/>
          <w:lang w:val="zh-CN" w:eastAsia="zh-CN" w:bidi="ar-SA"/>
        </w:rPr>
        <w:t>类20</w:t>
      </w:r>
      <w:r>
        <w:rPr>
          <w:rFonts w:hint="eastAsia" w:ascii="仿宋_GB2312" w:hAnsi="仿宋_GB2312" w:eastAsia="仿宋_GB2312" w:cs="仿宋_GB2312"/>
          <w:bCs/>
          <w:kern w:val="2"/>
          <w:sz w:val="32"/>
          <w:szCs w:val="32"/>
          <w:lang w:val="en-US" w:eastAsia="zh-CN" w:bidi="ar-SA"/>
        </w:rPr>
        <w:t>708</w:t>
      </w:r>
      <w:r>
        <w:rPr>
          <w:rFonts w:hint="default" w:ascii="仿宋_GB2312" w:hAnsi="仿宋_GB2312" w:eastAsia="仿宋_GB2312" w:cs="仿宋_GB2312"/>
          <w:bCs/>
          <w:kern w:val="2"/>
          <w:sz w:val="32"/>
          <w:szCs w:val="32"/>
          <w:lang w:val="zh-CN" w:eastAsia="zh-CN" w:bidi="ar-SA"/>
        </w:rPr>
        <w:t>款20</w:t>
      </w:r>
      <w:r>
        <w:rPr>
          <w:rFonts w:hint="eastAsia" w:ascii="仿宋_GB2312" w:hAnsi="仿宋_GB2312" w:eastAsia="仿宋_GB2312" w:cs="仿宋_GB2312"/>
          <w:bCs/>
          <w:kern w:val="2"/>
          <w:sz w:val="32"/>
          <w:szCs w:val="32"/>
          <w:lang w:val="en-US" w:eastAsia="zh-CN" w:bidi="ar-SA"/>
        </w:rPr>
        <w:t>70802项指一般行政管理事务支出</w:t>
      </w:r>
      <w:r>
        <w:rPr>
          <w:rFonts w:hint="default" w:ascii="仿宋_GB2312" w:hAnsi="仿宋_GB2312" w:eastAsia="仿宋_GB2312" w:cs="仿宋_GB2312"/>
          <w:bCs/>
          <w:kern w:val="2"/>
          <w:sz w:val="32"/>
          <w:szCs w:val="32"/>
          <w:lang w:val="zh-CN" w:eastAsia="zh-CN" w:bidi="ar-SA"/>
        </w:rPr>
        <w:t>，20</w:t>
      </w:r>
      <w:r>
        <w:rPr>
          <w:rFonts w:hint="eastAsia" w:ascii="仿宋_GB2312" w:hAnsi="仿宋_GB2312" w:eastAsia="仿宋_GB2312" w:cs="仿宋_GB2312"/>
          <w:bCs/>
          <w:kern w:val="2"/>
          <w:sz w:val="32"/>
          <w:szCs w:val="32"/>
          <w:lang w:val="en-US" w:eastAsia="zh-CN" w:bidi="ar-SA"/>
        </w:rPr>
        <w:t>70899项指其他广播电视支出。</w:t>
      </w:r>
    </w:p>
    <w:p w14:paraId="5814B404">
      <w:pPr>
        <w:pStyle w:val="16"/>
        <w:keepNext w:val="0"/>
        <w:keepLines w:val="0"/>
        <w:pageBreakBefore w:val="0"/>
        <w:widowControl/>
        <w:suppressLineNumbers w:val="0"/>
        <w:kinsoku/>
        <w:wordWrap/>
        <w:topLinePunct w:val="0"/>
        <w:bidi w:val="0"/>
        <w:spacing w:before="0" w:beforeAutospacing="0" w:after="0" w:afterAutospacing="0" w:line="576" w:lineRule="exact"/>
        <w:ind w:left="0" w:firstLine="643" w:firstLineChars="200"/>
        <w:jc w:val="left"/>
        <w:rPr>
          <w:rFonts w:hint="default" w:ascii="仿宋_GB2312" w:hAnsi="仿宋_GB2312" w:eastAsia="仿宋_GB2312" w:cs="仿宋_GB2312"/>
          <w:bCs/>
          <w:kern w:val="2"/>
          <w:sz w:val="32"/>
          <w:szCs w:val="32"/>
          <w:lang w:val="zh-CN" w:eastAsia="zh-CN" w:bidi="ar-SA"/>
        </w:rPr>
      </w:pPr>
      <w:r>
        <w:rPr>
          <w:rFonts w:hint="default" w:ascii="Times New Roman" w:hAnsi="Times New Roman" w:eastAsia="仿宋_GB2312" w:cs="仿宋_GB2312"/>
          <w:b/>
          <w:bCs/>
          <w:color w:val="auto"/>
          <w:kern w:val="2"/>
          <w:sz w:val="32"/>
          <w:szCs w:val="32"/>
          <w:highlight w:val="none"/>
          <w:lang w:val="zh-CN" w:eastAsia="zh-CN" w:bidi="ar-SA"/>
        </w:rPr>
        <w:t>11.</w:t>
      </w:r>
      <w:r>
        <w:rPr>
          <w:rFonts w:hint="eastAsia" w:ascii="仿宋_GB2312" w:hAnsi="仿宋_GB2312" w:eastAsia="仿宋_GB2312" w:cs="仿宋_GB2312"/>
          <w:bCs/>
          <w:kern w:val="2"/>
          <w:sz w:val="32"/>
          <w:szCs w:val="32"/>
          <w:lang w:val="en-US" w:eastAsia="zh-CN" w:bidi="ar-SA"/>
        </w:rPr>
        <w:t>社会保障和就业支出</w:t>
      </w:r>
      <w:r>
        <w:rPr>
          <w:rFonts w:hint="default" w:ascii="仿宋_GB2312" w:hAnsi="仿宋_GB2312" w:eastAsia="仿宋_GB2312" w:cs="仿宋_GB2312"/>
          <w:bCs/>
          <w:kern w:val="2"/>
          <w:sz w:val="32"/>
          <w:szCs w:val="32"/>
          <w:lang w:val="zh-CN" w:eastAsia="zh-CN" w:bidi="ar-SA"/>
        </w:rPr>
        <w:t>：2</w:t>
      </w:r>
      <w:r>
        <w:rPr>
          <w:rFonts w:hint="eastAsia" w:ascii="仿宋_GB2312" w:hAnsi="仿宋_GB2312" w:eastAsia="仿宋_GB2312" w:cs="仿宋_GB2312"/>
          <w:bCs/>
          <w:kern w:val="2"/>
          <w:sz w:val="32"/>
          <w:szCs w:val="32"/>
          <w:lang w:val="en-US" w:eastAsia="zh-CN" w:bidi="ar-SA"/>
        </w:rPr>
        <w:t>08</w:t>
      </w:r>
      <w:r>
        <w:rPr>
          <w:rFonts w:hint="default" w:ascii="仿宋_GB2312" w:hAnsi="仿宋_GB2312" w:eastAsia="仿宋_GB2312" w:cs="仿宋_GB2312"/>
          <w:bCs/>
          <w:kern w:val="2"/>
          <w:sz w:val="32"/>
          <w:szCs w:val="32"/>
          <w:lang w:val="zh-CN" w:eastAsia="zh-CN" w:bidi="ar-SA"/>
        </w:rPr>
        <w:t>类</w:t>
      </w:r>
      <w:r>
        <w:rPr>
          <w:rFonts w:hint="eastAsia" w:ascii="仿宋_GB2312" w:hAnsi="仿宋_GB2312" w:eastAsia="仿宋_GB2312" w:cs="仿宋_GB2312"/>
          <w:bCs/>
          <w:kern w:val="2"/>
          <w:sz w:val="32"/>
          <w:szCs w:val="32"/>
          <w:lang w:val="en-US" w:eastAsia="zh-CN" w:bidi="ar-SA"/>
        </w:rPr>
        <w:t>20805</w:t>
      </w:r>
      <w:r>
        <w:rPr>
          <w:rFonts w:hint="default" w:ascii="仿宋_GB2312" w:hAnsi="仿宋_GB2312" w:eastAsia="仿宋_GB2312" w:cs="仿宋_GB2312"/>
          <w:bCs/>
          <w:kern w:val="2"/>
          <w:sz w:val="32"/>
          <w:szCs w:val="32"/>
          <w:lang w:val="zh-CN" w:eastAsia="zh-CN" w:bidi="ar-SA"/>
        </w:rPr>
        <w:t>款</w:t>
      </w:r>
      <w:r>
        <w:rPr>
          <w:rFonts w:hint="eastAsia" w:ascii="仿宋_GB2312" w:hAnsi="仿宋_GB2312" w:eastAsia="仿宋_GB2312" w:cs="仿宋_GB2312"/>
          <w:bCs/>
          <w:kern w:val="2"/>
          <w:sz w:val="32"/>
          <w:szCs w:val="32"/>
          <w:lang w:val="en-US" w:eastAsia="zh-CN" w:bidi="ar-SA"/>
        </w:rPr>
        <w:t>2080505项指机关事业单位基本养老保险缴费支出</w:t>
      </w:r>
      <w:r>
        <w:rPr>
          <w:rFonts w:hint="default" w:ascii="仿宋_GB2312" w:hAnsi="仿宋_GB2312" w:eastAsia="仿宋_GB2312" w:cs="仿宋_GB2312"/>
          <w:bCs/>
          <w:kern w:val="2"/>
          <w:sz w:val="32"/>
          <w:szCs w:val="32"/>
          <w:lang w:val="zh-CN" w:eastAsia="zh-CN" w:bidi="ar-SA"/>
        </w:rPr>
        <w:t>、</w:t>
      </w:r>
      <w:r>
        <w:rPr>
          <w:rFonts w:hint="eastAsia" w:ascii="仿宋_GB2312" w:hAnsi="仿宋_GB2312" w:eastAsia="仿宋_GB2312" w:cs="仿宋_GB2312"/>
          <w:bCs/>
          <w:kern w:val="2"/>
          <w:sz w:val="32"/>
          <w:szCs w:val="32"/>
          <w:lang w:val="en-US" w:eastAsia="zh-CN" w:bidi="ar-SA"/>
        </w:rPr>
        <w:t>2080506</w:t>
      </w:r>
      <w:r>
        <w:rPr>
          <w:rFonts w:hint="default" w:ascii="仿宋_GB2312" w:hAnsi="仿宋_GB2312" w:eastAsia="仿宋_GB2312" w:cs="仿宋_GB2312"/>
          <w:bCs/>
          <w:kern w:val="2"/>
          <w:sz w:val="32"/>
          <w:szCs w:val="32"/>
          <w:lang w:val="zh-CN" w:eastAsia="zh-CN" w:bidi="ar-SA"/>
        </w:rPr>
        <w:t>项指</w:t>
      </w:r>
      <w:r>
        <w:rPr>
          <w:rFonts w:hint="eastAsia" w:ascii="仿宋_GB2312" w:hAnsi="仿宋_GB2312" w:eastAsia="仿宋_GB2312" w:cs="仿宋_GB2312"/>
          <w:bCs/>
          <w:kern w:val="2"/>
          <w:sz w:val="32"/>
          <w:szCs w:val="32"/>
          <w:lang w:val="en-US" w:eastAsia="zh-CN" w:bidi="ar-SA"/>
        </w:rPr>
        <w:t>机关</w:t>
      </w:r>
      <w:r>
        <w:rPr>
          <w:rFonts w:hint="default" w:ascii="仿宋_GB2312" w:hAnsi="仿宋_GB2312" w:eastAsia="仿宋_GB2312" w:cs="仿宋_GB2312"/>
          <w:bCs/>
          <w:kern w:val="2"/>
          <w:sz w:val="32"/>
          <w:szCs w:val="32"/>
          <w:lang w:val="zh-CN" w:eastAsia="zh-CN" w:bidi="ar-SA"/>
        </w:rPr>
        <w:t>事业单位</w:t>
      </w:r>
      <w:r>
        <w:rPr>
          <w:rFonts w:hint="eastAsia" w:ascii="仿宋_GB2312" w:hAnsi="仿宋_GB2312" w:eastAsia="仿宋_GB2312" w:cs="仿宋_GB2312"/>
          <w:bCs/>
          <w:kern w:val="2"/>
          <w:sz w:val="32"/>
          <w:szCs w:val="32"/>
          <w:lang w:val="en-US" w:eastAsia="zh-CN" w:bidi="ar-SA"/>
        </w:rPr>
        <w:t>职业年金缴费支出</w:t>
      </w:r>
      <w:r>
        <w:rPr>
          <w:rFonts w:hint="default" w:ascii="仿宋_GB2312" w:hAnsi="仿宋_GB2312" w:eastAsia="仿宋_GB2312" w:cs="仿宋_GB2312"/>
          <w:bCs/>
          <w:kern w:val="2"/>
          <w:sz w:val="32"/>
          <w:szCs w:val="32"/>
          <w:lang w:val="zh-CN" w:eastAsia="zh-CN" w:bidi="ar-SA"/>
        </w:rPr>
        <w:t>。</w:t>
      </w:r>
    </w:p>
    <w:p w14:paraId="323CF2C4">
      <w:pPr>
        <w:pStyle w:val="8"/>
        <w:pageBreakBefore w:val="0"/>
        <w:kinsoku/>
        <w:wordWrap/>
        <w:topLinePunct w:val="0"/>
        <w:bidi w:val="0"/>
        <w:spacing w:after="0" w:afterAutospacing="0" w:line="576" w:lineRule="exact"/>
        <w:ind w:firstLine="643" w:firstLineChars="200"/>
        <w:rPr>
          <w:rFonts w:hint="default"/>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12.</w:t>
      </w:r>
      <w:r>
        <w:rPr>
          <w:rFonts w:hint="eastAsia" w:ascii="仿宋_GB2312" w:hAnsi="仿宋_GB2312" w:eastAsia="仿宋_GB2312" w:cs="仿宋_GB2312"/>
          <w:bCs/>
          <w:kern w:val="2"/>
          <w:sz w:val="32"/>
          <w:szCs w:val="32"/>
          <w:lang w:val="en-US" w:eastAsia="zh-CN" w:bidi="ar-SA"/>
        </w:rPr>
        <w:t>卫生健康支出：210类21011款2101101项指行政单位医疗、2101102项指事业单位医疗、2101103项指公务员医疗补助、2101199项指其他行政事业单位医疗支出。</w:t>
      </w:r>
    </w:p>
    <w:p w14:paraId="514FEFE8">
      <w:pPr>
        <w:pStyle w:val="16"/>
        <w:keepNext w:val="0"/>
        <w:keepLines w:val="0"/>
        <w:pageBreakBefore w:val="0"/>
        <w:widowControl/>
        <w:suppressLineNumbers w:val="0"/>
        <w:kinsoku/>
        <w:wordWrap/>
        <w:topLinePunct w:val="0"/>
        <w:bidi w:val="0"/>
        <w:spacing w:before="0" w:beforeAutospacing="0" w:after="0" w:afterAutospacing="0" w:line="576" w:lineRule="exact"/>
        <w:ind w:left="0" w:firstLine="643" w:firstLineChars="200"/>
        <w:jc w:val="left"/>
        <w:rPr>
          <w:rFonts w:hint="default" w:ascii="仿宋_GB2312" w:hAnsi="仿宋_GB2312" w:eastAsia="仿宋_GB2312" w:cs="仿宋_GB2312"/>
          <w:bCs/>
          <w:kern w:val="2"/>
          <w:sz w:val="32"/>
          <w:szCs w:val="32"/>
          <w:lang w:val="zh-CN" w:eastAsia="zh-CN" w:bidi="ar-SA"/>
        </w:rPr>
      </w:pPr>
      <w:r>
        <w:rPr>
          <w:rFonts w:hint="default" w:ascii="Times New Roman" w:hAnsi="Times New Roman" w:eastAsia="仿宋_GB2312" w:cs="仿宋_GB2312"/>
          <w:b/>
          <w:bCs/>
          <w:color w:val="auto"/>
          <w:kern w:val="2"/>
          <w:sz w:val="32"/>
          <w:szCs w:val="32"/>
          <w:highlight w:val="none"/>
          <w:lang w:val="zh-CN" w:eastAsia="zh-CN" w:bidi="ar-SA"/>
        </w:rPr>
        <w:t>1</w:t>
      </w:r>
      <w:r>
        <w:rPr>
          <w:rFonts w:hint="eastAsia" w:ascii="Times New Roman" w:hAnsi="Times New Roman" w:eastAsia="仿宋_GB2312" w:cs="仿宋_GB2312"/>
          <w:b/>
          <w:bCs/>
          <w:color w:val="auto"/>
          <w:kern w:val="2"/>
          <w:sz w:val="32"/>
          <w:szCs w:val="32"/>
          <w:highlight w:val="none"/>
          <w:lang w:val="en-US" w:eastAsia="zh-CN" w:bidi="ar-SA"/>
        </w:rPr>
        <w:t>3</w:t>
      </w:r>
      <w:r>
        <w:rPr>
          <w:rFonts w:hint="default" w:ascii="Times New Roman" w:hAnsi="Times New Roman" w:eastAsia="仿宋_GB2312" w:cs="仿宋_GB2312"/>
          <w:b/>
          <w:bCs/>
          <w:color w:val="auto"/>
          <w:kern w:val="2"/>
          <w:sz w:val="32"/>
          <w:szCs w:val="32"/>
          <w:highlight w:val="none"/>
          <w:lang w:val="zh-CN" w:eastAsia="zh-CN" w:bidi="ar-SA"/>
        </w:rPr>
        <w:t>.</w:t>
      </w:r>
      <w:r>
        <w:rPr>
          <w:rFonts w:hint="default" w:ascii="仿宋_GB2312" w:hAnsi="仿宋_GB2312" w:eastAsia="仿宋_GB2312" w:cs="仿宋_GB2312"/>
          <w:bCs/>
          <w:kern w:val="2"/>
          <w:sz w:val="32"/>
          <w:szCs w:val="32"/>
          <w:lang w:val="zh-CN" w:eastAsia="zh-CN" w:bidi="ar-SA"/>
        </w:rPr>
        <w:t>住房保障</w:t>
      </w:r>
      <w:r>
        <w:rPr>
          <w:rFonts w:hint="eastAsia" w:ascii="仿宋_GB2312" w:hAnsi="仿宋_GB2312" w:eastAsia="仿宋_GB2312" w:cs="仿宋_GB2312"/>
          <w:bCs/>
          <w:kern w:val="2"/>
          <w:sz w:val="32"/>
          <w:szCs w:val="32"/>
          <w:lang w:val="en-US" w:eastAsia="zh-CN" w:bidi="ar-SA"/>
        </w:rPr>
        <w:t>支出</w:t>
      </w:r>
      <w:r>
        <w:rPr>
          <w:rFonts w:hint="default" w:ascii="仿宋_GB2312" w:hAnsi="仿宋_GB2312" w:eastAsia="仿宋_GB2312" w:cs="仿宋_GB2312"/>
          <w:bCs/>
          <w:kern w:val="2"/>
          <w:sz w:val="32"/>
          <w:szCs w:val="32"/>
          <w:lang w:val="zh-CN" w:eastAsia="zh-CN" w:bidi="ar-SA"/>
        </w:rPr>
        <w:t>：221类22102款2210201项指住房公积金。</w:t>
      </w:r>
    </w:p>
    <w:p w14:paraId="2BAAF23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14.</w:t>
      </w:r>
      <w:r>
        <w:rPr>
          <w:rFonts w:hint="eastAsia" w:ascii="仿宋_GB2312" w:hAnsi="仿宋_GB2312" w:eastAsia="仿宋_GB2312" w:cs="仿宋_GB2312"/>
          <w:bCs/>
          <w:kern w:val="2"/>
          <w:sz w:val="32"/>
          <w:szCs w:val="32"/>
          <w:lang w:val="en-US" w:eastAsia="zh-CN" w:bidi="ar-SA"/>
        </w:rPr>
        <w:t>基本支出：指为保障机构正常运转、完成日常工作任务而发生的人员支出和公用支出</w:t>
      </w:r>
      <w:r>
        <w:rPr>
          <w:rFonts w:hint="eastAsia" w:ascii="Times New Roman" w:hAnsi="Times New Roman" w:eastAsia="仿宋_GB2312" w:cs="仿宋_GB2312"/>
          <w:color w:val="auto"/>
          <w:kern w:val="2"/>
          <w:sz w:val="32"/>
          <w:szCs w:val="32"/>
          <w:highlight w:val="none"/>
          <w:lang w:val="en-US" w:eastAsia="zh-CN" w:bidi="ar-SA"/>
        </w:rPr>
        <w:t>。</w:t>
      </w:r>
    </w:p>
    <w:p w14:paraId="3BA380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15.</w:t>
      </w:r>
      <w:r>
        <w:rPr>
          <w:rFonts w:hint="eastAsia" w:ascii="仿宋_GB2312" w:hAnsi="仿宋_GB2312" w:eastAsia="仿宋_GB2312" w:cs="仿宋_GB2312"/>
          <w:bCs/>
          <w:kern w:val="2"/>
          <w:sz w:val="32"/>
          <w:szCs w:val="32"/>
          <w:lang w:val="en-US" w:eastAsia="zh-CN" w:bidi="ar-SA"/>
        </w:rPr>
        <w:t>项目支出：指在基本支出之外为完成特定行政任务和事业发展目标所发生的支出。</w:t>
      </w:r>
      <w:r>
        <w:rPr>
          <w:rFonts w:hint="eastAsia" w:ascii="Times New Roman" w:hAnsi="Times New Roman" w:eastAsia="仿宋_GB2312" w:cs="仿宋_GB2312"/>
          <w:color w:val="auto"/>
          <w:kern w:val="2"/>
          <w:sz w:val="32"/>
          <w:szCs w:val="32"/>
          <w:highlight w:val="none"/>
          <w:lang w:val="en-US" w:eastAsia="zh-CN" w:bidi="ar-SA"/>
        </w:rPr>
        <w:t xml:space="preserve"> </w:t>
      </w:r>
    </w:p>
    <w:p w14:paraId="6431846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16.</w:t>
      </w:r>
      <w:r>
        <w:rPr>
          <w:rFonts w:hint="eastAsia" w:ascii="仿宋_GB2312" w:hAnsi="仿宋_GB2312" w:eastAsia="仿宋_GB2312" w:cs="仿宋_GB2312"/>
          <w:bCs/>
          <w:kern w:val="2"/>
          <w:sz w:val="32"/>
          <w:szCs w:val="32"/>
          <w:lang w:val="en-US" w:eastAsia="zh-CN" w:bidi="ar-SA"/>
        </w:rPr>
        <w:t>经营支出：指事业单位在专业业务活动及其辅助活动之外开展非独立核算经营活动发生的支出。</w:t>
      </w:r>
    </w:p>
    <w:p w14:paraId="389A396C">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17.</w:t>
      </w:r>
      <w:r>
        <w:rPr>
          <w:rFonts w:hint="eastAsia" w:ascii="仿宋_GB2312" w:hAnsi="仿宋_GB2312" w:eastAsia="仿宋_GB2312" w:cs="仿宋_GB2312"/>
          <w:bCs/>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BE99DA">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val="0"/>
          <w:bCs w:val="0"/>
          <w:color w:val="auto"/>
          <w:kern w:val="2"/>
          <w:sz w:val="32"/>
          <w:szCs w:val="32"/>
          <w:highlight w:val="none"/>
          <w:lang w:val="en-US" w:eastAsia="zh-CN" w:bidi="ar-SA"/>
        </w:rPr>
        <w:t>18.</w:t>
      </w:r>
      <w:r>
        <w:rPr>
          <w:rFonts w:hint="eastAsia" w:ascii="仿宋_GB2312" w:hAnsi="仿宋_GB2312" w:eastAsia="仿宋_GB2312" w:cs="仿宋_GB2312"/>
          <w:bCs/>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AD28849">
      <w:pPr>
        <w:spacing w:line="600" w:lineRule="exact"/>
        <w:jc w:val="center"/>
        <w:rPr>
          <w:rFonts w:hint="eastAsia" w:ascii="Times New Roman" w:hAnsi="Times New Roman" w:eastAsia="黑体"/>
          <w:color w:val="auto"/>
          <w:sz w:val="44"/>
          <w:szCs w:val="44"/>
          <w:highlight w:val="none"/>
        </w:rPr>
      </w:pPr>
      <w:bookmarkStart w:id="45" w:name="_Toc15396614"/>
      <w:bookmarkStart w:id="46" w:name="_Toc15377226"/>
    </w:p>
    <w:p w14:paraId="3AA85D5C">
      <w:pPr>
        <w:spacing w:line="600" w:lineRule="exact"/>
        <w:jc w:val="center"/>
        <w:rPr>
          <w:rFonts w:hint="eastAsia" w:ascii="Times New Roman" w:hAnsi="Times New Roman" w:eastAsia="黑体"/>
          <w:color w:val="auto"/>
          <w:sz w:val="44"/>
          <w:szCs w:val="44"/>
          <w:highlight w:val="none"/>
        </w:rPr>
      </w:pPr>
    </w:p>
    <w:p w14:paraId="6F19CC71">
      <w:pPr>
        <w:spacing w:line="600" w:lineRule="exact"/>
        <w:jc w:val="center"/>
        <w:rPr>
          <w:rFonts w:hint="eastAsia" w:ascii="Times New Roman" w:hAnsi="Times New Roman" w:eastAsia="黑体"/>
          <w:color w:val="auto"/>
          <w:sz w:val="44"/>
          <w:szCs w:val="44"/>
          <w:highlight w:val="none"/>
        </w:rPr>
      </w:pPr>
    </w:p>
    <w:p w14:paraId="336772B2">
      <w:pPr>
        <w:spacing w:line="600" w:lineRule="exact"/>
        <w:jc w:val="center"/>
        <w:rPr>
          <w:rFonts w:hint="eastAsia" w:ascii="Times New Roman" w:hAnsi="Times New Roman" w:eastAsia="黑体"/>
          <w:color w:val="auto"/>
          <w:sz w:val="44"/>
          <w:szCs w:val="44"/>
          <w:highlight w:val="none"/>
        </w:rPr>
      </w:pPr>
    </w:p>
    <w:p w14:paraId="77EE622A">
      <w:pPr>
        <w:spacing w:line="600" w:lineRule="exact"/>
        <w:jc w:val="center"/>
        <w:rPr>
          <w:rFonts w:hint="eastAsia" w:ascii="Times New Roman" w:hAnsi="Times New Roman" w:eastAsia="黑体"/>
          <w:color w:val="auto"/>
          <w:sz w:val="44"/>
          <w:szCs w:val="44"/>
          <w:highlight w:val="none"/>
        </w:rPr>
      </w:pPr>
    </w:p>
    <w:p w14:paraId="25067807">
      <w:pPr>
        <w:spacing w:line="600" w:lineRule="exact"/>
        <w:jc w:val="center"/>
        <w:rPr>
          <w:rFonts w:hint="eastAsia" w:ascii="Times New Roman" w:hAnsi="Times New Roman" w:eastAsia="黑体"/>
          <w:color w:val="auto"/>
          <w:sz w:val="44"/>
          <w:szCs w:val="44"/>
          <w:highlight w:val="none"/>
        </w:rPr>
      </w:pPr>
    </w:p>
    <w:p w14:paraId="65874A8C">
      <w:pPr>
        <w:spacing w:line="600" w:lineRule="exact"/>
        <w:jc w:val="center"/>
        <w:rPr>
          <w:rFonts w:hint="eastAsia" w:ascii="Times New Roman" w:hAnsi="Times New Roman" w:eastAsia="黑体"/>
          <w:color w:val="auto"/>
          <w:sz w:val="44"/>
          <w:szCs w:val="44"/>
          <w:highlight w:val="none"/>
        </w:rPr>
      </w:pPr>
    </w:p>
    <w:p w14:paraId="38671775">
      <w:pPr>
        <w:spacing w:line="600" w:lineRule="exact"/>
        <w:jc w:val="center"/>
        <w:rPr>
          <w:rFonts w:hint="eastAsia" w:ascii="Times New Roman" w:hAnsi="Times New Roman" w:eastAsia="黑体"/>
          <w:color w:val="auto"/>
          <w:sz w:val="44"/>
          <w:szCs w:val="44"/>
          <w:highlight w:val="none"/>
        </w:rPr>
      </w:pPr>
    </w:p>
    <w:p w14:paraId="552EEAFC">
      <w:pPr>
        <w:spacing w:line="600" w:lineRule="exact"/>
        <w:jc w:val="center"/>
        <w:rPr>
          <w:rFonts w:hint="eastAsia" w:ascii="Times New Roman" w:hAnsi="Times New Roman" w:eastAsia="黑体"/>
          <w:color w:val="auto"/>
          <w:sz w:val="44"/>
          <w:szCs w:val="44"/>
          <w:highlight w:val="none"/>
        </w:rPr>
      </w:pPr>
    </w:p>
    <w:p w14:paraId="07882406">
      <w:pPr>
        <w:pStyle w:val="8"/>
        <w:rPr>
          <w:rFonts w:hint="eastAsia" w:ascii="Times New Roman" w:hAnsi="Times New Roman" w:eastAsia="黑体"/>
          <w:color w:val="auto"/>
          <w:sz w:val="44"/>
          <w:szCs w:val="44"/>
          <w:highlight w:val="none"/>
        </w:rPr>
      </w:pPr>
    </w:p>
    <w:p w14:paraId="5CB8147A">
      <w:pPr>
        <w:pStyle w:val="8"/>
        <w:rPr>
          <w:rFonts w:hint="eastAsia" w:ascii="Times New Roman" w:hAnsi="Times New Roman" w:eastAsia="黑体"/>
          <w:color w:val="auto"/>
          <w:sz w:val="44"/>
          <w:szCs w:val="44"/>
          <w:highlight w:val="none"/>
        </w:rPr>
      </w:pPr>
    </w:p>
    <w:p w14:paraId="5D9CA9C8">
      <w:pPr>
        <w:spacing w:line="600" w:lineRule="exact"/>
        <w:jc w:val="both"/>
        <w:rPr>
          <w:rFonts w:hint="eastAsia" w:ascii="Times New Roman" w:hAnsi="Times New Roman" w:eastAsia="黑体"/>
          <w:color w:val="auto"/>
          <w:sz w:val="44"/>
          <w:szCs w:val="44"/>
          <w:highlight w:val="none"/>
        </w:rPr>
      </w:pPr>
    </w:p>
    <w:p w14:paraId="649DD9EC">
      <w:pPr>
        <w:pStyle w:val="5"/>
        <w:jc w:val="center"/>
        <w:rPr>
          <w:rFonts w:hint="eastAsia" w:ascii="Times New Roman" w:hAnsi="Times New Roman" w:eastAsia="黑体" w:cs="黑体"/>
          <w:color w:val="FF0000"/>
          <w:sz w:val="32"/>
          <w:szCs w:val="32"/>
          <w:highlight w:val="none"/>
        </w:rPr>
      </w:pPr>
      <w:r>
        <w:rPr>
          <w:rFonts w:hint="eastAsia" w:ascii="Times New Roman" w:hAnsi="Times New Roman" w:eastAsia="方正小标宋简体" w:cs="方正小标宋简体"/>
          <w:b w:val="0"/>
          <w:color w:val="auto"/>
          <w:highlight w:val="none"/>
        </w:rPr>
        <w:t>第四部分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附件</w:t>
      </w:r>
      <w:bookmarkEnd w:id="45"/>
    </w:p>
    <w:p w14:paraId="14BC677D">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50D28965">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0275F100">
      <w:pPr>
        <w:keepNext w:val="0"/>
        <w:keepLines w:val="0"/>
        <w:pageBreakBefore w:val="0"/>
        <w:widowControl w:val="0"/>
        <w:kinsoku/>
        <w:wordWrap w:val="0"/>
        <w:overflowPunct/>
        <w:topLinePunct w:val="0"/>
        <w:autoSpaceDE/>
        <w:autoSpaceDN/>
        <w:bidi w:val="0"/>
        <w:adjustRightInd/>
        <w:snapToGrid/>
        <w:spacing w:line="576" w:lineRule="exact"/>
        <w:ind w:right="0" w:rightChars="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红原县融媒体中心</w:t>
      </w:r>
    </w:p>
    <w:p w14:paraId="4C331CE3">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eastAsia" w:ascii="方正小标宋_GBK" w:hAnsi="方正小标宋_GBK" w:eastAsia="方正小标宋_GBK" w:cs="方正小标宋_GBK"/>
          <w:b w:val="0"/>
          <w:bCs w:val="0"/>
          <w:sz w:val="44"/>
          <w:szCs w:val="44"/>
          <w:lang w:val="en-US" w:eastAsia="zh-CN"/>
        </w:rPr>
        <w:t>关于</w:t>
      </w:r>
      <w:r>
        <w:rPr>
          <w:rFonts w:hint="default" w:ascii="方正小标宋_GBK" w:hAnsi="方正小标宋_GBK" w:eastAsia="方正小标宋_GBK" w:cs="方正小标宋_GBK"/>
          <w:b w:val="0"/>
          <w:bCs w:val="0"/>
          <w:sz w:val="44"/>
          <w:szCs w:val="44"/>
          <w:lang w:eastAsia="zh-CN"/>
        </w:rPr>
        <w:t>预算</w:t>
      </w:r>
      <w:r>
        <w:rPr>
          <w:rFonts w:hint="default" w:ascii="方正小标宋_GBK" w:hAnsi="方正小标宋_GBK" w:eastAsia="方正小标宋_GBK" w:cs="方正小标宋_GBK"/>
          <w:b w:val="0"/>
          <w:bCs w:val="0"/>
          <w:sz w:val="44"/>
          <w:szCs w:val="44"/>
        </w:rPr>
        <w:t>绩效</w:t>
      </w:r>
      <w:r>
        <w:rPr>
          <w:rFonts w:hint="eastAsia" w:ascii="方正小标宋_GBK" w:hAnsi="方正小标宋_GBK" w:eastAsia="方正小标宋_GBK" w:cs="方正小标宋_GBK"/>
          <w:b w:val="0"/>
          <w:bCs w:val="0"/>
          <w:sz w:val="44"/>
          <w:szCs w:val="44"/>
          <w:lang w:eastAsia="zh-CN"/>
        </w:rPr>
        <w:t>自评</w:t>
      </w:r>
      <w:r>
        <w:rPr>
          <w:rFonts w:hint="eastAsia" w:ascii="方正小标宋_GBK" w:hAnsi="方正小标宋_GBK" w:eastAsia="方正小标宋_GBK" w:cs="方正小标宋_GBK"/>
          <w:b w:val="0"/>
          <w:bCs w:val="0"/>
          <w:sz w:val="44"/>
          <w:szCs w:val="44"/>
          <w:lang w:val="en-US" w:eastAsia="zh-CN"/>
        </w:rPr>
        <w:t>的</w:t>
      </w:r>
      <w:r>
        <w:rPr>
          <w:rFonts w:hint="default" w:ascii="方正小标宋_GBK" w:hAnsi="方正小标宋_GBK" w:eastAsia="方正小标宋_GBK" w:cs="方正小标宋_GBK"/>
          <w:b w:val="0"/>
          <w:bCs w:val="0"/>
          <w:sz w:val="44"/>
          <w:szCs w:val="44"/>
        </w:rPr>
        <w:t>报告</w:t>
      </w:r>
    </w:p>
    <w:p w14:paraId="4173D35B">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604B91E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eastAsia" w:ascii="Times New Roman" w:hAnsi="Times New Roman" w:eastAsia="黑体" w:cs="Times New Roman"/>
          <w:color w:val="000000"/>
          <w:kern w:val="0"/>
          <w:sz w:val="32"/>
          <w:szCs w:val="32"/>
          <w:highlight w:val="none"/>
          <w:shd w:val="clear" w:color="auto" w:fill="FFFFFF"/>
          <w:lang w:val="zh-CN" w:eastAsia="zh-CN"/>
        </w:rPr>
        <w:t>一、</w:t>
      </w:r>
      <w:r>
        <w:rPr>
          <w:rFonts w:hint="default" w:ascii="Times New Roman" w:hAnsi="Times New Roman" w:eastAsia="黑体" w:cs="Times New Roman"/>
          <w:color w:val="000000"/>
          <w:kern w:val="0"/>
          <w:sz w:val="32"/>
          <w:szCs w:val="32"/>
          <w:highlight w:val="none"/>
          <w:shd w:val="clear" w:color="auto" w:fill="FFFFFF"/>
          <w:lang w:val="zh-CN" w:eastAsia="zh-CN"/>
        </w:rPr>
        <w:t>部门（单位）基本情况</w:t>
      </w:r>
    </w:p>
    <w:p w14:paraId="74E90533">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default" w:ascii="仿宋_GB2312" w:hAnsi="仿宋_GB2312" w:eastAsia="仿宋_GB2312" w:cs="仿宋_GB2312"/>
          <w:bCs/>
          <w:kern w:val="2"/>
          <w:sz w:val="32"/>
          <w:szCs w:val="32"/>
          <w:lang w:val="en-US" w:eastAsia="zh-CN" w:bidi="ar-SA"/>
        </w:rPr>
      </w:pPr>
      <w:r>
        <w:rPr>
          <w:rFonts w:hint="eastAsia" w:ascii="Times New Roman" w:hAnsi="Times New Roman"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r>
        <w:rPr>
          <w:rFonts w:hint="eastAsia" w:ascii="仿宋_GB2312" w:hAnsi="仿宋_GB2312" w:eastAsia="仿宋_GB2312" w:cs="仿宋_GB2312"/>
          <w:bCs/>
          <w:kern w:val="2"/>
          <w:sz w:val="32"/>
          <w:szCs w:val="32"/>
          <w:lang w:val="en-US" w:eastAsia="zh-CN" w:bidi="ar-SA"/>
        </w:rPr>
        <w:t>红原县融媒体中心为独立核算全额拨款事业单位，下设9个股室：办公室、总编室、新闻采集中心、信息编辑中心、通联股、新媒体股、编译股、广播电视股、技术保障股。</w:t>
      </w:r>
    </w:p>
    <w:p w14:paraId="08BE8EF3">
      <w:pPr>
        <w:pageBreakBefore w:val="0"/>
        <w:kinsoku/>
        <w:wordWrap/>
        <w:topLinePunct w:val="0"/>
        <w:autoSpaceDE/>
        <w:autoSpaceDN/>
        <w:bidi w:val="0"/>
        <w:spacing w:line="576" w:lineRule="exact"/>
        <w:ind w:firstLine="643" w:firstLineChars="200"/>
        <w:rPr>
          <w:rFonts w:hint="default" w:ascii="仿宋_GB2312" w:hAnsi="仿宋_GB2312" w:eastAsia="仿宋_GB2312" w:cs="仿宋_GB2312"/>
          <w:bCs/>
          <w:kern w:val="2"/>
          <w:sz w:val="32"/>
          <w:szCs w:val="32"/>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（二）机构职能</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eastAsia" w:ascii="仿宋_GB2312" w:hAnsi="仿宋_GB2312" w:eastAsia="仿宋_GB2312" w:cs="仿宋_GB2312"/>
          <w:bCs/>
          <w:kern w:val="2"/>
          <w:sz w:val="32"/>
          <w:szCs w:val="32"/>
          <w:lang w:val="en-US" w:eastAsia="zh-CN" w:bidi="ar-SA"/>
        </w:rPr>
        <w:t>负责贯彻落实党的新闻宣传方针政策，宣传党的理论、路线和各项方针政策，把握新闻宣传基调，坚持正面宣传，为全县经济社会发展提供舆论支持；负责围绕县委、县政府中心工作，积极开展对内对外新闻宣传报道，落实全县新闻报道计划，完成宣传任务；负责全县电视、网站以及“两微一端”等新媒体新闻宣传报道的策划、采集、编辑、审核、播出工作；负责全县各单位（网站、网页、上传稿件等）对外宣传新闻稿件审核工作；负责县委县政府交办的各类宣传片、专题片、汇报片的策划、拍摄、制作、推广工作；负责全县新闻业务管理指导和对外通联工作，协助配合衔接上级媒体和新闻单位来县采访及其他协调服务工作；负责全县新闻通讯员业务技能培训，协助抓好全县新闻人才队伍建设；负责会同有关部门做好新媒体推广工作；负责全县民族语言文字的藏汉翻译、藏语配音工作；负责参与编制全县广播电视事业发展规划、项目申报并组织实施；负责全县广播和有线电视传输网络调试、巡查、维修、维护等工作，确保电视广播网络安全运行，节目安全播出；完成县委、县政府、县委宣传部交办的其他工作。</w:t>
      </w:r>
    </w:p>
    <w:p w14:paraId="204CE2E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Cs/>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）人员概况</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default" w:ascii="仿宋_GB2312" w:hAnsi="仿宋_GB2312" w:eastAsia="仿宋_GB2312" w:cs="仿宋_GB2312"/>
          <w:bCs/>
          <w:kern w:val="2"/>
          <w:sz w:val="32"/>
          <w:szCs w:val="32"/>
          <w:lang w:val="en-US" w:eastAsia="zh-CN" w:bidi="ar-SA"/>
        </w:rPr>
        <w:t>截至202</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年末，</w:t>
      </w:r>
      <w:r>
        <w:rPr>
          <w:rFonts w:hint="eastAsia" w:ascii="仿宋_GB2312" w:hAnsi="仿宋_GB2312" w:eastAsia="仿宋_GB2312" w:cs="仿宋_GB2312"/>
          <w:bCs/>
          <w:kern w:val="2"/>
          <w:sz w:val="32"/>
          <w:szCs w:val="32"/>
          <w:lang w:val="en-US" w:eastAsia="zh-CN" w:bidi="ar-SA"/>
        </w:rPr>
        <w:t>本单位共有编制30个，管理岗13个（包含1个参公），专业技术岗16个，工勤岗1个。在职26人，管理岗8人（包含参公1人），专业技术岗17人，工勤1人。红编发〔2024〕38号文件将红原县融媒体中心32名事业单位编制调证为30名。岗位设置还未变。</w:t>
      </w:r>
    </w:p>
    <w:p w14:paraId="0F73395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3C141E4D">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default" w:ascii="仿宋_GB2312" w:hAnsi="仿宋_GB2312" w:eastAsia="仿宋_GB2312" w:cs="仿宋_GB2312"/>
          <w:bCs/>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bCs/>
          <w:kern w:val="2"/>
          <w:sz w:val="32"/>
          <w:szCs w:val="32"/>
          <w:lang w:val="en-US" w:eastAsia="zh-CN" w:bidi="ar-SA"/>
        </w:rPr>
        <w:t xml:space="preserve">红原县融媒体中心 </w:t>
      </w:r>
      <w:r>
        <w:rPr>
          <w:rFonts w:hint="default" w:ascii="仿宋_GB2312" w:hAnsi="仿宋_GB2312" w:eastAsia="仿宋_GB2312" w:cs="仿宋_GB2312"/>
          <w:bCs/>
          <w:kern w:val="2"/>
          <w:sz w:val="32"/>
          <w:szCs w:val="32"/>
          <w:lang w:val="en-US" w:eastAsia="zh-CN" w:bidi="ar-SA"/>
        </w:rPr>
        <w:t>202</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年年初预算收入</w:t>
      </w:r>
      <w:r>
        <w:rPr>
          <w:rFonts w:hint="eastAsia" w:ascii="仿宋_GB2312" w:hAnsi="仿宋_GB2312" w:eastAsia="仿宋_GB2312" w:cs="仿宋_GB2312"/>
          <w:bCs/>
          <w:kern w:val="2"/>
          <w:sz w:val="32"/>
          <w:szCs w:val="32"/>
          <w:lang w:val="en-US" w:eastAsia="zh-CN" w:bidi="ar-SA"/>
        </w:rPr>
        <w:t>6602300.79元。</w:t>
      </w:r>
      <w:r>
        <w:rPr>
          <w:rFonts w:hint="eastAsia" w:ascii="仿宋_GB2312" w:hAnsi="仿宋_GB2312" w:eastAsia="仿宋_GB2312" w:cs="仿宋_GB2312"/>
          <w:bCs/>
          <w:kern w:val="2"/>
          <w:sz w:val="32"/>
          <w:szCs w:val="32"/>
          <w:lang w:val="zh-CN" w:eastAsia="zh-CN" w:bidi="ar-SA"/>
        </w:rPr>
        <w:t>其中：一般公共预算基本支出拨款收入</w:t>
      </w:r>
      <w:r>
        <w:rPr>
          <w:rFonts w:hint="eastAsia" w:ascii="仿宋_GB2312" w:hAnsi="仿宋_GB2312" w:eastAsia="仿宋_GB2312" w:cs="仿宋_GB2312"/>
          <w:bCs/>
          <w:kern w:val="2"/>
          <w:sz w:val="32"/>
          <w:szCs w:val="32"/>
          <w:lang w:val="en-US" w:eastAsia="zh-CN" w:bidi="ar-SA"/>
        </w:rPr>
        <w:t>6557540.79</w:t>
      </w:r>
      <w:r>
        <w:rPr>
          <w:rFonts w:hint="eastAsia" w:ascii="仿宋_GB2312" w:hAnsi="仿宋_GB2312" w:eastAsia="仿宋_GB2312" w:cs="仿宋_GB2312"/>
          <w:bCs/>
          <w:kern w:val="2"/>
          <w:sz w:val="32"/>
          <w:szCs w:val="32"/>
          <w:lang w:val="zh-CN" w:eastAsia="zh-CN" w:bidi="ar-SA"/>
        </w:rPr>
        <w:t>元，占</w:t>
      </w:r>
      <w:r>
        <w:rPr>
          <w:rFonts w:hint="eastAsia" w:ascii="仿宋_GB2312" w:hAnsi="仿宋_GB2312" w:eastAsia="仿宋_GB2312" w:cs="仿宋_GB2312"/>
          <w:bCs/>
          <w:kern w:val="2"/>
          <w:sz w:val="32"/>
          <w:szCs w:val="32"/>
          <w:lang w:val="en-US" w:eastAsia="zh-CN" w:bidi="ar-SA"/>
        </w:rPr>
        <w:t>99.32</w:t>
      </w:r>
      <w:r>
        <w:rPr>
          <w:rFonts w:hint="eastAsia" w:ascii="仿宋_GB2312" w:hAnsi="仿宋_GB2312" w:eastAsia="仿宋_GB2312" w:cs="仿宋_GB2312"/>
          <w:bCs/>
          <w:kern w:val="2"/>
          <w:sz w:val="32"/>
          <w:szCs w:val="32"/>
          <w:lang w:val="zh-CN" w:eastAsia="zh-CN" w:bidi="ar-SA"/>
        </w:rPr>
        <w:t>%；项目支出拨款收入</w:t>
      </w:r>
      <w:r>
        <w:rPr>
          <w:rFonts w:hint="eastAsia" w:ascii="仿宋_GB2312" w:hAnsi="仿宋_GB2312" w:eastAsia="仿宋_GB2312" w:cs="仿宋_GB2312"/>
          <w:bCs/>
          <w:kern w:val="2"/>
          <w:sz w:val="32"/>
          <w:szCs w:val="32"/>
          <w:lang w:val="en-US" w:eastAsia="zh-CN" w:bidi="ar-SA"/>
        </w:rPr>
        <w:t>44760元，占0.68%</w:t>
      </w:r>
      <w:r>
        <w:rPr>
          <w:rFonts w:hint="eastAsia" w:ascii="仿宋_GB2312" w:hAnsi="仿宋_GB2312" w:eastAsia="仿宋_GB2312" w:cs="仿宋_GB2312"/>
          <w:bCs/>
          <w:kern w:val="2"/>
          <w:sz w:val="32"/>
          <w:szCs w:val="32"/>
          <w:lang w:val="zh-CN" w:eastAsia="zh-CN" w:bidi="ar-SA"/>
        </w:rPr>
        <w:t>。</w:t>
      </w:r>
    </w:p>
    <w:p w14:paraId="538C4525">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bCs/>
          <w:kern w:val="2"/>
          <w:sz w:val="32"/>
          <w:szCs w:val="32"/>
          <w:lang w:val="en-US" w:eastAsia="zh-CN" w:bidi="ar-SA"/>
        </w:rPr>
        <w:t>决算报表收入</w:t>
      </w:r>
      <w:r>
        <w:rPr>
          <w:rFonts w:hint="eastAsia" w:ascii="仿宋_GB2312" w:hAnsi="仿宋_GB2312" w:eastAsia="仿宋_GB2312" w:cs="仿宋_GB2312"/>
          <w:bCs/>
          <w:kern w:val="2"/>
          <w:sz w:val="32"/>
          <w:szCs w:val="32"/>
          <w:lang w:val="en-US" w:eastAsia="zh-CN" w:bidi="ar-SA"/>
        </w:rPr>
        <w:t>7251608.89元</w:t>
      </w:r>
      <w:r>
        <w:rPr>
          <w:rFonts w:hint="default" w:ascii="仿宋_GB2312" w:hAnsi="仿宋_GB2312" w:eastAsia="仿宋_GB2312" w:cs="仿宋_GB2312"/>
          <w:bCs/>
          <w:kern w:val="2"/>
          <w:sz w:val="32"/>
          <w:szCs w:val="32"/>
          <w:lang w:val="en-US" w:eastAsia="zh-CN" w:bidi="ar-SA"/>
        </w:rPr>
        <w:t>。</w:t>
      </w:r>
      <w:r>
        <w:rPr>
          <w:rFonts w:hint="eastAsia" w:ascii="仿宋_GB2312" w:hAnsi="仿宋_GB2312" w:eastAsia="仿宋_GB2312" w:cs="仿宋_GB2312"/>
          <w:bCs/>
          <w:kern w:val="2"/>
          <w:sz w:val="32"/>
          <w:szCs w:val="32"/>
          <w:lang w:val="zh-CN" w:eastAsia="zh-CN" w:bidi="ar-SA"/>
        </w:rPr>
        <w:t>其中：一般公共预算基本支出拨款收入元，占</w:t>
      </w:r>
      <w:r>
        <w:rPr>
          <w:rFonts w:hint="eastAsia" w:ascii="仿宋_GB2312" w:hAnsi="仿宋_GB2312" w:eastAsia="仿宋_GB2312" w:cs="仿宋_GB2312"/>
          <w:bCs/>
          <w:kern w:val="2"/>
          <w:sz w:val="32"/>
          <w:szCs w:val="32"/>
          <w:lang w:val="en-US" w:eastAsia="zh-CN" w:bidi="ar-SA"/>
        </w:rPr>
        <w:t>87.64</w:t>
      </w:r>
      <w:r>
        <w:rPr>
          <w:rFonts w:hint="eastAsia" w:ascii="仿宋_GB2312" w:hAnsi="仿宋_GB2312" w:eastAsia="仿宋_GB2312" w:cs="仿宋_GB2312"/>
          <w:bCs/>
          <w:kern w:val="2"/>
          <w:sz w:val="32"/>
          <w:szCs w:val="32"/>
          <w:lang w:val="zh-CN" w:eastAsia="zh-CN" w:bidi="ar-SA"/>
        </w:rPr>
        <w:t>%；项目支出拨款收入</w:t>
      </w:r>
      <w:r>
        <w:rPr>
          <w:rFonts w:hint="eastAsia" w:ascii="仿宋_GB2312" w:hAnsi="仿宋_GB2312" w:eastAsia="仿宋_GB2312" w:cs="仿宋_GB2312"/>
          <w:bCs/>
          <w:kern w:val="2"/>
          <w:sz w:val="32"/>
          <w:szCs w:val="32"/>
          <w:lang w:val="en-US" w:eastAsia="zh-CN" w:bidi="ar-SA"/>
        </w:rPr>
        <w:t>930799.68元，占12.84%</w:t>
      </w:r>
      <w:r>
        <w:rPr>
          <w:rFonts w:hint="eastAsia" w:ascii="仿宋_GB2312" w:hAnsi="仿宋_GB2312" w:eastAsia="仿宋_GB2312" w:cs="仿宋_GB2312"/>
          <w:kern w:val="2"/>
          <w:sz w:val="32"/>
          <w:szCs w:val="32"/>
          <w:lang w:val="zh-CN" w:eastAsia="zh-CN" w:bidi="ar-SA"/>
        </w:rPr>
        <w:t>。</w:t>
      </w:r>
    </w:p>
    <w:p w14:paraId="2802DA3A">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default" w:ascii="仿宋_GB2312" w:hAnsi="仿宋_GB2312" w:eastAsia="仿宋_GB2312" w:cs="仿宋_GB2312"/>
          <w:bCs/>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bCs/>
          <w:kern w:val="2"/>
          <w:sz w:val="32"/>
          <w:szCs w:val="32"/>
          <w:lang w:val="en-US" w:eastAsia="zh-CN" w:bidi="ar-SA"/>
        </w:rPr>
        <w:t>红原县融媒体中心</w:t>
      </w:r>
      <w:r>
        <w:rPr>
          <w:rFonts w:hint="default" w:ascii="仿宋_GB2312" w:hAnsi="仿宋_GB2312" w:eastAsia="仿宋_GB2312" w:cs="仿宋_GB2312"/>
          <w:bCs/>
          <w:kern w:val="2"/>
          <w:sz w:val="32"/>
          <w:szCs w:val="32"/>
          <w:lang w:val="en-US" w:eastAsia="zh-CN" w:bidi="ar-SA"/>
        </w:rPr>
        <w:t>202</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年年初预算支出</w:t>
      </w:r>
      <w:r>
        <w:rPr>
          <w:rFonts w:hint="eastAsia" w:ascii="仿宋_GB2312" w:hAnsi="仿宋_GB2312" w:eastAsia="仿宋_GB2312" w:cs="仿宋_GB2312"/>
          <w:bCs/>
          <w:kern w:val="2"/>
          <w:sz w:val="32"/>
          <w:szCs w:val="32"/>
          <w:lang w:val="en-US" w:eastAsia="zh-CN" w:bidi="ar-SA"/>
        </w:rPr>
        <w:t>6602300.79元</w:t>
      </w:r>
      <w:r>
        <w:rPr>
          <w:rFonts w:hint="default" w:ascii="仿宋_GB2312" w:hAnsi="仿宋_GB2312" w:eastAsia="仿宋_GB2312" w:cs="仿宋_GB2312"/>
          <w:bCs/>
          <w:kern w:val="2"/>
          <w:sz w:val="32"/>
          <w:szCs w:val="32"/>
          <w:lang w:val="en-US" w:eastAsia="zh-CN" w:bidi="ar-SA"/>
        </w:rPr>
        <w:t>、决算报表支出</w:t>
      </w:r>
      <w:r>
        <w:rPr>
          <w:rFonts w:hint="eastAsia" w:ascii="仿宋_GB2312" w:hAnsi="仿宋_GB2312" w:eastAsia="仿宋_GB2312" w:cs="仿宋_GB2312"/>
          <w:bCs/>
          <w:kern w:val="2"/>
          <w:sz w:val="32"/>
          <w:szCs w:val="32"/>
          <w:lang w:val="en-US" w:eastAsia="zh-CN" w:bidi="ar-SA"/>
        </w:rPr>
        <w:t>7251608.89元，主要包括完成的任务、达成的效果等：1.</w:t>
      </w:r>
      <w:r>
        <w:rPr>
          <w:rFonts w:hint="eastAsia" w:ascii="仿宋_GB2312" w:hAnsi="仿宋_GB2312" w:eastAsia="仿宋_GB2312" w:cs="仿宋_GB2312"/>
          <w:bCs/>
          <w:kern w:val="2"/>
          <w:sz w:val="32"/>
          <w:szCs w:val="32"/>
          <w:lang w:val="zh-CN" w:eastAsia="zh-CN" w:bidi="ar-SA"/>
        </w:rPr>
        <w:t>202</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年度一般公共预算财政拨款基本支出</w:t>
      </w:r>
      <w:r>
        <w:rPr>
          <w:rFonts w:hint="eastAsia" w:ascii="仿宋_GB2312" w:hAnsi="仿宋_GB2312" w:eastAsia="仿宋_GB2312" w:cs="仿宋_GB2312"/>
          <w:bCs/>
          <w:kern w:val="2"/>
          <w:sz w:val="32"/>
          <w:szCs w:val="32"/>
          <w:lang w:val="en-US" w:eastAsia="zh-CN" w:bidi="ar-SA"/>
        </w:rPr>
        <w:t>6320809.21</w:t>
      </w:r>
      <w:r>
        <w:rPr>
          <w:rFonts w:hint="eastAsia" w:ascii="仿宋_GB2312" w:hAnsi="仿宋_GB2312" w:eastAsia="仿宋_GB2312" w:cs="仿宋_GB2312"/>
          <w:bCs/>
          <w:kern w:val="2"/>
          <w:sz w:val="32"/>
          <w:szCs w:val="32"/>
          <w:lang w:val="zh-CN" w:eastAsia="zh-CN" w:bidi="ar-SA"/>
        </w:rPr>
        <w:t>元，其中：人员经费</w:t>
      </w:r>
      <w:r>
        <w:rPr>
          <w:rFonts w:hint="eastAsia" w:ascii="仿宋_GB2312" w:hAnsi="仿宋_GB2312" w:eastAsia="仿宋_GB2312" w:cs="仿宋_GB2312"/>
          <w:bCs/>
          <w:kern w:val="2"/>
          <w:sz w:val="32"/>
          <w:szCs w:val="32"/>
          <w:lang w:val="en-US" w:eastAsia="zh-CN" w:bidi="ar-SA"/>
        </w:rPr>
        <w:t>5964613.33</w:t>
      </w:r>
      <w:r>
        <w:rPr>
          <w:rFonts w:hint="eastAsia" w:ascii="仿宋_GB2312" w:hAnsi="仿宋_GB2312" w:eastAsia="仿宋_GB2312" w:cs="仿宋_GB2312"/>
          <w:bCs/>
          <w:kern w:val="2"/>
          <w:sz w:val="32"/>
          <w:szCs w:val="32"/>
          <w:lang w:val="zh-CN" w:eastAsia="zh-CN" w:bidi="ar-SA"/>
        </w:rPr>
        <w:t>元，包括：基本工资</w:t>
      </w:r>
      <w:r>
        <w:rPr>
          <w:rFonts w:hint="eastAsia" w:ascii="仿宋_GB2312" w:hAnsi="仿宋_GB2312" w:eastAsia="仿宋_GB2312" w:cs="仿宋_GB2312"/>
          <w:bCs/>
          <w:kern w:val="2"/>
          <w:sz w:val="32"/>
          <w:szCs w:val="32"/>
          <w:lang w:val="en-US" w:eastAsia="zh-CN" w:bidi="ar-SA"/>
        </w:rPr>
        <w:t>931672</w:t>
      </w:r>
      <w:r>
        <w:rPr>
          <w:rFonts w:hint="eastAsia" w:ascii="仿宋_GB2312" w:hAnsi="仿宋_GB2312" w:eastAsia="仿宋_GB2312" w:cs="仿宋_GB2312"/>
          <w:bCs/>
          <w:kern w:val="2"/>
          <w:sz w:val="32"/>
          <w:szCs w:val="32"/>
          <w:lang w:val="zh-CN" w:eastAsia="zh-CN" w:bidi="ar-SA"/>
        </w:rPr>
        <w:t>元、津贴补贴</w:t>
      </w:r>
      <w:r>
        <w:rPr>
          <w:rFonts w:hint="eastAsia" w:ascii="仿宋_GB2312" w:hAnsi="仿宋_GB2312" w:eastAsia="仿宋_GB2312" w:cs="仿宋_GB2312"/>
          <w:bCs/>
          <w:kern w:val="2"/>
          <w:sz w:val="32"/>
          <w:szCs w:val="32"/>
          <w:lang w:val="en-US" w:eastAsia="zh-CN" w:bidi="ar-SA"/>
        </w:rPr>
        <w:t>1791701.4</w:t>
      </w:r>
      <w:r>
        <w:rPr>
          <w:rFonts w:hint="eastAsia" w:ascii="仿宋_GB2312" w:hAnsi="仿宋_GB2312" w:eastAsia="仿宋_GB2312" w:cs="仿宋_GB2312"/>
          <w:bCs/>
          <w:kern w:val="2"/>
          <w:sz w:val="32"/>
          <w:szCs w:val="32"/>
          <w:lang w:val="zh-CN" w:eastAsia="zh-CN" w:bidi="ar-SA"/>
        </w:rPr>
        <w:t>元、奖金</w:t>
      </w:r>
      <w:r>
        <w:rPr>
          <w:rFonts w:hint="eastAsia" w:ascii="仿宋_GB2312" w:hAnsi="仿宋_GB2312" w:eastAsia="仿宋_GB2312" w:cs="仿宋_GB2312"/>
          <w:bCs/>
          <w:kern w:val="2"/>
          <w:sz w:val="32"/>
          <w:szCs w:val="32"/>
          <w:lang w:val="en-US" w:eastAsia="zh-CN" w:bidi="ar-SA"/>
        </w:rPr>
        <w:t>647440.09</w:t>
      </w:r>
      <w:r>
        <w:rPr>
          <w:rFonts w:hint="eastAsia" w:ascii="仿宋_GB2312" w:hAnsi="仿宋_GB2312" w:eastAsia="仿宋_GB2312" w:cs="仿宋_GB2312"/>
          <w:bCs/>
          <w:kern w:val="2"/>
          <w:sz w:val="32"/>
          <w:szCs w:val="32"/>
          <w:lang w:val="zh-CN" w:eastAsia="zh-CN" w:bidi="ar-SA"/>
        </w:rPr>
        <w:t>元、绩效工资</w:t>
      </w:r>
      <w:r>
        <w:rPr>
          <w:rFonts w:hint="eastAsia" w:ascii="仿宋_GB2312" w:hAnsi="仿宋_GB2312" w:eastAsia="仿宋_GB2312" w:cs="仿宋_GB2312"/>
          <w:bCs/>
          <w:kern w:val="2"/>
          <w:sz w:val="32"/>
          <w:szCs w:val="32"/>
          <w:lang w:val="en-US" w:eastAsia="zh-CN" w:bidi="ar-SA"/>
        </w:rPr>
        <w:t>792105元、</w:t>
      </w:r>
      <w:r>
        <w:rPr>
          <w:rFonts w:hint="eastAsia" w:ascii="仿宋_GB2312" w:hAnsi="仿宋_GB2312" w:eastAsia="仿宋_GB2312" w:cs="仿宋_GB2312"/>
          <w:bCs/>
          <w:kern w:val="2"/>
          <w:sz w:val="32"/>
          <w:szCs w:val="32"/>
          <w:lang w:val="zh-CN" w:eastAsia="zh-CN" w:bidi="ar-SA"/>
        </w:rPr>
        <w:t>机关事业单位基本养老保险缴费</w:t>
      </w:r>
      <w:r>
        <w:rPr>
          <w:rFonts w:hint="eastAsia" w:ascii="仿宋_GB2312" w:hAnsi="仿宋_GB2312" w:eastAsia="仿宋_GB2312" w:cs="仿宋_GB2312"/>
          <w:bCs/>
          <w:kern w:val="2"/>
          <w:sz w:val="32"/>
          <w:szCs w:val="32"/>
          <w:lang w:val="en-US" w:eastAsia="zh-CN" w:bidi="ar-SA"/>
        </w:rPr>
        <w:t>573612.32</w:t>
      </w:r>
      <w:r>
        <w:rPr>
          <w:rFonts w:hint="eastAsia" w:ascii="仿宋_GB2312" w:hAnsi="仿宋_GB2312" w:eastAsia="仿宋_GB2312" w:cs="仿宋_GB2312"/>
          <w:bCs/>
          <w:kern w:val="2"/>
          <w:sz w:val="32"/>
          <w:szCs w:val="32"/>
          <w:lang w:val="zh-CN" w:eastAsia="zh-CN" w:bidi="ar-SA"/>
        </w:rPr>
        <w:t>元、职业年金缴费</w:t>
      </w:r>
      <w:r>
        <w:rPr>
          <w:rFonts w:hint="eastAsia" w:ascii="仿宋_GB2312" w:hAnsi="仿宋_GB2312" w:eastAsia="仿宋_GB2312" w:cs="仿宋_GB2312"/>
          <w:bCs/>
          <w:kern w:val="2"/>
          <w:sz w:val="32"/>
          <w:szCs w:val="32"/>
          <w:lang w:val="en-US" w:eastAsia="zh-CN" w:bidi="ar-SA"/>
        </w:rPr>
        <w:t>286806.16</w:t>
      </w:r>
      <w:r>
        <w:rPr>
          <w:rFonts w:hint="eastAsia" w:ascii="仿宋_GB2312" w:hAnsi="仿宋_GB2312" w:eastAsia="仿宋_GB2312" w:cs="仿宋_GB2312"/>
          <w:bCs/>
          <w:kern w:val="2"/>
          <w:sz w:val="32"/>
          <w:szCs w:val="32"/>
          <w:lang w:val="zh-CN" w:eastAsia="zh-CN" w:bidi="ar-SA"/>
        </w:rPr>
        <w:t>元、职工基本医疗保险缴费</w:t>
      </w:r>
      <w:r>
        <w:rPr>
          <w:rFonts w:hint="eastAsia" w:ascii="仿宋_GB2312" w:hAnsi="仿宋_GB2312" w:eastAsia="仿宋_GB2312" w:cs="仿宋_GB2312"/>
          <w:bCs/>
          <w:kern w:val="2"/>
          <w:sz w:val="32"/>
          <w:szCs w:val="32"/>
          <w:lang w:val="en-US" w:eastAsia="zh-CN" w:bidi="ar-SA"/>
        </w:rPr>
        <w:t>284537.19元、公务员医疗补助缴费81829.2元、</w:t>
      </w:r>
      <w:r>
        <w:rPr>
          <w:rFonts w:hint="eastAsia" w:ascii="仿宋_GB2312" w:hAnsi="仿宋_GB2312" w:eastAsia="仿宋_GB2312" w:cs="仿宋_GB2312"/>
          <w:bCs/>
          <w:kern w:val="2"/>
          <w:sz w:val="32"/>
          <w:szCs w:val="32"/>
          <w:lang w:val="zh-CN" w:eastAsia="zh-CN" w:bidi="ar-SA"/>
        </w:rPr>
        <w:t>其他社会保障缴费</w:t>
      </w:r>
      <w:r>
        <w:rPr>
          <w:rFonts w:hint="eastAsia" w:ascii="仿宋_GB2312" w:hAnsi="仿宋_GB2312" w:eastAsia="仿宋_GB2312" w:cs="仿宋_GB2312"/>
          <w:bCs/>
          <w:kern w:val="2"/>
          <w:sz w:val="32"/>
          <w:szCs w:val="32"/>
          <w:lang w:val="en-US" w:eastAsia="zh-CN" w:bidi="ar-SA"/>
        </w:rPr>
        <w:t>86299.97元</w:t>
      </w:r>
      <w:r>
        <w:rPr>
          <w:rFonts w:hint="eastAsia" w:ascii="仿宋_GB2312" w:hAnsi="仿宋_GB2312" w:eastAsia="仿宋_GB2312" w:cs="仿宋_GB2312"/>
          <w:bCs/>
          <w:kern w:val="2"/>
          <w:sz w:val="32"/>
          <w:szCs w:val="32"/>
          <w:lang w:val="zh-CN" w:eastAsia="zh-CN" w:bidi="ar-SA"/>
        </w:rPr>
        <w:t>、医疗费</w:t>
      </w:r>
      <w:r>
        <w:rPr>
          <w:rFonts w:hint="eastAsia" w:ascii="仿宋_GB2312" w:hAnsi="仿宋_GB2312" w:eastAsia="仿宋_GB2312" w:cs="仿宋_GB2312"/>
          <w:bCs/>
          <w:kern w:val="2"/>
          <w:sz w:val="32"/>
          <w:szCs w:val="32"/>
          <w:lang w:val="en-US" w:eastAsia="zh-CN" w:bidi="ar-SA"/>
        </w:rPr>
        <w:t>24098</w:t>
      </w:r>
      <w:r>
        <w:rPr>
          <w:rFonts w:hint="eastAsia" w:ascii="仿宋_GB2312" w:hAnsi="仿宋_GB2312" w:eastAsia="仿宋_GB2312" w:cs="仿宋_GB2312"/>
          <w:bCs/>
          <w:kern w:val="2"/>
          <w:sz w:val="32"/>
          <w:szCs w:val="32"/>
          <w:lang w:val="zh-CN" w:eastAsia="zh-CN" w:bidi="ar-SA"/>
        </w:rPr>
        <w:t>元、住房公积金</w:t>
      </w:r>
      <w:r>
        <w:rPr>
          <w:rFonts w:hint="eastAsia" w:ascii="仿宋_GB2312" w:hAnsi="仿宋_GB2312" w:eastAsia="仿宋_GB2312" w:cs="仿宋_GB2312"/>
          <w:bCs/>
          <w:kern w:val="2"/>
          <w:sz w:val="32"/>
          <w:szCs w:val="32"/>
          <w:lang w:val="en-US" w:eastAsia="zh-CN" w:bidi="ar-SA"/>
        </w:rPr>
        <w:t>464512</w:t>
      </w:r>
      <w:r>
        <w:rPr>
          <w:rFonts w:hint="eastAsia" w:ascii="仿宋_GB2312" w:hAnsi="仿宋_GB2312" w:eastAsia="仿宋_GB2312" w:cs="仿宋_GB2312"/>
          <w:bCs/>
          <w:kern w:val="2"/>
          <w:sz w:val="32"/>
          <w:szCs w:val="32"/>
          <w:lang w:val="zh-CN" w:eastAsia="zh-CN" w:bidi="ar-SA"/>
        </w:rPr>
        <w:t>元。公用经费</w:t>
      </w:r>
      <w:r>
        <w:rPr>
          <w:rFonts w:hint="eastAsia" w:ascii="仿宋_GB2312" w:hAnsi="仿宋_GB2312" w:eastAsia="仿宋_GB2312" w:cs="仿宋_GB2312"/>
          <w:bCs/>
          <w:kern w:val="2"/>
          <w:sz w:val="32"/>
          <w:szCs w:val="32"/>
          <w:lang w:val="en-US" w:eastAsia="zh-CN" w:bidi="ar-SA"/>
        </w:rPr>
        <w:t>356195.88</w:t>
      </w:r>
      <w:r>
        <w:rPr>
          <w:rFonts w:hint="eastAsia" w:ascii="仿宋_GB2312" w:hAnsi="仿宋_GB2312" w:eastAsia="仿宋_GB2312" w:cs="仿宋_GB2312"/>
          <w:bCs/>
          <w:kern w:val="2"/>
          <w:sz w:val="32"/>
          <w:szCs w:val="32"/>
          <w:lang w:val="zh-CN" w:eastAsia="zh-CN" w:bidi="ar-SA"/>
        </w:rPr>
        <w:t>元，包括：办公费</w:t>
      </w:r>
      <w:r>
        <w:rPr>
          <w:rFonts w:hint="eastAsia" w:ascii="仿宋_GB2312" w:hAnsi="仿宋_GB2312" w:eastAsia="仿宋_GB2312" w:cs="仿宋_GB2312"/>
          <w:bCs/>
          <w:kern w:val="2"/>
          <w:sz w:val="32"/>
          <w:szCs w:val="32"/>
          <w:lang w:val="en-US" w:eastAsia="zh-CN" w:bidi="ar-SA"/>
        </w:rPr>
        <w:t>107017.45</w:t>
      </w:r>
      <w:r>
        <w:rPr>
          <w:rFonts w:hint="eastAsia" w:ascii="仿宋_GB2312" w:hAnsi="仿宋_GB2312" w:eastAsia="仿宋_GB2312" w:cs="仿宋_GB2312"/>
          <w:bCs/>
          <w:kern w:val="2"/>
          <w:sz w:val="32"/>
          <w:szCs w:val="32"/>
          <w:lang w:val="zh-CN" w:eastAsia="zh-CN" w:bidi="ar-SA"/>
        </w:rPr>
        <w:t>元、</w:t>
      </w:r>
      <w:r>
        <w:rPr>
          <w:rFonts w:hint="eastAsia" w:ascii="仿宋_GB2312" w:hAnsi="仿宋_GB2312" w:eastAsia="仿宋_GB2312" w:cs="仿宋_GB2312"/>
          <w:bCs/>
          <w:kern w:val="2"/>
          <w:sz w:val="32"/>
          <w:szCs w:val="32"/>
          <w:lang w:val="en-US" w:eastAsia="zh-CN" w:bidi="ar-SA"/>
        </w:rPr>
        <w:t>电费5000元、邮电费7000元、</w:t>
      </w:r>
      <w:r>
        <w:rPr>
          <w:rFonts w:hint="eastAsia" w:ascii="仿宋_GB2312" w:hAnsi="仿宋_GB2312" w:eastAsia="仿宋_GB2312" w:cs="仿宋_GB2312"/>
          <w:bCs/>
          <w:kern w:val="2"/>
          <w:sz w:val="32"/>
          <w:szCs w:val="32"/>
          <w:lang w:val="zh-CN" w:eastAsia="zh-CN" w:bidi="ar-SA"/>
        </w:rPr>
        <w:t>差旅费</w:t>
      </w:r>
      <w:r>
        <w:rPr>
          <w:rFonts w:hint="eastAsia" w:ascii="仿宋_GB2312" w:hAnsi="仿宋_GB2312" w:eastAsia="仿宋_GB2312" w:cs="仿宋_GB2312"/>
          <w:bCs/>
          <w:kern w:val="2"/>
          <w:sz w:val="32"/>
          <w:szCs w:val="32"/>
          <w:lang w:val="en-US" w:eastAsia="zh-CN" w:bidi="ar-SA"/>
        </w:rPr>
        <w:t>160371</w:t>
      </w:r>
      <w:r>
        <w:rPr>
          <w:rFonts w:hint="eastAsia" w:ascii="仿宋_GB2312" w:hAnsi="仿宋_GB2312" w:eastAsia="仿宋_GB2312" w:cs="仿宋_GB2312"/>
          <w:bCs/>
          <w:kern w:val="2"/>
          <w:sz w:val="32"/>
          <w:szCs w:val="32"/>
          <w:lang w:val="zh-CN" w:eastAsia="zh-CN" w:bidi="ar-SA"/>
        </w:rPr>
        <w:t>元、</w:t>
      </w:r>
      <w:r>
        <w:rPr>
          <w:rFonts w:hint="eastAsia" w:ascii="仿宋_GB2312" w:hAnsi="仿宋_GB2312" w:eastAsia="仿宋_GB2312" w:cs="仿宋_GB2312"/>
          <w:bCs/>
          <w:kern w:val="2"/>
          <w:sz w:val="32"/>
          <w:szCs w:val="32"/>
          <w:lang w:val="en-US" w:eastAsia="zh-CN" w:bidi="ar-SA"/>
        </w:rPr>
        <w:t>工会经费44991.99、</w:t>
      </w:r>
      <w:r>
        <w:rPr>
          <w:rFonts w:hint="eastAsia" w:ascii="仿宋_GB2312" w:hAnsi="仿宋_GB2312" w:eastAsia="仿宋_GB2312" w:cs="仿宋_GB2312"/>
          <w:bCs/>
          <w:kern w:val="2"/>
          <w:sz w:val="32"/>
          <w:szCs w:val="32"/>
          <w:lang w:val="zh-CN" w:eastAsia="zh-CN" w:bidi="ar-SA"/>
        </w:rPr>
        <w:t>公务用车运行维护费</w:t>
      </w:r>
      <w:r>
        <w:rPr>
          <w:rFonts w:hint="eastAsia" w:ascii="仿宋_GB2312" w:hAnsi="仿宋_GB2312" w:eastAsia="仿宋_GB2312" w:cs="仿宋_GB2312"/>
          <w:bCs/>
          <w:kern w:val="2"/>
          <w:sz w:val="32"/>
          <w:szCs w:val="32"/>
          <w:lang w:val="en-US" w:eastAsia="zh-CN" w:bidi="ar-SA"/>
        </w:rPr>
        <w:t>19305.93</w:t>
      </w:r>
      <w:r>
        <w:rPr>
          <w:rFonts w:hint="eastAsia" w:ascii="仿宋_GB2312" w:hAnsi="仿宋_GB2312" w:eastAsia="仿宋_GB2312" w:cs="仿宋_GB2312"/>
          <w:bCs/>
          <w:kern w:val="2"/>
          <w:sz w:val="32"/>
          <w:szCs w:val="32"/>
          <w:lang w:val="zh-CN" w:eastAsia="zh-CN" w:bidi="ar-SA"/>
        </w:rPr>
        <w:t>元、</w:t>
      </w:r>
      <w:r>
        <w:rPr>
          <w:rFonts w:hint="eastAsia" w:ascii="仿宋_GB2312" w:hAnsi="仿宋_GB2312" w:eastAsia="仿宋_GB2312" w:cs="仿宋_GB2312"/>
          <w:bCs/>
          <w:kern w:val="2"/>
          <w:sz w:val="32"/>
          <w:szCs w:val="32"/>
          <w:lang w:val="en-US" w:eastAsia="zh-CN" w:bidi="ar-SA"/>
        </w:rPr>
        <w:t>印刷费1322元、水费3744元、维修（护）费7443.51元。2.</w:t>
      </w:r>
      <w:r>
        <w:rPr>
          <w:rFonts w:hint="eastAsia" w:ascii="仿宋_GB2312" w:hAnsi="仿宋_GB2312" w:eastAsia="仿宋_GB2312" w:cs="仿宋_GB2312"/>
          <w:bCs/>
          <w:kern w:val="2"/>
          <w:sz w:val="32"/>
          <w:szCs w:val="32"/>
          <w:lang w:val="zh-CN" w:eastAsia="zh-CN" w:bidi="ar-SA"/>
        </w:rPr>
        <w:t>202</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年度一般公共预算财政拨款项目支出</w:t>
      </w:r>
      <w:r>
        <w:rPr>
          <w:rFonts w:hint="eastAsia" w:ascii="仿宋_GB2312" w:hAnsi="仿宋_GB2312" w:eastAsia="仿宋_GB2312" w:cs="仿宋_GB2312"/>
          <w:bCs/>
          <w:kern w:val="2"/>
          <w:sz w:val="32"/>
          <w:szCs w:val="32"/>
          <w:lang w:val="en-US" w:eastAsia="zh-CN" w:bidi="ar-SA"/>
        </w:rPr>
        <w:t>930799.68</w:t>
      </w:r>
      <w:r>
        <w:rPr>
          <w:rFonts w:hint="eastAsia" w:ascii="仿宋_GB2312" w:hAnsi="仿宋_GB2312" w:eastAsia="仿宋_GB2312" w:cs="仿宋_GB2312"/>
          <w:bCs/>
          <w:kern w:val="2"/>
          <w:sz w:val="32"/>
          <w:szCs w:val="32"/>
          <w:lang w:val="zh-CN" w:eastAsia="zh-CN" w:bidi="ar-SA"/>
        </w:rPr>
        <w:t>元，</w:t>
      </w:r>
      <w:r>
        <w:rPr>
          <w:rFonts w:hint="eastAsia" w:ascii="仿宋_GB2312" w:hAnsi="仿宋_GB2312" w:eastAsia="仿宋_GB2312" w:cs="仿宋_GB2312"/>
          <w:bCs/>
          <w:kern w:val="2"/>
          <w:sz w:val="32"/>
          <w:szCs w:val="32"/>
          <w:lang w:val="en-US" w:eastAsia="zh-CN" w:bidi="ar-SA"/>
        </w:rPr>
        <w:t>包括：生活补助10150元、维修（护）费149107</w:t>
      </w:r>
      <w:r>
        <w:rPr>
          <w:rFonts w:hint="eastAsia" w:ascii="仿宋_GB2312" w:hAnsi="仿宋_GB2312" w:eastAsia="仿宋_GB2312" w:cs="仿宋_GB2312"/>
          <w:bCs/>
          <w:kern w:val="2"/>
          <w:sz w:val="32"/>
          <w:szCs w:val="32"/>
          <w:lang w:val="zh-CN" w:eastAsia="zh-CN" w:bidi="ar-SA"/>
        </w:rPr>
        <w:t>元、</w:t>
      </w:r>
      <w:r>
        <w:rPr>
          <w:rFonts w:hint="eastAsia" w:ascii="仿宋_GB2312" w:hAnsi="仿宋_GB2312" w:eastAsia="仿宋_GB2312" w:cs="仿宋_GB2312"/>
          <w:bCs/>
          <w:kern w:val="2"/>
          <w:sz w:val="32"/>
          <w:szCs w:val="32"/>
          <w:lang w:val="en-US" w:eastAsia="zh-CN" w:bidi="ar-SA"/>
        </w:rPr>
        <w:t>专用设备购置208790元、基础设施建设260768.36元、办公设备购置301984.32元。</w:t>
      </w:r>
    </w:p>
    <w:p w14:paraId="6B07AD27">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仿宋_GB2312" w:hAnsi="仿宋_GB2312" w:eastAsia="仿宋_GB2312" w:cs="仿宋_GB2312"/>
          <w:bCs/>
          <w:kern w:val="2"/>
          <w:sz w:val="32"/>
          <w:szCs w:val="32"/>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bCs/>
          <w:kern w:val="2"/>
          <w:sz w:val="32"/>
          <w:szCs w:val="32"/>
          <w:lang w:val="en-US" w:eastAsia="zh-CN" w:bidi="ar-SA"/>
        </w:rPr>
        <w:t>红原县融媒体中心</w:t>
      </w:r>
      <w:r>
        <w:rPr>
          <w:rFonts w:hint="default" w:ascii="仿宋_GB2312" w:hAnsi="仿宋_GB2312" w:eastAsia="仿宋_GB2312" w:cs="仿宋_GB2312"/>
          <w:bCs/>
          <w:kern w:val="2"/>
          <w:sz w:val="32"/>
          <w:szCs w:val="32"/>
          <w:lang w:val="en-US" w:eastAsia="zh-CN" w:bidi="ar-SA"/>
        </w:rPr>
        <w:t>202</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年决算报表结转结余</w:t>
      </w:r>
      <w:r>
        <w:rPr>
          <w:rFonts w:hint="eastAsia" w:ascii="仿宋_GB2312" w:hAnsi="仿宋_GB2312" w:eastAsia="仿宋_GB2312" w:cs="仿宋_GB2312"/>
          <w:bCs/>
          <w:kern w:val="2"/>
          <w:sz w:val="32"/>
          <w:szCs w:val="32"/>
          <w:lang w:val="en-US" w:eastAsia="zh-CN" w:bidi="ar-SA"/>
        </w:rPr>
        <w:t>0元</w:t>
      </w:r>
      <w:r>
        <w:rPr>
          <w:rFonts w:hint="default" w:ascii="仿宋_GB2312" w:hAnsi="仿宋_GB2312" w:eastAsia="仿宋_GB2312" w:cs="仿宋_GB2312"/>
          <w:bCs/>
          <w:kern w:val="2"/>
          <w:sz w:val="32"/>
          <w:szCs w:val="32"/>
          <w:lang w:val="en-US" w:eastAsia="zh-CN" w:bidi="ar-SA"/>
        </w:rPr>
        <w:t>。</w:t>
      </w:r>
    </w:p>
    <w:p w14:paraId="2F4520B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62654704">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仿宋_GB2312" w:hAnsi="仿宋_GB2312" w:eastAsia="仿宋_GB2312" w:cs="仿宋_GB2312"/>
          <w:bCs/>
          <w:kern w:val="2"/>
          <w:sz w:val="32"/>
          <w:szCs w:val="32"/>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（一）</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部门预算</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总体绩效分析。</w:t>
      </w:r>
      <w:r>
        <w:rPr>
          <w:rFonts w:hint="default" w:ascii="仿宋_GB2312" w:hAnsi="仿宋_GB2312" w:eastAsia="仿宋_GB2312" w:cs="仿宋_GB2312"/>
          <w:bCs/>
          <w:kern w:val="2"/>
          <w:sz w:val="32"/>
          <w:szCs w:val="32"/>
          <w:lang w:val="zh-CN" w:eastAsia="zh-CN" w:bidi="ar-SA"/>
        </w:rPr>
        <w:t>根据部门预算绩效评价指标体系“总体绩效”涉及二、三级指标进行逐项绩效分析并评分，依次包括履职效能、预算管理、财务管理、资产管理、采购管理等情况。</w:t>
      </w:r>
    </w:p>
    <w:p w14:paraId="237301B8">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Times New Roman" w:hAnsi="Times New Roman" w:eastAsia="楷体_GB2312" w:cs="Times New Roman"/>
          <w:color w:val="000000"/>
          <w:kern w:val="0"/>
          <w:szCs w:val="32"/>
          <w:highlight w:val="none"/>
          <w:shd w:val="clear" w:color="auto" w:fill="FFFFFF"/>
          <w:lang w:val="zh-CN"/>
        </w:rPr>
      </w:pPr>
      <w:r>
        <w:rPr>
          <w:rFonts w:hint="default" w:ascii="Times New Roman" w:hAnsi="Times New Roman" w:eastAsia="楷体_GB2312" w:cs="Times New Roman"/>
          <w:color w:val="000000"/>
          <w:kern w:val="0"/>
          <w:szCs w:val="32"/>
          <w:highlight w:val="none"/>
          <w:shd w:val="clear" w:color="auto" w:fill="FFFFFF"/>
          <w:lang w:val="en-US" w:eastAsia="zh-CN"/>
        </w:rPr>
        <w:t>1.</w:t>
      </w:r>
      <w:r>
        <w:rPr>
          <w:rFonts w:hint="default" w:ascii="Times New Roman" w:hAnsi="Times New Roman" w:eastAsia="楷体_GB2312" w:cs="Times New Roman"/>
          <w:color w:val="000000"/>
          <w:kern w:val="0"/>
          <w:szCs w:val="32"/>
          <w:highlight w:val="none"/>
          <w:shd w:val="clear" w:color="auto" w:fill="FFFFFF"/>
          <w:lang w:val="zh-CN"/>
        </w:rPr>
        <w:t>履职效能。</w:t>
      </w:r>
    </w:p>
    <w:p w14:paraId="396117D6">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eastAsia" w:ascii="仿宋_GB2312" w:hAnsi="仿宋_GB2312" w:cs="仿宋_GB2312"/>
          <w:b w:val="0"/>
          <w:bCs w:val="0"/>
          <w:color w:val="000000"/>
          <w:kern w:val="0"/>
          <w:sz w:val="32"/>
          <w:szCs w:val="32"/>
          <w:highlight w:val="none"/>
          <w:shd w:val="clear" w:color="auto" w:fill="FFFFFF"/>
          <w:lang w:val="en-US" w:eastAsia="zh-CN"/>
        </w:rPr>
      </w:pPr>
      <w:r>
        <w:rPr>
          <w:rFonts w:hint="eastAsia" w:ascii="Times New Roman" w:hAnsi="Times New Roman" w:eastAsia="楷体_GB2312" w:cs="Times New Roman"/>
          <w:color w:val="000000"/>
          <w:kern w:val="0"/>
          <w:szCs w:val="32"/>
          <w:highlight w:val="none"/>
          <w:shd w:val="clear" w:color="auto" w:fill="FFFFFF"/>
          <w:lang w:val="en-US" w:eastAsia="zh-CN"/>
        </w:rPr>
        <w:t>项目名称</w:t>
      </w:r>
      <w:r>
        <w:rPr>
          <w:rFonts w:hint="eastAsia" w:eastAsia="楷体_GB2312" w:cs="Times New Roman"/>
          <w:color w:val="000000"/>
          <w:kern w:val="0"/>
          <w:szCs w:val="32"/>
          <w:highlight w:val="none"/>
          <w:shd w:val="clear" w:color="auto" w:fill="FFFFFF"/>
          <w:lang w:val="en-US" w:eastAsia="zh-CN"/>
        </w:rPr>
        <w:t>1</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cs="仿宋_GB2312"/>
          <w:b w:val="0"/>
          <w:bCs w:val="0"/>
          <w:color w:val="000000"/>
          <w:kern w:val="0"/>
          <w:sz w:val="32"/>
          <w:szCs w:val="32"/>
          <w:highlight w:val="none"/>
          <w:shd w:val="clear" w:color="auto" w:fill="FFFFFF"/>
          <w:lang w:val="en-US" w:eastAsia="zh-CN"/>
        </w:rPr>
        <w:t>解决红原县州县广播电视节目覆盖建设项目铁塔租聘资金（质保金）</w:t>
      </w:r>
    </w:p>
    <w:p w14:paraId="74C3A75B">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项目年度目标：1.保障州县节目州顺利在红原县的千家万户播出，使党的声音更好的传递在基层每个行政村。2.维护基层社会稳定，丰富基层村民的精神文化生活。</w:t>
      </w:r>
    </w:p>
    <w:p w14:paraId="1897183E">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预算执行情况：解决红原县州县广播电视节目覆盖建设项目铁塔租聘资金（质保金）全年预计完成指标值26.08万元，已完成值26.08万元，预算执行率100.00%。</w:t>
      </w:r>
    </w:p>
    <w:p w14:paraId="22C896EC">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绩效指标：</w:t>
      </w:r>
    </w:p>
    <w:tbl>
      <w:tblPr>
        <w:tblStyle w:val="19"/>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593"/>
        <w:gridCol w:w="2028"/>
        <w:gridCol w:w="938"/>
        <w:gridCol w:w="786"/>
        <w:gridCol w:w="861"/>
        <w:gridCol w:w="1157"/>
      </w:tblGrid>
      <w:tr w14:paraId="4ECA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96" w:type="pct"/>
            <w:vAlign w:val="center"/>
          </w:tcPr>
          <w:p w14:paraId="10B83FEF">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一级指标</w:t>
            </w:r>
          </w:p>
        </w:tc>
        <w:tc>
          <w:tcPr>
            <w:tcW w:w="952" w:type="pct"/>
            <w:vAlign w:val="center"/>
          </w:tcPr>
          <w:p w14:paraId="7148AE54">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二级指标</w:t>
            </w:r>
          </w:p>
        </w:tc>
        <w:tc>
          <w:tcPr>
            <w:tcW w:w="1207" w:type="pct"/>
            <w:vAlign w:val="center"/>
          </w:tcPr>
          <w:p w14:paraId="721F020B">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三级指标</w:t>
            </w:r>
          </w:p>
        </w:tc>
        <w:tc>
          <w:tcPr>
            <w:tcW w:w="568" w:type="pct"/>
            <w:vAlign w:val="center"/>
          </w:tcPr>
          <w:p w14:paraId="759C6580">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完成值</w:t>
            </w:r>
          </w:p>
        </w:tc>
        <w:tc>
          <w:tcPr>
            <w:tcW w:w="439" w:type="pct"/>
            <w:vAlign w:val="center"/>
          </w:tcPr>
          <w:p w14:paraId="38EC1EA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权重</w:t>
            </w:r>
          </w:p>
        </w:tc>
        <w:tc>
          <w:tcPr>
            <w:tcW w:w="439" w:type="pct"/>
            <w:vAlign w:val="center"/>
          </w:tcPr>
          <w:p w14:paraId="5EF4AA89">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得分</w:t>
            </w:r>
          </w:p>
        </w:tc>
        <w:tc>
          <w:tcPr>
            <w:tcW w:w="696" w:type="pct"/>
            <w:vAlign w:val="center"/>
          </w:tcPr>
          <w:p w14:paraId="7D046A7B">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原因分析</w:t>
            </w:r>
          </w:p>
        </w:tc>
      </w:tr>
      <w:tr w14:paraId="2A71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96" w:type="pct"/>
            <w:vAlign w:val="center"/>
          </w:tcPr>
          <w:p w14:paraId="2B2EE193">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产出指标</w:t>
            </w:r>
          </w:p>
        </w:tc>
        <w:tc>
          <w:tcPr>
            <w:tcW w:w="952" w:type="pct"/>
            <w:vAlign w:val="center"/>
          </w:tcPr>
          <w:p w14:paraId="116A724F">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时效指标</w:t>
            </w:r>
          </w:p>
        </w:tc>
        <w:tc>
          <w:tcPr>
            <w:tcW w:w="1207" w:type="pct"/>
            <w:vAlign w:val="center"/>
          </w:tcPr>
          <w:p w14:paraId="2BFED4A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社会稳定</w:t>
            </w:r>
          </w:p>
        </w:tc>
        <w:tc>
          <w:tcPr>
            <w:tcW w:w="568" w:type="pct"/>
            <w:vAlign w:val="center"/>
          </w:tcPr>
          <w:p w14:paraId="542C65C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39" w:type="pct"/>
            <w:vAlign w:val="center"/>
          </w:tcPr>
          <w:p w14:paraId="4F4F13A9">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50</w:t>
            </w:r>
          </w:p>
        </w:tc>
        <w:tc>
          <w:tcPr>
            <w:tcW w:w="439" w:type="pct"/>
            <w:vAlign w:val="center"/>
          </w:tcPr>
          <w:p w14:paraId="35AA3D4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696" w:type="pct"/>
            <w:vAlign w:val="center"/>
          </w:tcPr>
          <w:p w14:paraId="2002C513">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r w14:paraId="0891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96" w:type="pct"/>
            <w:vAlign w:val="center"/>
          </w:tcPr>
          <w:p w14:paraId="17D1F3B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效益指标</w:t>
            </w:r>
          </w:p>
        </w:tc>
        <w:tc>
          <w:tcPr>
            <w:tcW w:w="952" w:type="pct"/>
            <w:vAlign w:val="center"/>
          </w:tcPr>
          <w:p w14:paraId="2A849505">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社会效益指标</w:t>
            </w:r>
          </w:p>
        </w:tc>
        <w:tc>
          <w:tcPr>
            <w:tcW w:w="1207" w:type="pct"/>
            <w:vAlign w:val="center"/>
          </w:tcPr>
          <w:p w14:paraId="757BB611">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保障州县节目传输</w:t>
            </w:r>
          </w:p>
        </w:tc>
        <w:tc>
          <w:tcPr>
            <w:tcW w:w="568" w:type="pct"/>
            <w:vAlign w:val="center"/>
          </w:tcPr>
          <w:p w14:paraId="0F0B7351">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39" w:type="pct"/>
            <w:vAlign w:val="center"/>
          </w:tcPr>
          <w:p w14:paraId="6B62FFAB">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40</w:t>
            </w:r>
          </w:p>
        </w:tc>
        <w:tc>
          <w:tcPr>
            <w:tcW w:w="439" w:type="pct"/>
            <w:vAlign w:val="center"/>
          </w:tcPr>
          <w:p w14:paraId="2BC96A71">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696" w:type="pct"/>
            <w:vAlign w:val="center"/>
          </w:tcPr>
          <w:p w14:paraId="04AB825B">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bl>
    <w:p w14:paraId="16FD41CF">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仿宋_GB2312" w:hAnsi="仿宋_GB2312" w:eastAsia="仿宋_GB2312" w:cs="仿宋_GB2312"/>
          <w:bCs/>
          <w:kern w:val="2"/>
          <w:sz w:val="32"/>
          <w:szCs w:val="32"/>
          <w:lang w:val="en-US" w:eastAsia="zh-CN" w:bidi="ar-SA"/>
        </w:rPr>
      </w:pPr>
      <w:r>
        <w:rPr>
          <w:rFonts w:hint="eastAsia" w:ascii="Times New Roman" w:hAnsi="Times New Roman" w:eastAsia="楷体_GB2312" w:cs="Times New Roman"/>
          <w:color w:val="000000"/>
          <w:kern w:val="0"/>
          <w:szCs w:val="32"/>
          <w:highlight w:val="none"/>
          <w:shd w:val="clear" w:color="auto" w:fill="FFFFFF"/>
          <w:lang w:val="en-US" w:eastAsia="zh-CN"/>
        </w:rPr>
        <w:t>项目名称</w:t>
      </w:r>
      <w:r>
        <w:rPr>
          <w:rFonts w:hint="eastAsia" w:eastAsia="楷体_GB2312" w:cs="Times New Roman"/>
          <w:color w:val="000000"/>
          <w:kern w:val="0"/>
          <w:szCs w:val="32"/>
          <w:highlight w:val="none"/>
          <w:shd w:val="clear" w:color="auto" w:fill="FFFFFF"/>
          <w:lang w:val="en-US" w:eastAsia="zh-CN"/>
        </w:rPr>
        <w:t>2</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2022年中央少数民族地区和边疆地区文化安全（广播电视）补助资金</w:t>
      </w:r>
    </w:p>
    <w:p w14:paraId="7D08857A">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项目年度目标：央少数民族地区和边疆地区文化安全，</w:t>
      </w:r>
    </w:p>
    <w:p w14:paraId="545D7CC0">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预算执行情况：2022年中央少数民族地区和边疆地区文化安全（广播电视）补助资金全年预计完成指标值4.01万元，已完成值3.65万元，预算执行率91.04%。</w:t>
      </w:r>
    </w:p>
    <w:p w14:paraId="766A83E5">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绩效指标：</w:t>
      </w:r>
    </w:p>
    <w:tbl>
      <w:tblPr>
        <w:tblStyle w:val="19"/>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553"/>
        <w:gridCol w:w="1666"/>
        <w:gridCol w:w="861"/>
        <w:gridCol w:w="786"/>
        <w:gridCol w:w="861"/>
        <w:gridCol w:w="1926"/>
      </w:tblGrid>
      <w:tr w14:paraId="07F4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53" w:type="pct"/>
            <w:vAlign w:val="center"/>
          </w:tcPr>
          <w:p w14:paraId="63A5CEE6">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vertAlign w:val="baseline"/>
                <w:lang w:val="en-US" w:eastAsia="zh-CN"/>
              </w:rPr>
            </w:pPr>
            <w:r>
              <w:rPr>
                <w:rFonts w:hint="eastAsia"/>
                <w:sz w:val="15"/>
                <w:szCs w:val="15"/>
                <w:vertAlign w:val="baseline"/>
                <w:lang w:val="en-US" w:eastAsia="zh-CN"/>
              </w:rPr>
              <w:t>一级指标</w:t>
            </w:r>
          </w:p>
        </w:tc>
        <w:tc>
          <w:tcPr>
            <w:tcW w:w="956" w:type="pct"/>
            <w:vAlign w:val="center"/>
          </w:tcPr>
          <w:p w14:paraId="619121B8">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二级指标</w:t>
            </w:r>
          </w:p>
        </w:tc>
        <w:tc>
          <w:tcPr>
            <w:tcW w:w="1022" w:type="pct"/>
            <w:vAlign w:val="center"/>
          </w:tcPr>
          <w:p w14:paraId="21A95BA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三级指标</w:t>
            </w:r>
          </w:p>
        </w:tc>
        <w:tc>
          <w:tcPr>
            <w:tcW w:w="397" w:type="pct"/>
            <w:vAlign w:val="center"/>
          </w:tcPr>
          <w:p w14:paraId="755BBB6B">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完成值</w:t>
            </w:r>
          </w:p>
        </w:tc>
        <w:tc>
          <w:tcPr>
            <w:tcW w:w="461" w:type="pct"/>
            <w:vAlign w:val="center"/>
          </w:tcPr>
          <w:p w14:paraId="00A2672B">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权重</w:t>
            </w:r>
          </w:p>
        </w:tc>
        <w:tc>
          <w:tcPr>
            <w:tcW w:w="433" w:type="pct"/>
            <w:vAlign w:val="center"/>
          </w:tcPr>
          <w:p w14:paraId="2721F4D1">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得分</w:t>
            </w:r>
          </w:p>
        </w:tc>
        <w:tc>
          <w:tcPr>
            <w:tcW w:w="1174" w:type="pct"/>
            <w:vAlign w:val="center"/>
          </w:tcPr>
          <w:p w14:paraId="690ECA7F">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原因分析</w:t>
            </w:r>
          </w:p>
        </w:tc>
      </w:tr>
      <w:tr w14:paraId="1254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53" w:type="pct"/>
            <w:vAlign w:val="center"/>
          </w:tcPr>
          <w:p w14:paraId="1583B154">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产出指标</w:t>
            </w:r>
          </w:p>
        </w:tc>
        <w:tc>
          <w:tcPr>
            <w:tcW w:w="956" w:type="pct"/>
            <w:vAlign w:val="center"/>
          </w:tcPr>
          <w:p w14:paraId="15826D4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数量指标</w:t>
            </w:r>
          </w:p>
        </w:tc>
        <w:tc>
          <w:tcPr>
            <w:tcW w:w="1022" w:type="pct"/>
            <w:vAlign w:val="center"/>
          </w:tcPr>
          <w:p w14:paraId="38DCCA6C">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广播节目播出时间</w:t>
            </w:r>
          </w:p>
        </w:tc>
        <w:tc>
          <w:tcPr>
            <w:tcW w:w="397" w:type="pct"/>
            <w:vAlign w:val="center"/>
          </w:tcPr>
          <w:p w14:paraId="6F3BA36E">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61" w:type="pct"/>
            <w:vAlign w:val="center"/>
          </w:tcPr>
          <w:p w14:paraId="036E7FBA">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50</w:t>
            </w:r>
          </w:p>
        </w:tc>
        <w:tc>
          <w:tcPr>
            <w:tcW w:w="433" w:type="pct"/>
            <w:vAlign w:val="center"/>
          </w:tcPr>
          <w:p w14:paraId="109153C1">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1174" w:type="pct"/>
            <w:vAlign w:val="center"/>
          </w:tcPr>
          <w:p w14:paraId="58A13B65">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r w14:paraId="168B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53" w:type="pct"/>
            <w:vAlign w:val="center"/>
          </w:tcPr>
          <w:p w14:paraId="6182F184">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效益指标</w:t>
            </w:r>
          </w:p>
        </w:tc>
        <w:tc>
          <w:tcPr>
            <w:tcW w:w="956" w:type="pct"/>
            <w:vAlign w:val="center"/>
          </w:tcPr>
          <w:p w14:paraId="56AB1E65">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社会效益指标</w:t>
            </w:r>
          </w:p>
        </w:tc>
        <w:tc>
          <w:tcPr>
            <w:tcW w:w="1022" w:type="pct"/>
            <w:vAlign w:val="center"/>
          </w:tcPr>
          <w:p w14:paraId="5EE19B1B">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保障边疆地区收听需求</w:t>
            </w:r>
          </w:p>
        </w:tc>
        <w:tc>
          <w:tcPr>
            <w:tcW w:w="397" w:type="pct"/>
            <w:vAlign w:val="center"/>
          </w:tcPr>
          <w:p w14:paraId="7DE82450">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61" w:type="pct"/>
            <w:vAlign w:val="center"/>
          </w:tcPr>
          <w:p w14:paraId="7F2AD9D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30</w:t>
            </w:r>
          </w:p>
        </w:tc>
        <w:tc>
          <w:tcPr>
            <w:tcW w:w="433" w:type="pct"/>
            <w:vAlign w:val="center"/>
          </w:tcPr>
          <w:p w14:paraId="580B81EC">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1174" w:type="pct"/>
            <w:vAlign w:val="center"/>
          </w:tcPr>
          <w:p w14:paraId="6389524A">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r w14:paraId="6A82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pct"/>
            <w:vAlign w:val="center"/>
          </w:tcPr>
          <w:p w14:paraId="6C13B55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满意度指标</w:t>
            </w:r>
          </w:p>
        </w:tc>
        <w:tc>
          <w:tcPr>
            <w:tcW w:w="956" w:type="pct"/>
            <w:vAlign w:val="top"/>
          </w:tcPr>
          <w:p w14:paraId="51B1CB2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服务对象满意度指标</w:t>
            </w:r>
          </w:p>
        </w:tc>
        <w:tc>
          <w:tcPr>
            <w:tcW w:w="1022" w:type="pct"/>
            <w:vAlign w:val="center"/>
          </w:tcPr>
          <w:p w14:paraId="4714258C">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满足群众广播收听需求</w:t>
            </w:r>
          </w:p>
        </w:tc>
        <w:tc>
          <w:tcPr>
            <w:tcW w:w="397" w:type="pct"/>
            <w:vAlign w:val="center"/>
          </w:tcPr>
          <w:p w14:paraId="261BA9C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61" w:type="pct"/>
            <w:vAlign w:val="center"/>
          </w:tcPr>
          <w:p w14:paraId="11BB80F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w:t>
            </w:r>
          </w:p>
        </w:tc>
        <w:tc>
          <w:tcPr>
            <w:tcW w:w="433" w:type="pct"/>
            <w:vAlign w:val="center"/>
          </w:tcPr>
          <w:p w14:paraId="690B98A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1174" w:type="pct"/>
            <w:vAlign w:val="center"/>
          </w:tcPr>
          <w:p w14:paraId="60AD2894">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bl>
    <w:p w14:paraId="3D2AED35">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仿宋_GB2312" w:hAnsi="仿宋_GB2312" w:eastAsia="仿宋_GB2312" w:cs="仿宋_GB2312"/>
          <w:bCs/>
          <w:kern w:val="2"/>
          <w:sz w:val="32"/>
          <w:szCs w:val="32"/>
          <w:lang w:val="en-US" w:eastAsia="zh-CN" w:bidi="ar-SA"/>
        </w:rPr>
      </w:pPr>
      <w:r>
        <w:rPr>
          <w:rFonts w:hint="eastAsia" w:ascii="Times New Roman" w:hAnsi="Times New Roman" w:eastAsia="楷体_GB2312" w:cs="Times New Roman"/>
          <w:color w:val="000000"/>
          <w:kern w:val="0"/>
          <w:szCs w:val="32"/>
          <w:highlight w:val="none"/>
          <w:shd w:val="clear" w:color="auto" w:fill="FFFFFF"/>
          <w:lang w:val="en-US" w:eastAsia="zh-CN"/>
        </w:rPr>
        <w:t>项目名称</w:t>
      </w:r>
      <w:r>
        <w:rPr>
          <w:rFonts w:hint="eastAsia" w:eastAsia="楷体_GB2312" w:cs="Times New Roman"/>
          <w:color w:val="000000"/>
          <w:kern w:val="0"/>
          <w:szCs w:val="32"/>
          <w:highlight w:val="none"/>
          <w:shd w:val="clear" w:color="auto" w:fill="FFFFFF"/>
          <w:lang w:val="en-US" w:eastAsia="zh-CN"/>
        </w:rPr>
        <w:t>3</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解决融媒体中心设备采购（质保金）</w:t>
      </w:r>
    </w:p>
    <w:p w14:paraId="0DD2CC99">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项目年度目标：以进一步加大对重大主题活动的宣传，可以更好的宣传红原声音，讲好红原故事。</w:t>
      </w:r>
    </w:p>
    <w:p w14:paraId="1B71E7D7">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预算执行情况：解决融媒体中心设备采购（质保金）全年预计完成指标值5.28万元，已完成值4.48万元，预算执行率为84.84%。</w:t>
      </w:r>
    </w:p>
    <w:p w14:paraId="3172B7D6">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绩效指标：</w:t>
      </w:r>
    </w:p>
    <w:tbl>
      <w:tblPr>
        <w:tblStyle w:val="19"/>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593"/>
        <w:gridCol w:w="2028"/>
        <w:gridCol w:w="938"/>
        <w:gridCol w:w="786"/>
        <w:gridCol w:w="861"/>
        <w:gridCol w:w="1157"/>
      </w:tblGrid>
      <w:tr w14:paraId="0606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96" w:type="pct"/>
            <w:vAlign w:val="center"/>
          </w:tcPr>
          <w:p w14:paraId="6D5ED00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一级指标</w:t>
            </w:r>
          </w:p>
        </w:tc>
        <w:tc>
          <w:tcPr>
            <w:tcW w:w="952" w:type="pct"/>
            <w:vAlign w:val="center"/>
          </w:tcPr>
          <w:p w14:paraId="5B33993C">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二级指标</w:t>
            </w:r>
          </w:p>
        </w:tc>
        <w:tc>
          <w:tcPr>
            <w:tcW w:w="1207" w:type="pct"/>
            <w:vAlign w:val="center"/>
          </w:tcPr>
          <w:p w14:paraId="230674D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三级指标</w:t>
            </w:r>
          </w:p>
        </w:tc>
        <w:tc>
          <w:tcPr>
            <w:tcW w:w="568" w:type="pct"/>
            <w:vAlign w:val="center"/>
          </w:tcPr>
          <w:p w14:paraId="1D1FDD0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完成值</w:t>
            </w:r>
          </w:p>
        </w:tc>
        <w:tc>
          <w:tcPr>
            <w:tcW w:w="439" w:type="pct"/>
            <w:vAlign w:val="center"/>
          </w:tcPr>
          <w:p w14:paraId="71986F6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权重</w:t>
            </w:r>
          </w:p>
        </w:tc>
        <w:tc>
          <w:tcPr>
            <w:tcW w:w="439" w:type="pct"/>
            <w:vAlign w:val="center"/>
          </w:tcPr>
          <w:p w14:paraId="522DF7F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得分</w:t>
            </w:r>
          </w:p>
        </w:tc>
        <w:tc>
          <w:tcPr>
            <w:tcW w:w="696" w:type="pct"/>
            <w:vAlign w:val="center"/>
          </w:tcPr>
          <w:p w14:paraId="46DC710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原因分析</w:t>
            </w:r>
          </w:p>
        </w:tc>
      </w:tr>
      <w:tr w14:paraId="1C3F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96" w:type="pct"/>
            <w:vAlign w:val="center"/>
          </w:tcPr>
          <w:p w14:paraId="6EE2A547">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产出指标</w:t>
            </w:r>
          </w:p>
        </w:tc>
        <w:tc>
          <w:tcPr>
            <w:tcW w:w="952" w:type="pct"/>
            <w:vAlign w:val="center"/>
          </w:tcPr>
          <w:p w14:paraId="12094F13">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数量指标</w:t>
            </w:r>
          </w:p>
        </w:tc>
        <w:tc>
          <w:tcPr>
            <w:tcW w:w="1207" w:type="pct"/>
            <w:vAlign w:val="center"/>
          </w:tcPr>
          <w:p w14:paraId="36E52606">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专用设备更新比率</w:t>
            </w:r>
          </w:p>
        </w:tc>
        <w:tc>
          <w:tcPr>
            <w:tcW w:w="568" w:type="pct"/>
            <w:vAlign w:val="center"/>
          </w:tcPr>
          <w:p w14:paraId="44139F5A">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39" w:type="pct"/>
            <w:vAlign w:val="center"/>
          </w:tcPr>
          <w:p w14:paraId="36A70E65">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30</w:t>
            </w:r>
          </w:p>
        </w:tc>
        <w:tc>
          <w:tcPr>
            <w:tcW w:w="439" w:type="pct"/>
            <w:vAlign w:val="center"/>
          </w:tcPr>
          <w:p w14:paraId="664C61E3">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696" w:type="pct"/>
            <w:vAlign w:val="center"/>
          </w:tcPr>
          <w:p w14:paraId="6B27E9DA">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r w14:paraId="3190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96" w:type="pct"/>
            <w:vAlign w:val="center"/>
          </w:tcPr>
          <w:p w14:paraId="79203EC5">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产出指标</w:t>
            </w:r>
          </w:p>
        </w:tc>
        <w:tc>
          <w:tcPr>
            <w:tcW w:w="952" w:type="pct"/>
            <w:vAlign w:val="center"/>
          </w:tcPr>
          <w:p w14:paraId="4491E5F9">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时效指标</w:t>
            </w:r>
          </w:p>
        </w:tc>
        <w:tc>
          <w:tcPr>
            <w:tcW w:w="1207" w:type="pct"/>
            <w:vAlign w:val="center"/>
          </w:tcPr>
          <w:p w14:paraId="48AE8E91">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摄影摄像画质提升</w:t>
            </w:r>
          </w:p>
        </w:tc>
        <w:tc>
          <w:tcPr>
            <w:tcW w:w="568" w:type="pct"/>
            <w:vAlign w:val="center"/>
          </w:tcPr>
          <w:p w14:paraId="034C204F">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39" w:type="pct"/>
            <w:vAlign w:val="center"/>
          </w:tcPr>
          <w:p w14:paraId="418D04AF">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30</w:t>
            </w:r>
          </w:p>
        </w:tc>
        <w:tc>
          <w:tcPr>
            <w:tcW w:w="439" w:type="pct"/>
            <w:vAlign w:val="center"/>
          </w:tcPr>
          <w:p w14:paraId="764D190F">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696" w:type="pct"/>
            <w:vAlign w:val="center"/>
          </w:tcPr>
          <w:p w14:paraId="62D5C4BE">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r w14:paraId="74CF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6" w:type="pct"/>
            <w:vAlign w:val="center"/>
          </w:tcPr>
          <w:p w14:paraId="5C6CB25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效益指标</w:t>
            </w:r>
          </w:p>
        </w:tc>
        <w:tc>
          <w:tcPr>
            <w:tcW w:w="952" w:type="pct"/>
            <w:vAlign w:val="top"/>
          </w:tcPr>
          <w:p w14:paraId="2B5E0BC1">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社会效益指标</w:t>
            </w:r>
          </w:p>
        </w:tc>
        <w:tc>
          <w:tcPr>
            <w:tcW w:w="1207" w:type="pct"/>
            <w:vAlign w:val="center"/>
          </w:tcPr>
          <w:p w14:paraId="53F0D44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提升宣传质量</w:t>
            </w:r>
          </w:p>
        </w:tc>
        <w:tc>
          <w:tcPr>
            <w:tcW w:w="568" w:type="pct"/>
            <w:vAlign w:val="center"/>
          </w:tcPr>
          <w:p w14:paraId="12AABB31">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39" w:type="pct"/>
            <w:vAlign w:val="center"/>
          </w:tcPr>
          <w:p w14:paraId="07F84AC3">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30</w:t>
            </w:r>
          </w:p>
        </w:tc>
        <w:tc>
          <w:tcPr>
            <w:tcW w:w="439" w:type="pct"/>
            <w:vAlign w:val="center"/>
          </w:tcPr>
          <w:p w14:paraId="695F59F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696" w:type="pct"/>
            <w:vAlign w:val="center"/>
          </w:tcPr>
          <w:p w14:paraId="4627DB74">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bl>
    <w:p w14:paraId="5FDD84DE">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仿宋_GB2312" w:hAnsi="仿宋_GB2312" w:eastAsia="仿宋_GB2312" w:cs="仿宋_GB2312"/>
          <w:bCs/>
          <w:kern w:val="2"/>
          <w:sz w:val="32"/>
          <w:szCs w:val="32"/>
          <w:lang w:val="en-US" w:eastAsia="zh-CN" w:bidi="ar-SA"/>
        </w:rPr>
      </w:pPr>
      <w:r>
        <w:rPr>
          <w:rFonts w:hint="eastAsia" w:ascii="Times New Roman" w:hAnsi="Times New Roman" w:eastAsia="楷体_GB2312" w:cs="Times New Roman"/>
          <w:color w:val="000000"/>
          <w:kern w:val="0"/>
          <w:szCs w:val="32"/>
          <w:highlight w:val="none"/>
          <w:shd w:val="clear" w:color="auto" w:fill="FFFFFF"/>
          <w:lang w:val="en-US" w:eastAsia="zh-CN"/>
        </w:rPr>
        <w:t>项目名称</w:t>
      </w:r>
      <w:r>
        <w:rPr>
          <w:rFonts w:hint="eastAsia" w:eastAsia="楷体_GB2312" w:cs="Times New Roman"/>
          <w:color w:val="000000"/>
          <w:kern w:val="0"/>
          <w:szCs w:val="32"/>
          <w:highlight w:val="none"/>
          <w:shd w:val="clear" w:color="auto" w:fill="FFFFFF"/>
          <w:lang w:val="en-US" w:eastAsia="zh-CN"/>
        </w:rPr>
        <w:t>4</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2023年少数民族地区和边疆地区文化安全（广播电视）补助资金</w:t>
      </w:r>
    </w:p>
    <w:p w14:paraId="49F4A045">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项目年度目标：保障藏区有线电视安全稳定播出。</w:t>
      </w:r>
    </w:p>
    <w:p w14:paraId="76A4D4F7">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预算执行情况：2023年少数民族地区和边疆地区文化安全（广播电视）补助资金全年预计完成指标值39.02万元，已完成值37.37万元，预算执行率为95.77%。</w:t>
      </w:r>
    </w:p>
    <w:p w14:paraId="514D4F4E">
      <w:pPr>
        <w:pStyle w:val="17"/>
        <w:pageBreakBefore w:val="0"/>
        <w:kinsoku/>
        <w:wordWrap/>
        <w:topLinePunct w:val="0"/>
        <w:autoSpaceDE/>
        <w:autoSpaceDN/>
        <w:bidi w:val="0"/>
        <w:spacing w:line="576" w:lineRule="exact"/>
        <w:ind w:left="0" w:leftChars="0" w:firstLine="640" w:firstLineChars="200"/>
        <w:rPr>
          <w:rFonts w:hint="default"/>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bidi="ar-SA"/>
        </w:rPr>
        <w:t>绩效指标：</w:t>
      </w:r>
    </w:p>
    <w:tbl>
      <w:tblPr>
        <w:tblStyle w:val="19"/>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676"/>
        <w:gridCol w:w="2547"/>
        <w:gridCol w:w="861"/>
        <w:gridCol w:w="786"/>
        <w:gridCol w:w="747"/>
        <w:gridCol w:w="922"/>
      </w:tblGrid>
      <w:tr w14:paraId="7CBB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75" w:type="pct"/>
            <w:vAlign w:val="center"/>
          </w:tcPr>
          <w:p w14:paraId="1E04A010">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vertAlign w:val="baseline"/>
                <w:lang w:val="en-US" w:eastAsia="zh-CN"/>
              </w:rPr>
            </w:pPr>
            <w:r>
              <w:rPr>
                <w:rFonts w:hint="eastAsia"/>
                <w:sz w:val="15"/>
                <w:szCs w:val="15"/>
                <w:vertAlign w:val="baseline"/>
                <w:lang w:val="en-US" w:eastAsia="zh-CN"/>
              </w:rPr>
              <w:t>一级指标</w:t>
            </w:r>
          </w:p>
        </w:tc>
        <w:tc>
          <w:tcPr>
            <w:tcW w:w="983" w:type="pct"/>
            <w:vAlign w:val="center"/>
          </w:tcPr>
          <w:p w14:paraId="3CE29695">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二级指标</w:t>
            </w:r>
          </w:p>
        </w:tc>
        <w:tc>
          <w:tcPr>
            <w:tcW w:w="1494" w:type="pct"/>
            <w:vAlign w:val="center"/>
          </w:tcPr>
          <w:p w14:paraId="0C72A19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三级指标</w:t>
            </w:r>
          </w:p>
        </w:tc>
        <w:tc>
          <w:tcPr>
            <w:tcW w:w="505" w:type="pct"/>
            <w:vAlign w:val="center"/>
          </w:tcPr>
          <w:p w14:paraId="5A7152C6">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完成值</w:t>
            </w:r>
          </w:p>
        </w:tc>
        <w:tc>
          <w:tcPr>
            <w:tcW w:w="461" w:type="pct"/>
            <w:vAlign w:val="center"/>
          </w:tcPr>
          <w:p w14:paraId="01863CE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权重</w:t>
            </w:r>
          </w:p>
        </w:tc>
        <w:tc>
          <w:tcPr>
            <w:tcW w:w="438" w:type="pct"/>
            <w:vAlign w:val="center"/>
          </w:tcPr>
          <w:p w14:paraId="3DE4E056">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得分</w:t>
            </w:r>
          </w:p>
        </w:tc>
        <w:tc>
          <w:tcPr>
            <w:tcW w:w="541" w:type="pct"/>
            <w:vAlign w:val="center"/>
          </w:tcPr>
          <w:p w14:paraId="77A4FDC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原因分析</w:t>
            </w:r>
          </w:p>
        </w:tc>
      </w:tr>
      <w:tr w14:paraId="143B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75" w:type="pct"/>
            <w:vAlign w:val="center"/>
          </w:tcPr>
          <w:p w14:paraId="22FA7753">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产出指标</w:t>
            </w:r>
          </w:p>
        </w:tc>
        <w:tc>
          <w:tcPr>
            <w:tcW w:w="983" w:type="pct"/>
            <w:vAlign w:val="center"/>
          </w:tcPr>
          <w:p w14:paraId="00E8AA56">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数量指标</w:t>
            </w:r>
          </w:p>
        </w:tc>
        <w:tc>
          <w:tcPr>
            <w:tcW w:w="1494" w:type="pct"/>
            <w:vAlign w:val="center"/>
          </w:tcPr>
          <w:p w14:paraId="2270E77C">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保障县域覆盖足够有线电视用户</w:t>
            </w:r>
          </w:p>
        </w:tc>
        <w:tc>
          <w:tcPr>
            <w:tcW w:w="505" w:type="pct"/>
            <w:vAlign w:val="center"/>
          </w:tcPr>
          <w:p w14:paraId="17E67235">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61" w:type="pct"/>
            <w:vAlign w:val="center"/>
          </w:tcPr>
          <w:p w14:paraId="4B97CF6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40</w:t>
            </w:r>
          </w:p>
        </w:tc>
        <w:tc>
          <w:tcPr>
            <w:tcW w:w="438" w:type="pct"/>
            <w:vAlign w:val="center"/>
          </w:tcPr>
          <w:p w14:paraId="7248BE5C">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541" w:type="pct"/>
            <w:vAlign w:val="center"/>
          </w:tcPr>
          <w:p w14:paraId="7B85932C">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r w14:paraId="33A1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75" w:type="pct"/>
            <w:vAlign w:val="center"/>
          </w:tcPr>
          <w:p w14:paraId="6FAE23F5">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效益指标</w:t>
            </w:r>
          </w:p>
        </w:tc>
        <w:tc>
          <w:tcPr>
            <w:tcW w:w="983" w:type="pct"/>
            <w:vAlign w:val="top"/>
          </w:tcPr>
          <w:p w14:paraId="0F69946B">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社会效益指标</w:t>
            </w:r>
          </w:p>
        </w:tc>
        <w:tc>
          <w:tcPr>
            <w:tcW w:w="1494" w:type="pct"/>
            <w:vAlign w:val="center"/>
          </w:tcPr>
          <w:p w14:paraId="326AE40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满足藏区群众观看电视需求</w:t>
            </w:r>
          </w:p>
        </w:tc>
        <w:tc>
          <w:tcPr>
            <w:tcW w:w="505" w:type="pct"/>
            <w:vAlign w:val="center"/>
          </w:tcPr>
          <w:p w14:paraId="6FA13FA4">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61" w:type="pct"/>
            <w:vAlign w:val="center"/>
          </w:tcPr>
          <w:p w14:paraId="0B438588">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40</w:t>
            </w:r>
          </w:p>
        </w:tc>
        <w:tc>
          <w:tcPr>
            <w:tcW w:w="438" w:type="pct"/>
            <w:vAlign w:val="center"/>
          </w:tcPr>
          <w:p w14:paraId="7CB6DF4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541" w:type="pct"/>
            <w:vAlign w:val="center"/>
          </w:tcPr>
          <w:p w14:paraId="647A01F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r w14:paraId="66C5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pct"/>
            <w:vAlign w:val="center"/>
          </w:tcPr>
          <w:p w14:paraId="3A16906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满意度指标</w:t>
            </w:r>
          </w:p>
        </w:tc>
        <w:tc>
          <w:tcPr>
            <w:tcW w:w="983" w:type="pct"/>
            <w:vAlign w:val="top"/>
          </w:tcPr>
          <w:p w14:paraId="378EE7A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服务对象满意度指标</w:t>
            </w:r>
          </w:p>
        </w:tc>
        <w:tc>
          <w:tcPr>
            <w:tcW w:w="1494" w:type="pct"/>
            <w:vAlign w:val="center"/>
          </w:tcPr>
          <w:p w14:paraId="61DAA97F">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群众观看有线电视满意度</w:t>
            </w:r>
          </w:p>
        </w:tc>
        <w:tc>
          <w:tcPr>
            <w:tcW w:w="505" w:type="pct"/>
            <w:vAlign w:val="center"/>
          </w:tcPr>
          <w:p w14:paraId="6FF464A2">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61" w:type="pct"/>
            <w:vAlign w:val="center"/>
          </w:tcPr>
          <w:p w14:paraId="2F0DD8DD">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w:t>
            </w:r>
          </w:p>
        </w:tc>
        <w:tc>
          <w:tcPr>
            <w:tcW w:w="438" w:type="pct"/>
            <w:vAlign w:val="center"/>
          </w:tcPr>
          <w:p w14:paraId="4AF5077A">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541" w:type="pct"/>
            <w:vAlign w:val="center"/>
          </w:tcPr>
          <w:p w14:paraId="3BE6EDF9">
            <w:pPr>
              <w:pStyle w:val="17"/>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bl>
    <w:p w14:paraId="37545D61">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仿宋_GB2312" w:hAnsi="仿宋_GB2312" w:eastAsia="仿宋_GB2312" w:cs="仿宋_GB2312"/>
          <w:bCs/>
          <w:kern w:val="2"/>
          <w:sz w:val="32"/>
          <w:szCs w:val="32"/>
          <w:lang w:val="en-US" w:eastAsia="zh-CN" w:bidi="ar-SA"/>
        </w:rPr>
      </w:pPr>
      <w:r>
        <w:rPr>
          <w:rFonts w:hint="eastAsia" w:ascii="Times New Roman" w:hAnsi="Times New Roman" w:eastAsia="楷体_GB2312" w:cs="Times New Roman"/>
          <w:color w:val="000000"/>
          <w:kern w:val="0"/>
          <w:szCs w:val="32"/>
          <w:highlight w:val="none"/>
          <w:shd w:val="clear" w:color="auto" w:fill="FFFFFF"/>
          <w:lang w:val="en-US" w:eastAsia="zh-CN"/>
        </w:rPr>
        <w:t>项目名称</w:t>
      </w:r>
      <w:r>
        <w:rPr>
          <w:rFonts w:hint="eastAsia" w:eastAsia="楷体_GB2312" w:cs="Times New Roman"/>
          <w:color w:val="000000"/>
          <w:kern w:val="0"/>
          <w:szCs w:val="32"/>
          <w:highlight w:val="none"/>
          <w:shd w:val="clear" w:color="auto" w:fill="FFFFFF"/>
          <w:lang w:val="en-US" w:eastAsia="zh-CN"/>
        </w:rPr>
        <w:t>5</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2024年中央少数民族地区和边疆地区文化安全补助资金（广播电视）</w:t>
      </w:r>
    </w:p>
    <w:p w14:paraId="517D0EDC">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项目年度目标：保障边疆地区广播电视安全播出。</w:t>
      </w:r>
    </w:p>
    <w:p w14:paraId="2CD9B524">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预算执行情况：2024年中央少数民族地区和边疆地区文化安全补助资金（广播电视）预算全年预计完成指标值39.02万元，已完成值5.52万元，预算执行率为14.15%</w:t>
      </w:r>
    </w:p>
    <w:p w14:paraId="0D1EEB39">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绩效指标：</w:t>
      </w:r>
    </w:p>
    <w:tbl>
      <w:tblPr>
        <w:tblStyle w:val="19"/>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841"/>
        <w:gridCol w:w="3515"/>
        <w:gridCol w:w="786"/>
        <w:gridCol w:w="786"/>
        <w:gridCol w:w="861"/>
        <w:gridCol w:w="829"/>
      </w:tblGrid>
      <w:tr w14:paraId="173F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30" w:type="pct"/>
            <w:vAlign w:val="center"/>
          </w:tcPr>
          <w:p w14:paraId="53386BEC">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vertAlign w:val="baseline"/>
                <w:lang w:val="en-US" w:eastAsia="zh-CN"/>
              </w:rPr>
            </w:pPr>
            <w:r>
              <w:rPr>
                <w:rFonts w:hint="eastAsia"/>
                <w:sz w:val="15"/>
                <w:szCs w:val="15"/>
                <w:vertAlign w:val="baseline"/>
                <w:lang w:val="en-US" w:eastAsia="zh-CN"/>
              </w:rPr>
              <w:t>一级指标</w:t>
            </w:r>
          </w:p>
        </w:tc>
        <w:tc>
          <w:tcPr>
            <w:tcW w:w="493" w:type="pct"/>
            <w:vAlign w:val="center"/>
          </w:tcPr>
          <w:p w14:paraId="199487B5">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vertAlign w:val="baseline"/>
                <w:lang w:val="en-US" w:eastAsia="zh-CN"/>
              </w:rPr>
            </w:pPr>
            <w:r>
              <w:rPr>
                <w:rFonts w:hint="eastAsia"/>
                <w:sz w:val="15"/>
                <w:szCs w:val="15"/>
                <w:vertAlign w:val="baseline"/>
                <w:lang w:val="en-US" w:eastAsia="zh-CN"/>
              </w:rPr>
              <w:t>二级指标</w:t>
            </w:r>
          </w:p>
        </w:tc>
        <w:tc>
          <w:tcPr>
            <w:tcW w:w="2061" w:type="pct"/>
            <w:vAlign w:val="center"/>
          </w:tcPr>
          <w:p w14:paraId="19AB332D">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三级指标</w:t>
            </w:r>
          </w:p>
        </w:tc>
        <w:tc>
          <w:tcPr>
            <w:tcW w:w="461" w:type="pct"/>
            <w:vAlign w:val="center"/>
          </w:tcPr>
          <w:p w14:paraId="3A4C2EB2">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完成值</w:t>
            </w:r>
          </w:p>
        </w:tc>
        <w:tc>
          <w:tcPr>
            <w:tcW w:w="461" w:type="pct"/>
            <w:vAlign w:val="center"/>
          </w:tcPr>
          <w:p w14:paraId="42566972">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权重</w:t>
            </w:r>
          </w:p>
        </w:tc>
        <w:tc>
          <w:tcPr>
            <w:tcW w:w="505" w:type="pct"/>
            <w:vAlign w:val="center"/>
          </w:tcPr>
          <w:p w14:paraId="48D6F7D9">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得分</w:t>
            </w:r>
          </w:p>
        </w:tc>
        <w:tc>
          <w:tcPr>
            <w:tcW w:w="486" w:type="pct"/>
            <w:vAlign w:val="center"/>
          </w:tcPr>
          <w:p w14:paraId="6933C490">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原因分析</w:t>
            </w:r>
          </w:p>
        </w:tc>
      </w:tr>
      <w:tr w14:paraId="0385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30" w:type="pct"/>
            <w:vAlign w:val="center"/>
          </w:tcPr>
          <w:p w14:paraId="5CBD7C4B">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产出指标</w:t>
            </w:r>
          </w:p>
        </w:tc>
        <w:tc>
          <w:tcPr>
            <w:tcW w:w="493" w:type="pct"/>
            <w:vAlign w:val="center"/>
          </w:tcPr>
          <w:p w14:paraId="7B1F63AA">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数量指标</w:t>
            </w:r>
          </w:p>
        </w:tc>
        <w:tc>
          <w:tcPr>
            <w:tcW w:w="2061" w:type="pct"/>
            <w:vAlign w:val="center"/>
          </w:tcPr>
          <w:p w14:paraId="36956BE5">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涉藏州县寺庙广播电视直播卫星覆盖方式的僧舍正常运行数</w:t>
            </w:r>
          </w:p>
        </w:tc>
        <w:tc>
          <w:tcPr>
            <w:tcW w:w="461" w:type="pct"/>
            <w:vAlign w:val="center"/>
          </w:tcPr>
          <w:p w14:paraId="637FED03">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14</w:t>
            </w:r>
          </w:p>
        </w:tc>
        <w:tc>
          <w:tcPr>
            <w:tcW w:w="461" w:type="pct"/>
            <w:vAlign w:val="center"/>
          </w:tcPr>
          <w:p w14:paraId="7E75CC3C">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40</w:t>
            </w:r>
          </w:p>
        </w:tc>
        <w:tc>
          <w:tcPr>
            <w:tcW w:w="505" w:type="pct"/>
            <w:vAlign w:val="center"/>
          </w:tcPr>
          <w:p w14:paraId="6CE0CEF8">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86" w:type="pct"/>
            <w:vMerge w:val="restart"/>
            <w:vAlign w:val="center"/>
          </w:tcPr>
          <w:p w14:paraId="3BC453B6">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该项目期限为2年，2024年已完成14.15%。</w:t>
            </w:r>
          </w:p>
          <w:p w14:paraId="3A47CAAB">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p>
        </w:tc>
      </w:tr>
      <w:tr w14:paraId="0AA9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30" w:type="pct"/>
            <w:vAlign w:val="center"/>
          </w:tcPr>
          <w:p w14:paraId="0563678E">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效益指标</w:t>
            </w:r>
          </w:p>
        </w:tc>
        <w:tc>
          <w:tcPr>
            <w:tcW w:w="493" w:type="pct"/>
            <w:vAlign w:val="center"/>
          </w:tcPr>
          <w:p w14:paraId="41C3F8A9">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社会效益指标</w:t>
            </w:r>
          </w:p>
        </w:tc>
        <w:tc>
          <w:tcPr>
            <w:tcW w:w="2061" w:type="pct"/>
            <w:vAlign w:val="center"/>
          </w:tcPr>
          <w:p w14:paraId="26434C15">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少数民族群众广播电视节目覆盖率</w:t>
            </w:r>
          </w:p>
        </w:tc>
        <w:tc>
          <w:tcPr>
            <w:tcW w:w="461" w:type="pct"/>
            <w:vAlign w:val="center"/>
          </w:tcPr>
          <w:p w14:paraId="01E161B3">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14</w:t>
            </w:r>
          </w:p>
        </w:tc>
        <w:tc>
          <w:tcPr>
            <w:tcW w:w="461" w:type="pct"/>
            <w:vAlign w:val="center"/>
          </w:tcPr>
          <w:p w14:paraId="2DB8BF94">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40</w:t>
            </w:r>
          </w:p>
        </w:tc>
        <w:tc>
          <w:tcPr>
            <w:tcW w:w="505" w:type="pct"/>
            <w:vAlign w:val="center"/>
          </w:tcPr>
          <w:p w14:paraId="07DD5D55">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86" w:type="pct"/>
            <w:vMerge w:val="continue"/>
            <w:vAlign w:val="center"/>
          </w:tcPr>
          <w:p w14:paraId="398F1517">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p>
        </w:tc>
      </w:tr>
      <w:tr w14:paraId="2B38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0" w:type="pct"/>
            <w:vAlign w:val="center"/>
          </w:tcPr>
          <w:p w14:paraId="7625DA2F">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满意度指标</w:t>
            </w:r>
          </w:p>
        </w:tc>
        <w:tc>
          <w:tcPr>
            <w:tcW w:w="493" w:type="pct"/>
            <w:vAlign w:val="center"/>
          </w:tcPr>
          <w:p w14:paraId="22A94B8C">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服务对象满意度指标</w:t>
            </w:r>
          </w:p>
        </w:tc>
        <w:tc>
          <w:tcPr>
            <w:tcW w:w="2061" w:type="pct"/>
            <w:vAlign w:val="center"/>
          </w:tcPr>
          <w:p w14:paraId="1A7496F1">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少数民族群众免费收听收看广播电视满意度</w:t>
            </w:r>
          </w:p>
        </w:tc>
        <w:tc>
          <w:tcPr>
            <w:tcW w:w="461" w:type="pct"/>
            <w:vAlign w:val="center"/>
          </w:tcPr>
          <w:p w14:paraId="2446279C">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14</w:t>
            </w:r>
          </w:p>
        </w:tc>
        <w:tc>
          <w:tcPr>
            <w:tcW w:w="461" w:type="pct"/>
            <w:vAlign w:val="center"/>
          </w:tcPr>
          <w:p w14:paraId="42810598">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w:t>
            </w:r>
          </w:p>
        </w:tc>
        <w:tc>
          <w:tcPr>
            <w:tcW w:w="505" w:type="pct"/>
            <w:vAlign w:val="center"/>
          </w:tcPr>
          <w:p w14:paraId="14554B35">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86" w:type="pct"/>
            <w:vMerge w:val="continue"/>
            <w:vAlign w:val="center"/>
          </w:tcPr>
          <w:p w14:paraId="658BE77C">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p>
        </w:tc>
      </w:tr>
    </w:tbl>
    <w:p w14:paraId="75672FE7">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仿宋_GB2312" w:hAnsi="仿宋_GB2312" w:eastAsia="仿宋_GB2312" w:cs="仿宋_GB2312"/>
          <w:bCs/>
          <w:kern w:val="2"/>
          <w:sz w:val="32"/>
          <w:szCs w:val="32"/>
          <w:lang w:val="en-US" w:eastAsia="zh-CN" w:bidi="ar-SA"/>
        </w:rPr>
      </w:pPr>
      <w:r>
        <w:rPr>
          <w:rFonts w:hint="eastAsia" w:ascii="Times New Roman" w:hAnsi="Times New Roman" w:eastAsia="楷体_GB2312" w:cs="Times New Roman"/>
          <w:color w:val="000000"/>
          <w:kern w:val="0"/>
          <w:szCs w:val="32"/>
          <w:highlight w:val="none"/>
          <w:shd w:val="clear" w:color="auto" w:fill="FFFFFF"/>
          <w:lang w:val="en-US" w:eastAsia="zh-CN"/>
        </w:rPr>
        <w:t>项目名称</w:t>
      </w:r>
      <w:r>
        <w:rPr>
          <w:rFonts w:hint="eastAsia" w:eastAsia="楷体_GB2312" w:cs="Times New Roman"/>
          <w:color w:val="000000"/>
          <w:kern w:val="0"/>
          <w:szCs w:val="32"/>
          <w:highlight w:val="none"/>
          <w:shd w:val="clear" w:color="auto" w:fill="FFFFFF"/>
          <w:lang w:val="en-US" w:eastAsia="zh-CN"/>
        </w:rPr>
        <w:t>6</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关于下达2024年中央和省级公共文化服务体系建设补助资金（广电项目）预算</w:t>
      </w:r>
    </w:p>
    <w:p w14:paraId="62C0B8CB">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项目年度目标：做好红原县达哈降岗调频广播发射台运维经费。</w:t>
      </w:r>
    </w:p>
    <w:p w14:paraId="7A3C9687">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预算执行情况：关于下达2024年中央和省级公共文化服务体系建设补助资金（广电项目）预算全年预计完成指标值3.53万元，已完成值0万元，预算执行率为0%。</w:t>
      </w:r>
    </w:p>
    <w:p w14:paraId="215DF8C9">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绩效指标：</w:t>
      </w:r>
    </w:p>
    <w:tbl>
      <w:tblPr>
        <w:tblStyle w:val="19"/>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274"/>
        <w:gridCol w:w="1800"/>
        <w:gridCol w:w="731"/>
        <w:gridCol w:w="675"/>
        <w:gridCol w:w="619"/>
        <w:gridCol w:w="2497"/>
      </w:tblGrid>
      <w:tr w14:paraId="57DC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41" w:type="pct"/>
            <w:vAlign w:val="center"/>
          </w:tcPr>
          <w:p w14:paraId="35AD345D">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vertAlign w:val="baseline"/>
                <w:lang w:val="en-US" w:eastAsia="zh-CN"/>
              </w:rPr>
            </w:pPr>
            <w:r>
              <w:rPr>
                <w:rFonts w:hint="eastAsia"/>
                <w:sz w:val="15"/>
                <w:szCs w:val="15"/>
                <w:vertAlign w:val="baseline"/>
                <w:lang w:val="en-US" w:eastAsia="zh-CN"/>
              </w:rPr>
              <w:t>一级指标</w:t>
            </w:r>
          </w:p>
        </w:tc>
        <w:tc>
          <w:tcPr>
            <w:tcW w:w="747" w:type="pct"/>
            <w:vAlign w:val="center"/>
          </w:tcPr>
          <w:p w14:paraId="557BEFFA">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vertAlign w:val="baseline"/>
                <w:lang w:val="en-US" w:eastAsia="zh-CN"/>
              </w:rPr>
            </w:pPr>
            <w:r>
              <w:rPr>
                <w:rFonts w:hint="eastAsia"/>
                <w:sz w:val="15"/>
                <w:szCs w:val="15"/>
                <w:vertAlign w:val="baseline"/>
                <w:lang w:val="en-US" w:eastAsia="zh-CN"/>
              </w:rPr>
              <w:t>二级指标</w:t>
            </w:r>
          </w:p>
        </w:tc>
        <w:tc>
          <w:tcPr>
            <w:tcW w:w="1056" w:type="pct"/>
            <w:vAlign w:val="center"/>
          </w:tcPr>
          <w:p w14:paraId="767F7D08">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both"/>
              <w:textAlignment w:val="center"/>
              <w:rPr>
                <w:rFonts w:hint="default"/>
                <w:vertAlign w:val="baseline"/>
                <w:lang w:val="en-US" w:eastAsia="zh-CN"/>
              </w:rPr>
            </w:pPr>
            <w:r>
              <w:rPr>
                <w:rFonts w:hint="eastAsia"/>
                <w:sz w:val="15"/>
                <w:szCs w:val="15"/>
                <w:vertAlign w:val="baseline"/>
                <w:lang w:val="en-US" w:eastAsia="zh-CN"/>
              </w:rPr>
              <w:t>三级指标</w:t>
            </w:r>
          </w:p>
        </w:tc>
        <w:tc>
          <w:tcPr>
            <w:tcW w:w="429" w:type="pct"/>
            <w:vAlign w:val="center"/>
          </w:tcPr>
          <w:p w14:paraId="1ADA1576">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完成值</w:t>
            </w:r>
          </w:p>
        </w:tc>
        <w:tc>
          <w:tcPr>
            <w:tcW w:w="396" w:type="pct"/>
            <w:vAlign w:val="center"/>
          </w:tcPr>
          <w:p w14:paraId="7826E7D0">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权重</w:t>
            </w:r>
          </w:p>
        </w:tc>
        <w:tc>
          <w:tcPr>
            <w:tcW w:w="363" w:type="pct"/>
            <w:vAlign w:val="center"/>
          </w:tcPr>
          <w:p w14:paraId="1ED0D6A4">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得分</w:t>
            </w:r>
          </w:p>
        </w:tc>
        <w:tc>
          <w:tcPr>
            <w:tcW w:w="1465" w:type="pct"/>
            <w:vAlign w:val="center"/>
          </w:tcPr>
          <w:p w14:paraId="14B60770">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原因分析</w:t>
            </w:r>
          </w:p>
        </w:tc>
      </w:tr>
      <w:tr w14:paraId="792A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41" w:type="pct"/>
            <w:vAlign w:val="center"/>
          </w:tcPr>
          <w:p w14:paraId="55B36B02">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产出指标</w:t>
            </w:r>
          </w:p>
        </w:tc>
        <w:tc>
          <w:tcPr>
            <w:tcW w:w="747" w:type="pct"/>
            <w:vAlign w:val="center"/>
          </w:tcPr>
          <w:p w14:paraId="160A2522">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数量指标</w:t>
            </w:r>
          </w:p>
        </w:tc>
        <w:tc>
          <w:tcPr>
            <w:tcW w:w="1056" w:type="pct"/>
            <w:vAlign w:val="center"/>
          </w:tcPr>
          <w:p w14:paraId="44983077">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广播节目播出时间</w:t>
            </w:r>
          </w:p>
        </w:tc>
        <w:tc>
          <w:tcPr>
            <w:tcW w:w="429" w:type="pct"/>
            <w:vAlign w:val="center"/>
          </w:tcPr>
          <w:p w14:paraId="69FDF77F">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0</w:t>
            </w:r>
          </w:p>
        </w:tc>
        <w:tc>
          <w:tcPr>
            <w:tcW w:w="396" w:type="pct"/>
            <w:vAlign w:val="center"/>
          </w:tcPr>
          <w:p w14:paraId="66338B7A">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40</w:t>
            </w:r>
          </w:p>
        </w:tc>
        <w:tc>
          <w:tcPr>
            <w:tcW w:w="363" w:type="pct"/>
            <w:vAlign w:val="center"/>
          </w:tcPr>
          <w:p w14:paraId="1BF8D3F4">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0</w:t>
            </w:r>
          </w:p>
        </w:tc>
        <w:tc>
          <w:tcPr>
            <w:tcW w:w="1465" w:type="pct"/>
            <w:vMerge w:val="restart"/>
            <w:vAlign w:val="center"/>
          </w:tcPr>
          <w:p w14:paraId="7A313312">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2024年该台站运行良好，未出现故障，故未使用该笔资金。计划2025年利用该笔资金升级相应落后设备。</w:t>
            </w:r>
          </w:p>
        </w:tc>
      </w:tr>
      <w:tr w14:paraId="6CBD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41" w:type="pct"/>
            <w:vAlign w:val="center"/>
          </w:tcPr>
          <w:p w14:paraId="03525F46">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效益指标</w:t>
            </w:r>
          </w:p>
        </w:tc>
        <w:tc>
          <w:tcPr>
            <w:tcW w:w="747" w:type="pct"/>
            <w:vAlign w:val="center"/>
          </w:tcPr>
          <w:p w14:paraId="3F2D33E2">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社会效益指标</w:t>
            </w:r>
          </w:p>
        </w:tc>
        <w:tc>
          <w:tcPr>
            <w:tcW w:w="1056" w:type="pct"/>
            <w:vAlign w:val="center"/>
          </w:tcPr>
          <w:p w14:paraId="277B3AB3">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满足群众广播收听需求</w:t>
            </w:r>
          </w:p>
        </w:tc>
        <w:tc>
          <w:tcPr>
            <w:tcW w:w="429" w:type="pct"/>
            <w:vAlign w:val="center"/>
          </w:tcPr>
          <w:p w14:paraId="043BC06A">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0</w:t>
            </w:r>
          </w:p>
        </w:tc>
        <w:tc>
          <w:tcPr>
            <w:tcW w:w="396" w:type="pct"/>
            <w:vAlign w:val="center"/>
          </w:tcPr>
          <w:p w14:paraId="0231B323">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40</w:t>
            </w:r>
          </w:p>
        </w:tc>
        <w:tc>
          <w:tcPr>
            <w:tcW w:w="363" w:type="pct"/>
            <w:vAlign w:val="center"/>
          </w:tcPr>
          <w:p w14:paraId="23B0AC1D">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0</w:t>
            </w:r>
          </w:p>
        </w:tc>
        <w:tc>
          <w:tcPr>
            <w:tcW w:w="1465" w:type="pct"/>
            <w:vMerge w:val="continue"/>
            <w:vAlign w:val="center"/>
          </w:tcPr>
          <w:p w14:paraId="6318B67D">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p>
        </w:tc>
      </w:tr>
      <w:tr w14:paraId="6347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vAlign w:val="center"/>
          </w:tcPr>
          <w:p w14:paraId="5C7C6C23">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满意度指标</w:t>
            </w:r>
          </w:p>
        </w:tc>
        <w:tc>
          <w:tcPr>
            <w:tcW w:w="747" w:type="pct"/>
            <w:vAlign w:val="center"/>
          </w:tcPr>
          <w:p w14:paraId="71510081">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服务对象满意度指标</w:t>
            </w:r>
          </w:p>
        </w:tc>
        <w:tc>
          <w:tcPr>
            <w:tcW w:w="1056" w:type="pct"/>
            <w:vAlign w:val="center"/>
          </w:tcPr>
          <w:p w14:paraId="45DF79EB">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群众满意度</w:t>
            </w:r>
          </w:p>
        </w:tc>
        <w:tc>
          <w:tcPr>
            <w:tcW w:w="429" w:type="pct"/>
            <w:vAlign w:val="center"/>
          </w:tcPr>
          <w:p w14:paraId="4363BAA0">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0</w:t>
            </w:r>
          </w:p>
        </w:tc>
        <w:tc>
          <w:tcPr>
            <w:tcW w:w="396" w:type="pct"/>
            <w:vAlign w:val="center"/>
          </w:tcPr>
          <w:p w14:paraId="3B8F181E">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w:t>
            </w:r>
          </w:p>
        </w:tc>
        <w:tc>
          <w:tcPr>
            <w:tcW w:w="363" w:type="pct"/>
            <w:vAlign w:val="center"/>
          </w:tcPr>
          <w:p w14:paraId="10845CD9">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0</w:t>
            </w:r>
          </w:p>
        </w:tc>
        <w:tc>
          <w:tcPr>
            <w:tcW w:w="1465" w:type="pct"/>
            <w:vMerge w:val="continue"/>
            <w:vAlign w:val="center"/>
          </w:tcPr>
          <w:p w14:paraId="6BC1857D">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p>
        </w:tc>
      </w:tr>
    </w:tbl>
    <w:p w14:paraId="404E2035">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仿宋_GB2312" w:hAnsi="仿宋_GB2312" w:eastAsia="仿宋_GB2312" w:cs="仿宋_GB2312"/>
          <w:bCs/>
          <w:kern w:val="2"/>
          <w:sz w:val="32"/>
          <w:szCs w:val="32"/>
          <w:lang w:val="en-US" w:eastAsia="zh-CN" w:bidi="ar-SA"/>
        </w:rPr>
      </w:pPr>
      <w:r>
        <w:rPr>
          <w:rFonts w:hint="eastAsia" w:ascii="Times New Roman" w:hAnsi="Times New Roman" w:eastAsia="楷体_GB2312" w:cs="Times New Roman"/>
          <w:color w:val="000000"/>
          <w:kern w:val="0"/>
          <w:szCs w:val="32"/>
          <w:highlight w:val="none"/>
          <w:shd w:val="clear" w:color="auto" w:fill="FFFFFF"/>
          <w:lang w:val="en-US" w:eastAsia="zh-CN"/>
        </w:rPr>
        <w:t>项目名称</w:t>
      </w:r>
      <w:r>
        <w:rPr>
          <w:rFonts w:hint="eastAsia" w:eastAsia="楷体_GB2312" w:cs="Times New Roman"/>
          <w:color w:val="000000"/>
          <w:kern w:val="0"/>
          <w:szCs w:val="32"/>
          <w:highlight w:val="none"/>
          <w:shd w:val="clear" w:color="auto" w:fill="FFFFFF"/>
          <w:lang w:val="en-US" w:eastAsia="zh-CN"/>
        </w:rPr>
        <w:t>7</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红原县融媒体中心演播大厅提升改造</w:t>
      </w:r>
    </w:p>
    <w:p w14:paraId="27104D7C">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项目年度目标：新建背景大屏8个平方，完善演播室相应灯光、通话、指挥系统。</w:t>
      </w:r>
    </w:p>
    <w:p w14:paraId="7F011EAA">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预算执行情况：红原县融媒体中心演播大厅提升改造全年预计完成指标值15万元，已完成值14.97万元。预算执行率为99.84%。</w:t>
      </w:r>
    </w:p>
    <w:p w14:paraId="17EA863F">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绩效指标：</w:t>
      </w:r>
    </w:p>
    <w:tbl>
      <w:tblPr>
        <w:tblStyle w:val="19"/>
        <w:tblpPr w:leftFromText="180" w:rightFromText="180" w:vertAnchor="text" w:tblpXSpec="center" w:tblpY="1"/>
        <w:tblOverlap w:val="never"/>
        <w:tblW w:w="44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2137"/>
        <w:gridCol w:w="863"/>
        <w:gridCol w:w="750"/>
        <w:gridCol w:w="937"/>
        <w:gridCol w:w="1260"/>
      </w:tblGrid>
      <w:tr w14:paraId="4697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085" w:type="pct"/>
            <w:vAlign w:val="center"/>
          </w:tcPr>
          <w:p w14:paraId="37A533A8">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vertAlign w:val="baseline"/>
                <w:lang w:val="en-US" w:eastAsia="zh-CN"/>
              </w:rPr>
            </w:pPr>
            <w:r>
              <w:rPr>
                <w:rFonts w:hint="eastAsia"/>
                <w:sz w:val="15"/>
                <w:szCs w:val="15"/>
                <w:vertAlign w:val="baseline"/>
                <w:lang w:val="en-US" w:eastAsia="zh-CN"/>
              </w:rPr>
              <w:t>二级指标</w:t>
            </w:r>
          </w:p>
        </w:tc>
        <w:tc>
          <w:tcPr>
            <w:tcW w:w="1406" w:type="pct"/>
            <w:vAlign w:val="center"/>
          </w:tcPr>
          <w:p w14:paraId="1F055766">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vertAlign w:val="baseline"/>
                <w:lang w:val="en-US" w:eastAsia="zh-CN"/>
              </w:rPr>
            </w:pPr>
            <w:r>
              <w:rPr>
                <w:rFonts w:hint="eastAsia"/>
                <w:sz w:val="15"/>
                <w:szCs w:val="15"/>
                <w:vertAlign w:val="baseline"/>
                <w:lang w:val="en-US" w:eastAsia="zh-CN"/>
              </w:rPr>
              <w:t>三级指标</w:t>
            </w:r>
          </w:p>
        </w:tc>
        <w:tc>
          <w:tcPr>
            <w:tcW w:w="567" w:type="pct"/>
            <w:vAlign w:val="center"/>
          </w:tcPr>
          <w:p w14:paraId="7310FBF3">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完成值</w:t>
            </w:r>
          </w:p>
        </w:tc>
        <w:tc>
          <w:tcPr>
            <w:tcW w:w="493" w:type="pct"/>
            <w:vAlign w:val="center"/>
          </w:tcPr>
          <w:p w14:paraId="18D88B36">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权重</w:t>
            </w:r>
          </w:p>
        </w:tc>
        <w:tc>
          <w:tcPr>
            <w:tcW w:w="616" w:type="pct"/>
            <w:vAlign w:val="center"/>
          </w:tcPr>
          <w:p w14:paraId="028888BD">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得分</w:t>
            </w:r>
          </w:p>
        </w:tc>
        <w:tc>
          <w:tcPr>
            <w:tcW w:w="829" w:type="pct"/>
            <w:vAlign w:val="center"/>
          </w:tcPr>
          <w:p w14:paraId="7C121757">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原因分析</w:t>
            </w:r>
          </w:p>
        </w:tc>
      </w:tr>
      <w:tr w14:paraId="1662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085" w:type="pct"/>
            <w:vAlign w:val="center"/>
          </w:tcPr>
          <w:p w14:paraId="6BF96EC7">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数量指标</w:t>
            </w:r>
          </w:p>
        </w:tc>
        <w:tc>
          <w:tcPr>
            <w:tcW w:w="1406" w:type="pct"/>
            <w:vAlign w:val="center"/>
          </w:tcPr>
          <w:p w14:paraId="6C44ABEF">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新建背景大屏8个平方</w:t>
            </w:r>
          </w:p>
        </w:tc>
        <w:tc>
          <w:tcPr>
            <w:tcW w:w="567" w:type="pct"/>
            <w:vAlign w:val="center"/>
          </w:tcPr>
          <w:p w14:paraId="42ED4F30">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93" w:type="pct"/>
            <w:vAlign w:val="center"/>
          </w:tcPr>
          <w:p w14:paraId="12FD5F97">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60</w:t>
            </w:r>
          </w:p>
        </w:tc>
        <w:tc>
          <w:tcPr>
            <w:tcW w:w="616" w:type="pct"/>
            <w:vAlign w:val="center"/>
          </w:tcPr>
          <w:p w14:paraId="2AA96EAF">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829" w:type="pct"/>
            <w:vMerge w:val="restart"/>
            <w:vAlign w:val="center"/>
          </w:tcPr>
          <w:p w14:paraId="4D88BDCB">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已完成</w:t>
            </w:r>
          </w:p>
        </w:tc>
      </w:tr>
      <w:tr w14:paraId="2FEB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085" w:type="pct"/>
            <w:vAlign w:val="center"/>
          </w:tcPr>
          <w:p w14:paraId="6519F725">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社会效益指标</w:t>
            </w:r>
          </w:p>
        </w:tc>
        <w:tc>
          <w:tcPr>
            <w:tcW w:w="1406" w:type="pct"/>
            <w:vAlign w:val="center"/>
          </w:tcPr>
          <w:p w14:paraId="57FA24FE">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提升公共文化服务体系</w:t>
            </w:r>
          </w:p>
        </w:tc>
        <w:tc>
          <w:tcPr>
            <w:tcW w:w="567" w:type="pct"/>
            <w:vAlign w:val="center"/>
          </w:tcPr>
          <w:p w14:paraId="38CA935D">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93" w:type="pct"/>
            <w:vAlign w:val="center"/>
          </w:tcPr>
          <w:p w14:paraId="22D85DE1">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20</w:t>
            </w:r>
          </w:p>
        </w:tc>
        <w:tc>
          <w:tcPr>
            <w:tcW w:w="616" w:type="pct"/>
            <w:vAlign w:val="center"/>
          </w:tcPr>
          <w:p w14:paraId="146B3643">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829" w:type="pct"/>
            <w:vMerge w:val="continue"/>
            <w:vAlign w:val="center"/>
          </w:tcPr>
          <w:p w14:paraId="62F9045A">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p>
        </w:tc>
      </w:tr>
      <w:tr w14:paraId="2FBA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5" w:type="pct"/>
            <w:vAlign w:val="center"/>
          </w:tcPr>
          <w:p w14:paraId="7B84BB14">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服务对象满意度指标</w:t>
            </w:r>
          </w:p>
        </w:tc>
        <w:tc>
          <w:tcPr>
            <w:tcW w:w="1406" w:type="pct"/>
            <w:vAlign w:val="center"/>
          </w:tcPr>
          <w:p w14:paraId="1B78917D">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center"/>
              <w:rPr>
                <w:rFonts w:hint="default"/>
                <w:sz w:val="15"/>
                <w:szCs w:val="15"/>
                <w:vertAlign w:val="baseline"/>
                <w:lang w:val="en-US" w:eastAsia="zh-CN"/>
              </w:rPr>
            </w:pPr>
            <w:r>
              <w:rPr>
                <w:rFonts w:hint="eastAsia"/>
                <w:sz w:val="15"/>
                <w:szCs w:val="15"/>
                <w:vertAlign w:val="baseline"/>
                <w:lang w:val="en-US" w:eastAsia="zh-CN"/>
              </w:rPr>
              <w:t>群众满意度</w:t>
            </w:r>
          </w:p>
        </w:tc>
        <w:tc>
          <w:tcPr>
            <w:tcW w:w="567" w:type="pct"/>
            <w:vAlign w:val="center"/>
          </w:tcPr>
          <w:p w14:paraId="0205E83E">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w:t>
            </w:r>
          </w:p>
        </w:tc>
        <w:tc>
          <w:tcPr>
            <w:tcW w:w="493" w:type="pct"/>
            <w:vAlign w:val="center"/>
          </w:tcPr>
          <w:p w14:paraId="524274D5">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w:t>
            </w:r>
          </w:p>
        </w:tc>
        <w:tc>
          <w:tcPr>
            <w:tcW w:w="616" w:type="pct"/>
            <w:vAlign w:val="center"/>
          </w:tcPr>
          <w:p w14:paraId="2BF7020A">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r>
              <w:rPr>
                <w:rFonts w:hint="eastAsia"/>
                <w:sz w:val="15"/>
                <w:szCs w:val="15"/>
                <w:vertAlign w:val="baseline"/>
                <w:lang w:val="en-US" w:eastAsia="zh-CN"/>
              </w:rPr>
              <w:t>1000</w:t>
            </w:r>
          </w:p>
        </w:tc>
        <w:tc>
          <w:tcPr>
            <w:tcW w:w="829" w:type="pct"/>
            <w:vMerge w:val="continue"/>
            <w:vAlign w:val="center"/>
          </w:tcPr>
          <w:p w14:paraId="38BFA1C6">
            <w:pPr>
              <w:pStyle w:val="17"/>
              <w:keepNext w:val="0"/>
              <w:keepLines w:val="0"/>
              <w:pageBreakBefore w:val="0"/>
              <w:widowControl w:val="0"/>
              <w:kinsoku/>
              <w:wordWrap/>
              <w:overflowPunct/>
              <w:topLinePunct w:val="0"/>
              <w:autoSpaceDE/>
              <w:autoSpaceDN/>
              <w:bidi w:val="0"/>
              <w:adjustRightInd/>
              <w:snapToGrid w:val="0"/>
              <w:spacing w:line="576" w:lineRule="exact"/>
              <w:ind w:left="0" w:leftChars="0" w:firstLine="300" w:firstLineChars="200"/>
              <w:jc w:val="center"/>
              <w:textAlignment w:val="center"/>
              <w:rPr>
                <w:rFonts w:hint="default"/>
                <w:sz w:val="15"/>
                <w:szCs w:val="15"/>
                <w:vertAlign w:val="baseline"/>
                <w:lang w:val="en-US" w:eastAsia="zh-CN"/>
              </w:rPr>
            </w:pPr>
          </w:p>
        </w:tc>
      </w:tr>
    </w:tbl>
    <w:p w14:paraId="4B716420">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仿宋_GB2312" w:hAnsi="仿宋_GB2312" w:eastAsia="仿宋_GB2312" w:cs="仿宋_GB2312"/>
          <w:bCs/>
          <w:kern w:val="2"/>
          <w:sz w:val="32"/>
          <w:szCs w:val="32"/>
          <w:lang w:val="en-US" w:eastAsia="zh-CN" w:bidi="ar-SA"/>
        </w:rPr>
      </w:pPr>
      <w:r>
        <w:rPr>
          <w:rFonts w:hint="eastAsia" w:ascii="Times New Roman" w:hAnsi="Times New Roman" w:eastAsia="楷体_GB2312" w:cs="Times New Roman"/>
          <w:color w:val="000000"/>
          <w:kern w:val="0"/>
          <w:szCs w:val="32"/>
          <w:highlight w:val="none"/>
          <w:shd w:val="clear" w:color="auto" w:fill="FFFFFF"/>
          <w:lang w:val="en-US" w:eastAsia="zh-CN"/>
        </w:rPr>
        <w:t>项目名称</w:t>
      </w:r>
      <w:r>
        <w:rPr>
          <w:rFonts w:hint="eastAsia" w:eastAsia="楷体_GB2312" w:cs="Times New Roman"/>
          <w:color w:val="000000"/>
          <w:kern w:val="0"/>
          <w:szCs w:val="32"/>
          <w:highlight w:val="none"/>
          <w:shd w:val="clear" w:color="auto" w:fill="FFFFFF"/>
          <w:lang w:val="en-US" w:eastAsia="zh-CN"/>
        </w:rPr>
        <w:t>8</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退休人员建房和易地安家补贴</w:t>
      </w:r>
    </w:p>
    <w:p w14:paraId="543BAAC9">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预算执行情况：退休人员建房和易地安家补贴全年预计完成指标值1.02万元，已完成值1.02万元。预算执行率为100%。</w:t>
      </w:r>
    </w:p>
    <w:p w14:paraId="7CAB6F06">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color w:val="000000"/>
          <w:kern w:val="0"/>
          <w:szCs w:val="32"/>
          <w:highlight w:val="none"/>
          <w:shd w:val="clear" w:color="auto" w:fill="FFFFFF"/>
          <w:lang w:val="en-US" w:eastAsia="zh-CN"/>
        </w:rPr>
        <w:t>2.</w:t>
      </w:r>
      <w:r>
        <w:rPr>
          <w:rFonts w:hint="default" w:ascii="Times New Roman" w:hAnsi="Times New Roman" w:eastAsia="楷体_GB2312" w:cs="Times New Roman"/>
          <w:color w:val="000000"/>
          <w:kern w:val="0"/>
          <w:szCs w:val="32"/>
          <w:highlight w:val="none"/>
          <w:shd w:val="clear" w:color="auto" w:fill="FFFFFF"/>
          <w:lang w:val="zh-CN"/>
        </w:rPr>
        <w:t>预算管理。</w:t>
      </w:r>
      <w:r>
        <w:rPr>
          <w:rFonts w:hint="eastAsia" w:ascii="仿宋_GB2312" w:hAnsi="仿宋_GB2312" w:eastAsia="仿宋_GB2312" w:cs="仿宋_GB2312"/>
          <w:bCs/>
          <w:kern w:val="2"/>
          <w:sz w:val="32"/>
          <w:szCs w:val="32"/>
          <w:lang w:val="zh-CN" w:eastAsia="zh-CN" w:bidi="ar-SA"/>
        </w:rPr>
        <w:t>根据《中华人民共和国预算法》及县财政局印发的《关于</w:t>
      </w:r>
      <w:r>
        <w:rPr>
          <w:rFonts w:hint="eastAsia" w:ascii="仿宋_GB2312" w:hAnsi="仿宋_GB2312" w:eastAsia="仿宋_GB2312" w:cs="仿宋_GB2312"/>
          <w:bCs/>
          <w:kern w:val="2"/>
          <w:sz w:val="32"/>
          <w:szCs w:val="32"/>
          <w:lang w:val="en-US" w:eastAsia="zh-CN" w:bidi="ar-SA"/>
        </w:rPr>
        <w:t>开展</w:t>
      </w:r>
      <w:r>
        <w:rPr>
          <w:rFonts w:hint="eastAsia" w:ascii="仿宋_GB2312" w:hAnsi="仿宋_GB2312" w:eastAsia="仿宋_GB2312" w:cs="仿宋_GB2312"/>
          <w:bCs/>
          <w:kern w:val="2"/>
          <w:sz w:val="32"/>
          <w:szCs w:val="32"/>
          <w:lang w:val="zh-CN" w:eastAsia="zh-CN" w:bidi="ar-SA"/>
        </w:rPr>
        <w:t xml:space="preserve"> 202</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年</w:t>
      </w:r>
      <w:r>
        <w:rPr>
          <w:rFonts w:hint="eastAsia" w:ascii="仿宋_GB2312" w:hAnsi="仿宋_GB2312" w:eastAsia="仿宋_GB2312" w:cs="仿宋_GB2312"/>
          <w:bCs/>
          <w:kern w:val="2"/>
          <w:sz w:val="32"/>
          <w:szCs w:val="32"/>
          <w:lang w:val="en-US" w:eastAsia="zh-CN" w:bidi="ar-SA"/>
        </w:rPr>
        <w:t>县级部门绩效自评工作的通知</w:t>
      </w:r>
      <w:r>
        <w:rPr>
          <w:rFonts w:hint="eastAsia" w:ascii="仿宋_GB2312" w:hAnsi="仿宋_GB2312" w:eastAsia="仿宋_GB2312" w:cs="仿宋_GB2312"/>
          <w:bCs/>
          <w:kern w:val="2"/>
          <w:sz w:val="32"/>
          <w:szCs w:val="32"/>
          <w:lang w:val="zh-CN" w:eastAsia="zh-CN" w:bidi="ar-SA"/>
        </w:rPr>
        <w:t>》要求，结合本单位实际，按照增收节支、保障重点、优化结构、厉行节约、绩效优化的原则，严控“三公”经费管理，从严从紧编制预算。</w:t>
      </w:r>
    </w:p>
    <w:p w14:paraId="42333408">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default" w:ascii="仿宋_GB2312" w:hAnsi="仿宋_GB2312" w:eastAsia="仿宋_GB2312" w:cs="仿宋_GB2312"/>
          <w:bCs/>
          <w:kern w:val="2"/>
          <w:sz w:val="32"/>
          <w:szCs w:val="32"/>
          <w:lang w:val="zh-CN" w:eastAsia="zh-CN" w:bidi="ar-SA"/>
        </w:rPr>
      </w:pPr>
      <w:r>
        <w:rPr>
          <w:rFonts w:hint="default" w:ascii="Times New Roman" w:hAnsi="Times New Roman" w:eastAsia="楷体_GB2312" w:cs="Times New Roman"/>
          <w:color w:val="000000"/>
          <w:kern w:val="0"/>
          <w:szCs w:val="32"/>
          <w:highlight w:val="none"/>
          <w:shd w:val="clear" w:color="auto" w:fill="FFFFFF"/>
          <w:lang w:val="en-US" w:eastAsia="zh-CN"/>
        </w:rPr>
        <w:t>3.</w:t>
      </w:r>
      <w:r>
        <w:rPr>
          <w:rFonts w:hint="default" w:ascii="Times New Roman" w:hAnsi="Times New Roman" w:eastAsia="楷体_GB2312" w:cs="Times New Roman"/>
          <w:color w:val="000000"/>
          <w:kern w:val="0"/>
          <w:szCs w:val="32"/>
          <w:highlight w:val="none"/>
          <w:shd w:val="clear" w:color="auto" w:fill="FFFFFF"/>
          <w:lang w:val="zh-CN"/>
        </w:rPr>
        <w:t>财务管理。</w:t>
      </w:r>
      <w:r>
        <w:rPr>
          <w:rFonts w:hint="eastAsia" w:ascii="仿宋_GB2312" w:hAnsi="仿宋_GB2312" w:eastAsia="仿宋_GB2312" w:cs="仿宋_GB2312"/>
          <w:bCs/>
          <w:kern w:val="2"/>
          <w:sz w:val="32"/>
          <w:szCs w:val="32"/>
          <w:lang w:val="zh-CN" w:eastAsia="zh-CN" w:bidi="ar-SA"/>
        </w:rPr>
        <w:t>在财务管理过程中建立健全财务核算制度、严格执行国家相关财经法规，加强了会计基础工作、逐渐规范了财务管理行为。严格按照《政府会计制度》和《行政单位财务规则》的规定设置会计科目，建立了科学有效的会计核算方式，均真实、合法、准确的反映各项收支活动；建立健全了内控制度，加强和完善了经费收支和财务管理，积极配合各级财政部门开展相关经费的考评工作；我局在资金使用过程中，合理使用各项资金，严格执行各项经费开支范围和标准。对中央转移支付资金的使用全部用于与</w:t>
      </w:r>
      <w:r>
        <w:rPr>
          <w:rFonts w:hint="eastAsia" w:ascii="仿宋_GB2312" w:hAnsi="仿宋_GB2312" w:eastAsia="仿宋_GB2312" w:cs="仿宋_GB2312"/>
          <w:bCs/>
          <w:kern w:val="2"/>
          <w:sz w:val="32"/>
          <w:szCs w:val="32"/>
          <w:lang w:val="en-US" w:eastAsia="zh-CN" w:bidi="ar-SA"/>
        </w:rPr>
        <w:t>中心</w:t>
      </w:r>
      <w:r>
        <w:rPr>
          <w:rFonts w:hint="eastAsia" w:ascii="仿宋_GB2312" w:hAnsi="仿宋_GB2312" w:eastAsia="仿宋_GB2312" w:cs="仿宋_GB2312"/>
          <w:bCs/>
          <w:kern w:val="2"/>
          <w:sz w:val="32"/>
          <w:szCs w:val="32"/>
          <w:lang w:val="zh-CN" w:eastAsia="zh-CN" w:bidi="ar-SA"/>
        </w:rPr>
        <w:t>业务直接相关的业务及</w:t>
      </w:r>
      <w:r>
        <w:rPr>
          <w:rFonts w:hint="eastAsia" w:ascii="仿宋_GB2312" w:hAnsi="仿宋_GB2312" w:eastAsia="仿宋_GB2312" w:cs="仿宋_GB2312"/>
          <w:bCs/>
          <w:kern w:val="2"/>
          <w:sz w:val="32"/>
          <w:szCs w:val="32"/>
          <w:lang w:val="en-US" w:eastAsia="zh-CN" w:bidi="ar-SA"/>
        </w:rPr>
        <w:t>设备</w:t>
      </w:r>
      <w:r>
        <w:rPr>
          <w:rFonts w:hint="eastAsia" w:ascii="仿宋_GB2312" w:hAnsi="仿宋_GB2312" w:eastAsia="仿宋_GB2312" w:cs="仿宋_GB2312"/>
          <w:bCs/>
          <w:kern w:val="2"/>
          <w:sz w:val="32"/>
          <w:szCs w:val="32"/>
          <w:lang w:val="zh-CN" w:eastAsia="zh-CN" w:bidi="ar-SA"/>
        </w:rPr>
        <w:t>支出，并确保专款专用；在账务报销过程中贯彻执行国家颁布的有关财务制度，严格按照《预算法》《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w:t>
      </w:r>
    </w:p>
    <w:p w14:paraId="11E4E36B">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color w:val="000000"/>
          <w:kern w:val="0"/>
          <w:szCs w:val="32"/>
          <w:highlight w:val="none"/>
          <w:shd w:val="clear" w:color="auto" w:fill="FFFFFF"/>
          <w:lang w:val="en-US" w:eastAsia="zh-CN"/>
        </w:rPr>
        <w:t>4.</w:t>
      </w:r>
      <w:r>
        <w:rPr>
          <w:rFonts w:hint="default" w:ascii="Times New Roman" w:hAnsi="Times New Roman" w:eastAsia="楷体_GB2312" w:cs="Times New Roman"/>
          <w:color w:val="000000"/>
          <w:kern w:val="0"/>
          <w:szCs w:val="32"/>
          <w:highlight w:val="none"/>
          <w:shd w:val="clear" w:color="auto" w:fill="FFFFFF"/>
          <w:lang w:val="zh-CN"/>
        </w:rPr>
        <w:t>资产管理。</w:t>
      </w:r>
      <w:r>
        <w:rPr>
          <w:rFonts w:hint="eastAsia" w:ascii="仿宋_GB2312" w:hAnsi="仿宋_GB2312" w:eastAsia="仿宋_GB2312" w:cs="仿宋_GB2312"/>
          <w:bCs/>
          <w:kern w:val="2"/>
          <w:sz w:val="32"/>
          <w:szCs w:val="32"/>
          <w:lang w:val="zh-CN" w:eastAsia="zh-CN" w:bidi="ar-SA"/>
        </w:rPr>
        <w:t>资产利用率：通过清查我单位无未充分利用的国有资产，造成国有资产闲置的情况，资产利用率为</w:t>
      </w:r>
      <w:r>
        <w:rPr>
          <w:rFonts w:hint="eastAsia" w:ascii="仿宋_GB2312" w:hAnsi="仿宋_GB2312" w:eastAsia="仿宋_GB2312" w:cs="仿宋_GB2312"/>
          <w:bCs/>
          <w:kern w:val="2"/>
          <w:sz w:val="32"/>
          <w:szCs w:val="32"/>
          <w:lang w:val="en-US" w:eastAsia="zh-CN" w:bidi="ar-SA"/>
        </w:rPr>
        <w:t>100%</w:t>
      </w:r>
      <w:r>
        <w:rPr>
          <w:rFonts w:hint="eastAsia" w:ascii="仿宋_GB2312" w:hAnsi="仿宋_GB2312" w:eastAsia="仿宋_GB2312" w:cs="仿宋_GB2312"/>
          <w:bCs/>
          <w:kern w:val="2"/>
          <w:sz w:val="32"/>
          <w:szCs w:val="32"/>
          <w:lang w:val="zh-CN" w:eastAsia="zh-CN" w:bidi="ar-SA"/>
        </w:rPr>
        <w:t>。</w:t>
      </w:r>
    </w:p>
    <w:p w14:paraId="126828A0">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00" w:firstLineChars="200"/>
        <w:textAlignment w:val="auto"/>
        <w:rPr>
          <w:rFonts w:hint="eastAsia" w:ascii="仿宋_GB2312" w:hAnsi="仿宋_GB2312" w:eastAsia="仿宋_GB2312" w:cs="仿宋_GB2312"/>
          <w:bCs/>
          <w:kern w:val="2"/>
          <w:sz w:val="32"/>
          <w:szCs w:val="32"/>
          <w:lang w:val="zh-CN" w:eastAsia="zh-CN" w:bidi="ar-SA"/>
        </w:rPr>
      </w:pPr>
      <w:r>
        <w:rPr>
          <w:rFonts w:hint="default" w:ascii="Times New Roman" w:hAnsi="Times New Roman" w:eastAsia="楷体_GB2312" w:cs="Times New Roman"/>
          <w:color w:val="000000"/>
          <w:kern w:val="0"/>
          <w:szCs w:val="32"/>
          <w:highlight w:val="none"/>
          <w:shd w:val="clear" w:color="auto" w:fill="FFFFFF"/>
          <w:lang w:val="en-US" w:eastAsia="zh-CN"/>
        </w:rPr>
        <w:t>5.</w:t>
      </w:r>
      <w:r>
        <w:rPr>
          <w:rFonts w:hint="default" w:ascii="Times New Roman" w:hAnsi="Times New Roman" w:eastAsia="楷体_GB2312" w:cs="Times New Roman"/>
          <w:color w:val="000000"/>
          <w:kern w:val="0"/>
          <w:szCs w:val="32"/>
          <w:highlight w:val="none"/>
          <w:shd w:val="clear" w:color="auto" w:fill="FFFFFF"/>
          <w:lang w:val="zh-CN"/>
        </w:rPr>
        <w:t>采购管理。</w:t>
      </w:r>
      <w:r>
        <w:rPr>
          <w:rFonts w:hint="eastAsia" w:ascii="仿宋_GB2312" w:hAnsi="仿宋_GB2312" w:eastAsia="仿宋_GB2312" w:cs="仿宋_GB2312"/>
          <w:bCs/>
          <w:kern w:val="2"/>
          <w:sz w:val="32"/>
          <w:szCs w:val="32"/>
          <w:lang w:val="zh-CN" w:eastAsia="zh-CN" w:bidi="ar-SA"/>
        </w:rPr>
        <w:t>在采购资金支出时手续齐备，采购的固定资产及时登记并入账；严格落实中央“八项规定”“六项禁令”的相关规定，进一步规范了“三公经费”的管理，并严格控制了“三公经费”的支出。</w:t>
      </w:r>
    </w:p>
    <w:p w14:paraId="08746EDD">
      <w:pPr>
        <w:pStyle w:val="8"/>
        <w:keepNext w:val="0"/>
        <w:keepLines w:val="0"/>
        <w:pageBreakBefore w:val="0"/>
        <w:kinsoku/>
        <w:wordWrap/>
        <w:overflowPunct/>
        <w:topLinePunct w:val="0"/>
        <w:autoSpaceDE/>
        <w:autoSpaceDN/>
        <w:bidi w:val="0"/>
        <w:adjustRightInd w:val="0"/>
        <w:snapToGrid w:val="0"/>
        <w:spacing w:before="0" w:beforeLines="-2147483648" w:after="0" w:line="576" w:lineRule="exact"/>
        <w:ind w:left="0" w:leftChars="0" w:right="0" w:rightChars="0"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357A1A2E">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项目名称1</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解决红原县州县广播电视节目覆盖建设项目铁塔租聘资金（质保金）</w:t>
      </w:r>
    </w:p>
    <w:p w14:paraId="3055965A">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项目决策</w:t>
      </w:r>
      <w:r>
        <w:rPr>
          <w:rFonts w:hint="eastAsia" w:ascii="仿宋_GB2312" w:hAnsi="仿宋_GB2312" w:eastAsia="仿宋_GB2312" w:cs="仿宋_GB2312"/>
          <w:bCs/>
          <w:kern w:val="2"/>
          <w:sz w:val="32"/>
          <w:szCs w:val="32"/>
          <w:lang w:val="en-US" w:eastAsia="zh-CN" w:bidi="ar-SA"/>
        </w:rPr>
        <w:t>:保障州县节目传输</w:t>
      </w:r>
    </w:p>
    <w:p w14:paraId="337A5C38">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2.项目执行:解决红原县州县广播电视节目覆盖建设项目铁塔租聘资金（质保金）全年预计完成指标值26.08万元，2024年已完成值26.08万元。</w:t>
      </w:r>
    </w:p>
    <w:p w14:paraId="4CB26759">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目标实现</w:t>
      </w:r>
      <w:r>
        <w:rPr>
          <w:rFonts w:hint="eastAsia" w:ascii="仿宋_GB2312" w:hAnsi="仿宋_GB2312" w:eastAsia="仿宋_GB2312" w:cs="仿宋_GB2312"/>
          <w:bCs/>
          <w:kern w:val="2"/>
          <w:sz w:val="32"/>
          <w:szCs w:val="32"/>
          <w:lang w:val="en-US" w:eastAsia="zh-CN" w:bidi="ar-SA"/>
        </w:rPr>
        <w:t>:保障州县节目州顺利在红原县的千家万户播出，使党的声音更好的传递在基层每个行政村。维护基层社会稳定，丰富基层村民的精神文化生活。</w:t>
      </w:r>
    </w:p>
    <w:p w14:paraId="7E41B82F">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项目名称2</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2022年中央少数民族地区和边疆地区文化安全（广播电视）补助资金</w:t>
      </w:r>
    </w:p>
    <w:p w14:paraId="48D203BA">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项目决策</w:t>
      </w:r>
      <w:r>
        <w:rPr>
          <w:rFonts w:hint="eastAsia" w:ascii="仿宋_GB2312" w:hAnsi="仿宋_GB2312" w:eastAsia="仿宋_GB2312" w:cs="仿宋_GB2312"/>
          <w:bCs/>
          <w:kern w:val="2"/>
          <w:sz w:val="32"/>
          <w:szCs w:val="32"/>
          <w:lang w:val="en-US" w:eastAsia="zh-CN" w:bidi="ar-SA"/>
        </w:rPr>
        <w:t>:保障县域覆盖足够有线电视用户，满足藏区群众观看电视需求。</w:t>
      </w:r>
    </w:p>
    <w:p w14:paraId="14D6F142">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2.项目执行:2022年中央少数民族地区和边疆地区文化安全（广播电视）补助资金全年预计完成指标值4.01万元，2024年已完成值3.65万元。</w:t>
      </w:r>
    </w:p>
    <w:p w14:paraId="779F815C">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目标实现</w:t>
      </w:r>
      <w:r>
        <w:rPr>
          <w:rFonts w:hint="eastAsia" w:ascii="仿宋_GB2312" w:hAnsi="仿宋_GB2312" w:eastAsia="仿宋_GB2312" w:cs="仿宋_GB2312"/>
          <w:bCs/>
          <w:kern w:val="2"/>
          <w:sz w:val="32"/>
          <w:szCs w:val="32"/>
          <w:lang w:val="en-US" w:eastAsia="zh-CN" w:bidi="ar-SA"/>
        </w:rPr>
        <w:t>:保障边疆地区广播电视安全播出</w:t>
      </w:r>
    </w:p>
    <w:p w14:paraId="0C3D9178">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项目名称3</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解决融媒体中心设备采购</w:t>
      </w:r>
    </w:p>
    <w:p w14:paraId="4F302CE0">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项目决策</w:t>
      </w:r>
      <w:r>
        <w:rPr>
          <w:rFonts w:hint="eastAsia" w:ascii="仿宋_GB2312" w:hAnsi="仿宋_GB2312" w:eastAsia="仿宋_GB2312" w:cs="仿宋_GB2312"/>
          <w:bCs/>
          <w:kern w:val="2"/>
          <w:sz w:val="32"/>
          <w:szCs w:val="32"/>
          <w:lang w:val="en-US" w:eastAsia="zh-CN" w:bidi="ar-SA"/>
        </w:rPr>
        <w:t>:以进一步加大对重大主题活动的宣传，可以更好的宣传红原声音，讲好红原故事。</w:t>
      </w:r>
    </w:p>
    <w:p w14:paraId="3274E4BC">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2.项目执行:2解决融媒体中心设备采购全年预计完成指标值5.28万元，2024年已完成值4.48万元。</w:t>
      </w:r>
    </w:p>
    <w:p w14:paraId="6DAD5219">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目标实现</w:t>
      </w:r>
      <w:r>
        <w:rPr>
          <w:rFonts w:hint="eastAsia" w:ascii="仿宋_GB2312" w:hAnsi="仿宋_GB2312" w:eastAsia="仿宋_GB2312" w:cs="仿宋_GB2312"/>
          <w:bCs/>
          <w:kern w:val="2"/>
          <w:sz w:val="32"/>
          <w:szCs w:val="32"/>
          <w:lang w:val="en-US" w:eastAsia="zh-CN" w:bidi="ar-SA"/>
        </w:rPr>
        <w:t>:专用设备更新和摄影摄像画质提升。</w:t>
      </w:r>
    </w:p>
    <w:p w14:paraId="44D9458C">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default"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w:t>
      </w:r>
      <w:r>
        <w:rPr>
          <w:rFonts w:hint="eastAsia" w:ascii="仿宋_GB2312" w:hAnsi="仿宋_GB2312" w:cs="仿宋_GB2312"/>
          <w:b/>
          <w:bCs/>
          <w:color w:val="000000"/>
          <w:kern w:val="0"/>
          <w:sz w:val="32"/>
          <w:szCs w:val="32"/>
          <w:highlight w:val="none"/>
          <w:shd w:val="clear" w:color="auto" w:fill="FFFFFF"/>
          <w:lang w:val="en-US" w:eastAsia="zh-CN"/>
        </w:rPr>
        <w:t>4</w:t>
      </w:r>
      <w:r>
        <w:rPr>
          <w:rFonts w:hint="eastAsia" w:ascii="仿宋_GB2312" w:hAnsi="仿宋_GB2312" w:eastAsia="仿宋_GB2312" w:cs="仿宋_GB2312"/>
          <w:b/>
          <w:bCs/>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2023年少数民族地区和边疆地区文化安全（广播电视）补助资金</w:t>
      </w:r>
    </w:p>
    <w:p w14:paraId="09E4071A">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项目决策</w:t>
      </w:r>
      <w:r>
        <w:rPr>
          <w:rFonts w:hint="eastAsia" w:ascii="仿宋_GB2312" w:hAnsi="仿宋_GB2312" w:eastAsia="仿宋_GB2312" w:cs="仿宋_GB2312"/>
          <w:bCs/>
          <w:kern w:val="2"/>
          <w:sz w:val="32"/>
          <w:szCs w:val="32"/>
          <w:lang w:val="en-US" w:eastAsia="zh-CN" w:bidi="ar-SA"/>
        </w:rPr>
        <w:t>:保障县域覆盖足够有线电视用户，满足藏区群众观看电视需求。</w:t>
      </w:r>
    </w:p>
    <w:p w14:paraId="55561E29">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2.项目执行:2023年少数民族地区和边疆地区文化安全（广播电视）补助资金全年预计完成指标值39.02万元，2024年已完成值37.37万元。</w:t>
      </w:r>
    </w:p>
    <w:p w14:paraId="47793EBA">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目标实现</w:t>
      </w:r>
      <w:r>
        <w:rPr>
          <w:rFonts w:hint="eastAsia" w:ascii="仿宋_GB2312" w:hAnsi="仿宋_GB2312" w:eastAsia="仿宋_GB2312" w:cs="仿宋_GB2312"/>
          <w:bCs/>
          <w:kern w:val="2"/>
          <w:sz w:val="32"/>
          <w:szCs w:val="32"/>
          <w:lang w:val="en-US" w:eastAsia="zh-CN" w:bidi="ar-SA"/>
        </w:rPr>
        <w:t>:保障藏区有线电视安全稳定播出。</w:t>
      </w:r>
    </w:p>
    <w:p w14:paraId="76191306">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default"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w:t>
      </w:r>
      <w:r>
        <w:rPr>
          <w:rFonts w:hint="eastAsia" w:ascii="仿宋_GB2312" w:hAnsi="仿宋_GB2312" w:cs="仿宋_GB2312"/>
          <w:b/>
          <w:bCs/>
          <w:color w:val="000000"/>
          <w:kern w:val="0"/>
          <w:sz w:val="32"/>
          <w:szCs w:val="32"/>
          <w:highlight w:val="none"/>
          <w:shd w:val="clear" w:color="auto" w:fill="FFFFFF"/>
          <w:lang w:val="en-US" w:eastAsia="zh-CN"/>
        </w:rPr>
        <w:t>5</w:t>
      </w:r>
      <w:r>
        <w:rPr>
          <w:rFonts w:hint="eastAsia" w:ascii="仿宋_GB2312" w:hAnsi="仿宋_GB2312" w:eastAsia="仿宋_GB2312" w:cs="仿宋_GB2312"/>
          <w:b/>
          <w:bCs/>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2024年中央少数民族地区和边疆地区文化安全补助资金（广播电视）</w:t>
      </w:r>
    </w:p>
    <w:p w14:paraId="585D9009">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项目决策</w:t>
      </w:r>
      <w:r>
        <w:rPr>
          <w:rFonts w:hint="eastAsia" w:ascii="仿宋_GB2312" w:hAnsi="仿宋_GB2312" w:eastAsia="仿宋_GB2312" w:cs="仿宋_GB2312"/>
          <w:bCs/>
          <w:kern w:val="2"/>
          <w:sz w:val="32"/>
          <w:szCs w:val="32"/>
          <w:lang w:val="en-US" w:eastAsia="zh-CN" w:bidi="ar-SA"/>
        </w:rPr>
        <w:t>:保障边疆地区广播电视安全播出</w:t>
      </w:r>
    </w:p>
    <w:p w14:paraId="2F1CBFD6">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2.项目执行:2024年中央少数民族地区和边疆地区文化安全补助资金（广播电视）全年预计完成指标值39.02万元，2024年已完成值5.52万元。</w:t>
      </w:r>
    </w:p>
    <w:p w14:paraId="42D24355">
      <w:pPr>
        <w:pStyle w:val="17"/>
        <w:pageBreakBefore w:val="0"/>
        <w:kinsoku/>
        <w:wordWrap/>
        <w:topLinePunct w:val="0"/>
        <w:autoSpaceDE/>
        <w:autoSpaceDN/>
        <w:bidi w:val="0"/>
        <w:spacing w:line="576" w:lineRule="exact"/>
        <w:ind w:firstLine="640" w:firstLineChars="20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目标实现</w:t>
      </w:r>
      <w:r>
        <w:rPr>
          <w:rFonts w:hint="eastAsia" w:ascii="仿宋_GB2312" w:hAnsi="仿宋_GB2312" w:eastAsia="仿宋_GB2312" w:cs="仿宋_GB2312"/>
          <w:bCs/>
          <w:kern w:val="2"/>
          <w:sz w:val="32"/>
          <w:szCs w:val="32"/>
          <w:lang w:val="en-US" w:eastAsia="zh-CN" w:bidi="ar-SA"/>
        </w:rPr>
        <w:t>:涉藏州县寺庙广播电视直播卫星覆盖方式的僧舍正常运行数。</w:t>
      </w:r>
    </w:p>
    <w:p w14:paraId="380CF4B8">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项目名称6</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关于下达2024年中央和省级公共文化服务体系建设补助资金（广电项目）预算</w:t>
      </w:r>
    </w:p>
    <w:p w14:paraId="57EE06CE">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项目决策</w:t>
      </w:r>
      <w:r>
        <w:rPr>
          <w:rFonts w:hint="eastAsia" w:ascii="仿宋_GB2312" w:hAnsi="仿宋_GB2312" w:eastAsia="仿宋_GB2312" w:cs="仿宋_GB2312"/>
          <w:bCs/>
          <w:kern w:val="2"/>
          <w:sz w:val="32"/>
          <w:szCs w:val="32"/>
          <w:lang w:val="en-US" w:eastAsia="zh-CN" w:bidi="ar-SA"/>
        </w:rPr>
        <w:t>:做好红原县达哈降岗调频广播发射台运维经费</w:t>
      </w:r>
    </w:p>
    <w:p w14:paraId="3720089E">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2.项目执行:关于下达2024年中央和省级公共文化服务体系建设补助资金（广电项目）预算全年预计完成指标值3.53万元，2024年已完成值0万元。</w:t>
      </w:r>
    </w:p>
    <w:p w14:paraId="55DCC151">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目标实现</w:t>
      </w:r>
      <w:r>
        <w:rPr>
          <w:rFonts w:hint="eastAsia" w:ascii="仿宋_GB2312" w:hAnsi="仿宋_GB2312" w:eastAsia="仿宋_GB2312" w:cs="仿宋_GB2312"/>
          <w:bCs/>
          <w:kern w:val="2"/>
          <w:sz w:val="32"/>
          <w:szCs w:val="32"/>
          <w:lang w:val="en-US" w:eastAsia="zh-CN" w:bidi="ar-SA"/>
        </w:rPr>
        <w:t>:满足群众广播收听需求。</w:t>
      </w:r>
    </w:p>
    <w:p w14:paraId="5D1BEB5B">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项目名称7</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红原县融媒体中心演播大厅提升改造</w:t>
      </w:r>
    </w:p>
    <w:p w14:paraId="7221B286">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项目决策</w:t>
      </w:r>
      <w:r>
        <w:rPr>
          <w:rFonts w:hint="eastAsia" w:ascii="仿宋_GB2312" w:hAnsi="仿宋_GB2312" w:eastAsia="仿宋_GB2312" w:cs="仿宋_GB2312"/>
          <w:bCs/>
          <w:kern w:val="2"/>
          <w:sz w:val="32"/>
          <w:szCs w:val="32"/>
          <w:lang w:val="en-US" w:eastAsia="zh-CN" w:bidi="ar-SA"/>
        </w:rPr>
        <w:t>:提升公共文化服务水平。</w:t>
      </w:r>
    </w:p>
    <w:p w14:paraId="19E54E5E">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2.项目执行:红原县融媒体中心演播大厅提升改造全年预计完成指标值15万元，2024年已完成值14.97万元。</w:t>
      </w:r>
    </w:p>
    <w:p w14:paraId="6E91A096">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目标实现</w:t>
      </w:r>
      <w:r>
        <w:rPr>
          <w:rFonts w:hint="eastAsia" w:ascii="仿宋_GB2312" w:hAnsi="仿宋_GB2312" w:eastAsia="仿宋_GB2312" w:cs="仿宋_GB2312"/>
          <w:bCs/>
          <w:kern w:val="2"/>
          <w:sz w:val="32"/>
          <w:szCs w:val="32"/>
          <w:lang w:val="en-US" w:eastAsia="zh-CN" w:bidi="ar-SA"/>
        </w:rPr>
        <w:t>:新建背景大屏8个平方，完善演播室相应灯光、通话、指挥系统。</w:t>
      </w:r>
    </w:p>
    <w:p w14:paraId="0D8EF0F0">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项目名称8</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r>
        <w:rPr>
          <w:rFonts w:hint="eastAsia" w:ascii="仿宋_GB2312" w:hAnsi="仿宋_GB2312" w:eastAsia="仿宋_GB2312" w:cs="仿宋_GB2312"/>
          <w:bCs/>
          <w:kern w:val="2"/>
          <w:sz w:val="32"/>
          <w:szCs w:val="32"/>
          <w:lang w:val="en-US" w:eastAsia="zh-CN" w:bidi="ar-SA"/>
        </w:rPr>
        <w:t>退休人员建房和易地安家补贴</w:t>
      </w:r>
    </w:p>
    <w:p w14:paraId="78D9F176">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项目决策</w:t>
      </w:r>
      <w:r>
        <w:rPr>
          <w:rFonts w:hint="eastAsia" w:ascii="仿宋_GB2312" w:hAnsi="仿宋_GB2312" w:eastAsia="仿宋_GB2312" w:cs="仿宋_GB2312"/>
          <w:bCs/>
          <w:kern w:val="2"/>
          <w:sz w:val="32"/>
          <w:szCs w:val="32"/>
          <w:lang w:val="en-US" w:eastAsia="zh-CN" w:bidi="ar-SA"/>
        </w:rPr>
        <w:t>:退休人员的安家费。</w:t>
      </w:r>
    </w:p>
    <w:p w14:paraId="2758B514">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2.项目执行:退休人员建房和易地安家补贴全年预计完成指标值1.02万元，2024年已完成值1.02万元。</w:t>
      </w:r>
    </w:p>
    <w:p w14:paraId="1518DF6F">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目标实现</w:t>
      </w:r>
      <w:r>
        <w:rPr>
          <w:rFonts w:hint="eastAsia" w:ascii="仿宋_GB2312" w:hAnsi="仿宋_GB2312" w:eastAsia="仿宋_GB2312" w:cs="仿宋_GB2312"/>
          <w:bCs/>
          <w:kern w:val="2"/>
          <w:sz w:val="32"/>
          <w:szCs w:val="32"/>
          <w:lang w:val="en-US" w:eastAsia="zh-CN" w:bidi="ar-SA"/>
        </w:rPr>
        <w:t>:退休人员建房和易地安家补贴。</w:t>
      </w:r>
    </w:p>
    <w:p w14:paraId="0A490626">
      <w:pPr>
        <w:pStyle w:val="8"/>
        <w:keepNext w:val="0"/>
        <w:keepLines w:val="0"/>
        <w:pageBreakBefore w:val="0"/>
        <w:kinsoku/>
        <w:wordWrap/>
        <w:overflowPunct/>
        <w:topLinePunct w:val="0"/>
        <w:autoSpaceDE/>
        <w:autoSpaceDN/>
        <w:bidi w:val="0"/>
        <w:adjustRightInd w:val="0"/>
        <w:snapToGrid w:val="0"/>
        <w:spacing w:before="0" w:after="0" w:line="500" w:lineRule="exact"/>
        <w:ind w:left="0" w:leftChars="0" w:right="0" w:rightChars="0" w:firstLine="643" w:firstLineChars="200"/>
        <w:textAlignment w:val="auto"/>
        <w:rPr>
          <w:rFonts w:hint="default" w:ascii="Times New Roman" w:hAnsi="Times New Roman" w:eastAsia="仿宋_GB2312" w:cs="Times New Roman"/>
          <w:sz w:val="32"/>
          <w:szCs w:val="32"/>
          <w:highlight w:val="none"/>
          <w:u w:val="none"/>
          <w:lang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bCs/>
          <w:kern w:val="2"/>
          <w:sz w:val="32"/>
          <w:szCs w:val="32"/>
          <w:lang w:val="en-US" w:eastAsia="zh-CN" w:bidi="ar-SA"/>
        </w:rPr>
        <w:t>2024年我单位从收支执行，三公经费管理，预算管理，绩效管理等方面进行了详尽</w:t>
      </w:r>
      <w:r>
        <w:rPr>
          <w:rFonts w:hint="eastAsia" w:ascii="仿宋_GB2312" w:hAnsi="仿宋_GB2312" w:eastAsia="仿宋_GB2312" w:cs="仿宋_GB2312"/>
          <w:bCs/>
          <w:kern w:val="2"/>
          <w:sz w:val="32"/>
          <w:szCs w:val="32"/>
          <w:lang w:val="zh-CN" w:eastAsia="zh-CN" w:bidi="ar-SA"/>
        </w:rPr>
        <w:t>自评、</w:t>
      </w:r>
      <w:r>
        <w:rPr>
          <w:rFonts w:hint="eastAsia" w:ascii="仿宋_GB2312" w:hAnsi="仿宋_GB2312" w:eastAsia="仿宋_GB2312" w:cs="仿宋_GB2312"/>
          <w:bCs/>
          <w:kern w:val="2"/>
          <w:sz w:val="32"/>
          <w:szCs w:val="32"/>
          <w:lang w:val="en-US" w:eastAsia="zh-CN" w:bidi="ar-SA"/>
        </w:rPr>
        <w:t>24年预算绩效目标，项目预算绩效目标等均进行了公开，评价结果较好，对部门预算编制不够精准细化的问题将在后续工作中逐步改进。</w:t>
      </w:r>
    </w:p>
    <w:p w14:paraId="5261846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四、评价结论及建议</w:t>
      </w:r>
    </w:p>
    <w:p w14:paraId="10EDE6B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bCs/>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（一）评价结论。</w:t>
      </w:r>
      <w:r>
        <w:rPr>
          <w:rFonts w:hint="eastAsia" w:ascii="仿宋_GB2312" w:hAnsi="仿宋_GB2312" w:eastAsia="仿宋_GB2312" w:cs="仿宋_GB2312"/>
          <w:bCs/>
          <w:kern w:val="2"/>
          <w:sz w:val="32"/>
          <w:szCs w:val="32"/>
          <w:lang w:val="zh-CN" w:eastAsia="zh-CN" w:bidi="ar-SA"/>
        </w:rPr>
        <w:t>根据《202</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年红原县部门预算绩效评价指标体系》（自评表）评分得分9</w:t>
      </w:r>
      <w:r>
        <w:rPr>
          <w:rFonts w:hint="eastAsia" w:ascii="仿宋_GB2312" w:hAnsi="仿宋_GB2312" w:eastAsia="仿宋_GB2312" w:cs="仿宋_GB2312"/>
          <w:bCs/>
          <w:kern w:val="2"/>
          <w:sz w:val="32"/>
          <w:szCs w:val="32"/>
          <w:lang w:val="en-US" w:eastAsia="zh-CN" w:bidi="ar-SA"/>
        </w:rPr>
        <w:t>6</w:t>
      </w:r>
      <w:r>
        <w:rPr>
          <w:rFonts w:hint="eastAsia" w:ascii="仿宋_GB2312" w:hAnsi="仿宋_GB2312" w:eastAsia="仿宋_GB2312" w:cs="仿宋_GB2312"/>
          <w:bCs/>
          <w:kern w:val="2"/>
          <w:sz w:val="32"/>
          <w:szCs w:val="32"/>
          <w:lang w:val="zh-CN" w:eastAsia="zh-CN" w:bidi="ar-SA"/>
        </w:rPr>
        <w:t>分，部门</w:t>
      </w:r>
      <w:r>
        <w:rPr>
          <w:rFonts w:hint="eastAsia" w:ascii="仿宋_GB2312" w:hAnsi="仿宋_GB2312" w:eastAsia="仿宋_GB2312" w:cs="仿宋_GB2312"/>
          <w:bCs/>
          <w:kern w:val="2"/>
          <w:sz w:val="32"/>
          <w:szCs w:val="32"/>
          <w:lang w:val="en-US" w:eastAsia="zh-CN" w:bidi="ar-SA"/>
        </w:rPr>
        <w:t>预算</w:t>
      </w:r>
      <w:r>
        <w:rPr>
          <w:rFonts w:hint="eastAsia" w:ascii="仿宋_GB2312" w:hAnsi="仿宋_GB2312" w:eastAsia="仿宋_GB2312" w:cs="仿宋_GB2312"/>
          <w:bCs/>
          <w:kern w:val="2"/>
          <w:sz w:val="32"/>
          <w:szCs w:val="32"/>
          <w:lang w:val="zh-CN" w:eastAsia="zh-CN" w:bidi="ar-SA"/>
        </w:rPr>
        <w:t>绩效为“好”</w:t>
      </w:r>
      <w:r>
        <w:rPr>
          <w:rFonts w:hint="eastAsia" w:ascii="仿宋_GB2312" w:hAnsi="仿宋_GB2312" w:eastAsia="仿宋_GB2312" w:cs="仿宋_GB2312"/>
          <w:bCs/>
          <w:kern w:val="2"/>
          <w:sz w:val="32"/>
          <w:szCs w:val="32"/>
          <w:lang w:val="en-US" w:eastAsia="zh-CN" w:bidi="ar-SA"/>
        </w:rPr>
        <w:t>。</w:t>
      </w:r>
    </w:p>
    <w:p w14:paraId="33FDC305">
      <w:pPr>
        <w:pStyle w:val="8"/>
        <w:keepNext w:val="0"/>
        <w:keepLines w:val="0"/>
        <w:pageBreakBefore w:val="0"/>
        <w:kinsoku/>
        <w:wordWrap/>
        <w:overflowPunct/>
        <w:topLinePunct w:val="0"/>
        <w:autoSpaceDE/>
        <w:autoSpaceDN/>
        <w:bidi w:val="0"/>
        <w:adjustRightInd w:val="0"/>
        <w:snapToGrid w:val="0"/>
        <w:spacing w:before="0" w:after="0" w:line="500" w:lineRule="exact"/>
        <w:ind w:left="0" w:leftChars="0" w:right="0" w:rightChars="0" w:firstLine="643" w:firstLineChars="200"/>
        <w:textAlignment w:val="auto"/>
        <w:rPr>
          <w:rFonts w:hint="default" w:ascii="仿宋_GB2312" w:hAnsi="仿宋_GB2312" w:eastAsia="仿宋_GB2312" w:cs="仿宋_GB2312"/>
          <w:bCs/>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_GB2312" w:hAnsi="仿宋_GB2312" w:eastAsia="仿宋_GB2312" w:cs="仿宋_GB2312"/>
          <w:bCs/>
          <w:kern w:val="2"/>
          <w:sz w:val="32"/>
          <w:szCs w:val="32"/>
          <w:lang w:val="en-US" w:eastAsia="zh-CN" w:bidi="ar-SA"/>
        </w:rPr>
        <w:t>在平时工作推进过程中，缺乏专业人员进行专业指导及培训，工作推进存在一定困难，预算编制还需更加精准。</w:t>
      </w:r>
    </w:p>
    <w:p w14:paraId="1C8B91F5">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3" w:firstLineChars="200"/>
        <w:textAlignment w:val="auto"/>
        <w:rPr>
          <w:rFonts w:hint="eastAsia" w:ascii="仿宋_GB2312" w:hAnsi="仿宋_GB2312" w:eastAsia="仿宋_GB2312" w:cs="仿宋_GB2312"/>
          <w:bCs/>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47" w:name="_Hlk110546638"/>
      <w:r>
        <w:rPr>
          <w:rFonts w:hint="eastAsia" w:ascii="仿宋_GB2312" w:hAnsi="仿宋_GB2312" w:eastAsia="仿宋_GB2312" w:cs="仿宋_GB2312"/>
          <w:bCs/>
          <w:kern w:val="2"/>
          <w:sz w:val="32"/>
          <w:szCs w:val="32"/>
          <w:lang w:val="en-US" w:eastAsia="zh-CN" w:bidi="ar-SA"/>
        </w:rPr>
        <w:t>1.通过各种途径加强绩效管理学习，科学合理编制预算，严格执行预算。</w:t>
      </w:r>
    </w:p>
    <w:p w14:paraId="40341437">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2.规范账务处理，提高财务信息质量。</w:t>
      </w:r>
    </w:p>
    <w:p w14:paraId="607779E7">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建立长效机制，严格财务管理，加强财务监督，坚持厉行节约，控制“三公经费”支出。</w:t>
      </w:r>
      <w:bookmarkEnd w:id="47"/>
    </w:p>
    <w:p w14:paraId="3934FAD8">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附表：</w:t>
      </w:r>
      <w:r>
        <w:rPr>
          <w:rFonts w:hint="eastAsia" w:ascii="仿宋_GB2312" w:hAnsi="仿宋_GB2312" w:eastAsia="仿宋_GB2312" w:cs="仿宋_GB2312"/>
          <w:bCs/>
          <w:kern w:val="2"/>
          <w:sz w:val="32"/>
          <w:szCs w:val="32"/>
          <w:lang w:val="en-US" w:eastAsia="zh-CN" w:bidi="ar-SA"/>
        </w:rPr>
        <w:t>部门预算项目支出绩效自评表（2024年度）</w:t>
      </w:r>
    </w:p>
    <w:p w14:paraId="54FF6388">
      <w:pPr>
        <w:pStyle w:val="8"/>
        <w:keepNext w:val="0"/>
        <w:keepLines w:val="0"/>
        <w:pageBreakBefore w:val="0"/>
        <w:kinsoku/>
        <w:wordWrap/>
        <w:overflowPunct/>
        <w:topLinePunct w:val="0"/>
        <w:autoSpaceDE/>
        <w:autoSpaceDN/>
        <w:bidi w:val="0"/>
        <w:adjustRightInd w:val="0"/>
        <w:snapToGrid w:val="0"/>
        <w:spacing w:before="0" w:after="0" w:line="576" w:lineRule="exact"/>
        <w:ind w:left="0" w:leftChars="0" w:right="0" w:rightChars="0" w:firstLine="640" w:firstLineChars="200"/>
        <w:textAlignment w:val="auto"/>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（注：按照绩效自评工作安排，各部门已在预算管理一体化系统绩效自评模块上传“部门预算项目支出绩效自评表（2024年度）”，该表格应作为附表予以公开）</w:t>
      </w:r>
    </w:p>
    <w:p w14:paraId="057C8D71">
      <w:pPr>
        <w:pStyle w:val="2"/>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758531FF">
      <w:pPr>
        <w:pStyle w:val="8"/>
        <w:rPr>
          <w:rFonts w:hint="eastAsia" w:ascii="Times New Roman" w:hAnsi="Times New Roman" w:cs="宋体"/>
          <w:color w:val="FF0000"/>
          <w:kern w:val="0"/>
          <w:sz w:val="32"/>
          <w:szCs w:val="32"/>
          <w:highlight w:val="yellow"/>
          <w:shd w:val="clear" w:color="auto" w:fill="FFFFFF"/>
          <w:lang w:val="zh-CN"/>
        </w:rPr>
      </w:pPr>
    </w:p>
    <w:p w14:paraId="4BC70EE1">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6D9FE34B">
      <w:pPr>
        <w:pStyle w:val="5"/>
        <w:jc w:val="center"/>
        <w:rPr>
          <w:rFonts w:hint="eastAsia" w:ascii="Times New Roman" w:hAnsi="Times New Roman" w:eastAsia="仿宋"/>
          <w:b w:val="0"/>
          <w:color w:val="auto"/>
          <w:highlight w:val="none"/>
        </w:rPr>
      </w:pPr>
      <w:bookmarkStart w:id="48" w:name="_Toc15396618"/>
      <w:r>
        <w:rPr>
          <w:rFonts w:hint="eastAsia" w:ascii="Times New Roman" w:hAnsi="Times New Roman" w:eastAsia="方正小标宋简体" w:cs="方正小标宋简体"/>
          <w:b w:val="0"/>
          <w:color w:val="auto"/>
          <w:highlight w:val="none"/>
        </w:rPr>
        <w:t>第五部分 附表</w:t>
      </w:r>
      <w:bookmarkEnd w:id="46"/>
      <w:bookmarkEnd w:id="48"/>
      <w:bookmarkStart w:id="49" w:name="_Toc15396619"/>
    </w:p>
    <w:p w14:paraId="3D60EE6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5B3F99E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9"/>
    </w:p>
    <w:p w14:paraId="08F564D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0"/>
      <w:r>
        <w:rPr>
          <w:rFonts w:hint="eastAsia" w:ascii="Times New Roman" w:hAnsi="Times New Roman" w:eastAsia="仿宋_GB2312" w:cs="仿宋_GB2312"/>
          <w:color w:val="auto"/>
          <w:sz w:val="32"/>
          <w:szCs w:val="32"/>
          <w:highlight w:val="none"/>
        </w:rPr>
        <w:t>二、收入决算表</w:t>
      </w:r>
      <w:bookmarkEnd w:id="50"/>
    </w:p>
    <w:p w14:paraId="7AE72BD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1"/>
      <w:r>
        <w:rPr>
          <w:rFonts w:hint="eastAsia" w:ascii="Times New Roman" w:hAnsi="Times New Roman" w:eastAsia="仿宋_GB2312" w:cs="仿宋_GB2312"/>
          <w:color w:val="auto"/>
          <w:sz w:val="32"/>
          <w:szCs w:val="32"/>
          <w:highlight w:val="none"/>
        </w:rPr>
        <w:t>三、支出决算表</w:t>
      </w:r>
      <w:bookmarkEnd w:id="51"/>
    </w:p>
    <w:p w14:paraId="0EED626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2"/>
      <w:r>
        <w:rPr>
          <w:rFonts w:hint="eastAsia" w:ascii="Times New Roman" w:hAnsi="Times New Roman" w:eastAsia="仿宋_GB2312" w:cs="仿宋_GB2312"/>
          <w:color w:val="auto"/>
          <w:sz w:val="32"/>
          <w:szCs w:val="32"/>
          <w:highlight w:val="none"/>
        </w:rPr>
        <w:t>四、财政拨款收入支出决算总表</w:t>
      </w:r>
      <w:bookmarkEnd w:id="52"/>
    </w:p>
    <w:p w14:paraId="39FA30C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3"/>
      <w:r>
        <w:rPr>
          <w:rFonts w:hint="eastAsia" w:ascii="Times New Roman" w:hAnsi="Times New Roman" w:eastAsia="仿宋_GB2312" w:cs="仿宋_GB2312"/>
          <w:color w:val="auto"/>
          <w:sz w:val="32"/>
          <w:szCs w:val="32"/>
          <w:highlight w:val="none"/>
        </w:rPr>
        <w:t>五、财政拨款支出决算明细表</w:t>
      </w:r>
      <w:bookmarkEnd w:id="53"/>
      <w:bookmarkStart w:id="54" w:name="_Toc15396624"/>
    </w:p>
    <w:p w14:paraId="63F1071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4"/>
    </w:p>
    <w:p w14:paraId="746EF38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5"/>
      <w:r>
        <w:rPr>
          <w:rFonts w:hint="eastAsia" w:ascii="Times New Roman" w:hAnsi="Times New Roman" w:eastAsia="仿宋_GB2312" w:cs="仿宋_GB2312"/>
          <w:color w:val="auto"/>
          <w:sz w:val="32"/>
          <w:szCs w:val="32"/>
          <w:highlight w:val="none"/>
        </w:rPr>
        <w:t>七、一般公共预算财政拨款支出决算明细表</w:t>
      </w:r>
      <w:bookmarkEnd w:id="55"/>
    </w:p>
    <w:p w14:paraId="771C8BD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6"/>
      <w:r>
        <w:rPr>
          <w:rFonts w:hint="eastAsia" w:ascii="Times New Roman" w:hAnsi="Times New Roman" w:eastAsia="仿宋_GB2312" w:cs="仿宋_GB2312"/>
          <w:color w:val="auto"/>
          <w:sz w:val="32"/>
          <w:szCs w:val="32"/>
          <w:highlight w:val="none"/>
        </w:rPr>
        <w:t>八、一般公共预算财政拨款基本支出决算表</w:t>
      </w:r>
      <w:bookmarkEnd w:id="56"/>
    </w:p>
    <w:p w14:paraId="4DCCFCC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7"/>
      <w:r>
        <w:rPr>
          <w:rFonts w:hint="eastAsia" w:ascii="Times New Roman" w:hAnsi="Times New Roman" w:eastAsia="仿宋_GB2312" w:cs="仿宋_GB2312"/>
          <w:color w:val="auto"/>
          <w:sz w:val="32"/>
          <w:szCs w:val="32"/>
          <w:highlight w:val="none"/>
        </w:rPr>
        <w:t>九、一般公共预算财政拨款项目支出决算表</w:t>
      </w:r>
      <w:bookmarkEnd w:id="57"/>
    </w:p>
    <w:p w14:paraId="0B66F2A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8"/>
      <w:r>
        <w:rPr>
          <w:rFonts w:hint="eastAsia" w:ascii="Times New Roman" w:hAnsi="Times New Roman" w:eastAsia="仿宋_GB2312" w:cs="仿宋_GB2312"/>
          <w:color w:val="auto"/>
          <w:sz w:val="32"/>
          <w:szCs w:val="32"/>
          <w:highlight w:val="none"/>
        </w:rPr>
        <w:t>十、</w:t>
      </w:r>
      <w:bookmarkEnd w:id="58"/>
      <w:r>
        <w:rPr>
          <w:rFonts w:hint="eastAsia" w:ascii="Times New Roman" w:hAnsi="Times New Roman" w:eastAsia="仿宋_GB2312" w:cs="仿宋_GB2312"/>
          <w:color w:val="auto"/>
          <w:sz w:val="32"/>
          <w:szCs w:val="32"/>
          <w:highlight w:val="none"/>
        </w:rPr>
        <w:t>政府性基金预算财政拨款收入支出决算表</w:t>
      </w:r>
    </w:p>
    <w:p w14:paraId="6910362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9"/>
      <w:r>
        <w:rPr>
          <w:rFonts w:hint="eastAsia" w:ascii="Times New Roman" w:hAnsi="Times New Roman" w:eastAsia="仿宋_GB2312" w:cs="仿宋_GB2312"/>
          <w:color w:val="auto"/>
          <w:sz w:val="32"/>
          <w:szCs w:val="32"/>
          <w:highlight w:val="none"/>
        </w:rPr>
        <w:t>十一、</w:t>
      </w:r>
      <w:bookmarkEnd w:id="5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63BCA49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30"/>
      <w:r>
        <w:rPr>
          <w:rFonts w:hint="eastAsia" w:ascii="Times New Roman" w:hAnsi="Times New Roman" w:eastAsia="仿宋_GB2312" w:cs="仿宋_GB2312"/>
          <w:color w:val="auto"/>
          <w:sz w:val="32"/>
          <w:szCs w:val="32"/>
          <w:highlight w:val="none"/>
        </w:rPr>
        <w:t>十二、</w:t>
      </w:r>
      <w:bookmarkEnd w:id="60"/>
      <w:r>
        <w:rPr>
          <w:rFonts w:hint="eastAsia" w:ascii="Times New Roman" w:hAnsi="Times New Roman" w:eastAsia="仿宋_GB2312" w:cs="仿宋_GB2312"/>
          <w:color w:val="auto"/>
          <w:sz w:val="32"/>
          <w:szCs w:val="32"/>
          <w:highlight w:val="none"/>
          <w:lang w:eastAsia="zh-CN"/>
        </w:rPr>
        <w:t>国有资本经营预算财政拨款支出决算表</w:t>
      </w:r>
    </w:p>
    <w:p w14:paraId="098F765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1" w:name="_Toc15396631"/>
      <w:r>
        <w:rPr>
          <w:rFonts w:hint="eastAsia" w:ascii="Times New Roman" w:hAnsi="Times New Roman" w:eastAsia="仿宋_GB2312" w:cs="仿宋_GB2312"/>
          <w:color w:val="auto"/>
          <w:sz w:val="32"/>
          <w:szCs w:val="32"/>
          <w:highlight w:val="none"/>
        </w:rPr>
        <w:t>十三、</w:t>
      </w:r>
      <w:bookmarkEnd w:id="61"/>
      <w:r>
        <w:rPr>
          <w:rFonts w:hint="eastAsia" w:ascii="Times New Roman" w:hAnsi="Times New Roman" w:eastAsia="仿宋_GB2312" w:cs="仿宋_GB2312"/>
          <w:color w:val="auto"/>
          <w:sz w:val="32"/>
          <w:szCs w:val="32"/>
          <w:highlight w:val="none"/>
          <w:lang w:eastAsia="zh-CN"/>
        </w:rPr>
        <w:t>财政拨款“三公”经费支出决算表</w:t>
      </w:r>
    </w:p>
    <w:p w14:paraId="1010877E">
      <w:pPr>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46D49">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E2B11">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E4E2B11">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63BD18E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69F0A">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E597C">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29E597C">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B7817">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517A73"/>
    <w:rsid w:val="186504BB"/>
    <w:rsid w:val="19A445FC"/>
    <w:rsid w:val="1BE8440E"/>
    <w:rsid w:val="1D155CEE"/>
    <w:rsid w:val="1D1638FE"/>
    <w:rsid w:val="1E312DEB"/>
    <w:rsid w:val="1E740ACF"/>
    <w:rsid w:val="1FF35744"/>
    <w:rsid w:val="1FF6BC77"/>
    <w:rsid w:val="2186353C"/>
    <w:rsid w:val="230706D2"/>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2FF4ACA"/>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3D538F9"/>
    <w:rsid w:val="647F5392"/>
    <w:rsid w:val="64DD5401"/>
    <w:rsid w:val="65E66580"/>
    <w:rsid w:val="664B1D71"/>
    <w:rsid w:val="664B4E8E"/>
    <w:rsid w:val="67277B67"/>
    <w:rsid w:val="67AA3209"/>
    <w:rsid w:val="697430F0"/>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720278"/>
    <w:rsid w:val="79D7FD79"/>
    <w:rsid w:val="79EE5BA4"/>
    <w:rsid w:val="7A894339"/>
    <w:rsid w:val="7AD284E8"/>
    <w:rsid w:val="7AFF7572"/>
    <w:rsid w:val="7B6C7DFB"/>
    <w:rsid w:val="7BBFBED0"/>
    <w:rsid w:val="7BC3E394"/>
    <w:rsid w:val="7C1F3737"/>
    <w:rsid w:val="7C330D65"/>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4">
    <w:name w:val="Plain Text"/>
    <w:basedOn w:val="1"/>
    <w:unhideWhenUsed/>
    <w:qFormat/>
    <w:uiPriority w:val="99"/>
    <w:rPr>
      <w:rFonts w:ascii="宋体" w:hAnsi="Courier New"/>
    </w:rPr>
  </w:style>
  <w:style w:type="paragraph" w:styleId="8">
    <w:name w:val="Body Text"/>
    <w:basedOn w:val="1"/>
    <w:link w:val="29"/>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5"/>
    <w:semiHidden/>
    <w:unhideWhenUsed/>
    <w:qFormat/>
    <w:uiPriority w:val="99"/>
    <w:rPr>
      <w:sz w:val="18"/>
      <w:szCs w:val="18"/>
    </w:rPr>
  </w:style>
  <w:style w:type="paragraph" w:styleId="11">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2"/>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Body Text First Indent"/>
    <w:basedOn w:val="8"/>
    <w:qFormat/>
    <w:uiPriority w:val="0"/>
    <w:pPr>
      <w:spacing w:after="0" w:afterAutospacing="0" w:line="500" w:lineRule="exact"/>
      <w:ind w:firstLine="420"/>
    </w:pPr>
    <w:rPr>
      <w:rFonts w:ascii="Times New Roman" w:hAnsi="Times New Roman" w:eastAsia="宋体" w:cs="Times New Roman"/>
      <w:sz w:val="28"/>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paragraph" w:customStyle="1" w:styleId="23">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4">
    <w:name w:val="Header Char"/>
    <w:basedOn w:val="20"/>
    <w:semiHidden/>
    <w:qFormat/>
    <w:uiPriority w:val="99"/>
    <w:rPr>
      <w:rFonts w:ascii="Times New Roman" w:hAnsi="Times New Roman"/>
      <w:sz w:val="18"/>
      <w:szCs w:val="18"/>
    </w:rPr>
  </w:style>
  <w:style w:type="character" w:customStyle="1" w:styleId="25">
    <w:name w:val="页眉 Char"/>
    <w:link w:val="12"/>
    <w:semiHidden/>
    <w:qFormat/>
    <w:locked/>
    <w:uiPriority w:val="99"/>
    <w:rPr>
      <w:sz w:val="18"/>
    </w:rPr>
  </w:style>
  <w:style w:type="character" w:customStyle="1" w:styleId="26">
    <w:name w:val="Footer Char"/>
    <w:basedOn w:val="20"/>
    <w:semiHidden/>
    <w:qFormat/>
    <w:uiPriority w:val="99"/>
    <w:rPr>
      <w:rFonts w:ascii="Times New Roman" w:hAnsi="Times New Roman"/>
      <w:sz w:val="18"/>
      <w:szCs w:val="18"/>
    </w:rPr>
  </w:style>
  <w:style w:type="character" w:customStyle="1" w:styleId="27">
    <w:name w:val="页脚 Char"/>
    <w:link w:val="11"/>
    <w:qFormat/>
    <w:locked/>
    <w:uiPriority w:val="99"/>
    <w:rPr>
      <w:sz w:val="18"/>
    </w:rPr>
  </w:style>
  <w:style w:type="character" w:customStyle="1" w:styleId="28">
    <w:name w:val="Body Text Char"/>
    <w:basedOn w:val="20"/>
    <w:semiHidden/>
    <w:qFormat/>
    <w:uiPriority w:val="99"/>
    <w:rPr>
      <w:rFonts w:ascii="Times New Roman" w:hAnsi="Times New Roman"/>
      <w:szCs w:val="24"/>
    </w:rPr>
  </w:style>
  <w:style w:type="character" w:customStyle="1" w:styleId="29">
    <w:name w:val="正文文本 Char"/>
    <w:link w:val="8"/>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Char"/>
    <w:basedOn w:val="20"/>
    <w:link w:val="5"/>
    <w:qFormat/>
    <w:uiPriority w:val="9"/>
    <w:rPr>
      <w:rFonts w:ascii="Times New Roman" w:hAnsi="Times New Roman"/>
      <w:b/>
      <w:bCs/>
      <w:kern w:val="44"/>
      <w:sz w:val="44"/>
      <w:szCs w:val="44"/>
    </w:rPr>
  </w:style>
  <w:style w:type="character" w:customStyle="1" w:styleId="33">
    <w:name w:val="标题 2 Char"/>
    <w:basedOn w:val="20"/>
    <w:link w:val="6"/>
    <w:qFormat/>
    <w:uiPriority w:val="9"/>
    <w:rPr>
      <w:rFonts w:asciiTheme="majorHAnsi" w:hAnsiTheme="majorHAnsi" w:eastAsiaTheme="majorEastAsia" w:cstheme="majorBidi"/>
      <w:b/>
      <w:bCs/>
      <w:kern w:val="2"/>
      <w:sz w:val="32"/>
      <w:szCs w:val="32"/>
    </w:rPr>
  </w:style>
  <w:style w:type="paragraph" w:customStyle="1" w:styleId="34">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Char"/>
    <w:basedOn w:val="20"/>
    <w:link w:val="10"/>
    <w:semiHidden/>
    <w:qFormat/>
    <w:uiPriority w:val="99"/>
    <w:rPr>
      <w:rFonts w:ascii="Times New Roman" w:hAnsi="Times New Roman"/>
      <w:kern w:val="2"/>
      <w:sz w:val="18"/>
      <w:szCs w:val="18"/>
    </w:rPr>
  </w:style>
  <w:style w:type="character" w:customStyle="1" w:styleId="36">
    <w:name w:val="标题 3 Char"/>
    <w:basedOn w:val="20"/>
    <w:link w:val="7"/>
    <w:qFormat/>
    <w:uiPriority w:val="9"/>
    <w:rPr>
      <w:rFonts w:ascii="Times New Roman" w:hAnsi="Times New Roman"/>
      <w:b/>
      <w:bCs/>
      <w:kern w:val="2"/>
      <w:sz w:val="32"/>
      <w:szCs w:val="32"/>
    </w:rPr>
  </w:style>
  <w:style w:type="paragraph" w:customStyle="1" w:styleId="37">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1.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收、支决算总计变动图（万元）</a:t>
            </a:r>
          </a:p>
        </c:rich>
      </c:tx>
      <c:layout>
        <c:manualLayout>
          <c:xMode val="edge"/>
          <c:yMode val="edge"/>
          <c:x val="0.278720021200477"/>
          <c:y val="0.028644356211004"/>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867.5</c:v>
                </c:pt>
                <c:pt idx="1">
                  <c:v>867.5</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Sheet1!$C$2:$C$3</c15:sqref>
                  </c15:fullRef>
                </c:ext>
              </c:extLst>
              <c:f>Sheet1!$C$2:$C$3</c:f>
              <c:numCache>
                <c:formatCode>General</c:formatCode>
                <c:ptCount val="2"/>
                <c:pt idx="0">
                  <c:v>725.16</c:v>
                </c:pt>
                <c:pt idx="1">
                  <c:v>725.16</c:v>
                </c:pt>
              </c:numCache>
            </c:numRef>
          </c:val>
        </c:ser>
        <c:dLbls>
          <c:showLegendKey val="0"/>
          <c:showVal val="0"/>
          <c:showCatName val="0"/>
          <c:showSerName val="0"/>
          <c:showPercent val="0"/>
          <c:showBubbleSize val="0"/>
        </c:dLbls>
        <c:gapWidth val="246"/>
        <c:overlap val="-28"/>
        <c:axId val="887212738"/>
        <c:axId val="770975772"/>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Sheet1!$A$2:$A$3</c15:sqref>
                        </c15:fullRef>
                        <c15:formulaRef>
                          <c15:sqref>Sheet1!$A$2:$A$3</c15:sqref>
                        </c15:formulaRef>
                      </c:ext>
                    </c:extLst>
                    <c:strCache>
                      <c:ptCount val="2"/>
                      <c:pt idx="0">
                        <c:v>收入</c:v>
                      </c:pt>
                      <c:pt idx="1">
                        <c:v>支出</c:v>
                      </c:pt>
                    </c:strCache>
                  </c:strRef>
                </c:cat>
              </c15:ser>
            </c15:filteredBarSeries>
          </c:ext>
        </c:extLst>
      </c:barChart>
      <c:catAx>
        <c:axId val="88721273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0975772"/>
        <c:crosses val="autoZero"/>
        <c:auto val="1"/>
        <c:lblAlgn val="ctr"/>
        <c:lblOffset val="100"/>
        <c:noMultiLvlLbl val="0"/>
      </c:catAx>
      <c:valAx>
        <c:axId val="7709757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212738"/>
        <c:crosses val="autoZero"/>
        <c:crossBetween val="between"/>
      </c:valAx>
      <c:spPr>
        <a:noFill/>
        <a:ln>
          <a:noFill/>
        </a:ln>
        <a:effectLst/>
      </c:spPr>
    </c:plotArea>
    <c:legend>
      <c:legendPos val="b"/>
      <c:layout>
        <c:manualLayout>
          <c:xMode val="edge"/>
          <c:yMode val="edge"/>
          <c:x val="0.366996859144721"/>
          <c:y val="0.9224394390140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0090db-a057-4c1b-94c0-25b1793edd6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收入决算结构图</a:t>
            </a:r>
          </a:p>
        </c:rich>
      </c:tx>
      <c:layout/>
      <c:overlay val="0"/>
      <c:spPr>
        <a:noFill/>
        <a:ln>
          <a:noFill/>
        </a:ln>
        <a:effectLst/>
      </c:spPr>
    </c:title>
    <c:autoTitleDeleted val="0"/>
    <c:plotArea>
      <c:layout/>
      <c:pieChart>
        <c:varyColors val="1"/>
        <c:ser>
          <c:idx val="1"/>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pt idx="2">
                  <c:v>政府性基金预算财政拨款收入</c:v>
                </c:pt>
                <c:pt idx="3">
                  <c:v>国有资本经营预算财政拨款收入</c:v>
                </c:pt>
              </c:strCache>
            </c:strRef>
          </c:cat>
          <c:val>
            <c:numRef>
              <c:f>Sheet1!$B$2:$B$5</c:f>
              <c:numCache>
                <c:formatCode>General</c:formatCode>
                <c:ptCount val="4"/>
                <c:pt idx="0">
                  <c:v>725.16</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8fa4f5b1-254c-4521-8c13-738a027fc8e4}"/>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632.08</c:v>
                </c:pt>
                <c:pt idx="1">
                  <c:v>93.08</c:v>
                </c:pt>
                <c:pt idx="2">
                  <c:v>0</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b97f661-e617-481b-ad35-62f3a80ab93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867.5</c:v>
                </c:pt>
                <c:pt idx="1">
                  <c:v>867.5</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Sheet1!$C$2:$C$3</c15:sqref>
                  </c15:fullRef>
                </c:ext>
              </c:extLst>
              <c:f>Sheet1!$C$2:$C$3</c:f>
              <c:numCache>
                <c:formatCode>General</c:formatCode>
                <c:ptCount val="2"/>
                <c:pt idx="0">
                  <c:v>725.16</c:v>
                </c:pt>
                <c:pt idx="1">
                  <c:v>725.16</c:v>
                </c:pt>
              </c:numCache>
            </c:numRef>
          </c:val>
        </c:ser>
        <c:dLbls>
          <c:showLegendKey val="0"/>
          <c:showVal val="0"/>
          <c:showCatName val="0"/>
          <c:showSerName val="0"/>
          <c:showPercent val="0"/>
          <c:showBubbleSize val="0"/>
        </c:dLbls>
        <c:gapWidth val="246"/>
        <c:overlap val="-28"/>
        <c:axId val="788792577"/>
        <c:axId val="622829020"/>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Sheet1!$A$2:$A$3</c15:sqref>
                        </c15:fullRef>
                        <c15:formulaRef>
                          <c15:sqref>Sheet1!$A$2:$A$3</c15:sqref>
                        </c15:formulaRef>
                      </c:ext>
                    </c:extLst>
                    <c:strCache>
                      <c:ptCount val="2"/>
                      <c:pt idx="0">
                        <c:v>收入</c:v>
                      </c:pt>
                      <c:pt idx="1">
                        <c:v>支出</c:v>
                      </c:pt>
                    </c:strCache>
                  </c:strRef>
                </c:cat>
              </c15:ser>
            </c15:filteredBarSeries>
          </c:ext>
        </c:extLst>
      </c:barChart>
      <c:catAx>
        <c:axId val="7887925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2829020"/>
        <c:crosses val="autoZero"/>
        <c:auto val="1"/>
        <c:lblAlgn val="ctr"/>
        <c:lblOffset val="100"/>
        <c:noMultiLvlLbl val="0"/>
      </c:catAx>
      <c:valAx>
        <c:axId val="62282902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879257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09fed9-92ce-49d1-89a8-01f96ff62b0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manualLayout>
          <c:layoutTarget val="inner"/>
          <c:xMode val="edge"/>
          <c:yMode val="edge"/>
          <c:x val="0.0663552581744729"/>
          <c:y val="0.173913043478261"/>
          <c:w val="0.927206160838278"/>
          <c:h val="0.591496516934903"/>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c15:sqref>
                  </c15:fullRef>
                </c:ext>
              </c:extLst>
              <c:f>Sheet1!$A$2</c:f>
              <c:strCache>
                <c:ptCount val="1"/>
                <c:pt idx="0">
                  <c:v>支出</c:v>
                </c:pt>
              </c:strCache>
            </c:strRef>
          </c:cat>
          <c:val>
            <c:numRef>
              <c:extLst>
                <c:ext xmlns:c15="http://schemas.microsoft.com/office/drawing/2012/chart" uri="{02D57815-91ED-43cb-92C2-25804820EDAC}">
                  <c15:fullRef>
                    <c15:sqref>Sheet1!$B$2</c15:sqref>
                  </c15:fullRef>
                </c:ext>
              </c:extLst>
              <c:f>Sheet1!$B$2</c:f>
              <c:numCache>
                <c:formatCode>General</c:formatCode>
                <c:ptCount val="1"/>
                <c:pt idx="0">
                  <c:v>867.5</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c15:sqref>
                  </c15:fullRef>
                </c:ext>
              </c:extLst>
              <c:f>Sheet1!$A$2</c:f>
              <c:strCache>
                <c:ptCount val="1"/>
                <c:pt idx="0">
                  <c:v>支出</c:v>
                </c:pt>
              </c:strCache>
            </c:strRef>
          </c:cat>
          <c:val>
            <c:numRef>
              <c:extLst>
                <c:ext xmlns:c15="http://schemas.microsoft.com/office/drawing/2012/chart" uri="{02D57815-91ED-43cb-92C2-25804820EDAC}">
                  <c15:fullRef>
                    <c15:sqref>Sheet1!$C$2</c15:sqref>
                  </c15:fullRef>
                </c:ext>
              </c:extLst>
              <c:f>Sheet1!$C$2</c:f>
              <c:numCache>
                <c:formatCode>General</c:formatCode>
                <c:ptCount val="1"/>
                <c:pt idx="0">
                  <c:v>725.16</c:v>
                </c:pt>
              </c:numCache>
            </c:numRef>
          </c:val>
        </c:ser>
        <c:dLbls>
          <c:showLegendKey val="0"/>
          <c:showVal val="0"/>
          <c:showCatName val="0"/>
          <c:showSerName val="0"/>
          <c:showPercent val="0"/>
          <c:showBubbleSize val="0"/>
        </c:dLbls>
        <c:gapWidth val="246"/>
        <c:overlap val="-28"/>
        <c:axId val="172483303"/>
        <c:axId val="737467015"/>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Sheet1!$A$2</c15:sqref>
                        </c15:fullRef>
                        <c15:formulaRef>
                          <c15:sqref>Sheet1!$A$2</c15:sqref>
                        </c15:formulaRef>
                      </c:ext>
                    </c:extLst>
                    <c:strCache>
                      <c:ptCount val="1"/>
                      <c:pt idx="0">
                        <c:v>支出</c:v>
                      </c:pt>
                    </c:strCache>
                  </c:strRef>
                </c:cat>
              </c15:ser>
            </c15:filteredBarSeries>
          </c:ext>
        </c:extLst>
      </c:barChart>
      <c:catAx>
        <c:axId val="1724833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7467015"/>
        <c:crosses val="autoZero"/>
        <c:auto val="1"/>
        <c:lblAlgn val="ctr"/>
        <c:lblOffset val="100"/>
        <c:noMultiLvlLbl val="0"/>
      </c:catAx>
      <c:valAx>
        <c:axId val="73746701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2483303"/>
        <c:crosses val="autoZero"/>
        <c:crossBetween val="between"/>
      </c:valAx>
      <c:spPr>
        <a:noFill/>
        <a:ln>
          <a:noFill/>
        </a:ln>
        <a:effectLst/>
      </c:spPr>
    </c:plotArea>
    <c:legend>
      <c:legendPos val="b"/>
      <c:layout>
        <c:manualLayout>
          <c:xMode val="edge"/>
          <c:yMode val="edge"/>
          <c:x val="0.362406378352259"/>
          <c:y val="0.9224394390140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6c2e4d6-57fb-4536-94cb-3ffb2b574d0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63.84%</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manualLayout>
                  <c:x val="0.0521580775519636"/>
                  <c:y val="-0.034742806655738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12.84</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516738100349573"/>
                  <c:y val="0.07263690688046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11.86</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29969418960245"/>
                      <c:h val="0.133796150205112"/>
                    </c:manualLayout>
                  </c15:layout>
                </c:ext>
              </c:extLst>
            </c:dLbl>
            <c:dLbl>
              <c:idx val="3"/>
              <c:layout>
                <c:manualLayout>
                  <c:x val="-0.0108840893079336"/>
                  <c:y val="0.03490519189993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5</a:t>
                    </a:r>
                    <a:r>
                      <a:rPr lang="en-US" altLang="zh-CN"/>
                      <a:t>.05</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06651376146789"/>
                      <c:h val="0.0908804039129063"/>
                    </c:manualLayout>
                  </c15:layout>
                </c:ext>
              </c:extLst>
            </c:dLbl>
            <c:dLbl>
              <c:idx val="4"/>
              <c:layout>
                <c:manualLayout>
                  <c:x val="0.0136032988433562"/>
                  <c:y val="0.021338901003078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6</a:t>
                    </a:r>
                    <a:r>
                      <a:rPr lang="en-US" altLang="zh-CN"/>
                      <a:t>.41</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文化旅游体育与传媒支出</c:v>
                </c:pt>
                <c:pt idx="2">
                  <c:v>社会保障和就业支出</c:v>
                </c:pt>
                <c:pt idx="3">
                  <c:v>卫生健康支出</c:v>
                </c:pt>
                <c:pt idx="4">
                  <c:v>住房保障支出</c:v>
                </c:pt>
              </c:strCache>
            </c:strRef>
          </c:cat>
          <c:val>
            <c:numRef>
              <c:f>Sheet1!$B$2:$B$6</c:f>
              <c:numCache>
                <c:formatCode>0.00%</c:formatCode>
                <c:ptCount val="5"/>
                <c:pt idx="0">
                  <c:v>0.6384</c:v>
                </c:pt>
                <c:pt idx="1">
                  <c:v>0.1284</c:v>
                </c:pt>
                <c:pt idx="2">
                  <c:v>0.1186</c:v>
                </c:pt>
                <c:pt idx="3">
                  <c:v>0.0505</c:v>
                </c:pt>
                <c:pt idx="4">
                  <c:v>0.0641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24b8fa2-b0a8-47f4-a70b-44c7d55a1f3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a:t>
            </a:r>
            <a:r>
              <a:rPr altLang="en-US"/>
              <a:t>三公</a:t>
            </a:r>
            <a:r>
              <a:rPr lang="en-US" altLang="zh-CN"/>
              <a:t>”</a:t>
            </a:r>
            <a:r>
              <a:rPr altLang="en-US"/>
              <a:t>经费财政拨款支出结构图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0%</c:formatCode>
                <c:ptCount val="3"/>
                <c:pt idx="0">
                  <c:v>0</c:v>
                </c:pt>
                <c:pt idx="1">
                  <c:v>1</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c6b4e59-8d30-4a8b-bf8c-fbb18de72eb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10329</Words>
  <Characters>14147</Characters>
  <Lines>61</Lines>
  <Paragraphs>17</Paragraphs>
  <TotalTime>1</TotalTime>
  <ScaleCrop>false</ScaleCrop>
  <LinksUpToDate>false</LinksUpToDate>
  <CharactersWithSpaces>14214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རེ་སྨོན</cp:lastModifiedBy>
  <cp:lastPrinted>2025-08-06T17:34:00Z</cp:lastPrinted>
  <dcterms:modified xsi:type="dcterms:W3CDTF">2025-09-23T07:54:48Z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8D71073D010B43D58ACEAAC2A70F20EE_13</vt:lpwstr>
  </property>
  <property fmtid="{D5CDD505-2E9C-101B-9397-08002B2CF9AE}" pid="4" name="KSOTemplateDocerSaveRecord">
    <vt:lpwstr>eyJoZGlkIjoiOWE1NzRkNDlmZDAxYjFjOTM0YjM2NTA4OTNhYmYyYTMiLCJ1c2VySWQiOiIyNjkzNzc2NTkifQ==</vt:lpwstr>
  </property>
</Properties>
</file>