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BFEF3">
      <w:pPr>
        <w:pStyle w:val="3"/>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96597"/>
      <w:bookmarkStart w:id="2" w:name="_Toc15378441"/>
      <w:bookmarkStart w:id="3" w:name="_Toc15306267"/>
      <w:bookmarkStart w:id="4" w:name="_Toc15377193"/>
      <w:bookmarkStart w:id="5" w:name="_Toc15377425"/>
      <w:bookmarkStart w:id="62" w:name="_GoBack"/>
      <w:bookmarkEnd w:id="62"/>
    </w:p>
    <w:p w14:paraId="59146886">
      <w:pPr>
        <w:pStyle w:val="3"/>
        <w:rPr>
          <w:rFonts w:hint="eastAsia" w:ascii="Times New Roman" w:hAnsi="Times New Roman" w:eastAsia="方正小标宋简体" w:cs="Times New Roman"/>
          <w:color w:val="auto"/>
          <w:kern w:val="2"/>
          <w:sz w:val="200"/>
          <w:szCs w:val="200"/>
          <w:highlight w:val="none"/>
          <w:lang w:val="en-US" w:eastAsia="zh-CN" w:bidi="ar-SA"/>
        </w:rPr>
      </w:pPr>
    </w:p>
    <w:p w14:paraId="3F8EFDC7">
      <w:pPr>
        <w:pStyle w:val="3"/>
        <w:rPr>
          <w:rFonts w:hint="eastAsia" w:ascii="方正大标宋简体" w:hAnsi="方正大标宋简体" w:eastAsia="方正大标宋简体" w:cs="方正大标宋简体"/>
          <w:color w:val="auto"/>
          <w:kern w:val="2"/>
          <w:sz w:val="76"/>
          <w:szCs w:val="76"/>
          <w:highlight w:val="none"/>
          <w:lang w:val="en-US" w:eastAsia="zh-CN" w:bidi="ar-SA"/>
        </w:rPr>
      </w:pPr>
    </w:p>
    <w:p w14:paraId="0B6230C8">
      <w:pPr>
        <w:jc w:val="center"/>
        <w:rPr>
          <w:rFonts w:hint="eastAsia" w:ascii="方正大标宋简体" w:hAnsi="方正大标宋简体" w:eastAsia="方正大标宋简体" w:cs="方正大标宋简体"/>
          <w:bCs/>
          <w:color w:val="000000" w:themeColor="text1"/>
          <w:sz w:val="80"/>
          <w:szCs w:val="80"/>
          <w14:textFill>
            <w14:solidFill>
              <w14:schemeClr w14:val="tx1"/>
            </w14:solidFill>
          </w14:textFill>
        </w:rPr>
      </w:pPr>
      <w:r>
        <w:rPr>
          <w:rFonts w:hint="eastAsia" w:ascii="方正大标宋简体" w:hAnsi="方正大标宋简体" w:eastAsia="方正大标宋简体" w:cs="方正大标宋简体"/>
          <w:bCs/>
          <w:color w:val="000000" w:themeColor="text1"/>
          <w:sz w:val="80"/>
          <w:szCs w:val="80"/>
          <w14:textFill>
            <w14:solidFill>
              <w14:schemeClr w14:val="tx1"/>
            </w14:solidFill>
          </w14:textFill>
        </w:rPr>
        <w:t>2024</w:t>
      </w:r>
      <w:r>
        <w:rPr>
          <w:rFonts w:hint="eastAsia" w:ascii="方正大标宋简体" w:hAnsi="方正大标宋简体" w:eastAsia="方正大标宋简体" w:cs="方正大标宋简体"/>
          <w:color w:val="000000"/>
          <w:sz w:val="80"/>
          <w:szCs w:val="80"/>
        </w:rPr>
        <w:t>年度</w:t>
      </w:r>
      <w:r>
        <w:rPr>
          <w:rFonts w:hint="eastAsia" w:ascii="方正大标宋简体" w:hAnsi="方正大标宋简体" w:eastAsia="方正大标宋简体" w:cs="方正大标宋简体"/>
          <w:bCs/>
          <w:color w:val="000000" w:themeColor="text1"/>
          <w:sz w:val="80"/>
          <w:szCs w:val="80"/>
          <w14:textFill>
            <w14:solidFill>
              <w14:schemeClr w14:val="tx1"/>
            </w14:solidFill>
          </w14:textFill>
        </w:rPr>
        <w:t>红原县</w:t>
      </w:r>
    </w:p>
    <w:p w14:paraId="6876A29E">
      <w:pPr>
        <w:jc w:val="center"/>
        <w:rPr>
          <w:rFonts w:ascii="Times New Roman" w:hAnsi="Times New Roman"/>
          <w:sz w:val="80"/>
          <w:szCs w:val="80"/>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r>
        <w:rPr>
          <w:rFonts w:hint="eastAsia" w:ascii="方正大标宋简体" w:hAnsi="方正大标宋简体" w:eastAsia="方正大标宋简体" w:cs="方正大标宋简体"/>
          <w:bCs/>
          <w:color w:val="000000" w:themeColor="text1"/>
          <w:sz w:val="80"/>
          <w:szCs w:val="80"/>
          <w:lang w:eastAsia="zh-CN"/>
          <w14:textFill>
            <w14:solidFill>
              <w14:schemeClr w14:val="tx1"/>
            </w14:solidFill>
          </w14:textFill>
        </w:rPr>
        <w:t>邛溪镇社区卫生服务中心</w:t>
      </w:r>
      <w:r>
        <w:rPr>
          <w:rFonts w:hint="eastAsia" w:ascii="方正大标宋简体" w:hAnsi="方正大标宋简体" w:eastAsia="方正大标宋简体" w:cs="方正大标宋简体"/>
          <w:color w:val="000000"/>
          <w:sz w:val="80"/>
          <w:szCs w:val="80"/>
        </w:rPr>
        <w:t>单位决算</w:t>
      </w:r>
    </w:p>
    <w:p w14:paraId="0C4A52FE">
      <w:pPr>
        <w:pStyle w:val="3"/>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14:paraId="04292BFD">
      <w:pPr>
        <w:widowControl/>
        <w:jc w:val="center"/>
        <w:rPr>
          <w:rFonts w:ascii="Times New Roman" w:hAnsi="Times New Roman" w:eastAsia="黑体" w:cstheme="minorBidi"/>
          <w:b/>
          <w:bCs/>
          <w:color w:val="auto"/>
          <w:sz w:val="28"/>
          <w:szCs w:val="28"/>
          <w:highlight w:val="none"/>
        </w:rPr>
      </w:pPr>
      <w:r>
        <w:rPr>
          <w:rFonts w:hint="eastAsia" w:ascii="Times New Roman" w:hAnsi="Times New Roman" w:eastAsia="黑体"/>
          <w:b/>
          <w:bCs/>
          <w:color w:val="auto"/>
          <w:sz w:val="48"/>
          <w:szCs w:val="48"/>
          <w:highlight w:val="none"/>
        </w:rPr>
        <w:t>目</w:t>
      </w:r>
      <w:r>
        <w:rPr>
          <w:rFonts w:hint="eastAsia" w:eastAsia="黑体"/>
          <w:b/>
          <w:bCs/>
          <w:color w:val="auto"/>
          <w:sz w:val="48"/>
          <w:szCs w:val="48"/>
          <w:highlight w:val="none"/>
          <w:lang w:val="en-US" w:eastAsia="zh-CN"/>
        </w:rPr>
        <w:t xml:space="preserve">  </w:t>
      </w:r>
      <w:r>
        <w:rPr>
          <w:rFonts w:hint="eastAsia" w:ascii="Times New Roman" w:hAnsi="Times New Roman" w:eastAsia="黑体"/>
          <w:b/>
          <w:bCs/>
          <w:color w:val="auto"/>
          <w:sz w:val="48"/>
          <w:szCs w:val="48"/>
          <w:highlight w:val="none"/>
        </w:rPr>
        <w:t>录</w:t>
      </w:r>
    </w:p>
    <w:p w14:paraId="39B78B33">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28</w:t>
      </w:r>
      <w:r>
        <w:rPr>
          <w:rFonts w:hint="eastAsia" w:ascii="Times New Roman" w:hAnsi="Times New Roman" w:eastAsia="仿宋_GB2312" w:cs="仿宋_GB2312"/>
          <w:color w:val="auto"/>
          <w:sz w:val="32"/>
          <w:szCs w:val="32"/>
          <w:highlight w:val="none"/>
        </w:rPr>
        <w:t>日</w:t>
      </w:r>
    </w:p>
    <w:p w14:paraId="59D97ED6">
      <w:pPr>
        <w:rPr>
          <w:rFonts w:ascii="Times New Roman" w:hAnsi="Times New Roman"/>
          <w:color w:val="auto"/>
          <w:highlight w:val="none"/>
        </w:rPr>
      </w:pPr>
    </w:p>
    <w:p w14:paraId="6AD8CF97">
      <w:pPr>
        <w:pStyle w:val="13"/>
        <w:keepNext w:val="0"/>
        <w:keepLines w:val="0"/>
        <w:pageBreakBefore w:val="0"/>
        <w:kinsoku/>
        <w:wordWrap/>
        <w:overflowPunct/>
        <w:topLinePunct w:val="0"/>
        <w:autoSpaceDE/>
        <w:autoSpaceDN/>
        <w:bidi w:val="0"/>
        <w:adjustRightInd w:val="0"/>
        <w:snapToGrid w:val="0"/>
        <w:spacing w:before="0" w:afterAutospacing="0" w:line="560" w:lineRule="exact"/>
        <w:ind w:left="0" w:leftChars="0"/>
        <w:jc w:val="left"/>
        <w:textAlignment w:val="auto"/>
        <w:rPr>
          <w:rFonts w:hint="eastAsia" w:ascii="Times New Roman" w:hAnsi="Times New Roman" w:eastAsia="黑体" w:cs="黑体"/>
          <w:b/>
          <w:bCs/>
          <w:color w:val="auto"/>
          <w:sz w:val="32"/>
          <w:szCs w:val="32"/>
          <w:highlight w:val="none"/>
        </w:rPr>
      </w:pPr>
      <w:r>
        <w:rPr>
          <w:rFonts w:hint="eastAsia" w:ascii="Times New Roman" w:hAnsi="Times New Roman" w:eastAsia="黑体" w:cs="黑体"/>
          <w:b/>
          <w:bCs/>
          <w:color w:val="auto"/>
          <w:sz w:val="32"/>
          <w:szCs w:val="32"/>
          <w:highlight w:val="none"/>
        </w:rPr>
        <w:t>第一部分 部门概况</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kern w:val="2"/>
          <w:sz w:val="32"/>
          <w:szCs w:val="32"/>
          <w:highlight w:val="none"/>
          <w:lang w:val="en-US" w:eastAsia="zh-CN" w:bidi="ar-SA"/>
        </w:rPr>
        <w:t>1</w:t>
      </w:r>
    </w:p>
    <w:p w14:paraId="4D0C961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1</w:t>
      </w:r>
    </w:p>
    <w:p w14:paraId="0B30E1E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1</w:t>
      </w:r>
    </w:p>
    <w:p w14:paraId="2EE648C0">
      <w:pPr>
        <w:pStyle w:val="13"/>
        <w:keepNext w:val="0"/>
        <w:keepLines w:val="0"/>
        <w:pageBreakBefore w:val="0"/>
        <w:kinsoku/>
        <w:wordWrap/>
        <w:overflowPunct/>
        <w:topLinePunct w:val="0"/>
        <w:autoSpaceDE/>
        <w:autoSpaceDN/>
        <w:bidi w:val="0"/>
        <w:adjustRightInd w:val="0"/>
        <w:snapToGrid w:val="0"/>
        <w:spacing w:before="0" w:afterAutospacing="0" w:line="560" w:lineRule="exact"/>
        <w:ind w:left="0" w:leftChars="0"/>
        <w:jc w:val="left"/>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第二部分</w:t>
      </w:r>
      <w:r>
        <w:rPr>
          <w:rFonts w:hint="eastAsia" w:ascii="Times New Roman" w:hAnsi="Times New Roman" w:eastAsia="黑体" w:cs="黑体"/>
          <w:b/>
          <w:bCs/>
          <w:color w:val="auto"/>
          <w:sz w:val="32"/>
          <w:szCs w:val="32"/>
          <w:highlight w:val="none"/>
          <w:lang w:val="en-US" w:eastAsia="zh-CN"/>
        </w:rPr>
        <w:t xml:space="preserve"> 2024年度</w:t>
      </w:r>
      <w:r>
        <w:rPr>
          <w:rFonts w:hint="eastAsia" w:ascii="Times New Roman" w:hAnsi="Times New Roman" w:eastAsia="黑体" w:cs="黑体"/>
          <w:b/>
          <w:bCs/>
          <w:color w:val="auto"/>
          <w:sz w:val="32"/>
          <w:szCs w:val="32"/>
          <w:highlight w:val="none"/>
        </w:rPr>
        <w:t>部门决算情况说明</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 xml:space="preserve"> 2</w:t>
      </w:r>
    </w:p>
    <w:p w14:paraId="0EBBF47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2</w:t>
      </w:r>
    </w:p>
    <w:p w14:paraId="1EDDB82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2</w:t>
      </w:r>
    </w:p>
    <w:p w14:paraId="2FE4601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3</w:t>
      </w:r>
    </w:p>
    <w:p w14:paraId="58FD411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3</w:t>
      </w:r>
    </w:p>
    <w:p w14:paraId="1D55FC4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3</w:t>
      </w:r>
    </w:p>
    <w:p w14:paraId="2110BF0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6</w:t>
      </w:r>
    </w:p>
    <w:p w14:paraId="50C31B0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6</w:t>
      </w:r>
    </w:p>
    <w:p w14:paraId="1785A36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8</w:t>
      </w:r>
    </w:p>
    <w:p w14:paraId="485E05C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8</w:t>
      </w:r>
    </w:p>
    <w:p w14:paraId="262D3A3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8</w:t>
      </w:r>
    </w:p>
    <w:p w14:paraId="718A5B38">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第三部分 名词解释</w:t>
      </w:r>
      <w:r>
        <w:rPr>
          <w:rFonts w:hint="eastAsia" w:eastAsia="仿宋_GB2312" w:cs="仿宋_GB2312"/>
          <w:color w:val="auto"/>
          <w:spacing w:val="11"/>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11</w:t>
      </w:r>
    </w:p>
    <w:p w14:paraId="5F1BF547">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第四部分 附件</w:t>
      </w:r>
      <w:r>
        <w:rPr>
          <w:rFonts w:hint="eastAsia" w:eastAsia="仿宋_GB2312" w:cs="仿宋_GB2312"/>
          <w:color w:val="auto"/>
          <w:spacing w:val="11"/>
          <w:sz w:val="32"/>
          <w:szCs w:val="32"/>
          <w:highlight w:val="none"/>
          <w:lang w:eastAsia="zh-CN"/>
        </w:rPr>
        <w:t>……</w:t>
      </w:r>
      <w:r>
        <w:rPr>
          <w:rFonts w:hint="eastAsia" w:eastAsia="仿宋_GB2312" w:cs="仿宋_GB2312"/>
          <w:color w:val="auto"/>
          <w:spacing w:val="17"/>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14</w:t>
      </w:r>
    </w:p>
    <w:p w14:paraId="65F19E34">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第五部分 附表</w:t>
      </w:r>
      <w:r>
        <w:rPr>
          <w:rFonts w:hint="eastAsia" w:eastAsia="仿宋_GB2312" w:cs="仿宋_GB2312"/>
          <w:color w:val="auto"/>
          <w:spacing w:val="11"/>
          <w:sz w:val="32"/>
          <w:szCs w:val="32"/>
          <w:highlight w:val="none"/>
          <w:lang w:eastAsia="zh-CN"/>
        </w:rPr>
        <w:t>……</w:t>
      </w:r>
      <w:r>
        <w:rPr>
          <w:rFonts w:hint="eastAsia" w:eastAsia="仿宋_GB2312" w:cs="仿宋_GB2312"/>
          <w:color w:val="auto"/>
          <w:spacing w:val="17"/>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22</w:t>
      </w:r>
    </w:p>
    <w:p w14:paraId="5171BF4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22</w:t>
      </w:r>
    </w:p>
    <w:p w14:paraId="5E84154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22</w:t>
      </w:r>
    </w:p>
    <w:p w14:paraId="004899C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三、支出决算表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22</w:t>
      </w:r>
    </w:p>
    <w:p w14:paraId="2FB1923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22</w:t>
      </w:r>
    </w:p>
    <w:p w14:paraId="5050C82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22</w:t>
      </w:r>
    </w:p>
    <w:p w14:paraId="130BA9C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22</w:t>
      </w:r>
    </w:p>
    <w:p w14:paraId="4DBE247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22</w:t>
      </w:r>
    </w:p>
    <w:p w14:paraId="3B7B39E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22</w:t>
      </w:r>
    </w:p>
    <w:p w14:paraId="4CD6CF5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22</w:t>
      </w:r>
    </w:p>
    <w:p w14:paraId="3160EFC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22</w:t>
      </w:r>
    </w:p>
    <w:p w14:paraId="38C26D5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22</w:t>
      </w:r>
    </w:p>
    <w:p w14:paraId="5FB3EDE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22</w:t>
      </w:r>
    </w:p>
    <w:p w14:paraId="2F1A3B7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22</w:t>
      </w:r>
    </w:p>
    <w:p w14:paraId="765036B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32EBFD41">
      <w:pPr>
        <w:pStyle w:val="4"/>
        <w:keepNext/>
        <w:keepLines/>
        <w:pageBreakBefore w:val="0"/>
        <w:widowControl w:val="0"/>
        <w:kinsoku/>
        <w:wordWrap/>
        <w:overflowPunct/>
        <w:topLinePunct w:val="0"/>
        <w:autoSpaceDE/>
        <w:autoSpaceDN/>
        <w:bidi w:val="0"/>
        <w:adjustRightInd w:val="0"/>
        <w:snapToGrid w:val="0"/>
        <w:spacing w:before="0" w:after="0" w:line="644" w:lineRule="exact"/>
        <w:jc w:val="center"/>
        <w:textAlignment w:val="auto"/>
        <w:rPr>
          <w:rFonts w:hint="eastAsia" w:ascii="Times New Roman" w:hAnsi="Times New Roman" w:eastAsia="方正小标宋简体" w:cs="方正小标宋简体"/>
          <w:b w:val="0"/>
          <w:color w:val="auto"/>
          <w:highlight w:val="none"/>
        </w:rPr>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bookmarkStart w:id="6" w:name="_Toc15377196"/>
      <w:bookmarkStart w:id="7" w:name="_Toc15396599"/>
    </w:p>
    <w:p w14:paraId="351EE3B8">
      <w:pPr>
        <w:pStyle w:val="4"/>
        <w:keepNext/>
        <w:keepLines/>
        <w:pageBreakBefore w:val="0"/>
        <w:widowControl w:val="0"/>
        <w:kinsoku/>
        <w:wordWrap/>
        <w:overflowPunct/>
        <w:topLinePunct w:val="0"/>
        <w:autoSpaceDE/>
        <w:autoSpaceDN/>
        <w:bidi w:val="0"/>
        <w:adjustRightInd w:val="0"/>
        <w:snapToGrid w:val="0"/>
        <w:spacing w:before="0" w:after="0" w:line="644" w:lineRule="exact"/>
        <w:jc w:val="center"/>
        <w:textAlignment w:val="auto"/>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6"/>
      <w:bookmarkEnd w:id="7"/>
    </w:p>
    <w:p w14:paraId="6435489F">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b/>
          <w:bCs w:val="0"/>
          <w:color w:val="auto"/>
          <w:highlight w:val="none"/>
          <w:lang w:eastAsia="zh-CN"/>
        </w:rPr>
      </w:pPr>
      <w:r>
        <w:rPr>
          <w:rFonts w:hint="eastAsia" w:ascii="Times New Roman" w:hAnsi="Times New Roman" w:eastAsia="黑体" w:cstheme="majorBidi"/>
          <w:b/>
          <w:bCs w:val="0"/>
          <w:color w:val="auto"/>
          <w:kern w:val="2"/>
          <w:sz w:val="32"/>
          <w:szCs w:val="32"/>
          <w:lang w:val="en-US" w:eastAsia="zh-CN" w:bidi="ar-SA"/>
        </w:rPr>
        <w:t>一、</w:t>
      </w:r>
      <w:r>
        <w:rPr>
          <w:rFonts w:hint="eastAsia" w:ascii="Times New Roman" w:hAnsi="Times New Roman" w:eastAsia="黑体"/>
          <w:b/>
          <w:bCs w:val="0"/>
          <w:color w:val="auto"/>
          <w:highlight w:val="none"/>
          <w:lang w:eastAsia="zh-CN"/>
        </w:rPr>
        <w:t>部门职责</w:t>
      </w:r>
    </w:p>
    <w:p w14:paraId="04B38FF6">
      <w:pPr>
        <w:keepNext w:val="0"/>
        <w:keepLines w:val="0"/>
        <w:pageBreakBefore w:val="0"/>
        <w:numPr>
          <w:ilvl w:val="0"/>
          <w:numId w:val="0"/>
        </w:numPr>
        <w:kinsoku/>
        <w:wordWrap/>
        <w:overflowPunct/>
        <w:topLinePunct w:val="0"/>
        <w:bidi w:val="0"/>
        <w:spacing w:line="580" w:lineRule="exact"/>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宣传贯彻党和政府的各项医疗卫生方针政策，协助开展突发公共卫生事件应急调查和处置工作，承担区域内公共卫生相关信息的收集和报告。协助做好区域内食品卫生、饮用水卫生、化共场所卫生、职业卫生等爱国卫生工作；提供基本公共卫生服务，包括建立居民健康档案、健康档案、预防接种、传染病防治、高血压糖尿病等慢性病管理、重性精神疾病管理、儿童保健、孕产妇保健、老年人保健等；协助处置突发公共卫生事件。</w:t>
      </w:r>
      <w:bookmarkStart w:id="8" w:name="_Toc15396601"/>
      <w:bookmarkStart w:id="9" w:name="_Toc15377200"/>
    </w:p>
    <w:p w14:paraId="73A67912">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二、机构设置</w:t>
      </w:r>
      <w:bookmarkEnd w:id="8"/>
      <w:bookmarkEnd w:id="9"/>
    </w:p>
    <w:p w14:paraId="4E3435A0">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 w:hAnsi="仿宋" w:eastAsia="仿宋" w:cs="仿宋"/>
          <w:color w:val="000000"/>
          <w:kern w:val="0"/>
          <w:sz w:val="32"/>
          <w:szCs w:val="32"/>
          <w:lang w:val="en-US" w:eastAsia="zh-CN"/>
        </w:rPr>
      </w:pPr>
      <w:r>
        <w:rPr>
          <w:rFonts w:hint="eastAsia" w:ascii="仿宋" w:hAnsi="仿宋" w:eastAsia="仿宋" w:cs="仿宋"/>
          <w:color w:val="auto"/>
          <w:sz w:val="32"/>
          <w:szCs w:val="32"/>
          <w:highlight w:val="none"/>
        </w:rPr>
        <w:t>红原县</w:t>
      </w:r>
      <w:r>
        <w:rPr>
          <w:rFonts w:hint="eastAsia" w:ascii="仿宋" w:hAnsi="仿宋" w:eastAsia="仿宋" w:cs="仿宋"/>
          <w:color w:val="auto"/>
          <w:sz w:val="32"/>
          <w:szCs w:val="32"/>
          <w:highlight w:val="none"/>
          <w:lang w:eastAsia="zh-CN"/>
        </w:rPr>
        <w:t>邛溪镇社区卫生服务中心</w:t>
      </w:r>
      <w:r>
        <w:rPr>
          <w:rFonts w:hint="eastAsia" w:ascii="仿宋" w:hAnsi="仿宋" w:eastAsia="仿宋" w:cs="仿宋"/>
          <w:color w:val="auto"/>
          <w:sz w:val="32"/>
          <w:szCs w:val="32"/>
          <w:highlight w:val="none"/>
        </w:rPr>
        <w:t>下属二级</w:t>
      </w:r>
      <w:r>
        <w:rPr>
          <w:rFonts w:hint="eastAsia" w:ascii="仿宋" w:hAnsi="仿宋" w:eastAsia="仿宋" w:cs="仿宋"/>
          <w:color w:val="auto"/>
          <w:sz w:val="32"/>
          <w:szCs w:val="32"/>
          <w:highlight w:val="none"/>
          <w:lang w:eastAsia="zh-CN"/>
        </w:rPr>
        <w:t>预算</w:t>
      </w:r>
      <w:r>
        <w:rPr>
          <w:rFonts w:hint="eastAsia" w:ascii="仿宋" w:hAnsi="仿宋" w:eastAsia="仿宋" w:cs="仿宋"/>
          <w:color w:val="auto"/>
          <w:sz w:val="32"/>
          <w:szCs w:val="32"/>
          <w:highlight w:val="none"/>
        </w:rPr>
        <w:t>单位</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个</w:t>
      </w:r>
      <w:r>
        <w:rPr>
          <w:rFonts w:hint="eastAsia" w:ascii="仿宋" w:hAnsi="仿宋" w:eastAsia="仿宋" w:cs="仿宋"/>
          <w:color w:val="auto"/>
          <w:sz w:val="32"/>
          <w:szCs w:val="32"/>
          <w:highlight w:val="none"/>
          <w:lang w:eastAsia="zh-CN"/>
        </w:rPr>
        <w:t>，</w:t>
      </w:r>
      <w:r>
        <w:rPr>
          <w:rFonts w:hint="eastAsia" w:ascii="仿宋" w:hAnsi="仿宋" w:eastAsia="仿宋" w:cs="仿宋"/>
          <w:bCs/>
          <w:sz w:val="32"/>
          <w:szCs w:val="32"/>
        </w:rPr>
        <w:t>我单位为独立核算全额拨款事业单位，</w:t>
      </w:r>
      <w:r>
        <w:rPr>
          <w:rFonts w:hint="eastAsia" w:ascii="仿宋" w:hAnsi="仿宋" w:eastAsia="仿宋" w:cs="仿宋"/>
          <w:bCs/>
          <w:sz w:val="32"/>
          <w:szCs w:val="32"/>
          <w:lang w:eastAsia="zh-CN"/>
        </w:rPr>
        <w:t>下设</w:t>
      </w:r>
      <w:r>
        <w:rPr>
          <w:rFonts w:hint="eastAsia" w:ascii="仿宋" w:hAnsi="仿宋" w:eastAsia="仿宋" w:cs="仿宋"/>
          <w:bCs/>
          <w:sz w:val="32"/>
          <w:szCs w:val="32"/>
          <w:lang w:val="en-US" w:eastAsia="zh-CN"/>
        </w:rPr>
        <w:t>1机构。</w:t>
      </w:r>
      <w:r>
        <w:rPr>
          <w:rFonts w:hint="eastAsia" w:ascii="仿宋" w:hAnsi="仿宋" w:eastAsia="仿宋" w:cs="仿宋"/>
          <w:bCs/>
          <w:sz w:val="32"/>
          <w:szCs w:val="32"/>
        </w:rPr>
        <w:t>截止20</w:t>
      </w:r>
      <w:r>
        <w:rPr>
          <w:rFonts w:hint="eastAsia" w:ascii="仿宋" w:hAnsi="仿宋" w:eastAsia="仿宋" w:cs="仿宋"/>
          <w:bCs/>
          <w:sz w:val="32"/>
          <w:szCs w:val="32"/>
          <w:lang w:val="en-US" w:eastAsia="zh-CN"/>
        </w:rPr>
        <w:t>24</w:t>
      </w:r>
      <w:r>
        <w:rPr>
          <w:rFonts w:hint="eastAsia" w:ascii="仿宋" w:hAnsi="仿宋" w:eastAsia="仿宋" w:cs="仿宋"/>
          <w:bCs/>
          <w:sz w:val="32"/>
          <w:szCs w:val="32"/>
        </w:rPr>
        <w:t>年底我单位</w:t>
      </w:r>
      <w:r>
        <w:rPr>
          <w:rFonts w:hint="eastAsia" w:ascii="仿宋" w:hAnsi="仿宋" w:eastAsia="仿宋" w:cs="仿宋"/>
          <w:color w:val="000000"/>
          <w:kern w:val="0"/>
          <w:sz w:val="32"/>
          <w:szCs w:val="32"/>
          <w:lang w:val="en-US" w:eastAsia="zh-CN" w:bidi="ar"/>
        </w:rPr>
        <w:t>共有编制5个，其中事业编5个，在职5人,</w:t>
      </w:r>
      <w:r>
        <w:rPr>
          <w:rFonts w:hint="eastAsia" w:ascii="仿宋" w:hAnsi="仿宋" w:eastAsia="仿宋" w:cs="仿宋"/>
          <w:bCs/>
          <w:sz w:val="32"/>
          <w:szCs w:val="32"/>
        </w:rPr>
        <w:t>事业编制</w:t>
      </w:r>
      <w:r>
        <w:rPr>
          <w:rFonts w:hint="eastAsia" w:ascii="仿宋" w:hAnsi="仿宋" w:eastAsia="仿宋" w:cs="仿宋"/>
          <w:bCs/>
          <w:sz w:val="32"/>
          <w:szCs w:val="32"/>
          <w:lang w:val="en-US" w:eastAsia="zh-CN"/>
        </w:rPr>
        <w:t>5</w:t>
      </w:r>
      <w:r>
        <w:rPr>
          <w:rFonts w:hint="eastAsia" w:ascii="仿宋" w:hAnsi="仿宋" w:eastAsia="仿宋" w:cs="仿宋"/>
          <w:bCs/>
          <w:sz w:val="32"/>
          <w:szCs w:val="32"/>
        </w:rPr>
        <w:t>人。</w:t>
      </w:r>
    </w:p>
    <w:p w14:paraId="0BD9D43E">
      <w:pPr>
        <w:widowControl/>
        <w:jc w:val="left"/>
        <w:rPr>
          <w:rFonts w:ascii="Times New Roman" w:hAnsi="Times New Roman" w:eastAsia="仿宋"/>
          <w:color w:val="auto"/>
          <w:kern w:val="0"/>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红原县</w:t>
      </w:r>
      <w:r>
        <w:rPr>
          <w:rFonts w:hint="eastAsia"/>
          <w:sz w:val="32"/>
          <w:szCs w:val="32"/>
          <w:lang w:eastAsia="zh-CN"/>
        </w:rPr>
        <w:t>邛溪镇</w:t>
      </w:r>
      <w:r>
        <w:rPr>
          <w:sz w:val="32"/>
          <w:szCs w:val="32"/>
        </w:rPr>
        <w:t>卫生院</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w:t>
      </w:r>
      <w:r>
        <w:rPr>
          <w:rFonts w:hint="eastAsia" w:ascii="Times New Roman" w:cs="仿宋_GB2312"/>
          <w:color w:val="auto"/>
          <w:sz w:val="32"/>
          <w:szCs w:val="32"/>
          <w:highlight w:val="none"/>
          <w:lang w:eastAsia="zh-CN"/>
        </w:rPr>
        <w:t>无。</w:t>
      </w:r>
    </w:p>
    <w:p w14:paraId="20B88206">
      <w:pPr>
        <w:rPr>
          <w:rFonts w:hint="eastAsia" w:ascii="Times New Roman" w:hAnsi="Times New Roman" w:eastAsia="方正小标宋简体" w:cs="方正小标宋简体"/>
          <w:b w:val="0"/>
          <w:color w:val="auto"/>
          <w:highlight w:val="none"/>
        </w:rPr>
      </w:pPr>
      <w:bookmarkStart w:id="10" w:name="_Toc15377204"/>
      <w:bookmarkStart w:id="11" w:name="_Toc15396602"/>
      <w:r>
        <w:rPr>
          <w:rFonts w:hint="eastAsia" w:ascii="Times New Roman" w:hAnsi="Times New Roman" w:eastAsia="方正小标宋简体" w:cs="方正小标宋简体"/>
          <w:b w:val="0"/>
          <w:color w:val="auto"/>
          <w:highlight w:val="none"/>
        </w:rPr>
        <w:br w:type="page"/>
      </w:r>
    </w:p>
    <w:p w14:paraId="5573A766">
      <w:pPr>
        <w:pStyle w:val="4"/>
        <w:keepNext/>
        <w:keepLines/>
        <w:pageBreakBefore w:val="0"/>
        <w:widowControl w:val="0"/>
        <w:kinsoku/>
        <w:wordWrap/>
        <w:overflowPunct/>
        <w:topLinePunct w:val="0"/>
        <w:autoSpaceDE/>
        <w:autoSpaceDN/>
        <w:bidi w:val="0"/>
        <w:adjustRightInd w:val="0"/>
        <w:snapToGrid w:val="0"/>
        <w:spacing w:before="0" w:after="0" w:line="644" w:lineRule="exact"/>
        <w:jc w:val="center"/>
        <w:textAlignment w:val="auto"/>
        <w:rPr>
          <w:rFonts w:hint="eastAsia" w:ascii="Times New Roman" w:hAnsi="Times New Roman" w:eastAsia="方正小标宋简体" w:cs="方正小标宋简体"/>
          <w:b w:val="0"/>
          <w:color w:val="auto"/>
          <w:highlight w:val="none"/>
        </w:rPr>
      </w:pPr>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0"/>
      <w:bookmarkEnd w:id="11"/>
    </w:p>
    <w:p w14:paraId="20D77BC8"/>
    <w:p w14:paraId="615F7EDB">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1"/>
        <w:rPr>
          <w:rStyle w:val="31"/>
          <w:rFonts w:hint="eastAsia" w:ascii="Times New Roman" w:hAnsi="Times New Roman" w:eastAsia="黑体"/>
          <w:b w:val="0"/>
          <w:color w:val="auto"/>
          <w:highlight w:val="none"/>
        </w:rPr>
      </w:pPr>
      <w:bookmarkStart w:id="12" w:name="_Toc15377205"/>
      <w:bookmarkStart w:id="13" w:name="_Toc15396603"/>
      <w:r>
        <w:rPr>
          <w:rFonts w:hint="eastAsia" w:ascii="Times New Roman" w:hAnsi="Times New Roman" w:eastAsia="黑体" w:cstheme="majorBidi"/>
          <w:b/>
          <w:bCs w:val="0"/>
          <w:color w:val="auto"/>
          <w:kern w:val="2"/>
          <w:sz w:val="32"/>
          <w:szCs w:val="32"/>
          <w:lang w:val="en-US" w:eastAsia="zh-CN" w:bidi="ar-SA"/>
        </w:rPr>
        <w:t>一、收入支出决算总体情况说明</w:t>
      </w:r>
      <w:bookmarkEnd w:id="12"/>
      <w:bookmarkEnd w:id="13"/>
    </w:p>
    <w:p w14:paraId="62AEF6DA">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19685</wp:posOffset>
            </wp:positionH>
            <wp:positionV relativeFrom="paragraph">
              <wp:posOffset>1107440</wp:posOffset>
            </wp:positionV>
            <wp:extent cx="5404485" cy="1531620"/>
            <wp:effectExtent l="4445" t="4445" r="20320" b="698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仿宋_GB2312" w:eastAsia="仿宋_GB2312" w:cs="仿宋_GB2312"/>
          <w:color w:val="auto"/>
          <w:sz w:val="32"/>
          <w:szCs w:val="32"/>
          <w:highlight w:val="none"/>
          <w:lang w:eastAsia="zh-CN"/>
        </w:rPr>
        <w:t>2024年度收入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129.15</w:t>
      </w:r>
      <w:r>
        <w:rPr>
          <w:rFonts w:hint="eastAsia" w:ascii="仿宋_GB2312" w:hAnsi="仿宋_GB2312" w:eastAsia="仿宋_GB2312" w:cs="仿宋_GB2312"/>
          <w:color w:val="auto"/>
          <w:sz w:val="32"/>
          <w:szCs w:val="32"/>
          <w:highlight w:val="none"/>
        </w:rPr>
        <w:t>万元。与</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lang w:val="en-US" w:eastAsia="zh-CN"/>
        </w:rPr>
        <w:t>152.83</w:t>
      </w:r>
      <w:r>
        <w:rPr>
          <w:rFonts w:hint="eastAsia" w:ascii="仿宋_GB2312" w:hAnsi="仿宋_GB2312" w:eastAsia="仿宋_GB2312" w:cs="仿宋_GB2312"/>
          <w:color w:val="auto"/>
          <w:sz w:val="32"/>
          <w:szCs w:val="32"/>
          <w:highlight w:val="none"/>
        </w:rPr>
        <w:t>相比，减少</w:t>
      </w:r>
      <w:r>
        <w:rPr>
          <w:rFonts w:hint="eastAsia" w:ascii="仿宋_GB2312" w:hAnsi="仿宋_GB2312" w:eastAsia="仿宋_GB2312" w:cs="仿宋_GB2312"/>
          <w:color w:val="auto"/>
          <w:sz w:val="32"/>
          <w:szCs w:val="32"/>
          <w:highlight w:val="none"/>
          <w:lang w:val="en-US" w:eastAsia="zh-CN"/>
        </w:rPr>
        <w:t>23.68</w:t>
      </w:r>
      <w:r>
        <w:rPr>
          <w:rFonts w:hint="eastAsia" w:ascii="仿宋_GB2312" w:hAnsi="仿宋_GB2312" w:eastAsia="仿宋_GB2312" w:cs="仿宋_GB2312"/>
          <w:color w:val="auto"/>
          <w:sz w:val="32"/>
          <w:szCs w:val="32"/>
          <w:highlight w:val="none"/>
        </w:rPr>
        <w:t>万元下降</w:t>
      </w:r>
      <w:r>
        <w:rPr>
          <w:rFonts w:hint="eastAsia" w:ascii="仿宋_GB2312" w:hAnsi="仿宋_GB2312" w:eastAsia="仿宋_GB2312" w:cs="仿宋_GB2312"/>
          <w:color w:val="auto"/>
          <w:sz w:val="32"/>
          <w:szCs w:val="32"/>
          <w:highlight w:val="none"/>
          <w:lang w:val="en-US" w:eastAsia="zh-CN"/>
        </w:rPr>
        <w:t>18.34</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eastAsia="zh-CN"/>
        </w:rPr>
        <w:t>事业收入。</w:t>
      </w:r>
    </w:p>
    <w:p w14:paraId="47C2693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70608856">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14" w:name="_Toc15377206"/>
      <w:bookmarkStart w:id="15" w:name="_Toc15396604"/>
      <w:r>
        <w:rPr>
          <w:rFonts w:hint="eastAsia" w:ascii="Times New Roman" w:hAnsi="Times New Roman" w:eastAsia="黑体" w:cstheme="majorBidi"/>
          <w:b/>
          <w:bCs w:val="0"/>
          <w:color w:val="auto"/>
          <w:kern w:val="2"/>
          <w:sz w:val="32"/>
          <w:szCs w:val="32"/>
          <w:lang w:val="en-US" w:eastAsia="zh-CN" w:bidi="ar-SA"/>
        </w:rPr>
        <w:t>二、收入决算情况说明</w:t>
      </w:r>
      <w:bookmarkEnd w:id="14"/>
      <w:bookmarkEnd w:id="15"/>
    </w:p>
    <w:p w14:paraId="34BAF0B9">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86995</wp:posOffset>
            </wp:positionH>
            <wp:positionV relativeFrom="paragraph">
              <wp:posOffset>2566670</wp:posOffset>
            </wp:positionV>
            <wp:extent cx="5523230" cy="1401445"/>
            <wp:effectExtent l="4445" t="4445" r="15875" b="2286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129.15万元，其中：一般公共预算财政拨款收入129.15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14:paraId="15C6D1EF">
      <w:pPr>
        <w:ind w:firstLine="800" w:firstLineChars="250"/>
        <w:rPr>
          <w:rFonts w:hint="eastAsia" w:ascii="仿宋" w:hAnsi="仿宋" w:eastAsia="仿宋"/>
          <w:color w:val="000000" w:themeColor="text1"/>
          <w:sz w:val="32"/>
          <w:szCs w:val="32"/>
          <w14:textFill>
            <w14:solidFill>
              <w14:schemeClr w14:val="tx1"/>
            </w14:solidFill>
          </w14:textFill>
        </w:rPr>
      </w:pPr>
      <w:r>
        <w:rPr>
          <w:rFonts w:hint="eastAsia" w:ascii="Times New Roman" w:hAnsi="Times New Roman" w:eastAsia="仿宋_GB2312" w:cs="仿宋_GB2312"/>
          <w:color w:val="auto"/>
          <w:sz w:val="32"/>
          <w:szCs w:val="32"/>
          <w:highlight w:val="none"/>
          <w:lang w:eastAsia="zh-CN"/>
        </w:rPr>
        <w:t>（图2：收入决算结构图）（饼状图）</w:t>
      </w:r>
      <w:bookmarkStart w:id="16" w:name="_Toc15396605"/>
      <w:bookmarkStart w:id="17" w:name="_Toc15377207"/>
    </w:p>
    <w:p w14:paraId="7A66289E">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三、支出决算情况说明</w:t>
      </w:r>
      <w:bookmarkEnd w:id="16"/>
      <w:bookmarkEnd w:id="17"/>
    </w:p>
    <w:p w14:paraId="7E3DD476">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129.15</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124.48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96.38</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4.67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3.61</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14:paraId="1F6CC596">
      <w:pPr>
        <w:pageBreakBefore w:val="0"/>
        <w:widowControl w:val="0"/>
        <w:kinsoku/>
        <w:wordWrap/>
        <w:overflowPunct/>
        <w:topLinePunct w:val="0"/>
        <w:autoSpaceDE/>
        <w:autoSpaceDN/>
        <w:bidi w:val="0"/>
        <w:adjustRightInd w:val="0"/>
        <w:snapToGrid w:val="0"/>
        <w:spacing w:line="576" w:lineRule="exact"/>
        <w:ind w:firstLine="800" w:firstLineChars="250"/>
        <w:textAlignment w:val="auto"/>
        <w:rPr>
          <w:rFonts w:hint="eastAsia" w:ascii="Times New Roman" w:hAnsi="Times New Roman" w:eastAsia="仿宋_GB2312" w:cs="仿宋_GB2312"/>
          <w:color w:val="auto"/>
          <w:sz w:val="32"/>
          <w:szCs w:val="32"/>
          <w:highlight w:val="none"/>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158750</wp:posOffset>
            </wp:positionH>
            <wp:positionV relativeFrom="paragraph">
              <wp:posOffset>60960</wp:posOffset>
            </wp:positionV>
            <wp:extent cx="5154930" cy="1380490"/>
            <wp:effectExtent l="4445" t="4445" r="22225" b="571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Times New Roman" w:hAnsi="Times New Roman" w:eastAsia="仿宋_GB2312" w:cs="仿宋_GB2312"/>
          <w:color w:val="auto"/>
          <w:sz w:val="32"/>
          <w:szCs w:val="32"/>
          <w:highlight w:val="none"/>
          <w:lang w:eastAsia="zh-CN"/>
        </w:rPr>
        <w:t>（图3：支出决算结构图）（饼状图）</w:t>
      </w:r>
    </w:p>
    <w:p w14:paraId="7A445D63">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18" w:name="_Toc15396606"/>
      <w:bookmarkStart w:id="19" w:name="_Toc15377208"/>
      <w:r>
        <w:rPr>
          <w:rFonts w:hint="eastAsia" w:ascii="Times New Roman" w:hAnsi="Times New Roman" w:eastAsia="黑体" w:cstheme="majorBidi"/>
          <w:b/>
          <w:bCs w:val="0"/>
          <w:color w:val="auto"/>
          <w:kern w:val="2"/>
          <w:sz w:val="32"/>
          <w:szCs w:val="32"/>
          <w:lang w:val="en-US" w:eastAsia="zh-CN" w:bidi="ar-SA"/>
        </w:rPr>
        <w:t>四、财政拨款收入支出决算总体情况说明</w:t>
      </w:r>
      <w:bookmarkEnd w:id="18"/>
      <w:bookmarkEnd w:id="19"/>
    </w:p>
    <w:p w14:paraId="3B42E2E3">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129.15</w:t>
      </w:r>
      <w:r>
        <w:rPr>
          <w:rFonts w:hint="eastAsia" w:ascii="Times New Roman" w:hAnsi="Times New Roman" w:eastAsia="仿宋_GB2312" w:cs="仿宋_GB2312"/>
          <w:color w:val="auto"/>
          <w:kern w:val="2"/>
          <w:sz w:val="32"/>
          <w:szCs w:val="32"/>
          <w:highlight w:val="none"/>
          <w:lang w:val="en-US" w:eastAsia="zh-CN" w:bidi="ar-SA"/>
        </w:rPr>
        <w:t>万元。与2023年度</w:t>
      </w:r>
      <w:r>
        <w:rPr>
          <w:rFonts w:hint="eastAsia" w:eastAsia="仿宋_GB2312" w:cs="仿宋_GB2312"/>
          <w:color w:val="auto"/>
          <w:kern w:val="2"/>
          <w:sz w:val="32"/>
          <w:szCs w:val="32"/>
          <w:highlight w:val="none"/>
          <w:lang w:val="en-US" w:eastAsia="zh-CN" w:bidi="ar-SA"/>
        </w:rPr>
        <w:t>138.69万元</w:t>
      </w:r>
      <w:r>
        <w:rPr>
          <w:rFonts w:hint="eastAsia" w:ascii="Times New Roman" w:hAnsi="Times New Roman" w:eastAsia="仿宋_GB2312" w:cs="仿宋_GB2312"/>
          <w:color w:val="auto"/>
          <w:kern w:val="2"/>
          <w:sz w:val="32"/>
          <w:szCs w:val="32"/>
          <w:highlight w:val="none"/>
          <w:lang w:val="en-US" w:eastAsia="zh-CN" w:bidi="ar-SA"/>
        </w:rPr>
        <w:t>相比，财政拨款收入总计、支出总减少</w:t>
      </w:r>
      <w:r>
        <w:rPr>
          <w:rFonts w:hint="eastAsia" w:eastAsia="仿宋_GB2312" w:cs="仿宋_GB2312"/>
          <w:color w:val="auto"/>
          <w:kern w:val="2"/>
          <w:sz w:val="32"/>
          <w:szCs w:val="32"/>
          <w:highlight w:val="none"/>
          <w:lang w:val="en-US" w:eastAsia="zh-CN" w:bidi="ar-SA"/>
        </w:rPr>
        <w:t>9.54</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7.4</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人员经费变动。</w:t>
      </w:r>
    </w:p>
    <w:p w14:paraId="6F1D29F5">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-30480</wp:posOffset>
            </wp:positionH>
            <wp:positionV relativeFrom="paragraph">
              <wp:posOffset>147955</wp:posOffset>
            </wp:positionV>
            <wp:extent cx="5582920" cy="1672590"/>
            <wp:effectExtent l="5080" t="4445" r="12700" b="1841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7E25E048">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20" w:name="_Toc15396607"/>
      <w:bookmarkStart w:id="21" w:name="_Toc15377209"/>
      <w:r>
        <w:rPr>
          <w:rFonts w:hint="eastAsia" w:ascii="Times New Roman" w:hAnsi="Times New Roman" w:eastAsia="黑体" w:cstheme="majorBidi"/>
          <w:b/>
          <w:bCs w:val="0"/>
          <w:color w:val="auto"/>
          <w:kern w:val="2"/>
          <w:sz w:val="32"/>
          <w:szCs w:val="32"/>
          <w:lang w:val="en-US" w:eastAsia="zh-CN" w:bidi="ar-SA"/>
        </w:rPr>
        <w:t>五、一般公共预算财政拨款支出决算情况说明</w:t>
      </w:r>
      <w:bookmarkEnd w:id="20"/>
      <w:bookmarkEnd w:id="21"/>
    </w:p>
    <w:p w14:paraId="64DEB7F2">
      <w:pPr>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2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2"/>
    </w:p>
    <w:p w14:paraId="15F5449C">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129.15</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%。与2023年度138.69万元相比，一般公共预算财政拨款支出减少</w:t>
      </w:r>
      <w:r>
        <w:rPr>
          <w:rFonts w:hint="eastAsia" w:ascii="Times New Roman" w:hAnsi="Times New Roman" w:eastAsia="仿宋_GB2312" w:cs="仿宋_GB2312"/>
          <w:color w:val="auto"/>
          <w:kern w:val="2"/>
          <w:sz w:val="32"/>
          <w:szCs w:val="32"/>
          <w:highlight w:val="none"/>
          <w:lang w:val="en-US" w:eastAsia="zh-CN" w:bidi="ar-SA"/>
        </w:rPr>
        <w:t>减少</w:t>
      </w:r>
      <w:r>
        <w:rPr>
          <w:rFonts w:hint="eastAsia" w:eastAsia="仿宋_GB2312" w:cs="仿宋_GB2312"/>
          <w:color w:val="auto"/>
          <w:kern w:val="2"/>
          <w:sz w:val="32"/>
          <w:szCs w:val="32"/>
          <w:highlight w:val="none"/>
          <w:lang w:val="en-US" w:eastAsia="zh-CN" w:bidi="ar-SA"/>
        </w:rPr>
        <w:t>9.54</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7.4</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人员经费变动。</w:t>
      </w:r>
    </w:p>
    <w:p w14:paraId="2A306A10">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-75565</wp:posOffset>
            </wp:positionH>
            <wp:positionV relativeFrom="paragraph">
              <wp:posOffset>63500</wp:posOffset>
            </wp:positionV>
            <wp:extent cx="5563870" cy="1637665"/>
            <wp:effectExtent l="4445" t="4445" r="13335" b="1524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1EBD8974">
      <w:pPr>
        <w:keepNext w:val="0"/>
        <w:keepLines w:val="0"/>
        <w:pageBreakBefore w:val="0"/>
        <w:widowControl w:val="0"/>
        <w:kinsoku/>
        <w:wordWrap/>
        <w:overflowPunct/>
        <w:topLinePunct w:val="0"/>
        <w:autoSpaceDE/>
        <w:autoSpaceDN/>
        <w:bidi w:val="0"/>
        <w:adjustRightInd w:val="0"/>
        <w:snapToGrid w:val="0"/>
        <w:spacing w:line="576" w:lineRule="exact"/>
        <w:textAlignment w:val="auto"/>
        <w:outlineLvl w:val="2"/>
        <w:rPr>
          <w:rFonts w:hint="eastAsia" w:ascii="Times New Roman" w:hAnsi="Times New Roman" w:eastAsia="楷体_GB2312" w:cs="楷体_GB2312"/>
          <w:b/>
          <w:color w:val="auto"/>
          <w:sz w:val="32"/>
          <w:szCs w:val="32"/>
          <w:highlight w:val="none"/>
        </w:rPr>
      </w:pPr>
      <w:bookmarkStart w:id="2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3"/>
    </w:p>
    <w:p w14:paraId="450414CB">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129.15</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一般公共服务支出**万元，占**%；教育支出**万元，占**%；科学技术支出**万元，占**%；文化旅游体育与传媒支出**万元，占**%；社会保障和就业支出</w:t>
      </w:r>
      <w:r>
        <w:rPr>
          <w:rFonts w:hint="eastAsia" w:eastAsia="仿宋_GB2312" w:cs="仿宋_GB2312"/>
          <w:color w:val="auto"/>
          <w:kern w:val="2"/>
          <w:sz w:val="32"/>
          <w:szCs w:val="32"/>
          <w:highlight w:val="none"/>
          <w:lang w:val="en-US" w:eastAsia="zh-CN" w:bidi="ar-SA"/>
        </w:rPr>
        <w:t>16.53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12.8</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102.34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79.3</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10.28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7.9</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14:paraId="0B407DA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5408" behindDoc="0" locked="0" layoutInCell="1" allowOverlap="1">
            <wp:simplePos x="0" y="0"/>
            <wp:positionH relativeFrom="column">
              <wp:posOffset>-200025</wp:posOffset>
            </wp:positionH>
            <wp:positionV relativeFrom="paragraph">
              <wp:posOffset>119380</wp:posOffset>
            </wp:positionV>
            <wp:extent cx="5537835" cy="1480820"/>
            <wp:effectExtent l="4445" t="4445" r="20320" b="1968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3313E3A6">
      <w:pPr>
        <w:spacing w:line="600" w:lineRule="exact"/>
        <w:ind w:firstLine="640"/>
        <w:rPr>
          <w:rFonts w:hint="eastAsia" w:ascii="Times New Roman" w:hAnsi="Times New Roman" w:eastAsia="楷体_GB2312" w:cs="楷体_GB2312"/>
          <w:b/>
          <w:color w:val="auto"/>
          <w:sz w:val="32"/>
          <w:szCs w:val="32"/>
          <w:highlight w:val="none"/>
        </w:rPr>
      </w:pPr>
      <w:bookmarkStart w:id="24"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4"/>
    </w:p>
    <w:p w14:paraId="43FE24A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5" w:name="_Toc15378460"/>
      <w:bookmarkStart w:id="26" w:name="_Toc15377213"/>
      <w:bookmarkStart w:id="27"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129.15</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25"/>
      <w:bookmarkEnd w:id="26"/>
      <w:bookmarkEnd w:id="27"/>
    </w:p>
    <w:p w14:paraId="1BEF79C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1.社会保障和就业支出（208）行政事业单位养老支出（05）机关事业单位基本养老保险缴费支出（05）:支出决算</w:t>
      </w:r>
      <w:r>
        <w:rPr>
          <w:rFonts w:hint="eastAsia" w:ascii="仿宋" w:hAnsi="仿宋" w:eastAsia="仿宋" w:cs="仿宋"/>
          <w:color w:val="000000"/>
          <w:sz w:val="32"/>
          <w:szCs w:val="32"/>
          <w:lang w:val="en-US" w:eastAsia="zh-CN"/>
        </w:rPr>
        <w:t>11.02</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2.社会保障和就业支出（208）行政事业单位养老支出（05）机关事业单位职业年金缴费支出（06）:支出决算</w:t>
      </w:r>
      <w:r>
        <w:rPr>
          <w:rFonts w:hint="eastAsia" w:ascii="仿宋" w:hAnsi="仿宋" w:eastAsia="仿宋" w:cs="仿宋"/>
          <w:color w:val="000000"/>
          <w:sz w:val="32"/>
          <w:szCs w:val="32"/>
          <w:lang w:val="en-US" w:eastAsia="zh-CN"/>
        </w:rPr>
        <w:t>5.51</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lang w:val="en-US" w:eastAsia="zh-CN"/>
        </w:rPr>
        <w:t xml:space="preserve">   </w:t>
      </w:r>
      <w:r>
        <w:rPr>
          <w:rFonts w:hint="eastAsia" w:ascii="Times New Roman" w:hAnsi="Times New Roman" w:eastAsia="仿宋_GB2312" w:cs="仿宋_GB2312"/>
          <w:color w:val="auto"/>
          <w:kern w:val="2"/>
          <w:sz w:val="32"/>
          <w:szCs w:val="32"/>
          <w:highlight w:val="none"/>
          <w:lang w:val="en-US" w:eastAsia="zh-CN" w:bidi="ar-SA"/>
        </w:rPr>
        <w:t>3.</w:t>
      </w:r>
      <w:r>
        <w:rPr>
          <w:rFonts w:hint="eastAsia" w:ascii="仿宋" w:hAnsi="仿宋" w:eastAsia="仿宋" w:cs="仿宋"/>
          <w:color w:val="000000"/>
          <w:sz w:val="32"/>
          <w:szCs w:val="32"/>
        </w:rPr>
        <w:t>卫生健康支出（210）公共卫生（0</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基层医疗机构卫生</w:t>
      </w:r>
      <w:r>
        <w:rPr>
          <w:rFonts w:hint="eastAsia" w:ascii="仿宋" w:hAnsi="仿宋" w:eastAsia="仿宋" w:cs="仿宋"/>
          <w:color w:val="000000"/>
          <w:sz w:val="32"/>
          <w:szCs w:val="32"/>
        </w:rPr>
        <w:t>（0</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）:支出决算</w:t>
      </w:r>
      <w:r>
        <w:rPr>
          <w:rFonts w:hint="eastAsia" w:ascii="仿宋" w:hAnsi="仿宋" w:eastAsia="仿宋" w:cs="仿宋"/>
          <w:color w:val="000000"/>
          <w:sz w:val="32"/>
          <w:szCs w:val="32"/>
          <w:lang w:val="en-US" w:eastAsia="zh-CN"/>
        </w:rPr>
        <w:t>90.61</w:t>
      </w:r>
      <w:r>
        <w:rPr>
          <w:rFonts w:hint="eastAsia" w:ascii="仿宋" w:hAnsi="仿宋" w:eastAsia="仿宋" w:cs="仿宋"/>
          <w:color w:val="000000"/>
          <w:sz w:val="32"/>
          <w:szCs w:val="32"/>
        </w:rPr>
        <w:t>万元，完成预算100%。</w:t>
      </w:r>
    </w:p>
    <w:p w14:paraId="4E2DED83">
      <w:pPr>
        <w:spacing w:line="600" w:lineRule="exact"/>
        <w:ind w:firstLine="320" w:firstLineChars="100"/>
        <w:rPr>
          <w:rFonts w:hint="eastAsia" w:ascii="仿宋" w:hAnsi="仿宋" w:eastAsia="仿宋" w:cs="仿宋"/>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4.</w:t>
      </w:r>
      <w:r>
        <w:rPr>
          <w:rFonts w:hint="eastAsia" w:ascii="仿宋" w:hAnsi="仿宋" w:eastAsia="仿宋" w:cs="仿宋"/>
          <w:color w:val="000000"/>
          <w:sz w:val="32"/>
          <w:szCs w:val="32"/>
        </w:rPr>
        <w:t>卫生健康支出（210）公共卫生（0</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）基本公共卫生服务（0</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）:支出决算</w:t>
      </w:r>
      <w:r>
        <w:rPr>
          <w:rFonts w:hint="eastAsia" w:ascii="仿宋" w:hAnsi="仿宋" w:eastAsia="仿宋" w:cs="仿宋"/>
          <w:color w:val="000000"/>
          <w:sz w:val="32"/>
          <w:szCs w:val="32"/>
          <w:lang w:val="en-US" w:eastAsia="zh-CN"/>
        </w:rPr>
        <w:t>4.67</w:t>
      </w:r>
      <w:r>
        <w:rPr>
          <w:rFonts w:hint="eastAsia" w:ascii="仿宋" w:hAnsi="仿宋" w:eastAsia="仿宋" w:cs="仿宋"/>
          <w:color w:val="000000"/>
          <w:sz w:val="32"/>
          <w:szCs w:val="32"/>
        </w:rPr>
        <w:t>万元，完成预算100%。</w:t>
      </w:r>
    </w:p>
    <w:p w14:paraId="7F24A7AA">
      <w:pPr>
        <w:spacing w:line="600" w:lineRule="exact"/>
        <w:ind w:firstLine="640"/>
        <w:rPr>
          <w:rFonts w:hint="eastAsia" w:ascii="仿宋" w:hAnsi="仿宋" w:eastAsia="仿宋" w:cs="仿宋"/>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5.</w:t>
      </w:r>
      <w:r>
        <w:rPr>
          <w:rFonts w:hint="eastAsia" w:ascii="仿宋" w:hAnsi="仿宋" w:eastAsia="仿宋" w:cs="仿宋"/>
          <w:color w:val="000000"/>
          <w:sz w:val="32"/>
          <w:szCs w:val="32"/>
        </w:rPr>
        <w:t>卫生健康支出（210）行政事业单位医疗（11）事业单位医疗（02）:支出决算</w:t>
      </w:r>
      <w:r>
        <w:rPr>
          <w:rFonts w:hint="eastAsia" w:ascii="仿宋" w:hAnsi="仿宋" w:eastAsia="仿宋" w:cs="仿宋"/>
          <w:color w:val="000000"/>
          <w:sz w:val="32"/>
          <w:szCs w:val="32"/>
          <w:lang w:val="en-US" w:eastAsia="zh-CN"/>
        </w:rPr>
        <w:t>5.95</w:t>
      </w:r>
      <w:r>
        <w:rPr>
          <w:rFonts w:hint="eastAsia" w:ascii="仿宋" w:hAnsi="仿宋" w:eastAsia="仿宋" w:cs="仿宋"/>
          <w:color w:val="000000"/>
          <w:sz w:val="32"/>
          <w:szCs w:val="32"/>
        </w:rPr>
        <w:t>万元，完成预算100%。</w:t>
      </w:r>
    </w:p>
    <w:p w14:paraId="4FF0C62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.卫生健康支出（210）其他卫生健康支出（</w:t>
      </w: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）其他卫生健康支出（99）:支出决算</w:t>
      </w:r>
      <w:r>
        <w:rPr>
          <w:rFonts w:hint="eastAsia" w:ascii="仿宋" w:hAnsi="仿宋" w:eastAsia="仿宋" w:cs="仿宋"/>
          <w:color w:val="000000"/>
          <w:sz w:val="32"/>
          <w:szCs w:val="32"/>
          <w:lang w:val="en-US" w:eastAsia="zh-CN"/>
        </w:rPr>
        <w:t>1.11</w:t>
      </w:r>
      <w:r>
        <w:rPr>
          <w:rFonts w:hint="eastAsia" w:ascii="仿宋" w:hAnsi="仿宋" w:eastAsia="仿宋" w:cs="仿宋"/>
          <w:color w:val="000000"/>
          <w:sz w:val="32"/>
          <w:szCs w:val="32"/>
        </w:rPr>
        <w:t>万元，完成预算100%。</w:t>
      </w:r>
    </w:p>
    <w:p w14:paraId="692F4B22">
      <w:pPr>
        <w:pStyle w:val="8"/>
        <w:ind w:left="0" w:leftChars="0" w:firstLine="320" w:firstLineChars="1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住房保障支出（221）住房改革支出（02）住房公积金（01）:支出决算</w:t>
      </w:r>
      <w:r>
        <w:rPr>
          <w:rFonts w:hint="eastAsia" w:ascii="仿宋" w:hAnsi="仿宋" w:eastAsia="仿宋" w:cs="仿宋"/>
          <w:color w:val="000000"/>
          <w:sz w:val="32"/>
          <w:szCs w:val="32"/>
          <w:lang w:val="en-US" w:eastAsia="zh-CN"/>
        </w:rPr>
        <w:t>10.28</w:t>
      </w:r>
      <w:r>
        <w:rPr>
          <w:rFonts w:hint="eastAsia" w:ascii="仿宋" w:hAnsi="仿宋" w:eastAsia="仿宋" w:cs="仿宋"/>
          <w:color w:val="000000"/>
          <w:sz w:val="32"/>
          <w:szCs w:val="32"/>
        </w:rPr>
        <w:t>万元，完成预算100%。</w:t>
      </w:r>
    </w:p>
    <w:p w14:paraId="061819A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14:paraId="44DD4F1C">
      <w:pPr>
        <w:tabs>
          <w:tab w:val="right" w:pos="8306"/>
        </w:tabs>
        <w:spacing w:line="600" w:lineRule="exact"/>
        <w:ind w:firstLine="640"/>
        <w:outlineLvl w:val="1"/>
        <w:rPr>
          <w:rStyle w:val="31"/>
          <w:rFonts w:ascii="Times New Roman" w:hAnsi="Times New Roman"/>
          <w:color w:val="auto"/>
          <w:highlight w:val="none"/>
        </w:rPr>
      </w:pPr>
      <w:bookmarkStart w:id="28" w:name="_Toc15396608"/>
      <w:bookmarkStart w:id="29" w:name="_Toc15377214"/>
      <w:r>
        <w:rPr>
          <w:rFonts w:hint="eastAsia" w:ascii="Times New Roman" w:hAnsi="Times New Roman" w:eastAsia="黑体" w:cstheme="majorBidi"/>
          <w:b/>
          <w:bCs w:val="0"/>
          <w:color w:val="auto"/>
          <w:kern w:val="2"/>
          <w:sz w:val="32"/>
          <w:szCs w:val="32"/>
          <w:lang w:val="en-US" w:eastAsia="zh-CN" w:bidi="ar-SA"/>
        </w:rPr>
        <w:t>六、一般公共预算财政拨款基本支出决算情况说明</w:t>
      </w:r>
      <w:bookmarkEnd w:id="28"/>
      <w:bookmarkEnd w:id="29"/>
      <w:r>
        <w:rPr>
          <w:rFonts w:hint="eastAsia" w:ascii="Times New Roman" w:hAnsi="Times New Roman" w:eastAsia="黑体" w:cstheme="majorBidi"/>
          <w:b/>
          <w:bCs w:val="0"/>
          <w:color w:val="auto"/>
          <w:kern w:val="2"/>
          <w:sz w:val="32"/>
          <w:szCs w:val="32"/>
          <w:lang w:val="en-US" w:eastAsia="zh-CN" w:bidi="ar-SA"/>
        </w:rPr>
        <w:tab/>
      </w:r>
    </w:p>
    <w:p w14:paraId="41AEF36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124.48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6885BD5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123.6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0.88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元，主要包括：工会经费</w:t>
      </w:r>
      <w:r>
        <w:rPr>
          <w:rFonts w:hint="eastAsia" w:eastAsia="仿宋_GB2312" w:cs="仿宋_GB2312"/>
          <w:color w:val="auto"/>
          <w:kern w:val="2"/>
          <w:sz w:val="32"/>
          <w:szCs w:val="32"/>
          <w:highlight w:val="none"/>
          <w:lang w:val="en-US" w:eastAsia="zh-CN" w:bidi="ar-SA"/>
        </w:rPr>
        <w:t>0.88万元</w:t>
      </w:r>
      <w:r>
        <w:rPr>
          <w:rFonts w:hint="eastAsia" w:ascii="Times New Roman" w:hAnsi="Times New Roman" w:eastAsia="仿宋_GB2312" w:cs="仿宋_GB2312"/>
          <w:color w:val="auto"/>
          <w:kern w:val="2"/>
          <w:sz w:val="32"/>
          <w:szCs w:val="32"/>
          <w:highlight w:val="none"/>
          <w:lang w:val="en-US" w:eastAsia="zh-CN" w:bidi="ar-SA"/>
        </w:rPr>
        <w:t>。</w:t>
      </w:r>
    </w:p>
    <w:p w14:paraId="4BCFA78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0D9D45F9">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30" w:name="_Toc15377215"/>
      <w:bookmarkStart w:id="31" w:name="_Toc15396609"/>
      <w:r>
        <w:rPr>
          <w:rFonts w:hint="eastAsia" w:ascii="Times New Roman" w:hAnsi="Times New Roman" w:eastAsia="黑体" w:cstheme="majorBidi"/>
          <w:b/>
          <w:bCs w:val="0"/>
          <w:color w:val="auto"/>
          <w:kern w:val="2"/>
          <w:sz w:val="32"/>
          <w:szCs w:val="32"/>
          <w:lang w:val="en-US" w:eastAsia="zh-CN" w:bidi="ar-SA"/>
        </w:rPr>
        <w:t>七、财政拨款“三公”经费支出决算情况说明</w:t>
      </w:r>
      <w:bookmarkEnd w:id="30"/>
      <w:bookmarkEnd w:id="31"/>
    </w:p>
    <w:p w14:paraId="341AEE9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2"/>
    </w:p>
    <w:p w14:paraId="25BF4CE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较上年度增加/减少**万元，增长/下降**%。决算数小于预算数（或与预算数持平）的主要原因是……</w:t>
      </w:r>
    </w:p>
    <w:p w14:paraId="7BE497AB">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33889A3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3"/>
    </w:p>
    <w:p w14:paraId="7620C98D">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万元，占**%；公务用车购置及运行维护费支出决算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万元，占**%。具体情况如下：</w:t>
      </w:r>
    </w:p>
    <w:p w14:paraId="2E668A9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6F9398E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1.因公出国（境）经费支出**万元，完成预算**%。</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。因公出国（境）支出决算比2023年增加/减少**万元，增长/下降**%。主要原因是……</w:t>
      </w:r>
    </w:p>
    <w:p w14:paraId="533198C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开支内容包括：……（团组名称、出访地点、取得成效等）</w:t>
      </w:r>
    </w:p>
    <w:p w14:paraId="5214FA9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公务用车购置及运行维护费支出决算比2023年度增加/减少**万元，增长/下降**%。主要原因是……</w:t>
      </w:r>
    </w:p>
    <w:p w14:paraId="6C63EAD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辆，其中：轿车**辆、金额**万元，越野车**辆、金额**万元，载客汽车**辆、金额**万元，主要用于……。截至2024年12月31日，单位共有公务用车**辆，其中：轿车**辆、越野车**辆、载客汽车**辆。</w:t>
      </w:r>
    </w:p>
    <w:p w14:paraId="26134A0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万元。主要用于……（具体工作）所需的公务用车燃料费、维修费、过路过桥费、保险费等支出。</w:t>
      </w:r>
    </w:p>
    <w:p w14:paraId="4964C29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公务接待费支出决算比2023年度增加/减少**万元，增长/下降**%。主要原因是……。其中：</w:t>
      </w:r>
    </w:p>
    <w:p w14:paraId="23BC39C9">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元，主要用于……(执行公务、开展业务活动开支的交通费、住宿费、用餐费等)。国内公务接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人次（不包括陪同人员），共计支出**万元，具体内容包括：……（接待具体项目、金额）。</w:t>
      </w:r>
    </w:p>
    <w:p w14:paraId="2F411C6A">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万元，主要用于……（具体项目）。外事接待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人次（不包括陪同人员），共计支出**万</w:t>
      </w:r>
      <w:r>
        <w:rPr>
          <w:rFonts w:hint="eastAsia" w:ascii="Times New Roman" w:hAnsi="Times New Roman" w:eastAsia="仿宋_GB2312" w:cs="仿宋_GB2312"/>
          <w:color w:val="auto"/>
          <w:kern w:val="2"/>
          <w:sz w:val="32"/>
          <w:szCs w:val="32"/>
          <w:highlight w:val="none"/>
          <w:lang w:val="en-US" w:eastAsia="zh-CN" w:bidi="ar-SA"/>
        </w:rPr>
        <w:t>元。</w:t>
      </w:r>
      <w:bookmarkStart w:id="34" w:name="_Toc15396610"/>
      <w:bookmarkStart w:id="35" w:name="_Toc15377218"/>
    </w:p>
    <w:p w14:paraId="260A03EF">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八、政府性基金预算支出决算情况说明</w:t>
      </w:r>
      <w:bookmarkEnd w:id="34"/>
      <w:bookmarkEnd w:id="35"/>
    </w:p>
    <w:p w14:paraId="0AFF7DED">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14:paraId="15089F62">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36" w:name="_Toc15377219"/>
      <w:bookmarkStart w:id="37" w:name="_Toc15396611"/>
      <w:r>
        <w:rPr>
          <w:rFonts w:hint="eastAsia" w:ascii="Times New Roman" w:hAnsi="Times New Roman" w:eastAsia="黑体" w:cstheme="majorBidi"/>
          <w:b/>
          <w:bCs w:val="0"/>
          <w:color w:val="auto"/>
          <w:kern w:val="2"/>
          <w:sz w:val="32"/>
          <w:szCs w:val="32"/>
          <w:lang w:val="en-US" w:eastAsia="zh-CN" w:bidi="ar-SA"/>
        </w:rPr>
        <w:t>九、国有资本经营预算支出决算情况说明</w:t>
      </w:r>
      <w:bookmarkEnd w:id="36"/>
      <w:bookmarkEnd w:id="37"/>
    </w:p>
    <w:p w14:paraId="46136E7E">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14:paraId="40955FF3">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38" w:name="_Toc15396612"/>
      <w:bookmarkStart w:id="39" w:name="_Toc15377221"/>
      <w:r>
        <w:rPr>
          <w:rFonts w:hint="eastAsia" w:ascii="Times New Roman" w:hAnsi="Times New Roman" w:eastAsia="黑体" w:cstheme="majorBidi"/>
          <w:b/>
          <w:bCs w:val="0"/>
          <w:color w:val="auto"/>
          <w:kern w:val="2"/>
          <w:sz w:val="32"/>
          <w:szCs w:val="32"/>
          <w:lang w:val="en-US" w:eastAsia="zh-CN" w:bidi="ar-SA"/>
        </w:rPr>
        <w:t>十、其他重要事项的情况说明</w:t>
      </w:r>
      <w:bookmarkEnd w:id="38"/>
      <w:bookmarkEnd w:id="39"/>
    </w:p>
    <w:p w14:paraId="1E64D68A">
      <w:pPr>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0" w:name="_Toc15377222"/>
      <w:r>
        <w:rPr>
          <w:rFonts w:hint="eastAsia" w:ascii="Times New Roman" w:hAnsi="Times New Roman" w:eastAsia="楷体_GB2312" w:cs="楷体_GB2312"/>
          <w:b/>
          <w:color w:val="auto"/>
          <w:sz w:val="32"/>
          <w:szCs w:val="32"/>
          <w:highlight w:val="none"/>
        </w:rPr>
        <w:t>（一）机关运行经费支出情况</w:t>
      </w:r>
      <w:bookmarkEnd w:id="40"/>
    </w:p>
    <w:p w14:paraId="6ECE2839">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红原县邛溪镇社区卫生服务中心</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元，比2023年度增加/减少**万元，增长/下降**%（或与2023年度决算数持平）。主要原因是……</w:t>
      </w:r>
    </w:p>
    <w:p w14:paraId="361EC881">
      <w:pPr>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1" w:name="_Toc15377223"/>
      <w:r>
        <w:rPr>
          <w:rFonts w:hint="eastAsia" w:ascii="Times New Roman" w:hAnsi="Times New Roman" w:eastAsia="楷体_GB2312" w:cs="楷体_GB2312"/>
          <w:b/>
          <w:color w:val="auto"/>
          <w:sz w:val="32"/>
          <w:szCs w:val="32"/>
          <w:highlight w:val="none"/>
        </w:rPr>
        <w:t>（二）政府采购支出情况</w:t>
      </w:r>
      <w:bookmarkEnd w:id="41"/>
    </w:p>
    <w:p w14:paraId="1ECA448E">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红原县邛溪镇社区卫生服务中心</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万元。主要用于……（具体工作）。授予中小企业合同金额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398B5003">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2" w:name="_Toc15377224"/>
      <w:r>
        <w:rPr>
          <w:rFonts w:hint="eastAsia" w:ascii="Times New Roman" w:hAnsi="Times New Roman" w:eastAsia="楷体_GB2312" w:cs="楷体_GB2312"/>
          <w:b/>
          <w:color w:val="auto"/>
          <w:sz w:val="32"/>
          <w:szCs w:val="32"/>
          <w:highlight w:val="none"/>
        </w:rPr>
        <w:t>（三）国有资产占有使用情况</w:t>
      </w:r>
      <w:bookmarkEnd w:id="42"/>
    </w:p>
    <w:p w14:paraId="0964C671">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红原县邛溪镇社区卫生服务中心</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辆，其他用车主要是用于……。单价100万元（含）以上设备（不含车辆）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4846901D">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2D498E6C">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根据预算绩效管理要求，本单位在年初预算编制阶段，组织对1个项目（项目：基本公共卫生）开展了预算事前绩效评估，对1个项目编制了绩效目标，预算执行过程中，选取1个项目开展绩效监控，年终执行完毕后，对1个项目开展了绩效目标完成情况自评。</w:t>
      </w:r>
    </w:p>
    <w:p w14:paraId="2FEC668F">
      <w:pPr>
        <w:keepNext w:val="0"/>
        <w:keepLines w:val="0"/>
        <w:widowControl/>
        <w:suppressLineNumbers w:val="0"/>
        <w:jc w:val="center"/>
        <w:textAlignment w:val="center"/>
        <w:rPr>
          <w:rFonts w:hint="eastAsia" w:ascii="方正小标宋简体" w:hAnsi="方正小标宋简体" w:eastAsia="方正小标宋简体" w:cs="方正小标宋简体"/>
          <w:b w:val="0"/>
          <w:bCs/>
          <w:i w:val="0"/>
          <w:color w:val="000000"/>
          <w:kern w:val="0"/>
          <w:sz w:val="44"/>
          <w:szCs w:val="44"/>
          <w:u w:val="none"/>
          <w:lang w:val="en-US" w:eastAsia="zh-CN" w:bidi="ar"/>
        </w:rPr>
      </w:pPr>
    </w:p>
    <w:p w14:paraId="3FFEDF4E">
      <w:pPr>
        <w:keepNext w:val="0"/>
        <w:keepLines w:val="0"/>
        <w:widowControl/>
        <w:suppressLineNumbers w:val="0"/>
        <w:jc w:val="center"/>
        <w:textAlignment w:val="center"/>
        <w:rPr>
          <w:rFonts w:hint="eastAsia" w:ascii="方正小标宋简体" w:hAnsi="方正小标宋简体" w:eastAsia="方正小标宋简体" w:cs="方正小标宋简体"/>
          <w:b w:val="0"/>
          <w:bCs/>
          <w:i w:val="0"/>
          <w:color w:val="000000"/>
          <w:kern w:val="0"/>
          <w:sz w:val="44"/>
          <w:szCs w:val="44"/>
          <w:u w:val="none"/>
          <w:lang w:val="en-US" w:eastAsia="zh-CN" w:bidi="ar"/>
        </w:rPr>
      </w:pPr>
    </w:p>
    <w:p w14:paraId="2415B483">
      <w:pPr>
        <w:keepNext w:val="0"/>
        <w:keepLines w:val="0"/>
        <w:widowControl/>
        <w:suppressLineNumbers w:val="0"/>
        <w:jc w:val="center"/>
        <w:textAlignment w:val="center"/>
        <w:rPr>
          <w:rFonts w:hint="eastAsia" w:ascii="方正小标宋简体" w:hAnsi="方正小标宋简体" w:eastAsia="方正小标宋简体" w:cs="方正小标宋简体"/>
          <w:b w:val="0"/>
          <w:bCs/>
          <w:i w:val="0"/>
          <w:color w:val="000000"/>
          <w:kern w:val="0"/>
          <w:sz w:val="44"/>
          <w:szCs w:val="44"/>
          <w:u w:val="none"/>
          <w:lang w:val="en-US" w:eastAsia="zh-CN" w:bidi="ar"/>
        </w:rPr>
      </w:pPr>
    </w:p>
    <w:p w14:paraId="383961D9">
      <w:pPr>
        <w:keepNext w:val="0"/>
        <w:keepLines w:val="0"/>
        <w:widowControl/>
        <w:suppressLineNumbers w:val="0"/>
        <w:jc w:val="center"/>
        <w:textAlignment w:val="center"/>
        <w:rPr>
          <w:rFonts w:hint="eastAsia" w:ascii="方正小标宋简体" w:hAnsi="方正小标宋简体" w:eastAsia="方正小标宋简体" w:cs="方正小标宋简体"/>
          <w:b w:val="0"/>
          <w:bCs/>
          <w:i w:val="0"/>
          <w:color w:val="000000"/>
          <w:kern w:val="0"/>
          <w:sz w:val="44"/>
          <w:szCs w:val="44"/>
          <w:u w:val="none"/>
          <w:lang w:val="en-US" w:eastAsia="zh-CN" w:bidi="ar"/>
        </w:rPr>
      </w:pPr>
    </w:p>
    <w:p w14:paraId="43430822">
      <w:pPr>
        <w:keepNext w:val="0"/>
        <w:keepLines w:val="0"/>
        <w:widowControl/>
        <w:suppressLineNumbers w:val="0"/>
        <w:jc w:val="center"/>
        <w:textAlignment w:val="center"/>
        <w:rPr>
          <w:rFonts w:hint="eastAsia" w:ascii="方正小标宋简体" w:hAnsi="方正小标宋简体" w:eastAsia="方正小标宋简体" w:cs="方正小标宋简体"/>
          <w:b w:val="0"/>
          <w:bCs/>
          <w:i w:val="0"/>
          <w:color w:val="000000"/>
          <w:kern w:val="0"/>
          <w:sz w:val="44"/>
          <w:szCs w:val="44"/>
          <w:u w:val="none"/>
          <w:lang w:val="en-US" w:eastAsia="zh-CN" w:bidi="ar"/>
        </w:rPr>
      </w:pPr>
    </w:p>
    <w:p w14:paraId="5F37CE1D">
      <w:pPr>
        <w:keepNext w:val="0"/>
        <w:keepLines w:val="0"/>
        <w:widowControl/>
        <w:suppressLineNumbers w:val="0"/>
        <w:jc w:val="center"/>
        <w:textAlignment w:val="center"/>
        <w:rPr>
          <w:rFonts w:hint="eastAsia" w:ascii="方正小标宋简体" w:hAnsi="方正小标宋简体" w:eastAsia="方正小标宋简体" w:cs="方正小标宋简体"/>
          <w:b w:val="0"/>
          <w:bCs/>
          <w:i w:val="0"/>
          <w:color w:val="000000"/>
          <w:kern w:val="0"/>
          <w:sz w:val="44"/>
          <w:szCs w:val="44"/>
          <w:u w:val="none"/>
          <w:lang w:val="en-US" w:eastAsia="zh-CN" w:bidi="ar"/>
        </w:rPr>
      </w:pPr>
      <w:r>
        <w:rPr>
          <w:rFonts w:hint="eastAsia" w:ascii="方正小标宋简体" w:hAnsi="方正小标宋简体" w:eastAsia="方正小标宋简体" w:cs="方正小标宋简体"/>
          <w:b w:val="0"/>
          <w:bCs/>
          <w:i w:val="0"/>
          <w:color w:val="000000"/>
          <w:kern w:val="0"/>
          <w:sz w:val="44"/>
          <w:szCs w:val="44"/>
          <w:u w:val="none"/>
          <w:lang w:val="en-US" w:eastAsia="zh-CN" w:bidi="ar"/>
        </w:rPr>
        <w:t>部门预算项目绩效目标表（2025年度）</w:t>
      </w:r>
    </w:p>
    <w:p w14:paraId="6B3BBD3F">
      <w:pPr>
        <w:pStyle w:val="2"/>
        <w:ind w:firstLine="6720" w:firstLineChars="2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i w:val="0"/>
          <w:color w:val="000000"/>
          <w:kern w:val="0"/>
          <w:sz w:val="32"/>
          <w:szCs w:val="32"/>
          <w:u w:val="none"/>
          <w:lang w:val="en-US" w:eastAsia="zh-CN" w:bidi="ar"/>
        </w:rPr>
        <w:t>金额：万元</w:t>
      </w:r>
    </w:p>
    <w:tbl>
      <w:tblPr>
        <w:tblStyle w:val="17"/>
        <w:tblW w:w="9357" w:type="dxa"/>
        <w:tblInd w:w="-5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94"/>
        <w:gridCol w:w="930"/>
        <w:gridCol w:w="585"/>
        <w:gridCol w:w="1290"/>
        <w:gridCol w:w="585"/>
        <w:gridCol w:w="1200"/>
        <w:gridCol w:w="1110"/>
        <w:gridCol w:w="435"/>
        <w:gridCol w:w="420"/>
        <w:gridCol w:w="510"/>
        <w:gridCol w:w="495"/>
        <w:gridCol w:w="703"/>
      </w:tblGrid>
      <w:tr w14:paraId="6259C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92" w:hRule="atLeast"/>
        </w:trPr>
        <w:tc>
          <w:tcPr>
            <w:tcW w:w="109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B0CAC3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单位名称</w:t>
            </w:r>
          </w:p>
        </w:tc>
        <w:tc>
          <w:tcPr>
            <w:tcW w:w="93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A6EF8A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58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CFF7E0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预算数</w:t>
            </w:r>
          </w:p>
        </w:tc>
        <w:tc>
          <w:tcPr>
            <w:tcW w:w="129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B4AD76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年度目标</w:t>
            </w:r>
          </w:p>
        </w:tc>
        <w:tc>
          <w:tcPr>
            <w:tcW w:w="58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A5EEDF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20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4B1EA6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11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2EB337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3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A22A58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指标性质</w:t>
            </w:r>
          </w:p>
        </w:tc>
        <w:tc>
          <w:tcPr>
            <w:tcW w:w="42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8D781B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51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DACF37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度量单位</w:t>
            </w:r>
          </w:p>
        </w:tc>
        <w:tc>
          <w:tcPr>
            <w:tcW w:w="49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ED8FE1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权重</w:t>
            </w:r>
          </w:p>
        </w:tc>
        <w:tc>
          <w:tcPr>
            <w:tcW w:w="703"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EF00EC7">
            <w:pPr>
              <w:keepNext w:val="0"/>
              <w:keepLines w:val="0"/>
              <w:widowControl/>
              <w:suppressLineNumbers w:val="0"/>
              <w:jc w:val="center"/>
              <w:textAlignment w:val="center"/>
              <w:rPr>
                <w:rFonts w:hint="eastAsia" w:ascii="宋体" w:hAnsi="宋体" w:eastAsia="宋体" w:cs="宋体"/>
                <w:b w:val="0"/>
                <w:bCs/>
                <w:i w:val="0"/>
                <w:color w:val="000000"/>
                <w:sz w:val="18"/>
                <w:szCs w:val="18"/>
                <w:u w:val="none"/>
              </w:rPr>
            </w:pPr>
            <w:r>
              <w:rPr>
                <w:rFonts w:hint="eastAsia" w:ascii="宋体" w:hAnsi="宋体" w:eastAsia="宋体" w:cs="宋体"/>
                <w:b w:val="0"/>
                <w:bCs/>
                <w:i w:val="0"/>
                <w:color w:val="000000"/>
                <w:kern w:val="0"/>
                <w:sz w:val="18"/>
                <w:szCs w:val="18"/>
                <w:u w:val="none"/>
                <w:lang w:val="en-US" w:eastAsia="zh-CN" w:bidi="ar"/>
              </w:rPr>
              <w:t>指标方向性</w:t>
            </w:r>
          </w:p>
        </w:tc>
      </w:tr>
      <w:tr w14:paraId="139F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9" w:hRule="atLeast"/>
        </w:trPr>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AA9E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122-红原县卫生健康局</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A199">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F257">
            <w:pPr>
              <w:keepNext w:val="0"/>
              <w:keepLines w:val="0"/>
              <w:pageBreakBefore w:val="0"/>
              <w:widowControl/>
              <w:suppressLineNumbers w:val="0"/>
              <w:kinsoku/>
              <w:wordWrap/>
              <w:overflowPunct/>
              <w:topLinePunct w:val="0"/>
              <w:autoSpaceDE/>
              <w:autoSpaceDN/>
              <w:bidi w:val="0"/>
              <w:adjustRightInd w:val="0"/>
              <w:snapToGrid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F8441">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F37B3">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56BA4">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B04D5">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A4E4">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0B4CA">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4611">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2E934">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A4260">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r>
      <w:tr w14:paraId="521CF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5" w:hRule="atLeast"/>
        </w:trPr>
        <w:tc>
          <w:tcPr>
            <w:tcW w:w="1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97DA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122019-红原县邛溪镇社区卫生服务中心</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75D34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县级配套基本公共卫生</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CD984">
            <w:pPr>
              <w:keepNext w:val="0"/>
              <w:keepLines w:val="0"/>
              <w:pageBreakBefore w:val="0"/>
              <w:widowControl/>
              <w:suppressLineNumbers w:val="0"/>
              <w:kinsoku/>
              <w:wordWrap/>
              <w:overflowPunct/>
              <w:topLinePunct w:val="0"/>
              <w:autoSpaceDE/>
              <w:autoSpaceDN/>
              <w:bidi w:val="0"/>
              <w:adjustRightInd w:val="0"/>
              <w:snapToGrid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4.34</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ECC4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乡镇卫生院开展基本公共卫生服务，包括建立居民健康档案，预防接种、传染病防治、高血压糖尿病等慢性病管理重型精神病管理、儿童保健、孕产妇保健、老年人保健；协助处置突发公共卫生事件。开展基本公共卫生服产生的办公费，邮电费等支出。</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2DAC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104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844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基层群众满意度</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4AF3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F29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0DF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410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E96C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47A62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8" w:hRule="atLeast"/>
        </w:trPr>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582E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78218">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5D5AC">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F764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DE1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成本</w:t>
            </w:r>
          </w:p>
          <w:p w14:paraId="36B4E67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8C9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BD82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基本公共卫生服务县级配套项目成本</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6E5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5DAB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5.159385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86A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F1F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0A00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521D8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5" w:hRule="atLeast"/>
        </w:trPr>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61766">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0A73E">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E333E">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17B4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57C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73C69D1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17A6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6F7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老年人中医药健康管理率</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0F5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F4F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D005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F6B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5799">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19587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0" w:hRule="atLeast"/>
        </w:trPr>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E9507">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F820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ADE0D">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9C158">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4A5D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46756E1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203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41A1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居民电子健康档案管理人数</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E1E6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0625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7445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9E7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1E23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6A89">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4513B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5" w:hRule="atLeast"/>
        </w:trPr>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4C08E">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7490E">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7A8DB">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58D67">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8794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5FD53AA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C81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8F1C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严重精神障碍患者随访人次</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01B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738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C50A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人次</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EA7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26DB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1ECC3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8" w:hRule="atLeast"/>
        </w:trPr>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5D5F1">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42970">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6EA77">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8DCB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677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457A330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76E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49B2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65岁及以上居民健康管理人数</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C0D6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D3C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C9B2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644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5D14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32B8E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7" w:hRule="atLeast"/>
        </w:trPr>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DA54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5E0A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CA9C2">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7B64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1C4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w:t>
            </w:r>
          </w:p>
          <w:p w14:paraId="72170AE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2D7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9BA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提高公共卫生服务均等化水平</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FC8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12D6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优良中</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BA9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0501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4B2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bl>
    <w:p w14:paraId="6BD850CD">
      <w:pPr>
        <w:spacing w:line="600" w:lineRule="exact"/>
        <w:ind w:firstLine="643" w:firstLineChars="20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如不涉及，可根据实际修改表述。）</w:t>
      </w:r>
    </w:p>
    <w:p w14:paraId="491CC32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86E663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9E13FFF">
      <w:pPr>
        <w:pStyle w:val="2"/>
        <w:rPr>
          <w:rFonts w:hint="eastAsia" w:ascii="Times New Roman" w:hAnsi="Times New Roman" w:eastAsia="仿宋_GB2312" w:cs="仿宋_GB2312"/>
          <w:color w:val="auto"/>
          <w:kern w:val="2"/>
          <w:sz w:val="32"/>
          <w:szCs w:val="32"/>
          <w:highlight w:val="none"/>
          <w:lang w:val="en-US" w:eastAsia="zh-CN" w:bidi="ar-SA"/>
        </w:rPr>
      </w:pPr>
    </w:p>
    <w:p w14:paraId="5B0EC2CF">
      <w:pPr>
        <w:pStyle w:val="2"/>
        <w:rPr>
          <w:rFonts w:hint="eastAsia" w:ascii="Times New Roman" w:hAnsi="Times New Roman" w:eastAsia="仿宋_GB2312" w:cs="仿宋_GB2312"/>
          <w:color w:val="auto"/>
          <w:kern w:val="2"/>
          <w:sz w:val="32"/>
          <w:szCs w:val="32"/>
          <w:highlight w:val="none"/>
          <w:lang w:val="en-US" w:eastAsia="zh-CN" w:bidi="ar-SA"/>
        </w:rPr>
      </w:pPr>
    </w:p>
    <w:p w14:paraId="5C13C029">
      <w:pPr>
        <w:pStyle w:val="2"/>
        <w:rPr>
          <w:rFonts w:hint="eastAsia" w:ascii="Times New Roman" w:hAnsi="Times New Roman" w:eastAsia="仿宋_GB2312" w:cs="仿宋_GB2312"/>
          <w:color w:val="auto"/>
          <w:kern w:val="2"/>
          <w:sz w:val="32"/>
          <w:szCs w:val="32"/>
          <w:highlight w:val="none"/>
          <w:lang w:val="en-US" w:eastAsia="zh-CN" w:bidi="ar-SA"/>
        </w:rPr>
      </w:pPr>
    </w:p>
    <w:p w14:paraId="75706C7A">
      <w:pPr>
        <w:pStyle w:val="2"/>
        <w:rPr>
          <w:rFonts w:hint="eastAsia" w:ascii="Times New Roman" w:hAnsi="Times New Roman" w:eastAsia="仿宋_GB2312" w:cs="仿宋_GB2312"/>
          <w:color w:val="auto"/>
          <w:kern w:val="2"/>
          <w:sz w:val="32"/>
          <w:szCs w:val="32"/>
          <w:highlight w:val="none"/>
          <w:lang w:val="en-US" w:eastAsia="zh-CN" w:bidi="ar-SA"/>
        </w:rPr>
      </w:pPr>
    </w:p>
    <w:p w14:paraId="47D816E0">
      <w:pPr>
        <w:pStyle w:val="2"/>
        <w:rPr>
          <w:rFonts w:hint="eastAsia" w:ascii="Times New Roman" w:hAnsi="Times New Roman" w:eastAsia="仿宋_GB2312" w:cs="仿宋_GB2312"/>
          <w:color w:val="auto"/>
          <w:kern w:val="2"/>
          <w:sz w:val="32"/>
          <w:szCs w:val="32"/>
          <w:highlight w:val="none"/>
          <w:lang w:val="en-US" w:eastAsia="zh-CN" w:bidi="ar-SA"/>
        </w:rPr>
      </w:pPr>
    </w:p>
    <w:p w14:paraId="5472F31C">
      <w:pPr>
        <w:pStyle w:val="2"/>
        <w:rPr>
          <w:rFonts w:hint="eastAsia" w:ascii="Times New Roman" w:hAnsi="Times New Roman" w:eastAsia="仿宋_GB2312" w:cs="仿宋_GB2312"/>
          <w:color w:val="auto"/>
          <w:kern w:val="2"/>
          <w:sz w:val="32"/>
          <w:szCs w:val="32"/>
          <w:highlight w:val="none"/>
          <w:lang w:val="en-US" w:eastAsia="zh-CN" w:bidi="ar-SA"/>
        </w:rPr>
      </w:pPr>
    </w:p>
    <w:p w14:paraId="76B46A68">
      <w:pPr>
        <w:numPr>
          <w:ilvl w:val="0"/>
          <w:numId w:val="0"/>
        </w:numPr>
        <w:spacing w:line="600" w:lineRule="exact"/>
        <w:jc w:val="center"/>
        <w:outlineLvl w:val="0"/>
        <w:rPr>
          <w:rFonts w:hint="eastAsia" w:ascii="方正小标宋简体" w:hAnsi="方正小标宋简体" w:eastAsia="方正小标宋简体" w:cs="方正小标宋简体"/>
          <w:color w:val="auto"/>
          <w:sz w:val="44"/>
          <w:szCs w:val="44"/>
          <w:highlight w:val="none"/>
        </w:rPr>
      </w:pPr>
      <w:bookmarkStart w:id="43" w:name="_Toc15396613"/>
      <w:bookmarkStart w:id="44" w:name="_Toc15377225"/>
      <w:r>
        <w:rPr>
          <w:rFonts w:hint="eastAsia" w:ascii="方正小标宋简体" w:hAnsi="方正小标宋简体" w:eastAsia="方正小标宋简体" w:cs="方正小标宋简体"/>
          <w:color w:val="auto"/>
          <w:sz w:val="44"/>
          <w:szCs w:val="44"/>
          <w:highlight w:val="none"/>
        </w:rPr>
        <w:t>第</w:t>
      </w:r>
      <w:r>
        <w:rPr>
          <w:rFonts w:hint="eastAsia" w:ascii="方正小标宋简体" w:hAnsi="方正小标宋简体" w:eastAsia="方正小标宋简体" w:cs="方正小标宋简体"/>
          <w:color w:val="auto"/>
          <w:sz w:val="44"/>
          <w:szCs w:val="44"/>
          <w:highlight w:val="none"/>
          <w:lang w:eastAsia="zh-CN"/>
        </w:rPr>
        <w:t>三</w:t>
      </w:r>
      <w:r>
        <w:rPr>
          <w:rFonts w:hint="eastAsia" w:ascii="方正小标宋简体" w:hAnsi="方正小标宋简体" w:eastAsia="方正小标宋简体" w:cs="方正小标宋简体"/>
          <w:color w:val="auto"/>
          <w:sz w:val="44"/>
          <w:szCs w:val="44"/>
          <w:highlight w:val="none"/>
        </w:rPr>
        <w:t>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名词解释</w:t>
      </w:r>
      <w:bookmarkEnd w:id="43"/>
      <w:bookmarkEnd w:id="44"/>
    </w:p>
    <w:p w14:paraId="05A45D07">
      <w:pPr>
        <w:pStyle w:val="2"/>
        <w:keepNext w:val="0"/>
        <w:keepLines w:val="0"/>
        <w:pageBreakBefore w:val="0"/>
        <w:widowControl w:val="0"/>
        <w:kinsoku/>
        <w:wordWrap/>
        <w:overflowPunct/>
        <w:topLinePunct w:val="0"/>
        <w:autoSpaceDE/>
        <w:autoSpaceDN/>
        <w:bidi w:val="0"/>
        <w:adjustRightInd w:val="0"/>
        <w:snapToGrid w:val="0"/>
        <w:spacing w:beforeLines="0"/>
        <w:textAlignment w:val="auto"/>
      </w:pPr>
    </w:p>
    <w:p w14:paraId="676909F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40063D5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14:paraId="390B0A0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14:paraId="3FA0096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14:paraId="733E8CA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14:paraId="56215DF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516BBAE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39E2A71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3886C83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9.一般公共服务（类）……（款）……（项）：指……</w:t>
      </w:r>
    </w:p>
    <w:p w14:paraId="7B46267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10.外交（类）……（款）……（项）：指……</w:t>
      </w:r>
    </w:p>
    <w:p w14:paraId="65A2890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11.公共安全（类）……（款）……（项）：指……</w:t>
      </w:r>
    </w:p>
    <w:p w14:paraId="3D42910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12.教育（类）……（款）……（项）：指……</w:t>
      </w:r>
    </w:p>
    <w:p w14:paraId="206EC43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13.科学技术（类）……（款）……（项）：指……</w:t>
      </w:r>
    </w:p>
    <w:p w14:paraId="0B60E89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14.文化旅游体育与传媒（类）……（款）……（项）：指……</w:t>
      </w:r>
    </w:p>
    <w:p w14:paraId="21BAACF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15.社会保障和就业（类）……（款）……（项）：指……</w:t>
      </w:r>
    </w:p>
    <w:p w14:paraId="4761152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16.卫生健康（类）……（款）……（项）：指……</w:t>
      </w:r>
    </w:p>
    <w:p w14:paraId="6B093A3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17.节能环保（类）……（款）……（项）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w:t>
      </w:r>
    </w:p>
    <w:p w14:paraId="1449865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18.城乡社区（类）……（款）……（项）：指……</w:t>
      </w:r>
    </w:p>
    <w:p w14:paraId="1251264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19.农林水（类）……（款）……（项）：指……</w:t>
      </w:r>
    </w:p>
    <w:p w14:paraId="1867228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20.交通运输（类）……（款）……（项）：指……</w:t>
      </w:r>
    </w:p>
    <w:p w14:paraId="5066514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21.资源勘探工业信息等（类）……（款）……（项）：指……</w:t>
      </w:r>
    </w:p>
    <w:p w14:paraId="6F82275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22.商业服务业（类）……（款）……（项）：指……</w:t>
      </w:r>
    </w:p>
    <w:p w14:paraId="3F313B7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23.金融（类）……（款）……（项）：指……</w:t>
      </w:r>
    </w:p>
    <w:p w14:paraId="7F18F89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24.自然资源海洋气象等（类）……（款）……（项）：指……</w:t>
      </w:r>
    </w:p>
    <w:p w14:paraId="342C954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25.住房保障（类）……（款）……（项）：指……</w:t>
      </w:r>
    </w:p>
    <w:p w14:paraId="31BF7F2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26.粮油物资储备（类）……（款）……（项）：指……</w:t>
      </w:r>
    </w:p>
    <w:p w14:paraId="0BE712F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w:t>
      </w:r>
    </w:p>
    <w:p w14:paraId="17A7CDA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14:paraId="4F97D08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14:paraId="0C81BA0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14:paraId="28D66F5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14:paraId="6466D55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B5E5C5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AE823D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14:paraId="71157DC2">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14:paraId="6C06427D">
      <w:pPr>
        <w:spacing w:line="600" w:lineRule="exact"/>
        <w:jc w:val="center"/>
        <w:rPr>
          <w:rFonts w:hint="eastAsia" w:ascii="Times New Roman" w:hAnsi="Times New Roman" w:eastAsia="黑体" w:cs="黑体"/>
          <w:color w:val="FF0000"/>
          <w:sz w:val="32"/>
          <w:szCs w:val="32"/>
          <w:highlight w:val="none"/>
        </w:rPr>
      </w:pPr>
      <w:bookmarkStart w:id="45"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46" w:name="_Toc15396614"/>
      <w:r>
        <w:rPr>
          <w:rFonts w:hint="eastAsia" w:ascii="方正小标宋简体" w:hAnsi="方正小标宋简体" w:eastAsia="方正小标宋简体" w:cs="方正小标宋简体"/>
          <w:color w:val="auto"/>
          <w:sz w:val="44"/>
          <w:szCs w:val="44"/>
          <w:highlight w:val="none"/>
        </w:rPr>
        <w:t>第四部分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 xml:space="preserve"> 附件</w:t>
      </w:r>
      <w:bookmarkEnd w:id="46"/>
    </w:p>
    <w:p w14:paraId="1D5D5217">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4568DB44">
      <w:pPr>
        <w:pStyle w:val="2"/>
        <w:keepNext w:val="0"/>
        <w:keepLines w:val="0"/>
        <w:pageBreakBefore w:val="0"/>
        <w:widowControl w:val="0"/>
        <w:kinsoku/>
        <w:wordWrap/>
        <w:overflowPunct/>
        <w:topLinePunct w:val="0"/>
        <w:autoSpaceDE/>
        <w:autoSpaceDN/>
        <w:bidi w:val="0"/>
        <w:adjustRightInd w:val="0"/>
        <w:snapToGrid w:val="0"/>
        <w:spacing w:beforeLines="0"/>
        <w:textAlignment w:val="auto"/>
        <w:rPr>
          <w:rFonts w:hint="default"/>
        </w:rPr>
      </w:pPr>
    </w:p>
    <w:p w14:paraId="4750EC4F">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14:paraId="66DAE674">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b/>
          <w:bCs/>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（报告范围包括机关和下属单位）</w:t>
      </w:r>
    </w:p>
    <w:p w14:paraId="44BD9C77">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264C2693">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default" w:ascii="Times New Roman" w:hAnsi="Times New Roman" w:eastAsia="黑体" w:cstheme="majorBidi"/>
          <w:b/>
          <w:bCs w:val="0"/>
          <w:color w:val="auto"/>
          <w:kern w:val="2"/>
          <w:sz w:val="32"/>
          <w:szCs w:val="32"/>
          <w:lang w:val="zh-CN" w:eastAsia="zh-CN" w:bidi="ar-SA"/>
        </w:rPr>
      </w:pPr>
      <w:r>
        <w:rPr>
          <w:rFonts w:hint="eastAsia" w:ascii="Times New Roman" w:hAnsi="Times New Roman" w:eastAsia="黑体" w:cstheme="majorBidi"/>
          <w:b/>
          <w:bCs w:val="0"/>
          <w:color w:val="auto"/>
          <w:kern w:val="2"/>
          <w:sz w:val="32"/>
          <w:szCs w:val="32"/>
          <w:lang w:val="zh-CN" w:eastAsia="zh-CN" w:bidi="ar-SA"/>
        </w:rPr>
        <w:t>一、</w:t>
      </w:r>
      <w:r>
        <w:rPr>
          <w:rFonts w:hint="default" w:ascii="Times New Roman" w:hAnsi="Times New Roman" w:eastAsia="黑体" w:cstheme="majorBidi"/>
          <w:b/>
          <w:bCs w:val="0"/>
          <w:color w:val="auto"/>
          <w:kern w:val="2"/>
          <w:sz w:val="32"/>
          <w:szCs w:val="32"/>
          <w:lang w:val="zh-CN" w:eastAsia="zh-CN" w:bidi="ar-SA"/>
        </w:rPr>
        <w:t>部门（单位）基本情况</w:t>
      </w:r>
    </w:p>
    <w:p w14:paraId="1B35E91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sz w:val="32"/>
          <w:szCs w:val="32"/>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仿宋_GB2312" w:hAnsi="仿宋_GB2312" w:eastAsia="仿宋_GB2312" w:cs="仿宋_GB2312"/>
          <w:color w:val="000000"/>
          <w:kern w:val="0"/>
          <w:sz w:val="32"/>
          <w:szCs w:val="32"/>
          <w:lang w:val="zh-CN" w:eastAsia="zh-CN" w:bidi="ar"/>
        </w:rPr>
        <w:t>我单位为独立核算全额拨款事业单位，下设</w:t>
      </w:r>
      <w:r>
        <w:rPr>
          <w:rFonts w:hint="eastAsia" w:ascii="仿宋_GB2312" w:hAnsi="仿宋_GB2312" w:eastAsia="仿宋_GB2312" w:cs="仿宋_GB2312"/>
          <w:color w:val="000000"/>
          <w:kern w:val="0"/>
          <w:sz w:val="32"/>
          <w:szCs w:val="32"/>
          <w:lang w:val="en-US" w:eastAsia="zh-CN" w:bidi="ar"/>
        </w:rPr>
        <w:t>1机构。</w:t>
      </w:r>
    </w:p>
    <w:p w14:paraId="053BEF8C">
      <w:pPr>
        <w:keepNext w:val="0"/>
        <w:keepLines w:val="0"/>
        <w:pageBreakBefore w:val="0"/>
        <w:numPr>
          <w:ilvl w:val="0"/>
          <w:numId w:val="0"/>
        </w:numPr>
        <w:kinsoku/>
        <w:wordWrap/>
        <w:overflowPunct/>
        <w:topLinePunct w:val="0"/>
        <w:bidi w:val="0"/>
        <w:spacing w:line="580" w:lineRule="exact"/>
        <w:ind w:firstLine="643" w:firstLineChars="200"/>
        <w:textAlignment w:val="auto"/>
        <w:outlineLvl w:val="9"/>
        <w:rPr>
          <w:rFonts w:hint="default" w:ascii="仿宋_GB2312" w:hAnsi="仿宋_GB2312" w:eastAsia="仿宋_GB2312" w:cs="仿宋_GB2312"/>
          <w:color w:val="000000"/>
          <w:kern w:val="0"/>
          <w:sz w:val="32"/>
          <w:szCs w:val="32"/>
          <w:lang w:val="zh-CN" w:eastAsia="zh-CN" w:bidi="ar"/>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eastAsia" w:ascii="仿宋_GB2312" w:hAnsi="仿宋_GB2312" w:eastAsia="仿宋_GB2312" w:cs="仿宋_GB2312"/>
          <w:color w:val="000000"/>
          <w:kern w:val="0"/>
          <w:sz w:val="32"/>
          <w:szCs w:val="32"/>
          <w:lang w:val="zh-CN" w:eastAsia="zh-CN" w:bidi="ar"/>
        </w:rPr>
        <w:t>宣传贯彻党和政府的各项医疗卫生方针政策，协助开展突发公共卫生事件应急调查和处置工作，承担区域内公共卫生相关信息的收集和报告。协助做好区域内食品卫生、饮用水卫生、化共场所卫生、职业卫生等爱国卫生工作；提供基本公共卫生服务，包括建立居民健康档案、健康档案、预防接种、传染病防治、高血压糖尿病等慢性病管理、重性精神疾病管理、儿童保健、孕产妇保健、老年人保健等；协助处置突发公共卫生事件。</w:t>
      </w:r>
    </w:p>
    <w:p w14:paraId="1E5410B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000000"/>
          <w:kern w:val="0"/>
          <w:sz w:val="32"/>
          <w:szCs w:val="32"/>
          <w:lang w:val="zh-C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lang w:val="en-US" w:eastAsia="zh-CN" w:bidi="ar"/>
        </w:rPr>
        <w:t>2023年我院共有编制5个，其中事业编5个，在职5人,</w:t>
      </w:r>
      <w:r>
        <w:rPr>
          <w:rFonts w:hint="eastAsia" w:ascii="仿宋_GB2312" w:hAnsi="仿宋_GB2312" w:eastAsia="仿宋_GB2312" w:cs="仿宋_GB2312"/>
          <w:color w:val="000000"/>
          <w:kern w:val="0"/>
          <w:sz w:val="32"/>
          <w:szCs w:val="32"/>
          <w:lang w:val="zh-CN" w:eastAsia="zh-CN" w:bidi="ar"/>
        </w:rPr>
        <w:t>事业编制</w:t>
      </w:r>
      <w:r>
        <w:rPr>
          <w:rFonts w:hint="eastAsia" w:ascii="仿宋_GB2312" w:hAnsi="仿宋_GB2312" w:eastAsia="仿宋_GB2312" w:cs="仿宋_GB2312"/>
          <w:color w:val="000000"/>
          <w:kern w:val="0"/>
          <w:sz w:val="32"/>
          <w:szCs w:val="32"/>
          <w:lang w:val="en-US" w:eastAsia="zh-CN" w:bidi="ar"/>
        </w:rPr>
        <w:t>5</w:t>
      </w:r>
      <w:r>
        <w:rPr>
          <w:rFonts w:hint="eastAsia" w:ascii="仿宋_GB2312" w:hAnsi="仿宋_GB2312" w:eastAsia="仿宋_GB2312" w:cs="仿宋_GB2312"/>
          <w:color w:val="000000"/>
          <w:kern w:val="0"/>
          <w:sz w:val="32"/>
          <w:szCs w:val="32"/>
          <w:lang w:val="zh-CN" w:eastAsia="zh-CN" w:bidi="ar"/>
        </w:rPr>
        <w:t>人。</w:t>
      </w:r>
    </w:p>
    <w:p w14:paraId="6D064AC6">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default" w:ascii="Times New Roman" w:hAnsi="Times New Roman" w:eastAsia="黑体" w:cstheme="majorBidi"/>
          <w:b/>
          <w:bCs w:val="0"/>
          <w:color w:val="auto"/>
          <w:kern w:val="2"/>
          <w:sz w:val="32"/>
          <w:szCs w:val="32"/>
          <w:lang w:val="zh-CN" w:eastAsia="zh-CN" w:bidi="ar-SA"/>
        </w:rPr>
      </w:pPr>
      <w:r>
        <w:rPr>
          <w:rFonts w:hint="default" w:ascii="Times New Roman" w:hAnsi="Times New Roman" w:eastAsia="黑体" w:cstheme="majorBidi"/>
          <w:b/>
          <w:bCs w:val="0"/>
          <w:color w:val="auto"/>
          <w:kern w:val="2"/>
          <w:sz w:val="32"/>
          <w:szCs w:val="32"/>
          <w:lang w:val="zh-CN" w:eastAsia="zh-CN" w:bidi="ar-SA"/>
        </w:rPr>
        <w:t>二、部门资金收支情况</w:t>
      </w:r>
    </w:p>
    <w:p w14:paraId="2C0F2514">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000000"/>
          <w:kern w:val="0"/>
          <w:sz w:val="32"/>
          <w:szCs w:val="32"/>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eastAsia="仿宋_GB2312" w:cs="仿宋_GB2312"/>
          <w:color w:val="auto"/>
          <w:kern w:val="2"/>
          <w:sz w:val="32"/>
          <w:szCs w:val="32"/>
          <w:highlight w:val="none"/>
          <w:lang w:val="en-US" w:eastAsia="zh-CN" w:bidi="ar-SA"/>
        </w:rPr>
        <w:t>红</w:t>
      </w:r>
      <w:r>
        <w:rPr>
          <w:rFonts w:hint="eastAsia" w:ascii="仿宋_GB2312" w:hAnsi="仿宋_GB2312" w:eastAsia="仿宋_GB2312" w:cs="仿宋_GB2312"/>
          <w:color w:val="000000"/>
          <w:kern w:val="0"/>
          <w:sz w:val="32"/>
          <w:szCs w:val="32"/>
          <w:lang w:val="en-US" w:eastAsia="zh-CN" w:bidi="ar"/>
        </w:rPr>
        <w:t>原县邛溪镇社区卫生服务中心2024年年初预算收入124.59万元、决算报表收入129.15万元。</w:t>
      </w:r>
    </w:p>
    <w:p w14:paraId="0DC8BA2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lang w:val="en-US" w:eastAsia="zh-CN" w:bidi="ar"/>
        </w:rPr>
        <w:t>红原县邛溪镇社区卫生服务中心2024年年初预算支出124.59情况、决算报表支出129.15万元</w:t>
      </w:r>
      <w:r>
        <w:rPr>
          <w:rFonts w:hint="eastAsia" w:ascii="Times New Roman" w:hAnsi="Times New Roman" w:eastAsia="仿宋_GB2312" w:cs="Times New Roman"/>
          <w:sz w:val="32"/>
          <w:szCs w:val="32"/>
          <w:lang w:val="en-US" w:eastAsia="zh-CN"/>
        </w:rPr>
        <w:t>。</w:t>
      </w:r>
    </w:p>
    <w:p w14:paraId="7271E556">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000000"/>
          <w:kern w:val="0"/>
          <w:sz w:val="32"/>
          <w:szCs w:val="32"/>
          <w:lang w:val="zh-C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仿宋_GB2312" w:cs="仿宋_GB2312"/>
          <w:color w:val="auto"/>
          <w:kern w:val="2"/>
          <w:sz w:val="32"/>
          <w:szCs w:val="32"/>
          <w:highlight w:val="none"/>
          <w:lang w:val="en-US" w:eastAsia="zh-CN" w:bidi="ar-SA"/>
        </w:rPr>
        <w:t>红</w:t>
      </w:r>
      <w:r>
        <w:rPr>
          <w:rFonts w:hint="eastAsia" w:ascii="仿宋_GB2312" w:hAnsi="仿宋_GB2312" w:eastAsia="仿宋_GB2312" w:cs="仿宋_GB2312"/>
          <w:color w:val="000000"/>
          <w:kern w:val="0"/>
          <w:sz w:val="32"/>
          <w:szCs w:val="32"/>
          <w:lang w:val="en-US" w:eastAsia="zh-CN" w:bidi="ar"/>
        </w:rPr>
        <w:t>原县邛溪镇社区卫生服务中心2024年决算报表</w:t>
      </w:r>
      <w:r>
        <w:rPr>
          <w:rFonts w:hint="default" w:ascii="仿宋_GB2312" w:hAnsi="仿宋_GB2312" w:eastAsia="仿宋_GB2312" w:cs="仿宋_GB2312"/>
          <w:color w:val="000000"/>
          <w:kern w:val="0"/>
          <w:sz w:val="32"/>
          <w:szCs w:val="32"/>
          <w:lang w:val="en-US" w:eastAsia="zh-CN" w:bidi="ar"/>
        </w:rPr>
        <w:t>结转结余</w:t>
      </w:r>
      <w:r>
        <w:rPr>
          <w:rFonts w:hint="eastAsia" w:ascii="仿宋_GB2312" w:hAnsi="仿宋_GB2312" w:eastAsia="仿宋_GB2312" w:cs="仿宋_GB2312"/>
          <w:color w:val="000000"/>
          <w:kern w:val="0"/>
          <w:sz w:val="32"/>
          <w:szCs w:val="32"/>
          <w:lang w:val="en-US" w:eastAsia="zh-CN" w:bidi="ar"/>
        </w:rPr>
        <w:t>情况</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无</w:t>
      </w:r>
    </w:p>
    <w:p w14:paraId="083F54BB">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default" w:ascii="Times New Roman" w:hAnsi="Times New Roman" w:eastAsia="黑体" w:cstheme="majorBidi"/>
          <w:b/>
          <w:bCs w:val="0"/>
          <w:color w:val="auto"/>
          <w:kern w:val="2"/>
          <w:sz w:val="32"/>
          <w:szCs w:val="32"/>
          <w:lang w:val="zh-CN" w:eastAsia="zh-CN" w:bidi="ar-SA"/>
        </w:rPr>
      </w:pPr>
      <w:r>
        <w:rPr>
          <w:rFonts w:hint="default" w:ascii="Times New Roman" w:hAnsi="Times New Roman" w:eastAsia="黑体" w:cstheme="majorBidi"/>
          <w:b/>
          <w:bCs w:val="0"/>
          <w:color w:val="auto"/>
          <w:kern w:val="2"/>
          <w:sz w:val="32"/>
          <w:szCs w:val="32"/>
          <w:lang w:val="zh-CN" w:eastAsia="zh-CN" w:bidi="ar-SA"/>
        </w:rPr>
        <w:t>三、部门预算绩效分析</w:t>
      </w:r>
    </w:p>
    <w:p w14:paraId="19CD2EA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000000"/>
          <w:kern w:val="0"/>
          <w:sz w:val="32"/>
          <w:szCs w:val="32"/>
          <w:lang w:val="zh-C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r>
        <w:rPr>
          <w:rFonts w:hint="default" w:ascii="仿宋_GB2312" w:hAnsi="仿宋_GB2312" w:eastAsia="仿宋_GB2312" w:cs="仿宋_GB2312"/>
          <w:color w:val="000000"/>
          <w:kern w:val="0"/>
          <w:sz w:val="32"/>
          <w:szCs w:val="32"/>
          <w:lang w:val="zh-CN" w:eastAsia="zh-CN" w:bidi="ar"/>
        </w:rPr>
        <w:t>根据部门预算绩效评价指标体系</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总体绩效</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涉及</w:t>
      </w:r>
      <w:r>
        <w:rPr>
          <w:rFonts w:hint="eastAsia" w:ascii="仿宋_GB2312" w:hAnsi="仿宋_GB2312" w:eastAsia="仿宋_GB2312" w:cs="仿宋_GB2312"/>
          <w:color w:val="000000"/>
          <w:kern w:val="0"/>
          <w:sz w:val="32"/>
          <w:szCs w:val="32"/>
          <w:lang w:val="zh-CN" w:eastAsia="zh-CN" w:bidi="ar"/>
        </w:rPr>
        <w:t>二、三级</w:t>
      </w:r>
      <w:r>
        <w:rPr>
          <w:rFonts w:hint="default" w:ascii="仿宋_GB2312" w:hAnsi="仿宋_GB2312" w:eastAsia="仿宋_GB2312" w:cs="仿宋_GB2312"/>
          <w:color w:val="000000"/>
          <w:kern w:val="0"/>
          <w:sz w:val="32"/>
          <w:szCs w:val="32"/>
          <w:lang w:val="zh-CN" w:eastAsia="zh-CN" w:bidi="ar"/>
        </w:rPr>
        <w:t>指标进行</w:t>
      </w:r>
      <w:r>
        <w:rPr>
          <w:rFonts w:hint="eastAsia" w:ascii="仿宋_GB2312" w:hAnsi="仿宋_GB2312" w:eastAsia="仿宋_GB2312" w:cs="仿宋_GB2312"/>
          <w:color w:val="000000"/>
          <w:kern w:val="0"/>
          <w:sz w:val="32"/>
          <w:szCs w:val="32"/>
          <w:lang w:val="zh-CN" w:eastAsia="zh-CN" w:bidi="ar"/>
        </w:rPr>
        <w:t>逐项</w:t>
      </w:r>
      <w:r>
        <w:rPr>
          <w:rFonts w:hint="default" w:ascii="仿宋_GB2312" w:hAnsi="仿宋_GB2312" w:eastAsia="仿宋_GB2312" w:cs="仿宋_GB2312"/>
          <w:color w:val="000000"/>
          <w:kern w:val="0"/>
          <w:sz w:val="32"/>
          <w:szCs w:val="32"/>
          <w:lang w:val="zh-CN" w:eastAsia="zh-CN" w:bidi="ar"/>
        </w:rPr>
        <w:t>绩效分析</w:t>
      </w:r>
      <w:r>
        <w:rPr>
          <w:rFonts w:hint="eastAsia" w:ascii="仿宋_GB2312" w:hAnsi="仿宋_GB2312" w:eastAsia="仿宋_GB2312" w:cs="仿宋_GB2312"/>
          <w:color w:val="000000"/>
          <w:kern w:val="0"/>
          <w:sz w:val="32"/>
          <w:szCs w:val="32"/>
          <w:lang w:val="zh-CN" w:eastAsia="zh-CN" w:bidi="ar"/>
        </w:rPr>
        <w:t>并评分</w:t>
      </w:r>
      <w:r>
        <w:rPr>
          <w:rFonts w:hint="default" w:ascii="仿宋_GB2312" w:hAnsi="仿宋_GB2312" w:eastAsia="仿宋_GB2312" w:cs="仿宋_GB2312"/>
          <w:color w:val="000000"/>
          <w:kern w:val="0"/>
          <w:sz w:val="32"/>
          <w:szCs w:val="32"/>
          <w:lang w:val="zh-CN" w:eastAsia="zh-CN" w:bidi="ar"/>
        </w:rPr>
        <w:t>，依次包括履职效能、预算管理、财务管理、资产管理、采购管理等情况。</w:t>
      </w:r>
    </w:p>
    <w:p w14:paraId="245753D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b/>
          <w:bCs/>
          <w:color w:val="000000"/>
          <w:kern w:val="0"/>
          <w:sz w:val="32"/>
          <w:szCs w:val="32"/>
          <w:lang w:val="en-US" w:eastAsia="zh-CN" w:bidi="ar"/>
        </w:rPr>
        <w:t>1.</w:t>
      </w:r>
      <w:r>
        <w:rPr>
          <w:rFonts w:hint="eastAsia" w:ascii="仿宋_GB2312" w:hAnsi="仿宋_GB2312" w:eastAsia="仿宋_GB2312" w:cs="仿宋_GB2312"/>
          <w:b/>
          <w:bCs/>
          <w:color w:val="000000"/>
          <w:kern w:val="0"/>
          <w:sz w:val="32"/>
          <w:szCs w:val="32"/>
          <w:lang w:val="zh-CN" w:eastAsia="zh-CN" w:bidi="ar"/>
        </w:rPr>
        <w:t>履职效能。</w:t>
      </w:r>
      <w:r>
        <w:rPr>
          <w:rFonts w:hint="eastAsia" w:ascii="仿宋_GB2312" w:hAnsi="仿宋_GB2312" w:eastAsia="仿宋_GB2312" w:cs="仿宋_GB2312"/>
          <w:color w:val="000000"/>
          <w:kern w:val="0"/>
          <w:sz w:val="32"/>
          <w:szCs w:val="32"/>
          <w:lang w:val="zh-CN" w:eastAsia="zh-CN" w:bidi="ar"/>
        </w:rPr>
        <w:t>本年度医院严格按照《政府会计制度》《事业单位财务规则》及相关财政管理要求，扎实推进年度财务决算工作。各部门协同配合，数据填报及时准确，报表体系完整规范，财务分析深入细致，顺利完成了年终决算编制、审核、上报及信息公开等各项任务，实现了账实相符、账账相符、账表一致的目标，为医院战略决策和运营管理提供了有力支撑。</w:t>
      </w:r>
    </w:p>
    <w:p w14:paraId="4C45C4F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2.</w:t>
      </w:r>
      <w:r>
        <w:rPr>
          <w:rFonts w:hint="default" w:ascii="仿宋_GB2312" w:hAnsi="仿宋_GB2312" w:eastAsia="仿宋_GB2312" w:cs="仿宋_GB2312"/>
          <w:b/>
          <w:bCs/>
          <w:color w:val="000000"/>
          <w:kern w:val="0"/>
          <w:sz w:val="32"/>
          <w:szCs w:val="32"/>
          <w:lang w:val="zh-CN" w:eastAsia="zh-CN" w:bidi="ar"/>
        </w:rPr>
        <w:t>预算管理</w:t>
      </w:r>
      <w:r>
        <w:rPr>
          <w:rFonts w:hint="eastAsia" w:ascii="仿宋_GB2312" w:hAnsi="仿宋_GB2312" w:eastAsia="仿宋_GB2312" w:cs="仿宋_GB2312"/>
          <w:b/>
          <w:bCs/>
          <w:color w:val="000000"/>
          <w:kern w:val="0"/>
          <w:sz w:val="32"/>
          <w:szCs w:val="32"/>
          <w:lang w:val="zh-CN" w:eastAsia="zh-CN" w:bidi="ar"/>
        </w:rPr>
        <w:t>。</w:t>
      </w:r>
      <w:r>
        <w:rPr>
          <w:rFonts w:hint="eastAsia" w:ascii="仿宋_GB2312" w:hAnsi="仿宋_GB2312" w:eastAsia="仿宋_GB2312" w:cs="仿宋_GB2312"/>
          <w:color w:val="000000"/>
          <w:kern w:val="0"/>
          <w:sz w:val="32"/>
          <w:szCs w:val="32"/>
          <w:lang w:val="en-US" w:eastAsia="zh-CN" w:bidi="ar"/>
        </w:rPr>
        <w:t>我单位加强和规范内部控制，提高内部管理水平和风险防范能力，杜绝违法违纪行为，推进廉政建设，维护社会公众利益，根据《中华人民共和国会计法》、《中华人民共和国预算法》、《行政事业单位内部控制规范》(试行)和其他有关法律法规。</w:t>
      </w:r>
    </w:p>
    <w:p w14:paraId="0F9584C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3.</w:t>
      </w:r>
      <w:r>
        <w:rPr>
          <w:rFonts w:hint="default" w:ascii="仿宋_GB2312" w:hAnsi="仿宋_GB2312" w:eastAsia="仿宋_GB2312" w:cs="仿宋_GB2312"/>
          <w:b/>
          <w:bCs/>
          <w:color w:val="000000"/>
          <w:kern w:val="0"/>
          <w:sz w:val="32"/>
          <w:szCs w:val="32"/>
          <w:lang w:val="zh-CN" w:eastAsia="zh-CN" w:bidi="ar"/>
        </w:rPr>
        <w:t>财务管理</w:t>
      </w:r>
      <w:r>
        <w:rPr>
          <w:rFonts w:hint="eastAsia" w:ascii="仿宋_GB2312" w:hAnsi="仿宋_GB2312" w:eastAsia="仿宋_GB2312" w:cs="仿宋_GB2312"/>
          <w:b/>
          <w:bCs/>
          <w:color w:val="000000"/>
          <w:kern w:val="0"/>
          <w:sz w:val="32"/>
          <w:szCs w:val="32"/>
          <w:lang w:val="zh-CN" w:eastAsia="zh-CN" w:bidi="ar"/>
        </w:rPr>
        <w:t>。</w:t>
      </w:r>
      <w:r>
        <w:rPr>
          <w:rFonts w:hint="eastAsia" w:ascii="仿宋_GB2312" w:hAnsi="仿宋_GB2312" w:eastAsia="仿宋_GB2312" w:cs="仿宋_GB2312"/>
          <w:color w:val="000000"/>
          <w:kern w:val="0"/>
          <w:sz w:val="32"/>
          <w:szCs w:val="32"/>
          <w:lang w:val="en-US" w:eastAsia="zh-CN" w:bidi="ar"/>
        </w:rPr>
        <w:t>经核对我单位2024年度总账、明细账、决算报表，其结果账账、账表相符；财务信息资料真实、完整、准确。</w:t>
      </w:r>
    </w:p>
    <w:p w14:paraId="341E76D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4.</w:t>
      </w:r>
      <w:r>
        <w:rPr>
          <w:rFonts w:hint="default" w:ascii="仿宋_GB2312" w:hAnsi="仿宋_GB2312" w:eastAsia="仿宋_GB2312" w:cs="仿宋_GB2312"/>
          <w:b/>
          <w:bCs/>
          <w:color w:val="000000"/>
          <w:kern w:val="0"/>
          <w:sz w:val="32"/>
          <w:szCs w:val="32"/>
          <w:lang w:val="zh-CN" w:eastAsia="zh-CN" w:bidi="ar"/>
        </w:rPr>
        <w:t>资产管理</w:t>
      </w:r>
      <w:r>
        <w:rPr>
          <w:rFonts w:hint="eastAsia" w:ascii="仿宋_GB2312" w:hAnsi="仿宋_GB2312" w:eastAsia="仿宋_GB2312" w:cs="仿宋_GB2312"/>
          <w:b/>
          <w:bCs/>
          <w:color w:val="000000"/>
          <w:kern w:val="0"/>
          <w:sz w:val="32"/>
          <w:szCs w:val="32"/>
          <w:lang w:val="zh-CN" w:eastAsia="zh-CN" w:bidi="ar"/>
        </w:rPr>
        <w:t>。</w:t>
      </w:r>
      <w:r>
        <w:rPr>
          <w:rFonts w:hint="eastAsia" w:ascii="仿宋_GB2312" w:hAnsi="仿宋_GB2312" w:eastAsia="仿宋_GB2312" w:cs="仿宋_GB2312"/>
          <w:color w:val="000000"/>
          <w:kern w:val="0"/>
          <w:sz w:val="32"/>
          <w:szCs w:val="32"/>
          <w:lang w:val="zh-CN" w:eastAsia="zh-CN" w:bidi="ar"/>
        </w:rPr>
        <w:t>组织开展全院资产盘点，覆盖率达100%，账实相符率提升至100%；完善资产卡片信息登记</w:t>
      </w:r>
      <w:r>
        <w:rPr>
          <w:rFonts w:hint="eastAsia" w:ascii="仿宋_GB2312" w:hAnsi="仿宋_GB2312" w:eastAsia="仿宋_GB2312" w:cs="仿宋_GB2312"/>
          <w:color w:val="000000"/>
          <w:kern w:val="0"/>
          <w:sz w:val="32"/>
          <w:szCs w:val="32"/>
          <w:lang w:val="en-US" w:eastAsia="zh-CN" w:bidi="ar"/>
        </w:rPr>
        <w:t>。</w:t>
      </w:r>
    </w:p>
    <w:p w14:paraId="02562FF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b/>
          <w:bCs/>
          <w:color w:val="000000"/>
          <w:kern w:val="0"/>
          <w:sz w:val="32"/>
          <w:szCs w:val="32"/>
          <w:lang w:val="en-US" w:eastAsia="zh-CN" w:bidi="ar"/>
        </w:rPr>
        <w:t>5.</w:t>
      </w:r>
      <w:r>
        <w:rPr>
          <w:rFonts w:hint="default" w:ascii="仿宋_GB2312" w:hAnsi="仿宋_GB2312" w:eastAsia="仿宋_GB2312" w:cs="仿宋_GB2312"/>
          <w:b/>
          <w:bCs/>
          <w:color w:val="000000"/>
          <w:kern w:val="0"/>
          <w:sz w:val="32"/>
          <w:szCs w:val="32"/>
          <w:lang w:val="zh-CN" w:eastAsia="zh-CN" w:bidi="ar"/>
        </w:rPr>
        <w:t>采购管理</w:t>
      </w:r>
      <w:r>
        <w:rPr>
          <w:rFonts w:hint="eastAsia" w:ascii="仿宋_GB2312" w:hAnsi="仿宋_GB2312" w:eastAsia="仿宋_GB2312" w:cs="仿宋_GB2312"/>
          <w:b/>
          <w:bCs/>
          <w:color w:val="000000"/>
          <w:kern w:val="0"/>
          <w:sz w:val="32"/>
          <w:szCs w:val="32"/>
          <w:lang w:val="zh-CN" w:eastAsia="zh-CN" w:bidi="ar"/>
        </w:rPr>
        <w:t>。</w:t>
      </w:r>
      <w:r>
        <w:rPr>
          <w:rFonts w:hint="eastAsia" w:ascii="仿宋_GB2312" w:hAnsi="仿宋_GB2312" w:eastAsia="仿宋_GB2312" w:cs="仿宋_GB2312"/>
          <w:color w:val="000000"/>
          <w:kern w:val="0"/>
          <w:sz w:val="32"/>
          <w:szCs w:val="32"/>
          <w:lang w:val="zh-CN" w:eastAsia="zh-CN" w:bidi="ar"/>
        </w:rPr>
        <w:t>围绕支持中小企业发展、采购执行率</w:t>
      </w:r>
      <w:r>
        <w:rPr>
          <w:rFonts w:hint="default" w:ascii="仿宋_GB2312" w:hAnsi="仿宋_GB2312" w:eastAsia="仿宋_GB2312" w:cs="仿宋_GB2312"/>
          <w:color w:val="000000"/>
          <w:kern w:val="0"/>
          <w:sz w:val="32"/>
          <w:szCs w:val="32"/>
          <w:lang w:val="zh-CN" w:eastAsia="zh-CN" w:bidi="ar"/>
        </w:rPr>
        <w:t>进行绩效分析</w:t>
      </w:r>
      <w:r>
        <w:rPr>
          <w:rFonts w:hint="eastAsia" w:ascii="仿宋_GB2312" w:hAnsi="仿宋_GB2312" w:eastAsia="仿宋_GB2312" w:cs="仿宋_GB2312"/>
          <w:color w:val="000000"/>
          <w:kern w:val="0"/>
          <w:sz w:val="32"/>
          <w:szCs w:val="32"/>
          <w:lang w:val="zh-CN" w:eastAsia="zh-CN" w:bidi="ar"/>
        </w:rPr>
        <w:t>。</w:t>
      </w:r>
    </w:p>
    <w:p w14:paraId="11D7D40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000000"/>
          <w:kern w:val="0"/>
          <w:sz w:val="32"/>
          <w:szCs w:val="32"/>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eastAsia" w:ascii="仿宋_GB2312" w:hAnsi="仿宋_GB2312" w:eastAsia="仿宋_GB2312" w:cs="仿宋_GB2312"/>
          <w:color w:val="000000"/>
          <w:kern w:val="0"/>
          <w:sz w:val="32"/>
          <w:szCs w:val="32"/>
          <w:lang w:val="zh-CN" w:eastAsia="zh-CN" w:bidi="ar"/>
        </w:rPr>
        <w:t>填报以下数据，并</w:t>
      </w:r>
      <w:r>
        <w:rPr>
          <w:rFonts w:hint="default" w:ascii="仿宋_GB2312" w:hAnsi="仿宋_GB2312" w:eastAsia="仿宋_GB2312" w:cs="仿宋_GB2312"/>
          <w:color w:val="000000"/>
          <w:kern w:val="0"/>
          <w:sz w:val="32"/>
          <w:szCs w:val="32"/>
          <w:lang w:val="zh-CN" w:eastAsia="zh-CN" w:bidi="ar"/>
        </w:rPr>
        <w:t>根据部门预算绩效评价指标体系</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项目绩效</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涉及</w:t>
      </w:r>
      <w:r>
        <w:rPr>
          <w:rFonts w:hint="eastAsia" w:ascii="仿宋_GB2312" w:hAnsi="仿宋_GB2312" w:eastAsia="仿宋_GB2312" w:cs="仿宋_GB2312"/>
          <w:color w:val="000000"/>
          <w:kern w:val="0"/>
          <w:sz w:val="32"/>
          <w:szCs w:val="32"/>
          <w:lang w:val="zh-CN" w:eastAsia="zh-CN" w:bidi="ar"/>
        </w:rPr>
        <w:t>二、三级</w:t>
      </w:r>
      <w:r>
        <w:rPr>
          <w:rFonts w:hint="default" w:ascii="仿宋_GB2312" w:hAnsi="仿宋_GB2312" w:eastAsia="仿宋_GB2312" w:cs="仿宋_GB2312"/>
          <w:color w:val="000000"/>
          <w:kern w:val="0"/>
          <w:sz w:val="32"/>
          <w:szCs w:val="32"/>
          <w:lang w:val="zh-CN" w:eastAsia="zh-CN" w:bidi="ar"/>
        </w:rPr>
        <w:t>指标进行</w:t>
      </w:r>
      <w:r>
        <w:rPr>
          <w:rFonts w:hint="eastAsia" w:ascii="仿宋_GB2312" w:hAnsi="仿宋_GB2312" w:eastAsia="仿宋_GB2312" w:cs="仿宋_GB2312"/>
          <w:color w:val="000000"/>
          <w:kern w:val="0"/>
          <w:sz w:val="32"/>
          <w:szCs w:val="32"/>
          <w:lang w:val="zh-CN" w:eastAsia="zh-CN" w:bidi="ar"/>
        </w:rPr>
        <w:t>逐项</w:t>
      </w:r>
      <w:r>
        <w:rPr>
          <w:rFonts w:hint="default" w:ascii="仿宋_GB2312" w:hAnsi="仿宋_GB2312" w:eastAsia="仿宋_GB2312" w:cs="仿宋_GB2312"/>
          <w:color w:val="000000"/>
          <w:kern w:val="0"/>
          <w:sz w:val="32"/>
          <w:szCs w:val="32"/>
          <w:lang w:val="zh-CN" w:eastAsia="zh-CN" w:bidi="ar"/>
        </w:rPr>
        <w:t>绩效分析</w:t>
      </w:r>
      <w:r>
        <w:rPr>
          <w:rFonts w:hint="eastAsia" w:ascii="仿宋_GB2312" w:hAnsi="仿宋_GB2312" w:eastAsia="仿宋_GB2312" w:cs="仿宋_GB2312"/>
          <w:color w:val="000000"/>
          <w:kern w:val="0"/>
          <w:sz w:val="32"/>
          <w:szCs w:val="32"/>
          <w:lang w:val="zh-CN" w:eastAsia="zh-CN" w:bidi="ar"/>
        </w:rPr>
        <w:t>并评分</w:t>
      </w:r>
      <w:r>
        <w:rPr>
          <w:rFonts w:hint="default" w:ascii="仿宋_GB2312" w:hAnsi="仿宋_GB2312" w:eastAsia="仿宋_GB2312" w:cs="仿宋_GB2312"/>
          <w:color w:val="000000"/>
          <w:kern w:val="0"/>
          <w:sz w:val="32"/>
          <w:szCs w:val="32"/>
          <w:lang w:val="zh-CN" w:eastAsia="zh-CN" w:bidi="ar"/>
        </w:rPr>
        <w:t>，依次包括项目</w:t>
      </w:r>
      <w:r>
        <w:rPr>
          <w:rFonts w:hint="default" w:ascii="仿宋_GB2312" w:hAnsi="仿宋_GB2312" w:eastAsia="仿宋_GB2312" w:cs="仿宋_GB2312"/>
          <w:color w:val="000000"/>
          <w:kern w:val="0"/>
          <w:sz w:val="32"/>
          <w:szCs w:val="32"/>
          <w:lang w:val="en-US" w:eastAsia="zh-CN" w:bidi="ar"/>
        </w:rPr>
        <w:t>决策、项目执行、目标实现等情况</w:t>
      </w:r>
      <w:r>
        <w:rPr>
          <w:rFonts w:hint="eastAsia" w:ascii="仿宋_GB2312" w:hAnsi="仿宋_GB2312" w:eastAsia="仿宋_GB2312" w:cs="仿宋_GB2312"/>
          <w:color w:val="000000"/>
          <w:kern w:val="0"/>
          <w:sz w:val="32"/>
          <w:szCs w:val="32"/>
          <w:lang w:val="en-US" w:eastAsia="zh-CN" w:bidi="ar"/>
        </w:rPr>
        <w:t>。</w:t>
      </w:r>
    </w:p>
    <w:p w14:paraId="78F67D7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000000"/>
          <w:kern w:val="0"/>
          <w:sz w:val="32"/>
          <w:szCs w:val="32"/>
          <w:lang w:val="zh-CN" w:eastAsia="zh-CN" w:bidi="ar"/>
        </w:rPr>
      </w:pPr>
      <w:r>
        <w:rPr>
          <w:rFonts w:hint="default" w:ascii="仿宋_GB2312" w:hAnsi="仿宋_GB2312" w:eastAsia="仿宋_GB2312" w:cs="仿宋_GB2312"/>
          <w:b/>
          <w:bCs/>
          <w:color w:val="000000"/>
          <w:kern w:val="0"/>
          <w:sz w:val="32"/>
          <w:szCs w:val="32"/>
          <w:lang w:val="en-US" w:eastAsia="zh-CN" w:bidi="ar"/>
        </w:rPr>
        <w:t>常年项目绩效分析。</w:t>
      </w:r>
      <w:r>
        <w:rPr>
          <w:rFonts w:hint="default" w:ascii="仿宋_GB2312" w:hAnsi="仿宋_GB2312" w:eastAsia="仿宋_GB2312" w:cs="仿宋_GB2312"/>
          <w:color w:val="000000"/>
          <w:kern w:val="0"/>
          <w:sz w:val="32"/>
          <w:szCs w:val="32"/>
          <w:lang w:val="zh-CN" w:eastAsia="zh-CN" w:bidi="ar"/>
        </w:rPr>
        <w:t>该类项目总数</w:t>
      </w:r>
      <w:r>
        <w:rPr>
          <w:rFonts w:hint="eastAsia" w:ascii="仿宋_GB2312" w:hAnsi="仿宋_GB2312" w:eastAsia="仿宋_GB2312" w:cs="仿宋_GB2312"/>
          <w:color w:val="000000"/>
          <w:kern w:val="0"/>
          <w:sz w:val="32"/>
          <w:szCs w:val="32"/>
          <w:lang w:val="en-US" w:eastAsia="zh-CN" w:bidi="ar"/>
        </w:rPr>
        <w:t>1</w:t>
      </w:r>
      <w:r>
        <w:rPr>
          <w:rFonts w:hint="default" w:ascii="仿宋_GB2312" w:hAnsi="仿宋_GB2312" w:eastAsia="仿宋_GB2312" w:cs="仿宋_GB2312"/>
          <w:color w:val="000000"/>
          <w:kern w:val="0"/>
          <w:sz w:val="32"/>
          <w:szCs w:val="32"/>
          <w:lang w:val="zh-CN" w:eastAsia="zh-CN" w:bidi="ar"/>
        </w:rPr>
        <w:t>个，涉及预算总金额</w:t>
      </w:r>
      <w:r>
        <w:rPr>
          <w:rFonts w:hint="eastAsia" w:ascii="仿宋_GB2312" w:hAnsi="仿宋_GB2312" w:eastAsia="仿宋_GB2312" w:cs="仿宋_GB2312"/>
          <w:color w:val="000000"/>
          <w:kern w:val="0"/>
          <w:sz w:val="32"/>
          <w:szCs w:val="32"/>
          <w:lang w:val="en-US" w:eastAsia="zh-CN" w:bidi="ar"/>
        </w:rPr>
        <w:t>4.63</w:t>
      </w:r>
      <w:r>
        <w:rPr>
          <w:rFonts w:hint="default" w:ascii="仿宋_GB2312" w:hAnsi="仿宋_GB2312" w:eastAsia="仿宋_GB2312" w:cs="仿宋_GB2312"/>
          <w:color w:val="000000"/>
          <w:kern w:val="0"/>
          <w:sz w:val="32"/>
          <w:szCs w:val="32"/>
          <w:lang w:val="zh-CN" w:eastAsia="zh-CN" w:bidi="ar"/>
        </w:rPr>
        <w:t>万元，1</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1</w:t>
      </w:r>
      <w:r>
        <w:rPr>
          <w:rFonts w:hint="default" w:ascii="仿宋_GB2312" w:hAnsi="仿宋_GB2312" w:eastAsia="仿宋_GB2312" w:cs="仿宋_GB2312"/>
          <w:color w:val="000000"/>
          <w:kern w:val="0"/>
          <w:sz w:val="32"/>
          <w:szCs w:val="32"/>
          <w:lang w:val="en-US" w:eastAsia="zh-CN" w:bidi="ar"/>
        </w:rPr>
        <w:t>2</w:t>
      </w:r>
      <w:r>
        <w:rPr>
          <w:rFonts w:hint="default" w:ascii="仿宋_GB2312" w:hAnsi="仿宋_GB2312" w:eastAsia="仿宋_GB2312" w:cs="仿宋_GB2312"/>
          <w:color w:val="000000"/>
          <w:kern w:val="0"/>
          <w:sz w:val="32"/>
          <w:szCs w:val="32"/>
          <w:lang w:val="zh-CN" w:eastAsia="zh-CN" w:bidi="ar"/>
        </w:rPr>
        <w:t>月预算执行总体进度为</w:t>
      </w:r>
      <w:r>
        <w:rPr>
          <w:rFonts w:hint="eastAsia" w:ascii="仿宋_GB2312" w:hAnsi="仿宋_GB2312" w:eastAsia="仿宋_GB2312" w:cs="仿宋_GB2312"/>
          <w:color w:val="000000"/>
          <w:kern w:val="0"/>
          <w:sz w:val="32"/>
          <w:szCs w:val="32"/>
          <w:lang w:val="en-US" w:eastAsia="zh-CN" w:bidi="ar"/>
        </w:rPr>
        <w:t>100</w:t>
      </w:r>
      <w:r>
        <w:rPr>
          <w:rFonts w:hint="default" w:ascii="仿宋_GB2312" w:hAnsi="仿宋_GB2312" w:eastAsia="仿宋_GB2312" w:cs="仿宋_GB2312"/>
          <w:color w:val="000000"/>
          <w:kern w:val="0"/>
          <w:sz w:val="32"/>
          <w:szCs w:val="32"/>
          <w:lang w:val="zh-CN" w:eastAsia="zh-CN" w:bidi="ar"/>
        </w:rPr>
        <w:t>%，其中：预算结余率大于</w:t>
      </w:r>
      <w:r>
        <w:rPr>
          <w:rFonts w:hint="default" w:ascii="仿宋_GB2312" w:hAnsi="仿宋_GB2312" w:eastAsia="仿宋_GB2312" w:cs="仿宋_GB2312"/>
          <w:color w:val="000000"/>
          <w:kern w:val="0"/>
          <w:sz w:val="32"/>
          <w:szCs w:val="32"/>
          <w:lang w:val="en-US" w:eastAsia="zh-CN" w:bidi="ar"/>
        </w:rPr>
        <w:t>10%</w:t>
      </w:r>
      <w:r>
        <w:rPr>
          <w:rFonts w:hint="default" w:ascii="仿宋_GB2312" w:hAnsi="仿宋_GB2312" w:eastAsia="仿宋_GB2312" w:cs="仿宋_GB2312"/>
          <w:color w:val="000000"/>
          <w:kern w:val="0"/>
          <w:sz w:val="32"/>
          <w:szCs w:val="32"/>
          <w:lang w:val="zh-CN" w:eastAsia="zh-CN" w:bidi="ar"/>
        </w:rPr>
        <w:t>的项目共计</w:t>
      </w:r>
      <w:r>
        <w:rPr>
          <w:rFonts w:hint="eastAsia" w:ascii="仿宋_GB2312" w:hAnsi="仿宋_GB2312" w:eastAsia="仿宋_GB2312" w:cs="仿宋_GB2312"/>
          <w:color w:val="000000"/>
          <w:kern w:val="0"/>
          <w:sz w:val="32"/>
          <w:szCs w:val="32"/>
          <w:lang w:val="en-US" w:eastAsia="zh-CN" w:bidi="ar"/>
        </w:rPr>
        <w:t>0</w:t>
      </w:r>
      <w:r>
        <w:rPr>
          <w:rFonts w:hint="default" w:ascii="仿宋_GB2312" w:hAnsi="仿宋_GB2312" w:eastAsia="仿宋_GB2312" w:cs="仿宋_GB2312"/>
          <w:color w:val="000000"/>
          <w:kern w:val="0"/>
          <w:sz w:val="32"/>
          <w:szCs w:val="32"/>
          <w:lang w:val="zh-CN" w:eastAsia="zh-CN" w:bidi="ar"/>
        </w:rPr>
        <w:t>个。</w:t>
      </w:r>
    </w:p>
    <w:p w14:paraId="2BC227C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000000"/>
          <w:kern w:val="0"/>
          <w:sz w:val="32"/>
          <w:szCs w:val="32"/>
          <w:lang w:val="zh-CN" w:eastAsia="zh-CN" w:bidi="ar"/>
        </w:rPr>
      </w:pPr>
      <w:r>
        <w:rPr>
          <w:rFonts w:hint="default" w:ascii="仿宋_GB2312" w:hAnsi="仿宋_GB2312" w:eastAsia="仿宋_GB2312" w:cs="仿宋_GB2312"/>
          <w:b/>
          <w:bCs/>
          <w:color w:val="000000"/>
          <w:kern w:val="0"/>
          <w:sz w:val="32"/>
          <w:szCs w:val="32"/>
          <w:lang w:val="en-US" w:eastAsia="zh-CN" w:bidi="ar"/>
        </w:rPr>
        <w:t>阶段</w:t>
      </w:r>
      <w:r>
        <w:rPr>
          <w:rFonts w:hint="eastAsia" w:ascii="仿宋_GB2312" w:hAnsi="仿宋_GB2312" w:eastAsia="仿宋_GB2312" w:cs="仿宋_GB2312"/>
          <w:b/>
          <w:bCs/>
          <w:color w:val="000000"/>
          <w:kern w:val="0"/>
          <w:sz w:val="32"/>
          <w:szCs w:val="32"/>
          <w:lang w:val="en-US" w:eastAsia="zh-CN" w:bidi="ar"/>
        </w:rPr>
        <w:t>（</w:t>
      </w:r>
      <w:r>
        <w:rPr>
          <w:rFonts w:hint="default" w:ascii="仿宋_GB2312" w:hAnsi="仿宋_GB2312" w:eastAsia="仿宋_GB2312" w:cs="仿宋_GB2312"/>
          <w:b/>
          <w:bCs/>
          <w:color w:val="000000"/>
          <w:kern w:val="0"/>
          <w:sz w:val="32"/>
          <w:szCs w:val="32"/>
          <w:lang w:val="en-US" w:eastAsia="zh-CN" w:bidi="ar"/>
        </w:rPr>
        <w:t>一次性</w:t>
      </w:r>
      <w:r>
        <w:rPr>
          <w:rFonts w:hint="eastAsia" w:ascii="仿宋_GB2312" w:hAnsi="仿宋_GB2312" w:eastAsia="仿宋_GB2312" w:cs="仿宋_GB2312"/>
          <w:b/>
          <w:bCs/>
          <w:color w:val="000000"/>
          <w:kern w:val="0"/>
          <w:sz w:val="32"/>
          <w:szCs w:val="32"/>
          <w:lang w:val="en-US" w:eastAsia="zh-CN" w:bidi="ar"/>
        </w:rPr>
        <w:t>）</w:t>
      </w:r>
      <w:r>
        <w:rPr>
          <w:rFonts w:hint="default" w:ascii="仿宋_GB2312" w:hAnsi="仿宋_GB2312" w:eastAsia="仿宋_GB2312" w:cs="仿宋_GB2312"/>
          <w:b/>
          <w:bCs/>
          <w:color w:val="000000"/>
          <w:kern w:val="0"/>
          <w:sz w:val="32"/>
          <w:szCs w:val="32"/>
          <w:lang w:val="en-US" w:eastAsia="zh-CN" w:bidi="ar"/>
        </w:rPr>
        <w:t>项目绩效分析。</w:t>
      </w:r>
      <w:r>
        <w:rPr>
          <w:rFonts w:hint="default" w:ascii="仿宋_GB2312" w:hAnsi="仿宋_GB2312" w:eastAsia="仿宋_GB2312" w:cs="仿宋_GB2312"/>
          <w:color w:val="000000"/>
          <w:kern w:val="0"/>
          <w:sz w:val="32"/>
          <w:szCs w:val="32"/>
          <w:lang w:val="zh-CN" w:eastAsia="zh-CN" w:bidi="ar"/>
        </w:rPr>
        <w:t>该类项目总数</w:t>
      </w:r>
      <w:r>
        <w:rPr>
          <w:rFonts w:hint="eastAsia" w:ascii="仿宋_GB2312" w:hAnsi="仿宋_GB2312" w:eastAsia="仿宋_GB2312" w:cs="仿宋_GB2312"/>
          <w:color w:val="000000"/>
          <w:kern w:val="0"/>
          <w:sz w:val="32"/>
          <w:szCs w:val="32"/>
          <w:lang w:val="en-US" w:eastAsia="zh-CN" w:bidi="ar"/>
        </w:rPr>
        <w:t>1</w:t>
      </w:r>
      <w:r>
        <w:rPr>
          <w:rFonts w:hint="default" w:ascii="仿宋_GB2312" w:hAnsi="仿宋_GB2312" w:eastAsia="仿宋_GB2312" w:cs="仿宋_GB2312"/>
          <w:color w:val="000000"/>
          <w:kern w:val="0"/>
          <w:sz w:val="32"/>
          <w:szCs w:val="32"/>
          <w:lang w:val="zh-CN" w:eastAsia="zh-CN" w:bidi="ar"/>
        </w:rPr>
        <w:t>个，涉及预算总金额</w:t>
      </w:r>
      <w:r>
        <w:rPr>
          <w:rFonts w:hint="eastAsia" w:ascii="仿宋_GB2312" w:hAnsi="仿宋_GB2312" w:eastAsia="仿宋_GB2312" w:cs="仿宋_GB2312"/>
          <w:color w:val="000000"/>
          <w:kern w:val="0"/>
          <w:sz w:val="32"/>
          <w:szCs w:val="32"/>
          <w:lang w:val="en-US" w:eastAsia="zh-CN" w:bidi="ar"/>
        </w:rPr>
        <w:t>1</w:t>
      </w:r>
      <w:r>
        <w:rPr>
          <w:rFonts w:hint="default" w:ascii="仿宋_GB2312" w:hAnsi="仿宋_GB2312" w:eastAsia="仿宋_GB2312" w:cs="仿宋_GB2312"/>
          <w:color w:val="000000"/>
          <w:kern w:val="0"/>
          <w:sz w:val="32"/>
          <w:szCs w:val="32"/>
          <w:lang w:val="zh-CN" w:eastAsia="zh-CN" w:bidi="ar"/>
        </w:rPr>
        <w:t>万元，1</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1</w:t>
      </w:r>
      <w:r>
        <w:rPr>
          <w:rFonts w:hint="default" w:ascii="仿宋_GB2312" w:hAnsi="仿宋_GB2312" w:eastAsia="仿宋_GB2312" w:cs="仿宋_GB2312"/>
          <w:color w:val="000000"/>
          <w:kern w:val="0"/>
          <w:sz w:val="32"/>
          <w:szCs w:val="32"/>
          <w:lang w:val="en-US" w:eastAsia="zh-CN" w:bidi="ar"/>
        </w:rPr>
        <w:t>2</w:t>
      </w:r>
      <w:r>
        <w:rPr>
          <w:rFonts w:hint="default" w:ascii="仿宋_GB2312" w:hAnsi="仿宋_GB2312" w:eastAsia="仿宋_GB2312" w:cs="仿宋_GB2312"/>
          <w:color w:val="000000"/>
          <w:kern w:val="0"/>
          <w:sz w:val="32"/>
          <w:szCs w:val="32"/>
          <w:lang w:val="zh-CN" w:eastAsia="zh-CN" w:bidi="ar"/>
        </w:rPr>
        <w:t>月预算执行总体进度为</w:t>
      </w:r>
      <w:r>
        <w:rPr>
          <w:rFonts w:hint="eastAsia" w:ascii="仿宋_GB2312" w:hAnsi="仿宋_GB2312" w:eastAsia="仿宋_GB2312" w:cs="仿宋_GB2312"/>
          <w:color w:val="000000"/>
          <w:kern w:val="0"/>
          <w:sz w:val="32"/>
          <w:szCs w:val="32"/>
          <w:lang w:val="en-US" w:eastAsia="zh-CN" w:bidi="ar"/>
        </w:rPr>
        <w:t>1</w:t>
      </w:r>
      <w:r>
        <w:rPr>
          <w:rFonts w:hint="default" w:ascii="仿宋_GB2312" w:hAnsi="仿宋_GB2312" w:eastAsia="仿宋_GB2312" w:cs="仿宋_GB2312"/>
          <w:color w:val="000000"/>
          <w:kern w:val="0"/>
          <w:sz w:val="32"/>
          <w:szCs w:val="32"/>
          <w:lang w:val="zh-CN" w:eastAsia="zh-CN" w:bidi="ar"/>
        </w:rPr>
        <w:t>%，其中：预算结余率大于</w:t>
      </w:r>
      <w:r>
        <w:rPr>
          <w:rFonts w:hint="default" w:ascii="仿宋_GB2312" w:hAnsi="仿宋_GB2312" w:eastAsia="仿宋_GB2312" w:cs="仿宋_GB2312"/>
          <w:color w:val="000000"/>
          <w:kern w:val="0"/>
          <w:sz w:val="32"/>
          <w:szCs w:val="32"/>
          <w:lang w:val="en-US" w:eastAsia="zh-CN" w:bidi="ar"/>
        </w:rPr>
        <w:t>10%</w:t>
      </w:r>
      <w:r>
        <w:rPr>
          <w:rFonts w:hint="default" w:ascii="仿宋_GB2312" w:hAnsi="仿宋_GB2312" w:eastAsia="仿宋_GB2312" w:cs="仿宋_GB2312"/>
          <w:color w:val="000000"/>
          <w:kern w:val="0"/>
          <w:sz w:val="32"/>
          <w:szCs w:val="32"/>
          <w:lang w:val="zh-CN" w:eastAsia="zh-CN" w:bidi="ar"/>
        </w:rPr>
        <w:t>的项目共计</w:t>
      </w:r>
      <w:r>
        <w:rPr>
          <w:rFonts w:hint="eastAsia" w:ascii="仿宋_GB2312" w:hAnsi="仿宋_GB2312" w:eastAsia="仿宋_GB2312" w:cs="仿宋_GB2312"/>
          <w:color w:val="000000"/>
          <w:kern w:val="0"/>
          <w:sz w:val="32"/>
          <w:szCs w:val="32"/>
          <w:lang w:val="en-US" w:eastAsia="zh-CN" w:bidi="ar"/>
        </w:rPr>
        <w:t>1</w:t>
      </w:r>
      <w:r>
        <w:rPr>
          <w:rFonts w:hint="default" w:ascii="仿宋_GB2312" w:hAnsi="仿宋_GB2312" w:eastAsia="仿宋_GB2312" w:cs="仿宋_GB2312"/>
          <w:color w:val="000000"/>
          <w:kern w:val="0"/>
          <w:sz w:val="32"/>
          <w:szCs w:val="32"/>
          <w:lang w:val="zh-CN" w:eastAsia="zh-CN" w:bidi="ar"/>
        </w:rPr>
        <w:t>个。</w:t>
      </w:r>
    </w:p>
    <w:p w14:paraId="7DFCAE5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b/>
          <w:bCs/>
          <w:color w:val="000000"/>
          <w:kern w:val="0"/>
          <w:sz w:val="32"/>
          <w:szCs w:val="32"/>
          <w:lang w:val="en-US" w:eastAsia="zh-CN" w:bidi="ar"/>
        </w:rPr>
        <w:t>1.</w:t>
      </w:r>
      <w:r>
        <w:rPr>
          <w:rFonts w:hint="eastAsia" w:ascii="仿宋_GB2312" w:hAnsi="仿宋_GB2312" w:eastAsia="仿宋_GB2312" w:cs="仿宋_GB2312"/>
          <w:b/>
          <w:bCs/>
          <w:color w:val="000000"/>
          <w:kern w:val="0"/>
          <w:sz w:val="32"/>
          <w:szCs w:val="32"/>
          <w:lang w:val="zh-CN" w:eastAsia="zh-CN" w:bidi="ar"/>
        </w:rPr>
        <w:t>项目决策。</w:t>
      </w:r>
      <w:r>
        <w:rPr>
          <w:rFonts w:hint="eastAsia" w:ascii="仿宋_GB2312" w:hAnsi="仿宋_GB2312" w:eastAsia="仿宋_GB2312" w:cs="仿宋_GB2312"/>
          <w:color w:val="000000"/>
          <w:kern w:val="0"/>
          <w:sz w:val="32"/>
          <w:szCs w:val="32"/>
          <w:lang w:val="zh-CN" w:eastAsia="zh-CN" w:bidi="ar"/>
        </w:rPr>
        <w:t>围绕决策程序、目标设置、项目入库</w:t>
      </w:r>
      <w:r>
        <w:rPr>
          <w:rFonts w:hint="default" w:ascii="仿宋_GB2312" w:hAnsi="仿宋_GB2312" w:eastAsia="仿宋_GB2312" w:cs="仿宋_GB2312"/>
          <w:color w:val="000000"/>
          <w:kern w:val="0"/>
          <w:sz w:val="32"/>
          <w:szCs w:val="32"/>
          <w:lang w:val="zh-CN" w:eastAsia="zh-CN" w:bidi="ar"/>
        </w:rPr>
        <w:t>进行绩效分析</w:t>
      </w:r>
      <w:r>
        <w:rPr>
          <w:rFonts w:hint="eastAsia" w:ascii="仿宋_GB2312" w:hAnsi="仿宋_GB2312" w:eastAsia="仿宋_GB2312" w:cs="仿宋_GB2312"/>
          <w:color w:val="000000"/>
          <w:kern w:val="0"/>
          <w:sz w:val="32"/>
          <w:szCs w:val="32"/>
          <w:lang w:val="zh-CN" w:eastAsia="zh-CN" w:bidi="ar"/>
        </w:rPr>
        <w:t>。</w:t>
      </w:r>
    </w:p>
    <w:p w14:paraId="186387F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b/>
          <w:bCs/>
          <w:color w:val="000000"/>
          <w:kern w:val="0"/>
          <w:sz w:val="32"/>
          <w:szCs w:val="32"/>
          <w:lang w:val="en-US" w:eastAsia="zh-CN" w:bidi="ar"/>
        </w:rPr>
        <w:t>2.项目执行</w:t>
      </w:r>
      <w:r>
        <w:rPr>
          <w:rFonts w:hint="eastAsia" w:ascii="仿宋_GB2312" w:hAnsi="仿宋_GB2312" w:eastAsia="仿宋_GB2312" w:cs="仿宋_GB2312"/>
          <w:b/>
          <w:bCs/>
          <w:color w:val="000000"/>
          <w:kern w:val="0"/>
          <w:sz w:val="32"/>
          <w:szCs w:val="32"/>
          <w:lang w:val="zh-CN" w:eastAsia="zh-CN" w:bidi="ar"/>
        </w:rPr>
        <w:t>。</w:t>
      </w:r>
      <w:r>
        <w:rPr>
          <w:rFonts w:hint="eastAsia" w:ascii="仿宋_GB2312" w:hAnsi="仿宋_GB2312" w:eastAsia="仿宋_GB2312" w:cs="仿宋_GB2312"/>
          <w:color w:val="000000"/>
          <w:kern w:val="0"/>
          <w:sz w:val="32"/>
          <w:szCs w:val="32"/>
          <w:lang w:val="zh-CN" w:eastAsia="zh-CN" w:bidi="ar"/>
        </w:rPr>
        <w:t>围绕资金执行同向、项目调整、执行结果</w:t>
      </w:r>
      <w:r>
        <w:rPr>
          <w:rFonts w:hint="default" w:ascii="仿宋_GB2312" w:hAnsi="仿宋_GB2312" w:eastAsia="仿宋_GB2312" w:cs="仿宋_GB2312"/>
          <w:color w:val="000000"/>
          <w:kern w:val="0"/>
          <w:sz w:val="32"/>
          <w:szCs w:val="32"/>
          <w:lang w:val="zh-CN" w:eastAsia="zh-CN" w:bidi="ar"/>
        </w:rPr>
        <w:t>进行绩效分析</w:t>
      </w:r>
      <w:r>
        <w:rPr>
          <w:rFonts w:hint="eastAsia" w:ascii="仿宋_GB2312" w:hAnsi="仿宋_GB2312" w:eastAsia="仿宋_GB2312" w:cs="仿宋_GB2312"/>
          <w:color w:val="000000"/>
          <w:kern w:val="0"/>
          <w:sz w:val="32"/>
          <w:szCs w:val="32"/>
          <w:lang w:val="zh-CN" w:eastAsia="zh-CN" w:bidi="ar"/>
        </w:rPr>
        <w:t>。</w:t>
      </w:r>
    </w:p>
    <w:p w14:paraId="481C61B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b/>
          <w:bCs/>
          <w:color w:val="000000"/>
          <w:kern w:val="0"/>
          <w:sz w:val="32"/>
          <w:szCs w:val="32"/>
          <w:lang w:val="en-US" w:eastAsia="zh-CN" w:bidi="ar"/>
        </w:rPr>
        <w:t>3.</w:t>
      </w:r>
      <w:r>
        <w:rPr>
          <w:rFonts w:hint="eastAsia" w:ascii="仿宋_GB2312" w:hAnsi="仿宋_GB2312" w:eastAsia="仿宋_GB2312" w:cs="仿宋_GB2312"/>
          <w:b/>
          <w:bCs/>
          <w:color w:val="000000"/>
          <w:kern w:val="0"/>
          <w:sz w:val="32"/>
          <w:szCs w:val="32"/>
          <w:lang w:val="zh-CN" w:eastAsia="zh-CN" w:bidi="ar"/>
        </w:rPr>
        <w:t>目标实现。</w:t>
      </w:r>
      <w:r>
        <w:rPr>
          <w:rFonts w:hint="eastAsia" w:ascii="仿宋_GB2312" w:hAnsi="仿宋_GB2312" w:eastAsia="仿宋_GB2312" w:cs="仿宋_GB2312"/>
          <w:color w:val="000000"/>
          <w:kern w:val="0"/>
          <w:sz w:val="32"/>
          <w:szCs w:val="32"/>
          <w:lang w:val="zh-CN" w:eastAsia="zh-CN" w:bidi="ar"/>
        </w:rPr>
        <w:t>围绕目标完成、目标偏离、实现效果</w:t>
      </w:r>
      <w:r>
        <w:rPr>
          <w:rFonts w:hint="default" w:ascii="仿宋_GB2312" w:hAnsi="仿宋_GB2312" w:eastAsia="仿宋_GB2312" w:cs="仿宋_GB2312"/>
          <w:color w:val="000000"/>
          <w:kern w:val="0"/>
          <w:sz w:val="32"/>
          <w:szCs w:val="32"/>
          <w:lang w:val="zh-CN" w:eastAsia="zh-CN" w:bidi="ar"/>
        </w:rPr>
        <w:t>进行绩效分析</w:t>
      </w:r>
      <w:r>
        <w:rPr>
          <w:rFonts w:hint="eastAsia" w:ascii="仿宋_GB2312" w:hAnsi="仿宋_GB2312" w:eastAsia="仿宋_GB2312" w:cs="仿宋_GB2312"/>
          <w:color w:val="000000"/>
          <w:kern w:val="0"/>
          <w:sz w:val="32"/>
          <w:szCs w:val="32"/>
          <w:lang w:val="zh-CN" w:eastAsia="zh-CN" w:bidi="ar"/>
        </w:rPr>
        <w:t>。</w:t>
      </w:r>
    </w:p>
    <w:p w14:paraId="06E65525">
      <w:pPr>
        <w:rPr>
          <w:rFonts w:hint="eastAsia" w:ascii="宋体" w:hAnsi="宋体" w:eastAsia="宋体" w:cs="宋体"/>
          <w:b/>
          <w:i w:val="0"/>
          <w:color w:val="000000"/>
          <w:kern w:val="0"/>
          <w:sz w:val="30"/>
          <w:szCs w:val="30"/>
          <w:u w:val="none"/>
          <w:lang w:val="en-US" w:eastAsia="zh-CN" w:bidi="ar"/>
        </w:rPr>
      </w:pPr>
      <w:r>
        <w:rPr>
          <w:rFonts w:hint="eastAsia" w:ascii="宋体" w:hAnsi="宋体" w:eastAsia="宋体" w:cs="宋体"/>
          <w:b/>
          <w:i w:val="0"/>
          <w:color w:val="000000"/>
          <w:kern w:val="0"/>
          <w:sz w:val="30"/>
          <w:szCs w:val="30"/>
          <w:u w:val="none"/>
          <w:lang w:val="en-US" w:eastAsia="zh-CN" w:bidi="ar"/>
        </w:rPr>
        <w:br w:type="page"/>
      </w:r>
    </w:p>
    <w:p w14:paraId="63937004">
      <w:pPr>
        <w:pStyle w:val="2"/>
        <w:keepNext w:val="0"/>
        <w:keepLines w:val="0"/>
        <w:pageBreakBefore w:val="0"/>
        <w:widowControl w:val="0"/>
        <w:kinsoku/>
        <w:wordWrap/>
        <w:overflowPunct/>
        <w:topLinePunct w:val="0"/>
        <w:autoSpaceDE/>
        <w:autoSpaceDN/>
        <w:bidi w:val="0"/>
        <w:adjustRightInd w:val="0"/>
        <w:snapToGrid w:val="0"/>
        <w:spacing w:beforeLines="0" w:line="644" w:lineRule="exact"/>
        <w:jc w:val="center"/>
        <w:textAlignment w:val="auto"/>
        <w:rPr>
          <w:rFonts w:hint="eastAsia" w:ascii="方正小标宋简体" w:hAnsi="方正小标宋简体" w:eastAsia="方正小标宋简体" w:cs="方正小标宋简体"/>
          <w:sz w:val="44"/>
          <w:szCs w:val="44"/>
          <w:lang w:val="zh-CN" w:eastAsia="zh-CN"/>
        </w:rPr>
      </w:pPr>
      <w:r>
        <w:rPr>
          <w:rFonts w:hint="eastAsia" w:ascii="方正小标宋简体" w:hAnsi="方正小标宋简体" w:eastAsia="方正小标宋简体" w:cs="方正小标宋简体"/>
          <w:b/>
          <w:i w:val="0"/>
          <w:color w:val="000000"/>
          <w:kern w:val="0"/>
          <w:sz w:val="44"/>
          <w:szCs w:val="44"/>
          <w:u w:val="none"/>
          <w:lang w:val="en-US" w:eastAsia="zh-CN" w:bidi="ar"/>
        </w:rPr>
        <w:t>部门预算项目绩效目标表（2025年度）</w:t>
      </w:r>
    </w:p>
    <w:tbl>
      <w:tblPr>
        <w:tblStyle w:val="17"/>
        <w:tblW w:w="9362" w:type="dxa"/>
        <w:tblInd w:w="-48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27"/>
        <w:gridCol w:w="889"/>
        <w:gridCol w:w="658"/>
        <w:gridCol w:w="980"/>
        <w:gridCol w:w="727"/>
        <w:gridCol w:w="958"/>
        <w:gridCol w:w="1327"/>
        <w:gridCol w:w="484"/>
        <w:gridCol w:w="762"/>
        <w:gridCol w:w="462"/>
        <w:gridCol w:w="450"/>
        <w:gridCol w:w="638"/>
      </w:tblGrid>
      <w:tr w14:paraId="35FA6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3" w:hRule="atLeast"/>
        </w:trPr>
        <w:tc>
          <w:tcPr>
            <w:tcW w:w="10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B3721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单位名称</w:t>
            </w:r>
          </w:p>
        </w:tc>
        <w:tc>
          <w:tcPr>
            <w:tcW w:w="88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2C468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65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E5614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预算数</w:t>
            </w:r>
          </w:p>
        </w:tc>
        <w:tc>
          <w:tcPr>
            <w:tcW w:w="98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347F1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年度目标</w:t>
            </w:r>
          </w:p>
        </w:tc>
        <w:tc>
          <w:tcPr>
            <w:tcW w:w="7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86DF3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一级</w:t>
            </w:r>
          </w:p>
          <w:p w14:paraId="19EEFD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w:t>
            </w:r>
          </w:p>
        </w:tc>
        <w:tc>
          <w:tcPr>
            <w:tcW w:w="95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20023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E0702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8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C47FF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指标性质</w:t>
            </w:r>
          </w:p>
        </w:tc>
        <w:tc>
          <w:tcPr>
            <w:tcW w:w="762"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77673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462"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DFD99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度量单位</w:t>
            </w:r>
          </w:p>
        </w:tc>
        <w:tc>
          <w:tcPr>
            <w:tcW w:w="45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4C367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权重</w:t>
            </w:r>
          </w:p>
        </w:tc>
        <w:tc>
          <w:tcPr>
            <w:tcW w:w="63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F8F40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指标方向性</w:t>
            </w:r>
          </w:p>
        </w:tc>
      </w:tr>
      <w:tr w14:paraId="6DC71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3" w:hRule="atLeast"/>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8A2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122-红原县卫生健康局</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13A13">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8A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4.34</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03A8">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7E7B">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AE5F">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A6A18">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71D3">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118C5">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0409E">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8E954">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12E1A">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r>
      <w:tr w14:paraId="3D939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0" w:hRule="atLeast"/>
        </w:trPr>
        <w:tc>
          <w:tcPr>
            <w:tcW w:w="10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8435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122019-红原县邛溪镇社区卫生服务中心</w:t>
            </w:r>
          </w:p>
        </w:tc>
        <w:tc>
          <w:tcPr>
            <w:tcW w:w="8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6D84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县级配套基本公共卫生</w:t>
            </w:r>
          </w:p>
        </w:tc>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C5D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4.34</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F80D9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乡镇卫生院开展基本公共卫生服务，包括建立居民健康档案，预防接种、传染病防治、高血压糖尿病等慢性病管理重型精神病管理、儿童保健、孕产妇保健、老年人保健；协助处置突发公共卫生事件。开展基本公共卫生服产生的办公费，邮电费等支出。</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3C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5F7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726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基层群众满意度</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D13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999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0CC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E0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39FE">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2C0C2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63F50">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BC998">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FA248">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2655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097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成本</w:t>
            </w:r>
          </w:p>
          <w:p w14:paraId="1D0E14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885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C38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基本公共卫生服务县级配套项目成本</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97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DF2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5.159385</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46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D2A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4FED8">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25668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1" w:hRule="atLeast"/>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DD8A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103D9">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866AA">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E3FA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F0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3378C8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5CF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F99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老年人中医药健康管理率</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D3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1A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46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AB2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A97BF">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307C5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3" w:hRule="atLeast"/>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BD551">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F3640">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4F50E">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7222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C9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51A748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5743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060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居民电子健康档案管理人数</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E81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CE5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7445</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CB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E4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1CBBB">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08D98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9" w:hRule="atLeast"/>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4752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C438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68003">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27B83">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AD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6FF72C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451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A20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严重精神障碍患者随访人次</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7B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E8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62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人次</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27F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2AA6">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4E01B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35" w:hRule="atLeast"/>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42F9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76CF0">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458D0">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9028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07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6AC2A1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7E2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931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65岁及以上居民健康管理人数</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D4B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D6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353</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53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ED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45EC">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1B1CB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46" w:hRule="atLeast"/>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8C0F8">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2B923">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8D517">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A85C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36D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w:t>
            </w:r>
          </w:p>
          <w:p w14:paraId="209F31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AAB0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1AC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提高公共卫生服务均等化水平</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930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F9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优良中</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DBE8F">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7E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861F">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bl>
    <w:p w14:paraId="171BE5B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省级部门对2024年度一般公共预算、政府性基金预算、国有资本经营预算安排的常年项目、阶段项目绩效目标完成情况，以及债券资金、政府购买服务有关情况进行梳理阐述</w:t>
      </w:r>
      <w:r>
        <w:rPr>
          <w:rFonts w:hint="eastAsia" w:ascii="仿宋_GB2312" w:hAnsi="仿宋_GB2312" w:eastAsia="仿宋_GB2312" w:cs="仿宋_GB2312"/>
          <w:color w:val="000000"/>
          <w:kern w:val="0"/>
          <w:sz w:val="32"/>
          <w:szCs w:val="32"/>
          <w:lang w:val="en-US" w:eastAsia="zh-CN" w:bidi="ar"/>
        </w:rPr>
        <w:t>。</w:t>
      </w:r>
    </w:p>
    <w:p w14:paraId="5E6BE0F9">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default" w:ascii="仿宋_GB2312" w:hAnsi="仿宋_GB2312" w:eastAsia="仿宋_GB2312" w:cs="仿宋_GB2312"/>
          <w:color w:val="000000"/>
          <w:kern w:val="0"/>
          <w:sz w:val="32"/>
          <w:szCs w:val="32"/>
          <w:lang w:val="zh-C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_GB2312" w:hAnsi="仿宋_GB2312" w:eastAsia="仿宋_GB2312" w:cs="仿宋_GB2312"/>
          <w:color w:val="000000"/>
          <w:kern w:val="0"/>
          <w:sz w:val="32"/>
          <w:szCs w:val="32"/>
          <w:lang w:val="zh-CN" w:eastAsia="zh-CN" w:bidi="ar"/>
        </w:rPr>
        <w:t>围绕内部应用情况、</w:t>
      </w:r>
      <w:r>
        <w:rPr>
          <w:rFonts w:hint="default" w:ascii="仿宋_GB2312" w:hAnsi="仿宋_GB2312" w:eastAsia="仿宋_GB2312" w:cs="仿宋_GB2312"/>
          <w:color w:val="000000"/>
          <w:kern w:val="0"/>
          <w:sz w:val="32"/>
          <w:szCs w:val="32"/>
          <w:lang w:val="zh-CN" w:eastAsia="zh-CN" w:bidi="ar"/>
        </w:rPr>
        <w:t>信息公开情况</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整改反馈情况</w:t>
      </w:r>
      <w:r>
        <w:rPr>
          <w:rFonts w:hint="eastAsia" w:ascii="仿宋_GB2312" w:hAnsi="仿宋_GB2312" w:eastAsia="仿宋_GB2312" w:cs="仿宋_GB2312"/>
          <w:color w:val="000000"/>
          <w:kern w:val="0"/>
          <w:sz w:val="32"/>
          <w:szCs w:val="32"/>
          <w:lang w:val="zh-CN" w:eastAsia="zh-CN" w:bidi="ar"/>
        </w:rPr>
        <w:t>进行分析。</w:t>
      </w:r>
    </w:p>
    <w:p w14:paraId="27E801D4">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default" w:ascii="Times New Roman" w:hAnsi="Times New Roman" w:eastAsia="黑体" w:cstheme="majorBidi"/>
          <w:b/>
          <w:bCs w:val="0"/>
          <w:color w:val="auto"/>
          <w:kern w:val="2"/>
          <w:sz w:val="32"/>
          <w:szCs w:val="32"/>
          <w:lang w:val="zh-CN" w:eastAsia="zh-CN" w:bidi="ar-SA"/>
        </w:rPr>
      </w:pPr>
      <w:r>
        <w:rPr>
          <w:rFonts w:hint="default" w:ascii="Times New Roman" w:hAnsi="Times New Roman" w:eastAsia="黑体" w:cstheme="majorBidi"/>
          <w:b/>
          <w:bCs w:val="0"/>
          <w:color w:val="auto"/>
          <w:kern w:val="2"/>
          <w:sz w:val="32"/>
          <w:szCs w:val="32"/>
          <w:lang w:val="zh-CN" w:eastAsia="zh-CN" w:bidi="ar-SA"/>
        </w:rPr>
        <w:t>四、评价结论及建议</w:t>
      </w:r>
    </w:p>
    <w:p w14:paraId="35575E68">
      <w:pPr>
        <w:pStyle w:val="16"/>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3" w:firstLineChars="200"/>
        <w:textAlignment w:val="auto"/>
        <w:rPr>
          <w:rFonts w:hint="eastAsia" w:ascii="楷体_GB2312" w:hAnsi="楷体_GB2312" w:eastAsia="楷体_GB2312" w:cs="楷体_GB2312"/>
          <w:b/>
          <w:bCs/>
          <w:color w:val="000000"/>
          <w:kern w:val="0"/>
          <w:sz w:val="32"/>
          <w:szCs w:val="32"/>
          <w:lang w:val="en-US" w:eastAsia="zh-CN" w:bidi="ar"/>
        </w:rPr>
      </w:pPr>
      <w:bookmarkStart w:id="47" w:name="_Hlk110546638"/>
      <w:r>
        <w:rPr>
          <w:rFonts w:hint="eastAsia" w:ascii="楷体_GB2312" w:hAnsi="楷体_GB2312" w:eastAsia="楷体_GB2312" w:cs="楷体_GB2312"/>
          <w:b/>
          <w:bCs/>
          <w:color w:val="000000"/>
          <w:kern w:val="0"/>
          <w:sz w:val="32"/>
          <w:szCs w:val="32"/>
          <w:lang w:val="en-US" w:eastAsia="zh-CN" w:bidi="ar"/>
        </w:rPr>
        <w:t>（一）评价结论。</w:t>
      </w:r>
    </w:p>
    <w:p w14:paraId="790445B1">
      <w:pPr>
        <w:pStyle w:val="16"/>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2024年部门预算编制基础数据真实可靠，按照年度</w:t>
      </w:r>
      <w:r>
        <w:rPr>
          <w:rFonts w:hint="eastAsia" w:ascii="仿宋_GB2312" w:hAnsi="仿宋_GB2312" w:eastAsia="仿宋_GB2312" w:cs="仿宋_GB2312"/>
          <w:color w:val="000000"/>
          <w:kern w:val="0"/>
          <w:sz w:val="32"/>
          <w:szCs w:val="32"/>
          <w:lang w:val="en-US" w:eastAsia="zh-CN" w:bidi="ar"/>
        </w:rPr>
        <w:fldChar w:fldCharType="begin"/>
      </w:r>
      <w:r>
        <w:rPr>
          <w:rFonts w:hint="eastAsia" w:ascii="仿宋_GB2312" w:hAnsi="仿宋_GB2312" w:eastAsia="仿宋_GB2312" w:cs="仿宋_GB2312"/>
          <w:color w:val="000000"/>
          <w:kern w:val="0"/>
          <w:sz w:val="32"/>
          <w:szCs w:val="32"/>
          <w:lang w:val="en-US" w:eastAsia="zh-CN" w:bidi="ar"/>
        </w:rPr>
        <w:instrText xml:space="preserve"> HYPERLINK "http://www.91wenmi.com/wenmi/zongjie/gongzuojihua/" \t "_blank" </w:instrText>
      </w:r>
      <w:r>
        <w:rPr>
          <w:rFonts w:hint="eastAsia" w:ascii="仿宋_GB2312" w:hAnsi="仿宋_GB2312" w:eastAsia="仿宋_GB2312" w:cs="仿宋_GB2312"/>
          <w:color w:val="000000"/>
          <w:kern w:val="0"/>
          <w:sz w:val="32"/>
          <w:szCs w:val="32"/>
          <w:lang w:val="en-US" w:eastAsia="zh-CN" w:bidi="ar"/>
        </w:rPr>
        <w:fldChar w:fldCharType="separate"/>
      </w:r>
      <w:r>
        <w:rPr>
          <w:rFonts w:hint="eastAsia" w:ascii="仿宋_GB2312" w:hAnsi="仿宋_GB2312" w:eastAsia="仿宋_GB2312" w:cs="仿宋_GB2312"/>
          <w:color w:val="000000"/>
          <w:kern w:val="0"/>
          <w:sz w:val="32"/>
          <w:szCs w:val="32"/>
          <w:lang w:val="en-US" w:eastAsia="zh-CN" w:bidi="ar"/>
        </w:rPr>
        <w:t>工作计划</w:t>
      </w:r>
      <w:r>
        <w:rPr>
          <w:rFonts w:hint="eastAsia" w:ascii="仿宋_GB2312" w:hAnsi="仿宋_GB2312" w:eastAsia="仿宋_GB2312" w:cs="仿宋_GB2312"/>
          <w:color w:val="000000"/>
          <w:kern w:val="0"/>
          <w:sz w:val="32"/>
          <w:szCs w:val="32"/>
          <w:lang w:val="en-US" w:eastAsia="zh-CN" w:bidi="ar"/>
        </w:rPr>
        <w:fldChar w:fldCharType="end"/>
      </w:r>
      <w:r>
        <w:rPr>
          <w:rFonts w:hint="eastAsia" w:ascii="仿宋_GB2312" w:hAnsi="仿宋_GB2312" w:eastAsia="仿宋_GB2312" w:cs="仿宋_GB2312"/>
          <w:color w:val="000000"/>
          <w:kern w:val="0"/>
          <w:sz w:val="32"/>
          <w:szCs w:val="32"/>
          <w:lang w:val="en-US" w:eastAsia="zh-CN" w:bidi="ar"/>
        </w:rPr>
        <w:t>和支出标准合理编制预算方案，预算数据按要求及时报送。基本支出按时间进度支付，达到执行进度，年终无结余。严格执行“三公经费”预算，严格审批，无超预算、无预算执行的情况。</w:t>
      </w:r>
    </w:p>
    <w:p w14:paraId="1C195F68">
      <w:pPr>
        <w:pStyle w:val="16"/>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3" w:firstLineChars="200"/>
        <w:textAlignment w:val="auto"/>
        <w:rPr>
          <w:rFonts w:hint="eastAsia" w:ascii="楷体_GB2312" w:hAnsi="楷体_GB2312" w:eastAsia="楷体_GB2312" w:cs="楷体_GB2312"/>
          <w:b/>
          <w:bCs/>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（二）存在问题。</w:t>
      </w:r>
    </w:p>
    <w:p w14:paraId="7A5AB0F6">
      <w:pPr>
        <w:pStyle w:val="16"/>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专项资金执行进度有待进一步加快，固定资产管理继续加强中。账务处理有待于提高。</w:t>
      </w:r>
    </w:p>
    <w:p w14:paraId="4572EC6F">
      <w:pPr>
        <w:pStyle w:val="16"/>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3" w:firstLineChars="200"/>
        <w:textAlignment w:val="auto"/>
        <w:rPr>
          <w:rFonts w:hint="eastAsia" w:ascii="楷体_GB2312" w:hAnsi="楷体_GB2312" w:eastAsia="楷体_GB2312" w:cs="楷体_GB2312"/>
          <w:b/>
          <w:bCs/>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（三）改进建议。</w:t>
      </w:r>
    </w:p>
    <w:p w14:paraId="1D726C1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en-US" w:eastAsia="zh-CN" w:bidi="ar"/>
        </w:rPr>
        <w:t>深入学习贯彻《预算法》等相关法律、法规，进一步增强预算意识，始终坚持先有预算、后有支出，没有预算不得支出的原则。科学合理编制部门预算，推进预算编制科学化、准确化。年度预算编制后，根据实际情况，定期做好预算执行分析，适时掌握预算执行进度，及时找出预算实际执行情况与预算目标之间存在的差距，进一步加快预算执行。加强与业务部门工作对接，做好提前准备工作，资金下达后及时开展项目工作，加快执行进度，充分发挥项目资金效益。</w:t>
      </w:r>
      <w:bookmarkEnd w:id="47"/>
    </w:p>
    <w:p w14:paraId="214AFFAF">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zh-CN" w:eastAsia="zh-CN" w:bidi="ar"/>
        </w:rPr>
      </w:pPr>
      <w:r>
        <w:rPr>
          <w:rFonts w:hint="eastAsia" w:ascii="仿宋_GB2312" w:hAnsi="仿宋_GB2312" w:eastAsia="仿宋_GB2312" w:cs="仿宋_GB2312"/>
          <w:b w:val="0"/>
          <w:bCs w:val="0"/>
          <w:color w:val="000000"/>
          <w:kern w:val="0"/>
          <w:sz w:val="32"/>
          <w:szCs w:val="32"/>
          <w:lang w:val="zh-CN" w:eastAsia="zh-CN" w:bidi="ar"/>
        </w:rPr>
        <w:t>附表：</w:t>
      </w:r>
      <w:r>
        <w:rPr>
          <w:rFonts w:hint="eastAsia" w:ascii="仿宋_GB2312" w:hAnsi="仿宋_GB2312" w:eastAsia="仿宋_GB2312" w:cs="仿宋_GB2312"/>
          <w:b w:val="0"/>
          <w:bCs w:val="0"/>
          <w:color w:val="000000"/>
          <w:kern w:val="0"/>
          <w:sz w:val="32"/>
          <w:szCs w:val="32"/>
          <w:lang w:val="en-US" w:eastAsia="zh-CN" w:bidi="ar"/>
        </w:rPr>
        <w:t>部门预算项目支出绩效自评表（2024年度）</w:t>
      </w:r>
    </w:p>
    <w:p w14:paraId="1ED43D18">
      <w:pPr>
        <w:pStyle w:val="8"/>
        <w:keepNext w:val="0"/>
        <w:keepLines w:val="0"/>
        <w:pageBreakBefore w:val="0"/>
        <w:numPr>
          <w:ilvl w:val="0"/>
          <w:numId w:val="0"/>
        </w:numPr>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color w:val="000000"/>
          <w:kern w:val="0"/>
          <w:sz w:val="32"/>
          <w:szCs w:val="32"/>
          <w:lang w:val="zh-CN" w:eastAsia="zh-CN" w:bidi="ar"/>
        </w:rPr>
      </w:pPr>
      <w:r>
        <w:rPr>
          <w:rFonts w:hint="eastAsia" w:ascii="仿宋_GB2312" w:hAnsi="仿宋_GB2312" w:eastAsia="仿宋_GB2312" w:cs="仿宋_GB2312"/>
          <w:b/>
          <w:bCs/>
          <w:color w:val="000000"/>
          <w:kern w:val="0"/>
          <w:sz w:val="32"/>
          <w:szCs w:val="32"/>
          <w:lang w:val="en-US" w:eastAsia="zh-CN" w:bidi="ar"/>
        </w:rPr>
        <w:t>（注：按照绩效自评工作安排，各部门已在预算管理一体化系统绩效自评模块上传“部门预算项目支出绩效自评表（2024年度）”，该表格应作为附表予以公开）</w:t>
      </w:r>
    </w:p>
    <w:p w14:paraId="33705A2D">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1AC5E1FB">
      <w:pPr>
        <w:pStyle w:val="3"/>
        <w:rPr>
          <w:rFonts w:hint="eastAsia" w:ascii="Times New Roman" w:hAnsi="Times New Roman" w:cs="宋体"/>
          <w:color w:val="FF0000"/>
          <w:kern w:val="0"/>
          <w:sz w:val="32"/>
          <w:szCs w:val="32"/>
          <w:highlight w:val="yellow"/>
          <w:shd w:val="clear" w:color="auto" w:fill="FFFFFF"/>
          <w:lang w:val="zh-CN"/>
        </w:rPr>
      </w:pPr>
    </w:p>
    <w:p w14:paraId="521D3CD9">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14:paraId="631E244C">
      <w:pPr>
        <w:pStyle w:val="3"/>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4C738F31">
      <w:pPr>
        <w:pStyle w:val="36"/>
        <w:keepNext w:val="0"/>
        <w:keepLines w:val="0"/>
        <w:pageBreakBefore w:val="0"/>
        <w:widowControl w:val="0"/>
        <w:kinsoku/>
        <w:wordWrap/>
        <w:overflowPunct/>
        <w:topLinePunct w:val="0"/>
        <w:autoSpaceDE/>
        <w:autoSpaceDN/>
        <w:bidi w:val="0"/>
        <w:adjustRightInd w:val="0"/>
        <w:snapToGrid w:val="0"/>
        <w:spacing w:line="240" w:lineRule="auto"/>
        <w:ind w:left="0" w:leftChars="0"/>
        <w:jc w:val="both"/>
        <w:textAlignment w:val="auto"/>
        <w:rPr>
          <w:rFonts w:hint="eastAsia" w:ascii="Times New Roman" w:hAnsi="Times New Roman" w:eastAsia="方正小标宋简体" w:cs="方正小标宋简体"/>
          <w:color w:val="auto"/>
          <w:kern w:val="2"/>
          <w:sz w:val="44"/>
          <w:szCs w:val="44"/>
          <w:highlight w:val="none"/>
          <w:lang w:val="en-US" w:eastAsia="zh-CN"/>
        </w:rPr>
      </w:pPr>
    </w:p>
    <w:p w14:paraId="21736C82">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专项预算项目绩效评价报告范本</w:t>
      </w:r>
    </w:p>
    <w:p w14:paraId="1AB1EEC1">
      <w:pPr>
        <w:pStyle w:val="36"/>
        <w:keepNext w:val="0"/>
        <w:keepLines w:val="0"/>
        <w:pageBreakBefore w:val="0"/>
        <w:widowControl w:val="0"/>
        <w:kinsoku/>
        <w:wordWrap/>
        <w:overflowPunct/>
        <w:topLinePunct w:val="0"/>
        <w:autoSpaceDE/>
        <w:autoSpaceDN/>
        <w:bidi w:val="0"/>
        <w:adjustRightInd w:val="0"/>
        <w:snapToGrid w:val="0"/>
        <w:spacing w:line="240" w:lineRule="auto"/>
        <w:ind w:left="0" w:leftChars="0" w:firstLine="641"/>
        <w:jc w:val="center"/>
        <w:textAlignment w:val="auto"/>
        <w:rPr>
          <w:rFonts w:ascii="Times New Roman" w:hAnsi="Times New Roman"/>
          <w:color w:val="auto"/>
          <w:kern w:val="2"/>
          <w:sz w:val="32"/>
          <w:szCs w:val="32"/>
          <w:highlight w:val="none"/>
        </w:rPr>
      </w:pPr>
    </w:p>
    <w:p w14:paraId="04EE1473">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zh-CN" w:eastAsia="zh-CN" w:bidi="ar-SA"/>
        </w:rPr>
      </w:pPr>
      <w:r>
        <w:rPr>
          <w:rFonts w:hint="eastAsia" w:ascii="Times New Roman" w:hAnsi="Times New Roman" w:eastAsia="黑体" w:cstheme="majorBidi"/>
          <w:b/>
          <w:bCs w:val="0"/>
          <w:color w:val="auto"/>
          <w:kern w:val="2"/>
          <w:sz w:val="32"/>
          <w:szCs w:val="32"/>
          <w:lang w:val="en-US" w:eastAsia="zh-CN" w:bidi="ar-SA"/>
        </w:rPr>
        <w:t>一、</w:t>
      </w:r>
      <w:r>
        <w:rPr>
          <w:rFonts w:hint="eastAsia" w:ascii="Times New Roman" w:hAnsi="Times New Roman" w:eastAsia="黑体" w:cstheme="majorBidi"/>
          <w:b/>
          <w:bCs w:val="0"/>
          <w:color w:val="auto"/>
          <w:kern w:val="2"/>
          <w:sz w:val="32"/>
          <w:szCs w:val="32"/>
          <w:lang w:val="zh-CN" w:eastAsia="zh-CN" w:bidi="ar-SA"/>
        </w:rPr>
        <w:t>项目概况</w:t>
      </w:r>
    </w:p>
    <w:p w14:paraId="5ECBE60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000000"/>
          <w:kern w:val="0"/>
          <w:sz w:val="32"/>
          <w:szCs w:val="32"/>
          <w:lang w:val="zh-CN" w:eastAsia="zh-CN" w:bidi="ar"/>
        </w:rPr>
      </w:pPr>
      <w:r>
        <w:rPr>
          <w:rFonts w:hint="eastAsia" w:ascii="Times New Roman" w:hAnsi="Times New Roman" w:eastAsia="楷体_GB2312"/>
          <w:b/>
          <w:color w:val="auto"/>
          <w:sz w:val="32"/>
          <w:szCs w:val="32"/>
          <w:highlight w:val="none"/>
          <w:u w:val="none"/>
          <w:lang w:val="zh-CN"/>
        </w:rPr>
        <w:t>（一）设立背景及基本情况。</w:t>
      </w:r>
      <w:r>
        <w:rPr>
          <w:rFonts w:hint="eastAsia" w:ascii="仿宋_GB2312" w:hAnsi="仿宋_GB2312" w:eastAsia="仿宋_GB2312" w:cs="仿宋_GB2312"/>
          <w:color w:val="000000"/>
          <w:kern w:val="0"/>
          <w:sz w:val="32"/>
          <w:szCs w:val="32"/>
          <w:lang w:val="en-US" w:eastAsia="zh-CN" w:bidi="ar"/>
        </w:rPr>
        <w:t>项目设立原因及背景，</w:t>
      </w:r>
      <w:r>
        <w:rPr>
          <w:rFonts w:hint="eastAsia" w:ascii="仿宋_GB2312" w:hAnsi="仿宋_GB2312" w:eastAsia="仿宋_GB2312" w:cs="仿宋_GB2312"/>
          <w:color w:val="000000"/>
          <w:kern w:val="0"/>
          <w:sz w:val="32"/>
          <w:szCs w:val="32"/>
          <w:lang w:val="zh-CN" w:eastAsia="zh-CN" w:bidi="ar"/>
        </w:rPr>
        <w:t>项目立项、资金申报的依据，项目主要内容</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zh-CN" w:eastAsia="zh-CN" w:bidi="ar"/>
        </w:rPr>
        <w:t>主管部门职能。</w:t>
      </w:r>
    </w:p>
    <w:p w14:paraId="272666EF">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仿宋_GB2312" w:hAnsi="仿宋_GB2312" w:eastAsia="仿宋_GB2312" w:cs="仿宋_GB2312"/>
          <w:color w:val="000000"/>
          <w:kern w:val="0"/>
          <w:sz w:val="32"/>
          <w:szCs w:val="32"/>
          <w:lang w:val="zh-CN" w:eastAsia="zh-CN" w:bidi="ar"/>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hint="eastAsia" w:ascii="仿宋_GB2312" w:hAnsi="仿宋_GB2312" w:eastAsia="仿宋_GB2312" w:cs="仿宋_GB2312"/>
          <w:color w:val="000000"/>
          <w:kern w:val="0"/>
          <w:sz w:val="32"/>
          <w:szCs w:val="32"/>
          <w:lang w:val="en-US" w:eastAsia="zh-CN" w:bidi="ar"/>
        </w:rPr>
        <w:t>项目资金</w:t>
      </w:r>
      <w:r>
        <w:rPr>
          <w:rFonts w:hint="eastAsia" w:ascii="仿宋_GB2312" w:hAnsi="仿宋_GB2312" w:eastAsia="仿宋_GB2312" w:cs="仿宋_GB2312"/>
          <w:color w:val="000000"/>
          <w:kern w:val="0"/>
          <w:sz w:val="32"/>
          <w:szCs w:val="32"/>
          <w:lang w:val="zh-CN" w:eastAsia="zh-CN" w:bidi="ar"/>
        </w:rPr>
        <w:t>管理办法制定情况，项目实施目的和主要工作任务，项目支持方向。</w:t>
      </w:r>
    </w:p>
    <w:p w14:paraId="3148A63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ascii="Times New Roman" w:hAnsi="Times New Roman" w:eastAsia="仿宋_GB2312" w:cs="仿宋_GB2312"/>
          <w:b w:val="0"/>
          <w:bCs w:val="0"/>
          <w:kern w:val="0"/>
          <w:position w:val="0"/>
          <w:sz w:val="32"/>
          <w:szCs w:val="32"/>
          <w:highlight w:val="none"/>
          <w:lang w:val="zh-CN" w:eastAsia="zh-CN" w:bidi="ar-SA"/>
        </w:rPr>
        <w:t>项目预算安排情况，项目资金分配原则及考虑因素，项目资金分配情况。</w:t>
      </w:r>
    </w:p>
    <w:p w14:paraId="566B2462">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Times New Roman" w:hAnsi="Times New Roman" w:eastAsia="仿宋_GB2312" w:cs="仿宋_GB2312"/>
          <w:b w:val="0"/>
          <w:bCs w:val="0"/>
          <w:kern w:val="0"/>
          <w:position w:val="0"/>
          <w:sz w:val="32"/>
          <w:szCs w:val="32"/>
          <w:highlight w:val="none"/>
          <w:lang w:val="zh-CN" w:eastAsia="zh-CN" w:bidi="ar-SA"/>
        </w:rPr>
        <w:t>项目整体、区域和具体绩效目标设置情况，项目自评工作开展情况。</w:t>
      </w:r>
    </w:p>
    <w:p w14:paraId="6193738F">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二、评价实施</w:t>
      </w:r>
    </w:p>
    <w:p w14:paraId="2D954C8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r>
        <w:rPr>
          <w:rFonts w:hint="eastAsia" w:ascii="Times New Roman" w:hAnsi="Times New Roman" w:eastAsia="仿宋_GB2312" w:cs="仿宋_GB2312"/>
          <w:b w:val="0"/>
          <w:bCs w:val="0"/>
          <w:kern w:val="0"/>
          <w:position w:val="0"/>
          <w:sz w:val="32"/>
          <w:szCs w:val="32"/>
          <w:highlight w:val="none"/>
          <w:lang w:val="zh-CN" w:eastAsia="zh-CN" w:bidi="ar-SA"/>
        </w:rPr>
        <w:t>通过项目绩效自评要实现的目的。</w:t>
      </w:r>
    </w:p>
    <w:p w14:paraId="18EFB52D">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Times New Roman" w:hAnsi="Times New Roman" w:eastAsia="仿宋_GB2312" w:cs="仿宋_GB2312"/>
          <w:b w:val="0"/>
          <w:bCs w:val="0"/>
          <w:kern w:val="0"/>
          <w:position w:val="0"/>
          <w:sz w:val="32"/>
          <w:szCs w:val="32"/>
          <w:highlight w:val="none"/>
          <w:lang w:val="zh-CN" w:eastAsia="zh-CN" w:bidi="ar-SA"/>
        </w:rPr>
        <w:t>按照绩效评价指标体系，对资金支出使用全过程及其实施效果进行综合评价和判断。</w:t>
      </w:r>
    </w:p>
    <w:p w14:paraId="1588013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r>
        <w:rPr>
          <w:rFonts w:hint="eastAsia" w:ascii="Times New Roman" w:hAnsi="Times New Roman" w:eastAsia="仿宋_GB2312" w:cs="仿宋_GB2312"/>
          <w:b w:val="0"/>
          <w:color w:val="auto"/>
          <w:kern w:val="0"/>
          <w:sz w:val="32"/>
          <w:szCs w:val="32"/>
          <w:highlight w:val="none"/>
          <w:u w:val="none"/>
          <w:lang w:val="zh-CN"/>
        </w:rPr>
        <w:t>项目绩效自评所抽样点位情况。每个专项预算项目应选</w:t>
      </w:r>
      <w:r>
        <w:rPr>
          <w:rFonts w:hint="eastAsia" w:ascii="仿宋_GB2312" w:hAnsi="仿宋_GB2312" w:eastAsia="仿宋_GB2312" w:cs="仿宋_GB2312"/>
          <w:color w:val="000000"/>
          <w:kern w:val="0"/>
          <w:sz w:val="32"/>
          <w:szCs w:val="32"/>
          <w:lang w:val="zh-CN" w:eastAsia="zh-CN" w:bidi="ar"/>
        </w:rPr>
        <w:t>取专项资金分配涉及</w:t>
      </w:r>
      <w:r>
        <w:rPr>
          <w:rFonts w:hint="eastAsia" w:ascii="Times New Roman" w:hAnsi="Times New Roman" w:eastAsia="仿宋_GB2312" w:cs="仿宋_GB2312"/>
          <w:b w:val="0"/>
          <w:color w:val="auto"/>
          <w:kern w:val="0"/>
          <w:sz w:val="32"/>
          <w:szCs w:val="32"/>
          <w:highlight w:val="none"/>
          <w:u w:val="none"/>
          <w:lang w:val="zh-CN"/>
        </w:rPr>
        <w:t>市县总数的20%、总计不超过20个的市县点位进行实地踏勘，且点位清单应作为自评附表。</w:t>
      </w:r>
    </w:p>
    <w:p w14:paraId="6C389EC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（四）评价方法。</w:t>
      </w:r>
      <w:r>
        <w:rPr>
          <w:rFonts w:hint="eastAsia" w:ascii="Times New Roman" w:hAnsi="Times New Roman" w:eastAsia="仿宋_GB2312" w:cs="仿宋_GB2312"/>
          <w:b w:val="0"/>
          <w:bCs w:val="0"/>
          <w:kern w:val="0"/>
          <w:position w:val="0"/>
          <w:sz w:val="32"/>
          <w:szCs w:val="32"/>
          <w:highlight w:val="none"/>
          <w:lang w:val="zh-CN" w:eastAsia="zh-CN" w:bidi="ar-SA"/>
        </w:rPr>
        <w:t>根据项目情况和评价重点，用来收集相关材料和开展具体评价的方法。包括：采用成本效益分析法、标杆管理法、案卷研究法、单位自评法、实地勘察法、问卷调查法、座谈调研法等多种方法。</w:t>
      </w:r>
    </w:p>
    <w:p w14:paraId="0BA446A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bCs/>
          <w:lang w:eastAsia="zh-CN"/>
        </w:rPr>
      </w:pPr>
      <w:r>
        <w:rPr>
          <w:rFonts w:hint="eastAsia" w:ascii="Times New Roman" w:hAnsi="Times New Roman" w:eastAsia="楷体_GB2312"/>
          <w:b/>
          <w:color w:val="auto"/>
          <w:sz w:val="32"/>
          <w:szCs w:val="32"/>
          <w:highlight w:val="none"/>
          <w:u w:val="none"/>
          <w:lang w:val="zh-CN"/>
        </w:rPr>
        <w:t>（五）评价组织。</w:t>
      </w:r>
      <w:r>
        <w:rPr>
          <w:rFonts w:hint="eastAsia" w:ascii="Times New Roman" w:hAnsi="Times New Roman" w:eastAsia="仿宋_GB2312" w:cs="仿宋_GB2312"/>
          <w:b w:val="0"/>
          <w:bCs w:val="0"/>
          <w:kern w:val="0"/>
          <w:position w:val="0"/>
          <w:sz w:val="32"/>
          <w:szCs w:val="32"/>
          <w:highlight w:val="none"/>
          <w:lang w:val="zh-CN" w:eastAsia="zh-CN" w:bidi="ar-SA"/>
        </w:rPr>
        <w:t>评价组人员构成和职责分工。</w:t>
      </w:r>
    </w:p>
    <w:p w14:paraId="5AF822A2">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zh-CN" w:eastAsia="zh-CN" w:bidi="ar-SA"/>
        </w:rPr>
      </w:pPr>
      <w:r>
        <w:rPr>
          <w:rFonts w:hint="eastAsia" w:ascii="Times New Roman" w:hAnsi="Times New Roman" w:eastAsia="黑体" w:cstheme="majorBidi"/>
          <w:b/>
          <w:bCs w:val="0"/>
          <w:color w:val="auto"/>
          <w:kern w:val="2"/>
          <w:sz w:val="32"/>
          <w:szCs w:val="32"/>
          <w:lang w:val="en-US" w:eastAsia="zh-CN" w:bidi="ar-SA"/>
        </w:rPr>
        <w:t>三、绩效分析</w:t>
      </w:r>
      <w:r>
        <w:rPr>
          <w:rFonts w:hint="eastAsia" w:ascii="Times New Roman" w:hAnsi="Times New Roman" w:eastAsia="黑体" w:cstheme="majorBidi"/>
          <w:b/>
          <w:bCs w:val="0"/>
          <w:color w:val="auto"/>
          <w:kern w:val="2"/>
          <w:sz w:val="32"/>
          <w:szCs w:val="32"/>
          <w:lang w:val="zh-CN" w:eastAsia="zh-CN" w:bidi="ar-SA"/>
        </w:rPr>
        <w:tab/>
      </w:r>
    </w:p>
    <w:p w14:paraId="26E16C6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default" w:ascii="Times New Roman" w:hAnsi="Times New Roman" w:eastAsia="仿宋_GB2312" w:cs="仿宋_GB2312"/>
          <w:b w:val="0"/>
          <w:bCs w:val="0"/>
          <w:kern w:val="0"/>
          <w:position w:val="0"/>
          <w:sz w:val="32"/>
          <w:szCs w:val="32"/>
          <w:highlight w:val="none"/>
          <w:lang w:val="zh-CN" w:eastAsia="zh-CN" w:bidi="ar-SA"/>
        </w:rPr>
        <w:t>预算绩效评价指标体系</w:t>
      </w:r>
      <w:r>
        <w:rPr>
          <w:rFonts w:hint="eastAsia" w:ascii="Times New Roman" w:hAnsi="Times New Roman" w:eastAsia="仿宋_GB2312" w:cs="仿宋_GB2312"/>
          <w:b w:val="0"/>
          <w:bCs w:val="0"/>
          <w:kern w:val="0"/>
          <w:position w:val="0"/>
          <w:sz w:val="32"/>
          <w:szCs w:val="32"/>
          <w:highlight w:val="none"/>
          <w:lang w:val="zh-CN" w:eastAsia="zh-CN" w:bidi="ar-SA"/>
        </w:rPr>
        <w:t>通用指标、专用指标、个性指标</w:t>
      </w:r>
      <w:r>
        <w:rPr>
          <w:rFonts w:hint="default" w:ascii="Times New Roman" w:hAnsi="Times New Roman" w:eastAsia="仿宋_GB2312" w:cs="仿宋_GB2312"/>
          <w:b w:val="0"/>
          <w:bCs w:val="0"/>
          <w:kern w:val="0"/>
          <w:position w:val="0"/>
          <w:sz w:val="32"/>
          <w:szCs w:val="32"/>
          <w:highlight w:val="none"/>
          <w:lang w:val="zh-CN" w:eastAsia="zh-CN" w:bidi="ar-SA"/>
        </w:rPr>
        <w:t>涉及</w:t>
      </w:r>
      <w:r>
        <w:rPr>
          <w:rFonts w:hint="eastAsia" w:ascii="Times New Roman" w:hAnsi="Times New Roman" w:eastAsia="仿宋_GB2312" w:cs="仿宋_GB2312"/>
          <w:b w:val="0"/>
          <w:bCs w:val="0"/>
          <w:kern w:val="0"/>
          <w:position w:val="0"/>
          <w:sz w:val="32"/>
          <w:szCs w:val="32"/>
          <w:highlight w:val="none"/>
          <w:lang w:val="zh-CN" w:eastAsia="zh-CN" w:bidi="ar-SA"/>
        </w:rPr>
        <w:t>二、三级</w:t>
      </w:r>
      <w:r>
        <w:rPr>
          <w:rFonts w:hint="default" w:ascii="Times New Roman" w:hAnsi="Times New Roman" w:eastAsia="仿宋_GB2312" w:cs="仿宋_GB2312"/>
          <w:b w:val="0"/>
          <w:bCs w:val="0"/>
          <w:kern w:val="0"/>
          <w:position w:val="0"/>
          <w:sz w:val="32"/>
          <w:szCs w:val="32"/>
          <w:highlight w:val="none"/>
          <w:lang w:val="zh-CN" w:eastAsia="zh-CN" w:bidi="ar-SA"/>
        </w:rPr>
        <w:t>指标进行</w:t>
      </w:r>
      <w:r>
        <w:rPr>
          <w:rFonts w:hint="eastAsia" w:ascii="Times New Roman" w:hAnsi="Times New Roman" w:eastAsia="仿宋_GB2312" w:cs="仿宋_GB2312"/>
          <w:b w:val="0"/>
          <w:bCs w:val="0"/>
          <w:kern w:val="0"/>
          <w:position w:val="0"/>
          <w:sz w:val="32"/>
          <w:szCs w:val="32"/>
          <w:highlight w:val="none"/>
          <w:lang w:val="zh-CN" w:eastAsia="zh-CN" w:bidi="ar-SA"/>
        </w:rPr>
        <w:t>逐项</w:t>
      </w:r>
      <w:r>
        <w:rPr>
          <w:rFonts w:hint="default" w:ascii="Times New Roman" w:hAnsi="Times New Roman" w:eastAsia="仿宋_GB2312" w:cs="仿宋_GB2312"/>
          <w:b w:val="0"/>
          <w:bCs w:val="0"/>
          <w:kern w:val="0"/>
          <w:position w:val="0"/>
          <w:sz w:val="32"/>
          <w:szCs w:val="32"/>
          <w:highlight w:val="none"/>
          <w:lang w:val="zh-CN" w:eastAsia="zh-CN" w:bidi="ar-SA"/>
        </w:rPr>
        <w:t>绩效分析</w:t>
      </w:r>
      <w:r>
        <w:rPr>
          <w:rFonts w:hint="eastAsia" w:ascii="Times New Roman" w:hAnsi="Times New Roman" w:eastAsia="仿宋_GB2312" w:cs="仿宋_GB2312"/>
          <w:b w:val="0"/>
          <w:bCs w:val="0"/>
          <w:kern w:val="0"/>
          <w:position w:val="0"/>
          <w:sz w:val="32"/>
          <w:szCs w:val="32"/>
          <w:highlight w:val="none"/>
          <w:lang w:val="zh-CN" w:eastAsia="zh-CN" w:bidi="ar-SA"/>
        </w:rPr>
        <w:t>并评分</w:t>
      </w:r>
      <w:r>
        <w:rPr>
          <w:rFonts w:hint="eastAsia" w:ascii="Times New Roman" w:hAnsi="Times New Roman" w:eastAsia="仿宋_GB2312" w:cs="仿宋_GB2312"/>
          <w:b w:val="0"/>
          <w:bCs w:val="0"/>
          <w:kern w:val="0"/>
          <w:position w:val="0"/>
          <w:sz w:val="32"/>
          <w:szCs w:val="32"/>
          <w:highlight w:val="none"/>
          <w:lang w:val="en-US" w:eastAsia="zh-CN" w:bidi="ar-SA"/>
        </w:rPr>
        <w:t>。</w:t>
      </w:r>
    </w:p>
    <w:p w14:paraId="692CA2A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13DA973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en-US" w:eastAsia="zh-CN" w:bidi="ar-SA"/>
        </w:rPr>
        <w:t>1.</w:t>
      </w:r>
      <w:r>
        <w:rPr>
          <w:rFonts w:hint="eastAsia" w:ascii="Times New Roman" w:hAnsi="Times New Roman" w:eastAsia="仿宋_GB2312" w:cs="仿宋_GB2312"/>
          <w:b/>
          <w:bCs/>
          <w:kern w:val="0"/>
          <w:position w:val="0"/>
          <w:sz w:val="32"/>
          <w:szCs w:val="32"/>
          <w:highlight w:val="none"/>
          <w:lang w:val="zh-CN" w:eastAsia="zh-CN" w:bidi="ar-SA"/>
        </w:rPr>
        <w:t>项目决策。</w:t>
      </w:r>
      <w:r>
        <w:rPr>
          <w:rFonts w:hint="eastAsia" w:ascii="Times New Roman" w:hAnsi="Times New Roman" w:eastAsia="仿宋_GB2312" w:cs="仿宋_GB2312"/>
          <w:b w:val="0"/>
          <w:bCs w:val="0"/>
          <w:kern w:val="0"/>
          <w:position w:val="0"/>
          <w:sz w:val="32"/>
          <w:szCs w:val="32"/>
          <w:highlight w:val="none"/>
          <w:lang w:val="zh-CN" w:eastAsia="zh-CN" w:bidi="ar-SA"/>
        </w:rPr>
        <w:t>围绕决策程序、规划论证、资金投向进行绩效分析。</w:t>
      </w:r>
    </w:p>
    <w:p w14:paraId="7A0DC27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en-US" w:eastAsia="zh-CN" w:bidi="ar-SA"/>
        </w:rPr>
        <w:t>2.</w:t>
      </w:r>
      <w:r>
        <w:rPr>
          <w:rFonts w:hint="eastAsia" w:ascii="Times New Roman" w:hAnsi="Times New Roman" w:eastAsia="仿宋_GB2312" w:cs="仿宋_GB2312"/>
          <w:b/>
          <w:bCs/>
          <w:kern w:val="0"/>
          <w:position w:val="0"/>
          <w:sz w:val="32"/>
          <w:szCs w:val="32"/>
          <w:highlight w:val="none"/>
          <w:lang w:val="zh-CN" w:eastAsia="zh-CN" w:bidi="ar-SA"/>
        </w:rPr>
        <w:t>项目管理。</w:t>
      </w:r>
      <w:r>
        <w:rPr>
          <w:rFonts w:hint="eastAsia" w:ascii="Times New Roman" w:hAnsi="Times New Roman" w:eastAsia="仿宋_GB2312" w:cs="仿宋_GB2312"/>
          <w:b w:val="0"/>
          <w:bCs w:val="0"/>
          <w:kern w:val="0"/>
          <w:position w:val="0"/>
          <w:sz w:val="32"/>
          <w:szCs w:val="32"/>
          <w:highlight w:val="none"/>
          <w:lang w:val="zh-CN" w:eastAsia="zh-CN" w:bidi="ar-SA"/>
        </w:rPr>
        <w:t>围绕制度办法、分配管理、绩效监管进行绩效分析。</w:t>
      </w:r>
    </w:p>
    <w:p w14:paraId="3024383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en-US" w:eastAsia="zh-CN" w:bidi="ar-SA"/>
        </w:rPr>
        <w:t>3.项目实施。</w:t>
      </w:r>
      <w:r>
        <w:rPr>
          <w:rFonts w:hint="eastAsia" w:ascii="仿宋_GB2312" w:hAnsi="仿宋_GB2312" w:eastAsia="仿宋_GB2312" w:cs="仿宋_GB2312"/>
          <w:color w:val="000000"/>
          <w:kern w:val="0"/>
          <w:sz w:val="32"/>
          <w:szCs w:val="32"/>
          <w:lang w:val="zh-CN" w:eastAsia="zh-CN" w:bidi="ar"/>
        </w:rPr>
        <w:t>围绕预算执行、资金使用进</w:t>
      </w:r>
      <w:r>
        <w:rPr>
          <w:rFonts w:hint="eastAsia" w:ascii="Times New Roman" w:hAnsi="Times New Roman" w:eastAsia="仿宋_GB2312" w:cs="仿宋_GB2312"/>
          <w:b w:val="0"/>
          <w:bCs w:val="0"/>
          <w:kern w:val="0"/>
          <w:position w:val="0"/>
          <w:sz w:val="32"/>
          <w:szCs w:val="32"/>
          <w:highlight w:val="none"/>
          <w:lang w:val="zh-CN" w:eastAsia="zh-CN" w:bidi="ar-SA"/>
        </w:rPr>
        <w:t>行绩效分析。</w:t>
      </w:r>
    </w:p>
    <w:p w14:paraId="54B03EB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en-US" w:eastAsia="zh-CN" w:bidi="ar-SA"/>
        </w:rPr>
        <w:t>4.项目结果。</w:t>
      </w:r>
      <w:r>
        <w:rPr>
          <w:rFonts w:hint="eastAsia" w:ascii="Times New Roman" w:hAnsi="Times New Roman" w:eastAsia="仿宋_GB2312" w:cs="仿宋_GB2312"/>
          <w:b w:val="0"/>
          <w:bCs w:val="0"/>
          <w:kern w:val="0"/>
          <w:position w:val="0"/>
          <w:sz w:val="32"/>
          <w:szCs w:val="32"/>
          <w:highlight w:val="none"/>
          <w:lang w:val="en-US" w:eastAsia="zh-CN" w:bidi="ar-SA"/>
        </w:rPr>
        <w:t>围绕</w:t>
      </w:r>
      <w:r>
        <w:rPr>
          <w:rFonts w:hint="eastAsia" w:ascii="Times New Roman" w:hAnsi="Times New Roman" w:eastAsia="仿宋_GB2312" w:cs="仿宋_GB2312"/>
          <w:b w:val="0"/>
          <w:bCs w:val="0"/>
          <w:kern w:val="0"/>
          <w:position w:val="0"/>
          <w:sz w:val="32"/>
          <w:szCs w:val="32"/>
          <w:highlight w:val="none"/>
          <w:lang w:val="zh-CN" w:eastAsia="zh-CN" w:bidi="ar-SA"/>
        </w:rPr>
        <w:t>目标完成、完成时效进行绩效分析。</w:t>
      </w:r>
    </w:p>
    <w:p w14:paraId="74F8C1A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en-US" w:eastAsia="zh-CN" w:bidi="ar-SA"/>
        </w:rPr>
        <w:t>专项预算项目资金支持对象选择所属指标进行绩效分析。支持对象</w:t>
      </w:r>
      <w:r>
        <w:rPr>
          <w:rFonts w:hint="eastAsia" w:ascii="Times New Roman" w:hAnsi="Times New Roman" w:eastAsia="仿宋_GB2312" w:cs="仿宋_GB2312"/>
          <w:b w:val="0"/>
          <w:bCs w:val="0"/>
          <w:kern w:val="0"/>
          <w:position w:val="0"/>
          <w:sz w:val="32"/>
          <w:szCs w:val="32"/>
          <w:highlight w:val="none"/>
          <w:lang w:val="zh-CN" w:eastAsia="zh-CN" w:bidi="ar-SA"/>
        </w:rPr>
        <w:t>包括产业发展、民生保障、基础设施、行政运转等方面。</w:t>
      </w:r>
    </w:p>
    <w:p w14:paraId="1FD048A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en-US" w:eastAsia="zh-CN" w:bidi="ar-SA"/>
        </w:rPr>
        <w:t>1.产业发展。</w:t>
      </w:r>
      <w:r>
        <w:rPr>
          <w:rFonts w:hint="eastAsia" w:ascii="Times New Roman" w:hAnsi="Times New Roman" w:eastAsia="仿宋_GB2312" w:cs="仿宋_GB2312"/>
          <w:b w:val="0"/>
          <w:bCs w:val="0"/>
          <w:kern w:val="0"/>
          <w:position w:val="0"/>
          <w:sz w:val="32"/>
          <w:szCs w:val="32"/>
          <w:highlight w:val="none"/>
          <w:lang w:val="en-US" w:eastAsia="zh-CN" w:bidi="ar-SA"/>
        </w:rPr>
        <w:t>围绕符合性、成长性、经济性进行绩效分析。</w:t>
      </w:r>
    </w:p>
    <w:p w14:paraId="5511F26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en-US" w:eastAsia="zh-CN" w:bidi="ar-SA"/>
        </w:rPr>
        <w:t>2.</w:t>
      </w:r>
      <w:r>
        <w:rPr>
          <w:rFonts w:hint="eastAsia" w:ascii="Times New Roman" w:hAnsi="Times New Roman" w:eastAsia="仿宋_GB2312" w:cs="仿宋_GB2312"/>
          <w:b/>
          <w:bCs/>
          <w:kern w:val="0"/>
          <w:position w:val="0"/>
          <w:sz w:val="32"/>
          <w:szCs w:val="32"/>
          <w:highlight w:val="none"/>
          <w:lang w:val="zh-CN" w:eastAsia="zh-CN" w:bidi="ar-SA"/>
        </w:rPr>
        <w:t>民生</w:t>
      </w:r>
      <w:r>
        <w:rPr>
          <w:rFonts w:hint="eastAsia" w:ascii="仿宋_GB2312" w:hAnsi="仿宋_GB2312" w:eastAsia="仿宋_GB2312" w:cs="仿宋_GB2312"/>
          <w:b/>
          <w:bCs/>
          <w:color w:val="000000"/>
          <w:kern w:val="0"/>
          <w:sz w:val="32"/>
          <w:szCs w:val="32"/>
          <w:lang w:val="zh-CN" w:eastAsia="zh-CN" w:bidi="ar"/>
        </w:rPr>
        <w:t>保障。</w:t>
      </w:r>
      <w:r>
        <w:rPr>
          <w:rFonts w:hint="eastAsia" w:ascii="仿宋_GB2312" w:hAnsi="仿宋_GB2312" w:eastAsia="仿宋_GB2312" w:cs="仿宋_GB2312"/>
          <w:color w:val="000000"/>
          <w:kern w:val="0"/>
          <w:sz w:val="32"/>
          <w:szCs w:val="32"/>
          <w:lang w:val="en-US" w:eastAsia="zh-CN" w:bidi="ar"/>
        </w:rPr>
        <w:t>围绕区域均衡性、对象精准性、标</w:t>
      </w:r>
      <w:r>
        <w:rPr>
          <w:rFonts w:hint="eastAsia" w:ascii="Times New Roman" w:hAnsi="Times New Roman" w:eastAsia="仿宋_GB2312" w:cs="仿宋_GB2312"/>
          <w:b w:val="0"/>
          <w:bCs w:val="0"/>
          <w:kern w:val="0"/>
          <w:position w:val="0"/>
          <w:sz w:val="32"/>
          <w:szCs w:val="32"/>
          <w:highlight w:val="none"/>
          <w:lang w:val="en-US" w:eastAsia="zh-CN" w:bidi="ar-SA"/>
        </w:rPr>
        <w:t>准合理性、群众满意度进行绩效分析。</w:t>
      </w:r>
    </w:p>
    <w:p w14:paraId="2EE6EE5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en-US" w:eastAsia="zh-CN" w:bidi="ar-SA"/>
        </w:rPr>
        <w:t>3.基础设施。</w:t>
      </w:r>
      <w:r>
        <w:rPr>
          <w:rFonts w:hint="eastAsia" w:ascii="Times New Roman" w:hAnsi="Times New Roman" w:eastAsia="仿宋_GB2312" w:cs="仿宋_GB2312"/>
          <w:b w:val="0"/>
          <w:bCs w:val="0"/>
          <w:kern w:val="0"/>
          <w:position w:val="0"/>
          <w:sz w:val="32"/>
          <w:szCs w:val="32"/>
          <w:highlight w:val="none"/>
          <w:lang w:val="en-US" w:eastAsia="zh-CN" w:bidi="ar-SA"/>
        </w:rPr>
        <w:t>在建项目围绕工程进度和资金拨付进行绩效分析；建成项目围绕项目验收、功能实现、后续管护进行</w:t>
      </w:r>
      <w:r>
        <w:rPr>
          <w:rFonts w:hint="eastAsia" w:ascii="Times New Roman" w:hAnsi="Times New Roman" w:eastAsia="仿宋_GB2312" w:cs="仿宋_GB2312"/>
          <w:b w:val="0"/>
          <w:bCs w:val="0"/>
          <w:kern w:val="0"/>
          <w:position w:val="0"/>
          <w:sz w:val="32"/>
          <w:szCs w:val="32"/>
          <w:highlight w:val="none"/>
          <w:lang w:val="zh-CN" w:eastAsia="zh-CN" w:bidi="ar-SA"/>
        </w:rPr>
        <w:t>绩效分析。</w:t>
      </w:r>
    </w:p>
    <w:p w14:paraId="3D3573D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en-US" w:eastAsia="zh-CN" w:bidi="ar-SA"/>
        </w:rPr>
        <w:t>4.</w:t>
      </w:r>
      <w:r>
        <w:rPr>
          <w:rFonts w:hint="eastAsia" w:ascii="Times New Roman" w:hAnsi="Times New Roman" w:eastAsia="仿宋_GB2312" w:cs="仿宋_GB2312"/>
          <w:b/>
          <w:bCs/>
          <w:kern w:val="0"/>
          <w:position w:val="0"/>
          <w:sz w:val="32"/>
          <w:szCs w:val="32"/>
          <w:highlight w:val="none"/>
          <w:lang w:val="zh-CN" w:eastAsia="zh-CN" w:bidi="ar-SA"/>
        </w:rPr>
        <w:t>行政运转。</w:t>
      </w:r>
      <w:r>
        <w:rPr>
          <w:rFonts w:hint="eastAsia" w:ascii="Times New Roman" w:hAnsi="Times New Roman" w:eastAsia="仿宋_GB2312" w:cs="仿宋_GB2312"/>
          <w:b w:val="0"/>
          <w:bCs w:val="0"/>
          <w:kern w:val="0"/>
          <w:position w:val="0"/>
          <w:sz w:val="32"/>
          <w:szCs w:val="32"/>
          <w:highlight w:val="none"/>
          <w:lang w:val="zh-CN" w:eastAsia="zh-CN" w:bidi="ar-SA"/>
        </w:rPr>
        <w:t>围绕用途合规性、程序合规性、标准合规性进行绩效分析。</w:t>
      </w:r>
    </w:p>
    <w:p w14:paraId="6CC4178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根据项目个性自行设定部分指标，反映该项指标执行完成情况。</w:t>
      </w:r>
    </w:p>
    <w:p w14:paraId="37B0D8B1">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四、评价结论</w:t>
      </w:r>
    </w:p>
    <w:p w14:paraId="7BDD186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简要阐述专项预算项目绩效自评总体结论，包含评价总分、</w:t>
      </w:r>
      <w:r>
        <w:rPr>
          <w:rFonts w:hint="eastAsia" w:ascii="Times New Roman" w:hAnsi="Times New Roman" w:eastAsia="仿宋_GB2312" w:cs="仿宋_GB2312"/>
          <w:b w:val="0"/>
          <w:bCs w:val="0"/>
          <w:kern w:val="0"/>
          <w:position w:val="0"/>
          <w:sz w:val="32"/>
          <w:szCs w:val="32"/>
          <w:highlight w:val="none"/>
          <w:lang w:val="zh-CN" w:eastAsia="zh-CN" w:bidi="ar-SA"/>
        </w:rPr>
        <w:t>项目实施情况。</w:t>
      </w:r>
    </w:p>
    <w:p w14:paraId="28A99C4F">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五、存在主要问题</w:t>
      </w:r>
    </w:p>
    <w:p w14:paraId="77A7868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简要阐述专项预算项目绩效自评发现的主要问题。</w:t>
      </w:r>
    </w:p>
    <w:p w14:paraId="3679B192">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zh-CN" w:eastAsia="zh-CN" w:bidi="ar-SA"/>
        </w:rPr>
      </w:pPr>
      <w:r>
        <w:rPr>
          <w:rFonts w:hint="eastAsia" w:ascii="Times New Roman" w:hAnsi="Times New Roman" w:eastAsia="黑体" w:cstheme="majorBidi"/>
          <w:b/>
          <w:bCs w:val="0"/>
          <w:color w:val="auto"/>
          <w:kern w:val="2"/>
          <w:sz w:val="32"/>
          <w:szCs w:val="32"/>
          <w:lang w:val="zh-CN" w:eastAsia="zh-CN" w:bidi="ar-SA"/>
        </w:rPr>
        <w:t>六、改进建议</w:t>
      </w:r>
    </w:p>
    <w:p w14:paraId="53EC576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简要阐述专项预算项目在</w:t>
      </w:r>
      <w:r>
        <w:rPr>
          <w:rFonts w:hint="eastAsia" w:ascii="Times New Roman" w:hAnsi="Times New Roman" w:eastAsia="仿宋_GB2312" w:cs="仿宋_GB2312"/>
          <w:b w:val="0"/>
          <w:bCs w:val="0"/>
          <w:kern w:val="0"/>
          <w:position w:val="0"/>
          <w:sz w:val="32"/>
          <w:szCs w:val="32"/>
          <w:highlight w:val="none"/>
          <w:lang w:val="en" w:eastAsia="zh-CN" w:bidi="ar-SA"/>
        </w:rPr>
        <w:t>预算安排、完善政策、改进管理等方面的</w:t>
      </w:r>
      <w:r>
        <w:rPr>
          <w:rFonts w:hint="eastAsia" w:ascii="Times New Roman" w:hAnsi="Times New Roman" w:eastAsia="仿宋_GB2312" w:cs="仿宋_GB2312"/>
          <w:b w:val="0"/>
          <w:bCs w:val="0"/>
          <w:kern w:val="0"/>
          <w:position w:val="0"/>
          <w:sz w:val="32"/>
          <w:szCs w:val="32"/>
          <w:highlight w:val="none"/>
          <w:lang w:val="en-US" w:eastAsia="zh-CN" w:bidi="ar-SA"/>
        </w:rPr>
        <w:t>措施</w:t>
      </w:r>
      <w:r>
        <w:rPr>
          <w:rFonts w:hint="eastAsia" w:ascii="Times New Roman" w:hAnsi="Times New Roman" w:eastAsia="仿宋_GB2312" w:cs="仿宋_GB2312"/>
          <w:b w:val="0"/>
          <w:bCs w:val="0"/>
          <w:kern w:val="0"/>
          <w:position w:val="0"/>
          <w:sz w:val="32"/>
          <w:szCs w:val="32"/>
          <w:highlight w:val="none"/>
          <w:lang w:val="en" w:eastAsia="zh-CN" w:bidi="ar-SA"/>
        </w:rPr>
        <w:t>建议，其中</w:t>
      </w:r>
      <w:r>
        <w:rPr>
          <w:rFonts w:hint="eastAsia" w:ascii="Times New Roman" w:hAnsi="Times New Roman" w:eastAsia="仿宋_GB2312" w:cs="仿宋_GB2312"/>
          <w:b w:val="0"/>
          <w:bCs w:val="0"/>
          <w:kern w:val="0"/>
          <w:position w:val="0"/>
          <w:sz w:val="32"/>
          <w:szCs w:val="32"/>
          <w:highlight w:val="none"/>
          <w:lang w:val="en-US" w:eastAsia="zh-CN" w:bidi="ar-SA"/>
        </w:rPr>
        <w:t>必</w:t>
      </w:r>
      <w:r>
        <w:rPr>
          <w:rFonts w:hint="eastAsia" w:ascii="仿宋_GB2312" w:hAnsi="仿宋_GB2312" w:eastAsia="仿宋_GB2312" w:cs="仿宋_GB2312"/>
          <w:color w:val="000000"/>
          <w:kern w:val="0"/>
          <w:sz w:val="32"/>
          <w:szCs w:val="32"/>
          <w:lang w:val="en-US" w:eastAsia="zh-CN" w:bidi="ar"/>
        </w:rPr>
        <w:t>须对应评价发现的主要问题一一提出措施建议。</w:t>
      </w:r>
    </w:p>
    <w:p w14:paraId="263168F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bCs/>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en-US" w:eastAsia="zh-CN" w:bidi="ar-SA"/>
        </w:rPr>
        <w:t>（</w:t>
      </w:r>
      <w:r>
        <w:rPr>
          <w:rFonts w:hint="eastAsia" w:eastAsia="仿宋_GB2312" w:cs="仿宋_GB2312"/>
          <w:b/>
          <w:bCs/>
          <w:kern w:val="0"/>
          <w:position w:val="0"/>
          <w:sz w:val="32"/>
          <w:szCs w:val="32"/>
          <w:highlight w:val="none"/>
          <w:lang w:val="en-US" w:eastAsia="zh-CN" w:bidi="ar-SA"/>
        </w:rPr>
        <w:t>注：</w:t>
      </w:r>
      <w:r>
        <w:rPr>
          <w:rFonts w:hint="eastAsia" w:ascii="Times New Roman" w:hAnsi="Times New Roman" w:eastAsia="仿宋_GB2312" w:cs="仿宋_GB2312"/>
          <w:b/>
          <w:bCs/>
          <w:kern w:val="0"/>
          <w:position w:val="0"/>
          <w:sz w:val="32"/>
          <w:szCs w:val="32"/>
          <w:highlight w:val="none"/>
          <w:lang w:val="en-US" w:eastAsia="zh-CN" w:bidi="ar-SA"/>
        </w:rPr>
        <w:t>以上绩效自评报告，除涉密敏感内容外，原则上都应予以公开）</w:t>
      </w:r>
    </w:p>
    <w:p w14:paraId="7895D9E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29AFD28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421DE1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48"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4D4356F4">
      <w:pPr>
        <w:widowControl/>
        <w:jc w:val="center"/>
        <w:rPr>
          <w:rFonts w:hint="eastAsia" w:ascii="方正小标宋简体" w:hAnsi="方正小标宋简体" w:eastAsia="方正小标宋简体" w:cs="方正小标宋简体"/>
          <w:b w:val="0"/>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第</w:t>
      </w:r>
      <w:r>
        <w:rPr>
          <w:rStyle w:val="30"/>
          <w:rFonts w:hint="eastAsia" w:ascii="方正小标宋简体" w:hAnsi="方正小标宋简体" w:eastAsia="方正小标宋简体" w:cs="方正小标宋简体"/>
          <w:b w:val="0"/>
          <w:color w:val="auto"/>
          <w:sz w:val="44"/>
          <w:szCs w:val="44"/>
          <w:highlight w:val="none"/>
        </w:rPr>
        <w:t>五部分 附表</w:t>
      </w:r>
      <w:bookmarkEnd w:id="45"/>
      <w:bookmarkEnd w:id="48"/>
      <w:bookmarkStart w:id="49" w:name="_Toc15396619"/>
    </w:p>
    <w:p w14:paraId="45AC445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6DB158C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一、收入支出决算总表</w:t>
      </w:r>
      <w:bookmarkEnd w:id="49"/>
    </w:p>
    <w:p w14:paraId="79280F3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kern w:val="0"/>
          <w:sz w:val="32"/>
          <w:szCs w:val="32"/>
          <w:lang w:val="en-US" w:eastAsia="zh-CN" w:bidi="ar"/>
        </w:rPr>
      </w:pPr>
      <w:bookmarkStart w:id="50" w:name="_Toc15396620"/>
      <w:r>
        <w:rPr>
          <w:rFonts w:hint="eastAsia" w:ascii="仿宋_GB2312" w:hAnsi="仿宋_GB2312" w:eastAsia="仿宋_GB2312" w:cs="仿宋_GB2312"/>
          <w:color w:val="000000"/>
          <w:kern w:val="0"/>
          <w:sz w:val="32"/>
          <w:szCs w:val="32"/>
          <w:lang w:val="en-US" w:eastAsia="zh-CN" w:bidi="ar"/>
        </w:rPr>
        <w:t>二、收入决算表</w:t>
      </w:r>
      <w:bookmarkEnd w:id="50"/>
    </w:p>
    <w:p w14:paraId="25C5054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kern w:val="0"/>
          <w:sz w:val="32"/>
          <w:szCs w:val="32"/>
          <w:lang w:val="en-US" w:eastAsia="zh-CN" w:bidi="ar"/>
        </w:rPr>
      </w:pPr>
      <w:bookmarkStart w:id="51" w:name="_Toc15396621"/>
      <w:r>
        <w:rPr>
          <w:rFonts w:hint="eastAsia" w:ascii="仿宋_GB2312" w:hAnsi="仿宋_GB2312" w:eastAsia="仿宋_GB2312" w:cs="仿宋_GB2312"/>
          <w:color w:val="000000"/>
          <w:kern w:val="0"/>
          <w:sz w:val="32"/>
          <w:szCs w:val="32"/>
          <w:lang w:val="en-US" w:eastAsia="zh-CN" w:bidi="ar"/>
        </w:rPr>
        <w:t>三、支出决算表</w:t>
      </w:r>
      <w:bookmarkEnd w:id="51"/>
    </w:p>
    <w:p w14:paraId="0A5B05F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2"/>
      <w:r>
        <w:rPr>
          <w:rFonts w:hint="eastAsia" w:ascii="Times New Roman" w:hAnsi="Times New Roman" w:eastAsia="仿宋_GB2312" w:cs="仿宋_GB2312"/>
          <w:color w:val="auto"/>
          <w:sz w:val="32"/>
          <w:szCs w:val="32"/>
          <w:highlight w:val="none"/>
        </w:rPr>
        <w:t>四、财政拨款收入支出决算总表</w:t>
      </w:r>
      <w:bookmarkEnd w:id="52"/>
    </w:p>
    <w:p w14:paraId="172729A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3"/>
      <w:r>
        <w:rPr>
          <w:rFonts w:hint="eastAsia" w:ascii="Times New Roman" w:hAnsi="Times New Roman" w:eastAsia="仿宋_GB2312" w:cs="仿宋_GB2312"/>
          <w:color w:val="auto"/>
          <w:sz w:val="32"/>
          <w:szCs w:val="32"/>
          <w:highlight w:val="none"/>
        </w:rPr>
        <w:t>五、财政拨款支出决算明细表</w:t>
      </w:r>
      <w:bookmarkEnd w:id="53"/>
      <w:bookmarkStart w:id="54" w:name="_Toc15396624"/>
    </w:p>
    <w:p w14:paraId="4F28E1A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4"/>
    </w:p>
    <w:p w14:paraId="2D81D69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5"/>
      <w:r>
        <w:rPr>
          <w:rFonts w:hint="eastAsia" w:ascii="Times New Roman" w:hAnsi="Times New Roman" w:eastAsia="仿宋_GB2312" w:cs="仿宋_GB2312"/>
          <w:color w:val="auto"/>
          <w:sz w:val="32"/>
          <w:szCs w:val="32"/>
          <w:highlight w:val="none"/>
        </w:rPr>
        <w:t>七、一般公共预算财政拨款支出决算明细表</w:t>
      </w:r>
      <w:bookmarkEnd w:id="55"/>
    </w:p>
    <w:p w14:paraId="1EE7063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6"/>
      <w:r>
        <w:rPr>
          <w:rFonts w:hint="eastAsia" w:ascii="Times New Roman" w:hAnsi="Times New Roman" w:eastAsia="仿宋_GB2312" w:cs="仿宋_GB2312"/>
          <w:color w:val="auto"/>
          <w:sz w:val="32"/>
          <w:szCs w:val="32"/>
          <w:highlight w:val="none"/>
        </w:rPr>
        <w:t>八、一般公共预算财政拨款基本支出决算表</w:t>
      </w:r>
      <w:bookmarkEnd w:id="56"/>
    </w:p>
    <w:p w14:paraId="6295B6B7">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7"/>
      <w:r>
        <w:rPr>
          <w:rFonts w:hint="eastAsia" w:ascii="Times New Roman" w:hAnsi="Times New Roman" w:eastAsia="仿宋_GB2312" w:cs="仿宋_GB2312"/>
          <w:color w:val="auto"/>
          <w:sz w:val="32"/>
          <w:szCs w:val="32"/>
          <w:highlight w:val="none"/>
        </w:rPr>
        <w:t>九、一般公共预算财政拨款项目支出决算表</w:t>
      </w:r>
      <w:bookmarkEnd w:id="57"/>
    </w:p>
    <w:p w14:paraId="02BBE8D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8"/>
      <w:r>
        <w:rPr>
          <w:rFonts w:hint="eastAsia" w:ascii="Times New Roman" w:hAnsi="Times New Roman" w:eastAsia="仿宋_GB2312" w:cs="仿宋_GB2312"/>
          <w:color w:val="auto"/>
          <w:sz w:val="32"/>
          <w:szCs w:val="32"/>
          <w:highlight w:val="none"/>
        </w:rPr>
        <w:t>十、</w:t>
      </w:r>
      <w:bookmarkEnd w:id="58"/>
      <w:r>
        <w:rPr>
          <w:rFonts w:hint="eastAsia" w:ascii="Times New Roman" w:hAnsi="Times New Roman" w:eastAsia="仿宋_GB2312" w:cs="仿宋_GB2312"/>
          <w:color w:val="auto"/>
          <w:sz w:val="32"/>
          <w:szCs w:val="32"/>
          <w:highlight w:val="none"/>
        </w:rPr>
        <w:t>政府性基金预算财政拨款收入支出决算表</w:t>
      </w:r>
    </w:p>
    <w:p w14:paraId="339C729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9"/>
      <w:r>
        <w:rPr>
          <w:rFonts w:hint="eastAsia" w:ascii="Times New Roman" w:hAnsi="Times New Roman" w:eastAsia="仿宋_GB2312" w:cs="仿宋_GB2312"/>
          <w:color w:val="auto"/>
          <w:sz w:val="32"/>
          <w:szCs w:val="32"/>
          <w:highlight w:val="none"/>
        </w:rPr>
        <w:t>十一、</w:t>
      </w:r>
      <w:bookmarkEnd w:id="59"/>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1C29244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30"/>
      <w:r>
        <w:rPr>
          <w:rFonts w:hint="eastAsia" w:ascii="Times New Roman" w:hAnsi="Times New Roman" w:eastAsia="仿宋_GB2312" w:cs="仿宋_GB2312"/>
          <w:color w:val="auto"/>
          <w:sz w:val="32"/>
          <w:szCs w:val="32"/>
          <w:highlight w:val="none"/>
        </w:rPr>
        <w:t>十二、</w:t>
      </w:r>
      <w:bookmarkEnd w:id="60"/>
      <w:r>
        <w:rPr>
          <w:rFonts w:hint="eastAsia" w:ascii="Times New Roman" w:hAnsi="Times New Roman" w:eastAsia="仿宋_GB2312" w:cs="仿宋_GB2312"/>
          <w:color w:val="auto"/>
          <w:sz w:val="32"/>
          <w:szCs w:val="32"/>
          <w:highlight w:val="none"/>
          <w:lang w:eastAsia="zh-CN"/>
        </w:rPr>
        <w:t>国有资本经营预算财政拨款支出决算表</w:t>
      </w:r>
    </w:p>
    <w:p w14:paraId="1F4E698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1" w:name="_Toc15396631"/>
      <w:r>
        <w:rPr>
          <w:rFonts w:hint="eastAsia" w:ascii="Times New Roman" w:hAnsi="Times New Roman" w:eastAsia="仿宋_GB2312" w:cs="仿宋_GB2312"/>
          <w:color w:val="auto"/>
          <w:sz w:val="32"/>
          <w:szCs w:val="32"/>
          <w:highlight w:val="none"/>
        </w:rPr>
        <w:t>十三、</w:t>
      </w:r>
      <w:bookmarkEnd w:id="61"/>
      <w:r>
        <w:rPr>
          <w:rFonts w:hint="eastAsia" w:ascii="Times New Roman" w:hAnsi="Times New Roman" w:eastAsia="仿宋_GB2312" w:cs="仿宋_GB2312"/>
          <w:color w:val="auto"/>
          <w:sz w:val="32"/>
          <w:szCs w:val="32"/>
          <w:highlight w:val="none"/>
          <w:lang w:eastAsia="zh-CN"/>
        </w:rPr>
        <w:t>财政拨款“三公”经费支出决算表</w:t>
      </w:r>
    </w:p>
    <w:p w14:paraId="78C77986">
      <w:pPr>
        <w:rPr>
          <w:rFonts w:hint="eastAsia" w:ascii="Times New Roman" w:hAnsi="Times New Roman"/>
          <w:lang w:eastAsia="zh-CN"/>
        </w:rPr>
      </w:pPr>
    </w:p>
    <w:sectPr>
      <w:footerReference r:id="rId8" w:type="first"/>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仿宋_GB2312"/>
    <w:panose1 w:val="02010601030101010101"/>
    <w:charset w:val="86"/>
    <w:family w:val="script"/>
    <w:pitch w:val="default"/>
    <w:sig w:usb0="00000000" w:usb1="00000000" w:usb2="00000000" w:usb3="00000000" w:csb0="00040000" w:csb1="00000000"/>
  </w:font>
  <w:font w:name="方正大标宋简体">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56D1A">
    <w:pPr>
      <w:pStyle w:val="11"/>
      <w:jc w:val="center"/>
    </w:pPr>
  </w:p>
  <w:p w14:paraId="599A39A2">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8FCAD">
    <w:pPr>
      <w:pStyle w:val="11"/>
      <w:jc w:val="center"/>
    </w:pPr>
  </w:p>
  <w:p w14:paraId="27A56269">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013ED">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F1BBB">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070C29">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6070C29">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62CB2125">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08610">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ECC49D">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9ECC49D">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5B65C">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wYzM4ODU2Mzc1NWJlMDFkNjNjMGNjOGVhYTRmNm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9D65BF"/>
    <w:rsid w:val="02FEBE30"/>
    <w:rsid w:val="033E0B47"/>
    <w:rsid w:val="04916F1E"/>
    <w:rsid w:val="05BA4E71"/>
    <w:rsid w:val="061E35DE"/>
    <w:rsid w:val="066E0107"/>
    <w:rsid w:val="06BB652C"/>
    <w:rsid w:val="073F6E39"/>
    <w:rsid w:val="07600549"/>
    <w:rsid w:val="07996F6E"/>
    <w:rsid w:val="07DFD8BA"/>
    <w:rsid w:val="08EC15D0"/>
    <w:rsid w:val="09867E8F"/>
    <w:rsid w:val="0A2032A3"/>
    <w:rsid w:val="0CA8290A"/>
    <w:rsid w:val="0D35B1ED"/>
    <w:rsid w:val="0E254B6B"/>
    <w:rsid w:val="0EF97A42"/>
    <w:rsid w:val="0F2C290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8C173A9"/>
    <w:rsid w:val="19A445FC"/>
    <w:rsid w:val="1BE8440E"/>
    <w:rsid w:val="1D155CEE"/>
    <w:rsid w:val="1D1638FE"/>
    <w:rsid w:val="1E312DEB"/>
    <w:rsid w:val="1E740ACF"/>
    <w:rsid w:val="1F206AE7"/>
    <w:rsid w:val="1FF35744"/>
    <w:rsid w:val="1FF6BC77"/>
    <w:rsid w:val="2186353C"/>
    <w:rsid w:val="23860B96"/>
    <w:rsid w:val="240371BF"/>
    <w:rsid w:val="244F3473"/>
    <w:rsid w:val="24664DBA"/>
    <w:rsid w:val="24C97D99"/>
    <w:rsid w:val="25A718F0"/>
    <w:rsid w:val="25BB59F6"/>
    <w:rsid w:val="260F557C"/>
    <w:rsid w:val="26970054"/>
    <w:rsid w:val="281408E2"/>
    <w:rsid w:val="29164A40"/>
    <w:rsid w:val="29FD04D3"/>
    <w:rsid w:val="2B9F1447"/>
    <w:rsid w:val="2BFF7BC6"/>
    <w:rsid w:val="2C8A61B5"/>
    <w:rsid w:val="2DE916EA"/>
    <w:rsid w:val="2DF04E50"/>
    <w:rsid w:val="2E365B3F"/>
    <w:rsid w:val="2E586DFA"/>
    <w:rsid w:val="2F040D46"/>
    <w:rsid w:val="2F6B035B"/>
    <w:rsid w:val="2FAE5751"/>
    <w:rsid w:val="2FB1A395"/>
    <w:rsid w:val="2FD9A7D8"/>
    <w:rsid w:val="2FDBF714"/>
    <w:rsid w:val="30AB6865"/>
    <w:rsid w:val="319F7F4E"/>
    <w:rsid w:val="32BD1EF1"/>
    <w:rsid w:val="3304709D"/>
    <w:rsid w:val="33A773CB"/>
    <w:rsid w:val="33B323A2"/>
    <w:rsid w:val="34700DDA"/>
    <w:rsid w:val="347F465A"/>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A345E5"/>
    <w:rsid w:val="3EE17838"/>
    <w:rsid w:val="3EE85F76"/>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5706A9"/>
    <w:rsid w:val="4EAB630A"/>
    <w:rsid w:val="4ECE2238"/>
    <w:rsid w:val="4F833267"/>
    <w:rsid w:val="4F9218AC"/>
    <w:rsid w:val="4FE9BD67"/>
    <w:rsid w:val="4FFB052F"/>
    <w:rsid w:val="50FB5F49"/>
    <w:rsid w:val="537E6D0A"/>
    <w:rsid w:val="53F74C96"/>
    <w:rsid w:val="55170BA8"/>
    <w:rsid w:val="553218C9"/>
    <w:rsid w:val="55901D07"/>
    <w:rsid w:val="567E1AA5"/>
    <w:rsid w:val="56E47B74"/>
    <w:rsid w:val="57175D52"/>
    <w:rsid w:val="577D33D4"/>
    <w:rsid w:val="57BD3DD4"/>
    <w:rsid w:val="59CA6D21"/>
    <w:rsid w:val="5AF92295"/>
    <w:rsid w:val="5B250254"/>
    <w:rsid w:val="5BDD79E6"/>
    <w:rsid w:val="5BF561CA"/>
    <w:rsid w:val="5BFF5DFC"/>
    <w:rsid w:val="5CD71FC4"/>
    <w:rsid w:val="5D1376EC"/>
    <w:rsid w:val="5D1F11B5"/>
    <w:rsid w:val="5D695134"/>
    <w:rsid w:val="5DAE1B18"/>
    <w:rsid w:val="5DE7D9E5"/>
    <w:rsid w:val="5ECEC941"/>
    <w:rsid w:val="5FBF9FF3"/>
    <w:rsid w:val="5FCD4E2C"/>
    <w:rsid w:val="5FEF394A"/>
    <w:rsid w:val="5FF67715"/>
    <w:rsid w:val="60595643"/>
    <w:rsid w:val="62BF3928"/>
    <w:rsid w:val="63B3701E"/>
    <w:rsid w:val="647F5392"/>
    <w:rsid w:val="65A73C99"/>
    <w:rsid w:val="65AC7720"/>
    <w:rsid w:val="65E66580"/>
    <w:rsid w:val="65EE64AF"/>
    <w:rsid w:val="664B1D71"/>
    <w:rsid w:val="664B4E8E"/>
    <w:rsid w:val="66785D0A"/>
    <w:rsid w:val="67277B67"/>
    <w:rsid w:val="67AA3209"/>
    <w:rsid w:val="698D0931"/>
    <w:rsid w:val="6A7FE5F3"/>
    <w:rsid w:val="6B053271"/>
    <w:rsid w:val="6BDD78B3"/>
    <w:rsid w:val="6C4A05C8"/>
    <w:rsid w:val="6C8742B8"/>
    <w:rsid w:val="6CA36D15"/>
    <w:rsid w:val="6DBF5E93"/>
    <w:rsid w:val="6DFF077E"/>
    <w:rsid w:val="6E714EF0"/>
    <w:rsid w:val="6E7B1C13"/>
    <w:rsid w:val="6E7E3605"/>
    <w:rsid w:val="6E7FDCC7"/>
    <w:rsid w:val="6ED6A62E"/>
    <w:rsid w:val="6EE00B15"/>
    <w:rsid w:val="6EFA591B"/>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3B4F72"/>
    <w:rsid w:val="73AB61DA"/>
    <w:rsid w:val="73AD73D5"/>
    <w:rsid w:val="73B6EB34"/>
    <w:rsid w:val="73FA497D"/>
    <w:rsid w:val="744731E5"/>
    <w:rsid w:val="74685CA4"/>
    <w:rsid w:val="74BBD01D"/>
    <w:rsid w:val="74ED5379"/>
    <w:rsid w:val="758D275A"/>
    <w:rsid w:val="75DEEEC2"/>
    <w:rsid w:val="75E32345"/>
    <w:rsid w:val="76E3355F"/>
    <w:rsid w:val="76FF5125"/>
    <w:rsid w:val="776F6FFA"/>
    <w:rsid w:val="778769C8"/>
    <w:rsid w:val="77912B4B"/>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5213C6"/>
    <w:rsid w:val="7D7EC23E"/>
    <w:rsid w:val="7DC57361"/>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99"/>
    <w:pPr>
      <w:tabs>
        <w:tab w:val="left" w:pos="2160"/>
      </w:tabs>
      <w:ind w:firstLineChars="100"/>
    </w:pPr>
  </w:style>
  <w:style w:type="paragraph" w:styleId="3">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3"/>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4"/>
    <w:qFormat/>
    <w:uiPriority w:val="9"/>
    <w:rPr>
      <w:rFonts w:ascii="Times New Roman" w:hAnsi="Times New Roman"/>
      <w:b/>
      <w:bCs/>
      <w:kern w:val="44"/>
      <w:sz w:val="44"/>
      <w:szCs w:val="44"/>
    </w:rPr>
  </w:style>
  <w:style w:type="character" w:customStyle="1" w:styleId="31">
    <w:name w:val="标题 2 Char"/>
    <w:basedOn w:val="18"/>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6"/>
    <w:qFormat/>
    <w:uiPriority w:val="9"/>
    <w:rPr>
      <w:rFonts w:ascii="Times New Roman" w:hAnsi="Times New Roman"/>
      <w:b/>
      <w:bCs/>
      <w:kern w:val="2"/>
      <w:sz w:val="32"/>
      <w:szCs w:val="32"/>
    </w:rPr>
  </w:style>
  <w:style w:type="paragraph" w:customStyle="1" w:styleId="35">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r>
              <a:rPr lang="en-US" altLang="zh-CN"/>
              <a:t>1</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manualLayout>
          <c:layoutTarget val="inner"/>
          <c:xMode val="edge"/>
          <c:yMode val="edge"/>
          <c:x val="0.0647874799928864"/>
          <c:y val="0.283233532934132"/>
          <c:w val="0.93254490485506"/>
          <c:h val="0.489940119760479"/>
        </c:manualLayout>
      </c:layout>
      <c:barChart>
        <c:barDir val="col"/>
        <c:grouping val="clustered"/>
        <c:varyColors val="0"/>
        <c:ser>
          <c:idx val="0"/>
          <c:order val="0"/>
          <c:tx>
            <c:strRef>
              <c:f>Sheet1!$B$1</c:f>
              <c:strCache>
                <c:ptCount val="1"/>
                <c:pt idx="0">
                  <c:v>收、支决算总计变动情况图</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23年收入</c:v>
                </c:pt>
                <c:pt idx="1">
                  <c:v>24年收入</c:v>
                </c:pt>
              </c:strCache>
            </c:strRef>
          </c:cat>
          <c:val>
            <c:numRef>
              <c:f>Sheet1!$B$2:$B$3</c:f>
              <c:numCache>
                <c:formatCode>General</c:formatCode>
                <c:ptCount val="2"/>
                <c:pt idx="0">
                  <c:v>152.83</c:v>
                </c:pt>
                <c:pt idx="1">
                  <c:v>129.15</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07c8151-be2f-4e5c-9a54-4dcd8b31e5f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a:t>
            </a:r>
            <a:r>
              <a:rPr lang="en-US" altLang="zh-CN"/>
              <a:t>24</a:t>
            </a:r>
            <a:r>
              <a:t>年全年收入结构图</a:t>
            </a:r>
            <a:r>
              <a:rPr lang="en-US" altLang="zh-CN"/>
              <a:t>2</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pieChart>
        <c:varyColors val="1"/>
        <c:ser>
          <c:idx val="0"/>
          <c:order val="0"/>
          <c:tx>
            <c:strRef>
              <c:f>Sheet1!$B$1</c:f>
              <c:strCache>
                <c:ptCount val="1"/>
                <c:pt idx="0">
                  <c:v>2024年本年收入结构图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事业收入</c:v>
                </c:pt>
              </c:strCache>
            </c:strRef>
          </c:cat>
          <c:val>
            <c:numRef>
              <c:f>Sheet1!$B$2:$B$3</c:f>
              <c:numCache>
                <c:formatCode>General</c:formatCode>
                <c:ptCount val="2"/>
                <c:pt idx="0">
                  <c:v>129.15</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6337601078167"/>
          <c:y val="0.851249273678094"/>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0cba24d-ea07-41fb-94db-1d6505729db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a:t>
            </a:r>
            <a:r>
              <a:rPr lang="en-US" altLang="zh-CN"/>
              <a:t>4</a:t>
            </a:r>
            <a:r>
              <a:t>年本年支出结构图</a:t>
            </a:r>
            <a:r>
              <a:rPr lang="en-US" altLang="zh-CN"/>
              <a:t>3</a:t>
            </a:r>
            <a:endParaRPr lang="en-US" altLang="zh-CN"/>
          </a:p>
        </c:rich>
      </c:tx>
      <c:layout>
        <c:manualLayout>
          <c:xMode val="edge"/>
          <c:yMode val="edge"/>
          <c:x val="0.353507374475086"/>
          <c:y val="0.105891866662585"/>
        </c:manualLayout>
      </c:layout>
      <c:overlay val="0"/>
      <c:spPr>
        <a:noFill/>
        <a:ln>
          <a:noFill/>
        </a:ln>
        <a:effectLst/>
      </c:spPr>
    </c:title>
    <c:autoTitleDeleted val="0"/>
    <c:plotArea>
      <c:layout/>
      <c:pieChart>
        <c:varyColors val="1"/>
        <c:ser>
          <c:idx val="0"/>
          <c:order val="0"/>
          <c:tx>
            <c:strRef>
              <c:f>Sheet1!$B$1</c:f>
              <c:strCache>
                <c:ptCount val="1"/>
                <c:pt idx="0">
                  <c:v>2024年本年支出结构图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124.48</c:v>
                </c:pt>
                <c:pt idx="1">
                  <c:v>4.67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6337601078167"/>
          <c:y val="0.851249273678094"/>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9a77c1a-df34-4cd7-92e3-4d4e24a6eb7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r>
              <a:rPr lang="en-US" altLang="zh-CN"/>
              <a:t>4</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manualLayout>
          <c:layoutTarget val="inner"/>
          <c:xMode val="edge"/>
          <c:yMode val="edge"/>
          <c:x val="0.0416681486750845"/>
          <c:y val="0.406903103229892"/>
          <c:w val="0.93254490485506"/>
          <c:h val="0.462127929069031"/>
        </c:manualLayout>
      </c:layout>
      <c:barChart>
        <c:barDir val="col"/>
        <c:grouping val="clustered"/>
        <c:varyColors val="0"/>
        <c:ser>
          <c:idx val="0"/>
          <c:order val="0"/>
          <c:tx>
            <c:strRef>
              <c:f>Sheet1!$B$1</c:f>
              <c:strCache>
                <c:ptCount val="1"/>
                <c:pt idx="0">
                  <c:v>财政拨款收支决算总计变动情况图</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24年财政收入</c:v>
                </c:pt>
                <c:pt idx="1">
                  <c:v>23年财政收入</c:v>
                </c:pt>
              </c:strCache>
            </c:strRef>
          </c:cat>
          <c:val>
            <c:numRef>
              <c:f>Sheet1!$B$2:$B$4</c:f>
              <c:numCache>
                <c:formatCode>General</c:formatCode>
                <c:ptCount val="3"/>
                <c:pt idx="0">
                  <c:v>129.15</c:v>
                </c:pt>
                <c:pt idx="1">
                  <c:v>138.69</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plotVisOnly val="1"/>
    <c:dispBlanksAs val="gap"/>
    <c:showDLblsOverMax val="0"/>
    <c:extLst>
      <c:ext uri="{0b15fc19-7d7d-44ad-8c2d-2c3a37ce22c3}">
        <chartProps xmlns="https://web.wps.cn/et/2018/main" chartId="{d681b9d2-ec87-4132-b41f-725d2321481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r>
              <a:rPr lang="en-US" altLang="zh-CN"/>
              <a:t>5</a:t>
            </a:r>
            <a:endParaRPr lang="en-US" altLang="zh-CN"/>
          </a:p>
        </c:rich>
      </c:tx>
      <c:layout>
        <c:manualLayout>
          <c:xMode val="edge"/>
          <c:yMode val="edge"/>
          <c:x val="0.163758467763102"/>
          <c:y val="0.00898203592814371"/>
        </c:manualLayout>
      </c:layout>
      <c:overlay val="0"/>
      <c:spPr>
        <a:noFill/>
        <a:ln>
          <a:noFill/>
        </a:ln>
        <a:effectLst/>
      </c:spPr>
    </c:title>
    <c:autoTitleDeleted val="0"/>
    <c:plotArea>
      <c:layout>
        <c:manualLayout>
          <c:layoutTarget val="inner"/>
          <c:xMode val="edge"/>
          <c:yMode val="edge"/>
          <c:x val="0.0646466323102647"/>
          <c:y val="0.38622754491018"/>
          <c:w val="0.93254490485506"/>
          <c:h val="0.489940119760479"/>
        </c:manualLayout>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23年财政支出</c:v>
                </c:pt>
                <c:pt idx="1">
                  <c:v>24年财政支出</c:v>
                </c:pt>
              </c:strCache>
            </c:strRef>
          </c:cat>
          <c:val>
            <c:numRef>
              <c:f>Sheet1!$B$2:$B$3</c:f>
              <c:numCache>
                <c:formatCode>General</c:formatCode>
                <c:ptCount val="2"/>
                <c:pt idx="0">
                  <c:v>138.69</c:v>
                </c:pt>
                <c:pt idx="1">
                  <c:v>129.15</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legend>
      <c:legendPos val="b"/>
      <c:layout>
        <c:manualLayout>
          <c:xMode val="edge"/>
          <c:yMode val="edge"/>
          <c:x val="0.344692005242464"/>
          <c:y val="0.20658682634730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a996092-2198-4e28-b109-02e13e6da94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r>
              <a:rPr lang="en-US" altLang="zh-CN"/>
              <a:t>6</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pieChart>
        <c:varyColors val="1"/>
        <c:ser>
          <c:idx val="0"/>
          <c:order val="0"/>
          <c:tx>
            <c:strRef>
              <c:f>Sheet1!$B$1</c:f>
              <c:strCache>
                <c:ptCount val="1"/>
                <c:pt idx="0">
                  <c:v>一般公共预算财政拨款支出决算结构图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社会保障和就业类</c:v>
                </c:pt>
                <c:pt idx="1">
                  <c:v>卫生健康支出</c:v>
                </c:pt>
                <c:pt idx="2">
                  <c:v>住房保障支出</c:v>
                </c:pt>
              </c:strCache>
            </c:strRef>
          </c:cat>
          <c:val>
            <c:numRef>
              <c:f>Sheet1!$B$2:$B$4</c:f>
              <c:numCache>
                <c:formatCode>General</c:formatCode>
                <c:ptCount val="3"/>
                <c:pt idx="0">
                  <c:v>16.53</c:v>
                </c:pt>
                <c:pt idx="1">
                  <c:v>102.34</c:v>
                </c:pt>
                <c:pt idx="2">
                  <c:v>10.28</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社会保障和就业类</c:v>
                </c:pt>
                <c:pt idx="1">
                  <c:v>卫生健康支出</c:v>
                </c:pt>
                <c:pt idx="2">
                  <c:v>住房保障支出</c:v>
                </c:pt>
              </c:strCache>
            </c:strRef>
          </c:cat>
          <c:val>
            <c:numRef>
              <c:f>Sheet1!$C$2:$C$4</c:f>
              <c:numCache>
                <c:formatCode>General</c:formatCode>
                <c:ptCount val="3"/>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4463270481951"/>
          <c:y val="0.84533211391478"/>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a031f2f-a811-4774-a964-007db9e94d4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9453</Words>
  <Characters>10099</Characters>
  <Lines>61</Lines>
  <Paragraphs>17</Paragraphs>
  <TotalTime>8</TotalTime>
  <ScaleCrop>false</ScaleCrop>
  <LinksUpToDate>false</LinksUpToDate>
  <CharactersWithSpaces>10144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2025-09-29T02:04:30Z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D468B5EAA91245E8BC0246E06212377B_13</vt:lpwstr>
  </property>
</Properties>
</file>