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82039">
      <w:pPr>
        <w:pStyle w:val="3"/>
        <w:rPr>
          <w:rFonts w:hint="eastAsia" w:ascii="Times New Roman" w:hAnsi="Times New Roman" w:eastAsia="方正小标宋简体" w:cs="Times New Roman"/>
          <w:color w:val="auto"/>
          <w:kern w:val="2"/>
          <w:sz w:val="72"/>
          <w:szCs w:val="72"/>
          <w:highlight w:val="none"/>
          <w:lang w:val="en-US" w:eastAsia="zh-CN" w:bidi="ar-SA"/>
        </w:rPr>
      </w:pPr>
      <w:bookmarkStart w:id="0" w:name="_Toc15377425"/>
      <w:bookmarkStart w:id="1" w:name="_Toc15377193"/>
      <w:bookmarkStart w:id="2" w:name="_Toc15396597"/>
      <w:bookmarkStart w:id="3" w:name="_Toc15378441"/>
      <w:bookmarkStart w:id="4" w:name="_Toc15396475"/>
      <w:bookmarkStart w:id="5" w:name="_Toc15306267"/>
    </w:p>
    <w:p w14:paraId="72C05774">
      <w:pPr>
        <w:pStyle w:val="3"/>
        <w:rPr>
          <w:rFonts w:hint="eastAsia" w:ascii="Times New Roman" w:hAnsi="Times New Roman" w:eastAsia="方正小标宋简体" w:cs="Times New Roman"/>
          <w:color w:val="auto"/>
          <w:kern w:val="2"/>
          <w:sz w:val="72"/>
          <w:szCs w:val="72"/>
          <w:highlight w:val="none"/>
          <w:lang w:val="en-US" w:eastAsia="zh-CN" w:bidi="ar-SA"/>
        </w:rPr>
      </w:pPr>
    </w:p>
    <w:p w14:paraId="0CAC98E1">
      <w:pPr>
        <w:pStyle w:val="3"/>
        <w:rPr>
          <w:rFonts w:hint="eastAsia" w:ascii="Times New Roman" w:hAnsi="Times New Roman" w:eastAsia="方正小标宋简体" w:cs="Times New Roman"/>
          <w:color w:val="auto"/>
          <w:kern w:val="2"/>
          <w:sz w:val="72"/>
          <w:szCs w:val="72"/>
          <w:highlight w:val="none"/>
          <w:lang w:val="en-US" w:eastAsia="zh-CN" w:bidi="ar-SA"/>
        </w:rPr>
      </w:pPr>
    </w:p>
    <w:p w14:paraId="17AAC3CD">
      <w:pPr>
        <w:rPr>
          <w:rFonts w:hint="eastAsia" w:ascii="Times New Roman" w:hAnsi="Times New Roman" w:eastAsia="方正小标宋简体" w:cs="Times New Roman"/>
          <w:color w:val="auto"/>
          <w:kern w:val="2"/>
          <w:sz w:val="72"/>
          <w:szCs w:val="72"/>
          <w:highlight w:val="none"/>
          <w:lang w:val="en-US" w:eastAsia="zh-CN" w:bidi="ar-SA"/>
        </w:rPr>
      </w:pPr>
    </w:p>
    <w:p w14:paraId="360EB202">
      <w:pPr>
        <w:pStyle w:val="2"/>
        <w:rPr>
          <w:rFonts w:hint="eastAsia" w:ascii="Times New Roman" w:hAnsi="Times New Roman" w:eastAsia="方正小标宋简体" w:cs="Times New Roman"/>
          <w:color w:val="auto"/>
          <w:kern w:val="2"/>
          <w:sz w:val="72"/>
          <w:szCs w:val="72"/>
          <w:highlight w:val="none"/>
          <w:lang w:val="en-US" w:eastAsia="zh-CN" w:bidi="ar-SA"/>
        </w:rPr>
      </w:pPr>
    </w:p>
    <w:p w14:paraId="1104E75E">
      <w:pPr>
        <w:pStyle w:val="2"/>
        <w:rPr>
          <w:rFonts w:hint="eastAsia" w:ascii="Times New Roman" w:hAnsi="Times New Roman" w:eastAsia="方正小标宋简体" w:cs="Times New Roman"/>
          <w:color w:val="auto"/>
          <w:kern w:val="2"/>
          <w:sz w:val="72"/>
          <w:szCs w:val="72"/>
          <w:highlight w:val="none"/>
          <w:lang w:val="en-US" w:eastAsia="zh-CN" w:bidi="ar-SA"/>
        </w:rPr>
      </w:pPr>
    </w:p>
    <w:p w14:paraId="0F398B38">
      <w:pPr>
        <w:jc w:val="center"/>
        <w:rPr>
          <w:rFonts w:hint="eastAsia" w:ascii="方正大标宋简体" w:hAnsi="方正大标宋简体" w:eastAsia="方正大标宋简体" w:cs="方正大标宋简体"/>
          <w:bCs/>
          <w:color w:val="000000" w:themeColor="text1"/>
          <w:sz w:val="80"/>
          <w:szCs w:val="80"/>
          <w:lang w:eastAsia="zh-CN"/>
          <w14:textFill>
            <w14:solidFill>
              <w14:schemeClr w14:val="tx1"/>
            </w14:solidFill>
          </w14:textFill>
        </w:rPr>
      </w:pPr>
      <w:r>
        <w:rPr>
          <w:rFonts w:hint="eastAsia" w:ascii="方正大标宋简体" w:hAnsi="方正大标宋简体" w:eastAsia="方正大标宋简体" w:cs="方正大标宋简体"/>
          <w:bCs/>
          <w:color w:val="000000" w:themeColor="text1"/>
          <w:sz w:val="80"/>
          <w:szCs w:val="80"/>
          <w14:textFill>
            <w14:solidFill>
              <w14:schemeClr w14:val="tx1"/>
            </w14:solidFill>
          </w14:textFill>
        </w:rPr>
        <w:t>2024</w:t>
      </w:r>
      <w:r>
        <w:rPr>
          <w:rFonts w:hint="eastAsia" w:ascii="方正大标宋简体" w:hAnsi="方正大标宋简体" w:eastAsia="方正大标宋简体" w:cs="方正大标宋简体"/>
          <w:color w:val="000000"/>
          <w:sz w:val="80"/>
          <w:szCs w:val="80"/>
        </w:rPr>
        <w:t>年度</w:t>
      </w:r>
      <w:r>
        <w:rPr>
          <w:rFonts w:hint="eastAsia" w:ascii="方正大标宋简体" w:hAnsi="方正大标宋简体" w:eastAsia="方正大标宋简体" w:cs="方正大标宋简体"/>
          <w:bCs/>
          <w:color w:val="000000" w:themeColor="text1"/>
          <w:sz w:val="80"/>
          <w:szCs w:val="80"/>
          <w14:textFill>
            <w14:solidFill>
              <w14:schemeClr w14:val="tx1"/>
            </w14:solidFill>
          </w14:textFill>
        </w:rPr>
        <w:t>红原县</w:t>
      </w:r>
      <w:r>
        <w:rPr>
          <w:rFonts w:hint="eastAsia" w:ascii="方正大标宋简体" w:hAnsi="方正大标宋简体" w:eastAsia="方正大标宋简体" w:cs="方正大标宋简体"/>
          <w:bCs/>
          <w:color w:val="000000" w:themeColor="text1"/>
          <w:sz w:val="80"/>
          <w:szCs w:val="80"/>
          <w:lang w:eastAsia="zh-CN"/>
          <w14:textFill>
            <w14:solidFill>
              <w14:schemeClr w14:val="tx1"/>
            </w14:solidFill>
          </w14:textFill>
        </w:rPr>
        <w:t>江</w:t>
      </w:r>
      <w:bookmarkStart w:id="62" w:name="_GoBack"/>
      <w:bookmarkEnd w:id="62"/>
      <w:r>
        <w:rPr>
          <w:rFonts w:hint="eastAsia" w:ascii="方正大标宋简体" w:hAnsi="方正大标宋简体" w:eastAsia="方正大标宋简体" w:cs="方正大标宋简体"/>
          <w:bCs/>
          <w:color w:val="000000" w:themeColor="text1"/>
          <w:sz w:val="80"/>
          <w:szCs w:val="80"/>
          <w:lang w:eastAsia="zh-CN"/>
          <w14:textFill>
            <w14:solidFill>
              <w14:schemeClr w14:val="tx1"/>
            </w14:solidFill>
          </w14:textFill>
        </w:rPr>
        <w:t>乡</w:t>
      </w:r>
    </w:p>
    <w:p w14:paraId="3DF6D283">
      <w:pPr>
        <w:jc w:val="center"/>
        <w:rPr>
          <w:rFonts w:hint="eastAsia" w:ascii="方正大标宋简体" w:hAnsi="方正大标宋简体" w:eastAsia="方正大标宋简体" w:cs="方正大标宋简体"/>
          <w:bCs/>
          <w:color w:val="000000" w:themeColor="text1"/>
          <w:sz w:val="80"/>
          <w:szCs w:val="80"/>
          <w14:textFill>
            <w14:solidFill>
              <w14:schemeClr w14:val="tx1"/>
            </w14:solidFill>
          </w14:textFill>
        </w:rPr>
      </w:pPr>
      <w:r>
        <w:rPr>
          <w:rFonts w:hint="eastAsia" w:ascii="方正大标宋简体" w:hAnsi="方正大标宋简体" w:eastAsia="方正大标宋简体" w:cs="方正大标宋简体"/>
          <w:bCs/>
          <w:color w:val="000000" w:themeColor="text1"/>
          <w:sz w:val="80"/>
          <w:szCs w:val="80"/>
          <w:lang w:eastAsia="zh-CN"/>
          <w14:textFill>
            <w14:solidFill>
              <w14:schemeClr w14:val="tx1"/>
            </w14:solidFill>
          </w14:textFill>
        </w:rPr>
        <w:t>卫生院</w:t>
      </w:r>
      <w:r>
        <w:rPr>
          <w:rFonts w:hint="eastAsia" w:ascii="方正大标宋简体" w:hAnsi="方正大标宋简体" w:eastAsia="方正大标宋简体" w:cs="方正大标宋简体"/>
          <w:color w:val="000000"/>
          <w:sz w:val="80"/>
          <w:szCs w:val="80"/>
        </w:rPr>
        <w:t>单位决算</w:t>
      </w:r>
    </w:p>
    <w:p w14:paraId="3EB2C1C5">
      <w:pPr>
        <w:spacing w:line="600" w:lineRule="exact"/>
        <w:jc w:val="center"/>
        <w:outlineLvl w:val="0"/>
        <w:rPr>
          <w:rFonts w:ascii="Times New Roman" w:hAnsi="Times New Roman" w:eastAsia="方正小标宋简体"/>
          <w:color w:val="auto"/>
          <w:sz w:val="72"/>
          <w:szCs w:val="72"/>
          <w:highlight w:val="none"/>
        </w:rPr>
      </w:pPr>
    </w:p>
    <w:p w14:paraId="1249B42F">
      <w:pPr>
        <w:pStyle w:val="21"/>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1BF4E4F7">
      <w:pPr>
        <w:rPr>
          <w:rFonts w:ascii="Times New Roman" w:hAnsi="Times New Roman"/>
        </w:rPr>
      </w:pPr>
    </w:p>
    <w:bookmarkEnd w:id="0"/>
    <w:bookmarkEnd w:id="1"/>
    <w:bookmarkEnd w:id="2"/>
    <w:bookmarkEnd w:id="3"/>
    <w:bookmarkEnd w:id="4"/>
    <w:bookmarkEnd w:id="5"/>
    <w:p w14:paraId="08A05A97">
      <w:pPr>
        <w:widowControl/>
        <w:ind w:firstLine="3840" w:firstLineChars="800"/>
        <w:jc w:val="both"/>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241AE52B">
      <w:pPr>
        <w:widowControl/>
        <w:jc w:val="center"/>
        <w:rPr>
          <w:rFonts w:ascii="Times New Roman" w:hAnsi="Times New Roman" w:eastAsia="黑体" w:cstheme="minorBidi"/>
          <w:color w:val="auto"/>
          <w:sz w:val="28"/>
          <w:szCs w:val="28"/>
          <w:highlight w:val="none"/>
        </w:rPr>
      </w:pPr>
    </w:p>
    <w:p w14:paraId="2BFEE463">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日</w:t>
      </w:r>
    </w:p>
    <w:p w14:paraId="6DA74484">
      <w:pPr>
        <w:rPr>
          <w:rFonts w:ascii="Times New Roman" w:hAnsi="Times New Roman"/>
          <w:color w:val="auto"/>
          <w:highlight w:val="none"/>
        </w:rPr>
      </w:pPr>
    </w:p>
    <w:p w14:paraId="49D23351">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b/>
          <w:bCs/>
          <w:color w:val="auto"/>
          <w:sz w:val="32"/>
          <w:szCs w:val="32"/>
          <w:highlight w:val="none"/>
        </w:rPr>
      </w:pPr>
      <w:r>
        <w:rPr>
          <w:rFonts w:hint="eastAsia" w:ascii="Times New Roman" w:hAnsi="Times New Roman" w:eastAsia="黑体" w:cs="黑体"/>
          <w:b/>
          <w:bCs/>
          <w:color w:val="auto"/>
          <w:sz w:val="32"/>
          <w:szCs w:val="32"/>
          <w:highlight w:val="none"/>
        </w:rPr>
        <w:t>第一部分 部门概况</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kern w:val="2"/>
          <w:sz w:val="32"/>
          <w:szCs w:val="32"/>
          <w:highlight w:val="none"/>
          <w:lang w:val="en-US" w:eastAsia="zh-CN" w:bidi="ar-SA"/>
        </w:rPr>
        <w:t>1</w:t>
      </w:r>
    </w:p>
    <w:p w14:paraId="521295A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1</w:t>
      </w:r>
    </w:p>
    <w:p w14:paraId="2AA81E0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1</w:t>
      </w:r>
    </w:p>
    <w:p w14:paraId="642A4CCC">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b/>
          <w:bCs/>
          <w:color w:val="auto"/>
          <w:sz w:val="32"/>
          <w:szCs w:val="32"/>
          <w:highlight w:val="none"/>
        </w:rPr>
      </w:pPr>
      <w:r>
        <w:rPr>
          <w:rFonts w:hint="eastAsia" w:ascii="Times New Roman" w:hAnsi="Times New Roman" w:eastAsia="黑体" w:cs="黑体"/>
          <w:b/>
          <w:bCs/>
          <w:color w:val="auto"/>
          <w:sz w:val="32"/>
          <w:szCs w:val="32"/>
          <w:highlight w:val="none"/>
        </w:rPr>
        <w:t>第二部分</w:t>
      </w:r>
      <w:r>
        <w:rPr>
          <w:rFonts w:hint="eastAsia" w:ascii="Times New Roman" w:hAnsi="Times New Roman" w:eastAsia="黑体" w:cs="黑体"/>
          <w:b/>
          <w:bCs/>
          <w:color w:val="auto"/>
          <w:sz w:val="32"/>
          <w:szCs w:val="32"/>
          <w:highlight w:val="none"/>
          <w:lang w:val="en-US" w:eastAsia="zh-CN"/>
        </w:rPr>
        <w:t xml:space="preserve"> 2024年度</w:t>
      </w:r>
      <w:r>
        <w:rPr>
          <w:rFonts w:hint="eastAsia" w:ascii="Times New Roman" w:hAnsi="Times New Roman" w:eastAsia="黑体" w:cs="黑体"/>
          <w:b/>
          <w:bCs/>
          <w:color w:val="auto"/>
          <w:sz w:val="32"/>
          <w:szCs w:val="32"/>
          <w:highlight w:val="none"/>
        </w:rPr>
        <w:t>部门决算情况说明</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kern w:val="2"/>
          <w:sz w:val="32"/>
          <w:szCs w:val="32"/>
          <w:highlight w:val="none"/>
          <w:lang w:val="en-US" w:eastAsia="zh-CN" w:bidi="ar-SA"/>
        </w:rPr>
        <w:t>2</w:t>
      </w:r>
    </w:p>
    <w:p w14:paraId="30D6BF2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2</w:t>
      </w:r>
    </w:p>
    <w:p w14:paraId="7D5A9EB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2</w:t>
      </w:r>
    </w:p>
    <w:p w14:paraId="7E375A0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3E4C5DD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32C12DE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313A62D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6</w:t>
      </w:r>
    </w:p>
    <w:p w14:paraId="634E690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6</w:t>
      </w:r>
    </w:p>
    <w:p w14:paraId="7D9B99C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08566B2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2BA670D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7879D872">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第三部分 名词解释</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11</w:t>
      </w:r>
    </w:p>
    <w:p w14:paraId="4BBC3D5B">
      <w:pPr>
        <w:pStyle w:val="13"/>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第四部分 附件</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shd w:val="clear" w:color="auto" w:fill="auto"/>
          <w:lang w:eastAsia="zh-CN"/>
        </w:rPr>
        <w:t>……</w:t>
      </w:r>
      <w:r>
        <w:rPr>
          <w:rFonts w:hint="eastAsia"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14</w:t>
      </w:r>
    </w:p>
    <w:p w14:paraId="4E68E33A">
      <w:pPr>
        <w:pStyle w:val="13"/>
        <w:keepNext w:val="0"/>
        <w:keepLines w:val="0"/>
        <w:pageBreakBefore w:val="0"/>
        <w:kinsoku/>
        <w:wordWrap/>
        <w:overflowPunct/>
        <w:topLinePunct w:val="0"/>
        <w:autoSpaceDE/>
        <w:autoSpaceDN/>
        <w:bidi w:val="0"/>
        <w:adjustRightInd w:val="0"/>
        <w:snapToGrid w:val="0"/>
        <w:spacing w:before="0" w:line="560" w:lineRule="exact"/>
        <w:jc w:val="distribute"/>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第五部分 附表</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shd w:val="clear" w:color="auto" w:fill="auto"/>
          <w:lang w:eastAsia="zh-CN"/>
        </w:rPr>
        <w:t>……</w:t>
      </w:r>
      <w:r>
        <w:rPr>
          <w:rFonts w:hint="eastAsia"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23</w:t>
      </w:r>
    </w:p>
    <w:p w14:paraId="0F15099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6052D7A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735E63B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13B58E2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5A573A2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007CABB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4AA1B26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386070E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2835020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7558086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5348A9C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66A5674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309E57A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23</w:t>
      </w:r>
    </w:p>
    <w:p w14:paraId="6E93DD9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4290B4F5">
      <w:pPr>
        <w:pStyle w:val="4"/>
        <w:keepNext/>
        <w:keepLines/>
        <w:pageBreakBefore w:val="0"/>
        <w:widowControl w:val="0"/>
        <w:kinsoku/>
        <w:wordWrap/>
        <w:overflowPunct/>
        <w:topLinePunct w:val="0"/>
        <w:autoSpaceDE/>
        <w:autoSpaceDN/>
        <w:bidi w:val="0"/>
        <w:adjustRightInd w:val="0"/>
        <w:snapToGrid w:val="0"/>
        <w:spacing w:before="0" w:after="0" w:line="644" w:lineRule="exact"/>
        <w:jc w:val="center"/>
        <w:textAlignment w:val="auto"/>
        <w:rPr>
          <w:rFonts w:hint="eastAsia" w:ascii="Times New Roman" w:hAnsi="Times New Roman" w:eastAsia="方正小标宋简体" w:cs="方正小标宋简体"/>
          <w:b w:val="0"/>
          <w:color w:val="auto"/>
          <w:highlight w:val="none"/>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bookmarkStart w:id="6" w:name="_Toc15396599"/>
      <w:bookmarkStart w:id="7" w:name="_Toc15377196"/>
    </w:p>
    <w:p w14:paraId="143F7242">
      <w:pPr>
        <w:pStyle w:val="4"/>
        <w:keepNext/>
        <w:keepLines/>
        <w:pageBreakBefore w:val="0"/>
        <w:widowControl w:val="0"/>
        <w:kinsoku/>
        <w:wordWrap/>
        <w:overflowPunct/>
        <w:topLinePunct w:val="0"/>
        <w:autoSpaceDE/>
        <w:autoSpaceDN/>
        <w:bidi w:val="0"/>
        <w:adjustRightInd w:val="0"/>
        <w:snapToGrid w:val="0"/>
        <w:spacing w:before="0" w:after="0" w:line="644" w:lineRule="exact"/>
        <w:jc w:val="center"/>
        <w:textAlignment w:val="auto"/>
        <w:rPr>
          <w:rStyle w:val="3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6"/>
      <w:bookmarkEnd w:id="7"/>
    </w:p>
    <w:p w14:paraId="015DA70E">
      <w:pPr>
        <w:widowControl/>
        <w:jc w:val="left"/>
        <w:rPr>
          <w:rFonts w:ascii="Times New Roman" w:hAnsi="Times New Roman" w:eastAsia="黑体"/>
          <w:color w:val="auto"/>
          <w:sz w:val="21"/>
          <w:szCs w:val="21"/>
          <w:highlight w:val="none"/>
        </w:rPr>
      </w:pPr>
    </w:p>
    <w:p w14:paraId="7B821775">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b/>
          <w:bCs w:val="0"/>
          <w:color w:val="auto"/>
          <w:highlight w:val="none"/>
          <w:lang w:val="en-US" w:eastAsia="zh-CN"/>
        </w:rPr>
      </w:pPr>
      <w:r>
        <w:rPr>
          <w:rFonts w:hint="eastAsia" w:ascii="Times New Roman" w:hAnsi="Times New Roman" w:eastAsia="黑体" w:cstheme="majorBidi"/>
          <w:b/>
          <w:bCs w:val="0"/>
          <w:color w:val="auto"/>
          <w:kern w:val="2"/>
          <w:sz w:val="32"/>
          <w:szCs w:val="32"/>
          <w:lang w:val="en-US" w:eastAsia="zh-CN" w:bidi="ar-SA"/>
        </w:rPr>
        <w:t>一、</w:t>
      </w:r>
      <w:r>
        <w:rPr>
          <w:rFonts w:hint="eastAsia" w:ascii="Times New Roman" w:hAnsi="Times New Roman" w:eastAsia="黑体"/>
          <w:b/>
          <w:bCs w:val="0"/>
          <w:color w:val="auto"/>
          <w:highlight w:val="none"/>
          <w:lang w:eastAsia="zh-CN"/>
        </w:rPr>
        <w:t>部门职责</w:t>
      </w:r>
      <w:r>
        <w:rPr>
          <w:rFonts w:hint="eastAsia" w:ascii="Times New Roman" w:hAnsi="Times New Roman" w:eastAsia="黑体"/>
          <w:b/>
          <w:bCs w:val="0"/>
          <w:color w:val="auto"/>
          <w:highlight w:val="none"/>
          <w:lang w:val="en-US" w:eastAsia="zh-CN"/>
        </w:rPr>
        <w:t xml:space="preserve"> </w:t>
      </w:r>
    </w:p>
    <w:p w14:paraId="36D44ACC">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lang w:val="en-US" w:eastAsia="zh-CN"/>
        </w:rPr>
      </w:pPr>
      <w:r>
        <w:rPr>
          <w:rFonts w:hint="eastAsia" w:ascii="仿宋" w:hAnsi="仿宋" w:eastAsia="仿宋" w:cs="仿宋"/>
          <w:sz w:val="32"/>
          <w:szCs w:val="32"/>
          <w:lang w:val="en-US" w:eastAsia="zh-CN"/>
        </w:rPr>
        <w:t xml:space="preserve"> </w:t>
      </w:r>
      <w:r>
        <w:rPr>
          <w:rFonts w:hint="eastAsia" w:ascii="仿宋_GB2312" w:hAnsi="仿宋_GB2312" w:eastAsia="仿宋_GB2312" w:cs="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423013B3">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8" w:name="_Toc15377200"/>
      <w:bookmarkStart w:id="9" w:name="_Toc15396601"/>
      <w:r>
        <w:rPr>
          <w:rFonts w:hint="eastAsia" w:ascii="Times New Roman" w:hAnsi="Times New Roman" w:eastAsia="黑体" w:cstheme="majorBidi"/>
          <w:b/>
          <w:bCs w:val="0"/>
          <w:color w:val="auto"/>
          <w:kern w:val="2"/>
          <w:sz w:val="32"/>
          <w:szCs w:val="32"/>
          <w:lang w:val="en-US" w:eastAsia="zh-CN" w:bidi="ar-SA"/>
        </w:rPr>
        <w:t>二、机构设置</w:t>
      </w:r>
      <w:bookmarkEnd w:id="8"/>
      <w:bookmarkEnd w:id="9"/>
    </w:p>
    <w:p w14:paraId="723420FF">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红原县江茸乡卫生院下属二级预算单位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eastAsia="zh-CN"/>
        </w:rPr>
        <w:t>个，我单位为独立核算全额拨款事业单位，下设</w:t>
      </w:r>
      <w:r>
        <w:rPr>
          <w:rFonts w:hint="eastAsia" w:ascii="仿宋_GB2312" w:hAnsi="仿宋_GB2312" w:eastAsia="仿宋_GB2312" w:cs="仿宋_GB2312"/>
          <w:sz w:val="32"/>
          <w:szCs w:val="32"/>
          <w:lang w:val="en-US" w:eastAsia="zh-CN"/>
        </w:rPr>
        <w:t>1机构。</w:t>
      </w:r>
      <w:r>
        <w:rPr>
          <w:rFonts w:hint="eastAsia" w:ascii="仿宋_GB2312" w:hAnsi="仿宋_GB2312" w:eastAsia="仿宋_GB2312" w:cs="仿宋_GB2312"/>
          <w:sz w:val="32"/>
          <w:szCs w:val="32"/>
          <w:lang w:eastAsia="zh-CN"/>
        </w:rPr>
        <w:t>截止20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lang w:eastAsia="zh-CN"/>
        </w:rPr>
        <w:t>年底我单位</w:t>
      </w:r>
      <w:r>
        <w:rPr>
          <w:rFonts w:hint="eastAsia" w:ascii="仿宋_GB2312" w:hAnsi="仿宋_GB2312" w:eastAsia="仿宋_GB2312" w:cs="仿宋_GB2312"/>
          <w:sz w:val="32"/>
          <w:szCs w:val="32"/>
          <w:lang w:val="en-US" w:eastAsia="zh-CN"/>
        </w:rPr>
        <w:t>共有编制8个，其中事业编8个，在职8人,</w:t>
      </w:r>
      <w:r>
        <w:rPr>
          <w:rFonts w:hint="eastAsia" w:ascii="仿宋_GB2312" w:hAnsi="仿宋_GB2312" w:eastAsia="仿宋_GB2312" w:cs="仿宋_GB2312"/>
          <w:sz w:val="32"/>
          <w:szCs w:val="32"/>
          <w:lang w:eastAsia="zh-CN"/>
        </w:rPr>
        <w:t>事业编制</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人。</w:t>
      </w:r>
    </w:p>
    <w:p w14:paraId="32066E7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sz w:val="32"/>
          <w:szCs w:val="32"/>
          <w:lang w:eastAsia="zh-CN"/>
        </w:rPr>
        <w:t>纳入红原县江茸乡卫生院2024年度部门决算编制范围的二级预算单位无。</w:t>
      </w:r>
    </w:p>
    <w:p w14:paraId="4B404B59">
      <w:pPr>
        <w:widowControl/>
        <w:jc w:val="center"/>
        <w:rPr>
          <w:rFonts w:hint="eastAsia" w:ascii="Times New Roman" w:hAnsi="Times New Roman" w:eastAsia="方正小标宋简体" w:cs="方正小标宋简体"/>
          <w:b w:val="0"/>
          <w:color w:val="auto"/>
          <w:sz w:val="44"/>
          <w:szCs w:val="44"/>
          <w:highlight w:val="none"/>
        </w:rPr>
      </w:pPr>
      <w:bookmarkStart w:id="10" w:name="_Toc15377204"/>
      <w:bookmarkStart w:id="11" w:name="_Toc15396602"/>
      <w:r>
        <w:rPr>
          <w:rFonts w:hint="eastAsia" w:ascii="Times New Roman" w:hAnsi="Times New Roman" w:eastAsia="方正小标宋简体" w:cs="方正小标宋简体"/>
          <w:b w:val="0"/>
          <w:color w:val="auto"/>
          <w:sz w:val="44"/>
          <w:szCs w:val="44"/>
          <w:highlight w:val="none"/>
        </w:rPr>
        <w:t>第二部分</w:t>
      </w:r>
      <w:r>
        <w:rPr>
          <w:rFonts w:hint="eastAsia" w:ascii="Times New Roman" w:hAnsi="Times New Roman" w:eastAsia="方正小标宋简体" w:cs="方正小标宋简体"/>
          <w:b w:val="0"/>
          <w:color w:val="auto"/>
          <w:sz w:val="44"/>
          <w:szCs w:val="44"/>
          <w:highlight w:val="none"/>
          <w:lang w:val="en-US" w:eastAsia="zh-CN"/>
        </w:rPr>
        <w:t xml:space="preserve"> </w:t>
      </w:r>
      <w:r>
        <w:rPr>
          <w:rFonts w:hint="eastAsia" w:ascii="Times New Roman" w:hAnsi="Times New Roman" w:eastAsia="方正小标宋简体" w:cs="方正小标宋简体"/>
          <w:b w:val="0"/>
          <w:color w:val="auto"/>
          <w:sz w:val="44"/>
          <w:szCs w:val="44"/>
          <w:highlight w:val="none"/>
        </w:rPr>
        <w:t xml:space="preserve"> </w:t>
      </w:r>
      <w:r>
        <w:rPr>
          <w:rFonts w:hint="eastAsia" w:ascii="Times New Roman" w:hAnsi="Times New Roman" w:eastAsia="方正小标宋简体" w:cs="方正小标宋简体"/>
          <w:b w:val="0"/>
          <w:color w:val="auto"/>
          <w:sz w:val="44"/>
          <w:szCs w:val="44"/>
          <w:highlight w:val="none"/>
          <w:lang w:val="en-US" w:eastAsia="zh-CN"/>
        </w:rPr>
        <w:t>2024年度</w:t>
      </w:r>
      <w:r>
        <w:rPr>
          <w:rFonts w:hint="eastAsia" w:ascii="Times New Roman" w:hAnsi="Times New Roman" w:eastAsia="方正小标宋简体" w:cs="方正小标宋简体"/>
          <w:b w:val="0"/>
          <w:color w:val="auto"/>
          <w:sz w:val="44"/>
          <w:szCs w:val="44"/>
          <w:highlight w:val="none"/>
        </w:rPr>
        <w:t>部门决算情况说明</w:t>
      </w:r>
      <w:bookmarkEnd w:id="10"/>
      <w:bookmarkEnd w:id="11"/>
    </w:p>
    <w:p w14:paraId="2A2201CD">
      <w:pPr>
        <w:rPr>
          <w:rFonts w:ascii="Times New Roman" w:hAnsi="Times New Roman"/>
          <w:color w:val="auto"/>
          <w:highlight w:val="none"/>
        </w:rPr>
      </w:pPr>
    </w:p>
    <w:p w14:paraId="0D9309AA">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atLeas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12" w:name="_Toc15377205"/>
      <w:bookmarkStart w:id="13" w:name="_Toc15396603"/>
      <w:r>
        <w:rPr>
          <w:rFonts w:hint="eastAsia" w:ascii="Times New Roman" w:hAnsi="Times New Roman" w:eastAsia="黑体" w:cstheme="majorBidi"/>
          <w:b/>
          <w:bCs w:val="0"/>
          <w:color w:val="auto"/>
          <w:kern w:val="2"/>
          <w:sz w:val="32"/>
          <w:szCs w:val="32"/>
          <w:lang w:val="en-US" w:eastAsia="zh-CN" w:bidi="ar-SA"/>
        </w:rPr>
        <w:t>一、收入支出决算总体情况说明</w:t>
      </w:r>
      <w:bookmarkEnd w:id="12"/>
      <w:bookmarkEnd w:id="13"/>
    </w:p>
    <w:p w14:paraId="58FE77CA">
      <w:pPr>
        <w:pStyle w:val="29"/>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textAlignment w:val="auto"/>
        <w:outlineLvl w:val="1"/>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2024年度收入、支出总计均为203.87万元。与2023年度212.58相比，收入、支出总计各减少8.71万元，下降4.27%。主要变动原因是节约成本。</w:t>
      </w:r>
    </w:p>
    <w:p w14:paraId="37E630EE">
      <w:pPr>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-83820</wp:posOffset>
            </wp:positionH>
            <wp:positionV relativeFrom="paragraph">
              <wp:posOffset>31115</wp:posOffset>
            </wp:positionV>
            <wp:extent cx="5353050" cy="1454150"/>
            <wp:effectExtent l="4445" t="4445" r="14605" b="825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_GB2312" w:hAnsi="仿宋_GB2312" w:eastAsia="仿宋_GB2312" w:cs="仿宋_GB2312"/>
          <w:kern w:val="2"/>
          <w:sz w:val="32"/>
          <w:szCs w:val="32"/>
          <w:lang w:val="en-US" w:eastAsia="zh-CN" w:bidi="ar-SA"/>
        </w:rPr>
        <w:t>（图1：收入、支出决算总计变动情况图）（柱状图）</w:t>
      </w:r>
      <w:bookmarkStart w:id="14" w:name="_Toc15396604"/>
      <w:bookmarkStart w:id="15" w:name="_Toc15377206"/>
    </w:p>
    <w:p w14:paraId="2C41C5E1">
      <w:pPr>
        <w:pStyle w:val="5"/>
        <w:keepNext/>
        <w:keepLines/>
        <w:pageBreakBefore w:val="0"/>
        <w:widowControl w:val="0"/>
        <w:numPr>
          <w:ilvl w:val="0"/>
          <w:numId w:val="0"/>
        </w:numPr>
        <w:kinsoku/>
        <w:wordWrap/>
        <w:overflowPunct/>
        <w:topLinePunct w:val="0"/>
        <w:autoSpaceDE/>
        <w:autoSpaceDN/>
        <w:bidi w:val="0"/>
        <w:adjustRightInd/>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二、收入决算情况说明</w:t>
      </w:r>
      <w:bookmarkEnd w:id="14"/>
      <w:bookmarkEnd w:id="15"/>
    </w:p>
    <w:p w14:paraId="6DD2FFC4">
      <w:pPr>
        <w:pStyle w:val="29"/>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firstLine="640" w:firstLineChars="200"/>
        <w:jc w:val="left"/>
        <w:textAlignment w:val="auto"/>
        <w:outlineLvl w:val="1"/>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度本年收入合计203.87万元，其中：一般公共预算财政拨款收入203.87万元，占100%；政府性基金预算财政拨款收入0万元，占0%%；国有资本经营预算财政拨款收入0万元，占0%；上级补助收入0万元，占0%；事业收入0万元，占0%；经营收入0万元，占0%；附属单位上缴收入0万元，占0%；其他收入0万元，占0%。（注：仅罗列本部门涉及的收入）</w:t>
      </w:r>
    </w:p>
    <w:p w14:paraId="4C4F646C">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-99060</wp:posOffset>
            </wp:positionH>
            <wp:positionV relativeFrom="paragraph">
              <wp:posOffset>13970</wp:posOffset>
            </wp:positionV>
            <wp:extent cx="5445125" cy="1350645"/>
            <wp:effectExtent l="4445" t="4445" r="17780" b="1651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仿宋_GB2312" w:cs="仿宋_GB2312"/>
          <w:color w:val="auto"/>
          <w:sz w:val="32"/>
          <w:szCs w:val="32"/>
          <w:highlight w:val="none"/>
          <w:lang w:eastAsia="zh-CN"/>
        </w:rPr>
        <w:t>（图2：收入决算结构图）（饼状图）</w:t>
      </w:r>
    </w:p>
    <w:p w14:paraId="695F8106">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1"/>
        <w:rPr>
          <w:rStyle w:val="31"/>
          <w:rFonts w:hint="eastAsia" w:ascii="Times New Roman" w:hAnsi="Times New Roman" w:eastAsia="黑体"/>
          <w:b/>
          <w:bCs/>
          <w:color w:val="auto"/>
          <w:highlight w:val="none"/>
        </w:rPr>
      </w:pPr>
      <w:bookmarkStart w:id="16" w:name="_Toc15377207"/>
      <w:bookmarkStart w:id="17" w:name="_Toc15396605"/>
      <w:r>
        <w:rPr>
          <w:rFonts w:hint="eastAsia" w:ascii="Times New Roman" w:hAnsi="Times New Roman" w:eastAsia="黑体"/>
          <w:b/>
          <w:bCs/>
          <w:color w:val="auto"/>
          <w:sz w:val="32"/>
          <w:szCs w:val="32"/>
          <w:highlight w:val="none"/>
          <w:lang w:eastAsia="zh-CN"/>
        </w:rPr>
        <w:t>三、</w:t>
      </w:r>
      <w:r>
        <w:rPr>
          <w:rFonts w:hint="eastAsia" w:ascii="Times New Roman" w:hAnsi="Times New Roman" w:eastAsia="黑体"/>
          <w:b/>
          <w:bCs/>
          <w:color w:val="auto"/>
          <w:sz w:val="32"/>
          <w:szCs w:val="32"/>
          <w:highlight w:val="none"/>
        </w:rPr>
        <w:t>支</w:t>
      </w:r>
      <w:r>
        <w:rPr>
          <w:rStyle w:val="31"/>
          <w:rFonts w:hint="eastAsia" w:ascii="Times New Roman" w:hAnsi="Times New Roman" w:eastAsia="黑体"/>
          <w:b/>
          <w:bCs/>
          <w:color w:val="auto"/>
          <w:highlight w:val="none"/>
        </w:rPr>
        <w:t>出决算情况说明</w:t>
      </w:r>
      <w:bookmarkEnd w:id="16"/>
      <w:bookmarkEnd w:id="17"/>
    </w:p>
    <w:p w14:paraId="54DF96BF">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2024年度本年支出合计203.87万元，其中：基本支出194.36万元，占95.33%；项目支出9.51万元，占4.66%；上缴上级支出0万元，占0%；经营支出0万元，占0%；对附属单位补助支出0万元，占0%。</w:t>
      </w:r>
      <w:r>
        <w:rPr>
          <w:rFonts w:hint="eastAsia" w:ascii="仿宋_GB2312" w:hAnsi="仿宋_GB2312" w:eastAsia="仿宋_GB2312" w:cs="仿宋_GB2312"/>
          <w:b/>
          <w:bCs/>
          <w:kern w:val="2"/>
          <w:sz w:val="32"/>
          <w:szCs w:val="32"/>
          <w:lang w:val="en-US" w:eastAsia="zh-CN" w:bidi="ar-SA"/>
        </w:rPr>
        <w:t>（注：仅罗列本部门涉及的支出）</w:t>
      </w:r>
    </w:p>
    <w:p w14:paraId="31F0E51D">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32385</wp:posOffset>
            </wp:positionH>
            <wp:positionV relativeFrom="paragraph">
              <wp:posOffset>84455</wp:posOffset>
            </wp:positionV>
            <wp:extent cx="5235575" cy="1387475"/>
            <wp:effectExtent l="4445" t="4445" r="17780" b="1778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Times New Roman" w:hAnsi="Times New Roman" w:eastAsia="仿宋_GB2312" w:cs="仿宋_GB2312"/>
          <w:color w:val="auto"/>
          <w:sz w:val="32"/>
          <w:szCs w:val="32"/>
          <w:highlight w:val="none"/>
          <w:lang w:eastAsia="zh-CN"/>
        </w:rPr>
        <w:t>（图3：支出决算结构图）（饼状图）</w:t>
      </w:r>
    </w:p>
    <w:p w14:paraId="3B2287BA">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18" w:name="_Toc15396606"/>
      <w:bookmarkStart w:id="19" w:name="_Toc15377208"/>
      <w:r>
        <w:rPr>
          <w:rFonts w:hint="eastAsia" w:ascii="Times New Roman" w:hAnsi="Times New Roman" w:eastAsia="黑体" w:cstheme="majorBidi"/>
          <w:b/>
          <w:bCs w:val="0"/>
          <w:color w:val="auto"/>
          <w:kern w:val="2"/>
          <w:sz w:val="32"/>
          <w:szCs w:val="32"/>
          <w:lang w:val="en-US" w:eastAsia="zh-CN" w:bidi="ar-SA"/>
        </w:rPr>
        <w:t>四、财政拨款收入支出决算总体情况说明</w:t>
      </w:r>
      <w:bookmarkEnd w:id="18"/>
      <w:bookmarkEnd w:id="19"/>
    </w:p>
    <w:p w14:paraId="7DD9684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2024年度财政拨款收入、支出总计均为</w:t>
      </w:r>
      <w:r>
        <w:rPr>
          <w:rFonts w:hint="eastAsia" w:ascii="仿宋_GB2312" w:hAnsi="仿宋_GB2312" w:eastAsia="仿宋_GB2312" w:cs="仿宋_GB2312"/>
          <w:sz w:val="32"/>
          <w:szCs w:val="32"/>
          <w:lang w:eastAsia="zh-CN"/>
        </w:rPr>
        <w:t>203.87</w:t>
      </w:r>
      <w:r>
        <w:rPr>
          <w:rFonts w:hint="eastAsia" w:ascii="仿宋_GB2312" w:hAnsi="仿宋_GB2312" w:eastAsia="仿宋_GB2312" w:cs="仿宋_GB2312"/>
          <w:sz w:val="32"/>
          <w:szCs w:val="32"/>
          <w:lang w:val="en-US" w:eastAsia="zh-CN"/>
        </w:rPr>
        <w:t>万元。与2023年度212.58相比，财政拨款收入总计、支出总计各减少8.71万元，下降4.27%。主要变动原因是人员经费减少。</w:t>
      </w:r>
    </w:p>
    <w:p w14:paraId="0B931F91">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drawing>
          <wp:anchor distT="0" distB="0" distL="114300" distR="114300" simplePos="0" relativeHeight="251663360" behindDoc="0" locked="0" layoutInCell="1" allowOverlap="1">
            <wp:simplePos x="0" y="0"/>
            <wp:positionH relativeFrom="column">
              <wp:posOffset>14605</wp:posOffset>
            </wp:positionH>
            <wp:positionV relativeFrom="paragraph">
              <wp:posOffset>143510</wp:posOffset>
            </wp:positionV>
            <wp:extent cx="5353685" cy="1467485"/>
            <wp:effectExtent l="4445" t="4445" r="13970" b="1397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_GB2312" w:hAnsi="仿宋_GB2312" w:eastAsia="仿宋_GB2312" w:cs="仿宋_GB2312"/>
          <w:sz w:val="32"/>
          <w:szCs w:val="32"/>
          <w:lang w:val="en-US" w:eastAsia="zh-CN"/>
        </w:rPr>
        <w:t>（图4：财政拨款收、支决算总计变动情况）（柱状图）</w:t>
      </w:r>
    </w:p>
    <w:p w14:paraId="6B2C6AED">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20" w:name="_Toc15377209"/>
      <w:bookmarkStart w:id="21" w:name="_Toc15396607"/>
      <w:r>
        <w:rPr>
          <w:rFonts w:hint="eastAsia" w:ascii="Times New Roman" w:hAnsi="Times New Roman" w:eastAsia="黑体" w:cstheme="majorBidi"/>
          <w:b/>
          <w:bCs w:val="0"/>
          <w:color w:val="auto"/>
          <w:kern w:val="2"/>
          <w:sz w:val="32"/>
          <w:szCs w:val="32"/>
          <w:lang w:val="en-US" w:eastAsia="zh-CN" w:bidi="ar-SA"/>
        </w:rPr>
        <w:t>五、一般公共预算财政拨款支出决算情况说明</w:t>
      </w:r>
      <w:bookmarkEnd w:id="20"/>
      <w:bookmarkEnd w:id="21"/>
    </w:p>
    <w:p w14:paraId="6CB10704">
      <w:pPr>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14:paraId="41587D50">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w:t>
      </w:r>
      <w:r>
        <w:rPr>
          <w:rFonts w:hint="eastAsia" w:ascii="仿宋_GB2312" w:hAnsi="仿宋_GB2312" w:eastAsia="仿宋_GB2312" w:cs="仿宋_GB2312"/>
          <w:sz w:val="32"/>
          <w:szCs w:val="32"/>
          <w:lang w:eastAsia="zh-CN"/>
        </w:rPr>
        <w:t>203.87</w:t>
      </w:r>
      <w:r>
        <w:rPr>
          <w:rFonts w:hint="eastAsia" w:ascii="仿宋_GB2312" w:hAnsi="仿宋_GB2312" w:eastAsia="仿宋_GB2312" w:cs="仿宋_GB2312"/>
          <w:sz w:val="32"/>
          <w:szCs w:val="32"/>
          <w:lang w:val="en-US" w:eastAsia="zh-CN"/>
        </w:rPr>
        <w:t>万元，占</w:t>
      </w: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40005</wp:posOffset>
            </wp:positionH>
            <wp:positionV relativeFrom="paragraph">
              <wp:posOffset>1164590</wp:posOffset>
            </wp:positionV>
            <wp:extent cx="5248275" cy="1941830"/>
            <wp:effectExtent l="4445" t="4445" r="5080" b="1587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_GB2312" w:hAnsi="仿宋_GB2312" w:eastAsia="仿宋_GB2312" w:cs="仿宋_GB2312"/>
          <w:sz w:val="32"/>
          <w:szCs w:val="32"/>
          <w:lang w:val="en-US" w:eastAsia="zh-CN"/>
        </w:rPr>
        <w:t>本年支出合计的</w:t>
      </w:r>
      <w:r>
        <w:rPr>
          <w:rFonts w:hint="eastAsia" w:ascii="仿宋_GB2312" w:hAnsi="仿宋_GB2312" w:eastAsia="仿宋_GB2312" w:cs="仿宋_GB2312"/>
          <w:sz w:val="32"/>
          <w:szCs w:val="32"/>
          <w:lang w:eastAsia="zh-CN"/>
        </w:rPr>
        <w:t>100</w:t>
      </w:r>
      <w:r>
        <w:rPr>
          <w:rFonts w:hint="eastAsia" w:ascii="仿宋_GB2312" w:hAnsi="仿宋_GB2312" w:eastAsia="仿宋_GB2312" w:cs="仿宋_GB2312"/>
          <w:sz w:val="32"/>
          <w:szCs w:val="32"/>
          <w:lang w:val="en-US" w:eastAsia="zh-CN"/>
        </w:rPr>
        <w:t>%。与2023年度相比，一般公共预算财政拨款支出增加/减少**万元，增长/下降**%。主要变动原因是……</w:t>
      </w:r>
    </w:p>
    <w:p w14:paraId="12E5C63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（图5：一般公共预算财政拨款支出决算变动情况）（柱状图）</w:t>
      </w:r>
    </w:p>
    <w:p w14:paraId="7A8E76C7">
      <w:pPr>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2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3"/>
    </w:p>
    <w:p w14:paraId="22A680F6">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w:t>
      </w:r>
      <w:r>
        <w:rPr>
          <w:rFonts w:hint="eastAsia" w:ascii="仿宋_GB2312" w:hAnsi="仿宋_GB2312" w:eastAsia="仿宋_GB2312" w:cs="仿宋_GB2312"/>
          <w:sz w:val="32"/>
          <w:szCs w:val="32"/>
          <w:lang w:eastAsia="zh-CN"/>
        </w:rPr>
        <w:t>203.87</w:t>
      </w:r>
      <w:r>
        <w:rPr>
          <w:rFonts w:hint="eastAsia" w:ascii="仿宋_GB2312" w:hAnsi="仿宋_GB2312" w:eastAsia="仿宋_GB2312" w:cs="仿宋_GB2312"/>
          <w:sz w:val="32"/>
          <w:szCs w:val="32"/>
          <w:lang w:val="en-US" w:eastAsia="zh-CN"/>
        </w:rPr>
        <w:t>万元，主要用于以下方面：一般公共服务支出**万元，占**%；教育支出**万元，占**%；科学技术支出**万元，占**%；文化旅游体育与传媒支出**万元，占**%；社会保障和就业支出24.89万元，占12.21%；卫生健康支出163.51万元，占80.2%；住房保障支出15.47万元，占7.59%；……（注：仅罗列本部门涉及的全部功能分类科目，至类级）</w:t>
      </w:r>
    </w:p>
    <w:p w14:paraId="0AA4624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（图6：一般公共预算财政拨款支出决算结构）（饼状图）</w:t>
      </w:r>
    </w:p>
    <w:p w14:paraId="5A402EBE">
      <w:pPr>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2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4"/>
    </w:p>
    <w:p w14:paraId="1B2CEEB9">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bookmarkStart w:id="25" w:name="_Toc15377444"/>
      <w:bookmarkStart w:id="26" w:name="_Toc15378460"/>
      <w:bookmarkStart w:id="27" w:name="_Toc15377213"/>
      <w:r>
        <w:rPr>
          <w:rFonts w:hint="eastAsia" w:ascii="仿宋_GB2312" w:hAnsi="仿宋_GB2312" w:eastAsia="仿宋_GB2312" w:cs="仿宋_GB2312"/>
          <w:sz w:val="32"/>
          <w:szCs w:val="32"/>
          <w:lang w:val="en-US" w:eastAsia="zh-CN"/>
        </w:rPr>
        <w:t>2024年度一般公共预算财政拨款支出决算数为</w:t>
      </w:r>
      <w:r>
        <w:rPr>
          <w:rFonts w:hint="eastAsia" w:ascii="仿宋_GB2312" w:hAnsi="仿宋_GB2312" w:eastAsia="仿宋_GB2312" w:cs="仿宋_GB2312"/>
          <w:sz w:val="32"/>
          <w:szCs w:val="32"/>
          <w:lang w:eastAsia="zh-CN"/>
        </w:rPr>
        <w:t>203.87</w:t>
      </w:r>
      <w:r>
        <w:rPr>
          <w:rFonts w:hint="eastAsia" w:ascii="仿宋_GB2312" w:hAnsi="仿宋_GB2312" w:eastAsia="仿宋_GB2312" w:cs="仿宋_GB2312"/>
          <w:sz w:val="32"/>
          <w:szCs w:val="32"/>
          <w:lang w:val="en-US" w:eastAsia="zh-CN"/>
        </w:rPr>
        <w:t>，完成预算**%。其中：</w:t>
      </w:r>
      <w:bookmarkEnd w:id="25"/>
      <w:bookmarkEnd w:id="26"/>
      <w:bookmarkEnd w:id="27"/>
    </w:p>
    <w:p w14:paraId="514D03D8">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1.社会保障和就业支出（208）行政事业单位养老支出（05）机关事业单位基本养老保险缴费支出（05）:支出决算</w:t>
      </w:r>
      <w:r>
        <w:rPr>
          <w:rFonts w:hint="eastAsia" w:ascii="仿宋_GB2312" w:hAnsi="仿宋_GB2312" w:eastAsia="仿宋_GB2312" w:cs="仿宋_GB2312"/>
          <w:sz w:val="32"/>
          <w:szCs w:val="32"/>
          <w:lang w:val="en-US" w:eastAsia="zh-CN"/>
        </w:rPr>
        <w:t>16.6</w:t>
      </w:r>
      <w:r>
        <w:rPr>
          <w:rFonts w:hint="eastAsia" w:ascii="仿宋_GB2312" w:hAnsi="仿宋_GB2312" w:eastAsia="仿宋_GB2312" w:cs="仿宋_GB2312"/>
          <w:sz w:val="32"/>
          <w:szCs w:val="32"/>
          <w:lang w:eastAsia="zh-CN"/>
        </w:rPr>
        <w:t>万元，完成预算100%。</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xml:space="preserve">    2.社会保障和就业支出（208）行政事业单位养老支出（05）机关事业单位职业年金缴费支出（06）:支出决算</w:t>
      </w:r>
      <w:r>
        <w:rPr>
          <w:rFonts w:hint="eastAsia" w:ascii="仿宋_GB2312" w:hAnsi="仿宋_GB2312" w:eastAsia="仿宋_GB2312" w:cs="仿宋_GB2312"/>
          <w:sz w:val="32"/>
          <w:szCs w:val="32"/>
          <w:lang w:val="en-US" w:eastAsia="zh-CN"/>
        </w:rPr>
        <w:t>8.3</w:t>
      </w:r>
      <w:r>
        <w:rPr>
          <w:rFonts w:hint="eastAsia" w:ascii="仿宋_GB2312" w:hAnsi="仿宋_GB2312" w:eastAsia="仿宋_GB2312" w:cs="仿宋_GB2312"/>
          <w:sz w:val="32"/>
          <w:szCs w:val="32"/>
          <w:lang w:eastAsia="zh-CN"/>
        </w:rPr>
        <w:t>万元，完成预算100%。</w:t>
      </w:r>
    </w:p>
    <w:p w14:paraId="4C9B9F17">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卫生健康支出（210）公共卫生（0</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）基层医疗机构卫生（0</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）:支出决算</w:t>
      </w:r>
      <w:r>
        <w:rPr>
          <w:rFonts w:hint="eastAsia" w:ascii="仿宋_GB2312" w:hAnsi="仿宋_GB2312" w:eastAsia="仿宋_GB2312" w:cs="仿宋_GB2312"/>
          <w:sz w:val="32"/>
          <w:szCs w:val="32"/>
          <w:lang w:val="en-US" w:eastAsia="zh-CN"/>
        </w:rPr>
        <w:t>142.54</w:t>
      </w:r>
      <w:r>
        <w:rPr>
          <w:rFonts w:hint="eastAsia" w:ascii="仿宋_GB2312" w:hAnsi="仿宋_GB2312" w:eastAsia="仿宋_GB2312" w:cs="仿宋_GB2312"/>
          <w:sz w:val="32"/>
          <w:szCs w:val="32"/>
          <w:lang w:eastAsia="zh-CN"/>
        </w:rPr>
        <w:t>万元，完成预算100%。</w:t>
      </w:r>
    </w:p>
    <w:p w14:paraId="3DB4952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卫生健康支出（210）其他卫生健康支出（</w:t>
      </w:r>
      <w:r>
        <w:rPr>
          <w:rFonts w:hint="eastAsia" w:ascii="仿宋_GB2312" w:hAnsi="仿宋_GB2312" w:eastAsia="仿宋_GB2312" w:cs="仿宋_GB2312"/>
          <w:sz w:val="32"/>
          <w:szCs w:val="32"/>
          <w:lang w:val="en-US" w:eastAsia="zh-CN"/>
        </w:rPr>
        <w:t>03</w:t>
      </w:r>
      <w:r>
        <w:rPr>
          <w:rFonts w:hint="eastAsia" w:ascii="仿宋_GB2312" w:hAnsi="仿宋_GB2312" w:eastAsia="仿宋_GB2312" w:cs="仿宋_GB2312"/>
          <w:sz w:val="32"/>
          <w:szCs w:val="32"/>
          <w:lang w:eastAsia="zh-CN"/>
        </w:rPr>
        <w:t>）其他卫生健康支出（99）:支出决算</w:t>
      </w:r>
      <w:r>
        <w:rPr>
          <w:rFonts w:hint="eastAsia" w:ascii="仿宋_GB2312" w:hAnsi="仿宋_GB2312" w:eastAsia="仿宋_GB2312" w:cs="仿宋_GB2312"/>
          <w:sz w:val="32"/>
          <w:szCs w:val="32"/>
          <w:lang w:val="en-US" w:eastAsia="zh-CN"/>
        </w:rPr>
        <w:t>8.57</w:t>
      </w:r>
      <w:r>
        <w:rPr>
          <w:rFonts w:hint="eastAsia" w:ascii="仿宋_GB2312" w:hAnsi="仿宋_GB2312" w:eastAsia="仿宋_GB2312" w:cs="仿宋_GB2312"/>
          <w:sz w:val="32"/>
          <w:szCs w:val="32"/>
          <w:lang w:eastAsia="zh-CN"/>
        </w:rPr>
        <w:t>万元，完成预算100%。</w:t>
      </w:r>
    </w:p>
    <w:p w14:paraId="30F6028B">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卫生健康支出（210）公共卫生（0</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）基本公共卫生服务（0</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）:支出决算</w:t>
      </w:r>
      <w:r>
        <w:rPr>
          <w:rFonts w:hint="eastAsia" w:ascii="仿宋_GB2312" w:hAnsi="仿宋_GB2312" w:eastAsia="仿宋_GB2312" w:cs="仿宋_GB2312"/>
          <w:sz w:val="32"/>
          <w:szCs w:val="32"/>
          <w:lang w:val="en-US" w:eastAsia="zh-CN"/>
        </w:rPr>
        <w:t>0.94</w:t>
      </w:r>
      <w:r>
        <w:rPr>
          <w:rFonts w:hint="eastAsia" w:ascii="仿宋_GB2312" w:hAnsi="仿宋_GB2312" w:eastAsia="仿宋_GB2312" w:cs="仿宋_GB2312"/>
          <w:sz w:val="32"/>
          <w:szCs w:val="32"/>
          <w:lang w:eastAsia="zh-CN"/>
        </w:rPr>
        <w:t>万元，完成预算100%。</w:t>
      </w:r>
    </w:p>
    <w:p w14:paraId="61F4AFD0">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卫生健康支出（210）行政事业单位医疗（11）事业单位医疗（02）:支出决算</w:t>
      </w:r>
      <w:r>
        <w:rPr>
          <w:rFonts w:hint="eastAsia" w:ascii="仿宋_GB2312" w:hAnsi="仿宋_GB2312" w:eastAsia="仿宋_GB2312" w:cs="仿宋_GB2312"/>
          <w:sz w:val="32"/>
          <w:szCs w:val="32"/>
          <w:lang w:val="en-US" w:eastAsia="zh-CN"/>
        </w:rPr>
        <w:t>9.47</w:t>
      </w:r>
      <w:r>
        <w:rPr>
          <w:rFonts w:hint="eastAsia" w:ascii="仿宋_GB2312" w:hAnsi="仿宋_GB2312" w:eastAsia="仿宋_GB2312" w:cs="仿宋_GB2312"/>
          <w:sz w:val="32"/>
          <w:szCs w:val="32"/>
          <w:lang w:eastAsia="zh-CN"/>
        </w:rPr>
        <w:t>万元，完成预算100%。</w:t>
      </w:r>
    </w:p>
    <w:p w14:paraId="6EC9B572">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7.卫生健康支出（210）其他卫生健康支出（</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）其他卫生健康支出（99）:支出决算</w:t>
      </w:r>
      <w:r>
        <w:rPr>
          <w:rFonts w:hint="eastAsia" w:ascii="仿宋_GB2312" w:hAnsi="仿宋_GB2312" w:eastAsia="仿宋_GB2312" w:cs="仿宋_GB2312"/>
          <w:sz w:val="32"/>
          <w:szCs w:val="32"/>
          <w:lang w:val="en-US" w:eastAsia="zh-CN"/>
        </w:rPr>
        <w:t>1.99</w:t>
      </w:r>
      <w:r>
        <w:rPr>
          <w:rFonts w:hint="eastAsia" w:ascii="仿宋_GB2312" w:hAnsi="仿宋_GB2312" w:eastAsia="仿宋_GB2312" w:cs="仿宋_GB2312"/>
          <w:sz w:val="32"/>
          <w:szCs w:val="32"/>
          <w:lang w:eastAsia="zh-CN"/>
        </w:rPr>
        <w:t>万元，完成预算100%。</w:t>
      </w:r>
    </w:p>
    <w:p w14:paraId="5CFF86F6">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住房保障支出（221）住房改革支出（02）住房公积金（01）:支出决算</w:t>
      </w:r>
      <w:r>
        <w:rPr>
          <w:rFonts w:hint="eastAsia" w:ascii="仿宋_GB2312" w:hAnsi="仿宋_GB2312" w:eastAsia="仿宋_GB2312" w:cs="仿宋_GB2312"/>
          <w:sz w:val="32"/>
          <w:szCs w:val="32"/>
          <w:lang w:val="en-US" w:eastAsia="zh-CN"/>
        </w:rPr>
        <w:t>15.47</w:t>
      </w:r>
      <w:r>
        <w:rPr>
          <w:rFonts w:hint="eastAsia" w:ascii="仿宋_GB2312" w:hAnsi="仿宋_GB2312" w:eastAsia="仿宋_GB2312" w:cs="仿宋_GB2312"/>
          <w:sz w:val="32"/>
          <w:szCs w:val="32"/>
          <w:lang w:eastAsia="zh-CN"/>
        </w:rPr>
        <w:t>万元，完成预算100%。</w:t>
      </w:r>
    </w:p>
    <w:p w14:paraId="158B3B7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（注：仅罗列本部门涉及的全部功能分类科目，至项级。上述“预算”口径为全年预算数。增减变动原因为决算数&lt;项级&gt;和全年预算数&lt;项级&gt;比较，与预算数持平可以不写原因）</w:t>
      </w:r>
    </w:p>
    <w:p w14:paraId="6DEB8728">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p>
    <w:p w14:paraId="049EC89B">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28" w:name="_Toc15377214"/>
      <w:bookmarkStart w:id="29" w:name="_Toc15396608"/>
      <w:r>
        <w:rPr>
          <w:rFonts w:hint="eastAsia" w:ascii="Times New Roman" w:hAnsi="Times New Roman" w:eastAsia="黑体" w:cstheme="majorBidi"/>
          <w:b/>
          <w:bCs w:val="0"/>
          <w:color w:val="auto"/>
          <w:kern w:val="2"/>
          <w:sz w:val="32"/>
          <w:szCs w:val="32"/>
          <w:lang w:val="en-US" w:eastAsia="zh-CN" w:bidi="ar-SA"/>
        </w:rPr>
        <w:t>六、一般公共预算财政拨款基本支出决算情况说明</w:t>
      </w:r>
      <w:bookmarkEnd w:id="28"/>
      <w:bookmarkEnd w:id="29"/>
      <w:r>
        <w:rPr>
          <w:rFonts w:hint="eastAsia" w:ascii="Times New Roman" w:hAnsi="Times New Roman" w:eastAsia="黑体" w:cstheme="majorBidi"/>
          <w:b/>
          <w:bCs w:val="0"/>
          <w:color w:val="auto"/>
          <w:kern w:val="2"/>
          <w:sz w:val="32"/>
          <w:szCs w:val="32"/>
          <w:lang w:val="en-US" w:eastAsia="zh-CN" w:bidi="ar-SA"/>
        </w:rPr>
        <w:tab/>
      </w:r>
    </w:p>
    <w:p w14:paraId="1C7F93FC">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194.36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5906CFE2">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192.14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w:t>
      </w:r>
      <w:r>
        <w:rPr>
          <w:rFonts w:hint="eastAsia" w:ascii="仿宋_GB2312" w:hAnsi="仿宋_GB2312" w:eastAsia="仿宋_GB2312" w:cs="仿宋_GB2312"/>
          <w:sz w:val="32"/>
          <w:szCs w:val="32"/>
          <w:lang w:val="en-US" w:eastAsia="zh-CN"/>
        </w:rPr>
        <w:t>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公用经费</w:t>
      </w:r>
      <w:r>
        <w:rPr>
          <w:rFonts w:hint="eastAsia" w:ascii="仿宋_GB2312" w:hAnsi="仿宋_GB2312" w:eastAsia="仿宋_GB2312" w:cs="仿宋_GB2312"/>
          <w:sz w:val="32"/>
          <w:szCs w:val="32"/>
          <w:lang w:eastAsia="zh-CN"/>
        </w:rPr>
        <w:t>2.21</w:t>
      </w:r>
      <w:r>
        <w:rPr>
          <w:rFonts w:hint="eastAsia" w:ascii="仿宋_GB2312" w:hAnsi="仿宋_GB2312" w:eastAsia="仿宋_GB2312" w:cs="仿宋_GB2312"/>
          <w:sz w:val="32"/>
          <w:szCs w:val="32"/>
          <w:lang w:val="en-US" w:eastAsia="zh-CN"/>
        </w:rPr>
        <w:t>万元，主要包括：工会经费2.21万元。</w:t>
      </w:r>
    </w:p>
    <w:p w14:paraId="154143D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（注：仅罗列本部门实际支出涉及的经济分类科目）</w:t>
      </w:r>
    </w:p>
    <w:p w14:paraId="26BFAD23">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30" w:name="_Toc15377215"/>
      <w:bookmarkStart w:id="31" w:name="_Toc15396609"/>
      <w:r>
        <w:rPr>
          <w:rFonts w:hint="eastAsia" w:ascii="Times New Roman" w:hAnsi="Times New Roman" w:eastAsia="黑体" w:cstheme="majorBidi"/>
          <w:b/>
          <w:bCs w:val="0"/>
          <w:color w:val="auto"/>
          <w:kern w:val="2"/>
          <w:sz w:val="32"/>
          <w:szCs w:val="32"/>
          <w:lang w:val="en-US" w:eastAsia="zh-CN" w:bidi="ar-SA"/>
        </w:rPr>
        <w:t>七、财政拨款“三公”经费支出决算情况说明</w:t>
      </w:r>
      <w:bookmarkEnd w:id="30"/>
      <w:bookmarkEnd w:id="31"/>
    </w:p>
    <w:p w14:paraId="7A6C2E94">
      <w:pPr>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14:paraId="31407EF1">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2024年度“三公”经费财政拨款支出决算为</w:t>
      </w:r>
      <w:r>
        <w:rPr>
          <w:rFonts w:hint="eastAsia" w:ascii="仿宋_GB2312" w:hAnsi="仿宋_GB2312" w:eastAsia="仿宋_GB2312" w:cs="仿宋_GB2312"/>
          <w:sz w:val="32"/>
          <w:szCs w:val="32"/>
          <w:lang w:eastAsia="zh-CN"/>
        </w:rPr>
        <w:t>1.69</w:t>
      </w:r>
      <w:r>
        <w:rPr>
          <w:rFonts w:hint="eastAsia" w:ascii="仿宋_GB2312" w:hAnsi="仿宋_GB2312" w:eastAsia="仿宋_GB2312" w:cs="仿宋_GB2312"/>
          <w:sz w:val="32"/>
          <w:szCs w:val="32"/>
          <w:lang w:val="en-US" w:eastAsia="zh-CN"/>
        </w:rPr>
        <w:t>万元，完成预算</w:t>
      </w:r>
      <w:r>
        <w:rPr>
          <w:rFonts w:hint="eastAsia" w:ascii="仿宋_GB2312" w:hAnsi="仿宋_GB2312" w:eastAsia="仿宋_GB2312" w:cs="仿宋_GB2312"/>
          <w:sz w:val="32"/>
          <w:szCs w:val="32"/>
          <w:lang w:eastAsia="zh-CN"/>
        </w:rPr>
        <w:t>100</w:t>
      </w:r>
      <w:r>
        <w:rPr>
          <w:rFonts w:hint="eastAsia" w:ascii="仿宋_GB2312" w:hAnsi="仿宋_GB2312" w:eastAsia="仿宋_GB2312" w:cs="仿宋_GB2312"/>
          <w:sz w:val="32"/>
          <w:szCs w:val="32"/>
          <w:lang w:val="en-US" w:eastAsia="zh-CN"/>
        </w:rPr>
        <w:t>%，较上年度增加/减少**万元，增长/下降**%。决算数小于预算数（或与预算数持平）的主要原因是……</w:t>
      </w:r>
    </w:p>
    <w:p w14:paraId="047EE800">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7E7263CE">
      <w:pPr>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3"/>
    </w:p>
    <w:p w14:paraId="4729DAE2">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2024年度“三公”经费财政拨款支出决算中，因公出国（境）费支出决算</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万元，占**%；公务用车购置及运行维护费支出决算</w:t>
      </w:r>
      <w:r>
        <w:rPr>
          <w:rFonts w:hint="eastAsia" w:ascii="仿宋_GB2312" w:hAnsi="仿宋_GB2312" w:eastAsia="仿宋_GB2312" w:cs="仿宋_GB2312"/>
          <w:sz w:val="32"/>
          <w:szCs w:val="32"/>
          <w:lang w:eastAsia="zh-CN"/>
        </w:rPr>
        <w:t>1.69</w:t>
      </w:r>
      <w:r>
        <w:rPr>
          <w:rFonts w:hint="eastAsia" w:ascii="仿宋_GB2312" w:hAnsi="仿宋_GB2312" w:eastAsia="仿宋_GB2312" w:cs="仿宋_GB2312"/>
          <w:sz w:val="32"/>
          <w:szCs w:val="32"/>
          <w:lang w:val="en-US" w:eastAsia="zh-CN"/>
        </w:rPr>
        <w:t>万元，占**%；公务接待费支出决算</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万元，占**%。具体情况如下：</w:t>
      </w:r>
    </w:p>
    <w:p w14:paraId="37A51CF6">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（图7：“三公”经费财政拨款支出结构）（饼状图）</w:t>
      </w:r>
    </w:p>
    <w:p w14:paraId="2A3244BB">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1.因公出国（境）经费支出**万元，完成预算**%。</w:t>
      </w:r>
      <w:r>
        <w:rPr>
          <w:rFonts w:hint="eastAsia" w:ascii="仿宋_GB2312" w:hAnsi="仿宋_GB2312" w:eastAsia="仿宋_GB2312" w:cs="仿宋_GB2312"/>
          <w:sz w:val="32"/>
          <w:szCs w:val="32"/>
          <w:lang w:val="en-US" w:eastAsia="zh-CN"/>
        </w:rPr>
        <w:t>全年安排因公出国（境）团组</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次，出国（境）</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人。因公出国（境）支出决算比2023年增加/减少**万元，增长/下降**%。主要原因是……</w:t>
      </w:r>
    </w:p>
    <w:p w14:paraId="1E84F63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开支内容包括：……（团组名称、出访地点、取得成效等）</w:t>
      </w:r>
    </w:p>
    <w:p w14:paraId="255E7229">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1.69万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ascii="仿宋_GB2312" w:hAnsi="仿宋_GB2312" w:eastAsia="仿宋_GB2312" w:cs="仿宋_GB2312"/>
          <w:sz w:val="32"/>
          <w:szCs w:val="32"/>
          <w:lang w:val="en-US" w:eastAsia="zh-CN"/>
        </w:rPr>
        <w:t>公务用车购置及运行维护费支出决算比2023年度增加/减少**万元，增长/下降**%。主要原因是……</w:t>
      </w:r>
    </w:p>
    <w:p w14:paraId="45A1ABAF">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其中：公务用车购置支出</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全年按规定更新购置公务用车**辆，其中：轿车**辆、金额**万元，越野车**辆、金额**万元，载客汽车**辆、金额**万元，主要用于……。截至2024年12月31日，单位共有公务用车**辆，其中：轿车**辆、越野车**辆、载客汽车**辆。</w:t>
      </w:r>
    </w:p>
    <w:p w14:paraId="500A7BB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公务用车运行维护费支出</w:t>
      </w:r>
      <w:r>
        <w:rPr>
          <w:rFonts w:hint="eastAsia" w:ascii="仿宋_GB2312" w:hAnsi="仿宋_GB2312" w:eastAsia="仿宋_GB2312" w:cs="仿宋_GB2312"/>
          <w:sz w:val="32"/>
          <w:szCs w:val="32"/>
          <w:lang w:eastAsia="zh-CN"/>
        </w:rPr>
        <w:t>1.69</w:t>
      </w:r>
      <w:r>
        <w:rPr>
          <w:rFonts w:hint="eastAsia" w:ascii="仿宋_GB2312" w:hAnsi="仿宋_GB2312" w:eastAsia="仿宋_GB2312" w:cs="仿宋_GB2312"/>
          <w:sz w:val="32"/>
          <w:szCs w:val="32"/>
          <w:lang w:val="en-US" w:eastAsia="zh-CN"/>
        </w:rPr>
        <w:t>万元。主要用于……（具体工作）所需的公务用车燃料费、维修费、过路过桥费、保险费等支出。</w:t>
      </w:r>
    </w:p>
    <w:p w14:paraId="7386610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ascii="仿宋_GB2312" w:hAnsi="仿宋_GB2312" w:eastAsia="仿宋_GB2312" w:cs="仿宋_GB2312"/>
          <w:sz w:val="32"/>
          <w:szCs w:val="32"/>
          <w:lang w:val="en-US" w:eastAsia="zh-CN"/>
        </w:rPr>
        <w:t>公务接待费支出决算比2023年度增加/减少**万元，增长/下降**%。主要原因是……。</w:t>
      </w:r>
    </w:p>
    <w:p w14:paraId="52E643E3">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其中：国内公务接待支出</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万元，主要用于……(执行公务、开展业务活动开支的交通费、住宿费、用餐费等)。国内公务接待</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批次，</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人次（不包括陪同人员），共计支出**万元，具体内容包括：……（接待具体项目、金额）。</w:t>
      </w:r>
    </w:p>
    <w:p w14:paraId="406FF117">
      <w:pPr>
        <w:keepNext w:val="0"/>
        <w:keepLines w:val="0"/>
        <w:pageBreakBefore w:val="0"/>
        <w:numPr>
          <w:ilvl w:val="0"/>
          <w:numId w:val="0"/>
        </w:numPr>
        <w:kinsoku/>
        <w:wordWrap/>
        <w:overflowPunct/>
        <w:topLinePunct w:val="0"/>
        <w:autoSpaceDE/>
        <w:autoSpaceDN/>
        <w:bidi w:val="0"/>
        <w:adjustRightInd w:val="0"/>
        <w:snapToGrid w:val="0"/>
        <w:spacing w:afterAutospacing="0" w:line="576" w:lineRule="exact"/>
        <w:ind w:firstLine="640" w:firstLineChars="200"/>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外事接待支出</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万元，主要用于……（具体项目）。外事接待</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批次，</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人次（不包括陪同人员），共计支出**万</w:t>
      </w:r>
      <w:r>
        <w:rPr>
          <w:rFonts w:hint="eastAsia" w:ascii="Times New Roman" w:hAnsi="Times New Roman" w:eastAsia="仿宋_GB2312" w:cs="仿宋_GB2312"/>
          <w:color w:val="auto"/>
          <w:kern w:val="2"/>
          <w:sz w:val="32"/>
          <w:szCs w:val="32"/>
          <w:highlight w:val="none"/>
          <w:lang w:val="en-US" w:eastAsia="zh-CN" w:bidi="ar-SA"/>
        </w:rPr>
        <w:t>元。</w:t>
      </w:r>
      <w:bookmarkStart w:id="34" w:name="_Toc15377218"/>
      <w:bookmarkStart w:id="35" w:name="_Toc15396610"/>
    </w:p>
    <w:p w14:paraId="1609A080">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afterAutospacing="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八、政府性基金预算支出决算情况说明</w:t>
      </w:r>
      <w:bookmarkEnd w:id="34"/>
      <w:bookmarkEnd w:id="35"/>
    </w:p>
    <w:p w14:paraId="79EB8A3F">
      <w:pPr>
        <w:pageBreakBefore w:val="0"/>
        <w:kinsoku/>
        <w:wordWrap/>
        <w:overflowPunct/>
        <w:topLinePunct w:val="0"/>
        <w:autoSpaceDE/>
        <w:autoSpaceDN/>
        <w:bidi w:val="0"/>
        <w:adjustRightInd w:val="0"/>
        <w:snapToGrid w:val="0"/>
        <w:spacing w:afterAutospacing="0"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2024年度政府性基金预算财政拨款支出</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万元，占本年支出合计的</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%。与2023年度相比，政府性基金预算财政拨款支出增加/减少**万元，增长/下降**%。主要变动原因是……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2891B6AD">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afterAutospacing="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36" w:name="_Toc15377219"/>
      <w:bookmarkStart w:id="37" w:name="_Toc15396611"/>
      <w:r>
        <w:rPr>
          <w:rFonts w:hint="eastAsia" w:ascii="Times New Roman" w:hAnsi="Times New Roman" w:eastAsia="黑体" w:cstheme="majorBidi"/>
          <w:b/>
          <w:bCs w:val="0"/>
          <w:color w:val="auto"/>
          <w:kern w:val="2"/>
          <w:sz w:val="32"/>
          <w:szCs w:val="32"/>
          <w:lang w:val="en-US" w:eastAsia="zh-CN" w:bidi="ar-SA"/>
        </w:rPr>
        <w:t>九、国有资本经营预算支出决算情况说明</w:t>
      </w:r>
      <w:bookmarkEnd w:id="36"/>
      <w:bookmarkEnd w:id="37"/>
    </w:p>
    <w:p w14:paraId="78DC8007">
      <w:pPr>
        <w:pageBreakBefore w:val="0"/>
        <w:kinsoku/>
        <w:wordWrap/>
        <w:overflowPunct/>
        <w:topLinePunct w:val="0"/>
        <w:autoSpaceDE/>
        <w:autoSpaceDN/>
        <w:bidi w:val="0"/>
        <w:adjustRightInd w:val="0"/>
        <w:snapToGrid w:val="0"/>
        <w:spacing w:afterAutospacing="0" w:line="576" w:lineRule="exac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2024年度国有资本经营预算财政拨款支出</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万元，占本年支出合计的</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%。与2023年度相比，国有资本经营预算财政拨款支出增加/减少**万元，增长/下降**%。主要变动原因是……</w:t>
      </w:r>
      <w:r>
        <w:rPr>
          <w:rFonts w:hint="eastAsia" w:ascii="仿宋_GB2312" w:hAnsi="仿宋_GB2312" w:eastAsia="仿宋_GB2312" w:cs="仿宋_GB2312"/>
          <w:b/>
          <w:bCs/>
          <w:sz w:val="32"/>
          <w:szCs w:val="32"/>
          <w:lang w:val="en-US" w:eastAsia="zh-CN"/>
        </w:rPr>
        <w:t>（注：支出数与上年持平可以不写原因）</w:t>
      </w:r>
    </w:p>
    <w:p w14:paraId="1D77D719">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afterAutospacing="0" w:line="576" w:lineRule="exac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bookmarkStart w:id="38" w:name="_Toc15377221"/>
      <w:bookmarkStart w:id="39" w:name="_Toc15396612"/>
      <w:r>
        <w:rPr>
          <w:rFonts w:hint="eastAsia" w:ascii="Times New Roman" w:hAnsi="Times New Roman" w:eastAsia="黑体" w:cstheme="majorBidi"/>
          <w:b/>
          <w:bCs w:val="0"/>
          <w:color w:val="auto"/>
          <w:kern w:val="2"/>
          <w:sz w:val="32"/>
          <w:szCs w:val="32"/>
          <w:lang w:val="en-US" w:eastAsia="zh-CN" w:bidi="ar-SA"/>
        </w:rPr>
        <w:t>十、其他重要事项的情况说明</w:t>
      </w:r>
      <w:bookmarkEnd w:id="38"/>
      <w:bookmarkEnd w:id="39"/>
    </w:p>
    <w:p w14:paraId="53A624D0">
      <w:pPr>
        <w:pageBreakBefore w:val="0"/>
        <w:kinsoku/>
        <w:wordWrap/>
        <w:overflowPunct/>
        <w:topLinePunct w:val="0"/>
        <w:autoSpaceDE/>
        <w:autoSpaceDN/>
        <w:bidi w:val="0"/>
        <w:adjustRightInd w:val="0"/>
        <w:snapToGrid w:val="0"/>
        <w:spacing w:afterAutospacing="0"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14:paraId="3D862B4C">
      <w:pPr>
        <w:keepNext w:val="0"/>
        <w:keepLines w:val="0"/>
        <w:pageBreakBefore w:val="0"/>
        <w:numPr>
          <w:ilvl w:val="0"/>
          <w:numId w:val="0"/>
        </w:numPr>
        <w:kinsoku/>
        <w:wordWrap/>
        <w:overflowPunct/>
        <w:topLinePunct w:val="0"/>
        <w:autoSpaceDE/>
        <w:autoSpaceDN/>
        <w:bidi w:val="0"/>
        <w:adjustRightInd w:val="0"/>
        <w:snapToGrid w:val="0"/>
        <w:spacing w:afterAutospacing="0" w:line="576" w:lineRule="exact"/>
        <w:ind w:firstLine="640" w:firstLineChars="200"/>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2024年度，</w:t>
      </w:r>
      <w:r>
        <w:rPr>
          <w:rFonts w:hint="eastAsia" w:ascii="仿宋_GB2312" w:hAnsi="仿宋_GB2312" w:eastAsia="仿宋_GB2312" w:cs="仿宋_GB2312"/>
          <w:sz w:val="32"/>
          <w:szCs w:val="32"/>
          <w:lang w:eastAsia="zh-CN"/>
        </w:rPr>
        <w:t>红原县江茸乡卫生院</w:t>
      </w:r>
      <w:r>
        <w:rPr>
          <w:rFonts w:hint="eastAsia" w:ascii="仿宋_GB2312" w:hAnsi="仿宋_GB2312" w:eastAsia="仿宋_GB2312" w:cs="仿宋_GB2312"/>
          <w:sz w:val="32"/>
          <w:szCs w:val="32"/>
          <w:lang w:val="en-US" w:eastAsia="zh-CN"/>
        </w:rPr>
        <w:t>机关运行经费支出</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万元，比2023年度增加/减少**万元，增长/下降**%（或与2023年度决算数持平）。主要原因是……</w:t>
      </w:r>
    </w:p>
    <w:p w14:paraId="65741BA1">
      <w:pPr>
        <w:pageBreakBefore w:val="0"/>
        <w:kinsoku/>
        <w:wordWrap/>
        <w:overflowPunct/>
        <w:topLinePunct w:val="0"/>
        <w:autoSpaceDE/>
        <w:autoSpaceDN/>
        <w:bidi w:val="0"/>
        <w:adjustRightInd w:val="0"/>
        <w:snapToGrid w:val="0"/>
        <w:spacing w:afterAutospacing="0"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14:paraId="3533D99E">
      <w:pPr>
        <w:pageBreakBefore w:val="0"/>
        <w:kinsoku/>
        <w:wordWrap/>
        <w:overflowPunct/>
        <w:topLinePunct w:val="0"/>
        <w:autoSpaceDE/>
        <w:autoSpaceDN/>
        <w:bidi w:val="0"/>
        <w:adjustRightInd w:val="0"/>
        <w:snapToGrid w:val="0"/>
        <w:spacing w:afterAutospacing="0" w:line="576"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2024年度，</w:t>
      </w:r>
      <w:r>
        <w:rPr>
          <w:rFonts w:hint="eastAsia" w:ascii="仿宋_GB2312" w:hAnsi="仿宋_GB2312" w:eastAsia="仿宋_GB2312" w:cs="仿宋_GB2312"/>
          <w:sz w:val="32"/>
          <w:szCs w:val="32"/>
          <w:lang w:eastAsia="zh-CN"/>
        </w:rPr>
        <w:t>红原县江茸乡卫生院</w:t>
      </w:r>
      <w:r>
        <w:rPr>
          <w:rFonts w:hint="eastAsia" w:ascii="仿宋_GB2312" w:hAnsi="仿宋_GB2312" w:eastAsia="仿宋_GB2312" w:cs="仿宋_GB2312"/>
          <w:sz w:val="32"/>
          <w:szCs w:val="32"/>
          <w:lang w:val="en-US" w:eastAsia="zh-CN"/>
        </w:rPr>
        <w:t>政府采购支出总额</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万元，其中：政府采购货物支出</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万元、政府采购工程支出</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万元、政府采购服务支出</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万元。主要用于……（具体工作）。授予中小企业合同金额</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万元，占政府采购支出总额的</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%，其中：授予小微企业合同金额</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万元，占政府采购支出总额的</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w:t>
      </w:r>
    </w:p>
    <w:p w14:paraId="7703A81C">
      <w:pPr>
        <w:pageBreakBefore w:val="0"/>
        <w:kinsoku/>
        <w:wordWrap/>
        <w:overflowPunct/>
        <w:topLinePunct w:val="0"/>
        <w:autoSpaceDE/>
        <w:autoSpaceDN/>
        <w:bidi w:val="0"/>
        <w:adjustRightInd w:val="0"/>
        <w:snapToGrid w:val="0"/>
        <w:spacing w:afterAutospacing="0"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14:paraId="4564BB20">
      <w:pPr>
        <w:keepNext w:val="0"/>
        <w:keepLines w:val="0"/>
        <w:pageBreakBefore w:val="0"/>
        <w:numPr>
          <w:ilvl w:val="0"/>
          <w:numId w:val="0"/>
        </w:numPr>
        <w:kinsoku/>
        <w:wordWrap/>
        <w:overflowPunct/>
        <w:topLinePunct w:val="0"/>
        <w:autoSpaceDE/>
        <w:autoSpaceDN/>
        <w:bidi w:val="0"/>
        <w:adjustRightInd w:val="0"/>
        <w:snapToGrid w:val="0"/>
        <w:spacing w:afterAutospacing="0" w:line="576" w:lineRule="exact"/>
        <w:ind w:firstLine="640" w:firstLineChars="200"/>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val="en-US" w:eastAsia="zh-CN"/>
        </w:rPr>
        <w:t>截至2024年12月31日，</w:t>
      </w:r>
      <w:r>
        <w:rPr>
          <w:rFonts w:hint="eastAsia" w:ascii="仿宋_GB2312" w:hAnsi="仿宋_GB2312" w:eastAsia="仿宋_GB2312" w:cs="仿宋_GB2312"/>
          <w:sz w:val="32"/>
          <w:szCs w:val="32"/>
          <w:lang w:eastAsia="zh-CN"/>
        </w:rPr>
        <w:t>红原县江茸乡卫生院</w:t>
      </w:r>
      <w:r>
        <w:rPr>
          <w:rFonts w:hint="eastAsia" w:ascii="仿宋_GB2312" w:hAnsi="仿宋_GB2312" w:eastAsia="仿宋_GB2312" w:cs="仿宋_GB2312"/>
          <w:sz w:val="32"/>
          <w:szCs w:val="32"/>
          <w:lang w:val="en-US" w:eastAsia="zh-CN"/>
        </w:rPr>
        <w:t>共有车辆</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辆，其中：主要负责人用车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辆、机要通信用车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辆、应急保障用车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辆、其他用车</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辆，其他用车主要是用于……。单价100万元（含）以上设备（不含车辆）</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台（套）。</w:t>
      </w:r>
    </w:p>
    <w:p w14:paraId="12DB8026">
      <w:pPr>
        <w:pageBreakBefore w:val="0"/>
        <w:kinsoku/>
        <w:wordWrap/>
        <w:overflowPunct/>
        <w:topLinePunct w:val="0"/>
        <w:autoSpaceDE/>
        <w:autoSpaceDN/>
        <w:bidi w:val="0"/>
        <w:adjustRightInd w:val="0"/>
        <w:snapToGrid w:val="0"/>
        <w:spacing w:afterAutospacing="0"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50A1F575">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kern w:val="2"/>
          <w:sz w:val="32"/>
          <w:szCs w:val="32"/>
          <w:lang w:val="en-US" w:eastAsia="zh-CN" w:bidi="ar-SA"/>
        </w:rPr>
        <w:t>根据预算绩效管理要求，本单位在年初预算编制阶段，组织对2个项目（项目：基本公共卫生及基本药物补助）开展了预算事前绩效评估，对2个项目编制了绩效目标，预算执行过程中，选取2个项目开展绩效监控，年终执行完毕后，对2个项目开展了绩效目标完成情况自评。</w:t>
      </w:r>
    </w:p>
    <w:p w14:paraId="75E0A53F">
      <w:pPr>
        <w:keepNext w:val="0"/>
        <w:keepLines w:val="0"/>
        <w:widowControl/>
        <w:suppressLineNumbers w:val="0"/>
        <w:jc w:val="both"/>
        <w:textAlignment w:val="center"/>
        <w:rPr>
          <w:rFonts w:hint="eastAsia" w:ascii="宋体" w:hAnsi="宋体" w:eastAsia="宋体" w:cs="宋体"/>
          <w:b/>
          <w:i w:val="0"/>
          <w:color w:val="000000"/>
          <w:kern w:val="0"/>
          <w:sz w:val="30"/>
          <w:szCs w:val="30"/>
          <w:u w:val="none"/>
          <w:lang w:val="en-US" w:eastAsia="zh-CN" w:bidi="ar"/>
        </w:rPr>
      </w:pPr>
      <w:r>
        <w:rPr>
          <w:rFonts w:hint="eastAsia" w:ascii="宋体" w:hAnsi="宋体" w:eastAsia="宋体" w:cs="宋体"/>
          <w:b/>
          <w:i w:val="0"/>
          <w:color w:val="000000"/>
          <w:kern w:val="0"/>
          <w:sz w:val="30"/>
          <w:szCs w:val="30"/>
          <w:u w:val="none"/>
          <w:lang w:val="en-US" w:eastAsia="zh-CN" w:bidi="ar"/>
        </w:rPr>
        <w:br w:type="page"/>
      </w:r>
    </w:p>
    <w:tbl>
      <w:tblPr>
        <w:tblStyle w:val="17"/>
        <w:tblW w:w="968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86"/>
        <w:gridCol w:w="832"/>
        <w:gridCol w:w="668"/>
        <w:gridCol w:w="1249"/>
        <w:gridCol w:w="592"/>
        <w:gridCol w:w="1159"/>
        <w:gridCol w:w="1296"/>
        <w:gridCol w:w="545"/>
        <w:gridCol w:w="394"/>
        <w:gridCol w:w="530"/>
        <w:gridCol w:w="412"/>
        <w:gridCol w:w="819"/>
      </w:tblGrid>
      <w:tr w14:paraId="29640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27" w:hRule="atLeast"/>
          <w:jc w:val="center"/>
        </w:trPr>
        <w:tc>
          <w:tcPr>
            <w:tcW w:w="9682"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0A186A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方正小标宋简体" w:hAnsi="方正小标宋简体" w:eastAsia="方正小标宋简体" w:cs="方正小标宋简体"/>
                <w:b/>
                <w:i w:val="0"/>
                <w:color w:val="000000"/>
                <w:kern w:val="0"/>
                <w:sz w:val="44"/>
                <w:szCs w:val="44"/>
                <w:u w:val="none"/>
                <w:lang w:val="en-US" w:eastAsia="zh-CN" w:bidi="ar"/>
              </w:rPr>
            </w:pPr>
            <w:r>
              <w:rPr>
                <w:rFonts w:hint="eastAsia" w:ascii="方正小标宋简体" w:hAnsi="方正小标宋简体" w:eastAsia="方正小标宋简体" w:cs="方正小标宋简体"/>
                <w:b/>
                <w:i w:val="0"/>
                <w:color w:val="000000"/>
                <w:kern w:val="0"/>
                <w:sz w:val="44"/>
                <w:szCs w:val="44"/>
                <w:u w:val="none"/>
                <w:lang w:val="en-US" w:eastAsia="zh-CN" w:bidi="ar"/>
              </w:rPr>
              <w:t>部门预算项目绩效目标表（2025年度）</w:t>
            </w:r>
          </w:p>
          <w:p w14:paraId="231243CB">
            <w:pPr>
              <w:pStyle w:val="2"/>
              <w:keepNext w:val="0"/>
              <w:keepLines w:val="0"/>
              <w:pageBreakBefore w:val="0"/>
              <w:widowControl w:val="0"/>
              <w:kinsoku/>
              <w:wordWrap/>
              <w:overflowPunct/>
              <w:topLinePunct w:val="0"/>
              <w:autoSpaceDE/>
              <w:autoSpaceDN/>
              <w:bidi w:val="0"/>
              <w:adjustRightInd w:val="0"/>
              <w:snapToGrid w:val="0"/>
              <w:spacing w:beforeLines="0"/>
              <w:ind w:firstLine="5880" w:firstLineChars="2100"/>
              <w:textAlignment w:val="auto"/>
              <w:rPr>
                <w:rFonts w:hint="default"/>
                <w:lang w:val="en-US"/>
              </w:rPr>
            </w:pPr>
            <w:r>
              <w:rPr>
                <w:rFonts w:hint="eastAsia" w:ascii="仿宋_GB2312" w:hAnsi="仿宋_GB2312" w:eastAsia="仿宋_GB2312" w:cs="仿宋_GB2312"/>
                <w:b w:val="0"/>
                <w:bCs/>
                <w:i w:val="0"/>
                <w:color w:val="000000"/>
                <w:kern w:val="0"/>
                <w:sz w:val="28"/>
                <w:szCs w:val="28"/>
                <w:u w:val="none"/>
                <w:lang w:val="en-US" w:eastAsia="zh-CN" w:bidi="ar"/>
              </w:rPr>
              <w:t>金额：  万元</w:t>
            </w:r>
          </w:p>
        </w:tc>
      </w:tr>
      <w:tr w14:paraId="4D609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0" w:hRule="atLeast"/>
          <w:jc w:val="center"/>
        </w:trPr>
        <w:tc>
          <w:tcPr>
            <w:tcW w:w="118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899E7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w:t>
            </w:r>
          </w:p>
        </w:tc>
        <w:tc>
          <w:tcPr>
            <w:tcW w:w="83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27811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668"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74CAC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预算数</w:t>
            </w:r>
          </w:p>
        </w:tc>
        <w:tc>
          <w:tcPr>
            <w:tcW w:w="124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5324A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59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E44E6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一级</w:t>
            </w:r>
          </w:p>
          <w:p w14:paraId="118E17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2D79B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29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DE05D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54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D228F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指标性质</w:t>
            </w:r>
          </w:p>
        </w:tc>
        <w:tc>
          <w:tcPr>
            <w:tcW w:w="39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00A1D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53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1A513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度量单位</w:t>
            </w:r>
          </w:p>
        </w:tc>
        <w:tc>
          <w:tcPr>
            <w:tcW w:w="41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CC14E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权重</w:t>
            </w:r>
          </w:p>
        </w:tc>
        <w:tc>
          <w:tcPr>
            <w:tcW w:w="819"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F7039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指标方向性</w:t>
            </w:r>
          </w:p>
        </w:tc>
      </w:tr>
      <w:tr w14:paraId="60883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1" w:hRule="atLeast"/>
          <w:jc w:val="center"/>
        </w:trPr>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75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122-红原县卫生健康局</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FA4E">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EC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88E2">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9E83">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91775">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9648">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4695">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A557E">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FE25">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9CCA">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FBFE">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r>
      <w:tr w14:paraId="1D7FE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2" w:hRule="atLeast"/>
          <w:jc w:val="center"/>
        </w:trPr>
        <w:tc>
          <w:tcPr>
            <w:tcW w:w="1186" w:type="dxa"/>
            <w:vMerge w:val="restart"/>
            <w:tcBorders>
              <w:top w:val="single" w:color="000000" w:sz="4" w:space="0"/>
              <w:left w:val="single" w:color="000000" w:sz="4" w:space="0"/>
              <w:right w:val="single" w:color="000000" w:sz="4" w:space="0"/>
            </w:tcBorders>
            <w:shd w:val="clear" w:color="auto" w:fill="auto"/>
            <w:vAlign w:val="center"/>
          </w:tcPr>
          <w:p w14:paraId="074364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122010-红原县江茸乡卫生院</w:t>
            </w:r>
          </w:p>
        </w:tc>
        <w:tc>
          <w:tcPr>
            <w:tcW w:w="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044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县级配套基本公共卫生</w:t>
            </w:r>
          </w:p>
        </w:tc>
        <w:tc>
          <w:tcPr>
            <w:tcW w:w="6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8510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2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99B2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乡镇卫生院开展基本公共卫生服务，包括建立居民健康档案，预防接种、传染病防治、高血压糖尿病等慢性病管理重型精神病管理、儿童保健、孕产妇保健、老年人保健；协助处置突发公共卫生事件。开展基本公共卫生服产生的办公费，邮电费等支出。</w:t>
            </w: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61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CB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051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基层群众满意度</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38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B5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A2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0C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4B6B">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3254F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6" w:hRule="atLeast"/>
          <w:jc w:val="center"/>
        </w:trPr>
        <w:tc>
          <w:tcPr>
            <w:tcW w:w="1186" w:type="dxa"/>
            <w:vMerge w:val="continue"/>
            <w:tcBorders>
              <w:left w:val="single" w:color="000000" w:sz="4" w:space="0"/>
              <w:right w:val="single" w:color="000000" w:sz="4" w:space="0"/>
            </w:tcBorders>
            <w:shd w:val="clear" w:color="auto" w:fill="auto"/>
            <w:vAlign w:val="center"/>
          </w:tcPr>
          <w:p w14:paraId="079D7AE7">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EAA8E">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3A5CC">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C81A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11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0C96D2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85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710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居民电子健康档案管理人数</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B9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8E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1449</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D3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3A4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D195F">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13C4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7" w:hRule="atLeast"/>
          <w:jc w:val="center"/>
        </w:trPr>
        <w:tc>
          <w:tcPr>
            <w:tcW w:w="1186" w:type="dxa"/>
            <w:vMerge w:val="continue"/>
            <w:tcBorders>
              <w:left w:val="single" w:color="000000" w:sz="4" w:space="0"/>
              <w:right w:val="single" w:color="000000" w:sz="4" w:space="0"/>
            </w:tcBorders>
            <w:shd w:val="clear" w:color="auto" w:fill="auto"/>
            <w:vAlign w:val="center"/>
          </w:tcPr>
          <w:p w14:paraId="452C6DE2">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CBBE6">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9C54C">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11236">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5D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5DFD8C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2D9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373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65岁及以上居民健康管理人数</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01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EF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D9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4B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9A708">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8EDA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7" w:hRule="atLeast"/>
          <w:jc w:val="center"/>
        </w:trPr>
        <w:tc>
          <w:tcPr>
            <w:tcW w:w="1186" w:type="dxa"/>
            <w:vMerge w:val="continue"/>
            <w:tcBorders>
              <w:left w:val="single" w:color="000000" w:sz="4" w:space="0"/>
              <w:right w:val="single" w:color="000000" w:sz="4" w:space="0"/>
            </w:tcBorders>
            <w:shd w:val="clear" w:color="auto" w:fill="auto"/>
            <w:vAlign w:val="center"/>
          </w:tcPr>
          <w:p w14:paraId="3C5EBFE9">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4F4F0">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3F478">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B412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86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7A3E47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3D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1C5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老年人中医药健康管理率</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83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CF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40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B4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E611">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022E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2" w:hRule="atLeast"/>
          <w:jc w:val="center"/>
        </w:trPr>
        <w:tc>
          <w:tcPr>
            <w:tcW w:w="1186" w:type="dxa"/>
            <w:vMerge w:val="continue"/>
            <w:tcBorders>
              <w:left w:val="single" w:color="000000" w:sz="4" w:space="0"/>
              <w:right w:val="single" w:color="000000" w:sz="4" w:space="0"/>
            </w:tcBorders>
            <w:shd w:val="clear" w:color="auto" w:fill="auto"/>
            <w:vAlign w:val="center"/>
          </w:tcPr>
          <w:p w14:paraId="61FC79D3">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2F182">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1D714">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C5D0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6E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w:t>
            </w:r>
          </w:p>
          <w:p w14:paraId="2F14F8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7B1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850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基本公共卫生服务县级配套项目成本</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11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3A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1.004157</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24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CF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7697F">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52FB2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0" w:hRule="atLeast"/>
          <w:jc w:val="center"/>
        </w:trPr>
        <w:tc>
          <w:tcPr>
            <w:tcW w:w="1186" w:type="dxa"/>
            <w:vMerge w:val="continue"/>
            <w:tcBorders>
              <w:left w:val="single" w:color="000000" w:sz="4" w:space="0"/>
              <w:right w:val="single" w:color="000000" w:sz="4" w:space="0"/>
            </w:tcBorders>
            <w:shd w:val="clear" w:color="auto" w:fill="auto"/>
            <w:vAlign w:val="center"/>
          </w:tcPr>
          <w:p w14:paraId="0E6D966C">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9278B">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1C46E">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AAD7D">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92B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23394A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1D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D28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提高公共卫生服务均等化水平</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5B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E79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优良中低</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AD44">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F6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51A2">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53171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0" w:hRule="atLeast"/>
          <w:jc w:val="center"/>
        </w:trPr>
        <w:tc>
          <w:tcPr>
            <w:tcW w:w="1186" w:type="dxa"/>
            <w:vMerge w:val="continue"/>
            <w:tcBorders>
              <w:left w:val="single" w:color="000000" w:sz="4" w:space="0"/>
              <w:right w:val="single" w:color="000000" w:sz="4" w:space="0"/>
            </w:tcBorders>
            <w:shd w:val="clear" w:color="auto" w:fill="auto"/>
            <w:vAlign w:val="center"/>
          </w:tcPr>
          <w:p w14:paraId="3990F6D0">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83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4749B5A">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6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FAAD8">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F2CE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CA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608ACC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308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3C5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2型糖尿病患者管理人数</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B3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D7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34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FA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E65D">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39079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6" w:hRule="atLeast"/>
          <w:jc w:val="center"/>
        </w:trPr>
        <w:tc>
          <w:tcPr>
            <w:tcW w:w="1186" w:type="dxa"/>
            <w:vMerge w:val="continue"/>
            <w:tcBorders>
              <w:left w:val="single" w:color="000000" w:sz="4" w:space="0"/>
              <w:right w:val="single" w:color="000000" w:sz="4" w:space="0"/>
            </w:tcBorders>
            <w:shd w:val="clear" w:color="auto" w:fill="auto"/>
            <w:vAlign w:val="center"/>
          </w:tcPr>
          <w:p w14:paraId="7530333E">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832" w:type="dxa"/>
            <w:vMerge w:val="restart"/>
            <w:tcBorders>
              <w:top w:val="single" w:color="auto" w:sz="4" w:space="0"/>
              <w:left w:val="single" w:color="000000" w:sz="4" w:space="0"/>
              <w:right w:val="single" w:color="000000" w:sz="4" w:space="0"/>
            </w:tcBorders>
            <w:shd w:val="clear" w:color="auto" w:fill="auto"/>
            <w:vAlign w:val="center"/>
          </w:tcPr>
          <w:p w14:paraId="2C819A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w:t>
            </w:r>
          </w:p>
        </w:tc>
        <w:tc>
          <w:tcPr>
            <w:tcW w:w="668" w:type="dxa"/>
            <w:vMerge w:val="restart"/>
            <w:tcBorders>
              <w:top w:val="single" w:color="000000" w:sz="4" w:space="0"/>
              <w:left w:val="single" w:color="000000" w:sz="4" w:space="0"/>
              <w:right w:val="single" w:color="000000" w:sz="4" w:space="0"/>
            </w:tcBorders>
            <w:shd w:val="clear" w:color="auto" w:fill="auto"/>
            <w:vAlign w:val="center"/>
          </w:tcPr>
          <w:p w14:paraId="5257F4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0.43</w:t>
            </w:r>
          </w:p>
        </w:tc>
        <w:tc>
          <w:tcPr>
            <w:tcW w:w="1249" w:type="dxa"/>
            <w:vMerge w:val="restart"/>
            <w:tcBorders>
              <w:top w:val="single" w:color="000000" w:sz="4" w:space="0"/>
              <w:left w:val="single" w:color="000000" w:sz="4" w:space="0"/>
              <w:right w:val="single" w:color="000000" w:sz="4" w:space="0"/>
            </w:tcBorders>
            <w:shd w:val="clear" w:color="auto" w:fill="auto"/>
            <w:vAlign w:val="center"/>
          </w:tcPr>
          <w:p w14:paraId="615B711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县级配套基本药物用于卫生院日常开支，包含办公费、邮电费、电费等</w:t>
            </w: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DAD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07AF96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75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DE2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实行基本药物补助县级配套的基层医疗机构个数</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BD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7E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90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82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29E1">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1D2FB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8" w:hRule="atLeast"/>
          <w:jc w:val="center"/>
        </w:trPr>
        <w:tc>
          <w:tcPr>
            <w:tcW w:w="1186" w:type="dxa"/>
            <w:vMerge w:val="continue"/>
            <w:tcBorders>
              <w:left w:val="single" w:color="000000" w:sz="4" w:space="0"/>
              <w:right w:val="single" w:color="000000" w:sz="4" w:space="0"/>
            </w:tcBorders>
            <w:shd w:val="clear" w:color="auto" w:fill="auto"/>
            <w:vAlign w:val="center"/>
          </w:tcPr>
          <w:p w14:paraId="6BAF9E4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32" w:type="dxa"/>
            <w:vMerge w:val="continue"/>
            <w:tcBorders>
              <w:left w:val="single" w:color="000000" w:sz="4" w:space="0"/>
              <w:right w:val="single" w:color="000000" w:sz="4" w:space="0"/>
            </w:tcBorders>
            <w:shd w:val="clear" w:color="auto" w:fill="auto"/>
            <w:vAlign w:val="center"/>
          </w:tcPr>
          <w:p w14:paraId="6A8EA3E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8" w:type="dxa"/>
            <w:vMerge w:val="continue"/>
            <w:tcBorders>
              <w:left w:val="single" w:color="000000" w:sz="4" w:space="0"/>
              <w:right w:val="single" w:color="000000" w:sz="4" w:space="0"/>
            </w:tcBorders>
            <w:shd w:val="clear" w:color="auto" w:fill="auto"/>
            <w:vAlign w:val="center"/>
          </w:tcPr>
          <w:p w14:paraId="4B18AA09">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left w:val="single" w:color="000000" w:sz="4" w:space="0"/>
              <w:right w:val="single" w:color="000000" w:sz="4" w:space="0"/>
            </w:tcBorders>
            <w:shd w:val="clear" w:color="auto" w:fill="auto"/>
            <w:vAlign w:val="center"/>
          </w:tcPr>
          <w:p w14:paraId="5F29E08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DF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73A854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FF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BDF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基层医疗机构药品零差率</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44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3E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等于100</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882D">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04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AC20">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7AE4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08" w:hRule="atLeast"/>
          <w:jc w:val="center"/>
        </w:trPr>
        <w:tc>
          <w:tcPr>
            <w:tcW w:w="1186" w:type="dxa"/>
            <w:vMerge w:val="continue"/>
            <w:tcBorders>
              <w:left w:val="single" w:color="000000" w:sz="4" w:space="0"/>
              <w:right w:val="single" w:color="000000" w:sz="4" w:space="0"/>
            </w:tcBorders>
            <w:shd w:val="clear" w:color="auto" w:fill="auto"/>
            <w:vAlign w:val="center"/>
          </w:tcPr>
          <w:p w14:paraId="2B42B3E9">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32" w:type="dxa"/>
            <w:vMerge w:val="continue"/>
            <w:tcBorders>
              <w:left w:val="single" w:color="000000" w:sz="4" w:space="0"/>
              <w:right w:val="single" w:color="000000" w:sz="4" w:space="0"/>
            </w:tcBorders>
            <w:shd w:val="clear" w:color="auto" w:fill="auto"/>
            <w:vAlign w:val="center"/>
          </w:tcPr>
          <w:p w14:paraId="02A8E546">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8" w:type="dxa"/>
            <w:vMerge w:val="continue"/>
            <w:tcBorders>
              <w:left w:val="single" w:color="000000" w:sz="4" w:space="0"/>
              <w:right w:val="single" w:color="000000" w:sz="4" w:space="0"/>
            </w:tcBorders>
            <w:shd w:val="clear" w:color="auto" w:fill="auto"/>
            <w:vAlign w:val="center"/>
          </w:tcPr>
          <w:p w14:paraId="23B7DC84">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left w:val="single" w:color="000000" w:sz="4" w:space="0"/>
              <w:right w:val="single" w:color="000000" w:sz="4" w:space="0"/>
            </w:tcBorders>
            <w:shd w:val="clear" w:color="auto" w:fill="auto"/>
            <w:vAlign w:val="center"/>
          </w:tcPr>
          <w:p w14:paraId="3E39AA0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257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292400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AC6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465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基本药物补助县级配套资金支付准确率</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C9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5B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8C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54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4B21">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760EE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67" w:hRule="atLeast"/>
          <w:jc w:val="center"/>
        </w:trPr>
        <w:tc>
          <w:tcPr>
            <w:tcW w:w="1186" w:type="dxa"/>
            <w:vMerge w:val="continue"/>
            <w:tcBorders>
              <w:left w:val="single" w:color="000000" w:sz="4" w:space="0"/>
              <w:right w:val="single" w:color="000000" w:sz="4" w:space="0"/>
            </w:tcBorders>
            <w:shd w:val="clear" w:color="auto" w:fill="auto"/>
            <w:vAlign w:val="center"/>
          </w:tcPr>
          <w:p w14:paraId="2662EB8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32" w:type="dxa"/>
            <w:vMerge w:val="continue"/>
            <w:tcBorders>
              <w:left w:val="single" w:color="000000" w:sz="4" w:space="0"/>
              <w:right w:val="single" w:color="000000" w:sz="4" w:space="0"/>
            </w:tcBorders>
            <w:shd w:val="clear" w:color="auto" w:fill="auto"/>
            <w:vAlign w:val="center"/>
          </w:tcPr>
          <w:p w14:paraId="75EF0FF6">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8" w:type="dxa"/>
            <w:vMerge w:val="continue"/>
            <w:tcBorders>
              <w:left w:val="single" w:color="000000" w:sz="4" w:space="0"/>
              <w:right w:val="single" w:color="000000" w:sz="4" w:space="0"/>
            </w:tcBorders>
            <w:shd w:val="clear" w:color="auto" w:fill="auto"/>
            <w:vAlign w:val="center"/>
          </w:tcPr>
          <w:p w14:paraId="4EE0FD92">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left w:val="single" w:color="000000" w:sz="4" w:space="0"/>
              <w:right w:val="single" w:color="000000" w:sz="4" w:space="0"/>
            </w:tcBorders>
            <w:shd w:val="clear" w:color="auto" w:fill="auto"/>
            <w:vAlign w:val="center"/>
          </w:tcPr>
          <w:p w14:paraId="6E3E43C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DE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82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EA6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基层医疗机构工作人员满意度</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11A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9F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C7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F8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26B7">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618B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2" w:hRule="atLeast"/>
          <w:jc w:val="center"/>
        </w:trPr>
        <w:tc>
          <w:tcPr>
            <w:tcW w:w="1186" w:type="dxa"/>
            <w:vMerge w:val="continue"/>
            <w:tcBorders>
              <w:left w:val="single" w:color="000000" w:sz="4" w:space="0"/>
              <w:right w:val="single" w:color="000000" w:sz="4" w:space="0"/>
            </w:tcBorders>
            <w:shd w:val="clear" w:color="auto" w:fill="auto"/>
            <w:vAlign w:val="center"/>
          </w:tcPr>
          <w:p w14:paraId="4F7057A7">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32" w:type="dxa"/>
            <w:vMerge w:val="continue"/>
            <w:tcBorders>
              <w:left w:val="single" w:color="000000" w:sz="4" w:space="0"/>
              <w:right w:val="single" w:color="000000" w:sz="4" w:space="0"/>
            </w:tcBorders>
            <w:shd w:val="clear" w:color="auto" w:fill="auto"/>
            <w:vAlign w:val="center"/>
          </w:tcPr>
          <w:p w14:paraId="561B048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8" w:type="dxa"/>
            <w:vMerge w:val="continue"/>
            <w:tcBorders>
              <w:left w:val="single" w:color="000000" w:sz="4" w:space="0"/>
              <w:right w:val="single" w:color="000000" w:sz="4" w:space="0"/>
            </w:tcBorders>
            <w:shd w:val="clear" w:color="auto" w:fill="auto"/>
            <w:vAlign w:val="center"/>
          </w:tcPr>
          <w:p w14:paraId="0DF3DD4F">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left w:val="single" w:color="000000" w:sz="4" w:space="0"/>
              <w:right w:val="single" w:color="000000" w:sz="4" w:space="0"/>
            </w:tcBorders>
            <w:shd w:val="clear" w:color="auto" w:fill="auto"/>
            <w:vAlign w:val="center"/>
          </w:tcPr>
          <w:p w14:paraId="6A91DF0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18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2A2C52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8E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014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确保药品采购公平、公正、公开</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026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DF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优良中低差</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CEE1">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47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8EEC">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5BE6D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2" w:hRule="atLeast"/>
          <w:jc w:val="center"/>
        </w:trPr>
        <w:tc>
          <w:tcPr>
            <w:tcW w:w="1186" w:type="dxa"/>
            <w:vMerge w:val="continue"/>
            <w:tcBorders>
              <w:left w:val="single" w:color="000000" w:sz="4" w:space="0"/>
              <w:right w:val="single" w:color="000000" w:sz="4" w:space="0"/>
            </w:tcBorders>
            <w:shd w:val="clear" w:color="auto" w:fill="auto"/>
            <w:vAlign w:val="center"/>
          </w:tcPr>
          <w:p w14:paraId="02DCF47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32" w:type="dxa"/>
            <w:vMerge w:val="continue"/>
            <w:tcBorders>
              <w:left w:val="single" w:color="000000" w:sz="4" w:space="0"/>
              <w:right w:val="single" w:color="000000" w:sz="4" w:space="0"/>
            </w:tcBorders>
            <w:shd w:val="clear" w:color="auto" w:fill="auto"/>
            <w:vAlign w:val="center"/>
          </w:tcPr>
          <w:p w14:paraId="628DB3D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8" w:type="dxa"/>
            <w:vMerge w:val="continue"/>
            <w:tcBorders>
              <w:left w:val="single" w:color="000000" w:sz="4" w:space="0"/>
              <w:right w:val="single" w:color="000000" w:sz="4" w:space="0"/>
            </w:tcBorders>
            <w:shd w:val="clear" w:color="auto" w:fill="auto"/>
            <w:vAlign w:val="center"/>
          </w:tcPr>
          <w:p w14:paraId="6EDA0E67">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left w:val="single" w:color="000000" w:sz="4" w:space="0"/>
              <w:right w:val="single" w:color="000000" w:sz="4" w:space="0"/>
            </w:tcBorders>
            <w:shd w:val="clear" w:color="auto" w:fill="auto"/>
            <w:vAlign w:val="center"/>
          </w:tcPr>
          <w:p w14:paraId="753AD966">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9E4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0AC15A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50F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297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基层医疗机构基本药物网购置次数</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13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35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A3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F9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0D986">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39F26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61" w:hRule="atLeast"/>
          <w:jc w:val="center"/>
        </w:trPr>
        <w:tc>
          <w:tcPr>
            <w:tcW w:w="1186" w:type="dxa"/>
            <w:vMerge w:val="continue"/>
            <w:tcBorders>
              <w:left w:val="single" w:color="000000" w:sz="4" w:space="0"/>
              <w:bottom w:val="single" w:color="000000" w:sz="4" w:space="0"/>
              <w:right w:val="single" w:color="000000" w:sz="4" w:space="0"/>
            </w:tcBorders>
            <w:shd w:val="clear" w:color="auto" w:fill="auto"/>
            <w:vAlign w:val="center"/>
          </w:tcPr>
          <w:p w14:paraId="4292C487">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32" w:type="dxa"/>
            <w:vMerge w:val="continue"/>
            <w:tcBorders>
              <w:left w:val="single" w:color="000000" w:sz="4" w:space="0"/>
              <w:bottom w:val="single" w:color="000000" w:sz="4" w:space="0"/>
              <w:right w:val="single" w:color="000000" w:sz="4" w:space="0"/>
            </w:tcBorders>
            <w:shd w:val="clear" w:color="auto" w:fill="auto"/>
            <w:vAlign w:val="center"/>
          </w:tcPr>
          <w:p w14:paraId="6C702486">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8" w:type="dxa"/>
            <w:vMerge w:val="continue"/>
            <w:tcBorders>
              <w:left w:val="single" w:color="000000" w:sz="4" w:space="0"/>
              <w:bottom w:val="single" w:color="000000" w:sz="4" w:space="0"/>
              <w:right w:val="single" w:color="000000" w:sz="4" w:space="0"/>
            </w:tcBorders>
            <w:shd w:val="clear" w:color="auto" w:fill="auto"/>
            <w:vAlign w:val="center"/>
          </w:tcPr>
          <w:p w14:paraId="021E2F18">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49" w:type="dxa"/>
            <w:vMerge w:val="continue"/>
            <w:tcBorders>
              <w:left w:val="single" w:color="000000" w:sz="4" w:space="0"/>
              <w:bottom w:val="single" w:color="000000" w:sz="4" w:space="0"/>
              <w:right w:val="single" w:color="000000" w:sz="4" w:space="0"/>
            </w:tcBorders>
            <w:shd w:val="clear" w:color="auto" w:fill="auto"/>
            <w:vAlign w:val="center"/>
          </w:tcPr>
          <w:p w14:paraId="2C775009">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A28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481C44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C4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D95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基本药物补助县级配套资金支付及时率</w:t>
            </w:r>
          </w:p>
        </w:tc>
        <w:tc>
          <w:tcPr>
            <w:tcW w:w="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C1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D3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CD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7A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3463">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bl>
    <w:p w14:paraId="07BC9C32">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p>
    <w:p w14:paraId="22ECE501">
      <w:pPr>
        <w:numPr>
          <w:ilvl w:val="0"/>
          <w:numId w:val="0"/>
        </w:numPr>
        <w:spacing w:line="600" w:lineRule="exact"/>
        <w:jc w:val="center"/>
        <w:outlineLvl w:val="0"/>
        <w:rPr>
          <w:rFonts w:hint="eastAsia" w:ascii="方正小标宋简体" w:hAnsi="方正小标宋简体" w:eastAsia="方正小标宋简体" w:cs="方正小标宋简体"/>
          <w:color w:val="auto"/>
          <w:sz w:val="44"/>
          <w:szCs w:val="44"/>
          <w:highlight w:val="none"/>
        </w:rPr>
      </w:pPr>
      <w:bookmarkStart w:id="43" w:name="_Toc15396613"/>
      <w:bookmarkStart w:id="44" w:name="_Toc15377225"/>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eastAsia="zh-CN"/>
        </w:rPr>
        <w:t>三</w:t>
      </w:r>
      <w:r>
        <w:rPr>
          <w:rFonts w:hint="eastAsia" w:ascii="方正小标宋简体" w:hAnsi="方正小标宋简体" w:eastAsia="方正小标宋简体" w:cs="方正小标宋简体"/>
          <w:color w:val="auto"/>
          <w:sz w:val="44"/>
          <w:szCs w:val="44"/>
          <w:highlight w:val="none"/>
        </w:rPr>
        <w:t>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名词解释</w:t>
      </w:r>
      <w:bookmarkEnd w:id="43"/>
      <w:bookmarkEnd w:id="44"/>
    </w:p>
    <w:p w14:paraId="28405ED3">
      <w:pPr>
        <w:pStyle w:val="2"/>
        <w:rPr>
          <w:sz w:val="6"/>
          <w:szCs w:val="6"/>
        </w:rPr>
      </w:pPr>
    </w:p>
    <w:p w14:paraId="1864F21E">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1.财政拨款收入：</w:t>
      </w:r>
      <w:r>
        <w:rPr>
          <w:rFonts w:hint="eastAsia" w:ascii="仿宋_GB2312" w:hAnsi="仿宋_GB2312" w:eastAsia="仿宋_GB2312" w:cs="仿宋_GB2312"/>
          <w:sz w:val="32"/>
          <w:szCs w:val="32"/>
          <w:lang w:val="en-US" w:eastAsia="zh-CN"/>
        </w:rPr>
        <w:t>指单位从同级财政部门取得的财政预算资金。</w:t>
      </w:r>
    </w:p>
    <w:p w14:paraId="3F15E687">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2.事业收入：指事业单位开展专业业务活动及辅助活动取得的收入。如……（二级预算单位事业收入情况）等。</w:t>
      </w:r>
    </w:p>
    <w:p w14:paraId="3FFC9054">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3.经营收入：指事业单位在专业业务活动及其辅助活动之外开展非独立核算经营活动取得的收入。如……（二级预算单位经营收入情况）等。</w:t>
      </w:r>
    </w:p>
    <w:p w14:paraId="037E880E">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4.其他收入：指单位取得的除上述收入以外的各项收入。主要是……（收入类型）等。 </w:t>
      </w:r>
    </w:p>
    <w:p w14:paraId="7B06976D">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5.使用非财政拨款结余（含专用结余）：指事业单位使用以前年度积累的非财政拨款结余弥补当年收支差额的金额。 </w:t>
      </w:r>
    </w:p>
    <w:p w14:paraId="2C22B25B">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6.年初结转和结余：指以前年度尚未完成、结转到本年按有关规定继续使用的资金。 </w:t>
      </w:r>
    </w:p>
    <w:p w14:paraId="0DF99B90">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7.结余分配：指事业单位按照会计制度规定缴纳的所得税、提取的专用结余以及转入非财政拨款结余的金额等。</w:t>
      </w:r>
    </w:p>
    <w:p w14:paraId="7EFE7766">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8.年末结转和结余：指单位按有关规定结转到下年或以后年度继续使用的资金。</w:t>
      </w:r>
    </w:p>
    <w:p w14:paraId="6F8DAA26">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9.一般公共服务（类）……（款）……（项）：指……</w:t>
      </w:r>
    </w:p>
    <w:p w14:paraId="1734216E">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10.外交（类）……（款）……（项）：指……</w:t>
      </w:r>
    </w:p>
    <w:p w14:paraId="7051D112">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11.公共安全（类）……（款）……（项）：指……</w:t>
      </w:r>
    </w:p>
    <w:p w14:paraId="30A8E555">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12.教育（类）……（款）……（项）：指……</w:t>
      </w:r>
    </w:p>
    <w:p w14:paraId="584CF632">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13.科学技术（类）……（款）……（项）：指……</w:t>
      </w:r>
    </w:p>
    <w:p w14:paraId="6BEDAFBC">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14.文化旅游体育与传媒（类）……（款）……（项）：指……</w:t>
      </w:r>
    </w:p>
    <w:p w14:paraId="1874F3C8">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15.社会保障和就业（类）……（款）……（项）：指……</w:t>
      </w:r>
    </w:p>
    <w:p w14:paraId="17F19966">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16.卫生健康（类）……（款）……（项）：指……</w:t>
      </w:r>
    </w:p>
    <w:p w14:paraId="32D4E258">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17.节能环保（类）……（款）……（项）：指……</w:t>
      </w:r>
    </w:p>
    <w:p w14:paraId="41CBB341">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18.城乡社区（类）……（款）……（项）：指……</w:t>
      </w:r>
    </w:p>
    <w:p w14:paraId="5C4CB05F">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19.农林水（类）……（款）……（项）：指……</w:t>
      </w:r>
    </w:p>
    <w:p w14:paraId="6BC2E31A">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20.交通运输（类）……（款）……（项）：指……</w:t>
      </w:r>
    </w:p>
    <w:p w14:paraId="1B9FDBAE">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21.资源勘探工业信息等（类）……（款）……（项）：指……</w:t>
      </w:r>
    </w:p>
    <w:p w14:paraId="6A8C09BE">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22.商业服务业（类）……（款）……（项）：指……</w:t>
      </w:r>
    </w:p>
    <w:p w14:paraId="0F25568C">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23.金融（类）……（款）……（项）：指……</w:t>
      </w:r>
    </w:p>
    <w:p w14:paraId="4EA32CEC">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24.自然资源海洋气象等（类）……（款）……（项）：指……</w:t>
      </w:r>
    </w:p>
    <w:p w14:paraId="00830ACB">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25.住房保障（类）……（款）……（项）：指……</w:t>
      </w:r>
    </w:p>
    <w:p w14:paraId="6EC744CB">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26.粮油物资储备（类）……（款）……（项）：指……</w:t>
      </w:r>
    </w:p>
    <w:p w14:paraId="62F54EF0">
      <w:pPr>
        <w:keepNext w:val="0"/>
        <w:keepLines w:val="0"/>
        <w:pageBreakBefore w:val="0"/>
        <w:numPr>
          <w:ilvl w:val="0"/>
          <w:numId w:val="0"/>
        </w:numPr>
        <w:kinsoku/>
        <w:wordWrap/>
        <w:overflowPunct/>
        <w:topLinePunct w:val="0"/>
        <w:bidi w:val="0"/>
        <w:spacing w:line="580" w:lineRule="exact"/>
        <w:ind w:firstLine="643" w:firstLineChars="20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（注：解释本部门决算报表中涉及的全部功能分类科目至项级，不涉及的科目请自行删除。请参照《2024年政府收支分类科目》增减内容）</w:t>
      </w:r>
    </w:p>
    <w:p w14:paraId="20085FB5">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27.基本支出：指为保障机构正常运转、完成日常工作任务而发生的人员支出和公用支出。</w:t>
      </w:r>
    </w:p>
    <w:p w14:paraId="3A9311AC">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28.项目支出：指在基本支出之外为完成特定行政任务和事业发展目标所发生的支出。 </w:t>
      </w:r>
    </w:p>
    <w:p w14:paraId="0C8C9717">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29.经营支出：指事业单位在专业业务活动及其辅助活动之外开展非独立核算经营活动发生的支出。</w:t>
      </w:r>
    </w:p>
    <w:p w14:paraId="0454A9B9">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1E695EC">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166B04A">
      <w:pPr>
        <w:keepNext w:val="0"/>
        <w:keepLines w:val="0"/>
        <w:pageBreakBefore w:val="0"/>
        <w:numPr>
          <w:ilvl w:val="0"/>
          <w:numId w:val="0"/>
        </w:numPr>
        <w:kinsoku/>
        <w:wordWrap/>
        <w:overflowPunct/>
        <w:topLinePunct w:val="0"/>
        <w:bidi w:val="0"/>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w:t>
      </w:r>
    </w:p>
    <w:p w14:paraId="4E00D783">
      <w:pPr>
        <w:keepNext w:val="0"/>
        <w:keepLines w:val="0"/>
        <w:pageBreakBefore w:val="0"/>
        <w:numPr>
          <w:ilvl w:val="0"/>
          <w:numId w:val="0"/>
        </w:numPr>
        <w:kinsoku/>
        <w:wordWrap/>
        <w:overflowPunct/>
        <w:topLinePunct w:val="0"/>
        <w:bidi w:val="0"/>
        <w:spacing w:line="580" w:lineRule="exact"/>
        <w:ind w:firstLine="643" w:firstLineChars="200"/>
        <w:textAlignment w:val="auto"/>
        <w:outlineLvl w:val="9"/>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（注：名词解释部分请根据各部门实际列支情况罗列，并根据本部门职责职能增减名词解释内容）</w:t>
      </w:r>
    </w:p>
    <w:p w14:paraId="72302BE4">
      <w:pPr>
        <w:keepNext w:val="0"/>
        <w:keepLines w:val="0"/>
        <w:pageBreakBefore w:val="0"/>
        <w:numPr>
          <w:ilvl w:val="0"/>
          <w:numId w:val="0"/>
        </w:numPr>
        <w:kinsoku/>
        <w:wordWrap/>
        <w:overflowPunct/>
        <w:topLinePunct w:val="0"/>
        <w:bidi w:val="0"/>
        <w:spacing w:line="580" w:lineRule="exact"/>
        <w:ind w:firstLine="640" w:firstLineChars="200"/>
        <w:jc w:val="center"/>
        <w:textAlignment w:val="auto"/>
        <w:outlineLvl w:val="9"/>
        <w:rPr>
          <w:rFonts w:hint="eastAsia" w:ascii="方正小标宋简体" w:hAnsi="方正小标宋简体" w:eastAsia="方正小标宋简体" w:cs="方正小标宋简体"/>
          <w:color w:val="auto"/>
          <w:sz w:val="44"/>
          <w:szCs w:val="44"/>
          <w:highlight w:val="none"/>
        </w:rPr>
      </w:pPr>
      <w:bookmarkStart w:id="45" w:name="_Toc15377226"/>
      <w:r>
        <w:rPr>
          <w:rFonts w:hint="eastAsia" w:ascii="仿宋_GB2312" w:hAnsi="仿宋_GB2312" w:eastAsia="仿宋_GB2312" w:cs="仿宋_GB2312"/>
          <w:sz w:val="32"/>
          <w:szCs w:val="32"/>
          <w:lang w:val="en-US" w:eastAsia="zh-CN"/>
        </w:rPr>
        <w:br w:type="page"/>
      </w:r>
      <w:bookmarkStart w:id="46" w:name="_Toc15396614"/>
      <w:r>
        <w:rPr>
          <w:rFonts w:hint="eastAsia" w:ascii="方正小标宋简体" w:hAnsi="方正小标宋简体" w:eastAsia="方正小标宋简体" w:cs="方正小标宋简体"/>
          <w:color w:val="auto"/>
          <w:sz w:val="44"/>
          <w:szCs w:val="44"/>
          <w:highlight w:val="none"/>
        </w:rPr>
        <w:t>第四部分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 xml:space="preserve"> 附件</w:t>
      </w:r>
      <w:bookmarkEnd w:id="46"/>
    </w:p>
    <w:p w14:paraId="19570B94">
      <w:pPr>
        <w:pStyle w:val="2"/>
        <w:rPr>
          <w:rFonts w:hint="eastAsia"/>
        </w:rPr>
      </w:pPr>
    </w:p>
    <w:p w14:paraId="41DF8EDA">
      <w:pPr>
        <w:keepNext w:val="0"/>
        <w:keepLines w:val="0"/>
        <w:pageBreakBefore w:val="0"/>
        <w:kinsoku/>
        <w:wordWrap/>
        <w:overflowPunct/>
        <w:topLinePunct w:val="0"/>
        <w:autoSpaceDE/>
        <w:autoSpaceDN/>
        <w:bidi w:val="0"/>
        <w:spacing w:line="572" w:lineRule="exact"/>
        <w:jc w:val="left"/>
        <w:textAlignment w:val="auto"/>
        <w:outlineLvl w:val="0"/>
        <w:rPr>
          <w:rFonts w:hint="default" w:ascii="Times New Roman" w:hAnsi="Times New Roman" w:eastAsia="方正小标宋简体" w:cs="Times New Roman"/>
          <w:b w:val="0"/>
          <w:bCs/>
          <w:sz w:val="44"/>
          <w:szCs w:val="44"/>
          <w:highlight w:val="none"/>
          <w:shd w:val="clear" w:color="auto" w:fill="FFFFFF"/>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02ED2EAF">
      <w:pPr>
        <w:keepNext w:val="0"/>
        <w:keepLines w:val="0"/>
        <w:pageBreakBefore w:val="0"/>
        <w:widowControl/>
        <w:kinsoku/>
        <w:wordWrap/>
        <w:overflowPunct/>
        <w:topLinePunct w:val="0"/>
        <w:autoSpaceDE/>
        <w:autoSpaceDN/>
        <w:bidi w:val="0"/>
        <w:adjustRightInd/>
        <w:snapToGrid/>
        <w:spacing w:line="700" w:lineRule="exact"/>
        <w:contextualSpacing/>
        <w:jc w:val="center"/>
        <w:textAlignment w:val="auto"/>
        <w:outlineLvl w:val="9"/>
        <w:rPr>
          <w:rFonts w:hint="default" w:ascii="Times New Roman" w:hAnsi="Times New Roman" w:eastAsia="黑体" w:cs="Times New Roman"/>
          <w:color w:val="000000"/>
          <w:kern w:val="0"/>
          <w:sz w:val="18"/>
          <w:szCs w:val="21"/>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42381E42">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atLeas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zh-CN" w:eastAsia="zh-CN" w:bidi="ar-SA"/>
        </w:rPr>
        <w:t>一、</w:t>
      </w:r>
      <w:r>
        <w:rPr>
          <w:rFonts w:hint="default" w:ascii="Times New Roman" w:hAnsi="Times New Roman" w:eastAsia="黑体" w:cstheme="majorBidi"/>
          <w:b/>
          <w:bCs w:val="0"/>
          <w:color w:val="auto"/>
          <w:kern w:val="2"/>
          <w:sz w:val="32"/>
          <w:szCs w:val="32"/>
          <w:lang w:val="zh-CN" w:eastAsia="zh-CN" w:bidi="ar-SA"/>
        </w:rPr>
        <w:t>部门（单位）基本情况</w:t>
      </w:r>
    </w:p>
    <w:p w14:paraId="6BED7BE3">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default" w:ascii="仿宋_GB2312" w:hAnsi="仿宋_GB2312" w:eastAsia="仿宋_GB2312" w:cs="仿宋_GB2312"/>
          <w:sz w:val="32"/>
          <w:szCs w:val="32"/>
          <w:lang w:eastAsia="zh-CN"/>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仿宋_GB2312" w:hAnsi="仿宋_GB2312" w:eastAsia="仿宋_GB2312" w:cs="仿宋_GB2312"/>
          <w:sz w:val="32"/>
          <w:szCs w:val="32"/>
          <w:lang w:val="zh-CN" w:eastAsia="zh-CN"/>
        </w:rPr>
        <w:t>我单位为独立核算全额拨款事业单位，下设</w:t>
      </w:r>
      <w:r>
        <w:rPr>
          <w:rFonts w:hint="eastAsia" w:ascii="仿宋_GB2312" w:hAnsi="仿宋_GB2312" w:eastAsia="仿宋_GB2312" w:cs="仿宋_GB2312"/>
          <w:sz w:val="32"/>
          <w:szCs w:val="32"/>
          <w:lang w:val="en-US" w:eastAsia="zh-CN"/>
        </w:rPr>
        <w:t>1机构。</w:t>
      </w:r>
    </w:p>
    <w:p w14:paraId="599B6CA2">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仿宋_GB2312" w:hAnsi="仿宋_GB2312" w:eastAsia="仿宋_GB2312" w:cs="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6471AC12">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sz w:val="32"/>
          <w:szCs w:val="32"/>
          <w:lang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仿宋_GB2312" w:hAnsi="仿宋_GB2312" w:eastAsia="仿宋_GB2312" w:cs="仿宋_GB2312"/>
          <w:sz w:val="32"/>
          <w:szCs w:val="32"/>
          <w:lang w:val="en-US" w:eastAsia="zh-CN"/>
        </w:rPr>
        <w:t>截至202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年末，</w:t>
      </w:r>
      <w:r>
        <w:rPr>
          <w:rFonts w:hint="eastAsia" w:ascii="仿宋_GB2312" w:hAnsi="仿宋_GB2312" w:eastAsia="仿宋_GB2312" w:cs="仿宋_GB2312"/>
          <w:sz w:val="32"/>
          <w:szCs w:val="32"/>
          <w:lang w:val="en-US" w:eastAsia="zh-CN"/>
        </w:rPr>
        <w:t>其中事业编8个，在职8人,</w:t>
      </w:r>
      <w:r>
        <w:rPr>
          <w:rFonts w:hint="eastAsia" w:ascii="仿宋_GB2312" w:hAnsi="仿宋_GB2312" w:eastAsia="仿宋_GB2312" w:cs="仿宋_GB2312"/>
          <w:sz w:val="32"/>
          <w:szCs w:val="32"/>
          <w:lang w:eastAsia="zh-CN"/>
        </w:rPr>
        <w:t>事业编制</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人。</w:t>
      </w:r>
    </w:p>
    <w:p w14:paraId="672F2999">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default" w:ascii="Times New Roman" w:hAnsi="Times New Roman" w:eastAsia="黑体" w:cstheme="majorBidi"/>
          <w:b/>
          <w:bCs w:val="0"/>
          <w:color w:val="auto"/>
          <w:kern w:val="2"/>
          <w:sz w:val="32"/>
          <w:szCs w:val="32"/>
          <w:lang w:val="zh-CN" w:eastAsia="zh-CN" w:bidi="ar-SA"/>
        </w:rPr>
        <w:t>二、部门资金收支情况</w:t>
      </w:r>
    </w:p>
    <w:p w14:paraId="68E74619">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sz w:val="32"/>
          <w:szCs w:val="32"/>
          <w:lang w:val="zh-CN" w:eastAsia="zh-CN"/>
        </w:rPr>
        <w:t>江茸乡卫生院</w:t>
      </w:r>
      <w:r>
        <w:rPr>
          <w:rFonts w:hint="eastAsia" w:ascii="仿宋_GB2312" w:hAnsi="仿宋_GB2312" w:eastAsia="仿宋_GB2312" w:cs="仿宋_GB2312"/>
          <w:sz w:val="32"/>
          <w:szCs w:val="32"/>
          <w:lang w:val="en-US" w:eastAsia="zh-CN"/>
        </w:rPr>
        <w:t>2024年年初预算收入为244.1万元、决算报表收入为252.03万元。</w:t>
      </w:r>
    </w:p>
    <w:p w14:paraId="3D932002">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仿宋_GB2312" w:hAnsi="仿宋_GB2312" w:eastAsia="仿宋_GB2312" w:cs="仿宋_GB2312"/>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sz w:val="32"/>
          <w:szCs w:val="32"/>
          <w:lang w:val="zh-CN" w:eastAsia="zh-CN"/>
        </w:rPr>
        <w:t>江茸乡</w:t>
      </w:r>
      <w:r>
        <w:rPr>
          <w:rFonts w:hint="eastAsia" w:ascii="仿宋_GB2312" w:hAnsi="仿宋_GB2312" w:eastAsia="仿宋_GB2312" w:cs="仿宋_GB2312"/>
          <w:sz w:val="32"/>
          <w:szCs w:val="32"/>
          <w:lang w:val="en-US" w:eastAsia="zh-CN"/>
        </w:rPr>
        <w:t>卫生院2024年年初预算支出244.1万元、决算报表支出为252.03万元。</w:t>
      </w:r>
    </w:p>
    <w:p w14:paraId="6F959CA5">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仿宋_GB2312" w:eastAsia="仿宋_GB2312" w:cs="仿宋_GB2312"/>
          <w:sz w:val="32"/>
          <w:szCs w:val="32"/>
          <w:lang w:val="zh-CN" w:eastAsia="zh-CN"/>
        </w:rPr>
        <w:t>江茸乡</w:t>
      </w:r>
      <w:r>
        <w:rPr>
          <w:rFonts w:hint="eastAsia" w:ascii="仿宋_GB2312" w:hAnsi="仿宋_GB2312" w:eastAsia="仿宋_GB2312" w:cs="仿宋_GB2312"/>
          <w:sz w:val="32"/>
          <w:szCs w:val="32"/>
          <w:lang w:val="en-US" w:eastAsia="zh-CN"/>
        </w:rPr>
        <w:t>卫生院2024年决算报表无</w:t>
      </w:r>
      <w:r>
        <w:rPr>
          <w:rFonts w:hint="default" w:ascii="仿宋_GB2312" w:hAnsi="仿宋_GB2312" w:eastAsia="仿宋_GB2312" w:cs="仿宋_GB2312"/>
          <w:sz w:val="32"/>
          <w:szCs w:val="32"/>
          <w:lang w:val="en-US" w:eastAsia="zh-CN"/>
        </w:rPr>
        <w:t>结转结余</w:t>
      </w:r>
      <w:r>
        <w:rPr>
          <w:rFonts w:hint="eastAsia" w:ascii="仿宋_GB2312" w:hAnsi="仿宋_GB2312" w:eastAsia="仿宋_GB2312" w:cs="仿宋_GB2312"/>
          <w:sz w:val="32"/>
          <w:szCs w:val="32"/>
          <w:lang w:val="en-US" w:eastAsia="zh-CN"/>
        </w:rPr>
        <w:t>情况</w:t>
      </w:r>
      <w:r>
        <w:rPr>
          <w:rFonts w:hint="default" w:ascii="仿宋_GB2312" w:hAnsi="仿宋_GB2312" w:eastAsia="仿宋_GB2312" w:cs="仿宋_GB2312"/>
          <w:sz w:val="32"/>
          <w:szCs w:val="32"/>
          <w:lang w:val="en-US" w:eastAsia="zh-CN"/>
        </w:rPr>
        <w:t>。</w:t>
      </w:r>
    </w:p>
    <w:p w14:paraId="17C58FDD">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default" w:ascii="Times New Roman" w:hAnsi="Times New Roman" w:eastAsia="黑体" w:cstheme="majorBidi"/>
          <w:b/>
          <w:bCs w:val="0"/>
          <w:color w:val="auto"/>
          <w:kern w:val="2"/>
          <w:sz w:val="32"/>
          <w:szCs w:val="32"/>
          <w:lang w:val="zh-CN" w:eastAsia="zh-CN" w:bidi="ar-SA"/>
        </w:rPr>
        <w:t>三、部门预算绩效分析</w:t>
      </w:r>
    </w:p>
    <w:p w14:paraId="794901C0">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default" w:ascii="仿宋_GB2312" w:hAnsi="仿宋_GB2312" w:eastAsia="仿宋_GB2312" w:cs="仿宋_GB2312"/>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r>
        <w:rPr>
          <w:rFonts w:hint="default" w:ascii="Times New Roman" w:hAnsi="Times New Roman" w:eastAsia="仿宋_GB2312" w:cs="仿宋_GB2312"/>
          <w:color w:val="auto"/>
          <w:kern w:val="2"/>
          <w:sz w:val="32"/>
          <w:szCs w:val="32"/>
          <w:highlight w:val="none"/>
          <w:lang w:val="zh-CN" w:eastAsia="zh-CN" w:bidi="ar-SA"/>
        </w:rPr>
        <w:t>根</w:t>
      </w:r>
      <w:r>
        <w:rPr>
          <w:rFonts w:hint="default" w:ascii="仿宋_GB2312" w:hAnsi="仿宋_GB2312" w:eastAsia="仿宋_GB2312" w:cs="仿宋_GB2312"/>
          <w:sz w:val="32"/>
          <w:szCs w:val="32"/>
          <w:lang w:val="zh-CN" w:eastAsia="zh-CN"/>
        </w:rPr>
        <w:t>据部门预算绩效评价指标体系</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总体绩效</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涉及</w:t>
      </w:r>
      <w:r>
        <w:rPr>
          <w:rFonts w:hint="eastAsia" w:ascii="仿宋_GB2312" w:hAnsi="仿宋_GB2312" w:eastAsia="仿宋_GB2312" w:cs="仿宋_GB2312"/>
          <w:sz w:val="32"/>
          <w:szCs w:val="32"/>
          <w:lang w:val="zh-CN" w:eastAsia="zh-CN"/>
        </w:rPr>
        <w:t>二、三级</w:t>
      </w:r>
      <w:r>
        <w:rPr>
          <w:rFonts w:hint="default" w:ascii="仿宋_GB2312" w:hAnsi="仿宋_GB2312" w:eastAsia="仿宋_GB2312" w:cs="仿宋_GB2312"/>
          <w:sz w:val="32"/>
          <w:szCs w:val="32"/>
          <w:lang w:val="zh-CN" w:eastAsia="zh-CN"/>
        </w:rPr>
        <w:t>指标进行</w:t>
      </w:r>
      <w:r>
        <w:rPr>
          <w:rFonts w:hint="eastAsia" w:ascii="仿宋_GB2312" w:hAnsi="仿宋_GB2312" w:eastAsia="仿宋_GB2312" w:cs="仿宋_GB2312"/>
          <w:sz w:val="32"/>
          <w:szCs w:val="32"/>
          <w:lang w:val="zh-CN" w:eastAsia="zh-CN"/>
        </w:rPr>
        <w:t>逐项</w:t>
      </w:r>
      <w:r>
        <w:rPr>
          <w:rFonts w:hint="default" w:ascii="仿宋_GB2312" w:hAnsi="仿宋_GB2312" w:eastAsia="仿宋_GB2312" w:cs="仿宋_GB2312"/>
          <w:sz w:val="32"/>
          <w:szCs w:val="32"/>
          <w:lang w:val="zh-CN" w:eastAsia="zh-CN"/>
        </w:rPr>
        <w:t>绩效分析</w:t>
      </w:r>
      <w:r>
        <w:rPr>
          <w:rFonts w:hint="eastAsia" w:ascii="仿宋_GB2312" w:hAnsi="仿宋_GB2312" w:eastAsia="仿宋_GB2312" w:cs="仿宋_GB2312"/>
          <w:sz w:val="32"/>
          <w:szCs w:val="32"/>
          <w:lang w:val="zh-CN" w:eastAsia="zh-CN"/>
        </w:rPr>
        <w:t>并评分</w:t>
      </w:r>
      <w:r>
        <w:rPr>
          <w:rFonts w:hint="default" w:ascii="仿宋_GB2312" w:hAnsi="仿宋_GB2312" w:eastAsia="仿宋_GB2312" w:cs="仿宋_GB2312"/>
          <w:sz w:val="32"/>
          <w:szCs w:val="32"/>
          <w:lang w:val="zh-CN" w:eastAsia="zh-CN"/>
        </w:rPr>
        <w:t>，依次包括履职效能、预算管理、财务管理、资产管理、采购管理等情况。</w:t>
      </w:r>
    </w:p>
    <w:p w14:paraId="18926775">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val="zh-CN" w:eastAsia="zh-CN"/>
        </w:rPr>
        <w:t>履职效能</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eastAsia="zh-CN"/>
        </w:rPr>
        <w:t>本年度医院严格按照《政府会计制度》《事业单位财务规则》及相关财政管理要求，扎实推进年度财务决算工作。各部门协同配合，数据填报及时准确，报表体系完整规范，财务分析深入细致，顺利完成了年终决算编制、审核、上报及信息公开等各项任务，实现了账实相符、账账相符、账表一致的目标，为医院战略决策和运营管理提供了有力支撑。</w:t>
      </w:r>
    </w:p>
    <w:p w14:paraId="6D63C375">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w:t>
      </w:r>
      <w:r>
        <w:rPr>
          <w:rFonts w:hint="default" w:ascii="仿宋_GB2312" w:hAnsi="仿宋_GB2312" w:eastAsia="仿宋_GB2312" w:cs="仿宋_GB2312"/>
          <w:b/>
          <w:bCs/>
          <w:sz w:val="32"/>
          <w:szCs w:val="32"/>
          <w:lang w:val="zh-CN" w:eastAsia="zh-CN"/>
        </w:rPr>
        <w:t>预算管理</w:t>
      </w: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sz w:val="32"/>
          <w:szCs w:val="32"/>
          <w:lang w:val="en-US" w:eastAsia="zh-CN"/>
        </w:rPr>
        <w:t>我单位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14:paraId="5EF6CAC8">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w:t>
      </w:r>
      <w:r>
        <w:rPr>
          <w:rFonts w:hint="default" w:ascii="仿宋_GB2312" w:hAnsi="仿宋_GB2312" w:eastAsia="仿宋_GB2312" w:cs="仿宋_GB2312"/>
          <w:b/>
          <w:bCs/>
          <w:sz w:val="32"/>
          <w:szCs w:val="32"/>
          <w:lang w:val="zh-CN" w:eastAsia="zh-CN"/>
        </w:rPr>
        <w:t>财务管理</w:t>
      </w: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sz w:val="32"/>
          <w:szCs w:val="32"/>
          <w:lang w:val="en-US" w:eastAsia="zh-CN"/>
        </w:rPr>
        <w:t>经核对我单位2024年度总账、明细账、决算报表，其结果账账、账表相符；财务信息资料真实、完整、准确。</w:t>
      </w:r>
    </w:p>
    <w:p w14:paraId="7945E9AB">
      <w:pPr>
        <w:keepNext w:val="0"/>
        <w:keepLines w:val="0"/>
        <w:pageBreakBefore w:val="0"/>
        <w:numPr>
          <w:ilvl w:val="0"/>
          <w:numId w:val="0"/>
        </w:numPr>
        <w:kinsoku/>
        <w:wordWrap/>
        <w:overflowPunct/>
        <w:topLinePunct w:val="0"/>
        <w:bidi w:val="0"/>
        <w:spacing w:line="58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w:t>
      </w:r>
      <w:r>
        <w:rPr>
          <w:rFonts w:hint="default" w:ascii="仿宋_GB2312" w:hAnsi="仿宋_GB2312" w:eastAsia="仿宋_GB2312" w:cs="仿宋_GB2312"/>
          <w:b/>
          <w:bCs/>
          <w:sz w:val="32"/>
          <w:szCs w:val="32"/>
          <w:lang w:val="zh-CN" w:eastAsia="zh-CN"/>
        </w:rPr>
        <w:t>资产管理</w:t>
      </w: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sz w:val="32"/>
          <w:szCs w:val="32"/>
          <w:lang w:eastAsia="zh-CN"/>
        </w:rPr>
        <w:t>组织开展全院资产盘点，覆盖率达100%，账实相符率提升至100%；完善资产卡片信息登记</w:t>
      </w:r>
      <w:r>
        <w:rPr>
          <w:rFonts w:hint="eastAsia" w:ascii="仿宋_GB2312" w:hAnsi="仿宋_GB2312" w:eastAsia="仿宋_GB2312" w:cs="仿宋_GB2312"/>
          <w:sz w:val="32"/>
          <w:szCs w:val="32"/>
          <w:lang w:val="en-US" w:eastAsia="zh-CN"/>
        </w:rPr>
        <w:t>.</w:t>
      </w:r>
    </w:p>
    <w:p w14:paraId="1AF4AA50">
      <w:pPr>
        <w:keepNext w:val="0"/>
        <w:keepLines w:val="0"/>
        <w:pageBreakBefore w:val="0"/>
        <w:numPr>
          <w:ilvl w:val="0"/>
          <w:numId w:val="0"/>
        </w:numPr>
        <w:kinsoku/>
        <w:wordWrap/>
        <w:overflowPunct/>
        <w:topLinePunct w:val="0"/>
        <w:bidi w:val="0"/>
        <w:spacing w:line="580" w:lineRule="exact"/>
        <w:ind w:firstLine="643"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5.</w:t>
      </w:r>
      <w:r>
        <w:rPr>
          <w:rFonts w:hint="default" w:ascii="仿宋_GB2312" w:hAnsi="仿宋_GB2312" w:eastAsia="仿宋_GB2312" w:cs="仿宋_GB2312"/>
          <w:b/>
          <w:bCs/>
          <w:sz w:val="32"/>
          <w:szCs w:val="32"/>
          <w:lang w:val="zh-CN" w:eastAsia="zh-CN"/>
        </w:rPr>
        <w:t>采购管理</w:t>
      </w: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sz w:val="32"/>
          <w:szCs w:val="32"/>
          <w:lang w:val="zh-CN" w:eastAsia="zh-CN"/>
        </w:rPr>
        <w:t>围绕支持中小企业发展、采购执行率</w:t>
      </w:r>
      <w:r>
        <w:rPr>
          <w:rFonts w:hint="default" w:ascii="仿宋_GB2312" w:hAnsi="仿宋_GB2312" w:eastAsia="仿宋_GB2312" w:cs="仿宋_GB2312"/>
          <w:sz w:val="32"/>
          <w:szCs w:val="32"/>
          <w:lang w:val="zh-CN" w:eastAsia="zh-CN"/>
        </w:rPr>
        <w:t>进行绩效分析</w:t>
      </w:r>
      <w:r>
        <w:rPr>
          <w:rFonts w:hint="eastAsia" w:ascii="仿宋_GB2312" w:hAnsi="仿宋_GB2312" w:eastAsia="仿宋_GB2312" w:cs="仿宋_GB2312"/>
          <w:sz w:val="32"/>
          <w:szCs w:val="32"/>
          <w:lang w:val="zh-CN" w:eastAsia="zh-CN"/>
        </w:rPr>
        <w:t>。</w:t>
      </w:r>
    </w:p>
    <w:p w14:paraId="09AC752A">
      <w:pPr>
        <w:keepNext w:val="0"/>
        <w:keepLines w:val="0"/>
        <w:pageBreakBefore w:val="0"/>
        <w:numPr>
          <w:ilvl w:val="0"/>
          <w:numId w:val="0"/>
        </w:numPr>
        <w:kinsoku/>
        <w:wordWrap/>
        <w:overflowPunct/>
        <w:topLinePunct w:val="0"/>
        <w:bidi w:val="0"/>
        <w:spacing w:line="580" w:lineRule="exact"/>
        <w:ind w:firstLine="643" w:firstLineChars="200"/>
        <w:textAlignment w:val="auto"/>
        <w:outlineLvl w:val="9"/>
        <w:rPr>
          <w:rFonts w:hint="default" w:ascii="仿宋_GB2312" w:hAnsi="仿宋_GB2312" w:eastAsia="仿宋_GB2312" w:cs="仿宋_GB2312"/>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仿宋_GB2312" w:hAnsi="仿宋_GB2312" w:eastAsia="仿宋_GB2312" w:cs="仿宋_GB2312"/>
          <w:sz w:val="32"/>
          <w:szCs w:val="32"/>
          <w:lang w:val="zh-CN" w:eastAsia="zh-CN"/>
        </w:rPr>
        <w:t>填报以下数据，并</w:t>
      </w:r>
      <w:r>
        <w:rPr>
          <w:rFonts w:hint="default" w:ascii="仿宋_GB2312" w:hAnsi="仿宋_GB2312" w:eastAsia="仿宋_GB2312" w:cs="仿宋_GB2312"/>
          <w:sz w:val="32"/>
          <w:szCs w:val="32"/>
          <w:lang w:val="zh-CN" w:eastAsia="zh-CN"/>
        </w:rPr>
        <w:t>根据部门预算绩效评价指标体系</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项目绩效</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涉及</w:t>
      </w:r>
      <w:r>
        <w:rPr>
          <w:rFonts w:hint="eastAsia" w:ascii="仿宋_GB2312" w:hAnsi="仿宋_GB2312" w:eastAsia="仿宋_GB2312" w:cs="仿宋_GB2312"/>
          <w:sz w:val="32"/>
          <w:szCs w:val="32"/>
          <w:lang w:val="zh-CN" w:eastAsia="zh-CN"/>
        </w:rPr>
        <w:t>二、三级</w:t>
      </w:r>
      <w:r>
        <w:rPr>
          <w:rFonts w:hint="default" w:ascii="仿宋_GB2312" w:hAnsi="仿宋_GB2312" w:eastAsia="仿宋_GB2312" w:cs="仿宋_GB2312"/>
          <w:sz w:val="32"/>
          <w:szCs w:val="32"/>
          <w:lang w:val="zh-CN" w:eastAsia="zh-CN"/>
        </w:rPr>
        <w:t>指标进行</w:t>
      </w:r>
      <w:r>
        <w:rPr>
          <w:rFonts w:hint="eastAsia" w:ascii="仿宋_GB2312" w:hAnsi="仿宋_GB2312" w:eastAsia="仿宋_GB2312" w:cs="仿宋_GB2312"/>
          <w:sz w:val="32"/>
          <w:szCs w:val="32"/>
          <w:lang w:val="zh-CN" w:eastAsia="zh-CN"/>
        </w:rPr>
        <w:t>逐项</w:t>
      </w:r>
      <w:r>
        <w:rPr>
          <w:rFonts w:hint="default" w:ascii="仿宋_GB2312" w:hAnsi="仿宋_GB2312" w:eastAsia="仿宋_GB2312" w:cs="仿宋_GB2312"/>
          <w:sz w:val="32"/>
          <w:szCs w:val="32"/>
          <w:lang w:val="zh-CN" w:eastAsia="zh-CN"/>
        </w:rPr>
        <w:t>绩效分析</w:t>
      </w:r>
      <w:r>
        <w:rPr>
          <w:rFonts w:hint="eastAsia" w:ascii="仿宋_GB2312" w:hAnsi="仿宋_GB2312" w:eastAsia="仿宋_GB2312" w:cs="仿宋_GB2312"/>
          <w:sz w:val="32"/>
          <w:szCs w:val="32"/>
          <w:lang w:val="zh-CN" w:eastAsia="zh-CN"/>
        </w:rPr>
        <w:t>并评分</w:t>
      </w:r>
      <w:r>
        <w:rPr>
          <w:rFonts w:hint="default" w:ascii="仿宋_GB2312" w:hAnsi="仿宋_GB2312" w:eastAsia="仿宋_GB2312" w:cs="仿宋_GB2312"/>
          <w:sz w:val="32"/>
          <w:szCs w:val="32"/>
          <w:lang w:val="zh-CN" w:eastAsia="zh-CN"/>
        </w:rPr>
        <w:t>，依次包括项目</w:t>
      </w:r>
      <w:r>
        <w:rPr>
          <w:rFonts w:hint="default" w:ascii="仿宋_GB2312" w:hAnsi="仿宋_GB2312" w:eastAsia="仿宋_GB2312" w:cs="仿宋_GB2312"/>
          <w:sz w:val="32"/>
          <w:szCs w:val="32"/>
          <w:lang w:val="en-US" w:eastAsia="zh-CN"/>
        </w:rPr>
        <w:t>决策、项目执行、目标实现等情况</w:t>
      </w:r>
      <w:r>
        <w:rPr>
          <w:rFonts w:hint="eastAsia" w:ascii="仿宋_GB2312" w:hAnsi="仿宋_GB2312" w:eastAsia="仿宋_GB2312" w:cs="仿宋_GB2312"/>
          <w:sz w:val="32"/>
          <w:szCs w:val="32"/>
          <w:lang w:val="en-US" w:eastAsia="zh-CN"/>
        </w:rPr>
        <w:t>。</w:t>
      </w:r>
    </w:p>
    <w:p w14:paraId="32CA167A">
      <w:pPr>
        <w:keepNext w:val="0"/>
        <w:keepLines w:val="0"/>
        <w:pageBreakBefore w:val="0"/>
        <w:numPr>
          <w:ilvl w:val="0"/>
          <w:numId w:val="0"/>
        </w:numPr>
        <w:kinsoku/>
        <w:wordWrap/>
        <w:overflowPunct/>
        <w:topLinePunct w:val="0"/>
        <w:bidi w:val="0"/>
        <w:spacing w:line="580" w:lineRule="exact"/>
        <w:ind w:firstLine="643" w:firstLineChars="200"/>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b/>
          <w:bCs/>
          <w:sz w:val="32"/>
          <w:szCs w:val="32"/>
          <w:lang w:val="en-US" w:eastAsia="zh-CN"/>
        </w:rPr>
        <w:t>常年项目绩效分析。</w:t>
      </w:r>
      <w:r>
        <w:rPr>
          <w:rFonts w:hint="default" w:ascii="仿宋_GB2312" w:hAnsi="仿宋_GB2312" w:eastAsia="仿宋_GB2312" w:cs="仿宋_GB2312"/>
          <w:sz w:val="32"/>
          <w:szCs w:val="32"/>
          <w:lang w:val="zh-CN" w:eastAsia="zh-CN"/>
        </w:rPr>
        <w:t>该类项目总数</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zh-CN" w:eastAsia="zh-CN"/>
        </w:rPr>
        <w:t>个，涉及预算总金额</w:t>
      </w:r>
      <w:r>
        <w:rPr>
          <w:rFonts w:hint="eastAsia" w:ascii="仿宋_GB2312" w:hAnsi="仿宋_GB2312" w:eastAsia="仿宋_GB2312" w:cs="仿宋_GB2312"/>
          <w:sz w:val="32"/>
          <w:szCs w:val="32"/>
          <w:lang w:val="en-US" w:eastAsia="zh-CN"/>
        </w:rPr>
        <w:t>1.44</w:t>
      </w:r>
      <w:r>
        <w:rPr>
          <w:rFonts w:hint="default" w:ascii="仿宋_GB2312" w:hAnsi="仿宋_GB2312" w:eastAsia="仿宋_GB2312" w:cs="仿宋_GB2312"/>
          <w:sz w:val="32"/>
          <w:szCs w:val="32"/>
          <w:lang w:val="zh-CN" w:eastAsia="zh-CN"/>
        </w:rPr>
        <w:t>万元，1</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1</w:t>
      </w:r>
      <w:r>
        <w:rPr>
          <w:rFonts w:hint="default"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zh-CN" w:eastAsia="zh-CN"/>
        </w:rPr>
        <w:t>月预算执行总体进度为</w:t>
      </w:r>
      <w:r>
        <w:rPr>
          <w:rFonts w:hint="eastAsia" w:ascii="仿宋_GB2312" w:hAnsi="仿宋_GB2312" w:eastAsia="仿宋_GB2312" w:cs="仿宋_GB2312"/>
          <w:sz w:val="32"/>
          <w:szCs w:val="32"/>
          <w:lang w:val="en-US" w:eastAsia="zh-CN"/>
        </w:rPr>
        <w:t>100</w:t>
      </w:r>
      <w:r>
        <w:rPr>
          <w:rFonts w:hint="default" w:ascii="仿宋_GB2312" w:hAnsi="仿宋_GB2312" w:eastAsia="仿宋_GB2312" w:cs="仿宋_GB2312"/>
          <w:sz w:val="32"/>
          <w:szCs w:val="32"/>
          <w:lang w:val="zh-CN" w:eastAsia="zh-CN"/>
        </w:rPr>
        <w:t>%，其中：预算结余率大于</w:t>
      </w:r>
      <w:r>
        <w:rPr>
          <w:rFonts w:hint="default"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zh-CN" w:eastAsia="zh-CN"/>
        </w:rPr>
        <w:t>的项目共计</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zh-CN" w:eastAsia="zh-CN"/>
        </w:rPr>
        <w:t>个。</w:t>
      </w:r>
    </w:p>
    <w:p w14:paraId="4050CAC7">
      <w:pPr>
        <w:keepNext w:val="0"/>
        <w:keepLines w:val="0"/>
        <w:pageBreakBefore w:val="0"/>
        <w:numPr>
          <w:ilvl w:val="0"/>
          <w:numId w:val="0"/>
        </w:numPr>
        <w:kinsoku/>
        <w:wordWrap/>
        <w:overflowPunct/>
        <w:topLinePunct w:val="0"/>
        <w:bidi w:val="0"/>
        <w:spacing w:line="580" w:lineRule="exact"/>
        <w:ind w:firstLine="643" w:firstLineChars="200"/>
        <w:textAlignment w:val="auto"/>
        <w:outlineLvl w:val="9"/>
        <w:rPr>
          <w:rFonts w:hint="default" w:ascii="仿宋_GB2312" w:hAnsi="仿宋_GB2312" w:eastAsia="仿宋_GB2312" w:cs="仿宋_GB2312"/>
          <w:sz w:val="32"/>
          <w:szCs w:val="32"/>
          <w:lang w:val="zh-CN" w:eastAsia="zh-CN"/>
        </w:rPr>
      </w:pPr>
      <w:r>
        <w:rPr>
          <w:rFonts w:hint="default" w:ascii="仿宋_GB2312" w:hAnsi="仿宋_GB2312" w:eastAsia="仿宋_GB2312" w:cs="仿宋_GB2312"/>
          <w:b/>
          <w:bCs/>
          <w:sz w:val="32"/>
          <w:szCs w:val="32"/>
          <w:lang w:val="en-US" w:eastAsia="zh-CN"/>
        </w:rPr>
        <w:t>阶段</w:t>
      </w:r>
      <w:r>
        <w:rPr>
          <w:rFonts w:hint="eastAsia" w:ascii="仿宋_GB2312" w:hAnsi="仿宋_GB2312" w:eastAsia="仿宋_GB2312" w:cs="仿宋_GB2312"/>
          <w:b/>
          <w:bCs/>
          <w:sz w:val="32"/>
          <w:szCs w:val="32"/>
          <w:lang w:val="en-US" w:eastAsia="zh-CN"/>
        </w:rPr>
        <w:t>（</w:t>
      </w:r>
      <w:r>
        <w:rPr>
          <w:rFonts w:hint="default" w:ascii="仿宋_GB2312" w:hAnsi="仿宋_GB2312" w:eastAsia="仿宋_GB2312" w:cs="仿宋_GB2312"/>
          <w:b/>
          <w:bCs/>
          <w:sz w:val="32"/>
          <w:szCs w:val="32"/>
          <w:lang w:val="en-US" w:eastAsia="zh-CN"/>
        </w:rPr>
        <w:t>一次性</w:t>
      </w:r>
      <w:r>
        <w:rPr>
          <w:rFonts w:hint="eastAsia" w:ascii="仿宋_GB2312" w:hAnsi="仿宋_GB2312" w:eastAsia="仿宋_GB2312" w:cs="仿宋_GB2312"/>
          <w:b/>
          <w:bCs/>
          <w:sz w:val="32"/>
          <w:szCs w:val="32"/>
          <w:lang w:val="en-US" w:eastAsia="zh-CN"/>
        </w:rPr>
        <w:t>）</w:t>
      </w:r>
      <w:r>
        <w:rPr>
          <w:rFonts w:hint="default" w:ascii="仿宋_GB2312" w:hAnsi="仿宋_GB2312" w:eastAsia="仿宋_GB2312" w:cs="仿宋_GB2312"/>
          <w:b/>
          <w:bCs/>
          <w:sz w:val="32"/>
          <w:szCs w:val="32"/>
          <w:lang w:val="en-US" w:eastAsia="zh-CN"/>
        </w:rPr>
        <w:t>项目绩效分析。</w:t>
      </w:r>
      <w:r>
        <w:rPr>
          <w:rFonts w:hint="default" w:ascii="仿宋_GB2312" w:hAnsi="仿宋_GB2312" w:eastAsia="仿宋_GB2312" w:cs="仿宋_GB2312"/>
          <w:sz w:val="32"/>
          <w:szCs w:val="32"/>
          <w:lang w:val="zh-CN" w:eastAsia="zh-CN"/>
        </w:rPr>
        <w:t>该类项目总数</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zh-CN" w:eastAsia="zh-CN"/>
        </w:rPr>
        <w:t>个，涉及预算总金额</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zh-CN" w:eastAsia="zh-CN"/>
        </w:rPr>
        <w:t>万元，1</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1</w:t>
      </w:r>
      <w:r>
        <w:rPr>
          <w:rFonts w:hint="default"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zh-CN" w:eastAsia="zh-CN"/>
        </w:rPr>
        <w:t>月预算执行总体进度为</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zh-CN" w:eastAsia="zh-CN"/>
        </w:rPr>
        <w:t>%，其中：预算结余率大于</w:t>
      </w:r>
      <w:r>
        <w:rPr>
          <w:rFonts w:hint="default"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zh-CN" w:eastAsia="zh-CN"/>
        </w:rPr>
        <w:t>的项目共计</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zh-CN" w:eastAsia="zh-CN"/>
        </w:rPr>
        <w:t>个。</w:t>
      </w:r>
    </w:p>
    <w:p w14:paraId="6EC4032A">
      <w:pPr>
        <w:keepNext w:val="0"/>
        <w:keepLines w:val="0"/>
        <w:pageBreakBefore w:val="0"/>
        <w:numPr>
          <w:ilvl w:val="0"/>
          <w:numId w:val="0"/>
        </w:numPr>
        <w:kinsoku/>
        <w:wordWrap/>
        <w:overflowPunct/>
        <w:topLinePunct w:val="0"/>
        <w:bidi w:val="0"/>
        <w:spacing w:line="580" w:lineRule="exact"/>
        <w:ind w:firstLine="643"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val="zh-CN" w:eastAsia="zh-CN"/>
        </w:rPr>
        <w:t>项目决策。</w:t>
      </w:r>
      <w:r>
        <w:rPr>
          <w:rFonts w:hint="eastAsia" w:ascii="仿宋_GB2312" w:hAnsi="仿宋_GB2312" w:eastAsia="仿宋_GB2312" w:cs="仿宋_GB2312"/>
          <w:sz w:val="32"/>
          <w:szCs w:val="32"/>
          <w:lang w:val="zh-CN" w:eastAsia="zh-CN"/>
        </w:rPr>
        <w:t>围绕决策程序、目标设置、项目入库</w:t>
      </w:r>
      <w:r>
        <w:rPr>
          <w:rFonts w:hint="default" w:ascii="仿宋_GB2312" w:hAnsi="仿宋_GB2312" w:eastAsia="仿宋_GB2312" w:cs="仿宋_GB2312"/>
          <w:sz w:val="32"/>
          <w:szCs w:val="32"/>
          <w:lang w:val="zh-CN" w:eastAsia="zh-CN"/>
        </w:rPr>
        <w:t>进行绩效分析</w:t>
      </w:r>
      <w:r>
        <w:rPr>
          <w:rFonts w:hint="eastAsia" w:ascii="仿宋_GB2312" w:hAnsi="仿宋_GB2312" w:eastAsia="仿宋_GB2312" w:cs="仿宋_GB2312"/>
          <w:sz w:val="32"/>
          <w:szCs w:val="32"/>
          <w:lang w:val="zh-CN" w:eastAsia="zh-CN"/>
        </w:rPr>
        <w:t>。</w:t>
      </w:r>
    </w:p>
    <w:p w14:paraId="596E0B36">
      <w:pPr>
        <w:keepNext w:val="0"/>
        <w:keepLines w:val="0"/>
        <w:pageBreakBefore w:val="0"/>
        <w:numPr>
          <w:ilvl w:val="0"/>
          <w:numId w:val="0"/>
        </w:numPr>
        <w:kinsoku/>
        <w:wordWrap/>
        <w:overflowPunct/>
        <w:topLinePunct w:val="0"/>
        <w:bidi w:val="0"/>
        <w:spacing w:line="580" w:lineRule="exact"/>
        <w:ind w:firstLine="643"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2.项目执行</w:t>
      </w: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sz w:val="32"/>
          <w:szCs w:val="32"/>
          <w:lang w:val="zh-CN" w:eastAsia="zh-CN"/>
        </w:rPr>
        <w:t>围绕资金执行同向、项目调整、执行结果</w:t>
      </w:r>
      <w:r>
        <w:rPr>
          <w:rFonts w:hint="default" w:ascii="仿宋_GB2312" w:hAnsi="仿宋_GB2312" w:eastAsia="仿宋_GB2312" w:cs="仿宋_GB2312"/>
          <w:sz w:val="32"/>
          <w:szCs w:val="32"/>
          <w:lang w:val="zh-CN" w:eastAsia="zh-CN"/>
        </w:rPr>
        <w:t>进行绩效分析</w:t>
      </w:r>
      <w:r>
        <w:rPr>
          <w:rFonts w:hint="eastAsia" w:ascii="仿宋_GB2312" w:hAnsi="仿宋_GB2312" w:eastAsia="仿宋_GB2312" w:cs="仿宋_GB2312"/>
          <w:sz w:val="32"/>
          <w:szCs w:val="32"/>
          <w:lang w:val="zh-CN" w:eastAsia="zh-CN"/>
        </w:rPr>
        <w:t>。</w:t>
      </w:r>
    </w:p>
    <w:p w14:paraId="026B4BF8">
      <w:pPr>
        <w:keepNext w:val="0"/>
        <w:keepLines w:val="0"/>
        <w:pageBreakBefore w:val="0"/>
        <w:numPr>
          <w:ilvl w:val="0"/>
          <w:numId w:val="0"/>
        </w:numPr>
        <w:kinsoku/>
        <w:wordWrap/>
        <w:overflowPunct/>
        <w:topLinePunct w:val="0"/>
        <w:bidi w:val="0"/>
        <w:spacing w:line="580" w:lineRule="exact"/>
        <w:ind w:firstLine="643"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val="zh-CN" w:eastAsia="zh-CN"/>
        </w:rPr>
        <w:t>目标实现。</w:t>
      </w:r>
      <w:r>
        <w:rPr>
          <w:rFonts w:hint="eastAsia" w:ascii="仿宋_GB2312" w:hAnsi="仿宋_GB2312" w:eastAsia="仿宋_GB2312" w:cs="仿宋_GB2312"/>
          <w:sz w:val="32"/>
          <w:szCs w:val="32"/>
          <w:lang w:val="zh-CN" w:eastAsia="zh-CN"/>
        </w:rPr>
        <w:t>围绕目标完成、目标偏离、实现效果</w:t>
      </w:r>
      <w:r>
        <w:rPr>
          <w:rFonts w:hint="default" w:ascii="仿宋_GB2312" w:hAnsi="仿宋_GB2312" w:eastAsia="仿宋_GB2312" w:cs="仿宋_GB2312"/>
          <w:sz w:val="32"/>
          <w:szCs w:val="32"/>
          <w:lang w:val="zh-CN" w:eastAsia="zh-CN"/>
        </w:rPr>
        <w:t>进行绩效分析</w:t>
      </w:r>
      <w:r>
        <w:rPr>
          <w:rFonts w:hint="eastAsia" w:ascii="仿宋_GB2312" w:hAnsi="仿宋_GB2312" w:eastAsia="仿宋_GB2312" w:cs="仿宋_GB2312"/>
          <w:sz w:val="32"/>
          <w:szCs w:val="32"/>
          <w:lang w:val="zh-CN" w:eastAsia="zh-CN"/>
        </w:rPr>
        <w:t>。</w:t>
      </w:r>
    </w:p>
    <w:tbl>
      <w:tblPr>
        <w:tblStyle w:val="17"/>
        <w:tblW w:w="9495" w:type="dxa"/>
        <w:tblInd w:w="-55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60"/>
        <w:gridCol w:w="840"/>
        <w:gridCol w:w="645"/>
        <w:gridCol w:w="1185"/>
        <w:gridCol w:w="630"/>
        <w:gridCol w:w="1110"/>
        <w:gridCol w:w="1305"/>
        <w:gridCol w:w="435"/>
        <w:gridCol w:w="615"/>
        <w:gridCol w:w="480"/>
        <w:gridCol w:w="555"/>
        <w:gridCol w:w="735"/>
      </w:tblGrid>
      <w:tr w14:paraId="558BC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3" w:hRule="atLeast"/>
        </w:trPr>
        <w:tc>
          <w:tcPr>
            <w:tcW w:w="9495"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4B2ED4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方正小标宋简体" w:hAnsi="方正小标宋简体" w:eastAsia="方正小标宋简体" w:cs="方正小标宋简体"/>
                <w:b/>
                <w:i w:val="0"/>
                <w:color w:val="000000"/>
                <w:kern w:val="0"/>
                <w:sz w:val="44"/>
                <w:szCs w:val="44"/>
                <w:u w:val="none"/>
                <w:lang w:val="en-US" w:eastAsia="zh-CN" w:bidi="ar"/>
              </w:rPr>
            </w:pPr>
            <w:r>
              <w:rPr>
                <w:rFonts w:hint="eastAsia" w:ascii="方正小标宋简体" w:hAnsi="方正小标宋简体" w:eastAsia="方正小标宋简体" w:cs="方正小标宋简体"/>
                <w:b/>
                <w:i w:val="0"/>
                <w:color w:val="000000"/>
                <w:kern w:val="0"/>
                <w:sz w:val="44"/>
                <w:szCs w:val="44"/>
                <w:u w:val="none"/>
                <w:lang w:val="en-US" w:eastAsia="zh-CN" w:bidi="ar"/>
              </w:rPr>
              <w:t>部门预算项目绩效目标表（2025年度）</w:t>
            </w:r>
          </w:p>
          <w:p w14:paraId="7A6516DE">
            <w:pPr>
              <w:pStyle w:val="2"/>
              <w:ind w:firstLine="7000" w:firstLineChars="2500"/>
              <w:rPr>
                <w:rFonts w:hint="default"/>
                <w:lang w:val="en-US"/>
              </w:rPr>
            </w:pPr>
            <w:r>
              <w:rPr>
                <w:rFonts w:hint="eastAsia" w:ascii="仿宋_GB2312" w:hAnsi="仿宋_GB2312" w:eastAsia="仿宋_GB2312" w:cs="仿宋_GB2312"/>
                <w:b w:val="0"/>
                <w:bCs/>
                <w:i w:val="0"/>
                <w:color w:val="000000"/>
                <w:kern w:val="0"/>
                <w:sz w:val="28"/>
                <w:szCs w:val="28"/>
                <w:u w:val="none"/>
                <w:lang w:val="en-US" w:eastAsia="zh-CN" w:bidi="ar"/>
              </w:rPr>
              <w:t>金额：   万元</w:t>
            </w:r>
          </w:p>
        </w:tc>
      </w:tr>
      <w:tr w14:paraId="78D65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8" w:hRule="atLeast"/>
        </w:trPr>
        <w:tc>
          <w:tcPr>
            <w:tcW w:w="96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E75A2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w:t>
            </w:r>
          </w:p>
        </w:tc>
        <w:tc>
          <w:tcPr>
            <w:tcW w:w="84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30439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64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AA3E9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预算数</w:t>
            </w:r>
          </w:p>
        </w:tc>
        <w:tc>
          <w:tcPr>
            <w:tcW w:w="118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4950B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63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17BAF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一级</w:t>
            </w:r>
          </w:p>
          <w:p w14:paraId="610E20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30CA1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30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70E38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3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16058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指标性质</w:t>
            </w:r>
          </w:p>
        </w:tc>
        <w:tc>
          <w:tcPr>
            <w:tcW w:w="61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98B60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48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640CD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度量单位</w:t>
            </w:r>
          </w:p>
        </w:tc>
        <w:tc>
          <w:tcPr>
            <w:tcW w:w="55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35C18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权重</w:t>
            </w:r>
          </w:p>
        </w:tc>
        <w:tc>
          <w:tcPr>
            <w:tcW w:w="73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92A0A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kern w:val="0"/>
                <w:sz w:val="18"/>
                <w:szCs w:val="18"/>
                <w:u w:val="none"/>
                <w:lang w:val="en-US" w:eastAsia="zh-CN" w:bidi="ar"/>
              </w:rPr>
            </w:pPr>
            <w:r>
              <w:rPr>
                <w:rFonts w:hint="eastAsia" w:ascii="宋体" w:hAnsi="宋体" w:eastAsia="宋体" w:cs="宋体"/>
                <w:b/>
                <w:i w:val="0"/>
                <w:color w:val="000000"/>
                <w:kern w:val="0"/>
                <w:sz w:val="18"/>
                <w:szCs w:val="18"/>
                <w:u w:val="none"/>
                <w:lang w:val="en-US" w:eastAsia="zh-CN" w:bidi="ar"/>
              </w:rPr>
              <w:t>指标</w:t>
            </w:r>
          </w:p>
          <w:p w14:paraId="6FF418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方向性</w:t>
            </w:r>
          </w:p>
        </w:tc>
      </w:tr>
      <w:tr w14:paraId="59EDC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518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122-红原县卫生健康局</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BA3F">
            <w:pPr>
              <w:keepNext w:val="0"/>
              <w:keepLines w:val="0"/>
              <w:pageBreakBefore w:val="0"/>
              <w:widowControl/>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EF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1CF2">
            <w:pPr>
              <w:keepNext w:val="0"/>
              <w:keepLines w:val="0"/>
              <w:pageBreakBefore w:val="0"/>
              <w:widowControl/>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3013D">
            <w:pPr>
              <w:keepNext w:val="0"/>
              <w:keepLines w:val="0"/>
              <w:pageBreakBefore w:val="0"/>
              <w:widowControl/>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CDC3">
            <w:pPr>
              <w:keepNext w:val="0"/>
              <w:keepLines w:val="0"/>
              <w:pageBreakBefore w:val="0"/>
              <w:widowControl/>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1991">
            <w:pPr>
              <w:keepNext w:val="0"/>
              <w:keepLines w:val="0"/>
              <w:pageBreakBefore w:val="0"/>
              <w:widowControl/>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7E84B">
            <w:pPr>
              <w:keepNext w:val="0"/>
              <w:keepLines w:val="0"/>
              <w:pageBreakBefore w:val="0"/>
              <w:widowControl/>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DD4B">
            <w:pPr>
              <w:keepNext w:val="0"/>
              <w:keepLines w:val="0"/>
              <w:pageBreakBefore w:val="0"/>
              <w:widowControl/>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C81E">
            <w:pPr>
              <w:keepNext w:val="0"/>
              <w:keepLines w:val="0"/>
              <w:pageBreakBefore w:val="0"/>
              <w:widowControl/>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4BCE">
            <w:pPr>
              <w:keepNext w:val="0"/>
              <w:keepLines w:val="0"/>
              <w:pageBreakBefore w:val="0"/>
              <w:widowControl/>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939C">
            <w:pPr>
              <w:keepNext w:val="0"/>
              <w:keepLines w:val="0"/>
              <w:pageBreakBefore w:val="0"/>
              <w:widowControl/>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r>
      <w:tr w14:paraId="76702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4"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C8C16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122010-红原县江茸乡卫生院</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54CA7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县级配套基本公共卫生</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53F9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EF8C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乡镇卫生院开展基本公共卫生服务，包括建立居民健康档案，预防接种、传染病防治、高血压糖尿病等慢性病管理重型精神病管理、儿童保健、孕产妇保健、老年人保健；协助处置突发公共卫生事件。开展基本公共卫生服产生的办公费，邮电费等支出。</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5D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F1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7C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基层群众满意度</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A2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63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B0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3F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7879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23CBC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4"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282D3">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C49C7">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A353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12B96">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03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5EB04A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1E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1E2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居民电子健康档案管理人数</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79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40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1449</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0B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2F3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48F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66493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1"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4C712">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CB32C">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E278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BD6F4">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2F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553153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3EA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18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65岁及以上居民健康管理人数</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D7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E2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10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49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3CF8">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DA2B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9"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D94E0">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CEE08">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A468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B9565">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5F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06DB8F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37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FB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老年人中医药健康管理率</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A2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3C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91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AA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FD3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354D2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6"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0C589">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7ADEE">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68085">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00717">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23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w:t>
            </w:r>
          </w:p>
          <w:p w14:paraId="601A09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B1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35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基本公共卫生服务县级配套项目成本</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29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70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1.004157</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A6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81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D22A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76952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1"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C64C2">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45C9A">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F9B71">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F0F90">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08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6D3C8B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7C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1E5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提高公共卫生服务均等化水平</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7A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81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优良</w:t>
            </w:r>
          </w:p>
          <w:p w14:paraId="3CCA8A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中低</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311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A83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D263">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74825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9"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26572">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EA63A">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99257">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93212">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DD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38E09F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9EA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DD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2型糖尿病患者管理人数</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EB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F4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24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7C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1A7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58721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3"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ACC76">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CC55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D21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0.43</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A40B6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县级配套基本药物用于卫生院日常开支，包含办公费、邮电费、电费等</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DF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572516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AF4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977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实行基本药物补助县级配套的基层医疗机构个数</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2E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166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FE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D0E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E0EC">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D52E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9"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7BD02">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DC332">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58479">
            <w:pPr>
              <w:keepNext w:val="0"/>
              <w:keepLines w:val="0"/>
              <w:pageBreakBefore w:val="0"/>
              <w:widowControl/>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81D4A">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76F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2267C8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40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83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基层医疗机构药品零差率</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1F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9A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等于100</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46F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B5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F7DA">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411C9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7"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2000F">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D1FA6">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056B0">
            <w:pPr>
              <w:keepNext w:val="0"/>
              <w:keepLines w:val="0"/>
              <w:pageBreakBefore w:val="0"/>
              <w:widowControl/>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FFD81">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B87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1C56F0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D2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CC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基本药物补助县级配套资金支付准确率</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7D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34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70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B5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C189">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631BC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6"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EDB57">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6A702">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102BB">
            <w:pPr>
              <w:keepNext w:val="0"/>
              <w:keepLines w:val="0"/>
              <w:pageBreakBefore w:val="0"/>
              <w:widowControl/>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966F7">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F8D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CC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77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基层医疗机构工作人员满意度</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C9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C4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3A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39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725D0">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25B13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4"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5C348">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09E0F">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B68D0">
            <w:pPr>
              <w:keepNext w:val="0"/>
              <w:keepLines w:val="0"/>
              <w:pageBreakBefore w:val="0"/>
              <w:widowControl/>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4C620">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BE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33BE47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CC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38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确保药品采购公平、公正、公开</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0A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1D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优良中低差</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831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95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846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36F5F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1"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56599">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C31DB">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2807E">
            <w:pPr>
              <w:keepNext w:val="0"/>
              <w:keepLines w:val="0"/>
              <w:pageBreakBefore w:val="0"/>
              <w:widowControl/>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12290">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39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513C6A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CF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CB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基层医疗机构基本药物网购置次数</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D9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3E3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01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2D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86ED">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r w14:paraId="33283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17"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08B13">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A9F1D">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C69BE">
            <w:pPr>
              <w:keepNext w:val="0"/>
              <w:keepLines w:val="0"/>
              <w:pageBreakBefore w:val="0"/>
              <w:widowControl/>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19411">
            <w:pPr>
              <w:keepNext w:val="0"/>
              <w:keepLines w:val="0"/>
              <w:pageBreakBefore w:val="0"/>
              <w:widowControl/>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15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25FC32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EB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6B0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基本药物补助县级配套资金支付及时率</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1E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8F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9B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10B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FE32">
            <w:pPr>
              <w:keepNext w:val="0"/>
              <w:keepLines w:val="0"/>
              <w:pageBreakBefore w:val="0"/>
              <w:widowControl/>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r>
    </w:tbl>
    <w:p w14:paraId="7865CB5B">
      <w:pPr>
        <w:pStyle w:val="2"/>
        <w:rPr>
          <w:rFonts w:hint="eastAsia"/>
          <w:lang w:val="zh-CN" w:eastAsia="zh-CN"/>
        </w:rPr>
      </w:pPr>
    </w:p>
    <w:p w14:paraId="7B033E8E">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省级部门对2024年度一般公共预算、政府性基金预算、国有资本经营预算安排的常年项目、阶段项目绩效目标完成情况，以及债券资金、政府购买服务有关情况进行梳理阐述</w:t>
      </w:r>
      <w:r>
        <w:rPr>
          <w:rFonts w:hint="eastAsia" w:ascii="仿宋_GB2312" w:hAnsi="仿宋_GB2312" w:eastAsia="仿宋_GB2312" w:cs="仿宋_GB2312"/>
          <w:sz w:val="32"/>
          <w:szCs w:val="32"/>
          <w:lang w:val="en-US" w:eastAsia="zh-CN"/>
        </w:rPr>
        <w:t>。</w:t>
      </w:r>
    </w:p>
    <w:p w14:paraId="1FBF1A35">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default" w:ascii="仿宋_GB2312" w:hAnsi="仿宋_GB2312" w:eastAsia="仿宋_GB2312" w:cs="仿宋_GB2312"/>
          <w:sz w:val="32"/>
          <w:szCs w:val="32"/>
          <w:lang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仿宋_GB2312" w:eastAsia="仿宋_GB2312" w:cs="仿宋_GB2312"/>
          <w:sz w:val="32"/>
          <w:szCs w:val="32"/>
          <w:lang w:val="zh-CN" w:eastAsia="zh-CN"/>
        </w:rPr>
        <w:t>围绕内部应用情况、</w:t>
      </w:r>
      <w:r>
        <w:rPr>
          <w:rFonts w:hint="default" w:ascii="仿宋_GB2312" w:hAnsi="仿宋_GB2312" w:eastAsia="仿宋_GB2312" w:cs="仿宋_GB2312"/>
          <w:sz w:val="32"/>
          <w:szCs w:val="32"/>
          <w:lang w:val="zh-CN" w:eastAsia="zh-CN"/>
        </w:rPr>
        <w:t>信息公开情况</w:t>
      </w:r>
      <w:r>
        <w:rPr>
          <w:rFonts w:hint="eastAsia" w:ascii="仿宋_GB2312" w:hAnsi="仿宋_GB2312" w:eastAsia="仿宋_GB2312" w:cs="仿宋_GB2312"/>
          <w:sz w:val="32"/>
          <w:szCs w:val="32"/>
          <w:lang w:val="zh-CN" w:eastAsia="zh-CN"/>
        </w:rPr>
        <w:t>、</w:t>
      </w:r>
      <w:r>
        <w:rPr>
          <w:rFonts w:hint="default" w:ascii="仿宋_GB2312" w:hAnsi="仿宋_GB2312" w:eastAsia="仿宋_GB2312" w:cs="仿宋_GB2312"/>
          <w:sz w:val="32"/>
          <w:szCs w:val="32"/>
          <w:lang w:val="zh-CN" w:eastAsia="zh-CN"/>
        </w:rPr>
        <w:t>整改反馈情况</w:t>
      </w:r>
      <w:r>
        <w:rPr>
          <w:rFonts w:hint="eastAsia" w:ascii="仿宋_GB2312" w:hAnsi="仿宋_GB2312" w:eastAsia="仿宋_GB2312" w:cs="仿宋_GB2312"/>
          <w:sz w:val="32"/>
          <w:szCs w:val="32"/>
          <w:lang w:val="zh-CN" w:eastAsia="zh-CN"/>
        </w:rPr>
        <w:t>进行分析。</w:t>
      </w:r>
    </w:p>
    <w:p w14:paraId="4B6EB0B8">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Times New Roman" w:hAnsi="Times New Roman" w:eastAsia="黑体" w:cstheme="majorBidi"/>
          <w:b/>
          <w:bCs w:val="0"/>
          <w:color w:val="auto"/>
          <w:kern w:val="2"/>
          <w:sz w:val="32"/>
          <w:szCs w:val="32"/>
          <w:lang w:val="zh-CN" w:eastAsia="zh-CN" w:bidi="ar-SA"/>
        </w:rPr>
      </w:pPr>
      <w:r>
        <w:rPr>
          <w:rFonts w:hint="default" w:ascii="Times New Roman" w:hAnsi="Times New Roman" w:eastAsia="黑体" w:cstheme="majorBidi"/>
          <w:b/>
          <w:bCs w:val="0"/>
          <w:color w:val="auto"/>
          <w:kern w:val="2"/>
          <w:sz w:val="32"/>
          <w:szCs w:val="32"/>
          <w:lang w:val="zh-CN" w:eastAsia="zh-CN" w:bidi="ar-SA"/>
        </w:rPr>
        <w:t>四、评价结论及建议</w:t>
      </w:r>
    </w:p>
    <w:p w14:paraId="304849CE">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3" w:firstLineChars="200"/>
        <w:textAlignment w:val="auto"/>
        <w:rPr>
          <w:rFonts w:hint="eastAsia" w:ascii="楷体_GB2312" w:hAnsi="楷体_GB2312" w:eastAsia="楷体_GB2312" w:cs="楷体_GB2312"/>
          <w:b/>
          <w:bCs/>
          <w:color w:val="000000"/>
          <w:kern w:val="2"/>
          <w:sz w:val="32"/>
          <w:szCs w:val="32"/>
          <w:lang w:val="en-US" w:eastAsia="zh-CN" w:bidi="ar-SA"/>
        </w:rPr>
      </w:pPr>
      <w:bookmarkStart w:id="47" w:name="_Hlk110546638"/>
      <w:r>
        <w:rPr>
          <w:rFonts w:hint="eastAsia" w:ascii="楷体_GB2312" w:hAnsi="楷体_GB2312" w:eastAsia="楷体_GB2312" w:cs="楷体_GB2312"/>
          <w:b/>
          <w:bCs/>
          <w:color w:val="000000"/>
          <w:kern w:val="2"/>
          <w:sz w:val="32"/>
          <w:szCs w:val="32"/>
          <w:lang w:val="en-US" w:eastAsia="zh-CN" w:bidi="ar-SA"/>
        </w:rPr>
        <w:t>（一）评价结论。</w:t>
      </w:r>
    </w:p>
    <w:p w14:paraId="2DA94824">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 w:hAnsi="仿宋" w:eastAsia="仿宋" w:cs="仿宋"/>
          <w:color w:val="000000"/>
          <w:kern w:val="2"/>
          <w:sz w:val="32"/>
          <w:szCs w:val="32"/>
          <w:lang w:val="en-US" w:eastAsia="zh-CN" w:bidi="ar-SA"/>
        </w:rPr>
        <w:t>2024年部门预算编制基础数据真实可靠，按照年度</w:t>
      </w:r>
      <w:r>
        <w:rPr>
          <w:rFonts w:hint="eastAsia" w:ascii="仿宋" w:hAnsi="仿宋" w:eastAsia="仿宋" w:cs="仿宋"/>
          <w:color w:val="000000"/>
          <w:kern w:val="2"/>
          <w:sz w:val="32"/>
          <w:szCs w:val="32"/>
          <w:lang w:val="en-US" w:eastAsia="zh-CN" w:bidi="ar-SA"/>
        </w:rPr>
        <w:fldChar w:fldCharType="begin"/>
      </w:r>
      <w:r>
        <w:rPr>
          <w:rFonts w:hint="eastAsia" w:ascii="仿宋" w:hAnsi="仿宋" w:eastAsia="仿宋" w:cs="仿宋"/>
          <w:color w:val="000000"/>
          <w:kern w:val="2"/>
          <w:sz w:val="32"/>
          <w:szCs w:val="32"/>
          <w:lang w:val="en-US" w:eastAsia="zh-CN" w:bidi="ar-SA"/>
        </w:rPr>
        <w:instrText xml:space="preserve"> HYPERLINK "http://www.91wenmi.com/wenmi/zongjie/gongzuojihua/" \t "_blank" </w:instrText>
      </w:r>
      <w:r>
        <w:rPr>
          <w:rFonts w:hint="eastAsia" w:ascii="仿宋" w:hAnsi="仿宋" w:eastAsia="仿宋" w:cs="仿宋"/>
          <w:color w:val="000000"/>
          <w:kern w:val="2"/>
          <w:sz w:val="32"/>
          <w:szCs w:val="32"/>
          <w:lang w:val="en-US" w:eastAsia="zh-CN" w:bidi="ar-SA"/>
        </w:rPr>
        <w:fldChar w:fldCharType="separate"/>
      </w:r>
      <w:r>
        <w:rPr>
          <w:rFonts w:hint="eastAsia" w:ascii="仿宋" w:hAnsi="仿宋" w:eastAsia="仿宋" w:cs="仿宋"/>
          <w:color w:val="000000"/>
          <w:kern w:val="2"/>
          <w:sz w:val="32"/>
          <w:szCs w:val="32"/>
          <w:lang w:val="en-US" w:eastAsia="zh-CN" w:bidi="ar-SA"/>
        </w:rPr>
        <w:t>工作计划</w:t>
      </w:r>
      <w:r>
        <w:rPr>
          <w:rFonts w:hint="eastAsia" w:ascii="仿宋" w:hAnsi="仿宋" w:eastAsia="仿宋" w:cs="仿宋"/>
          <w:color w:val="000000"/>
          <w:kern w:val="2"/>
          <w:sz w:val="32"/>
          <w:szCs w:val="32"/>
          <w:lang w:val="en-US" w:eastAsia="zh-CN" w:bidi="ar-SA"/>
        </w:rPr>
        <w:fldChar w:fldCharType="end"/>
      </w:r>
      <w:r>
        <w:rPr>
          <w:rFonts w:hint="eastAsia" w:ascii="仿宋" w:hAnsi="仿宋" w:eastAsia="仿宋" w:cs="仿宋"/>
          <w:color w:val="000000"/>
          <w:kern w:val="2"/>
          <w:sz w:val="32"/>
          <w:szCs w:val="32"/>
          <w:lang w:val="en-US" w:eastAsia="zh-CN" w:bidi="ar-SA"/>
        </w:rPr>
        <w:t>和支出标准合理编制预算方案，预算数据按要求及时报送。基本支出按时间进度支付，达到执行进度，年终无结余。</w:t>
      </w:r>
      <w:r>
        <w:rPr>
          <w:rFonts w:hint="eastAsia" w:ascii="仿宋_GB2312" w:hAnsi="仿宋_GB2312" w:eastAsia="仿宋_GB2312" w:cs="仿宋_GB2312"/>
          <w:kern w:val="2"/>
          <w:sz w:val="32"/>
          <w:szCs w:val="32"/>
          <w:lang w:val="en-US" w:eastAsia="zh-CN" w:bidi="ar-SA"/>
        </w:rPr>
        <w:t>严格执行“三公经费”预算，严格审批，无超预算、无预算执行的情况。</w:t>
      </w:r>
    </w:p>
    <w:p w14:paraId="0704D9D5">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3" w:firstLineChars="200"/>
        <w:textAlignment w:val="auto"/>
        <w:rPr>
          <w:rFonts w:hint="eastAsia"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（二）存在问题。</w:t>
      </w:r>
    </w:p>
    <w:p w14:paraId="1C3E5924">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专项资金执行进度有待进一步加快，固定资产管理继续加强中。账务处理有待于提高。</w:t>
      </w:r>
    </w:p>
    <w:p w14:paraId="6807166F">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3" w:firstLineChars="200"/>
        <w:textAlignment w:val="auto"/>
        <w:rPr>
          <w:rFonts w:hint="eastAsia"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（三）改进建议。</w:t>
      </w:r>
    </w:p>
    <w:p w14:paraId="2E354D4E">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仿宋_GB2312" w:hAnsi="仿宋_GB2312" w:eastAsia="仿宋_GB2312" w:cs="仿宋_GB2312"/>
          <w:kern w:val="2"/>
          <w:sz w:val="32"/>
          <w:szCs w:val="32"/>
          <w:lang w:val="en-US" w:eastAsia="zh-CN" w:bidi="ar-SA"/>
        </w:rPr>
        <w:t>深入学习贯彻《预算法》等相关法律、法规，进一步增强预算意识，始终坚持先有预算、后有支出，没有预算不得支出的原则。科学合理编制部门预算，推进预算编制科学化、准确化。年度预算编制后，根据实际情况，定期做好预算执行分析，适时掌握预算执行进度，及时找出预算实际执行情况与预算目标之间存在的差距，进一步加快预算执行。加强与业务部门工作对接，做好提前准备工作，资金下达后及时开展项目工作，加快执行进度，充分发挥项目资金效益。</w:t>
      </w:r>
      <w:bookmarkEnd w:id="47"/>
    </w:p>
    <w:p w14:paraId="71AF8450">
      <w:pPr>
        <w:pStyle w:val="8"/>
        <w:keepNext w:val="0"/>
        <w:keepLines w:val="0"/>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附表：</w:t>
      </w:r>
      <w:r>
        <w:rPr>
          <w:rFonts w:hint="eastAsia" w:ascii="仿宋_GB2312" w:hAnsi="仿宋_GB2312" w:eastAsia="仿宋_GB2312" w:cs="仿宋_GB2312"/>
          <w:kern w:val="2"/>
          <w:sz w:val="32"/>
          <w:szCs w:val="32"/>
          <w:lang w:val="en-US" w:eastAsia="zh-CN" w:bidi="ar-SA"/>
        </w:rPr>
        <w:t>部门预算项目支出绩效自评表（2024年度）</w:t>
      </w:r>
    </w:p>
    <w:p w14:paraId="421177B2">
      <w:pPr>
        <w:pStyle w:val="8"/>
        <w:keepNext w:val="0"/>
        <w:keepLines w:val="0"/>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b/>
          <w:bCs/>
          <w:kern w:val="2"/>
          <w:sz w:val="32"/>
          <w:szCs w:val="32"/>
          <w:lang w:val="zh-CN" w:eastAsia="zh-CN" w:bidi="ar-SA"/>
        </w:rPr>
      </w:pPr>
      <w:r>
        <w:rPr>
          <w:rFonts w:hint="eastAsia" w:ascii="仿宋_GB2312" w:hAnsi="仿宋_GB2312" w:eastAsia="仿宋_GB2312" w:cs="仿宋_GB2312"/>
          <w:b/>
          <w:bCs/>
          <w:kern w:val="2"/>
          <w:sz w:val="32"/>
          <w:szCs w:val="32"/>
          <w:lang w:val="en-US" w:eastAsia="zh-CN" w:bidi="ar-SA"/>
        </w:rPr>
        <w:t>（注：按照绩效自评工作安排，各部门已在预算管理一体化系统绩效自评模块上传“部门预算项目支出绩效自评表（2024年度）”，该表格应作为附表予以公开）</w:t>
      </w:r>
    </w:p>
    <w:p w14:paraId="4D7E553B">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6B4FB9FC">
      <w:pPr>
        <w:pStyle w:val="3"/>
        <w:rPr>
          <w:rFonts w:hint="eastAsia" w:ascii="Times New Roman" w:hAnsi="Times New Roman" w:cs="宋体"/>
          <w:color w:val="FF0000"/>
          <w:kern w:val="0"/>
          <w:sz w:val="32"/>
          <w:szCs w:val="32"/>
          <w:highlight w:val="yellow"/>
          <w:shd w:val="clear" w:color="auto" w:fill="FFFFFF"/>
          <w:lang w:val="zh-CN"/>
        </w:rPr>
      </w:pPr>
    </w:p>
    <w:p w14:paraId="2C8CEAB2">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36FD7A4E">
      <w:pPr>
        <w:pStyle w:val="3"/>
        <w:rPr>
          <w:rFonts w:hint="eastAsia" w:ascii="黑体" w:hAnsi="黑体" w:eastAsia="黑体" w:cs="黑体"/>
          <w:color w:val="auto"/>
          <w:kern w:val="2"/>
          <w:sz w:val="32"/>
          <w:szCs w:val="32"/>
          <w:highlight w:val="none"/>
          <w:lang w:val="en-US" w:eastAsia="zh-CN"/>
        </w:rPr>
      </w:pPr>
      <w:r>
        <w:rPr>
          <w:rFonts w:hint="eastAsia" w:ascii="黑体" w:hAnsi="黑体" w:eastAsia="黑体" w:cs="黑体"/>
          <w:color w:val="auto"/>
          <w:kern w:val="0"/>
          <w:sz w:val="32"/>
          <w:szCs w:val="32"/>
          <w:highlight w:val="none"/>
          <w:shd w:val="clear" w:color="auto" w:fill="FFFFFF"/>
          <w:lang w:val="zh-CN"/>
        </w:rPr>
        <w:t>附件</w:t>
      </w:r>
      <w:r>
        <w:rPr>
          <w:rFonts w:hint="eastAsia" w:ascii="黑体" w:hAnsi="黑体" w:eastAsia="黑体" w:cs="黑体"/>
          <w:color w:val="auto"/>
          <w:kern w:val="0"/>
          <w:sz w:val="32"/>
          <w:szCs w:val="32"/>
          <w:highlight w:val="none"/>
          <w:shd w:val="clear" w:color="auto" w:fill="FFFFFF"/>
          <w:lang w:val="en-US" w:eastAsia="zh-CN"/>
        </w:rPr>
        <w:t>2</w:t>
      </w:r>
    </w:p>
    <w:p w14:paraId="0327A90E">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14:paraId="64ABE3A8">
      <w:pPr>
        <w:pStyle w:val="36"/>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0B2320C4">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atLeast"/>
        <w:ind w:firstLine="643" w:firstLineChars="200"/>
        <w:textAlignment w:val="auto"/>
        <w:rPr>
          <w:rFonts w:hint="eastAsia"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en-US" w:eastAsia="zh-CN" w:bidi="ar-SA"/>
        </w:rPr>
        <w:t>一、</w:t>
      </w:r>
      <w:r>
        <w:rPr>
          <w:rFonts w:hint="eastAsia" w:ascii="Times New Roman" w:hAnsi="Times New Roman" w:eastAsia="黑体" w:cstheme="majorBidi"/>
          <w:b/>
          <w:bCs w:val="0"/>
          <w:color w:val="auto"/>
          <w:kern w:val="2"/>
          <w:sz w:val="32"/>
          <w:szCs w:val="32"/>
          <w:lang w:val="zh-CN" w:eastAsia="zh-CN" w:bidi="ar-SA"/>
        </w:rPr>
        <w:t>项目概况</w:t>
      </w:r>
    </w:p>
    <w:p w14:paraId="4E05839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Times New Roman" w:hAnsi="Times New Roman" w:eastAsia="楷体_GB2312"/>
          <w:b/>
          <w:color w:val="auto"/>
          <w:sz w:val="32"/>
          <w:szCs w:val="32"/>
          <w:highlight w:val="none"/>
          <w:u w:val="none"/>
          <w:lang w:val="zh-CN"/>
        </w:rPr>
        <w:t>（一）设立背景及基本情况。</w:t>
      </w:r>
      <w:r>
        <w:rPr>
          <w:rFonts w:hint="eastAsia" w:ascii="仿宋_GB2312" w:hAnsi="仿宋_GB2312" w:eastAsia="仿宋_GB2312" w:cs="仿宋_GB2312"/>
          <w:sz w:val="32"/>
          <w:szCs w:val="32"/>
          <w:lang w:val="en-US" w:eastAsia="zh-CN"/>
        </w:rPr>
        <w:t>项目设立原因及背景，</w:t>
      </w:r>
      <w:r>
        <w:rPr>
          <w:rFonts w:hint="eastAsia" w:ascii="仿宋_GB2312" w:hAnsi="仿宋_GB2312" w:eastAsia="仿宋_GB2312" w:cs="仿宋_GB2312"/>
          <w:sz w:val="32"/>
          <w:szCs w:val="32"/>
          <w:lang w:val="zh-CN" w:eastAsia="zh-CN"/>
        </w:rPr>
        <w:t>项目立项、资金申报的依据，项目主要内容</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主管部门职能。</w:t>
      </w:r>
    </w:p>
    <w:p w14:paraId="52897192">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Times New Roman" w:hAnsi="Times New Roman" w:eastAsia="仿宋_GB2312" w:cs="仿宋_GB2312"/>
          <w:b w:val="0"/>
          <w:bCs w:val="0"/>
          <w:kern w:val="0"/>
          <w:position w:val="0"/>
          <w:sz w:val="32"/>
          <w:szCs w:val="32"/>
          <w:highlight w:val="none"/>
          <w:lang w:val="en-US" w:eastAsia="zh-CN" w:bidi="ar-SA"/>
        </w:rPr>
        <w:t>项目资金</w:t>
      </w:r>
      <w:r>
        <w:rPr>
          <w:rFonts w:hint="eastAsia" w:ascii="Times New Roman" w:hAnsi="Times New Roman" w:eastAsia="仿宋_GB2312" w:cs="仿宋_GB2312"/>
          <w:b w:val="0"/>
          <w:bCs w:val="0"/>
          <w:kern w:val="0"/>
          <w:position w:val="0"/>
          <w:sz w:val="32"/>
          <w:szCs w:val="32"/>
          <w:highlight w:val="none"/>
          <w:lang w:val="zh-CN" w:eastAsia="zh-CN" w:bidi="ar-SA"/>
        </w:rPr>
        <w:t>管理办法制定情况，项目实施目的和主要工作任务，项目支持方向。</w:t>
      </w:r>
    </w:p>
    <w:p w14:paraId="29296D7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Times New Roman" w:hAnsi="Times New Roman" w:eastAsia="仿宋_GB2312" w:cs="仿宋_GB2312"/>
          <w:b w:val="0"/>
          <w:bCs w:val="0"/>
          <w:kern w:val="0"/>
          <w:position w:val="0"/>
          <w:sz w:val="32"/>
          <w:szCs w:val="32"/>
          <w:highlight w:val="none"/>
          <w:lang w:val="zh-CN" w:eastAsia="zh-CN" w:bidi="ar-SA"/>
        </w:rPr>
        <w:t>项目预算安排情况，项目资金分配原则及考虑因素，项目资金分配情况。</w:t>
      </w:r>
    </w:p>
    <w:p w14:paraId="3106FA4C">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Times New Roman" w:hAnsi="Times New Roman" w:eastAsia="仿宋_GB2312" w:cs="仿宋_GB2312"/>
          <w:b w:val="0"/>
          <w:bCs w:val="0"/>
          <w:kern w:val="0"/>
          <w:position w:val="0"/>
          <w:sz w:val="32"/>
          <w:szCs w:val="32"/>
          <w:highlight w:val="none"/>
          <w:lang w:val="zh-CN" w:eastAsia="zh-CN" w:bidi="ar-SA"/>
        </w:rPr>
        <w:t>项目整体、区域和具体绩效目标设置情况，项目自评工作开展情况。</w:t>
      </w:r>
    </w:p>
    <w:p w14:paraId="0B084F2C">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atLeas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二、评价实施</w:t>
      </w:r>
    </w:p>
    <w:p w14:paraId="7353FD1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Times New Roman" w:hAnsi="Times New Roman" w:eastAsia="仿宋_GB2312" w:cs="仿宋_GB2312"/>
          <w:b w:val="0"/>
          <w:bCs w:val="0"/>
          <w:kern w:val="0"/>
          <w:position w:val="0"/>
          <w:sz w:val="32"/>
          <w:szCs w:val="32"/>
          <w:highlight w:val="none"/>
          <w:lang w:val="zh-CN" w:eastAsia="zh-CN" w:bidi="ar-SA"/>
        </w:rPr>
        <w:t>通过项目绩效自评要实现的目的。</w:t>
      </w:r>
    </w:p>
    <w:p w14:paraId="315E06D7">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Times New Roman" w:hAnsi="Times New Roman" w:eastAsia="仿宋_GB2312" w:cs="仿宋_GB2312"/>
          <w:b w:val="0"/>
          <w:bCs w:val="0"/>
          <w:kern w:val="0"/>
          <w:position w:val="0"/>
          <w:sz w:val="32"/>
          <w:szCs w:val="32"/>
          <w:highlight w:val="none"/>
          <w:lang w:val="zh-CN" w:eastAsia="zh-CN" w:bidi="ar-SA"/>
        </w:rPr>
        <w:t>按照绩效评价指标体系，对资金支出使用全过程及其实施效果进行综合评价和判断。</w:t>
      </w:r>
    </w:p>
    <w:p w14:paraId="3A01545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（三）评价选点。</w:t>
      </w:r>
      <w:r>
        <w:rPr>
          <w:rFonts w:hint="eastAsia" w:ascii="Times New Roman" w:hAnsi="Times New Roman" w:eastAsia="仿宋_GB2312" w:cs="仿宋_GB2312"/>
          <w:b w:val="0"/>
          <w:color w:val="auto"/>
          <w:kern w:val="0"/>
          <w:sz w:val="32"/>
          <w:szCs w:val="32"/>
          <w:highlight w:val="none"/>
          <w:u w:val="none"/>
          <w:lang w:val="zh-CN"/>
        </w:rPr>
        <w:t>项目绩效自评所抽样点位情况。每个专项预算项目应选取专项资金分配涉及市县总数的20%、总计不超过20个的市县点位进行实地踏勘，且点位清单应作为自评附表。</w:t>
      </w:r>
    </w:p>
    <w:p w14:paraId="71D9856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Times New Roman" w:hAnsi="Times New Roman" w:eastAsia="仿宋_GB2312" w:cs="仿宋_GB2312"/>
          <w:b w:val="0"/>
          <w:bCs w:val="0"/>
          <w:kern w:val="0"/>
          <w:position w:val="0"/>
          <w:sz w:val="32"/>
          <w:szCs w:val="32"/>
          <w:highlight w:val="none"/>
          <w:lang w:val="zh-CN" w:eastAsia="zh-CN" w:bidi="ar-SA"/>
        </w:rPr>
        <w:t>根据项目情况和评价重点，用来收集相关材料和开展具体评价的方法。包括：采用成本效益分析法、标杆管理法、案卷研究法、单位自评法、实地勘察法、问卷调查法、座谈调研法等多种方法。</w:t>
      </w:r>
    </w:p>
    <w:p w14:paraId="4191EB8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Times New Roman" w:hAnsi="Times New Roman" w:eastAsia="仿宋_GB2312" w:cs="仿宋_GB2312"/>
          <w:b w:val="0"/>
          <w:bCs w:val="0"/>
          <w:kern w:val="0"/>
          <w:position w:val="0"/>
          <w:sz w:val="32"/>
          <w:szCs w:val="32"/>
          <w:highlight w:val="none"/>
          <w:lang w:val="zh-CN" w:eastAsia="zh-CN" w:bidi="ar-SA"/>
        </w:rPr>
        <w:t>评价组人员构成和职责分工。</w:t>
      </w:r>
    </w:p>
    <w:p w14:paraId="2100F446">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atLeast"/>
        <w:ind w:firstLine="643" w:firstLineChars="200"/>
        <w:textAlignment w:val="auto"/>
        <w:rPr>
          <w:rFonts w:hint="eastAsia"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en-US" w:eastAsia="zh-CN" w:bidi="ar-SA"/>
        </w:rPr>
        <w:t>三、绩效分析</w:t>
      </w:r>
      <w:r>
        <w:rPr>
          <w:rFonts w:hint="eastAsia" w:ascii="Times New Roman" w:hAnsi="Times New Roman" w:eastAsia="黑体" w:cstheme="majorBidi"/>
          <w:b/>
          <w:bCs w:val="0"/>
          <w:color w:val="auto"/>
          <w:kern w:val="2"/>
          <w:sz w:val="32"/>
          <w:szCs w:val="32"/>
          <w:lang w:val="zh-CN" w:eastAsia="zh-CN" w:bidi="ar-SA"/>
        </w:rPr>
        <w:tab/>
      </w:r>
    </w:p>
    <w:p w14:paraId="50F6D9B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zh-CN" w:eastAsia="zh-CN" w:bidi="ar-SA"/>
        </w:rPr>
        <w:t>项目</w:t>
      </w:r>
      <w:r>
        <w:rPr>
          <w:rFonts w:hint="default" w:ascii="Times New Roman" w:hAnsi="Times New Roman" w:eastAsia="仿宋_GB2312" w:cs="仿宋_GB2312"/>
          <w:b w:val="0"/>
          <w:bCs w:val="0"/>
          <w:kern w:val="0"/>
          <w:position w:val="0"/>
          <w:sz w:val="32"/>
          <w:szCs w:val="32"/>
          <w:highlight w:val="none"/>
          <w:lang w:val="zh-CN" w:eastAsia="zh-CN" w:bidi="ar-SA"/>
        </w:rPr>
        <w:t>预算绩效评价指标体系</w:t>
      </w:r>
      <w:r>
        <w:rPr>
          <w:rFonts w:hint="eastAsia" w:ascii="Times New Roman" w:hAnsi="Times New Roman" w:eastAsia="仿宋_GB2312" w:cs="仿宋_GB2312"/>
          <w:b w:val="0"/>
          <w:bCs w:val="0"/>
          <w:kern w:val="0"/>
          <w:position w:val="0"/>
          <w:sz w:val="32"/>
          <w:szCs w:val="32"/>
          <w:highlight w:val="none"/>
          <w:lang w:val="zh-CN" w:eastAsia="zh-CN" w:bidi="ar-SA"/>
        </w:rPr>
        <w:t>通用指标、专用指标、个性指标</w:t>
      </w:r>
      <w:r>
        <w:rPr>
          <w:rFonts w:hint="default" w:ascii="Times New Roman" w:hAnsi="Times New Roman" w:eastAsia="仿宋_GB2312" w:cs="仿宋_GB2312"/>
          <w:b w:val="0"/>
          <w:bCs w:val="0"/>
          <w:kern w:val="0"/>
          <w:position w:val="0"/>
          <w:sz w:val="32"/>
          <w:szCs w:val="32"/>
          <w:highlight w:val="none"/>
          <w:lang w:val="zh-CN" w:eastAsia="zh-CN" w:bidi="ar-SA"/>
        </w:rPr>
        <w:t>涉及</w:t>
      </w:r>
      <w:r>
        <w:rPr>
          <w:rFonts w:hint="eastAsia" w:ascii="Times New Roman" w:hAnsi="Times New Roman" w:eastAsia="仿宋_GB2312" w:cs="仿宋_GB2312"/>
          <w:b w:val="0"/>
          <w:bCs w:val="0"/>
          <w:kern w:val="0"/>
          <w:position w:val="0"/>
          <w:sz w:val="32"/>
          <w:szCs w:val="32"/>
          <w:highlight w:val="none"/>
          <w:lang w:val="zh-CN" w:eastAsia="zh-CN" w:bidi="ar-SA"/>
        </w:rPr>
        <w:t>二、三级</w:t>
      </w:r>
      <w:r>
        <w:rPr>
          <w:rFonts w:hint="default" w:ascii="Times New Roman" w:hAnsi="Times New Roman" w:eastAsia="仿宋_GB2312" w:cs="仿宋_GB2312"/>
          <w:b w:val="0"/>
          <w:bCs w:val="0"/>
          <w:kern w:val="0"/>
          <w:position w:val="0"/>
          <w:sz w:val="32"/>
          <w:szCs w:val="32"/>
          <w:highlight w:val="none"/>
          <w:lang w:val="zh-CN" w:eastAsia="zh-CN" w:bidi="ar-SA"/>
        </w:rPr>
        <w:t>指标进行</w:t>
      </w:r>
      <w:r>
        <w:rPr>
          <w:rFonts w:hint="eastAsia" w:ascii="Times New Roman" w:hAnsi="Times New Roman" w:eastAsia="仿宋_GB2312" w:cs="仿宋_GB2312"/>
          <w:b w:val="0"/>
          <w:bCs w:val="0"/>
          <w:kern w:val="0"/>
          <w:position w:val="0"/>
          <w:sz w:val="32"/>
          <w:szCs w:val="32"/>
          <w:highlight w:val="none"/>
          <w:lang w:val="zh-CN" w:eastAsia="zh-CN" w:bidi="ar-SA"/>
        </w:rPr>
        <w:t>逐项</w:t>
      </w:r>
      <w:r>
        <w:rPr>
          <w:rFonts w:hint="default" w:ascii="Times New Roman" w:hAnsi="Times New Roman" w:eastAsia="仿宋_GB2312" w:cs="仿宋_GB2312"/>
          <w:b w:val="0"/>
          <w:bCs w:val="0"/>
          <w:kern w:val="0"/>
          <w:position w:val="0"/>
          <w:sz w:val="32"/>
          <w:szCs w:val="32"/>
          <w:highlight w:val="none"/>
          <w:lang w:val="zh-CN" w:eastAsia="zh-CN" w:bidi="ar-SA"/>
        </w:rPr>
        <w:t>绩效分析</w:t>
      </w:r>
      <w:r>
        <w:rPr>
          <w:rFonts w:hint="eastAsia" w:ascii="Times New Roman" w:hAnsi="Times New Roman" w:eastAsia="仿宋_GB2312" w:cs="仿宋_GB2312"/>
          <w:b w:val="0"/>
          <w:bCs w:val="0"/>
          <w:kern w:val="0"/>
          <w:position w:val="0"/>
          <w:sz w:val="32"/>
          <w:szCs w:val="32"/>
          <w:highlight w:val="none"/>
          <w:lang w:val="zh-CN" w:eastAsia="zh-CN" w:bidi="ar-SA"/>
        </w:rPr>
        <w:t>并评分</w:t>
      </w:r>
      <w:r>
        <w:rPr>
          <w:rFonts w:hint="eastAsia" w:ascii="Times New Roman" w:hAnsi="Times New Roman" w:eastAsia="仿宋_GB2312" w:cs="仿宋_GB2312"/>
          <w:b w:val="0"/>
          <w:bCs w:val="0"/>
          <w:kern w:val="0"/>
          <w:position w:val="0"/>
          <w:sz w:val="32"/>
          <w:szCs w:val="32"/>
          <w:highlight w:val="none"/>
          <w:lang w:val="en-US" w:eastAsia="zh-CN" w:bidi="ar-SA"/>
        </w:rPr>
        <w:t>。</w:t>
      </w:r>
    </w:p>
    <w:p w14:paraId="2B48146B">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3C84A23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1.</w:t>
      </w:r>
      <w:r>
        <w:rPr>
          <w:rFonts w:hint="eastAsia" w:ascii="Times New Roman" w:hAnsi="Times New Roman" w:eastAsia="仿宋_GB2312" w:cs="仿宋_GB2312"/>
          <w:b/>
          <w:bCs/>
          <w:kern w:val="0"/>
          <w:position w:val="0"/>
          <w:sz w:val="32"/>
          <w:szCs w:val="32"/>
          <w:highlight w:val="none"/>
          <w:lang w:val="zh-CN" w:eastAsia="zh-CN" w:bidi="ar-SA"/>
        </w:rPr>
        <w:t>项目决策。</w:t>
      </w:r>
      <w:r>
        <w:rPr>
          <w:rFonts w:hint="eastAsia" w:ascii="Times New Roman" w:hAnsi="Times New Roman" w:eastAsia="仿宋_GB2312" w:cs="仿宋_GB2312"/>
          <w:b w:val="0"/>
          <w:bCs w:val="0"/>
          <w:kern w:val="0"/>
          <w:position w:val="0"/>
          <w:sz w:val="32"/>
          <w:szCs w:val="32"/>
          <w:highlight w:val="none"/>
          <w:lang w:val="zh-CN" w:eastAsia="zh-CN" w:bidi="ar-SA"/>
        </w:rPr>
        <w:t>围绕决策程序、规划论证、资金投向进行绩效分析。</w:t>
      </w:r>
    </w:p>
    <w:p w14:paraId="496F956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2.</w:t>
      </w:r>
      <w:r>
        <w:rPr>
          <w:rFonts w:hint="eastAsia" w:ascii="Times New Roman" w:hAnsi="Times New Roman" w:eastAsia="仿宋_GB2312" w:cs="仿宋_GB2312"/>
          <w:b/>
          <w:bCs/>
          <w:kern w:val="0"/>
          <w:position w:val="0"/>
          <w:sz w:val="32"/>
          <w:szCs w:val="32"/>
          <w:highlight w:val="none"/>
          <w:lang w:val="zh-CN" w:eastAsia="zh-CN" w:bidi="ar-SA"/>
        </w:rPr>
        <w:t>项目管理。</w:t>
      </w:r>
      <w:r>
        <w:rPr>
          <w:rFonts w:hint="eastAsia" w:ascii="Times New Roman" w:hAnsi="Times New Roman" w:eastAsia="仿宋_GB2312" w:cs="仿宋_GB2312"/>
          <w:b w:val="0"/>
          <w:bCs w:val="0"/>
          <w:kern w:val="0"/>
          <w:position w:val="0"/>
          <w:sz w:val="32"/>
          <w:szCs w:val="32"/>
          <w:highlight w:val="none"/>
          <w:lang w:val="zh-CN" w:eastAsia="zh-CN" w:bidi="ar-SA"/>
        </w:rPr>
        <w:t>围绕制度办法、分配管理、绩效监管进行绩效分析。</w:t>
      </w:r>
    </w:p>
    <w:p w14:paraId="660C9B8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3.项目实施。</w:t>
      </w:r>
      <w:r>
        <w:rPr>
          <w:rFonts w:hint="eastAsia" w:ascii="Times New Roman" w:hAnsi="Times New Roman" w:eastAsia="仿宋_GB2312" w:cs="仿宋_GB2312"/>
          <w:b w:val="0"/>
          <w:bCs w:val="0"/>
          <w:kern w:val="0"/>
          <w:position w:val="0"/>
          <w:sz w:val="32"/>
          <w:szCs w:val="32"/>
          <w:highlight w:val="none"/>
          <w:lang w:val="zh-CN" w:eastAsia="zh-CN" w:bidi="ar-SA"/>
        </w:rPr>
        <w:t>围绕预算执行、资金使用进行绩效分析。</w:t>
      </w:r>
    </w:p>
    <w:p w14:paraId="2583B77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bCs/>
          <w:kern w:val="0"/>
          <w:position w:val="0"/>
          <w:sz w:val="32"/>
          <w:szCs w:val="32"/>
          <w:highlight w:val="none"/>
          <w:lang w:val="en-US" w:eastAsia="zh-CN" w:bidi="ar-SA"/>
        </w:rPr>
        <w:t>4.项目结果。</w:t>
      </w:r>
      <w:r>
        <w:rPr>
          <w:rFonts w:hint="eastAsia" w:ascii="Times New Roman" w:hAnsi="Times New Roman" w:eastAsia="仿宋_GB2312" w:cs="仿宋_GB2312"/>
          <w:b w:val="0"/>
          <w:bCs w:val="0"/>
          <w:kern w:val="0"/>
          <w:position w:val="0"/>
          <w:sz w:val="32"/>
          <w:szCs w:val="32"/>
          <w:highlight w:val="none"/>
          <w:lang w:val="en-US" w:eastAsia="zh-CN" w:bidi="ar-SA"/>
        </w:rPr>
        <w:t>围绕</w:t>
      </w:r>
      <w:r>
        <w:rPr>
          <w:rFonts w:hint="eastAsia" w:ascii="Times New Roman" w:hAnsi="Times New Roman" w:eastAsia="仿宋_GB2312" w:cs="仿宋_GB2312"/>
          <w:b w:val="0"/>
          <w:bCs w:val="0"/>
          <w:kern w:val="0"/>
          <w:position w:val="0"/>
          <w:sz w:val="32"/>
          <w:szCs w:val="32"/>
          <w:highlight w:val="none"/>
          <w:lang w:val="zh-CN" w:eastAsia="zh-CN" w:bidi="ar-SA"/>
        </w:rPr>
        <w:t>目标完成、完成时效进行绩效分析。</w:t>
      </w:r>
    </w:p>
    <w:p w14:paraId="3001089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w:t>
      </w:r>
      <w:r>
        <w:rPr>
          <w:rFonts w:hint="eastAsia" w:ascii="Times New Roman" w:hAnsi="Times New Roman" w:eastAsia="仿宋_GB2312" w:cs="仿宋_GB2312"/>
          <w:b w:val="0"/>
          <w:bCs w:val="0"/>
          <w:kern w:val="0"/>
          <w:position w:val="0"/>
          <w:sz w:val="32"/>
          <w:szCs w:val="32"/>
          <w:highlight w:val="none"/>
          <w:lang w:val="en-US" w:eastAsia="zh-CN" w:bidi="ar-SA"/>
        </w:rPr>
        <w:t>专项预算项目资金支持对象选择</w:t>
      </w:r>
      <w:r>
        <w:rPr>
          <w:rFonts w:hint="eastAsia" w:ascii="仿宋_GB2312" w:hAnsi="仿宋_GB2312" w:eastAsia="仿宋_GB2312" w:cs="仿宋_GB2312"/>
          <w:sz w:val="32"/>
          <w:szCs w:val="32"/>
          <w:lang w:val="en-US" w:eastAsia="zh-CN"/>
        </w:rPr>
        <w:t>所属指标进行绩效分析。支持对象</w:t>
      </w:r>
      <w:r>
        <w:rPr>
          <w:rFonts w:hint="eastAsia" w:ascii="仿宋_GB2312" w:hAnsi="仿宋_GB2312" w:eastAsia="仿宋_GB2312" w:cs="仿宋_GB2312"/>
          <w:sz w:val="32"/>
          <w:szCs w:val="32"/>
          <w:lang w:val="zh-CN" w:eastAsia="zh-CN"/>
        </w:rPr>
        <w:t>包括产业发展、民生保障、基础设施、行政运转等</w:t>
      </w:r>
      <w:r>
        <w:rPr>
          <w:rFonts w:hint="eastAsia" w:ascii="Times New Roman" w:hAnsi="Times New Roman" w:eastAsia="仿宋_GB2312" w:cs="仿宋_GB2312"/>
          <w:b w:val="0"/>
          <w:bCs w:val="0"/>
          <w:kern w:val="0"/>
          <w:position w:val="0"/>
          <w:sz w:val="32"/>
          <w:szCs w:val="32"/>
          <w:highlight w:val="none"/>
          <w:lang w:val="zh-CN" w:eastAsia="zh-CN" w:bidi="ar-SA"/>
        </w:rPr>
        <w:t>方面。</w:t>
      </w:r>
    </w:p>
    <w:p w14:paraId="43E59F8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1.产业发展。</w:t>
      </w:r>
      <w:r>
        <w:rPr>
          <w:rFonts w:hint="eastAsia" w:ascii="Times New Roman" w:hAnsi="Times New Roman" w:eastAsia="仿宋_GB2312" w:cs="仿宋_GB2312"/>
          <w:b w:val="0"/>
          <w:bCs w:val="0"/>
          <w:kern w:val="0"/>
          <w:position w:val="0"/>
          <w:sz w:val="32"/>
          <w:szCs w:val="32"/>
          <w:highlight w:val="none"/>
          <w:lang w:val="en-US" w:eastAsia="zh-CN" w:bidi="ar-SA"/>
        </w:rPr>
        <w:t>围绕符合性、成长性、经济性进行绩效分析。</w:t>
      </w:r>
    </w:p>
    <w:p w14:paraId="1CA17DA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2.</w:t>
      </w:r>
      <w:r>
        <w:rPr>
          <w:rFonts w:hint="eastAsia" w:ascii="Times New Roman" w:hAnsi="Times New Roman" w:eastAsia="仿宋_GB2312" w:cs="仿宋_GB2312"/>
          <w:b/>
          <w:bCs/>
          <w:kern w:val="0"/>
          <w:position w:val="0"/>
          <w:sz w:val="32"/>
          <w:szCs w:val="32"/>
          <w:highlight w:val="none"/>
          <w:lang w:val="zh-CN" w:eastAsia="zh-CN" w:bidi="ar-SA"/>
        </w:rPr>
        <w:t>民生保障。</w:t>
      </w:r>
      <w:r>
        <w:rPr>
          <w:rFonts w:hint="eastAsia" w:ascii="Times New Roman" w:hAnsi="Times New Roman" w:eastAsia="仿宋_GB2312" w:cs="仿宋_GB2312"/>
          <w:b w:val="0"/>
          <w:bCs w:val="0"/>
          <w:kern w:val="0"/>
          <w:position w:val="0"/>
          <w:sz w:val="32"/>
          <w:szCs w:val="32"/>
          <w:highlight w:val="none"/>
          <w:lang w:val="en-US" w:eastAsia="zh-CN" w:bidi="ar-SA"/>
        </w:rPr>
        <w:t>围绕区域均衡性、对象精准性、标准合理性、群众满意度进行绩效分析。</w:t>
      </w:r>
    </w:p>
    <w:p w14:paraId="1EDFE25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bCs/>
          <w:kern w:val="0"/>
          <w:position w:val="0"/>
          <w:sz w:val="32"/>
          <w:szCs w:val="32"/>
          <w:highlight w:val="none"/>
          <w:lang w:val="en-US" w:eastAsia="zh-CN" w:bidi="ar-SA"/>
        </w:rPr>
        <w:t>3.基础设施。</w:t>
      </w:r>
      <w:r>
        <w:rPr>
          <w:rFonts w:hint="eastAsia" w:ascii="Times New Roman" w:hAnsi="Times New Roman" w:eastAsia="仿宋_GB2312" w:cs="仿宋_GB2312"/>
          <w:b w:val="0"/>
          <w:bCs w:val="0"/>
          <w:kern w:val="0"/>
          <w:position w:val="0"/>
          <w:sz w:val="32"/>
          <w:szCs w:val="32"/>
          <w:highlight w:val="none"/>
          <w:lang w:val="en-US" w:eastAsia="zh-CN" w:bidi="ar-SA"/>
        </w:rPr>
        <w:t>在建项目围绕工程进度和资金拨付进行绩效分析；建成项目围绕项目验收、功能实现、后续管护进行</w:t>
      </w:r>
      <w:r>
        <w:rPr>
          <w:rFonts w:hint="eastAsia" w:ascii="Times New Roman" w:hAnsi="Times New Roman" w:eastAsia="仿宋_GB2312" w:cs="仿宋_GB2312"/>
          <w:b w:val="0"/>
          <w:bCs w:val="0"/>
          <w:kern w:val="0"/>
          <w:position w:val="0"/>
          <w:sz w:val="32"/>
          <w:szCs w:val="32"/>
          <w:highlight w:val="none"/>
          <w:lang w:val="zh-CN" w:eastAsia="zh-CN" w:bidi="ar-SA"/>
        </w:rPr>
        <w:t>绩效分析。</w:t>
      </w:r>
    </w:p>
    <w:p w14:paraId="0E83933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w:t>
      </w:r>
      <w:r>
        <w:rPr>
          <w:rFonts w:hint="eastAsia" w:ascii="Times New Roman" w:hAnsi="Times New Roman" w:eastAsia="仿宋_GB2312" w:cs="仿宋_GB2312"/>
          <w:b w:val="0"/>
          <w:bCs w:val="0"/>
          <w:kern w:val="0"/>
          <w:position w:val="0"/>
          <w:sz w:val="32"/>
          <w:szCs w:val="32"/>
          <w:highlight w:val="none"/>
          <w:lang w:val="zh-CN" w:eastAsia="zh-CN" w:bidi="ar-SA"/>
        </w:rPr>
        <w:t>行政运转。围绕用途合规性、程序合规性、标准合规性进行绩效分析。</w:t>
      </w:r>
    </w:p>
    <w:p w14:paraId="0CC2110E">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Times New Roman" w:hAnsi="Times New Roman" w:eastAsia="仿宋_GB2312" w:cs="仿宋_GB2312"/>
          <w:b w:val="0"/>
          <w:bCs w:val="0"/>
          <w:kern w:val="0"/>
          <w:position w:val="0"/>
          <w:sz w:val="32"/>
          <w:szCs w:val="32"/>
          <w:highlight w:val="none"/>
          <w:lang w:val="zh-CN" w:eastAsia="zh-CN" w:bidi="ar-SA"/>
        </w:rPr>
        <w:t>根据项目个性自行设定部分指标，反映该项指标执行完成情况。</w:t>
      </w:r>
    </w:p>
    <w:p w14:paraId="4269ABDF">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atLeas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四、评价结论</w:t>
      </w:r>
    </w:p>
    <w:p w14:paraId="6C396DB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简要阐述专项预算项目绩效自评总体结论，包含评价总分、</w:t>
      </w:r>
      <w:r>
        <w:rPr>
          <w:rFonts w:hint="eastAsia" w:ascii="Times New Roman" w:hAnsi="Times New Roman" w:eastAsia="仿宋_GB2312" w:cs="仿宋_GB2312"/>
          <w:b w:val="0"/>
          <w:bCs w:val="0"/>
          <w:kern w:val="0"/>
          <w:position w:val="0"/>
          <w:sz w:val="32"/>
          <w:szCs w:val="32"/>
          <w:highlight w:val="none"/>
          <w:lang w:val="zh-CN" w:eastAsia="zh-CN" w:bidi="ar-SA"/>
        </w:rPr>
        <w:t>项目实施情况。</w:t>
      </w:r>
    </w:p>
    <w:p w14:paraId="00DB3576">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atLeast"/>
        <w:ind w:firstLine="643" w:firstLineChars="200"/>
        <w:textAlignment w:val="auto"/>
        <w:rPr>
          <w:rFonts w:hint="eastAsia" w:ascii="Times New Roman" w:hAnsi="Times New Roman" w:eastAsia="黑体" w:cstheme="majorBidi"/>
          <w:b/>
          <w:bCs w:val="0"/>
          <w:color w:val="auto"/>
          <w:kern w:val="2"/>
          <w:sz w:val="32"/>
          <w:szCs w:val="32"/>
          <w:lang w:val="en-US" w:eastAsia="zh-CN" w:bidi="ar-SA"/>
        </w:rPr>
      </w:pPr>
      <w:r>
        <w:rPr>
          <w:rFonts w:hint="eastAsia" w:ascii="Times New Roman" w:hAnsi="Times New Roman" w:eastAsia="黑体" w:cstheme="majorBidi"/>
          <w:b/>
          <w:bCs w:val="0"/>
          <w:color w:val="auto"/>
          <w:kern w:val="2"/>
          <w:sz w:val="32"/>
          <w:szCs w:val="32"/>
          <w:lang w:val="en-US" w:eastAsia="zh-CN" w:bidi="ar-SA"/>
        </w:rPr>
        <w:t>五、存在主要问题</w:t>
      </w:r>
    </w:p>
    <w:p w14:paraId="2EC1753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简要阐述专项预算项目绩效自评发现的主要问题。</w:t>
      </w:r>
    </w:p>
    <w:p w14:paraId="401B565F">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atLeast"/>
        <w:ind w:firstLine="643" w:firstLineChars="200"/>
        <w:textAlignment w:val="auto"/>
        <w:rPr>
          <w:rFonts w:hint="eastAsia" w:ascii="Times New Roman" w:hAnsi="Times New Roman" w:eastAsia="黑体" w:cstheme="majorBidi"/>
          <w:b/>
          <w:bCs w:val="0"/>
          <w:color w:val="auto"/>
          <w:kern w:val="2"/>
          <w:sz w:val="32"/>
          <w:szCs w:val="32"/>
          <w:lang w:val="zh-CN" w:eastAsia="zh-CN" w:bidi="ar-SA"/>
        </w:rPr>
      </w:pPr>
      <w:r>
        <w:rPr>
          <w:rFonts w:hint="eastAsia" w:ascii="Times New Roman" w:hAnsi="Times New Roman" w:eastAsia="黑体" w:cstheme="majorBidi"/>
          <w:b/>
          <w:bCs w:val="0"/>
          <w:color w:val="auto"/>
          <w:kern w:val="2"/>
          <w:sz w:val="32"/>
          <w:szCs w:val="32"/>
          <w:lang w:val="zh-CN" w:eastAsia="zh-CN" w:bidi="ar-SA"/>
        </w:rPr>
        <w:t>六、改进建议</w:t>
      </w:r>
    </w:p>
    <w:p w14:paraId="160D878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简要阐述专项预算项目在</w:t>
      </w:r>
      <w:r>
        <w:rPr>
          <w:rFonts w:hint="eastAsia" w:ascii="Times New Roman" w:hAnsi="Times New Roman" w:eastAsia="仿宋_GB2312" w:cs="仿宋_GB2312"/>
          <w:b w:val="0"/>
          <w:bCs w:val="0"/>
          <w:kern w:val="0"/>
          <w:position w:val="0"/>
          <w:sz w:val="32"/>
          <w:szCs w:val="32"/>
          <w:highlight w:val="none"/>
          <w:lang w:val="en" w:eastAsia="zh-CN" w:bidi="ar-SA"/>
        </w:rPr>
        <w:t>预算安排、完善政策、改进管理等方面的</w:t>
      </w:r>
      <w:r>
        <w:rPr>
          <w:rFonts w:hint="eastAsia" w:ascii="Times New Roman" w:hAnsi="Times New Roman" w:eastAsia="仿宋_GB2312" w:cs="仿宋_GB2312"/>
          <w:b w:val="0"/>
          <w:bCs w:val="0"/>
          <w:kern w:val="0"/>
          <w:position w:val="0"/>
          <w:sz w:val="32"/>
          <w:szCs w:val="32"/>
          <w:highlight w:val="none"/>
          <w:lang w:val="en-US" w:eastAsia="zh-CN" w:bidi="ar-SA"/>
        </w:rPr>
        <w:t>措施</w:t>
      </w:r>
      <w:r>
        <w:rPr>
          <w:rFonts w:hint="eastAsia" w:ascii="Times New Roman" w:hAnsi="Times New Roman" w:eastAsia="仿宋_GB2312" w:cs="仿宋_GB2312"/>
          <w:b w:val="0"/>
          <w:bCs w:val="0"/>
          <w:kern w:val="0"/>
          <w:position w:val="0"/>
          <w:sz w:val="32"/>
          <w:szCs w:val="32"/>
          <w:highlight w:val="none"/>
          <w:lang w:val="en" w:eastAsia="zh-CN" w:bidi="ar-SA"/>
        </w:rPr>
        <w:t>建议，其中</w:t>
      </w:r>
      <w:r>
        <w:rPr>
          <w:rFonts w:hint="eastAsia" w:ascii="Times New Roman" w:hAnsi="Times New Roman" w:eastAsia="仿宋_GB2312" w:cs="仿宋_GB2312"/>
          <w:b w:val="0"/>
          <w:bCs w:val="0"/>
          <w:kern w:val="0"/>
          <w:position w:val="0"/>
          <w:sz w:val="32"/>
          <w:szCs w:val="32"/>
          <w:highlight w:val="none"/>
          <w:lang w:val="en-US" w:eastAsia="zh-CN" w:bidi="ar-SA"/>
        </w:rPr>
        <w:t>必须对应评价发现的主要问题一一提出措施建议。</w:t>
      </w:r>
    </w:p>
    <w:p w14:paraId="1568E6F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bCs/>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eastAsia="仿宋_GB2312" w:cs="仿宋_GB2312"/>
          <w:b/>
          <w:bCs/>
          <w:kern w:val="0"/>
          <w:position w:val="0"/>
          <w:sz w:val="32"/>
          <w:szCs w:val="32"/>
          <w:highlight w:val="none"/>
          <w:lang w:val="en-US" w:eastAsia="zh-CN" w:bidi="ar-SA"/>
        </w:rPr>
        <w:t>注：</w:t>
      </w:r>
      <w:r>
        <w:rPr>
          <w:rFonts w:hint="eastAsia" w:ascii="Times New Roman" w:hAnsi="Times New Roman" w:eastAsia="仿宋_GB2312" w:cs="仿宋_GB2312"/>
          <w:b/>
          <w:bCs/>
          <w:kern w:val="0"/>
          <w:position w:val="0"/>
          <w:sz w:val="32"/>
          <w:szCs w:val="32"/>
          <w:highlight w:val="none"/>
          <w:lang w:val="en-US" w:eastAsia="zh-CN" w:bidi="ar-SA"/>
        </w:rPr>
        <w:t>以上绩效自评报告，除涉密敏感内容外，原则上都应予以公开）</w:t>
      </w:r>
    </w:p>
    <w:p w14:paraId="28C5FE5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720255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2E374F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48"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3FE76239">
      <w:pPr>
        <w:widowControl/>
        <w:jc w:val="center"/>
        <w:rPr>
          <w:rFonts w:hint="eastAsia" w:ascii="方正小标宋简体" w:hAnsi="方正小标宋简体" w:eastAsia="方正小标宋简体" w:cs="方正小标宋简体"/>
          <w:b w:val="0"/>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w:t>
      </w:r>
      <w:r>
        <w:rPr>
          <w:rStyle w:val="30"/>
          <w:rFonts w:hint="eastAsia" w:ascii="方正小标宋简体" w:hAnsi="方正小标宋简体" w:eastAsia="方正小标宋简体" w:cs="方正小标宋简体"/>
          <w:b w:val="0"/>
          <w:color w:val="auto"/>
          <w:sz w:val="44"/>
          <w:szCs w:val="44"/>
          <w:highlight w:val="none"/>
        </w:rPr>
        <w:t>五部分 附表</w:t>
      </w:r>
      <w:bookmarkEnd w:id="45"/>
      <w:bookmarkEnd w:id="48"/>
      <w:bookmarkStart w:id="49" w:name="_Toc15396619"/>
    </w:p>
    <w:p w14:paraId="77962DE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537AF73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9"/>
    </w:p>
    <w:p w14:paraId="26DFF4B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0"/>
      <w:r>
        <w:rPr>
          <w:rFonts w:hint="eastAsia" w:ascii="Times New Roman" w:hAnsi="Times New Roman" w:eastAsia="仿宋_GB2312" w:cs="仿宋_GB2312"/>
          <w:color w:val="auto"/>
          <w:sz w:val="32"/>
          <w:szCs w:val="32"/>
          <w:highlight w:val="none"/>
        </w:rPr>
        <w:t>二、收入决算表</w:t>
      </w:r>
      <w:bookmarkEnd w:id="50"/>
    </w:p>
    <w:p w14:paraId="4F51AB0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1"/>
      <w:r>
        <w:rPr>
          <w:rFonts w:hint="eastAsia" w:ascii="Times New Roman" w:hAnsi="Times New Roman" w:eastAsia="仿宋_GB2312" w:cs="仿宋_GB2312"/>
          <w:color w:val="auto"/>
          <w:sz w:val="32"/>
          <w:szCs w:val="32"/>
          <w:highlight w:val="none"/>
        </w:rPr>
        <w:t>三、支出决算表</w:t>
      </w:r>
      <w:bookmarkEnd w:id="51"/>
    </w:p>
    <w:p w14:paraId="270799E0">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2"/>
      <w:r>
        <w:rPr>
          <w:rFonts w:hint="eastAsia" w:ascii="Times New Roman" w:hAnsi="Times New Roman" w:eastAsia="仿宋_GB2312" w:cs="仿宋_GB2312"/>
          <w:color w:val="auto"/>
          <w:sz w:val="32"/>
          <w:szCs w:val="32"/>
          <w:highlight w:val="none"/>
        </w:rPr>
        <w:t>四、财政拨款收入支出决算总表</w:t>
      </w:r>
      <w:bookmarkEnd w:id="52"/>
    </w:p>
    <w:p w14:paraId="1820F75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3"/>
      <w:r>
        <w:rPr>
          <w:rFonts w:hint="eastAsia" w:ascii="Times New Roman" w:hAnsi="Times New Roman" w:eastAsia="仿宋_GB2312" w:cs="仿宋_GB2312"/>
          <w:color w:val="auto"/>
          <w:sz w:val="32"/>
          <w:szCs w:val="32"/>
          <w:highlight w:val="none"/>
        </w:rPr>
        <w:t>五、财政拨款支出决算明细表</w:t>
      </w:r>
      <w:bookmarkEnd w:id="53"/>
      <w:bookmarkStart w:id="54" w:name="_Toc15396624"/>
    </w:p>
    <w:p w14:paraId="42000AE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4"/>
    </w:p>
    <w:p w14:paraId="7D9C9BB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5"/>
      <w:r>
        <w:rPr>
          <w:rFonts w:hint="eastAsia" w:ascii="Times New Roman" w:hAnsi="Times New Roman" w:eastAsia="仿宋_GB2312" w:cs="仿宋_GB2312"/>
          <w:color w:val="auto"/>
          <w:sz w:val="32"/>
          <w:szCs w:val="32"/>
          <w:highlight w:val="none"/>
        </w:rPr>
        <w:t>七、一般公共预算财政拨款支出决算明细表</w:t>
      </w:r>
      <w:bookmarkEnd w:id="55"/>
    </w:p>
    <w:p w14:paraId="126482F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6"/>
      <w:r>
        <w:rPr>
          <w:rFonts w:hint="eastAsia" w:ascii="Times New Roman" w:hAnsi="Times New Roman" w:eastAsia="仿宋_GB2312" w:cs="仿宋_GB2312"/>
          <w:color w:val="auto"/>
          <w:sz w:val="32"/>
          <w:szCs w:val="32"/>
          <w:highlight w:val="none"/>
        </w:rPr>
        <w:t>八、一般公共预算财政拨款基本支出决算表</w:t>
      </w:r>
      <w:bookmarkEnd w:id="56"/>
    </w:p>
    <w:p w14:paraId="618D492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7"/>
      <w:r>
        <w:rPr>
          <w:rFonts w:hint="eastAsia" w:ascii="Times New Roman" w:hAnsi="Times New Roman" w:eastAsia="仿宋_GB2312" w:cs="仿宋_GB2312"/>
          <w:color w:val="auto"/>
          <w:sz w:val="32"/>
          <w:szCs w:val="32"/>
          <w:highlight w:val="none"/>
        </w:rPr>
        <w:t>九、一般公共预算财政拨款项目支出决算表</w:t>
      </w:r>
      <w:bookmarkEnd w:id="57"/>
    </w:p>
    <w:p w14:paraId="290AE86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8"/>
      <w:r>
        <w:rPr>
          <w:rFonts w:hint="eastAsia" w:ascii="Times New Roman" w:hAnsi="Times New Roman" w:eastAsia="仿宋_GB2312" w:cs="仿宋_GB2312"/>
          <w:color w:val="auto"/>
          <w:sz w:val="32"/>
          <w:szCs w:val="32"/>
          <w:highlight w:val="none"/>
        </w:rPr>
        <w:t>十、</w:t>
      </w:r>
      <w:bookmarkEnd w:id="58"/>
      <w:r>
        <w:rPr>
          <w:rFonts w:hint="eastAsia" w:ascii="Times New Roman" w:hAnsi="Times New Roman" w:eastAsia="仿宋_GB2312" w:cs="仿宋_GB2312"/>
          <w:color w:val="auto"/>
          <w:sz w:val="32"/>
          <w:szCs w:val="32"/>
          <w:highlight w:val="none"/>
        </w:rPr>
        <w:t>政府性基金预算财政拨款收入支出决算表</w:t>
      </w:r>
    </w:p>
    <w:p w14:paraId="53972C4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9"/>
      <w:r>
        <w:rPr>
          <w:rFonts w:hint="eastAsia" w:ascii="Times New Roman" w:hAnsi="Times New Roman" w:eastAsia="仿宋_GB2312" w:cs="仿宋_GB2312"/>
          <w:color w:val="auto"/>
          <w:sz w:val="32"/>
          <w:szCs w:val="32"/>
          <w:highlight w:val="none"/>
        </w:rPr>
        <w:t>十一、</w:t>
      </w:r>
      <w:bookmarkEnd w:id="59"/>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336C517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30"/>
      <w:r>
        <w:rPr>
          <w:rFonts w:hint="eastAsia" w:ascii="Times New Roman" w:hAnsi="Times New Roman" w:eastAsia="仿宋_GB2312" w:cs="仿宋_GB2312"/>
          <w:color w:val="auto"/>
          <w:sz w:val="32"/>
          <w:szCs w:val="32"/>
          <w:highlight w:val="none"/>
        </w:rPr>
        <w:t>十二、</w:t>
      </w:r>
      <w:bookmarkEnd w:id="60"/>
      <w:r>
        <w:rPr>
          <w:rFonts w:hint="eastAsia" w:ascii="Times New Roman" w:hAnsi="Times New Roman" w:eastAsia="仿宋_GB2312" w:cs="仿宋_GB2312"/>
          <w:color w:val="auto"/>
          <w:sz w:val="32"/>
          <w:szCs w:val="32"/>
          <w:highlight w:val="none"/>
          <w:lang w:eastAsia="zh-CN"/>
        </w:rPr>
        <w:t>国有资本经营预算财政拨款支出决算表</w:t>
      </w:r>
    </w:p>
    <w:p w14:paraId="7D94745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1" w:name="_Toc15396631"/>
      <w:r>
        <w:rPr>
          <w:rFonts w:hint="eastAsia" w:ascii="Times New Roman" w:hAnsi="Times New Roman" w:eastAsia="仿宋_GB2312" w:cs="仿宋_GB2312"/>
          <w:color w:val="auto"/>
          <w:sz w:val="32"/>
          <w:szCs w:val="32"/>
          <w:highlight w:val="none"/>
        </w:rPr>
        <w:t>十三、</w:t>
      </w:r>
      <w:bookmarkEnd w:id="61"/>
      <w:r>
        <w:rPr>
          <w:rFonts w:hint="eastAsia" w:ascii="Times New Roman" w:hAnsi="Times New Roman" w:eastAsia="仿宋_GB2312" w:cs="仿宋_GB2312"/>
          <w:color w:val="auto"/>
          <w:sz w:val="32"/>
          <w:szCs w:val="32"/>
          <w:highlight w:val="none"/>
          <w:lang w:eastAsia="zh-CN"/>
        </w:rPr>
        <w:t>财政拨款“三公”经费支出决算表</w:t>
      </w:r>
    </w:p>
    <w:p w14:paraId="349E5B8F">
      <w:pPr>
        <w:rPr>
          <w:rFonts w:hint="eastAsia" w:ascii="Times New Roman" w:hAnsi="Times New Roman"/>
          <w:lang w:eastAsia="zh-CN"/>
        </w:rPr>
      </w:pPr>
    </w:p>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仿宋_GB2312"/>
    <w:panose1 w:val="02010601030101010101"/>
    <w:charset w:val="86"/>
    <w:family w:val="script"/>
    <w:pitch w:val="default"/>
    <w:sig w:usb0="00000000" w:usb1="0000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9EC7D">
    <w:pPr>
      <w:pStyle w:val="11"/>
      <w:jc w:val="center"/>
    </w:pPr>
  </w:p>
  <w:p w14:paraId="0865F9DE">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0742">
    <w:pPr>
      <w:pStyle w:val="11"/>
      <w:jc w:val="center"/>
    </w:pPr>
  </w:p>
  <w:p w14:paraId="634D747A">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50C84">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1BE43">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6F7834">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E6F7834">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36139D41">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5CB41">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A13011">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A13011">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71018">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wYzM4ODU2Mzc1NWJlMDFkNjNjMGNjOGVhYTRmNm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8F7289D"/>
    <w:rsid w:val="09867E8F"/>
    <w:rsid w:val="0A2032A3"/>
    <w:rsid w:val="0CA8290A"/>
    <w:rsid w:val="0D265660"/>
    <w:rsid w:val="0D35B1ED"/>
    <w:rsid w:val="0E254B6B"/>
    <w:rsid w:val="0F98263C"/>
    <w:rsid w:val="101860EC"/>
    <w:rsid w:val="101F47CC"/>
    <w:rsid w:val="10C055FF"/>
    <w:rsid w:val="11694EBD"/>
    <w:rsid w:val="11772AA4"/>
    <w:rsid w:val="118107EC"/>
    <w:rsid w:val="12C9095E"/>
    <w:rsid w:val="12E24EE2"/>
    <w:rsid w:val="13D50BC4"/>
    <w:rsid w:val="14B17F78"/>
    <w:rsid w:val="14FA37ED"/>
    <w:rsid w:val="165E0673"/>
    <w:rsid w:val="16B831D5"/>
    <w:rsid w:val="16BB723D"/>
    <w:rsid w:val="17E50567"/>
    <w:rsid w:val="186504BB"/>
    <w:rsid w:val="18657AF5"/>
    <w:rsid w:val="19A445FC"/>
    <w:rsid w:val="1BE8440E"/>
    <w:rsid w:val="1D155CEE"/>
    <w:rsid w:val="1D1638FE"/>
    <w:rsid w:val="1E0F2A64"/>
    <w:rsid w:val="1E312DEB"/>
    <w:rsid w:val="1E740ACF"/>
    <w:rsid w:val="1FA81EBD"/>
    <w:rsid w:val="1FF35744"/>
    <w:rsid w:val="1FF6BC77"/>
    <w:rsid w:val="20395806"/>
    <w:rsid w:val="2186353C"/>
    <w:rsid w:val="21E15F5D"/>
    <w:rsid w:val="23860B96"/>
    <w:rsid w:val="240371BF"/>
    <w:rsid w:val="244F3473"/>
    <w:rsid w:val="24C97D99"/>
    <w:rsid w:val="25A718F0"/>
    <w:rsid w:val="25BB59F6"/>
    <w:rsid w:val="260F557C"/>
    <w:rsid w:val="266C0CA9"/>
    <w:rsid w:val="26970054"/>
    <w:rsid w:val="27AD2CBD"/>
    <w:rsid w:val="281408E2"/>
    <w:rsid w:val="298A79B3"/>
    <w:rsid w:val="29FD04D3"/>
    <w:rsid w:val="2A4F087D"/>
    <w:rsid w:val="2B3D413D"/>
    <w:rsid w:val="2BFF7BC6"/>
    <w:rsid w:val="2C8A61B5"/>
    <w:rsid w:val="2DF04E50"/>
    <w:rsid w:val="2E586DFA"/>
    <w:rsid w:val="2EE5338B"/>
    <w:rsid w:val="2F040D46"/>
    <w:rsid w:val="2F6B035B"/>
    <w:rsid w:val="2FAE5751"/>
    <w:rsid w:val="2FB1A395"/>
    <w:rsid w:val="2FB27BA6"/>
    <w:rsid w:val="2FD9A7D8"/>
    <w:rsid w:val="2FDBF714"/>
    <w:rsid w:val="30AB6865"/>
    <w:rsid w:val="319F7F4E"/>
    <w:rsid w:val="32BD1EF1"/>
    <w:rsid w:val="3304709D"/>
    <w:rsid w:val="33A773CB"/>
    <w:rsid w:val="349D6851"/>
    <w:rsid w:val="36AA5135"/>
    <w:rsid w:val="36BE0DA7"/>
    <w:rsid w:val="36D30021"/>
    <w:rsid w:val="374A5E60"/>
    <w:rsid w:val="376655CB"/>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610608B"/>
    <w:rsid w:val="486A6C7A"/>
    <w:rsid w:val="4A627F82"/>
    <w:rsid w:val="4AB5346D"/>
    <w:rsid w:val="4B0E749A"/>
    <w:rsid w:val="4B2477C4"/>
    <w:rsid w:val="4B4F25DA"/>
    <w:rsid w:val="4BE068DB"/>
    <w:rsid w:val="4CE13400"/>
    <w:rsid w:val="4CF30F45"/>
    <w:rsid w:val="4D577224"/>
    <w:rsid w:val="4DBF1CEB"/>
    <w:rsid w:val="4DF0007C"/>
    <w:rsid w:val="4E167F54"/>
    <w:rsid w:val="4EAB630A"/>
    <w:rsid w:val="4ECE2238"/>
    <w:rsid w:val="4F833267"/>
    <w:rsid w:val="4FE9BD67"/>
    <w:rsid w:val="4FFB052F"/>
    <w:rsid w:val="50A17A4C"/>
    <w:rsid w:val="537E6D0A"/>
    <w:rsid w:val="53F74C96"/>
    <w:rsid w:val="54105D0C"/>
    <w:rsid w:val="55170BA8"/>
    <w:rsid w:val="553218C9"/>
    <w:rsid w:val="559A2185"/>
    <w:rsid w:val="55DF0AEE"/>
    <w:rsid w:val="567E1AA5"/>
    <w:rsid w:val="56E47B74"/>
    <w:rsid w:val="57175D52"/>
    <w:rsid w:val="57BD3DD4"/>
    <w:rsid w:val="5AF92295"/>
    <w:rsid w:val="5B250254"/>
    <w:rsid w:val="5BDD79E6"/>
    <w:rsid w:val="5BF561CA"/>
    <w:rsid w:val="5BFF5DFC"/>
    <w:rsid w:val="5C0A2F28"/>
    <w:rsid w:val="5CD71FC4"/>
    <w:rsid w:val="5D1F11B5"/>
    <w:rsid w:val="5D695134"/>
    <w:rsid w:val="5D7A4E31"/>
    <w:rsid w:val="5DAE1B18"/>
    <w:rsid w:val="5DE7D9E5"/>
    <w:rsid w:val="5ECEC941"/>
    <w:rsid w:val="5FBF9FF3"/>
    <w:rsid w:val="5FCD4E2C"/>
    <w:rsid w:val="5FEF394A"/>
    <w:rsid w:val="5FF67715"/>
    <w:rsid w:val="60202993"/>
    <w:rsid w:val="60C87A54"/>
    <w:rsid w:val="62396715"/>
    <w:rsid w:val="62BF3928"/>
    <w:rsid w:val="63B3701E"/>
    <w:rsid w:val="647F5392"/>
    <w:rsid w:val="65131B64"/>
    <w:rsid w:val="65E66580"/>
    <w:rsid w:val="662942F1"/>
    <w:rsid w:val="664B1D71"/>
    <w:rsid w:val="664B4E8E"/>
    <w:rsid w:val="67087681"/>
    <w:rsid w:val="67277B67"/>
    <w:rsid w:val="67AA3209"/>
    <w:rsid w:val="698D0931"/>
    <w:rsid w:val="6A7FE5F3"/>
    <w:rsid w:val="6B053271"/>
    <w:rsid w:val="6BA50528"/>
    <w:rsid w:val="6BDD78B3"/>
    <w:rsid w:val="6BEF2D5B"/>
    <w:rsid w:val="6C4A05C8"/>
    <w:rsid w:val="6C8742B8"/>
    <w:rsid w:val="6D636AF2"/>
    <w:rsid w:val="6DBF5E93"/>
    <w:rsid w:val="6DFF077E"/>
    <w:rsid w:val="6E714EF0"/>
    <w:rsid w:val="6E7E3605"/>
    <w:rsid w:val="6E7FDCC7"/>
    <w:rsid w:val="6ED6A62E"/>
    <w:rsid w:val="6EE00B15"/>
    <w:rsid w:val="6F1B104E"/>
    <w:rsid w:val="6F6FB3EB"/>
    <w:rsid w:val="6F85612E"/>
    <w:rsid w:val="6F8731EA"/>
    <w:rsid w:val="6FCE6052"/>
    <w:rsid w:val="6FD57C00"/>
    <w:rsid w:val="6FE656D6"/>
    <w:rsid w:val="6FEFFFD8"/>
    <w:rsid w:val="6FF5CC65"/>
    <w:rsid w:val="6FFB47EC"/>
    <w:rsid w:val="6FFF034A"/>
    <w:rsid w:val="702F4D1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4A5794"/>
    <w:rsid w:val="776F6FFA"/>
    <w:rsid w:val="778769C8"/>
    <w:rsid w:val="77A75DCA"/>
    <w:rsid w:val="77D85361"/>
    <w:rsid w:val="77DC22F5"/>
    <w:rsid w:val="783E271A"/>
    <w:rsid w:val="78616DE9"/>
    <w:rsid w:val="78E875D7"/>
    <w:rsid w:val="79086DAD"/>
    <w:rsid w:val="79D7FD79"/>
    <w:rsid w:val="79EE5BA4"/>
    <w:rsid w:val="7A401945"/>
    <w:rsid w:val="7A894339"/>
    <w:rsid w:val="7AD284E8"/>
    <w:rsid w:val="7AFF7572"/>
    <w:rsid w:val="7B6C7DFB"/>
    <w:rsid w:val="7BBFBED0"/>
    <w:rsid w:val="7BC3E394"/>
    <w:rsid w:val="7C1F3737"/>
    <w:rsid w:val="7CBFC87B"/>
    <w:rsid w:val="7CFE0F48"/>
    <w:rsid w:val="7D272ABC"/>
    <w:rsid w:val="7D7EC23E"/>
    <w:rsid w:val="7E34331A"/>
    <w:rsid w:val="7E8ADEBF"/>
    <w:rsid w:val="7EEF11D3"/>
    <w:rsid w:val="7EFE4840"/>
    <w:rsid w:val="7F010385"/>
    <w:rsid w:val="7F0971A6"/>
    <w:rsid w:val="7F1D62E7"/>
    <w:rsid w:val="7F3F679B"/>
    <w:rsid w:val="7F4FC4EF"/>
    <w:rsid w:val="7F551E6C"/>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tabs>
        <w:tab w:val="left" w:pos="2160"/>
      </w:tabs>
      <w:ind w:firstLineChars="100"/>
    </w:pPr>
  </w:style>
  <w:style w:type="paragraph" w:styleId="3">
    <w:name w:val="Body Text"/>
    <w:basedOn w:val="1"/>
    <w:next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3"/>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4"/>
    <w:qFormat/>
    <w:uiPriority w:val="9"/>
    <w:rPr>
      <w:rFonts w:ascii="Times New Roman" w:hAnsi="Times New Roman"/>
      <w:b/>
      <w:bCs/>
      <w:kern w:val="44"/>
      <w:sz w:val="44"/>
      <w:szCs w:val="44"/>
    </w:rPr>
  </w:style>
  <w:style w:type="character" w:customStyle="1" w:styleId="31">
    <w:name w:val="标题 2 Char"/>
    <w:basedOn w:val="18"/>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6"/>
    <w:qFormat/>
    <w:uiPriority w:val="9"/>
    <w:rPr>
      <w:rFonts w:ascii="Times New Roman" w:hAnsi="Times New Roman"/>
      <w:b/>
      <w:bCs/>
      <w:kern w:val="2"/>
      <w:sz w:val="32"/>
      <w:szCs w:val="32"/>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r>
              <a:rPr lang="en-US" altLang="zh-CN"/>
              <a:t>1</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manualLayout>
          <c:layoutTarget val="inner"/>
          <c:xMode val="edge"/>
          <c:yMode val="edge"/>
          <c:x val="0.0647874799928864"/>
          <c:y val="0.283233532934132"/>
          <c:w val="0.93254490485506"/>
          <c:h val="0.489940119760479"/>
        </c:manualLayout>
      </c:layout>
      <c:barChart>
        <c:barDir val="col"/>
        <c:grouping val="clustered"/>
        <c:varyColors val="0"/>
        <c:ser>
          <c:idx val="0"/>
          <c:order val="0"/>
          <c:tx>
            <c:strRef>
              <c:f>Sheet1!$B$1</c:f>
              <c:strCache>
                <c:ptCount val="1"/>
                <c:pt idx="0">
                  <c:v>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23年收入</c:v>
                </c:pt>
                <c:pt idx="1">
                  <c:v>24年收入</c:v>
                </c:pt>
              </c:strCache>
            </c:strRef>
          </c:cat>
          <c:val>
            <c:numRef>
              <c:f>Sheet1!$B$2:$B$3</c:f>
              <c:numCache>
                <c:formatCode>General</c:formatCode>
                <c:ptCount val="2"/>
                <c:pt idx="0">
                  <c:v>212.58</c:v>
                </c:pt>
                <c:pt idx="1">
                  <c:v>203.87</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f37a694-b771-48fe-9c09-80eb4100ce8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24</a:t>
            </a:r>
            <a:r>
              <a:t>年全年收入结构图</a:t>
            </a:r>
            <a:r>
              <a:rPr lang="en-US" altLang="zh-CN"/>
              <a:t>2</a:t>
            </a:r>
            <a:endParaRPr lang="en-US" altLang="zh-CN"/>
          </a:p>
        </c:rich>
      </c:tx>
      <c:layout>
        <c:manualLayout>
          <c:xMode val="edge"/>
          <c:yMode val="edge"/>
          <c:x val="0.347480241042252"/>
          <c:y val="0.0870370996698403"/>
        </c:manualLayout>
      </c:layout>
      <c:overlay val="0"/>
      <c:spPr>
        <a:noFill/>
        <a:ln>
          <a:noFill/>
        </a:ln>
        <a:effectLst/>
      </c:spPr>
    </c:title>
    <c:autoTitleDeleted val="0"/>
    <c:plotArea>
      <c:layout/>
      <c:pieChart>
        <c:varyColors val="1"/>
        <c:ser>
          <c:idx val="0"/>
          <c:order val="0"/>
          <c:tx>
            <c:strRef>
              <c:f>Sheet1!$B$1</c:f>
              <c:strCache>
                <c:ptCount val="1"/>
                <c:pt idx="0">
                  <c:v>2024年本年收入结构图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事业收入</c:v>
                </c:pt>
              </c:strCache>
            </c:strRef>
          </c:cat>
          <c:val>
            <c:numRef>
              <c:f>Sheet1!$B$2:$B$3</c:f>
              <c:numCache>
                <c:formatCode>General</c:formatCode>
                <c:ptCount val="2"/>
                <c:pt idx="0">
                  <c:v>203.87</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4691f8d-e9f4-49e7-90e9-65a1e08383b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4</a:t>
            </a:r>
            <a:r>
              <a:t>年本年支出结构图</a:t>
            </a:r>
            <a:r>
              <a:rPr lang="en-US" altLang="zh-CN"/>
              <a:t>3</a:t>
            </a:r>
            <a:endParaRPr lang="en-US" altLang="zh-CN"/>
          </a:p>
        </c:rich>
      </c:tx>
      <c:layout>
        <c:manualLayout>
          <c:xMode val="edge"/>
          <c:yMode val="edge"/>
          <c:x val="0.353507374475086"/>
          <c:y val="0.105891866662585"/>
        </c:manualLayout>
      </c:layout>
      <c:overlay val="0"/>
      <c:spPr>
        <a:noFill/>
        <a:ln>
          <a:noFill/>
        </a:ln>
        <a:effectLst/>
      </c:spPr>
    </c:title>
    <c:autoTitleDeleted val="0"/>
    <c:plotArea>
      <c:layout/>
      <c:pieChart>
        <c:varyColors val="1"/>
        <c:ser>
          <c:idx val="0"/>
          <c:order val="0"/>
          <c:tx>
            <c:strRef>
              <c:f>Sheet1!$B$1</c:f>
              <c:strCache>
                <c:ptCount val="1"/>
                <c:pt idx="0">
                  <c:v>2023年本年支出结构图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194.36</c:v>
                </c:pt>
                <c:pt idx="1">
                  <c:v>9.51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183255f-f8c5-42e2-ac2e-5650472c239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r>
              <a:rPr lang="en-US" altLang="zh-CN"/>
              <a:t>4</a:t>
            </a:r>
            <a:endParaRPr lang="en-US" altLang="zh-CN"/>
          </a:p>
        </c:rich>
      </c:tx>
      <c:layout>
        <c:manualLayout>
          <c:xMode val="edge"/>
          <c:yMode val="edge"/>
          <c:x val="0.253489805242686"/>
          <c:y val="0.0761388169749922"/>
        </c:manualLayout>
      </c:layout>
      <c:overlay val="0"/>
      <c:spPr>
        <a:noFill/>
        <a:ln>
          <a:noFill/>
        </a:ln>
        <a:effectLst/>
      </c:spPr>
    </c:title>
    <c:autoTitleDeleted val="0"/>
    <c:plotArea>
      <c:layout>
        <c:manualLayout>
          <c:layoutTarget val="inner"/>
          <c:xMode val="edge"/>
          <c:yMode val="edge"/>
          <c:x val="0.0416681486750845"/>
          <c:y val="0.406903103229892"/>
          <c:w val="0.93254490485506"/>
          <c:h val="0.462127929069031"/>
        </c:manualLayout>
      </c:layout>
      <c:barChart>
        <c:barDir val="col"/>
        <c:grouping val="clustered"/>
        <c:varyColors val="0"/>
        <c:ser>
          <c:idx val="0"/>
          <c:order val="0"/>
          <c:tx>
            <c:strRef>
              <c:f>Sheet1!$B$1</c:f>
              <c:strCache>
                <c:ptCount val="1"/>
                <c:pt idx="0">
                  <c:v>财政拨款收支决算总计变动情况图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24年财政收入</c:v>
                </c:pt>
                <c:pt idx="1">
                  <c:v>23年财政收入</c:v>
                </c:pt>
              </c:strCache>
            </c:strRef>
          </c:cat>
          <c:val>
            <c:numRef>
              <c:f>Sheet1!$B$2:$B$4</c:f>
              <c:numCache>
                <c:formatCode>General</c:formatCode>
                <c:ptCount val="3"/>
                <c:pt idx="0">
                  <c:v>203.87</c:v>
                </c:pt>
                <c:pt idx="1">
                  <c:v>212.58</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plotVisOnly val="1"/>
    <c:dispBlanksAs val="gap"/>
    <c:showDLblsOverMax val="0"/>
    <c:extLst>
      <c:ext uri="{0b15fc19-7d7d-44ad-8c2d-2c3a37ce22c3}">
        <chartProps xmlns="https://web.wps.cn/et/2018/main" chartId="{37341164-8ea3-4e9c-b6c7-9cdbe4ec6d3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r>
              <a:rPr lang="en-US" altLang="zh-CN"/>
              <a:t>5</a:t>
            </a:r>
            <a:endParaRPr lang="en-US" altLang="zh-CN"/>
          </a:p>
        </c:rich>
      </c:tx>
      <c:layout>
        <c:manualLayout>
          <c:xMode val="edge"/>
          <c:yMode val="edge"/>
          <c:x val="0.163758467763102"/>
          <c:y val="0.00898203592814371"/>
        </c:manualLayout>
      </c:layout>
      <c:overlay val="0"/>
      <c:spPr>
        <a:noFill/>
        <a:ln>
          <a:noFill/>
        </a:ln>
        <a:effectLst/>
      </c:spPr>
    </c:title>
    <c:autoTitleDeleted val="0"/>
    <c:plotArea>
      <c:layout>
        <c:manualLayout>
          <c:layoutTarget val="inner"/>
          <c:xMode val="edge"/>
          <c:yMode val="edge"/>
          <c:x val="0.0646466323102647"/>
          <c:y val="0.38622754491018"/>
          <c:w val="0.93254490485506"/>
          <c:h val="0.48994011976047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23年财政支出</c:v>
                </c:pt>
                <c:pt idx="1">
                  <c:v>24年财政支出</c:v>
                </c:pt>
              </c:strCache>
            </c:strRef>
          </c:cat>
          <c:val>
            <c:numRef>
              <c:f>Sheet1!$B$2:$B$3</c:f>
              <c:numCache>
                <c:formatCode>General</c:formatCode>
                <c:ptCount val="2"/>
                <c:pt idx="0">
                  <c:v>203.87</c:v>
                </c:pt>
                <c:pt idx="1">
                  <c:v>252.03</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manualLayout>
          <c:xMode val="edge"/>
          <c:yMode val="edge"/>
          <c:x val="0.344692005242464"/>
          <c:y val="0.20658682634730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539080c-2a91-43af-b804-6e6f26e9e99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10239</Words>
  <Characters>10928</Characters>
  <Lines>61</Lines>
  <Paragraphs>17</Paragraphs>
  <TotalTime>6</TotalTime>
  <ScaleCrop>false</ScaleCrop>
  <LinksUpToDate>false</LinksUpToDate>
  <CharactersWithSpaces>10979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2025-09-29T02:04:14Z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444021FEBA05475CA674328A10FDBF64_13</vt:lpwstr>
  </property>
  <property fmtid="{D5CDD505-2E9C-101B-9397-08002B2CF9AE}" pid="4" name="KSOTemplateDocerSaveRecord">
    <vt:lpwstr>eyJoZGlkIjoiZDBjMmFlOGNmNWFiYWRmY2RmY2NjOWQ1MWI5ODQ0MWQifQ==</vt:lpwstr>
  </property>
</Properties>
</file>