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8441"/>
      <w:bookmarkStart w:id="2" w:name="_Toc15377425"/>
      <w:bookmarkStart w:id="3" w:name="_Toc15396597"/>
      <w:bookmarkStart w:id="4" w:name="_Toc15377193"/>
      <w:bookmarkStart w:id="5" w:name="_Toc15306267"/>
      <w:bookmarkStart w:id="68" w:name="_GoBack"/>
      <w:bookmarkEnd w:id="68"/>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6"/>
        <w:rPr>
          <w:rFonts w:hint="eastAsia" w:ascii="Times New Roman" w:hAnsi="Times New Roman" w:eastAsia="方正小标宋简体" w:cs="Times New Roman"/>
          <w:color w:val="auto"/>
          <w:kern w:val="2"/>
          <w:sz w:val="72"/>
          <w:szCs w:val="72"/>
          <w:highlight w:val="none"/>
          <w:lang w:val="en-US" w:eastAsia="zh-CN" w:bidi="ar-SA"/>
        </w:rPr>
      </w:pPr>
    </w:p>
    <w:p>
      <w:pPr>
        <w:pStyle w:val="17"/>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20"/>
          <w:rFonts w:hint="eastAsia" w:ascii="方正小标宋简体" w:hAnsi="方正小标宋简体" w:eastAsia="方正小标宋简体" w:cs="方正小标宋简体"/>
          <w:sz w:val="44"/>
          <w:szCs w:val="44"/>
          <w:shd w:val="clear" w:color="auto" w:fill="FFFFFF"/>
        </w:rPr>
        <w:t>202</w:t>
      </w:r>
      <w:r>
        <w:rPr>
          <w:rStyle w:val="20"/>
          <w:rFonts w:hint="default" w:ascii="方正小标宋简体" w:hAnsi="方正小标宋简体" w:eastAsia="方正小标宋简体" w:cs="方正小标宋简体"/>
          <w:sz w:val="44"/>
          <w:szCs w:val="44"/>
          <w:shd w:val="clear" w:color="auto" w:fill="FFFFFF"/>
          <w:lang w:val="en-US"/>
        </w:rPr>
        <w:t>4</w:t>
      </w:r>
      <w:r>
        <w:rPr>
          <w:rStyle w:val="20"/>
          <w:rFonts w:hint="eastAsia" w:ascii="方正小标宋简体" w:hAnsi="方正小标宋简体" w:eastAsia="方正小标宋简体" w:cs="方正小标宋简体"/>
          <w:sz w:val="44"/>
          <w:szCs w:val="44"/>
          <w:shd w:val="clear" w:color="auto" w:fill="FFFFFF"/>
        </w:rPr>
        <w:t>年度</w:t>
      </w:r>
    </w:p>
    <w:p>
      <w:pPr>
        <w:pStyle w:val="17"/>
        <w:keepNext w:val="0"/>
        <w:keepLines w:val="0"/>
        <w:widowControl/>
        <w:suppressLineNumbers w:val="0"/>
        <w:ind w:left="0" w:right="75"/>
        <w:jc w:val="center"/>
        <w:rPr>
          <w:rStyle w:val="20"/>
          <w:rFonts w:hint="eastAsia" w:ascii="方正小标宋简体" w:hAnsi="方正小标宋简体" w:eastAsia="方正小标宋简体" w:cs="方正小标宋简体"/>
          <w:sz w:val="44"/>
          <w:szCs w:val="44"/>
          <w:shd w:val="clear" w:color="auto" w:fill="FFFFFF"/>
          <w:lang w:eastAsia="zh-CN"/>
        </w:rPr>
      </w:pPr>
      <w:r>
        <w:rPr>
          <w:rStyle w:val="20"/>
          <w:rFonts w:hint="eastAsia" w:ascii="方正小标宋简体" w:hAnsi="方正小标宋简体" w:eastAsia="方正小标宋简体" w:cs="方正小标宋简体"/>
          <w:sz w:val="44"/>
          <w:szCs w:val="44"/>
          <w:shd w:val="clear" w:color="auto" w:fill="FFFFFF"/>
        </w:rPr>
        <w:t>红原县人民</w:t>
      </w:r>
      <w:r>
        <w:rPr>
          <w:rStyle w:val="20"/>
          <w:rFonts w:hint="eastAsia" w:ascii="方正小标宋简体" w:hAnsi="方正小标宋简体" w:eastAsia="方正小标宋简体" w:cs="方正小标宋简体"/>
          <w:sz w:val="44"/>
          <w:szCs w:val="44"/>
          <w:shd w:val="clear" w:color="auto" w:fill="FFFFFF"/>
          <w:lang w:eastAsia="zh-CN"/>
        </w:rPr>
        <w:t>政府</w:t>
      </w:r>
      <w:r>
        <w:rPr>
          <w:rStyle w:val="20"/>
          <w:rFonts w:hint="eastAsia" w:ascii="方正小标宋简体" w:hAnsi="方正小标宋简体" w:eastAsia="方正小标宋简体" w:cs="方正小标宋简体"/>
          <w:sz w:val="44"/>
          <w:szCs w:val="44"/>
          <w:shd w:val="clear" w:color="auto" w:fill="FFFFFF"/>
        </w:rPr>
        <w:t>办公</w:t>
      </w:r>
      <w:r>
        <w:rPr>
          <w:rStyle w:val="20"/>
          <w:rFonts w:hint="eastAsia" w:ascii="方正小标宋简体" w:hAnsi="方正小标宋简体" w:eastAsia="方正小标宋简体" w:cs="方正小标宋简体"/>
          <w:sz w:val="44"/>
          <w:szCs w:val="44"/>
          <w:shd w:val="clear" w:color="auto" w:fill="FFFFFF"/>
          <w:lang w:eastAsia="zh-CN"/>
        </w:rPr>
        <w:t>室</w:t>
      </w:r>
    </w:p>
    <w:p>
      <w:pPr>
        <w:pStyle w:val="17"/>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20"/>
          <w:rFonts w:hint="eastAsia" w:ascii="方正小标宋简体" w:hAnsi="方正小标宋简体" w:eastAsia="方正小标宋简体" w:cs="方正小标宋简体"/>
          <w:sz w:val="44"/>
          <w:szCs w:val="44"/>
          <w:shd w:val="clear" w:color="auto" w:fill="FFFFFF"/>
        </w:rPr>
        <w:t>部门决算</w:t>
      </w:r>
      <w:r>
        <w:rPr>
          <w:rStyle w:val="20"/>
          <w:rFonts w:hint="eastAsia" w:ascii="方正小标宋简体" w:hAnsi="方正小标宋简体" w:eastAsia="方正小标宋简体" w:cs="方正小标宋简体"/>
          <w:sz w:val="44"/>
          <w:szCs w:val="44"/>
          <w:shd w:val="clear" w:color="auto" w:fill="FFFFFF"/>
          <w:lang w:eastAsia="zh-CN"/>
        </w:rPr>
        <w:t>公开编制说明</w:t>
      </w:r>
    </w:p>
    <w:p>
      <w:pPr>
        <w:widowControl/>
        <w:jc w:val="center"/>
        <w:rPr>
          <w:rFonts w:ascii="方正小标宋简体" w:eastAsia="方正小标宋简体"/>
          <w:sz w:val="36"/>
          <w:szCs w:val="36"/>
        </w:rPr>
      </w:pPr>
    </w:p>
    <w:p>
      <w:pPr>
        <w:spacing w:line="600" w:lineRule="exact"/>
        <w:jc w:val="center"/>
        <w:outlineLvl w:val="0"/>
        <w:rPr>
          <w:rFonts w:ascii="Times New Roman" w:hAnsi="Times New Roman" w:eastAsia="方正小标宋简体"/>
          <w:color w:val="auto"/>
          <w:sz w:val="72"/>
          <w:szCs w:val="72"/>
          <w:highlight w:val="none"/>
        </w:rPr>
      </w:pPr>
    </w:p>
    <w:p>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6"/>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77194"/>
      <w:bookmarkStart w:id="8" w:name="_Toc15396476"/>
      <w:bookmarkStart w:id="9" w:name="_Toc15377426"/>
      <w:bookmarkStart w:id="10" w:name="_Toc15396598"/>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红原县人民政府办公室</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19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第四部分 附件</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3"/>
        <w:jc w:val="center"/>
        <w:rPr>
          <w:rFonts w:hint="eastAsia" w:ascii="Times New Roman" w:hAnsi="Times New Roman" w:eastAsia="方正小标宋简体" w:cs="方正小标宋简体"/>
          <w:b w:val="0"/>
          <w:color w:val="auto"/>
          <w:highlight w:val="none"/>
        </w:rPr>
      </w:pPr>
      <w:bookmarkStart w:id="12" w:name="_Toc15396599"/>
      <w:bookmarkStart w:id="13" w:name="_Toc15377196"/>
    </w:p>
    <w:p>
      <w:pPr>
        <w:pStyle w:val="3"/>
        <w:jc w:val="center"/>
        <w:rPr>
          <w:rFonts w:hint="eastAsia" w:ascii="Times New Roman" w:hAnsi="Times New Roman" w:eastAsia="方正小标宋简体" w:cs="方正小标宋简体"/>
          <w:b w:val="0"/>
          <w:color w:val="auto"/>
          <w:highlight w:val="none"/>
        </w:rPr>
      </w:pPr>
    </w:p>
    <w:p>
      <w:pPr>
        <w:pStyle w:val="3"/>
        <w:jc w:val="center"/>
        <w:rPr>
          <w:rFonts w:hint="eastAsia" w:ascii="Times New Roman" w:hAnsi="Times New Roman" w:eastAsia="方正小标宋简体" w:cs="方正小标宋简体"/>
          <w:b w:val="0"/>
          <w:color w:val="auto"/>
          <w:highlight w:val="none"/>
        </w:rPr>
      </w:pPr>
    </w:p>
    <w:p>
      <w:pPr>
        <w:pStyle w:val="3"/>
        <w:jc w:val="both"/>
        <w:rPr>
          <w:rFonts w:hint="eastAsia" w:ascii="Times New Roman" w:hAnsi="Times New Roman" w:eastAsia="方正小标宋简体" w:cs="方正小标宋简体"/>
          <w:b w:val="0"/>
          <w:color w:val="auto"/>
          <w:highlight w:val="none"/>
        </w:rPr>
      </w:pPr>
    </w:p>
    <w:p>
      <w:pPr>
        <w:rPr>
          <w:rFonts w:hint="eastAsia" w:ascii="Times New Roman" w:hAnsi="Times New Roman" w:eastAsia="方正小标宋简体" w:cs="方正小标宋简体"/>
          <w:b w:val="0"/>
          <w:color w:val="auto"/>
          <w:highlight w:val="none"/>
        </w:rPr>
      </w:pPr>
    </w:p>
    <w:p>
      <w:pPr>
        <w:pStyle w:val="2"/>
        <w:rPr>
          <w:rFonts w:hint="eastAsia"/>
        </w:rPr>
      </w:pPr>
    </w:p>
    <w:p>
      <w:pPr>
        <w:pStyle w:val="3"/>
        <w:jc w:val="center"/>
        <w:rPr>
          <w:rStyle w:val="3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12"/>
      <w:bookmarkEnd w:id="13"/>
    </w:p>
    <w:p>
      <w:pPr>
        <w:pStyle w:val="4"/>
        <w:numPr>
          <w:ilvl w:val="0"/>
          <w:numId w:val="0"/>
        </w:numPr>
        <w:ind w:firstLine="320" w:firstLineChars="100"/>
        <w:rPr>
          <w:rFonts w:ascii="Times New Roman" w:hAnsi="Times New Roman" w:eastAsia="黑体"/>
          <w:color w:val="auto"/>
          <w:sz w:val="32"/>
          <w:szCs w:val="32"/>
          <w:highlight w:val="none"/>
        </w:rPr>
      </w:pPr>
      <w:r>
        <w:rPr>
          <w:rFonts w:hint="eastAsia" w:ascii="Times New Roman" w:hAnsi="Times New Roman" w:eastAsia="黑体"/>
          <w:b w:val="0"/>
          <w:color w:val="auto"/>
          <w:highlight w:val="none"/>
          <w:lang w:eastAsia="zh-CN"/>
        </w:rPr>
        <w:t>部门职责</w:t>
      </w:r>
    </w:p>
    <w:p>
      <w:pPr>
        <w:pStyle w:val="13"/>
        <w:numPr>
          <w:ilvl w:val="0"/>
          <w:numId w:val="1"/>
        </w:numPr>
        <w:bidi w:val="0"/>
        <w:jc w:val="both"/>
        <w:rPr>
          <w:rFonts w:hint="eastAsia"/>
        </w:rPr>
      </w:pPr>
      <w:r>
        <w:rPr>
          <w:rFonts w:hint="eastAsia"/>
        </w:rPr>
        <w:t>主要职能。</w:t>
      </w:r>
    </w:p>
    <w:p>
      <w:pPr>
        <w:ind w:firstLine="640" w:firstLineChars="200"/>
        <w:rPr>
          <w:rFonts w:ascii="仿宋_GB2312" w:hAnsi="宋体" w:eastAsia="仿宋_GB2312"/>
          <w:sz w:val="32"/>
          <w:szCs w:val="32"/>
        </w:rPr>
      </w:pPr>
      <w:r>
        <w:rPr>
          <w:rFonts w:hint="eastAsia" w:ascii="仿宋_GB2312" w:eastAsia="仿宋_GB2312"/>
          <w:sz w:val="32"/>
          <w:szCs w:val="32"/>
        </w:rPr>
        <w:t>协助县政府领导组织起草或审核以县政府、县政府办公室名义发布的公文。办理州政府、州政府办公室及各州直部门发送县政府的文电。指导全县行政机关公文处理工作。</w:t>
      </w:r>
    </w:p>
    <w:p>
      <w:pPr>
        <w:pStyle w:val="30"/>
        <w:ind w:left="-29" w:leftChars="-14" w:firstLine="0" w:firstLineChars="0"/>
        <w:rPr>
          <w:rFonts w:ascii="仿宋_GB2312" w:eastAsia="仿宋_GB2312"/>
          <w:sz w:val="32"/>
          <w:szCs w:val="32"/>
        </w:rPr>
      </w:pPr>
      <w:r>
        <w:rPr>
          <w:rFonts w:hint="eastAsia" w:ascii="仿宋_GB2312" w:eastAsia="仿宋_GB2312"/>
          <w:sz w:val="32"/>
          <w:szCs w:val="32"/>
        </w:rPr>
        <w:t>研究县政府各部门和各乡、镇人民政府请示县政府的事项，提出审核意见，报县政府领导审批。</w:t>
      </w:r>
    </w:p>
    <w:p>
      <w:pPr>
        <w:ind w:firstLine="640" w:firstLineChars="200"/>
        <w:rPr>
          <w:rFonts w:ascii="仿宋_GB2312" w:eastAsia="仿宋_GB2312"/>
          <w:sz w:val="32"/>
          <w:szCs w:val="32"/>
        </w:rPr>
      </w:pPr>
      <w:r>
        <w:rPr>
          <w:rFonts w:hint="eastAsia" w:ascii="仿宋_GB2312" w:eastAsia="仿宋_GB2312"/>
          <w:sz w:val="32"/>
          <w:szCs w:val="32"/>
        </w:rPr>
        <w:t>负责县政府会议的准备工作，协助县政府领导组织实施会议决定事项。根据县政府领导的指示，对县政府各部门和各乡、镇人民政府间争议问题提出处理意见和建议，报县政府领导决定。</w:t>
      </w:r>
    </w:p>
    <w:p>
      <w:pPr>
        <w:ind w:firstLine="640" w:firstLineChars="200"/>
        <w:rPr>
          <w:rFonts w:ascii="仿宋_GB2312" w:eastAsia="仿宋_GB2312"/>
          <w:sz w:val="32"/>
          <w:szCs w:val="32"/>
        </w:rPr>
      </w:pPr>
      <w:r>
        <w:rPr>
          <w:rFonts w:hint="eastAsia" w:ascii="仿宋_GB2312" w:eastAsia="仿宋_GB2312"/>
          <w:sz w:val="32"/>
          <w:szCs w:val="32"/>
        </w:rPr>
        <w:t>督促检查县政府各部门和各乡、镇人民政府对县政府决定事项及县政府领导指示的贯彻落实情况，及时向县政府领导报告。</w:t>
      </w:r>
    </w:p>
    <w:p>
      <w:pPr>
        <w:ind w:firstLine="640" w:firstLineChars="200"/>
        <w:rPr>
          <w:rFonts w:ascii="仿宋_GB2312" w:eastAsia="仿宋_GB2312"/>
          <w:sz w:val="32"/>
          <w:szCs w:val="32"/>
        </w:rPr>
      </w:pPr>
      <w:r>
        <w:rPr>
          <w:rFonts w:hint="eastAsia" w:ascii="仿宋_GB2312" w:eastAsia="仿宋_GB2312"/>
          <w:sz w:val="32"/>
          <w:szCs w:val="32"/>
        </w:rPr>
        <w:t>负责县政府值班工作，指导各乡、镇人民政府和全县政府各部门值班工作，及时报告重要情况。</w:t>
      </w:r>
    </w:p>
    <w:p>
      <w:pPr>
        <w:ind w:firstLine="640" w:firstLineChars="200"/>
        <w:rPr>
          <w:rFonts w:ascii="仿宋_GB2312" w:eastAsia="仿宋_GB2312"/>
          <w:sz w:val="32"/>
          <w:szCs w:val="32"/>
        </w:rPr>
      </w:pPr>
      <w:r>
        <w:rPr>
          <w:rFonts w:hint="eastAsia" w:ascii="仿宋_GB2312" w:eastAsia="仿宋_GB2312"/>
          <w:sz w:val="32"/>
          <w:szCs w:val="32"/>
        </w:rPr>
        <w:t>指导、监督全县政府信息公开工作和机关行政效能建设工作，指导、监督全县政府系统电子政务工作和政府网站建设。</w:t>
      </w:r>
    </w:p>
    <w:p>
      <w:pPr>
        <w:ind w:firstLine="640" w:firstLineChars="200"/>
        <w:rPr>
          <w:rFonts w:ascii="仿宋_GB2312" w:eastAsia="仿宋_GB2312"/>
          <w:sz w:val="32"/>
          <w:szCs w:val="32"/>
        </w:rPr>
      </w:pPr>
      <w:r>
        <w:rPr>
          <w:rFonts w:hint="eastAsia" w:ascii="仿宋_GB2312" w:eastAsia="仿宋_GB2312"/>
          <w:sz w:val="32"/>
          <w:szCs w:val="32"/>
        </w:rPr>
        <w:t>组织办理涉及县政府工作的人大代表议案、批评、建议和政协委员提案、建议案工作。</w:t>
      </w:r>
    </w:p>
    <w:p>
      <w:pPr>
        <w:ind w:firstLine="640" w:firstLineChars="200"/>
        <w:rPr>
          <w:rFonts w:ascii="仿宋_GB2312" w:eastAsia="仿宋_GB2312"/>
          <w:sz w:val="32"/>
          <w:szCs w:val="32"/>
        </w:rPr>
      </w:pPr>
      <w:r>
        <w:rPr>
          <w:rFonts w:hint="eastAsia" w:ascii="仿宋_GB2312" w:eastAsia="仿宋_GB2312"/>
          <w:sz w:val="32"/>
          <w:szCs w:val="32"/>
        </w:rPr>
        <w:t>指导全县应急管理工作，协助县政府领导做好需由县政府组织处理的突发事件的应急处置工作。</w:t>
      </w:r>
    </w:p>
    <w:p>
      <w:pPr>
        <w:rPr>
          <w:rFonts w:ascii="仿宋_GB2312" w:eastAsia="仿宋_GB2312"/>
          <w:sz w:val="32"/>
          <w:szCs w:val="32"/>
        </w:rPr>
      </w:pPr>
      <w:r>
        <w:rPr>
          <w:rFonts w:hint="eastAsia" w:ascii="仿宋_GB2312" w:eastAsia="仿宋_GB2312"/>
          <w:sz w:val="32"/>
          <w:szCs w:val="32"/>
        </w:rPr>
        <w:t>围绕县政府中心工作和县政府领导的指示，组织专题调查研究，及时反映情况，提出政策性建议。</w:t>
      </w:r>
    </w:p>
    <w:p>
      <w:pPr>
        <w:rPr>
          <w:rFonts w:ascii="仿宋_GB2312" w:eastAsia="仿宋_GB2312"/>
          <w:sz w:val="32"/>
          <w:szCs w:val="32"/>
        </w:rPr>
      </w:pPr>
      <w:r>
        <w:rPr>
          <w:rFonts w:hint="eastAsia" w:ascii="仿宋_GB2312" w:eastAsia="仿宋_GB2312"/>
          <w:sz w:val="32"/>
          <w:szCs w:val="32"/>
        </w:rPr>
        <w:t>指导全县政务服务中心建设，组织全县各部门集中开展行政审批和公共服务。</w:t>
      </w:r>
    </w:p>
    <w:p>
      <w:pPr>
        <w:ind w:firstLine="640" w:firstLineChars="200"/>
        <w:rPr>
          <w:rFonts w:ascii="仿宋_GB2312" w:eastAsia="仿宋_GB2312"/>
          <w:sz w:val="32"/>
          <w:szCs w:val="32"/>
        </w:rPr>
      </w:pPr>
      <w:r>
        <w:rPr>
          <w:rFonts w:hint="eastAsia" w:ascii="仿宋_GB2312" w:eastAsia="仿宋_GB2312"/>
          <w:sz w:val="32"/>
          <w:szCs w:val="32"/>
        </w:rPr>
        <w:t>负责县政府人民防空和民防工作，指导全县人民防空和民防工作。</w:t>
      </w:r>
    </w:p>
    <w:p>
      <w:pPr>
        <w:ind w:firstLine="640" w:firstLineChars="200"/>
        <w:rPr>
          <w:rFonts w:ascii="仿宋_GB2312" w:eastAsia="仿宋_GB2312"/>
          <w:sz w:val="32"/>
          <w:szCs w:val="32"/>
        </w:rPr>
      </w:pPr>
      <w:r>
        <w:rPr>
          <w:rFonts w:hint="eastAsia" w:ascii="仿宋_GB2312" w:eastAsia="仿宋_GB2312"/>
          <w:sz w:val="32"/>
          <w:szCs w:val="32"/>
        </w:rPr>
        <w:t>负责全县机关事业单位小汽车编制审核报批事项。</w:t>
      </w:r>
    </w:p>
    <w:p>
      <w:pPr>
        <w:rPr>
          <w:rFonts w:ascii="仿宋_GB2312" w:eastAsia="仿宋_GB2312"/>
          <w:sz w:val="32"/>
          <w:szCs w:val="32"/>
        </w:rPr>
      </w:pPr>
      <w:r>
        <w:rPr>
          <w:rFonts w:hint="eastAsia" w:ascii="仿宋_GB2312" w:eastAsia="仿宋_GB2312"/>
          <w:sz w:val="32"/>
          <w:szCs w:val="32"/>
        </w:rPr>
        <w:t>承办县政府和县政府领导交办的其他事项。</w:t>
      </w:r>
    </w:p>
    <w:p>
      <w:pPr>
        <w:widowControl/>
        <w:ind w:firstLine="640" w:firstLineChars="200"/>
        <w:jc w:val="left"/>
        <w:rPr>
          <w:rFonts w:hint="eastAsia"/>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年度部门决算编制范围二</w:t>
      </w:r>
      <w:r>
        <w:rPr>
          <w:rFonts w:hint="eastAsia" w:ascii="仿宋_GB2312" w:hAnsi="仿宋_GB2312" w:eastAsia="仿宋_GB2312" w:cs="仿宋_GB2312"/>
          <w:color w:val="000000"/>
          <w:sz w:val="32"/>
          <w:szCs w:val="32"/>
        </w:rPr>
        <w:t>个，第一为红原县人民政府办公室（行政），第二为红原县</w:t>
      </w:r>
      <w:r>
        <w:rPr>
          <w:rFonts w:hint="eastAsia" w:ascii="仿宋_GB2312" w:hAnsi="仿宋_GB2312" w:eastAsia="仿宋_GB2312" w:cs="仿宋_GB2312"/>
          <w:color w:val="000000"/>
          <w:sz w:val="32"/>
          <w:szCs w:val="32"/>
          <w:lang w:eastAsia="zh-CN"/>
        </w:rPr>
        <w:t>国防动员事务中心</w:t>
      </w:r>
      <w:r>
        <w:rPr>
          <w:rFonts w:hint="eastAsia" w:ascii="仿宋_GB2312" w:hAnsi="仿宋_GB2312" w:eastAsia="仿宋_GB2312" w:cs="仿宋_GB2312"/>
          <w:color w:val="000000"/>
          <w:sz w:val="32"/>
          <w:szCs w:val="32"/>
        </w:rPr>
        <w:t>（事业）。</w:t>
      </w:r>
    </w:p>
    <w:p>
      <w:pPr>
        <w:pStyle w:val="4"/>
        <w:rPr>
          <w:rStyle w:val="32"/>
          <w:rFonts w:ascii="Times New Roman" w:hAnsi="Times New Roman"/>
          <w:b w:val="0"/>
          <w:bCs w:val="0"/>
          <w:color w:val="auto"/>
          <w:highlight w:val="none"/>
        </w:rPr>
      </w:pPr>
      <w:bookmarkStart w:id="14" w:name="_Toc15396601"/>
      <w:bookmarkStart w:id="15" w:name="_Toc15377200"/>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14"/>
      <w:bookmarkEnd w:id="15"/>
    </w:p>
    <w:p>
      <w:pPr>
        <w:ind w:firstLine="800" w:firstLineChars="250"/>
        <w:rPr>
          <w:rFonts w:hint="eastAsia"/>
          <w:sz w:val="32"/>
          <w:szCs w:val="32"/>
        </w:rPr>
      </w:pPr>
      <w:r>
        <w:rPr>
          <w:rFonts w:hint="eastAsia" w:ascii="仿宋_GB2312" w:hAnsi="仿宋_GB2312" w:eastAsia="仿宋_GB2312" w:cs="仿宋_GB2312"/>
          <w:sz w:val="32"/>
          <w:szCs w:val="32"/>
          <w:lang w:eastAsia="zh-CN"/>
        </w:rPr>
        <w:t>红原县人民政府</w:t>
      </w:r>
      <w:r>
        <w:rPr>
          <w:rFonts w:hint="eastAsia" w:ascii="仿宋_GB2312" w:hAnsi="仿宋_GB2312" w:eastAsia="仿宋_GB2312" w:cs="仿宋_GB2312"/>
          <w:sz w:val="32"/>
          <w:szCs w:val="32"/>
        </w:rPr>
        <w:t>下属二级预算单位</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个，其中</w:t>
      </w:r>
      <w:r>
        <w:rPr>
          <w:rFonts w:hint="eastAsia" w:ascii="仿宋_GB2312" w:hAnsi="仿宋_GB2312" w:eastAsia="仿宋_GB2312" w:cs="仿宋_GB2312"/>
          <w:sz w:val="32"/>
          <w:szCs w:val="32"/>
          <w:lang w:eastAsia="zh-CN"/>
        </w:rPr>
        <w:t>全额拨款</w:t>
      </w:r>
      <w:r>
        <w:rPr>
          <w:rFonts w:hint="eastAsia" w:ascii="仿宋_GB2312" w:hAnsi="仿宋_GB2312" w:eastAsia="仿宋_GB2312" w:cs="仿宋_GB2312"/>
          <w:sz w:val="32"/>
          <w:szCs w:val="32"/>
        </w:rPr>
        <w:t>行政单位</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（红原人民政府办公室本级）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红原县人民政府办公室</w:t>
      </w:r>
      <w:r>
        <w:rPr>
          <w:rFonts w:hint="eastAsia" w:ascii="仿宋_GB2312" w:hAnsi="仿宋_GB2312" w:eastAsia="仿宋_GB2312" w:cs="仿宋_GB2312"/>
          <w:sz w:val="32"/>
          <w:szCs w:val="32"/>
        </w:rPr>
        <w:t>内设</w:t>
      </w:r>
      <w:r>
        <w:rPr>
          <w:rFonts w:hint="eastAsia" w:ascii="仿宋_GB2312" w:hAnsi="仿宋_GB2312" w:eastAsia="仿宋_GB2312" w:cs="仿宋_GB2312"/>
          <w:sz w:val="32"/>
          <w:szCs w:val="32"/>
          <w:lang w:eastAsia="zh-CN"/>
        </w:rPr>
        <w:t>秘书股、综合股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机要股、财务人事股、行政效能股、机关事务股、国动股。全额拨款股级</w:t>
      </w:r>
      <w:r>
        <w:rPr>
          <w:rFonts w:hint="eastAsia" w:ascii="仿宋_GB2312" w:hAnsi="仿宋_GB2312" w:eastAsia="仿宋_GB2312" w:cs="仿宋_GB2312"/>
          <w:sz w:val="32"/>
          <w:szCs w:val="32"/>
        </w:rPr>
        <w:t>事业</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eastAsia="zh-CN"/>
        </w:rPr>
        <w:t>（信息公开工作中心、国防动员事务中心）</w:t>
      </w:r>
      <w:r>
        <w:rPr>
          <w:rFonts w:hint="eastAsia" w:ascii="仿宋_GB2312" w:hAnsi="仿宋_GB2312" w:eastAsia="仿宋_GB2312" w:cs="仿宋_GB2312"/>
          <w:sz w:val="32"/>
          <w:szCs w:val="32"/>
        </w:rPr>
        <w:t>。</w:t>
      </w:r>
      <w:r>
        <w:rPr>
          <w:rFonts w:hint="eastAsia" w:ascii="仿宋_GB2312" w:hAnsi="仿宋_GB2312" w:eastAsia="仿宋_GB2312" w:cs="仿宋_GB2312"/>
          <w:bCs/>
          <w:sz w:val="32"/>
          <w:szCs w:val="32"/>
        </w:rPr>
        <w:t>截止</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12人，同比去年减少1人，主要变动原因是人员调出</w:t>
      </w:r>
      <w:r>
        <w:rPr>
          <w:rFonts w:hint="eastAsia" w:ascii="仿宋_GB2312" w:hAnsi="仿宋_GB2312" w:eastAsia="仿宋_GB2312" w:cs="仿宋_GB2312"/>
          <w:sz w:val="32"/>
          <w:szCs w:val="32"/>
        </w:rPr>
        <w:t>。</w:t>
      </w:r>
    </w:p>
    <w:p>
      <w:pPr>
        <w:pStyle w:val="6"/>
        <w:adjustRightInd w:val="0"/>
        <w:snapToGrid w:val="0"/>
        <w:spacing w:beforeLines="0" w:line="600" w:lineRule="exact"/>
        <w:ind w:firstLine="668" w:firstLineChars="20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w:t>
      </w:r>
      <w:r>
        <w:rPr>
          <w:rFonts w:hint="eastAsia" w:ascii="仿宋_GB2312" w:hAnsi="仿宋_GB2312" w:eastAsia="仿宋_GB2312" w:cs="仿宋_GB2312"/>
          <w:sz w:val="32"/>
          <w:szCs w:val="32"/>
          <w:lang w:eastAsia="zh-CN"/>
        </w:rPr>
        <w:t>红原</w:t>
      </w:r>
      <w:r>
        <w:rPr>
          <w:rFonts w:hint="eastAsia" w:hAnsi="仿宋_GB2312" w:cs="仿宋_GB2312"/>
          <w:sz w:val="32"/>
          <w:szCs w:val="32"/>
          <w:lang w:eastAsia="zh-CN"/>
        </w:rPr>
        <w:t>人民政府</w:t>
      </w:r>
      <w:r>
        <w:rPr>
          <w:rFonts w:hint="eastAsia" w:ascii="仿宋_GB2312" w:hAnsi="仿宋_GB2312" w:eastAsia="仿宋_GB2312" w:cs="仿宋_GB2312"/>
          <w:sz w:val="32"/>
          <w:szCs w:val="32"/>
        </w:rPr>
        <w:t>办公室202</w:t>
      </w:r>
      <w:r>
        <w:rPr>
          <w:rFonts w:hint="eastAsia" w:hAnsi="仿宋_GB2312" w:cs="仿宋_GB2312"/>
          <w:sz w:val="32"/>
          <w:szCs w:val="32"/>
          <w:lang w:val="en-US" w:eastAsia="zh-CN"/>
        </w:rPr>
        <w:t>4</w:t>
      </w:r>
      <w:r>
        <w:rPr>
          <w:rFonts w:hint="eastAsia" w:ascii="仿宋_GB2312" w:hAnsi="仿宋_GB2312" w:eastAsia="仿宋_GB2312" w:cs="仿宋_GB2312"/>
          <w:sz w:val="32"/>
          <w:szCs w:val="32"/>
        </w:rPr>
        <w:t>年度部门决算编制范围的二级预算单位包括：</w:t>
      </w:r>
    </w:p>
    <w:p>
      <w:pPr>
        <w:pStyle w:val="6"/>
        <w:numPr>
          <w:ilvl w:val="0"/>
          <w:numId w:val="0"/>
        </w:numPr>
        <w:adjustRightInd w:val="0"/>
        <w:snapToGrid w:val="0"/>
        <w:spacing w:beforeLines="0" w:line="600" w:lineRule="exact"/>
        <w:ind w:left="672" w:leftChars="0"/>
        <w:outlineLvl w:val="2"/>
        <w:rPr>
          <w:rFonts w:hint="eastAsia" w:ascii="仿宋_GB2312" w:hAnsi="仿宋_GB2312" w:eastAsia="仿宋_GB2312" w:cs="仿宋_GB2312"/>
          <w:sz w:val="32"/>
          <w:szCs w:val="32"/>
        </w:rPr>
      </w:pPr>
      <w:r>
        <w:rPr>
          <w:rFonts w:hint="eastAsia" w:hAnsi="仿宋_GB2312" w:cs="仿宋_GB2312"/>
          <w:sz w:val="32"/>
          <w:szCs w:val="32"/>
          <w:lang w:val="en-US" w:eastAsia="zh-CN"/>
        </w:rPr>
        <w:t>1.</w:t>
      </w:r>
      <w:r>
        <w:rPr>
          <w:rFonts w:hint="eastAsia" w:ascii="仿宋_GB2312" w:hAnsi="仿宋_GB2312" w:eastAsia="仿宋_GB2312" w:cs="仿宋_GB2312"/>
          <w:sz w:val="32"/>
          <w:szCs w:val="32"/>
          <w:lang w:eastAsia="zh-CN"/>
        </w:rPr>
        <w:t>红原县</w:t>
      </w:r>
      <w:r>
        <w:rPr>
          <w:rFonts w:hint="eastAsia" w:hAnsi="仿宋_GB2312" w:cs="仿宋_GB2312"/>
          <w:sz w:val="32"/>
          <w:szCs w:val="32"/>
          <w:lang w:eastAsia="zh-CN"/>
        </w:rPr>
        <w:t>人民政府</w:t>
      </w:r>
      <w:r>
        <w:rPr>
          <w:rFonts w:hint="eastAsia" w:ascii="仿宋_GB2312" w:hAnsi="仿宋_GB2312" w:eastAsia="仿宋_GB2312" w:cs="仿宋_GB2312"/>
          <w:sz w:val="32"/>
          <w:szCs w:val="32"/>
          <w:lang w:eastAsia="zh-CN"/>
        </w:rPr>
        <w:t>办公室本级</w:t>
      </w:r>
    </w:p>
    <w:p>
      <w:pPr>
        <w:widowControl/>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红原县国防动员事务中心</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jc w:val="center"/>
        <w:rPr>
          <w:rFonts w:hint="eastAsia" w:ascii="Times New Roman" w:hAnsi="Times New Roman" w:eastAsia="方正小标宋简体" w:cs="方正小标宋简体"/>
          <w:b w:val="0"/>
          <w:color w:val="auto"/>
          <w:highlight w:val="none"/>
        </w:rPr>
      </w:pPr>
      <w:bookmarkStart w:id="16" w:name="_Toc15396602"/>
      <w:bookmarkStart w:id="17"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6"/>
      <w:bookmarkEnd w:id="17"/>
    </w:p>
    <w:p>
      <w:pPr>
        <w:rPr>
          <w:rFonts w:ascii="Times New Roman" w:hAnsi="Times New Roman"/>
          <w:color w:val="auto"/>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8" w:name="_Toc15396603"/>
      <w:bookmarkStart w:id="19"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18"/>
      <w:bookmarkEnd w:id="19"/>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1728.4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2.14</w:t>
      </w:r>
      <w:r>
        <w:rPr>
          <w:rFonts w:hint="eastAsia" w:ascii="Times New Roman" w:hAnsi="Times New Roman" w:eastAsia="仿宋_GB2312" w:cs="仿宋_GB2312"/>
          <w:color w:val="auto"/>
          <w:sz w:val="32"/>
          <w:szCs w:val="32"/>
          <w:highlight w:val="none"/>
        </w:rPr>
        <w:t>万元，增长/下降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6月份</w:t>
      </w:r>
      <w:r>
        <w:rPr>
          <w:rFonts w:hint="eastAsia" w:eastAsia="仿宋_GB2312" w:cs="仿宋_GB2312"/>
          <w:color w:val="auto"/>
          <w:sz w:val="32"/>
          <w:szCs w:val="32"/>
          <w:highlight w:val="none"/>
          <w:lang w:eastAsia="zh-CN"/>
        </w:rPr>
        <w:t>调整高海拔折算工龄在职人员补发</w:t>
      </w:r>
      <w:r>
        <w:rPr>
          <w:rFonts w:hint="eastAsia" w:eastAsia="仿宋_GB2312" w:cs="仿宋_GB2312"/>
          <w:color w:val="auto"/>
          <w:sz w:val="32"/>
          <w:szCs w:val="32"/>
          <w:highlight w:val="none"/>
          <w:lang w:val="en-US" w:eastAsia="zh-CN"/>
        </w:rPr>
        <w:t>7个月；二是：</w:t>
      </w:r>
      <w:r>
        <w:rPr>
          <w:rFonts w:hint="eastAsia" w:eastAsia="仿宋_GB2312" w:cs="仿宋_GB2312"/>
          <w:color w:val="auto"/>
          <w:sz w:val="32"/>
          <w:szCs w:val="32"/>
          <w:highlight w:val="none"/>
          <w:lang w:eastAsia="zh-CN"/>
        </w:rPr>
        <w:t>人员变动，养老保险基数调整；三是：新购公务用车一辆。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仿宋_GB2312" w:eastAsia="仿宋_GB2312"/>
          <w:sz w:val="32"/>
          <w:szCs w:val="32"/>
          <w:lang w:eastAsia="zh-CN"/>
        </w:rPr>
        <w:drawing>
          <wp:inline distT="0" distB="0" distL="114300" distR="114300">
            <wp:extent cx="4157980" cy="2655570"/>
            <wp:effectExtent l="4445" t="4445" r="13335" b="698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Times New Roman" w:hAnsi="Times New Roman" w:eastAsia="黑体"/>
          <w:color w:val="auto"/>
          <w:sz w:val="32"/>
          <w:szCs w:val="32"/>
          <w:highlight w:val="none"/>
          <w:lang w:eastAsia="zh-CN"/>
        </w:rPr>
      </w:pPr>
      <w:bookmarkStart w:id="20" w:name="_Toc15396604"/>
      <w:bookmarkStart w:id="21" w:name="_Toc15377206"/>
      <w:r>
        <w:rPr>
          <w:rFonts w:hint="eastAsia" w:ascii="Times New Roman" w:hAnsi="Times New Roman" w:eastAsia="黑体"/>
          <w:color w:val="auto"/>
          <w:sz w:val="32"/>
          <w:szCs w:val="32"/>
          <w:highlight w:val="none"/>
          <w:lang w:eastAsia="zh-CN"/>
        </w:rPr>
        <w:t>二、收入决算情况说明</w:t>
      </w:r>
      <w:bookmarkEnd w:id="20"/>
      <w:bookmarkEnd w:id="21"/>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1728.4万元，其中：一般公共预算财政拨款收入1728.4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drawing>
          <wp:anchor distT="0" distB="0" distL="114300" distR="114300" simplePos="0" relativeHeight="251659264" behindDoc="0" locked="0" layoutInCell="1" allowOverlap="1">
            <wp:simplePos x="0" y="0"/>
            <wp:positionH relativeFrom="column">
              <wp:posOffset>166370</wp:posOffset>
            </wp:positionH>
            <wp:positionV relativeFrom="paragraph">
              <wp:posOffset>180340</wp:posOffset>
            </wp:positionV>
            <wp:extent cx="5257800" cy="3309620"/>
            <wp:effectExtent l="4445" t="4445" r="14605" b="1968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22" w:name="_Toc15396605"/>
      <w:bookmarkStart w:id="23"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22"/>
      <w:bookmarkEnd w:id="23"/>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1728.4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1241.01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71.8</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487.39</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28.19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sz w:val="32"/>
          <w:szCs w:val="32"/>
          <w:lang w:eastAsia="zh-CN"/>
        </w:rPr>
        <w:drawing>
          <wp:anchor distT="0" distB="0" distL="114300" distR="114300" simplePos="0" relativeHeight="251660288" behindDoc="1" locked="0" layoutInCell="1" allowOverlap="1">
            <wp:simplePos x="0" y="0"/>
            <wp:positionH relativeFrom="column">
              <wp:posOffset>52070</wp:posOffset>
            </wp:positionH>
            <wp:positionV relativeFrom="paragraph">
              <wp:posOffset>197485</wp:posOffset>
            </wp:positionV>
            <wp:extent cx="4813300" cy="2473325"/>
            <wp:effectExtent l="4445" t="5080" r="20955" b="17145"/>
            <wp:wrapTight wrapText="bothSides">
              <wp:wrapPolygon>
                <wp:start x="-20" y="-44"/>
                <wp:lineTo x="-20" y="21417"/>
                <wp:lineTo x="21523" y="21417"/>
                <wp:lineTo x="21523" y="-44"/>
                <wp:lineTo x="-20" y="-44"/>
              </wp:wrapPolygon>
            </wp:wrapTight>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ind w:firstLine="800" w:firstLineChars="250"/>
        <w:rPr>
          <w:rFonts w:hint="eastAsia" w:ascii="Times New Roman" w:hAnsi="Times New Roman" w:eastAsia="仿宋_GB2312" w:cs="仿宋_GB2312"/>
          <w:color w:val="auto"/>
          <w:sz w:val="32"/>
          <w:szCs w:val="32"/>
          <w:highlight w:val="none"/>
          <w:lang w:eastAsia="zh-CN"/>
        </w:rPr>
      </w:pPr>
    </w:p>
    <w:p>
      <w:pPr>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32"/>
          <w:rFonts w:ascii="Times New Roman" w:hAnsi="Times New Roman" w:eastAsia="黑体"/>
          <w:b w:val="0"/>
          <w:color w:val="auto"/>
          <w:highlight w:val="none"/>
        </w:rPr>
      </w:pPr>
      <w:bookmarkStart w:id="24" w:name="_Toc15377208"/>
      <w:bookmarkStart w:id="25" w:name="_Toc15396606"/>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24"/>
      <w:bookmarkEnd w:id="25"/>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1728.4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2.14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%。主要变动原因</w:t>
      </w:r>
      <w:r>
        <w:rPr>
          <w:rFonts w:hint="eastAsia" w:eastAsia="仿宋_GB2312" w:cs="仿宋_GB2312"/>
          <w:color w:val="auto"/>
          <w:kern w:val="2"/>
          <w:sz w:val="32"/>
          <w:szCs w:val="32"/>
          <w:highlight w:val="none"/>
          <w:lang w:val="en-US" w:eastAsia="zh-CN" w:bidi="ar-SA"/>
        </w:rPr>
        <w:t>：</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6月份</w:t>
      </w:r>
      <w:r>
        <w:rPr>
          <w:rFonts w:hint="eastAsia" w:eastAsia="仿宋_GB2312" w:cs="仿宋_GB2312"/>
          <w:color w:val="auto"/>
          <w:sz w:val="32"/>
          <w:szCs w:val="32"/>
          <w:highlight w:val="none"/>
          <w:lang w:eastAsia="zh-CN"/>
        </w:rPr>
        <w:t>调整高海拔折算工龄在职人员补发</w:t>
      </w:r>
      <w:r>
        <w:rPr>
          <w:rFonts w:hint="eastAsia" w:eastAsia="仿宋_GB2312" w:cs="仿宋_GB2312"/>
          <w:color w:val="auto"/>
          <w:sz w:val="32"/>
          <w:szCs w:val="32"/>
          <w:highlight w:val="none"/>
          <w:lang w:val="en-US" w:eastAsia="zh-CN"/>
        </w:rPr>
        <w:t>7个月；二是：</w:t>
      </w:r>
      <w:r>
        <w:rPr>
          <w:rFonts w:hint="eastAsia" w:eastAsia="仿宋_GB2312" w:cs="仿宋_GB2312"/>
          <w:color w:val="auto"/>
          <w:sz w:val="32"/>
          <w:szCs w:val="32"/>
          <w:highlight w:val="none"/>
          <w:lang w:eastAsia="zh-CN"/>
        </w:rPr>
        <w:t>人员变动，养老保险基数调整；三是：新购公务用车一辆。</w:t>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eastAsia="zh-CN"/>
        </w:rPr>
        <w:pict>
          <v:shape id="_x0000_s1026" o:spid="_x0000_s1026" o:spt="75" type="#_x0000_t75" style="position:absolute;left:0pt;margin-left:13.25pt;margin-top:6.75pt;height:165.15pt;width:371.3pt;mso-wrap-distance-bottom:0pt;mso-wrap-distance-left:9pt;mso-wrap-distance-right:9pt;mso-wrap-distance-top:0pt;z-index:251661312;mso-width-relative:page;mso-height-relative:page;" o:ole="t" filled="f" o:preferrelative="t" stroked="f" coordsize="21600,21600"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2" o:title=""/>
            <o:lock v:ext="edit" aspectratio="f"/>
            <w10:wrap type="square"/>
          </v:shape>
          <o:OLEObject Type="Embed" ProgID="Excel.Sheet.8" ShapeID="_x0000_s1026" DrawAspect="Content" ObjectID="_1468075725" r:id="rId11">
            <o:LockedField>false</o:LockedField>
          </o:OLEObject>
        </w:pic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firstLineChars="200"/>
        <w:outlineLvl w:val="1"/>
        <w:rPr>
          <w:rFonts w:hint="eastAsia" w:ascii="Times New Roman" w:hAnsi="Times New Roman" w:eastAsia="黑体"/>
          <w:color w:val="auto"/>
          <w:sz w:val="32"/>
          <w:szCs w:val="32"/>
          <w:highlight w:val="none"/>
        </w:rPr>
      </w:pPr>
      <w:bookmarkStart w:id="26" w:name="_Toc15377209"/>
      <w:bookmarkStart w:id="27" w:name="_Toc15396607"/>
    </w:p>
    <w:p>
      <w:pPr>
        <w:spacing w:line="600" w:lineRule="exact"/>
        <w:ind w:firstLine="640" w:firstLineChars="200"/>
        <w:outlineLvl w:val="1"/>
        <w:rPr>
          <w:rStyle w:val="32"/>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6"/>
      <w:bookmarkEnd w:id="2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8"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8"/>
    </w:p>
    <w:p>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1728.4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%。与2023年度相比，一般公共预算财政拨款支出增加2.14万元，增长1%。主要变动原因：</w:t>
      </w:r>
      <w:r>
        <w:rPr>
          <w:rFonts w:hint="eastAsia" w:eastAsia="仿宋_GB2312" w:cs="仿宋_GB2312"/>
          <w:color w:val="auto"/>
          <w:sz w:val="32"/>
          <w:szCs w:val="32"/>
          <w:highlight w:val="none"/>
          <w:lang w:eastAsia="zh-CN"/>
        </w:rPr>
        <w:t>一</w:t>
      </w:r>
      <w:r>
        <w:rPr>
          <w:rFonts w:hint="eastAsia" w:ascii="Times New Roman" w:hAnsi="Times New Roman" w:eastAsia="仿宋_GB2312" w:cs="仿宋_GB2312"/>
          <w:color w:val="auto"/>
          <w:sz w:val="32"/>
          <w:szCs w:val="32"/>
          <w:highlight w:val="none"/>
        </w:rPr>
        <w:t>是</w:t>
      </w:r>
      <w:r>
        <w:rPr>
          <w:rFonts w:hint="eastAsia" w:eastAsia="仿宋_GB2312" w:cs="仿宋_GB2312"/>
          <w:color w:val="auto"/>
          <w:sz w:val="32"/>
          <w:szCs w:val="32"/>
          <w:highlight w:val="none"/>
          <w:lang w:val="en-US" w:eastAsia="zh-CN"/>
        </w:rPr>
        <w:t>6月份</w:t>
      </w:r>
      <w:r>
        <w:rPr>
          <w:rFonts w:hint="eastAsia" w:eastAsia="仿宋_GB2312" w:cs="仿宋_GB2312"/>
          <w:color w:val="auto"/>
          <w:sz w:val="32"/>
          <w:szCs w:val="32"/>
          <w:highlight w:val="none"/>
          <w:lang w:eastAsia="zh-CN"/>
        </w:rPr>
        <w:t>调整高海拔折算工龄在职人员补发</w:t>
      </w:r>
      <w:r>
        <w:rPr>
          <w:rFonts w:hint="eastAsia" w:eastAsia="仿宋_GB2312" w:cs="仿宋_GB2312"/>
          <w:color w:val="auto"/>
          <w:sz w:val="32"/>
          <w:szCs w:val="32"/>
          <w:highlight w:val="none"/>
          <w:lang w:val="en-US" w:eastAsia="zh-CN"/>
        </w:rPr>
        <w:t>7个月；二是：</w:t>
      </w:r>
      <w:r>
        <w:rPr>
          <w:rFonts w:hint="eastAsia" w:eastAsia="仿宋_GB2312" w:cs="仿宋_GB2312"/>
          <w:color w:val="auto"/>
          <w:sz w:val="32"/>
          <w:szCs w:val="32"/>
          <w:highlight w:val="none"/>
          <w:lang w:eastAsia="zh-CN"/>
        </w:rPr>
        <w:t>人员变动，养老保险基数调整；三是：新购公务用车一辆。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r>
        <w:rPr>
          <w:rFonts w:hint="eastAsia" w:ascii="仿宋_GB2312" w:hAnsi="仿宋_GB2312" w:eastAsia="仿宋_GB2312" w:cs="仿宋_GB2312"/>
          <w:sz w:val="32"/>
          <w:szCs w:val="32"/>
          <w:lang w:eastAsia="zh-CN"/>
        </w:rPr>
        <w:pict>
          <v:shape id="_x0000_s1027" o:spid="_x0000_s1027" o:spt="75" type="#_x0000_t75" style="position:absolute;left:0pt;margin-left:21.5pt;margin-top:21.8pt;height:228.8pt;width:408.7pt;mso-wrap-distance-bottom:0pt;mso-wrap-distance-left:9pt;mso-wrap-distance-right:9pt;mso-wrap-distance-top:0pt;z-index:251662336;mso-width-relative:page;mso-height-relative:page;" o:ole="t" filled="f" o:preferrelative="t" stroked="f" coordsize="21600,21600" o:gfxdata="UEsDBAoAAAAAAIdO4kAAAAAAAAAAAAAAAAAEAAAAZHJzL1BLAwQUAAAACACHTuJAC0jfYdcAAAAJ&#10;AQAADwAAAGRycy9kb3ducmV2LnhtbE2PQU+EMBCF7yb+h2ZMvLntgiBhKXvYxIMHD64mxluhs9BI&#10;W0ILC//e8aTHN+/lzfeq42oHtuAUjHcS9jsBDF3rtXGdhI/354cCWIjKaTV4hxI2DHCsb28qVWp/&#10;dW+4nGPHqMSFUknoYxxLzkPbo1Vh50d05F38ZFUkOXVcT+pK5XbgiRA5t8o4+tCrEU89tt/n2Ur4&#10;Mn2XpS9zyLdlXJ9mc2o+Xzcp7+/24gAs4hr/wvCLT+hQE1PjZ6cDG0gXCSUlpGkOjPwiS+jQSHgU&#10;WQ68rvj/BfUPUEsDBBQAAAAIAIdO4kCmDHVyDAEAAIYCAAAOAAAAZHJzL2Uyb0RvYy54bWytksFO&#10;wzAQRO9I/IO1d+o0tFUbNeklQuLEBT5gsdeNpcS21i6Bv8e0ARVOVcVt1is9z4x2u3sfevFGHK13&#10;NcxnBQhyymvr9jW8PD/crUHEhE5j7x3V8EERds3tzXYMFZW+870mFhniYjWGGrqUQiVlVB0NGGc+&#10;kMtL43nAlEfeS804ZvrQy7IoVnL0rAN7RTHm1/a0hInIlwC9MVZR69VhIJdOVKYeU44UOxsiNEe3&#10;xpBKT8ZESqKvYbFYLEGkb5G/Kov7Mud/zT1sVuslyGaL1Z4xdFZNhvASQ38SDmhdtvCDajGhOLC9&#10;AqU65JRZqjqqyZS6mvS/NQuurK6BH/X8qzv5K/H5nPX5+TSfUEsDBAoAAAAAAIdO4kAAAAAAAAAA&#10;AAAAAAAPAAAAZHJzL2VtYmVkZGluZ3MvUEsDBBQAAAAIAIdO4kBwx0ETiR0AAKghAAAdAAAAZHJz&#10;L2VtYmVkZGluZ3MvV29ya2Jvb2sxLnhsc3h9WQVYlNvWpoeUlpIU6e6SFmlp6e7uGrpDuiSkke4W&#10;hpShJEU6pUG6BeEf9NzjkXv+u59nvv09M2vteNfaa69Zr4IMLBwy1H0Llf8q/PPlrwcSpDe2M1Jw&#10;tLN3YlaAiOFAvkD8KTYsqg3NCg0FxQsDBYXxTzEDe3smdxvrd3Gd0rCsGCEHAQcYjpUWkWGJ1hHZ&#10;X18wqIN6v1kTTcuJmmprZvVEAjq5D9fmaC7xTbmztY7WbKjuRoSWXq15fZ4oCw6bbAl49Qic4c/e&#10;Vmerepi+frX1lp1yT1oHCIBfgjlunl1KiNyCFa/xY3jBw3CZRvMpSLg2RGJVJF5HiY6USM4iin6l&#10;dICQ52yjDfqlIR8JKdI0RhPWgOLlozVeh8lxXzEZOz7BVh1bMRi1Y8qgWUK54oIPdVSep7jVtVH+&#10;mhE5NMzCbut4sxIqNQUaKCFexuakSj9ozdwIcyIZ3UvzvkQreZkNyghNQdOWxExtXjT2jhTi0cZn&#10;Ln13MCcePleQ8xQjdI3SEd6Q7GJaGVdCc1dldM4X8qMWW84kXzXN2OWEWk8Xa2tz+HBKr3Vz0/wd&#10;5k94GTRVHGwh8DpB4MX8J7xGdo4m9/h6x1fLd7PgvHCjvCU/zpyVl4Gml3sm/K4oSBwTN91EaDbs&#10;I1KDzFbfMHXHvJphYPCBiIoXgrymKGbYWNsF8dL1WhUwnWoRzRzbrCTQPJAMPbHPuEyC2Jlr6wrY&#10;x55M358gKwKQ68y2rQPhRmSEy3aHDzuOciGs8sazya4RczRwmeETsYYkpoc40VDrmvKtTxKfIW5q&#10;ax9hLvvFcsl3OvYz9j4bHbGi0HxaUBR3JU6NK4yMipSfXdZZJ3LUOBUgP5QFm1SzImvEP6RT6DIv&#10;14BDX+26lNbE9fjFGE2aKmpK1leDu8u6kp3ekvkkKJxgJZYc/znZl2KNc2P2uRXU2h7kiwoDjFTz&#10;021alyaox/qEjHqki5sxpBevBlNmjj2OXLl9sxhFb+a2dIuQyzOht5vDrFW3ZHjtSEjQPGmQEW2u&#10;jJcKW2BrehFNgrQTeX0+pcS9xtvmG2r/mL2t/BVQDm1RSzyg2YlwhIKh2uzrk7CF/adxfDEITqgh&#10;xnkEMQ72H8ZxcXK2s7k3T0GcnEy38L3735F/864llRu3llJKY8ZAR55c7Db9jBC/UNVS/PiovaVA&#10;7Wj5RUw3v8DJJ9kaH2LAAU3ddpIs9BHrYdBayd66IPzIHCG4g70hzoadhlbJHguhrHYufU2xVMp8&#10;DmWVN4iDlkedvxyD7YYMDL5kSmbaTiQh2pUGvSzZ9WSS7tlUlIykAWN+ra22DPqM90gb4rc/6GtU&#10;b6zNXOc+rznXrmH7HH8YO7dBXhyoohnECI1VK/ODS3hSA68l+sRI1klzwloZBGvHx6283G/qXLok&#10;9JzHmt8pfeTH6H6Q61aeDtrnyGq+PJ78WAyh8+JXNKYiAW3dcDrEtxa1TbPzuC2kq6t0JRE0iEYf&#10;8kWeSFgr2qorrPBV0BY7naej8WXtHPd9g73H9d9DDywEV3frn0Hn3wUe/RJws3O0cjI3MXF+GKAA&#10;uyXduhADscJDQeH/l+xPFdZ7S0WpyNllsGCAXu/4VnmhV8UaC9VhPCN6UT4hrfiZy4wZNRI3UAfo&#10;KvV9lz9EeMYYfcV4hP0AdDVaVplp1fNI/92E3ICZyEcCjmYm41qZq8osNzOU4ScR7zGkuWOP8exv&#10;6K5vLBYsr9fooIw/jjYlvg4zxQ1hqsx+zDSKQCgqbWPl71zfMkqAkrvlU6KK/3LMRB1l5jDTwESo&#10;K2dQacO+9MQbDe2c8nGi8PEBncV8x7m2V1hlVW6BNkAIO7LxOdvx0PDSVamJbf3nZwjNFd2Ls9cM&#10;KSvHNCN8vi+dc9Xrq14BnSQ+hsTPST87KpBxY4G7zCq0mcvmZOpLf42XADO0Qb5seqAw1QgDPzKp&#10;A9i3eVuOIqV6Wm72eCBRb0QtPUi5FXikJbpLZRZieA2F7BgUIBHMLgSjVZ51012JEyHgdtHBHvFk&#10;HZorW2WA2yfi1pnQmdLfXuVtJqC+xdZ8n5E+GwcYTFROYuKvOpDiFfZjdA8vtgW5XxpL2/79RZEx&#10;7NIyVERHYm8vK8VRNTm/XqS1jcuguTwNgVlQ1tcZuhwGR9LW9zTV/B9Ia8yJSfosbyMWZKtnWBtS&#10;DY/CgvM5keMbsQNwiOETjnqHP8nNz0huDJL5lE6JOQikv6p+ClrLJ3nxEnTC7dmGGsqgwRBw9RU/&#10;F/No1ALUVu3tEDXd6WbgVuMgKyKlpGjfrE011nOo42h6TZIprEB015vh2fJFcpV/nm6WQhgtAkY6&#10;e4IwFOVs0koQah+NvcvPO9bXwmJswpzeQs/ZimJdQqtONJc0JPNbhZGBaL/OCU21Z70c4UJd9CDT&#10;NeD/d/D7uxXi4M7mJjYmD+7WuBfOeJsQt6Um+BVf/hb7KfzTa/c0RmKIOHHanh4JvdmQT/i28bLW&#10;smFWrkZny1aL00IxZvgN+yqYnWRm2NZJbA8TCUlRgVkyDAUAp2L5LJbGdyg5Vyn/FkUASIXN7zC9&#10;VwIQXgBRZh489/U5uAKer42vA5HOolnwggqI211zdoA8aOqS40WrS4T73vZjF0HiFmE0Mg69WQYr&#10;eos+dyAZcxkwTyfJdKEhisuN+oB1qRImNOpTB38TnmAzIzA25Qp9DB35y95l7pykKMt6DSkMKW/m&#10;F0hNIEGSBCjgiO/V2XpjzM1e84VgMK0S7YSw8JXwFTg5HBySkCYalrqltE9MPntkkBtLjH70fBuI&#10;g4SEzuejeneVtCeDW6eKr9gMnqya++wbrGOAIc91miFAmJQwuRvl6VR4WgmtUvH1e7lP7RLDDwso&#10;ZBh1i+Ge05lpm4NzQvhJqHVS4jZg+aLpUBfRLfdrngOOifbgqex5X2/49sapYBpNd7SBoyhcL9Di&#10;7NYkYyvC+uUGcpvqwvYXrce6gYbS4/3IH2bNbV03SxnJjSQu3h265rVNzdJkMCsooJm4FNOCGZJ2&#10;LRlF3AiWYP1glCildvo1Qnpp/Nj2KaQlMtwBlBEFaQg2BsYCI6Ew1Wz5pqfiHVJU/LcvCQKiqg+/&#10;f59Br8x6fqQrBPRyvNvu/5H1ikSAp/lOeX+Qbf6lhTFh2/f9k/a224/XJ/3clSQ+22AU7LvrmCzB&#10;uz0UbozzsYCxyEqSu6PTo8iXWaCb2xzYtu6xviB0qYBgNzRSILcGjNVn/+rUVUxf9kiDN2Em/oaH&#10;e/YLKdXwrVxiE8FzPa6Htk6xGHiHA6cVPS4YJ8WU0amV4HB4AeM3+2z7qB2qnCmYKyscUfMJJ8Xh&#10;LeGjcVb7TNLlE+eFBObUDs3fwNO5HoG5KrmIheqeOwTp+t/UF4hFy5pI4v3YO8HjLWKtOuIZ5ATx&#10;caqSKHne8cK6pkwBsZb0XKGNIB0JndL9ladESEQwioAr8vdq+JXZxeLhg+sYzyZQL6HjqyPX9MGw&#10;2FN4WGzEBgOtPmHB9jPam1W6T7dfiwjOWwjl136UcJSiYsoChLFizxgl2L6J/xRMHMvBVU0agZRI&#10;c2zLsh1AygYMLTqIBSRWyF3YBJQ7ZzHBNQrzyklHwii+ej8fN0j/VuOM/+0Ya5emifA0I0he0rPE&#10;fZO9NWEvur073OnkG3P4Gd+8r0Iu0DxtsaOKXk1rgj/Yp3D09k43Z2pvvbFyEIUWIUkttPPmY/nI&#10;Uv/s6sVbBb5Y9gj0IEF/FHPhFRJUOn7vi4/rLgyRK3mz/Sz+wZE841wkZsdGFKsib9h4QFNe65RY&#10;wbuS7gTY9lYT3fJLyK8K+8lRTrTMyt/bvm12R6TEW/0iwfuIGyE1L728R67EuXJG4juYnzrbeiko&#10;iDVVzvCzSC4nqYrI+IUVYlpgkO6MlsGYa1VT0fyIcn0XTFGShj92PGCzJHqpKBAJv7MeSfFJicB6&#10;cabZa+oTG1NPHZZy5KKulqhcmMeptvQVVimFaikpswRsNnEsA0NUOU/zgG/DFMMid1TyzHKO3jfb&#10;MitZjinn0BgajJrr3FA/3hzinGa0gpWTK8gudps/Sk9Ho0mFMiH2RW10u3xrrMAv+s4aM2qZWJ3M&#10;o21lJI+BAK8mVDwDoB0pX4GAFPcWmEhJrMfYLgsrVx9ibluPhhHky9jM1TfQHvWEckGejSTGgWyo&#10;jugp3fjVa4VLbfqMV/VXV50D8XLkC4E8AucSzgN2FDTVEqXvYfCxoCvdLT04xGDsnsmQa00sKRnR&#10;GU95MRZZ0ZC+5IhUHFOUZR1Z0RyQ4fuuRQC7qlVtiliEGZ+LGU3xRX8oW3Oh7hshb2i9zoXzU1xe&#10;MQ6855+VcL9wLtCZDrHYwcpUC+glcKsPiaHujX87bHZmlrEFVrjIbAbVyAh3DF7yftgnIAwQsWFN&#10;fSHHqptkUDDTU7TAv4EiEDyrkRaU832oea6gKel5Fy8xambpSeCC45euUXefiom4yXa9t+0sVWM6&#10;GDEkrYPvlGgd/Uez99qh/8w7+c3tGwUh98ZLESgotF/Xh5Ozh7WJ030es6dtYzc3iXsrqH/nr1/l&#10;jW8qk6/LUJBcK/nIH8ZGkYyARZ8IRjPXGgZnO05F344mlnFo3rXPj3yhBhd+sr6vBj2y0aWb0Fnu&#10;uxnFi9uJ9ionPXe9IplwNYYkmB0o1hdHGScZTplO++vrBY2VT9AE9pKxJWyXG52NasusopfQPCva&#10;l8Z93btnzbc0ceZ8Rs5hliy2e+Xz9Wauzhsb8i6nnSpIeeTL/JGFLLcBDl7uzSoRHwDDHdFcgWK9&#10;oXbfRXiqjC7x91Nyu0ergZhYhO7ParUrUhAadnf5527t9dG+Su4iiAnZbqu6Sj9dap0NTAipwLR5&#10;lw1QsLVc+szkfTdecCy3h+t8k4B29NnNlwv162uuPmavHnRbS09a1mc7nJ89w0df6wlSAnJTiyvF&#10;S5X14rGbhVXGyYq+DDkOCPmIjvusD1hTl1r8UNZ3OMXaU15SEmJvz4J+L17bUruA7pVpXIuqIWHm&#10;2pCXZdVojX5plo3qAsuMWI9vDqcBNvMCLsfSSxS2e9yeCrbtdDx6qk+KWaYy1oyl6CYiPdisEnIN&#10;ZFwIyEK+EcNy6sxUtqtVBmPh5aeAXRSTxA4Vkpgeh7DdMOCHNH8gitxdxLbnxhQMN0nSDovKYDCq&#10;rioLNiL/ymmJhziNC0M+SQQPMsnxbe7y//xm7jnjsP8ugBwraUfhGA7wPUCUmTZz/0nkJocM6+Cu&#10;TOJ37YXJL+U6xIZNws0jU2g2liIL7FY+SG9HvtyyYj8bHwpCwY7x6h7gPePid9Eu3pQmDiHulNzy&#10;JEmHEulJYOefC3V9wp9j1zlF+LzNwQvxaR46NlviJ6z4DOCZjzkpEVVIyisyZIHGUIVvbh+Pmiqs&#10;qiM3zNeHNLF96KJMF6y53rCpgV4yu/7IdFrryC+XB5t0hrf6fT7XONJQKwy80Y0rL/8yQ9HTLN5u&#10;rvilreKJ0jUL3g9PHvE9O4dr3OxDtfLJIgK5Wsvl8E6s1RFea82NEneXeleXmXqp1dk1h4WAJq43&#10;nnlj5mr0CLYwpWFWhT5o6PalVSYaU7Myw+RRVqutpvahoawmzIhAe7vKsbkdRvPNtYnhhs1TI/Pc&#10;nBZfP5/eTnLLYpEnAFiereZzn+U5kifJWOFr3PFBnNBNP+y2j6DbvKmx+cD7xggaoilKRLzPWEhQ&#10;qQuhoF7ZbyaSybeVxdjURtHztMfIUlTGyJI1/uxj9XBh4yUfZWTyP4GykgzQuKaqE9b2mGGhYt++&#10;MTDG8ujug3MMjZPSVsAHdtqPOKnja7xTVwv8xIJXm2AsRSdK+xI5Rlk9f9CsM9sGKk166qh1t+jG&#10;d8LsXcEs3EH0964SQgbKXBP8OvvQRwYR0uhSROSkrg02IwsXgGj0XR55/BadOuSJ4JhHzTECO4UT&#10;akeGCwKgNG/3LWItfVIt6iwomLsJ8Ls437a05eXCRdTA6W2wuwEOo+o7vBIM6DpHqadQlz2IGPl2&#10;qACgvPlKgdIj/Xp8RX1aCfXINXxo/ugswlWsr2o9MklWcYY1lKDHClNvosx5M2owtzpmEG0/6a8i&#10;072PwNuZYlwvyo9Y9Fuu4OhE1BhOd0SZ17QYDErPuILVGkMgU6/XCJ1GlkMmVgLDsPIQ6b9NG4Na&#10;I/dFCkzwUyiiRWR+iZjySbgp4PEz/aCkaMoIey5mcNJUoh9+JnclgeEEBo3yFCUYIeIiTeTx+1Gl&#10;RAOeTEUbtoSUOXRUAwQdhTDRwYDh2EZinDwTXOoxUZwcLVz2iBAW/xCEHhGYS4KzmjVkTApqf82r&#10;51SWfs4uMCT11aZhhEYios/8ArbsFfzsJW5n6XUmMcY1pgli4zjPgutGENekAdFlGoTCzMjiBpoh&#10;4GbDY8zMpSOlEAR1hUQYyaJswwAc6ZYqdngD6Us0CX6NjuHmWKZov4zYHptVKz/FotSuBkloI4fN&#10;CoGpJX2v8A+PHdH4WZD5RhHlWpvIpijiKfq6FtnCtpkY+kRf1FAK2lG/WgoGHIBFRxbq8255STqM&#10;4PSV3U+ZhS7NEDnrTuoLYjIFUgU8tczU6kA5u53RQobYXDH58FR3Hhyex4OkKb5pfWSW9gSt8OyM&#10;RsnteTbmecyCWTcnw5fo1Hm96MOCt/bH+4WEsjfhQHOMDWk6dzxVzcG1mR9jC6HhcB/MlrEOA6Sp&#10;JsVhiigkl71tLbDzgG6ZQiBuz80pM9JW5qawTEt7LZek4h1tvDGvKPriWDyi+B8EUlyC/HKjuRZs&#10;7fMqYNWg9L4cg7eDcc9vaOnPmtXHItBfK6kCLtrdRvaFiO6STeAq++xpTR7p3WwTiLvdxFxgNx1q&#10;BpojH/hkDAyYZcnLtwsA7b9/DWykVlYz2aHp5ru9WBqWXzSiMtmBsoZ3YTOC20A0OcLoWyinsWC9&#10;3Vr7tipkKfycjlI5/Juh3DW/x83U2MFioCiB76UbFc3n0Da0eGmGarC4MfIYt7ISRcLLLGFzcCNp&#10;wad+jhJaD/F3gahKm8azHY7RFFUqYcGYdK8p/XIoPU253toobyjC213KAJJnN3RebkTn5Fu/t0lW&#10;UabCsY5QvIz6MNW/KVUk20wA7ZnUt62nmyGoT8HmIlsfmjVPcne1srV48NLt4I3Q94D+gW/QHchO&#10;qTqEQRYpyQSqymrRuUMnxoN1JTQOsRVse4GfmMKyu0KP2uXBjXcpy+V98xSVKvlSrJ6XiTrMCX0q&#10;WJffziszhTw+QbaQKo1sIvFYSZoCJQ6jNLukriyMYVWodZ+KjiXJmwUb8PppAipMEaLjhnrvlz6v&#10;Uprtd+EhYwUUJ1Gt4ynDelSEFVQ9fGdk7EauMIH1+Np+BWERFPxlYh2IdHR+IHNk+NSjZUtjny4E&#10;meC0T+72nGxmBumJolFdxGC1umrpDFIa2LTwwNI4Xi3VEM7aH46Q30sHsFSaumcJVdLXomtc2RZW&#10;LI0bJhOlhp1DS+NmNLulNtwes9TH2Eznvmk8q2l+fli6ebqXg7ekr9fg7HPDt0j8yKPwNWh7Edmw&#10;LLfgZHVqlAjBeNo1+usUhTs5lI9V96jNdnvT5KLlvm7tpyiJ5oXpIrWMWYnaycWFIlX+vQWdUg2u&#10;wXeN2Vk57Sz2V31F8j+S/P3n0AJptnrTddwdyLcuFirYf7ghpBWYHqcgCPev9wWWiu4wwPu+y7La&#10;7gLAkMY1w1X1302HK328hekavnuQaH3iA5qOQBIsMkiR777kDfkD7mRu4GhirOzsaGFr9jPfsolR&#10;tISBFLiXUBbJP7WY6phjSn0NXEY6hTJw20HgSuBMSDqH+grfKprlHScKzDp7EiVKi0N6Z9eWmqUY&#10;yb0U8VzC1Z9DlhoeMZ9uIrqBkGv3iztCQELBbIO/Qjc/G8OnLSlW6ji3cE4OWhcn2mbLUa3MoEe0&#10;r3TFTrnW8RvjW8IaNhBYr9SSXxxRgFzgcpGfP0MbIfN0bCFJaZ+hcZVYoN+Yn6F7vUn0xiFGPyi+&#10;n8aDfT+ZNtKRz0uHZPkYui1TMLS71/fKkw+990CI7iR042eh4nd1fw+QhUUL2fwC5IP+C4D7Qpuh&#10;nZ3Vz5pZnNyrbhbUkAPJm9A+t8mKXQxZK2py4W8BVJ1gXo59SDlWmo3v9rl8KWt0RsaUPMmcXXJp&#10;gto3FO/YSRWWd2sdoxxqkrWV+te3Xk4ABnFbuNeT+vBL+PqqenqMwF30rEkSfGjZouzIMcYaBg5i&#10;SxKqyZwcaSvQRlz+klmnxxqFc5hiaVnfyZysk4U+JcONL36DjUlgTAOvJYdDkLuKwPhlTgKTMMi6&#10;oGuhCXN1GOQo55SFw9Ij5oXFllukLzF+7i71yf8qD8gj/eLLtYausNodU/MR5XgDf7h301qCMYij&#10;65xU6WNFQC4DsmhUM17iNVN8eU/rJ2zm6278N2STGKkE771kNmT7j3CmOBDf/RAd76zscSbLyOLU&#10;5iQaUcJnSl7PICwk2cwq9oX6/8s/CBBU9RxNrB+WLYE8rq13kN+WIKVLlL9lmO4ly+NHpD+yYIDv&#10;KZWNNjk3XMwZZ2aKb3LG3n5vZe9GqbDjNfbaQCKKDBMfADGpVxvpS17GLUQLZLqs76NbA1wUA4Tt&#10;+lzbFA+93NUXAiTLQF9gPVTsu+Bado4Nr4MCNwQSZ5ko43S8lEbZQvlpEyzGtlUUhLP4OV8U8goZ&#10;PQ3kAtkq2A4cS4CzSBTkBHoW6cKALQgOPMGtV3Z2JbvDy89T88RG2OnXVOLeuVjH4r4J9Mqbbsc4&#10;e4GAwDvi6CI4eOAmHVpWbsqI9kI7+K1yxPy6drsDQ2qvtjxpxLPsoSvhz583uzrjxrTqBiX5gp7l&#10;7t5RsvV+XEv2EOTUk3Q8Zix1+/+x/KuU9m9wrh/m4u9BYPwAgZMQ0kNO8i+xf7rzf9C1hPg0+CAQ&#10;FDjm7TAexSrxThecPVUOhDKi9zU3BMhopTdm9eVoZDunaKNmBbUfUA/OLTQfTKBTWRqxKBjz0qAy&#10;feeaQGh7dIDOnB1mc9gQCY32RrKK/uCggXRaI1lmog6W1gHJONuARLeeakrfjjYSFmFbhfUs+cV7&#10;TfRJYpsoz4TNEb4fZ36OK8Xni8Kz19QKoQ6xa3cgI9X6R0u51/ush0mIclFyW0K8/e6UYK4vfQiP&#10;12XDRPRCPbRxQ3rldZ3evz0tvxxKO2Lg7+L1jvfki9RC7UlDLXwbPUF2/MmBNs5ahg8PH3TpsP6g&#10;3lh0pOlkBjnpaJCa4z2foSVmZ+tsYuusp+Jhb+Kkc3/iyxMH5WFYcUIuqNq687XYle0N3hjor5gU&#10;U36FnTjv4DhNzgw4PM+k1YcR8X+TLsW3d9V+dwNClaC3ingmPrH4pUzvTB1a3rNgocyUNCHlOBP3&#10;bZBylzuAUwu2ZuzwuyWLBqAjoIR4skyKVsA+ugaavuoY+smQrHcdxRjLsDuGI5Nphx0QxM8EkllW&#10;StVE43oi0KnCIEuX+foUuEoZIKImYPu4oSwtHONNMkWccpvzjp+SLRKu6gbn9JYft3HgUV6Q64Zb&#10;R8N+VG64pgjrY1YQsgxX07HjE29h+ZCSdtXo6dPPxcnChCgymCqjDWXCSf6U5FRoQpl3xjKkK46X&#10;THkN3w2/wiQ0prCjEyZrbMheDthbi8OdZVK8k/wm24shQmMNFc/5JfN8v+hJJOgsbhLhdkH48XMR&#10;eediv027dicojQ24w8Heq8KLk+Gq7jraswHkveHlTUbRWe+S7cWztriGdobWk84TI64bBAUZaBic&#10;n1fOL5b1oWUgxoGChiKDPE+I/tVOvwb4d8bkPuT8ahiQTgtSXP7Piflz0och6F7n16S+f+v8PDL/&#10;a7L7M/mrYfzV/4NI/nO+h1Tyvfyv+aghb3+r/UUsP4ToIVP6WzsE4tJ/a/+HN32o/pDL+63+FEJB&#10;/Vb/m9n7X5u+J61+NQxIB4T7i8K63+6/m+RPlAohEervAPVwoQ8j2f08v1Aa/qfaf8W1h+M8zG1+&#10;jwOH9++ZzsMRHpahfo+QDqlK3edKfxel/hdYf+5dG/BT9T90yJ8e8pAQ+T1j4D/VftMjD5f8MJ/5&#10;PQA8hBuELPmfsP2vRd+zjr8aBqTL+GXhe+W/Ocg/V/6QhbzX/WW1vv/S/c1JKsjA/zysmBDuHwCR&#10;iyS+1/s/UEsDBAoAAAAAAIdO4kAAAAAAAAAAAAAAAAALAAAAZHJzL2NoYXJ0cy9QSwMEFAAAAAgA&#10;h07iQOYb7SacBwAA8h0AABUAAABkcnMvY2hhcnRzL2NoYXJ0MS54bWztWc1uGzcQvhfoO2y2vhW2&#10;tLJkWULkQJbiIKjzg9hJgd4oLiVtzSU3JGVbvhcF0kMvORTouUBvuRRF0kOfJs5zdIbkrlZrOXHS&#10;pD9BVoDAHZLDmeF8wxnu9RunKQ+OmdKJFL0w2qiHARNUxomY9MKHh3vr22GgDREx4VKwXjhnOryx&#10;8/ln12mXTokyBxmhLAAmQndpL5wak3VrNU2nLCV6Q2ZMQN9YqpQYeFWTWqzICTBPea1Rr2/VLJPQ&#10;MyDvwCAlicjnq6vMl+NxQtlQ0lnKhHFSKMaJAQvoaZLpcAeUi4lhUafeDI4J74X1sIZETsTEEc6m&#10;64O7jqjkTMQsHkglwIyl8Snt9rlhSgCrgRQGVvN6pleyVErU0SxbpzLNQLhRwhMzt+KCgMB7MJWg&#10;R/CAPZ4liuleSKNmbghoXjBFmlAltRybDeBYc1bIdwPZtmvbtYbfD1A2ana1mXPmFIrqDdS2Vqxr&#10;RdgjnI8IPULblAYXQxf9OLFqDJxltx8bJjGc2cYp/quETneuk+5IxvP7KlDS4CYEOqN7idJmn2hz&#10;nyjwFyCC95p78Dfm8qQXMs5hDxPt6GAFqc7C4ESRrBfqxzOiWBgQQYEMFjMqfxkYeI9QR9Ll2hyg&#10;6vYlQ0oGMsRsfEhGB2e9sBM1m/U67ALpAvEB9KFj9ELnFIGGIREOCEZWvsT+z3qhAAQhmlRyBEgS&#10;8sC2wuAIfASmwB5YDe3wEdGMJ4g4t5CWPIn3Es5xVa0mowFXbmtaHfxZafgsvSNjR95q1YGf02eW&#10;3huPHXkzJ9cKNrCt0C7zRzCIwMwzNgZ098IvU7HOjWPGSKWDEddBdaWDauwA3s5ItgmGRAXsn9l5&#10;9fT38+9+efX02fn3f7x8/uTl8x/OX/x2/uzFq2dPz3/86fzJr+c//4kMjJ0Lk6AN+1HL/QMaxroL&#10;J3M5M7Aa7UrwBHh12nrcar+skGhBZxOBchQEYMwthY3HjJp9jcyAvZuJ6+T+SWZGHuLLkHFmmLe2&#10;Xyjj0vQVIyiIkwlbKREzwvetjIueQ6ImzDg5EwGxA61Fu6ewgx50LJ4wR5yvIp56HTfqzWar3fIj&#10;c2LUaG6WHtd7kvd2Gu1Ow0+Z5sR2tNXaKp42TgHNl6UHwkKxEVEDPARQbmgPE++SVHK33gSCYwbR&#10;3q1A+UxDPGSx6zwmaj6QXC4FTTA5g42m3STO9XOjpYqZZ++N7bYe4PSAjXHGeOdgypiJrq3trkUo&#10;uaVC/4DAcYQjMjOAYO1tbsGOtACWcjCj3eOdRr0RgRfi/GOrf4beh/Et5+Ne7KLQ9FJ4D1uC0TJM&#10;dzu7Q2tx8LWlYc7xruiKYBiBAe/2+C6bAEyPva94m8T7I65R1dh6p7O71RRELTopsVu2ynT9tUZ3&#10;rb+2+Wb72Sh/0X4O08vmW4yKQhTuGJCPmF8e9Roje4HhLMbpYpau2HKQe7ckNwwq9t3lHwMA1s4t&#10;Bkgj3KpnsxJLrfrGJbpttjsbDetaC9e4qNvm9vZGe/uCbguBQNFcBWhapVB35/dV9/duWnJ/T7nc&#10;/Qd/z/0bH8L9bw7bw03niJ/c//27/wBhO/jA7t9oRO0r+P/KYc7nPSLfCgAeiyUAeMqlAPjiwc29&#10;axbhGC0WgRuh+uYD4AJwFwwQpf64geZVI3+/hT97mn5y/ffu+subvQiycPwv4vvVor4PrNWMoBLw&#10;r+7JxXmrp/Jkn02YiL9ilcwUeh4RqMBLVSaOHhBzl6TLZzvSD5haSb/PFMX6sspndzYacXaQnJVZ&#10;gQaFaBOSfZ3ExueAjajjsy2bRWeO33rD5oK0S05v+3w3ajW3O83Njk87Fh3tzmZ9qwUVifV3mxYW&#10;KSKc4n2bri+GV/hoSqDomSBspUpAIVuVOynSRNwhp55taWA50ynEuS99JT5y+qTkW6kOE3p0B4pq&#10;x89WYzblBs6XdxqYBElVwVCwU3MoHdeVdUUARWinBcl1QLHmHEMxBc00i6H+FBOoN/kEqj0Kpact&#10;5cp111LCOOzgzw4q13VRXsBBxVKq67ZzMmaXrjyEtLUSb+xVBWb1r612MLK5Mq1cfa9vQT2Jz79a&#10;haPJLqu5O+9Ycn/MpTbstCuY3ZbChQvcAem+L62WwOr7mAcO1rnfMOU9Hd8cbHyQ5CPeB0d2NHRm&#10;iySgwk2DzsvayN1AQLor78y4SfaPOUDJzbFQhUhUBAUIXdXoUJGvBPr3FB18mWqjwy2VxHjjYsun&#10;HNlc/O/hDDa+qB+ck3upCRZHZC/0ZyTAW87gMNlPxBGDmOX3+x8MoG9xMfMpVH08t4KvD1WVRMGG&#10;sdWhynbtMnPCmA9PI/fiU4cizuQYL25e8lOxILz+nARgLd332QQPUxduW0XG4FMQR70pjJrjoOJ+&#10;y1cz5TTG1ck5o2KKu3izgfZD3HKuBtOn8/5CCvYfvlqvgAhc1Lkdehw666NE3xPc1yA+tMeJznbh&#10;C8aR7vuzH4oCn+BCyTGEI1vj9xXIvitHd373myNp6VpzKZnds49FYCUn/QhO2CpwAKEQSlZ9RLok&#10;fXUpub1Crmwg7UK5gZ8Q+ZAYEigIG71Q3Y7dPSpmZQ8z/FS5vDHlOfby2n5ms59qd/4CUEsDBBQA&#10;AAAIAIdO4kCEVsL6ywQAAL0lAAAVAAAAZHJzL2NoYXJ0cy9zdHlsZTEueG1s7Vptb+I4EP4rUX5A&#10;A3ShgEqlbhHSSfS22lvpPpvEAd85cc42S+mvvxnnhZiQsr2mKaBrvjQTcDzPM35mPObWV2N/RaT+&#10;Q285dZ4jHoNBTdyV1snY85S/ohFRVxHzpVAi1Fe+iDwRhsynXiDJhsVLr9fp9rzdKG42DKmMIhIa&#10;wytCISOi1ZWQy3yMiMMonYEXERa7DgsmLgzq3t3C9MgzUz+Y5tTc8fg7DeEDzxO343rGFDLOK0Ya&#10;htTXFXMo4p0xYrGQ8BIyVnK5eODS+Un4xO2P8DJ2vo4eRZCaB/1Ox7ySjMH8LQxT83Vu9oph7m49&#10;mHf2KjPFgIbfn6SjXiZuF0dx/qYyhv/BZ3QCP2676RNNl0Ju78H5M/ZbJU8S8eWxs5m4o36v7zo+&#10;SSZuyImGf6MEmFbx0nUIXwIgvs74EJwFM+C1Qs50hFeFnG7Ogk3OMDdb5ABR5fGlWMcBsoDzTMlI&#10;5w2slIgbHeatwpRZCPeSEicSAawkwrnY/C7Qm28/qZQsoOCtsc1ZTHMbuATvayG8If4wBLOwK0dp&#10;zpaFjrU0ZubPfHcPxEtguG5pFoyma5loMicLCrHZDmFfOnhVQv4mj2075Hu52Qp5mGmZ6eNhHVhe&#10;FncPGLlr3ZbrHyDF7wtyo0dl8bCWx9cZXhWmCkpspgoCLaasdfV2SQKiFyLYQrKRQmOOdFTiz5hU&#10;ek6UfiISsnLXdUCINCpPCDoEsstZ4jorIV/2bfg5SOPwxHU2EpVb/bMmkroO/y0Gcbse9G8GrqPN&#10;TXfYGw5dR5afLMpPSOzDUKnMO+nNg4Z7zPTgd3K/1qCTOpOm1I9UkA8GIBqfBIt/LRyzckJhoVPk&#10;egJvLKQwrSNMbL+jfKjRV8zx9oSLu+vpL62nU3Igm3LhAmayqhPGUg+4SXbmM1YJ10VCAK3mOYBB&#10;8+Wf5qvesH+TlyQyDtIwrF3e9dmvtoSwWC9AKmB7JBIqweaAOwJ4BnNb6Jp673XFrIO0InwWkCXY&#10;9qCcky2kJ0dto4WAUt5n0ucgVoq9UCjss8AqvvMnkzSUJDrH0C0V0x8fuTZQiN8PsjjrHVmuA7Ep&#10;zEFwsPi/2E2KzVggNvFXckB2Ut21xDjfZH+oGNdvOJooAK2KyqL5dW1q/N2HRa1ERiBFUiSJk9gK&#10;Nrcm7gd4mQxb7qoU7RO7Ni6aLfW1MRm/nnXLWMK2W8iTCvnmgG08TI8Aa2EJ+wdxQkJiqTmu7sJw&#10;cO3tZr+EtgyHGvaR/HVK/jQXJW32zbBWqwJaWLDrWi15Pyv3NAfxrIdXReHyfowtcKPc/J8Frorn&#10;is3FpaaPJppge4XAq+nDxpKSgMpLhbbtzMz30KRLGgdtCUIT2RLk7W3NVL5zMeFCn9/hACp6PnPD&#10;VH5zPT2vU46yI1kPS1HJqDrzg7bjDf09N9Pb/yUND3zfv9nYQ1Nf0HH1Fzz2XJiThNKhNZ4qGNuC&#10;KIqFc3Ycj+tr572WoOz4tKruxvLm1nAr3Yi0IuyOOn3w3JxWv6fBlsDRy5SoVfprAbVVU6GzA1T7&#10;tNlAZwFWwNfqceOnZMgDrq6Tk9qw1/eo6nrYb2g1Nb47O7jd3SEKv3NZ04tPebaXGzi6rurQZ207&#10;i8YERsnxTkU6eZSI3e+s7v4FUEsDBBQAAAAIAIdO4kAc7vt5EAEAAFwDAAAWAAAAZHJzL2NoYXJ0&#10;cy9jb2xvcnMxLnhtbJ2T0W6DIBiFX8XwAIJW62Zqk1bbu2UXewKGoCQgDbCuffuhnW5abzRc8Z+c&#10;7xz+hB0xKVFC6Q97F9S7SdG4gclAbe0lhdCQmkpsfMmJVkYx6xMloWKMEwpLjb95U8EQBSEkNda2&#10;o4BfDH6iqAttXARTWmJrfKWrniGFo6AtlJg3wJPU1hkgdyIo8HiZgQCB/Q6nRlefudDeFYsMxMfX&#10;YxED+CSciqTYBDPCIW7PjHA+5wihGSGKkjCPZoQEHYooaQW3wCvWHFuumsm1bSa+5JsqH423LqRL&#10;gf9NY8TU89J7OtQ7Yw+UW9Z61IL4ofI4PloRH6/wJL1nHL/pxwteMqAWeIbK4/hhPEG117/Pt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EQAAAGRycy9jaGFydHMvX3JlbHMvUEsDBBQAAAAI&#10;AIdO4kB1kHGC9wAAACECAAAgAAAAZHJzL2NoYXJ0cy9fcmVscy9jaGFydDEueG1sLnJlbHOtkU1L&#10;xDAQhu+C/yHM3aRdQUQ23YMi7FVXPGfT6QdNMiUTZfvvTRHRLtWTxyTked55Z7s7eSfeMXJPQUMp&#10;CxAYLNV9aDW8HB6vbkFwMqE2jgJqmJBhV11ebJ/QmZQ/cdePLDIlsIYupfFOKbYdesOSRgz5paHo&#10;TcrH2KrR2MG0qDZFcaPiTwZUC6bY1xrivr4GcZjGbD5j+95GYmqStOQVNU1vZ2pZLqnKdiame3IU&#10;n9PkMNNMbDFpsPMdlzIHBLXu3vyH+0zLc4o/reUv1pU2P8d+IPvmMaSVUr/6/h5bSoX+iPW8YVav&#10;FIcj0ZADOT7NPajFYqsPUEsDBAoAAAAAAIdO4kAAAAAAAAAAAAAAAAAKAAAAZHJzL19yZWxzL1BL&#10;AwQUAAAACACHTuJAqxbNRrMAAAAiAQAAGQAAAGRycy9fcmVscy9lMm9Eb2MueG1sLnJlbHOFj80K&#10;wjAQhO+C7xD2btN6EJEmvYjQq9QHWNLtD7ZJyEaxb2/Qi4LgcXaYb3bK6jFP4k6BR2cVFFkOgqxx&#10;7Wh7BZfmtNmD4Ii2xclZUrAQQ6XXq/JME8YU4mH0LBLFsoIhRn+Qks1AM3LmPNnkdC7MGJMMvfRo&#10;rtiT3Ob5ToZPBugvpqhbBaFuCxDN4lPzf7brutHQ0ZnbTDb+qJBmwBATEENPUcFL8vtaZOlTkLqU&#10;X8v0E1BLAwQUAAAACACHTuJAlTpspz8BAACXAwAAEwAAAFtDb250ZW50X1R5cGVzXS54bWydk8tO&#10;wzAQRfdI/EPkLWrcdoEQatoFKUtAqHyAZU+aCL/kcdP075m4qZAQJS0ry497z9wZebHqjM5aCNg4&#10;W7BZPmUZWOlUY7cF+9g8Tx5YhlFYJbSzULADIFstb28Wm4MHzEhtsWB1jP6Rc5Q1GIG582DppnLB&#10;iEjbsOVeyE+xBT6fTu+5dDaCjZPYe7DlooRK7HTM1h0dHyvpNHYsezo+7FkFE97rRopIlfLWqh+U&#10;iauqRoJycmfIO0cfQCisAaLReVoZ/xUVQON1qCFMTspUDtaNxztKfIbQ35zPMuheaQqhUZC9iRBf&#10;hKHEXAXksqb9sMzyv63G26KC2NNsqSXJ91T0GNxpF/ASusFhEEd/mYTxoOFCEvZv/wFKujGGcnsb&#10;oL2gid8xyoAlyd6hHXOHuSudvNZ8nVQnb56+1fILUEsBAhQAFAAAAAgAh07iQJU6bKc/AQAAlwMA&#10;ABMAAAAAAAAAAQAgAAAAHTIAAFtDb250ZW50X1R5cGVzXS54bWxQSwECFAAKAAAAAACHTuJAAAAA&#10;AAAAAAAAAAAABgAAAAAAAAAAABAAAACJLgAAX3JlbHMvUEsBAhQAFAAAAAgAh07iQIoUZjzRAAAA&#10;lAEAAAsAAAAAAAAAAQAgAAAArS4AAF9yZWxzLy5yZWxzUEsBAhQACgAAAAAAh07iQAAAAAAAAAAA&#10;AAAAAAQAAAAAAAAAAAAQAAAAAAAAAGRycy9QSwECFAAKAAAAAACHTuJAAAAAAAAAAAAAAAAACgAA&#10;AAAAAAAAABAAAAALMQAAZHJzL19yZWxzL1BLAQIUABQAAAAIAIdO4kCrFs1GswAAACIBAAAZAAAA&#10;AAAAAAEAIAAAADMxAABkcnMvX3JlbHMvZTJvRG9jLnhtbC5yZWxzUEsBAhQACgAAAAAAh07iQAAA&#10;AAAAAAAAAAAAAAsAAAAAAAAAAAAQAAAATyAAAGRycy9jaGFydHMvUEsBAhQACgAAAAAAh07iQAAA&#10;AAAAAAAAAAAAABEAAAAAAAAAAAAQAAAApy8AAGRycy9jaGFydHMvX3JlbHMvUEsBAhQAFAAAAAgA&#10;h07iQHWQcYL3AAAAIQIAACAAAAAAAAAAAQAgAAAA1i8AAGRycy9jaGFydHMvX3JlbHMvY2hhcnQx&#10;LnhtbC5yZWxzUEsBAhQAFAAAAAgAh07iQOYb7SacBwAA8h0AABUAAAAAAAAAAQAgAAAAeCAAAGRy&#10;cy9jaGFydHMvY2hhcnQxLnhtbFBLAQIUABQAAAAIAIdO4kAc7vt5EAEAAFwDAAAWAAAAAAAAAAEA&#10;IAAAAEUtAABkcnMvY2hhcnRzL2NvbG9yczEueG1sUEsBAhQAFAAAAAgAh07iQIRWwvrLBAAAvSUA&#10;ABUAAAAAAAAAAQAgAAAARygAAGRycy9jaGFydHMvc3R5bGUxLnhtbFBLAQIUABQAAAAIAIdO4kAL&#10;SN9h1wAAAAkBAAAPAAAAAAAAAAEAIAAAACIAAABkcnMvZG93bnJldi54bWxQSwECFAAUAAAACACH&#10;TuJApgx1cgwBAACGAgAADgAAAAAAAAABACAAAAAmAQAAZHJzL2Uyb0RvYy54bWxQSwECFAAKAAAA&#10;AACHTuJAAAAAAAAAAAAAAAAADwAAAAAAAAAAABAAAABeAgAAZHJzL2VtYmVkZGluZ3MvUEsBAhQA&#10;FAAAAAgAh07iQHDHQROJHQAAqCEAAB0AAAAAAAAAAQAgAAAAiwIAAGRycy9lbWJlZGRpbmdzL1dv&#10;cmtib29rMS54bHN4UEsFBgAAAAAQABAA8AMAAI0zAAAAAA==&#10;">
            <v:path/>
            <v:fill on="f" focussize="0,0"/>
            <v:stroke on="f"/>
            <v:imagedata r:id="rId14" o:title=""/>
            <o:lock v:ext="edit" aspectratio="f"/>
            <w10:wrap type="square"/>
          </v:shape>
          <o:OLEObject Type="Embed" ProgID="Excel.Sheet.8" ShapeID="_x0000_s1027" DrawAspect="Content" ObjectID="_1468075726" r:id="rId13">
            <o:LockedField>false</o:LockedField>
          </o:OLEObject>
        </w:pic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29"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1728.4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1425.24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82</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155.7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63.03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84.41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tabs>
          <w:tab w:val="left" w:pos="1693"/>
        </w:tabs>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eastAsia="zh-CN"/>
        </w:rPr>
        <w:drawing>
          <wp:anchor distT="0" distB="0" distL="114300" distR="114300" simplePos="0" relativeHeight="251663360" behindDoc="1" locked="0" layoutInCell="1" allowOverlap="1">
            <wp:simplePos x="0" y="0"/>
            <wp:positionH relativeFrom="column">
              <wp:posOffset>366395</wp:posOffset>
            </wp:positionH>
            <wp:positionV relativeFrom="paragraph">
              <wp:posOffset>278130</wp:posOffset>
            </wp:positionV>
            <wp:extent cx="4813300" cy="2473325"/>
            <wp:effectExtent l="4445" t="5080" r="20955" b="17145"/>
            <wp:wrapTight wrapText="bothSides">
              <wp:wrapPolygon>
                <wp:start x="-20" y="-44"/>
                <wp:lineTo x="-20" y="21417"/>
                <wp:lineTo x="21523" y="21417"/>
                <wp:lineTo x="21523" y="-44"/>
                <wp:lineTo x="-20" y="-44"/>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eastAsia="仿宋_GB2312" w:cs="仿宋_GB2312"/>
          <w:color w:val="auto"/>
          <w:kern w:val="2"/>
          <w:sz w:val="32"/>
          <w:szCs w:val="32"/>
          <w:highlight w:val="none"/>
          <w:lang w:val="en-US" w:eastAsia="zh-CN" w:bidi="ar-SA"/>
        </w:rPr>
        <w:tab/>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0"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1" w:name="_Toc15377213"/>
      <w:bookmarkStart w:id="32" w:name="_Toc15378460"/>
      <w:bookmarkStart w:id="33"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1728.4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1"/>
      <w:bookmarkEnd w:id="32"/>
      <w:bookmarkEnd w:id="33"/>
    </w:p>
    <w:p>
      <w:pPr>
        <w:pageBreakBefore w:val="0"/>
        <w:kinsoku/>
        <w:wordWrap/>
        <w:overflowPunct/>
        <w:topLinePunct w:val="0"/>
        <w:bidi w:val="0"/>
        <w:spacing w:line="576" w:lineRule="exact"/>
        <w:ind w:firstLine="64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000000" w:themeColor="text1"/>
          <w:sz w:val="32"/>
          <w:szCs w:val="32"/>
          <w14:textFill>
            <w14:solidFill>
              <w14:schemeClr w14:val="tx1"/>
            </w14:solidFill>
          </w14:textFill>
        </w:rPr>
        <w:t>201</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一一般公共服务支出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1425.24万元，占82.6%；208-社会保障和就业支出155.7万元，占9%；210-卫生健康支出63.03万元，占3%；221-住房保障支出84.41万元，占4.8%。</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sz w:val="32"/>
          <w:szCs w:val="32"/>
          <w:lang w:eastAsia="zh-CN"/>
        </w:rPr>
        <w:drawing>
          <wp:anchor distT="0" distB="0" distL="114300" distR="114300" simplePos="0" relativeHeight="251664384" behindDoc="1" locked="0" layoutInCell="1" allowOverlap="1">
            <wp:simplePos x="0" y="0"/>
            <wp:positionH relativeFrom="column">
              <wp:posOffset>42545</wp:posOffset>
            </wp:positionH>
            <wp:positionV relativeFrom="paragraph">
              <wp:posOffset>109220</wp:posOffset>
            </wp:positionV>
            <wp:extent cx="5361940" cy="3267710"/>
            <wp:effectExtent l="4445" t="4445" r="5715" b="23495"/>
            <wp:wrapTight wrapText="bothSides">
              <wp:wrapPolygon>
                <wp:start x="-18" y="-29"/>
                <wp:lineTo x="-18" y="21503"/>
                <wp:lineTo x="21546" y="21503"/>
                <wp:lineTo x="21546" y="-29"/>
                <wp:lineTo x="-18" y="-29"/>
              </wp:wrapPolygon>
            </wp:wrapTight>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tabs>
          <w:tab w:val="right" w:pos="8306"/>
        </w:tabs>
        <w:spacing w:line="600" w:lineRule="exact"/>
        <w:ind w:firstLine="640"/>
        <w:outlineLvl w:val="1"/>
        <w:rPr>
          <w:rStyle w:val="32"/>
          <w:rFonts w:ascii="Times New Roman" w:hAnsi="Times New Roman"/>
          <w:color w:val="auto"/>
          <w:highlight w:val="none"/>
        </w:rPr>
      </w:pPr>
      <w:bookmarkStart w:id="34" w:name="_Toc15396608"/>
      <w:bookmarkStart w:id="3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34"/>
      <w:bookmarkEnd w:id="35"/>
      <w:r>
        <w:rPr>
          <w:rStyle w:val="32"/>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1241.01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1098.4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w:t>
      </w:r>
      <w:r>
        <w:rPr>
          <w:rFonts w:hint="eastAsia" w:eastAsia="仿宋_GB2312" w:cs="仿宋_GB2312"/>
          <w:color w:val="auto"/>
          <w:kern w:val="2"/>
          <w:sz w:val="32"/>
          <w:szCs w:val="32"/>
          <w:highlight w:val="none"/>
          <w:lang w:val="en-US" w:eastAsia="zh-CN" w:bidi="ar-SA"/>
        </w:rPr>
        <w:t>199.54万元</w:t>
      </w:r>
      <w:r>
        <w:rPr>
          <w:rFonts w:hint="eastAsia" w:ascii="Times New Roman" w:hAnsi="Times New Roman" w:eastAsia="仿宋_GB2312" w:cs="仿宋_GB2312"/>
          <w:color w:val="auto"/>
          <w:kern w:val="2"/>
          <w:sz w:val="32"/>
          <w:szCs w:val="32"/>
          <w:highlight w:val="none"/>
          <w:lang w:val="en-US" w:eastAsia="zh-CN" w:bidi="ar-SA"/>
        </w:rPr>
        <w:t>、津贴补贴</w:t>
      </w:r>
      <w:r>
        <w:rPr>
          <w:rFonts w:hint="eastAsia" w:eastAsia="仿宋_GB2312" w:cs="仿宋_GB2312"/>
          <w:color w:val="auto"/>
          <w:kern w:val="2"/>
          <w:sz w:val="32"/>
          <w:szCs w:val="32"/>
          <w:highlight w:val="none"/>
          <w:lang w:val="en-US" w:eastAsia="zh-CN" w:bidi="ar-SA"/>
        </w:rPr>
        <w:t>274.84万元</w:t>
      </w:r>
      <w:r>
        <w:rPr>
          <w:rFonts w:hint="eastAsia" w:ascii="Times New Roman" w:hAnsi="Times New Roman" w:eastAsia="仿宋_GB2312" w:cs="仿宋_GB2312"/>
          <w:color w:val="auto"/>
          <w:kern w:val="2"/>
          <w:sz w:val="32"/>
          <w:szCs w:val="32"/>
          <w:highlight w:val="none"/>
          <w:lang w:val="en-US" w:eastAsia="zh-CN" w:bidi="ar-SA"/>
        </w:rPr>
        <w:t>、奖金</w:t>
      </w:r>
      <w:r>
        <w:rPr>
          <w:rFonts w:hint="eastAsia" w:eastAsia="仿宋_GB2312" w:cs="仿宋_GB2312"/>
          <w:color w:val="auto"/>
          <w:kern w:val="2"/>
          <w:sz w:val="32"/>
          <w:szCs w:val="32"/>
          <w:highlight w:val="none"/>
          <w:lang w:val="en-US" w:eastAsia="zh-CN" w:bidi="ar-SA"/>
        </w:rPr>
        <w:t>250.43万元</w:t>
      </w:r>
      <w:r>
        <w:rPr>
          <w:rFonts w:hint="eastAsia" w:ascii="Times New Roman" w:hAnsi="Times New Roman" w:eastAsia="仿宋_GB2312" w:cs="仿宋_GB2312"/>
          <w:color w:val="auto"/>
          <w:kern w:val="2"/>
          <w:sz w:val="32"/>
          <w:szCs w:val="32"/>
          <w:highlight w:val="none"/>
          <w:lang w:val="en-US" w:eastAsia="zh-CN" w:bidi="ar-SA"/>
        </w:rPr>
        <w:t>、绩效工资</w:t>
      </w:r>
      <w:r>
        <w:rPr>
          <w:rFonts w:hint="eastAsia" w:eastAsia="仿宋_GB2312" w:cs="仿宋_GB2312"/>
          <w:color w:val="auto"/>
          <w:kern w:val="2"/>
          <w:sz w:val="32"/>
          <w:szCs w:val="32"/>
          <w:highlight w:val="none"/>
          <w:lang w:val="en-US" w:eastAsia="zh-CN" w:bidi="ar-SA"/>
        </w:rPr>
        <w:t>38.5万元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w:t>
      </w:r>
      <w:r>
        <w:rPr>
          <w:rFonts w:hint="eastAsia" w:eastAsia="仿宋_GB2312" w:cs="仿宋_GB2312"/>
          <w:color w:val="auto"/>
          <w:kern w:val="2"/>
          <w:sz w:val="32"/>
          <w:szCs w:val="32"/>
          <w:highlight w:val="none"/>
          <w:lang w:val="en-US" w:eastAsia="zh-CN" w:bidi="ar-SA"/>
        </w:rPr>
        <w:t>103.8万元</w:t>
      </w:r>
      <w:r>
        <w:rPr>
          <w:rFonts w:hint="eastAsia" w:ascii="Times New Roman" w:hAnsi="Times New Roman" w:eastAsia="仿宋_GB2312" w:cs="仿宋_GB2312"/>
          <w:color w:val="auto"/>
          <w:kern w:val="2"/>
          <w:sz w:val="32"/>
          <w:szCs w:val="32"/>
          <w:highlight w:val="none"/>
          <w:lang w:val="en-US" w:eastAsia="zh-CN" w:bidi="ar-SA"/>
        </w:rPr>
        <w:t>、职业年金缴费</w:t>
      </w:r>
      <w:r>
        <w:rPr>
          <w:rFonts w:hint="eastAsia" w:eastAsia="仿宋_GB2312" w:cs="仿宋_GB2312"/>
          <w:color w:val="auto"/>
          <w:kern w:val="2"/>
          <w:sz w:val="32"/>
          <w:szCs w:val="32"/>
          <w:highlight w:val="none"/>
          <w:lang w:val="en-US" w:eastAsia="zh-CN" w:bidi="ar-SA"/>
        </w:rPr>
        <w:t>51.9万元</w:t>
      </w:r>
      <w:r>
        <w:rPr>
          <w:rFonts w:hint="eastAsia" w:ascii="Times New Roman" w:hAnsi="Times New Roman" w:eastAsia="仿宋_GB2312" w:cs="仿宋_GB2312"/>
          <w:color w:val="auto"/>
          <w:kern w:val="2"/>
          <w:sz w:val="32"/>
          <w:szCs w:val="32"/>
          <w:highlight w:val="none"/>
          <w:lang w:val="en-US" w:eastAsia="zh-CN" w:bidi="ar-SA"/>
        </w:rPr>
        <w:t>、抚恤金</w:t>
      </w:r>
      <w:r>
        <w:rPr>
          <w:rFonts w:hint="eastAsia" w:eastAsia="仿宋_GB2312" w:cs="仿宋_GB2312"/>
          <w:color w:val="auto"/>
          <w:kern w:val="2"/>
          <w:sz w:val="32"/>
          <w:szCs w:val="32"/>
          <w:highlight w:val="none"/>
          <w:lang w:val="en-US" w:eastAsia="zh-CN" w:bidi="ar-SA"/>
        </w:rPr>
        <w:t>47.84万元</w:t>
      </w:r>
      <w:r>
        <w:rPr>
          <w:rFonts w:hint="eastAsia" w:ascii="Times New Roman" w:hAnsi="Times New Roman" w:eastAsia="仿宋_GB2312" w:cs="仿宋_GB2312"/>
          <w:color w:val="auto"/>
          <w:kern w:val="2"/>
          <w:sz w:val="32"/>
          <w:szCs w:val="32"/>
          <w:highlight w:val="none"/>
          <w:lang w:val="en-US" w:eastAsia="zh-CN" w:bidi="ar-SA"/>
        </w:rPr>
        <w:t>、生活补助</w:t>
      </w:r>
      <w:r>
        <w:rPr>
          <w:rFonts w:hint="eastAsia" w:eastAsia="仿宋_GB2312" w:cs="仿宋_GB2312"/>
          <w:color w:val="auto"/>
          <w:kern w:val="2"/>
          <w:sz w:val="32"/>
          <w:szCs w:val="32"/>
          <w:highlight w:val="none"/>
          <w:lang w:val="en-US" w:eastAsia="zh-CN" w:bidi="ar-SA"/>
        </w:rPr>
        <w:t>25.75万元</w:t>
      </w:r>
      <w:r>
        <w:rPr>
          <w:rFonts w:hint="eastAsia" w:ascii="Times New Roman" w:hAnsi="Times New Roman" w:eastAsia="仿宋_GB2312" w:cs="仿宋_GB2312"/>
          <w:color w:val="auto"/>
          <w:kern w:val="2"/>
          <w:sz w:val="32"/>
          <w:szCs w:val="32"/>
          <w:highlight w:val="none"/>
          <w:lang w:val="en-US" w:eastAsia="zh-CN" w:bidi="ar-SA"/>
        </w:rPr>
        <w:t>、医疗费补助</w:t>
      </w:r>
      <w:r>
        <w:rPr>
          <w:rFonts w:hint="eastAsia" w:eastAsia="仿宋_GB2312" w:cs="仿宋_GB2312"/>
          <w:color w:val="auto"/>
          <w:kern w:val="2"/>
          <w:sz w:val="32"/>
          <w:szCs w:val="32"/>
          <w:highlight w:val="none"/>
          <w:lang w:val="en-US" w:eastAsia="zh-CN" w:bidi="ar-SA"/>
        </w:rPr>
        <w:t>1.39万元</w:t>
      </w:r>
      <w:r>
        <w:rPr>
          <w:rFonts w:hint="eastAsia" w:ascii="Times New Roman" w:hAnsi="Times New Roman" w:eastAsia="仿宋_GB2312" w:cs="仿宋_GB2312"/>
          <w:color w:val="auto"/>
          <w:kern w:val="2"/>
          <w:sz w:val="32"/>
          <w:szCs w:val="32"/>
          <w:highlight w:val="none"/>
          <w:lang w:val="en-US" w:eastAsia="zh-CN" w:bidi="ar-SA"/>
        </w:rPr>
        <w:t>、奖励金</w:t>
      </w:r>
      <w:r>
        <w:rPr>
          <w:rFonts w:hint="eastAsia" w:eastAsia="仿宋_GB2312" w:cs="仿宋_GB2312"/>
          <w:color w:val="auto"/>
          <w:kern w:val="2"/>
          <w:sz w:val="32"/>
          <w:szCs w:val="32"/>
          <w:highlight w:val="none"/>
          <w:lang w:val="en-US" w:eastAsia="zh-CN" w:bidi="ar-SA"/>
        </w:rPr>
        <w:t xml:space="preserve">0.03万元 </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84.41万元</w:t>
      </w:r>
      <w:r>
        <w:rPr>
          <w:rFonts w:hint="eastAsia" w:ascii="Times New Roman" w:hAnsi="Times New Roman" w:eastAsia="仿宋_GB2312" w:cs="仿宋_GB2312"/>
          <w:color w:val="auto"/>
          <w:kern w:val="2"/>
          <w:sz w:val="32"/>
          <w:szCs w:val="32"/>
          <w:highlight w:val="none"/>
          <w:lang w:val="en-US" w:eastAsia="zh-CN" w:bidi="ar-SA"/>
        </w:rPr>
        <w:t>、其他对个人和家庭的补助支出等</w:t>
      </w:r>
      <w:r>
        <w:rPr>
          <w:rFonts w:hint="eastAsia" w:eastAsia="仿宋_GB2312" w:cs="仿宋_GB2312"/>
          <w:color w:val="auto"/>
          <w:kern w:val="2"/>
          <w:sz w:val="32"/>
          <w:szCs w:val="32"/>
          <w:highlight w:val="none"/>
          <w:lang w:val="en-US" w:eastAsia="zh-CN" w:bidi="ar-SA"/>
        </w:rPr>
        <w:t>25.75万元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142.6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24.9万元</w:t>
      </w:r>
      <w:r>
        <w:rPr>
          <w:rFonts w:hint="eastAsia" w:ascii="Times New Roman" w:hAnsi="Times New Roman" w:eastAsia="仿宋_GB2312" w:cs="仿宋_GB2312"/>
          <w:color w:val="auto"/>
          <w:kern w:val="2"/>
          <w:sz w:val="32"/>
          <w:szCs w:val="32"/>
          <w:highlight w:val="none"/>
          <w:lang w:val="en-US" w:eastAsia="zh-CN" w:bidi="ar-SA"/>
        </w:rPr>
        <w:t>、手续费</w:t>
      </w:r>
      <w:r>
        <w:rPr>
          <w:rFonts w:hint="eastAsia" w:eastAsia="仿宋_GB2312" w:cs="仿宋_GB2312"/>
          <w:color w:val="auto"/>
          <w:kern w:val="2"/>
          <w:sz w:val="32"/>
          <w:szCs w:val="32"/>
          <w:highlight w:val="none"/>
          <w:lang w:val="en-US" w:eastAsia="zh-CN" w:bidi="ar-SA"/>
        </w:rPr>
        <w:t>0.05万元</w:t>
      </w:r>
      <w:r>
        <w:rPr>
          <w:rFonts w:hint="eastAsia" w:ascii="Times New Roman" w:hAnsi="Times New Roman" w:eastAsia="仿宋_GB2312" w:cs="仿宋_GB2312"/>
          <w:color w:val="auto"/>
          <w:kern w:val="2"/>
          <w:sz w:val="32"/>
          <w:szCs w:val="32"/>
          <w:highlight w:val="none"/>
          <w:lang w:val="en-US" w:eastAsia="zh-CN" w:bidi="ar-SA"/>
        </w:rPr>
        <w:t>、水费</w:t>
      </w:r>
      <w:r>
        <w:rPr>
          <w:rFonts w:hint="eastAsia" w:eastAsia="仿宋_GB2312" w:cs="仿宋_GB2312"/>
          <w:color w:val="auto"/>
          <w:kern w:val="2"/>
          <w:sz w:val="32"/>
          <w:szCs w:val="32"/>
          <w:highlight w:val="none"/>
          <w:lang w:val="en-US" w:eastAsia="zh-CN" w:bidi="ar-SA"/>
        </w:rPr>
        <w:t>1.2万元</w:t>
      </w:r>
      <w:r>
        <w:rPr>
          <w:rFonts w:hint="eastAsia" w:ascii="Times New Roman" w:hAnsi="Times New Roman" w:eastAsia="仿宋_GB2312" w:cs="仿宋_GB2312"/>
          <w:color w:val="auto"/>
          <w:kern w:val="2"/>
          <w:sz w:val="32"/>
          <w:szCs w:val="32"/>
          <w:highlight w:val="none"/>
          <w:lang w:val="en-US" w:eastAsia="zh-CN" w:bidi="ar-SA"/>
        </w:rPr>
        <w:t>、电费</w:t>
      </w:r>
      <w:r>
        <w:rPr>
          <w:rFonts w:hint="eastAsia" w:eastAsia="仿宋_GB2312" w:cs="仿宋_GB2312"/>
          <w:color w:val="auto"/>
          <w:kern w:val="2"/>
          <w:sz w:val="32"/>
          <w:szCs w:val="32"/>
          <w:highlight w:val="none"/>
          <w:lang w:val="en-US" w:eastAsia="zh-CN" w:bidi="ar-SA"/>
        </w:rPr>
        <w:t>0.3万元</w:t>
      </w:r>
      <w:r>
        <w:rPr>
          <w:rFonts w:hint="eastAsia" w:ascii="Times New Roman" w:hAnsi="Times New Roman" w:eastAsia="仿宋_GB2312" w:cs="仿宋_GB2312"/>
          <w:color w:val="auto"/>
          <w:kern w:val="2"/>
          <w:sz w:val="32"/>
          <w:szCs w:val="32"/>
          <w:highlight w:val="none"/>
          <w:lang w:val="en-US" w:eastAsia="zh-CN" w:bidi="ar-SA"/>
        </w:rPr>
        <w:t>、邮电费</w:t>
      </w:r>
      <w:r>
        <w:rPr>
          <w:rFonts w:hint="eastAsia" w:eastAsia="仿宋_GB2312" w:cs="仿宋_GB2312"/>
          <w:color w:val="auto"/>
          <w:kern w:val="2"/>
          <w:sz w:val="32"/>
          <w:szCs w:val="32"/>
          <w:highlight w:val="none"/>
          <w:lang w:val="en-US" w:eastAsia="zh-CN" w:bidi="ar-SA"/>
        </w:rPr>
        <w:t>5万元</w:t>
      </w:r>
      <w:r>
        <w:rPr>
          <w:rFonts w:hint="eastAsia" w:ascii="Times New Roman" w:hAnsi="Times New Roman" w:eastAsia="仿宋_GB2312" w:cs="仿宋_GB2312"/>
          <w:color w:val="auto"/>
          <w:kern w:val="2"/>
          <w:sz w:val="32"/>
          <w:szCs w:val="32"/>
          <w:highlight w:val="none"/>
          <w:lang w:val="en-US" w:eastAsia="zh-CN" w:bidi="ar-SA"/>
        </w:rPr>
        <w:t>、取暖费</w:t>
      </w:r>
      <w:r>
        <w:rPr>
          <w:rFonts w:hint="eastAsia" w:eastAsia="仿宋_GB2312" w:cs="仿宋_GB2312"/>
          <w:color w:val="auto"/>
          <w:kern w:val="2"/>
          <w:sz w:val="32"/>
          <w:szCs w:val="32"/>
          <w:highlight w:val="none"/>
          <w:lang w:val="en-US" w:eastAsia="zh-CN" w:bidi="ar-SA"/>
        </w:rPr>
        <w:t>2.56万元</w:t>
      </w:r>
      <w:r>
        <w:rPr>
          <w:rFonts w:hint="eastAsia" w:ascii="Times New Roman" w:hAnsi="Times New Roman" w:eastAsia="仿宋_GB2312" w:cs="仿宋_GB2312"/>
          <w:color w:val="auto"/>
          <w:kern w:val="2"/>
          <w:sz w:val="32"/>
          <w:szCs w:val="32"/>
          <w:highlight w:val="none"/>
          <w:lang w:val="en-US" w:eastAsia="zh-CN" w:bidi="ar-SA"/>
        </w:rPr>
        <w:t>、差旅费</w:t>
      </w:r>
      <w:r>
        <w:rPr>
          <w:rFonts w:hint="eastAsia" w:eastAsia="仿宋_GB2312" w:cs="仿宋_GB2312"/>
          <w:color w:val="auto"/>
          <w:kern w:val="2"/>
          <w:sz w:val="32"/>
          <w:szCs w:val="32"/>
          <w:highlight w:val="none"/>
          <w:lang w:val="en-US" w:eastAsia="zh-CN" w:bidi="ar-SA"/>
        </w:rPr>
        <w:t>11.17万元</w:t>
      </w:r>
      <w:r>
        <w:rPr>
          <w:rFonts w:hint="eastAsia" w:ascii="Times New Roman" w:hAnsi="Times New Roman" w:eastAsia="仿宋_GB2312" w:cs="仿宋_GB2312"/>
          <w:color w:val="auto"/>
          <w:kern w:val="2"/>
          <w:sz w:val="32"/>
          <w:szCs w:val="32"/>
          <w:highlight w:val="none"/>
          <w:lang w:val="en-US" w:eastAsia="zh-CN" w:bidi="ar-SA"/>
        </w:rPr>
        <w:t>、因公出国（境）费用、维修（护）费</w:t>
      </w:r>
      <w:r>
        <w:rPr>
          <w:rFonts w:hint="eastAsia" w:eastAsia="仿宋_GB2312" w:cs="仿宋_GB2312"/>
          <w:color w:val="auto"/>
          <w:kern w:val="2"/>
          <w:sz w:val="32"/>
          <w:szCs w:val="32"/>
          <w:highlight w:val="none"/>
          <w:lang w:val="en-US" w:eastAsia="zh-CN" w:bidi="ar-SA"/>
        </w:rPr>
        <w:t>0.45万元</w:t>
      </w:r>
      <w:r>
        <w:rPr>
          <w:rFonts w:hint="eastAsia" w:ascii="Times New Roman" w:hAnsi="Times New Roman" w:eastAsia="仿宋_GB2312" w:cs="仿宋_GB2312"/>
          <w:color w:val="auto"/>
          <w:kern w:val="2"/>
          <w:sz w:val="32"/>
          <w:szCs w:val="32"/>
          <w:highlight w:val="none"/>
          <w:lang w:val="en-US" w:eastAsia="zh-CN" w:bidi="ar-SA"/>
        </w:rPr>
        <w:t>、培训费</w:t>
      </w:r>
      <w:r>
        <w:rPr>
          <w:rFonts w:hint="eastAsia" w:eastAsia="仿宋_GB2312" w:cs="仿宋_GB2312"/>
          <w:color w:val="auto"/>
          <w:kern w:val="2"/>
          <w:sz w:val="32"/>
          <w:szCs w:val="32"/>
          <w:highlight w:val="none"/>
          <w:lang w:val="en-US" w:eastAsia="zh-CN" w:bidi="ar-SA"/>
        </w:rPr>
        <w:t>0.5万元</w:t>
      </w:r>
      <w:r>
        <w:rPr>
          <w:rFonts w:hint="eastAsia" w:ascii="Times New Roman" w:hAnsi="Times New Roman" w:eastAsia="仿宋_GB2312" w:cs="仿宋_GB2312"/>
          <w:color w:val="auto"/>
          <w:kern w:val="2"/>
          <w:sz w:val="32"/>
          <w:szCs w:val="32"/>
          <w:highlight w:val="none"/>
          <w:lang w:val="en-US" w:eastAsia="zh-CN" w:bidi="ar-SA"/>
        </w:rPr>
        <w:t>、公务接待费</w:t>
      </w:r>
      <w:r>
        <w:rPr>
          <w:rFonts w:hint="eastAsia" w:eastAsia="仿宋_GB2312" w:cs="仿宋_GB2312"/>
          <w:color w:val="auto"/>
          <w:kern w:val="2"/>
          <w:sz w:val="32"/>
          <w:szCs w:val="32"/>
          <w:highlight w:val="none"/>
          <w:lang w:val="en-US" w:eastAsia="zh-CN" w:bidi="ar-SA"/>
        </w:rPr>
        <w:t>0.4万元</w:t>
      </w:r>
      <w:r>
        <w:rPr>
          <w:rFonts w:hint="eastAsia" w:ascii="Times New Roman" w:hAnsi="Times New Roman" w:eastAsia="仿宋_GB2312" w:cs="仿宋_GB2312"/>
          <w:color w:val="auto"/>
          <w:kern w:val="2"/>
          <w:sz w:val="32"/>
          <w:szCs w:val="32"/>
          <w:highlight w:val="none"/>
          <w:lang w:val="en-US" w:eastAsia="zh-CN" w:bidi="ar-SA"/>
        </w:rPr>
        <w:t>、委托业务费</w:t>
      </w:r>
      <w:r>
        <w:rPr>
          <w:rFonts w:hint="eastAsia" w:eastAsia="仿宋_GB2312" w:cs="仿宋_GB2312"/>
          <w:color w:val="auto"/>
          <w:kern w:val="2"/>
          <w:sz w:val="32"/>
          <w:szCs w:val="32"/>
          <w:highlight w:val="none"/>
          <w:lang w:val="en-US" w:eastAsia="zh-CN" w:bidi="ar-SA"/>
        </w:rPr>
        <w:t>6.41万元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8.06万元</w:t>
      </w:r>
      <w:r>
        <w:rPr>
          <w:rFonts w:hint="eastAsia"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78.01万元</w:t>
      </w:r>
      <w:r>
        <w:rPr>
          <w:rFonts w:hint="eastAsia" w:ascii="Times New Roman" w:hAnsi="Times New Roman" w:eastAsia="仿宋_GB2312" w:cs="仿宋_GB2312"/>
          <w:color w:val="auto"/>
          <w:kern w:val="2"/>
          <w:sz w:val="32"/>
          <w:szCs w:val="32"/>
          <w:highlight w:val="none"/>
          <w:lang w:val="en-US" w:eastAsia="zh-CN" w:bidi="ar-SA"/>
        </w:rPr>
        <w:t>、其他交通费</w:t>
      </w:r>
      <w:r>
        <w:rPr>
          <w:rFonts w:hint="eastAsia" w:eastAsia="仿宋_GB2312" w:cs="仿宋_GB2312"/>
          <w:color w:val="auto"/>
          <w:kern w:val="2"/>
          <w:sz w:val="32"/>
          <w:szCs w:val="32"/>
          <w:highlight w:val="none"/>
          <w:lang w:val="en-US" w:eastAsia="zh-CN" w:bidi="ar-SA"/>
        </w:rPr>
        <w:t>3.1万元，</w:t>
      </w:r>
      <w:r>
        <w:rPr>
          <w:rFonts w:hint="eastAsia" w:ascii="Times New Roman" w:hAnsi="Times New Roman" w:eastAsia="仿宋_GB2312" w:cs="仿宋_GB2312"/>
          <w:color w:val="auto"/>
          <w:kern w:val="2"/>
          <w:sz w:val="32"/>
          <w:szCs w:val="32"/>
          <w:highlight w:val="none"/>
          <w:lang w:val="en-US" w:eastAsia="zh-CN" w:bidi="ar-SA"/>
        </w:rPr>
        <w:t>办公设备购置</w:t>
      </w:r>
      <w:r>
        <w:rPr>
          <w:rFonts w:hint="eastAsia" w:eastAsia="仿宋_GB2312" w:cs="仿宋_GB2312"/>
          <w:color w:val="auto"/>
          <w:kern w:val="2"/>
          <w:sz w:val="32"/>
          <w:szCs w:val="32"/>
          <w:highlight w:val="none"/>
          <w:lang w:val="en-US" w:eastAsia="zh-CN" w:bidi="ar-SA"/>
        </w:rPr>
        <w:t>0.43万元</w:t>
      </w:r>
      <w:r>
        <w:rPr>
          <w:rFonts w:hint="eastAsia" w:ascii="Times New Roman" w:hAnsi="Times New Roman" w:eastAsia="仿宋_GB2312" w:cs="仿宋_GB2312"/>
          <w:color w:val="auto"/>
          <w:kern w:val="2"/>
          <w:sz w:val="32"/>
          <w:szCs w:val="32"/>
          <w:highlight w:val="none"/>
          <w:lang w:val="en-US" w:eastAsia="zh-CN" w:bidi="ar-SA"/>
        </w:rPr>
        <w:t>等。</w:t>
      </w:r>
    </w:p>
    <w:p>
      <w:pPr>
        <w:pStyle w:val="11"/>
        <w:rPr>
          <w:rFonts w:hint="eastAsia"/>
          <w:lang w:val="en-US" w:eastAsia="zh-CN"/>
        </w:rPr>
      </w:pPr>
    </w:p>
    <w:p>
      <w:pPr>
        <w:spacing w:line="600" w:lineRule="exact"/>
        <w:ind w:firstLine="640"/>
        <w:outlineLvl w:val="1"/>
        <w:rPr>
          <w:rStyle w:val="32"/>
          <w:rFonts w:ascii="Times New Roman" w:hAnsi="Times New Roman" w:eastAsia="黑体"/>
          <w:b w:val="0"/>
          <w:color w:val="auto"/>
          <w:highlight w:val="none"/>
        </w:rPr>
      </w:pPr>
      <w:bookmarkStart w:id="36" w:name="_Toc15396609"/>
      <w:bookmarkStart w:id="37" w:name="_Toc15377215"/>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6"/>
      <w:bookmarkEnd w:id="3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8"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8"/>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223.06</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98.66</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64.06</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28</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2024年新购公务用车一辆。</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9"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9"/>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9.98</w:t>
      </w:r>
      <w:r>
        <w:rPr>
          <w:rFonts w:hint="eastAsia" w:ascii="仿宋_GB2312" w:hAnsi="仿宋_GB2312" w:eastAsia="仿宋_GB2312" w:cs="仿宋_GB2312"/>
          <w:color w:val="auto"/>
          <w:kern w:val="2"/>
          <w:sz w:val="32"/>
          <w:szCs w:val="32"/>
          <w:highlight w:val="none"/>
          <w:lang w:val="en-US" w:eastAsia="zh-CN" w:bidi="ar-SA"/>
        </w:rPr>
        <w:t>万元，占4%；公务用车购置及运行维护费支出决算</w:t>
      </w:r>
      <w:r>
        <w:rPr>
          <w:rFonts w:hint="eastAsia" w:ascii="仿宋_GB2312" w:hAnsi="仿宋_GB2312" w:eastAsia="仿宋_GB2312" w:cs="仿宋_GB2312"/>
          <w:sz w:val="32"/>
          <w:szCs w:val="32"/>
        </w:rPr>
        <w:t>212.68</w:t>
      </w:r>
      <w:r>
        <w:rPr>
          <w:rFonts w:hint="eastAsia" w:ascii="仿宋_GB2312" w:hAnsi="仿宋_GB2312" w:eastAsia="仿宋_GB2312" w:cs="仿宋_GB2312"/>
          <w:color w:val="auto"/>
          <w:kern w:val="2"/>
          <w:sz w:val="32"/>
          <w:szCs w:val="32"/>
          <w:highlight w:val="none"/>
          <w:lang w:val="en-US" w:eastAsia="zh-CN" w:bidi="ar-SA"/>
        </w:rPr>
        <w:t>万元，占94%；公务接待费支出决算</w:t>
      </w:r>
      <w:r>
        <w:rPr>
          <w:rFonts w:hint="eastAsia" w:ascii="仿宋_GB2312" w:hAnsi="仿宋_GB2312" w:eastAsia="仿宋_GB2312" w:cs="仿宋_GB2312"/>
          <w:sz w:val="32"/>
          <w:szCs w:val="32"/>
        </w:rPr>
        <w:t>0.4</w:t>
      </w:r>
      <w:r>
        <w:rPr>
          <w:rFonts w:hint="eastAsia" w:ascii="仿宋_GB2312" w:hAnsi="仿宋_GB2312" w:eastAsia="仿宋_GB2312" w:cs="仿宋_GB2312"/>
          <w:color w:val="auto"/>
          <w:kern w:val="2"/>
          <w:sz w:val="32"/>
          <w:szCs w:val="32"/>
          <w:highlight w:val="none"/>
          <w:lang w:val="en-US" w:eastAsia="zh-CN" w:bidi="ar-SA"/>
        </w:rPr>
        <w:t>万元，占1%。具体情况如下：</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pStyle w:val="11"/>
        <w:rPr>
          <w:rFonts w:hint="eastAsia"/>
          <w:lang w:val="en-US" w:eastAsia="zh-CN"/>
        </w:rPr>
      </w:pPr>
      <w:r>
        <w:rPr>
          <w:rFonts w:hint="eastAsia" w:ascii="仿宋_GB2312" w:hAnsi="仿宋_GB2312" w:eastAsia="仿宋_GB2312" w:cs="仿宋_GB2312"/>
          <w:sz w:val="32"/>
          <w:szCs w:val="32"/>
          <w:lang w:eastAsia="zh-CN"/>
        </w:rPr>
        <w:drawing>
          <wp:anchor distT="0" distB="0" distL="114300" distR="114300" simplePos="0" relativeHeight="251665408" behindDoc="1" locked="0" layoutInCell="1" allowOverlap="1">
            <wp:simplePos x="0" y="0"/>
            <wp:positionH relativeFrom="column">
              <wp:posOffset>-37465</wp:posOffset>
            </wp:positionH>
            <wp:positionV relativeFrom="paragraph">
              <wp:posOffset>1606550</wp:posOffset>
            </wp:positionV>
            <wp:extent cx="4935220" cy="2391410"/>
            <wp:effectExtent l="4445" t="4445" r="59055" b="42545"/>
            <wp:wrapTight wrapText="bothSides">
              <wp:wrapPolygon>
                <wp:start x="-19" y="-40"/>
                <wp:lineTo x="-19" y="21571"/>
                <wp:lineTo x="21525" y="21571"/>
                <wp:lineTo x="21525" y="-40"/>
                <wp:lineTo x="-19" y="-4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numPr>
          <w:ilvl w:val="0"/>
          <w:numId w:val="2"/>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因公出国（境）经费支出</w:t>
      </w:r>
      <w:r>
        <w:rPr>
          <w:rFonts w:hint="eastAsia" w:eastAsia="仿宋_GB2312" w:cs="仿宋_GB2312"/>
          <w:b/>
          <w:bCs/>
          <w:color w:val="auto"/>
          <w:kern w:val="2"/>
          <w:sz w:val="32"/>
          <w:szCs w:val="32"/>
          <w:highlight w:val="none"/>
          <w:lang w:val="en-US" w:eastAsia="zh-CN" w:bidi="ar-SA"/>
        </w:rPr>
        <w:t>9.98</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w:t>
      </w:r>
      <w:r>
        <w:rPr>
          <w:rFonts w:hint="eastAsia" w:eastAsia="仿宋_GB2312" w:cs="仿宋_GB2312"/>
          <w:color w:val="auto"/>
          <w:kern w:val="2"/>
          <w:sz w:val="32"/>
          <w:szCs w:val="32"/>
          <w:highlight w:val="none"/>
          <w:lang w:val="en-US" w:eastAsia="zh-CN" w:bidi="ar-SA"/>
        </w:rPr>
        <w:t>9.98</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:州政府安排付阿根廷、哥伦比亚、巴拿马开展经贸文旅、农畜牧业等交流活动。</w:t>
      </w:r>
    </w:p>
    <w:p>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212.68万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0.4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新购公务用车一辆。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lang w:val="en-US" w:eastAsia="zh-CN"/>
        </w:rPr>
        <w:t>60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60</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应急保障用车</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14</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lang w:val="en-US" w:eastAsia="zh-CN"/>
        </w:rPr>
        <w:t>155.11</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保障办公室日常出差</w:t>
      </w:r>
      <w:r>
        <w:rPr>
          <w:rFonts w:hint="eastAsia" w:ascii="仿宋_GB2312" w:hAnsi="仿宋_GB2312" w:eastAsia="仿宋_GB2312" w:cs="仿宋_GB2312"/>
          <w:sz w:val="32"/>
          <w:szCs w:val="32"/>
          <w:lang w:eastAsia="zh-CN"/>
        </w:rPr>
        <w:t>主要用于办公室</w:t>
      </w:r>
      <w:r>
        <w:rPr>
          <w:rFonts w:hint="eastAsia" w:ascii="仿宋_GB2312" w:hAnsi="仿宋_GB2312" w:eastAsia="仿宋_GB2312" w:cs="仿宋_GB2312"/>
          <w:color w:val="000000"/>
          <w:sz w:val="32"/>
          <w:szCs w:val="32"/>
          <w:lang w:eastAsia="zh-CN"/>
        </w:rPr>
        <w:t>工作出差、开展脱贫攻坚工作下乡、浙江、绵阳援建等所需的公务用车燃料费、维修费、过路过桥费、保险费等支出。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0.4万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0.12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待2批次，</w:t>
      </w:r>
      <w:r>
        <w:rPr>
          <w:rFonts w:hint="eastAsia" w:ascii="仿宋_GB2312" w:hAnsi="仿宋_GB2312" w:eastAsia="仿宋_GB2312" w:cs="仿宋_GB2312"/>
          <w:sz w:val="32"/>
          <w:szCs w:val="32"/>
        </w:rPr>
        <w:t>50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40" w:name="_Toc15396610"/>
      <w:bookmarkStart w:id="41" w:name="_Toc15377218"/>
      <w:r>
        <w:rPr>
          <w:rFonts w:hint="eastAsia" w:ascii="仿宋_GB2312" w:hAnsi="仿宋_GB2312" w:eastAsia="仿宋_GB2312" w:cs="仿宋_GB2312"/>
          <w:color w:val="auto"/>
          <w:kern w:val="2"/>
          <w:sz w:val="32"/>
          <w:szCs w:val="32"/>
          <w:highlight w:val="none"/>
          <w:lang w:val="en-US" w:eastAsia="zh-CN" w:bidi="ar-SA"/>
        </w:rPr>
        <w:t>.</w:t>
      </w:r>
    </w:p>
    <w:p>
      <w:pPr>
        <w:spacing w:line="600" w:lineRule="exact"/>
        <w:ind w:firstLine="64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40"/>
      <w:bookmarkEnd w:id="41"/>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42" w:name="_Toc15377219"/>
      <w:bookmarkStart w:id="43" w:name="_Toc15396611"/>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42"/>
      <w:bookmarkEnd w:id="4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44" w:name="_Toc15377221"/>
      <w:bookmarkStart w:id="45" w:name="_Toc15396612"/>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44"/>
      <w:bookmarkEnd w:id="45"/>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6" w:name="_Toc15377222"/>
      <w:r>
        <w:rPr>
          <w:rFonts w:hint="eastAsia" w:ascii="Times New Roman" w:hAnsi="Times New Roman" w:eastAsia="楷体_GB2312" w:cs="楷体_GB2312"/>
          <w:b/>
          <w:color w:val="auto"/>
          <w:sz w:val="32"/>
          <w:szCs w:val="32"/>
          <w:highlight w:val="none"/>
        </w:rPr>
        <w:t>（一）机关运行经费支出情况</w:t>
      </w:r>
      <w:bookmarkEnd w:id="46"/>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红原县人民政府办公室</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718.61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元，比2023年度减少</w:t>
      </w:r>
      <w:r>
        <w:rPr>
          <w:rFonts w:hint="eastAsia" w:eastAsia="仿宋_GB2312" w:cs="仿宋_GB2312"/>
          <w:color w:val="auto"/>
          <w:kern w:val="2"/>
          <w:sz w:val="32"/>
          <w:szCs w:val="32"/>
          <w:highlight w:val="none"/>
          <w:lang w:val="en-US" w:eastAsia="zh-CN" w:bidi="ar-SA"/>
        </w:rPr>
        <w:t>50.69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厉行节约。</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7" w:name="_Toc15377223"/>
      <w:r>
        <w:rPr>
          <w:rFonts w:hint="eastAsia" w:ascii="Times New Roman" w:hAnsi="Times New Roman" w:eastAsia="楷体_GB2312" w:cs="楷体_GB2312"/>
          <w:b/>
          <w:color w:val="auto"/>
          <w:sz w:val="32"/>
          <w:szCs w:val="32"/>
          <w:highlight w:val="none"/>
        </w:rPr>
        <w:t>（二）政府采购支出情况</w:t>
      </w:r>
      <w:bookmarkEnd w:id="4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红原县人民政府办公室</w:t>
      </w:r>
      <w:r>
        <w:rPr>
          <w:rFonts w:hint="eastAsia" w:ascii="仿宋_GB2312" w:hAnsi="仿宋_GB2312" w:eastAsia="仿宋_GB2312" w:cs="仿宋_GB2312"/>
          <w:color w:val="auto"/>
          <w:kern w:val="2"/>
          <w:sz w:val="32"/>
          <w:szCs w:val="32"/>
          <w:highlight w:val="none"/>
          <w:lang w:val="en-US" w:eastAsia="zh-CN" w:bidi="ar-SA"/>
        </w:rPr>
        <w:t>政府采购支出总额60万元，其中：政府采购货物支出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万元。主要用采购公务用车一辆用于保障办公室出差、下乡、调研。其中：授予小微企业合同金额60万元，占政府采购支出总额的100%。</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8" w:name="_Toc15377224"/>
      <w:r>
        <w:rPr>
          <w:rFonts w:hint="eastAsia" w:ascii="Times New Roman" w:hAnsi="Times New Roman" w:eastAsia="楷体_GB2312" w:cs="楷体_GB2312"/>
          <w:b/>
          <w:color w:val="auto"/>
          <w:sz w:val="32"/>
          <w:szCs w:val="32"/>
          <w:highlight w:val="none"/>
        </w:rPr>
        <w:t>（三）国有资产占有使用情况</w:t>
      </w:r>
      <w:bookmarkEnd w:id="48"/>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红原县人民政府办公室</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14</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autoSpaceDE w:val="0"/>
        <w:autoSpaceDN w:val="0"/>
        <w:adjustRightInd w:val="0"/>
        <w:spacing w:line="600" w:lineRule="exact"/>
        <w:ind w:firstLine="642" w:firstLineChars="200"/>
        <w:jc w:val="left"/>
        <w:outlineLvl w:val="2"/>
        <w:rPr>
          <w:rFonts w:ascii="仿宋" w:eastAsia="仿宋"/>
          <w:b/>
          <w:sz w:val="32"/>
          <w:szCs w:val="32"/>
        </w:rPr>
      </w:pPr>
      <w:r>
        <w:rPr>
          <w:rFonts w:hint="eastAsia" w:ascii="仿宋" w:eastAsia="仿宋"/>
          <w:b/>
          <w:sz w:val="32"/>
          <w:szCs w:val="32"/>
        </w:rPr>
        <w:t>（</w:t>
      </w:r>
      <w:r>
        <w:rPr>
          <w:rFonts w:hint="eastAsia" w:ascii="仿宋" w:eastAsia="仿宋"/>
          <w:b/>
          <w:sz w:val="32"/>
          <w:szCs w:val="32"/>
          <w:lang w:eastAsia="zh-CN"/>
        </w:rPr>
        <w:t>四</w:t>
      </w:r>
      <w:r>
        <w:rPr>
          <w:rFonts w:hint="eastAsia" w:ascii="仿宋" w:eastAsia="仿宋"/>
          <w:b/>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rPr>
        <w:t>电子政务外网运行服务费</w:t>
      </w:r>
      <w:r>
        <w:rPr>
          <w:rFonts w:hint="eastAsia" w:ascii="仿宋_GB2312" w:hAnsi="仿宋_GB2312" w:eastAsia="仿宋_GB2312" w:cs="仿宋_GB2312"/>
          <w:sz w:val="32"/>
          <w:szCs w:val="32"/>
          <w:lang w:val="en-US" w:eastAsia="zh-CN"/>
        </w:rPr>
        <w:t>专项预算</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eastAsia="zh-CN"/>
        </w:rPr>
        <w:t>这</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项目开展绩效监控，年终执行完毕后，对</w:t>
      </w:r>
      <w:r>
        <w:rPr>
          <w:rFonts w:hint="eastAsia" w:ascii="仿宋_GB2312" w:hAnsi="仿宋_GB2312" w:eastAsia="仿宋_GB2312" w:cs="仿宋_GB2312"/>
          <w:sz w:val="32"/>
          <w:szCs w:val="32"/>
          <w:lang w:eastAsia="zh-CN"/>
        </w:rPr>
        <w:t>该</w:t>
      </w:r>
      <w:r>
        <w:rPr>
          <w:rFonts w:hint="eastAsia" w:ascii="仿宋_GB2312" w:hAnsi="仿宋_GB2312" w:eastAsia="仿宋_GB2312" w:cs="仿宋_GB2312"/>
          <w:sz w:val="32"/>
          <w:szCs w:val="32"/>
        </w:rPr>
        <w:t>项目开展了绩效目标完成情况自评。</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本单位该</w:t>
      </w:r>
      <w:r>
        <w:rPr>
          <w:rFonts w:hint="eastAsia" w:ascii="仿宋_GB2312" w:hAnsi="仿宋_GB2312" w:eastAsia="仿宋_GB2312" w:cs="仿宋_GB2312"/>
          <w:sz w:val="32"/>
          <w:szCs w:val="32"/>
          <w:lang w:val="en-US" w:eastAsia="zh-CN"/>
        </w:rPr>
        <w:t>项目完成情况良好，严格按照本单位制定的目标绩效管理制度来开展绩效管理工作，项目资金为专项经费的，全部用于专项2024年</w:t>
      </w:r>
      <w:r>
        <w:rPr>
          <w:rFonts w:hint="eastAsia" w:ascii="仿宋_GB2312" w:hAnsi="仿宋_GB2312" w:eastAsia="仿宋_GB2312" w:cs="仿宋_GB2312"/>
          <w:sz w:val="32"/>
          <w:szCs w:val="32"/>
          <w:shd w:val="clear" w:color="auto" w:fill="FFFFFF"/>
        </w:rPr>
        <w:t>本部门未组织开展项目支出</w:t>
      </w:r>
      <w:r>
        <w:rPr>
          <w:rFonts w:hint="eastAsia" w:ascii="仿宋_GB2312" w:hAnsi="仿宋_GB2312" w:eastAsia="仿宋_GB2312" w:cs="仿宋_GB2312"/>
          <w:sz w:val="32"/>
          <w:szCs w:val="32"/>
          <w:shd w:val="clear" w:color="auto" w:fill="FFFFFF"/>
          <w:lang w:eastAsia="zh-CN"/>
        </w:rPr>
        <w:t>事后</w:t>
      </w:r>
      <w:r>
        <w:rPr>
          <w:rFonts w:hint="eastAsia" w:ascii="仿宋_GB2312" w:hAnsi="仿宋_GB2312" w:eastAsia="仿宋_GB2312" w:cs="仿宋_GB2312"/>
          <w:sz w:val="32"/>
          <w:szCs w:val="32"/>
          <w:shd w:val="clear" w:color="auto" w:fill="FFFFFF"/>
        </w:rPr>
        <w:t>绩效评价</w:t>
      </w:r>
      <w:r>
        <w:rPr>
          <w:rFonts w:hint="eastAsia" w:ascii="仿宋_GB2312" w:hAnsi="仿宋_GB2312" w:eastAsia="仿宋_GB2312" w:cs="仿宋_GB2312"/>
          <w:sz w:val="32"/>
          <w:szCs w:val="32"/>
          <w:shd w:val="clear" w:color="auto" w:fill="FFFFFF"/>
          <w:lang w:eastAsia="zh-CN"/>
        </w:rPr>
        <w:t>。</w:t>
      </w:r>
    </w:p>
    <w:p>
      <w:pPr>
        <w:numPr>
          <w:ilvl w:val="0"/>
          <w:numId w:val="0"/>
        </w:numPr>
        <w:spacing w:line="580" w:lineRule="exact"/>
        <w:ind w:firstLine="320" w:firstLineChars="100"/>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1.</w:t>
      </w: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FF0000"/>
          <w:sz w:val="32"/>
          <w:szCs w:val="32"/>
          <w:highlight w:val="none"/>
        </w:rPr>
        <w:br w:type="textWrapping"/>
      </w:r>
      <w:r>
        <w:rPr>
          <w:rFonts w:hint="eastAsia" w:ascii="仿宋_GB2312" w:hAnsi="仿宋_GB2312" w:eastAsia="仿宋_GB2312" w:cs="仿宋_GB2312"/>
          <w:color w:val="FF0000"/>
          <w:sz w:val="32"/>
          <w:szCs w:val="32"/>
          <w:highlight w:val="none"/>
        </w:rPr>
        <w:t xml:space="preserve">    </w:t>
      </w:r>
      <w:r>
        <w:rPr>
          <w:rFonts w:hint="eastAsia" w:ascii="仿宋_GB2312" w:hAnsi="仿宋_GB2312" w:eastAsia="仿宋_GB2312" w:cs="仿宋_GB2312"/>
          <w:color w:val="auto"/>
          <w:sz w:val="32"/>
          <w:szCs w:val="32"/>
          <w:highlight w:val="none"/>
        </w:rPr>
        <w:t>本部门在20</w:t>
      </w:r>
      <w:r>
        <w:rPr>
          <w:rFonts w:hint="eastAsia" w:ascii="仿宋_GB2312" w:hAnsi="仿宋_GB2312" w:eastAsia="仿宋_GB2312" w:cs="仿宋_GB2312"/>
          <w:color w:val="auto"/>
          <w:sz w:val="32"/>
          <w:szCs w:val="32"/>
          <w:highlight w:val="none"/>
          <w:lang w:val="en-US" w:eastAsia="zh-CN"/>
        </w:rPr>
        <w:t>24</w:t>
      </w:r>
      <w:r>
        <w:rPr>
          <w:rFonts w:hint="eastAsia" w:ascii="仿宋_GB2312" w:hAnsi="仿宋_GB2312" w:eastAsia="仿宋_GB2312" w:cs="仿宋_GB2312"/>
          <w:color w:val="auto"/>
          <w:sz w:val="32"/>
          <w:szCs w:val="32"/>
          <w:highlight w:val="none"/>
        </w:rPr>
        <w:t>年度部门决算中反映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电子政务外网运行服务费项目绩效目标实际完成情况。</w:t>
      </w:r>
    </w:p>
    <w:p>
      <w:pPr>
        <w:numPr>
          <w:ilvl w:val="0"/>
          <w:numId w:val="0"/>
        </w:num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lang w:val="en-US" w:eastAsia="zh-CN"/>
        </w:rPr>
        <w:t>电子政务外网运行服务费</w:t>
      </w:r>
      <w:r>
        <w:rPr>
          <w:rFonts w:hint="eastAsia" w:ascii="仿宋_GB2312" w:hAnsi="仿宋_GB2312" w:eastAsia="仿宋_GB2312" w:cs="仿宋_GB2312"/>
          <w:color w:val="auto"/>
          <w:sz w:val="32"/>
          <w:szCs w:val="32"/>
          <w:highlight w:val="none"/>
        </w:rPr>
        <w:t>项目绩效目</w:t>
      </w:r>
      <w:r>
        <w:rPr>
          <w:rFonts w:hint="eastAsia" w:ascii="仿宋_GB2312" w:hAnsi="仿宋_GB2312" w:eastAsia="仿宋_GB2312" w:cs="仿宋_GB2312"/>
          <w:color w:val="auto"/>
          <w:sz w:val="32"/>
          <w:szCs w:val="32"/>
        </w:rPr>
        <w:t>标完成情况</w:t>
      </w:r>
      <w:r>
        <w:rPr>
          <w:rFonts w:hint="eastAsia" w:ascii="仿宋_GB2312" w:hAnsi="仿宋_GB2312" w:eastAsia="仿宋_GB2312" w:cs="仿宋_GB2312"/>
          <w:sz w:val="32"/>
          <w:szCs w:val="32"/>
        </w:rPr>
        <w:t>综述。项目全年预算数</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val="en-US" w:eastAsia="zh-CN"/>
        </w:rPr>
        <w:t>2024全县政务外网正常运行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2024年支出执行基础上，细化预算编制，提高了预算编制的精准性。</w:t>
      </w:r>
    </w:p>
    <w:p>
      <w:pPr>
        <w:numPr>
          <w:ilvl w:val="0"/>
          <w:numId w:val="0"/>
        </w:numPr>
        <w:spacing w:line="580" w:lineRule="exact"/>
        <w:ind w:firstLine="720" w:firstLineChars="200"/>
        <w:rPr>
          <w:rFonts w:hint="eastAsia" w:ascii="黑体" w:hAnsi="黑体" w:eastAsia="黑体" w:cs="宋体"/>
          <w:bCs/>
          <w:color w:val="000000"/>
          <w:kern w:val="0"/>
          <w:sz w:val="36"/>
          <w:szCs w:val="36"/>
          <w:lang w:bidi="ar"/>
        </w:rPr>
      </w:pPr>
    </w:p>
    <w:p>
      <w:pPr>
        <w:numPr>
          <w:ilvl w:val="0"/>
          <w:numId w:val="0"/>
        </w:numPr>
        <w:spacing w:line="580" w:lineRule="exact"/>
        <w:ind w:firstLine="720" w:firstLineChars="200"/>
        <w:rPr>
          <w:rFonts w:hint="eastAsia" w:ascii="黑体" w:hAnsi="黑体" w:eastAsia="黑体" w:cs="宋体"/>
          <w:bCs/>
          <w:color w:val="000000"/>
          <w:kern w:val="0"/>
          <w:sz w:val="36"/>
          <w:szCs w:val="36"/>
          <w:lang w:bidi="ar"/>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2"/>
        <w:rPr>
          <w:rFonts w:hint="eastAsia"/>
          <w:lang w:val="en-US" w:eastAsia="zh-CN"/>
        </w:rPr>
      </w:pPr>
    </w:p>
    <w:p>
      <w:pPr>
        <w:numPr>
          <w:ilvl w:val="0"/>
          <w:numId w:val="0"/>
        </w:numPr>
        <w:spacing w:line="580" w:lineRule="exact"/>
        <w:ind w:firstLine="720" w:firstLineChars="200"/>
        <w:jc w:val="center"/>
        <w:rPr>
          <w:rFonts w:hint="eastAsia" w:ascii="仿宋_GB2312" w:hAnsi="仿宋_GB2312" w:eastAsia="仿宋_GB2312" w:cs="仿宋_GB2312"/>
          <w:sz w:val="32"/>
          <w:szCs w:val="32"/>
          <w:lang w:eastAsia="zh-CN"/>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005"/>
        <w:gridCol w:w="825"/>
        <w:gridCol w:w="765"/>
        <w:gridCol w:w="825"/>
        <w:gridCol w:w="1800"/>
        <w:gridCol w:w="1935"/>
        <w:gridCol w:w="2415"/>
      </w:tblGrid>
      <w:tr>
        <w:tblPrEx>
          <w:tblCellMar>
            <w:top w:w="0" w:type="dxa"/>
            <w:left w:w="0" w:type="dxa"/>
            <w:bottom w:w="0" w:type="dxa"/>
            <w:right w:w="0" w:type="dxa"/>
          </w:tblCellMar>
        </w:tblPrEx>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电子政务外网运行服务费</w:t>
            </w:r>
          </w:p>
        </w:tc>
      </w:tr>
      <w:tr>
        <w:trPr>
          <w:trHeight w:val="276" w:hRule="atLeast"/>
        </w:trPr>
        <w:tc>
          <w:tcPr>
            <w:tcW w:w="222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740"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红原县人民政府办公室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83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456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26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59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保障了网络病毒及黑客攻击防范、修复等确保了政务外网安全、稳定、可靠运转。</w:t>
            </w:r>
          </w:p>
          <w:p>
            <w:pPr>
              <w:pStyle w:val="15"/>
              <w:widowControl/>
              <w:ind w:firstLine="0" w:firstLineChars="0"/>
              <w:jc w:val="center"/>
              <w:textAlignment w:val="center"/>
              <w:rPr>
                <w:rFonts w:ascii="宋体" w:hAnsi="宋体" w:cs="宋体"/>
                <w:color w:val="FF0000"/>
                <w:kern w:val="2"/>
                <w:sz w:val="24"/>
              </w:rPr>
            </w:pPr>
          </w:p>
          <w:p>
            <w:pPr>
              <w:widowControl/>
              <w:jc w:val="center"/>
              <w:textAlignment w:val="center"/>
              <w:rPr>
                <w:rFonts w:ascii="宋体" w:hAnsi="宋体" w:cs="宋体"/>
                <w:color w:val="FF0000"/>
                <w:sz w:val="24"/>
              </w:rPr>
            </w:pPr>
          </w:p>
        </w:tc>
        <w:tc>
          <w:tcPr>
            <w:tcW w:w="697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器运行托管费项目绩效目标完成情况综述。项目全年预算数49万元，执行数为49万元，完成预算的100%。通过项目实施，保障了全县电子政务外网升级改造链路和宽带、安全防护、公文交换系统、办公OA系统、电子公章的安全使用。</w:t>
            </w:r>
          </w:p>
          <w:p>
            <w:pPr>
              <w:widowControl/>
              <w:jc w:val="center"/>
              <w:textAlignment w:val="center"/>
              <w:rPr>
                <w:rFonts w:ascii="宋体" w:hAnsi="宋体" w:cs="宋体"/>
                <w:color w:val="000000" w:themeColor="text1"/>
                <w:sz w:val="24"/>
                <w14:textFill>
                  <w14:solidFill>
                    <w14:schemeClr w14:val="tx1"/>
                  </w14:solidFill>
                </w14:textFill>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00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7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625" w:type="dxa"/>
            <w:gridSpan w:val="2"/>
            <w:tcBorders>
              <w:top w:val="single" w:color="000000"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指标评价内容</w:t>
            </w:r>
          </w:p>
        </w:tc>
        <w:tc>
          <w:tcPr>
            <w:tcW w:w="1935" w:type="dxa"/>
            <w:tcBorders>
              <w:top w:val="single" w:color="000000"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预期指标值(包含数字及文字描述)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7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项目决策</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绩效目标</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目标内容</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项目预期提供的产品、服务、效益或其他目标明确,即绩效目标实际明确个数/应当明确个数×100%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完成全县政务外网安全使用</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保障了网络病毒及黑客攻击防范、修复等确保了政务外网安全、稳定、可靠运转。</w:t>
            </w:r>
          </w:p>
          <w:p>
            <w:pPr>
              <w:pStyle w:val="15"/>
              <w:widowControl/>
              <w:ind w:firstLine="0" w:firstLineChars="0"/>
              <w:jc w:val="center"/>
              <w:textAlignment w:val="center"/>
              <w:rPr>
                <w:rFonts w:ascii="宋体" w:hAnsi="宋体" w:cs="宋体"/>
                <w:kern w:val="2"/>
                <w:sz w:val="20"/>
                <w:szCs w:val="20"/>
              </w:rPr>
            </w:pPr>
          </w:p>
          <w:p>
            <w:pPr>
              <w:widowControl/>
              <w:jc w:val="center"/>
              <w:textAlignment w:val="center"/>
              <w:rPr>
                <w:rFonts w:ascii="宋体" w:hAnsi="宋体" w:cs="宋体"/>
                <w:sz w:val="20"/>
                <w:szCs w:val="20"/>
              </w:rPr>
            </w:pPr>
          </w:p>
        </w:tc>
      </w:tr>
      <w:tr>
        <w:tblPrEx>
          <w:tblCellMar>
            <w:top w:w="0" w:type="dxa"/>
            <w:left w:w="0" w:type="dxa"/>
            <w:bottom w:w="0" w:type="dxa"/>
            <w:right w:w="0" w:type="dxa"/>
          </w:tblCellMar>
        </w:tblPrEx>
        <w:trPr>
          <w:trHeight w:val="81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进度计划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项目计划实施进度明确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五年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按计划完成</w:t>
            </w:r>
          </w:p>
        </w:tc>
      </w:tr>
      <w:tr>
        <w:tblPrEx>
          <w:tblCellMar>
            <w:top w:w="0" w:type="dxa"/>
            <w:left w:w="0" w:type="dxa"/>
            <w:bottom w:w="0" w:type="dxa"/>
            <w:right w:w="0" w:type="dxa"/>
          </w:tblCellMar>
        </w:tblPrEx>
        <w:trPr>
          <w:trHeight w:val="11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cs="宋体" w:asciiTheme="minorEastAsia" w:hAnsiTheme="minorEastAsia" w:eastAsiaTheme="minorEastAsia"/>
                <w:color w:val="000000"/>
                <w:kern w:val="0"/>
                <w:sz w:val="20"/>
                <w:szCs w:val="20"/>
              </w:rPr>
              <w:t>绩效目标设定符合实际需求的抽样项目点个数/抽样项目点总数×100%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r>
      <w:tr>
        <w:tblPrEx>
          <w:tblCellMar>
            <w:top w:w="0" w:type="dxa"/>
            <w:left w:w="0" w:type="dxa"/>
            <w:bottom w:w="0" w:type="dxa"/>
            <w:right w:w="0" w:type="dxa"/>
          </w:tblCellMar>
        </w:tblPrEx>
        <w:trPr>
          <w:trHeight w:val="8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决策依据</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政策依据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项目符合党中央、国务院和省委、省政府决策部署；符合当前经济社会发展需要</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83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实施规划</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连续性项目根据需要制定中长期实施规划</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w:t>
            </w:r>
          </w:p>
        </w:tc>
      </w:tr>
      <w:tr>
        <w:tblPrEx>
          <w:tblCellMar>
            <w:top w:w="0" w:type="dxa"/>
            <w:left w:w="0" w:type="dxa"/>
            <w:bottom w:w="0" w:type="dxa"/>
            <w:right w:w="0" w:type="dxa"/>
          </w:tblCellMar>
        </w:tblPrEx>
        <w:trPr>
          <w:trHeight w:val="2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实施规划符合实际，并根据情况变化适时调整</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2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管理制度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制定项目资金管理办法</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项目资金管理办法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已制定按照相关文件执行</w:t>
            </w:r>
          </w:p>
        </w:tc>
      </w:tr>
      <w:tr>
        <w:tblPrEx>
          <w:tblCellMar>
            <w:top w:w="0" w:type="dxa"/>
            <w:left w:w="0" w:type="dxa"/>
            <w:bottom w:w="0" w:type="dxa"/>
            <w:right w:w="0" w:type="dxa"/>
          </w:tblCellMar>
        </w:tblPrEx>
        <w:trPr>
          <w:trHeight w:val="6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项目资金分配决策程序明确</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资金分配</w:t>
            </w: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分配方法</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资金分配方法是否科学合理</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7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分配过程</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分配过程符合相关规定</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分配结果</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审核把关</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符合申报条件的抽样项目点个数/抽样项目点总数×100%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1个</w:t>
            </w:r>
          </w:p>
        </w:tc>
      </w:tr>
      <w:tr>
        <w:tblPrEx>
          <w:tblCellMar>
            <w:top w:w="0" w:type="dxa"/>
            <w:left w:w="0" w:type="dxa"/>
            <w:bottom w:w="0" w:type="dxa"/>
            <w:right w:w="0" w:type="dxa"/>
          </w:tblCellMar>
        </w:tblPrEx>
        <w:trPr>
          <w:trHeight w:val="78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资金集中</w:t>
            </w:r>
          </w:p>
        </w:tc>
        <w:tc>
          <w:tcPr>
            <w:tcW w:w="825" w:type="dxa"/>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集中</w:t>
            </w:r>
          </w:p>
        </w:tc>
        <w:tc>
          <w:tcPr>
            <w:tcW w:w="180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财政资金占项目资金总额比重较小项目个数/项目总数×100%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3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（均衡）</w:t>
            </w:r>
          </w:p>
        </w:tc>
        <w:tc>
          <w:tcPr>
            <w:tcW w:w="825" w:type="dxa"/>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均衡</w:t>
            </w:r>
          </w:p>
        </w:tc>
        <w:tc>
          <w:tcPr>
            <w:tcW w:w="1800" w:type="dxa"/>
            <w:tcBorders>
              <w:top w:val="single" w:color="auto" w:sz="4" w:space="0"/>
              <w:left w:val="single" w:color="auto"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cs="宋体" w:asciiTheme="minorEastAsia" w:hAnsiTheme="minorEastAsia" w:eastAsiaTheme="minorEastAsia"/>
                <w:color w:val="000000"/>
                <w:kern w:val="0"/>
                <w:sz w:val="20"/>
                <w:szCs w:val="20"/>
              </w:rPr>
            </w:pPr>
            <w:r>
              <w:rPr>
                <w:rFonts w:hint="eastAsia" w:cs="宋体" w:asciiTheme="minorEastAsia" w:hAnsiTheme="minorEastAsia" w:eastAsiaTheme="minorEastAsia"/>
                <w:color w:val="000000"/>
                <w:kern w:val="0"/>
                <w:sz w:val="20"/>
                <w:szCs w:val="20"/>
              </w:rPr>
              <w:t>按实际分配结果选择客观因素测算验证资金分配方法制定、分配要素设定、基础数据应用、测算依据选取等是否科学合理</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70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项目管理</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资金到位</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分配时效</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县级主管部门按规定及时分配资金</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按规定及时拨付资金</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每次会议后</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sz w:val="20"/>
                <w:szCs w:val="20"/>
              </w:rPr>
              <w:t>每次会议后</w:t>
            </w:r>
          </w:p>
        </w:tc>
      </w:tr>
      <w:tr>
        <w:tblPrEx>
          <w:tblCellMar>
            <w:top w:w="0" w:type="dxa"/>
            <w:left w:w="0" w:type="dxa"/>
            <w:bottom w:w="0" w:type="dxa"/>
            <w:right w:w="0" w:type="dxa"/>
          </w:tblCellMar>
        </w:tblPrEx>
        <w:trPr>
          <w:trHeight w:val="42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使用范围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资金使用是否合规</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86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支付依据</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资金支付依据符合规定，即支付依旧合规资金量/资金总量×100%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98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开支标准</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资金开支标准符合规定，即开支标准合规资金量/资金总量×100%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47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财务管理</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财务制度</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财务制度健全，管理规范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68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会计核算</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会计核算规范</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56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组织实施</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项目调整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项目调整严格履行相关手续</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8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投资变更</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项目投资变更额/项目总投入×100%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未调整</w:t>
            </w:r>
          </w:p>
        </w:tc>
      </w:tr>
      <w:tr>
        <w:tblPrEx>
          <w:tblCellMar>
            <w:top w:w="0" w:type="dxa"/>
            <w:left w:w="0" w:type="dxa"/>
            <w:bottom w:w="0" w:type="dxa"/>
            <w:right w:w="0" w:type="dxa"/>
          </w:tblCellMar>
        </w:tblPrEx>
        <w:trPr>
          <w:trHeight w:val="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制度执行</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严格执行项目有关制度规定</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是</w:t>
            </w:r>
          </w:p>
        </w:tc>
      </w:tr>
      <w:tr>
        <w:tblPrEx>
          <w:tblCellMar>
            <w:top w:w="0" w:type="dxa"/>
            <w:left w:w="0" w:type="dxa"/>
            <w:bottom w:w="0" w:type="dxa"/>
            <w:right w:w="0" w:type="dxa"/>
          </w:tblCellMar>
        </w:tblPrEx>
        <w:trPr>
          <w:trHeight w:val="4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项目绩效</w:t>
            </w:r>
          </w:p>
        </w:tc>
        <w:tc>
          <w:tcPr>
            <w:tcW w:w="825"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项目完成</w:t>
            </w:r>
          </w:p>
        </w:tc>
        <w:tc>
          <w:tcPr>
            <w:tcW w:w="76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完成数量</w:t>
            </w:r>
          </w:p>
        </w:tc>
        <w:tc>
          <w:tcPr>
            <w:tcW w:w="2625" w:type="dxa"/>
            <w:gridSpan w:val="2"/>
            <w:tcBorders>
              <w:top w:val="single" w:color="000000"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实际完成任务量/绩效目标设定任务量×100%</w:t>
            </w:r>
          </w:p>
        </w:tc>
        <w:tc>
          <w:tcPr>
            <w:tcW w:w="1935" w:type="dxa"/>
            <w:tcBorders>
              <w:top w:val="single" w:color="000000"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5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完成质量</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符合绩效目标设定的验收标准，达到行业基准水平</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符合</w:t>
            </w:r>
          </w:p>
        </w:tc>
      </w:tr>
      <w:tr>
        <w:tblPrEx>
          <w:tblCellMar>
            <w:top w:w="0" w:type="dxa"/>
            <w:left w:w="0" w:type="dxa"/>
            <w:bottom w:w="0" w:type="dxa"/>
            <w:right w:w="0" w:type="dxa"/>
          </w:tblCellMar>
        </w:tblPrEx>
        <w:trPr>
          <w:trHeight w:val="3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完成时效</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（实际完成时间-绩效目标设定完成时间）/绩效目标设定完成时间×100%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4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完成成本</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（实际完成成本-预计完成成本）/预计完成成本×100%</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restart"/>
            <w:tcBorders>
              <w:top w:val="single" w:color="auto"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项目效益</w:t>
            </w: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经济效益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反映相关产出对经济社会发展带来的影响和效果，根据项目实际细化具体指标。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促进我县经济发展</w:t>
            </w: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增强</w:t>
            </w:r>
          </w:p>
        </w:tc>
      </w:tr>
      <w:tr>
        <w:tblPrEx>
          <w:tblCellMar>
            <w:top w:w="0" w:type="dxa"/>
            <w:left w:w="0" w:type="dxa"/>
            <w:bottom w:w="0" w:type="dxa"/>
            <w:right w:w="0" w:type="dxa"/>
          </w:tblCellMar>
        </w:tblPrEx>
        <w:trPr>
          <w:trHeight w:val="51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反映相关产出对社会发展带来的影响和效果，根据项目实际细化具体指标。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pStyle w:val="15"/>
              <w:widowControl/>
              <w:ind w:firstLine="0" w:firstLineChars="0"/>
              <w:jc w:val="center"/>
              <w:textAlignment w:val="center"/>
              <w:rPr>
                <w:rFonts w:ascii="宋体" w:hAnsi="宋体" w:cs="宋体"/>
                <w:color w:val="000000"/>
                <w:kern w:val="2"/>
                <w:sz w:val="20"/>
                <w:szCs w:val="20"/>
              </w:rPr>
            </w:pP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56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生态效益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反映相关产出对自然环境带来的影响和效果，根据项目实际细化具体指标。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49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vMerge w:val="continue"/>
            <w:tcBorders>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76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可持续效益</w:t>
            </w:r>
          </w:p>
        </w:tc>
        <w:tc>
          <w:tcPr>
            <w:tcW w:w="2625" w:type="dxa"/>
            <w:gridSpan w:val="2"/>
            <w:tcBorders>
              <w:top w:val="single" w:color="auto" w:sz="4" w:space="0"/>
              <w:left w:val="single" w:color="000000" w:sz="4" w:space="0"/>
              <w:bottom w:val="single" w:color="auto"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反映相关产出带来影响的可持续期限，根据项目实际细化具体指标。</w:t>
            </w:r>
          </w:p>
        </w:tc>
        <w:tc>
          <w:tcPr>
            <w:tcW w:w="1935" w:type="dxa"/>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c>
          <w:tcPr>
            <w:tcW w:w="2415" w:type="dxa"/>
            <w:tcBorders>
              <w:top w:val="single" w:color="auto"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保障了网络病毒及黑客攻击防范、修复等确保了政务外网安全、稳定、可靠运转。</w:t>
            </w:r>
          </w:p>
          <w:p>
            <w:pPr>
              <w:widowControl/>
              <w:jc w:val="center"/>
              <w:textAlignment w:val="center"/>
              <w:rPr>
                <w:rFonts w:ascii="宋体" w:hAnsi="宋体" w:cs="宋体"/>
                <w:color w:val="000000"/>
                <w:sz w:val="20"/>
                <w:szCs w:val="20"/>
              </w:rPr>
            </w:pPr>
          </w:p>
        </w:tc>
      </w:tr>
      <w:tr>
        <w:tblPrEx>
          <w:tblCellMar>
            <w:top w:w="0" w:type="dxa"/>
            <w:left w:w="0" w:type="dxa"/>
            <w:bottom w:w="0" w:type="dxa"/>
            <w:right w:w="0" w:type="dxa"/>
          </w:tblCellMar>
        </w:tblPrEx>
        <w:trPr>
          <w:trHeight w:val="11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005" w:type="dxa"/>
            <w:vMerge w:val="continue"/>
            <w:tcBorders>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82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w:t>
            </w:r>
          </w:p>
        </w:tc>
        <w:tc>
          <w:tcPr>
            <w:tcW w:w="76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服务对象满意度</w:t>
            </w:r>
          </w:p>
        </w:tc>
        <w:tc>
          <w:tcPr>
            <w:tcW w:w="2625" w:type="dxa"/>
            <w:gridSpan w:val="2"/>
            <w:tcBorders>
              <w:top w:val="single" w:color="auto" w:sz="4" w:space="0"/>
              <w:left w:val="single" w:color="000000" w:sz="4" w:space="0"/>
              <w:bottom w:val="single" w:color="000000" w:sz="4" w:space="0"/>
              <w:right w:val="single" w:color="auto"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反映服务对象或项目受益人对相关产出及其影响的认可程度，根据项目实际细化具体指标。</w:t>
            </w:r>
          </w:p>
        </w:tc>
        <w:tc>
          <w:tcPr>
            <w:tcW w:w="1935"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100%</w:t>
            </w:r>
          </w:p>
        </w:tc>
      </w:tr>
    </w:tbl>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spacing w:line="600" w:lineRule="exact"/>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9" w:name="_Toc15396613"/>
      <w:bookmarkStart w:id="50"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9"/>
      <w:bookmarkEnd w:id="5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9.一般公共服务（类）……（款）……（项）：指……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10.外交（类）……（款）……（项）：指……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11.公共安全（类）……（款）……（项）：指……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12.教育（类）……（款）……（项）：指……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13.科学技术（类）……（款）……（项）：指……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14.文化旅游体育与传媒（类）……（款）……（项）：指……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15.社会保障和就业（类）……（款）……（项）：指……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16.卫生健康（类）……（款）……（项）：指……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17.节能环保（类）……（款）……（项）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18.城乡社区（类）……（款）……（项）：指……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19.农林水（类）……（款）……（项）：指……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20.交通运输（类）……（款）……（项）：指……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21.资源勘探工业信息等（类）……（款）……（项）：指……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22.商业服务业（类）……（款）……（项）：指……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23.金融（类）……（款）……（项）：指……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24.自然资源海洋气象等（类）……（款）……（项）：指……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25.住房保障（类）……（款）……（项）：指……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26.粮油物资储备（类）……（款）……（项）：指……</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27.基本支出：指为保障机构正常运转、完成日常工作任务而发生的人员支出和公用支出。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30.</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bookmarkStart w:id="51"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52" w:name="_Toc15396614"/>
    </w:p>
    <w:p>
      <w:pPr>
        <w:spacing w:line="600" w:lineRule="exact"/>
        <w:jc w:val="center"/>
        <w:outlineLvl w:val="0"/>
        <w:rPr>
          <w:rStyle w:val="31"/>
          <w:rFonts w:ascii="黑体" w:eastAsia="黑体"/>
          <w:b w:val="0"/>
        </w:rPr>
      </w:pPr>
      <w:bookmarkStart w:id="53" w:name="_Toc17629"/>
      <w:r>
        <w:rPr>
          <w:rFonts w:hint="eastAsia" w:ascii="黑体" w:eastAsia="黑体"/>
          <w:sz w:val="44"/>
          <w:szCs w:val="44"/>
        </w:rPr>
        <w:t>第</w:t>
      </w:r>
      <w:r>
        <w:rPr>
          <w:rStyle w:val="31"/>
          <w:rFonts w:hint="eastAsia" w:ascii="黑体" w:eastAsia="黑体"/>
          <w:b w:val="0"/>
        </w:rPr>
        <w:t>四部分 附件</w:t>
      </w:r>
      <w:bookmarkEnd w:id="53"/>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红原县人民政府办公室</w:t>
      </w:r>
    </w:p>
    <w:p>
      <w:pPr>
        <w:keepNext w:val="0"/>
        <w:keepLines w:val="0"/>
        <w:pageBreakBefore w:val="0"/>
        <w:widowControl/>
        <w:kinsoku/>
        <w:wordWrap/>
        <w:overflowPunct/>
        <w:topLinePunct w:val="0"/>
        <w:autoSpaceDE/>
        <w:autoSpaceDN/>
        <w:bidi w:val="0"/>
        <w:spacing w:line="5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年部门</w:t>
      </w:r>
      <w:r>
        <w:rPr>
          <w:rFonts w:hint="eastAsia" w:ascii="方正小标宋简体" w:hAnsi="方正小标宋简体" w:eastAsia="方正小标宋简体" w:cs="方正小标宋简体"/>
          <w:sz w:val="44"/>
          <w:szCs w:val="44"/>
          <w:lang w:eastAsia="zh-CN"/>
        </w:rPr>
        <w:t>整体</w:t>
      </w:r>
      <w:r>
        <w:rPr>
          <w:rFonts w:hint="eastAsia" w:ascii="方正小标宋简体" w:hAnsi="方正小标宋简体" w:eastAsia="方正小标宋简体" w:cs="方正小标宋简体"/>
          <w:sz w:val="44"/>
          <w:szCs w:val="44"/>
        </w:rPr>
        <w:t>支出绩效报告</w:t>
      </w:r>
    </w:p>
    <w:p>
      <w:pPr>
        <w:widowControl/>
        <w:adjustRightInd w:val="0"/>
        <w:snapToGrid w:val="0"/>
        <w:spacing w:line="560" w:lineRule="exact"/>
        <w:contextualSpacing/>
        <w:jc w:val="left"/>
        <w:rPr>
          <w:rFonts w:hint="eastAsia" w:ascii="仿宋_GB2312" w:hAnsi="仿宋_GB2312" w:eastAsia="仿宋_GB2312" w:cs="仿宋_GB2312"/>
          <w:sz w:val="32"/>
          <w:szCs w:val="32"/>
          <w:lang w:val="en-US" w:eastAsia="zh-CN"/>
        </w:rPr>
      </w:pPr>
    </w:p>
    <w:p>
      <w:pPr>
        <w:widowControl/>
        <w:adjustRightInd w:val="0"/>
        <w:snapToGrid w:val="0"/>
        <w:spacing w:line="560" w:lineRule="exact"/>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rPr>
      </w:pPr>
      <w:r>
        <w:rPr>
          <w:rFonts w:hint="eastAsia" w:ascii="楷体_GB2312" w:hAnsi="楷体_GB2312" w:eastAsia="楷体_GB2312" w:cs="楷体_GB2312"/>
          <w:b w:val="0"/>
          <w:bCs w:val="0"/>
          <w:color w:val="000000"/>
          <w:kern w:val="0"/>
          <w:sz w:val="32"/>
          <w:szCs w:val="32"/>
          <w:lang w:val="zh-CN"/>
        </w:rPr>
        <w:t>（一）机构组成。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红原县人民政府办公室</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r>
        <w:rPr>
          <w:rFonts w:hint="eastAsia" w:ascii="仿宋_GB2312" w:hAnsi="仿宋_GB2312" w:eastAsia="仿宋_GB2312" w:cs="仿宋_GB2312"/>
          <w:bCs/>
          <w:sz w:val="32"/>
          <w:szCs w:val="32"/>
          <w:lang w:eastAsia="zh-CN"/>
        </w:rPr>
        <w:t>，共设机构</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个，即</w:t>
      </w:r>
      <w:r>
        <w:rPr>
          <w:rFonts w:hint="eastAsia" w:ascii="仿宋_GB2312" w:hAnsi="仿宋_GB2312" w:eastAsia="仿宋_GB2312" w:cs="仿宋_GB2312"/>
          <w:sz w:val="32"/>
          <w:szCs w:val="32"/>
          <w:lang w:eastAsia="zh-CN"/>
        </w:rPr>
        <w:t>秘书股、综合股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机要股、财务人事股、行政效能股、机关事务股、国动股。</w:t>
      </w:r>
    </w:p>
    <w:p>
      <w:pPr>
        <w:ind w:firstLine="800" w:firstLineChars="250"/>
        <w:rPr>
          <w:rFonts w:hint="eastAsia" w:ascii="仿宋_GB2312" w:hAnsi="仿宋_GB2312" w:eastAsia="仿宋_GB2312" w:cs="仿宋_GB2312"/>
          <w:bCs/>
          <w:sz w:val="32"/>
          <w:szCs w:val="32"/>
          <w:lang w:eastAsia="zh-CN"/>
        </w:rPr>
      </w:pPr>
      <w:r>
        <w:rPr>
          <w:rFonts w:hint="eastAsia" w:ascii="仿宋" w:eastAsia="仿宋"/>
          <w:sz w:val="32"/>
          <w:szCs w:val="32"/>
        </w:rPr>
        <w:t>红原县人民政府办公室下属</w:t>
      </w:r>
      <w:r>
        <w:rPr>
          <w:rFonts w:hint="eastAsia" w:ascii="仿宋" w:eastAsia="仿宋"/>
          <w:sz w:val="32"/>
          <w:szCs w:val="32"/>
          <w:lang w:val="en-US" w:eastAsia="zh-CN"/>
        </w:rPr>
        <w:t>2</w:t>
      </w:r>
      <w:r>
        <w:rPr>
          <w:rFonts w:hint="eastAsia" w:ascii="仿宋" w:eastAsia="仿宋"/>
          <w:sz w:val="32"/>
          <w:szCs w:val="32"/>
        </w:rPr>
        <w:t>个事业</w:t>
      </w:r>
      <w:r>
        <w:rPr>
          <w:rFonts w:hint="eastAsia" w:ascii="仿宋" w:eastAsia="仿宋"/>
          <w:sz w:val="32"/>
          <w:szCs w:val="32"/>
          <w:lang w:eastAsia="zh-CN"/>
        </w:rPr>
        <w:t>机构</w:t>
      </w:r>
      <w:r>
        <w:rPr>
          <w:rFonts w:hint="eastAsia" w:ascii="仿宋" w:eastAsia="仿宋"/>
          <w:sz w:val="32"/>
          <w:szCs w:val="32"/>
        </w:rPr>
        <w:t>，</w:t>
      </w:r>
      <w:r>
        <w:rPr>
          <w:rFonts w:hint="eastAsia" w:ascii="仿宋_GB2312" w:eastAsia="仿宋_GB2312"/>
          <w:sz w:val="32"/>
          <w:szCs w:val="32"/>
        </w:rPr>
        <w:t>分别是：</w:t>
      </w:r>
      <w:r>
        <w:rPr>
          <w:rFonts w:hint="eastAsia" w:ascii="仿宋_GB2312" w:eastAsia="仿宋_GB2312"/>
          <w:sz w:val="32"/>
          <w:szCs w:val="32"/>
          <w:lang w:eastAsia="zh-CN"/>
        </w:rPr>
        <w:t>国防动员事务中心</w:t>
      </w:r>
      <w:r>
        <w:rPr>
          <w:rFonts w:hint="eastAsia" w:ascii="仿宋_GB2312" w:eastAsia="仿宋_GB2312"/>
          <w:sz w:val="32"/>
          <w:szCs w:val="32"/>
        </w:rPr>
        <w:t>、信息公开工作中心</w:t>
      </w:r>
      <w:r>
        <w:rPr>
          <w:rFonts w:hint="eastAsia" w:ascii="仿宋_GB2312" w:hAnsi="仿宋_GB2312" w:eastAsia="仿宋_GB2312" w:cs="仿宋_GB2312"/>
          <w:bCs/>
          <w:sz w:val="32"/>
          <w:szCs w:val="32"/>
          <w:lang w:eastAsia="zh-CN"/>
        </w:rPr>
        <w:t>（股级事业单位）</w:t>
      </w:r>
      <w:r>
        <w:rPr>
          <w:rFonts w:hint="eastAsia" w:eastAsia="仿宋_GB2312" w:asciiTheme="minorHAnsi" w:hAnsiTheme="minorHAnsi"/>
          <w:sz w:val="32"/>
          <w:szCs w:val="32"/>
        </w:rPr>
        <w:t>。</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仿宋_GB2312" w:hAnsi="仿宋_GB2312" w:eastAsia="仿宋_GB2312" w:cs="仿宋_GB2312"/>
          <w:bCs/>
          <w:sz w:val="32"/>
          <w:szCs w:val="32"/>
          <w:lang w:val="zh-CN" w:eastAsia="zh-CN"/>
        </w:rPr>
      </w:pPr>
      <w:r>
        <w:rPr>
          <w:rFonts w:hint="eastAsia" w:ascii="楷体_GB2312" w:hAnsi="楷体_GB2312" w:eastAsia="楷体_GB2312" w:cs="楷体_GB2312"/>
          <w:b w:val="0"/>
          <w:bCs w:val="0"/>
          <w:color w:val="000000"/>
          <w:kern w:val="0"/>
          <w:sz w:val="32"/>
          <w:szCs w:val="32"/>
          <w:lang w:val="zh-CN"/>
        </w:rPr>
        <w:t>（二）机构职能。</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1、</w:t>
      </w:r>
      <w:r>
        <w:rPr>
          <w:rFonts w:hint="eastAsia" w:ascii="楷体_GB2312" w:hAnsi="楷体_GB2312" w:eastAsia="楷体_GB2312"/>
          <w:b/>
          <w:spacing w:val="0"/>
          <w:sz w:val="32"/>
          <w:szCs w:val="32"/>
        </w:rPr>
        <w:t>综合股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办理文电收发、运转，县政府和县政府办公室印鉴管理，公文印制、文字校对，机关保密、机要、值班、内外联络；负责机关档案立卷归档、管理和利用；协助办公室领导组织协助机关日常工作；负责县政府全体会议、常务会议、县长办公会议和县长专题会议的会务工作；负责县政府各类活动的服务工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2、</w:t>
      </w:r>
      <w:r>
        <w:rPr>
          <w:rFonts w:hint="eastAsia" w:ascii="楷体_GB2312" w:hAnsi="楷体_GB2312" w:eastAsia="楷体_GB2312"/>
          <w:b/>
          <w:spacing w:val="0"/>
          <w:sz w:val="32"/>
          <w:szCs w:val="32"/>
        </w:rPr>
        <w:t>秘书股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起草县政府及办公室的综合性文稿；协助县政府领导搞好调查研究，起草讲话稿、调查报告和文、电、函;组织、协调、督促、办理涉及政府工作的人大代表议案、建议、批评和政协委员提案、建议案；负责县政府志、年鉴的编辑工作；搞好县政府领导服务工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3、</w:t>
      </w:r>
      <w:r>
        <w:rPr>
          <w:rFonts w:hint="eastAsia" w:ascii="楷体_GB2312" w:hAnsi="楷体_GB2312" w:eastAsia="楷体_GB2312"/>
          <w:b/>
          <w:spacing w:val="0"/>
          <w:sz w:val="32"/>
          <w:szCs w:val="32"/>
        </w:rPr>
        <w:t>政务、信息督查督办股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政务督察督办工作；负责县政府及办公室的目标管理工作；协调、指导全县政府系统目标管理工作；指导全县政府系统政务信息工作，负责全县政务信息的收集、整理、编辑，向州政府办公室报送信息；负责推进、指导、协调、监督全县政府信息公开工作；指导、监督全县政府系统电子政务工作和政府网站建设；负责县政府机关电子政务的规划、建设、技术与安全保障。</w:t>
      </w:r>
    </w:p>
    <w:p>
      <w:pPr>
        <w:widowControl w:val="0"/>
        <w:spacing w:line="568" w:lineRule="atLeast"/>
        <w:ind w:firstLine="639" w:firstLineChars="0"/>
        <w:rPr>
          <w:rFonts w:hint="eastAsia" w:ascii="楷体_GB2312" w:hAnsi="楷体_GB2312" w:eastAsia="楷体_GB2312"/>
          <w:b/>
          <w:spacing w:val="0"/>
          <w:sz w:val="32"/>
          <w:szCs w:val="32"/>
        </w:rPr>
      </w:pPr>
      <w:r>
        <w:rPr>
          <w:rFonts w:hint="eastAsia" w:ascii="楷体_GB2312" w:hAnsi="楷体_GB2312" w:eastAsia="楷体_GB2312"/>
          <w:b/>
          <w:spacing w:val="0"/>
          <w:sz w:val="32"/>
          <w:szCs w:val="32"/>
          <w:lang w:val="en-US" w:eastAsia="zh-CN"/>
        </w:rPr>
        <w:t>4、</w:t>
      </w:r>
      <w:r>
        <w:rPr>
          <w:rFonts w:hint="eastAsia" w:ascii="楷体_GB2312" w:hAnsi="楷体_GB2312" w:eastAsia="楷体_GB2312"/>
          <w:b/>
          <w:spacing w:val="0"/>
          <w:sz w:val="32"/>
          <w:szCs w:val="32"/>
        </w:rPr>
        <w:t>行政财务股（人事股）</w:t>
      </w:r>
    </w:p>
    <w:p>
      <w:pPr>
        <w:widowControl w:val="0"/>
        <w:spacing w:line="568" w:lineRule="atLeast"/>
        <w:ind w:firstLine="639" w:firstLineChars="0"/>
        <w:rPr>
          <w:rFonts w:hint="eastAsia" w:ascii="仿宋_GB2312" w:hAnsi="仿宋_GB2312" w:eastAsia="仿宋_GB2312"/>
          <w:spacing w:val="0"/>
          <w:sz w:val="32"/>
          <w:szCs w:val="32"/>
        </w:rPr>
      </w:pPr>
      <w:r>
        <w:rPr>
          <w:rFonts w:hint="eastAsia" w:ascii="仿宋_GB2312" w:hAnsi="仿宋_GB2312" w:eastAsia="仿宋_GB2312"/>
          <w:spacing w:val="0"/>
          <w:sz w:val="32"/>
          <w:szCs w:val="32"/>
        </w:rPr>
        <w:t>负责机关、直属机构的人事管理、机构编制和教育培训工作；负责机关和直属机构离退休人员工作；负责县政府领导的服务事务和机关后勤管理工作；负责机关和直属单位财务管理工作；负责县政府办公室固定资产管理工作。</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（三）人员概况。</w:t>
      </w:r>
    </w:p>
    <w:p>
      <w:pPr>
        <w:ind w:firstLine="800" w:firstLineChars="250"/>
        <w:rPr>
          <w:rFonts w:hint="eastAsia"/>
          <w:sz w:val="32"/>
          <w:szCs w:val="32"/>
        </w:rPr>
      </w:pPr>
      <w:r>
        <w:rPr>
          <w:rFonts w:hint="eastAsia" w:ascii="仿宋_GB2312" w:hAnsi="仿宋_GB2312" w:eastAsia="仿宋_GB2312" w:cs="仿宋_GB2312"/>
          <w:bCs/>
          <w:sz w:val="32"/>
          <w:szCs w:val="32"/>
          <w:lang w:val="zh-CN" w:eastAsia="zh-CN"/>
        </w:rPr>
        <w:t>本单位截止</w:t>
      </w: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rPr>
        <w:t>年底我单位共有</w:t>
      </w:r>
      <w:r>
        <w:rPr>
          <w:rFonts w:hint="eastAsia" w:ascii="仿宋_GB2312" w:hAnsi="仿宋_GB2312" w:eastAsia="仿宋_GB2312" w:cs="仿宋_GB2312"/>
          <w:sz w:val="32"/>
          <w:szCs w:val="32"/>
        </w:rPr>
        <w:t>在职</w:t>
      </w:r>
      <w:r>
        <w:rPr>
          <w:rFonts w:hint="eastAsia" w:ascii="仿宋_GB2312" w:hAnsi="仿宋_GB2312" w:eastAsia="仿宋_GB2312" w:cs="仿宋_GB2312"/>
          <w:sz w:val="32"/>
          <w:szCs w:val="32"/>
          <w:lang w:eastAsia="zh-CN"/>
        </w:rPr>
        <w:t>人员</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人，行政工勤</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，非参公事业人员</w:t>
      </w:r>
      <w:r>
        <w:rPr>
          <w:rFonts w:hint="eastAsia" w:ascii="仿宋_GB2312" w:hAnsi="仿宋_GB2312" w:eastAsia="仿宋_GB2312" w:cs="仿宋_GB2312"/>
          <w:sz w:val="32"/>
          <w:szCs w:val="32"/>
          <w:lang w:val="en-US" w:eastAsia="zh-CN"/>
        </w:rPr>
        <w:t>12人，同比去年减少1人，主要变动原因是人员调出</w:t>
      </w:r>
      <w:r>
        <w:rPr>
          <w:rFonts w:hint="eastAsia" w:ascii="仿宋_GB2312" w:hAnsi="仿宋_GB2312" w:eastAsia="仿宋_GB2312" w:cs="仿宋_GB2312"/>
          <w:sz w:val="32"/>
          <w:szCs w:val="32"/>
        </w:rPr>
        <w:t>。</w:t>
      </w:r>
    </w:p>
    <w:p>
      <w:pPr>
        <w:widowControl/>
        <w:adjustRightInd w:val="0"/>
        <w:snapToGrid w:val="0"/>
        <w:spacing w:line="560" w:lineRule="exact"/>
        <w:contextualSpacing/>
        <w:jc w:val="left"/>
        <w:rPr>
          <w:rFonts w:hint="eastAsia" w:ascii="黑体" w:hAnsi="宋体" w:eastAsia="黑体" w:cs="宋体"/>
          <w:color w:val="000000"/>
          <w:kern w:val="0"/>
          <w:sz w:val="32"/>
          <w:szCs w:val="32"/>
          <w:shd w:val="clear" w:color="auto" w:fill="FFFFFF"/>
          <w:lang w:eastAsia="zh-CN"/>
        </w:rPr>
      </w:pPr>
      <w:r>
        <w:rPr>
          <w:rFonts w:hint="eastAsia" w:ascii="黑体" w:hAnsi="宋体" w:eastAsia="黑体" w:cs="宋体"/>
          <w:color w:val="000000"/>
          <w:kern w:val="0"/>
          <w:sz w:val="32"/>
          <w:szCs w:val="32"/>
          <w:shd w:val="clear" w:color="auto" w:fill="FFFFFF"/>
          <w:lang w:eastAsia="zh-CN"/>
        </w:rPr>
        <w:t>二、部门财政资金收支情况</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（一）部门财政资金收入情况</w:t>
      </w:r>
    </w:p>
    <w:p>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年度财政拨款收入总计</w:t>
      </w:r>
      <w:r>
        <w:rPr>
          <w:rFonts w:hint="eastAsia" w:ascii="仿宋_GB2312" w:hAnsi="仿宋_GB2312" w:eastAsia="仿宋_GB2312" w:cs="仿宋_GB2312"/>
          <w:bCs/>
          <w:sz w:val="32"/>
          <w:szCs w:val="32"/>
          <w:lang w:val="en-US" w:eastAsia="zh-CN"/>
        </w:rPr>
        <w:t>1728.4万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其中：一般公共服务支出1425.24万元，主要为人员工资、体检费、工伤失业保险、会议费、差旅费、印刷费、培训费、公务用车运行维护费等；社会保障和就业支出155.7万元，主要为单位部分各项保险；医疗卫生与计划生育支出63.03万元，全部为单位部分医疗保险、公务员医疗补助；住房保障支出84.41万元，全部为单位部分住房公积金）。</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（二）部门财政资金支出情况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年度财政拨款支出</w:t>
      </w:r>
      <w:r>
        <w:rPr>
          <w:rFonts w:hint="eastAsia" w:ascii="仿宋_GB2312" w:hAnsi="仿宋_GB2312" w:eastAsia="仿宋_GB2312" w:cs="仿宋_GB2312"/>
          <w:bCs/>
          <w:sz w:val="32"/>
          <w:szCs w:val="32"/>
          <w:lang w:val="en-US" w:eastAsia="zh-CN"/>
        </w:rPr>
        <w:t>1728.4万</w:t>
      </w:r>
      <w:r>
        <w:rPr>
          <w:rFonts w:hint="eastAsia" w:ascii="仿宋_GB2312" w:hAnsi="仿宋_GB2312" w:eastAsia="仿宋_GB2312" w:cs="仿宋_GB2312"/>
          <w:bCs/>
          <w:sz w:val="32"/>
          <w:szCs w:val="32"/>
          <w:lang w:eastAsia="zh-CN"/>
        </w:rPr>
        <w:t>元</w:t>
      </w:r>
      <w:r>
        <w:rPr>
          <w:rFonts w:hint="eastAsia" w:ascii="仿宋_GB2312" w:hAnsi="仿宋_GB2312" w:eastAsia="仿宋_GB2312" w:cs="仿宋_GB2312"/>
          <w:bCs/>
          <w:sz w:val="32"/>
          <w:szCs w:val="32"/>
          <w:lang w:val="en-US" w:eastAsia="zh-CN"/>
        </w:rPr>
        <w:t>，</w:t>
      </w:r>
      <w:r>
        <w:rPr>
          <w:rFonts w:hint="eastAsia" w:ascii="仿宋_GB2312" w:hAnsi="仿宋_GB2312" w:eastAsia="仿宋_GB2312" w:cs="仿宋_GB2312"/>
          <w:bCs/>
          <w:sz w:val="32"/>
          <w:szCs w:val="32"/>
          <w:lang w:eastAsia="zh-CN"/>
        </w:rPr>
        <w:t>与20</w:t>
      </w: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lang w:eastAsia="zh-CN"/>
        </w:rPr>
        <w:t>年相比，支出增加了</w:t>
      </w:r>
      <w:r>
        <w:rPr>
          <w:rFonts w:hint="eastAsia" w:ascii="仿宋_GB2312" w:hAnsi="仿宋_GB2312" w:eastAsia="仿宋_GB2312" w:cs="仿宋_GB2312"/>
          <w:bCs/>
          <w:sz w:val="32"/>
          <w:szCs w:val="32"/>
          <w:lang w:val="en-US" w:eastAsia="zh-CN"/>
        </w:rPr>
        <w:t>2.14</w:t>
      </w:r>
      <w:r>
        <w:rPr>
          <w:rFonts w:hint="eastAsia" w:ascii="仿宋_GB2312" w:hAnsi="仿宋_GB2312" w:eastAsia="仿宋_GB2312" w:cs="仿宋_GB2312"/>
          <w:bCs/>
          <w:sz w:val="32"/>
          <w:szCs w:val="32"/>
          <w:lang w:eastAsia="zh-CN"/>
        </w:rPr>
        <w:t>万元，增加了</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，主要变动原因新购资产、人员变动、新购公用用车一辆。</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zh-CN" w:eastAsia="zh-CN"/>
        </w:rPr>
        <w:t>红原县人民政府办公室预算编制严格按照《预算法》相关规定，结合全县预算编制口径，结合我单位实际情况编制，主要用于保障我单位正常运转、完成日常工作任务以及红原县依法治县发展等相关工作而编制，预算编制目标明确。其中根据我单位职能职责编制三项专项部门预算，一是政府专项办公费预算，主要用于补充我单位开展日常工作产生的办公费、差旅费、油费等，</w:t>
      </w:r>
      <w:r>
        <w:rPr>
          <w:rFonts w:hint="eastAsia" w:ascii="仿宋_GB2312" w:hAnsi="仿宋_GB2312" w:eastAsia="仿宋_GB2312" w:cs="仿宋_GB2312"/>
          <w:bCs/>
          <w:sz w:val="32"/>
          <w:szCs w:val="32"/>
          <w:lang w:val="en-US" w:eastAsia="zh-CN"/>
        </w:rPr>
        <w:t>2024年初预算225.09万元，年底执行223.06万元，执行率94.07%；</w:t>
      </w:r>
      <w:r>
        <w:rPr>
          <w:rFonts w:hint="eastAsia" w:ascii="仿宋_GB2312" w:hAnsi="仿宋_GB2312" w:eastAsia="仿宋_GB2312" w:cs="仿宋_GB2312"/>
          <w:bCs/>
          <w:sz w:val="32"/>
          <w:szCs w:val="32"/>
          <w:lang w:val="zh-CN" w:eastAsia="zh-CN"/>
        </w:rPr>
        <w:t>二是全县政务外网运行维护费，主要用于我县政务外网的正常运行</w:t>
      </w:r>
      <w:r>
        <w:rPr>
          <w:rFonts w:hint="eastAsia" w:ascii="仿宋_GB2312" w:hAnsi="仿宋_GB2312" w:eastAsia="仿宋_GB2312" w:cs="仿宋_GB2312"/>
          <w:bCs/>
          <w:sz w:val="32"/>
          <w:szCs w:val="32"/>
          <w:lang w:val="en-US" w:eastAsia="zh-CN"/>
        </w:rPr>
        <w:t>2024年初预算49万元，年底执行49万元，执行率100%</w:t>
      </w:r>
      <w:r>
        <w:rPr>
          <w:rFonts w:hint="eastAsia"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2024年我办预算支出无违规记录。</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年绩效目标执行率</w:t>
      </w:r>
      <w:r>
        <w:rPr>
          <w:rFonts w:hint="eastAsia" w:ascii="仿宋_GB2312" w:hAnsi="仿宋_GB2312" w:eastAsia="仿宋_GB2312" w:cs="仿宋_GB2312"/>
          <w:bCs/>
          <w:sz w:val="32"/>
          <w:szCs w:val="32"/>
          <w:lang w:val="en-US" w:eastAsia="zh-CN"/>
        </w:rPr>
        <w:t>均达88</w:t>
      </w:r>
      <w:r>
        <w:rPr>
          <w:rFonts w:hint="eastAsia" w:ascii="仿宋_GB2312" w:hAnsi="仿宋_GB2312" w:eastAsia="仿宋_GB2312" w:cs="仿宋_GB2312"/>
          <w:bCs/>
          <w:sz w:val="32"/>
          <w:szCs w:val="32"/>
          <w:lang w:val="zh-CN" w:eastAsia="zh-CN"/>
        </w:rPr>
        <w:t>%及以上完成度较好，202</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年我单位及时公开部门预算，绩效报告等，对预算编制进一步细化。</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（二）三公经费执行管理情况。</w:t>
      </w:r>
      <w:r>
        <w:rPr>
          <w:rFonts w:hint="eastAsia" w:ascii="楷体_GB2312" w:hAnsi="楷体_GB2312" w:eastAsia="楷体_GB2312" w:cs="楷体_GB2312"/>
          <w:b w:val="0"/>
          <w:bCs w:val="0"/>
          <w:color w:val="000000"/>
          <w:kern w:val="0"/>
          <w:sz w:val="32"/>
          <w:szCs w:val="32"/>
          <w:lang w:val="zh-CN" w:eastAsia="zh-CN"/>
        </w:rPr>
        <w:tab/>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1.因公出国(境)经费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年因公出国(境)费</w:t>
      </w:r>
      <w:r>
        <w:rPr>
          <w:rFonts w:hint="eastAsia" w:ascii="仿宋_GB2312" w:hAnsi="仿宋_GB2312" w:eastAsia="仿宋_GB2312" w:cs="仿宋_GB2312"/>
          <w:bCs/>
          <w:sz w:val="32"/>
          <w:szCs w:val="32"/>
          <w:lang w:val="en-US" w:eastAsia="zh-CN"/>
        </w:rPr>
        <w:t>9.98</w:t>
      </w:r>
      <w:r>
        <w:rPr>
          <w:rFonts w:hint="eastAsia" w:ascii="仿宋_GB2312" w:hAnsi="仿宋_GB2312" w:eastAsia="仿宋_GB2312" w:cs="仿宋_GB2312"/>
          <w:bCs/>
          <w:sz w:val="32"/>
          <w:szCs w:val="32"/>
          <w:lang w:eastAsia="zh-CN"/>
        </w:rPr>
        <w:t xml:space="preserve">元，因公出国(境) </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lang w:eastAsia="zh-CN"/>
        </w:rPr>
        <w:t>人，与上年持平。</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2.公务接待费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年公务接待费</w:t>
      </w:r>
      <w:r>
        <w:rPr>
          <w:rFonts w:hint="eastAsia" w:ascii="仿宋_GB2312" w:hAnsi="仿宋_GB2312" w:eastAsia="仿宋_GB2312" w:cs="仿宋_GB2312"/>
          <w:bCs/>
          <w:sz w:val="32"/>
          <w:szCs w:val="32"/>
          <w:lang w:val="en-US" w:eastAsia="zh-CN"/>
        </w:rPr>
        <w:t>0.4万</w:t>
      </w:r>
      <w:r>
        <w:rPr>
          <w:rFonts w:hint="eastAsia" w:ascii="仿宋_GB2312" w:hAnsi="仿宋_GB2312" w:eastAsia="仿宋_GB2312" w:cs="仿宋_GB2312"/>
          <w:bCs/>
          <w:sz w:val="32"/>
          <w:szCs w:val="32"/>
          <w:lang w:eastAsia="zh-CN"/>
        </w:rPr>
        <w:t>元。公务接待费支出决算比</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年决算增加</w:t>
      </w:r>
      <w:r>
        <w:rPr>
          <w:rFonts w:hint="eastAsia" w:ascii="仿宋_GB2312" w:hAnsi="仿宋_GB2312" w:eastAsia="仿宋_GB2312" w:cs="仿宋_GB2312"/>
          <w:bCs/>
          <w:sz w:val="32"/>
          <w:szCs w:val="32"/>
          <w:lang w:val="en-US" w:eastAsia="zh-CN"/>
        </w:rPr>
        <w:t>0.12</w:t>
      </w:r>
      <w:r>
        <w:rPr>
          <w:rFonts w:hint="eastAsia" w:ascii="仿宋_GB2312" w:hAnsi="仿宋_GB2312" w:eastAsia="仿宋_GB2312" w:cs="仿宋_GB2312"/>
          <w:bCs/>
          <w:sz w:val="32"/>
          <w:szCs w:val="32"/>
          <w:lang w:eastAsia="zh-CN"/>
        </w:rPr>
        <w:t>万元。</w:t>
      </w:r>
      <w:r>
        <w:rPr>
          <w:rFonts w:hint="eastAsia" w:ascii="仿宋_GB2312" w:hAnsi="仿宋_GB2312" w:eastAsia="仿宋_GB2312" w:cs="仿宋_GB2312"/>
          <w:bCs/>
          <w:sz w:val="32"/>
          <w:szCs w:val="32"/>
          <w:lang w:val="en-US" w:eastAsia="zh-CN"/>
        </w:rPr>
        <w:t>主要原因为24年厉性节约及疫情静态等影响减少了县与县之间的交流调研，2024年疫情放开县与县之间交流学习增加。后续年度我们将严格执行“八项规定、六项禁令”，结合年度工作需要，减少不必要的开支，严格审批管理接待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3.公务用车购置及运行维护费</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2024</w:t>
      </w:r>
      <w:r>
        <w:rPr>
          <w:rFonts w:hint="eastAsia" w:ascii="仿宋_GB2312" w:hAnsi="仿宋_GB2312" w:eastAsia="仿宋_GB2312" w:cs="仿宋_GB2312"/>
          <w:bCs/>
          <w:sz w:val="32"/>
          <w:szCs w:val="32"/>
          <w:lang w:eastAsia="zh-CN"/>
        </w:rPr>
        <w:t>年公务用车购置及运行维护费</w:t>
      </w:r>
      <w:r>
        <w:rPr>
          <w:rFonts w:hint="eastAsia" w:ascii="仿宋_GB2312" w:hAnsi="仿宋_GB2312" w:eastAsia="仿宋_GB2312" w:cs="仿宋_GB2312"/>
          <w:bCs/>
          <w:sz w:val="32"/>
          <w:szCs w:val="32"/>
          <w:lang w:val="en-US" w:eastAsia="zh-CN"/>
        </w:rPr>
        <w:t>154.5万</w:t>
      </w:r>
      <w:r>
        <w:rPr>
          <w:rFonts w:hint="eastAsia" w:ascii="仿宋_GB2312" w:hAnsi="仿宋_GB2312" w:eastAsia="仿宋_GB2312" w:cs="仿宋_GB2312"/>
          <w:bCs/>
          <w:sz w:val="32"/>
          <w:szCs w:val="32"/>
          <w:lang w:eastAsia="zh-CN"/>
        </w:rPr>
        <w:t>元。其中：</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公务用车购置支出</w:t>
      </w:r>
      <w:r>
        <w:rPr>
          <w:rFonts w:hint="eastAsia" w:ascii="仿宋_GB2312" w:hAnsi="仿宋_GB2312" w:eastAsia="仿宋_GB2312" w:cs="仿宋_GB2312"/>
          <w:bCs/>
          <w:sz w:val="32"/>
          <w:szCs w:val="32"/>
          <w:lang w:val="en-US" w:eastAsia="zh-CN"/>
        </w:rPr>
        <w:t>0万</w:t>
      </w:r>
      <w:r>
        <w:rPr>
          <w:rFonts w:hint="eastAsia" w:ascii="仿宋_GB2312" w:hAnsi="仿宋_GB2312" w:eastAsia="仿宋_GB2312" w:cs="仿宋_GB2312"/>
          <w:bCs/>
          <w:sz w:val="32"/>
          <w:szCs w:val="32"/>
          <w:lang w:eastAsia="zh-CN"/>
        </w:rPr>
        <w:t>元（含税）。</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公务用车运行维护费支出</w:t>
      </w:r>
      <w:r>
        <w:rPr>
          <w:rFonts w:hint="eastAsia" w:ascii="仿宋_GB2312" w:hAnsi="仿宋_GB2312" w:eastAsia="仿宋_GB2312" w:cs="仿宋_GB2312"/>
          <w:bCs/>
          <w:sz w:val="32"/>
          <w:szCs w:val="32"/>
          <w:lang w:val="en-US" w:eastAsia="zh-CN"/>
        </w:rPr>
        <w:t>154.5万</w:t>
      </w:r>
      <w:r>
        <w:rPr>
          <w:rFonts w:hint="eastAsia" w:ascii="仿宋_GB2312" w:hAnsi="仿宋_GB2312" w:eastAsia="仿宋_GB2312" w:cs="仿宋_GB2312"/>
          <w:bCs/>
          <w:sz w:val="32"/>
          <w:szCs w:val="32"/>
          <w:lang w:eastAsia="zh-CN"/>
        </w:rPr>
        <w:t>元。主要用于政府机关因公出差、下乡调研等所需的公务用车燃料费、维修费、过路过桥费、保险费等支出。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公务用车购置及运行维护费支出</w:t>
      </w:r>
      <w:r>
        <w:rPr>
          <w:rFonts w:hint="eastAsia" w:ascii="仿宋_GB2312" w:hAnsi="仿宋_GB2312" w:eastAsia="仿宋_GB2312" w:cs="仿宋_GB2312"/>
          <w:bCs/>
          <w:sz w:val="32"/>
          <w:szCs w:val="32"/>
          <w:lang w:val="en-US" w:eastAsia="zh-CN"/>
        </w:rPr>
        <w:t>212.68</w:t>
      </w:r>
      <w:r>
        <w:rPr>
          <w:rFonts w:hint="eastAsia" w:ascii="仿宋_GB2312" w:hAnsi="仿宋_GB2312" w:eastAsia="仿宋_GB2312" w:cs="仿宋_GB2312"/>
          <w:bCs/>
          <w:sz w:val="32"/>
          <w:szCs w:val="32"/>
          <w:lang w:eastAsia="zh-CN"/>
        </w:rPr>
        <w:t>万元,完成预算</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lang w:eastAsia="zh-CN"/>
        </w:rPr>
        <w:t>%。公务用车购置及运行维护费支出决算比</w:t>
      </w:r>
      <w:r>
        <w:rPr>
          <w:rFonts w:hint="eastAsia" w:ascii="仿宋_GB2312" w:hAnsi="仿宋_GB2312" w:eastAsia="仿宋_GB2312" w:cs="仿宋_GB2312"/>
          <w:bCs/>
          <w:sz w:val="32"/>
          <w:szCs w:val="32"/>
          <w:lang w:val="en-US" w:eastAsia="zh-CN"/>
        </w:rPr>
        <w:t>2023</w:t>
      </w:r>
      <w:r>
        <w:rPr>
          <w:rFonts w:hint="eastAsia" w:ascii="仿宋_GB2312" w:hAnsi="仿宋_GB2312" w:eastAsia="仿宋_GB2312" w:cs="仿宋_GB2312"/>
          <w:bCs/>
          <w:sz w:val="32"/>
          <w:szCs w:val="32"/>
          <w:lang w:eastAsia="zh-CN"/>
        </w:rPr>
        <w:t>年增加</w:t>
      </w:r>
      <w:r>
        <w:rPr>
          <w:rFonts w:hint="eastAsia" w:ascii="仿宋_GB2312" w:hAnsi="仿宋_GB2312" w:eastAsia="仿宋_GB2312" w:cs="仿宋_GB2312"/>
          <w:bCs/>
          <w:sz w:val="32"/>
          <w:szCs w:val="32"/>
          <w:lang w:val="en-US" w:eastAsia="zh-CN"/>
        </w:rPr>
        <w:t>减少0.21</w:t>
      </w:r>
      <w:r>
        <w:rPr>
          <w:rFonts w:hint="eastAsia" w:ascii="仿宋_GB2312" w:hAnsi="仿宋_GB2312" w:eastAsia="仿宋_GB2312" w:cs="仿宋_GB2312"/>
          <w:bCs/>
          <w:sz w:val="32"/>
          <w:szCs w:val="32"/>
          <w:lang w:eastAsia="zh-CN"/>
        </w:rPr>
        <w:t>万元，减少</w:t>
      </w:r>
      <w:r>
        <w:rPr>
          <w:rFonts w:hint="eastAsia" w:ascii="仿宋_GB2312" w:hAnsi="仿宋_GB2312" w:eastAsia="仿宋_GB2312" w:cs="仿宋_GB2312"/>
          <w:bCs/>
          <w:sz w:val="32"/>
          <w:szCs w:val="32"/>
          <w:lang w:val="en-US" w:eastAsia="zh-CN"/>
        </w:rPr>
        <w:t>1.35%</w:t>
      </w:r>
      <w:r>
        <w:rPr>
          <w:rFonts w:hint="eastAsia" w:ascii="仿宋_GB2312" w:hAnsi="仿宋_GB2312" w:eastAsia="仿宋_GB2312" w:cs="仿宋_GB2312"/>
          <w:bCs/>
          <w:sz w:val="32"/>
          <w:szCs w:val="32"/>
          <w:lang w:eastAsia="zh-CN"/>
        </w:rPr>
        <w:t>。主要原因是</w:t>
      </w:r>
      <w:r>
        <w:rPr>
          <w:rFonts w:hint="eastAsia" w:ascii="仿宋_GB2312" w:hAnsi="仿宋_GB2312" w:eastAsia="仿宋_GB2312" w:cs="仿宋_GB2312"/>
          <w:bCs/>
          <w:sz w:val="32"/>
          <w:szCs w:val="32"/>
          <w:lang w:val="en-US" w:eastAsia="zh-CN"/>
        </w:rPr>
        <w:t>厉行节约，减少不必要的开支。</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（三）综合管理情况。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会计法》、《新预算法》、《行政事业单位政府会计制度》等法律和财政部及其省财政厅有关财务规章的规定，明确了单位经费审批权限及程序，经费预算、核算管理、资产购置与处置、财务监督等相关规定。按规定对本单位财务信息依法进行公开。</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资产管理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由于现在的日常工作已逐步普及办公自动化，加快了办公设备淘汰更新，这就需要对固定资产进行年年清查盘点，使固定资产清查工作经常化、常态化，更好的从源头上对单位固定资产进行监控和管理。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lang w:eastAsia="zh-CN"/>
        </w:rPr>
        <w:t>单位内控管理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在财务管理过程中逐步建立健全财务管理制度、财务核算制度、财务报销制度等，严格按照</w:t>
      </w:r>
      <w:r>
        <w:rPr>
          <w:rFonts w:hint="eastAsia" w:ascii="仿宋_GB2312" w:hAnsi="仿宋_GB2312" w:eastAsia="仿宋_GB2312" w:cs="仿宋_GB2312"/>
          <w:bCs/>
          <w:sz w:val="32"/>
          <w:szCs w:val="32"/>
          <w:lang w:val="en-US" w:eastAsia="zh-CN"/>
        </w:rPr>
        <w:t>《行政事业单位政府会计制度》</w:t>
      </w:r>
      <w:r>
        <w:rPr>
          <w:rFonts w:hint="eastAsia" w:ascii="仿宋_GB2312" w:hAnsi="仿宋_GB2312" w:eastAsia="仿宋_GB2312" w:cs="仿宋_GB2312"/>
          <w:bCs/>
          <w:sz w:val="32"/>
          <w:szCs w:val="32"/>
          <w:lang w:eastAsia="zh-CN"/>
        </w:rPr>
        <w:t>的规定设置会计科目，建立了科学有效的会计核算方式，各项经济活动均真实、合法、准确、及时的反应在会计账目上，建立健全内部控制制度，积极配合财政部门开展预算、决算考评工作。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lang w:eastAsia="zh-CN"/>
        </w:rPr>
        <w:t>部门预算管理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 xml:space="preserve">严格按照综合预算原则。统一编制、统一管理、统筹安排资金，将单位所有安排的各项支出纳入综合预算，确保预算全面、真实反映单位实际的收支情况，使所有收支活动纳入预算管理与监督的范围。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lang w:val="zh-CN" w:eastAsia="zh-CN"/>
        </w:rPr>
        <w:t>绩效管理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我单位领导高度重视绩效评价工作，成立了绩效评价工作领导小组，采取座谈等方式听取相关情况，检查基本支出、专项办公费、会议费等支出有关账目，收集整理相关资料，并对资料进行分析，形成评价结论。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（1）部门预算严格按照上级部门预算编制通知和有关要求，结合单位具体工作及县级相关规定编制，按时完成基础、项目报送工作，单位预算按时在红原县门户网站公开。</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（2）严格执行支出预算，“三公经费”本着节约、高效的原则严格控制支出。</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    </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（四）整体绩效。</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通过整体绩效自评，反映本部门能按照人大相关职责要求有效履行职责，圆满完成了人大各项工作任务，绩效评价结果为优，各级人大代表及相关部门等对县人大办的各项工作满意度较高。</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（五）结果应用情况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2024年我单位从收支执行，三公经费管理，预算管理，绩效管理等方面进行了详尽</w:t>
      </w:r>
      <w:r>
        <w:rPr>
          <w:rFonts w:hint="eastAsia" w:ascii="仿宋_GB2312" w:hAnsi="仿宋_GB2312" w:eastAsia="仿宋_GB2312" w:cs="仿宋_GB2312"/>
          <w:bCs/>
          <w:sz w:val="32"/>
          <w:szCs w:val="32"/>
          <w:lang w:val="zh-CN" w:eastAsia="zh-CN"/>
        </w:rPr>
        <w:t>部门自评、</w:t>
      </w:r>
      <w:r>
        <w:rPr>
          <w:rFonts w:hint="eastAsia" w:ascii="仿宋_GB2312" w:hAnsi="仿宋_GB2312" w:eastAsia="仿宋_GB2312" w:cs="仿宋_GB2312"/>
          <w:bCs/>
          <w:sz w:val="32"/>
          <w:szCs w:val="32"/>
          <w:lang w:val="en-US" w:eastAsia="zh-CN"/>
        </w:rPr>
        <w:t>2024年预算绩效目标，项目预算绩效目标等均进行了公开，评价结果较好，对部门预算编制不够精准细化的问题将在后续工作中将逐步改进。</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根据《红原县部门支出绩效评价指标体系》自查得分95分，总体评价较好。</w:t>
      </w: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hint="eastAsia" w:ascii="楷体_GB2312" w:hAnsi="楷体_GB2312" w:eastAsia="楷体_GB2312" w:cs="楷体_GB2312"/>
          <w:b w:val="0"/>
          <w:bCs w:val="0"/>
          <w:color w:val="000000"/>
          <w:kern w:val="0"/>
          <w:sz w:val="32"/>
          <w:szCs w:val="32"/>
          <w:lang w:val="zh-CN" w:eastAsia="zh-CN"/>
        </w:rPr>
      </w:pPr>
      <w:r>
        <w:rPr>
          <w:rFonts w:hint="eastAsia" w:ascii="楷体_GB2312" w:hAnsi="楷体_GB2312" w:eastAsia="楷体_GB2312" w:cs="楷体_GB2312"/>
          <w:b w:val="0"/>
          <w:bCs w:val="0"/>
          <w:color w:val="000000"/>
          <w:kern w:val="0"/>
          <w:sz w:val="32"/>
          <w:szCs w:val="32"/>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r>
        <w:rPr>
          <w:rFonts w:hint="eastAsia" w:ascii="仿宋_GB2312" w:hAnsi="仿宋_GB2312" w:eastAsia="仿宋_GB2312" w:cs="仿宋_GB2312"/>
          <w:bCs/>
          <w:sz w:val="32"/>
          <w:szCs w:val="32"/>
          <w:lang w:val="en-US" w:eastAsia="zh-CN"/>
        </w:rPr>
        <w:br w:type="textWrapping"/>
      </w:r>
      <w:r>
        <w:rPr>
          <w:rFonts w:hint="eastAsia" w:ascii="仿宋_GB2312" w:hAnsi="仿宋_GB2312" w:eastAsia="仿宋_GB2312" w:cs="仿宋_GB2312"/>
          <w:bCs/>
          <w:sz w:val="32"/>
          <w:szCs w:val="32"/>
          <w:lang w:val="en-US" w:eastAsia="zh-CN"/>
        </w:rPr>
        <w:t xml:space="preserve">   存在的问题:在平时工作推进过程中，还应加强绩效管理，进一步细化管理，预算编制还需更加精准。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改进建议。</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2.规范账务处理，提高财务信息质量。</w:t>
      </w:r>
    </w:p>
    <w:p>
      <w:pPr>
        <w:widowControl/>
        <w:jc w:val="left"/>
        <w:rPr>
          <w:rStyle w:val="31"/>
          <w:rFonts w:ascii="黑体" w:eastAsia="黑体"/>
          <w:b w:val="0"/>
        </w:rPr>
      </w:pPr>
      <w:r>
        <w:rPr>
          <w:rStyle w:val="31"/>
          <w:rFonts w:ascii="黑体" w:eastAsia="黑体"/>
          <w:b w:val="0"/>
        </w:rPr>
        <w:br w:type="page"/>
      </w:r>
    </w:p>
    <w:p>
      <w:pPr>
        <w:keepNext w:val="0"/>
        <w:keepLines w:val="0"/>
        <w:pageBreakBefore w:val="0"/>
        <w:widowControl/>
        <w:kinsoku/>
        <w:wordWrap/>
        <w:overflowPunct/>
        <w:topLinePunct w:val="0"/>
        <w:autoSpaceDE/>
        <w:autoSpaceDN/>
        <w:bidi w:val="0"/>
        <w:spacing w:line="576" w:lineRule="exact"/>
        <w:contextualSpacing/>
        <w:jc w:val="center"/>
        <w:textAlignment w:val="auto"/>
        <w:rPr>
          <w:rFonts w:hint="default" w:ascii="Times New Roman" w:hAnsi="Times New Roman" w:eastAsia="方正小标宋_GBK" w:cs="Times New Roman"/>
          <w:bCs/>
          <w:sz w:val="44"/>
          <w:szCs w:val="44"/>
          <w:shd w:val="clear" w:color="auto" w:fill="FFFFFF"/>
        </w:rPr>
      </w:pPr>
      <w:r>
        <w:rPr>
          <w:rFonts w:hint="default" w:ascii="Times New Roman" w:hAnsi="Times New Roman" w:eastAsia="方正小标宋_GBK" w:cs="Times New Roman"/>
          <w:bCs/>
          <w:sz w:val="44"/>
          <w:szCs w:val="44"/>
          <w:shd w:val="clear" w:color="auto" w:fill="FFFFFF"/>
        </w:rPr>
        <w:t>红原县人民政府办公室</w:t>
      </w:r>
    </w:p>
    <w:p>
      <w:pPr>
        <w:keepNext w:val="0"/>
        <w:keepLines w:val="0"/>
        <w:pageBreakBefore w:val="0"/>
        <w:widowControl/>
        <w:kinsoku/>
        <w:wordWrap/>
        <w:overflowPunct/>
        <w:topLinePunct w:val="0"/>
        <w:autoSpaceDE/>
        <w:autoSpaceDN/>
        <w:bidi w:val="0"/>
        <w:spacing w:line="576" w:lineRule="exact"/>
        <w:contextualSpacing/>
        <w:jc w:val="center"/>
        <w:textAlignment w:val="auto"/>
        <w:rPr>
          <w:rFonts w:hint="default" w:ascii="Times New Roman" w:hAnsi="Times New Roman" w:eastAsia="方正小标宋_GBK" w:cs="Times New Roman"/>
          <w:bCs/>
          <w:sz w:val="44"/>
          <w:szCs w:val="44"/>
          <w:shd w:val="clear" w:color="auto" w:fill="FFFFFF"/>
        </w:rPr>
      </w:pPr>
      <w:r>
        <w:rPr>
          <w:rFonts w:hint="default" w:ascii="Times New Roman" w:hAnsi="Times New Roman" w:eastAsia="方正小标宋_GBK" w:cs="Times New Roman"/>
          <w:bCs/>
          <w:sz w:val="44"/>
          <w:szCs w:val="44"/>
          <w:shd w:val="clear" w:color="auto" w:fill="FFFFFF"/>
        </w:rPr>
        <w:t>202</w:t>
      </w:r>
      <w:r>
        <w:rPr>
          <w:rFonts w:hint="default" w:ascii="Times New Roman" w:hAnsi="Times New Roman" w:eastAsia="方正小标宋_GBK" w:cs="Times New Roman"/>
          <w:bCs/>
          <w:sz w:val="44"/>
          <w:szCs w:val="44"/>
          <w:shd w:val="clear" w:color="auto" w:fill="FFFFFF"/>
          <w:lang w:val="en-US" w:eastAsia="zh-CN"/>
        </w:rPr>
        <w:t>4</w:t>
      </w:r>
      <w:r>
        <w:rPr>
          <w:rFonts w:hint="default" w:ascii="Times New Roman" w:hAnsi="Times New Roman" w:eastAsia="方正小标宋_GBK" w:cs="Times New Roman"/>
          <w:bCs/>
          <w:sz w:val="44"/>
          <w:szCs w:val="44"/>
          <w:shd w:val="clear" w:color="auto" w:fill="FFFFFF"/>
        </w:rPr>
        <w:t>年度部门</w:t>
      </w:r>
      <w:r>
        <w:rPr>
          <w:rFonts w:hint="eastAsia" w:eastAsia="方正小标宋_GBK" w:cs="Times New Roman"/>
          <w:bCs/>
          <w:sz w:val="44"/>
          <w:szCs w:val="44"/>
          <w:shd w:val="clear" w:color="auto" w:fill="FFFFFF"/>
          <w:lang w:eastAsia="zh-CN"/>
        </w:rPr>
        <w:t>预算绩效</w:t>
      </w:r>
      <w:r>
        <w:rPr>
          <w:rFonts w:hint="default" w:ascii="Times New Roman" w:hAnsi="Times New Roman" w:eastAsia="方正小标宋_GBK" w:cs="Times New Roman"/>
          <w:bCs/>
          <w:sz w:val="44"/>
          <w:szCs w:val="44"/>
          <w:shd w:val="clear" w:color="auto" w:fill="FFFFFF"/>
        </w:rPr>
        <w:t>自评报告</w:t>
      </w:r>
    </w:p>
    <w:p>
      <w:pPr>
        <w:keepNext w:val="0"/>
        <w:keepLines w:val="0"/>
        <w:pageBreakBefore w:val="0"/>
        <w:widowControl/>
        <w:kinsoku/>
        <w:wordWrap/>
        <w:overflowPunct/>
        <w:topLinePunct w:val="0"/>
        <w:autoSpaceDE/>
        <w:autoSpaceDN/>
        <w:bidi w:val="0"/>
        <w:adjustRightInd w:val="0"/>
        <w:snapToGrid w:val="0"/>
        <w:spacing w:line="576" w:lineRule="exact"/>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pPr>
        <w:keepNext w:val="0"/>
        <w:keepLines w:val="0"/>
        <w:pageBreakBefore w:val="0"/>
        <w:widowControl/>
        <w:kinsoku/>
        <w:wordWrap/>
        <w:overflowPunct/>
        <w:topLinePunct w:val="0"/>
        <w:autoSpaceDE/>
        <w:autoSpaceDN/>
        <w:bidi w:val="0"/>
        <w:adjustRightInd w:val="0"/>
        <w:snapToGrid w:val="0"/>
        <w:spacing w:line="500" w:lineRule="exact"/>
        <w:ind w:firstLine="642" w:firstLineChars="200"/>
        <w:jc w:val="left"/>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zh-CN" w:eastAsia="zh-CN"/>
        </w:rPr>
        <w:t>一、部门（单位）基本情况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（一）机构组成。</w:t>
      </w:r>
      <w:r>
        <w:rPr>
          <w:rFonts w:hint="default" w:ascii="仿宋_GB2312" w:hAnsi="仿宋_GB2312" w:eastAsia="仿宋_GB2312" w:cs="仿宋_GB2312"/>
          <w:bCs/>
          <w:sz w:val="32"/>
          <w:szCs w:val="32"/>
          <w:lang w:val="en-US" w:eastAsia="zh-CN"/>
        </w:rPr>
        <w:t>我单位为独立核算全额拨款行政单位，下属四个事业机构分别是：红原县国防动员事务中心、政府办公室信息公开工作中心、机关事务管理局、政府总值班室。</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（二）机构职能。</w:t>
      </w:r>
      <w:r>
        <w:rPr>
          <w:rFonts w:hint="default" w:ascii="仿宋_GB2312" w:hAnsi="仿宋_GB2312" w:eastAsia="仿宋_GB2312" w:cs="仿宋_GB2312"/>
          <w:bCs/>
          <w:sz w:val="32"/>
          <w:szCs w:val="32"/>
          <w:lang w:val="en-US" w:eastAsia="zh-CN"/>
        </w:rPr>
        <w:t>红原县人民政府办公室是政府的办事机构，主要负责政府日常文书的处理，中央、省委、州委和县委重要部署贯彻落实的督促检查，上级领导同志指示的转达和催办落实；围绕中央、省委、州委和政府工作部分收集信息、反映动态、综合调研；负责政府各种会议的会务工作和县政府领导同志参加重大活动的组织安排；负责对本地区带全局性、战略性的重大问题进行调查研究，为政府指导工作提出意见和建议；负责政府的行政后勤保障工作；负责全县政府系列外网的规划、建设、管理、运行、维护、使用工作。完成政府和政府领导交办的其他工作。</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（三）人员概况。</w:t>
      </w:r>
      <w:r>
        <w:rPr>
          <w:rFonts w:hint="default" w:ascii="仿宋_GB2312" w:hAnsi="仿宋_GB2312" w:eastAsia="仿宋_GB2312" w:cs="仿宋_GB2312"/>
          <w:bCs/>
          <w:sz w:val="32"/>
          <w:szCs w:val="32"/>
          <w:lang w:val="en-US" w:eastAsia="zh-CN"/>
        </w:rPr>
        <w:t>截止2024年末，政府办共有编制49个，其中公务员编制24个，行政工勤编制11个，事业编制14个，年末实有人数4</w:t>
      </w:r>
      <w:r>
        <w:rPr>
          <w:rFonts w:hint="eastAsia"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en-US" w:eastAsia="zh-CN"/>
        </w:rPr>
        <w:t>人，公务员20人，行政工勤人员10人，事业1</w:t>
      </w:r>
      <w:r>
        <w:rPr>
          <w:rFonts w:hint="eastAsia"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en-US" w:eastAsia="zh-CN"/>
        </w:rPr>
        <w:t>人。</w:t>
      </w:r>
    </w:p>
    <w:p>
      <w:pPr>
        <w:keepNext w:val="0"/>
        <w:keepLines w:val="0"/>
        <w:pageBreakBefore w:val="0"/>
        <w:widowControl/>
        <w:kinsoku/>
        <w:wordWrap/>
        <w:overflowPunct/>
        <w:topLinePunct w:val="0"/>
        <w:autoSpaceDE/>
        <w:autoSpaceDN/>
        <w:bidi w:val="0"/>
        <w:adjustRightInd w:val="0"/>
        <w:snapToGrid w:val="0"/>
        <w:spacing w:line="500" w:lineRule="exact"/>
        <w:ind w:firstLine="642" w:firstLineChars="200"/>
        <w:jc w:val="left"/>
        <w:textAlignment w:val="auto"/>
        <w:rPr>
          <w:rFonts w:hint="default" w:ascii="仿宋_GB2312" w:hAnsi="仿宋_GB2312" w:eastAsia="仿宋_GB2312" w:cs="仿宋_GB2312"/>
          <w:b/>
          <w:bCs w:val="0"/>
          <w:sz w:val="32"/>
          <w:szCs w:val="32"/>
          <w:lang w:val="en-US" w:eastAsia="zh-CN"/>
        </w:rPr>
      </w:pPr>
      <w:r>
        <w:rPr>
          <w:rFonts w:hint="default" w:ascii="仿宋_GB2312" w:hAnsi="仿宋_GB2312" w:eastAsia="仿宋_GB2312" w:cs="仿宋_GB2312"/>
          <w:b/>
          <w:bCs w:val="0"/>
          <w:sz w:val="32"/>
          <w:szCs w:val="32"/>
          <w:lang w:val="en-US" w:eastAsia="zh-CN"/>
        </w:rPr>
        <w:t>二、部门资金收支情况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（一）收入情况。</w:t>
      </w:r>
      <w:r>
        <w:rPr>
          <w:rFonts w:hint="default" w:ascii="仿宋_GB2312" w:hAnsi="仿宋_GB2312" w:eastAsia="仿宋_GB2312" w:cs="仿宋_GB2312"/>
          <w:bCs/>
          <w:sz w:val="32"/>
          <w:szCs w:val="32"/>
          <w:lang w:val="en-US" w:eastAsia="zh-CN"/>
        </w:rPr>
        <w:t>2024年政府办公室本年收入合计17283962.39元，其中：一般公共预算财政拨款收入17283962.39元。</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w:t>
      </w:r>
      <w:r>
        <w:rPr>
          <w:rFonts w:hint="eastAsia" w:ascii="仿宋_GB2312" w:hAnsi="仿宋_GB2312" w:eastAsia="仿宋_GB2312" w:cs="仿宋_GB2312"/>
          <w:bCs/>
          <w:sz w:val="32"/>
          <w:szCs w:val="32"/>
          <w:lang w:val="en-US" w:eastAsia="zh-CN"/>
        </w:rPr>
        <w:t>二</w:t>
      </w:r>
      <w:r>
        <w:rPr>
          <w:rFonts w:hint="default" w:ascii="仿宋_GB2312" w:hAnsi="仿宋_GB2312" w:eastAsia="仿宋_GB2312" w:cs="仿宋_GB2312"/>
          <w:bCs/>
          <w:sz w:val="32"/>
          <w:szCs w:val="32"/>
          <w:lang w:val="zh-CN" w:eastAsia="zh-CN"/>
        </w:rPr>
        <w:t>）支出情况。</w:t>
      </w:r>
      <w:r>
        <w:rPr>
          <w:rFonts w:hint="default" w:ascii="仿宋_GB2312" w:hAnsi="仿宋_GB2312" w:eastAsia="仿宋_GB2312" w:cs="仿宋_GB2312"/>
          <w:bCs/>
          <w:sz w:val="32"/>
          <w:szCs w:val="32"/>
          <w:lang w:val="en-US" w:eastAsia="zh-CN"/>
        </w:rPr>
        <w:t>2024年政府办公室本年支出合计17283962.39元，其中：一般公共服务支出14252438.28元、社会保障和就业支出1557046.32元、卫生健康支出630337.79元、住房保障支出844140.00元。</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en-US" w:eastAsia="zh-CN"/>
        </w:rPr>
        <w:t>整体支出主要完成任务在两个方面：一是保障单位基本正常运转，其中工资福利支出10799626.44元、商品服务支出4898794.95元，对家庭和个人的补助支出750070.00元，资本性支出835471.00元。</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（三）</w:t>
      </w:r>
      <w:r>
        <w:rPr>
          <w:rFonts w:hint="default" w:ascii="仿宋_GB2312" w:hAnsi="仿宋_GB2312" w:eastAsia="仿宋_GB2312" w:cs="仿宋_GB2312"/>
          <w:bCs/>
          <w:sz w:val="32"/>
          <w:szCs w:val="32"/>
          <w:lang w:val="en-US" w:eastAsia="zh-CN"/>
        </w:rPr>
        <w:t>结余分配和结转结余情况。政府办2024年无结转结余结情况。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三、部门预算绩效分析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（一）部门预算总体绩效分析。根据部门预算绩效评价指标体系围绕履职效能、预算管理、财务管理、资产管理、采购管理等方面逐项分析：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1. 履职效能（15分）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核心职能目标完成情况：</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（1）政府日常文书处理（</w:t>
      </w:r>
      <w:r>
        <w:rPr>
          <w:rFonts w:hint="default" w:ascii="仿宋_GB2312" w:hAnsi="仿宋_GB2312" w:eastAsia="仿宋_GB2312" w:cs="仿宋_GB2312"/>
          <w:bCs/>
          <w:sz w:val="32"/>
          <w:szCs w:val="32"/>
          <w:lang w:val="en-US" w:eastAsia="zh-CN"/>
        </w:rPr>
        <w:t>8</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完成情况：全年处理公文</w:t>
      </w:r>
      <w:r>
        <w:rPr>
          <w:rFonts w:hint="default" w:ascii="仿宋_GB2312" w:hAnsi="仿宋_GB2312" w:eastAsia="仿宋_GB2312" w:cs="仿宋_GB2312"/>
          <w:bCs/>
          <w:sz w:val="32"/>
          <w:szCs w:val="32"/>
          <w:lang w:val="en-US" w:eastAsia="zh-CN"/>
        </w:rPr>
        <w:t>6845次</w:t>
      </w:r>
      <w:r>
        <w:rPr>
          <w:rFonts w:hint="default" w:ascii="仿宋_GB2312" w:hAnsi="仿宋_GB2312" w:eastAsia="仿宋_GB2312" w:cs="仿宋_GB2312"/>
          <w:bCs/>
          <w:sz w:val="32"/>
          <w:szCs w:val="32"/>
          <w:lang w:val="zh-CN" w:eastAsia="zh-CN"/>
        </w:rPr>
        <w:t>，办结率100%，未出现重大延误或错误。</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7</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）后勤保障服务（</w:t>
      </w:r>
      <w:r>
        <w:rPr>
          <w:rFonts w:hint="default" w:ascii="仿宋_GB2312" w:hAnsi="仿宋_GB2312" w:eastAsia="仿宋_GB2312" w:cs="仿宋_GB2312"/>
          <w:bCs/>
          <w:sz w:val="32"/>
          <w:szCs w:val="32"/>
          <w:lang w:val="en-US" w:eastAsia="zh-CN"/>
        </w:rPr>
        <w:t>7</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完成情况：保障政府会议</w:t>
      </w:r>
      <w:r>
        <w:rPr>
          <w:rFonts w:hint="default" w:ascii="仿宋_GB2312" w:hAnsi="仿宋_GB2312" w:eastAsia="仿宋_GB2312" w:cs="仿宋_GB2312"/>
          <w:bCs/>
          <w:sz w:val="32"/>
          <w:szCs w:val="32"/>
          <w:lang w:val="en-US" w:eastAsia="zh-CN"/>
        </w:rPr>
        <w:t>115</w:t>
      </w:r>
      <w:r>
        <w:rPr>
          <w:rFonts w:hint="default" w:ascii="仿宋_GB2312" w:hAnsi="仿宋_GB2312" w:eastAsia="仿宋_GB2312" w:cs="仿宋_GB2312"/>
          <w:bCs/>
          <w:sz w:val="32"/>
          <w:szCs w:val="32"/>
          <w:lang w:val="zh-CN" w:eastAsia="zh-CN"/>
        </w:rPr>
        <w:t>次，接待任务</w:t>
      </w:r>
      <w:r>
        <w:rPr>
          <w:rFonts w:hint="default" w:ascii="仿宋_GB2312" w:hAnsi="仿宋_GB2312" w:eastAsia="仿宋_GB2312" w:cs="仿宋_GB2312"/>
          <w:bCs/>
          <w:sz w:val="32"/>
          <w:szCs w:val="32"/>
          <w:lang w:val="en-US" w:eastAsia="zh-CN"/>
        </w:rPr>
        <w:t>23</w:t>
      </w:r>
      <w:r>
        <w:rPr>
          <w:rFonts w:hint="default" w:ascii="仿宋_GB2312" w:hAnsi="仿宋_GB2312" w:eastAsia="仿宋_GB2312" w:cs="仿宋_GB2312"/>
          <w:bCs/>
          <w:sz w:val="32"/>
          <w:szCs w:val="32"/>
          <w:lang w:val="zh-CN" w:eastAsia="zh-CN"/>
        </w:rPr>
        <w:t>次，满意度达90%。</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7</w:t>
      </w:r>
      <w:r>
        <w:rPr>
          <w:rFonts w:hint="default" w:ascii="仿宋_GB2312" w:hAnsi="仿宋_GB2312" w:eastAsia="仿宋_GB2312" w:cs="仿宋_GB2312"/>
          <w:bCs/>
          <w:sz w:val="32"/>
          <w:szCs w:val="32"/>
          <w:lang w:val="zh-CN" w:eastAsia="zh-CN"/>
        </w:rPr>
        <w:t xml:space="preserve">分    </w:t>
      </w:r>
      <w:r>
        <w:rPr>
          <w:rFonts w:hint="default" w:ascii="仿宋_GB2312" w:hAnsi="仿宋_GB2312" w:eastAsia="仿宋_GB2312" w:cs="仿宋_GB2312"/>
          <w:bCs/>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zh-CN" w:eastAsia="zh-CN"/>
        </w:rPr>
        <w:t>2. 预算管理（25分）</w:t>
      </w:r>
      <w:r>
        <w:rPr>
          <w:rFonts w:hint="default" w:ascii="仿宋_GB2312" w:hAnsi="仿宋_GB2312" w:eastAsia="仿宋_GB2312" w:cs="仿宋_GB2312"/>
          <w:bCs/>
          <w:sz w:val="32"/>
          <w:szCs w:val="32"/>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（1）预算编制质量（8分）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分析：预算编制符合财政要求，但部分资本性支出（如设备购置）未细化绩效目标。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7</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（2）单位收入统筹（</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分析：收入全部来自财政拨款，无其他收入来源，统筹效率较高。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（3）支出执行进度（</w:t>
      </w:r>
      <w:r>
        <w:rPr>
          <w:rFonts w:hint="default" w:ascii="仿宋_GB2312" w:hAnsi="仿宋_GB2312" w:eastAsia="仿宋_GB2312" w:cs="仿宋_GB2312"/>
          <w:bCs/>
          <w:sz w:val="32"/>
          <w:szCs w:val="32"/>
          <w:lang w:val="en-US" w:eastAsia="zh-CN"/>
        </w:rPr>
        <w:t>6</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分析：全年支出进度100%，无滞后现象。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评分：5分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（4）预算年终结余（</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分析：收支平衡，但未说明结转结余资金管理措施。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（5）严控一般性支出（</w:t>
      </w:r>
      <w:r>
        <w:rPr>
          <w:rFonts w:hint="default" w:ascii="仿宋_GB2312" w:hAnsi="仿宋_GB2312" w:eastAsia="仿宋_GB2312" w:cs="仿宋_GB2312"/>
          <w:bCs/>
          <w:sz w:val="32"/>
          <w:szCs w:val="32"/>
          <w:lang w:val="en-US" w:eastAsia="zh-CN"/>
        </w:rPr>
        <w:t>5</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分析：商品服务支出占比28.3%，未超预算，符合厉行节约要求。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3. 财务管理（10分）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（1）财务管理制度健全性（4分）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分析：内控制度完善，涵盖预算、收支、采购等环节。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评分：4分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（2）财务岗位设置合规性（</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分析：会计、出纳岗位分离，职责明确。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（3）资金使用规范性（</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分析：支出分类清晰，无违规使用资金情况。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4. 资产管理（</w:t>
      </w:r>
      <w:r>
        <w:rPr>
          <w:rFonts w:hint="default" w:ascii="仿宋_GB2312" w:hAnsi="仿宋_GB2312" w:eastAsia="仿宋_GB2312" w:cs="仿宋_GB2312"/>
          <w:bCs/>
          <w:sz w:val="32"/>
          <w:szCs w:val="32"/>
          <w:lang w:val="en-US" w:eastAsia="zh-CN"/>
        </w:rPr>
        <w:t>9</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（1）人均资产变化率（</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分析：新增资本性支出83.5万元，但未量化资产使用效率提升情况。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评分：3分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（2）资产利用率（3分）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分析：办公设备、车辆等使用正常，但未统计闲置率。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评分：3分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（3）资产盘活率（3分）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分析：未提及闲置资产处置或共享情况。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评分：2分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5. 采购管理（</w:t>
      </w:r>
      <w:r>
        <w:rPr>
          <w:rFonts w:hint="default" w:ascii="仿宋_GB2312" w:hAnsi="仿宋_GB2312" w:eastAsia="仿宋_GB2312" w:cs="仿宋_GB2312"/>
          <w:bCs/>
          <w:sz w:val="32"/>
          <w:szCs w:val="32"/>
          <w:lang w:val="en-US" w:eastAsia="zh-CN"/>
        </w:rPr>
        <w:t>6</w:t>
      </w:r>
      <w:r>
        <w:rPr>
          <w:rFonts w:hint="default" w:ascii="仿宋_GB2312" w:hAnsi="仿宋_GB2312" w:eastAsia="仿宋_GB2312" w:cs="仿宋_GB2312"/>
          <w:bCs/>
          <w:sz w:val="32"/>
          <w:szCs w:val="32"/>
          <w:lang w:val="zh-CN" w:eastAsia="zh-CN"/>
        </w:rPr>
        <w:t xml:space="preserve">分）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 xml:space="preserve">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（1）支持中小企业发展（3分）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分析：未明确中小企业采购比例，缺乏政策落实数据。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（2）采购执行（</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分析：全年采购计划完成率100%，流程合规。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总体绩效自评得分汇总*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一级指标 | 分值 | 自评得分 | 得分率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履职效能 |  15  |    14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93.3%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预算管理 |  25  |    2</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 xml:space="preserve"> 88</w:t>
      </w:r>
      <w:r>
        <w:rPr>
          <w:rFonts w:hint="default" w:ascii="仿宋_GB2312" w:hAnsi="仿宋_GB2312" w:eastAsia="仿宋_GB2312" w:cs="仿宋_GB2312"/>
          <w:bCs/>
          <w:sz w:val="32"/>
          <w:szCs w:val="32"/>
          <w:lang w:val="zh-CN" w:eastAsia="zh-CN"/>
        </w:rPr>
        <w:t>%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财务管理 |  10  |    10    |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100%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资产管理 |  </w:t>
      </w:r>
      <w:r>
        <w:rPr>
          <w:rFonts w:hint="default" w:ascii="仿宋_GB2312" w:hAnsi="仿宋_GB2312" w:eastAsia="仿宋_GB2312" w:cs="仿宋_GB2312"/>
          <w:bCs/>
          <w:sz w:val="32"/>
          <w:szCs w:val="32"/>
          <w:lang w:val="en-US" w:eastAsia="zh-CN"/>
        </w:rPr>
        <w:t xml:space="preserve">6  </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6</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 xml:space="preserve"> 100</w:t>
      </w:r>
      <w:r>
        <w:rPr>
          <w:rFonts w:hint="default" w:ascii="仿宋_GB2312" w:hAnsi="仿宋_GB2312" w:eastAsia="仿宋_GB2312" w:cs="仿宋_GB2312"/>
          <w:bCs/>
          <w:sz w:val="32"/>
          <w:szCs w:val="32"/>
          <w:lang w:val="zh-CN" w:eastAsia="zh-CN"/>
        </w:rPr>
        <w:t>%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采购管理 |  </w:t>
      </w:r>
      <w:r>
        <w:rPr>
          <w:rFonts w:hint="default" w:ascii="仿宋_GB2312" w:hAnsi="仿宋_GB2312" w:eastAsia="仿宋_GB2312" w:cs="仿宋_GB2312"/>
          <w:bCs/>
          <w:sz w:val="32"/>
          <w:szCs w:val="32"/>
          <w:lang w:val="en-US" w:eastAsia="zh-CN"/>
        </w:rPr>
        <w:t>6</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5</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8</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合计</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 xml:space="preserve">|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6</w:t>
      </w:r>
      <w:r>
        <w:rPr>
          <w:rFonts w:hint="default" w:ascii="仿宋_GB2312" w:hAnsi="仿宋_GB2312" w:eastAsia="仿宋_GB2312" w:cs="仿宋_GB2312"/>
          <w:bCs/>
          <w:sz w:val="32"/>
          <w:szCs w:val="32"/>
          <w:lang w:val="en-US" w:eastAsia="zh-CN"/>
        </w:rPr>
        <w:t xml:space="preserve">2 </w:t>
      </w:r>
      <w:r>
        <w:rPr>
          <w:rFonts w:hint="default" w:ascii="仿宋_GB2312" w:hAnsi="仿宋_GB2312" w:eastAsia="仿宋_GB2312" w:cs="仿宋_GB2312"/>
          <w:bCs/>
          <w:sz w:val="32"/>
          <w:szCs w:val="32"/>
          <w:lang w:val="zh-CN" w:eastAsia="zh-CN"/>
        </w:rPr>
        <w:t xml:space="preserve"> |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5</w:t>
      </w:r>
      <w:r>
        <w:rPr>
          <w:rFonts w:hint="default" w:ascii="仿宋_GB2312" w:hAnsi="仿宋_GB2312" w:eastAsia="仿宋_GB2312" w:cs="仿宋_GB2312"/>
          <w:bCs/>
          <w:sz w:val="32"/>
          <w:szCs w:val="32"/>
          <w:lang w:val="en-US" w:eastAsia="zh-CN"/>
        </w:rPr>
        <w:t xml:space="preserve">7    </w:t>
      </w:r>
      <w:r>
        <w:rPr>
          <w:rFonts w:hint="default" w:ascii="仿宋_GB2312" w:hAnsi="仿宋_GB2312" w:eastAsia="仿宋_GB2312" w:cs="仿宋_GB2312"/>
          <w:bCs/>
          <w:sz w:val="32"/>
          <w:szCs w:val="32"/>
          <w:lang w:val="zh-CN" w:eastAsia="zh-CN"/>
        </w:rPr>
        <w:t xml:space="preserve">| </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9</w:t>
      </w:r>
      <w:r>
        <w:rPr>
          <w:rFonts w:hint="default" w:ascii="仿宋_GB2312" w:hAnsi="仿宋_GB2312" w:eastAsia="仿宋_GB2312" w:cs="仿宋_GB2312"/>
          <w:bCs/>
          <w:sz w:val="32"/>
          <w:szCs w:val="32"/>
          <w:lang w:val="en-US" w:eastAsia="zh-CN"/>
        </w:rPr>
        <w:t>1.9</w:t>
      </w:r>
      <w:r>
        <w:rPr>
          <w:rFonts w:hint="default" w:ascii="仿宋_GB2312" w:hAnsi="仿宋_GB2312" w:eastAsia="仿宋_GB2312" w:cs="仿宋_GB2312"/>
          <w:bCs/>
          <w:sz w:val="32"/>
          <w:szCs w:val="32"/>
          <w:lang w:val="zh-CN" w:eastAsia="zh-CN"/>
        </w:rPr>
        <w:t>%</w:t>
      </w:r>
      <w:r>
        <w:rPr>
          <w:rFonts w:hint="default" w:ascii="仿宋_GB2312" w:hAnsi="仿宋_GB2312" w:eastAsia="仿宋_GB2312" w:cs="仿宋_GB2312"/>
          <w:bCs/>
          <w:sz w:val="32"/>
          <w:szCs w:val="32"/>
          <w:lang w:val="en-US" w:eastAsia="zh-CN"/>
        </w:rPr>
        <w:t xml:space="preserve"> </w:t>
      </w:r>
      <w:r>
        <w:rPr>
          <w:rFonts w:hint="default" w:ascii="仿宋_GB2312" w:hAnsi="仿宋_GB2312" w:eastAsia="仿宋_GB2312" w:cs="仿宋_GB2312"/>
          <w:bCs/>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en-US" w:eastAsia="zh-CN"/>
        </w:rPr>
        <w:t>6.</w:t>
      </w:r>
      <w:r>
        <w:rPr>
          <w:rFonts w:hint="default" w:ascii="仿宋_GB2312" w:hAnsi="仿宋_GB2312" w:eastAsia="仿宋_GB2312" w:cs="仿宋_GB2312"/>
          <w:bCs/>
          <w:sz w:val="32"/>
          <w:szCs w:val="32"/>
          <w:lang w:val="zh-CN" w:eastAsia="zh-CN"/>
        </w:rPr>
        <w:t>主要问题与改进方向</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 履职效能：部分督查整改事项未完全闭环，需加强跟踪问效。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2. 预算管理：资本性支出绩效目标需细化，年终结余资金应制定管理计划。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3. 资产管理：需建立资产动态盘活机制，提高闲置资产利用率。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4. 采购管理：应落实中小企业采购政策，明确比例要求并留存台账。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（二）部门预算项目绩效分析。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一、常年项目绩效分析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项目总数：56个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预算总金额：1745.31万元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1—12月预算执行进度：98.8%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预算结余率&gt;2%的项目：</w:t>
      </w:r>
      <w:r>
        <w:rPr>
          <w:rFonts w:hint="default" w:ascii="仿宋_GB2312" w:hAnsi="仿宋_GB2312" w:eastAsia="仿宋_GB2312" w:cs="仿宋_GB2312"/>
          <w:bCs/>
          <w:sz w:val="32"/>
          <w:szCs w:val="32"/>
          <w:lang w:val="en-US" w:eastAsia="zh-CN"/>
        </w:rPr>
        <w:t>2</w:t>
      </w:r>
      <w:r>
        <w:rPr>
          <w:rFonts w:hint="default" w:ascii="仿宋_GB2312" w:hAnsi="仿宋_GB2312" w:eastAsia="仿宋_GB2312" w:cs="仿宋_GB2312"/>
          <w:bCs/>
          <w:sz w:val="32"/>
          <w:szCs w:val="32"/>
          <w:lang w:val="zh-CN" w:eastAsia="zh-CN"/>
        </w:rPr>
        <w:t xml:space="preserve">个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1. 项目决策（权重：30%）</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决策程序：项目立项符合部门规划，审批流程规范。</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目标设置：绩效目标清晰，但需加强量化指标（如产出时效、成本控制）的细化。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项目入库：均纳入财政项目库管理，入库资料完整。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zh-CN" w:eastAsia="zh-CN"/>
        </w:rPr>
        <w:t xml:space="preserve">（扣分点：1项目目标量化不足）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2. 项目执行（权重：40%）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资金执行同向：总体执行率98.8%，资金使用与计划高度匹配。</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项目调整：无重大调整，个别项目因进度优化微调资金。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执行结果：完成预期产出，结余资金</w:t>
      </w:r>
      <w:r>
        <w:rPr>
          <w:rFonts w:hint="default" w:ascii="仿宋_GB2312" w:hAnsi="仿宋_GB2312" w:eastAsia="仿宋_GB2312" w:cs="仿宋_GB2312"/>
          <w:bCs/>
          <w:sz w:val="32"/>
          <w:szCs w:val="32"/>
          <w:lang w:val="en-US" w:eastAsia="zh-CN"/>
        </w:rPr>
        <w:t>0.96</w:t>
      </w:r>
      <w:r>
        <w:rPr>
          <w:rFonts w:hint="default" w:ascii="仿宋_GB2312" w:hAnsi="仿宋_GB2312" w:eastAsia="仿宋_GB2312" w:cs="仿宋_GB2312"/>
          <w:bCs/>
          <w:sz w:val="32"/>
          <w:szCs w:val="32"/>
          <w:lang w:val="zh-CN" w:eastAsia="zh-CN"/>
        </w:rPr>
        <w:t xml:space="preserve">万元（0.12%），符合规定。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（扣分点：结余项目未及时清理）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3. 目标实现（权重：30%）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目标完成：56个项目均完成核心绩效指标，如服务覆盖率100%。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目标偏离：1个项目因外部因素延迟验收，偏差率&lt;5%。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实现效果：社会效益显著（如部门满意度服务提升），但需加强满意度调查。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（扣分点：效果评估数据不足）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二、阶段（含一次性）项目绩效分析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项目总数：4个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预算总金额：58.83万元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1—12月预算执行进度：100%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 项目决策（权重：30%）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决策程序：均为紧急或专项任务，程序合规但前期论证可加强。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目标设置：目标明确，但1个项目未设置中期检查节点。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项目入库：纳入动态库管理，审批及时。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（扣分点：阶段性目标未细化）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2. 项目执行（权重：40%）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资金执行同向：执行率100%，资金拨付与实施进度完全同步。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项目调整：无调整，按计划完成。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执行结果：全部按期验收，结余资金0元。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评分：</w:t>
      </w:r>
      <w:r>
        <w:rPr>
          <w:rFonts w:hint="default" w:ascii="仿宋_GB2312" w:hAnsi="仿宋_GB2312" w:eastAsia="仿宋_GB2312" w:cs="仿宋_GB2312"/>
          <w:bCs/>
          <w:sz w:val="32"/>
          <w:szCs w:val="32"/>
          <w:lang w:val="en-US" w:eastAsia="zh-CN"/>
        </w:rPr>
        <w:t>4</w:t>
      </w:r>
      <w:r>
        <w:rPr>
          <w:rFonts w:hint="default" w:ascii="仿宋_GB2312" w:hAnsi="仿宋_GB2312" w:eastAsia="仿宋_GB2312" w:cs="仿宋_GB2312"/>
          <w:bCs/>
          <w:sz w:val="32"/>
          <w:szCs w:val="32"/>
          <w:lang w:val="zh-CN" w:eastAsia="zh-CN"/>
        </w:rPr>
        <w:t xml:space="preserve">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3. 目标实现（权重：30%）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目标完成：4个项目均达成预期成果（如一次性抚恤金、退休职工建房补贴完成）。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目标偏离：无偏离。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实现效果：短期效益显著（如办文办会质量提升），长期效果待跟踪。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三、问题与建议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1. 问题：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常年项目中1个结余率&gt;2%的项目需分析原因（如预算编制过松或执行滞后）。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部分项目绩效目标缺乏量化指标，效果评估数据不足。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2. 建议：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   加强预算编制精准性，建立结余资金预警机制。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 xml:space="preserve">总体绩效评分：95.5/100（加权平均）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eastAsia" w:ascii="仿宋_GB2312" w:hAnsi="仿宋_GB2312" w:eastAsia="仿宋_GB2312" w:cs="仿宋_GB2312"/>
          <w:bCs/>
          <w:sz w:val="32"/>
          <w:szCs w:val="32"/>
          <w:lang w:val="zh-CN" w:eastAsia="zh-CN"/>
        </w:rPr>
        <w:t>（一）</w:t>
      </w:r>
      <w:r>
        <w:rPr>
          <w:rFonts w:hint="default" w:ascii="仿宋_GB2312" w:hAnsi="仿宋_GB2312" w:eastAsia="仿宋_GB2312" w:cs="仿宋_GB2312"/>
          <w:bCs/>
          <w:sz w:val="32"/>
          <w:szCs w:val="32"/>
          <w:lang w:val="zh-CN" w:eastAsia="zh-CN"/>
        </w:rPr>
        <w:t>绩效结果应用情况。围绕内部应用情况、信息公开情况、整改反馈情况进行分析。</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1. 内部应用情况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预算挂钩机制：绩效评价结果已与2024年预算安排挂钩，对执行率低、效益不明显的1个常年项目（结余率&gt;2%）压减预算5%，对绩效优秀的3个项目优先保障资金。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考核激励：将绩效评价结果纳入部门年度考核，占比15%，对项目执行较好的科室给予通报表扬。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2. 信息公开情况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公开范围：绩效自评报告、重点项目评价结果已在部门官网公示，但未细化至三级指标得分。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公开时效：按要求在预算批复后20日内公开，但阶段项目效果跟踪数据未动态更新。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3. 整改反馈情况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问题整改：针对2024年绩效评价发现的3项问题（如结余资金清理不及时）已全部整改。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 xml:space="preserve">长效机制：建立“评价-反馈-整改-回头看”闭环管理流程，每季度开展执行督查。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四、评价结论及建议</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en-US" w:eastAsia="zh-CN"/>
        </w:rPr>
        <w:t>根据《红原县部门整体支出绩效评价指标体系》自查的分92分，总体评价较好。</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由于财政支出的多样性和复杂性，绩效评价指标体系设置难度大，即使可以量化，但实际操作中很多项目间缺乏可比性且指标本身也在逐步变化，需要逐步完善。</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存在的问题:在平时工作推进过程中，缺乏技术人员进行专业指导及培训，工作推进存在一定困难，预算编制还需更加精准。</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zh-CN" w:eastAsia="zh-CN"/>
        </w:rPr>
      </w:pPr>
      <w:r>
        <w:rPr>
          <w:rFonts w:hint="default" w:ascii="仿宋_GB2312" w:hAnsi="仿宋_GB2312" w:eastAsia="仿宋_GB2312" w:cs="仿宋_GB2312"/>
          <w:bCs/>
          <w:sz w:val="32"/>
          <w:szCs w:val="32"/>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通过各种途径加强绩效管理学习，科学合理编制预算，严格执行预算。</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附表：1.部门预算绩效自评打分表</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2.部门整体绩效目标完成情况自评表</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w:t>3.部门预算项目支出绩效评价表（2024年度）</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center"/>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红原县人民政府办公室</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center"/>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       2025年3月28日</w:t>
      </w:r>
    </w:p>
    <w:p>
      <w:pPr>
        <w:pStyle w:val="2"/>
        <w:rPr>
          <w:rFonts w:hint="eastAsia" w:ascii="仿宋_GB2312" w:hAnsi="仿宋_GB2312" w:eastAsia="仿宋_GB2312" w:cs="仿宋_GB2312"/>
          <w:bCs/>
          <w:sz w:val="32"/>
          <w:szCs w:val="32"/>
          <w:lang w:val="en-US" w:eastAsia="zh-CN"/>
        </w:rPr>
      </w:pPr>
    </w:p>
    <w:p>
      <w:pPr>
        <w:rPr>
          <w:rFonts w:hint="default"/>
          <w:lang w:val="en-US" w:eastAsia="zh-CN"/>
        </w:rPr>
      </w:pP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仿宋_GB2312" w:hAnsi="仿宋_GB2312" w:eastAsia="仿宋_GB2312" w:cs="仿宋_GB2312"/>
          <w:bCs/>
          <w:sz w:val="32"/>
          <w:szCs w:val="32"/>
          <w:lang w:val="en-US" w:eastAsia="zh-CN"/>
        </w:rPr>
      </w:pPr>
      <w:r>
        <w:rPr>
          <w:rFonts w:hint="default" w:ascii="仿宋_GB2312" w:hAnsi="仿宋_GB2312" w:eastAsia="仿宋_GB2312" w:cs="仿宋_GB2312"/>
          <w:bCs/>
          <w:sz w:val="32"/>
          <w:szCs w:val="32"/>
          <w:lang w:val="en-US" w:eastAsia="zh-CN"/>
        </w:rPr>
        <mc:AlternateContent>
          <mc:Choice Requires="wps">
            <w:drawing>
              <wp:anchor distT="0" distB="0" distL="114300" distR="114300" simplePos="0" relativeHeight="251667456" behindDoc="0" locked="0" layoutInCell="1" allowOverlap="1">
                <wp:simplePos x="0" y="0"/>
                <wp:positionH relativeFrom="column">
                  <wp:posOffset>12700</wp:posOffset>
                </wp:positionH>
                <wp:positionV relativeFrom="paragraph">
                  <wp:posOffset>407670</wp:posOffset>
                </wp:positionV>
                <wp:extent cx="5581015" cy="635"/>
                <wp:effectExtent l="0" t="0" r="0" b="0"/>
                <wp:wrapNone/>
                <wp:docPr id="5" name="直接连接符 5"/>
                <wp:cNvGraphicFramePr/>
                <a:graphic xmlns:a="http://schemas.openxmlformats.org/drawingml/2006/main">
                  <a:graphicData uri="http://schemas.microsoft.com/office/word/2010/wordprocessingShape">
                    <wps:wsp>
                      <wps:cNvCnPr/>
                      <wps:spPr>
                        <a:xfrm>
                          <a:off x="0" y="0"/>
                          <a:ext cx="5581015" cy="635"/>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1pt;margin-top:32.1pt;height:0.05pt;width:439.45pt;z-index:251667456;mso-width-relative:page;mso-height-relative:page;" filled="f" stroked="t" coordsize="21600,21600" o:gfxdata="UEsFBgAAAAAAAAAAAAAAAAAAAAAAAFBLAwQKAAAAAACHTuJAAAAAAAAAAAAAAAAABAAAAGRycy9Q&#10;SwMEFAAAAAgAh07iQCyoDlXWAAAABwEAAA8AAABkcnMvZG93bnJldi54bWxNj81OwzAQhO9IvIO1&#10;SNyo3YCKCXF6AFUViEtbJK7beIkD8TqN3R/eHvcEx50ZzXxbzU++FwcaYxfYwHSiQBA3wXbcGnjf&#10;LG40iJiQLfaBycAPRZjXlxcVljYceUWHdWpFLuFYogGX0lBKGRtHHuMkDMTZ+wyjx5TPsZV2xGMu&#10;970slJpJjx3nBYcDPTlqvtd7bwCfl6v0oYvX++7FvX1tFrul0ztjrq+m6hFEolP6C8MZP6NDnZm2&#10;Yc82it5AkT9JBmZ3BYhsa60eQGzPwi3IupL/+etfUEsDBBQAAAAIAIdO4kA5ghpJ4AEAAJwDAAAO&#10;AAAAZHJzL2Uyb0RvYy54bWytU0uOEzEQ3SNxB8t70p2gDKNWOrOYMGwQRAIOULHd3Zb8U9lJJ5fg&#10;AkjsYMWSPbdhOAZlJ2RmYIMQWThlV/lVvefXi6u9NWynMGrvWj6d1JwpJ7zUrm/5u7c3Ty45iwmc&#10;BOOdavlBRX61fPxoMYZGzfzgjVTICMTFZgwtH1IKTVVFMSgLceKDcpTsPFpItMW+kggjoVtTzer6&#10;oho9yoBeqBjpdHVM8mXB7zol0uuuiyox03KaLZUVy7rJa7VcQNMjhEGL0xjwD1NY0I6anqFWkIBt&#10;Uf8BZbVAH32XJsLbynedFqpwIDbT+jc2bwYIqnAhcWI4yxT/H6x4tVsj07Llc84cWHqi2w9fv7//&#10;9OPbR1pvv3xm8yzSGGJDtddujaddDGvMjPcd2vxPXNi+CHs4C6v2iQk6nM8vp/WUOgjKXTwtiNXd&#10;1YAxvVDeshy03GiXWUMDu5cxUTsq/VWSj41jI3lt9qymFxVArukMJAptIB7R9eVy9EbLG21MvhKx&#10;31wbZDvIPii/zIqAH5TlLiuIw7GupI4OGRTI506ydAikkCMr8zyDVZIzo8j5OSJAaBJo8zeV1No4&#10;miALe5QyRxsvD/Qe24C6H0iKhFtVBs1JskAZ+WTX7LH7+wJ291Et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sqA5V1gAAAAcBAAAPAAAAAAAAAAEAIAAAADgAAABkcnMvZG93bnJldi54bWxQSwEC&#10;FAAUAAAACACHTuJAOYIaSeABAACcAwAADgAAAAAAAAABACAAAAA7AQAAZHJzL2Uyb0RvYy54bWxQ&#10;SwUGAAAAAAYABgBZAQAAjQUAAAAA&#10;">
                <v:fill on="f" focussize="0,0"/>
                <v:stroke weight="1pt" color="#000000" joinstyle="round"/>
                <v:imagedata o:title=""/>
                <o:lock v:ext="edit" aspectratio="f"/>
              </v:line>
            </w:pict>
          </mc:Fallback>
        </mc:AlternateContent>
      </w:r>
      <w:r>
        <w:rPr>
          <w:rFonts w:hint="default" w:ascii="仿宋_GB2312" w:hAnsi="仿宋_GB2312" w:eastAsia="仿宋_GB2312" w:cs="仿宋_GB2312"/>
          <w:bCs/>
          <w:sz w:val="32"/>
          <w:szCs w:val="32"/>
          <w:lang w:val="en-US" w:eastAsia="zh-CN"/>
        </w:rPr>
        <mc:AlternateContent>
          <mc:Choice Requires="wps">
            <w:drawing>
              <wp:anchor distT="0" distB="0" distL="114300" distR="114300" simplePos="0" relativeHeight="251666432" behindDoc="0" locked="0" layoutInCell="1" allowOverlap="1">
                <wp:simplePos x="0" y="0"/>
                <wp:positionH relativeFrom="column">
                  <wp:posOffset>635</wp:posOffset>
                </wp:positionH>
                <wp:positionV relativeFrom="paragraph">
                  <wp:posOffset>7620</wp:posOffset>
                </wp:positionV>
                <wp:extent cx="558165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581650" cy="635"/>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0.05pt;margin-top:0.6pt;height:0.05pt;width:439.5pt;z-index:251666432;mso-width-relative:page;mso-height-relative:page;" filled="f" stroked="t" coordsize="21600,21600" o:gfxdata="UEsFBgAAAAAAAAAAAAAAAAAAAAAAAFBLAwQKAAAAAACHTuJAAAAAAAAAAAAAAAAABAAAAGRycy9Q&#10;SwMEFAAAAAgAh07iQAbngpnTAAAABAEAAA8AAABkcnMvZG93bnJldi54bWxNjstOwzAQRfdI/IM1&#10;SOyo0yDREOJ0AaoqEJu2SGyn8RAH4nEauw/+numqbEY6uld3TjU/+V4daIxdYAPTSQaKuAm249bA&#10;x2ZxV4CKCdliH5gM/FKEeX19VWFpw5FXdFinVskIxxINuJSGUuvYOPIYJ2EgluwrjB6T4NhqO+JR&#10;xn2v8yx70B47lg8OB3p21Pys994AvixX6bPI32bdq3v/3ix2S1fsjLm9mWZPoBKd0qUMZ31Rh1qc&#10;tmHPNqr+zCrJzUFJWMwehbfC96DrSv+Xr/8AUEsDBBQAAAAIAIdO4kA6vAs33QEAAJwDAAAOAAAA&#10;ZHJzL2Uyb0RvYy54bWytU0uOEzEQ3SNxB8t70p2ghFErnVlMGDYIIgEHqNjubkv+qeykk0twASR2&#10;sGLJntswHIOyEzJ8NgjRi+qyq/xc7/Xr5fXBGrZXGLV3LZ9Oas6UE15q17f8zevbR1ecxQROgvFO&#10;tfyoIr9ePXywHEOjZn7wRipkBOJiM4aWDymFpqqiGJSFOPFBOSp2Hi0kWmJfSYSR0K2pZnW9qEaP&#10;MqAXKkbaXZ+KfFXwu06J9LLrokrMtJxmSyViidscq9USmh4hDFqcx4B/mMKCdnTpBWoNCdgO9R9Q&#10;Vgv00XdpIrytfNdpoQoHYjOtf2PzaoCgChcSJ4aLTPH/wYoX+w0yLVu+4MyBpU909+7z17cfvn15&#10;T/Hu00e2yCKNITbUe+M2eF7FsMHM+NChzW/iwg5F2ONFWHVITNDmfH41XcxJf0G1xeN5RqzujwaM&#10;6ZnyluWk5Ua7zBoa2D+P6dT6oyVvG8dG8trsSZ0RgVzTGUiU2kA8ouvL4eiNlrfamHwkYr+9Mcj2&#10;kH1QnvMMv7TlW9YQh1NfKeU2aAYF8qmTLB0DKeTIyjzPYJXkzChyfs5KZwJt/qaT6BtHKmRhT1Lm&#10;bOvlkb7HLqDuB5Ii4U6VQXORLFBkO9s1e+zndQG7/6l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AG54KZ0wAAAAQBAAAPAAAAAAAAAAEAIAAAADgAAABkcnMvZG93bnJldi54bWxQSwECFAAUAAAA&#10;CACHTuJAOrwLN90BAACcAwAADgAAAAAAAAABACAAAAA4AQAAZHJzL2Uyb0RvYy54bWxQSwUGAAAA&#10;AAYABgBZAQAAhwUAAAAA&#10;">
                <v:fill on="f" focussize="0,0"/>
                <v:stroke weight="1pt" color="#000000" joinstyle="round"/>
                <v:imagedata o:title=""/>
                <o:lock v:ext="edit" aspectratio="f"/>
              </v:line>
            </w:pict>
          </mc:Fallback>
        </mc:AlternateContent>
      </w:r>
      <w:r>
        <w:rPr>
          <w:rFonts w:hint="default" w:ascii="仿宋_GB2312" w:hAnsi="仿宋_GB2312" w:eastAsia="仿宋_GB2312" w:cs="仿宋_GB2312"/>
          <w:bCs/>
          <w:sz w:val="32"/>
          <w:szCs w:val="32"/>
          <w:lang w:val="en-US" w:eastAsia="zh-CN"/>
        </w:rPr>
        <w:t xml:space="preserve"> 红原县人民政府办公室       202</w:t>
      </w:r>
      <w:r>
        <w:rPr>
          <w:rFonts w:hint="eastAsia" w:ascii="仿宋_GB2312" w:hAnsi="仿宋_GB2312" w:eastAsia="仿宋_GB2312" w:cs="仿宋_GB2312"/>
          <w:bCs/>
          <w:sz w:val="32"/>
          <w:szCs w:val="32"/>
          <w:lang w:val="en-US" w:eastAsia="zh-CN"/>
        </w:rPr>
        <w:t>5</w:t>
      </w:r>
      <w:r>
        <w:rPr>
          <w:rFonts w:hint="default" w:ascii="仿宋_GB2312" w:hAnsi="仿宋_GB2312" w:eastAsia="仿宋_GB2312" w:cs="仿宋_GB2312"/>
          <w:bCs/>
          <w:sz w:val="32"/>
          <w:szCs w:val="32"/>
          <w:lang w:val="en-US" w:eastAsia="zh-CN"/>
        </w:rPr>
        <w:t>年</w:t>
      </w:r>
      <w:r>
        <w:rPr>
          <w:rFonts w:hint="eastAsia" w:ascii="仿宋_GB2312" w:hAnsi="仿宋_GB2312" w:eastAsia="仿宋_GB2312" w:cs="仿宋_GB2312"/>
          <w:bCs/>
          <w:sz w:val="32"/>
          <w:szCs w:val="32"/>
          <w:lang w:val="en-US" w:eastAsia="zh-CN"/>
        </w:rPr>
        <w:t>3</w:t>
      </w:r>
      <w:r>
        <w:rPr>
          <w:rFonts w:hint="default" w:ascii="仿宋_GB2312" w:hAnsi="仿宋_GB2312" w:eastAsia="仿宋_GB2312" w:cs="仿宋_GB2312"/>
          <w:bCs/>
          <w:sz w:val="32"/>
          <w:szCs w:val="32"/>
          <w:lang w:val="en-US" w:eastAsia="zh-CN"/>
        </w:rPr>
        <w:t>月</w:t>
      </w:r>
      <w:r>
        <w:rPr>
          <w:rFonts w:hint="eastAsia" w:ascii="仿宋_GB2312" w:hAnsi="仿宋_GB2312" w:eastAsia="仿宋_GB2312" w:cs="仿宋_GB2312"/>
          <w:bCs/>
          <w:sz w:val="32"/>
          <w:szCs w:val="32"/>
          <w:lang w:val="en-US" w:eastAsia="zh-CN"/>
        </w:rPr>
        <w:t>28</w:t>
      </w:r>
      <w:r>
        <w:rPr>
          <w:rFonts w:hint="default" w:ascii="仿宋_GB2312" w:hAnsi="仿宋_GB2312" w:eastAsia="仿宋_GB2312" w:cs="仿宋_GB2312"/>
          <w:bCs/>
          <w:sz w:val="32"/>
          <w:szCs w:val="32"/>
          <w:lang w:val="en-US" w:eastAsia="zh-CN"/>
        </w:rPr>
        <w:t xml:space="preserve">日印发  </w:t>
      </w:r>
    </w:p>
    <w:p>
      <w:pPr>
        <w:keepNext w:val="0"/>
        <w:keepLines w:val="0"/>
        <w:pageBreakBefore w:val="0"/>
        <w:widowControl/>
        <w:kinsoku/>
        <w:wordWrap/>
        <w:overflowPunct/>
        <w:topLinePunct w:val="0"/>
        <w:autoSpaceDE/>
        <w:autoSpaceDN/>
        <w:bidi w:val="0"/>
        <w:adjustRightInd w:val="0"/>
        <w:snapToGrid w:val="0"/>
        <w:spacing w:line="500" w:lineRule="exact"/>
        <w:ind w:firstLine="640" w:firstLineChars="200"/>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仿宋_GB2312" w:hAnsi="仿宋_GB2312" w:eastAsia="仿宋_GB2312" w:cs="仿宋_GB2312"/>
          <w:bCs/>
          <w:sz w:val="32"/>
          <w:szCs w:val="32"/>
          <w:lang w:val="en-US" w:eastAsia="zh-CN"/>
        </w:rPr>
        <w:br w:type="page"/>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方正小标宋简体" w:cs="Times New Roman"/>
          <w:i w:val="0"/>
          <w:color w:val="000000"/>
          <w:kern w:val="0"/>
          <w:sz w:val="44"/>
          <w:szCs w:val="44"/>
          <w:u w:val="none"/>
          <w:lang w:val="en-US" w:eastAsia="zh-CN" w:bidi="ar"/>
        </w:rPr>
      </w:pPr>
      <w:r>
        <w:rPr>
          <w:rFonts w:hint="default"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kern w:val="0"/>
                <w:sz w:val="24"/>
                <w:szCs w:val="24"/>
                <w:u w:val="none"/>
                <w:lang w:val="en-US" w:eastAsia="zh-CN" w:bidi="ar"/>
              </w:rPr>
            </w:pPr>
            <w:r>
              <w:rPr>
                <w:rFonts w:hint="default" w:ascii="Times New Roman" w:hAnsi="Times New Roman" w:eastAsia="黑体" w:cs="Times New Roman"/>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黑体" w:cs="Times New Roman"/>
                <w:i w:val="0"/>
                <w:color w:val="000000"/>
                <w:sz w:val="24"/>
                <w:szCs w:val="24"/>
                <w:u w:val="none"/>
              </w:rPr>
            </w:pPr>
            <w:r>
              <w:rPr>
                <w:rFonts w:hint="default" w:ascii="Times New Roman" w:hAnsi="Times New Roman" w:eastAsia="黑体" w:cs="Times New Roman"/>
                <w:i w:val="0"/>
                <w:color w:val="000000"/>
                <w:kern w:val="0"/>
                <w:sz w:val="24"/>
                <w:szCs w:val="24"/>
                <w:u w:val="none"/>
                <w:lang w:val="en-US" w:eastAsia="zh-CN" w:bidi="ar"/>
              </w:rPr>
              <w:t>指标</w:t>
            </w:r>
            <w:r>
              <w:rPr>
                <w:rFonts w:hint="default" w:ascii="Times New Roman" w:hAnsi="Times New Roman" w:eastAsia="黑体" w:cs="Times New Roman"/>
                <w:i w:val="0"/>
                <w:color w:val="000000"/>
                <w:kern w:val="0"/>
                <w:sz w:val="24"/>
                <w:szCs w:val="24"/>
                <w:u w:val="none"/>
                <w:lang w:val="en-US" w:eastAsia="zh-CN" w:bidi="ar"/>
              </w:rPr>
              <w:br w:type="textWrapping"/>
            </w:r>
            <w:r>
              <w:rPr>
                <w:rFonts w:hint="default" w:ascii="Times New Roman" w:hAnsi="Times New Roman" w:eastAsia="黑体" w:cs="Times New Roman"/>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黑体" w:cs="Times New Roman"/>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黑体" w:cs="Times New Roman"/>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黑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总体绩效</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履职效能</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14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预算管理</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财务管理</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资产管理</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总体绩效</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资产管理</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采购管理</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项目绩效</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项目决策</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项目执行</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目标实现</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扣分项</w:t>
            </w:r>
            <w:r>
              <w:rPr>
                <w:rFonts w:hint="default" w:ascii="Times New Roman" w:hAnsi="Times New Roman" w:eastAsia="宋体" w:cs="Times New Roman"/>
                <w:b/>
                <w:i w:val="0"/>
                <w:color w:val="000000"/>
                <w:kern w:val="0"/>
                <w:sz w:val="24"/>
                <w:szCs w:val="24"/>
                <w:u w:val="none"/>
                <w:lang w:val="en-US" w:eastAsia="zh-CN" w:bidi="ar"/>
              </w:rPr>
              <w:br w:type="textWrapping"/>
            </w:r>
            <w:r>
              <w:rPr>
                <w:rFonts w:hint="default" w:ascii="Times New Roman" w:hAnsi="Times New Roman" w:eastAsia="宋体" w:cs="Times New Roman"/>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color w:val="000000"/>
                <w:kern w:val="0"/>
                <w:sz w:val="24"/>
                <w:szCs w:val="24"/>
                <w:u w:val="none"/>
                <w:lang w:val="en-US" w:eastAsia="zh-CN" w:bidi="ar"/>
              </w:rPr>
            </w:pPr>
          </w:p>
        </w:tc>
      </w:tr>
    </w:tbl>
    <w:p>
      <w:pPr>
        <w:pStyle w:val="22"/>
        <w:keepNext/>
        <w:keepLines/>
        <w:pageBreakBefore w:val="0"/>
        <w:widowControl w:val="0"/>
        <w:kinsoku/>
        <w:wordWrap/>
        <w:overflowPunct/>
        <w:topLinePunct w:val="0"/>
        <w:autoSpaceDE/>
        <w:autoSpaceDN/>
        <w:bidi w:val="0"/>
        <w:adjustRightInd/>
        <w:snapToGrid/>
        <w:spacing w:line="20" w:lineRule="exact"/>
        <w:textAlignment w:val="auto"/>
        <w:rPr>
          <w:rFonts w:hint="default" w:ascii="Times New Roman" w:hAnsi="Times New Roman" w:cs="Times New Roman"/>
          <w:lang w:val="en-US" w:eastAsia="zh-CN"/>
        </w:rPr>
      </w:pPr>
    </w:p>
    <w:p>
      <w:pPr>
        <w:spacing w:line="600" w:lineRule="exact"/>
        <w:jc w:val="center"/>
        <w:rPr>
          <w:rFonts w:hint="eastAsia" w:ascii="Times New Roman" w:hAnsi="Times New Roman" w:eastAsia="仿宋_GB2312" w:cs="仿宋_GB2312"/>
          <w:color w:val="auto"/>
          <w:kern w:val="2"/>
          <w:sz w:val="32"/>
          <w:szCs w:val="32"/>
          <w:highlight w:val="none"/>
          <w:lang w:val="en-US" w:eastAsia="zh-CN" w:bidi="ar-SA"/>
        </w:rPr>
      </w:pPr>
    </w:p>
    <w:bookmarkEnd w:id="52"/>
    <w:p>
      <w:pPr>
        <w:widowControl/>
        <w:jc w:val="both"/>
        <w:rPr>
          <w:rFonts w:hint="eastAsia" w:ascii="Times New Roman" w:hAnsi="Times New Roman" w:eastAsia="黑体"/>
          <w:color w:val="auto"/>
          <w:sz w:val="44"/>
          <w:szCs w:val="44"/>
          <w:highlight w:val="none"/>
        </w:rPr>
      </w:pPr>
      <w:bookmarkStart w:id="54" w:name="_Toc15396618"/>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51"/>
      <w:bookmarkEnd w:id="54"/>
      <w:bookmarkStart w:id="55" w:name="_Toc15396619"/>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5"/>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0"/>
      <w:r>
        <w:rPr>
          <w:rFonts w:hint="eastAsia" w:ascii="Times New Roman" w:hAnsi="Times New Roman" w:eastAsia="仿宋_GB2312" w:cs="仿宋_GB2312"/>
          <w:color w:val="auto"/>
          <w:sz w:val="32"/>
          <w:szCs w:val="32"/>
          <w:highlight w:val="none"/>
        </w:rPr>
        <w:t>二、收入决算表</w:t>
      </w:r>
      <w:bookmarkEnd w:id="56"/>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1"/>
      <w:r>
        <w:rPr>
          <w:rFonts w:hint="eastAsia" w:ascii="Times New Roman" w:hAnsi="Times New Roman" w:eastAsia="仿宋_GB2312" w:cs="仿宋_GB2312"/>
          <w:color w:val="auto"/>
          <w:sz w:val="32"/>
          <w:szCs w:val="32"/>
          <w:highlight w:val="none"/>
        </w:rPr>
        <w:t>三、支出决算表</w:t>
      </w:r>
      <w:bookmarkEnd w:id="57"/>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2"/>
      <w:r>
        <w:rPr>
          <w:rFonts w:hint="eastAsia" w:ascii="Times New Roman" w:hAnsi="Times New Roman" w:eastAsia="仿宋_GB2312" w:cs="仿宋_GB2312"/>
          <w:color w:val="auto"/>
          <w:sz w:val="32"/>
          <w:szCs w:val="32"/>
          <w:highlight w:val="none"/>
        </w:rPr>
        <w:t>四、财政拨款收入支出决算总表</w:t>
      </w:r>
      <w:bookmarkEnd w:id="58"/>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3"/>
      <w:r>
        <w:rPr>
          <w:rFonts w:hint="eastAsia" w:ascii="Times New Roman" w:hAnsi="Times New Roman" w:eastAsia="仿宋_GB2312" w:cs="仿宋_GB2312"/>
          <w:color w:val="auto"/>
          <w:sz w:val="32"/>
          <w:szCs w:val="32"/>
          <w:highlight w:val="none"/>
        </w:rPr>
        <w:t>五、财政拨款支出决算明细表</w:t>
      </w:r>
      <w:bookmarkEnd w:id="59"/>
      <w:bookmarkStart w:id="60" w:name="_Toc15396624"/>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0"/>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5"/>
      <w:r>
        <w:rPr>
          <w:rFonts w:hint="eastAsia" w:ascii="Times New Roman" w:hAnsi="Times New Roman" w:eastAsia="仿宋_GB2312" w:cs="仿宋_GB2312"/>
          <w:color w:val="auto"/>
          <w:sz w:val="32"/>
          <w:szCs w:val="32"/>
          <w:highlight w:val="none"/>
        </w:rPr>
        <w:t>七、一般公共预算财政拨款支出决算明细表</w:t>
      </w:r>
      <w:bookmarkEnd w:id="61"/>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6"/>
      <w:r>
        <w:rPr>
          <w:rFonts w:hint="eastAsia" w:ascii="Times New Roman" w:hAnsi="Times New Roman" w:eastAsia="仿宋_GB2312" w:cs="仿宋_GB2312"/>
          <w:color w:val="auto"/>
          <w:sz w:val="32"/>
          <w:szCs w:val="32"/>
          <w:highlight w:val="none"/>
        </w:rPr>
        <w:t>八、一般公共预算财政拨款基本支出决算表</w:t>
      </w:r>
      <w:bookmarkEnd w:id="62"/>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7"/>
      <w:r>
        <w:rPr>
          <w:rFonts w:hint="eastAsia" w:ascii="Times New Roman" w:hAnsi="Times New Roman" w:eastAsia="仿宋_GB2312" w:cs="仿宋_GB2312"/>
          <w:color w:val="auto"/>
          <w:sz w:val="32"/>
          <w:szCs w:val="32"/>
          <w:highlight w:val="none"/>
        </w:rPr>
        <w:t>九、一般公共预算财政拨款项目支出决算表</w:t>
      </w:r>
      <w:bookmarkEnd w:id="63"/>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8"/>
      <w:r>
        <w:rPr>
          <w:rFonts w:hint="eastAsia" w:ascii="Times New Roman" w:hAnsi="Times New Roman" w:eastAsia="仿宋_GB2312" w:cs="仿宋_GB2312"/>
          <w:color w:val="auto"/>
          <w:sz w:val="32"/>
          <w:szCs w:val="32"/>
          <w:highlight w:val="none"/>
        </w:rPr>
        <w:t>十、</w:t>
      </w:r>
      <w:bookmarkEnd w:id="64"/>
      <w:r>
        <w:rPr>
          <w:rFonts w:hint="eastAsia" w:ascii="Times New Roman" w:hAnsi="Times New Roman" w:eastAsia="仿宋_GB2312" w:cs="仿宋_GB2312"/>
          <w:color w:val="auto"/>
          <w:sz w:val="32"/>
          <w:szCs w:val="32"/>
          <w:highlight w:val="none"/>
        </w:rPr>
        <w:t>政府性基金预算财政拨款收入支出决算表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9"/>
      <w:r>
        <w:rPr>
          <w:rFonts w:hint="eastAsia" w:ascii="Times New Roman" w:hAnsi="Times New Roman" w:eastAsia="仿宋_GB2312" w:cs="仿宋_GB2312"/>
          <w:color w:val="auto"/>
          <w:sz w:val="32"/>
          <w:szCs w:val="32"/>
          <w:highlight w:val="none"/>
        </w:rPr>
        <w:t>十一、</w:t>
      </w:r>
      <w:bookmarkEnd w:id="65"/>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30"/>
      <w:r>
        <w:rPr>
          <w:rFonts w:hint="eastAsia" w:ascii="Times New Roman" w:hAnsi="Times New Roman" w:eastAsia="仿宋_GB2312" w:cs="仿宋_GB2312"/>
          <w:color w:val="auto"/>
          <w:sz w:val="32"/>
          <w:szCs w:val="32"/>
          <w:highlight w:val="none"/>
        </w:rPr>
        <w:t>十二、</w:t>
      </w:r>
      <w:bookmarkEnd w:id="66"/>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7" w:name="_Toc15396631"/>
      <w:r>
        <w:rPr>
          <w:rFonts w:hint="eastAsia" w:ascii="Times New Roman" w:hAnsi="Times New Roman" w:eastAsia="仿宋_GB2312" w:cs="仿宋_GB2312"/>
          <w:color w:val="auto"/>
          <w:sz w:val="32"/>
          <w:szCs w:val="32"/>
          <w:highlight w:val="none"/>
        </w:rPr>
        <w:t>十三、</w:t>
      </w:r>
      <w:bookmarkEnd w:id="67"/>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原版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原版宋体">
    <w:panose1 w:val="02010600030101010101"/>
    <w:charset w:val="86"/>
    <w:family w:val="auto"/>
    <w:pitch w:val="default"/>
    <w:sig w:usb0="00000003"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38D3E"/>
    <w:multiLevelType w:val="singleLevel"/>
    <w:tmpl w:val="E2F38D3E"/>
    <w:lvl w:ilvl="0" w:tentative="0">
      <w:start w:val="1"/>
      <w:numFmt w:val="decimal"/>
      <w:lvlText w:val="%1."/>
      <w:lvlJc w:val="left"/>
      <w:pPr>
        <w:tabs>
          <w:tab w:val="left" w:pos="312"/>
        </w:tabs>
      </w:pPr>
    </w:lvl>
  </w:abstractNum>
  <w:abstractNum w:abstractNumId="1">
    <w:nsid w:val="355685C0"/>
    <w:multiLevelType w:val="singleLevel"/>
    <w:tmpl w:val="355685C0"/>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NWIwZTJhNGRlNzY4ZWFhMGUwZjdhZmE4NzhkZj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7F1455"/>
    <w:rsid w:val="02FEBE30"/>
    <w:rsid w:val="04916F1E"/>
    <w:rsid w:val="061E35DE"/>
    <w:rsid w:val="066E0107"/>
    <w:rsid w:val="068154EF"/>
    <w:rsid w:val="0705648D"/>
    <w:rsid w:val="07996F6E"/>
    <w:rsid w:val="07DFD8BA"/>
    <w:rsid w:val="086870F7"/>
    <w:rsid w:val="08D31906"/>
    <w:rsid w:val="09867E8F"/>
    <w:rsid w:val="0A2032A3"/>
    <w:rsid w:val="0CA8290A"/>
    <w:rsid w:val="0D35B1ED"/>
    <w:rsid w:val="0D5154EF"/>
    <w:rsid w:val="0DF77E44"/>
    <w:rsid w:val="0E254B6B"/>
    <w:rsid w:val="0E8B4545"/>
    <w:rsid w:val="0EC96E88"/>
    <w:rsid w:val="0F392DD8"/>
    <w:rsid w:val="0F98263C"/>
    <w:rsid w:val="101860EC"/>
    <w:rsid w:val="101F47CC"/>
    <w:rsid w:val="10C055FF"/>
    <w:rsid w:val="115B693C"/>
    <w:rsid w:val="11694EBD"/>
    <w:rsid w:val="11772AA4"/>
    <w:rsid w:val="118107EC"/>
    <w:rsid w:val="11BF336F"/>
    <w:rsid w:val="12333415"/>
    <w:rsid w:val="12E24EE2"/>
    <w:rsid w:val="13D50BC4"/>
    <w:rsid w:val="14B17F78"/>
    <w:rsid w:val="165E0673"/>
    <w:rsid w:val="16B831D5"/>
    <w:rsid w:val="16BB723D"/>
    <w:rsid w:val="17E50567"/>
    <w:rsid w:val="185B4F34"/>
    <w:rsid w:val="186504BB"/>
    <w:rsid w:val="19A445FC"/>
    <w:rsid w:val="1BE8440E"/>
    <w:rsid w:val="1D155CEE"/>
    <w:rsid w:val="1D1638FE"/>
    <w:rsid w:val="1D6A0867"/>
    <w:rsid w:val="1E312DEB"/>
    <w:rsid w:val="1E740ACF"/>
    <w:rsid w:val="1FF35744"/>
    <w:rsid w:val="1FF6BC77"/>
    <w:rsid w:val="2186353C"/>
    <w:rsid w:val="23860B96"/>
    <w:rsid w:val="23D20962"/>
    <w:rsid w:val="240371BF"/>
    <w:rsid w:val="244F3473"/>
    <w:rsid w:val="24C97D99"/>
    <w:rsid w:val="25A718F0"/>
    <w:rsid w:val="25BB59F6"/>
    <w:rsid w:val="25CE54D7"/>
    <w:rsid w:val="260F557C"/>
    <w:rsid w:val="26970054"/>
    <w:rsid w:val="281408E2"/>
    <w:rsid w:val="298E7457"/>
    <w:rsid w:val="29FD04D3"/>
    <w:rsid w:val="2BFF7BC6"/>
    <w:rsid w:val="2C2B4BD0"/>
    <w:rsid w:val="2C8A61B5"/>
    <w:rsid w:val="2D080B74"/>
    <w:rsid w:val="2D2D51D9"/>
    <w:rsid w:val="2DF04E50"/>
    <w:rsid w:val="2E586DFA"/>
    <w:rsid w:val="2F040D46"/>
    <w:rsid w:val="2F6B035B"/>
    <w:rsid w:val="2FAE5751"/>
    <w:rsid w:val="2FB1A395"/>
    <w:rsid w:val="2FD9A7D8"/>
    <w:rsid w:val="2FDBF714"/>
    <w:rsid w:val="30AB6865"/>
    <w:rsid w:val="319F7F4E"/>
    <w:rsid w:val="32BD1EF1"/>
    <w:rsid w:val="3304709D"/>
    <w:rsid w:val="33A773CB"/>
    <w:rsid w:val="349D6851"/>
    <w:rsid w:val="3684230E"/>
    <w:rsid w:val="36AA5135"/>
    <w:rsid w:val="36BE0DA7"/>
    <w:rsid w:val="376B6AA6"/>
    <w:rsid w:val="376D39B2"/>
    <w:rsid w:val="37E16F03"/>
    <w:rsid w:val="37F53A3B"/>
    <w:rsid w:val="389B6C89"/>
    <w:rsid w:val="38D469F0"/>
    <w:rsid w:val="39627CCD"/>
    <w:rsid w:val="397BAF1F"/>
    <w:rsid w:val="3AAA60BB"/>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1546D80"/>
    <w:rsid w:val="44B00772"/>
    <w:rsid w:val="44E268DA"/>
    <w:rsid w:val="450D13D7"/>
    <w:rsid w:val="45506656"/>
    <w:rsid w:val="486A6C7A"/>
    <w:rsid w:val="48DA5DBD"/>
    <w:rsid w:val="4A627F82"/>
    <w:rsid w:val="4A6E2C61"/>
    <w:rsid w:val="4AD17D48"/>
    <w:rsid w:val="4B0E749A"/>
    <w:rsid w:val="4B2477C4"/>
    <w:rsid w:val="4B4F25DA"/>
    <w:rsid w:val="4BE068DB"/>
    <w:rsid w:val="4D577224"/>
    <w:rsid w:val="4DBF1CEB"/>
    <w:rsid w:val="4DF0007C"/>
    <w:rsid w:val="4EAB630A"/>
    <w:rsid w:val="4ECE2238"/>
    <w:rsid w:val="4F833267"/>
    <w:rsid w:val="4FE9BD67"/>
    <w:rsid w:val="4FFB052F"/>
    <w:rsid w:val="50820CAF"/>
    <w:rsid w:val="525A3ACB"/>
    <w:rsid w:val="537E6D0A"/>
    <w:rsid w:val="53F74C96"/>
    <w:rsid w:val="53F8359B"/>
    <w:rsid w:val="55042B68"/>
    <w:rsid w:val="55170BA8"/>
    <w:rsid w:val="553218C9"/>
    <w:rsid w:val="567E1AA5"/>
    <w:rsid w:val="56E47B74"/>
    <w:rsid w:val="57175D52"/>
    <w:rsid w:val="57BD3DD4"/>
    <w:rsid w:val="57C739B1"/>
    <w:rsid w:val="58B57CAD"/>
    <w:rsid w:val="5A033A81"/>
    <w:rsid w:val="5AF92295"/>
    <w:rsid w:val="5B250254"/>
    <w:rsid w:val="5BDD79E6"/>
    <w:rsid w:val="5BF561CA"/>
    <w:rsid w:val="5BFF5DFC"/>
    <w:rsid w:val="5C522529"/>
    <w:rsid w:val="5CD71FC4"/>
    <w:rsid w:val="5D1F11B5"/>
    <w:rsid w:val="5D695134"/>
    <w:rsid w:val="5DAE1B18"/>
    <w:rsid w:val="5DE7D9E5"/>
    <w:rsid w:val="5ECEC941"/>
    <w:rsid w:val="5F80495C"/>
    <w:rsid w:val="5FBF9FF3"/>
    <w:rsid w:val="5FCD4E2C"/>
    <w:rsid w:val="5FEF394A"/>
    <w:rsid w:val="5FF67715"/>
    <w:rsid w:val="607400BD"/>
    <w:rsid w:val="613F6CAD"/>
    <w:rsid w:val="62BF3928"/>
    <w:rsid w:val="63B3701E"/>
    <w:rsid w:val="647F5392"/>
    <w:rsid w:val="65E66580"/>
    <w:rsid w:val="664B1D71"/>
    <w:rsid w:val="664B4E8E"/>
    <w:rsid w:val="67277B67"/>
    <w:rsid w:val="672C7CD4"/>
    <w:rsid w:val="67AA3209"/>
    <w:rsid w:val="67B935E4"/>
    <w:rsid w:val="6897117D"/>
    <w:rsid w:val="68DE6DAC"/>
    <w:rsid w:val="694A4441"/>
    <w:rsid w:val="698D0931"/>
    <w:rsid w:val="6A7FE5F3"/>
    <w:rsid w:val="6AAB0F10"/>
    <w:rsid w:val="6B053271"/>
    <w:rsid w:val="6B7765D4"/>
    <w:rsid w:val="6BDD78B3"/>
    <w:rsid w:val="6C4A05C8"/>
    <w:rsid w:val="6C8742B8"/>
    <w:rsid w:val="6D5F1A57"/>
    <w:rsid w:val="6DBF5E93"/>
    <w:rsid w:val="6DCA3DA3"/>
    <w:rsid w:val="6DFF077E"/>
    <w:rsid w:val="6E714EF0"/>
    <w:rsid w:val="6E7E3605"/>
    <w:rsid w:val="6E7FDCC7"/>
    <w:rsid w:val="6E867766"/>
    <w:rsid w:val="6ED6A62E"/>
    <w:rsid w:val="6EE00B15"/>
    <w:rsid w:val="6F6FB3EB"/>
    <w:rsid w:val="6F8731EA"/>
    <w:rsid w:val="6FCE6052"/>
    <w:rsid w:val="6FD131C7"/>
    <w:rsid w:val="6FD57C00"/>
    <w:rsid w:val="6FEFFFD8"/>
    <w:rsid w:val="6FF5CC65"/>
    <w:rsid w:val="6FFB47EC"/>
    <w:rsid w:val="6FFF034A"/>
    <w:rsid w:val="70484440"/>
    <w:rsid w:val="7081316C"/>
    <w:rsid w:val="70C37C92"/>
    <w:rsid w:val="712A28F1"/>
    <w:rsid w:val="715C0E4B"/>
    <w:rsid w:val="71992E7C"/>
    <w:rsid w:val="72233669"/>
    <w:rsid w:val="72734D90"/>
    <w:rsid w:val="728C7879"/>
    <w:rsid w:val="73160E6D"/>
    <w:rsid w:val="731D4975"/>
    <w:rsid w:val="7332FE48"/>
    <w:rsid w:val="73AB61DA"/>
    <w:rsid w:val="73AD73D5"/>
    <w:rsid w:val="73B6EB34"/>
    <w:rsid w:val="73FA497D"/>
    <w:rsid w:val="744731E5"/>
    <w:rsid w:val="74BBD01D"/>
    <w:rsid w:val="74ED5379"/>
    <w:rsid w:val="75DEEEC2"/>
    <w:rsid w:val="75E32345"/>
    <w:rsid w:val="75FE74CD"/>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A87D42"/>
    <w:rsid w:val="7CBFC87B"/>
    <w:rsid w:val="7CFE0F48"/>
    <w:rsid w:val="7D272ABC"/>
    <w:rsid w:val="7D273E64"/>
    <w:rsid w:val="7D7EC23E"/>
    <w:rsid w:val="7E53BF4B"/>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7FFA4074"/>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等线" w:eastAsia="等线"/>
      <w:kern w:val="2"/>
      <w:szCs w:val="22"/>
    </w:rPr>
  </w:style>
  <w:style w:type="paragraph" w:styleId="6">
    <w:name w:val="Body Text"/>
    <w:basedOn w:val="1"/>
    <w:link w:val="28"/>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rPr>
  </w:style>
  <w:style w:type="paragraph" w:styleId="10">
    <w:name w:val="Balloon Text"/>
    <w:basedOn w:val="1"/>
    <w:link w:val="34"/>
    <w:semiHidden/>
    <w:unhideWhenUsed/>
    <w:qFormat/>
    <w:uiPriority w:val="99"/>
    <w:rPr>
      <w:sz w:val="18"/>
      <w:szCs w:val="18"/>
    </w:rPr>
  </w:style>
  <w:style w:type="paragraph" w:styleId="11">
    <w:name w:val="footer"/>
    <w:basedOn w:val="1"/>
    <w:next w:val="1"/>
    <w:link w:val="26"/>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7"/>
    <w:next w:val="12"/>
    <w:unhideWhenUsed/>
    <w:qFormat/>
    <w:uiPriority w:val="99"/>
    <w:pPr>
      <w:ind w:firstLine="420" w:firstLine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2"/>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1"/>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6"/>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3"/>
    <w:qFormat/>
    <w:uiPriority w:val="9"/>
    <w:rPr>
      <w:rFonts w:ascii="Times New Roman" w:hAnsi="Times New Roman"/>
      <w:b/>
      <w:bCs/>
      <w:kern w:val="44"/>
      <w:sz w:val="44"/>
      <w:szCs w:val="44"/>
    </w:rPr>
  </w:style>
  <w:style w:type="character" w:customStyle="1" w:styleId="32">
    <w:name w:val="标题 2 Char"/>
    <w:basedOn w:val="19"/>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0"/>
    <w:semiHidden/>
    <w:qFormat/>
    <w:uiPriority w:val="99"/>
    <w:rPr>
      <w:rFonts w:ascii="Times New Roman" w:hAnsi="Times New Roman"/>
      <w:kern w:val="2"/>
      <w:sz w:val="18"/>
      <w:szCs w:val="18"/>
    </w:rPr>
  </w:style>
  <w:style w:type="character" w:customStyle="1" w:styleId="35">
    <w:name w:val="标题 3 Char"/>
    <w:basedOn w:val="19"/>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收支上下年变动情况表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2023年</c:v>
                </c:pt>
              </c:strCache>
            </c:strRef>
          </c:tx>
          <c:spPr>
            <a:solidFill>
              <a:schemeClr val="accent1"/>
            </a:solidFill>
            <a:ln>
              <a:noFill/>
            </a:ln>
            <a:effectLst/>
          </c:spPr>
          <c:invertIfNegative val="false"/>
          <c:dLbls>
            <c:delete val="true"/>
          </c:dLbls>
          <c:cat>
            <c:strRef>
              <c:f>Sheet1!$A$2:$A$3</c:f>
              <c:strCache>
                <c:ptCount val="2"/>
                <c:pt idx="0">
                  <c:v>收入</c:v>
                </c:pt>
                <c:pt idx="1">
                  <c:v>支出</c:v>
                </c:pt>
              </c:strCache>
            </c:strRef>
          </c:cat>
          <c:val>
            <c:numRef>
              <c:f>Sheet1!$B$2:$B$3</c:f>
              <c:numCache>
                <c:formatCode>General</c:formatCode>
                <c:ptCount val="2"/>
                <c:pt idx="0">
                  <c:v>1726.26</c:v>
                </c:pt>
                <c:pt idx="1">
                  <c:v>1726.26</c:v>
                </c:pt>
              </c:numCache>
            </c:numRef>
          </c:val>
        </c:ser>
        <c:ser>
          <c:idx val="1"/>
          <c:order val="1"/>
          <c:tx>
            <c:strRef>
              <c:f>Sheet1!$C$1</c:f>
              <c:strCache>
                <c:ptCount val="1"/>
                <c:pt idx="0">
                  <c:v>2024年</c:v>
                </c:pt>
              </c:strCache>
            </c:strRef>
          </c:tx>
          <c:spPr>
            <a:solidFill>
              <a:schemeClr val="accent2"/>
            </a:solidFill>
            <a:ln>
              <a:noFill/>
            </a:ln>
            <a:effectLst/>
          </c:spPr>
          <c:invertIfNegative val="false"/>
          <c:dLbls>
            <c:delete val="true"/>
          </c:dLbls>
          <c:cat>
            <c:strRef>
              <c:f>Sheet1!$A$2:$A$3</c:f>
              <c:strCache>
                <c:ptCount val="2"/>
                <c:pt idx="0">
                  <c:v>收入</c:v>
                </c:pt>
                <c:pt idx="1">
                  <c:v>支出</c:v>
                </c:pt>
              </c:strCache>
            </c:strRef>
          </c:cat>
          <c:val>
            <c:numRef>
              <c:f>Sheet1!$C$2:$C$3</c:f>
              <c:numCache>
                <c:formatCode>General</c:formatCode>
                <c:ptCount val="2"/>
                <c:pt idx="0">
                  <c:v>1728.4</c:v>
                </c:pt>
                <c:pt idx="1">
                  <c:v>1728.4</c:v>
                </c:pt>
              </c:numCache>
            </c:numRef>
          </c:val>
        </c:ser>
        <c:ser>
          <c:idx val="2"/>
          <c:order val="2"/>
          <c:tx>
            <c:strRef>
              <c:f>Sheet1!#REF!</c:f>
              <c:strCache>
                <c:ptCount val="1"/>
                <c:pt idx="0">
                  <c:v/>
                </c:pt>
              </c:strCache>
            </c:strRef>
          </c:tx>
          <c:spPr>
            <a:solidFill>
              <a:schemeClr val="accent3"/>
            </a:solidFill>
            <a:ln>
              <a:noFill/>
            </a:ln>
            <a:effectLst/>
          </c:spPr>
          <c:invertIfNegative val="false"/>
          <c:dLbls>
            <c:delete val="true"/>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false"/>
          <c:showVal val="false"/>
          <c:showCatName val="false"/>
          <c:showSerName val="false"/>
          <c:showPercent val="false"/>
          <c:showBubbleSize val="false"/>
        </c:dLbls>
        <c:gapWidth val="219"/>
        <c:overlap val="-27"/>
        <c:axId val="579008237"/>
        <c:axId val="400394024"/>
      </c:barChart>
      <c:catAx>
        <c:axId val="57900823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00394024"/>
        <c:crosses val="autoZero"/>
        <c:auto val="true"/>
        <c:lblAlgn val="ctr"/>
        <c:lblOffset val="100"/>
        <c:noMultiLvlLbl val="false"/>
      </c:catAx>
      <c:valAx>
        <c:axId val="400394024"/>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79008237"/>
        <c:crosses val="autoZero"/>
        <c:crossBetween val="between"/>
      </c:valAx>
      <c:spPr>
        <a:noFill/>
        <a:ln>
          <a:noFill/>
        </a:ln>
        <a:effectLst/>
      </c:spPr>
    </c:plotArea>
    <c:legend>
      <c:legendPos val="b"/>
      <c:legendEntry>
        <c:idx val="2"/>
        <c:delete val="true"/>
      </c:legendEntry>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1" i="0" u="none" strike="noStrike" kern="1200" baseline="0">
                <a:solidFill>
                  <a:schemeClr val="tx1">
                    <a:lumMod val="75000"/>
                    <a:lumOff val="25000"/>
                  </a:schemeClr>
                </a:solidFill>
                <a:latin typeface="+mn-lt"/>
                <a:ea typeface="+mn-ea"/>
                <a:cs typeface="+mn-cs"/>
              </a:defRPr>
            </a:pPr>
            <a:r>
              <a:t>收入构成图</a:t>
            </a:r>
          </a:p>
        </c:rich>
      </c:tx>
      <c:layout/>
      <c:overlay val="false"/>
      <c:spPr>
        <a:noFill/>
        <a:ln>
          <a:noFill/>
        </a:ln>
        <a:effectLst/>
      </c:spPr>
    </c:title>
    <c:autoTitleDeleted val="false"/>
    <c:plotArea>
      <c:layout>
        <c:manualLayout>
          <c:layoutTarget val="inner"/>
          <c:xMode val="edge"/>
          <c:yMode val="edge"/>
          <c:x val="0.490825725692325"/>
          <c:y val="0.38605174048915"/>
          <c:w val="0.340105761202338"/>
          <c:h val="0.630059293632379"/>
        </c:manualLayout>
      </c:layout>
      <c:pieChart>
        <c:varyColors val="true"/>
        <c:ser>
          <c:idx val="0"/>
          <c:order val="0"/>
          <c:tx>
            <c:strRef>
              <c:f>Sheet1!$B$1</c:f>
              <c:strCache>
                <c:ptCount val="1"/>
                <c:pt idx="0">
                  <c:v>收入组成情况图</c:v>
                </c:pt>
              </c:strCache>
            </c:strRef>
          </c:tx>
          <c:spPr/>
          <c:explosion val="0"/>
          <c:dPt>
            <c:idx val="0"/>
            <c:bubble3D val="false"/>
            <c:spPr>
              <a:gradFill>
                <a:gsLst>
                  <a:gs pos="0">
                    <a:schemeClr val="accent1">
                      <a:lumMod val="40000"/>
                      <a:lumOff val="60000"/>
                    </a:schemeClr>
                  </a:gs>
                  <a:gs pos="90000">
                    <a:schemeClr val="accent1"/>
                  </a:gs>
                </a:gsLst>
                <a:lin ang="5400000" scaled="false"/>
              </a:gradFill>
              <a:ln>
                <a:gradFill>
                  <a:gsLst>
                    <a:gs pos="0">
                      <a:schemeClr val="accent1"/>
                    </a:gs>
                    <a:gs pos="100000">
                      <a:schemeClr val="accent1">
                        <a:lumMod val="75000"/>
                      </a:schemeClr>
                    </a:gs>
                  </a:gsLst>
                  <a:lin ang="5400000" scaled="true"/>
                </a:gradFill>
              </a:ln>
              <a:effectLst>
                <a:outerShdw blurRad="76200" dist="25400" dir="2700000" algn="tl" rotWithShape="0">
                  <a:schemeClr val="accent1">
                    <a:lumMod val="50000"/>
                    <a:alpha val="30000"/>
                  </a:schemeClr>
                </a:outerShdw>
              </a:effectLst>
            </c:spPr>
          </c:dPt>
          <c:dLbls>
            <c:dLbl>
              <c:idx val="0"/>
              <c:delete val="true"/>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false"/>
            <c:showVal val="false"/>
            <c:showCatName val="tru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1106.28</c:v>
                </c:pt>
              </c:numCache>
            </c:numRef>
          </c:val>
        </c:ser>
        <c:dLbls>
          <c:showLegendKey val="false"/>
          <c:showVal val="false"/>
          <c:showCatName val="true"/>
          <c:showSerName val="false"/>
          <c:showPercent val="false"/>
          <c:showBubbleSize val="false"/>
          <c:showLeaderLines val="true"/>
        </c:dLbls>
        <c:firstSliceAng val="0"/>
      </c:pieChart>
      <c:spPr>
        <a:noFill/>
        <a:ln>
          <a:noFill/>
        </a:ln>
        <a:effectLst/>
      </c:spPr>
    </c:plotArea>
    <c:legend>
      <c:legendPos val="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5714285714286"/>
          <c:y val="0.0115532734274711"/>
        </c:manualLayout>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manualLayout>
          <c:layoutTarget val="inner"/>
          <c:xMode val="edge"/>
          <c:yMode val="edge"/>
          <c:x val="0.1909375"/>
          <c:y val="0.1455"/>
          <c:w val="0.570625"/>
          <c:h val="0.760833333333333"/>
        </c:manualLayout>
      </c:layout>
      <c:pieChart>
        <c:varyColors val="true"/>
        <c:ser>
          <c:idx val="0"/>
          <c:order val="0"/>
          <c:tx>
            <c:strRef>
              <c:f>Sheet1!$B$1</c:f>
              <c:strCache>
                <c:ptCount val="1"/>
                <c:pt idx="0">
                  <c:v>支出决算结构图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基本支出</c:v>
                </c:pt>
                <c:pt idx="1">
                  <c:v>项目支出</c:v>
                </c:pt>
              </c:strCache>
            </c:strRef>
          </c:cat>
          <c:val>
            <c:numRef>
              <c:f>Sheet1!$B$2:$B$3</c:f>
              <c:numCache>
                <c:formatCode>General</c:formatCode>
                <c:ptCount val="2"/>
                <c:pt idx="0">
                  <c:v>344.33</c:v>
                </c:pt>
                <c:pt idx="1">
                  <c:v>761.94</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85714285714286"/>
          <c:y val="0.0115532734274711"/>
        </c:manualLayout>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manualLayout>
          <c:layoutTarget val="inner"/>
          <c:xMode val="edge"/>
          <c:yMode val="edge"/>
          <c:x val="0.327308707124011"/>
          <c:y val="0.1201540436457"/>
          <c:w val="0.422295514511873"/>
          <c:h val="0.821822849807445"/>
        </c:manualLayout>
      </c:layout>
      <c:pieChart>
        <c:varyColors val="true"/>
        <c:ser>
          <c:idx val="0"/>
          <c:order val="0"/>
          <c:tx>
            <c:strRef>
              <c:f>Sheet1!$B$1</c:f>
              <c:strCache>
                <c:ptCount val="1"/>
                <c:pt idx="0">
                  <c:v>支出决算结构图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基本支出</c:v>
                </c:pt>
                <c:pt idx="1">
                  <c:v>项目支出</c:v>
                </c:pt>
              </c:strCache>
            </c:strRef>
          </c:cat>
          <c:val>
            <c:numRef>
              <c:f>Sheet1!$B$2:$B$3</c:f>
              <c:numCache>
                <c:formatCode>General</c:formatCode>
                <c:ptCount val="2"/>
                <c:pt idx="0">
                  <c:v>1241.01</c:v>
                </c:pt>
                <c:pt idx="1">
                  <c:v>487.39</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一般公共预算财政拨款支出构成图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1425.24</c:v>
                </c:pt>
                <c:pt idx="1">
                  <c:v>155.7</c:v>
                </c:pt>
                <c:pt idx="2">
                  <c:v>84.41</c:v>
                </c:pt>
                <c:pt idx="3">
                  <c:v>22.95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256099005210801"/>
          <c:y val="0.9294597745822"/>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一般公共预算财政拨款支出构成图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因公出国</c:v>
                </c:pt>
                <c:pt idx="1">
                  <c:v>公务接待</c:v>
                </c:pt>
                <c:pt idx="2">
                  <c:v>公务用车购置</c:v>
                </c:pt>
                <c:pt idx="3">
                  <c:v>公务用车购置</c:v>
                </c:pt>
              </c:strCache>
            </c:strRef>
          </c:cat>
          <c:val>
            <c:numRef>
              <c:f>Sheet1!$B$2:$B$5</c:f>
              <c:numCache>
                <c:formatCode>General</c:formatCode>
                <c:ptCount val="4"/>
                <c:pt idx="0">
                  <c:v>9.98</c:v>
                </c:pt>
                <c:pt idx="1">
                  <c:v>0.99</c:v>
                </c:pt>
                <c:pt idx="2">
                  <c:v>155.11</c:v>
                </c:pt>
                <c:pt idx="3">
                  <c:v>60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true">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false"/>
      </a:gradFill>
      <a:ln>
        <a:gradFill>
          <a:gsLst>
            <a:gs pos="0">
              <a:schemeClr val="phClr"/>
            </a:gs>
            <a:gs pos="100000">
              <a:schemeClr val="phClr">
                <a:lumMod val="75000"/>
              </a:schemeClr>
            </a:gs>
          </a:gsLst>
          <a:lin ang="5400000" scaled="true"/>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8376</Words>
  <Characters>8926</Characters>
  <Lines>61</Lines>
  <Paragraphs>17</Paragraphs>
  <TotalTime>6</TotalTime>
  <ScaleCrop>false</ScaleCrop>
  <LinksUpToDate>false</LinksUpToDate>
  <CharactersWithSpaces>8950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2025-08-07T01:34:00Z</cp:lastPrinted>
  <dcterms:modified xsi:type="dcterms:W3CDTF">2025-09-19T15:38:47Z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0DD623E8816A474D8BAFBDF78C55400F_13</vt:lpwstr>
  </property>
  <property fmtid="{D5CDD505-2E9C-101B-9397-08002B2CF9AE}" pid="4" name="KSOTemplateDocerSaveRecord">
    <vt:lpwstr>eyJoZGlkIjoiMmUzOTk2ZmQzNDNlN2E1NDg0OTRkMWFlZDllZTFkYzEiLCJ1c2VySWQiOiI3ODc2NTU3OTMifQ==</vt:lpwstr>
  </property>
</Properties>
</file>