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both"/>
        <w:outlineLvl w:val="0"/>
        <w:rPr>
          <w:rFonts w:ascii="方正小标宋简体" w:eastAsia="方正小标宋简体" w:cs="方正小标宋简体" w:hint="eastAsia"/>
          <w:sz w:val="72"/>
          <w:szCs w:val="72"/>
          <w:lang w:val="en-US" w:eastAsia="zh-CN"/>
        </w:rPr>
      </w:pPr>
      <w:bookmarkStart w:id="0" w:name="_Toc15396597"/>
      <w:bookmarkStart w:id="1" w:name="_Toc15306267"/>
      <w:bookmarkStart w:id="2" w:name="_Toc15377425"/>
      <w:bookmarkStart w:id="3" w:name="_Toc15396475"/>
      <w:bookmarkStart w:id="4" w:name="_Toc15377193"/>
      <w:bookmarkStart w:id="5" w:name="_Toc15378441"/>
    </w:p>
    <w:p>
      <w:pPr>
        <w:adjustRightInd w:val="0"/>
        <w:snapToGrid w:val="0"/>
        <w:spacing w:line="360" w:lineRule="auto"/>
        <w:jc w:val="center"/>
        <w:outlineLvl w:val="0"/>
        <w:rPr>
          <w:rFonts w:ascii="方正小标宋简体" w:eastAsia="方正小标宋简体" w:cs="方正小标宋简体" w:hint="eastAsia"/>
          <w:sz w:val="72"/>
          <w:szCs w:val="72"/>
          <w:lang w:val="en-US" w:eastAsia="zh-CN"/>
        </w:rPr>
      </w:pPr>
      <w:r>
        <w:rPr>
          <w:rFonts w:ascii="方正小标宋简体" w:eastAsia="方正小标宋简体" w:cs="方正小标宋简体" w:hint="eastAsia"/>
          <w:sz w:val="72"/>
          <w:szCs w:val="72"/>
          <w:lang w:val="en-US" w:eastAsia="zh-CN"/>
        </w:rPr>
        <w:t>2024年度</w:t>
      </w:r>
    </w:p>
    <w:p>
      <w:pPr>
        <w:adjustRightInd w:val="0"/>
        <w:snapToGrid w:val="0"/>
        <w:spacing w:line="360" w:lineRule="auto"/>
        <w:jc w:val="center"/>
        <w:outlineLvl w:val="0"/>
        <w:rPr>
          <w:rFonts w:ascii="方正小标宋简体" w:eastAsia="方正小标宋简体" w:cs="方正小标宋简体"/>
          <w:sz w:val="72"/>
          <w:szCs w:val="72"/>
          <w:lang w:val="en-US" w:eastAsia="zh-CN"/>
        </w:rPr>
      </w:pPr>
      <w:r>
        <w:rPr>
          <w:rFonts w:ascii="方正小标宋简体" w:eastAsia="方正小标宋简体" w:cs="方正小标宋简体" w:hint="eastAsia"/>
          <w:sz w:val="72"/>
          <w:szCs w:val="72"/>
          <w:lang w:val="en-US" w:eastAsia="zh-CN"/>
        </w:rPr>
        <w:t>阿坝州红原县信访局部门决算公开</w:t>
      </w:r>
    </w:p>
    <w:p>
      <w:pPr>
        <w:spacing w:line="600" w:lineRule="exact"/>
        <w:jc w:val="center"/>
        <w:outlineLvl w:val="0"/>
        <w:rPr>
          <w:rFonts w:ascii="Times New Roman" w:eastAsia="方正小标宋简体" w:hAnsi="Times New Roman"/>
          <w:color w:val="auto"/>
          <w:sz w:val="72"/>
          <w:szCs w:val="72"/>
          <w:highlight w:val="auto"/>
        </w:rPr>
      </w:pPr>
    </w:p>
    <w:p>
      <w:pPr>
        <w:pStyle w:val="27"/>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jc w:val="center"/>
        <w:rPr>
          <w:rFonts w:ascii="Times New Roman" w:eastAsia="黑体" w:hAnsi="Times New Roman"/>
          <w:color w:val="auto"/>
          <w:sz w:val="48"/>
          <w:szCs w:val="48"/>
          <w:highlight w:val="auto"/>
        </w:rPr>
      </w:pPr>
      <w:bookmarkEnd w:id="0"/>
      <w:bookmarkEnd w:id="1"/>
      <w:bookmarkEnd w:id="2"/>
      <w:bookmarkEnd w:id="3"/>
      <w:bookmarkEnd w:id="4"/>
      <w:bookmarkEnd w:id="5"/>
      <w:r>
        <w:rPr>
          <w:rFonts w:ascii="Times New Roman" w:eastAsia="黑体" w:hAnsi="Times New Roman" w:hint="eastAsia"/>
          <w:color w:val="auto"/>
          <w:sz w:val="48"/>
          <w:szCs w:val="48"/>
          <w:highlight w:val="auto"/>
        </w:rPr>
        <w:t>目录</w:t>
      </w:r>
    </w:p>
    <w:p>
      <w:pPr>
        <w:widowControl/>
        <w:jc w:val="center"/>
        <w:rPr>
          <w:rFonts w:ascii="Times New Roman" w:eastAsia="黑体" w:cs="Arial" w:hAnsi="Times New Roman"/>
          <w:color w:val="auto"/>
          <w:sz w:val="28"/>
          <w:szCs w:val="28"/>
          <w:highlight w:val="auto"/>
        </w:rPr>
      </w:pPr>
    </w:p>
    <w:p>
      <w:pPr>
        <w:pStyle w:val="22"/>
        <w:tabs>
          <w:tab w:val="right" w:leader="dot" w:pos="8296"/>
        </w:tabs>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24</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9</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26</w:t>
      </w:r>
      <w:r>
        <w:rPr>
          <w:rFonts w:ascii="Times New Roman" w:eastAsia="仿宋_GB2312" w:cs="仿宋_GB2312" w:hAnsi="Times New Roman" w:hint="eastAsia"/>
          <w:color w:val="auto"/>
          <w:sz w:val="32"/>
          <w:szCs w:val="32"/>
          <w:highlight w:val="auto"/>
        </w:rPr>
        <w:t>日</w:t>
      </w:r>
    </w:p>
    <w:p>
      <w:pPr>
        <w:rPr>
          <w:rFonts w:ascii="Times New Roman" w:hAnsi="Times New Roman"/>
          <w:color w:val="auto"/>
          <w:highlight w:val="auto"/>
        </w:rPr>
      </w:pP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第一部分 部门概况</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w:t>
      </w:r>
      <w:r>
        <w:rPr>
          <w:rFonts w:ascii="Times New Roman" w:eastAsia="仿宋_GB2312" w:cs="仿宋_GB2312" w:hAnsi="Times New Roman" w:hint="eastAsia"/>
          <w:color w:val="auto"/>
          <w:sz w:val="32"/>
          <w:szCs w:val="32"/>
          <w:lang w:eastAsia="zh-CN"/>
          <w:highlight w:val="auto"/>
        </w:rPr>
        <w:t>部门职责</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二、机构设置</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第二部分</w:t>
      </w:r>
      <w:r>
        <w:rPr>
          <w:rFonts w:ascii="Times New Roman" w:eastAsia="黑体" w:cs="黑体" w:hAnsi="Times New Roman" w:hint="eastAsia"/>
          <w:color w:val="auto"/>
          <w:sz w:val="32"/>
          <w:szCs w:val="32"/>
          <w:lang w:val="en-US" w:eastAsia="zh-CN"/>
          <w:highlight w:val="auto"/>
        </w:rPr>
        <w:t xml:space="preserve"> 2024年度</w:t>
      </w:r>
      <w:r>
        <w:rPr>
          <w:rFonts w:ascii="Times New Roman" w:eastAsia="黑体" w:cs="黑体" w:hAnsi="Times New Roman" w:hint="eastAsia"/>
          <w:color w:val="auto"/>
          <w:sz w:val="32"/>
          <w:szCs w:val="32"/>
          <w:highlight w:val="auto"/>
        </w:rPr>
        <w:t>部门决算情况说明</w:t>
      </w:r>
      <w:bookmarkStart w:id="6" w:name="_GoBack"/>
      <w:bookmarkEnd w:id="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一、收入支出决算总体情况说明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四、财政拨款收入支出决算总体情况说明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五、一般公共预算财政拨款支出决算情况说明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六、一般公共预算财政拨款基本支出决算情况说明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七、财政拨款</w:t>
      </w:r>
      <w:r>
        <w:rPr>
          <w:rFonts w:ascii="Times New Roman" w:eastAsia="仿宋_GB2312" w:cs="仿宋_GB2312" w:hAnsi="Times New Roman" w:hint="eastAsia"/>
          <w:color w:val="auto"/>
          <w:sz w:val="32"/>
          <w:szCs w:val="32"/>
          <w:lang w:eastAsia="zh-CN"/>
          <w:highlight w:val="auto"/>
        </w:rPr>
        <w:t>“</w:t>
      </w:r>
      <w:r>
        <w:rPr>
          <w:rFonts w:ascii="Times New Roman" w:eastAsia="仿宋_GB2312" w:cs="仿宋_GB2312" w:hAnsi="Times New Roman" w:hint="eastAsia"/>
          <w:color w:val="auto"/>
          <w:sz w:val="32"/>
          <w:szCs w:val="32"/>
          <w:highlight w:val="auto"/>
        </w:rPr>
        <w:t>三公”经费支出决算情况说明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八、政府性基金预算支出决算情况说明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w:t>
      </w:r>
      <w:r>
        <w:rPr>
          <w:rFonts w:ascii="Times New Roman" w:eastAsia="仿宋_GB2312" w:cs="仿宋_GB2312" w:hAnsi="Times New Roman" w:hint="eastAsia"/>
          <w:color w:val="auto"/>
          <w:sz w:val="32"/>
          <w:szCs w:val="32"/>
          <w:lang w:eastAsia="zh-CN"/>
          <w:highlight w:val="auto"/>
        </w:rPr>
        <w:t>国</w:t>
      </w:r>
      <w:r>
        <w:rPr>
          <w:rFonts w:ascii="Times New Roman" w:eastAsia="仿宋_GB2312" w:cs="仿宋_GB2312" w:hAnsi="Times New Roman" w:hint="eastAsia"/>
          <w:color w:val="auto"/>
          <w:sz w:val="32"/>
          <w:szCs w:val="32"/>
          <w:highlight w:val="auto"/>
        </w:rPr>
        <w:t>有资本经营预算支出决算情况说明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lang w:eastAsia="zh-CN"/>
          <w:highlight w:val="auto"/>
        </w:rPr>
        <w:t>十</w:t>
      </w:r>
      <w:r>
        <w:rPr>
          <w:rFonts w:ascii="Times New Roman" w:eastAsia="仿宋_GB2312" w:cs="仿宋_GB2312" w:hAnsi="Times New Roman" w:hint="eastAsia"/>
          <w:color w:val="auto"/>
          <w:sz w:val="32"/>
          <w:szCs w:val="32"/>
          <w:highlight w:val="auto"/>
        </w:rPr>
        <w:t>、其他重要事项的情况说明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第三部分 名词解释</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第四部分 附件</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第五部分 附表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五、财政拨款支出决算明细表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七、一般公共预算财政拨款支出决算明细表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八、一般公共预算财政拨款基本支出决算</w:t>
      </w:r>
      <w:r>
        <w:rPr>
          <w:rFonts w:ascii="Times New Roman" w:eastAsia="仿宋_GB2312" w:cs="仿宋_GB2312" w:hAnsi="Times New Roman" w:hint="eastAsia"/>
          <w:color w:val="auto"/>
          <w:sz w:val="32"/>
          <w:szCs w:val="32"/>
          <w:lang w:eastAsia="zh-CN"/>
          <w:highlight w:val="auto"/>
        </w:rPr>
        <w:t>明细</w:t>
      </w:r>
      <w:r>
        <w:rPr>
          <w:rFonts w:ascii="Times New Roman" w:eastAsia="仿宋_GB2312" w:cs="仿宋_GB2312" w:hAnsi="Times New Roman" w:hint="eastAsia"/>
          <w:color w:val="auto"/>
          <w:sz w:val="32"/>
          <w:szCs w:val="32"/>
          <w:highlight w:val="auto"/>
        </w:rPr>
        <w:t>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九、一般公共预算财政拨款项目支出决算表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十一、国有资本经营预算财政拨款收入支出决算表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十二、</w:t>
      </w:r>
      <w:r>
        <w:rPr>
          <w:rFonts w:ascii="Times New Roman" w:eastAsia="仿宋_GB2312" w:cs="仿宋_GB2312" w:hAnsi="Times New Roman" w:hint="eastAsia"/>
          <w:color w:val="auto"/>
          <w:sz w:val="32"/>
          <w:szCs w:val="32"/>
          <w:lang w:val="en-US"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十三、财政拨款“三公”经费支出决算表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b/>
          <w:bCs/>
          <w:color w:val="auto"/>
          <w:sz w:val="32"/>
          <w:szCs w:val="32"/>
          <w:lang w:eastAsia="zh-CN"/>
          <w:highlight w:val="auto"/>
        </w:rPr>
      </w:pPr>
      <w:r>
        <w:rPr>
          <w:rFonts w:ascii="Times New Roman" w:eastAsia="仿宋_GB2312" w:cs="仿宋_GB2312" w:hAnsi="Times New Roman" w:hint="eastAsia"/>
          <w:b/>
          <w:bCs/>
          <w:color w:val="auto"/>
          <w:sz w:val="32"/>
          <w:szCs w:val="32"/>
          <w:lang w:eastAsia="zh-CN"/>
          <w:highlight w:val="auto"/>
        </w:rPr>
        <w:t>（</w:t>
      </w:r>
      <w:r>
        <w:rPr>
          <w:rFonts w:ascii="Times New Roman" w:eastAsia="仿宋_GB2312" w:cs="仿宋_GB2312" w:hAnsi="Times New Roman" w:hint="eastAsia"/>
          <w:b/>
          <w:bCs/>
          <w:color w:val="auto"/>
          <w:sz w:val="32"/>
          <w:szCs w:val="32"/>
          <w:highlight w:val="auto"/>
        </w:rPr>
        <w:t>注：请部门根据实际注明页码</w:t>
      </w:r>
      <w:r>
        <w:rPr>
          <w:rFonts w:ascii="Times New Roman" w:eastAsia="仿宋_GB2312" w:cs="仿宋_GB2312" w:hAnsi="Times New Roman" w:hint="eastAsia"/>
          <w:b/>
          <w:bCs/>
          <w:color w:val="auto"/>
          <w:sz w:val="32"/>
          <w:szCs w:val="32"/>
          <w:lang w:eastAsia="zh-CN"/>
          <w:highlight w:val="auto"/>
        </w:rPr>
        <w:t>）</w:t>
      </w: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eastAsia="仿宋_GB2312" w:cs="仿宋_GB2312" w:hAnsi="Times New Roman" w:hint="eastAsia"/>
          <w:bCs/>
          <w:color w:val="auto"/>
          <w:kern w:val="44"/>
          <w:sz w:val="32"/>
          <w:szCs w:val="32"/>
          <w:highlight w:val="auto"/>
        </w:rPr>
      </w:pPr>
      <w:bookmarkStart w:id="7" w:name="_Toc15377196"/>
      <w:bookmarkStart w:id="8" w:name="_Toc15396599"/>
      <w:r>
        <w:rPr>
          <w:rFonts w:ascii="Times New Roman" w:eastAsia="仿宋_GB2312" w:cs="仿宋_GB2312" w:hAnsi="Times New Roman" w:hint="eastAsia"/>
          <w:b/>
          <w:color w:val="auto"/>
          <w:sz w:val="32"/>
          <w:szCs w:val="32"/>
          <w:highlight w:val="auto"/>
        </w:rPr>
        <w:br w:type="page"/>
      </w:r>
    </w:p>
    <w:p>
      <w:pPr>
        <w:pStyle w:val="1"/>
        <w:jc w:val="center"/>
        <w:rPr>
          <w:rFonts w:ascii="黑体" w:eastAsia="黑体" w:hint="eastAsia"/>
          <w:b w:val="0"/>
        </w:rPr>
      </w:pPr>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7"/>
      <w:bookmarkEnd w:id="8"/>
    </w:p>
    <w:p>
      <w:pPr>
        <w:pStyle w:val="2"/>
        <w:rPr>
          <w:rFonts w:ascii="黑体" w:eastAsia="黑体" w:hint="eastAsia"/>
          <w:b w:val="0"/>
          <w:lang w:eastAsia="zh-CN"/>
        </w:rPr>
      </w:pPr>
      <w:r>
        <w:rPr>
          <w:rFonts w:ascii="黑体" w:eastAsia="黑体" w:hint="eastAsia"/>
          <w:b w:val="0"/>
          <w:lang w:eastAsia="zh-CN"/>
        </w:rPr>
        <w:t>一、部门职责</w:t>
      </w:r>
    </w:p>
    <w:p>
      <w:pPr>
        <w:pStyle w:val="37"/>
        <w:keepNext w:val="0"/>
        <w:keepLines w:val="0"/>
        <w:widowControl w:val="0"/>
        <w:suppressLineNumbers w:val="0"/>
        <w:autoSpaceDE w:val="0"/>
        <w:autoSpaceDN/>
        <w:spacing w:line="560" w:lineRule="exact"/>
        <w:ind w:left="0" w:firstLineChars="200" w:firstLine="640"/>
        <w:jc w:val="both"/>
        <w:rPr>
          <w:rFonts w:ascii="楷体_GB2312" w:eastAsia="楷体_GB2312" w:cs="楷体_GB2312" w:hint="eastAsia"/>
          <w:kern w:val="0"/>
          <w:sz w:val="32"/>
          <w:szCs w:val="32"/>
          <w:shd w:val="clear" w:color="auto" w:fill="FFFFFF"/>
        </w:rPr>
      </w:pPr>
      <w:r>
        <w:rPr>
          <w:rFonts w:ascii="楷体_GB2312" w:eastAsia="楷体_GB2312" w:cs="楷体_GB2312" w:hint="eastAsia"/>
          <w:kern w:val="0"/>
          <w:sz w:val="32"/>
          <w:szCs w:val="32"/>
          <w:shd w:val="clear" w:color="auto" w:fill="FFFFFF"/>
        </w:rPr>
        <w:t>(1)代表县委、县政府受理人民来信、来电，接待群众来访；(2)承办上级领导机关及其所属部门、单位和县委、县政府领导交办、转办的信访事项，并负责督办和上报查处结果；(3)根据县委、县政府领导意见，向各乡镇和县级各有关部门交办、转办信访事项，并负责督办和报告查处结果；(4)检查、指导、督查各乡镇、县级各部门的信访工作。县局内信访内设</w:t>
      </w:r>
      <w:r>
        <w:rPr>
          <w:rFonts w:ascii="楷体_GB2312" w:eastAsia="楷体_GB2312" w:cs="楷体_GB2312" w:hint="eastAsia"/>
          <w:kern w:val="0"/>
          <w:sz w:val="32"/>
          <w:szCs w:val="32"/>
          <w:shd w:val="clear" w:color="auto" w:fill="FFFFFF"/>
          <w:lang w:eastAsia="zh-CN"/>
        </w:rPr>
        <w:t>股室</w:t>
      </w:r>
      <w:r>
        <w:rPr>
          <w:rFonts w:ascii="楷体_GB2312" w:eastAsia="楷体_GB2312" w:cs="楷体_GB2312" w:hint="eastAsia"/>
          <w:kern w:val="0"/>
          <w:sz w:val="32"/>
          <w:szCs w:val="32"/>
          <w:shd w:val="clear" w:color="auto" w:fill="FFFFFF"/>
        </w:rPr>
        <w:t>为综合办公室</w:t>
      </w:r>
      <w:r>
        <w:rPr>
          <w:rFonts w:ascii="楷体_GB2312" w:eastAsia="楷体_GB2312" w:cs="楷体_GB2312" w:hint="eastAsia"/>
          <w:kern w:val="0"/>
          <w:sz w:val="32"/>
          <w:szCs w:val="32"/>
          <w:shd w:val="clear" w:color="auto" w:fill="FFFFFF"/>
          <w:lang w:eastAsia="zh-CN"/>
        </w:rPr>
        <w:t>、政策咨询股</w:t>
      </w:r>
      <w:r>
        <w:rPr>
          <w:rFonts w:ascii="楷体_GB2312" w:eastAsia="楷体_GB2312" w:cs="楷体_GB2312" w:hint="eastAsia"/>
          <w:kern w:val="0"/>
          <w:sz w:val="32"/>
          <w:szCs w:val="32"/>
          <w:shd w:val="clear" w:color="auto" w:fill="FFFFFF"/>
        </w:rPr>
        <w:t>，内设事业单位1个，为红原县信访接待中心，今年无变动。</w:t>
      </w:r>
    </w:p>
    <w:p>
      <w:pPr>
        <w:pStyle w:val="2"/>
        <w:rPr>
          <w:rStyle w:val="2Char"/>
          <w:rFonts w:ascii="Times New Roman" w:hAnsi="Times New Roman"/>
          <w:b w:val="0"/>
          <w:bCs w:val="0"/>
          <w:color w:val="auto"/>
          <w:highlight w:val="auto"/>
        </w:rPr>
      </w:pPr>
      <w:bookmarkStart w:id="9" w:name="_Toc15377200"/>
      <w:bookmarkStart w:id="10" w:name="_Toc15396601"/>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9"/>
      <w:bookmarkEnd w:id="10"/>
    </w:p>
    <w:p>
      <w:pPr>
        <w:widowControl/>
        <w:ind w:firstLineChars="200" w:firstLine="640"/>
        <w:jc w:val="left"/>
        <w:rPr>
          <w:rFonts w:ascii="仿宋_GB2312" w:eastAsia="仿宋_GB2312" w:cs="仿宋_GB2312" w:hint="eastAsia"/>
          <w:b w:val="0"/>
          <w:kern w:val="0"/>
          <w:sz w:val="32"/>
          <w:szCs w:val="32"/>
          <w:shd w:val="clear" w:color="auto" w:fill="FFFFFF"/>
        </w:rPr>
      </w:pPr>
      <w:r>
        <w:rPr>
          <w:rFonts w:ascii="仿宋_GB2312" w:eastAsia="仿宋_GB2312" w:cs="仿宋_GB2312" w:hint="eastAsia"/>
          <w:b w:val="0"/>
          <w:kern w:val="0"/>
          <w:sz w:val="32"/>
          <w:szCs w:val="32"/>
          <w:shd w:val="clear" w:color="auto" w:fill="FFFFFF"/>
        </w:rPr>
        <w:t>我单位为独立核算全额拨行政单位，内设</w:t>
      </w:r>
      <w:r>
        <w:rPr>
          <w:rFonts w:ascii="仿宋_GB2312" w:eastAsia="仿宋_GB2312" w:cs="仿宋_GB2312" w:hint="eastAsia"/>
          <w:b w:val="0"/>
          <w:kern w:val="0"/>
          <w:sz w:val="32"/>
          <w:szCs w:val="32"/>
          <w:shd w:val="clear" w:color="auto" w:fill="FFFFFF"/>
          <w:lang w:eastAsia="zh-CN"/>
        </w:rPr>
        <w:t>股室</w:t>
      </w:r>
      <w:r>
        <w:rPr>
          <w:rFonts w:ascii="仿宋_GB2312" w:eastAsia="仿宋_GB2312" w:cs="仿宋_GB2312" w:hint="eastAsia"/>
          <w:b w:val="0"/>
          <w:kern w:val="0"/>
          <w:sz w:val="32"/>
          <w:szCs w:val="32"/>
          <w:shd w:val="clear" w:color="auto" w:fill="FFFFFF"/>
        </w:rPr>
        <w:t>为综合办公室</w:t>
      </w:r>
      <w:r>
        <w:rPr>
          <w:rFonts w:ascii="仿宋_GB2312" w:eastAsia="仿宋_GB2312" w:cs="仿宋_GB2312" w:hint="eastAsia"/>
          <w:b w:val="0"/>
          <w:kern w:val="0"/>
          <w:sz w:val="32"/>
          <w:szCs w:val="32"/>
          <w:shd w:val="clear" w:color="auto" w:fill="FFFFFF"/>
          <w:lang w:eastAsia="zh-CN"/>
        </w:rPr>
        <w:t>、政策咨询股</w:t>
      </w:r>
      <w:r>
        <w:rPr>
          <w:rFonts w:ascii="仿宋_GB2312" w:eastAsia="仿宋_GB2312" w:cs="仿宋_GB2312" w:hint="eastAsia"/>
          <w:b w:val="0"/>
          <w:kern w:val="0"/>
          <w:sz w:val="32"/>
          <w:szCs w:val="32"/>
          <w:shd w:val="clear" w:color="auto" w:fill="FFFFFF"/>
        </w:rPr>
        <w:t>，内设事业单位1个，为红原县信访接待中心。县信访局目前在编人员8人，其中公务员</w:t>
      </w:r>
      <w:r>
        <w:rPr>
          <w:rFonts w:ascii="仿宋_GB2312" w:eastAsia="仿宋_GB2312" w:cs="仿宋_GB2312" w:hint="eastAsia"/>
          <w:b w:val="0"/>
          <w:kern w:val="0"/>
          <w:sz w:val="32"/>
          <w:szCs w:val="32"/>
          <w:shd w:val="clear" w:color="auto" w:fill="FFFFFF"/>
          <w:lang w:val="en-US" w:eastAsia="zh-CN"/>
        </w:rPr>
        <w:t>4</w:t>
      </w:r>
      <w:r>
        <w:rPr>
          <w:rFonts w:ascii="仿宋_GB2312" w:eastAsia="仿宋_GB2312" w:cs="仿宋_GB2312" w:hint="eastAsia"/>
          <w:b w:val="0"/>
          <w:kern w:val="0"/>
          <w:sz w:val="32"/>
          <w:szCs w:val="32"/>
          <w:shd w:val="clear" w:color="auto" w:fill="FFFFFF"/>
        </w:rPr>
        <w:t>人、行政工勤1人、事业人员</w:t>
      </w:r>
      <w:r>
        <w:rPr>
          <w:rFonts w:ascii="仿宋_GB2312" w:eastAsia="仿宋_GB2312" w:cs="仿宋_GB2312" w:hint="eastAsia"/>
          <w:b w:val="0"/>
          <w:kern w:val="0"/>
          <w:sz w:val="32"/>
          <w:szCs w:val="32"/>
          <w:shd w:val="clear" w:color="auto" w:fill="FFFFFF"/>
          <w:lang w:val="en-US" w:eastAsia="zh-CN"/>
        </w:rPr>
        <w:t>3</w:t>
      </w:r>
      <w:r>
        <w:rPr>
          <w:rFonts w:ascii="仿宋_GB2312" w:eastAsia="仿宋_GB2312" w:cs="仿宋_GB2312" w:hint="eastAsia"/>
          <w:b w:val="0"/>
          <w:kern w:val="0"/>
          <w:sz w:val="32"/>
          <w:szCs w:val="32"/>
          <w:shd w:val="clear" w:color="auto" w:fill="FFFFFF"/>
        </w:rPr>
        <w:t>人。</w:t>
      </w:r>
    </w:p>
    <w:p>
      <w:pPr>
        <w:widowControl/>
        <w:ind w:firstLineChars="200" w:firstLine="640"/>
        <w:jc w:val="left"/>
        <w:rPr>
          <w:rFonts w:ascii="Times New Roman" w:eastAsia="仿宋" w:hAnsi="Times New Roman"/>
          <w:color w:val="auto"/>
          <w:kern w:val="0"/>
          <w:sz w:val="32"/>
          <w:szCs w:val="32"/>
          <w:highlight w:val="auto"/>
        </w:rPr>
      </w:pPr>
      <w:r>
        <w:rPr>
          <w:rFonts w:ascii="Times New Roman" w:eastAsia="仿宋" w:hAnsi="Times New Roman"/>
          <w:color w:val="auto"/>
          <w:sz w:val="32"/>
          <w:szCs w:val="32"/>
          <w:highlight w:val="auto"/>
        </w:rPr>
        <w:br w:type="page"/>
      </w:r>
    </w:p>
    <w:p>
      <w:pPr>
        <w:pStyle w:val="1"/>
        <w:jc w:val="center"/>
        <w:rPr>
          <w:rFonts w:ascii="Times New Roman" w:eastAsia="方正小标宋简体" w:cs="方正小标宋简体" w:hAnsi="Times New Roman" w:hint="eastAsia"/>
          <w:b w:val="0"/>
          <w:color w:val="auto"/>
          <w:highlight w:val="auto"/>
        </w:rPr>
      </w:pPr>
      <w:bookmarkStart w:id="11" w:name="_Toc15377204"/>
      <w:bookmarkStart w:id="12" w:name="_Toc15396602"/>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11"/>
      <w:bookmarkEnd w:id="12"/>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13" w:name="_Toc15396603"/>
      <w:bookmarkStart w:id="14" w:name="_Toc15377205"/>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13"/>
      <w:bookmarkEnd w:id="14"/>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仿宋_GB2312" w:cs="仿宋_GB2312"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2024年度收入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w:t>
      </w:r>
      <w:r>
        <w:rPr>
          <w:rFonts w:ascii="Times New Roman" w:eastAsia="仿宋_GB2312" w:cs="仿宋_GB2312" w:hAnsi="Times New Roman" w:hint="eastAsia"/>
          <w:color w:val="auto"/>
          <w:sz w:val="32"/>
          <w:szCs w:val="32"/>
          <w:lang w:eastAsia="zh-CN"/>
          <w:highlight w:val="auto"/>
        </w:rPr>
        <w:t>均为</w:t>
      </w:r>
      <w:r>
        <w:rPr>
          <w:rFonts w:ascii="仿宋_GB2312" w:eastAsia="仿宋_GB2312" w:cs="仿宋_GB2312" w:hint="eastAsia"/>
          <w:sz w:val="32"/>
          <w:szCs w:val="32"/>
        </w:rPr>
        <w:t>263.06</w:t>
      </w:r>
      <w:r>
        <w:rPr>
          <w:rFonts w:ascii="Times New Roman" w:eastAsia="仿宋_GB2312" w:cs="仿宋_GB2312" w:hAnsi="Times New Roman" w:hint="eastAsia"/>
          <w:color w:val="auto"/>
          <w:sz w:val="32"/>
          <w:szCs w:val="32"/>
          <w:highlight w:val="auto"/>
        </w:rPr>
        <w:t>万元。与</w:t>
      </w:r>
      <w:r>
        <w:rPr>
          <w:rFonts w:ascii="Times New Roman" w:eastAsia="仿宋_GB2312" w:cs="仿宋_GB2312" w:hAnsi="Times New Roman" w:hint="eastAsia"/>
          <w:color w:val="auto"/>
          <w:sz w:val="32"/>
          <w:szCs w:val="32"/>
          <w:lang w:eastAsia="zh-CN"/>
          <w:highlight w:val="auto"/>
        </w:rPr>
        <w:t>202</w:t>
      </w:r>
      <w:r>
        <w:rPr>
          <w:rFonts w:ascii="Times New Roman" w:eastAsia="仿宋_GB2312" w:cs="仿宋_GB2312" w:hAnsi="Times New Roman"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eastAsia="zh-CN"/>
          <w:highlight w:val="auto"/>
        </w:rPr>
        <w:t>度</w:t>
      </w:r>
      <w:r>
        <w:rPr>
          <w:rFonts w:ascii="Times New Roman" w:eastAsia="仿宋_GB2312" w:cs="仿宋_GB2312" w:hAnsi="Times New Roman" w:hint="eastAsia"/>
          <w:color w:val="auto"/>
          <w:sz w:val="32"/>
          <w:szCs w:val="32"/>
          <w:highlight w:val="auto"/>
        </w:rPr>
        <w:t>相比，</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总计各</w:t>
      </w:r>
      <w:r>
        <w:rPr>
          <w:rFonts w:eastAsia="仿宋_GB2312" w:cs="仿宋_GB2312" w:hint="eastAsia"/>
          <w:color w:val="auto"/>
          <w:sz w:val="32"/>
          <w:szCs w:val="32"/>
          <w:lang w:eastAsia="zh-CN"/>
          <w:highlight w:val="auto"/>
        </w:rPr>
        <w:t>增加</w:t>
      </w:r>
      <w:r>
        <w:rPr>
          <w:rFonts w:eastAsia="仿宋_GB2312" w:cs="仿宋_GB2312" w:hint="eastAsia"/>
          <w:color w:val="auto"/>
          <w:sz w:val="32"/>
          <w:szCs w:val="32"/>
          <w:lang w:val="en-US" w:eastAsia="zh-CN"/>
          <w:highlight w:val="auto"/>
        </w:rPr>
        <w:t>45.38</w:t>
      </w:r>
      <w:r>
        <w:rPr>
          <w:rFonts w:ascii="Times New Roman" w:eastAsia="仿宋_GB2312" w:cs="仿宋_GB2312" w:hAnsi="Times New Roman" w:hint="eastAsia"/>
          <w:color w:val="auto"/>
          <w:sz w:val="32"/>
          <w:szCs w:val="32"/>
          <w:highlight w:val="auto"/>
        </w:rPr>
        <w:t>万元，</w:t>
      </w:r>
      <w:r>
        <w:rPr>
          <w:rFonts w:eastAsia="仿宋_GB2312" w:cs="仿宋_GB2312" w:hint="eastAsia"/>
          <w:color w:val="auto"/>
          <w:sz w:val="32"/>
          <w:szCs w:val="32"/>
          <w:lang w:eastAsia="zh-CN"/>
          <w:highlight w:val="auto"/>
        </w:rPr>
        <w:t>增长</w:t>
      </w:r>
      <w:r>
        <w:rPr>
          <w:rFonts w:eastAsia="仿宋_GB2312" w:cs="仿宋_GB2312" w:hint="eastAsia"/>
          <w:color w:val="auto"/>
          <w:sz w:val="32"/>
          <w:szCs w:val="32"/>
          <w:lang w:val="en-US" w:eastAsia="zh-CN"/>
          <w:highlight w:val="auto"/>
        </w:rPr>
        <w:t>17.25</w:t>
      </w:r>
      <w:r>
        <w:rPr>
          <w:rFonts w:ascii="Times New Roman" w:eastAsia="仿宋_GB2312" w:cs="仿宋_GB2312" w:hAnsi="Times New Roman" w:hint="eastAsia"/>
          <w:color w:val="auto"/>
          <w:sz w:val="32"/>
          <w:szCs w:val="32"/>
          <w:highlight w:val="auto"/>
        </w:rPr>
        <w:t>%。主要变动原因是</w:t>
      </w:r>
      <w:r>
        <w:rPr>
          <w:rFonts w:eastAsia="仿宋_GB2312" w:cs="仿宋_GB2312" w:hint="eastAsia"/>
          <w:color w:val="auto"/>
          <w:sz w:val="32"/>
          <w:szCs w:val="32"/>
          <w:lang w:eastAsia="zh-CN"/>
          <w:highlight w:val="auto"/>
        </w:rPr>
        <w:t>人员工资调整。</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420"/>
        <w:textAlignment w:val="auto"/>
        <w:outlineLvl w:val="1"/>
        <w:rPr>
          <w:rFonts w:eastAsia="仿宋_GB2312" w:cs="仿宋_GB2312" w:hint="eastAsia"/>
          <w:color w:val="auto"/>
          <w:sz w:val="32"/>
          <w:szCs w:val="32"/>
          <w:lang w:eastAsia="zh-CN"/>
          <w:highlight w:val="auto"/>
        </w:rPr>
      </w:pPr>
      <w:r>
        <w:rPr>
          <w:rFonts w:eastAsia="仿宋" w:hint="eastAsia"/>
          <w:lang w:eastAsia="zh-CN"/>
        </w:rPr>
        <w:drawing>
          <wp:anchor distT="0" distB="0" distL="114300" distR="114300" simplePos="0" relativeHeight="20" behindDoc="0" locked="0" layoutInCell="1" hidden="0" allowOverlap="1">
            <wp:simplePos x="0" y="0"/>
            <wp:positionH relativeFrom="column">
              <wp:posOffset>306705</wp:posOffset>
            </wp:positionH>
            <wp:positionV relativeFrom="paragraph">
              <wp:posOffset>359409</wp:posOffset>
            </wp:positionV>
            <wp:extent cx="4296409" cy="2700654"/>
            <wp:effectExtent l="0" t="0" r="33" b="23"/>
            <wp:wrapSquare wrapText="bothSides"/>
            <wp:docPr id="1"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（图1：</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决算总计变动情况图）（柱状图）</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15" w:name="_Toc15377206"/>
      <w:bookmarkStart w:id="16" w:name="_Toc15396604"/>
      <w:r>
        <w:rPr>
          <w:rFonts w:ascii="Times New Roman" w:eastAsia="黑体" w:hAnsi="Times New Roman" w:hint="eastAsia"/>
          <w:color w:val="auto"/>
          <w:sz w:val="32"/>
          <w:szCs w:val="32"/>
          <w:lang w:eastAsia="zh-CN"/>
          <w:highlight w:val="auto"/>
        </w:rPr>
        <w:t>二、收入决算情况说明</w:t>
      </w:r>
      <w:bookmarkEnd w:id="15"/>
      <w:bookmarkEnd w:id="16"/>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仿宋_GB2312" w:eastAsia="仿宋_GB2312" w:cs="仿宋_GB2312"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sz w:val="32"/>
          <w:szCs w:val="32"/>
        </w:rPr>
        <w:t>263.06万元，其中：一般公共预算财政拨款收入263.06</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%；政府性基金预算财政拨款收入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%；国有资本经营预算财政拨款收入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%；上级补助收入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%；事业收入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%；附属单位上缴收入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%；其他收入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r>
        <w:rPr>
          <w:rFonts w:ascii="Times New Roman" w:eastAsia="仿宋_GB2312" w:cs="仿宋_GB2312" w:hAnsi="Times New Roman" w:hint="eastAsia"/>
          <w:b/>
          <w:bCs/>
          <w:color w:val="auto"/>
          <w:sz w:val="32"/>
          <w:szCs w:val="32"/>
          <w:lang w:eastAsia="zh-CN"/>
          <w:highlight w:val="auto"/>
        </w:rPr>
        <w:t>（注：仅罗列本部门涉及的收入）</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420"/>
        <w:jc w:val="left"/>
        <w:textAlignment w:val="auto"/>
        <w:outlineLvl w:val="1"/>
        <w:rPr>
          <w:rFonts w:ascii="Times New Roman" w:eastAsia="仿宋_GB2312" w:cs="仿宋_GB2312" w:hAnsi="Times New Roman" w:hint="eastAsia"/>
          <w:b/>
          <w:bCs/>
          <w:color w:val="auto"/>
          <w:sz w:val="32"/>
          <w:szCs w:val="32"/>
          <w:lang w:eastAsia="zh-CN"/>
          <w:highlight w:val="auto"/>
        </w:rPr>
      </w:pPr>
      <w:r>
        <w:rPr>
          <w:rFonts w:eastAsia="仿宋" w:hint="eastAsia"/>
          <w:lang w:eastAsia="zh-CN"/>
        </w:rPr>
        <w:drawing>
          <wp:anchor distT="0" distB="0" distL="114300" distR="114300" simplePos="0" relativeHeight="22" behindDoc="0" locked="0" layoutInCell="1" hidden="0" allowOverlap="1">
            <wp:simplePos x="0" y="0"/>
            <wp:positionH relativeFrom="column">
              <wp:posOffset>307340</wp:posOffset>
            </wp:positionH>
            <wp:positionV relativeFrom="paragraph">
              <wp:posOffset>292100</wp:posOffset>
            </wp:positionV>
            <wp:extent cx="4319905" cy="2879725"/>
            <wp:effectExtent l="0" t="0" r="3" b="19"/>
            <wp:wrapSquare wrapText="bothSides"/>
            <wp:docPr id="2" name="图表 6"/>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（图2：收入决算结构图）（饼状图）</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17" w:name="_Toc15396605"/>
      <w:bookmarkStart w:id="18" w:name="_Toc15377207"/>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17"/>
      <w:bookmarkEnd w:id="18"/>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仿宋_GB2312" w:eastAsia="仿宋_GB2312" w:cs="仿宋_GB2312"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263.06</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222.9</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84.73</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40.16</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15.2</w:t>
      </w:r>
      <w:r>
        <w:rPr>
          <w:rFonts w:ascii="仿宋_GB2312" w:eastAsia="仿宋_GB2312" w:cs="仿宋_GB2312" w:hint="eastAsia"/>
          <w:sz w:val="32"/>
          <w:szCs w:val="32"/>
          <w:lang w:val="en-US" w:eastAsia="zh-CN"/>
        </w:rPr>
        <w:t>7</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r>
        <w:rPr>
          <w:rFonts w:ascii="Times New Roman" w:eastAsia="仿宋_GB2312" w:cs="仿宋_GB2312" w:hAnsi="Times New Roman" w:hint="eastAsia"/>
          <w:b/>
          <w:bCs/>
          <w:color w:val="auto"/>
          <w:sz w:val="32"/>
          <w:szCs w:val="32"/>
          <w:lang w:eastAsia="zh-CN"/>
          <w:highlight w:val="auto"/>
        </w:rPr>
        <w:t>（注：仅罗列本部门涉及的支出）</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rPr>
          <w:rFonts w:ascii="Times New Roman" w:eastAsia="仿宋_GB2312" w:cs="仿宋_GB2312" w:hAnsi="Times New Roman" w:hint="eastAsia"/>
          <w:color w:val="auto"/>
          <w:sz w:val="32"/>
          <w:szCs w:val="32"/>
          <w:lang w:eastAsia="zh-CN"/>
          <w:highlight w:val="auto"/>
        </w:rPr>
      </w:pPr>
      <w:r>
        <w:rPr>
          <w:rFonts w:eastAsia="仿宋" w:hint="eastAsia"/>
          <w:lang w:eastAsia="zh-CN"/>
        </w:rPr>
        <w:drawing>
          <wp:anchor distT="0" distB="0" distL="114300" distR="114300" simplePos="0" relativeHeight="24" behindDoc="0" locked="0" layoutInCell="1" hidden="0" allowOverlap="1">
            <wp:simplePos x="0" y="0"/>
            <wp:positionH relativeFrom="column">
              <wp:posOffset>605155</wp:posOffset>
            </wp:positionH>
            <wp:positionV relativeFrom="paragraph">
              <wp:posOffset>-9002395</wp:posOffset>
            </wp:positionV>
            <wp:extent cx="4319905" cy="3129914"/>
            <wp:effectExtent l="0" t="0" r="0" b="0"/>
            <wp:wrapTight wrapText="bothSides">
              <wp:wrapPolygon>
                <wp:start x="-25" y="0"/>
                <wp:lineTo x="-25" y="21560"/>
                <wp:lineTo x="21596" y="21560"/>
                <wp:lineTo x="21596" y="0"/>
                <wp:lineTo x="-25" y="0"/>
              </wp:wrapPolygon>
            </wp:wrapTight>
            <wp:docPr id="3" name="图表 7"/>
            <wp:cNvGraphicFramePr>
              <a:graphicFrameLocks noChangeAspect="0"/>
            </wp:cNvGraphicFramePr>
            <a:graphic>
              <a:graphicData uri="http://schemas.openxmlformats.org/drawingml/2006/chart">
                <c:chart xmlns:c="http://schemas.openxmlformats.org/drawingml/2006/chart" r:id="rId8"/>
              </a:graphicData>
            </a:graphic>
          </wp:anchor>
        </w:drawing>
      </w: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pStyle w:val="16"/>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（图3：支出决算结构图）（饼状图）</w:t>
      </w:r>
    </w:p>
    <w:p>
      <w:pPr>
        <w:spacing w:line="600" w:lineRule="exact"/>
        <w:ind w:firstLineChars="200" w:firstLine="640"/>
        <w:outlineLvl w:val="1"/>
        <w:rPr>
          <w:rStyle w:val="2Char"/>
          <w:rFonts w:ascii="Times New Roman" w:eastAsia="黑体" w:hAnsi="Times New Roman"/>
          <w:b w:val="0"/>
          <w:color w:val="auto"/>
          <w:highlight w:val="auto"/>
        </w:rPr>
      </w:pPr>
      <w:bookmarkStart w:id="19" w:name="_Toc15377208"/>
      <w:bookmarkStart w:id="20" w:name="_Toc15396606"/>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19"/>
      <w:bookmarkEnd w:id="20"/>
    </w:p>
    <w:p>
      <w:pPr>
        <w:spacing w:line="600" w:lineRule="exact"/>
        <w:ind w:firstLine="640"/>
        <w:rPr>
          <w:rFonts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2024年度财政拨款收入、支出总计均为</w:t>
      </w:r>
      <w:r>
        <w:rPr>
          <w:rFonts w:ascii="仿宋_GB2312" w:eastAsia="仿宋_GB2312" w:cs="仿宋_GB2312" w:hint="eastAsia"/>
          <w:sz w:val="32"/>
          <w:szCs w:val="32"/>
        </w:rPr>
        <w:t>263.06</w:t>
      </w:r>
      <w:r>
        <w:rPr>
          <w:rFonts w:ascii="Times New Roman" w:eastAsia="仿宋_GB2312" w:cs="仿宋_GB2312" w:hAnsi="Times New Roman" w:hint="eastAsia"/>
          <w:color w:val="auto"/>
          <w:kern w:val="2"/>
          <w:sz w:val="32"/>
          <w:szCs w:val="32"/>
          <w:lang w:val="en-US" w:eastAsia="zh-CN" w:bidi="ar-SA"/>
          <w:highlight w:val="auto"/>
        </w:rPr>
        <w:t>万元。与2023年度相比，财政拨款收入总计、支出总计各</w:t>
      </w:r>
      <w:r>
        <w:rPr>
          <w:rFonts w:eastAsia="仿宋_GB2312" w:cs="仿宋_GB2312" w:hint="eastAsia"/>
          <w:color w:val="auto"/>
          <w:kern w:val="2"/>
          <w:sz w:val="32"/>
          <w:szCs w:val="32"/>
          <w:lang w:val="en-US" w:eastAsia="zh-CN" w:bidi="ar-SA"/>
          <w:highlight w:val="auto"/>
        </w:rPr>
        <w:t>增加45.38</w:t>
      </w:r>
      <w:r>
        <w:rPr>
          <w:rFonts w:ascii="Times New Roman" w:eastAsia="仿宋_GB2312" w:cs="仿宋_GB2312" w:hAnsi="Times New Roman" w:hint="eastAsia"/>
          <w:color w:val="auto"/>
          <w:kern w:val="2"/>
          <w:sz w:val="32"/>
          <w:szCs w:val="32"/>
          <w:lang w:val="en-US" w:eastAsia="zh-CN" w:bidi="ar-SA"/>
          <w:highlight w:val="auto"/>
        </w:rPr>
        <w:t>万元，增长</w:t>
      </w:r>
      <w:r>
        <w:rPr>
          <w:rFonts w:eastAsia="仿宋_GB2312" w:cs="仿宋_GB2312" w:hint="eastAsia"/>
          <w:color w:val="auto"/>
          <w:kern w:val="2"/>
          <w:sz w:val="32"/>
          <w:szCs w:val="32"/>
          <w:lang w:val="en-US" w:eastAsia="zh-CN" w:bidi="ar-SA"/>
          <w:highlight w:val="auto"/>
        </w:rPr>
        <w:t>17.25</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eastAsia="仿宋_GB2312" w:cs="仿宋_GB2312" w:hint="eastAsia"/>
          <w:color w:val="auto"/>
          <w:kern w:val="2"/>
          <w:sz w:val="32"/>
          <w:szCs w:val="32"/>
          <w:lang w:val="en-US" w:eastAsia="zh-CN" w:bidi="ar-SA"/>
          <w:highlight w:val="auto"/>
        </w:rPr>
        <w:t>人员工资调整。</w:t>
      </w:r>
    </w:p>
    <w:p>
      <w:pPr>
        <w:pStyle w:val="16"/>
        <w:rPr>
          <w:rFonts w:eastAsia="仿宋_GB2312" w:cs="仿宋_GB2312" w:hint="eastAsia"/>
          <w:color w:val="auto"/>
          <w:kern w:val="2"/>
          <w:sz w:val="32"/>
          <w:szCs w:val="32"/>
          <w:lang w:val="en-US" w:eastAsia="zh-CN" w:bidi="ar-SA"/>
          <w:highlight w:val="auto"/>
        </w:rPr>
      </w:pPr>
      <w:r>
        <w:rPr>
          <w:rFonts w:hint="eastAsia"/>
          <w:lang w:eastAsia="zh-CN"/>
        </w:rPr>
        <w:drawing>
          <wp:inline distT="0" distB="0" distL="114300" distR="114300">
            <wp:extent cx="4319905" cy="2879725"/>
            <wp:effectExtent l="0" t="0" r="0" b="0"/>
            <wp:docPr id="4" name="图表 9"/>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（图4：财政拨款收、支决算总计变动情况）（柱状图）</w:t>
      </w:r>
    </w:p>
    <w:p>
      <w:pPr>
        <w:spacing w:line="600" w:lineRule="exact"/>
        <w:ind w:firstLineChars="200" w:firstLine="640"/>
        <w:outlineLvl w:val="1"/>
        <w:rPr>
          <w:rStyle w:val="2Char"/>
          <w:rFonts w:ascii="Times New Roman" w:eastAsia="黑体" w:hAnsi="Times New Roman"/>
          <w:b w:val="0"/>
          <w:color w:val="auto"/>
          <w:highlight w:val="auto"/>
        </w:rPr>
      </w:pPr>
      <w:bookmarkStart w:id="21" w:name="_Toc15377209"/>
      <w:bookmarkStart w:id="22" w:name="_Toc15396607"/>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21"/>
      <w:bookmarkEnd w:id="22"/>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3" w:name="_Toc15377210"/>
      <w:r>
        <w:rPr>
          <w:rFonts w:ascii="Times New Roman" w:eastAsia="楷体_GB2312" w:cs="楷体_GB2312" w:hAnsi="Times New Roman" w:hint="eastAsia"/>
          <w:b/>
          <w:color w:val="auto"/>
          <w:sz w:val="32"/>
          <w:szCs w:val="32"/>
          <w:highlight w:val="auto"/>
        </w:rPr>
        <w:t>（一）一般公共预算财政拨款支出决算总体情况</w:t>
      </w:r>
      <w:bookmarkEnd w:id="2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 w:hint="eastAsia"/>
          <w:lang w:eastAsia="zh-CN"/>
        </w:rPr>
        <w:drawing>
          <wp:anchor distT="0" distB="0" distL="114300" distR="114300" simplePos="0" relativeHeight="26" behindDoc="0" locked="0" layoutInCell="1" hidden="0" allowOverlap="1">
            <wp:simplePos x="0" y="0"/>
            <wp:positionH relativeFrom="column">
              <wp:posOffset>386715</wp:posOffset>
            </wp:positionH>
            <wp:positionV relativeFrom="paragraph">
              <wp:posOffset>1673225</wp:posOffset>
            </wp:positionV>
            <wp:extent cx="4307840" cy="2879725"/>
            <wp:effectExtent l="0" t="0" r="34" b="19"/>
            <wp:wrapSquare wrapText="bothSides"/>
            <wp:docPr id="5" name="图表 11"/>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263.06</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%。与2023年度相比，一般公共预算财政拨款支出增加45.38万元，增长17.25%。主要变动原因是人员工资调整。</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（图5：一般公共预算财政拨款支出决算变动情况）（柱状图）</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4" w:name="_Toc15377211"/>
      <w:r>
        <w:rPr>
          <w:rFonts w:ascii="Times New Roman" w:eastAsia="楷体_GB2312" w:cs="楷体_GB2312" w:hAnsi="Times New Roman" w:hint="eastAsia"/>
          <w:b/>
          <w:color w:val="auto"/>
          <w:sz w:val="32"/>
          <w:szCs w:val="32"/>
          <w:highlight w:val="auto"/>
        </w:rPr>
        <w:t>（二）一般公共预算财政拨款支出决算结构情况</w:t>
      </w:r>
      <w:bookmarkEnd w:id="24"/>
    </w:p>
    <w:p>
      <w:pPr>
        <w:spacing w:line="600" w:lineRule="exact"/>
        <w:ind w:firstLine="640"/>
        <w:rPr>
          <w:rFonts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263.06</w:t>
      </w:r>
      <w:r>
        <w:rPr>
          <w:rFonts w:ascii="仿宋_GB2312" w:eastAsia="仿宋_GB2312" w:cs="仿宋_GB2312" w:hint="eastAsia"/>
          <w:color w:val="auto"/>
          <w:kern w:val="2"/>
          <w:sz w:val="32"/>
          <w:szCs w:val="32"/>
          <w:lang w:val="en-US" w:eastAsia="zh-CN" w:bidi="ar-SA"/>
          <w:highlight w:val="auto"/>
        </w:rPr>
        <w:t>万元</w:t>
      </w:r>
      <w:r>
        <w:rPr>
          <w:rFonts w:ascii="Times New Roman" w:eastAsia="仿宋_GB2312" w:cs="仿宋_GB2312" w:hAnsi="Times New Roman" w:hint="eastAsia"/>
          <w:color w:val="auto"/>
          <w:kern w:val="2"/>
          <w:sz w:val="32"/>
          <w:szCs w:val="32"/>
          <w:lang w:val="en-US" w:eastAsia="zh-CN" w:bidi="ar-SA"/>
          <w:highlight w:val="auto"/>
        </w:rPr>
        <w:t>，主要用于以下方面</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一般公共服务支出</w:t>
      </w:r>
      <w:r>
        <w:rPr>
          <w:rFonts w:eastAsia="仿宋_GB2312" w:cs="仿宋_GB2312" w:hint="eastAsia"/>
          <w:color w:val="auto"/>
          <w:kern w:val="2"/>
          <w:sz w:val="32"/>
          <w:szCs w:val="32"/>
          <w:lang w:val="en-US" w:eastAsia="zh-CN" w:bidi="ar-SA"/>
          <w:highlight w:val="auto"/>
        </w:rPr>
        <w:t>205.65</w:t>
      </w:r>
      <w:r>
        <w:rPr>
          <w:rFonts w:ascii="Times New Roman" w:eastAsia="仿宋_GB2312" w:cs="仿宋_GB2312" w:hAnsi="Times New Roman" w:hint="eastAsia"/>
          <w:color w:val="auto"/>
          <w:kern w:val="2"/>
          <w:sz w:val="32"/>
          <w:szCs w:val="32"/>
          <w:lang w:val="en-US" w:eastAsia="zh-CN" w:bidi="ar-SA"/>
          <w:highlight w:val="auto"/>
        </w:rPr>
        <w:t>万元，占</w:t>
      </w:r>
      <w:r>
        <w:rPr>
          <w:rFonts w:eastAsia="仿宋_GB2312" w:cs="仿宋_GB2312" w:hint="eastAsia"/>
          <w:color w:val="auto"/>
          <w:kern w:val="2"/>
          <w:sz w:val="32"/>
          <w:szCs w:val="32"/>
          <w:lang w:val="en-US" w:eastAsia="zh-CN" w:bidi="ar-SA"/>
          <w:highlight w:val="auto"/>
        </w:rPr>
        <w:t>78.18</w:t>
      </w:r>
      <w:r>
        <w:rPr>
          <w:rFonts w:ascii="Times New Roman" w:eastAsia="仿宋_GB2312" w:cs="仿宋_GB2312" w:hAnsi="Times New Roman" w:hint="eastAsia"/>
          <w:color w:val="auto"/>
          <w:kern w:val="2"/>
          <w:sz w:val="32"/>
          <w:szCs w:val="32"/>
          <w:lang w:val="en-US" w:eastAsia="zh-CN" w:bidi="ar-SA"/>
          <w:highlight w:val="auto"/>
        </w:rPr>
        <w:t>%；社会保障和就业支出</w:t>
      </w:r>
      <w:r>
        <w:rPr>
          <w:rFonts w:eastAsia="仿宋_GB2312" w:cs="仿宋_GB2312" w:hint="eastAsia"/>
          <w:color w:val="auto"/>
          <w:kern w:val="2"/>
          <w:sz w:val="32"/>
          <w:szCs w:val="32"/>
          <w:lang w:val="en-US" w:eastAsia="zh-CN" w:bidi="ar-SA"/>
          <w:highlight w:val="auto"/>
        </w:rPr>
        <w:t>29.57</w:t>
      </w:r>
      <w:r>
        <w:rPr>
          <w:rFonts w:ascii="Times New Roman" w:eastAsia="仿宋_GB2312" w:cs="仿宋_GB2312" w:hAnsi="Times New Roman" w:hint="eastAsia"/>
          <w:color w:val="auto"/>
          <w:kern w:val="2"/>
          <w:sz w:val="32"/>
          <w:szCs w:val="32"/>
          <w:lang w:val="en-US" w:eastAsia="zh-CN" w:bidi="ar-SA"/>
          <w:highlight w:val="auto"/>
        </w:rPr>
        <w:t>万元，占</w:t>
      </w:r>
      <w:r>
        <w:rPr>
          <w:rFonts w:eastAsia="仿宋_GB2312" w:cs="仿宋_GB2312" w:hint="eastAsia"/>
          <w:color w:val="auto"/>
          <w:kern w:val="2"/>
          <w:sz w:val="32"/>
          <w:szCs w:val="32"/>
          <w:lang w:val="en-US" w:eastAsia="zh-CN" w:bidi="ar-SA"/>
          <w:highlight w:val="auto"/>
        </w:rPr>
        <w:t>11.24</w:t>
      </w:r>
      <w:r>
        <w:rPr>
          <w:rFonts w:ascii="Times New Roman" w:eastAsia="仿宋_GB2312" w:cs="仿宋_GB2312" w:hAnsi="Times New Roman" w:hint="eastAsia"/>
          <w:color w:val="auto"/>
          <w:kern w:val="2"/>
          <w:sz w:val="32"/>
          <w:szCs w:val="32"/>
          <w:lang w:val="en-US" w:eastAsia="zh-CN" w:bidi="ar-SA"/>
          <w:highlight w:val="auto"/>
        </w:rPr>
        <w:t>%；卫生健康支出</w:t>
      </w:r>
      <w:r>
        <w:rPr>
          <w:rFonts w:eastAsia="仿宋_GB2312" w:cs="仿宋_GB2312" w:hint="eastAsia"/>
          <w:color w:val="auto"/>
          <w:kern w:val="2"/>
          <w:sz w:val="32"/>
          <w:szCs w:val="32"/>
          <w:lang w:val="en-US" w:eastAsia="zh-CN" w:bidi="ar-SA"/>
          <w:highlight w:val="auto"/>
        </w:rPr>
        <w:t>11.35</w:t>
      </w:r>
      <w:r>
        <w:rPr>
          <w:rFonts w:ascii="Times New Roman" w:eastAsia="仿宋_GB2312" w:cs="仿宋_GB2312" w:hAnsi="Times New Roman" w:hint="eastAsia"/>
          <w:color w:val="auto"/>
          <w:kern w:val="2"/>
          <w:sz w:val="32"/>
          <w:szCs w:val="32"/>
          <w:lang w:val="en-US" w:eastAsia="zh-CN" w:bidi="ar-SA"/>
          <w:highlight w:val="auto"/>
        </w:rPr>
        <w:t>万元，占</w:t>
      </w:r>
      <w:r>
        <w:rPr>
          <w:rFonts w:eastAsia="仿宋_GB2312" w:cs="仿宋_GB2312" w:hint="eastAsia"/>
          <w:color w:val="auto"/>
          <w:kern w:val="2"/>
          <w:sz w:val="32"/>
          <w:szCs w:val="32"/>
          <w:lang w:val="en-US" w:eastAsia="zh-CN" w:bidi="ar-SA"/>
          <w:highlight w:val="auto"/>
        </w:rPr>
        <w:t>4.31</w:t>
      </w:r>
      <w:r>
        <w:rPr>
          <w:rFonts w:ascii="Times New Roman" w:eastAsia="仿宋_GB2312" w:cs="仿宋_GB2312" w:hAnsi="Times New Roman" w:hint="eastAsia"/>
          <w:color w:val="auto"/>
          <w:kern w:val="2"/>
          <w:sz w:val="32"/>
          <w:szCs w:val="32"/>
          <w:lang w:val="en-US" w:eastAsia="zh-CN" w:bidi="ar-SA"/>
          <w:highlight w:val="auto"/>
        </w:rPr>
        <w:t>%；住房保障支出</w:t>
      </w:r>
      <w:r>
        <w:rPr>
          <w:rFonts w:eastAsia="仿宋_GB2312" w:cs="仿宋_GB2312" w:hint="eastAsia"/>
          <w:color w:val="auto"/>
          <w:kern w:val="2"/>
          <w:sz w:val="32"/>
          <w:szCs w:val="32"/>
          <w:lang w:val="en-US" w:eastAsia="zh-CN" w:bidi="ar-SA"/>
          <w:highlight w:val="auto"/>
        </w:rPr>
        <w:t>16.49</w:t>
      </w:r>
      <w:r>
        <w:rPr>
          <w:rFonts w:ascii="Times New Roman" w:eastAsia="仿宋_GB2312" w:cs="仿宋_GB2312" w:hAnsi="Times New Roman" w:hint="eastAsia"/>
          <w:color w:val="auto"/>
          <w:kern w:val="2"/>
          <w:sz w:val="32"/>
          <w:szCs w:val="32"/>
          <w:lang w:val="en-US" w:eastAsia="zh-CN" w:bidi="ar-SA"/>
          <w:highlight w:val="auto"/>
        </w:rPr>
        <w:t>万元，占</w:t>
      </w:r>
      <w:r>
        <w:rPr>
          <w:rFonts w:eastAsia="仿宋_GB2312" w:cs="仿宋_GB2312" w:hint="eastAsia"/>
          <w:color w:val="auto"/>
          <w:kern w:val="2"/>
          <w:sz w:val="32"/>
          <w:szCs w:val="32"/>
          <w:lang w:val="en-US" w:eastAsia="zh-CN" w:bidi="ar-SA"/>
          <w:highlight w:val="auto"/>
        </w:rPr>
        <w:t>6.27</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p>
    <w:p>
      <w:pPr>
        <w:spacing w:line="600" w:lineRule="exact"/>
        <w:ind w:firstLine="640"/>
        <w:rPr>
          <w:rFonts w:eastAsia="仿宋_GB2312" w:cs="仿宋_GB2312" w:hint="eastAsia"/>
          <w:color w:val="auto"/>
          <w:kern w:val="2"/>
          <w:sz w:val="32"/>
          <w:szCs w:val="32"/>
          <w:lang w:val="en-US" w:eastAsia="zh-CN" w:bidi="ar-SA"/>
          <w:highlight w:val="auto"/>
        </w:rPr>
      </w:pPr>
    </w:p>
    <w:p>
      <w:pPr>
        <w:spacing w:line="600" w:lineRule="exact"/>
        <w:ind w:firstLine="640"/>
        <w:rPr>
          <w:rFonts w:eastAsia="仿宋_GB2312" w:cs="仿宋_GB2312" w:hint="eastAsia"/>
          <w:color w:val="auto"/>
          <w:kern w:val="2"/>
          <w:sz w:val="32"/>
          <w:szCs w:val="32"/>
          <w:lang w:val="en-US" w:eastAsia="zh-CN" w:bidi="ar-SA"/>
          <w:highlight w:val="auto"/>
        </w:rPr>
      </w:pPr>
    </w:p>
    <w:p>
      <w:pPr>
        <w:spacing w:line="600" w:lineRule="exact"/>
        <w:ind w:firstLine="640"/>
        <w:rPr>
          <w:rFonts w:eastAsia="仿宋_GB2312" w:cs="仿宋_GB2312" w:hint="eastAsia"/>
          <w:color w:val="auto"/>
          <w:kern w:val="2"/>
          <w:sz w:val="32"/>
          <w:szCs w:val="32"/>
          <w:lang w:val="en-US" w:eastAsia="zh-CN" w:bidi="ar-SA"/>
          <w:highlight w:val="auto"/>
        </w:rPr>
      </w:pPr>
      <w:r>
        <w:rPr>
          <w:rFonts w:eastAsia="仿宋" w:hint="eastAsia"/>
          <w:lang w:eastAsia="zh-CN"/>
        </w:rPr>
        <w:drawing>
          <wp:anchor distT="0" distB="0" distL="114300" distR="114300" simplePos="0" relativeHeight="28" behindDoc="0" locked="0" layoutInCell="1" hidden="0" allowOverlap="1">
            <wp:simplePos x="0" y="0"/>
            <wp:positionH relativeFrom="column">
              <wp:posOffset>410844</wp:posOffset>
            </wp:positionH>
            <wp:positionV relativeFrom="paragraph">
              <wp:posOffset>-7588884</wp:posOffset>
            </wp:positionV>
            <wp:extent cx="4319905" cy="3117850"/>
            <wp:effectExtent l="0" t="0" r="2" b="16"/>
            <wp:wrapSquare wrapText="bothSides"/>
            <wp:docPr id="6" name="图表 12" title="一般公共预算财政拨款支出决算结构"/>
            <wp:cNvGraphicFramePr>
              <a:graphicFrameLocks noChangeAspect="0"/>
            </wp:cNvGraphicFramePr>
            <a:graphic>
              <a:graphicData uri="http://schemas.openxmlformats.org/drawingml/2006/chart">
                <c:chart xmlns:c="http://schemas.openxmlformats.org/drawingml/2006/chart" r:id="rId11"/>
              </a:graphicData>
            </a:graphic>
          </wp:anchor>
        </w:drawing>
      </w:r>
    </w:p>
    <w:p>
      <w:pPr>
        <w:spacing w:line="600" w:lineRule="exact"/>
        <w:ind w:firstLine="640"/>
        <w:rPr>
          <w:rFonts w:eastAsia="仿宋_GB2312" w:cs="仿宋_GB2312" w:hint="eastAsia"/>
          <w:color w:val="auto"/>
          <w:kern w:val="2"/>
          <w:sz w:val="32"/>
          <w:szCs w:val="32"/>
          <w:lang w:val="en-US" w:eastAsia="zh-CN" w:bidi="ar-SA"/>
          <w:highlight w:val="auto"/>
        </w:rPr>
      </w:pPr>
    </w:p>
    <w:p>
      <w:pPr>
        <w:pStyle w:val="16"/>
        <w:rPr>
          <w:rFonts w:hint="eastAsia"/>
          <w:lang w:val="en-US" w:eastAsia="zh-CN"/>
        </w:rPr>
      </w:pPr>
    </w:p>
    <w:p>
      <w:pPr>
        <w:pStyle w:val="16"/>
        <w:ind w:leftChars="0" w:left="0" w:firstLineChars="0" w:firstLine="0"/>
        <w:rPr>
          <w:rFonts w:hint="eastAsia"/>
          <w:lang w:val="en-US" w:eastAsia="zh-CN"/>
        </w:rPr>
      </w:pPr>
    </w:p>
    <w:p>
      <w:pPr>
        <w:spacing w:line="600" w:lineRule="exact"/>
        <w:rPr>
          <w:rFonts w:ascii="Times New Roman" w:eastAsia="仿宋_GB2312" w:cs="仿宋_GB2312" w:hAnsi="Times New Roman" w:hint="eastAsia"/>
          <w:color w:val="auto"/>
          <w:kern w:val="2"/>
          <w:sz w:val="32"/>
          <w:szCs w:val="32"/>
          <w:lang w:val="en-US" w:eastAsia="zh-CN" w:bidi="ar-SA"/>
          <w:highlight w:val="auto"/>
        </w:rPr>
      </w:pPr>
    </w:p>
    <w:p>
      <w:pPr>
        <w:spacing w:line="600" w:lineRule="exact"/>
        <w:rPr>
          <w:rFonts w:ascii="Times New Roman" w:eastAsia="仿宋_GB2312" w:cs="仿宋_GB2312" w:hAnsi="Times New Roman" w:hint="eastAsia"/>
          <w:color w:val="auto"/>
          <w:kern w:val="2"/>
          <w:sz w:val="32"/>
          <w:szCs w:val="32"/>
          <w:lang w:val="en-US" w:eastAsia="zh-CN" w:bidi="ar-SA"/>
          <w:highlight w:val="auto"/>
        </w:rPr>
      </w:pPr>
    </w:p>
    <w:p>
      <w:pPr>
        <w:spacing w:line="600" w:lineRule="exact"/>
        <w:rPr>
          <w:rFonts w:ascii="Times New Roman" w:eastAsia="仿宋_GB2312" w:cs="仿宋_GB2312" w:hAnsi="Times New Roman" w:hint="eastAsia"/>
          <w:color w:val="auto"/>
          <w:kern w:val="2"/>
          <w:sz w:val="32"/>
          <w:szCs w:val="32"/>
          <w:lang w:val="en-US" w:eastAsia="zh-CN" w:bidi="ar-SA"/>
          <w:highlight w:val="auto"/>
        </w:rPr>
      </w:pPr>
    </w:p>
    <w:p>
      <w:pPr>
        <w:spacing w:line="600" w:lineRule="exact"/>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（图6：一般公共预算财政拨款支出决算结构）（饼状图）</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5" w:name="_Toc15377212"/>
      <w:r>
        <w:rPr>
          <w:rFonts w:ascii="Times New Roman" w:eastAsia="楷体_GB2312" w:cs="楷体_GB2312" w:hAnsi="Times New Roman" w:hint="eastAsia"/>
          <w:b/>
          <w:color w:val="auto"/>
          <w:sz w:val="32"/>
          <w:szCs w:val="32"/>
          <w:highlight w:val="auto"/>
        </w:rPr>
        <w:t>（三）一般公共预算财政拨款支出决算具体情况</w:t>
      </w:r>
      <w:bookmarkEnd w:id="25"/>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26" w:name="_Toc15377444"/>
      <w:bookmarkStart w:id="27" w:name="_Toc15378460"/>
      <w:bookmarkStart w:id="28" w:name="_Toc15377213"/>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263.06</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%。其中：</w:t>
      </w:r>
      <w:bookmarkEnd w:id="26"/>
      <w:bookmarkEnd w:id="27"/>
      <w:bookmarkEnd w:id="28"/>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一般公共服务</w:t>
      </w:r>
      <w:r>
        <w:rPr>
          <w:rFonts w:eastAsia="仿宋_GB2312" w:cs="仿宋_GB2312" w:hint="eastAsia"/>
          <w:color w:val="auto"/>
          <w:kern w:val="2"/>
          <w:sz w:val="32"/>
          <w:szCs w:val="32"/>
          <w:lang w:val="en-US" w:eastAsia="zh-CN" w:bidi="ar-SA"/>
          <w:highlight w:val="auto"/>
        </w:rPr>
        <w:t>（类）：</w:t>
      </w:r>
      <w:r>
        <w:rPr>
          <w:rFonts w:ascii="Times New Roman" w:eastAsia="仿宋_GB2312" w:cs="仿宋_GB2312" w:hAnsi="Times New Roman" w:hint="eastAsia"/>
          <w:color w:val="auto"/>
          <w:kern w:val="2"/>
          <w:sz w:val="32"/>
          <w:szCs w:val="32"/>
          <w:lang w:val="en-US" w:eastAsia="zh-CN" w:bidi="ar-SA"/>
          <w:highlight w:val="auto"/>
        </w:rPr>
        <w:t>支出决算为</w:t>
      </w:r>
      <w:r>
        <w:rPr>
          <w:rFonts w:eastAsia="仿宋_GB2312" w:cs="仿宋_GB2312" w:hint="eastAsia"/>
          <w:color w:val="auto"/>
          <w:kern w:val="2"/>
          <w:sz w:val="32"/>
          <w:szCs w:val="32"/>
          <w:lang w:val="en-US" w:eastAsia="zh-CN" w:bidi="ar-SA"/>
          <w:highlight w:val="auto"/>
        </w:rPr>
        <w:t>205.65</w:t>
      </w:r>
      <w:r>
        <w:rPr>
          <w:rFonts w:ascii="Times New Roman" w:eastAsia="仿宋_GB2312" w:cs="仿宋_GB2312" w:hAnsi="Times New Roman" w:hint="eastAsia"/>
          <w:color w:val="auto"/>
          <w:kern w:val="2"/>
          <w:sz w:val="32"/>
          <w:szCs w:val="32"/>
          <w:lang w:val="en-US" w:eastAsia="zh-CN" w:bidi="ar-SA"/>
          <w:highlight w:val="auto"/>
        </w:rPr>
        <w:t>万元，完成预算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2</w:t>
      </w:r>
      <w:r>
        <w:rPr>
          <w:rFonts w:ascii="Times New Roman" w:eastAsia="仿宋_GB2312" w:cs="仿宋_GB2312" w:hAnsi="Times New Roman" w:hint="eastAsia"/>
          <w:color w:val="auto"/>
          <w:kern w:val="2"/>
          <w:sz w:val="32"/>
          <w:szCs w:val="32"/>
          <w:lang w:val="en-US" w:eastAsia="zh-CN" w:bidi="ar-SA"/>
          <w:highlight w:val="auto"/>
        </w:rPr>
        <w:t>.社会保障和就业（类）</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eastAsia="仿宋_GB2312" w:cs="仿宋_GB2312" w:hint="eastAsia"/>
          <w:color w:val="auto"/>
          <w:kern w:val="2"/>
          <w:sz w:val="32"/>
          <w:szCs w:val="32"/>
          <w:lang w:val="en-US" w:eastAsia="zh-CN" w:bidi="ar-SA"/>
          <w:highlight w:val="auto"/>
        </w:rPr>
        <w:t>29.57</w:t>
      </w:r>
      <w:r>
        <w:rPr>
          <w:rFonts w:ascii="Times New Roman" w:eastAsia="仿宋_GB2312" w:cs="仿宋_GB2312" w:hAnsi="Times New Roman" w:hint="eastAsia"/>
          <w:color w:val="auto"/>
          <w:kern w:val="2"/>
          <w:sz w:val="32"/>
          <w:szCs w:val="32"/>
          <w:lang w:val="en-US" w:eastAsia="zh-CN" w:bidi="ar-SA"/>
          <w:highlight w:val="auto"/>
        </w:rPr>
        <w:t>万元，完成预算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p>
    <w:p>
      <w:pPr>
        <w:spacing w:line="600" w:lineRule="exact"/>
        <w:ind w:firstLine="640"/>
        <w:rPr>
          <w:rFonts w:eastAsia="仿宋_GB2312" w:cs="仿宋_GB2312"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3</w:t>
      </w:r>
      <w:r>
        <w:rPr>
          <w:rFonts w:ascii="Times New Roman" w:eastAsia="仿宋_GB2312" w:cs="仿宋_GB2312" w:hAnsi="Times New Roman" w:hint="eastAsia"/>
          <w:color w:val="auto"/>
          <w:kern w:val="2"/>
          <w:sz w:val="32"/>
          <w:szCs w:val="32"/>
          <w:lang w:val="en-US" w:eastAsia="zh-CN" w:bidi="ar-SA"/>
          <w:highlight w:val="auto"/>
        </w:rPr>
        <w:t>.卫生健康（类））</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eastAsia="仿宋_GB2312" w:cs="仿宋_GB2312" w:hint="eastAsia"/>
          <w:color w:val="auto"/>
          <w:kern w:val="2"/>
          <w:sz w:val="32"/>
          <w:szCs w:val="32"/>
          <w:lang w:val="en-US" w:eastAsia="zh-CN" w:bidi="ar-SA"/>
          <w:highlight w:val="auto"/>
        </w:rPr>
        <w:t>11.35</w:t>
      </w:r>
      <w:r>
        <w:rPr>
          <w:rFonts w:ascii="Times New Roman" w:eastAsia="仿宋_GB2312" w:cs="仿宋_GB2312" w:hAnsi="Times New Roman" w:hint="eastAsia"/>
          <w:color w:val="auto"/>
          <w:kern w:val="2"/>
          <w:sz w:val="32"/>
          <w:szCs w:val="32"/>
          <w:lang w:val="en-US" w:eastAsia="zh-CN" w:bidi="ar-SA"/>
          <w:highlight w:val="auto"/>
        </w:rPr>
        <w:t>万元，完成预算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p>
    <w:p>
      <w:pPr>
        <w:spacing w:line="600" w:lineRule="exact"/>
        <w:ind w:firstLine="640"/>
        <w:rPr>
          <w:rFonts w:eastAsia="仿宋_GB2312" w:cs="仿宋_GB2312"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4.</w:t>
      </w:r>
      <w:r>
        <w:rPr>
          <w:rFonts w:ascii="Times New Roman" w:eastAsia="仿宋_GB2312" w:cs="仿宋_GB2312" w:hAnsi="Times New Roman" w:hint="eastAsia"/>
          <w:color w:val="auto"/>
          <w:kern w:val="2"/>
          <w:sz w:val="32"/>
          <w:szCs w:val="32"/>
          <w:lang w:val="en-US" w:eastAsia="zh-CN" w:bidi="ar-SA"/>
          <w:highlight w:val="auto"/>
        </w:rPr>
        <w:t>住房保障（类）：支出决算为</w:t>
      </w:r>
      <w:r>
        <w:rPr>
          <w:rFonts w:eastAsia="仿宋_GB2312" w:cs="仿宋_GB2312" w:hint="eastAsia"/>
          <w:color w:val="auto"/>
          <w:kern w:val="2"/>
          <w:sz w:val="32"/>
          <w:szCs w:val="32"/>
          <w:lang w:val="en-US" w:eastAsia="zh-CN" w:bidi="ar-SA"/>
          <w:highlight w:val="auto"/>
        </w:rPr>
        <w:t>16.49</w:t>
      </w:r>
      <w:r>
        <w:rPr>
          <w:rFonts w:ascii="Times New Roman" w:eastAsia="仿宋_GB2312" w:cs="仿宋_GB2312" w:hAnsi="Times New Roman" w:hint="eastAsia"/>
          <w:color w:val="auto"/>
          <w:kern w:val="2"/>
          <w:sz w:val="32"/>
          <w:szCs w:val="32"/>
          <w:lang w:val="en-US" w:eastAsia="zh-CN" w:bidi="ar-SA"/>
          <w:highlight w:val="auto"/>
        </w:rPr>
        <w:t>万元，完成预算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w:t>
      </w:r>
    </w:p>
    <w:p>
      <w:pPr>
        <w:tabs>
          <w:tab w:val="right" w:pos="8306"/>
        </w:tabs>
        <w:spacing w:line="600" w:lineRule="exact"/>
        <w:ind w:firstLine="640"/>
        <w:outlineLvl w:val="1"/>
        <w:rPr>
          <w:rStyle w:val="2Char"/>
          <w:rFonts w:ascii="Times New Roman" w:hAnsi="Times New Roman"/>
          <w:color w:val="auto"/>
          <w:highlight w:val="auto"/>
        </w:rPr>
      </w:pPr>
      <w:bookmarkStart w:id="29" w:name="_Toc15396608"/>
      <w:bookmarkStart w:id="30" w:name="_Toc15377214"/>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29"/>
      <w:bookmarkEnd w:id="30"/>
      <w:r>
        <w:rPr>
          <w:rStyle w:val="2Char"/>
          <w:rFonts w:ascii="Times New Roman" w:eastAsia="黑体" w:hAnsi="Times New Roman"/>
          <w:b w:val="0"/>
          <w:color w:val="auto"/>
          <w:highlight w:val="auto"/>
        </w:rPr>
        <w:tab/>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222.9</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元，其中：人员经费</w:t>
      </w:r>
      <w:r>
        <w:rPr>
          <w:rFonts w:ascii="仿宋_GB2312" w:eastAsia="仿宋_GB2312" w:cs="仿宋_GB2312" w:hint="eastAsia"/>
          <w:sz w:val="32"/>
          <w:szCs w:val="32"/>
        </w:rPr>
        <w:t>201.4</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br/>
        <w:t>　　公用经费</w:t>
      </w:r>
      <w:r>
        <w:rPr>
          <w:rFonts w:ascii="仿宋_GB2312" w:eastAsia="仿宋_GB2312" w:cs="仿宋_GB2312" w:hint="eastAsia"/>
          <w:sz w:val="32"/>
          <w:szCs w:val="32"/>
        </w:rPr>
        <w:t>21.5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eastAsia="仿宋"/>
          <w:b/>
          <w:sz w:val="32"/>
          <w:szCs w:val="32"/>
        </w:rPr>
      </w:pPr>
      <w:r>
        <w:rPr>
          <w:rFonts w:ascii="仿宋" w:eastAsia="仿宋" w:hint="eastAsia"/>
          <w:b/>
          <w:sz w:val="32"/>
          <w:szCs w:val="32"/>
        </w:rPr>
        <w:t>（注：数据来源于GK05财政拨款支出决算明细表，GK06一般公共预算财政拨款支出决算表。）</w:t>
      </w:r>
    </w:p>
    <w:p>
      <w:pPr>
        <w:spacing w:line="600" w:lineRule="exact"/>
        <w:ind w:firstLine="640"/>
        <w:outlineLvl w:val="1"/>
        <w:rPr>
          <w:rStyle w:val="2Char"/>
          <w:rFonts w:ascii="Times New Roman" w:eastAsia="黑体" w:hAnsi="Times New Roman"/>
          <w:b w:val="0"/>
          <w:color w:val="auto"/>
          <w:highlight w:val="auto"/>
        </w:rPr>
      </w:pPr>
      <w:bookmarkStart w:id="31" w:name="_Toc15396609"/>
      <w:bookmarkStart w:id="32" w:name="_Toc15377215"/>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31"/>
      <w:bookmarkEnd w:id="32"/>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3" w:name="_Toc15377216"/>
      <w:r>
        <w:rPr>
          <w:rFonts w:ascii="Times New Roman" w:eastAsia="楷体_GB2312" w:cs="楷体_GB2312" w:hAnsi="Times New Roman" w:hint="eastAsia"/>
          <w:b/>
          <w:color w:val="auto"/>
          <w:sz w:val="32"/>
          <w:szCs w:val="32"/>
          <w:highlight w:val="auto"/>
        </w:rPr>
        <w:t>（一）“三公”经费财政拨款支出决算总体情况说明</w:t>
      </w:r>
      <w:bookmarkEnd w:id="3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0.15</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99.8</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较上年度减少</w:t>
      </w:r>
      <w:r>
        <w:rPr>
          <w:rFonts w:eastAsia="仿宋_GB2312" w:cs="仿宋_GB2312" w:hint="eastAsia"/>
          <w:color w:val="auto"/>
          <w:kern w:val="2"/>
          <w:sz w:val="32"/>
          <w:szCs w:val="32"/>
          <w:lang w:val="en-US" w:eastAsia="zh-CN" w:bidi="ar-SA"/>
          <w:highlight w:val="auto"/>
        </w:rPr>
        <w:t>0.03</w:t>
      </w:r>
      <w:r>
        <w:rPr>
          <w:rFonts w:ascii="Times New Roman" w:eastAsia="仿宋_GB2312" w:cs="仿宋_GB2312" w:hAnsi="Times New Roman" w:hint="eastAsia"/>
          <w:color w:val="auto"/>
          <w:kern w:val="2"/>
          <w:sz w:val="32"/>
          <w:szCs w:val="32"/>
          <w:lang w:val="en-US" w:eastAsia="zh-CN" w:bidi="ar-SA"/>
          <w:highlight w:val="auto"/>
        </w:rPr>
        <w:t>万元，下降</w:t>
      </w:r>
      <w:r>
        <w:rPr>
          <w:rFonts w:eastAsia="仿宋_GB2312" w:cs="仿宋_GB2312" w:hint="eastAsia"/>
          <w:color w:val="auto"/>
          <w:kern w:val="2"/>
          <w:sz w:val="32"/>
          <w:szCs w:val="32"/>
          <w:lang w:val="en-US" w:eastAsia="zh-CN" w:bidi="ar-SA"/>
          <w:highlight w:val="auto"/>
        </w:rPr>
        <w:t>0.2</w:t>
      </w:r>
      <w:r>
        <w:rPr>
          <w:rFonts w:ascii="Times New Roman" w:eastAsia="仿宋_GB2312" w:cs="仿宋_GB2312" w:hAnsi="Times New Roman" w:hint="eastAsia"/>
          <w:color w:val="auto"/>
          <w:kern w:val="2"/>
          <w:sz w:val="32"/>
          <w:szCs w:val="32"/>
          <w:lang w:val="en-US" w:eastAsia="zh-CN" w:bidi="ar-SA"/>
          <w:highlight w:val="auto"/>
        </w:rPr>
        <w:t>%。决算数小于预算数（或与预算数持平）的主要原因是</w:t>
      </w:r>
      <w:r>
        <w:rPr>
          <w:rFonts w:eastAsia="仿宋_GB2312" w:cs="仿宋_GB2312" w:hint="eastAsia"/>
          <w:color w:val="auto"/>
          <w:kern w:val="2"/>
          <w:sz w:val="32"/>
          <w:szCs w:val="32"/>
          <w:lang w:val="en-US" w:eastAsia="zh-CN" w:bidi="ar-SA"/>
          <w:highlight w:val="auto"/>
        </w:rPr>
        <w:t>厉行勤俭节约。</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4" w:name="_Toc15377217"/>
      <w:r>
        <w:rPr>
          <w:rFonts w:ascii="Times New Roman" w:eastAsia="楷体_GB2312" w:cs="楷体_GB2312" w:hAnsi="Times New Roman" w:hint="eastAsia"/>
          <w:b/>
          <w:color w:val="auto"/>
          <w:sz w:val="32"/>
          <w:szCs w:val="32"/>
          <w:highlight w:val="auto"/>
        </w:rPr>
        <w:t>（二）“三公”经费财政拨款支出决算具体情况说明</w:t>
      </w:r>
      <w:bookmarkEnd w:id="34"/>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万元，占0%；公务用车购置及运行维护费支出决算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万元，占0%；公务接待费支出决算</w:t>
      </w:r>
      <w:r>
        <w:rPr>
          <w:rFonts w:ascii="仿宋_GB2312" w:eastAsia="仿宋_GB2312" w:cs="仿宋_GB2312" w:hint="eastAsia"/>
          <w:sz w:val="32"/>
          <w:szCs w:val="32"/>
        </w:rPr>
        <w:t>0.15</w:t>
      </w:r>
      <w:r>
        <w:rPr>
          <w:rFonts w:ascii="仿宋_GB2312" w:eastAsia="仿宋_GB2312" w:cs="仿宋_GB2312" w:hint="eastAsia"/>
          <w:color w:val="auto"/>
          <w:kern w:val="2"/>
          <w:sz w:val="32"/>
          <w:szCs w:val="32"/>
          <w:lang w:val="en-US" w:eastAsia="zh-CN" w:bidi="ar-SA"/>
          <w:highlight w:val="auto"/>
        </w:rPr>
        <w:t>万元，占100%。具体情况如下：</w:t>
      </w:r>
    </w:p>
    <w:p>
      <w:pPr>
        <w:pStyle w:val="16"/>
        <w:rPr>
          <w:rFonts w:hint="eastAsia"/>
          <w:lang w:val="en-US" w:eastAsia="zh-CN"/>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 w:hint="eastAsia"/>
          <w:lang w:eastAsia="zh-CN"/>
        </w:rPr>
        <w:drawing>
          <wp:anchor distT="0" distB="0" distL="114300" distR="114300" simplePos="0" relativeHeight="30" behindDoc="0" locked="0" layoutInCell="1" hidden="0" allowOverlap="1">
            <wp:simplePos x="0" y="0"/>
            <wp:positionH relativeFrom="column">
              <wp:posOffset>494030</wp:posOffset>
            </wp:positionH>
            <wp:positionV relativeFrom="paragraph">
              <wp:posOffset>-2195829</wp:posOffset>
            </wp:positionV>
            <wp:extent cx="4319905" cy="2879725"/>
            <wp:effectExtent l="0" t="1" r="3" b="18"/>
            <wp:wrapSquare wrapText="bothSides"/>
            <wp:docPr id="7" name="图表 13"/>
            <wp:cNvGraphicFramePr>
              <a:graphicFrameLocks noChangeAspect="0"/>
            </wp:cNvGraphicFramePr>
            <a:graphic>
              <a:graphicData uri="http://schemas.openxmlformats.org/drawingml/2006/chart">
                <c:chart xmlns:c="http://schemas.openxmlformats.org/drawingml/2006/chart" r:id="rId12"/>
              </a:graphicData>
            </a:graphic>
          </wp:anchor>
        </w:drawing>
      </w:r>
      <w:r>
        <w:rPr>
          <w:rFonts w:ascii="Times New Roman" w:eastAsia="仿宋_GB2312" w:cs="仿宋_GB2312" w:hAnsi="Times New Roman" w:hint="eastAsia"/>
          <w:color w:val="auto"/>
          <w:kern w:val="2"/>
          <w:sz w:val="32"/>
          <w:szCs w:val="32"/>
          <w:lang w:val="en-US" w:eastAsia="zh-CN" w:bidi="ar-SA"/>
          <w:highlight w:val="auto"/>
        </w:rPr>
        <w:t>（图7：“三公”经费财政拨款支出结构）（饼状图）</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1.因公出国（境）经费支出</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万元，完成预算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全年安排因公出国（境）团</w:t>
      </w:r>
      <w:r>
        <w:rPr>
          <w:rFonts w:ascii="仿宋_GB2312" w:eastAsia="仿宋_GB2312" w:cs="仿宋_GB2312" w:hint="eastAsia"/>
          <w:color w:val="auto"/>
          <w:kern w:val="2"/>
          <w:sz w:val="32"/>
          <w:szCs w:val="32"/>
          <w:lang w:val="en-US" w:eastAsia="zh-CN" w:bidi="ar-SA"/>
          <w:highlight w:val="auto"/>
        </w:rPr>
        <w:t>组</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次，出国（境）</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人</w:t>
      </w:r>
      <w:r>
        <w:rPr>
          <w:rFonts w:ascii="Times New Roman" w:eastAsia="仿宋_GB2312" w:cs="仿宋_GB2312" w:hAnsi="Times New Roman" w:hint="eastAsia"/>
          <w:color w:val="auto"/>
          <w:kern w:val="2"/>
          <w:sz w:val="32"/>
          <w:szCs w:val="32"/>
          <w:lang w:val="en-US" w:eastAsia="zh-CN" w:bidi="ar-SA"/>
          <w:highlight w:val="auto"/>
        </w:rPr>
        <w:t>。因公出国（境）支出决算比2023年增加/减少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无此类情况。</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2.公务用车购置及运行维护费支出</w:t>
      </w:r>
      <w:r>
        <w:rPr>
          <w:rFonts w:ascii="仿宋_GB2312" w:eastAsia="仿宋_GB2312" w:cs="仿宋_GB2312" w:hint="eastAsia"/>
          <w:b/>
          <w:bCs/>
          <w:color w:val="auto"/>
          <w:kern w:val="2"/>
          <w:sz w:val="32"/>
          <w:szCs w:val="32"/>
          <w:lang w:val="en-US" w:eastAsia="zh-CN" w:bidi="ar-SA"/>
          <w:highlight w:val="auto"/>
        </w:rPr>
        <w:t>0万</w:t>
      </w:r>
      <w:r>
        <w:rPr>
          <w:rFonts w:ascii="Times New Roman" w:eastAsia="仿宋_GB2312" w:cs="仿宋_GB2312" w:hAnsi="Times New Roman" w:hint="eastAsia"/>
          <w:b/>
          <w:bCs/>
          <w:color w:val="auto"/>
          <w:kern w:val="2"/>
          <w:sz w:val="32"/>
          <w:szCs w:val="32"/>
          <w:lang w:val="en-US" w:eastAsia="zh-CN" w:bidi="ar-SA"/>
          <w:highlight w:val="auto"/>
        </w:rPr>
        <w:t>元</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公务用车购置及运行维护费支出决算比2023年度增加/减少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无此类开支。</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其中：公务用车购置支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万元。全年按规定更新购置公务用车</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w:t>
      </w:r>
      <w:r>
        <w:rPr>
          <w:rFonts w:eastAsia="仿宋_GB2312" w:cs="仿宋_GB2312"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公务用车运行维护费支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万元。</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3.公务接待费支出</w:t>
      </w:r>
      <w:r>
        <w:rPr>
          <w:rFonts w:ascii="仿宋_GB2312" w:eastAsia="仿宋_GB2312" w:cs="仿宋_GB2312" w:hint="eastAsia"/>
          <w:b/>
          <w:bCs/>
          <w:color w:val="auto"/>
          <w:kern w:val="2"/>
          <w:sz w:val="32"/>
          <w:szCs w:val="32"/>
          <w:lang w:val="en-US" w:eastAsia="zh-CN" w:bidi="ar-SA"/>
          <w:highlight w:val="auto"/>
        </w:rPr>
        <w:t>0.15万</w:t>
      </w:r>
      <w:r>
        <w:rPr>
          <w:rFonts w:ascii="Times New Roman" w:eastAsia="仿宋_GB2312" w:cs="仿宋_GB2312" w:hAnsi="Times New Roman" w:hint="eastAsia"/>
          <w:b/>
          <w:bCs/>
          <w:color w:val="auto"/>
          <w:kern w:val="2"/>
          <w:sz w:val="32"/>
          <w:szCs w:val="32"/>
          <w:lang w:val="en-US" w:eastAsia="zh-CN" w:bidi="ar-SA"/>
          <w:highlight w:val="auto"/>
        </w:rPr>
        <w:t>元，完成预算</w:t>
      </w:r>
      <w:r>
        <w:rPr>
          <w:rFonts w:eastAsia="仿宋_GB2312" w:cs="仿宋_GB2312" w:hint="eastAsia"/>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公务接待费支出决算比2023年度减少</w:t>
      </w:r>
      <w:r>
        <w:rPr>
          <w:rFonts w:eastAsia="仿宋_GB2312" w:cs="仿宋_GB2312" w:hint="eastAsia"/>
          <w:color w:val="auto"/>
          <w:kern w:val="2"/>
          <w:sz w:val="32"/>
          <w:szCs w:val="32"/>
          <w:lang w:val="en-US" w:eastAsia="zh-CN" w:bidi="ar-SA"/>
          <w:highlight w:val="auto"/>
        </w:rPr>
        <w:t>0.03</w:t>
      </w:r>
      <w:r>
        <w:rPr>
          <w:rFonts w:ascii="Times New Roman" w:eastAsia="仿宋_GB2312" w:cs="仿宋_GB2312" w:hAnsi="Times New Roman" w:hint="eastAsia"/>
          <w:color w:val="auto"/>
          <w:kern w:val="2"/>
          <w:sz w:val="32"/>
          <w:szCs w:val="32"/>
          <w:lang w:val="en-US" w:eastAsia="zh-CN" w:bidi="ar-SA"/>
          <w:highlight w:val="auto"/>
        </w:rPr>
        <w:t>万元，下降</w:t>
      </w:r>
      <w:r>
        <w:rPr>
          <w:rFonts w:eastAsia="仿宋_GB2312" w:cs="仿宋_GB2312" w:hint="eastAsia"/>
          <w:color w:val="auto"/>
          <w:kern w:val="2"/>
          <w:sz w:val="32"/>
          <w:szCs w:val="32"/>
          <w:lang w:val="en-US" w:eastAsia="zh-CN" w:bidi="ar-SA"/>
          <w:highlight w:val="auto"/>
        </w:rPr>
        <w:t>0.2</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厉行勤俭节约</w:t>
      </w:r>
      <w:r>
        <w:rPr>
          <w:rFonts w:ascii="Times New Roman" w:eastAsia="仿宋_GB2312" w:cs="仿宋_GB2312" w:hAnsi="Times New Roman" w:hint="eastAsia"/>
          <w:color w:val="auto"/>
          <w:kern w:val="2"/>
          <w:sz w:val="32"/>
          <w:szCs w:val="32"/>
          <w:lang w:val="en-US" w:eastAsia="zh-CN" w:bidi="ar-SA"/>
          <w:highlight w:val="auto"/>
        </w:rPr>
        <w:t>。其中：</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国内公务接待支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0.15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元，主要用于执行公务、开展业务活动开支的交通费、住宿费、用餐费等。国内公务接</w:t>
      </w:r>
      <w:r>
        <w:rPr>
          <w:rFonts w:ascii="仿宋_GB2312" w:eastAsia="仿宋_GB2312" w:cs="仿宋_GB2312" w:hint="eastAsia"/>
          <w:color w:val="auto"/>
          <w:kern w:val="2"/>
          <w:sz w:val="32"/>
          <w:szCs w:val="32"/>
          <w:lang w:val="en-US" w:eastAsia="zh-CN" w:bidi="ar-SA"/>
          <w:highlight w:val="auto"/>
        </w:rPr>
        <w:t>待</w:t>
      </w:r>
      <w:r>
        <w:rPr>
          <w:rFonts w:ascii="仿宋_GB2312" w:eastAsia="仿宋_GB2312" w:cs="仿宋_GB2312" w:hint="eastAsia"/>
          <w:sz w:val="32"/>
          <w:szCs w:val="32"/>
        </w:rPr>
        <w:t>1</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sz w:val="32"/>
          <w:szCs w:val="32"/>
        </w:rPr>
        <w:t>13</w:t>
      </w:r>
      <w:r>
        <w:rPr>
          <w:rFonts w:ascii="Times New Roman" w:eastAsia="仿宋_GB2312" w:cs="仿宋_GB2312" w:hAnsi="Times New Roman" w:hint="eastAsia"/>
          <w:color w:val="auto"/>
          <w:kern w:val="2"/>
          <w:sz w:val="32"/>
          <w:szCs w:val="32"/>
          <w:lang w:val="en-US" w:eastAsia="zh-CN" w:bidi="ar-SA"/>
          <w:highlight w:val="auto"/>
        </w:rPr>
        <w:t>人次（不包括陪同人员），共计支出</w:t>
      </w:r>
      <w:r>
        <w:rPr>
          <w:rFonts w:eastAsia="仿宋_GB2312" w:cs="仿宋_GB2312" w:hint="eastAsia"/>
          <w:color w:val="auto"/>
          <w:kern w:val="2"/>
          <w:sz w:val="32"/>
          <w:szCs w:val="32"/>
          <w:lang w:val="en-US" w:eastAsia="zh-CN" w:bidi="ar-SA"/>
          <w:highlight w:val="auto"/>
        </w:rPr>
        <w:t>0.15</w:t>
      </w:r>
      <w:r>
        <w:rPr>
          <w:rFonts w:ascii="Times New Roman" w:eastAsia="仿宋_GB2312" w:cs="仿宋_GB2312" w:hAnsi="Times New Roman" w:hint="eastAsia"/>
          <w:color w:val="auto"/>
          <w:kern w:val="2"/>
          <w:sz w:val="32"/>
          <w:szCs w:val="32"/>
          <w:lang w:val="en-US" w:eastAsia="zh-CN" w:bidi="ar-SA"/>
          <w:highlight w:val="auto"/>
        </w:rPr>
        <w:t>万元，具体内容包括：</w:t>
      </w:r>
      <w:r>
        <w:rPr>
          <w:rFonts w:ascii="仿宋_GB2312" w:eastAsia="仿宋_GB2312" w:hint="eastAsia"/>
          <w:sz w:val="32"/>
          <w:szCs w:val="32"/>
          <w:lang w:eastAsia="zh-CN"/>
        </w:rPr>
        <w:t>上级部门督导检查、调研等工作</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640"/>
        <w:outlineLvl w:val="1"/>
        <w:rPr>
          <w:rFonts w:ascii="仿宋_GB2312"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外事接待支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w:t>
      </w:r>
      <w:bookmarkStart w:id="35" w:name="_Toc15377218"/>
      <w:bookmarkStart w:id="36" w:name="_Toc15396610"/>
    </w:p>
    <w:p>
      <w:pPr>
        <w:spacing w:line="600" w:lineRule="exact"/>
        <w:ind w:firstLine="640"/>
        <w:outlineLvl w:val="1"/>
        <w:rPr>
          <w:rStyle w:val="2Char"/>
          <w:rFonts w:ascii="Times New Roman" w:eastAsia="黑体" w:hAnsi="Times New Roman"/>
          <w:color w:val="auto"/>
          <w:highlight w:val="auto"/>
        </w:rPr>
      </w:pPr>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35"/>
      <w:bookmarkEnd w:id="36"/>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w:t>
      </w:r>
    </w:p>
    <w:p>
      <w:pPr>
        <w:spacing w:line="600" w:lineRule="exact"/>
        <w:ind w:left="630"/>
        <w:outlineLvl w:val="1"/>
        <w:rPr>
          <w:rStyle w:val="2Char"/>
          <w:rFonts w:ascii="Times New Roman" w:eastAsia="黑体" w:hAnsi="Times New Roman"/>
          <w:b w:val="0"/>
          <w:color w:val="auto"/>
          <w:highlight w:val="auto"/>
        </w:rPr>
      </w:pPr>
      <w:bookmarkStart w:id="37" w:name="_Toc15396611"/>
      <w:bookmarkStart w:id="38" w:name="_Toc15377219"/>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37"/>
      <w:bookmarkEnd w:id="38"/>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w:t>
      </w:r>
    </w:p>
    <w:p>
      <w:pPr>
        <w:spacing w:line="600" w:lineRule="exact"/>
        <w:ind w:left="630"/>
        <w:outlineLvl w:val="1"/>
        <w:rPr>
          <w:rStyle w:val="2Char"/>
          <w:rFonts w:ascii="Times New Roman" w:eastAsia="黑体" w:hAnsi="Times New Roman" w:hint="eastAsia"/>
          <w:b w:val="0"/>
          <w:color w:val="auto"/>
          <w:highlight w:val="auto"/>
        </w:rPr>
      </w:pPr>
      <w:bookmarkStart w:id="39" w:name="_Toc15396612"/>
      <w:bookmarkStart w:id="40" w:name="_Toc15377221"/>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39"/>
      <w:bookmarkEnd w:id="40"/>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1" w:name="_Toc15377222"/>
      <w:r>
        <w:rPr>
          <w:rFonts w:ascii="Times New Roman" w:eastAsia="楷体_GB2312" w:cs="楷体_GB2312" w:hAnsi="Times New Roman" w:hint="eastAsia"/>
          <w:b/>
          <w:color w:val="auto"/>
          <w:sz w:val="32"/>
          <w:szCs w:val="32"/>
          <w:highlight w:val="auto"/>
        </w:rPr>
        <w:t>（一）机关运行经费支出情况</w:t>
      </w:r>
      <w:bookmarkEnd w:id="41"/>
    </w:p>
    <w:p>
      <w:pPr>
        <w:spacing w:line="600" w:lineRule="exact"/>
        <w:ind w:firstLineChars="20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红原县信访局</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cs="仿宋_GB2312" w:hint="eastAsia"/>
          <w:sz w:val="32"/>
          <w:szCs w:val="32"/>
        </w:rPr>
        <w:t>13.37</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元，比2023年度增加</w:t>
      </w:r>
      <w:r>
        <w:rPr>
          <w:rFonts w:eastAsia="仿宋_GB2312" w:cs="仿宋_GB2312" w:hint="eastAsia"/>
          <w:color w:val="auto"/>
          <w:kern w:val="2"/>
          <w:sz w:val="32"/>
          <w:szCs w:val="32"/>
          <w:lang w:val="en-US" w:eastAsia="zh-CN" w:bidi="ar-SA"/>
          <w:highlight w:val="auto"/>
        </w:rPr>
        <w:t>2.61</w:t>
      </w:r>
      <w:r>
        <w:rPr>
          <w:rFonts w:ascii="Times New Roman" w:eastAsia="仿宋_GB2312" w:cs="仿宋_GB2312" w:hAnsi="Times New Roman" w:hint="eastAsia"/>
          <w:color w:val="auto"/>
          <w:kern w:val="2"/>
          <w:sz w:val="32"/>
          <w:szCs w:val="32"/>
          <w:lang w:val="en-US" w:eastAsia="zh-CN" w:bidi="ar-SA"/>
          <w:highlight w:val="auto"/>
        </w:rPr>
        <w:t>万元，增长</w:t>
      </w:r>
      <w:r>
        <w:rPr>
          <w:rFonts w:eastAsia="仿宋_GB2312" w:cs="仿宋_GB2312" w:hint="eastAsia"/>
          <w:color w:val="auto"/>
          <w:kern w:val="2"/>
          <w:sz w:val="32"/>
          <w:szCs w:val="32"/>
          <w:lang w:val="en-US" w:eastAsia="zh-CN" w:bidi="ar-SA"/>
          <w:highlight w:val="auto"/>
        </w:rPr>
        <w:t>19.52</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r>
        <w:rPr>
          <w:rFonts w:ascii="仿宋_GB2312" w:eastAsia="仿宋_GB2312" w:hint="eastAsia"/>
          <w:color w:val="auto"/>
          <w:sz w:val="32"/>
          <w:szCs w:val="32"/>
        </w:rPr>
        <w:t>主要原因是</w:t>
      </w:r>
      <w:r>
        <w:rPr>
          <w:rFonts w:ascii="仿宋_GB2312" w:eastAsia="仿宋_GB2312" w:hint="eastAsia"/>
          <w:color w:val="auto"/>
          <w:sz w:val="32"/>
          <w:szCs w:val="32"/>
          <w:lang w:eastAsia="zh-CN"/>
        </w:rPr>
        <w:t>办公运转费增加</w:t>
      </w:r>
      <w:r>
        <w:rPr>
          <w:rFonts w:ascii="仿宋_GB2312" w:eastAsia="仿宋_GB2312" w:hint="eastAsia"/>
          <w:color w:val="auto"/>
          <w:sz w:val="32"/>
          <w:szCs w:val="32"/>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2" w:name="_Toc15377223"/>
      <w:r>
        <w:rPr>
          <w:rFonts w:ascii="Times New Roman" w:eastAsia="楷体_GB2312" w:cs="楷体_GB2312" w:hAnsi="Times New Roman" w:hint="eastAsia"/>
          <w:b/>
          <w:color w:val="auto"/>
          <w:sz w:val="32"/>
          <w:szCs w:val="32"/>
          <w:highlight w:val="auto"/>
        </w:rPr>
        <w:t>（二）政府采购支出情况</w:t>
      </w:r>
      <w:bookmarkEnd w:id="42"/>
    </w:p>
    <w:p>
      <w:pPr>
        <w:spacing w:line="600" w:lineRule="exact"/>
        <w:ind w:firstLineChars="200" w:firstLine="640"/>
        <w:outlineLvl w:val="2"/>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sz w:val="32"/>
          <w:szCs w:val="32"/>
        </w:rPr>
        <w:t>红原县信访局</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w:t>
      </w:r>
      <w:bookmarkStart w:id="43" w:name="_Toc15377224"/>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r>
        <w:rPr>
          <w:rFonts w:ascii="Times New Roman" w:eastAsia="楷体_GB2312" w:cs="楷体_GB2312" w:hAnsi="Times New Roman" w:hint="eastAsia"/>
          <w:b/>
          <w:color w:val="auto"/>
          <w:sz w:val="32"/>
          <w:szCs w:val="32"/>
          <w:highlight w:val="auto"/>
        </w:rPr>
        <w:t>（三）国有资产占有使用情况</w:t>
      </w:r>
      <w:bookmarkEnd w:id="4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红原县信访局</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辆，其中：主要负责人用车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辆，单价100万元（含）以上设备（不含车辆）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台（套）</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r>
        <w:rPr>
          <w:rFonts w:ascii="Times New Roman" w:eastAsia="楷体_GB2312" w:cs="楷体_GB2312" w:hAnsi="Times New Roman" w:hint="eastAsia"/>
          <w:b/>
          <w:color w:val="auto"/>
          <w:sz w:val="32"/>
          <w:szCs w:val="32"/>
          <w:highlight w:val="auto"/>
        </w:rPr>
        <w:t>（四）预算绩效管理情况</w:t>
      </w:r>
    </w:p>
    <w:p>
      <w:pPr>
        <w:spacing w:line="580" w:lineRule="exact"/>
        <w:ind w:firstLineChars="200" w:firstLine="640"/>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1.</w:t>
      </w:r>
      <w:r>
        <w:rPr>
          <w:rFonts w:ascii="楷体_GB2312" w:eastAsia="楷体_GB2312" w:cs="楷体_GB2312" w:hint="eastAsia"/>
          <w:b/>
          <w:bCs/>
          <w:kern w:val="0"/>
          <w:sz w:val="32"/>
          <w:szCs w:val="32"/>
        </w:rPr>
        <w:t>202</w:t>
      </w:r>
      <w:r>
        <w:rPr>
          <w:rFonts w:ascii="楷体_GB2312" w:eastAsia="楷体_GB2312" w:cs="楷体_GB2312" w:hint="eastAsia"/>
          <w:b/>
          <w:bCs/>
          <w:kern w:val="0"/>
          <w:sz w:val="32"/>
          <w:szCs w:val="32"/>
          <w:lang w:val="en-US" w:eastAsia="zh-CN"/>
        </w:rPr>
        <w:t>4</w:t>
      </w:r>
      <w:r>
        <w:rPr>
          <w:rFonts w:ascii="楷体_GB2312" w:eastAsia="楷体_GB2312" w:cs="楷体_GB2312" w:hint="eastAsia"/>
          <w:b/>
          <w:bCs/>
          <w:kern w:val="0"/>
          <w:sz w:val="32"/>
          <w:szCs w:val="32"/>
        </w:rPr>
        <w:t>年完成的主要目标任务</w:t>
      </w:r>
      <w:r>
        <w:rPr>
          <w:rFonts w:ascii="楷体_GB2312" w:eastAsia="楷体_GB2312" w:cs="楷体_GB2312" w:hint="eastAsia"/>
          <w:b/>
          <w:bCs/>
          <w:kern w:val="0"/>
          <w:sz w:val="32"/>
          <w:szCs w:val="32"/>
          <w:lang w:eastAsia="zh-CN"/>
        </w:rPr>
        <w:t>。</w:t>
      </w:r>
    </w:p>
    <w:p>
      <w:pPr>
        <w:keepNext w:val="0"/>
        <w:keepLines w:val="0"/>
        <w:pageBreakBefore w:val="0"/>
        <w:widowControl w:val="0"/>
        <w:kinsoku/>
        <w:wordWrap/>
        <w:overflowPunct/>
        <w:topLinePunct w:val="0"/>
        <w:autoSpaceDE w:val="0"/>
        <w:autoSpaceDN/>
        <w:bidi w:val="0"/>
        <w:adjustRightInd/>
        <w:snapToGrid/>
        <w:spacing w:line="560" w:lineRule="exact"/>
        <w:ind w:lef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kern w:val="2"/>
          <w:sz w:val="32"/>
          <w:szCs w:val="32"/>
        </w:rPr>
        <w:t>202</w:t>
      </w:r>
      <w:r>
        <w:rPr>
          <w:rFonts w:ascii="仿宋_GB2312" w:cs="仿宋_GB2312" w:hAnsi="仿宋_GB2312" w:hint="eastAsia"/>
          <w:kern w:val="2"/>
          <w:sz w:val="32"/>
          <w:szCs w:val="32"/>
          <w:lang w:val="en-US" w:eastAsia="zh-CN"/>
        </w:rPr>
        <w:t>4</w:t>
      </w:r>
      <w:r>
        <w:rPr>
          <w:rFonts w:ascii="仿宋_GB2312" w:eastAsia="仿宋_GB2312" w:cs="仿宋_GB2312" w:hint="eastAsia"/>
          <w:kern w:val="2"/>
          <w:sz w:val="32"/>
          <w:szCs w:val="32"/>
        </w:rPr>
        <w:t>年，</w:t>
      </w:r>
      <w:r>
        <w:rPr>
          <w:rFonts w:ascii="仿宋_GB2312" w:eastAsia="仿宋_GB2312" w:cs="仿宋_GB2312" w:hint="eastAsia"/>
          <w:sz w:val="32"/>
          <w:szCs w:val="32"/>
          <w:lang w:val="en-US" w:eastAsia="zh-CN"/>
        </w:rPr>
        <w:t>落实全县信访工作严格按照以贯彻习近平总书记关于加强和改进人民信访工作的重要思想为指导，继承发扬新时代“枫桥经验”，认真践行“四下基层”工作方法，扎实推进信访工作法治化，守住了不发生进京到省非访、不发生信访恶性事件、不发生信访群体性事件、不发生因工作不当引起的负面炒作“四个不发生”的底线。</w:t>
      </w:r>
      <w:r>
        <w:rPr>
          <w:rFonts w:ascii="楷体_GB2312" w:eastAsia="楷体_GB2312" w:cs="楷体_GB2312" w:hint="eastAsia"/>
          <w:b/>
          <w:bCs/>
          <w:sz w:val="32"/>
          <w:szCs w:val="32"/>
          <w:lang w:val="en-US" w:eastAsia="zh-CN"/>
        </w:rPr>
        <w:t>一是认真做好接访办信工作。</w:t>
      </w:r>
      <w:r>
        <w:rPr>
          <w:rFonts w:ascii="仿宋_GB2312" w:cs="仿宋_GB2312" w:hAnsi="仿宋_GB2312" w:hint="eastAsia"/>
          <w:b w:val="0"/>
          <w:bCs w:val="0"/>
          <w:sz w:val="32"/>
          <w:szCs w:val="32"/>
          <w:lang w:val="en-US" w:eastAsia="zh-CN"/>
        </w:rPr>
        <w:t>2024年</w:t>
      </w:r>
      <w:r>
        <w:rPr>
          <w:rFonts w:ascii="仿宋_GB2312" w:eastAsia="仿宋_GB2312" w:cs="仿宋_GB2312" w:hint="eastAsia"/>
          <w:b w:val="0"/>
          <w:bCs w:val="0"/>
          <w:sz w:val="32"/>
          <w:szCs w:val="32"/>
          <w:lang w:val="en-US" w:eastAsia="zh-CN"/>
        </w:rPr>
        <w:t>，</w:t>
      </w:r>
      <w:r>
        <w:rPr>
          <w:rFonts w:ascii="仿宋_GB2312" w:eastAsia="仿宋_GB2312" w:cs="仿宋_GB2312" w:hint="eastAsia"/>
          <w:sz w:val="32"/>
          <w:szCs w:val="32"/>
          <w:lang w:val="en-US" w:eastAsia="zh-CN"/>
        </w:rPr>
        <w:t>共受理信访事项104件，</w:t>
      </w:r>
      <w:r>
        <w:rPr>
          <w:rFonts w:ascii="仿宋_GB2312" w:cs="仿宋_GB2312" w:hAnsi="仿宋_GB2312" w:hint="eastAsia"/>
          <w:sz w:val="32"/>
          <w:szCs w:val="32"/>
          <w:lang w:val="en-US" w:eastAsia="zh-CN"/>
        </w:rPr>
        <w:t>104</w:t>
      </w:r>
      <w:r>
        <w:rPr>
          <w:rFonts w:ascii="仿宋_GB2312" w:eastAsia="仿宋_GB2312" w:cs="仿宋_GB2312" w:hint="eastAsia"/>
          <w:sz w:val="32"/>
          <w:szCs w:val="32"/>
          <w:lang w:val="en-US" w:eastAsia="zh-CN"/>
        </w:rPr>
        <w:t>件办结。其中，来信6件，来访7件，网上投诉14件，领导信箱18件，人民网3件，交办件1件，督办件3件，政策咨询类52件。</w:t>
      </w:r>
      <w:r>
        <w:rPr>
          <w:rFonts w:ascii="仿宋_GB2312" w:eastAsia="仿宋_GB2312" w:cs="仿宋_GB2312" w:hint="eastAsia"/>
          <w:kern w:val="2"/>
          <w:sz w:val="32"/>
          <w:szCs w:val="32"/>
          <w:lang w:val="en-US" w:eastAsia="zh-CN" w:bidi="ar-SA"/>
        </w:rPr>
        <w:t>及时受理率、按期办结率、参评群众满意率均达到100%。</w:t>
      </w:r>
      <w:r>
        <w:rPr>
          <w:rFonts w:ascii="楷体_GB2312" w:eastAsia="楷体_GB2312" w:cs="楷体_GB2312" w:hint="eastAsia"/>
          <w:b/>
          <w:bCs/>
          <w:sz w:val="32"/>
          <w:szCs w:val="32"/>
          <w:lang w:val="en-US" w:eastAsia="zh-CN"/>
        </w:rPr>
        <w:t>二是认真做好隐患排解工作。</w:t>
      </w:r>
      <w:r>
        <w:rPr>
          <w:rFonts w:ascii="仿宋_GB2312" w:eastAsia="仿宋_GB2312" w:cs="仿宋_GB2312" w:hint="eastAsia"/>
          <w:sz w:val="32"/>
          <w:szCs w:val="32"/>
          <w:u w:val="none"/>
          <w:lang w:val="en-US" w:eastAsia="zh-CN"/>
        </w:rPr>
        <w:t>继承和弘扬新时期“枫桥经验”，常态开展矛盾纠纷排查化解，做到第一时间发现、第一时</w:t>
      </w:r>
      <w:r>
        <w:rPr>
          <w:rFonts w:ascii="仿宋_GB2312" w:eastAsia="仿宋_GB2312" w:cs="仿宋_GB2312" w:hint="eastAsia"/>
          <w:sz w:val="32"/>
          <w:szCs w:val="32"/>
        </w:rPr>
        <w:t>间化解</w:t>
      </w:r>
      <w:r>
        <w:rPr>
          <w:rFonts w:ascii="仿宋_GB2312" w:eastAsia="仿宋_GB2312" w:cs="仿宋_GB2312" w:hint="eastAsia"/>
          <w:sz w:val="32"/>
          <w:szCs w:val="32"/>
          <w:lang w:eastAsia="zh-CN"/>
        </w:rPr>
        <w:t>，把</w:t>
      </w:r>
      <w:r>
        <w:rPr>
          <w:rFonts w:ascii="仿宋_GB2312" w:eastAsia="仿宋_GB2312" w:cs="仿宋_GB2312" w:hint="eastAsia"/>
          <w:sz w:val="32"/>
          <w:szCs w:val="32"/>
          <w:lang w:val="en-US" w:eastAsia="zh-CN"/>
        </w:rPr>
        <w:t>信访纠纷解决在基层。</w:t>
      </w:r>
      <w:r>
        <w:rPr>
          <w:rFonts w:ascii="仿宋_GB2312" w:cs="仿宋_GB2312" w:hAnsi="仿宋_GB2312" w:hint="eastAsia"/>
          <w:sz w:val="32"/>
          <w:szCs w:val="32"/>
          <w:lang w:val="en-US" w:eastAsia="zh-CN"/>
        </w:rPr>
        <w:t>2024年</w:t>
      </w:r>
      <w:r>
        <w:rPr>
          <w:rFonts w:ascii="仿宋_GB2312" w:eastAsia="仿宋_GB2312" w:cs="仿宋_GB2312" w:hint="eastAsia"/>
          <w:sz w:val="32"/>
          <w:szCs w:val="32"/>
          <w:u w:val="none"/>
          <w:lang w:val="en-US" w:eastAsia="zh-CN"/>
        </w:rPr>
        <w:t>，</w:t>
      </w:r>
      <w:r>
        <w:rPr>
          <w:rFonts w:ascii="仿宋_GB2312" w:eastAsia="仿宋_GB2312" w:cs="仿宋_GB2312" w:hint="eastAsia"/>
          <w:color w:val="000000"/>
          <w:sz w:val="32"/>
          <w:szCs w:val="32"/>
          <w:u w:val="none"/>
          <w:lang w:val="en-US" w:eastAsia="zh-CN"/>
        </w:rPr>
        <w:t>共排查出信访矛盾纠纷26件，化解26件，</w:t>
      </w:r>
      <w:r>
        <w:rPr>
          <w:rFonts w:ascii="仿宋_GB2312" w:eastAsia="仿宋_GB2312" w:cs="仿宋_GB2312" w:hint="eastAsia"/>
          <w:sz w:val="32"/>
          <w:szCs w:val="32"/>
          <w:u w:val="none"/>
          <w:lang w:val="en-US" w:eastAsia="zh-CN"/>
        </w:rPr>
        <w:t>化解率100%。</w:t>
      </w:r>
      <w:r>
        <w:rPr>
          <w:rFonts w:ascii="楷体_GB2312" w:eastAsia="楷体_GB2312" w:cs="楷体_GB2312" w:hint="eastAsia"/>
          <w:b/>
          <w:bCs/>
          <w:sz w:val="32"/>
          <w:szCs w:val="32"/>
          <w:lang w:val="en-US" w:eastAsia="zh-CN"/>
        </w:rPr>
        <w:t>三是认真做好领导接访工作。</w:t>
      </w:r>
      <w:r>
        <w:rPr>
          <w:rFonts w:ascii="仿宋_GB2312" w:eastAsia="仿宋_GB2312" w:cs="仿宋_GB2312" w:hint="eastAsia"/>
          <w:sz w:val="32"/>
          <w:szCs w:val="32"/>
          <w:u w:val="none"/>
          <w:lang w:val="en-US" w:eastAsia="zh-CN"/>
        </w:rPr>
        <w:t>修订完善并以两办的名义下发《领导干部接</w:t>
      </w:r>
      <w:r>
        <w:rPr>
          <w:rFonts w:ascii="仿宋_GB2312" w:eastAsia="仿宋_GB2312" w:cs="仿宋_GB2312" w:hint="eastAsia"/>
          <w:sz w:val="32"/>
          <w:szCs w:val="32"/>
          <w:lang w:val="en-US" w:eastAsia="zh-CN"/>
        </w:rPr>
        <w:t>访下访工作方案》，充分发挥领导干部在化解处置信访问题中的“头雁”作用，推动信访积案难案有效化解。截至目前，县级领导接访群众19批35余人次，群众诉求得到妥善有效解决。</w:t>
      </w:r>
      <w:r>
        <w:rPr>
          <w:rFonts w:ascii="楷体_GB2312" w:eastAsia="楷体_GB2312" w:cs="楷体_GB2312" w:hint="eastAsia"/>
          <w:b/>
          <w:bCs/>
          <w:sz w:val="32"/>
          <w:szCs w:val="32"/>
          <w:lang w:val="en-US" w:eastAsia="zh-CN"/>
        </w:rPr>
        <w:t>四是认真做好信访保障工作。</w:t>
      </w:r>
      <w:r>
        <w:rPr>
          <w:rFonts w:ascii="仿宋_GB2312" w:eastAsia="仿宋_GB2312" w:cs="仿宋_GB2312" w:hint="eastAsia"/>
          <w:sz w:val="32"/>
          <w:szCs w:val="32"/>
          <w:lang w:val="en-US" w:eastAsia="zh-CN"/>
        </w:rPr>
        <w:t>聚焦全国、全省“两会”和二十届三中全会等重要时段，提前谋划部署，</w:t>
      </w:r>
      <w:r>
        <w:rPr>
          <w:rFonts w:ascii="仿宋_GB2312" w:eastAsia="仿宋_GB2312" w:cs="仿宋_GB2312" w:hint="eastAsia"/>
          <w:color w:val="auto"/>
          <w:kern w:val="2"/>
          <w:sz w:val="32"/>
          <w:szCs w:val="32"/>
          <w:lang w:val="en-US" w:eastAsia="zh-CN" w:bidi="ar-SA"/>
        </w:rPr>
        <w:t>点对点发放管控函12份，工作提示单56余份，</w:t>
      </w:r>
      <w:r>
        <w:rPr>
          <w:rFonts w:ascii="仿宋_GB2312" w:eastAsia="仿宋_GB2312" w:cs="仿宋_GB2312" w:hint="eastAsia"/>
          <w:color w:val="auto"/>
          <w:sz w:val="32"/>
          <w:szCs w:val="32"/>
          <w:lang w:eastAsia="zh-CN"/>
        </w:rPr>
        <w:t>采取跟踪管控、定期走访、电话沟通等方式做实信访重点人员的教育管控工作。按照州信联办要求</w:t>
      </w:r>
      <w:r>
        <w:rPr>
          <w:rFonts w:ascii="仿宋_GB2312" w:eastAsia="仿宋_GB2312" w:cs="仿宋_GB2312" w:hint="eastAsia"/>
          <w:sz w:val="32"/>
          <w:szCs w:val="32"/>
          <w:lang w:val="en-US" w:eastAsia="zh-CN"/>
        </w:rPr>
        <w:t>及时组建驻蓉信访安全保障工作组，确保重要时段信访形势安全平稳。</w:t>
      </w:r>
      <w:r>
        <w:rPr>
          <w:rFonts w:ascii="楷体_GB2312" w:eastAsia="楷体_GB2312" w:cs="楷体_GB2312" w:hint="eastAsia"/>
          <w:b/>
          <w:bCs/>
          <w:sz w:val="32"/>
          <w:szCs w:val="32"/>
          <w:lang w:val="en-US" w:eastAsia="zh-CN"/>
        </w:rPr>
        <w:t>五是认真做好宣传学习工作。</w:t>
      </w:r>
      <w:r>
        <w:rPr>
          <w:rFonts w:ascii="仿宋_GB2312" w:eastAsia="仿宋_GB2312" w:cs="仿宋_GB2312" w:hint="eastAsia"/>
          <w:b w:val="0"/>
          <w:bCs w:val="0"/>
          <w:sz w:val="32"/>
          <w:szCs w:val="32"/>
          <w:lang w:val="en-US" w:eastAsia="zh-CN"/>
        </w:rPr>
        <w:t>把握《信访工作条例》实施2周年宣传活动为契机，深入乡镇、企业、学校、机关等单位，全方位、多角度、用藏汉双语的方式近距离向群众宣传《条例》，确实把学习宣传贯彻《信访工作条例》这项工作走深走实,现场开展《信访工作条例》政策解释4次，收集政策咨询信息100余条，共发放宣传手册800余份。</w:t>
      </w:r>
      <w:r>
        <w:rPr>
          <w:rFonts w:ascii="楷体_GB2312" w:eastAsia="楷体_GB2312" w:cs="楷体_GB2312" w:hint="eastAsia"/>
          <w:b/>
          <w:bCs/>
          <w:kern w:val="2"/>
          <w:sz w:val="32"/>
          <w:szCs w:val="32"/>
          <w:lang w:val="en-US" w:eastAsia="zh-CN" w:bidi="ar-SA"/>
        </w:rPr>
        <w:t>六是认真做好其他重点工作。</w:t>
      </w:r>
      <w:r>
        <w:rPr>
          <w:rFonts w:ascii="仿宋_GB2312" w:eastAsia="仿宋_GB2312" w:cs="仿宋_GB2312" w:hint="eastAsia"/>
          <w:b/>
          <w:w w:val="98"/>
          <w:sz w:val="32"/>
          <w:szCs w:val="32"/>
          <w:lang w:val="en-US" w:eastAsia="zh-CN"/>
        </w:rPr>
        <w:t>一是</w:t>
      </w:r>
      <w:r>
        <w:rPr>
          <w:rFonts w:ascii="仿宋_GB2312" w:eastAsia="仿宋_GB2312" w:cs="仿宋_GB2312" w:hint="eastAsia"/>
          <w:b w:val="0"/>
          <w:bCs/>
          <w:w w:val="98"/>
          <w:sz w:val="32"/>
          <w:szCs w:val="32"/>
          <w:lang w:val="en-US" w:eastAsia="zh-CN"/>
        </w:rPr>
        <w:t>年初</w:t>
      </w:r>
      <w:r>
        <w:rPr>
          <w:rFonts w:ascii="仿宋_GB2312" w:eastAsia="仿宋_GB2312" w:cs="仿宋_GB2312" w:hint="eastAsia"/>
          <w:w w:val="98"/>
          <w:sz w:val="32"/>
          <w:szCs w:val="32"/>
          <w:lang w:val="en-US" w:eastAsia="zh-CN"/>
        </w:rPr>
        <w:t>召开工作部署会议，对党建、党风廉政、意识形态等工作进行安排部署，细化责任分工、明确目标任务。</w:t>
      </w:r>
      <w:r>
        <w:rPr>
          <w:rFonts w:ascii="仿宋_GB2312" w:eastAsia="仿宋_GB2312" w:cs="仿宋_GB2312" w:hint="eastAsia"/>
          <w:b/>
          <w:w w:val="98"/>
          <w:sz w:val="32"/>
          <w:szCs w:val="32"/>
          <w:lang w:val="en-US" w:eastAsia="zh-CN"/>
        </w:rPr>
        <w:t>二是</w:t>
      </w:r>
      <w:r>
        <w:rPr>
          <w:rFonts w:ascii="仿宋_GB2312" w:eastAsia="仿宋_GB2312" w:cs="仿宋_GB2312" w:hint="eastAsia"/>
          <w:w w:val="98"/>
          <w:sz w:val="32"/>
          <w:szCs w:val="32"/>
          <w:lang w:val="en-US" w:eastAsia="zh-CN"/>
        </w:rPr>
        <w:t>召开专题会议传达学习党建、党风廉政等文件会议要求并</w:t>
      </w:r>
      <w:r>
        <w:rPr>
          <w:rFonts w:ascii="仿宋_GB2312" w:eastAsia="仿宋_GB2312" w:cs="仿宋_GB2312" w:hint="eastAsia"/>
          <w:w w:val="98"/>
          <w:sz w:val="32"/>
          <w:szCs w:val="32"/>
          <w:lang w:eastAsia="zh-CN"/>
        </w:rPr>
        <w:t>签订党风廉政责任书</w:t>
      </w:r>
      <w:r>
        <w:rPr>
          <w:rFonts w:ascii="仿宋_GB2312" w:eastAsia="仿宋_GB2312" w:cs="仿宋_GB2312" w:hint="eastAsia"/>
          <w:w w:val="98"/>
          <w:sz w:val="32"/>
          <w:szCs w:val="32"/>
          <w:lang w:val="en-US" w:eastAsia="zh-CN"/>
        </w:rPr>
        <w:t>8份。</w:t>
      </w:r>
      <w:r>
        <w:rPr>
          <w:rFonts w:ascii="仿宋_GB2312" w:eastAsia="仿宋_GB2312" w:cs="仿宋_GB2312" w:hint="eastAsia"/>
          <w:b/>
          <w:bCs/>
          <w:w w:val="98"/>
          <w:sz w:val="32"/>
          <w:szCs w:val="32"/>
          <w:lang w:val="en-US" w:eastAsia="zh-CN"/>
        </w:rPr>
        <w:t>三是</w:t>
      </w:r>
      <w:r>
        <w:rPr>
          <w:rFonts w:ascii="仿宋_GB2312" w:eastAsia="仿宋_GB2312" w:cs="仿宋_GB2312" w:hint="eastAsia"/>
          <w:w w:val="98"/>
          <w:sz w:val="32"/>
          <w:szCs w:val="32"/>
          <w:lang w:val="en-US" w:eastAsia="zh-CN"/>
        </w:rPr>
        <w:t>组织干部职工认真学习领会习近平新时代中国特色社会主义思想的常态化学习、省州县党代会、二十届三中全会等重要会议精神，并结合信访工作职责抓好贯彻落实。</w:t>
      </w:r>
      <w:r>
        <w:rPr>
          <w:rFonts w:ascii="仿宋_GB2312" w:eastAsia="仿宋_GB2312" w:cs="仿宋_GB2312" w:hint="eastAsia"/>
          <w:b/>
          <w:bCs/>
          <w:w w:val="98"/>
          <w:sz w:val="32"/>
          <w:szCs w:val="32"/>
          <w:lang w:val="en-US" w:eastAsia="zh-CN"/>
        </w:rPr>
        <w:t>四是</w:t>
      </w:r>
      <w:r>
        <w:rPr>
          <w:rFonts w:ascii="仿宋_GB2312" w:eastAsia="仿宋_GB2312" w:cs="仿宋_GB2312" w:hint="eastAsia"/>
          <w:w w:val="98"/>
          <w:sz w:val="32"/>
          <w:szCs w:val="32"/>
          <w:lang w:val="en-US" w:eastAsia="zh-CN"/>
        </w:rPr>
        <w:t>常态开展“双联双进”“微网实格”工作，了解掌握群众生产生活情况、宣传党的民族政策及法律法规。</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b/>
          <w:bCs/>
          <w:color w:val="000000"/>
          <w:kern w:val="0"/>
          <w:sz w:val="32"/>
          <w:szCs w:val="32"/>
          <w:shd w:val="clear" w:color="auto" w:fill="FFFFFF"/>
          <w:lang w:val="en-US" w:eastAsia="zh-CN" w:bidi="ar-SA"/>
          <w:highlight w:val="auto"/>
        </w:rPr>
        <w:t>2.</w:t>
      </w:r>
      <w:r>
        <w:rPr>
          <w:rFonts w:ascii="仿宋_GB2312" w:eastAsia="仿宋_GB2312" w:cs="仿宋_GB2312"/>
          <w:b/>
          <w:bCs/>
          <w:color w:val="000000"/>
          <w:kern w:val="0"/>
          <w:sz w:val="32"/>
          <w:szCs w:val="32"/>
          <w:shd w:val="clear" w:color="auto" w:fill="FFFFFF"/>
          <w:lang w:val="zh-CN" w:eastAsia="zh-CN" w:bidi="ar-SA"/>
          <w:highlight w:val="auto"/>
        </w:rPr>
        <w:t>预算管理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rPr>
        <w:t>红原</w:t>
      </w:r>
      <w:r>
        <w:rPr>
          <w:rFonts w:ascii="仿宋_GB2312" w:eastAsia="仿宋_GB2312" w:cs="仿宋_GB2312" w:hint="eastAsia"/>
          <w:kern w:val="2"/>
          <w:sz w:val="32"/>
          <w:szCs w:val="32"/>
          <w:lang w:eastAsia="zh-CN"/>
        </w:rPr>
        <w:t>县</w:t>
      </w:r>
      <w:r>
        <w:rPr>
          <w:rFonts w:ascii="仿宋_GB2312" w:eastAsia="仿宋_GB2312" w:cs="仿宋_GB2312" w:hint="eastAsia"/>
          <w:kern w:val="2"/>
          <w:sz w:val="32"/>
          <w:szCs w:val="32"/>
        </w:rPr>
        <w:t>信访局202</w:t>
      </w:r>
      <w:r>
        <w:rPr>
          <w:rFonts w:ascii="仿宋_GB2312" w:eastAsia="仿宋_GB2312" w:cs="仿宋_GB2312" w:hint="eastAsia"/>
          <w:kern w:val="2"/>
          <w:sz w:val="32"/>
          <w:szCs w:val="32"/>
          <w:lang w:val="en-US" w:eastAsia="zh-CN"/>
        </w:rPr>
        <w:t>4</w:t>
      </w:r>
      <w:r>
        <w:rPr>
          <w:rFonts w:ascii="仿宋_GB2312" w:eastAsia="仿宋_GB2312" w:cs="仿宋_GB2312" w:hint="eastAsia"/>
          <w:kern w:val="2"/>
          <w:sz w:val="32"/>
          <w:szCs w:val="32"/>
        </w:rPr>
        <w:t>年总支出</w:t>
      </w:r>
      <w:r>
        <w:rPr>
          <w:rFonts w:ascii="仿宋_GB2312" w:eastAsia="仿宋_GB2312" w:cs="仿宋_GB2312" w:hint="eastAsia"/>
          <w:kern w:val="2"/>
          <w:sz w:val="32"/>
          <w:szCs w:val="32"/>
          <w:lang w:val="en-US" w:eastAsia="zh-CN"/>
        </w:rPr>
        <w:t>263.05</w:t>
      </w:r>
      <w:r>
        <w:rPr>
          <w:rFonts w:ascii="仿宋_GB2312" w:eastAsia="仿宋_GB2312" w:cs="仿宋_GB2312" w:hint="eastAsia"/>
          <w:kern w:val="2"/>
          <w:sz w:val="32"/>
          <w:szCs w:val="32"/>
        </w:rPr>
        <w:t>元，主要用于保障该部门机构正常运转、完成日常工作任务以及相关工作。支出按照基本支出</w:t>
      </w:r>
      <w:r>
        <w:rPr>
          <w:rFonts w:ascii="仿宋_GB2312" w:eastAsia="仿宋_GB2312" w:cs="仿宋_GB2312" w:hint="eastAsia"/>
          <w:kern w:val="2"/>
          <w:sz w:val="32"/>
          <w:szCs w:val="32"/>
          <w:lang w:val="en-US" w:eastAsia="zh-CN"/>
        </w:rPr>
        <w:t>222.89</w:t>
      </w:r>
      <w:r>
        <w:rPr>
          <w:rFonts w:ascii="仿宋_GB2312" w:eastAsia="仿宋_GB2312" w:cs="仿宋_GB2312" w:hint="eastAsia"/>
          <w:kern w:val="2"/>
          <w:sz w:val="32"/>
          <w:szCs w:val="32"/>
        </w:rPr>
        <w:t>万元，项目支出</w:t>
      </w:r>
      <w:r>
        <w:rPr>
          <w:rFonts w:ascii="仿宋_GB2312" w:eastAsia="仿宋_GB2312" w:cs="仿宋_GB2312" w:hint="eastAsia"/>
          <w:kern w:val="2"/>
          <w:sz w:val="32"/>
          <w:szCs w:val="32"/>
          <w:lang w:val="en-US" w:eastAsia="zh-CN"/>
        </w:rPr>
        <w:t>40.16</w:t>
      </w:r>
      <w:r>
        <w:rPr>
          <w:rFonts w:ascii="仿宋_GB2312" w:eastAsia="仿宋_GB2312" w:cs="仿宋_GB2312" w:hint="eastAsia"/>
          <w:kern w:val="2"/>
          <w:sz w:val="32"/>
          <w:szCs w:val="32"/>
        </w:rPr>
        <w:t>万元。人员经费</w:t>
      </w:r>
      <w:r>
        <w:rPr>
          <w:rFonts w:ascii="仿宋_GB2312" w:eastAsia="仿宋_GB2312" w:cs="仿宋_GB2312" w:hint="eastAsia"/>
          <w:kern w:val="2"/>
          <w:sz w:val="32"/>
          <w:szCs w:val="32"/>
          <w:lang w:val="en-US" w:eastAsia="zh-CN"/>
        </w:rPr>
        <w:t>201.39</w:t>
      </w:r>
      <w:r>
        <w:rPr>
          <w:rFonts w:ascii="仿宋_GB2312" w:eastAsia="仿宋_GB2312" w:cs="仿宋_GB2312" w:hint="eastAsia"/>
          <w:kern w:val="2"/>
          <w:sz w:val="32"/>
          <w:szCs w:val="32"/>
        </w:rPr>
        <w:t>万元，公用经费</w:t>
      </w:r>
      <w:r>
        <w:rPr>
          <w:rFonts w:ascii="仿宋_GB2312" w:eastAsia="仿宋_GB2312" w:cs="仿宋_GB2312" w:hint="eastAsia"/>
          <w:kern w:val="2"/>
          <w:sz w:val="32"/>
          <w:szCs w:val="32"/>
          <w:lang w:val="en-US" w:eastAsia="zh-CN"/>
        </w:rPr>
        <w:t>21.5</w:t>
      </w:r>
      <w:r>
        <w:rPr>
          <w:rFonts w:ascii="仿宋_GB2312" w:eastAsia="仿宋_GB2312" w:cs="仿宋_GB2312" w:hint="eastAsia"/>
          <w:kern w:val="2"/>
          <w:sz w:val="32"/>
          <w:szCs w:val="32"/>
        </w:rPr>
        <w:t>万元。</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根据我局年初工作规划和重点性工作，较好的完成了年度工作目标。通过加强预算收支的管理，不断建立健全内部管理制度，理顺内部管理流程，部门整体支出管理情况得到了提升。</w:t>
      </w:r>
      <w:r>
        <w:rPr>
          <w:rFonts w:ascii="仿宋_GB2312" w:eastAsia="仿宋_GB2312" w:cs="仿宋_GB2312" w:hint="eastAsia"/>
          <w:b/>
          <w:bCs/>
          <w:kern w:val="2"/>
          <w:sz w:val="32"/>
          <w:szCs w:val="32"/>
        </w:rPr>
        <w:t>一是</w:t>
      </w:r>
      <w:r>
        <w:rPr>
          <w:rFonts w:ascii="仿宋_GB2312" w:eastAsia="仿宋_GB2312" w:cs="仿宋_GB2312" w:hint="eastAsia"/>
          <w:kern w:val="2"/>
          <w:sz w:val="32"/>
          <w:szCs w:val="32"/>
        </w:rPr>
        <w:t>本年预算安排控制较好，财政供养人员控制率100%，控制在预算编制以内；</w:t>
      </w:r>
      <w:r>
        <w:rPr>
          <w:rFonts w:ascii="仿宋_GB2312" w:eastAsia="仿宋_GB2312" w:cs="仿宋_GB2312" w:hint="eastAsia"/>
          <w:b/>
          <w:bCs/>
          <w:kern w:val="2"/>
          <w:sz w:val="32"/>
          <w:szCs w:val="32"/>
        </w:rPr>
        <w:t>二是</w:t>
      </w:r>
      <w:r>
        <w:rPr>
          <w:rFonts w:ascii="仿宋_GB2312" w:eastAsia="仿宋_GB2312" w:cs="仿宋_GB2312" w:hint="eastAsia"/>
          <w:kern w:val="2"/>
          <w:sz w:val="32"/>
          <w:szCs w:val="32"/>
        </w:rPr>
        <w:t>预算执行方面，本年转移资金支付不存在截留或滞留专项资金情况。</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lang w:val="zh-CN"/>
        </w:rPr>
      </w:pPr>
      <w:r>
        <w:rPr>
          <w:rFonts w:ascii="仿宋_GB2312" w:eastAsia="仿宋_GB2312" w:cs="仿宋_GB2312" w:hint="eastAsia"/>
          <w:b/>
          <w:bCs/>
          <w:color w:val="000000"/>
          <w:kern w:val="0"/>
          <w:sz w:val="32"/>
          <w:szCs w:val="32"/>
          <w:shd w:val="clear" w:color="auto" w:fill="FFFFFF"/>
          <w:lang w:val="en-US" w:eastAsia="zh-CN" w:bidi="ar-SA"/>
          <w:highlight w:val="auto"/>
        </w:rPr>
        <w:t>3.</w:t>
      </w:r>
      <w:r>
        <w:rPr>
          <w:rFonts w:ascii="仿宋_GB2312" w:eastAsia="仿宋_GB2312" w:cs="仿宋_GB2312"/>
          <w:b/>
          <w:bCs/>
          <w:color w:val="000000"/>
          <w:kern w:val="0"/>
          <w:sz w:val="32"/>
          <w:szCs w:val="32"/>
          <w:shd w:val="clear" w:color="auto" w:fill="FFFFFF"/>
          <w:lang w:val="zh-CN" w:eastAsia="zh-CN" w:bidi="ar-SA"/>
          <w:highlight w:val="auto"/>
        </w:rPr>
        <w:t>财务管理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lang w:val="zh-CN"/>
        </w:rPr>
        <w:t>财务管理规范，制定财务制度，遵守财经纪律，严格各项报账、审核制度；绩效工作方面，以深入创建人民满意度窗口创建为主线，开展好来访接待办理工作，强化财务人员的管理评价，把资金预算好、管理好，使用好，把每笔公务经费合理合规合法安排，一年来，“三公”经反复无超支现象，各项工有序稳固推进；决算工作按照县级安排，有序组织会计人员做好决算的录入、上报等工作。</w:t>
      </w:r>
    </w:p>
    <w:p>
      <w:pPr>
        <w:pStyle w:val="36"/>
        <w:keepNext w:val="0"/>
        <w:keepLines w:val="0"/>
        <w:pageBreakBefore w:val="0"/>
        <w:widowControl/>
        <w:suppressLineNumbers w:val="0"/>
        <w:kinsoku/>
        <w:wordWrap/>
        <w:overflowPunct/>
        <w:topLinePunct w:val="0"/>
        <w:autoSpaceDE w:val="0"/>
        <w:autoSpaceDN/>
        <w:bidi w:val="0"/>
        <w:spacing w:before="0" w:beforeAutospacing="0" w:afterAutospacing="0" w:line="576" w:lineRule="exact"/>
        <w:ind w:left="0" w:firstLineChars="200" w:firstLine="640"/>
        <w:jc w:val="left"/>
        <w:textAlignment w:val="auto"/>
        <w:rPr>
          <w:rFonts w:ascii="仿宋_GB2312" w:eastAsia="仿宋_GB2312" w:cs="宋体" w:hint="eastAsia"/>
          <w:color w:val="auto"/>
          <w:kern w:val="2"/>
          <w:sz w:val="32"/>
          <w:szCs w:val="32"/>
        </w:rPr>
      </w:pPr>
      <w:r>
        <w:rPr>
          <w:rFonts w:ascii="仿宋_GB2312" w:eastAsia="仿宋_GB2312" w:cs="仿宋_GB2312" w:hint="eastAsia"/>
          <w:color w:val="auto"/>
          <w:kern w:val="2"/>
          <w:sz w:val="32"/>
          <w:szCs w:val="32"/>
        </w:rPr>
        <w:t>根据我局年初工作规划和重点性工作，较好的完成了年度工作目标。通过加强预算收支的管理，不断建立健全内部管理制度，理顺内部管理流程，部门整体支出管理情况得到了提升。</w:t>
      </w:r>
      <w:r>
        <w:rPr>
          <w:rFonts w:ascii="仿宋_GB2312" w:eastAsia="仿宋_GB2312" w:cs="仿宋_GB2312" w:hint="eastAsia"/>
          <w:b/>
          <w:bCs/>
          <w:color w:val="auto"/>
          <w:kern w:val="2"/>
          <w:sz w:val="32"/>
          <w:szCs w:val="32"/>
        </w:rPr>
        <w:t>一是</w:t>
      </w:r>
      <w:r>
        <w:rPr>
          <w:rFonts w:ascii="仿宋_GB2312" w:eastAsia="仿宋_GB2312" w:cs="仿宋_GB2312" w:hint="eastAsia"/>
          <w:color w:val="auto"/>
          <w:kern w:val="2"/>
          <w:sz w:val="32"/>
          <w:szCs w:val="32"/>
        </w:rPr>
        <w:t>本年预算安排控制较好，财政供养人员控制率</w:t>
      </w:r>
      <w:r>
        <w:rPr>
          <w:rFonts w:ascii="仿宋_GB2312" w:eastAsia="仿宋_GB2312" w:cs="宋体" w:hint="eastAsia"/>
          <w:color w:val="auto"/>
          <w:kern w:val="2"/>
          <w:sz w:val="32"/>
          <w:szCs w:val="32"/>
        </w:rPr>
        <w:t>100%，控制在预算编制以内；</w:t>
      </w:r>
      <w:r>
        <w:rPr>
          <w:rFonts w:ascii="仿宋_GB2312" w:eastAsia="仿宋_GB2312" w:cs="宋体" w:hint="eastAsia"/>
          <w:b/>
          <w:bCs/>
          <w:color w:val="auto"/>
          <w:kern w:val="2"/>
          <w:sz w:val="32"/>
          <w:szCs w:val="32"/>
        </w:rPr>
        <w:t>二是</w:t>
      </w:r>
      <w:r>
        <w:rPr>
          <w:rFonts w:ascii="仿宋_GB2312" w:eastAsia="仿宋_GB2312" w:cs="宋体" w:hint="eastAsia"/>
          <w:color w:val="auto"/>
          <w:kern w:val="2"/>
          <w:sz w:val="32"/>
          <w:szCs w:val="32"/>
        </w:rPr>
        <w:t>预算执行方面，本年转移资金支付不存在截留或滞留专项资金情况。</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jc w:val="center"/>
        <w:outlineLvl w:val="0"/>
        <w:rPr>
          <w:rFonts w:ascii="Times New Roman" w:eastAsia="黑体" w:hAnsi="Times New Roman" w:hint="eastAsia"/>
          <w:color w:val="auto"/>
          <w:sz w:val="44"/>
          <w:szCs w:val="44"/>
          <w:highlight w:val="auto"/>
        </w:rPr>
      </w:pPr>
      <w:bookmarkStart w:id="44" w:name="_Toc15377225"/>
      <w:bookmarkStart w:id="45" w:name="_Toc15396613"/>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44"/>
      <w:bookmarkEnd w:id="45"/>
    </w:p>
    <w:p>
      <w:pPr>
        <w:spacing w:line="600" w:lineRule="exact"/>
        <w:jc w:val="left"/>
        <w:rPr>
          <w:rFonts w:ascii="Times New Roman" w:hAnsi="Times New Roman"/>
          <w:b/>
          <w:color w:val="auto"/>
          <w:sz w:val="44"/>
          <w:szCs w:val="44"/>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1.财政拨款收入：指单位从同级财政部门取得的财政预算资金。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2.事业收入：指事业单位开展专业业务活动及辅助活动取得的收入。</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3.经营收入：指事业单位在专业业务活动及其辅助活动之外开展非独立核算经营活动取得的收入。</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4.其他收入：指单位取得的除上述收入以外的各项收入。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5.使用非财政拨款结余（含专用结余）：指事业单位使用以前年度积累的非财政拨款结余弥补当年收支差额的金额。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6.年初结转和结余：指以前年度尚未完成、结转到本年按有关规定继续使用的资金。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7.结余分配：指事业单位按照会计制度规定缴纳的所得税、提取的专用结余以及转入非财政拨款结余的金额等。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8.年末结转和结余：指单位按有关规定结转到下年或以后年度继续使用的资金。</w:t>
      </w:r>
    </w:p>
    <w:p>
      <w:pPr>
        <w:pStyle w:val="16"/>
        <w:ind w:leftChars="0" w:left="0" w:firstLineChars="200" w:firstLine="640"/>
        <w:rPr>
          <w:rFonts w:ascii="仿宋_GB2312" w:eastAsia="仿宋_GB2312" w:cs="仿宋_GB2312"/>
          <w:b w:val="0"/>
          <w:bCs w:val="0"/>
          <w:sz w:val="32"/>
          <w:szCs w:val="32"/>
          <w:lang w:val="en-US" w:eastAsia="zh-CN"/>
        </w:rPr>
      </w:pPr>
      <w:r>
        <w:rPr>
          <w:rFonts w:ascii="仿宋_GB2312" w:eastAsia="仿宋_GB2312" w:cs="仿宋_GB2312" w:hint="eastAsia"/>
          <w:b w:val="0"/>
          <w:bCs w:val="0"/>
          <w:color w:val="auto"/>
          <w:kern w:val="2"/>
          <w:sz w:val="32"/>
          <w:szCs w:val="32"/>
          <w:lang w:val="en-US" w:eastAsia="zh-CN" w:bidi="ar-SA"/>
          <w:highlight w:val="auto"/>
        </w:rPr>
        <w:t>9.</w:t>
      </w:r>
      <w:r>
        <w:rPr>
          <w:rFonts w:ascii="仿宋_GB2312" w:eastAsia="仿宋_GB2312" w:cs="仿宋_GB2312" w:hint="eastAsia"/>
          <w:b w:val="0"/>
          <w:bCs w:val="0"/>
          <w:sz w:val="32"/>
          <w:szCs w:val="32"/>
          <w:lang w:val="en-US" w:eastAsia="zh-CN"/>
        </w:rPr>
        <w:t>2010399指其他政府办公厅（室）及相关机构事务支出</w:t>
      </w:r>
      <w:r>
        <w:rPr>
          <w:rFonts w:eastAsia="仿宋_GB2312" w:cs="仿宋_GB2312" w:hint="eastAsia"/>
          <w:b w:val="0"/>
          <w:bCs w:val="0"/>
          <w:sz w:val="32"/>
          <w:szCs w:val="32"/>
          <w:lang w:val="en-US" w:eastAsia="zh-CN"/>
        </w:rPr>
        <w:t>。</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10.2014001指</w:t>
      </w:r>
      <w:r>
        <w:rPr>
          <w:rFonts w:ascii="仿宋_GB2312" w:eastAsia="仿宋_GB2312" w:cs="仿宋_GB2312" w:hint="eastAsia"/>
          <w:b w:val="0"/>
          <w:bCs w:val="0"/>
          <w:sz w:val="32"/>
          <w:szCs w:val="32"/>
          <w:lang w:val="en-US" w:eastAsia="zh-CN"/>
        </w:rPr>
        <w:t>行政运行。</w:t>
      </w:r>
    </w:p>
    <w:p>
      <w:pPr>
        <w:spacing w:line="600" w:lineRule="exact"/>
        <w:ind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11.2014003指机关事务。</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12.2080505指</w:t>
      </w:r>
      <w:r>
        <w:rPr>
          <w:rFonts w:ascii="仿宋_GB2312" w:eastAsia="仿宋_GB2312" w:cs="仿宋_GB2312" w:hint="eastAsia"/>
          <w:b w:val="0"/>
          <w:bCs w:val="0"/>
          <w:sz w:val="32"/>
          <w:szCs w:val="32"/>
          <w:lang w:val="en-US" w:eastAsia="zh-CN"/>
        </w:rPr>
        <w:t>机关事业单位基本养老保险缴费支</w:t>
      </w:r>
      <w:r>
        <w:rPr>
          <w:rFonts w:eastAsia="仿宋_GB2312" w:cs="仿宋_GB2312" w:hint="eastAsia"/>
          <w:b w:val="0"/>
          <w:bCs w:val="0"/>
          <w:sz w:val="32"/>
          <w:szCs w:val="32"/>
          <w:lang w:val="en-US" w:eastAsia="zh-CN"/>
        </w:rPr>
        <w:t>。</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13.2080506指机关事业单位职业年金缴费支出</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14.2101101指行政单位医疗</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15.2101102指事业单位医疗</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16.2101103指公务员医疗补助</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17.2101199指其他行政事业单位医疗支出</w:t>
      </w:r>
    </w:p>
    <w:p>
      <w:pPr>
        <w:pStyle w:val="16"/>
        <w:ind w:leftChars="0" w:left="0" w:firstLineChars="200" w:firstLine="640"/>
        <w:rPr>
          <w:rFonts w:ascii="仿宋_GB2312" w:eastAsia="仿宋_GB2312" w:cs="仿宋_GB2312" w:hint="eastAsia"/>
          <w:b w:val="0"/>
          <w:bCs w:val="0"/>
          <w:color w:val="auto"/>
          <w:kern w:val="2"/>
          <w:sz w:val="32"/>
          <w:szCs w:val="32"/>
          <w:lang w:val="en-US" w:eastAsia="zh-CN" w:bidi="ar-SA"/>
          <w:highlight w:val="auto"/>
        </w:rPr>
      </w:pPr>
      <w:r>
        <w:rPr>
          <w:rFonts w:ascii="仿宋_GB2312" w:eastAsia="仿宋_GB2312" w:cs="仿宋_GB2312" w:hint="eastAsia"/>
          <w:b w:val="0"/>
          <w:bCs w:val="0"/>
          <w:color w:val="auto"/>
          <w:kern w:val="2"/>
          <w:sz w:val="32"/>
          <w:szCs w:val="32"/>
          <w:lang w:val="en-US" w:eastAsia="zh-CN" w:bidi="ar-SA"/>
          <w:highlight w:val="auto"/>
        </w:rPr>
        <w:t>18.2210201指住房公积金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27.基本支出：指为保障机构正常运转、完成日常工作任务而发生的人员支出和公用支出。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28.项目支出：指在基本支出之外为完成特定行政任务和事业发展目标所发生的支出。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29.经营支出：指事业单位在专业业务活动及其辅助活动之外开展非独立核算经营活动发生的支出。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30.</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三公</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1Char"/>
          <w:rFonts w:ascii="Times New Roman" w:eastAsia="黑体" w:hAnsi="Times New Roman" w:hint="eastAsia"/>
          <w:b w:val="0"/>
          <w:color w:val="auto"/>
          <w:lang w:eastAsia="zh-CN"/>
          <w:highlight w:val="auto"/>
        </w:rPr>
      </w:pPr>
      <w:bookmarkStart w:id="46" w:name="_Toc15377226"/>
      <w:r>
        <w:rPr>
          <w:rFonts w:ascii="Times New Roman" w:eastAsia="仿宋_GB2312" w:cs="仿宋_GB2312" w:hAnsi="Times New Roman" w:hint="eastAsia"/>
          <w:color w:val="auto"/>
          <w:kern w:val="2"/>
          <w:sz w:val="32"/>
          <w:szCs w:val="32"/>
          <w:lang w:val="en-US" w:eastAsia="zh-CN" w:bidi="ar-SA"/>
          <w:highlight w:val="auto"/>
        </w:rPr>
        <w:br w:type="page"/>
      </w:r>
      <w:bookmarkStart w:id="47"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47"/>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r>
        <w:rPr>
          <w:rFonts w:ascii="Times New Roman" w:eastAsia="方正小标宋简体" w:cs="Times New Roman" w:hAnsi="Times New Roman"/>
          <w:b w:val="0"/>
          <w:bCs/>
          <w:sz w:val="44"/>
          <w:szCs w:val="44"/>
          <w:shd w:val="clear" w:color="auto" w:fill="FFFFFF"/>
          <w:highlight w:val="auto"/>
        </w:rPr>
        <w:t>部门</w:t>
      </w:r>
      <w:r>
        <w:rPr>
          <w:rFonts w:ascii="Times New Roman" w:eastAsia="方正小标宋简体" w:cs="Times New Roman" w:hAnsi="Times New Roman"/>
          <w:b w:val="0"/>
          <w:bCs/>
          <w:sz w:val="44"/>
          <w:szCs w:val="44"/>
          <w:shd w:val="clear" w:color="auto" w:fill="FFFFFF"/>
          <w:lang w:eastAsia="zh-CN"/>
          <w:highlight w:val="auto"/>
        </w:rPr>
        <w:t>预算</w:t>
      </w:r>
      <w:r>
        <w:rPr>
          <w:rFonts w:ascii="Times New Roman" w:eastAsia="方正小标宋简体" w:cs="Times New Roman" w:hAnsi="Times New Roman"/>
          <w:b w:val="0"/>
          <w:bCs/>
          <w:sz w:val="44"/>
          <w:szCs w:val="44"/>
          <w:shd w:val="clear" w:color="auto" w:fill="FFFFFF"/>
          <w:highlight w:val="auto"/>
        </w:rPr>
        <w:t>绩效</w:t>
      </w:r>
      <w:r>
        <w:rPr>
          <w:rFonts w:ascii="Times New Roman" w:eastAsia="方正小标宋简体" w:cs="Times New Roman" w:hAnsi="Times New Roman" w:hint="eastAsia"/>
          <w:b w:val="0"/>
          <w:bCs/>
          <w:sz w:val="44"/>
          <w:szCs w:val="44"/>
          <w:shd w:val="clear" w:color="auto" w:fill="FFFFFF"/>
          <w:lang w:eastAsia="zh-CN"/>
          <w:highlight w:val="auto"/>
        </w:rPr>
        <w:t>评价</w:t>
      </w:r>
      <w:r>
        <w:rPr>
          <w:rFonts w:ascii="Times New Roman" w:eastAsia="方正小标宋简体" w:cs="Times New Roman" w:hAnsi="Times New Roman"/>
          <w:b w:val="0"/>
          <w:bCs/>
          <w:sz w:val="44"/>
          <w:szCs w:val="44"/>
          <w:shd w:val="clear" w:color="auto" w:fill="FFFFFF"/>
          <w:highlight w:val="auto"/>
        </w:rPr>
        <w:t>报告范本</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仿宋_GB2312" w:cs="Times New Roman" w:hAnsi="Times New Roman"/>
          <w:sz w:val="32"/>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highlight w:val="auto"/>
        </w:rPr>
      </w:pPr>
      <w:r>
        <w:rPr>
          <w:rFonts w:ascii="Times New Roman" w:eastAsia="黑体" w:cs="Times New Roman" w:hAnsi="Times New Roman" w:hint="eastAsia"/>
          <w:color w:val="000000"/>
          <w:kern w:val="0"/>
          <w:sz w:val="32"/>
          <w:szCs w:val="32"/>
          <w:shd w:val="clear" w:color="auto" w:fill="FFFFFF"/>
          <w:lang w:val="zh-CN"/>
          <w:highlight w:val="auto"/>
        </w:rPr>
        <w:t>一、</w:t>
      </w:r>
      <w:r>
        <w:rPr>
          <w:rFonts w:ascii="Times New Roman" w:eastAsia="黑体" w:cs="Times New Roman" w:hAnsi="Times New Roman"/>
          <w:color w:val="000000"/>
          <w:kern w:val="0"/>
          <w:sz w:val="32"/>
          <w:szCs w:val="32"/>
          <w:shd w:val="clear" w:color="auto" w:fill="FFFFFF"/>
          <w:lang w:val="zh-CN"/>
          <w:highlight w:val="auto"/>
        </w:rPr>
        <w:t>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kern w:val="0"/>
          <w:sz w:val="32"/>
          <w:szCs w:val="32"/>
        </w:rPr>
      </w:pPr>
      <w:r>
        <w:rPr>
          <w:rFonts w:ascii="Times New Roman" w:eastAsia="楷体_GB2312" w:cs="楷体_GB2312" w:hAnsi="Times New Roman" w:hint="eastAsia"/>
          <w:b/>
          <w:color w:val="auto"/>
          <w:sz w:val="32"/>
          <w:szCs w:val="32"/>
          <w:lang w:val="zh-CN"/>
          <w:highlight w:val="auto"/>
        </w:rPr>
        <w:t>（一）</w:t>
      </w:r>
      <w:r>
        <w:rPr>
          <w:rFonts w:ascii="Times New Roman" w:eastAsia="楷体_GB2312" w:cs="楷体_GB2312" w:hAnsi="Times New Roman"/>
          <w:b/>
          <w:color w:val="auto"/>
          <w:sz w:val="32"/>
          <w:szCs w:val="32"/>
          <w:lang w:val="zh-CN"/>
          <w:highlight w:val="auto"/>
        </w:rPr>
        <w:t>机构组成。</w:t>
      </w:r>
      <w:r>
        <w:rPr>
          <w:rFonts w:ascii="仿宋" w:eastAsia="仿宋" w:cs="仿宋" w:hint="eastAsia"/>
          <w:kern w:val="0"/>
          <w:sz w:val="32"/>
          <w:szCs w:val="32"/>
        </w:rPr>
        <w:t>我单位为独立核算全额拨行政单位，</w:t>
      </w:r>
      <w:r>
        <w:rPr>
          <w:rFonts w:ascii="仿宋_GB2312" w:eastAsia="仿宋_GB2312" w:cs="仿宋_GB2312" w:hint="eastAsia"/>
          <w:kern w:val="0"/>
          <w:sz w:val="32"/>
          <w:szCs w:val="32"/>
        </w:rPr>
        <w:t>内设机构为综合办公室，内设事业单位1个，为红原县信访接待中心。</w:t>
      </w:r>
    </w:p>
    <w:p>
      <w:pPr>
        <w:ind w:firstLineChars="200" w:firstLine="640"/>
        <w:rPr>
          <w:rFonts w:ascii="楷体_GB2312" w:eastAsia="楷体_GB2312"/>
          <w:b/>
          <w:sz w:val="32"/>
          <w:szCs w:val="32"/>
        </w:rPr>
      </w:pPr>
      <w:r>
        <w:rPr>
          <w:rFonts w:ascii="Times New Roman" w:eastAsia="楷体_GB2312" w:cs="楷体_GB2312" w:hAnsi="Times New Roman"/>
          <w:b/>
          <w:color w:val="auto"/>
          <w:sz w:val="32"/>
          <w:szCs w:val="32"/>
          <w:lang w:val="zh-CN"/>
          <w:highlight w:val="auto"/>
        </w:rPr>
        <w:t>（二）机构职能</w:t>
      </w:r>
      <w:r>
        <w:rPr>
          <w:rFonts w:ascii="Times New Roman" w:eastAsia="楷体_GB2312" w:cs="楷体_GB2312" w:hAnsi="Times New Roman" w:hint="eastAsia"/>
          <w:b/>
          <w:color w:val="auto"/>
          <w:sz w:val="32"/>
          <w:szCs w:val="32"/>
          <w:lang w:val="zh-CN"/>
          <w:highlight w:val="auto"/>
        </w:rPr>
        <w:t>。</w:t>
      </w:r>
      <w:r>
        <w:rPr>
          <w:rFonts w:ascii="仿宋_GB2312" w:eastAsia="仿宋_GB2312" w:cs="仿宋_GB2312" w:hint="eastAsia"/>
          <w:sz w:val="32"/>
          <w:szCs w:val="32"/>
        </w:rPr>
        <w:t>信访局负责贯彻落实党中央关于信访工作的方针政策和县委、县政府决策部署，在履行职责过程中坚持和加强党对信访工作的集中统一领导。</w:t>
      </w:r>
      <w:r>
        <w:rPr>
          <w:rFonts w:ascii="仿宋_GB2312" w:eastAsia="仿宋_GB2312" w:cs="仿宋_GB2312" w:hint="eastAsia"/>
          <w:b/>
          <w:bCs/>
          <w:sz w:val="32"/>
          <w:szCs w:val="32"/>
        </w:rPr>
        <w:t>主要职责是:</w:t>
      </w:r>
      <w:r>
        <w:rPr>
          <w:rFonts w:ascii="仿宋_GB2312" w:eastAsia="仿宋_GB2312" w:cs="仿宋_GB2312" w:hint="eastAsia"/>
          <w:b/>
          <w:bCs/>
          <w:sz w:val="32"/>
          <w:szCs w:val="32"/>
          <w:lang w:eastAsia="zh-CN"/>
        </w:rPr>
        <w:t>一是</w:t>
      </w:r>
      <w:r>
        <w:rPr>
          <w:rFonts w:ascii="仿宋_GB2312" w:eastAsia="仿宋_GB2312" w:cs="仿宋_GB2312" w:hint="eastAsia"/>
          <w:sz w:val="32"/>
          <w:szCs w:val="32"/>
        </w:rPr>
        <w:t>制定信访问题排查化解、风险评估等制度并组织实施，提出改进和加强信访工作的意见和建议。负责本部门依法行政工作。</w:t>
      </w:r>
      <w:r>
        <w:rPr>
          <w:rFonts w:ascii="仿宋_GB2312" w:eastAsia="仿宋_GB2312" w:cs="仿宋_GB2312" w:hint="eastAsia"/>
          <w:b/>
          <w:bCs/>
          <w:sz w:val="32"/>
          <w:szCs w:val="32"/>
          <w:lang w:eastAsia="zh-CN"/>
        </w:rPr>
        <w:t>二是</w:t>
      </w:r>
      <w:r>
        <w:rPr>
          <w:rFonts w:ascii="仿宋_GB2312" w:eastAsia="仿宋_GB2312" w:cs="仿宋_GB2312" w:hint="eastAsia"/>
          <w:sz w:val="32"/>
          <w:szCs w:val="32"/>
        </w:rPr>
        <w:t>负责向县委、县政府反映来信来电来访中提出的重要建议、意见和问题，综合研判信访信息，开展调查研究，提出相关建议。</w:t>
      </w:r>
      <w:r>
        <w:rPr>
          <w:rFonts w:ascii="仿宋_GB2312" w:eastAsia="仿宋_GB2312" w:cs="仿宋_GB2312" w:hint="eastAsia"/>
          <w:b/>
          <w:bCs/>
          <w:sz w:val="32"/>
          <w:szCs w:val="32"/>
          <w:lang w:eastAsia="zh-CN"/>
        </w:rPr>
        <w:t>三是</w:t>
      </w:r>
      <w:r>
        <w:rPr>
          <w:rFonts w:ascii="仿宋_GB2312" w:eastAsia="仿宋_GB2312" w:cs="仿宋_GB2312" w:hint="eastAsia"/>
          <w:sz w:val="32"/>
          <w:szCs w:val="32"/>
        </w:rPr>
        <w:t>综合协调指导全县信访工作，推动建立健全信访工作的协调配合机制。督促检查县级各部门和各乡镇信访工作，总结推广信访工作先进经验，协调信访工作宣传和信息发布。</w:t>
      </w:r>
      <w:r>
        <w:rPr>
          <w:rFonts w:ascii="仿宋_GB2312" w:eastAsia="仿宋_GB2312" w:cs="仿宋_GB2312" w:hint="eastAsia"/>
          <w:b/>
          <w:bCs/>
          <w:sz w:val="32"/>
          <w:szCs w:val="32"/>
          <w:lang w:eastAsia="zh-CN"/>
        </w:rPr>
        <w:t>四是</w:t>
      </w:r>
      <w:r>
        <w:rPr>
          <w:rFonts w:ascii="仿宋_GB2312" w:eastAsia="仿宋_GB2312" w:cs="仿宋_GB2312" w:hint="eastAsia"/>
          <w:sz w:val="32"/>
          <w:szCs w:val="32"/>
        </w:rPr>
        <w:t>负责处理县内外群众、法人及其他组织通过信访渠道给县委、县政府及领导同志的来信来电，接待来访。</w:t>
      </w:r>
      <w:r>
        <w:rPr>
          <w:rFonts w:ascii="仿宋_GB2312" w:eastAsia="仿宋_GB2312" w:cs="仿宋_GB2312" w:hint="eastAsia"/>
          <w:b/>
          <w:bCs/>
          <w:sz w:val="32"/>
          <w:szCs w:val="32"/>
          <w:lang w:eastAsia="zh-CN"/>
        </w:rPr>
        <w:t>五是</w:t>
      </w:r>
      <w:r>
        <w:rPr>
          <w:rFonts w:ascii="仿宋_GB2312" w:eastAsia="仿宋_GB2312" w:cs="仿宋_GB2312" w:hint="eastAsia"/>
          <w:sz w:val="32"/>
          <w:szCs w:val="32"/>
        </w:rPr>
        <w:t>承担协调处理群众进京到省到州集体上访和非正常上访的责任，综合协调处理跨地区、跨部门的重要信访问题。</w:t>
      </w:r>
      <w:r>
        <w:rPr>
          <w:rFonts w:ascii="仿宋_GB2312" w:eastAsia="仿宋_GB2312" w:cs="仿宋_GB2312" w:hint="eastAsia"/>
          <w:b/>
          <w:bCs/>
          <w:sz w:val="32"/>
          <w:szCs w:val="32"/>
          <w:lang w:eastAsia="zh-CN"/>
        </w:rPr>
        <w:t>六是</w:t>
      </w:r>
      <w:r>
        <w:rPr>
          <w:rFonts w:ascii="仿宋_GB2312" w:eastAsia="仿宋_GB2312" w:cs="仿宋_GB2312" w:hint="eastAsia"/>
          <w:sz w:val="32"/>
          <w:szCs w:val="32"/>
        </w:rPr>
        <w:t>负责落实国家、省、州、县领导批示交办信访事项，向县级各部门和各乡镇转办、交办信访事项，督促检查重要信访事项的处理和落实。</w:t>
      </w:r>
      <w:r>
        <w:rPr>
          <w:rFonts w:ascii="仿宋_GB2312" w:eastAsia="仿宋_GB2312" w:cs="仿宋_GB2312" w:hint="eastAsia"/>
          <w:b/>
          <w:bCs/>
          <w:sz w:val="32"/>
          <w:szCs w:val="32"/>
          <w:lang w:eastAsia="zh-CN"/>
        </w:rPr>
        <w:t>七是</w:t>
      </w:r>
      <w:r>
        <w:rPr>
          <w:rFonts w:ascii="仿宋_GB2312" w:eastAsia="仿宋_GB2312" w:cs="仿宋_GB2312" w:hint="eastAsia"/>
          <w:sz w:val="32"/>
          <w:szCs w:val="32"/>
        </w:rPr>
        <w:t>加强对信访问题排查化解和社情民意汇集分析，重点开展法律法规政策宣传和思想教育疏导，将信访工作的重心由事后处理转移到事前排查化解，增强信访工作的预见性和针对性。</w:t>
      </w:r>
      <w:r>
        <w:rPr>
          <w:rFonts w:ascii="仿宋_GB2312" w:eastAsia="仿宋_GB2312" w:cs="仿宋_GB2312" w:hint="eastAsia"/>
          <w:b/>
          <w:bCs/>
          <w:sz w:val="32"/>
          <w:szCs w:val="32"/>
          <w:lang w:eastAsia="zh-CN"/>
        </w:rPr>
        <w:t>八是</w:t>
      </w:r>
      <w:r>
        <w:rPr>
          <w:rFonts w:ascii="仿宋_GB2312" w:eastAsia="仿宋_GB2312" w:cs="仿宋_GB2312" w:hint="eastAsia"/>
          <w:sz w:val="32"/>
          <w:szCs w:val="32"/>
        </w:rPr>
        <w:t>加强对重大信访事项的督查督办，完善信访诉求表达方式，进一步畅通信访渠道，确保信访工作决策部署得到贯彻落实，推动群众信访问题得到妥善解决。</w:t>
      </w:r>
      <w:r>
        <w:rPr>
          <w:rFonts w:ascii="仿宋_GB2312" w:eastAsia="仿宋_GB2312" w:cs="仿宋_GB2312" w:hint="eastAsia"/>
          <w:b/>
          <w:bCs/>
          <w:sz w:val="32"/>
          <w:szCs w:val="32"/>
          <w:lang w:eastAsia="zh-CN"/>
        </w:rPr>
        <w:t>九是</w:t>
      </w:r>
      <w:r>
        <w:rPr>
          <w:rFonts w:ascii="仿宋_GB2312" w:eastAsia="仿宋_GB2312" w:cs="仿宋_GB2312" w:hint="eastAsia"/>
          <w:sz w:val="32"/>
          <w:szCs w:val="32"/>
        </w:rPr>
        <w:t>建立和完善信访信息汇集分析机制，指导信访信息系统建设和应用。</w:t>
      </w:r>
      <w:r>
        <w:rPr>
          <w:rFonts w:ascii="仿宋_GB2312" w:eastAsia="仿宋_GB2312" w:cs="仿宋_GB2312" w:hint="eastAsia"/>
          <w:b/>
          <w:bCs/>
          <w:sz w:val="32"/>
          <w:szCs w:val="32"/>
          <w:lang w:eastAsia="zh-CN"/>
        </w:rPr>
        <w:t>十是</w:t>
      </w:r>
      <w:r>
        <w:rPr>
          <w:rFonts w:ascii="仿宋_GB2312" w:eastAsia="仿宋_GB2312" w:cs="仿宋_GB2312" w:hint="eastAsia"/>
          <w:sz w:val="32"/>
          <w:szCs w:val="32"/>
        </w:rPr>
        <w:t>开展网上信访工作，探索“互联网+信访”新模式，推动信访信息化建设。</w:t>
      </w:r>
      <w:r>
        <w:rPr>
          <w:rFonts w:ascii="仿宋_GB2312" w:eastAsia="仿宋_GB2312" w:cs="仿宋_GB2312" w:hint="eastAsia"/>
          <w:b/>
          <w:bCs/>
          <w:sz w:val="32"/>
          <w:szCs w:val="32"/>
        </w:rPr>
        <w:t>十一</w:t>
      </w:r>
      <w:r>
        <w:rPr>
          <w:rFonts w:ascii="仿宋_GB2312" w:eastAsia="仿宋_GB2312" w:cs="仿宋_GB2312" w:hint="eastAsia"/>
          <w:b/>
          <w:bCs/>
          <w:sz w:val="32"/>
          <w:szCs w:val="32"/>
          <w:lang w:eastAsia="zh-CN"/>
        </w:rPr>
        <w:t>是</w:t>
      </w:r>
      <w:r>
        <w:rPr>
          <w:rFonts w:ascii="仿宋_GB2312" w:eastAsia="仿宋_GB2312" w:cs="仿宋_GB2312" w:hint="eastAsia"/>
          <w:sz w:val="32"/>
          <w:szCs w:val="32"/>
        </w:rPr>
        <w:t>承担县信访工作联席会议、县政府信访事项复查复核委员会日常工作，督促落实有关事项。</w:t>
      </w:r>
      <w:r>
        <w:rPr>
          <w:rFonts w:ascii="仿宋_GB2312" w:eastAsia="仿宋_GB2312" w:cs="仿宋_GB2312" w:hint="eastAsia"/>
          <w:b/>
          <w:bCs/>
          <w:sz w:val="32"/>
          <w:szCs w:val="32"/>
        </w:rPr>
        <w:t>十二</w:t>
      </w:r>
      <w:r>
        <w:rPr>
          <w:rFonts w:ascii="仿宋_GB2312" w:eastAsia="仿宋_GB2312" w:cs="仿宋_GB2312" w:hint="eastAsia"/>
          <w:b/>
          <w:bCs/>
          <w:sz w:val="32"/>
          <w:szCs w:val="32"/>
          <w:lang w:eastAsia="zh-CN"/>
        </w:rPr>
        <w:t>是</w:t>
      </w:r>
      <w:r>
        <w:rPr>
          <w:rFonts w:ascii="仿宋_GB2312" w:eastAsia="仿宋_GB2312" w:cs="仿宋_GB2312" w:hint="eastAsia"/>
          <w:sz w:val="32"/>
          <w:szCs w:val="32"/>
        </w:rPr>
        <w:t>承办县委、县政府交办的其他任务。</w:t>
      </w:r>
      <w:r>
        <w:rPr>
          <w:rFonts w:ascii="楷体_GB2312" w:eastAsia="楷体_GB2312" w:cs="楷体_GB2312" w:hint="eastAsia"/>
          <w:kern w:val="0"/>
          <w:sz w:val="32"/>
          <w:szCs w:val="32"/>
          <w:shd w:val="clear" w:color="auto" w:fill="FFFFFF"/>
        </w:rPr>
        <w:t>县局内信访内设机构为综合办公室，内设事业单位1个，为红原县信访接待中心，今年无变动。</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cs="Times New Roman" w:hAnsi="Times New Roman"/>
          <w:szCs w:val="32"/>
        </w:rPr>
      </w:pP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三</w:t>
      </w:r>
      <w:r>
        <w:rPr>
          <w:rFonts w:ascii="Times New Roman" w:eastAsia="楷体_GB2312" w:cs="Times New Roman" w:hAnsi="Times New Roman"/>
          <w:b/>
          <w:bCs/>
          <w:color w:val="000000"/>
          <w:kern w:val="0"/>
          <w:sz w:val="32"/>
          <w:szCs w:val="32"/>
          <w:shd w:val="clear" w:color="auto" w:fill="FFFFFF"/>
          <w:lang w:val="zh-CN"/>
          <w:highlight w:val="auto"/>
        </w:rPr>
        <w:t>）人员概况</w:t>
      </w:r>
      <w:r>
        <w:rPr>
          <w:rFonts w:ascii="Times New Roman" w:eastAsia="楷体_GB2312" w:cs="Times New Roman" w:hAnsi="Times New Roman" w:hint="eastAsia"/>
          <w:b/>
          <w:bCs/>
          <w:color w:val="000000"/>
          <w:kern w:val="0"/>
          <w:sz w:val="32"/>
          <w:szCs w:val="32"/>
          <w:shd w:val="clear" w:color="auto" w:fill="FFFFFF"/>
          <w:lang w:val="zh-CN"/>
          <w:highlight w:val="auto"/>
        </w:rPr>
        <w:t>。</w:t>
      </w:r>
      <w:r>
        <w:rPr>
          <w:rFonts w:ascii="仿宋_GB2312" w:eastAsia="仿宋_GB2312" w:hint="eastAsia"/>
          <w:sz w:val="32"/>
          <w:szCs w:val="32"/>
        </w:rPr>
        <w:t>截至202</w:t>
      </w:r>
      <w:r>
        <w:rPr>
          <w:rFonts w:ascii="仿宋_GB2312" w:eastAsia="仿宋_GB2312" w:hint="eastAsia"/>
          <w:sz w:val="32"/>
          <w:szCs w:val="32"/>
          <w:lang w:val="en-US" w:eastAsia="zh-CN"/>
        </w:rPr>
        <w:t>4</w:t>
      </w:r>
      <w:r>
        <w:rPr>
          <w:rFonts w:ascii="仿宋_GB2312" w:eastAsia="仿宋_GB2312" w:hint="eastAsia"/>
          <w:sz w:val="32"/>
          <w:szCs w:val="32"/>
        </w:rPr>
        <w:t>年末，</w:t>
      </w:r>
      <w:r>
        <w:rPr>
          <w:rFonts w:ascii="仿宋_GB2312" w:eastAsia="仿宋_GB2312" w:cs="仿宋_GB2312" w:hint="eastAsia"/>
          <w:color w:val="000000"/>
          <w:kern w:val="0"/>
          <w:sz w:val="32"/>
          <w:szCs w:val="32"/>
          <w:shd w:val="clear" w:color="auto" w:fill="FFFFFF"/>
        </w:rPr>
        <w:t>县信访局行政编制</w:t>
      </w:r>
      <w:r>
        <w:rPr>
          <w:rFonts w:ascii="仿宋_GB2312" w:eastAsia="宋体" w:cs="宋体" w:hAnsi="仿宋_GB2312" w:hint="eastAsia"/>
          <w:color w:val="000000"/>
          <w:kern w:val="0"/>
          <w:sz w:val="32"/>
          <w:szCs w:val="32"/>
          <w:shd w:val="clear" w:color="auto" w:fill="FFFFFF"/>
        </w:rPr>
        <w:t>4</w:t>
      </w:r>
      <w:r>
        <w:rPr>
          <w:rFonts w:ascii="仿宋_GB2312" w:eastAsia="仿宋_GB2312" w:cs="仿宋_GB2312" w:hint="eastAsia"/>
          <w:color w:val="000000"/>
          <w:kern w:val="0"/>
          <w:sz w:val="32"/>
          <w:szCs w:val="32"/>
          <w:shd w:val="clear" w:color="auto" w:fill="FFFFFF"/>
        </w:rPr>
        <w:t>名，其中</w:t>
      </w:r>
      <w:r>
        <w:rPr>
          <w:rFonts w:ascii="宋体" w:eastAsia="宋体" w:cs="宋体" w:hint="eastAsia"/>
          <w:color w:val="000000"/>
          <w:kern w:val="0"/>
          <w:sz w:val="32"/>
          <w:szCs w:val="32"/>
          <w:shd w:val="clear" w:color="auto" w:fill="FFFFFF"/>
        </w:rPr>
        <w:t>：</w:t>
      </w:r>
      <w:r>
        <w:rPr>
          <w:rFonts w:ascii="仿宋_GB2312" w:eastAsia="仿宋_GB2312" w:cs="仿宋_GB2312" w:hint="eastAsia"/>
          <w:color w:val="000000"/>
          <w:kern w:val="0"/>
          <w:sz w:val="32"/>
          <w:szCs w:val="32"/>
          <w:shd w:val="clear" w:color="auto" w:fill="FFFFFF"/>
        </w:rPr>
        <w:t>局长</w:t>
      </w:r>
      <w:r>
        <w:rPr>
          <w:rFonts w:ascii="仿宋_GB2312" w:eastAsia="仿宋_GB2312" w:cs="宋体" w:hint="eastAsia"/>
          <w:color w:val="000000"/>
          <w:kern w:val="0"/>
          <w:sz w:val="32"/>
          <w:szCs w:val="32"/>
          <w:shd w:val="clear" w:color="auto" w:fill="FFFFFF"/>
        </w:rPr>
        <w:t>1名，副局长2名</w:t>
      </w:r>
      <w:r>
        <w:rPr>
          <w:rFonts w:ascii="宋体" w:eastAsia="宋体" w:cs="宋体" w:hint="eastAsia"/>
          <w:color w:val="000000"/>
          <w:kern w:val="0"/>
          <w:sz w:val="32"/>
          <w:szCs w:val="32"/>
          <w:shd w:val="clear" w:color="auto" w:fill="FFFFFF"/>
        </w:rPr>
        <w:t>，一般干部</w:t>
      </w:r>
      <w:r>
        <w:rPr>
          <w:rFonts w:ascii="仿宋_GB2312" w:eastAsia="宋体" w:cs="宋体" w:hAnsi="仿宋_GB2312" w:hint="eastAsia"/>
          <w:color w:val="000000"/>
          <w:kern w:val="0"/>
          <w:sz w:val="32"/>
          <w:szCs w:val="32"/>
          <w:shd w:val="clear" w:color="auto" w:fill="FFFFFF"/>
        </w:rPr>
        <w:t>1</w:t>
      </w:r>
      <w:r>
        <w:rPr>
          <w:rFonts w:ascii="宋体" w:eastAsia="宋体" w:cs="宋体" w:hint="eastAsia"/>
          <w:color w:val="000000"/>
          <w:kern w:val="0"/>
          <w:sz w:val="32"/>
          <w:szCs w:val="32"/>
          <w:shd w:val="clear" w:color="auto" w:fill="FFFFFF"/>
        </w:rPr>
        <w:t>名</w:t>
      </w:r>
      <w:r>
        <w:rPr>
          <w:rFonts w:ascii="宋体" w:cs="宋体" w:hint="eastAsia"/>
          <w:color w:val="000000"/>
          <w:kern w:val="0"/>
          <w:sz w:val="32"/>
          <w:szCs w:val="32"/>
          <w:shd w:val="clear" w:color="auto" w:fill="FFFFFF"/>
          <w:lang w:eastAsia="zh-CN"/>
        </w:rPr>
        <w:t>，</w:t>
      </w:r>
      <w:r>
        <w:rPr>
          <w:rFonts w:ascii="仿宋_GB2312" w:eastAsia="仿宋_GB2312" w:cs="仿宋_GB2312" w:hint="eastAsia"/>
          <w:color w:val="000000"/>
          <w:kern w:val="0"/>
          <w:sz w:val="32"/>
          <w:szCs w:val="32"/>
          <w:shd w:val="clear" w:color="auto" w:fill="FFFFFF"/>
        </w:rPr>
        <w:t>机关工勤人员</w:t>
      </w:r>
      <w:r>
        <w:rPr>
          <w:rFonts w:ascii="仿宋_GB2312" w:eastAsia="仿宋_GB2312" w:cs="宋体" w:hint="eastAsia"/>
          <w:color w:val="000000"/>
          <w:kern w:val="0"/>
          <w:sz w:val="32"/>
          <w:szCs w:val="32"/>
          <w:shd w:val="clear" w:color="auto" w:fill="FFFFFF"/>
        </w:rPr>
        <w:t>1名；</w:t>
      </w:r>
      <w:r>
        <w:rPr>
          <w:rFonts w:ascii="宋体" w:eastAsia="宋体" w:cs="宋体" w:hint="eastAsia"/>
          <w:color w:val="000000"/>
          <w:kern w:val="0"/>
          <w:sz w:val="32"/>
          <w:szCs w:val="32"/>
          <w:shd w:val="clear" w:color="auto" w:fill="FFFFFF"/>
        </w:rPr>
        <w:t>中心主任</w:t>
      </w:r>
      <w:r>
        <w:rPr>
          <w:rFonts w:ascii="仿宋_GB2312" w:eastAsia="宋体" w:cs="宋体" w:hAnsi="仿宋_GB2312" w:hint="eastAsia"/>
          <w:color w:val="000000"/>
          <w:kern w:val="0"/>
          <w:sz w:val="32"/>
          <w:szCs w:val="32"/>
          <w:shd w:val="clear" w:color="auto" w:fill="FFFFFF"/>
        </w:rPr>
        <w:t>1</w:t>
      </w:r>
      <w:r>
        <w:rPr>
          <w:rFonts w:ascii="宋体" w:eastAsia="宋体" w:cs="宋体" w:hint="eastAsia"/>
          <w:color w:val="000000"/>
          <w:kern w:val="0"/>
          <w:sz w:val="32"/>
          <w:szCs w:val="32"/>
          <w:shd w:val="clear" w:color="auto" w:fill="FFFFFF"/>
        </w:rPr>
        <w:t>名，</w:t>
      </w:r>
      <w:r>
        <w:rPr>
          <w:rFonts w:ascii="仿宋_GB2312" w:eastAsia="仿宋_GB2312" w:cs="仿宋_GB2312" w:hint="eastAsia"/>
          <w:color w:val="000000"/>
          <w:kern w:val="0"/>
          <w:sz w:val="32"/>
          <w:szCs w:val="32"/>
          <w:shd w:val="clear" w:color="auto" w:fill="FFFFFF"/>
        </w:rPr>
        <w:t>股级领导职数</w:t>
      </w:r>
      <w:r>
        <w:rPr>
          <w:rFonts w:ascii="仿宋_GB2312" w:eastAsia="仿宋_GB2312" w:cs="宋体" w:hint="eastAsia"/>
          <w:color w:val="000000"/>
          <w:kern w:val="0"/>
          <w:sz w:val="32"/>
          <w:szCs w:val="32"/>
          <w:shd w:val="clear" w:color="auto" w:fill="FFFFFF"/>
        </w:rPr>
        <w:t>2名</w:t>
      </w:r>
      <w:r>
        <w:rPr>
          <w:rFonts w:ascii="仿宋_GB2312" w:eastAsia="仿宋_GB2312" w:cs="仿宋_GB2312" w:hint="eastAsia"/>
          <w:color w:val="000000"/>
          <w:kern w:val="0"/>
          <w:sz w:val="32"/>
          <w:szCs w:val="32"/>
          <w:shd w:val="clear" w:color="auto" w:fill="FFFFFF"/>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eastAsia="zh-CN"/>
          <w:highlight w:val="auto"/>
        </w:rPr>
      </w:pPr>
      <w:r>
        <w:rPr>
          <w:rFonts w:ascii="Times New Roman" w:eastAsia="黑体" w:cs="Times New Roman" w:hAnsi="Times New Roman"/>
          <w:color w:val="000000"/>
          <w:kern w:val="0"/>
          <w:sz w:val="32"/>
          <w:szCs w:val="32"/>
          <w:shd w:val="clear" w:color="auto" w:fill="FFFFFF"/>
          <w:lang w:val="zh-CN" w:eastAsia="zh-CN"/>
          <w:highlight w:val="auto"/>
        </w:rPr>
        <w:t>二、部门资金收支情况</w:t>
      </w:r>
    </w:p>
    <w:p>
      <w:pPr>
        <w:pStyle w:val="36"/>
        <w:keepNext w:val="0"/>
        <w:keepLines w:val="0"/>
        <w:pageBreakBefore w:val="0"/>
        <w:widowControl/>
        <w:kinsoku/>
        <w:wordWrap/>
        <w:overflowPunct/>
        <w:topLinePunct w:val="0"/>
        <w:autoSpaceDN/>
        <w:bidi w:val="0"/>
        <w:spacing w:beforeAutospacing="0" w:afterAutospacing="0" w:line="576" w:lineRule="exact"/>
        <w:ind w:firstLineChars="200" w:firstLine="640"/>
        <w:textAlignment w:val="auto"/>
        <w:rPr>
          <w:rFonts w:ascii="楷体_GB2312" w:eastAsia="楷体_GB2312" w:cs="楷体_GB2312" w:hint="eastAsia"/>
          <w:kern w:val="0"/>
          <w:sz w:val="32"/>
          <w:szCs w:val="32"/>
        </w:rPr>
      </w:pPr>
      <w:r>
        <w:rPr>
          <w:rFonts w:ascii="Times New Roman" w:eastAsia="楷体_GB2312" w:cs="Times New Roman" w:hAnsi="Times New Roman"/>
          <w:b/>
          <w:bCs/>
          <w:color w:val="000000"/>
          <w:kern w:val="0"/>
          <w:sz w:val="32"/>
          <w:szCs w:val="32"/>
          <w:shd w:val="clear" w:color="auto" w:fill="FFFFFF"/>
          <w:lang w:val="zh-CN"/>
          <w:highlight w:val="auto"/>
        </w:rPr>
        <w:t>（一）</w:t>
      </w:r>
      <w:r>
        <w:rPr>
          <w:rFonts w:ascii="Times New Roman" w:eastAsia="楷体_GB2312" w:cs="Times New Roman" w:hAnsi="Times New Roman" w:hint="eastAsia"/>
          <w:b/>
          <w:bCs/>
          <w:color w:val="000000"/>
          <w:kern w:val="0"/>
          <w:sz w:val="32"/>
          <w:szCs w:val="32"/>
          <w:shd w:val="clear" w:color="auto" w:fill="FFFFFF"/>
          <w:lang w:val="zh-CN"/>
          <w:highlight w:val="auto"/>
        </w:rPr>
        <w:t>收入情况</w:t>
      </w:r>
      <w:r>
        <w:rPr>
          <w:rFonts w:ascii="Times New Roman" w:eastAsia="楷体_GB2312" w:cs="Times New Roman" w:hAnsi="Times New Roman"/>
          <w:b/>
          <w:bCs/>
          <w:color w:val="000000"/>
          <w:kern w:val="0"/>
          <w:sz w:val="32"/>
          <w:szCs w:val="32"/>
          <w:shd w:val="clear" w:color="auto" w:fill="FFFFFF"/>
          <w:lang w:val="zh-CN"/>
          <w:highlight w:val="auto"/>
        </w:rPr>
        <w:t>。</w:t>
      </w:r>
      <w:r>
        <w:rPr>
          <w:rFonts w:ascii="仿宋_GB2312" w:eastAsia="仿宋_GB2312" w:cs="仿宋_GB2312" w:hint="eastAsia"/>
          <w:w w:val="95"/>
          <w:sz w:val="32"/>
          <w:szCs w:val="32"/>
          <w:lang w:val="zh-CN" w:bidi="bo-CN"/>
        </w:rPr>
        <w:t>信访局</w:t>
      </w:r>
      <w:r>
        <w:rPr>
          <w:rFonts w:ascii="仿宋_GB2312" w:eastAsia="仿宋_GB2312" w:cs="仿宋_GB2312" w:hint="eastAsia"/>
          <w:w w:val="95"/>
          <w:sz w:val="32"/>
          <w:szCs w:val="32"/>
          <w:lang w:val="en-US" w:eastAsia="zh-CN" w:bidi="bo-CN"/>
        </w:rPr>
        <w:t>202</w:t>
      </w:r>
      <w:r>
        <w:rPr>
          <w:rFonts w:ascii="仿宋_GB2312" w:cs="仿宋_GB2312" w:hAnsi="仿宋_GB2312" w:hint="eastAsia"/>
          <w:w w:val="95"/>
          <w:sz w:val="32"/>
          <w:szCs w:val="32"/>
          <w:lang w:val="en-US" w:eastAsia="zh-CN" w:bidi="bo-CN"/>
        </w:rPr>
        <w:t>4</w:t>
      </w:r>
      <w:r>
        <w:rPr>
          <w:rFonts w:ascii="仿宋_GB2312" w:eastAsia="仿宋_GB2312" w:cs="仿宋_GB2312" w:hint="eastAsia"/>
          <w:w w:val="95"/>
          <w:sz w:val="32"/>
          <w:szCs w:val="32"/>
          <w:lang w:val="en-US" w:eastAsia="zh-CN" w:bidi="bo-CN"/>
        </w:rPr>
        <w:t>年年初预算收入</w:t>
      </w:r>
      <w:r>
        <w:rPr>
          <w:rFonts w:ascii="仿宋_GB2312" w:cs="仿宋_GB2312" w:hAnsi="仿宋_GB2312" w:hint="eastAsia"/>
          <w:w w:val="95"/>
          <w:sz w:val="32"/>
          <w:szCs w:val="32"/>
          <w:lang w:val="en-US" w:eastAsia="zh-CN" w:bidi="bo-CN"/>
        </w:rPr>
        <w:t>295.53</w:t>
      </w:r>
      <w:r>
        <w:rPr>
          <w:rFonts w:ascii="仿宋_GB2312" w:eastAsia="仿宋_GB2312" w:cs="仿宋_GB2312" w:hint="eastAsia"/>
          <w:w w:val="95"/>
          <w:sz w:val="32"/>
          <w:szCs w:val="32"/>
          <w:lang w:val="zh-CN" w:bidi="bo-CN"/>
        </w:rPr>
        <w:t>万元</w:t>
      </w:r>
      <w:r>
        <w:rPr>
          <w:rFonts w:ascii="仿宋_GB2312" w:eastAsia="仿宋_GB2312" w:cs="仿宋_GB2312" w:hint="eastAsia"/>
          <w:w w:val="95"/>
          <w:sz w:val="32"/>
          <w:szCs w:val="32"/>
          <w:lang w:val="en-US" w:eastAsia="zh-CN" w:bidi="bo-CN"/>
        </w:rPr>
        <w:t>、决算报表收入</w:t>
      </w:r>
      <w:r>
        <w:rPr>
          <w:rFonts w:ascii="仿宋_GB2312" w:cs="仿宋_GB2312" w:hAnsi="仿宋_GB2312" w:hint="eastAsia"/>
          <w:w w:val="95"/>
          <w:sz w:val="32"/>
          <w:szCs w:val="32"/>
          <w:lang w:val="en-US" w:eastAsia="zh-CN" w:bidi="bo-CN"/>
        </w:rPr>
        <w:t>263.05</w:t>
      </w:r>
      <w:r>
        <w:rPr>
          <w:rFonts w:ascii="仿宋_GB2312" w:eastAsia="仿宋_GB2312" w:cs="仿宋_GB2312" w:hint="eastAsia"/>
          <w:w w:val="95"/>
          <w:sz w:val="32"/>
          <w:szCs w:val="32"/>
          <w:lang w:val="zh-CN" w:bidi="bo-CN"/>
        </w:rPr>
        <w:t>万元</w:t>
      </w:r>
      <w:r>
        <w:rPr>
          <w:rFonts w:ascii="仿宋_GB2312" w:eastAsia="仿宋_GB2312" w:cs="仿宋_GB2312" w:hint="eastAsia"/>
          <w:w w:val="95"/>
          <w:sz w:val="32"/>
          <w:szCs w:val="32"/>
          <w:lang w:val="en-US" w:eastAsia="zh-CN" w:bidi="bo-CN"/>
        </w:rPr>
        <w:t>。</w:t>
      </w:r>
      <w:r>
        <w:rPr>
          <w:rFonts w:ascii="仿宋_GB2312" w:eastAsia="仿宋_GB2312" w:cs="仿宋_GB2312" w:hint="eastAsia"/>
          <w:w w:val="95"/>
          <w:sz w:val="32"/>
          <w:szCs w:val="32"/>
          <w:lang w:val="zh-CN" w:bidi="bo-CN"/>
        </w:rPr>
        <w:t>其中：一般公共预算财政拨款收入为</w:t>
      </w:r>
      <w:r>
        <w:rPr>
          <w:rFonts w:ascii="仿宋_GB2312" w:cs="仿宋_GB2312" w:hAnsi="仿宋_GB2312" w:hint="eastAsia"/>
          <w:w w:val="95"/>
          <w:sz w:val="32"/>
          <w:szCs w:val="32"/>
          <w:lang w:val="en-US" w:eastAsia="zh-CN" w:bidi="bo-CN"/>
        </w:rPr>
        <w:t>263.05</w:t>
      </w:r>
      <w:r>
        <w:rPr>
          <w:rFonts w:ascii="仿宋_GB2312" w:eastAsia="仿宋_GB2312" w:cs="仿宋_GB2312" w:hint="eastAsia"/>
          <w:w w:val="95"/>
          <w:sz w:val="32"/>
          <w:szCs w:val="32"/>
          <w:lang w:val="zh-CN" w:bidi="bo-CN"/>
        </w:rPr>
        <w:t>万元，占比</w:t>
      </w:r>
      <w:r>
        <w:rPr>
          <w:rFonts w:ascii="仿宋_GB2312" w:cs="仿宋_GB2312" w:hAnsi="仿宋_GB2312" w:hint="eastAsia"/>
          <w:w w:val="95"/>
          <w:sz w:val="32"/>
          <w:szCs w:val="32"/>
          <w:lang w:val="en-US" w:eastAsia="zh-CN" w:bidi="bo-CN"/>
        </w:rPr>
        <w:t>100</w:t>
      </w:r>
      <w:r>
        <w:rPr>
          <w:rFonts w:ascii="仿宋_GB2312" w:eastAsia="仿宋_GB2312" w:cs="仿宋_GB2312" w:hint="eastAsia"/>
          <w:w w:val="95"/>
          <w:sz w:val="32"/>
          <w:szCs w:val="32"/>
          <w:lang w:val="zh-CN" w:bidi="bo-CN"/>
        </w:rPr>
        <w:t>%。</w:t>
      </w:r>
    </w:p>
    <w:p>
      <w:pPr>
        <w:keepNext w:val="0"/>
        <w:keepLines w:val="0"/>
        <w:pageBreakBefore w:val="0"/>
        <w:widowControl/>
        <w:kinsoku/>
        <w:wordWrap/>
        <w:overflowPunct/>
        <w:topLinePunct w:val="0"/>
        <w:autoSpaceDN/>
        <w:bidi w:val="0"/>
        <w:adjustRightInd w:val="0"/>
        <w:snapToGrid w:val="0"/>
        <w:spacing w:afterAutospacing="0" w:line="576" w:lineRule="exact"/>
        <w:ind w:firstLineChars="200" w:firstLine="640"/>
        <w:contextualSpacing/>
        <w:jc w:val="left"/>
        <w:textAlignment w:val="auto"/>
        <w:rPr>
          <w:rFonts w:cs="仿宋_GB2312"/>
          <w:w w:val="95"/>
          <w:kern w:val="0"/>
          <w:lang w:val="zh-CN"/>
        </w:rPr>
      </w:pPr>
      <w:r>
        <w:rPr>
          <w:rFonts w:ascii="Times New Roman" w:eastAsia="楷体_GB2312" w:cs="Times New Roman" w:hAnsi="Times New Roman"/>
          <w:b/>
          <w:bCs/>
          <w:color w:val="000000"/>
          <w:kern w:val="0"/>
          <w:sz w:val="32"/>
          <w:szCs w:val="32"/>
          <w:shd w:val="clear" w:color="auto" w:fill="FFFFFF"/>
          <w:lang w:val="zh-CN" w:eastAsia="zh-CN"/>
          <w:highlight w:val="auto"/>
        </w:rPr>
        <w:t>（</w:t>
      </w:r>
      <w:r>
        <w:rPr>
          <w:rFonts w:ascii="Times New Roman" w:eastAsia="楷体_GB2312" w:cs="Times New Roman" w:hAnsi="Times New Roman" w:hint="eastAsia"/>
          <w:b/>
          <w:bCs/>
          <w:color w:val="000000"/>
          <w:kern w:val="0"/>
          <w:sz w:val="32"/>
          <w:szCs w:val="32"/>
          <w:shd w:val="clear" w:color="auto" w:fill="FFFFFF"/>
          <w:lang w:val="zh-CN" w:eastAsia="zh-CN"/>
          <w:highlight w:val="auto"/>
        </w:rPr>
        <w:t>二</w:t>
      </w:r>
      <w:r>
        <w:rPr>
          <w:rFonts w:ascii="Times New Roman" w:eastAsia="楷体_GB2312" w:cs="Times New Roman" w:hAnsi="Times New Roman"/>
          <w:b/>
          <w:bCs/>
          <w:color w:val="000000"/>
          <w:kern w:val="0"/>
          <w:sz w:val="32"/>
          <w:szCs w:val="32"/>
          <w:shd w:val="clear" w:color="auto" w:fill="FFFFFF"/>
          <w:lang w:val="zh-CN" w:eastAsia="zh-CN"/>
          <w:highlight w:val="auto"/>
        </w:rPr>
        <w:t>）</w:t>
      </w:r>
      <w:r>
        <w:rPr>
          <w:rFonts w:ascii="Times New Roman" w:eastAsia="楷体_GB2312" w:cs="Times New Roman" w:hAnsi="Times New Roman" w:hint="eastAsia"/>
          <w:b/>
          <w:bCs/>
          <w:color w:val="000000"/>
          <w:kern w:val="0"/>
          <w:sz w:val="32"/>
          <w:szCs w:val="32"/>
          <w:shd w:val="clear" w:color="auto" w:fill="FFFFFF"/>
          <w:lang w:val="zh-CN" w:eastAsia="zh-CN"/>
          <w:highlight w:val="auto"/>
        </w:rPr>
        <w:t>支出情况</w:t>
      </w:r>
      <w:r>
        <w:rPr>
          <w:rFonts w:ascii="Times New Roman" w:eastAsia="楷体_GB2312" w:cs="Times New Roman" w:hAnsi="Times New Roman"/>
          <w:b/>
          <w:bCs/>
          <w:color w:val="000000"/>
          <w:kern w:val="0"/>
          <w:sz w:val="32"/>
          <w:szCs w:val="32"/>
          <w:shd w:val="clear" w:color="auto" w:fill="FFFFFF"/>
          <w:lang w:val="zh-CN" w:eastAsia="zh-CN"/>
          <w:highlight w:val="auto"/>
        </w:rPr>
        <w:t>。</w:t>
      </w:r>
      <w:r>
        <w:rPr>
          <w:rFonts w:ascii="仿宋_GB2312" w:eastAsia="仿宋_GB2312" w:cs="仿宋_GB2312" w:hint="eastAsia"/>
          <w:w w:val="95"/>
          <w:kern w:val="0"/>
          <w:sz w:val="32"/>
          <w:lang w:val="zh-CN"/>
        </w:rPr>
        <w:t>本年度总支出为</w:t>
      </w:r>
      <w:r>
        <w:rPr>
          <w:rFonts w:ascii="仿宋_GB2312" w:cs="仿宋_GB2312" w:hAnsi="仿宋_GB2312" w:hint="eastAsia"/>
          <w:w w:val="95"/>
          <w:kern w:val="0"/>
          <w:sz w:val="32"/>
          <w:lang w:val="en-US" w:eastAsia="zh-CN"/>
        </w:rPr>
        <w:t>263.05</w:t>
      </w:r>
      <w:r>
        <w:rPr>
          <w:rFonts w:ascii="仿宋_GB2312" w:eastAsia="仿宋_GB2312" w:cs="仿宋_GB2312" w:hint="eastAsia"/>
          <w:w w:val="95"/>
          <w:kern w:val="0"/>
          <w:sz w:val="32"/>
          <w:lang w:val="zh-CN"/>
        </w:rPr>
        <w:t>万元。其中：一般公共服务支出为</w:t>
      </w:r>
      <w:r>
        <w:rPr>
          <w:rFonts w:ascii="仿宋_GB2312" w:cs="仿宋_GB2312" w:hAnsi="仿宋_GB2312" w:hint="eastAsia"/>
          <w:w w:val="95"/>
          <w:kern w:val="0"/>
          <w:sz w:val="32"/>
          <w:lang w:val="en-US" w:eastAsia="zh-CN"/>
        </w:rPr>
        <w:t>205.65</w:t>
      </w:r>
      <w:r>
        <w:rPr>
          <w:rFonts w:ascii="仿宋_GB2312" w:eastAsia="仿宋_GB2312" w:cs="仿宋_GB2312" w:hint="eastAsia"/>
          <w:w w:val="95"/>
          <w:kern w:val="0"/>
          <w:sz w:val="32"/>
          <w:lang w:val="zh-CN"/>
        </w:rPr>
        <w:t>万元，占比</w:t>
      </w:r>
      <w:r>
        <w:rPr>
          <w:rFonts w:ascii="仿宋_GB2312" w:cs="仿宋_GB2312" w:hAnsi="仿宋_GB2312" w:hint="eastAsia"/>
          <w:color w:val="auto"/>
          <w:w w:val="95"/>
          <w:kern w:val="0"/>
          <w:sz w:val="32"/>
          <w:lang w:val="en-US" w:eastAsia="zh-CN"/>
        </w:rPr>
        <w:t>78</w:t>
      </w:r>
      <w:r>
        <w:rPr>
          <w:rFonts w:ascii="仿宋_GB2312" w:eastAsia="仿宋_GB2312" w:cs="仿宋_GB2312"/>
          <w:color w:val="auto"/>
          <w:w w:val="95"/>
          <w:kern w:val="0"/>
          <w:sz w:val="32"/>
          <w:lang w:val="zh-CN"/>
        </w:rPr>
        <w:t>%</w:t>
      </w:r>
      <w:r>
        <w:rPr>
          <w:rFonts w:ascii="仿宋_GB2312" w:eastAsia="仿宋_GB2312" w:cs="仿宋_GB2312" w:hint="eastAsia"/>
          <w:color w:val="auto"/>
          <w:w w:val="95"/>
          <w:kern w:val="0"/>
          <w:sz w:val="32"/>
          <w:lang w:val="zh-CN"/>
        </w:rPr>
        <w:t>；</w:t>
      </w:r>
      <w:r>
        <w:rPr>
          <w:rFonts w:ascii="仿宋_GB2312" w:eastAsia="仿宋_GB2312" w:cs="仿宋_GB2312" w:hint="eastAsia"/>
          <w:w w:val="95"/>
          <w:kern w:val="0"/>
          <w:sz w:val="32"/>
          <w:lang w:val="zh-CN"/>
        </w:rPr>
        <w:t>社会保障和就业支出为</w:t>
      </w:r>
      <w:r>
        <w:rPr>
          <w:rFonts w:ascii="仿宋_GB2312" w:cs="仿宋_GB2312" w:hAnsi="仿宋_GB2312" w:hint="eastAsia"/>
          <w:w w:val="95"/>
          <w:kern w:val="0"/>
          <w:sz w:val="32"/>
          <w:lang w:val="en-US" w:eastAsia="zh-CN"/>
        </w:rPr>
        <w:t>29.56</w:t>
      </w:r>
      <w:r>
        <w:rPr>
          <w:rFonts w:ascii="仿宋_GB2312" w:eastAsia="仿宋_GB2312" w:cs="仿宋_GB2312" w:hint="eastAsia"/>
          <w:w w:val="95"/>
          <w:kern w:val="0"/>
          <w:sz w:val="32"/>
          <w:lang w:val="zh-CN"/>
        </w:rPr>
        <w:t>万元，占比</w:t>
      </w:r>
      <w:r>
        <w:rPr>
          <w:rFonts w:ascii="仿宋_GB2312" w:cs="仿宋_GB2312" w:hAnsi="仿宋_GB2312" w:hint="eastAsia"/>
          <w:w w:val="95"/>
          <w:kern w:val="0"/>
          <w:sz w:val="32"/>
          <w:lang w:val="en-US" w:eastAsia="zh-CN"/>
        </w:rPr>
        <w:t>11.23</w:t>
      </w:r>
      <w:r>
        <w:rPr>
          <w:rFonts w:ascii="仿宋_GB2312" w:eastAsia="仿宋_GB2312" w:cs="仿宋_GB2312"/>
          <w:w w:val="95"/>
          <w:kern w:val="0"/>
          <w:sz w:val="32"/>
          <w:lang w:val="zh-CN"/>
        </w:rPr>
        <w:t>%</w:t>
      </w:r>
      <w:r>
        <w:rPr>
          <w:rFonts w:ascii="仿宋_GB2312" w:eastAsia="仿宋_GB2312" w:cs="仿宋_GB2312" w:hint="eastAsia"/>
          <w:w w:val="95"/>
          <w:kern w:val="0"/>
          <w:sz w:val="32"/>
          <w:lang w:val="zh-CN"/>
        </w:rPr>
        <w:t>；卫生健康支出为</w:t>
      </w:r>
      <w:r>
        <w:rPr>
          <w:rFonts w:ascii="仿宋_GB2312" w:cs="仿宋_GB2312" w:hAnsi="仿宋_GB2312" w:hint="eastAsia"/>
          <w:w w:val="95"/>
          <w:kern w:val="0"/>
          <w:sz w:val="32"/>
          <w:lang w:val="en-US" w:eastAsia="zh-CN"/>
        </w:rPr>
        <w:t>11.34</w:t>
      </w:r>
      <w:r>
        <w:rPr>
          <w:rFonts w:ascii="仿宋_GB2312" w:eastAsia="仿宋_GB2312" w:cs="仿宋_GB2312" w:hint="eastAsia"/>
          <w:w w:val="95"/>
          <w:kern w:val="0"/>
          <w:sz w:val="32"/>
          <w:lang w:val="zh-CN"/>
        </w:rPr>
        <w:t>万元，占比</w:t>
      </w:r>
      <w:r>
        <w:rPr>
          <w:rFonts w:ascii="仿宋_GB2312" w:cs="仿宋_GB2312" w:hAnsi="仿宋_GB2312" w:hint="eastAsia"/>
          <w:w w:val="95"/>
          <w:kern w:val="0"/>
          <w:sz w:val="32"/>
          <w:lang w:val="en-US" w:eastAsia="zh-CN"/>
        </w:rPr>
        <w:t>4.3</w:t>
      </w:r>
      <w:r>
        <w:rPr>
          <w:rFonts w:ascii="仿宋_GB2312" w:eastAsia="仿宋_GB2312" w:cs="仿宋_GB2312"/>
          <w:w w:val="95"/>
          <w:kern w:val="0"/>
          <w:sz w:val="32"/>
          <w:lang w:val="zh-CN"/>
        </w:rPr>
        <w:t>%</w:t>
      </w:r>
      <w:r>
        <w:rPr>
          <w:rFonts w:ascii="仿宋_GB2312" w:eastAsia="仿宋_GB2312" w:cs="仿宋_GB2312" w:hint="eastAsia"/>
          <w:w w:val="95"/>
          <w:kern w:val="0"/>
          <w:sz w:val="32"/>
          <w:lang w:val="zh-CN"/>
        </w:rPr>
        <w:t>；住房保障支出为</w:t>
      </w:r>
      <w:r>
        <w:rPr>
          <w:rFonts w:ascii="仿宋_GB2312" w:cs="仿宋_GB2312" w:hAnsi="仿宋_GB2312" w:hint="eastAsia"/>
          <w:w w:val="95"/>
          <w:kern w:val="0"/>
          <w:sz w:val="32"/>
          <w:lang w:val="en-US" w:eastAsia="zh-CN"/>
        </w:rPr>
        <w:t>16.49</w:t>
      </w:r>
      <w:r>
        <w:rPr>
          <w:rFonts w:ascii="仿宋_GB2312" w:eastAsia="仿宋_GB2312" w:cs="仿宋_GB2312" w:hint="eastAsia"/>
          <w:w w:val="95"/>
          <w:kern w:val="0"/>
          <w:sz w:val="32"/>
          <w:lang w:val="zh-CN"/>
        </w:rPr>
        <w:t>万元，占比</w:t>
      </w:r>
      <w:r>
        <w:rPr>
          <w:rFonts w:ascii="仿宋_GB2312" w:eastAsia="仿宋_GB2312" w:cs="仿宋_GB2312" w:hint="eastAsia"/>
          <w:w w:val="95"/>
          <w:kern w:val="0"/>
          <w:sz w:val="32"/>
          <w:lang w:val="en-US" w:eastAsia="zh-CN"/>
        </w:rPr>
        <w:t>6</w:t>
      </w:r>
      <w:r>
        <w:rPr>
          <w:rFonts w:ascii="仿宋_GB2312" w:cs="仿宋_GB2312" w:hAnsi="仿宋_GB2312" w:hint="eastAsia"/>
          <w:w w:val="95"/>
          <w:kern w:val="0"/>
          <w:sz w:val="32"/>
          <w:lang w:val="en-US" w:eastAsia="zh-CN"/>
        </w:rPr>
        <w:t>.2</w:t>
      </w:r>
      <w:r>
        <w:rPr>
          <w:rFonts w:ascii="仿宋_GB2312" w:eastAsia="仿宋_GB2312" w:cs="仿宋_GB2312"/>
          <w:w w:val="95"/>
          <w:kern w:val="0"/>
          <w:sz w:val="32"/>
          <w:lang w:val="zh-CN"/>
        </w:rPr>
        <w:t>%</w:t>
      </w:r>
      <w:r>
        <w:rPr>
          <w:rFonts w:ascii="仿宋_GB2312" w:eastAsia="仿宋_GB2312" w:cs="仿宋_GB2312" w:hint="eastAsia"/>
          <w:w w:val="95"/>
          <w:kern w:val="0"/>
          <w:sz w:val="32"/>
          <w:lang w:val="zh-CN"/>
        </w:rPr>
        <w:t>。</w:t>
      </w:r>
    </w:p>
    <w:p>
      <w:pPr>
        <w:keepNext w:val="0"/>
        <w:keepLines w:val="0"/>
        <w:pageBreakBefore w:val="0"/>
        <w:widowControl w:val="0"/>
        <w:kinsoku/>
        <w:wordWrap/>
        <w:overflowPunct/>
        <w:topLinePunct w:val="0"/>
        <w:autoSpaceDN/>
        <w:bidi w:val="0"/>
        <w:spacing w:afterAutospacing="0" w:line="576" w:lineRule="exact"/>
        <w:ind w:firstLineChars="200" w:firstLine="608"/>
        <w:textAlignment w:val="auto"/>
        <w:rPr>
          <w:rFonts w:ascii="仿宋_GB2312" w:eastAsia="仿宋_GB2312" w:cs="仿宋_GB2312"/>
          <w:color w:val="auto"/>
          <w:w w:val="95"/>
          <w:kern w:val="0"/>
          <w:sz w:val="32"/>
        </w:rPr>
      </w:pPr>
      <w:r>
        <w:rPr>
          <w:rFonts w:ascii="仿宋_GB2312" w:eastAsia="仿宋_GB2312" w:cs="仿宋_GB2312"/>
          <w:color w:val="auto"/>
          <w:w w:val="95"/>
          <w:kern w:val="0"/>
          <w:sz w:val="32"/>
        </w:rPr>
        <w:t>202</w:t>
      </w:r>
      <w:r>
        <w:rPr>
          <w:rFonts w:ascii="仿宋_GB2312" w:eastAsia="仿宋_GB2312" w:cs="仿宋_GB2312" w:hint="eastAsia"/>
          <w:color w:val="auto"/>
          <w:w w:val="95"/>
          <w:kern w:val="0"/>
          <w:sz w:val="32"/>
          <w:lang w:val="en-US" w:eastAsia="zh-CN"/>
        </w:rPr>
        <w:t>4</w:t>
      </w:r>
      <w:r>
        <w:rPr>
          <w:rFonts w:ascii="仿宋_GB2312" w:eastAsia="仿宋_GB2312" w:cs="仿宋_GB2312" w:hint="eastAsia"/>
          <w:color w:val="auto"/>
          <w:w w:val="95"/>
          <w:kern w:val="0"/>
          <w:sz w:val="32"/>
        </w:rPr>
        <w:t>年度一般公共预算财政拨款基本支出</w:t>
      </w:r>
      <w:r>
        <w:rPr>
          <w:rFonts w:ascii="仿宋_GB2312" w:eastAsia="仿宋_GB2312" w:cs="仿宋_GB2312" w:hint="eastAsia"/>
          <w:color w:val="auto"/>
          <w:w w:val="95"/>
          <w:kern w:val="0"/>
          <w:sz w:val="32"/>
          <w:lang w:val="en-US" w:eastAsia="zh-CN"/>
        </w:rPr>
        <w:t>263.06</w:t>
      </w:r>
      <w:r>
        <w:rPr>
          <w:rFonts w:ascii="仿宋_GB2312" w:eastAsia="仿宋_GB2312" w:cs="仿宋_GB2312" w:hint="eastAsia"/>
          <w:color w:val="auto"/>
          <w:w w:val="95"/>
          <w:kern w:val="0"/>
          <w:sz w:val="32"/>
        </w:rPr>
        <w:t>万元，其中：</w:t>
      </w:r>
    </w:p>
    <w:p>
      <w:pPr>
        <w:keepNext w:val="0"/>
        <w:keepLines w:val="0"/>
        <w:pageBreakBefore w:val="0"/>
        <w:widowControl w:val="0"/>
        <w:kinsoku/>
        <w:wordWrap/>
        <w:overflowPunct/>
        <w:topLinePunct w:val="0"/>
        <w:autoSpaceDN/>
        <w:bidi w:val="0"/>
        <w:spacing w:afterAutospacing="0" w:line="576" w:lineRule="exact"/>
        <w:ind w:firstLineChars="200" w:firstLine="608"/>
        <w:textAlignment w:val="auto"/>
        <w:rPr>
          <w:rFonts w:ascii="仿宋_GB2312" w:eastAsia="仿宋_GB2312" w:cs="仿宋_GB2312"/>
          <w:color w:val="auto"/>
          <w:w w:val="95"/>
          <w:kern w:val="0"/>
          <w:sz w:val="32"/>
        </w:rPr>
      </w:pPr>
      <w:r>
        <w:rPr>
          <w:rFonts w:ascii="仿宋_GB2312" w:eastAsia="仿宋_GB2312" w:cs="仿宋_GB2312" w:hint="eastAsia"/>
          <w:color w:val="auto"/>
          <w:w w:val="95"/>
          <w:kern w:val="0"/>
          <w:sz w:val="32"/>
        </w:rPr>
        <w:t>人员经费</w:t>
      </w:r>
      <w:r>
        <w:rPr>
          <w:rFonts w:ascii="仿宋_GB2312" w:eastAsia="仿宋_GB2312" w:cs="仿宋_GB2312" w:hint="eastAsia"/>
          <w:color w:val="auto"/>
          <w:w w:val="95"/>
          <w:kern w:val="0"/>
          <w:sz w:val="32"/>
          <w:lang w:val="en-US" w:eastAsia="zh-CN"/>
        </w:rPr>
        <w:t>201.39</w:t>
      </w:r>
      <w:r>
        <w:rPr>
          <w:rFonts w:ascii="仿宋_GB2312" w:eastAsia="仿宋_GB2312" w:cs="仿宋_GB2312" w:hint="eastAsia"/>
          <w:color w:val="auto"/>
          <w:w w:val="95"/>
          <w:kern w:val="0"/>
          <w:sz w:val="32"/>
        </w:rPr>
        <w:t>万元，主要包括：基本工资</w:t>
      </w:r>
      <w:r>
        <w:rPr>
          <w:rFonts w:ascii="仿宋_GB2312" w:eastAsia="仿宋_GB2312" w:cs="仿宋_GB2312" w:hint="eastAsia"/>
          <w:color w:val="auto"/>
          <w:w w:val="95"/>
          <w:kern w:val="0"/>
          <w:sz w:val="32"/>
          <w:lang w:val="en-US" w:eastAsia="zh-CN"/>
        </w:rPr>
        <w:t>26.25</w:t>
      </w:r>
      <w:r>
        <w:rPr>
          <w:rFonts w:ascii="仿宋_GB2312" w:eastAsia="仿宋_GB2312" w:cs="仿宋_GB2312" w:hint="eastAsia"/>
          <w:color w:val="auto"/>
          <w:w w:val="95"/>
          <w:kern w:val="0"/>
          <w:sz w:val="32"/>
        </w:rPr>
        <w:t>万元、津贴补贴</w:t>
      </w:r>
      <w:r>
        <w:rPr>
          <w:rFonts w:ascii="仿宋_GB2312" w:eastAsia="仿宋_GB2312" w:cs="仿宋_GB2312" w:hint="eastAsia"/>
          <w:color w:val="auto"/>
          <w:w w:val="95"/>
          <w:kern w:val="0"/>
          <w:sz w:val="32"/>
          <w:lang w:val="en-US" w:eastAsia="zh-CN"/>
        </w:rPr>
        <w:t>52.47</w:t>
      </w:r>
      <w:r>
        <w:rPr>
          <w:rFonts w:ascii="仿宋_GB2312" w:eastAsia="仿宋_GB2312" w:cs="仿宋_GB2312" w:hint="eastAsia"/>
          <w:color w:val="auto"/>
          <w:w w:val="95"/>
          <w:kern w:val="0"/>
          <w:sz w:val="32"/>
        </w:rPr>
        <w:t>万元、奖金</w:t>
      </w:r>
      <w:r>
        <w:rPr>
          <w:rFonts w:ascii="仿宋_GB2312" w:eastAsia="仿宋_GB2312" w:cs="仿宋_GB2312" w:hint="eastAsia"/>
          <w:color w:val="auto"/>
          <w:w w:val="95"/>
          <w:kern w:val="0"/>
          <w:sz w:val="32"/>
          <w:lang w:val="en-US" w:eastAsia="zh-CN"/>
        </w:rPr>
        <w:t>43.53</w:t>
      </w:r>
      <w:r>
        <w:rPr>
          <w:rFonts w:ascii="仿宋_GB2312" w:eastAsia="仿宋_GB2312" w:cs="仿宋_GB2312" w:hint="eastAsia"/>
          <w:color w:val="auto"/>
          <w:w w:val="95"/>
          <w:kern w:val="0"/>
          <w:sz w:val="32"/>
        </w:rPr>
        <w:t>万元、绩效工资</w:t>
      </w:r>
      <w:r>
        <w:rPr>
          <w:rFonts w:ascii="仿宋_GB2312" w:eastAsia="仿宋_GB2312" w:cs="仿宋_GB2312" w:hint="eastAsia"/>
          <w:color w:val="auto"/>
          <w:w w:val="95"/>
          <w:kern w:val="0"/>
          <w:sz w:val="32"/>
          <w:lang w:val="en-US" w:eastAsia="zh-CN"/>
        </w:rPr>
        <w:t>9.49</w:t>
      </w:r>
      <w:r>
        <w:rPr>
          <w:rFonts w:ascii="仿宋_GB2312" w:eastAsia="仿宋_GB2312" w:cs="仿宋_GB2312" w:hint="eastAsia"/>
          <w:color w:val="auto"/>
          <w:w w:val="95"/>
          <w:kern w:val="0"/>
          <w:sz w:val="32"/>
        </w:rPr>
        <w:t>万元，机关事业单位基本养老保险缴费</w:t>
      </w:r>
      <w:r>
        <w:rPr>
          <w:rFonts w:ascii="仿宋_GB2312" w:eastAsia="仿宋_GB2312" w:cs="仿宋_GB2312" w:hint="eastAsia"/>
          <w:color w:val="auto"/>
          <w:w w:val="95"/>
          <w:kern w:val="0"/>
          <w:sz w:val="32"/>
          <w:lang w:val="en-US" w:eastAsia="zh-CN"/>
        </w:rPr>
        <w:t>19.65</w:t>
      </w:r>
      <w:r>
        <w:rPr>
          <w:rFonts w:ascii="仿宋_GB2312" w:eastAsia="仿宋_GB2312" w:cs="仿宋_GB2312" w:hint="eastAsia"/>
          <w:color w:val="auto"/>
          <w:w w:val="95"/>
          <w:kern w:val="0"/>
          <w:sz w:val="32"/>
        </w:rPr>
        <w:t>万元、职业年金缴费</w:t>
      </w:r>
      <w:r>
        <w:rPr>
          <w:rFonts w:ascii="仿宋_GB2312" w:eastAsia="仿宋_GB2312" w:cs="仿宋_GB2312" w:hint="eastAsia"/>
          <w:color w:val="auto"/>
          <w:w w:val="95"/>
          <w:kern w:val="0"/>
          <w:sz w:val="32"/>
          <w:lang w:val="en-US" w:eastAsia="zh-CN"/>
        </w:rPr>
        <w:t>9.92</w:t>
      </w:r>
      <w:r>
        <w:rPr>
          <w:rFonts w:ascii="仿宋_GB2312" w:eastAsia="仿宋_GB2312" w:cs="仿宋_GB2312" w:hint="eastAsia"/>
          <w:color w:val="auto"/>
          <w:w w:val="95"/>
          <w:kern w:val="0"/>
          <w:sz w:val="32"/>
        </w:rPr>
        <w:t>万元、职工基本医疗保险费</w:t>
      </w:r>
      <w:r>
        <w:rPr>
          <w:rFonts w:ascii="仿宋_GB2312" w:eastAsia="仿宋_GB2312" w:cs="仿宋_GB2312" w:hint="eastAsia"/>
          <w:color w:val="auto"/>
          <w:w w:val="95"/>
          <w:kern w:val="0"/>
          <w:sz w:val="32"/>
          <w:lang w:val="en-US" w:eastAsia="zh-CN"/>
        </w:rPr>
        <w:t>9.58</w:t>
      </w:r>
      <w:r>
        <w:rPr>
          <w:rFonts w:ascii="仿宋_GB2312" w:eastAsia="仿宋_GB2312" w:cs="仿宋_GB2312" w:hint="eastAsia"/>
          <w:color w:val="auto"/>
          <w:w w:val="95"/>
          <w:kern w:val="0"/>
          <w:sz w:val="32"/>
        </w:rPr>
        <w:t>万元、公务员医疗补助缴费</w:t>
      </w:r>
      <w:r>
        <w:rPr>
          <w:rFonts w:ascii="仿宋_GB2312" w:eastAsia="仿宋_GB2312" w:cs="仿宋_GB2312" w:hint="eastAsia"/>
          <w:color w:val="auto"/>
          <w:w w:val="95"/>
          <w:kern w:val="0"/>
          <w:sz w:val="32"/>
          <w:lang w:val="en-US" w:eastAsia="zh-CN"/>
        </w:rPr>
        <w:t>1.77</w:t>
      </w:r>
      <w:r>
        <w:rPr>
          <w:rFonts w:ascii="仿宋_GB2312" w:eastAsia="仿宋_GB2312" w:cs="仿宋_GB2312" w:hint="eastAsia"/>
          <w:color w:val="auto"/>
          <w:w w:val="95"/>
          <w:kern w:val="0"/>
          <w:sz w:val="32"/>
        </w:rPr>
        <w:t>万元、其他社会保障缴费</w:t>
      </w:r>
      <w:r>
        <w:rPr>
          <w:rFonts w:ascii="仿宋_GB2312" w:eastAsia="仿宋_GB2312" w:cs="仿宋_GB2312" w:hint="eastAsia"/>
          <w:color w:val="auto"/>
          <w:w w:val="95"/>
          <w:kern w:val="0"/>
          <w:sz w:val="32"/>
          <w:lang w:val="en-US" w:eastAsia="zh-CN"/>
        </w:rPr>
        <w:t>2.25</w:t>
      </w:r>
      <w:r>
        <w:rPr>
          <w:rFonts w:ascii="仿宋_GB2312" w:eastAsia="仿宋_GB2312" w:cs="仿宋_GB2312" w:hint="eastAsia"/>
          <w:color w:val="auto"/>
          <w:w w:val="95"/>
          <w:kern w:val="0"/>
          <w:sz w:val="32"/>
        </w:rPr>
        <w:t>万元、住房公积金</w:t>
      </w:r>
      <w:r>
        <w:rPr>
          <w:rFonts w:ascii="仿宋_GB2312" w:eastAsia="仿宋_GB2312" w:cs="仿宋_GB2312" w:hint="eastAsia"/>
          <w:color w:val="auto"/>
          <w:w w:val="95"/>
          <w:kern w:val="0"/>
          <w:sz w:val="32"/>
          <w:lang w:val="en-US" w:eastAsia="zh-CN"/>
        </w:rPr>
        <w:t>16.49</w:t>
      </w:r>
      <w:r>
        <w:rPr>
          <w:rFonts w:ascii="仿宋_GB2312" w:eastAsia="仿宋_GB2312" w:cs="仿宋_GB2312" w:hint="eastAsia"/>
          <w:color w:val="auto"/>
          <w:w w:val="95"/>
          <w:kern w:val="0"/>
          <w:sz w:val="32"/>
        </w:rPr>
        <w:t>万元。</w:t>
      </w:r>
    </w:p>
    <w:p>
      <w:pPr>
        <w:keepNext w:val="0"/>
        <w:keepLines w:val="0"/>
        <w:pageBreakBefore w:val="0"/>
        <w:widowControl w:val="0"/>
        <w:kinsoku/>
        <w:wordWrap/>
        <w:overflowPunct/>
        <w:topLinePunct w:val="0"/>
        <w:autoSpaceDN/>
        <w:bidi w:val="0"/>
        <w:spacing w:afterAutospacing="0" w:line="576" w:lineRule="exact"/>
        <w:ind w:firstLineChars="200" w:firstLine="608"/>
        <w:textAlignment w:val="auto"/>
        <w:rPr>
          <w:rFonts w:ascii="仿宋_GB2312" w:eastAsia="仿宋_GB2312" w:cs="仿宋_GB2312"/>
          <w:color w:val="auto"/>
          <w:w w:val="95"/>
          <w:kern w:val="0"/>
          <w:sz w:val="32"/>
        </w:rPr>
      </w:pPr>
      <w:r>
        <w:rPr>
          <w:rFonts w:ascii="仿宋_GB2312" w:eastAsia="仿宋_GB2312" w:cs="仿宋_GB2312" w:hint="eastAsia"/>
          <w:color w:val="auto"/>
          <w:w w:val="95"/>
          <w:kern w:val="0"/>
          <w:sz w:val="32"/>
        </w:rPr>
        <w:t>公用经费</w:t>
      </w:r>
      <w:r>
        <w:rPr>
          <w:rFonts w:ascii="仿宋_GB2312" w:eastAsia="仿宋_GB2312" w:cs="仿宋_GB2312" w:hint="eastAsia"/>
          <w:color w:val="auto"/>
          <w:w w:val="95"/>
          <w:kern w:val="0"/>
          <w:sz w:val="32"/>
          <w:lang w:val="en-US" w:eastAsia="zh-CN"/>
        </w:rPr>
        <w:t>21.36</w:t>
      </w:r>
      <w:r>
        <w:rPr>
          <w:rFonts w:ascii="仿宋_GB2312" w:eastAsia="仿宋_GB2312" w:cs="仿宋_GB2312" w:hint="eastAsia"/>
          <w:color w:val="auto"/>
          <w:w w:val="95"/>
          <w:kern w:val="0"/>
          <w:sz w:val="32"/>
        </w:rPr>
        <w:t>万元，主要包括：办公费</w:t>
      </w:r>
      <w:r>
        <w:rPr>
          <w:rFonts w:ascii="仿宋_GB2312" w:eastAsia="仿宋_GB2312" w:cs="仿宋_GB2312" w:hint="eastAsia"/>
          <w:color w:val="auto"/>
          <w:w w:val="95"/>
          <w:kern w:val="0"/>
          <w:sz w:val="32"/>
          <w:lang w:val="en-US" w:eastAsia="zh-CN"/>
        </w:rPr>
        <w:t>7.13</w:t>
      </w:r>
      <w:r>
        <w:rPr>
          <w:rFonts w:ascii="仿宋_GB2312" w:eastAsia="仿宋_GB2312" w:cs="仿宋_GB2312" w:hint="eastAsia"/>
          <w:color w:val="auto"/>
          <w:w w:val="95"/>
          <w:kern w:val="0"/>
          <w:sz w:val="32"/>
        </w:rPr>
        <w:t>万元、差旅费</w:t>
      </w:r>
      <w:r>
        <w:rPr>
          <w:rFonts w:ascii="仿宋_GB2312" w:eastAsia="仿宋_GB2312" w:cs="仿宋_GB2312" w:hint="eastAsia"/>
          <w:color w:val="auto"/>
          <w:w w:val="95"/>
          <w:kern w:val="0"/>
          <w:sz w:val="32"/>
          <w:lang w:val="en-US" w:eastAsia="zh-CN"/>
        </w:rPr>
        <w:t>10.31</w:t>
      </w:r>
      <w:r>
        <w:rPr>
          <w:rFonts w:ascii="仿宋_GB2312" w:eastAsia="仿宋_GB2312" w:cs="仿宋_GB2312" w:hint="eastAsia"/>
          <w:color w:val="auto"/>
          <w:w w:val="95"/>
          <w:kern w:val="0"/>
          <w:sz w:val="32"/>
        </w:rPr>
        <w:t>万元，公务接待费</w:t>
      </w:r>
      <w:r>
        <w:rPr>
          <w:rFonts w:ascii="仿宋_GB2312" w:eastAsia="仿宋_GB2312" w:cs="仿宋_GB2312"/>
          <w:color w:val="auto"/>
          <w:w w:val="95"/>
          <w:kern w:val="0"/>
          <w:sz w:val="32"/>
        </w:rPr>
        <w:t>0.</w:t>
      </w:r>
      <w:r>
        <w:rPr>
          <w:rFonts w:ascii="仿宋_GB2312" w:eastAsia="仿宋_GB2312" w:cs="仿宋_GB2312" w:hint="eastAsia"/>
          <w:color w:val="auto"/>
          <w:w w:val="95"/>
          <w:kern w:val="0"/>
          <w:sz w:val="32"/>
          <w:lang w:val="en-US" w:eastAsia="zh-CN"/>
        </w:rPr>
        <w:t>15</w:t>
      </w:r>
      <w:r>
        <w:rPr>
          <w:rFonts w:ascii="仿宋_GB2312" w:eastAsia="仿宋_GB2312" w:cs="仿宋_GB2312" w:hint="eastAsia"/>
          <w:color w:val="auto"/>
          <w:w w:val="95"/>
          <w:kern w:val="0"/>
          <w:sz w:val="32"/>
        </w:rPr>
        <w:t>万元，工会经费</w:t>
      </w:r>
      <w:r>
        <w:rPr>
          <w:rFonts w:ascii="仿宋_GB2312" w:eastAsia="仿宋_GB2312" w:cs="仿宋_GB2312" w:hint="eastAsia"/>
          <w:color w:val="auto"/>
          <w:w w:val="95"/>
          <w:kern w:val="0"/>
          <w:sz w:val="32"/>
          <w:lang w:val="en-US" w:eastAsia="zh-CN"/>
        </w:rPr>
        <w:t>1.51</w:t>
      </w:r>
      <w:r>
        <w:rPr>
          <w:rFonts w:ascii="仿宋_GB2312" w:eastAsia="仿宋_GB2312" w:cs="仿宋_GB2312" w:hint="eastAsia"/>
          <w:color w:val="auto"/>
          <w:w w:val="95"/>
          <w:kern w:val="0"/>
          <w:sz w:val="32"/>
        </w:rPr>
        <w:t>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仿宋_GB2312" w:cs="Times New Roman" w:hAnsi="Times New Roman"/>
          <w:b w:val="0"/>
          <w:bCs w:val="0"/>
          <w:color w:val="000000"/>
          <w:kern w:val="0"/>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三</w:t>
      </w:r>
      <w:r>
        <w:rPr>
          <w:rFonts w:ascii="Times New Roman" w:eastAsia="楷体_GB2312" w:cs="Times New Roman" w:hAnsi="Times New Roman"/>
          <w:b/>
          <w:bCs/>
          <w:color w:val="000000"/>
          <w:kern w:val="0"/>
          <w:sz w:val="32"/>
          <w:szCs w:val="32"/>
          <w:shd w:val="clear" w:color="auto" w:fill="FFFFFF"/>
          <w:lang w:val="zh-CN"/>
          <w:highlight w:val="auto"/>
        </w:rPr>
        <w:t>）结余分配和结转结余情况</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eastAsia="仿宋_GB2312" w:cs="仿宋_GB2312" w:hint="eastAsia"/>
          <w:color w:val="auto"/>
          <w:kern w:val="2"/>
          <w:sz w:val="32"/>
          <w:szCs w:val="32"/>
          <w:lang w:val="en-US" w:eastAsia="zh-CN" w:bidi="ar-SA"/>
          <w:highlight w:val="auto"/>
        </w:rPr>
        <w:t>信访局</w:t>
      </w:r>
      <w:r>
        <w:rPr>
          <w:rFonts w:ascii="Times New Roman" w:eastAsia="仿宋_GB2312" w:cs="Times New Roman" w:hAnsi="Times New Roman" w:hint="eastAsia"/>
          <w:sz w:val="32"/>
          <w:szCs w:val="32"/>
          <w:lang w:val="en-US" w:eastAsia="zh-CN"/>
        </w:rPr>
        <w:t>2024年决算报表</w:t>
      </w:r>
      <w:r>
        <w:rPr>
          <w:rFonts w:ascii="Times New Roman" w:eastAsia="仿宋_GB2312" w:cs="Times New Roman" w:hAnsi="Times New Roman"/>
          <w:sz w:val="32"/>
          <w:szCs w:val="32"/>
          <w:lang w:val="en-US" w:eastAsia="zh-CN"/>
        </w:rPr>
        <w:t>结转结余</w:t>
      </w:r>
      <w:r>
        <w:rPr>
          <w:rFonts w:ascii="Times New Roman" w:eastAsia="仿宋_GB2312" w:cs="Times New Roman" w:hAnsi="Times New Roman" w:hint="eastAsia"/>
          <w:sz w:val="32"/>
          <w:szCs w:val="32"/>
          <w:lang w:val="en-US" w:eastAsia="zh-CN"/>
        </w:rPr>
        <w:t>情况</w:t>
      </w:r>
      <w:r>
        <w:rPr>
          <w:rFonts w:ascii="Times New Roman" w:eastAsia="仿宋_GB2312" w:cs="Times New Roman" w:hAnsi="Times New Roman"/>
          <w:sz w:val="32"/>
          <w:szCs w:val="32"/>
          <w:lang w:val="en-US" w:eastAsia="zh-CN"/>
        </w:rPr>
        <w:t>。</w:t>
      </w:r>
      <w:r>
        <w:rPr>
          <w:rFonts w:eastAsia="仿宋_GB2312" w:cs="Times New Roman" w:hint="eastAsia"/>
          <w:sz w:val="32"/>
          <w:szCs w:val="32"/>
          <w:lang w:val="en-US" w:eastAsia="zh-CN"/>
        </w:rPr>
        <w:t>无。</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eastAsia="zh-CN"/>
          <w:highlight w:val="auto"/>
        </w:rPr>
      </w:pPr>
      <w:r>
        <w:rPr>
          <w:rFonts w:ascii="Times New Roman" w:eastAsia="黑体" w:cs="Times New Roman" w:hAnsi="Times New Roman"/>
          <w:color w:val="000000"/>
          <w:kern w:val="0"/>
          <w:sz w:val="32"/>
          <w:szCs w:val="32"/>
          <w:shd w:val="clear" w:color="auto" w:fill="FFFFFF"/>
          <w:lang w:val="zh-CN" w:eastAsia="zh-CN"/>
          <w:highlight w:val="auto"/>
        </w:rPr>
        <w:t>三、部门预算绩效分析</w:t>
      </w:r>
    </w:p>
    <w:p>
      <w:pPr>
        <w:keepNext w:val="0"/>
        <w:keepLines w:val="0"/>
        <w:pageBreakBefore w:val="0"/>
        <w:widowControl w:val="0"/>
        <w:kinsoku/>
        <w:wordWrap/>
        <w:overflowPunct/>
        <w:topLinePunct w:val="0"/>
        <w:autoSpaceDE w:val="0"/>
        <w:autoSpaceDN/>
        <w:bidi w:val="0"/>
        <w:adjustRightInd/>
        <w:snapToGrid/>
        <w:spacing w:line="560" w:lineRule="exact"/>
        <w:ind w:left="0" w:firstLineChars="100" w:firstLine="320"/>
        <w:jc w:val="both"/>
        <w:textAlignment w:val="auto"/>
        <w:rPr>
          <w:rFonts w:ascii="仿宋_GB2312" w:eastAsia="仿宋_GB2312" w:cs="仿宋_GB2312" w:hint="eastAsia"/>
          <w:sz w:val="32"/>
          <w:szCs w:val="32"/>
          <w:lang w:val="en-US" w:eastAsia="zh-CN"/>
        </w:rPr>
      </w:pPr>
      <w:r>
        <w:rPr>
          <w:rFonts w:ascii="Times New Roman" w:eastAsia="楷体_GB2312" w:cs="Times New Roman" w:hAnsi="Times New Roman"/>
          <w:b/>
          <w:bCs/>
          <w:color w:val="000000"/>
          <w:kern w:val="0"/>
          <w:sz w:val="32"/>
          <w:szCs w:val="32"/>
          <w:shd w:val="clear" w:color="auto" w:fill="FFFFFF"/>
          <w:lang w:val="zh-CN"/>
          <w:highlight w:val="auto"/>
        </w:rPr>
        <w:t>（一）</w:t>
      </w:r>
      <w:r>
        <w:rPr>
          <w:rFonts w:ascii="Times New Roman" w:eastAsia="楷体_GB2312" w:cs="Times New Roman" w:hAnsi="Times New Roman" w:hint="eastAsia"/>
          <w:b/>
          <w:bCs/>
          <w:color w:val="000000"/>
          <w:kern w:val="0"/>
          <w:sz w:val="32"/>
          <w:szCs w:val="32"/>
          <w:shd w:val="clear" w:color="auto" w:fill="FFFFFF"/>
          <w:lang w:val="zh-CN"/>
          <w:highlight w:val="auto"/>
        </w:rPr>
        <w:t>部门预算</w:t>
      </w:r>
      <w:r>
        <w:rPr>
          <w:rFonts w:ascii="Times New Roman" w:eastAsia="楷体_GB2312" w:cs="Times New Roman" w:hAnsi="Times New Roman"/>
          <w:b/>
          <w:bCs/>
          <w:color w:val="000000"/>
          <w:kern w:val="0"/>
          <w:sz w:val="32"/>
          <w:szCs w:val="32"/>
          <w:shd w:val="clear" w:color="auto" w:fill="FFFFFF"/>
          <w:lang w:val="zh-CN"/>
          <w:highlight w:val="auto"/>
        </w:rPr>
        <w:t>总体绩效分析。</w:t>
      </w:r>
      <w:r>
        <w:rPr>
          <w:rFonts w:ascii="仿宋_GB2312" w:eastAsia="仿宋_GB2312" w:cs="仿宋_GB2312" w:hint="eastAsia"/>
          <w:b/>
          <w:bCs/>
          <w:color w:val="000000"/>
          <w:kern w:val="0"/>
          <w:sz w:val="32"/>
          <w:szCs w:val="32"/>
          <w:shd w:val="clear" w:color="auto" w:fill="FFFFFF"/>
          <w:lang w:val="en-US" w:eastAsia="zh-CN"/>
          <w:highlight w:val="auto"/>
        </w:rPr>
        <w:t>1.</w:t>
      </w:r>
      <w:r>
        <w:rPr>
          <w:rFonts w:ascii="仿宋_GB2312" w:eastAsia="仿宋_GB2312" w:cs="仿宋_GB2312" w:hint="eastAsia"/>
          <w:b/>
          <w:bCs/>
          <w:color w:val="000000"/>
          <w:kern w:val="0"/>
          <w:sz w:val="32"/>
          <w:szCs w:val="32"/>
          <w:shd w:val="clear" w:color="auto" w:fill="FFFFFF"/>
          <w:lang w:val="zh-CN"/>
          <w:highlight w:val="auto"/>
        </w:rPr>
        <w:t>履职效能。</w:t>
      </w:r>
      <w:r>
        <w:rPr>
          <w:rFonts w:ascii="仿宋_GB2312" w:eastAsia="仿宋_GB2312" w:cs="仿宋_GB2312" w:hint="eastAsia"/>
          <w:kern w:val="2"/>
          <w:sz w:val="32"/>
          <w:szCs w:val="32"/>
        </w:rPr>
        <w:t>202</w:t>
      </w:r>
      <w:r>
        <w:rPr>
          <w:rFonts w:ascii="仿宋_GB2312" w:cs="仿宋_GB2312" w:hAnsi="仿宋_GB2312" w:hint="eastAsia"/>
          <w:kern w:val="2"/>
          <w:sz w:val="32"/>
          <w:szCs w:val="32"/>
          <w:lang w:val="en-US" w:eastAsia="zh-CN"/>
        </w:rPr>
        <w:t>4</w:t>
      </w:r>
      <w:r>
        <w:rPr>
          <w:rFonts w:ascii="仿宋_GB2312" w:eastAsia="仿宋_GB2312" w:cs="仿宋_GB2312" w:hint="eastAsia"/>
          <w:kern w:val="2"/>
          <w:sz w:val="32"/>
          <w:szCs w:val="32"/>
        </w:rPr>
        <w:t>年，</w:t>
      </w:r>
      <w:r>
        <w:rPr>
          <w:rFonts w:ascii="仿宋_GB2312" w:eastAsia="仿宋_GB2312" w:cs="仿宋_GB2312" w:hint="eastAsia"/>
          <w:sz w:val="32"/>
          <w:szCs w:val="32"/>
          <w:lang w:val="en-US" w:eastAsia="zh-CN"/>
        </w:rPr>
        <w:t>落实全县信访工作严格按照以贯彻习近平总书记关于加强和改进人民信访工作的重要思想为指导，继承发扬新时代“枫桥经验”，认真践行“四下基层”工作方法，扎实推进信访工作法治化，守住了不发生进京到省非访、不发生信访恶性事件、不发生信访群体性事件、不发生因工作不当引起的负面炒作“四个不发生”的底线。</w:t>
      </w:r>
      <w:r>
        <w:rPr>
          <w:rFonts w:ascii="楷体_GB2312" w:eastAsia="楷体_GB2312" w:cs="楷体_GB2312" w:hint="eastAsia"/>
          <w:b/>
          <w:bCs/>
          <w:sz w:val="32"/>
          <w:szCs w:val="32"/>
          <w:lang w:val="en-US" w:eastAsia="zh-CN"/>
        </w:rPr>
        <w:t>一是认真做好接访办信工作。</w:t>
      </w:r>
      <w:r>
        <w:rPr>
          <w:rFonts w:ascii="仿宋_GB2312" w:cs="仿宋_GB2312" w:hAnsi="仿宋_GB2312" w:hint="eastAsia"/>
          <w:b w:val="0"/>
          <w:bCs w:val="0"/>
          <w:sz w:val="32"/>
          <w:szCs w:val="32"/>
          <w:lang w:val="en-US" w:eastAsia="zh-CN"/>
        </w:rPr>
        <w:t>2024年</w:t>
      </w:r>
      <w:r>
        <w:rPr>
          <w:rFonts w:ascii="仿宋_GB2312" w:eastAsia="仿宋_GB2312" w:cs="仿宋_GB2312" w:hint="eastAsia"/>
          <w:b w:val="0"/>
          <w:bCs w:val="0"/>
          <w:sz w:val="32"/>
          <w:szCs w:val="32"/>
          <w:lang w:val="en-US" w:eastAsia="zh-CN"/>
        </w:rPr>
        <w:t>，</w:t>
      </w:r>
      <w:r>
        <w:rPr>
          <w:rFonts w:ascii="仿宋_GB2312" w:eastAsia="仿宋_GB2312" w:cs="仿宋_GB2312" w:hint="eastAsia"/>
          <w:sz w:val="32"/>
          <w:szCs w:val="32"/>
          <w:lang w:val="en-US" w:eastAsia="zh-CN"/>
        </w:rPr>
        <w:t>共受理信访事项104件，</w:t>
      </w:r>
      <w:r>
        <w:rPr>
          <w:rFonts w:ascii="仿宋_GB2312" w:cs="仿宋_GB2312" w:hAnsi="仿宋_GB2312" w:hint="eastAsia"/>
          <w:sz w:val="32"/>
          <w:szCs w:val="32"/>
          <w:lang w:val="en-US" w:eastAsia="zh-CN"/>
        </w:rPr>
        <w:t>104</w:t>
      </w:r>
      <w:r>
        <w:rPr>
          <w:rFonts w:ascii="仿宋_GB2312" w:eastAsia="仿宋_GB2312" w:cs="仿宋_GB2312" w:hint="eastAsia"/>
          <w:sz w:val="32"/>
          <w:szCs w:val="32"/>
          <w:lang w:val="en-US" w:eastAsia="zh-CN"/>
        </w:rPr>
        <w:t>件办结。其中，来信6件，来访7件，网上投诉14件，领导信箱18件，人民网3件，交办件1件，督办件3件，政策咨询类52件。</w:t>
      </w:r>
      <w:r>
        <w:rPr>
          <w:rFonts w:ascii="仿宋_GB2312" w:eastAsia="仿宋_GB2312" w:cs="仿宋_GB2312" w:hint="eastAsia"/>
          <w:kern w:val="2"/>
          <w:sz w:val="32"/>
          <w:szCs w:val="32"/>
          <w:lang w:val="en-US" w:eastAsia="zh-CN" w:bidi="ar-SA"/>
        </w:rPr>
        <w:t>及时受理率、按期办结率、参评群众满意率均达到100%。</w:t>
      </w:r>
      <w:r>
        <w:rPr>
          <w:rFonts w:ascii="楷体_GB2312" w:eastAsia="楷体_GB2312" w:cs="楷体_GB2312" w:hint="eastAsia"/>
          <w:b/>
          <w:bCs/>
          <w:sz w:val="32"/>
          <w:szCs w:val="32"/>
          <w:lang w:val="en-US" w:eastAsia="zh-CN"/>
        </w:rPr>
        <w:t>二是认真做好隐患排解工作。</w:t>
      </w:r>
      <w:r>
        <w:rPr>
          <w:rFonts w:ascii="仿宋_GB2312" w:eastAsia="仿宋_GB2312" w:cs="仿宋_GB2312" w:hint="eastAsia"/>
          <w:sz w:val="32"/>
          <w:szCs w:val="32"/>
          <w:u w:val="none"/>
          <w:lang w:val="en-US" w:eastAsia="zh-CN"/>
        </w:rPr>
        <w:t>继承和弘扬新时期“枫桥经验”，常态开展矛盾纠纷排查化解，做到第一时间发现、第一时</w:t>
      </w:r>
      <w:r>
        <w:rPr>
          <w:rFonts w:ascii="仿宋_GB2312" w:eastAsia="仿宋_GB2312" w:cs="仿宋_GB2312" w:hint="eastAsia"/>
          <w:sz w:val="32"/>
          <w:szCs w:val="32"/>
        </w:rPr>
        <w:t>间化解</w:t>
      </w:r>
      <w:r>
        <w:rPr>
          <w:rFonts w:ascii="仿宋_GB2312" w:eastAsia="仿宋_GB2312" w:cs="仿宋_GB2312" w:hint="eastAsia"/>
          <w:sz w:val="32"/>
          <w:szCs w:val="32"/>
          <w:lang w:eastAsia="zh-CN"/>
        </w:rPr>
        <w:t>，把</w:t>
      </w:r>
      <w:r>
        <w:rPr>
          <w:rFonts w:ascii="仿宋_GB2312" w:eastAsia="仿宋_GB2312" w:cs="仿宋_GB2312" w:hint="eastAsia"/>
          <w:sz w:val="32"/>
          <w:szCs w:val="32"/>
          <w:lang w:val="en-US" w:eastAsia="zh-CN"/>
        </w:rPr>
        <w:t>信访纠纷解决在基层。</w:t>
      </w:r>
      <w:r>
        <w:rPr>
          <w:rFonts w:ascii="仿宋_GB2312" w:cs="仿宋_GB2312" w:hAnsi="仿宋_GB2312" w:hint="eastAsia"/>
          <w:sz w:val="32"/>
          <w:szCs w:val="32"/>
          <w:lang w:val="en-US" w:eastAsia="zh-CN"/>
        </w:rPr>
        <w:t>2024年</w:t>
      </w:r>
      <w:r>
        <w:rPr>
          <w:rFonts w:ascii="仿宋_GB2312" w:eastAsia="仿宋_GB2312" w:cs="仿宋_GB2312" w:hint="eastAsia"/>
          <w:sz w:val="32"/>
          <w:szCs w:val="32"/>
          <w:u w:val="none"/>
          <w:lang w:val="en-US" w:eastAsia="zh-CN"/>
        </w:rPr>
        <w:t>，</w:t>
      </w:r>
      <w:r>
        <w:rPr>
          <w:rFonts w:ascii="仿宋_GB2312" w:eastAsia="仿宋_GB2312" w:cs="仿宋_GB2312" w:hint="eastAsia"/>
          <w:color w:val="000000"/>
          <w:sz w:val="32"/>
          <w:szCs w:val="32"/>
          <w:u w:val="none"/>
          <w:lang w:val="en-US" w:eastAsia="zh-CN"/>
        </w:rPr>
        <w:t>共排查出信访矛盾纠纷26件，化解26件，</w:t>
      </w:r>
      <w:r>
        <w:rPr>
          <w:rFonts w:ascii="仿宋_GB2312" w:eastAsia="仿宋_GB2312" w:cs="仿宋_GB2312" w:hint="eastAsia"/>
          <w:sz w:val="32"/>
          <w:szCs w:val="32"/>
          <w:u w:val="none"/>
          <w:lang w:val="en-US" w:eastAsia="zh-CN"/>
        </w:rPr>
        <w:t>化解率100%。</w:t>
      </w:r>
      <w:r>
        <w:rPr>
          <w:rFonts w:ascii="楷体_GB2312" w:eastAsia="楷体_GB2312" w:cs="楷体_GB2312" w:hint="eastAsia"/>
          <w:b/>
          <w:bCs/>
          <w:sz w:val="32"/>
          <w:szCs w:val="32"/>
          <w:lang w:val="en-US" w:eastAsia="zh-CN"/>
        </w:rPr>
        <w:t>三是认真做好领导接访工作。</w:t>
      </w:r>
      <w:r>
        <w:rPr>
          <w:rFonts w:ascii="仿宋_GB2312" w:eastAsia="仿宋_GB2312" w:cs="仿宋_GB2312" w:hint="eastAsia"/>
          <w:sz w:val="32"/>
          <w:szCs w:val="32"/>
          <w:u w:val="none"/>
          <w:lang w:val="en-US" w:eastAsia="zh-CN"/>
        </w:rPr>
        <w:t>修订完善并以两办的名义下发《领导干部接</w:t>
      </w:r>
      <w:r>
        <w:rPr>
          <w:rFonts w:ascii="仿宋_GB2312" w:eastAsia="仿宋_GB2312" w:cs="仿宋_GB2312" w:hint="eastAsia"/>
          <w:sz w:val="32"/>
          <w:szCs w:val="32"/>
          <w:lang w:val="en-US" w:eastAsia="zh-CN"/>
        </w:rPr>
        <w:t>访下访工作方案》，充分发挥领导干部在化解处置信访问题中的“头雁”作用，推动信访积案难案有效化解。截至目前，县级领导接访群众19批35余人次，群众诉求得到妥善有效解决。</w:t>
      </w:r>
      <w:r>
        <w:rPr>
          <w:rFonts w:ascii="楷体_GB2312" w:eastAsia="楷体_GB2312" w:cs="楷体_GB2312" w:hint="eastAsia"/>
          <w:b/>
          <w:bCs/>
          <w:sz w:val="32"/>
          <w:szCs w:val="32"/>
          <w:lang w:val="en-US" w:eastAsia="zh-CN"/>
        </w:rPr>
        <w:t>四是认真做好信访保障工作。</w:t>
      </w:r>
      <w:r>
        <w:rPr>
          <w:rFonts w:ascii="仿宋_GB2312" w:eastAsia="仿宋_GB2312" w:cs="仿宋_GB2312" w:hint="eastAsia"/>
          <w:sz w:val="32"/>
          <w:szCs w:val="32"/>
          <w:lang w:val="en-US" w:eastAsia="zh-CN"/>
        </w:rPr>
        <w:t>聚焦全国、全省“两会”和二十届三中全会等重要时段，提前谋划部署，</w:t>
      </w:r>
      <w:r>
        <w:rPr>
          <w:rFonts w:ascii="仿宋_GB2312" w:eastAsia="仿宋_GB2312" w:cs="仿宋_GB2312" w:hint="eastAsia"/>
          <w:color w:val="auto"/>
          <w:kern w:val="2"/>
          <w:sz w:val="32"/>
          <w:szCs w:val="32"/>
          <w:lang w:val="en-US" w:eastAsia="zh-CN" w:bidi="ar-SA"/>
        </w:rPr>
        <w:t>点对点发放管控函12份，工作提示单56余份，</w:t>
      </w:r>
      <w:r>
        <w:rPr>
          <w:rFonts w:ascii="仿宋_GB2312" w:eastAsia="仿宋_GB2312" w:cs="仿宋_GB2312" w:hint="eastAsia"/>
          <w:color w:val="auto"/>
          <w:sz w:val="32"/>
          <w:szCs w:val="32"/>
          <w:lang w:eastAsia="zh-CN"/>
        </w:rPr>
        <w:t>采取跟踪管控、定期走访、电话沟通等方式做实信访重点人员的教育管控工作。按照州信联办要求</w:t>
      </w:r>
      <w:r>
        <w:rPr>
          <w:rFonts w:ascii="仿宋_GB2312" w:eastAsia="仿宋_GB2312" w:cs="仿宋_GB2312" w:hint="eastAsia"/>
          <w:sz w:val="32"/>
          <w:szCs w:val="32"/>
          <w:lang w:val="en-US" w:eastAsia="zh-CN"/>
        </w:rPr>
        <w:t>及时组建驻蓉信访安全保障工作组，确保重要时段信访形势安全平稳。</w:t>
      </w:r>
      <w:r>
        <w:rPr>
          <w:rFonts w:ascii="楷体_GB2312" w:eastAsia="楷体_GB2312" w:cs="楷体_GB2312" w:hint="eastAsia"/>
          <w:b/>
          <w:bCs/>
          <w:sz w:val="32"/>
          <w:szCs w:val="32"/>
          <w:lang w:val="en-US" w:eastAsia="zh-CN"/>
        </w:rPr>
        <w:t>五是认真做好宣传学习工作。</w:t>
      </w:r>
      <w:r>
        <w:rPr>
          <w:rFonts w:ascii="仿宋_GB2312" w:eastAsia="仿宋_GB2312" w:cs="仿宋_GB2312" w:hint="eastAsia"/>
          <w:b w:val="0"/>
          <w:bCs w:val="0"/>
          <w:sz w:val="32"/>
          <w:szCs w:val="32"/>
          <w:lang w:val="en-US" w:eastAsia="zh-CN"/>
        </w:rPr>
        <w:t>把握《信访工作条例》实施2周年宣传活动为契机，深入乡镇、企业、学校、机关等单位，全方位、多角度、用藏汉双语的方式近距离向群众宣传《条例》，确实把学习宣传贯彻《信访工作条例》这项工作走深走实,现场开展《信访工作条例》政策解释4次，收集政策咨询信息100余条，共发放宣传手册800余份。</w:t>
      </w:r>
      <w:r>
        <w:rPr>
          <w:rFonts w:ascii="楷体_GB2312" w:eastAsia="楷体_GB2312" w:cs="楷体_GB2312" w:hint="eastAsia"/>
          <w:b/>
          <w:bCs/>
          <w:kern w:val="2"/>
          <w:sz w:val="32"/>
          <w:szCs w:val="32"/>
          <w:lang w:val="en-US" w:eastAsia="zh-CN" w:bidi="ar-SA"/>
        </w:rPr>
        <w:t>六是认真做好其他重点工作。</w:t>
      </w:r>
      <w:r>
        <w:rPr>
          <w:rFonts w:ascii="仿宋_GB2312" w:eastAsia="仿宋_GB2312" w:cs="仿宋_GB2312" w:hint="eastAsia"/>
          <w:b/>
          <w:w w:val="98"/>
          <w:sz w:val="32"/>
          <w:szCs w:val="32"/>
          <w:lang w:val="en-US" w:eastAsia="zh-CN"/>
        </w:rPr>
        <w:t>一是</w:t>
      </w:r>
      <w:r>
        <w:rPr>
          <w:rFonts w:ascii="仿宋_GB2312" w:eastAsia="仿宋_GB2312" w:cs="仿宋_GB2312" w:hint="eastAsia"/>
          <w:b w:val="0"/>
          <w:bCs/>
          <w:w w:val="98"/>
          <w:sz w:val="32"/>
          <w:szCs w:val="32"/>
          <w:lang w:val="en-US" w:eastAsia="zh-CN"/>
        </w:rPr>
        <w:t>年初</w:t>
      </w:r>
      <w:r>
        <w:rPr>
          <w:rFonts w:ascii="仿宋_GB2312" w:eastAsia="仿宋_GB2312" w:cs="仿宋_GB2312" w:hint="eastAsia"/>
          <w:w w:val="98"/>
          <w:sz w:val="32"/>
          <w:szCs w:val="32"/>
          <w:lang w:val="en-US" w:eastAsia="zh-CN"/>
        </w:rPr>
        <w:t>召开工作部署会议，对党建、党风廉政、意识形态等工作进行安排部署，细化责任分工、明确目标任务。</w:t>
      </w:r>
      <w:r>
        <w:rPr>
          <w:rFonts w:ascii="仿宋_GB2312" w:eastAsia="仿宋_GB2312" w:cs="仿宋_GB2312" w:hint="eastAsia"/>
          <w:b/>
          <w:w w:val="98"/>
          <w:sz w:val="32"/>
          <w:szCs w:val="32"/>
          <w:lang w:val="en-US" w:eastAsia="zh-CN"/>
        </w:rPr>
        <w:t>二是</w:t>
      </w:r>
      <w:r>
        <w:rPr>
          <w:rFonts w:ascii="仿宋_GB2312" w:eastAsia="仿宋_GB2312" w:cs="仿宋_GB2312" w:hint="eastAsia"/>
          <w:w w:val="98"/>
          <w:sz w:val="32"/>
          <w:szCs w:val="32"/>
          <w:lang w:val="en-US" w:eastAsia="zh-CN"/>
        </w:rPr>
        <w:t>召开专题会议传达学习党建、党风廉政等文件会议要求并</w:t>
      </w:r>
      <w:r>
        <w:rPr>
          <w:rFonts w:ascii="仿宋_GB2312" w:eastAsia="仿宋_GB2312" w:cs="仿宋_GB2312" w:hint="eastAsia"/>
          <w:w w:val="98"/>
          <w:sz w:val="32"/>
          <w:szCs w:val="32"/>
          <w:lang w:eastAsia="zh-CN"/>
        </w:rPr>
        <w:t>签订党风廉政责任书</w:t>
      </w:r>
      <w:r>
        <w:rPr>
          <w:rFonts w:ascii="仿宋_GB2312" w:eastAsia="仿宋_GB2312" w:cs="仿宋_GB2312" w:hint="eastAsia"/>
          <w:w w:val="98"/>
          <w:sz w:val="32"/>
          <w:szCs w:val="32"/>
          <w:lang w:val="en-US" w:eastAsia="zh-CN"/>
        </w:rPr>
        <w:t>8份。</w:t>
      </w:r>
      <w:r>
        <w:rPr>
          <w:rFonts w:ascii="仿宋_GB2312" w:eastAsia="仿宋_GB2312" w:cs="仿宋_GB2312" w:hint="eastAsia"/>
          <w:b/>
          <w:bCs/>
          <w:w w:val="98"/>
          <w:sz w:val="32"/>
          <w:szCs w:val="32"/>
          <w:lang w:val="en-US" w:eastAsia="zh-CN"/>
        </w:rPr>
        <w:t>三是</w:t>
      </w:r>
      <w:r>
        <w:rPr>
          <w:rFonts w:ascii="仿宋_GB2312" w:eastAsia="仿宋_GB2312" w:cs="仿宋_GB2312" w:hint="eastAsia"/>
          <w:w w:val="98"/>
          <w:sz w:val="32"/>
          <w:szCs w:val="32"/>
          <w:lang w:val="en-US" w:eastAsia="zh-CN"/>
        </w:rPr>
        <w:t>组织干部职工认真学习领会习近平新时代中国特色社会主义思想的常态化学习、省州县党代会、二十届三中全会等重要会议精神，并结合信访工作职责抓好贯彻落实。</w:t>
      </w:r>
      <w:r>
        <w:rPr>
          <w:rFonts w:ascii="仿宋_GB2312" w:eastAsia="仿宋_GB2312" w:cs="仿宋_GB2312" w:hint="eastAsia"/>
          <w:b/>
          <w:bCs/>
          <w:w w:val="98"/>
          <w:sz w:val="32"/>
          <w:szCs w:val="32"/>
          <w:lang w:val="en-US" w:eastAsia="zh-CN"/>
        </w:rPr>
        <w:t>四是</w:t>
      </w:r>
      <w:r>
        <w:rPr>
          <w:rFonts w:ascii="仿宋_GB2312" w:eastAsia="仿宋_GB2312" w:cs="仿宋_GB2312" w:hint="eastAsia"/>
          <w:w w:val="98"/>
          <w:sz w:val="32"/>
          <w:szCs w:val="32"/>
          <w:lang w:val="en-US" w:eastAsia="zh-CN"/>
        </w:rPr>
        <w:t>常态开展“双联双进”“微网实格”工作，了解掌握群众生产生活情况、宣传党的民族政策及法律法规。</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b/>
          <w:bCs/>
          <w:color w:val="000000"/>
          <w:kern w:val="0"/>
          <w:sz w:val="32"/>
          <w:szCs w:val="32"/>
          <w:shd w:val="clear" w:color="auto" w:fill="FFFFFF"/>
          <w:lang w:val="en-US" w:eastAsia="zh-CN" w:bidi="ar-SA"/>
          <w:highlight w:val="auto"/>
        </w:rPr>
        <w:t>2.</w:t>
      </w:r>
      <w:r>
        <w:rPr>
          <w:rFonts w:ascii="仿宋_GB2312" w:eastAsia="仿宋_GB2312" w:cs="仿宋_GB2312"/>
          <w:b/>
          <w:bCs/>
          <w:color w:val="000000"/>
          <w:kern w:val="0"/>
          <w:sz w:val="32"/>
          <w:szCs w:val="32"/>
          <w:shd w:val="clear" w:color="auto" w:fill="FFFFFF"/>
          <w:lang w:val="zh-CN" w:eastAsia="zh-CN" w:bidi="ar-SA"/>
          <w:highlight w:val="auto"/>
        </w:rPr>
        <w:t>预算管理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rPr>
        <w:t>红原</w:t>
      </w:r>
      <w:r>
        <w:rPr>
          <w:rFonts w:ascii="仿宋_GB2312" w:eastAsia="仿宋_GB2312" w:cs="仿宋_GB2312" w:hint="eastAsia"/>
          <w:kern w:val="2"/>
          <w:sz w:val="32"/>
          <w:szCs w:val="32"/>
          <w:lang w:eastAsia="zh-CN"/>
        </w:rPr>
        <w:t>县</w:t>
      </w:r>
      <w:r>
        <w:rPr>
          <w:rFonts w:ascii="仿宋_GB2312" w:eastAsia="仿宋_GB2312" w:cs="仿宋_GB2312" w:hint="eastAsia"/>
          <w:kern w:val="2"/>
          <w:sz w:val="32"/>
          <w:szCs w:val="32"/>
        </w:rPr>
        <w:t>信访局202</w:t>
      </w:r>
      <w:r>
        <w:rPr>
          <w:rFonts w:ascii="仿宋_GB2312" w:eastAsia="仿宋_GB2312" w:cs="仿宋_GB2312" w:hint="eastAsia"/>
          <w:kern w:val="2"/>
          <w:sz w:val="32"/>
          <w:szCs w:val="32"/>
          <w:lang w:val="en-US" w:eastAsia="zh-CN"/>
        </w:rPr>
        <w:t>4</w:t>
      </w:r>
      <w:r>
        <w:rPr>
          <w:rFonts w:ascii="仿宋_GB2312" w:eastAsia="仿宋_GB2312" w:cs="仿宋_GB2312" w:hint="eastAsia"/>
          <w:kern w:val="2"/>
          <w:sz w:val="32"/>
          <w:szCs w:val="32"/>
        </w:rPr>
        <w:t>年总支出</w:t>
      </w:r>
      <w:r>
        <w:rPr>
          <w:rFonts w:ascii="仿宋_GB2312" w:eastAsia="仿宋_GB2312" w:cs="仿宋_GB2312" w:hint="eastAsia"/>
          <w:kern w:val="2"/>
          <w:sz w:val="32"/>
          <w:szCs w:val="32"/>
          <w:lang w:val="en-US" w:eastAsia="zh-CN"/>
        </w:rPr>
        <w:t>263.05</w:t>
      </w:r>
      <w:r>
        <w:rPr>
          <w:rFonts w:ascii="仿宋_GB2312" w:eastAsia="仿宋_GB2312" w:cs="仿宋_GB2312" w:hint="eastAsia"/>
          <w:kern w:val="2"/>
          <w:sz w:val="32"/>
          <w:szCs w:val="32"/>
        </w:rPr>
        <w:t>元，主要用于保障该部门机构正常运转、完成日常工作任务以及相关工作。支出按照基本支出</w:t>
      </w:r>
      <w:r>
        <w:rPr>
          <w:rFonts w:ascii="仿宋_GB2312" w:eastAsia="仿宋_GB2312" w:cs="仿宋_GB2312" w:hint="eastAsia"/>
          <w:kern w:val="2"/>
          <w:sz w:val="32"/>
          <w:szCs w:val="32"/>
          <w:lang w:val="en-US" w:eastAsia="zh-CN"/>
        </w:rPr>
        <w:t>222.89</w:t>
      </w:r>
      <w:r>
        <w:rPr>
          <w:rFonts w:ascii="仿宋_GB2312" w:eastAsia="仿宋_GB2312" w:cs="仿宋_GB2312" w:hint="eastAsia"/>
          <w:kern w:val="2"/>
          <w:sz w:val="32"/>
          <w:szCs w:val="32"/>
        </w:rPr>
        <w:t>万元，项目支出</w:t>
      </w:r>
      <w:r>
        <w:rPr>
          <w:rFonts w:ascii="仿宋_GB2312" w:eastAsia="仿宋_GB2312" w:cs="仿宋_GB2312" w:hint="eastAsia"/>
          <w:kern w:val="2"/>
          <w:sz w:val="32"/>
          <w:szCs w:val="32"/>
          <w:lang w:val="en-US" w:eastAsia="zh-CN"/>
        </w:rPr>
        <w:t>40.16</w:t>
      </w:r>
      <w:r>
        <w:rPr>
          <w:rFonts w:ascii="仿宋_GB2312" w:eastAsia="仿宋_GB2312" w:cs="仿宋_GB2312" w:hint="eastAsia"/>
          <w:kern w:val="2"/>
          <w:sz w:val="32"/>
          <w:szCs w:val="32"/>
        </w:rPr>
        <w:t>万元。人员经费</w:t>
      </w:r>
      <w:r>
        <w:rPr>
          <w:rFonts w:ascii="仿宋_GB2312" w:eastAsia="仿宋_GB2312" w:cs="仿宋_GB2312" w:hint="eastAsia"/>
          <w:kern w:val="2"/>
          <w:sz w:val="32"/>
          <w:szCs w:val="32"/>
          <w:lang w:val="en-US" w:eastAsia="zh-CN"/>
        </w:rPr>
        <w:t>201.39</w:t>
      </w:r>
      <w:r>
        <w:rPr>
          <w:rFonts w:ascii="仿宋_GB2312" w:eastAsia="仿宋_GB2312" w:cs="仿宋_GB2312" w:hint="eastAsia"/>
          <w:kern w:val="2"/>
          <w:sz w:val="32"/>
          <w:szCs w:val="32"/>
        </w:rPr>
        <w:t>万元，公用经费</w:t>
      </w:r>
      <w:r>
        <w:rPr>
          <w:rFonts w:ascii="仿宋_GB2312" w:eastAsia="仿宋_GB2312" w:cs="仿宋_GB2312" w:hint="eastAsia"/>
          <w:kern w:val="2"/>
          <w:sz w:val="32"/>
          <w:szCs w:val="32"/>
          <w:lang w:val="en-US" w:eastAsia="zh-CN"/>
        </w:rPr>
        <w:t>21.5</w:t>
      </w:r>
      <w:r>
        <w:rPr>
          <w:rFonts w:ascii="仿宋_GB2312" w:eastAsia="仿宋_GB2312" w:cs="仿宋_GB2312" w:hint="eastAsia"/>
          <w:kern w:val="2"/>
          <w:sz w:val="32"/>
          <w:szCs w:val="32"/>
        </w:rPr>
        <w:t>万元。</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根据我局年初工作规划和重点性工作，较好的完成了年度工作目标。通过加强预算收支的管理，不断建立健全内部管理制度，理顺内部管理流程，部门整体支出管理情况得到了提升。</w:t>
      </w:r>
      <w:r>
        <w:rPr>
          <w:rFonts w:ascii="仿宋_GB2312" w:eastAsia="仿宋_GB2312" w:cs="仿宋_GB2312" w:hint="eastAsia"/>
          <w:b/>
          <w:bCs/>
          <w:kern w:val="2"/>
          <w:sz w:val="32"/>
          <w:szCs w:val="32"/>
        </w:rPr>
        <w:t>一是</w:t>
      </w:r>
      <w:r>
        <w:rPr>
          <w:rFonts w:ascii="仿宋_GB2312" w:eastAsia="仿宋_GB2312" w:cs="仿宋_GB2312" w:hint="eastAsia"/>
          <w:kern w:val="2"/>
          <w:sz w:val="32"/>
          <w:szCs w:val="32"/>
        </w:rPr>
        <w:t>本年预算安排控制较好，财政供养人员控制率100%，控制在预算编制以内；</w:t>
      </w:r>
      <w:r>
        <w:rPr>
          <w:rFonts w:ascii="仿宋_GB2312" w:eastAsia="仿宋_GB2312" w:cs="仿宋_GB2312" w:hint="eastAsia"/>
          <w:b/>
          <w:bCs/>
          <w:kern w:val="2"/>
          <w:sz w:val="32"/>
          <w:szCs w:val="32"/>
        </w:rPr>
        <w:t>二是</w:t>
      </w:r>
      <w:r>
        <w:rPr>
          <w:rFonts w:ascii="仿宋_GB2312" w:eastAsia="仿宋_GB2312" w:cs="仿宋_GB2312" w:hint="eastAsia"/>
          <w:kern w:val="2"/>
          <w:sz w:val="32"/>
          <w:szCs w:val="32"/>
        </w:rPr>
        <w:t>预算执行方面，本年转移资金支付不存在截留或滞留专项资金情况。</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lang w:val="zh-CN"/>
        </w:rPr>
      </w:pPr>
      <w:r>
        <w:rPr>
          <w:rFonts w:ascii="仿宋_GB2312" w:eastAsia="仿宋_GB2312" w:cs="仿宋_GB2312" w:hint="eastAsia"/>
          <w:b/>
          <w:bCs/>
          <w:color w:val="000000"/>
          <w:kern w:val="0"/>
          <w:sz w:val="32"/>
          <w:szCs w:val="32"/>
          <w:shd w:val="clear" w:color="auto" w:fill="FFFFFF"/>
          <w:lang w:val="en-US" w:eastAsia="zh-CN" w:bidi="ar-SA"/>
          <w:highlight w:val="auto"/>
        </w:rPr>
        <w:t>3.</w:t>
      </w:r>
      <w:r>
        <w:rPr>
          <w:rFonts w:ascii="仿宋_GB2312" w:eastAsia="仿宋_GB2312" w:cs="仿宋_GB2312"/>
          <w:b/>
          <w:bCs/>
          <w:color w:val="000000"/>
          <w:kern w:val="0"/>
          <w:sz w:val="32"/>
          <w:szCs w:val="32"/>
          <w:shd w:val="clear" w:color="auto" w:fill="FFFFFF"/>
          <w:lang w:val="zh-CN" w:eastAsia="zh-CN" w:bidi="ar-SA"/>
          <w:highlight w:val="auto"/>
        </w:rPr>
        <w:t>财务管理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lang w:val="zh-CN"/>
        </w:rPr>
        <w:t>财务管理规范，制定财务制度，遵守财经纪律，严格各项报账、审核制度；绩效工作方面，以深入创建人民满意度窗口创建为主线，开展好来访接待办理工作，强化财务人员的管理评价，把资金预算好、管理好，使用好，把每笔公务经费合理合规合法安排，一年来，“三公”经反复无超支现象，各项工有序稳固推进；决算工作按照县级安排，有序组织会计人员做好决算的录入、上报等工作。</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仿宋_GB2312" w:eastAsia="仿宋_GB2312" w:cs="仿宋_GB2312" w:hint="eastAsia"/>
          <w:kern w:val="2"/>
          <w:sz w:val="32"/>
          <w:szCs w:val="32"/>
          <w:lang w:val="zh-CN" w:eastAsia="zh-CN"/>
        </w:rPr>
      </w:pPr>
      <w:r>
        <w:rPr>
          <w:rFonts w:ascii="仿宋_GB2312" w:eastAsia="仿宋_GB2312" w:cs="仿宋_GB2312" w:hint="eastAsia"/>
          <w:b/>
          <w:bCs/>
          <w:color w:val="000000"/>
          <w:kern w:val="0"/>
          <w:sz w:val="32"/>
          <w:szCs w:val="32"/>
          <w:shd w:val="clear" w:color="auto" w:fill="FFFFFF"/>
          <w:lang w:val="en-US" w:eastAsia="zh-CN" w:bidi="ar-SA"/>
          <w:highlight w:val="auto"/>
        </w:rPr>
        <w:t>4.</w:t>
      </w:r>
      <w:r>
        <w:rPr>
          <w:rFonts w:ascii="仿宋_GB2312" w:eastAsia="仿宋_GB2312" w:cs="仿宋_GB2312"/>
          <w:b/>
          <w:bCs/>
          <w:color w:val="000000"/>
          <w:kern w:val="0"/>
          <w:sz w:val="32"/>
          <w:szCs w:val="32"/>
          <w:shd w:val="clear" w:color="auto" w:fill="FFFFFF"/>
          <w:lang w:val="zh-CN" w:eastAsia="zh-CN" w:bidi="ar-SA"/>
          <w:highlight w:val="auto"/>
        </w:rPr>
        <w:t>资产管理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lang w:val="zh-CN" w:eastAsia="zh-CN"/>
        </w:rPr>
        <w:t>完善资产管理办法，建立资产台账，尤其在20</w:t>
      </w:r>
      <w:r>
        <w:rPr>
          <w:rFonts w:ascii="仿宋_GB2312" w:eastAsia="仿宋_GB2312" w:cs="仿宋_GB2312" w:hint="eastAsia"/>
          <w:kern w:val="2"/>
          <w:sz w:val="32"/>
          <w:szCs w:val="32"/>
          <w:lang w:val="en-US" w:eastAsia="zh-CN"/>
        </w:rPr>
        <w:t>24</w:t>
      </w:r>
      <w:r>
        <w:rPr>
          <w:rFonts w:ascii="仿宋_GB2312" w:eastAsia="仿宋_GB2312" w:cs="仿宋_GB2312" w:hint="eastAsia"/>
          <w:kern w:val="2"/>
          <w:sz w:val="32"/>
          <w:szCs w:val="32"/>
          <w:lang w:val="zh-CN" w:eastAsia="zh-CN"/>
        </w:rPr>
        <w:t>年对行政事业单位资产进行全面清查核实，进一步完善了资产信息系统，实现了对资产的动态管理。在会计控制方面，完善了单位的会计管理办法，强化会计人员管理制度，加强会计档案管理，明确会计凭证、会计账簿等处理程序。</w:t>
      </w:r>
      <w:r>
        <w:rPr>
          <w:rFonts w:ascii="仿宋_GB2312" w:eastAsia="仿宋_GB2312" w:cs="仿宋_GB2312" w:hint="eastAsia"/>
          <w:kern w:val="2"/>
          <w:sz w:val="32"/>
          <w:szCs w:val="32"/>
          <w:lang w:val="en-US" w:eastAsia="zh-CN"/>
        </w:rPr>
        <w:t>2024年</w:t>
      </w:r>
      <w:r>
        <w:rPr>
          <w:rFonts w:ascii="仿宋_GB2312" w:eastAsia="仿宋_GB2312" w:cs="仿宋_GB2312" w:hint="eastAsia"/>
          <w:kern w:val="2"/>
          <w:sz w:val="32"/>
          <w:szCs w:val="32"/>
          <w:lang w:val="zh-CN" w:eastAsia="zh-CN"/>
        </w:rPr>
        <w:t>固定资产原值26.54万元，折旧</w:t>
      </w:r>
      <w:r>
        <w:rPr>
          <w:rFonts w:ascii="仿宋_GB2312" w:eastAsia="仿宋_GB2312" w:cs="仿宋_GB2312" w:hint="eastAsia"/>
          <w:kern w:val="2"/>
          <w:sz w:val="32"/>
          <w:szCs w:val="32"/>
          <w:lang w:val="en-US" w:eastAsia="zh-CN"/>
        </w:rPr>
        <w:t>23.49</w:t>
      </w:r>
      <w:r>
        <w:rPr>
          <w:rFonts w:ascii="仿宋_GB2312" w:eastAsia="仿宋_GB2312" w:cs="仿宋_GB2312" w:hint="eastAsia"/>
          <w:kern w:val="2"/>
          <w:sz w:val="32"/>
          <w:szCs w:val="32"/>
          <w:lang w:val="zh-CN" w:eastAsia="zh-CN"/>
        </w:rPr>
        <w:t>万元，净值</w:t>
      </w:r>
      <w:r>
        <w:rPr>
          <w:rFonts w:ascii="仿宋_GB2312" w:eastAsia="仿宋_GB2312" w:cs="仿宋_GB2312" w:hint="eastAsia"/>
          <w:kern w:val="2"/>
          <w:sz w:val="32"/>
          <w:szCs w:val="32"/>
          <w:lang w:val="en-US" w:eastAsia="zh-CN"/>
        </w:rPr>
        <w:t>3.05</w:t>
      </w:r>
      <w:r>
        <w:rPr>
          <w:rFonts w:ascii="仿宋_GB2312" w:eastAsia="仿宋_GB2312" w:cs="仿宋_GB2312" w:hint="eastAsia"/>
          <w:kern w:val="2"/>
          <w:sz w:val="32"/>
          <w:szCs w:val="32"/>
          <w:lang w:val="zh-CN" w:eastAsia="zh-CN"/>
        </w:rPr>
        <w:t>万元，我单位公务用车1台，因未过户，资产值未入帐，信访局无资产盘活。</w:t>
      </w:r>
    </w:p>
    <w:p>
      <w:pPr>
        <w:pStyle w:val="16"/>
        <w:keepNext w:val="0"/>
        <w:keepLines w:val="0"/>
        <w:pageBreakBefore w:val="0"/>
        <w:widowControl w:val="0"/>
        <w:suppressLineNumbers w:val="0"/>
        <w:kinsoku/>
        <w:wordWrap/>
        <w:overflowPunct/>
        <w:topLinePunct w:val="0"/>
        <w:autoSpaceDE w:val="0"/>
        <w:autoSpaceDN/>
        <w:bidi w:val="0"/>
        <w:spacing w:after="0" w:afterAutospacing="0" w:line="576" w:lineRule="exact"/>
        <w:ind w:leftChars="0" w:left="0"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仿宋_GB2312" w:eastAsia="仿宋_GB2312" w:cs="仿宋_GB2312" w:hint="eastAsia"/>
          <w:b/>
          <w:bCs/>
          <w:color w:val="000000"/>
          <w:kern w:val="0"/>
          <w:sz w:val="32"/>
          <w:szCs w:val="32"/>
          <w:shd w:val="clear" w:color="auto" w:fill="FFFFFF"/>
          <w:lang w:val="en-US" w:eastAsia="zh-CN" w:bidi="ar-SA"/>
          <w:highlight w:val="auto"/>
        </w:rPr>
        <w:t>5.</w:t>
      </w:r>
      <w:r>
        <w:rPr>
          <w:rFonts w:ascii="仿宋_GB2312" w:eastAsia="仿宋_GB2312" w:cs="仿宋_GB2312"/>
          <w:b/>
          <w:bCs/>
          <w:color w:val="000000"/>
          <w:kern w:val="0"/>
          <w:sz w:val="32"/>
          <w:szCs w:val="32"/>
          <w:shd w:val="clear" w:color="auto" w:fill="FFFFFF"/>
          <w:lang w:val="zh-CN" w:eastAsia="zh-CN" w:bidi="ar-SA"/>
          <w:highlight w:val="auto"/>
        </w:rPr>
        <w:t>采购管理</w:t>
      </w:r>
      <w:r>
        <w:rPr>
          <w:rFonts w:ascii="仿宋_GB2312" w:eastAsia="仿宋_GB2312" w:cs="仿宋_GB2312" w:hint="eastAsia"/>
          <w:b/>
          <w:bCs/>
          <w:color w:val="000000"/>
          <w:kern w:val="0"/>
          <w:sz w:val="32"/>
          <w:szCs w:val="32"/>
          <w:shd w:val="clear" w:color="auto" w:fill="FFFFFF"/>
          <w:lang w:val="zh-CN" w:eastAsia="zh-CN" w:bidi="ar-SA"/>
          <w:highlight w:val="auto"/>
        </w:rPr>
        <w:t>。</w:t>
      </w:r>
      <w:r>
        <w:rPr>
          <w:rFonts w:ascii="仿宋_GB2312" w:eastAsia="仿宋_GB2312" w:cs="仿宋_GB2312" w:hint="eastAsia"/>
          <w:kern w:val="2"/>
          <w:sz w:val="32"/>
          <w:szCs w:val="32"/>
          <w:lang w:val="en-US" w:eastAsia="zh-CN"/>
        </w:rPr>
        <w:t>2024年我单位无政府采购。</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Times New Roman" w:hAnsi="Times New Roman" w:hint="eastAsia"/>
          <w:sz w:val="32"/>
          <w:szCs w:val="32"/>
          <w:lang w:val="en-US" w:eastAsia="zh-CN"/>
          <w:highlight w:val="auto"/>
        </w:rPr>
      </w:pPr>
      <w:r>
        <w:rPr>
          <w:rFonts w:ascii="Times New Roman" w:eastAsia="楷体_GB2312" w:cs="Times New Roman" w:hAnsi="Times New Roman"/>
          <w:b/>
          <w:bCs/>
          <w:color w:val="000000"/>
          <w:kern w:val="0"/>
          <w:sz w:val="32"/>
          <w:szCs w:val="32"/>
          <w:shd w:val="clear" w:color="auto" w:fill="FFFFFF"/>
          <w:lang w:val="zh-CN"/>
          <w:highlight w:val="auto"/>
        </w:rPr>
        <w:t>（二）部门预算项目绩效分析。</w:t>
      </w:r>
      <w:r>
        <w:rPr>
          <w:rFonts w:ascii="仿宋_GB2312" w:eastAsia="仿宋_GB2312" w:cs="仿宋_GB2312" w:hint="eastAsia"/>
          <w:kern w:val="2"/>
          <w:sz w:val="32"/>
          <w:szCs w:val="32"/>
        </w:rPr>
        <w:t>我单位</w:t>
      </w:r>
      <w:r>
        <w:rPr>
          <w:rFonts w:ascii="仿宋_GB2312" w:eastAsia="仿宋_GB2312" w:cs="宋体" w:hint="eastAsia"/>
          <w:kern w:val="2"/>
          <w:sz w:val="32"/>
          <w:szCs w:val="32"/>
        </w:rPr>
        <w:t>202</w:t>
      </w:r>
      <w:r>
        <w:rPr>
          <w:rFonts w:ascii="仿宋_GB2312" w:cs="宋体" w:hAnsi="仿宋_GB2312" w:hint="eastAsia"/>
          <w:kern w:val="2"/>
          <w:sz w:val="32"/>
          <w:szCs w:val="32"/>
          <w:lang w:val="en-US" w:eastAsia="zh-CN"/>
        </w:rPr>
        <w:t>4</w:t>
      </w:r>
      <w:r>
        <w:rPr>
          <w:rFonts w:ascii="仿宋_GB2312" w:eastAsia="仿宋_GB2312" w:cs="宋体" w:hint="eastAsia"/>
          <w:kern w:val="2"/>
          <w:sz w:val="32"/>
          <w:szCs w:val="32"/>
        </w:rPr>
        <w:t>年项目为非基建项目，项目绩效目标无。</w:t>
      </w:r>
    </w:p>
    <w:p>
      <w:pPr>
        <w:pStyle w:val="36"/>
        <w:keepNext w:val="0"/>
        <w:keepLines w:val="0"/>
        <w:pageBreakBefore w:val="0"/>
        <w:widowControl/>
        <w:suppressLineNumbers w:val="0"/>
        <w:kinsoku/>
        <w:wordWrap/>
        <w:overflowPunct/>
        <w:topLinePunct w:val="0"/>
        <w:autoSpaceDE w:val="0"/>
        <w:autoSpaceDN/>
        <w:bidi w:val="0"/>
        <w:spacing w:before="0" w:beforeAutospacing="0" w:afterAutospacing="0" w:line="576" w:lineRule="exact"/>
        <w:ind w:left="0" w:firstLineChars="200" w:firstLine="640"/>
        <w:jc w:val="left"/>
        <w:textAlignment w:val="auto"/>
        <w:rPr>
          <w:rFonts w:ascii="Times New Roman" w:eastAsia="仿宋_GB2312" w:cs="Times New Roman" w:hAnsi="Times New Roman"/>
          <w:sz w:val="32"/>
          <w:szCs w:val="32"/>
          <w:u w:val="none"/>
          <w:highlight w:val="auto"/>
        </w:rPr>
      </w:pPr>
      <w:r>
        <w:rPr>
          <w:rFonts w:ascii="Times New Roman" w:eastAsia="楷体_GB2312" w:cs="Times New Roman" w:hAnsi="Times New Roman"/>
          <w:b/>
          <w:bCs/>
          <w:color w:val="000000"/>
          <w:kern w:val="0"/>
          <w:sz w:val="32"/>
          <w:szCs w:val="32"/>
          <w:shd w:val="clear" w:color="auto" w:fill="FFFFFF"/>
          <w:lang w:val="zh-CN" w:eastAsia="zh-CN"/>
          <w:highlight w:val="auto"/>
        </w:rPr>
        <w:t>（</w:t>
      </w:r>
      <w:r>
        <w:rPr>
          <w:rFonts w:eastAsia="楷体_GB2312" w:cs="Times New Roman" w:hint="eastAsia"/>
          <w:b/>
          <w:bCs/>
          <w:color w:val="000000"/>
          <w:kern w:val="0"/>
          <w:sz w:val="32"/>
          <w:szCs w:val="32"/>
          <w:shd w:val="clear" w:color="auto" w:fill="FFFFFF"/>
          <w:lang w:val="en-US" w:eastAsia="zh-CN"/>
          <w:highlight w:val="auto"/>
        </w:rPr>
        <w:t>三</w:t>
      </w:r>
      <w:r>
        <w:rPr>
          <w:rFonts w:ascii="Times New Roman" w:eastAsia="楷体_GB2312" w:cs="Times New Roman" w:hAnsi="Times New Roman"/>
          <w:b/>
          <w:bCs/>
          <w:color w:val="000000"/>
          <w:kern w:val="0"/>
          <w:sz w:val="32"/>
          <w:szCs w:val="32"/>
          <w:shd w:val="clear" w:color="auto" w:fill="FFFFFF"/>
          <w:lang w:val="zh-CN" w:eastAsia="zh-CN"/>
          <w:highlight w:val="auto"/>
        </w:rPr>
        <w:t>）绩效结果应用情况</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ascii="Times New Roman" w:eastAsia="仿宋_GB2312" w:cs="Times New Roman" w:hAnsi="Times New Roman" w:hint="eastAsia"/>
          <w:b w:val="0"/>
          <w:bCs w:val="0"/>
          <w:kern w:val="2"/>
          <w:sz w:val="32"/>
          <w:szCs w:val="32"/>
          <w:u w:val="none"/>
          <w:lang w:val="en-US" w:eastAsia="zh-CN" w:bidi="ar-SA"/>
          <w:highlight w:val="auto"/>
        </w:rPr>
        <w:t>按照县级安排，按期公开工作情况。</w:t>
      </w:r>
      <w:r>
        <w:rPr>
          <w:rFonts w:ascii="仿宋_GB2312" w:eastAsia="仿宋_GB2312" w:cs="仿宋_GB2312" w:hint="eastAsia"/>
          <w:sz w:val="32"/>
        </w:rPr>
        <w:t>我局工作经费安排严格按照年初预算来执行</w:t>
      </w:r>
      <w:r>
        <w:rPr>
          <w:rFonts w:ascii="仿宋_GB2312" w:eastAsia="仿宋_GB2312" w:cs="仿宋_GB2312" w:hint="eastAsia"/>
          <w:sz w:val="32"/>
          <w:lang w:eastAsia="zh-CN"/>
        </w:rPr>
        <w:t>，</w:t>
      </w:r>
      <w:r>
        <w:rPr>
          <w:rFonts w:ascii="仿宋_GB2312" w:eastAsia="仿宋_GB2312" w:cs="仿宋_GB2312" w:hint="eastAsia"/>
          <w:sz w:val="32"/>
        </w:rPr>
        <w:t>整体支出绩效评价指标体系打分，自评得分</w:t>
      </w:r>
      <w:r>
        <w:rPr>
          <w:rFonts w:ascii="仿宋_GB2312" w:eastAsia="仿宋_GB2312" w:cs="仿宋_GB2312"/>
          <w:sz w:val="32"/>
        </w:rPr>
        <w:t>96.5</w:t>
      </w:r>
      <w:r>
        <w:rPr>
          <w:rFonts w:ascii="仿宋_GB2312" w:eastAsia="仿宋_GB2312" w:cs="仿宋_GB2312" w:hint="eastAsia"/>
          <w:sz w:val="32"/>
        </w:rPr>
        <w:t>分；认真学习财经法规，严格执行财经纪律，防止了违法违纪行为的发生。</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highlight w:val="auto"/>
        </w:rPr>
      </w:pPr>
      <w:r>
        <w:rPr>
          <w:rFonts w:ascii="Times New Roman" w:eastAsia="黑体" w:cs="Times New Roman" w:hAnsi="Times New Roman"/>
          <w:color w:val="000000"/>
          <w:kern w:val="0"/>
          <w:sz w:val="32"/>
          <w:szCs w:val="32"/>
          <w:shd w:val="clear" w:color="auto" w:fill="FFFFFF"/>
          <w:lang w:val="zh-CN" w:eastAsia="zh-CN"/>
          <w:highlight w:val="auto"/>
        </w:rPr>
        <w:t>四、</w:t>
      </w:r>
      <w:r>
        <w:rPr>
          <w:rFonts w:ascii="Times New Roman" w:eastAsia="黑体" w:cs="Times New Roman" w:hAnsi="Times New Roman"/>
          <w:color w:val="000000"/>
          <w:kern w:val="0"/>
          <w:sz w:val="32"/>
          <w:szCs w:val="32"/>
          <w:shd w:val="clear" w:color="auto" w:fill="FFFFFF"/>
          <w:lang w:val="zh-CN"/>
          <w:highlight w:val="auto"/>
        </w:rPr>
        <w:t>评价结论及建议</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楷体_GB2312" w:cs="Times New Roman" w:hAnsi="Times New Roman"/>
          <w:b/>
          <w:bCs/>
          <w:color w:val="000000"/>
          <w:kern w:val="0"/>
          <w:sz w:val="32"/>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eastAsia="zh-CN"/>
          <w:highlight w:val="auto"/>
        </w:rPr>
        <w:t>（一）评价结论</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仿宋_GB2312" w:cs="Times New Roman" w:hAnsi="Times New Roman" w:hint="eastAsia"/>
          <w:b w:val="0"/>
          <w:bCs w:val="0"/>
          <w:kern w:val="2"/>
          <w:sz w:val="32"/>
          <w:szCs w:val="32"/>
          <w:u w:val="none"/>
          <w:lang w:val="en-US" w:eastAsia="zh-CN" w:bidi="ar-SA"/>
          <w:highlight w:val="auto"/>
        </w:rPr>
      </w:pPr>
      <w:r>
        <w:rPr>
          <w:rFonts w:ascii="Times New Roman" w:eastAsia="仿宋_GB2312" w:cs="Times New Roman" w:hAnsi="Times New Roman" w:hint="eastAsia"/>
          <w:b w:val="0"/>
          <w:bCs w:val="0"/>
          <w:kern w:val="2"/>
          <w:sz w:val="32"/>
          <w:szCs w:val="32"/>
          <w:u w:val="none"/>
          <w:lang w:val="en-US" w:eastAsia="zh-CN" w:bidi="ar-SA"/>
          <w:highlight w:val="auto"/>
        </w:rPr>
        <w:t>2024年我单位无政府性债务，无非税收执收，无项目，也未安排政府采购，资产管理严格按照相关规定执行，内控制度管理规范，按规定及时进行了信息公开，绩效评价合理，依法接受财政监督。我局严格按照年初预算批复认真组织实施,严格执行财经纪律相关管理规定，做到各项收支安排使用符合预算计划和财政政策的要求，确保了单位正常运行。整体支出绩效评价指标体系打分，自评得分97.5分。</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楷体_GB2312" w:cs="Times New Roman" w:hAnsi="Times New Roman"/>
          <w:b/>
          <w:bCs/>
          <w:color w:val="000000"/>
          <w:kern w:val="0"/>
          <w:sz w:val="32"/>
          <w:szCs w:val="32"/>
          <w:shd w:val="clear" w:color="auto" w:fill="FFFFFF"/>
          <w:lang w:val="zh-CN" w:eastAsia="zh-CN"/>
          <w:highlight w:val="auto"/>
        </w:rPr>
      </w:pP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ascii="Times New Roman" w:eastAsia="楷体_GB2312" w:cs="Times New Roman" w:hAnsi="Times New Roman" w:hint="eastAsia"/>
          <w:b/>
          <w:bCs/>
          <w:color w:val="000000"/>
          <w:kern w:val="0"/>
          <w:sz w:val="32"/>
          <w:szCs w:val="32"/>
          <w:shd w:val="clear" w:color="auto" w:fill="FFFFFF"/>
          <w:lang w:val="en-US" w:eastAsia="zh-CN"/>
          <w:highlight w:val="auto"/>
        </w:rPr>
        <w:t>二</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ascii="Times New Roman" w:eastAsia="楷体_GB2312" w:cs="Times New Roman" w:hAnsi="Times New Roman"/>
          <w:b/>
          <w:bCs/>
          <w:color w:val="000000"/>
          <w:kern w:val="0"/>
          <w:sz w:val="32"/>
          <w:szCs w:val="32"/>
          <w:shd w:val="clear" w:color="auto" w:fill="FFFFFF"/>
          <w:lang w:val="zh-CN" w:eastAsia="zh-CN"/>
          <w:highlight w:val="auto"/>
        </w:rPr>
        <w:t>存在问题</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仿宋_GB2312" w:cs="Times New Roman" w:hAnsi="Times New Roman" w:hint="eastAsia"/>
          <w:b w:val="0"/>
          <w:bCs w:val="0"/>
          <w:kern w:val="2"/>
          <w:sz w:val="32"/>
          <w:szCs w:val="32"/>
          <w:u w:val="none"/>
          <w:lang w:val="en-US" w:eastAsia="zh-CN" w:bidi="ar-SA"/>
          <w:highlight w:val="auto"/>
        </w:rPr>
      </w:pPr>
      <w:r>
        <w:rPr>
          <w:rFonts w:ascii="Times New Roman" w:eastAsia="仿宋_GB2312" w:cs="Times New Roman" w:hAnsi="Times New Roman" w:hint="eastAsia"/>
          <w:b w:val="0"/>
          <w:bCs w:val="0"/>
          <w:kern w:val="2"/>
          <w:sz w:val="32"/>
          <w:szCs w:val="32"/>
          <w:u w:val="none"/>
          <w:lang w:val="en-US" w:eastAsia="zh-CN" w:bidi="ar-SA"/>
          <w:highlight w:val="auto"/>
        </w:rPr>
        <w:t>财务人员的业务工作水平有待提高，财务人员的业务技能培训欠缺。2024年目标任务基完成，预算执行情况较好。</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楷体_GB2312" w:cs="Times New Roman" w:hAnsi="Times New Roman"/>
          <w:b/>
          <w:bCs/>
          <w:color w:val="000000"/>
          <w:kern w:val="0"/>
          <w:sz w:val="32"/>
          <w:szCs w:val="32"/>
          <w:shd w:val="clear" w:color="auto" w:fill="FFFFFF"/>
          <w:lang w:val="zh-CN" w:eastAsia="zh-CN"/>
          <w:highlight w:val="auto"/>
        </w:rPr>
      </w:pP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ascii="Times New Roman" w:eastAsia="楷体_GB2312" w:cs="Times New Roman" w:hAnsi="Times New Roman" w:hint="eastAsia"/>
          <w:b/>
          <w:bCs/>
          <w:color w:val="000000"/>
          <w:kern w:val="0"/>
          <w:sz w:val="32"/>
          <w:szCs w:val="32"/>
          <w:shd w:val="clear" w:color="auto" w:fill="FFFFFF"/>
          <w:lang w:val="en-US" w:eastAsia="zh-CN"/>
          <w:highlight w:val="auto"/>
        </w:rPr>
        <w:t>三</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r>
        <w:rPr>
          <w:rFonts w:ascii="Times New Roman" w:eastAsia="楷体_GB2312" w:cs="Times New Roman" w:hAnsi="Times New Roman"/>
          <w:b/>
          <w:bCs/>
          <w:color w:val="000000"/>
          <w:kern w:val="0"/>
          <w:sz w:val="32"/>
          <w:szCs w:val="32"/>
          <w:shd w:val="clear" w:color="auto" w:fill="FFFFFF"/>
          <w:lang w:val="zh-CN" w:eastAsia="zh-CN"/>
          <w:highlight w:val="auto"/>
        </w:rPr>
        <w:t>改进建议。</w:t>
      </w:r>
      <w:bookmarkStart w:id="48" w:name="_Hlk110546638"/>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仿宋_GB2312" w:cs="Times New Roman" w:hAnsi="Times New Roman" w:hint="eastAsia"/>
          <w:b w:val="0"/>
          <w:bCs w:val="0"/>
          <w:kern w:val="2"/>
          <w:sz w:val="32"/>
          <w:szCs w:val="32"/>
          <w:u w:val="none"/>
          <w:lang w:val="zh-CN" w:eastAsia="zh-CN" w:bidi="ar-SA"/>
          <w:highlight w:val="auto"/>
        </w:rPr>
      </w:pPr>
      <w:r>
        <w:rPr>
          <w:rFonts w:ascii="Times New Roman" w:eastAsia="仿宋_GB2312" w:cs="Times New Roman" w:hAnsi="Times New Roman" w:hint="eastAsia"/>
          <w:b w:val="0"/>
          <w:bCs w:val="0"/>
          <w:kern w:val="2"/>
          <w:sz w:val="32"/>
          <w:szCs w:val="32"/>
          <w:u w:val="none"/>
          <w:lang w:val="zh-CN" w:eastAsia="zh-CN" w:bidi="ar-SA"/>
          <w:highlight w:val="auto"/>
        </w:rPr>
        <w:t>1.加强业务知识、财经法规的自学。</w:t>
      </w:r>
    </w:p>
    <w:p>
      <w:pPr>
        <w:keepNext w:val="0"/>
        <w:keepLines w:val="0"/>
        <w:pageBreakBefore w:val="0"/>
        <w:widowControl w:val="0"/>
        <w:kinsoku/>
        <w:wordWrap/>
        <w:overflowPunct/>
        <w:topLinePunct w:val="0"/>
        <w:autoSpaceDN/>
        <w:bidi w:val="0"/>
        <w:spacing w:afterAutospacing="0" w:line="576" w:lineRule="exact"/>
        <w:ind w:firstLineChars="200" w:firstLine="640"/>
        <w:textAlignment w:val="auto"/>
        <w:rPr>
          <w:rFonts w:ascii="Times New Roman" w:eastAsia="仿宋_GB2312" w:cs="Times New Roman" w:hAnsi="Times New Roman" w:hint="eastAsia"/>
          <w:b w:val="0"/>
          <w:bCs w:val="0"/>
          <w:kern w:val="2"/>
          <w:sz w:val="32"/>
          <w:szCs w:val="32"/>
          <w:u w:val="none"/>
          <w:lang w:val="en-US" w:eastAsia="zh-CN" w:bidi="ar-SA"/>
          <w:highlight w:val="auto"/>
        </w:rPr>
      </w:pPr>
      <w:r>
        <w:rPr>
          <w:rFonts w:ascii="Times New Roman" w:eastAsia="仿宋_GB2312" w:cs="Times New Roman" w:hAnsi="Times New Roman" w:hint="eastAsia"/>
          <w:b w:val="0"/>
          <w:bCs w:val="0"/>
          <w:kern w:val="2"/>
          <w:sz w:val="32"/>
          <w:szCs w:val="32"/>
          <w:u w:val="none"/>
          <w:lang w:val="zh-CN" w:eastAsia="zh-CN" w:bidi="ar-SA"/>
          <w:highlight w:val="auto"/>
        </w:rPr>
        <w:t>2.加强与其他单位财会人员沟通交流学习，进一步提高财会业务水平。</w:t>
      </w:r>
      <w:bookmarkEnd w:id="48"/>
    </w:p>
    <w:p>
      <w:pPr>
        <w:pStyle w:val="16"/>
        <w:keepNext w:val="0"/>
        <w:keepLines w:val="0"/>
        <w:pageBreakBefore w:val="0"/>
        <w:widowControl w:val="0"/>
        <w:kinsoku/>
        <w:wordWrap/>
        <w:overflowPunct/>
        <w:topLinePunct w:val="0"/>
        <w:autoSpaceDE/>
        <w:autoSpaceDN/>
        <w:bidi w:val="0"/>
        <w:spacing w:line="560" w:lineRule="exact"/>
        <w:textAlignment w:val="auto"/>
        <w:rPr>
          <w:rFonts w:ascii="Times New Roman" w:eastAsia="仿宋_GB2312" w:cs="Times New Roman" w:hAnsi="Times New Roman" w:hint="eastAsia"/>
          <w:kern w:val="2"/>
          <w:sz w:val="32"/>
          <w:szCs w:val="32"/>
          <w:u w:val="none"/>
          <w:lang w:val="zh-CN" w:eastAsia="zh-CN"/>
        </w:rPr>
      </w:pPr>
    </w:p>
    <w:p>
      <w:pPr>
        <w:pStyle w:val="16"/>
        <w:keepNext w:val="0"/>
        <w:keepLines w:val="0"/>
        <w:pageBreakBefore w:val="0"/>
        <w:widowControl w:val="0"/>
        <w:kinsoku/>
        <w:wordWrap/>
        <w:overflowPunct/>
        <w:topLinePunct w:val="0"/>
        <w:autoSpaceDE/>
        <w:autoSpaceDN/>
        <w:bidi w:val="0"/>
        <w:spacing w:line="560" w:lineRule="exact"/>
        <w:textAlignment w:val="auto"/>
        <w:rPr>
          <w:rFonts w:ascii="Times New Roman" w:eastAsia="仿宋_GB2312" w:cs="Times New Roman" w:hAnsi="Times New Roman" w:hint="eastAsia"/>
          <w:kern w:val="2"/>
          <w:sz w:val="32"/>
          <w:szCs w:val="32"/>
          <w:u w:val="none"/>
          <w:lang w:val="zh-CN" w:eastAsia="zh-CN"/>
        </w:rPr>
      </w:pPr>
      <w:r>
        <w:rPr>
          <w:rFonts w:ascii="Times New Roman" w:eastAsia="仿宋_GB2312" w:cs="Times New Roman" w:hAnsi="Times New Roman" w:hint="eastAsia"/>
          <w:kern w:val="2"/>
          <w:sz w:val="32"/>
          <w:szCs w:val="32"/>
          <w:u w:val="none"/>
          <w:lang w:val="zh-CN" w:eastAsia="zh-CN"/>
        </w:rPr>
        <w:t>附表：</w:t>
      </w:r>
      <w:r>
        <w:rPr>
          <w:rFonts w:ascii="Times New Roman" w:eastAsia="仿宋_GB2312" w:cs="Times New Roman" w:hAnsi="Times New Roman" w:hint="eastAsia"/>
          <w:kern w:val="2"/>
          <w:sz w:val="32"/>
          <w:szCs w:val="32"/>
          <w:u w:val="none"/>
          <w:lang w:val="en-US" w:eastAsia="zh-CN"/>
        </w:rPr>
        <w:t>部门预算项目支出绩效自评表（2024年度）</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446"/>
        </w:trPr>
        <w:tc>
          <w:tcPr>
            <w:tcW w:w="4851"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备注</w:t>
            </w:r>
          </w:p>
        </w:tc>
      </w:tr>
      <w:tr>
        <w:trPr>
          <w:trHeight w:val="23"/>
        </w:trPr>
        <w:tc>
          <w:tcPr>
            <w:tcW w:w="1004" w:type="dxa"/>
            <w:tcBorders>
              <w:top w:val="single" w:sz="4" w:space="0" w:color="000000"/>
              <w:left w:val="single" w:sz="4" w:space="0" w:color="000000"/>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一级指标</w:t>
            </w:r>
          </w:p>
        </w:tc>
        <w:tc>
          <w:tcPr>
            <w:tcW w:w="14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二级指标</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三级指标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w:t>
              <w:br/>
              <w:t>分值</w:t>
            </w:r>
          </w:p>
        </w:tc>
        <w:tc>
          <w:tcPr>
            <w:tcW w:w="4734" w:type="dxa"/>
            <w:vMerge/>
            <w:tcBorders>
              <w:top w:val="single" w:sz="4" w:space="0" w:color="000000"/>
              <w:left w:val="single" w:sz="4" w:space="0" w:color="000000"/>
              <w:bottom w:val="single" w:sz="4" w:space="0" w:color="000000"/>
              <w:right w:val="single" w:sz="4" w:space="0" w:color="000000"/>
            </w:tcBorders>
            <w:noWrap/>
            <w:vAlign w:val="center"/>
          </w:tcPr>
          <w:p/>
        </w:tc>
        <w:tc>
          <w:tcPr>
            <w:tcW w:w="756" w:type="dxa"/>
            <w:vMerge/>
            <w:tcBorders>
              <w:top w:val="nil"/>
              <w:left w:val="single" w:sz="4" w:space="0" w:color="000000"/>
              <w:bottom w:val="single" w:sz="4" w:space="0" w:color="000000"/>
              <w:right w:val="single" w:sz="4" w:space="0" w:color="000000"/>
            </w:tcBorders>
            <w:noWrap/>
            <w:vAlign w:val="center"/>
          </w:tcPr>
          <w:p/>
        </w:tc>
        <w:tc>
          <w:tcPr>
            <w:tcW w:w="478" w:type="dxa"/>
            <w:vMerge/>
            <w:tcBorders>
              <w:top w:val="nil"/>
              <w:left w:val="single" w:sz="4" w:space="0" w:color="000000"/>
              <w:bottom w:val="single" w:sz="4" w:space="0" w:color="000000"/>
              <w:right w:val="single" w:sz="4" w:space="0" w:color="000000"/>
            </w:tcBorders>
            <w:noWrap/>
            <w:vAlign w:val="center"/>
          </w:tcPr>
          <w:p/>
        </w:tc>
      </w:tr>
      <w:tr>
        <w:trPr>
          <w:trHeight w:val="836"/>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履职效能</w:t>
              <w:br/>
              <w:t>（15分）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履职效果</w:t>
            </w:r>
          </w:p>
        </w:tc>
        <w:tc>
          <w:tcPr>
            <w:tcW w:w="720" w:type="dxa"/>
            <w:tcBorders>
              <w:top w:val="nil"/>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15</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15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582"/>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预算管理</w:t>
              <w:br/>
              <w:t>（25分）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预算编制质量</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7.5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305"/>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单位收入统筹</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361"/>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支出执行进度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6</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398"/>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预算年终结余</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822"/>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严控一般性支出</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55"/>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财务管理</w:t>
              <w:br/>
              <w:t>（10分）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财务管理制度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582"/>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财务岗位设置</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657"/>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资金使用规范</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676"/>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人均资产变化率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17"/>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资产利用率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资产盘活率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86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采购管理</w:t>
              <w:br/>
              <w:t>（6分）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支持中小企业发展</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530"/>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采购执行率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611"/>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项目绩效</w:t>
              <w:br/>
              <w:t>（35分）</w:t>
            </w:r>
          </w:p>
        </w:tc>
        <w:tc>
          <w:tcPr>
            <w:tcW w:w="1462"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项目决策</w:t>
              <w:br/>
              <w:t>（12分）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决策程序</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1129"/>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目标设置</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59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项目入库</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705"/>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项目执行</w:t>
              <w:br/>
              <w:t>（12分）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执行同向</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09"/>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项目调整</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46"/>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执行结果</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18"/>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目标实现</w:t>
              <w:br/>
              <w:t>（11分）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目标完成</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639"/>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目标偏离</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418"/>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实现效果</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945"/>
        </w:trPr>
        <w:tc>
          <w:tcPr>
            <w:tcW w:w="10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扣分项</w:t>
              <w:br/>
              <w:t>（10分）</w:t>
            </w:r>
          </w:p>
        </w:tc>
        <w:tc>
          <w:tcPr>
            <w:tcW w:w="312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被评价部门配合度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bl>
    <w:p>
      <w:pPr>
        <w:pStyle w:val="27"/>
        <w:keepNext/>
        <w:keepLines/>
        <w:pageBreakBefore w:val="0"/>
        <w:widowControl w:val="0"/>
        <w:kinsoku/>
        <w:wordWrap/>
        <w:overflowPunct/>
        <w:topLinePunct w:val="0"/>
        <w:autoSpaceDE/>
        <w:autoSpaceDN/>
        <w:bidi w:val="0"/>
        <w:adjustRightInd/>
        <w:snapToGrid/>
        <w:spacing w:line="20" w:lineRule="exact"/>
        <w:textAlignment w:val="auto"/>
        <w:rPr>
          <w:lang w:val="en-US" w:eastAsia="zh-CN"/>
        </w:rPr>
      </w:pPr>
    </w:p>
    <w:p>
      <w:pPr>
        <w:pStyle w:val="17"/>
        <w:rPr>
          <w:rFonts w:ascii="Times New Roman" w:cs="宋体" w:hAnsi="Times New Roman" w:hint="eastAsia"/>
          <w:color w:val="FF0000"/>
          <w:kern w:val="0"/>
          <w:sz w:val="32"/>
          <w:szCs w:val="32"/>
          <w:shd w:val="clear" w:color="auto" w:fill="FFFFFF"/>
          <w:lang w:val="zh-CN"/>
          <w:highlight w:val="yellow"/>
        </w:rPr>
      </w:pPr>
    </w:p>
    <w:p>
      <w:pPr>
        <w:rPr>
          <w:rFonts w:ascii="Times New Roman" w:eastAsia="黑体" w:cs="黑体" w:hAnsi="Times New Roman" w:hint="eastAsia"/>
          <w:color w:val="auto"/>
          <w:kern w:val="0"/>
          <w:sz w:val="32"/>
          <w:szCs w:val="32"/>
          <w:shd w:val="clear" w:color="auto" w:fill="FFFFFF"/>
          <w:lang w:val="zh-CN"/>
          <w:highlight w:val="auto"/>
        </w:rPr>
      </w:pPr>
      <w:r>
        <w:rPr>
          <w:rFonts w:ascii="Times New Roman" w:eastAsia="黑体" w:cs="黑体" w:hAnsi="Times New Roman" w:hint="eastAsia"/>
          <w:color w:val="auto"/>
          <w:kern w:val="0"/>
          <w:sz w:val="32"/>
          <w:szCs w:val="32"/>
          <w:shd w:val="clear" w:color="auto" w:fill="FFFFFF"/>
          <w:lang w:val="zh-CN"/>
          <w:highlight w:val="auto"/>
        </w:rPr>
        <w:br w:type="page"/>
      </w:r>
    </w:p>
    <w:p>
      <w:pPr>
        <w:widowControl/>
        <w:jc w:val="center"/>
        <w:rPr>
          <w:rFonts w:ascii="Times New Roman" w:eastAsia="仿宋" w:hAnsi="Times New Roman" w:hint="eastAsia"/>
          <w:b w:val="0"/>
          <w:color w:val="auto"/>
          <w:highlight w:val="auto"/>
        </w:rPr>
      </w:pPr>
      <w:bookmarkStart w:id="49" w:name="_Toc15396618"/>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50" w:name="_Toc15396619"/>
      <w:bookmarkEnd w:id="46"/>
      <w:bookmarkEnd w:id="49"/>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50"/>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1" w:name="_Toc15396620"/>
      <w:r>
        <w:rPr>
          <w:rFonts w:ascii="Times New Roman" w:eastAsia="仿宋_GB2312" w:cs="仿宋_GB2312" w:hAnsi="Times New Roman" w:hint="eastAsia"/>
          <w:color w:val="auto"/>
          <w:sz w:val="32"/>
          <w:szCs w:val="32"/>
          <w:highlight w:val="auto"/>
        </w:rPr>
        <w:t>二、收入决算表</w:t>
      </w:r>
      <w:bookmarkEnd w:id="5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2" w:name="_Toc15396621"/>
      <w:r>
        <w:rPr>
          <w:rFonts w:ascii="Times New Roman" w:eastAsia="仿宋_GB2312" w:cs="仿宋_GB2312" w:hAnsi="Times New Roman" w:hint="eastAsia"/>
          <w:color w:val="auto"/>
          <w:sz w:val="32"/>
          <w:szCs w:val="32"/>
          <w:highlight w:val="auto"/>
        </w:rPr>
        <w:t>三、支出决算表</w:t>
      </w:r>
      <w:bookmarkEnd w:id="52"/>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3" w:name="_Toc15396622"/>
      <w:r>
        <w:rPr>
          <w:rFonts w:ascii="Times New Roman" w:eastAsia="仿宋_GB2312" w:cs="仿宋_GB2312" w:hAnsi="Times New Roman" w:hint="eastAsia"/>
          <w:color w:val="auto"/>
          <w:sz w:val="32"/>
          <w:szCs w:val="32"/>
          <w:highlight w:val="auto"/>
        </w:rPr>
        <w:t>四、财政拨款收入支出决算总表</w:t>
      </w:r>
      <w:bookmarkEnd w:id="53"/>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4" w:name="_Toc15396623"/>
      <w:r>
        <w:rPr>
          <w:rFonts w:ascii="Times New Roman" w:eastAsia="仿宋_GB2312" w:cs="仿宋_GB2312" w:hAnsi="Times New Roman" w:hint="eastAsia"/>
          <w:color w:val="auto"/>
          <w:sz w:val="32"/>
          <w:szCs w:val="32"/>
          <w:highlight w:val="auto"/>
        </w:rPr>
        <w:t>五、财政拨款支出决算明细表</w:t>
      </w:r>
      <w:bookmarkStart w:id="55" w:name="_Toc15396624"/>
      <w:bookmarkEnd w:id="54"/>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55"/>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6" w:name="_Toc15396625"/>
      <w:r>
        <w:rPr>
          <w:rFonts w:ascii="Times New Roman" w:eastAsia="仿宋_GB2312" w:cs="仿宋_GB2312" w:hAnsi="Times New Roman" w:hint="eastAsia"/>
          <w:color w:val="auto"/>
          <w:sz w:val="32"/>
          <w:szCs w:val="32"/>
          <w:highlight w:val="auto"/>
        </w:rPr>
        <w:t>七、一般公共预算财政拨款支出决算明细表</w:t>
      </w:r>
      <w:bookmarkEnd w:id="5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7" w:name="_Toc15396626"/>
      <w:r>
        <w:rPr>
          <w:rFonts w:ascii="Times New Roman" w:eastAsia="仿宋_GB2312" w:cs="仿宋_GB2312" w:hAnsi="Times New Roman" w:hint="eastAsia"/>
          <w:color w:val="auto"/>
          <w:sz w:val="32"/>
          <w:szCs w:val="32"/>
          <w:highlight w:val="auto"/>
        </w:rPr>
        <w:t>八、一般公共预算财政拨款基本支出决算表</w:t>
      </w:r>
      <w:bookmarkEnd w:id="57"/>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8" w:name="_Toc15396627"/>
      <w:r>
        <w:rPr>
          <w:rFonts w:ascii="Times New Roman" w:eastAsia="仿宋_GB2312" w:cs="仿宋_GB2312" w:hAnsi="Times New Roman" w:hint="eastAsia"/>
          <w:color w:val="auto"/>
          <w:sz w:val="32"/>
          <w:szCs w:val="32"/>
          <w:highlight w:val="auto"/>
        </w:rPr>
        <w:t>九、一般公共预算财政拨款项目支出决算表</w:t>
      </w:r>
      <w:bookmarkEnd w:id="58"/>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9" w:name="_Toc15396628"/>
      <w:r>
        <w:rPr>
          <w:rFonts w:ascii="Times New Roman" w:eastAsia="仿宋_GB2312" w:cs="仿宋_GB2312" w:hAnsi="Times New Roman" w:hint="eastAsia"/>
          <w:color w:val="auto"/>
          <w:sz w:val="32"/>
          <w:szCs w:val="32"/>
          <w:highlight w:val="auto"/>
        </w:rPr>
        <w:t>十、</w:t>
      </w:r>
      <w:bookmarkEnd w:id="59"/>
      <w:r>
        <w:rPr>
          <w:rFonts w:ascii="Times New Roman" w:eastAsia="仿宋_GB2312" w:cs="仿宋_GB2312" w:hAnsi="Times New Roman" w:hint="eastAsia"/>
          <w:color w:val="auto"/>
          <w:sz w:val="32"/>
          <w:szCs w:val="32"/>
          <w:highlight w:val="auto"/>
        </w:rPr>
        <w:t>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0" w:name="_Toc15396629"/>
      <w:r>
        <w:rPr>
          <w:rFonts w:ascii="Times New Roman" w:eastAsia="仿宋_GB2312" w:cs="仿宋_GB2312" w:hAnsi="Times New Roman" w:hint="eastAsia"/>
          <w:color w:val="auto"/>
          <w:sz w:val="32"/>
          <w:szCs w:val="32"/>
          <w:highlight w:val="auto"/>
        </w:rPr>
        <w:t>十一、</w:t>
      </w:r>
      <w:bookmarkEnd w:id="60"/>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1" w:name="_Toc15396630"/>
      <w:r>
        <w:rPr>
          <w:rFonts w:ascii="Times New Roman" w:eastAsia="仿宋_GB2312" w:cs="仿宋_GB2312" w:hAnsi="Times New Roman" w:hint="eastAsia"/>
          <w:color w:val="auto"/>
          <w:sz w:val="32"/>
          <w:szCs w:val="32"/>
          <w:highlight w:val="auto"/>
        </w:rPr>
        <w:t>十二、</w:t>
      </w:r>
      <w:bookmarkEnd w:id="61"/>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62" w:name="_Toc15396631"/>
      <w:r>
        <w:rPr>
          <w:rFonts w:ascii="Times New Roman" w:eastAsia="仿宋_GB2312" w:cs="仿宋_GB2312" w:hAnsi="Times New Roman" w:hint="eastAsia"/>
          <w:color w:val="auto"/>
          <w:sz w:val="32"/>
          <w:szCs w:val="32"/>
          <w:highlight w:val="auto"/>
        </w:rPr>
        <w:t>十三、</w:t>
      </w:r>
      <w:bookmarkEnd w:id="62"/>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footerReference w:type="default" r:id="rId4"/>
      <w:footerReference w:type="first" r:id="rId5"/>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script"/>
    <w:pitch w:val="variable"/>
    <w:sig w:usb0="00000001" w:usb1="080E0000" w:usb2="00000000" w:usb3="00000000" w:csb0="00040000" w:csb1="00000000"/>
  </w:font>
  <w:font w:name="Times New Roman">
    <w:panose1 w:val="02020603050405020304"/>
    <w:charset w:val="86"/>
    <w:family w:val="auto"/>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A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宋体">
    <w:panose1 w:val="02010600030101010101"/>
    <w:charset w:val="50"/>
    <w:family w:val="auto"/>
    <w:pitch w:val="variable"/>
    <w:sig w:usb0="00000003" w:usb1="288F0000" w:usb2="00000006" w:usb3="00000000" w:csb0="00040001"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 w:name="??">
    <w:altName w:val="Segoe Print"/>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next w:val="16"/>
    <w:pPr>
      <w:spacing w:after="120"/>
      <w:ind w:leftChars="200" w:left="200"/>
    </w:pPr>
    <w:rPr>
      <w:rFonts w:ascii="仿宋_GB2312" w:hAnsi="仿宋_GB2312"/>
      <w:szCs w:val="32"/>
    </w:rPr>
  </w:style>
  <w:style w:type="paragraph" w:styleId="16">
    <w:name w:val="Body Text First Indent 2"/>
    <w:basedOn w:val="15"/>
    <w:pPr>
      <w:ind w:firstLineChars="200" w:firstLine="200"/>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footnote text"/>
    <w:basedOn w:val="0"/>
    <w:next w:val="16"/>
    <w:pPr>
      <w:snapToGrid w:val="0"/>
      <w:jc w:val="left"/>
    </w:pPr>
    <w:rPr>
      <w:sz w:val="18"/>
      <w:szCs w:val="1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eastAsia="宋体" w:hAnsi="??"/>
      <w:color w:val="000000"/>
      <w:kern w:val="0"/>
      <w:sz w:val="28"/>
      <w:szCs w:val="21"/>
      <w:lang w:val="zh-CN" w:eastAsia="zh-CN"/>
    </w:rPr>
  </w:style>
  <w:style w:type="paragraph" w:customStyle="1" w:styleId="36">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 w:type="paragraph" w:customStyle="1" w:styleId="37">
    <w:name w:val="p0"/>
    <w:basedOn w:val="0"/>
    <w:pPr>
      <w:keepNext w:val="0"/>
      <w:keepLines w:val="0"/>
      <w:widowControl/>
      <w:suppressLineNumbers w:val="0"/>
      <w:spacing w:before="0" w:beforeAutospacing="0" w:after="0" w:afterAutospacing="0"/>
      <w:ind w:left="0" w:right="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styles" Target="styl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595959"/>
                </a:solidFill>
                <a:latin typeface="Times New Roman"/>
                <a:ea typeface="宋体"/>
                <a:cs typeface="Arial"/>
              </a:defRPr>
            </a:pPr>
            <a:r>
              <a:rPr lang="zh-CN"/>
              <a:t>收、支决算总计变动情况图</a:t>
            </a:r>
          </a:p>
        </c:rich>
      </c:tx>
      <c:layout>
        <c:manualLayout>
          <c:xMode val="edge"/>
          <c:yMode val="edge"/>
          <c:x val="0.24608336"/>
          <c:y val="0.015753586"/>
        </c:manualLayout>
      </c:layout>
      <c:overlay val="0"/>
      <c:spPr>
        <a:noFill/>
        <a:ln>
          <a:noFill/>
        </a:ln>
      </c:spPr>
    </c:title>
    <c:autoTitleDeleted val="1"/>
    <c:plotArea>
      <c:layout/>
      <c:barChart>
        <c:barDir val="col"/>
        <c:grouping val="clustered"/>
        <c:varyColors val="0"/>
        <c:ser>
          <c:idx val="0"/>
          <c:order val="0"/>
          <c:tx>
            <c:strRef>
              <c:f>'Sheet1'!$B$1</c:f>
              <c:strCache>
                <c:ptCount val="1"/>
                <c:pt idx="0">
                  <c:v>收入</c:v>
                </c:pt>
              </c:strCache>
            </c:strRef>
          </c:tx>
          <c:spPr>
            <a:gradFill rotWithShape="1">
              <a:gsLst>
                <a:gs pos="0">
                  <a:srgbClr val="CB6C1D">
                    <a:alpha val="100000"/>
                  </a:srgbClr>
                </a:gs>
                <a:gs pos="80000">
                  <a:srgbClr val="FF8F2A">
                    <a:alpha val="100000"/>
                  </a:srgbClr>
                </a:gs>
                <a:gs pos="100000">
                  <a:srgbClr val="FF8F26">
                    <a:alpha val="100000"/>
                  </a:srgbClr>
                </a:gs>
              </a:gsLst>
              <a:lin ang="16200000" scaled="1"/>
            </a:grad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2023</c:v>
                </c:pt>
                <c:pt idx="1">
                  <c:v>2024</c:v>
                </c:pt>
              </c:numCache>
            </c:numRef>
          </c:cat>
          <c:val>
            <c:numRef>
              <c:f>'Sheet1'!$B$2:$B$3</c:f>
              <c:numCache>
                <c:formatCode>General</c:formatCode>
                <c:ptCount val="2"/>
                <c:pt idx="0">
                  <c:v>217.68</c:v>
                </c:pt>
                <c:pt idx="1">
                  <c:v>263.06</c:v>
                </c:pt>
              </c:numCache>
            </c:numRef>
          </c:val>
        </c:ser>
        <c:ser>
          <c:idx val="1"/>
          <c:order val="1"/>
          <c:tx>
            <c:strRef>
              <c:f>'Sheet1'!$C$1</c:f>
              <c:strCache>
                <c:ptCount val="1"/>
                <c:pt idx="0">
                  <c:v>支出</c:v>
                </c:pt>
              </c:strCache>
            </c:strRef>
          </c:tx>
          <c:spPr>
            <a:gradFill rotWithShape="1">
              <a:gsLst>
                <a:gs pos="0">
                  <a:srgbClr val="2787A0">
                    <a:alpha val="100000"/>
                  </a:srgbClr>
                </a:gs>
                <a:gs pos="80000">
                  <a:srgbClr val="36B1D2">
                    <a:alpha val="100000"/>
                  </a:srgbClr>
                </a:gs>
                <a:gs pos="100000">
                  <a:srgbClr val="34B3D6">
                    <a:alpha val="100000"/>
                  </a:srgbClr>
                </a:gs>
              </a:gsLst>
              <a:lin ang="16200000" scaled="1"/>
            </a:grad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2023</c:v>
                </c:pt>
                <c:pt idx="1">
                  <c:v>2024</c:v>
                </c:pt>
              </c:numCache>
            </c:numRef>
          </c:cat>
          <c:val>
            <c:numRef>
              <c:f>'Sheet1'!$C$2:$C$3</c:f>
              <c:numCache>
                <c:formatCode>General</c:formatCode>
                <c:ptCount val="2"/>
                <c:pt idx="0">
                  <c:v>217.68</c:v>
                </c:pt>
                <c:pt idx="1">
                  <c:v>263.06</c:v>
                </c:pt>
              </c:numCache>
            </c:numRef>
          </c:val>
        </c:ser>
        <c:overlap val="-24"/>
        <c:gapWidth val="10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D9D9D9"/>
              </a:solidFill>
              <a:prstDash val="solid"/>
            </a:ln>
          </c:spPr>
        </c:majorGridlines>
        <c:numFmt formatCode="0_);[Red](0)" sourceLinked="0"/>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销售额</c:v>
                </c:pt>
              </c:strCache>
            </c:strRef>
          </c:tx>
          <c:spPr>
            <a:solidFill>
              <a:srgbClr val="8064A2"/>
            </a:solidFill>
          </c:spPr>
          <c:dPt>
            <c:idx val="0"/>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00%" sourceLinked="0"/>
            <c:dLblPos val="ctr"/>
            <c:showLegendKey val="0"/>
            <c:showVal val="0"/>
            <c:showCatName val="0"/>
            <c:showSerName val="0"/>
            <c:showPercent val="1"/>
            <c:showBubbleSize val="0"/>
            <c:showLeaderLines val="1"/>
          </c:dLbls>
          <c:cat>
            <c:strRef>
              <c:f>'Sheet1 (2)'!$A$2</c:f>
              <c:strCache>
                <c:ptCount val="1"/>
                <c:pt idx="0">
                  <c:v>一般公共预算财政拨款收入</c:v>
                </c:pt>
              </c:strCache>
            </c:strRef>
          </c:cat>
          <c:val>
            <c:numRef>
              <c:f>Sheet1 (2)!$B$2</c:f>
              <c:numCache>
                <c:formatCode>General</c:formatCode>
                <c:ptCount val="1"/>
                <c:pt idx="0">
                  <c:v>263.06</c:v>
                </c:pt>
              </c:numCache>
            </c:numRef>
          </c:val>
        </c:ser>
        <c:firstSliceAng val="0"/>
      </c:pieChart>
      <c:spPr>
        <a:noFill/>
        <a:ln>
          <a:noFill/>
        </a:ln>
      </c:spPr>
    </c:plotArea>
    <c:legend>
      <c:legendPos val="b"/>
      <c:layout>
        <c:manualLayout>
          <c:xMode val="edge"/>
          <c:yMode val="edge"/>
          <c:x val="0.28443334"/>
          <c:y val="0.8743109"/>
          <c:w val="0.4411289"/>
          <c:h val="0.11907387"/>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595959"/>
                </a:solidFill>
                <a:latin typeface="Times New Roman"/>
                <a:ea typeface="宋体"/>
                <a:cs typeface="Arial"/>
              </a:defRPr>
            </a:pPr>
            <a:r>
              <a:rPr lang="zh-CN"/>
              <a:t>支出决算结构图</a:t>
            </a:r>
          </a:p>
        </c:rich>
      </c:tx>
      <c:layout>
        <c:manualLayout>
          <c:xMode val="edge"/>
          <c:yMode val="edge"/>
          <c:x val="0.36153167"/>
          <c:y val="0.067185976"/>
        </c:manualLayout>
      </c:layout>
      <c:overlay val="0"/>
      <c:spPr>
        <a:noFill/>
        <a:ln>
          <a:noFill/>
        </a:ln>
      </c:spPr>
    </c:title>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'Sheet1 (3)'!$B$1</c:f>
              <c:strCache>
                <c:ptCount val="1"/>
                <c:pt idx="0">
                  <c:v>销售额</c:v>
                </c:pt>
              </c:strCache>
            </c:strRef>
          </c:tx>
          <c:spPr>
            <a:solidFill>
              <a:srgbClr val="4F81BD"/>
            </a:solidFill>
          </c:spPr>
          <c:dPt>
            <c:idx val="0"/>
            <c:bubble3D val="0"/>
            <c:spPr>
              <a:gradFill rotWithShape="1">
                <a:gsLst>
                  <a:gs pos="0">
                    <a:srgbClr val="9B2D2A">
                      <a:alpha val="100000"/>
                    </a:srgbClr>
                  </a:gs>
                  <a:gs pos="80000">
                    <a:srgbClr val="CB3D3A">
                      <a:alpha val="100000"/>
                    </a:srgbClr>
                  </a:gs>
                  <a:gs pos="100000">
                    <a:srgbClr val="CE3B37">
                      <a:alpha val="100000"/>
                    </a:srgbClr>
                  </a:gs>
                </a:gsLst>
                <a:lin ang="16200000" scaled="1"/>
              </a:gradFill>
              <a:ln>
                <a:noFill/>
              </a:ln>
              <a:effectLst>
                <a:outerShdw dist="35921" dir="2700000" algn="br">
                  <a:srgbClr val="000000"/>
                </a:outerShdw>
              </a:effectLst>
            </c:spPr>
          </c:dPt>
          <c:dPt>
            <c:idx val="1"/>
            <c:bubble3D val="0"/>
            <c:spPr>
              <a:gradFill rotWithShape="1">
                <a:gsLst>
                  <a:gs pos="0">
                    <a:srgbClr val="5D417E">
                      <a:alpha val="100000"/>
                    </a:srgbClr>
                  </a:gs>
                  <a:gs pos="80000">
                    <a:srgbClr val="7B58A6">
                      <a:alpha val="100000"/>
                    </a:srgbClr>
                  </a:gs>
                  <a:gs pos="100000">
                    <a:srgbClr val="7B57A8">
                      <a:alpha val="100000"/>
                    </a:srgbClr>
                  </a:gs>
                </a:gsLst>
                <a:lin ang="16200000" scaled="1"/>
              </a:grad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00%" sourceLinked="0"/>
            <c:dLblPos val="outEnd"/>
            <c:showLegendKey val="0"/>
            <c:showVal val="0"/>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222.9</c:v>
                </c:pt>
                <c:pt idx="1">
                  <c:v>40.16</c:v>
                </c:pt>
              </c:numCache>
            </c:numRef>
          </c:val>
        </c:ser>
        <c:gapDepth val="150"/>
        <c:firstSliceAng val="0"/>
      </c:pie3D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0"/>
          </c:dLbls>
          <c:cat>
            <c:numRef>
              <c:f>'Sheet1 (4)'!$A$2:$A$3</c:f>
              <c:numCache>
                <c:ptCount val="2"/>
                <c:pt idx="0">
                  <c:v>2023</c:v>
                </c:pt>
                <c:pt idx="1">
                  <c:v>2024</c:v>
                </c:pt>
              </c:numCache>
            </c:numRef>
          </c:cat>
          <c:val>
            <c:numRef>
              <c:f>'Sheet1 (4)'!$B$2:$B$3</c:f>
              <c:numCache>
                <c:formatCode>General</c:formatCode>
                <c:ptCount val="2"/>
                <c:pt idx="0">
                  <c:v>217.68</c:v>
                </c:pt>
                <c:pt idx="1">
                  <c:v>263.06</c:v>
                </c:pt>
              </c:numCache>
            </c:numRef>
          </c:val>
        </c:ser>
        <c:ser>
          <c:idx val="1"/>
          <c:order val="1"/>
          <c:tx>
            <c:strRef>
              <c:f>'Sheet1 (4)'!$C$1</c:f>
              <c:strCache>
                <c:ptCount val="1"/>
                <c:pt idx="0">
                  <c:v>支出</c:v>
                </c:pt>
              </c:strCache>
            </c:strRef>
          </c:tx>
          <c:spPr>
            <a:solidFill>
              <a:srgbClr val="9BBB59"/>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0"/>
          </c:dLbls>
          <c:cat>
            <c:numRef>
              <c:f>'Sheet1 (4)'!$A$2:$A$3</c:f>
              <c:numCache>
                <c:ptCount val="2"/>
                <c:pt idx="0">
                  <c:v>2023</c:v>
                </c:pt>
                <c:pt idx="1">
                  <c:v>2024</c:v>
                </c:pt>
              </c:numCache>
            </c:numRef>
          </c:cat>
          <c:val>
            <c:numRef>
              <c:f>'Sheet1 (4)'!$C$2:$C$3</c:f>
              <c:numCache>
                <c:formatCode>General</c:formatCode>
                <c:ptCount val="2"/>
                <c:pt idx="0">
                  <c:v>217.68</c:v>
                </c:pt>
                <c:pt idx="1">
                  <c:v>263.06</c:v>
                </c:pt>
              </c:numCache>
            </c:numRef>
          </c:val>
        </c:ser>
        <c:overlap val="-25"/>
        <c:gapWidth val="150"/>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scaling>
        <c:delete val="1"/>
        <c:axPos val="l"/>
        <c:numFmt formatCode="General" sourceLinked="1"/>
        <c:majorTickMark val="out"/>
        <c:minorTickMark val="none"/>
        <c:tickLblPos val="nextTo"/>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tx>
            <c:strRef>
              <c:f>'Sheet1 (5)'!$B$1</c:f>
              <c:strCache>
                <c:ptCount val="1"/>
                <c:pt idx="0">
                  <c:v>支出</c:v>
                </c:pt>
              </c:strCache>
            </c:strRef>
          </c:tx>
          <c:spPr>
            <a:solidFill>
              <a:srgbClr val="4BACC6"/>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pt idx="0">
                  <c:v>2023</c:v>
                </c:pt>
                <c:pt idx="1">
                  <c:v>2024</c:v>
                </c:pt>
              </c:numCache>
            </c:numRef>
          </c:cat>
          <c:val>
            <c:numRef>
              <c:f>'Sheet1 (5)'!$B$2:$B$3</c:f>
              <c:numCache>
                <c:formatCode>General</c:formatCode>
                <c:ptCount val="2"/>
                <c:pt idx="0">
                  <c:v>217.68</c:v>
                </c:pt>
                <c:pt idx="1">
                  <c:v>263.06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solidFill>
                <a:srgbClr val="F79646"/>
              </a:solidFill>
              <a:ln w="19050">
                <a:solidFill>
                  <a:srgbClr val="FFFFFF"/>
                </a:solidFill>
                <a:prstDash val="solid"/>
              </a:ln>
            </c:spPr>
          </c:dPt>
          <c:dPt>
            <c:idx val="1"/>
            <c:bubble3D val="0"/>
            <c:spPr>
              <a:solidFill>
                <a:srgbClr val="4BACC6"/>
              </a:solidFill>
              <a:ln w="19050">
                <a:solidFill>
                  <a:srgbClr val="FFFFFF"/>
                </a:solidFill>
                <a:prstDash val="solid"/>
              </a:ln>
            </c:spPr>
          </c:dPt>
          <c:dPt>
            <c:idx val="2"/>
            <c:bubble3D val="0"/>
            <c:spPr>
              <a:solidFill>
                <a:srgbClr val="8064A2"/>
              </a:solidFill>
              <a:ln w="19050">
                <a:solidFill>
                  <a:srgbClr val="FFFFFF"/>
                </a:solidFill>
                <a:prstDash val="solid"/>
              </a:ln>
            </c:spPr>
          </c:dPt>
          <c:dPt>
            <c:idx val="3"/>
            <c:bubble3D val="0"/>
            <c:spPr>
              <a:solidFill>
                <a:srgbClr val="B65708"/>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00%" sourceLinked="0"/>
            <c:dLbl>
              <c:idx val="3"/>
              <c:layout>
                <c:manualLayout>
                  <c:x val="0.038659416"/>
                  <c:y val="-0.005512679"/>
                </c:manualLayout>
              </c:layout>
              <c:numFmt formatCode="0.00%"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bestFit"/>
              <c:showLegendKey val="0"/>
              <c:showVal val="0"/>
              <c:showCatName val="0"/>
              <c:showSerName val="0"/>
              <c:showPercent val="1"/>
              <c:showBubbleSize val="0"/>
            </c:dLbl>
            <c:dLblPos val="outEnd"/>
            <c:showLegendKey val="0"/>
            <c:showVal val="0"/>
            <c:showCatName val="0"/>
            <c:showSerName val="0"/>
            <c:showPercent val="1"/>
            <c:showBubbleSize val="0"/>
            <c:showLeaderLines val="1"/>
          </c:dLbls>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#,##0.00</c:formatCode>
                <c:ptCount val="4"/>
                <c:pt idx="0">
                  <c:v>205.65</c:v>
                </c:pt>
                <c:pt idx="1">
                  <c:v>29.57</c:v>
                </c:pt>
                <c:pt idx="2">
                  <c:v>11.35</c:v>
                </c:pt>
                <c:pt idx="3">
                  <c:v>16.49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(7)'!$B$1</c:f>
              <c:strCache>
                <c:ptCount val="1"/>
                <c:pt idx="0">
                  <c:v>“三公”经费财政拨款支出结构</c:v>
                </c:pt>
              </c:strCache>
            </c:strRef>
          </c:tx>
          <c:spPr>
            <a:solidFill>
              <a:srgbClr val="8064A2"/>
            </a:solidFill>
          </c:spPr>
          <c:dPt>
            <c:idx val="0"/>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00%" sourceLinked="0"/>
            <c:dLblPos val="outEnd"/>
            <c:showLegendKey val="0"/>
            <c:showVal val="0"/>
            <c:showCatName val="0"/>
            <c:showSerName val="0"/>
            <c:showPercent val="1"/>
            <c:showBubbleSize val="0"/>
            <c:showLeaderLines val="1"/>
          </c:dLbls>
          <c:cat>
            <c:strRef>
              <c:f>'Sheet1 (7)'!$A$2</c:f>
              <c:strCache>
                <c:ptCount val="1"/>
                <c:pt idx="0">
                  <c:v>公务接待费</c:v>
                </c:pt>
              </c:strCache>
            </c:strRef>
          </c:cat>
          <c:val>
            <c:numRef>
              <c:f>Sheet1 (7)!$B$2</c:f>
              <c:numCache>
                <c:formatCode>General</c:formatCode>
                <c:ptCount val="1"/>
                <c:pt idx="0">
                  <c:v>0.15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28</Pages>
  <Words>9880</Words>
  <Characters>10651</Characters>
  <Lines>694</Lines>
  <Paragraphs>289</Paragraphs>
  <CharactersWithSpaces>10686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32</cp:revision>
  <cp:lastPrinted>2025-08-06T17:34:00Z</cp:lastPrinted>
  <dcterms:created xsi:type="dcterms:W3CDTF">2020-08-09T09:49:00Z</dcterms:created>
  <dcterms:modified xsi:type="dcterms:W3CDTF">2025-12-23T03:14:59Z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2052-11.8.2.8696</vt:lpwstr>
  </property>
  <property fmtid="{D5CDD505-2E9C-101B-9397-08002B2CF9AE}" pid="3" name="ICV">
    <vt:lpwstr>04787F2533EB45DC91BCDE4AB213247F</vt:lpwstr>
  </property>
</Properties>
</file>