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345D4">
      <w:pPr>
        <w:spacing w:line="600" w:lineRule="exact"/>
        <w:jc w:val="center"/>
        <w:outlineLvl w:val="0"/>
        <w:rPr>
          <w:rFonts w:ascii="方正小标宋简体" w:eastAsia="方正小标宋简体"/>
          <w:color w:val="000000"/>
          <w:sz w:val="72"/>
          <w:szCs w:val="72"/>
        </w:rPr>
      </w:pPr>
      <w:bookmarkStart w:id="0" w:name="_Toc15306267"/>
    </w:p>
    <w:p w14:paraId="1828C59C">
      <w:pPr>
        <w:spacing w:line="600" w:lineRule="exact"/>
        <w:jc w:val="center"/>
        <w:outlineLvl w:val="0"/>
        <w:rPr>
          <w:rFonts w:ascii="方正小标宋简体" w:eastAsia="方正小标宋简体"/>
          <w:color w:val="000000"/>
          <w:sz w:val="72"/>
          <w:szCs w:val="72"/>
        </w:rPr>
      </w:pPr>
    </w:p>
    <w:p w14:paraId="612B7876">
      <w:pPr>
        <w:spacing w:line="600" w:lineRule="exact"/>
        <w:jc w:val="center"/>
        <w:outlineLvl w:val="0"/>
        <w:rPr>
          <w:rFonts w:ascii="方正小标宋简体" w:eastAsia="方正小标宋简体"/>
          <w:color w:val="000000"/>
          <w:sz w:val="72"/>
          <w:szCs w:val="72"/>
        </w:rPr>
      </w:pPr>
    </w:p>
    <w:p w14:paraId="59BF5B8D">
      <w:pPr>
        <w:spacing w:line="600" w:lineRule="exact"/>
        <w:jc w:val="center"/>
        <w:outlineLvl w:val="0"/>
        <w:rPr>
          <w:rFonts w:ascii="方正小标宋简体" w:eastAsia="方正小标宋简体"/>
          <w:color w:val="000000"/>
          <w:sz w:val="72"/>
          <w:szCs w:val="72"/>
        </w:rPr>
      </w:pPr>
    </w:p>
    <w:p w14:paraId="D83E1054">
      <w:pPr>
        <w:adjustRightInd w:val="0"/>
        <w:snapToGrid w:val="0"/>
        <w:spacing w:line="360" w:lineRule="auto"/>
        <w:jc w:val="center"/>
        <w:outlineLvl w:val="0"/>
        <w:rPr>
          <w:rFonts w:hint="eastAsia" w:ascii="黑体" w:hAnsi="黑体" w:eastAsia="黑体" w:cs="黑体"/>
          <w:color w:val="000000"/>
          <w:sz w:val="52"/>
          <w:szCs w:val="52"/>
        </w:rPr>
      </w:pPr>
      <w:bookmarkStart w:id="1" w:name="_Toc15396475"/>
      <w:bookmarkStart w:id="2" w:name="_Toc15377425"/>
      <w:bookmarkStart w:id="3" w:name="_Toc15396597"/>
      <w:bookmarkStart w:id="4" w:name="_Toc15378441"/>
      <w:bookmarkStart w:id="5" w:name="_Toc15377193"/>
      <w:r>
        <w:rPr>
          <w:rFonts w:hint="eastAsia" w:ascii="黑体" w:hAnsi="黑体" w:eastAsia="黑体" w:cs="黑体"/>
          <w:color w:val="000000"/>
          <w:sz w:val="52"/>
          <w:szCs w:val="52"/>
        </w:rPr>
        <w:t>202</w:t>
      </w:r>
      <w:r>
        <w:rPr>
          <w:rFonts w:hint="eastAsia" w:ascii="黑体" w:hAnsi="黑体" w:eastAsia="黑体" w:cs="黑体"/>
          <w:color w:val="000000"/>
          <w:sz w:val="52"/>
          <w:szCs w:val="52"/>
          <w:lang w:val="en-US" w:eastAsia="zh-CN"/>
        </w:rPr>
        <w:t>4</w:t>
      </w:r>
      <w:r>
        <w:rPr>
          <w:rFonts w:hint="eastAsia" w:ascii="黑体" w:hAnsi="黑体" w:eastAsia="黑体" w:cs="黑体"/>
          <w:color w:val="000000"/>
          <w:sz w:val="52"/>
          <w:szCs w:val="52"/>
        </w:rPr>
        <w:t>年度</w:t>
      </w:r>
      <w:bookmarkEnd w:id="1"/>
      <w:bookmarkEnd w:id="2"/>
      <w:bookmarkEnd w:id="3"/>
      <w:bookmarkEnd w:id="4"/>
      <w:bookmarkEnd w:id="5"/>
      <w:bookmarkStart w:id="6" w:name="_Toc15378442"/>
      <w:bookmarkStart w:id="7" w:name="_Toc15377194"/>
      <w:bookmarkStart w:id="8" w:name="_Toc15396598"/>
      <w:bookmarkStart w:id="9" w:name="_Toc15377426"/>
      <w:bookmarkStart w:id="10" w:name="_Toc15396476"/>
    </w:p>
    <w:p w14:paraId="71BB2AC2">
      <w:pPr>
        <w:adjustRightInd w:val="0"/>
        <w:snapToGrid w:val="0"/>
        <w:spacing w:line="360" w:lineRule="auto"/>
        <w:jc w:val="center"/>
        <w:outlineLvl w:val="0"/>
        <w:rPr>
          <w:rFonts w:hint="eastAsia" w:ascii="黑体" w:hAnsi="黑体" w:eastAsia="黑体" w:cs="黑体"/>
          <w:color w:val="000000"/>
          <w:sz w:val="52"/>
          <w:szCs w:val="52"/>
          <w:lang w:val="en-US" w:eastAsia="zh-CN"/>
        </w:rPr>
      </w:pPr>
      <w:r>
        <w:rPr>
          <w:rFonts w:hint="eastAsia" w:ascii="黑体" w:hAnsi="黑体" w:eastAsia="黑体" w:cs="黑体"/>
          <w:sz w:val="20"/>
          <w:szCs w:val="22"/>
        </w:rPr>
        <w:drawing>
          <wp:anchor distT="0" distB="0" distL="0" distR="0" simplePos="0" relativeHeight="251659264" behindDoc="1" locked="0" layoutInCell="1" allowOverlap="1">
            <wp:simplePos x="0" y="0"/>
            <wp:positionH relativeFrom="column">
              <wp:posOffset>1925320</wp:posOffset>
            </wp:positionH>
            <wp:positionV relativeFrom="paragraph">
              <wp:posOffset>436880</wp:posOffset>
            </wp:positionV>
            <wp:extent cx="1440180" cy="1440180"/>
            <wp:effectExtent l="0" t="0" r="0" b="0"/>
            <wp:wrapNone/>
            <wp:docPr id="1026" name="图片 32" descr="安曲镇人民政府章"/>
            <wp:cNvGraphicFramePr/>
            <a:graphic xmlns:a="http://schemas.openxmlformats.org/drawingml/2006/main">
              <a:graphicData uri="http://schemas.openxmlformats.org/drawingml/2006/picture">
                <pic:pic xmlns:pic="http://schemas.openxmlformats.org/drawingml/2006/picture">
                  <pic:nvPicPr>
                    <pic:cNvPr id="1026" name="图片 32" descr="安曲镇人民政府章"/>
                    <pic:cNvPicPr/>
                  </pic:nvPicPr>
                  <pic:blipFill>
                    <a:blip r:embed="rId9" cstate="print"/>
                    <a:srcRect/>
                    <a:stretch>
                      <a:fillRect/>
                    </a:stretch>
                  </pic:blipFill>
                  <pic:spPr>
                    <a:xfrm rot="20580000">
                      <a:off x="0" y="0"/>
                      <a:ext cx="1440179" cy="1440180"/>
                    </a:xfrm>
                    <a:prstGeom prst="rect">
                      <a:avLst/>
                    </a:prstGeom>
                    <a:ln>
                      <a:noFill/>
                    </a:ln>
                  </pic:spPr>
                </pic:pic>
              </a:graphicData>
            </a:graphic>
          </wp:anchor>
        </w:drawing>
      </w:r>
      <w:r>
        <w:rPr>
          <w:rFonts w:hint="eastAsia" w:ascii="黑体" w:hAnsi="黑体" w:eastAsia="黑体" w:cs="黑体"/>
          <w:color w:val="000000"/>
          <w:sz w:val="52"/>
          <w:szCs w:val="52"/>
        </w:rPr>
        <w:t>四川省阿坝州红原县</w:t>
      </w:r>
      <w:bookmarkEnd w:id="0"/>
      <w:bookmarkStart w:id="11" w:name="_Toc15306268"/>
      <w:r>
        <w:rPr>
          <w:rFonts w:hint="eastAsia" w:ascii="黑体" w:hAnsi="黑体" w:eastAsia="黑体" w:cs="黑体"/>
          <w:color w:val="000000"/>
          <w:sz w:val="52"/>
          <w:szCs w:val="52"/>
        </w:rPr>
        <w:t>安曲镇人民政</w:t>
      </w:r>
      <w:r>
        <w:rPr>
          <w:rFonts w:hint="eastAsia" w:ascii="黑体" w:hAnsi="黑体" w:eastAsia="黑体" w:cs="黑体"/>
          <w:color w:val="000000"/>
          <w:sz w:val="52"/>
          <w:szCs w:val="52"/>
          <w:lang w:val="en-US" w:eastAsia="zh-CN"/>
        </w:rPr>
        <w:t>府</w:t>
      </w:r>
    </w:p>
    <w:p w14:paraId="AB10F009">
      <w:pPr>
        <w:adjustRightInd w:val="0"/>
        <w:snapToGrid w:val="0"/>
        <w:spacing w:line="360" w:lineRule="auto"/>
        <w:jc w:val="center"/>
        <w:outlineLvl w:val="0"/>
        <w:rPr>
          <w:rFonts w:hint="eastAsia" w:ascii="黑体" w:hAnsi="黑体" w:eastAsia="黑体" w:cs="黑体"/>
          <w:color w:val="000000"/>
          <w:sz w:val="52"/>
          <w:szCs w:val="52"/>
        </w:rPr>
      </w:pPr>
      <w:r>
        <w:rPr>
          <w:rFonts w:hint="eastAsia" w:ascii="黑体" w:hAnsi="黑体" w:eastAsia="黑体" w:cs="黑体"/>
          <w:color w:val="000000"/>
          <w:sz w:val="52"/>
          <w:szCs w:val="52"/>
        </w:rPr>
        <w:t>部门决算</w:t>
      </w:r>
      <w:bookmarkEnd w:id="6"/>
      <w:bookmarkEnd w:id="7"/>
      <w:bookmarkEnd w:id="8"/>
      <w:bookmarkEnd w:id="9"/>
      <w:bookmarkEnd w:id="10"/>
      <w:bookmarkEnd w:id="11"/>
      <w:bookmarkStart w:id="84" w:name="_GoBack"/>
      <w:bookmarkEnd w:id="84"/>
    </w:p>
    <w:p w14:paraId="2589131D">
      <w:pPr>
        <w:widowControl/>
        <w:jc w:val="center"/>
        <w:rPr>
          <w:rFonts w:ascii="方正小标宋简体" w:eastAsia="方正小标宋简体"/>
          <w:color w:val="000000"/>
          <w:sz w:val="36"/>
          <w:szCs w:val="36"/>
        </w:rPr>
      </w:pPr>
    </w:p>
    <w:p w14:paraId="A6398A6A">
      <w:pPr>
        <w:rPr>
          <w:rFonts w:ascii="方正小标宋简体" w:eastAsia="方正小标宋简体"/>
          <w:color w:val="000000"/>
          <w:sz w:val="36"/>
          <w:szCs w:val="36"/>
        </w:rPr>
      </w:pPr>
    </w:p>
    <w:p w14:paraId="A6F4B564">
      <w:pPr>
        <w:rPr>
          <w:rFonts w:ascii="方正小标宋简体" w:eastAsia="方正小标宋简体"/>
          <w:color w:val="000000"/>
          <w:sz w:val="36"/>
          <w:szCs w:val="36"/>
        </w:rPr>
      </w:pPr>
    </w:p>
    <w:p w14:paraId="EDABB8AB">
      <w:pPr>
        <w:rPr>
          <w:rFonts w:ascii="方正小标宋简体" w:eastAsia="方正小标宋简体"/>
          <w:color w:val="000000"/>
          <w:sz w:val="36"/>
          <w:szCs w:val="36"/>
        </w:rPr>
      </w:pPr>
    </w:p>
    <w:p w14:paraId="7FB45BC0">
      <w:pPr>
        <w:rPr>
          <w:rFonts w:ascii="方正小标宋简体" w:eastAsia="方正小标宋简体"/>
          <w:color w:val="000000"/>
          <w:sz w:val="36"/>
          <w:szCs w:val="36"/>
        </w:rPr>
      </w:pPr>
    </w:p>
    <w:p w14:paraId="3293E876">
      <w:pPr>
        <w:rPr>
          <w:rFonts w:ascii="方正小标宋简体" w:eastAsia="方正小标宋简体"/>
          <w:color w:val="000000"/>
          <w:sz w:val="36"/>
          <w:szCs w:val="36"/>
        </w:rPr>
      </w:pPr>
    </w:p>
    <w:p w14:paraId="BE19111E">
      <w:pPr>
        <w:pStyle w:val="37"/>
        <w:keepNext w:val="0"/>
        <w:keepLines w:val="0"/>
        <w:pageBreakBefore w:val="0"/>
        <w:widowControl/>
        <w:suppressLineNumbers w:val="0"/>
        <w:kinsoku/>
        <w:wordWrap/>
        <w:overflowPunct/>
        <w:topLinePunct w:val="0"/>
        <w:autoSpaceDN/>
        <w:bidi w:val="0"/>
        <w:adjustRightInd/>
        <w:snapToGrid w:val="0"/>
        <w:spacing w:before="0" w:beforeAutospacing="0" w:after="0" w:afterAutospacing="0" w:line="800" w:lineRule="exact"/>
        <w:ind w:left="0" w:firstLine="1276"/>
        <w:jc w:val="center"/>
        <w:textAlignment w:val="auto"/>
        <w:outlineLvl w:val="0"/>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pPr>
      <w:bookmarkStart w:id="12" w:name="_Toc22333"/>
      <w:bookmarkStart w:id="13" w:name="_Toc25310"/>
      <w:bookmarkStart w:id="14" w:name="_Toc18961"/>
      <w:bookmarkStart w:id="15" w:name="_Toc20690"/>
      <w:bookmarkStart w:id="16" w:name="_Toc13752"/>
      <w:bookmarkStart w:id="17" w:name="_Toc17922"/>
      <w:r>
        <w:rPr>
          <w:rFonts w:hint="eastAsia" w:ascii="仿宋_GB2312" w:hAnsi="Times New Roman" w:eastAsia="仿宋_GB2312" w:cs="Times New Roman"/>
          <w:b/>
          <w:snapToGrid/>
          <w:color w:val="auto"/>
          <w:spacing w:val="0"/>
          <w:w w:val="100"/>
          <w:kern w:val="2"/>
          <w:position w:val="0"/>
          <w:sz w:val="28"/>
          <w:szCs w:val="28"/>
          <w:u w:val="none" w:color="auto"/>
          <w:shd w:val="clear" w:color="auto" w:fill="auto"/>
          <w:vertAlign w:val="baseline"/>
          <w:lang w:val="en-US" w:eastAsia="zh-CN" w:bidi="ar-SA"/>
        </w:rPr>
        <w:t>已经保密审查，内容审定，同意对外公开</w:t>
      </w:r>
      <w:bookmarkEnd w:id="12"/>
      <w:bookmarkEnd w:id="13"/>
      <w:bookmarkEnd w:id="14"/>
      <w:bookmarkEnd w:id="15"/>
      <w:bookmarkEnd w:id="16"/>
      <w:bookmarkEnd w:id="17"/>
    </w:p>
    <w:p w14:paraId="9A09B451">
      <w:pPr>
        <w:rPr>
          <w:rFonts w:ascii="方正小标宋简体" w:eastAsia="方正小标宋简体"/>
          <w:color w:val="000000"/>
          <w:sz w:val="36"/>
          <w:szCs w:val="36"/>
        </w:rPr>
      </w:pPr>
    </w:p>
    <w:p w14:paraId="A377879E">
      <w:pPr>
        <w:widowControl/>
        <w:jc w:val="center"/>
        <w:rPr>
          <w:rFonts w:ascii="方正小标宋简体" w:eastAsia="方正小标宋简体"/>
          <w:color w:val="000000"/>
          <w:sz w:val="36"/>
          <w:szCs w:val="36"/>
        </w:rPr>
      </w:pPr>
    </w:p>
    <w:p w14:paraId="798F6279">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14:paraId="C9DD6EAA">
      <w:pPr>
        <w:widowControl/>
        <w:jc w:val="center"/>
        <w:rPr>
          <w:rFonts w:ascii="黑体" w:eastAsia="黑体" w:cs="Arial"/>
          <w:color w:val="000000"/>
          <w:sz w:val="28"/>
          <w:szCs w:val="28"/>
        </w:rPr>
      </w:pPr>
    </w:p>
    <w:p w14:paraId="4BF17B7A">
      <w:pPr>
        <w:rPr>
          <w:color w:val="000000"/>
        </w:rPr>
      </w:pPr>
    </w:p>
    <w:p w14:paraId="282042EB">
      <w:pPr>
        <w:pStyle w:val="15"/>
        <w:adjustRightInd w:val="0"/>
        <w:snapToGrid w:val="0"/>
        <w:spacing w:before="0" w:line="440" w:lineRule="exact"/>
        <w:jc w:val="left"/>
        <w:rPr>
          <w:rFonts w:cs="Arial"/>
          <w:color w:val="000000"/>
          <w:sz w:val="24"/>
          <w:szCs w:val="24"/>
        </w:rPr>
      </w:pPr>
      <w:r>
        <w:rPr>
          <w:rFonts w:hint="eastAsia"/>
          <w:color w:val="000000"/>
          <w:sz w:val="24"/>
        </w:rPr>
        <w:t>第一部分</w:t>
      </w:r>
      <w:r>
        <w:rPr>
          <w:color w:val="000000"/>
          <w:sz w:val="24"/>
        </w:rPr>
        <w:t xml:space="preserve"> </w:t>
      </w:r>
      <w:r>
        <w:rPr>
          <w:rFonts w:hint="eastAsia"/>
          <w:color w:val="000000"/>
          <w:sz w:val="24"/>
        </w:rPr>
        <w:t>部门概况</w:t>
      </w:r>
    </w:p>
    <w:p w14:paraId="62A03E69">
      <w:pPr>
        <w:pStyle w:val="17"/>
        <w:adjustRightInd w:val="0"/>
        <w:snapToGrid w:val="0"/>
        <w:spacing w:line="440" w:lineRule="exact"/>
        <w:jc w:val="left"/>
        <w:rPr>
          <w:rFonts w:hint="eastAsia" w:eastAsia="宋体"/>
          <w:color w:val="000000"/>
          <w:lang w:val="en-US" w:eastAsia="zh-CN"/>
        </w:rPr>
      </w:pPr>
      <w:r>
        <w:rPr>
          <w:rFonts w:hint="eastAsia"/>
          <w:color w:val="000000"/>
          <w:sz w:val="24"/>
        </w:rPr>
        <w:t>一、基本职能及主要工作.........................................................................</w:t>
      </w:r>
      <w:r>
        <w:rPr>
          <w:rFonts w:hint="eastAsia"/>
          <w:color w:val="000000"/>
          <w:sz w:val="24"/>
          <w:lang w:val="en-US" w:eastAsia="zh-CN"/>
        </w:rPr>
        <w:t>.</w:t>
      </w:r>
      <w:r>
        <w:rPr>
          <w:rFonts w:hint="eastAsia"/>
          <w:color w:val="000000"/>
          <w:sz w:val="24"/>
        </w:rPr>
        <w:t>......</w:t>
      </w:r>
      <w:r>
        <w:rPr>
          <w:rFonts w:hint="eastAsia"/>
          <w:color w:val="000000"/>
          <w:sz w:val="24"/>
          <w:lang w:val="en-US" w:eastAsia="zh-CN"/>
        </w:rPr>
        <w:t>1</w:t>
      </w:r>
    </w:p>
    <w:p w14:paraId="B976949B">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二、机构设置.................................................................................................</w:t>
      </w:r>
      <w:r>
        <w:rPr>
          <w:rFonts w:hint="eastAsia"/>
          <w:color w:val="000000"/>
          <w:sz w:val="24"/>
          <w:lang w:val="en-US" w:eastAsia="zh-CN"/>
        </w:rPr>
        <w:t>.12</w:t>
      </w:r>
    </w:p>
    <w:p w14:paraId="A0088312">
      <w:pPr>
        <w:pStyle w:val="15"/>
        <w:adjustRightInd w:val="0"/>
        <w:snapToGrid w:val="0"/>
        <w:spacing w:before="0" w:line="440" w:lineRule="exact"/>
        <w:jc w:val="left"/>
        <w:rPr>
          <w:color w:val="000000"/>
          <w:sz w:val="24"/>
          <w:szCs w:val="24"/>
        </w:rPr>
      </w:pPr>
      <w:r>
        <w:rPr>
          <w:rFonts w:hint="eastAsia"/>
          <w:color w:val="000000"/>
          <w:sz w:val="24"/>
        </w:rPr>
        <w:t>第二部分</w:t>
      </w:r>
      <w:r>
        <w:rPr>
          <w:rFonts w:hint="eastAsia"/>
          <w:color w:val="000000"/>
          <w:sz w:val="24"/>
          <w:lang w:val="en-US" w:eastAsia="zh-CN"/>
        </w:rPr>
        <w:t xml:space="preserve"> 年</w:t>
      </w:r>
      <w:r>
        <w:rPr>
          <w:rFonts w:hint="eastAsia"/>
          <w:color w:val="000000"/>
          <w:sz w:val="24"/>
        </w:rPr>
        <w:t>度部门决算情况说明</w:t>
      </w:r>
    </w:p>
    <w:p w14:paraId="0EBB5058">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一、收入支出决算总体情况说明.............................................................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14</w:t>
      </w:r>
    </w:p>
    <w:p w14:paraId="5BF1A715">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二、收入决算情况说明.............................................................................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14</w:t>
      </w:r>
    </w:p>
    <w:p w14:paraId="A96E6DB6">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三、支出决算情况说明..................................................................................</w:t>
      </w:r>
      <w:r>
        <w:rPr>
          <w:rFonts w:hint="eastAsia"/>
          <w:color w:val="000000"/>
          <w:sz w:val="24"/>
          <w:lang w:val="en-US" w:eastAsia="zh-CN"/>
        </w:rPr>
        <w:t>15</w:t>
      </w:r>
    </w:p>
    <w:p w14:paraId="4600A121">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四、财政拨款收入支出决算总体情况说明..................................................</w:t>
      </w:r>
      <w:r>
        <w:rPr>
          <w:rFonts w:hint="eastAsia"/>
          <w:color w:val="000000"/>
          <w:sz w:val="24"/>
          <w:lang w:val="en-US" w:eastAsia="zh-CN"/>
        </w:rPr>
        <w:t>15</w:t>
      </w:r>
    </w:p>
    <w:p w14:paraId="52B2E9DC">
      <w:pPr>
        <w:pStyle w:val="17"/>
        <w:adjustRightInd w:val="0"/>
        <w:snapToGrid w:val="0"/>
        <w:spacing w:line="440" w:lineRule="exact"/>
        <w:jc w:val="left"/>
        <w:rPr>
          <w:rFonts w:hint="eastAsia" w:ascii="仿宋" w:hAnsi="仿宋" w:eastAsia="宋体" w:cs="Arial"/>
          <w:color w:val="000000"/>
          <w:sz w:val="24"/>
          <w:lang w:val="en-US" w:eastAsia="zh-CN"/>
        </w:rPr>
      </w:pPr>
      <w:r>
        <w:rPr>
          <w:rFonts w:hint="eastAsia"/>
          <w:color w:val="000000"/>
          <w:sz w:val="24"/>
        </w:rPr>
        <w:t>五、一般公共预算财政拨款支出决算情况说明..........................................1</w:t>
      </w:r>
      <w:r>
        <w:rPr>
          <w:rFonts w:hint="eastAsia"/>
          <w:color w:val="000000"/>
          <w:sz w:val="24"/>
          <w:lang w:val="en-US" w:eastAsia="zh-CN"/>
        </w:rPr>
        <w:t>6</w:t>
      </w:r>
    </w:p>
    <w:p w14:paraId="E9D653A4">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六、一般公共预算财政拨款基本支出决算情况说明..................................</w:t>
      </w:r>
      <w:r>
        <w:rPr>
          <w:rFonts w:hint="eastAsia"/>
          <w:color w:val="000000"/>
          <w:sz w:val="24"/>
          <w:lang w:val="en-US" w:eastAsia="zh-CN"/>
        </w:rPr>
        <w:t>19</w:t>
      </w:r>
    </w:p>
    <w:p w14:paraId="59981014">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七、</w:t>
      </w:r>
      <w:r>
        <w:rPr>
          <w:color w:val="000000"/>
          <w:sz w:val="24"/>
        </w:rPr>
        <w:t>“</w:t>
      </w:r>
      <w:r>
        <w:rPr>
          <w:rFonts w:hint="eastAsia"/>
          <w:color w:val="000000"/>
          <w:sz w:val="24"/>
        </w:rPr>
        <w:t>三公”经费财政拨款支出决算情况说明............................................</w:t>
      </w:r>
      <w:r>
        <w:rPr>
          <w:rFonts w:hint="eastAsia"/>
          <w:color w:val="000000"/>
          <w:sz w:val="24"/>
          <w:lang w:val="en-US" w:eastAsia="zh-CN"/>
        </w:rPr>
        <w:t>20</w:t>
      </w:r>
    </w:p>
    <w:p w14:paraId="9B77E413">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八、政府性基金预算支出决算情况说明....................................................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21</w:t>
      </w:r>
    </w:p>
    <w:p w14:paraId="23240BF9">
      <w:pPr>
        <w:pStyle w:val="17"/>
        <w:adjustRightInd w:val="0"/>
        <w:snapToGrid w:val="0"/>
        <w:spacing w:line="440" w:lineRule="exact"/>
        <w:ind w:left="0" w:leftChars="0" w:firstLine="480" w:firstLineChars="200"/>
        <w:jc w:val="left"/>
        <w:rPr>
          <w:rFonts w:hint="default" w:ascii="仿宋" w:hAnsi="仿宋" w:eastAsia="宋体"/>
          <w:color w:val="000000"/>
          <w:sz w:val="24"/>
          <w:lang w:val="en-US" w:eastAsia="zh-CN"/>
        </w:rPr>
      </w:pPr>
      <w:r>
        <w:rPr>
          <w:rFonts w:hint="eastAsia"/>
          <w:color w:val="000000"/>
          <w:sz w:val="24"/>
        </w:rPr>
        <w:t>九、</w:t>
      </w:r>
      <w:r>
        <w:rPr>
          <w:color w:val="000000"/>
          <w:sz w:val="24"/>
        </w:rPr>
        <w:t>国</w:t>
      </w:r>
      <w:r>
        <w:rPr>
          <w:rFonts w:hint="eastAsia"/>
          <w:color w:val="000000"/>
          <w:sz w:val="24"/>
        </w:rPr>
        <w:t>有资本经营预算支出决算情况说明...............................................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21</w:t>
      </w:r>
    </w:p>
    <w:p w14:paraId="25C9E3D6">
      <w:pPr>
        <w:adjustRightInd w:val="0"/>
        <w:snapToGrid w:val="0"/>
        <w:spacing w:line="440" w:lineRule="exact"/>
        <w:ind w:firstLine="480" w:firstLineChars="200"/>
        <w:jc w:val="left"/>
        <w:rPr>
          <w:rFonts w:hint="default" w:ascii="仿宋" w:hAnsi="仿宋" w:eastAsia="宋体" w:cs="Arial"/>
          <w:color w:val="000000"/>
          <w:sz w:val="24"/>
          <w:lang w:val="en-US" w:eastAsia="zh-CN"/>
        </w:rPr>
      </w:pPr>
      <w:r>
        <w:rPr>
          <w:rFonts w:hint="eastAsia" w:ascii="Times New Roman" w:hAnsi="Times New Roman" w:eastAsia="宋体" w:cs="Times New Roman"/>
          <w:color w:val="000000"/>
          <w:kern w:val="2"/>
          <w:sz w:val="24"/>
          <w:szCs w:val="24"/>
          <w:lang w:val="en-US" w:eastAsia="zh-CN" w:bidi="ar-SA"/>
        </w:rPr>
        <w:t>十、</w:t>
      </w:r>
      <w:r>
        <w:rPr>
          <w:rFonts w:hint="eastAsia"/>
          <w:color w:val="000000"/>
          <w:sz w:val="24"/>
        </w:rPr>
        <w:t>其他重要事项的情况说明..................................................................</w:t>
      </w:r>
      <w:r>
        <w:rPr>
          <w:rFonts w:hint="eastAsia"/>
          <w:color w:val="000000"/>
          <w:sz w:val="24"/>
          <w:lang w:val="en-US" w:eastAsia="zh-CN"/>
        </w:rPr>
        <w:t>.</w:t>
      </w:r>
      <w:r>
        <w:rPr>
          <w:rFonts w:hint="eastAsia"/>
          <w:color w:val="000000"/>
          <w:sz w:val="24"/>
        </w:rPr>
        <w:t>..</w:t>
      </w:r>
      <w:r>
        <w:rPr>
          <w:rFonts w:hint="eastAsia"/>
          <w:color w:val="000000"/>
          <w:sz w:val="24"/>
          <w:lang w:val="en-US" w:eastAsia="zh-CN"/>
        </w:rPr>
        <w:t>21</w:t>
      </w:r>
    </w:p>
    <w:p w14:paraId="F9C7FC00">
      <w:pPr>
        <w:pStyle w:val="15"/>
        <w:adjustRightInd w:val="0"/>
        <w:snapToGrid w:val="0"/>
        <w:spacing w:before="0" w:line="440" w:lineRule="exact"/>
        <w:jc w:val="left"/>
        <w:rPr>
          <w:rFonts w:cs="Arial"/>
          <w:color w:val="000000"/>
          <w:sz w:val="24"/>
          <w:szCs w:val="24"/>
        </w:rPr>
      </w:pPr>
      <w:r>
        <w:rPr>
          <w:rFonts w:hint="eastAsia"/>
          <w:color w:val="000000"/>
          <w:sz w:val="24"/>
        </w:rPr>
        <w:t>第三部分</w:t>
      </w:r>
      <w:r>
        <w:rPr>
          <w:color w:val="000000"/>
          <w:sz w:val="24"/>
        </w:rPr>
        <w:t xml:space="preserve"> </w:t>
      </w:r>
      <w:r>
        <w:rPr>
          <w:rFonts w:hint="eastAsia"/>
          <w:color w:val="000000"/>
          <w:sz w:val="24"/>
        </w:rPr>
        <w:t>名词解释</w:t>
      </w:r>
    </w:p>
    <w:p w14:paraId="DBD8111C">
      <w:pPr>
        <w:pStyle w:val="15"/>
        <w:adjustRightInd w:val="0"/>
        <w:snapToGrid w:val="0"/>
        <w:spacing w:before="0" w:line="440" w:lineRule="exact"/>
        <w:jc w:val="left"/>
        <w:rPr>
          <w:rFonts w:cs="Arial"/>
          <w:color w:val="000000"/>
          <w:sz w:val="24"/>
          <w:szCs w:val="24"/>
        </w:rPr>
      </w:pPr>
      <w:r>
        <w:rPr>
          <w:rFonts w:hint="eastAsia"/>
          <w:color w:val="000000"/>
          <w:sz w:val="24"/>
        </w:rPr>
        <w:t>第四部分</w:t>
      </w:r>
      <w:r>
        <w:rPr>
          <w:color w:val="000000"/>
          <w:sz w:val="24"/>
        </w:rPr>
        <w:t xml:space="preserve"> </w:t>
      </w:r>
      <w:r>
        <w:rPr>
          <w:rFonts w:hint="eastAsia"/>
          <w:color w:val="000000"/>
          <w:sz w:val="24"/>
        </w:rPr>
        <w:t>附件</w:t>
      </w:r>
    </w:p>
    <w:p w14:paraId="CE6A7D76">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附件</w:t>
      </w:r>
      <w:r>
        <w:rPr>
          <w:color w:val="000000"/>
          <w:sz w:val="24"/>
        </w:rPr>
        <w:t>1</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42</w:t>
      </w:r>
    </w:p>
    <w:p w14:paraId="48626F1E">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color w:val="000000"/>
          <w:sz w:val="24"/>
        </w:rPr>
        <w:t>附件</w:t>
      </w:r>
      <w:r>
        <w:rPr>
          <w:color w:val="000000"/>
          <w:sz w:val="24"/>
        </w:rPr>
        <w:t>2</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.51</w:t>
      </w:r>
    </w:p>
    <w:p w14:paraId="AEA056AF">
      <w:pPr>
        <w:pStyle w:val="15"/>
        <w:adjustRightInd w:val="0"/>
        <w:snapToGrid w:val="0"/>
        <w:spacing w:before="0" w:line="440" w:lineRule="exact"/>
        <w:jc w:val="left"/>
        <w:rPr>
          <w:rFonts w:cs="Arial"/>
          <w:color w:val="000000"/>
          <w:sz w:val="24"/>
          <w:szCs w:val="24"/>
        </w:rPr>
      </w:pPr>
      <w:r>
        <w:rPr>
          <w:rFonts w:hint="eastAsia"/>
          <w:color w:val="000000"/>
          <w:sz w:val="24"/>
        </w:rPr>
        <w:t>第五部分</w:t>
      </w:r>
      <w:r>
        <w:rPr>
          <w:color w:val="000000"/>
          <w:sz w:val="24"/>
        </w:rPr>
        <w:t xml:space="preserve"> </w:t>
      </w:r>
      <w:r>
        <w:rPr>
          <w:rFonts w:hint="eastAsia"/>
          <w:color w:val="000000"/>
          <w:sz w:val="24"/>
        </w:rPr>
        <w:t>附表</w:t>
      </w:r>
    </w:p>
    <w:p w14:paraId="15A04D7E">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一、</w:t>
      </w:r>
      <w:r>
        <w:rPr>
          <w:rFonts w:hint="eastAsia"/>
          <w:color w:val="000000"/>
          <w:sz w:val="24"/>
        </w:rPr>
        <w:t>收入支出决算总表.......................................................................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B56ECB78">
      <w:pPr>
        <w:pStyle w:val="17"/>
        <w:adjustRightInd w:val="0"/>
        <w:snapToGrid w:val="0"/>
        <w:spacing w:line="440" w:lineRule="exact"/>
        <w:jc w:val="left"/>
        <w:rPr>
          <w:rFonts w:ascii="仿宋" w:hAnsi="仿宋" w:eastAsia="宋体" w:cs="Arial"/>
          <w:color w:val="000000"/>
          <w:sz w:val="24"/>
          <w:lang w:val="en-US" w:eastAsia="zh-CN"/>
        </w:rPr>
      </w:pPr>
      <w:r>
        <w:rPr>
          <w:rFonts w:hint="eastAsia" w:ascii="仿宋" w:eastAsia="仿宋"/>
          <w:color w:val="000000"/>
          <w:sz w:val="24"/>
        </w:rPr>
        <w:t>二、</w:t>
      </w:r>
      <w:r>
        <w:rPr>
          <w:rFonts w:hint="eastAsia"/>
          <w:color w:val="000000"/>
          <w:sz w:val="24"/>
        </w:rPr>
        <w:t>收入决算表...................................................................................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BC6B0269">
      <w:pPr>
        <w:pStyle w:val="17"/>
        <w:adjustRightInd w:val="0"/>
        <w:snapToGrid w:val="0"/>
        <w:spacing w:line="440" w:lineRule="exact"/>
        <w:jc w:val="left"/>
        <w:rPr>
          <w:rFonts w:eastAsia="宋体"/>
          <w:color w:val="000000"/>
          <w:sz w:val="24"/>
          <w:lang w:val="en-US" w:eastAsia="zh-CN"/>
        </w:rPr>
      </w:pPr>
      <w:r>
        <w:rPr>
          <w:rFonts w:hint="eastAsia" w:ascii="仿宋" w:eastAsia="仿宋"/>
          <w:color w:val="000000"/>
          <w:sz w:val="24"/>
        </w:rPr>
        <w:t>三</w:t>
      </w:r>
      <w:r>
        <w:rPr>
          <w:rFonts w:hint="eastAsia"/>
          <w:color w:val="000000"/>
          <w:sz w:val="24"/>
        </w:rPr>
        <w:t>、支出决算表.....................................................................................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B9EB04A5">
      <w:pPr>
        <w:pStyle w:val="17"/>
        <w:adjustRightInd w:val="0"/>
        <w:snapToGrid w:val="0"/>
        <w:spacing w:line="440" w:lineRule="exact"/>
        <w:jc w:val="left"/>
        <w:rPr>
          <w:rFonts w:ascii="仿宋" w:hAnsi="仿宋" w:eastAsia="宋体"/>
          <w:color w:val="000000"/>
          <w:sz w:val="24"/>
          <w:lang w:val="en-US" w:eastAsia="zh-CN"/>
        </w:rPr>
      </w:pPr>
      <w:r>
        <w:rPr>
          <w:rFonts w:hint="eastAsia" w:ascii="仿宋" w:eastAsia="仿宋"/>
          <w:color w:val="000000"/>
          <w:sz w:val="24"/>
        </w:rPr>
        <w:t>四、</w:t>
      </w:r>
      <w:r>
        <w:rPr>
          <w:rFonts w:hint="eastAsia"/>
          <w:color w:val="000000"/>
          <w:sz w:val="24"/>
        </w:rPr>
        <w:t>财政拨款收入支出决算总表.....................................................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96A5CAF9">
      <w:pPr>
        <w:pStyle w:val="17"/>
        <w:adjustRightInd w:val="0"/>
        <w:snapToGrid w:val="0"/>
        <w:spacing w:line="440" w:lineRule="exact"/>
        <w:jc w:val="left"/>
        <w:rPr>
          <w:rFonts w:eastAsia="宋体"/>
          <w:color w:val="000000"/>
          <w:sz w:val="24"/>
          <w:lang w:val="en-US" w:eastAsia="zh-CN"/>
        </w:rPr>
      </w:pPr>
      <w:r>
        <w:rPr>
          <w:rFonts w:hint="eastAsia" w:ascii="仿宋" w:eastAsia="仿宋"/>
          <w:color w:val="000000"/>
          <w:sz w:val="24"/>
        </w:rPr>
        <w:t>五、</w:t>
      </w:r>
      <w:r>
        <w:rPr>
          <w:rFonts w:hint="eastAsia"/>
          <w:color w:val="000000"/>
          <w:sz w:val="24"/>
        </w:rPr>
        <w:t>财政拨款支出决算明细表.......................................................</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086ACE8A">
      <w:pPr>
        <w:pStyle w:val="17"/>
        <w:adjustRightInd w:val="0"/>
        <w:snapToGrid w:val="0"/>
        <w:spacing w:line="440" w:lineRule="exact"/>
        <w:jc w:val="left"/>
        <w:rPr>
          <w:rFonts w:ascii="仿宋" w:hAnsi="仿宋" w:eastAsia="宋体" w:cs="Arial"/>
          <w:color w:val="000000"/>
          <w:sz w:val="24"/>
          <w:lang w:val="en-US" w:eastAsia="zh-CN"/>
        </w:rPr>
      </w:pPr>
      <w:r>
        <w:rPr>
          <w:rFonts w:hint="eastAsia"/>
          <w:color w:val="000000"/>
          <w:sz w:val="24"/>
        </w:rPr>
        <w:t>六、一般公共预算财政拨款支出决算表..................................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4926BFBC">
      <w:pPr>
        <w:pStyle w:val="17"/>
        <w:adjustRightInd w:val="0"/>
        <w:snapToGrid w:val="0"/>
        <w:spacing w:line="440" w:lineRule="exact"/>
        <w:jc w:val="left"/>
        <w:rPr>
          <w:rFonts w:ascii="仿宋" w:hAnsi="仿宋" w:eastAsia="宋体" w:cs="Arial"/>
          <w:color w:val="000000"/>
          <w:sz w:val="24"/>
          <w:lang w:val="en-US" w:eastAsia="zh-CN"/>
        </w:rPr>
      </w:pPr>
      <w:r>
        <w:rPr>
          <w:rFonts w:hint="eastAsia" w:ascii="仿宋" w:eastAsia="仿宋"/>
          <w:color w:val="000000"/>
          <w:sz w:val="24"/>
        </w:rPr>
        <w:t>七、</w:t>
      </w:r>
      <w:r>
        <w:rPr>
          <w:rFonts w:hint="eastAsia"/>
          <w:color w:val="000000"/>
          <w:sz w:val="24"/>
        </w:rPr>
        <w:t>一般公共预算财政拨款支出决算明细表............................</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489D7016">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八、</w:t>
      </w:r>
      <w:r>
        <w:rPr>
          <w:rFonts w:hint="eastAsia"/>
          <w:color w:val="000000"/>
          <w:sz w:val="24"/>
        </w:rPr>
        <w:t>一般公共预算财政拨款基本支出决算表...........................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C7D56119">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九、</w:t>
      </w:r>
      <w:r>
        <w:rPr>
          <w:rFonts w:hint="eastAsia"/>
          <w:color w:val="000000"/>
          <w:sz w:val="24"/>
        </w:rPr>
        <w:t>一般公共预算财政拨款项目支出决算表...........................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66BCFB93">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w:t>
      </w:r>
      <w:r>
        <w:rPr>
          <w:rFonts w:hint="eastAsia"/>
          <w:color w:val="000000"/>
          <w:sz w:val="24"/>
        </w:rPr>
        <w:t>政府性基金预算财政拨款收入支出决算表........</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D021E2FF">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十一、</w:t>
      </w:r>
      <w:r>
        <w:rPr>
          <w:rFonts w:hint="eastAsia"/>
          <w:sz w:val="24"/>
        </w:rPr>
        <w:t>国有资本经营预算财政拨款收入支出决算表</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CB6C33EA">
      <w:pPr>
        <w:pStyle w:val="17"/>
        <w:adjustRightInd w:val="0"/>
        <w:snapToGrid w:val="0"/>
        <w:spacing w:line="440" w:lineRule="exact"/>
        <w:jc w:val="left"/>
        <w:rPr>
          <w:rFonts w:hint="default" w:ascii="仿宋" w:hAnsi="仿宋" w:eastAsia="宋体" w:cs="Arial"/>
          <w:color w:val="000000"/>
          <w:sz w:val="24"/>
          <w:lang w:val="en-US" w:eastAsia="zh-CN"/>
        </w:rPr>
      </w:pPr>
      <w:r>
        <w:rPr>
          <w:rFonts w:hint="eastAsia" w:ascii="仿宋" w:eastAsia="仿宋"/>
          <w:color w:val="000000"/>
          <w:sz w:val="24"/>
        </w:rPr>
        <w:t>十二、</w:t>
      </w:r>
      <w:r>
        <w:rPr>
          <w:rFonts w:hint="eastAsia"/>
          <w:sz w:val="24"/>
        </w:rPr>
        <w:t>国有资本经营预算财政拨款支出决算表</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FA71DE9B">
      <w:pPr>
        <w:pStyle w:val="17"/>
        <w:adjustRightInd w:val="0"/>
        <w:snapToGrid w:val="0"/>
        <w:spacing w:line="440" w:lineRule="exact"/>
        <w:jc w:val="left"/>
        <w:rPr>
          <w:rFonts w:hint="eastAsia"/>
          <w:color w:val="000000"/>
          <w:sz w:val="24"/>
          <w:lang w:val="en-US" w:eastAsia="zh-CN"/>
        </w:rPr>
      </w:pPr>
      <w:r>
        <w:rPr>
          <w:rFonts w:hint="eastAsia" w:ascii="仿宋" w:eastAsia="仿宋"/>
          <w:color w:val="000000"/>
          <w:sz w:val="24"/>
        </w:rPr>
        <w:t>十三、</w:t>
      </w:r>
      <w:r>
        <w:rPr>
          <w:rFonts w:hint="eastAsia"/>
          <w:sz w:val="24"/>
        </w:rPr>
        <w:t>财政拨款“三公”经费支出决算表</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w:t>
      </w:r>
      <w:r>
        <w:rPr>
          <w:rFonts w:hint="eastAsia"/>
          <w:color w:val="000000"/>
          <w:sz w:val="24"/>
        </w:rPr>
        <w:t>.....</w:t>
      </w:r>
      <w:r>
        <w:rPr>
          <w:rFonts w:hint="eastAsia"/>
          <w:color w:val="000000"/>
          <w:sz w:val="24"/>
          <w:lang w:val="en-US" w:eastAsia="zh-CN"/>
        </w:rPr>
        <w:t>55</w:t>
      </w:r>
    </w:p>
    <w:p w14:paraId="019A4EC9">
      <w:pPr>
        <w:rPr>
          <w:rFonts w:hint="default"/>
          <w:lang w:val="en-US" w:eastAsia="zh-CN"/>
        </w:rPr>
      </w:pPr>
    </w:p>
    <w:p w14:paraId="B3C0FDD8">
      <w:pPr>
        <w:pStyle w:val="3"/>
        <w:jc w:val="center"/>
        <w:rPr>
          <w:rFonts w:hint="eastAsia" w:ascii="黑体" w:eastAsia="黑体"/>
          <w:b w:val="0"/>
          <w:color w:val="000000"/>
        </w:rPr>
      </w:pPr>
      <w:bookmarkStart w:id="18" w:name="_Toc15396599"/>
      <w:bookmarkStart w:id="19" w:name="_Toc15377196"/>
    </w:p>
    <w:p w14:paraId="AC52E40A">
      <w:pPr>
        <w:rPr>
          <w:rFonts w:hint="eastAsia"/>
        </w:rPr>
        <w:sectPr>
          <w:headerReference r:id="rId3" w:type="first"/>
          <w:footerReference r:id="rId5" w:type="first"/>
          <w:footerReference r:id="rId4" w:type="default"/>
          <w:pgSz w:w="11906" w:h="16838"/>
          <w:pgMar w:top="1440" w:right="1531" w:bottom="1440" w:left="1531" w:header="851" w:footer="992" w:gutter="0"/>
          <w:pgNumType w:fmt="decimal"/>
          <w:cols w:space="425" w:num="1"/>
          <w:docGrid w:type="lines" w:linePitch="312" w:charSpace="0"/>
        </w:sectPr>
      </w:pPr>
    </w:p>
    <w:p w14:paraId="8C066B03">
      <w:pPr>
        <w:pStyle w:val="3"/>
        <w:jc w:val="center"/>
        <w:rPr>
          <w:rStyle w:val="23"/>
          <w:rFonts w:ascii="黑体" w:eastAsia="黑体"/>
          <w:b/>
          <w:bCs w:val="0"/>
          <w:color w:val="000000"/>
        </w:rPr>
      </w:pPr>
      <w:r>
        <w:rPr>
          <w:rFonts w:hint="eastAsia" w:ascii="黑体" w:eastAsia="黑体"/>
          <w:b w:val="0"/>
          <w:color w:val="000000"/>
        </w:rPr>
        <w:t xml:space="preserve">第一部分 </w:t>
      </w:r>
      <w:r>
        <w:rPr>
          <w:rStyle w:val="23"/>
          <w:rFonts w:hint="eastAsia" w:ascii="黑体" w:eastAsia="黑体"/>
          <w:b w:val="0"/>
          <w:bCs w:val="0"/>
          <w:color w:val="000000"/>
        </w:rPr>
        <w:t>部门概况</w:t>
      </w:r>
      <w:bookmarkEnd w:id="18"/>
      <w:bookmarkEnd w:id="19"/>
    </w:p>
    <w:p w14:paraId="E710A072">
      <w:pPr>
        <w:widowControl/>
        <w:jc w:val="left"/>
        <w:rPr>
          <w:rFonts w:ascii="黑体" w:eastAsia="黑体"/>
          <w:color w:val="000000"/>
          <w:sz w:val="32"/>
          <w:szCs w:val="32"/>
        </w:rPr>
      </w:pPr>
    </w:p>
    <w:p w14:paraId="C1854C69">
      <w:pPr>
        <w:pStyle w:val="4"/>
        <w:rPr>
          <w:rStyle w:val="24"/>
          <w:rFonts w:ascii="仿宋" w:eastAsia="仿宋"/>
          <w:b w:val="0"/>
          <w:bCs w:val="0"/>
          <w:color w:val="000000"/>
        </w:rPr>
      </w:pPr>
      <w:bookmarkStart w:id="20" w:name="_Toc15377197"/>
      <w:bookmarkStart w:id="21" w:name="_Toc15396600"/>
      <w:r>
        <w:rPr>
          <w:rFonts w:hint="eastAsia" w:ascii="黑体" w:eastAsia="黑体"/>
          <w:b w:val="0"/>
          <w:color w:val="000000"/>
        </w:rPr>
        <w:t>一、基</w:t>
      </w:r>
      <w:r>
        <w:rPr>
          <w:rStyle w:val="24"/>
          <w:rFonts w:hint="eastAsia" w:ascii="黑体" w:eastAsia="黑体"/>
          <w:b w:val="0"/>
          <w:bCs w:val="0"/>
          <w:color w:val="000000"/>
        </w:rPr>
        <w:t>本职能及主要工作</w:t>
      </w:r>
      <w:bookmarkEnd w:id="20"/>
      <w:bookmarkEnd w:id="21"/>
    </w:p>
    <w:p w14:paraId="4B2B049A">
      <w:pPr>
        <w:pStyle w:val="7"/>
        <w:adjustRightInd w:val="0"/>
        <w:snapToGrid w:val="0"/>
        <w:spacing w:before="93" w:line="600" w:lineRule="exact"/>
        <w:ind w:firstLine="668" w:firstLineChars="209"/>
        <w:outlineLvl w:val="2"/>
        <w:rPr>
          <w:rFonts w:ascii="仿宋" w:eastAsia="仿宋"/>
          <w:bCs/>
          <w:color w:val="000000"/>
          <w:sz w:val="32"/>
          <w:szCs w:val="32"/>
        </w:rPr>
      </w:pPr>
      <w:bookmarkStart w:id="22" w:name="_Toc15378445"/>
      <w:bookmarkStart w:id="23" w:name="_Toc15377198"/>
      <w:r>
        <w:rPr>
          <w:rFonts w:hint="eastAsia" w:ascii="仿宋" w:eastAsia="仿宋"/>
          <w:bCs/>
          <w:color w:val="000000"/>
          <w:sz w:val="32"/>
          <w:szCs w:val="32"/>
        </w:rPr>
        <w:t>（一）主要职能</w:t>
      </w:r>
      <w:bookmarkEnd w:id="22"/>
      <w:bookmarkEnd w:id="23"/>
    </w:p>
    <w:p w14:paraId="944986BA">
      <w:pPr>
        <w:pStyle w:val="18"/>
        <w:spacing w:before="0" w:beforeAutospacing="0" w:afterAutospacing="0" w:line="576" w:lineRule="exact"/>
        <w:ind w:firstLine="640" w:firstLineChars="200"/>
        <w:rPr>
          <w:rFonts w:ascii="仿宋_GB2312" w:eastAsia="仿宋_GB2312" w:cs="Times New Roman"/>
          <w:kern w:val="2"/>
          <w:sz w:val="32"/>
          <w:szCs w:val="32"/>
        </w:rPr>
      </w:pPr>
      <w:bookmarkStart w:id="24" w:name="_Toc15378446"/>
      <w:bookmarkStart w:id="25" w:name="_Toc15377199"/>
      <w:r>
        <w:rPr>
          <w:rFonts w:hint="eastAsia" w:ascii="仿宋_GB2312" w:eastAsia="仿宋_GB2312" w:cs="Times New Roman"/>
          <w:kern w:val="2"/>
          <w:sz w:val="32"/>
          <w:szCs w:val="32"/>
        </w:rPr>
        <w:t>主要职责是：认真贯彻执行党和国家的各项方针、政策；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14:paraId="604C39EA">
      <w:pPr>
        <w:pStyle w:val="7"/>
        <w:adjustRightInd w:val="0"/>
        <w:snapToGrid w:val="0"/>
        <w:spacing w:before="93" w:line="600" w:lineRule="exact"/>
        <w:ind w:firstLine="668" w:firstLineChars="209"/>
        <w:outlineLvl w:val="2"/>
      </w:pPr>
      <w:r>
        <w:rPr>
          <w:rFonts w:hint="eastAsia" w:ascii="仿宋" w:eastAsia="仿宋"/>
          <w:bCs/>
          <w:color w:val="000000"/>
          <w:sz w:val="32"/>
          <w:szCs w:val="32"/>
        </w:rPr>
        <w:t>（二）</w:t>
      </w:r>
      <w:r>
        <w:rPr>
          <w:rFonts w:hint="eastAsia" w:ascii="仿宋" w:eastAsia="仿宋"/>
          <w:bCs/>
          <w:color w:val="000000"/>
          <w:sz w:val="32"/>
          <w:szCs w:val="32"/>
          <w:lang w:eastAsia="zh-CN"/>
        </w:rPr>
        <w:t>202</w:t>
      </w:r>
      <w:r>
        <w:rPr>
          <w:rFonts w:hint="default" w:ascii="仿宋" w:eastAsia="仿宋"/>
          <w:bCs/>
          <w:color w:val="000000"/>
          <w:sz w:val="32"/>
          <w:szCs w:val="32"/>
          <w:lang w:val="en-US" w:eastAsia="zh-CN"/>
        </w:rPr>
        <w:t>4</w:t>
      </w:r>
      <w:r>
        <w:rPr>
          <w:rFonts w:hint="eastAsia" w:ascii="仿宋" w:eastAsia="仿宋"/>
          <w:bCs/>
          <w:color w:val="000000"/>
          <w:sz w:val="32"/>
          <w:szCs w:val="32"/>
        </w:rPr>
        <w:t>年重点工作完成情况</w:t>
      </w:r>
      <w:bookmarkEnd w:id="24"/>
      <w:bookmarkEnd w:id="25"/>
    </w:p>
    <w:p w14:paraId="B139E0E2">
      <w:pPr>
        <w:spacing w:line="576" w:lineRule="exact"/>
        <w:ind w:firstLine="643" w:firstLineChars="200"/>
        <w:jc w:val="both"/>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经济运行稳中有进。</w:t>
      </w:r>
      <w:r>
        <w:rPr>
          <w:rFonts w:hint="default" w:ascii="仿宋_GB2312" w:hAnsi="Times New Roman" w:eastAsia="仿宋_GB2312" w:cs="Times New Roman"/>
          <w:kern w:val="2"/>
          <w:sz w:val="32"/>
          <w:szCs w:val="32"/>
          <w:lang w:val="en-US" w:eastAsia="zh-CN" w:bidi="ar-SA"/>
        </w:rPr>
        <w:t>实现地区生产总值9080万元，人均可支配收入达2.0995万元，增长9.8%。出栏牛21322头，羊246只，完成年度任务。通过整合资源、盘活资产、发展特色产业等多种途径，加快牧旅融合发展，增强村集体经济实力。哈拉玛村集体经济总收益达32.87万余元，完成分红77.907万元；夺龙村总收益达73.22万余元，首次分红43.8万元；下哈拉玛村集体经济总收益达100.24万余元，已分红26.67万元。</w:t>
      </w:r>
    </w:p>
    <w:p w14:paraId="2A01E380">
      <w:pPr>
        <w:adjustRightInd/>
        <w:snapToGrid/>
        <w:spacing w:line="576" w:lineRule="exact"/>
        <w:ind w:firstLine="643" w:firstLineChars="200"/>
        <w:jc w:val="both"/>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项目建设全面提速。</w:t>
      </w:r>
      <w:r>
        <w:rPr>
          <w:rFonts w:hint="default" w:ascii="仿宋_GB2312" w:hAnsi="Times New Roman" w:eastAsia="仿宋_GB2312" w:cs="Times New Roman"/>
          <w:kern w:val="2"/>
          <w:sz w:val="32"/>
          <w:szCs w:val="32"/>
          <w:lang w:val="en-US" w:eastAsia="zh-CN" w:bidi="ar-SA"/>
        </w:rPr>
        <w:t>实施项目10个，投资1018.44万元。2024年产业到户项目投资119.4万元；户厕建设项目投资81.62万元；安曲镇过境路围栏整治项目投资95.42万元；各村受灾损毁牧道、涵洞维修项目，牧业生产性道路维修项目和家庭牧场建设项目完成投资150万元；夺龙村省级乡村振兴奖励资金项目，下哈拉玛村电力设施提升扩容项目和村集体产业提升项目，均已全部竣工并完成拨付。储备项目22个，涵盖产业发展、基础设施、人居环境、民生改善四个方面。</w:t>
      </w:r>
    </w:p>
    <w:p w14:paraId="E8631EFD">
      <w:pPr>
        <w:spacing w:line="576" w:lineRule="exact"/>
        <w:ind w:firstLine="643" w:firstLineChars="200"/>
        <w:jc w:val="both"/>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要素保障高效强化。</w:t>
      </w:r>
      <w:r>
        <w:rPr>
          <w:rFonts w:hint="default" w:ascii="仿宋_GB2312" w:hAnsi="Times New Roman" w:eastAsia="仿宋_GB2312" w:cs="Times New Roman"/>
          <w:kern w:val="2"/>
          <w:sz w:val="32"/>
          <w:szCs w:val="32"/>
          <w:lang w:val="en-US" w:eastAsia="zh-CN" w:bidi="ar-SA"/>
        </w:rPr>
        <w:t>重点对项目未按时开工、未按时资源配置保障到位等情况进行会商、协商、调度、协调。一是全力保障光伏项目推进属地要素，开展项目用地保障及协调、签订草场租赁协议30余份；协调材料堆放场地2处、拌合站站置1处、广告牌位场地租赁1处、场内道路建设14公里、进场道路8公里；解决越界施工问题1个、送出线路塔基建设12户14处6.67公里、临时用地占地19户10公里75亩；解决农民工工资问题130余个，金额83.0533万元。1期25万千瓦光伏项目完成投资11.2亿元，牧民通过草地临占、永占获补3962万元，群众务工增收126万元，2025年3月12日，红原安曲一期光伏项目首批5.28万千瓦实现并网发电。二是全力保障川红高速项目推进属地要素，开展群众大会政策宣讲2次；完成现场探勘2次、现场实物量调查3次、69户丈量并完成登记、9户临时用地协议签订；前期临时施工用电立杆全部完成。</w:t>
      </w:r>
    </w:p>
    <w:p w14:paraId="3B367123">
      <w:pPr>
        <w:spacing w:line="576" w:lineRule="exact"/>
        <w:ind w:firstLine="643" w:firstLineChars="200"/>
        <w:jc w:val="both"/>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乡村振兴持续巩固。</w:t>
      </w:r>
      <w:r>
        <w:rPr>
          <w:rFonts w:hint="default" w:ascii="仿宋_GB2312" w:hAnsi="Times New Roman" w:eastAsia="仿宋_GB2312" w:cs="Times New Roman"/>
          <w:kern w:val="2"/>
          <w:sz w:val="32"/>
          <w:szCs w:val="32"/>
          <w:lang w:val="en-US" w:eastAsia="zh-CN" w:bidi="ar-SA"/>
        </w:rPr>
        <w:t>一是采取党政主要领导包片、班子成员包村、村干部包组、全镇干部职工包户的精准帮扶模式，通过农户自主申请、村组排查、部门风险推送，2024年识别纳入监测户2户10人，2025年4月前识别纳入监测户3户15人，其中7户33人监测户风险消除，未消除风险5户25人。二是深入推进各项教育政策落实，做好适龄学生登记台账，了解收集家庭情况及有无困难诉求并及时进行解决，确保适龄儿童0辍学；做好特殊儿童入学和困难学生的教育救助工作，宣传教育救助政策，主动对接摸排学生家庭情况，落实“教育救助”“雨露计划”各项政策，并持续跟踪服务。三是脱贫人口、防止返贫监测对象2021-2025年度基本医保参保率达到100%、家庭医生签约率100％，全面落实基本医疗保险、大病保险、医疗救助等政策。四是全面排查住房安全隐患，2024年我镇排查出C级危房1户，已按照要求进行加固，群众住房安全百分百保障。五是设立多处水质检测点,严格开展常规化验并送水质检测中心进行水样分析；全面落实巡护措施,定责到人,对水源地实行防护栏封堵和加盖封闭,进一步提高了水源地安全防范水平。</w:t>
      </w:r>
    </w:p>
    <w:p w14:paraId="BB8A68F8">
      <w:pPr>
        <w:widowControl/>
        <w:adjustRightInd/>
        <w:snapToGrid/>
        <w:spacing w:line="576" w:lineRule="exact"/>
        <w:ind w:firstLine="643" w:firstLineChars="200"/>
        <w:jc w:val="both"/>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社会保障兜稳兜牢。</w:t>
      </w:r>
      <w:r>
        <w:rPr>
          <w:rFonts w:hint="default" w:ascii="仿宋_GB2312" w:hAnsi="Times New Roman" w:eastAsia="仿宋_GB2312" w:cs="Times New Roman"/>
          <w:kern w:val="2"/>
          <w:sz w:val="32"/>
          <w:szCs w:val="32"/>
          <w:lang w:val="en-US" w:eastAsia="zh-CN" w:bidi="ar-SA"/>
        </w:rPr>
        <w:t>一是聚焦重点群体，进一步将监控工作前移。461人领取养老保险待遇、197人享受政府代缴养老保险；446户享受城乡最低生活保障，发放低保金155.19万元；20人享受分散特困供养，发放供养金16.632万元；事实无人抚养儿童6人，发放补助1.44万元；高龄补助94人，发放补助9.394万元；二是对接县民政部门争取到40余件爱心物资，对特殊人群进行上门服务安装辅具；充分发挥安曲社工服务作用，开展“五社联动”“关爱一老一小”社工服务，通过建立55岁以上老年人台账及“一老一小”需求，及时对应关切。三是医疗保险2025年参保总人数3645人，完成率100.3%，落实二次医疗报销89人，总金额26.153065万元。四是农村劳动力转移就业200余人，安置公益性岗位158人，促进高校毕业生、青壮牧民等群体就业创业。五是教育惠民政策全面落实，做到了“应免尽免”“应补尽补”，全镇监测户、脱贫户学生109人全部申请教育助学补助，16人申请雨露计划补助。六是推进大骨节、肺结核、“三病”（艾滋病、梅毒、乙肝）免费筛查工作；保障妇女HPV免费接种、儿童各类疫苗接种工作；组织眼科等专家义诊活动，做实了疾病筛查、妇幼健康等公共卫生服务安全。</w:t>
      </w:r>
    </w:p>
    <w:p w14:paraId="29AE84BE">
      <w:pPr>
        <w:spacing w:line="576" w:lineRule="exact"/>
        <w:ind w:firstLine="643" w:firstLineChars="200"/>
        <w:jc w:val="both"/>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社会事业共促共进。</w:t>
      </w:r>
      <w:r>
        <w:rPr>
          <w:rFonts w:hint="default" w:ascii="仿宋_GB2312" w:hAnsi="Times New Roman" w:eastAsia="仿宋_GB2312" w:cs="Times New Roman"/>
          <w:kern w:val="2"/>
          <w:sz w:val="32"/>
          <w:szCs w:val="32"/>
          <w:lang w:val="en-US" w:eastAsia="zh-CN" w:bidi="ar-SA"/>
        </w:rPr>
        <w:t>高度重视文化赋能和美乡村建设，加强各村图书室、文化站等阵地建设，依托新时代文明实践所（站）深化开展“春节”“三八”“七一”、篮球赛等文体活动，开展志愿活动12次。弘扬好人榜样力量，传承好人精神，表彰24年度“好媳妇”3人、“道德模范”3人、“优秀青年”3人，大力倡树时代新风，树立正确价值导向。</w:t>
      </w:r>
    </w:p>
    <w:p w14:paraId="82562CEF">
      <w:pPr>
        <w:tabs>
          <w:tab w:val="center" w:pos="4140"/>
          <w:tab w:val="right" w:pos="8300"/>
        </w:tabs>
        <w:adjustRightInd/>
        <w:snapToGrid w:val="0"/>
        <w:spacing w:line="576" w:lineRule="exact"/>
        <w:ind w:firstLine="643" w:firstLineChars="200"/>
        <w:jc w:val="left"/>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安全生产切实加强。</w:t>
      </w:r>
      <w:r>
        <w:rPr>
          <w:rFonts w:hint="default" w:ascii="仿宋_GB2312" w:hAnsi="Times New Roman" w:eastAsia="仿宋_GB2312" w:cs="Times New Roman"/>
          <w:kern w:val="2"/>
          <w:sz w:val="32"/>
          <w:szCs w:val="32"/>
          <w:lang w:val="en-US" w:eastAsia="zh-CN" w:bidi="ar-SA"/>
        </w:rPr>
        <w:t>一是严格落实“党政同责、一岗双责”和“三管三必须”要求，扎实推进安全生产治本攻坚三年行动，聚焦建筑施工、燃气安全、“九小场所”、有限空间等重点领域开展专项整治。部署开展城镇燃气安全、食品安全周等专项行动12次，联合派出所开展夜间大清查行动7次，检查餐饮单位43家次、施工企业7家次、居民500余户次。深入开展道路交通安全事故预防“减量遏大”行动，坚决遏制重特大安全事故发生。二是提升防灾减灾救灾能力，开展防汛、防火24小时巡查上百余次，组织防汛、防火应急演练8次，有重点地组织全镇应急力量开展技能战术、设备使用、防汛、扑火安全等培训9次，建立隐患台账，健全完善应急管理体系，全力保障人民群众生命财产安全。</w:t>
      </w:r>
    </w:p>
    <w:p w14:paraId="D50A5767">
      <w:pPr>
        <w:adjustRightInd/>
        <w:snapToGrid/>
        <w:spacing w:line="576" w:lineRule="exact"/>
        <w:ind w:right="0" w:rightChars="0" w:firstLine="643" w:firstLineChars="200"/>
        <w:jc w:val="both"/>
        <w:outlineLvl w:val="9"/>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矛盾纠纷全力化解。</w:t>
      </w:r>
      <w:r>
        <w:rPr>
          <w:rFonts w:hint="default" w:ascii="仿宋_GB2312" w:hAnsi="Times New Roman" w:eastAsia="仿宋_GB2312" w:cs="Times New Roman"/>
          <w:kern w:val="2"/>
          <w:sz w:val="32"/>
          <w:szCs w:val="32"/>
          <w:lang w:val="en-US" w:eastAsia="zh-CN" w:bidi="ar-SA"/>
        </w:rPr>
        <w:t>强化风险意识和底线思维，坚持将工作前移、力量前置，突出化解矛盾风险、维护社会稳定，加强重点人员管理服务，严防发生个人极端事件，全力化解矛盾纠纷。2024年度，共化解矛盾纠纷234起。其中，久马高速历史遗留问题11起，光伏项目建设矛盾纠纷204起，阿坝查理光伏电站建设遗留问题2起，边界问题2起，其他一般矛盾纠纷19起，全力维护社会安全稳定，以高水平安全保障高质量发展。</w:t>
      </w:r>
    </w:p>
    <w:p w14:paraId="BC29B69F">
      <w:pPr>
        <w:adjustRightInd w:val="0"/>
        <w:snapToGrid w:val="0"/>
        <w:spacing w:line="576" w:lineRule="exact"/>
        <w:ind w:firstLine="643" w:firstLineChars="200"/>
        <w:jc w:val="both"/>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平安建设持续深化。</w:t>
      </w:r>
      <w:r>
        <w:rPr>
          <w:rFonts w:hint="default" w:ascii="仿宋_GB2312" w:hAnsi="Times New Roman" w:eastAsia="仿宋_GB2312" w:cs="Times New Roman"/>
          <w:kern w:val="2"/>
          <w:sz w:val="32"/>
          <w:szCs w:val="32"/>
          <w:lang w:val="en-US" w:eastAsia="zh-CN" w:bidi="ar-SA"/>
        </w:rPr>
        <w:t>坚持总体国家安全观，从以全局谋划一域、以一域服务全局的政治站位，坚定捍卫国家政权安全、制度安全、意识形态安全。一是加强微网实格工作。精细划分网格3个，微网格52个、专属网格2个，统筹乡村干部、农村党员、公益性岗位等网格力量190名，各网格发挥作用提供各类信息400余条。二是防范化解重大风险。强化网络意识形态监管，把牢意识形态领域方向，专门落实网评人员关注网络动态，及时宣传国家方针政策，传播正能量，及时封堵有害信息，努力维护清朗的网络环境。三是持续巩固民族团结。铸牢中华民族共同体意识，全镇制作民族团结标语5幅，召开民族团结专题会3次。加强普法教育，提升宗教事务治理法治化水平，巩固民族和睦、宗教和顺、社会和谐的良好局面。</w:t>
      </w:r>
    </w:p>
    <w:p w14:paraId="8B975B54">
      <w:pPr>
        <w:adjustRightInd w:val="0"/>
        <w:snapToGrid w:val="0"/>
        <w:spacing w:line="576" w:lineRule="exact"/>
        <w:ind w:firstLine="643" w:firstLineChars="200"/>
        <w:jc w:val="both"/>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生态保护系统推进。</w:t>
      </w:r>
      <w:r>
        <w:rPr>
          <w:rFonts w:hint="default" w:ascii="仿宋_GB2312" w:hAnsi="Times New Roman" w:eastAsia="仿宋_GB2312" w:cs="Times New Roman"/>
          <w:kern w:val="2"/>
          <w:sz w:val="32"/>
          <w:szCs w:val="32"/>
          <w:lang w:val="en-US" w:eastAsia="zh-CN" w:bidi="ar-SA"/>
        </w:rPr>
        <w:t>一是牢固树立“两山”生态理念，全面贯彻河长制、林长制，全年累计巡河237余次，巡河率达100%；累计巡草巡林374余次，巡草率达100%。深入开展生态问题排查整治，严厉打击破坏河流、林草资源等违法行为。二是持续加强辖区各工地废渣监察力度，签订责任书36份，严格规范排放、运输、处置流程，加大巡查检查频次，从源头遏制环境污染，维护生态环境。三是将牲畜尸体无公害处理作为生态安全与公共安全的重要防线，强化宣传引导和监督管理，有效防控疫病传播，切实守护了生态环境和群众健康。</w:t>
      </w:r>
    </w:p>
    <w:p w14:paraId="AD3FEA51">
      <w:pPr>
        <w:adjustRightInd w:val="0"/>
        <w:snapToGrid w:val="0"/>
        <w:spacing w:line="576" w:lineRule="exact"/>
        <w:ind w:firstLine="643" w:firstLineChars="200"/>
        <w:jc w:val="both"/>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人居环境全域提升。</w:t>
      </w:r>
      <w:r>
        <w:rPr>
          <w:rFonts w:hint="default" w:ascii="仿宋_GB2312" w:hAnsi="Times New Roman" w:eastAsia="仿宋_GB2312" w:cs="Times New Roman"/>
          <w:kern w:val="2"/>
          <w:sz w:val="32"/>
          <w:szCs w:val="32"/>
          <w:lang w:val="en-US" w:eastAsia="zh-CN" w:bidi="ar-SA"/>
        </w:rPr>
        <w:t>瞄准美丽乡村建设目标，扎实推进安曲镇户厕建设补助项目，全镇完成150户户厕新建；坚持开展每月22日环境集中整治行动，全年共3500人次参与，清理垃圾6.8万余吨；常态化开展国省道沿线路域环境整治行动，提升道路环境节点13处，停车场、观景台6处；表彰2024年度“最美庭院”3户，“优秀保洁员”3名。</w:t>
      </w:r>
    </w:p>
    <w:p w14:paraId="5AB26C42">
      <w:pPr>
        <w:tabs>
          <w:tab w:val="center" w:pos="4140"/>
          <w:tab w:val="right" w:pos="8300"/>
        </w:tabs>
        <w:adjustRightInd/>
        <w:snapToGrid w:val="0"/>
        <w:spacing w:line="576" w:lineRule="exact"/>
        <w:ind w:firstLine="643" w:firstLineChars="200"/>
        <w:jc w:val="left"/>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旗帜鲜明讲政治。</w:t>
      </w:r>
      <w:r>
        <w:rPr>
          <w:rFonts w:hint="default" w:ascii="仿宋_GB2312" w:hAnsi="Times New Roman" w:eastAsia="仿宋_GB2312" w:cs="Times New Roman"/>
          <w:kern w:val="2"/>
          <w:sz w:val="32"/>
          <w:szCs w:val="32"/>
          <w:lang w:val="en-US" w:eastAsia="zh-CN" w:bidi="ar-SA"/>
        </w:rPr>
        <w:t>全面深入学习贯彻习近平新时代中国特色社会主义思想，深刻领悟“两个确立”决定性意义，增强“四个意识”、坚定“四个自信”，做到“两个维护”，自觉在思想上政治上行动上同以习近平同志为核心的党中央保持高度一致，在各级党委、政府的坚强领导下，紧紧依靠人民，高质量落实上级决策部署，当好执行者、行动派、实干家。</w:t>
      </w:r>
    </w:p>
    <w:p w14:paraId="7018148F">
      <w:pPr>
        <w:tabs>
          <w:tab w:val="center" w:pos="4140"/>
          <w:tab w:val="right" w:pos="8300"/>
        </w:tabs>
        <w:adjustRightInd/>
        <w:snapToGrid w:val="0"/>
        <w:spacing w:line="576" w:lineRule="exact"/>
        <w:ind w:firstLine="643" w:firstLineChars="200"/>
        <w:jc w:val="left"/>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奋力实干勇担当。</w:t>
      </w:r>
      <w:r>
        <w:rPr>
          <w:rFonts w:hint="default" w:ascii="仿宋_GB2312" w:hAnsi="Times New Roman" w:eastAsia="仿宋_GB2312" w:cs="Times New Roman"/>
          <w:kern w:val="2"/>
          <w:sz w:val="32"/>
          <w:szCs w:val="32"/>
          <w:lang w:val="en-US" w:eastAsia="zh-CN" w:bidi="ar-SA"/>
        </w:rPr>
        <w:t>全面提升政府效能，奔着问题去，迎着困难上，完善闭环管理、分类考核、绩效奖励等机制，确保各项工作一抓到底，终端见效。实施重大任务“建专班”，推进“工作项目化、项目清单化、清单责任化、责任考核化”。自觉接受人大监督、舆论监督、群众监督，认真办理人大代表议案建议，把标杆拉得更高、把工作做得更实，努力在全县乡镇比拼中提档进位。</w:t>
      </w:r>
    </w:p>
    <w:p w14:paraId="27CD02F7">
      <w:pPr>
        <w:tabs>
          <w:tab w:val="center" w:pos="4140"/>
          <w:tab w:val="right" w:pos="8300"/>
        </w:tabs>
        <w:adjustRightInd/>
        <w:snapToGrid w:val="0"/>
        <w:spacing w:line="576" w:lineRule="exact"/>
        <w:ind w:firstLine="643" w:firstLineChars="200"/>
        <w:jc w:val="left"/>
        <w:rPr>
          <w:rFonts w:hint="default"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b/>
          <w:bCs/>
          <w:kern w:val="2"/>
          <w:sz w:val="32"/>
          <w:szCs w:val="32"/>
          <w:lang w:val="en-US" w:eastAsia="zh-CN" w:bidi="ar-SA"/>
        </w:rPr>
        <w:t>清正廉洁守底线。</w:t>
      </w:r>
      <w:r>
        <w:rPr>
          <w:rFonts w:hint="default" w:ascii="仿宋_GB2312" w:hAnsi="Times New Roman" w:eastAsia="仿宋_GB2312" w:cs="Times New Roman"/>
          <w:kern w:val="2"/>
          <w:sz w:val="32"/>
          <w:szCs w:val="32"/>
          <w:lang w:val="en-US" w:eastAsia="zh-CN" w:bidi="ar-SA"/>
        </w:rPr>
        <w:t>严格落实“三重一大”议事决策机制，持续规范政府采购、行政审批、财政资金管理、项目招投标管理等工作，严格控制“三公”经费和一般性支出，落实全面从严治党主体责任，持续纠治“四风”，力戒形式主义、官僚主义，组织警示教育学习9次，自觉把纪律和规矩挺在前面，营造风清气正的政治生态。</w:t>
      </w:r>
    </w:p>
    <w:p w14:paraId="991ED5B5">
      <w:pPr>
        <w:tabs>
          <w:tab w:val="center" w:pos="4140"/>
          <w:tab w:val="right" w:pos="8300"/>
        </w:tabs>
        <w:adjustRightInd/>
        <w:snapToGrid w:val="0"/>
        <w:spacing w:line="576" w:lineRule="exact"/>
        <w:ind w:firstLine="640" w:firstLineChars="200"/>
        <w:jc w:val="left"/>
        <w:rPr>
          <w:rFonts w:hint="eastAsia" w:ascii="仿宋_GB2312" w:hAnsi="Times New Roman" w:eastAsia="仿宋_GB2312" w:cs="Times New Roman"/>
          <w:kern w:val="2"/>
          <w:sz w:val="32"/>
          <w:szCs w:val="32"/>
          <w:lang w:val="en-US" w:eastAsia="zh-CN" w:bidi="ar-SA"/>
        </w:rPr>
      </w:pPr>
      <w:r>
        <w:rPr>
          <w:rFonts w:hint="default" w:ascii="仿宋_GB2312" w:hAnsi="Times New Roman" w:eastAsia="仿宋_GB2312" w:cs="Times New Roman"/>
          <w:kern w:val="2"/>
          <w:sz w:val="32"/>
          <w:szCs w:val="32"/>
          <w:lang w:val="en-US" w:eastAsia="zh-CN" w:bidi="ar-SA"/>
        </w:rPr>
        <w:t>在取得成绩的同时，我</w:t>
      </w:r>
      <w:r>
        <w:rPr>
          <w:rFonts w:hint="eastAsia" w:ascii="仿宋_GB2312" w:hAnsi="Times New Roman" w:eastAsia="仿宋_GB2312" w:cs="Times New Roman"/>
          <w:kern w:val="2"/>
          <w:sz w:val="32"/>
          <w:szCs w:val="32"/>
          <w:lang w:val="en-US" w:eastAsia="zh-CN" w:bidi="ar-SA"/>
        </w:rPr>
        <w:t>镇</w:t>
      </w:r>
      <w:r>
        <w:rPr>
          <w:rFonts w:hint="default" w:ascii="仿宋_GB2312" w:hAnsi="Times New Roman" w:eastAsia="仿宋_GB2312" w:cs="Times New Roman"/>
          <w:kern w:val="2"/>
          <w:sz w:val="32"/>
          <w:szCs w:val="32"/>
          <w:lang w:val="en-US" w:eastAsia="zh-CN" w:bidi="ar-SA"/>
        </w:rPr>
        <w:t>清醒认识到全镇发展中还存在的一些问题和短板，如：产业结构仍需优化、乡村振兴任重道远、群众内生动力不足等。对此，我</w:t>
      </w:r>
      <w:r>
        <w:rPr>
          <w:rFonts w:hint="eastAsia" w:ascii="仿宋_GB2312" w:hAnsi="Times New Roman" w:eastAsia="仿宋_GB2312" w:cs="Times New Roman"/>
          <w:kern w:val="2"/>
          <w:sz w:val="32"/>
          <w:szCs w:val="32"/>
          <w:lang w:val="en-US" w:eastAsia="zh-CN" w:bidi="ar-SA"/>
        </w:rPr>
        <w:t>镇</w:t>
      </w:r>
      <w:r>
        <w:rPr>
          <w:rFonts w:hint="default" w:ascii="仿宋_GB2312" w:hAnsi="Times New Roman" w:eastAsia="仿宋_GB2312" w:cs="Times New Roman"/>
          <w:kern w:val="2"/>
          <w:sz w:val="32"/>
          <w:szCs w:val="32"/>
          <w:lang w:val="en-US" w:eastAsia="zh-CN" w:bidi="ar-SA"/>
        </w:rPr>
        <w:t>一定勇于面对、敢于担当，以更强决心、更大力度、更实举措加以解决。</w:t>
      </w:r>
    </w:p>
    <w:p w14:paraId="E0FB23C7">
      <w:pPr>
        <w:pStyle w:val="11"/>
        <w:ind w:left="0" w:leftChars="0"/>
        <w:rPr>
          <w:rFonts w:hint="eastAsia"/>
          <w:lang w:val="en-US" w:eastAsia="zh-CN"/>
        </w:rPr>
      </w:pPr>
    </w:p>
    <w:p w14:paraId="4F5CFA29">
      <w:pPr>
        <w:numPr>
          <w:ilvl w:val="0"/>
          <w:numId w:val="0"/>
        </w:numPr>
        <w:ind w:leftChars="0" w:firstLine="880" w:firstLineChars="200"/>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2025年工作安排</w:t>
      </w:r>
    </w:p>
    <w:p w14:paraId="9F4C435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eastAsia" w:ascii="仿宋_GB2312" w:hAnsi="仿宋_GB2312" w:eastAsia="仿宋_GB2312" w:cs="仿宋_GB2312"/>
          <w:b w:val="0"/>
          <w:bCs w:val="0"/>
          <w:kern w:val="2"/>
          <w:sz w:val="32"/>
          <w:szCs w:val="32"/>
          <w:u w:val="none" w:color="auto"/>
          <w:lang w:val="en-US" w:eastAsia="zh-CN" w:bidi="ar-SA"/>
        </w:rPr>
        <w:t>202</w:t>
      </w:r>
      <w:r>
        <w:rPr>
          <w:rFonts w:hint="default" w:ascii="仿宋_GB2312" w:hAnsi="仿宋_GB2312" w:eastAsia="仿宋_GB2312" w:cs="仿宋_GB2312"/>
          <w:b w:val="0"/>
          <w:bCs w:val="0"/>
          <w:kern w:val="2"/>
          <w:sz w:val="32"/>
          <w:szCs w:val="32"/>
          <w:u w:val="none" w:color="auto"/>
          <w:lang w:val="en-US" w:eastAsia="zh-CN" w:bidi="ar-SA"/>
        </w:rPr>
        <w:t>5</w:t>
      </w:r>
      <w:r>
        <w:rPr>
          <w:rFonts w:hint="eastAsia" w:ascii="仿宋_GB2312" w:hAnsi="仿宋_GB2312" w:eastAsia="仿宋_GB2312" w:cs="仿宋_GB2312"/>
          <w:b w:val="0"/>
          <w:bCs w:val="0"/>
          <w:kern w:val="2"/>
          <w:sz w:val="32"/>
          <w:szCs w:val="32"/>
          <w:u w:val="none" w:color="auto"/>
          <w:lang w:val="en-US" w:eastAsia="zh-CN" w:bidi="ar-SA"/>
        </w:rPr>
        <w:t>年</w:t>
      </w:r>
      <w:r>
        <w:rPr>
          <w:rFonts w:hint="default" w:ascii="仿宋_GB2312" w:hAnsi="仿宋_GB2312" w:eastAsia="仿宋_GB2312" w:cs="仿宋_GB2312"/>
          <w:b w:val="0"/>
          <w:bCs w:val="0"/>
          <w:kern w:val="2"/>
          <w:sz w:val="32"/>
          <w:szCs w:val="32"/>
          <w:u w:val="none" w:color="auto"/>
          <w:lang w:val="en-US" w:eastAsia="zh-CN" w:bidi="ar-SA"/>
        </w:rPr>
        <w:t>是“十四五”规划收官之年，也是“十五五”蓄势之年。做好政府工作，要坚持以习近平新时代中国特色社会主义思想为指导，全面贯彻党的二十届三中、四中全会精神，认真落实省委十二届六次全会、州委十二届六次全会战略决策，坚决贯彻县委十三届六次全会和县委经济工作会议部署要求，认真对标、锚定目标、主动作为，激发经济发展活力和实力，增强群众服务能力和人民群众的获得感、幸福感、安全感。</w:t>
      </w:r>
    </w:p>
    <w:p w14:paraId="476C383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bCs/>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一、狠抓经济发展，增强产业动能。</w:t>
      </w:r>
    </w:p>
    <w:p w14:paraId="FAEB567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（一）壮大优质畜牧业。</w:t>
      </w:r>
      <w:r>
        <w:rPr>
          <w:rFonts w:hint="default" w:ascii="仿宋_GB2312" w:hAnsi="仿宋_GB2312" w:eastAsia="仿宋_GB2312" w:cs="仿宋_GB2312"/>
          <w:b w:val="0"/>
          <w:bCs w:val="0"/>
          <w:kern w:val="2"/>
          <w:sz w:val="32"/>
          <w:szCs w:val="32"/>
          <w:u w:val="none" w:color="auto"/>
          <w:lang w:val="en-US" w:eastAsia="zh-CN" w:bidi="ar-SA"/>
        </w:rPr>
        <w:t>全面落实《促进牦牛产业高质量发展七条激励措施（试行）》，高标准实施现代化草原畜牧业转型升级示范基地建设，实施防疫巷道圈口建设项目300个、家庭牧场7个，预算资金200万元；积极引进龙头企业，积极对接盘活各村牦牛养殖基地，推动畜牧业向现代化、企业化、专业化转型，更好发挥联农带农作用。</w:t>
      </w:r>
    </w:p>
    <w:p w14:paraId="6AB950B1">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（二）打造精品旅游业。</w:t>
      </w:r>
      <w:r>
        <w:rPr>
          <w:rFonts w:hint="default" w:ascii="仿宋_GB2312" w:hAnsi="仿宋_GB2312" w:eastAsia="仿宋_GB2312" w:cs="仿宋_GB2312"/>
          <w:b w:val="0"/>
          <w:bCs w:val="0"/>
          <w:kern w:val="2"/>
          <w:sz w:val="32"/>
          <w:szCs w:val="32"/>
          <w:u w:val="none" w:color="auto"/>
          <w:lang w:val="en-US" w:eastAsia="zh-CN" w:bidi="ar-SA"/>
        </w:rPr>
        <w:t>凭借月亮湾4A级景区、“环红原机场旅游经济圈”建设的中心等资源优势，依托“骑着骏马游草原”活动，深入挖掘安多藏族民俗文化，立足“高原空港、牧旅家园”的发展定位，积极争取家庭民宿建设项目和全县甲级民宿示范点创建，逐步形成集草原风情、民俗体验、特色餐饮为一体的安曲旅游业发展模式。</w:t>
      </w:r>
    </w:p>
    <w:p w14:paraId="55CC86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（三）强化项目建设和协调服务。</w:t>
      </w:r>
      <w:r>
        <w:rPr>
          <w:rFonts w:hint="default" w:ascii="仿宋_GB2312" w:hAnsi="仿宋_GB2312" w:eastAsia="仿宋_GB2312" w:cs="仿宋_GB2312"/>
          <w:b w:val="0"/>
          <w:bCs w:val="0"/>
          <w:kern w:val="2"/>
          <w:sz w:val="32"/>
          <w:szCs w:val="32"/>
          <w:u w:val="none" w:color="auto"/>
          <w:lang w:val="en-US" w:eastAsia="zh-CN" w:bidi="ar-SA"/>
        </w:rPr>
        <w:t>一是重点推进远牧点新建桥梁2座、板涵桥7座，预算资金286万；农村厕所革命整村推进项目及冲水式厕所改建项目共60个预算资金46.2万元；改建厕所190个，预算资金57万元；2025年脱贫户（监测户）产业到户补助项目，资金81.6万元。二是强化重大项目建设保障，对川红高速建设、疆电入川、智算中心、西城铁路供电等重大项目推进保障工作实行挂图作战，确保项目推进全周期服务保障到位、要素兜底扎实。</w:t>
      </w:r>
    </w:p>
    <w:p w14:paraId="C7DF464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bCs/>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二、做实民生保障，提升群众获得感。</w:t>
      </w:r>
    </w:p>
    <w:p w14:paraId="B9FEBB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（一）提高民生服务。</w:t>
      </w:r>
      <w:r>
        <w:rPr>
          <w:rFonts w:hint="default" w:ascii="仿宋_GB2312" w:hAnsi="仿宋_GB2312" w:eastAsia="仿宋_GB2312" w:cs="仿宋_GB2312"/>
          <w:b w:val="0"/>
          <w:bCs w:val="0"/>
          <w:kern w:val="2"/>
          <w:sz w:val="32"/>
          <w:szCs w:val="32"/>
          <w:u w:val="none" w:color="auto"/>
          <w:lang w:val="en-US" w:eastAsia="zh-CN" w:bidi="ar-SA"/>
        </w:rPr>
        <w:t>一是优化教育资源，加大对镇中心小学基础设施投入，改善教学环境；二是推动卫生院提升医疗服务水平，深入实施全民参保计划，持续落实好基本养老保险、医疗保险等社会保障，扎实做好特困人员、残疾人、孤儿等特殊困难群体保障；三是兜牢兜实民生保障，落实各项惠民政策，重点关注低保、特困供养户、残疾人等弱势群体，着力加强困难群众基本生活保障，认真做好农村留守儿童和妇女、老年人的关爱服务。</w:t>
      </w:r>
    </w:p>
    <w:p w14:paraId="1965986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（二）深化群众工作。</w:t>
      </w:r>
      <w:r>
        <w:rPr>
          <w:rFonts w:hint="default" w:ascii="仿宋_GB2312" w:hAnsi="仿宋_GB2312" w:eastAsia="仿宋_GB2312" w:cs="仿宋_GB2312"/>
          <w:b w:val="0"/>
          <w:bCs w:val="0"/>
          <w:kern w:val="2"/>
          <w:sz w:val="32"/>
          <w:szCs w:val="32"/>
          <w:u w:val="none" w:color="auto"/>
          <w:lang w:val="en-US" w:eastAsia="zh-CN" w:bidi="ar-SA"/>
        </w:rPr>
        <w:t>扎实推进“石榴籽”工程六大行动，一是精准摸排，兜底保障。建立动态数据库，推进农村“低保”和“五保”供养工作，做到“应保尽保”；探索“支部+党员+干部”的结对模式，常态开展走访帮扶行动；落实好各项优抚政策，全力维护优抚对象合法权益。二是动态管理、精准服务。按照县委“五个至少”“五个主动”工作要求，纵深推进“联心同行”行动提质增效，整合镇村干部力量，群覆盖包联辖区僧尼，让每一名僧尼群众困难有人帮、诉求有人应，进一步促进民族团结、夯实工作基础。三是结对关爱、亲情守护。全面掌握“五类”困境儿童底数，精准定位到村、建档到人，结合其性格特征、兴趣爱好、学习情况等，全力落实“爱心爸妈”结对帮联，有针对的提供爱心服务，引导儿童树立正确的人生观、价值观，养成良好习惯。四是创业扶持、创新驱动。通过拓展岗位、培训赋能、以工代赈等措施，借力川红高速、疆点入川、光伏等重大项目建设，解决一批留守青年就近就业；摸清未就业大中专毕业生存量底数，引导其转变就业观念，鼓励自主创业和走出家门就业。五是全民体检、健康提档。进一步完善镇、村两级卫生服务体系建设，宣传和组织群众参加全州全民免费健康体检，整合体检数据，对高血压、糖尿病等慢性病患者实行分级标识管理，家庭签约医生定期健康随访、用药指导，提标扩面医疗保障。六是主题宣教、凝心聚力。组织各类主体宣讲进校园、进村组、进寺庙，突出抓好国家、公民、法治“三个意识”教育，用群众常讲的、愿听的、能懂的话，教育引导群众真诚的感党恩、真正听党话、真心跟党走。</w:t>
      </w:r>
    </w:p>
    <w:p w14:paraId="C79C18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bCs/>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三、守牢安全底线，维护社会稳定。</w:t>
      </w:r>
    </w:p>
    <w:p w14:paraId="2A56AE87">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（一）抓实安全生产。</w:t>
      </w:r>
      <w:r>
        <w:rPr>
          <w:rFonts w:hint="default" w:ascii="仿宋_GB2312" w:hAnsi="仿宋_GB2312" w:eastAsia="仿宋_GB2312" w:cs="仿宋_GB2312"/>
          <w:b w:val="0"/>
          <w:bCs w:val="0"/>
          <w:kern w:val="2"/>
          <w:sz w:val="32"/>
          <w:szCs w:val="32"/>
          <w:u w:val="none" w:color="auto"/>
          <w:lang w:val="en-US" w:eastAsia="zh-CN" w:bidi="ar-SA"/>
        </w:rPr>
        <w:t>严格落实安全生产责任制，紧盯道路交通、建筑施工、森林防火、城镇燃气、城乡消防、烟花爆竹、危险化学品等重点行业领域，常态化做好安全生产检查及隐患整改，坚决防范和遏制重特大安全生产事故发生。统筹抓好防灾减灾救灾工作，扎实开展防火、防汛、极端天气等应急演练，健全应急管理机制，强化应急物资储备保障，切实提高抢险救援、防灾减灾和应急处置能力，确保人民群众生命财产安全和全镇大局和谐有序。</w:t>
      </w:r>
    </w:p>
    <w:p w14:paraId="25325B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（二）深化社会治理。</w:t>
      </w:r>
      <w:r>
        <w:rPr>
          <w:rFonts w:hint="default" w:ascii="仿宋_GB2312" w:hAnsi="仿宋_GB2312" w:eastAsia="仿宋_GB2312" w:cs="仿宋_GB2312"/>
          <w:b w:val="0"/>
          <w:bCs w:val="0"/>
          <w:kern w:val="2"/>
          <w:sz w:val="32"/>
          <w:szCs w:val="32"/>
          <w:u w:val="none" w:color="auto"/>
          <w:lang w:val="en-US" w:eastAsia="zh-CN" w:bidi="ar-SA"/>
        </w:rPr>
        <w:t>强化社会治安整体防控，聚焦人民群众所恨所痛、所呼所盼、所急所需，常态化开展扫黑除恶专项斗争，持续保持对黑恶势力的高压态势，依法严厉打击电信网络诈骗、黄赌毒、盗抢骗等突出违法犯罪。进一步加强对学校、卫生院等人员密集场所的安全防范工作，筑牢联防联控、群防群治严密防线，切实提高人民群众的安全感和满意度。</w:t>
      </w:r>
    </w:p>
    <w:p w14:paraId="1DBDE61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（三）促进民族团结。</w:t>
      </w:r>
      <w:r>
        <w:rPr>
          <w:rFonts w:hint="default" w:ascii="仿宋_GB2312" w:hAnsi="仿宋_GB2312" w:eastAsia="仿宋_GB2312" w:cs="仿宋_GB2312"/>
          <w:b w:val="0"/>
          <w:bCs w:val="0"/>
          <w:kern w:val="2"/>
          <w:sz w:val="32"/>
          <w:szCs w:val="32"/>
          <w:u w:val="none" w:color="auto"/>
          <w:lang w:val="en-US" w:eastAsia="zh-CN" w:bidi="ar-SA"/>
        </w:rPr>
        <w:t>开展好“爱党爱国爱社会主义”主题教育活动，广泛宣传党和国家民族理论、民族政策法规，增引导群众树立正确的国家观、历史观、民族观、文化观、宗教观。</w:t>
      </w:r>
    </w:p>
    <w:p w14:paraId="902377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bCs/>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四、加强生态治理，改善人居环境。</w:t>
      </w:r>
    </w:p>
    <w:p w14:paraId="864AD775">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（一）深化三化治理。</w:t>
      </w:r>
      <w:r>
        <w:rPr>
          <w:rFonts w:hint="default" w:ascii="仿宋_GB2312" w:hAnsi="仿宋_GB2312" w:eastAsia="仿宋_GB2312" w:cs="仿宋_GB2312"/>
          <w:b w:val="0"/>
          <w:bCs w:val="0"/>
          <w:kern w:val="2"/>
          <w:sz w:val="32"/>
          <w:szCs w:val="32"/>
          <w:u w:val="none" w:color="auto"/>
          <w:lang w:val="en-US" w:eastAsia="zh-CN" w:bidi="ar-SA"/>
        </w:rPr>
        <w:t>一是推进环境“净化”工程，实施系统性治理工程，争取安曲镇白河河堤建设、污水管网提升改造、下哈拉玛村排水沟建设等，加强污染防治，完善提升污水处理、垃圾处理等设施。二是实施全域“绿化”行动，常态组织开展全民植树系列活动、深入推进草种补播工作，积极争取街面沿线和交通干线绿化工程，确保植被覆盖率和乡村绿化提升。三是强化“规范化”管理，修订完善村规民约，细化“门前三包”责任，严查在建工地建渣乱倒行为，严控乱打乱建、乱拉乱挂行为。</w:t>
      </w:r>
    </w:p>
    <w:p w14:paraId="02BA9A1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（二）促进“两设施”提升。</w:t>
      </w:r>
      <w:r>
        <w:rPr>
          <w:rFonts w:hint="default" w:ascii="仿宋_GB2312" w:hAnsi="仿宋_GB2312" w:eastAsia="仿宋_GB2312" w:cs="仿宋_GB2312"/>
          <w:b w:val="0"/>
          <w:bCs w:val="0"/>
          <w:kern w:val="2"/>
          <w:sz w:val="32"/>
          <w:szCs w:val="32"/>
          <w:u w:val="none" w:color="auto"/>
          <w:lang w:val="en-US" w:eastAsia="zh-CN" w:bidi="ar-SA"/>
        </w:rPr>
        <w:t>积极争取储备项目落地安曲，聚焦新能源、交通升级和医疗、文体、养老、便民等领域，完善公共设施、优化污水排放等推动基础设施建设提档升级，强化民生服务保障、升级文体服务等促进服务设施便民提质，坚持“当下治”与“长久立”相结合，建立“日巡查、周通报、月考评”机制，强化日常监管；深化公益性岗位网格化管理，实现环境整治全覆盖。</w:t>
      </w:r>
    </w:p>
    <w:p w14:paraId="7D8603E4">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（三）筑牢生态保护屏障。</w:t>
      </w:r>
      <w:r>
        <w:rPr>
          <w:rFonts w:hint="default" w:ascii="仿宋_GB2312" w:hAnsi="仿宋_GB2312" w:eastAsia="仿宋_GB2312" w:cs="仿宋_GB2312"/>
          <w:b w:val="0"/>
          <w:bCs w:val="0"/>
          <w:kern w:val="2"/>
          <w:sz w:val="32"/>
          <w:szCs w:val="32"/>
          <w:u w:val="none" w:color="auto"/>
          <w:lang w:val="en-US" w:eastAsia="zh-CN" w:bidi="ar-SA"/>
        </w:rPr>
        <w:t>落实草畜平衡制度，计划减畜混合头28788头，加强湿地、草地生态保护，推进长江十年禁渔，严厉打击偷挖泥碳、非法捕捞行为，保护野生动植物种群；持续深化“林（草）长制”“河长制”责任落实，强化执法监管，推动资源保护与开发利用协同发展，为全镇生态文明建设注入新活力。</w:t>
      </w:r>
    </w:p>
    <w:p w14:paraId="BE0184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bCs/>
          <w:kern w:val="2"/>
          <w:sz w:val="32"/>
          <w:szCs w:val="32"/>
          <w:u w:val="none" w:color="auto"/>
          <w:lang w:val="en-US" w:eastAsia="zh-CN" w:bidi="ar-SA"/>
        </w:rPr>
      </w:pPr>
      <w:r>
        <w:rPr>
          <w:rFonts w:hint="eastAsia" w:ascii="仿宋_GB2312" w:hAnsi="仿宋_GB2312" w:eastAsia="仿宋_GB2312" w:cs="仿宋_GB2312"/>
          <w:b/>
          <w:bCs/>
          <w:kern w:val="2"/>
          <w:sz w:val="32"/>
          <w:szCs w:val="32"/>
          <w:u w:val="none" w:color="auto"/>
          <w:lang w:val="en-US" w:eastAsia="zh-CN" w:bidi="ar-SA"/>
        </w:rPr>
        <w:t>五</w:t>
      </w:r>
      <w:r>
        <w:rPr>
          <w:rFonts w:hint="default" w:ascii="仿宋_GB2312" w:hAnsi="仿宋_GB2312" w:eastAsia="仿宋_GB2312" w:cs="仿宋_GB2312"/>
          <w:b/>
          <w:bCs/>
          <w:kern w:val="2"/>
          <w:sz w:val="32"/>
          <w:szCs w:val="32"/>
          <w:u w:val="none" w:color="auto"/>
          <w:lang w:val="en-US" w:eastAsia="zh-CN" w:bidi="ar-SA"/>
        </w:rPr>
        <w:t>、加强自身建设，提升服务水平。</w:t>
      </w:r>
    </w:p>
    <w:p w14:paraId="9087D2A0">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（一）打造忠诚政府。</w:t>
      </w:r>
      <w:r>
        <w:rPr>
          <w:rFonts w:hint="default" w:ascii="仿宋_GB2312" w:hAnsi="仿宋_GB2312" w:eastAsia="仿宋_GB2312" w:cs="仿宋_GB2312"/>
          <w:b w:val="0"/>
          <w:bCs w:val="0"/>
          <w:kern w:val="2"/>
          <w:sz w:val="32"/>
          <w:szCs w:val="32"/>
          <w:u w:val="none" w:color="auto"/>
          <w:lang w:val="en-US" w:eastAsia="zh-CN" w:bidi="ar-SA"/>
        </w:rPr>
        <w:t>坚持以习近平新时代中国特色社会主义思想凝心铸魂，坚定拥护“两个确立”、坚决做到“两个维护”。坚持用好主题教育学习成果，坚定政治标准、增强政治原则、强化政治担当、落实政治责任，把党的领导落实到政府工作各领域各方面各环节。</w:t>
      </w:r>
    </w:p>
    <w:p w14:paraId="B5E22E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default"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（二）打造担当政府。</w:t>
      </w:r>
      <w:r>
        <w:rPr>
          <w:rFonts w:hint="default" w:ascii="仿宋_GB2312" w:hAnsi="仿宋_GB2312" w:eastAsia="仿宋_GB2312" w:cs="仿宋_GB2312"/>
          <w:b w:val="0"/>
          <w:bCs w:val="0"/>
          <w:kern w:val="2"/>
          <w:sz w:val="32"/>
          <w:szCs w:val="32"/>
          <w:u w:val="none" w:color="auto"/>
          <w:lang w:val="en-US" w:eastAsia="zh-CN" w:bidi="ar-SA"/>
        </w:rPr>
        <w:t>始终把践行宗旨、施政为民根植于心，把群众急难愁盼问题抓牢在手，聚焦聚力全镇发展中心和工作重点，脚踏实地、真抓实干，面对矛盾不回避，解决问题不推脱，做到干就干好、干就干成，不断提升政府行政效率和服务效能，以更有力度的工作实绩书写更有温度的民生答卷。</w:t>
      </w:r>
    </w:p>
    <w:p w14:paraId="4B37BECE">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textAlignment w:val="auto"/>
        <w:rPr>
          <w:rFonts w:hint="eastAsia" w:ascii="仿宋_GB2312" w:hAnsi="仿宋_GB2312" w:eastAsia="仿宋_GB2312" w:cs="仿宋_GB2312"/>
          <w:b w:val="0"/>
          <w:bCs w:val="0"/>
          <w:kern w:val="2"/>
          <w:sz w:val="32"/>
          <w:szCs w:val="32"/>
          <w:u w:val="none" w:color="auto"/>
          <w:lang w:val="en-US" w:eastAsia="zh-CN" w:bidi="ar-SA"/>
        </w:rPr>
      </w:pPr>
      <w:r>
        <w:rPr>
          <w:rFonts w:hint="default" w:ascii="仿宋_GB2312" w:hAnsi="仿宋_GB2312" w:eastAsia="仿宋_GB2312" w:cs="仿宋_GB2312"/>
          <w:b/>
          <w:bCs/>
          <w:kern w:val="2"/>
          <w:sz w:val="32"/>
          <w:szCs w:val="32"/>
          <w:u w:val="none" w:color="auto"/>
          <w:lang w:val="en-US" w:eastAsia="zh-CN" w:bidi="ar-SA"/>
        </w:rPr>
        <w:t>（三）打造廉洁政府。</w:t>
      </w:r>
      <w:r>
        <w:rPr>
          <w:rFonts w:hint="default" w:ascii="仿宋_GB2312" w:hAnsi="仿宋_GB2312" w:eastAsia="仿宋_GB2312" w:cs="仿宋_GB2312"/>
          <w:b w:val="0"/>
          <w:bCs w:val="0"/>
          <w:kern w:val="2"/>
          <w:sz w:val="32"/>
          <w:szCs w:val="32"/>
          <w:u w:val="none" w:color="auto"/>
          <w:lang w:val="en-US" w:eastAsia="zh-CN" w:bidi="ar-SA"/>
        </w:rPr>
        <w:t>严格落实党风廉政“一岗双责”，坚持问题导向，严格落实中央八项规定实施细则精神，扎实开展深入贯彻中央八项规定精神学习教育，坚持不懈整治“四风”，坚决反对形式主义、官僚主义，打造风清气正的干事创业环境，着力打造清正廉洁的服务型政府。</w:t>
      </w:r>
    </w:p>
    <w:p w14:paraId="BAA388ED">
      <w:pPr>
        <w:pStyle w:val="4"/>
        <w:rPr>
          <w:rStyle w:val="24"/>
          <w:b w:val="0"/>
          <w:bCs w:val="0"/>
          <w:color w:val="000000"/>
        </w:rPr>
      </w:pPr>
      <w:bookmarkStart w:id="26" w:name="_Toc15396601"/>
      <w:bookmarkStart w:id="27" w:name="_Toc15377200"/>
      <w:r>
        <w:rPr>
          <w:rFonts w:hint="eastAsia" w:ascii="黑体" w:eastAsia="黑体"/>
          <w:b w:val="0"/>
          <w:color w:val="000000"/>
        </w:rPr>
        <w:t>二、机</w:t>
      </w:r>
      <w:r>
        <w:rPr>
          <w:rStyle w:val="24"/>
          <w:rFonts w:hint="eastAsia" w:ascii="黑体" w:eastAsia="黑体"/>
          <w:b w:val="0"/>
          <w:bCs w:val="0"/>
          <w:color w:val="000000"/>
        </w:rPr>
        <w:t>构设置</w:t>
      </w:r>
      <w:bookmarkEnd w:id="26"/>
      <w:bookmarkEnd w:id="27"/>
    </w:p>
    <w:p w14:paraId="087113D5">
      <w:pPr>
        <w:snapToGrid w:val="0"/>
        <w:spacing w:line="520" w:lineRule="exact"/>
        <w:ind w:firstLine="640" w:firstLineChars="200"/>
        <w:rPr>
          <w:rFonts w:ascii="仿宋" w:eastAsia="仿宋"/>
          <w:color w:val="000000"/>
          <w:sz w:val="32"/>
          <w:szCs w:val="32"/>
        </w:rPr>
      </w:pPr>
      <w:r>
        <w:rPr>
          <w:rFonts w:hint="eastAsia" w:ascii="仿宋" w:eastAsia="仿宋"/>
          <w:color w:val="000000"/>
          <w:sz w:val="32"/>
          <w:szCs w:val="32"/>
        </w:rPr>
        <w:t>安曲镇人民政府下属二级单位0个，其中行政单位0个，参照公务员法管理的事业单位</w:t>
      </w:r>
      <w:r>
        <w:rPr>
          <w:rFonts w:hint="eastAsia" w:ascii="仿宋" w:eastAsia="仿宋"/>
          <w:bCs/>
          <w:color w:val="000000"/>
          <w:sz w:val="32"/>
          <w:szCs w:val="32"/>
        </w:rPr>
        <w:t>0</w:t>
      </w:r>
      <w:r>
        <w:rPr>
          <w:rFonts w:hint="eastAsia" w:ascii="仿宋" w:eastAsia="仿宋"/>
          <w:color w:val="000000"/>
          <w:sz w:val="32"/>
          <w:szCs w:val="32"/>
        </w:rPr>
        <w:t>个，其他事业单位0个。</w:t>
      </w:r>
      <w:bookmarkStart w:id="28" w:name="_Toc15377201"/>
      <w:bookmarkStart w:id="29" w:name="_Toc15306275"/>
      <w:bookmarkStart w:id="30" w:name="_Toc15378448"/>
      <w:bookmarkStart w:id="31" w:name="_Toc15377432"/>
    </w:p>
    <w:p w14:paraId="02CB30F9">
      <w:pPr>
        <w:spacing w:line="576" w:lineRule="exact"/>
        <w:ind w:firstLine="640" w:firstLineChars="200"/>
        <w:jc w:val="left"/>
        <w:rPr>
          <w:rFonts w:hint="eastAsia" w:ascii="仿宋_GB2312" w:eastAsia="仿宋_GB2312" w:cs="仿宋_GB2312"/>
          <w:color w:val="000000"/>
          <w:sz w:val="32"/>
          <w:szCs w:val="32"/>
        </w:rPr>
      </w:pPr>
      <w:r>
        <w:rPr>
          <w:rFonts w:hint="eastAsia" w:ascii="仿宋_GB2312" w:eastAsia="仿宋_GB2312" w:cs="仿宋_GB2312"/>
          <w:bCs/>
          <w:color w:val="000000"/>
          <w:sz w:val="32"/>
          <w:szCs w:val="32"/>
        </w:rPr>
        <w:t>我单位为独立核算全额拨款行政单位，2个机构，一个共产党机关，一个政府机关。</w:t>
      </w:r>
      <w:bookmarkEnd w:id="28"/>
      <w:bookmarkEnd w:id="29"/>
      <w:bookmarkEnd w:id="30"/>
      <w:bookmarkEnd w:id="31"/>
      <w:r>
        <w:rPr>
          <w:rFonts w:hint="eastAsia" w:ascii="仿宋_GB2312" w:eastAsia="仿宋_GB2312" w:cs="仿宋_GB2312"/>
          <w:bCs/>
          <w:color w:val="000000"/>
          <w:sz w:val="32"/>
          <w:szCs w:val="32"/>
        </w:rPr>
        <w:t>总编制</w:t>
      </w:r>
      <w:r>
        <w:rPr>
          <w:rFonts w:hint="eastAsia" w:ascii="仿宋_GB2312" w:eastAsia="仿宋_GB2312" w:cs="仿宋_GB2312"/>
          <w:bCs/>
          <w:color w:val="000000"/>
          <w:sz w:val="32"/>
          <w:szCs w:val="32"/>
          <w:lang w:val="en-US" w:eastAsia="zh-CN"/>
        </w:rPr>
        <w:t>36</w:t>
      </w:r>
      <w:r>
        <w:rPr>
          <w:rFonts w:hint="eastAsia" w:ascii="仿宋_GB2312" w:eastAsia="仿宋_GB2312" w:cs="仿宋_GB2312"/>
          <w:bCs/>
          <w:color w:val="000000"/>
          <w:sz w:val="32"/>
          <w:szCs w:val="32"/>
        </w:rPr>
        <w:t>名，其中：行政编制2</w:t>
      </w: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名，事业编制1</w:t>
      </w:r>
      <w:r>
        <w:rPr>
          <w:rFonts w:hint="eastAsia" w:ascii="仿宋_GB2312" w:eastAsia="仿宋_GB2312" w:cs="仿宋_GB2312"/>
          <w:bCs/>
          <w:color w:val="000000"/>
          <w:sz w:val="32"/>
          <w:szCs w:val="32"/>
          <w:lang w:val="en-US" w:eastAsia="zh-CN"/>
        </w:rPr>
        <w:t>2名</w:t>
      </w:r>
      <w:r>
        <w:rPr>
          <w:rFonts w:hint="eastAsia" w:ascii="仿宋_GB2312" w:eastAsia="仿宋_GB2312" w:cs="仿宋_GB2312"/>
          <w:bCs/>
          <w:color w:val="000000"/>
          <w:sz w:val="32"/>
          <w:szCs w:val="32"/>
        </w:rPr>
        <w:t>，行政工勤编制2名；在职人员总数3</w:t>
      </w:r>
      <w:r>
        <w:rPr>
          <w:rFonts w:hint="eastAsia" w:ascii="仿宋_GB2312" w:eastAsia="仿宋_GB2312" w:cs="仿宋_GB2312"/>
          <w:bCs/>
          <w:color w:val="000000"/>
          <w:sz w:val="32"/>
          <w:szCs w:val="32"/>
          <w:lang w:val="en-US" w:eastAsia="zh-CN"/>
        </w:rPr>
        <w:t>6</w:t>
      </w:r>
      <w:r>
        <w:rPr>
          <w:rFonts w:hint="eastAsia" w:ascii="仿宋_GB2312" w:eastAsia="仿宋_GB2312" w:cs="仿宋_GB2312"/>
          <w:bCs/>
          <w:color w:val="000000"/>
          <w:sz w:val="32"/>
          <w:szCs w:val="32"/>
        </w:rPr>
        <w:t>名，其中：行政人员2</w:t>
      </w:r>
      <w:r>
        <w:rPr>
          <w:rFonts w:hint="eastAsia" w:ascii="仿宋_GB2312" w:eastAsia="仿宋_GB2312" w:cs="仿宋_GB2312"/>
          <w:bCs/>
          <w:color w:val="000000"/>
          <w:sz w:val="32"/>
          <w:szCs w:val="32"/>
          <w:lang w:val="en-US" w:eastAsia="zh-CN"/>
        </w:rPr>
        <w:t>4</w:t>
      </w:r>
      <w:r>
        <w:rPr>
          <w:rFonts w:hint="eastAsia" w:ascii="仿宋_GB2312" w:eastAsia="仿宋_GB2312" w:cs="仿宋_GB2312"/>
          <w:bCs/>
          <w:color w:val="000000"/>
          <w:sz w:val="32"/>
          <w:szCs w:val="32"/>
        </w:rPr>
        <w:t>名，事业编制1</w:t>
      </w:r>
      <w:r>
        <w:rPr>
          <w:rFonts w:hint="eastAsia" w:ascii="仿宋_GB2312" w:eastAsia="仿宋_GB2312" w:cs="仿宋_GB2312"/>
          <w:bCs/>
          <w:color w:val="000000"/>
          <w:sz w:val="32"/>
          <w:szCs w:val="32"/>
          <w:lang w:val="en-US" w:eastAsia="zh-CN"/>
        </w:rPr>
        <w:t>2</w:t>
      </w:r>
      <w:r>
        <w:rPr>
          <w:rFonts w:hint="eastAsia" w:ascii="仿宋_GB2312" w:eastAsia="仿宋_GB2312" w:cs="仿宋_GB2312"/>
          <w:bCs/>
          <w:color w:val="000000"/>
          <w:sz w:val="32"/>
          <w:szCs w:val="32"/>
        </w:rPr>
        <w:t>名，行政工勤编制人员2名。</w:t>
      </w:r>
      <w:r>
        <w:rPr>
          <w:rFonts w:hint="eastAsia" w:ascii="仿宋_GB2312" w:eastAsia="仿宋_GB2312" w:cs="仿宋_GB2312"/>
          <w:color w:val="000000"/>
          <w:sz w:val="32"/>
          <w:szCs w:val="32"/>
        </w:rPr>
        <w:t>安曲镇下辖3个行政村，村干部15名，村民小组长26名。</w:t>
      </w:r>
    </w:p>
    <w:p w14:paraId="08515CBD">
      <w:pPr>
        <w:snapToGrid w:val="0"/>
        <w:spacing w:line="520" w:lineRule="exact"/>
        <w:ind w:firstLine="640" w:firstLineChars="200"/>
        <w:rPr>
          <w:rFonts w:ascii="仿宋" w:eastAsia="仿宋"/>
          <w:color w:val="000000"/>
          <w:kern w:val="0"/>
          <w:sz w:val="32"/>
          <w:szCs w:val="32"/>
        </w:rPr>
      </w:pPr>
      <w:r>
        <w:rPr>
          <w:rFonts w:ascii="仿宋" w:eastAsia="仿宋"/>
          <w:color w:val="000000"/>
          <w:sz w:val="32"/>
          <w:szCs w:val="32"/>
        </w:rPr>
        <w:br w:type="page"/>
      </w:r>
    </w:p>
    <w:p w14:paraId="7338EC86">
      <w:pPr>
        <w:pStyle w:val="3"/>
        <w:ind w:right="440"/>
        <w:jc w:val="center"/>
        <w:rPr>
          <w:rStyle w:val="23"/>
          <w:rFonts w:ascii="黑体" w:eastAsia="黑体"/>
          <w:b w:val="0"/>
          <w:bCs w:val="0"/>
          <w:color w:val="000000"/>
        </w:rPr>
      </w:pPr>
      <w:bookmarkStart w:id="32" w:name="_Toc15396602"/>
      <w:bookmarkStart w:id="33" w:name="_Toc15377204"/>
      <w:r>
        <w:rPr>
          <w:rFonts w:hint="eastAsia" w:ascii="黑体" w:eastAsia="黑体"/>
          <w:b w:val="0"/>
          <w:color w:val="000000"/>
        </w:rPr>
        <w:t>第二部分</w:t>
      </w:r>
      <w:r>
        <w:rPr>
          <w:rFonts w:hint="eastAsia" w:ascii="黑体" w:eastAsia="黑体"/>
          <w:color w:val="000000"/>
        </w:rPr>
        <w:t xml:space="preserve"> </w:t>
      </w:r>
      <w:r>
        <w:rPr>
          <w:rStyle w:val="23"/>
          <w:rFonts w:hint="eastAsia" w:ascii="黑体" w:eastAsia="黑体"/>
          <w:b w:val="0"/>
          <w:bCs w:val="0"/>
          <w:color w:val="000000"/>
        </w:rPr>
        <w:t>202</w:t>
      </w:r>
      <w:r>
        <w:rPr>
          <w:rStyle w:val="23"/>
          <w:rFonts w:hint="eastAsia" w:ascii="黑体" w:eastAsia="黑体"/>
          <w:b w:val="0"/>
          <w:bCs w:val="0"/>
          <w:color w:val="000000"/>
          <w:lang w:val="en-US"/>
        </w:rPr>
        <w:t>4</w:t>
      </w:r>
      <w:r>
        <w:rPr>
          <w:rStyle w:val="23"/>
          <w:rFonts w:hint="eastAsia" w:ascii="黑体" w:eastAsia="黑体"/>
          <w:b w:val="0"/>
          <w:bCs w:val="0"/>
          <w:color w:val="000000"/>
        </w:rPr>
        <w:t>年度部门决算情况说明</w:t>
      </w:r>
      <w:bookmarkEnd w:id="32"/>
      <w:bookmarkEnd w:id="33"/>
    </w:p>
    <w:p w14:paraId="0AA3FBF4">
      <w:pPr>
        <w:rPr>
          <w:color w:val="000000"/>
        </w:rPr>
      </w:pPr>
    </w:p>
    <w:p w14:paraId="4E0D99A3">
      <w:pPr>
        <w:pStyle w:val="29"/>
        <w:numPr>
          <w:ilvl w:val="0"/>
          <w:numId w:val="1"/>
        </w:numPr>
        <w:spacing w:line="600" w:lineRule="exact"/>
        <w:ind w:firstLineChars="0"/>
        <w:outlineLvl w:val="1"/>
        <w:rPr>
          <w:rStyle w:val="24"/>
          <w:rFonts w:ascii="黑体" w:eastAsia="黑体"/>
          <w:b w:val="0"/>
          <w:color w:val="000000"/>
        </w:rPr>
      </w:pPr>
      <w:bookmarkStart w:id="34" w:name="_Toc15396603"/>
      <w:bookmarkStart w:id="35" w:name="_Toc15377205"/>
      <w:r>
        <w:rPr>
          <w:rFonts w:hint="eastAsia" w:ascii="黑体" w:eastAsia="黑体"/>
          <w:color w:val="000000"/>
          <w:sz w:val="32"/>
          <w:szCs w:val="32"/>
        </w:rPr>
        <w:t>收</w:t>
      </w:r>
      <w:r>
        <w:rPr>
          <w:rStyle w:val="24"/>
          <w:rFonts w:hint="eastAsia" w:ascii="黑体" w:eastAsia="黑体"/>
          <w:b w:val="0"/>
          <w:color w:val="000000"/>
        </w:rPr>
        <w:t>入支出决算总体情况说明</w:t>
      </w:r>
      <w:bookmarkEnd w:id="34"/>
      <w:bookmarkEnd w:id="35"/>
    </w:p>
    <w:p w14:paraId="07D8D2AA">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lang w:eastAsia="zh-CN"/>
        </w:rPr>
        <w:t>20</w:t>
      </w:r>
      <w:r>
        <w:rPr>
          <w:rFonts w:hint="default" w:ascii="仿宋" w:eastAsia="仿宋"/>
          <w:color w:val="000000"/>
          <w:sz w:val="32"/>
          <w:szCs w:val="32"/>
          <w:lang w:val="en-US" w:eastAsia="zh-CN"/>
        </w:rPr>
        <w:t>24</w:t>
      </w:r>
      <w:r>
        <w:rPr>
          <w:rFonts w:hint="eastAsia" w:ascii="仿宋" w:eastAsia="仿宋"/>
          <w:color w:val="000000"/>
          <w:sz w:val="32"/>
          <w:szCs w:val="32"/>
        </w:rPr>
        <w:t>年度收入</w:t>
      </w:r>
      <w:r>
        <w:rPr>
          <w:rFonts w:hint="default" w:ascii="仿宋" w:eastAsia="仿宋"/>
          <w:color w:val="000000"/>
          <w:sz w:val="32"/>
          <w:szCs w:val="32"/>
          <w:lang w:val="en-US"/>
        </w:rPr>
        <w:t>1769.70</w:t>
      </w:r>
      <w:r>
        <w:rPr>
          <w:rFonts w:hint="eastAsia" w:ascii="仿宋" w:hAnsi="Times New Roman" w:eastAsia="仿宋" w:cs="Times New Roman"/>
          <w:color w:val="000000"/>
          <w:sz w:val="32"/>
          <w:szCs w:val="32"/>
          <w:lang w:val="en-US" w:eastAsia="zh-CN"/>
        </w:rPr>
        <w:t>万元，支出</w:t>
      </w:r>
      <w:r>
        <w:rPr>
          <w:rFonts w:hint="default" w:ascii="仿宋" w:hAnsi="Times New Roman" w:eastAsia="仿宋" w:cs="Times New Roman"/>
          <w:color w:val="000000"/>
          <w:sz w:val="32"/>
          <w:szCs w:val="32"/>
          <w:lang w:val="en-US" w:eastAsia="zh-CN"/>
        </w:rPr>
        <w:t>1769.70</w:t>
      </w:r>
      <w:r>
        <w:rPr>
          <w:rFonts w:hint="eastAsia" w:ascii="仿宋" w:hAnsi="Times New Roman" w:eastAsia="仿宋" w:cs="Times New Roman"/>
          <w:color w:val="000000"/>
          <w:sz w:val="32"/>
          <w:szCs w:val="32"/>
          <w:lang w:val="en-US" w:eastAsia="zh-CN"/>
        </w:rPr>
        <w:t>万元</w:t>
      </w:r>
      <w:r>
        <w:rPr>
          <w:rFonts w:hint="eastAsia" w:ascii="仿宋" w:eastAsia="仿宋"/>
          <w:color w:val="000000"/>
          <w:sz w:val="32"/>
          <w:szCs w:val="32"/>
        </w:rPr>
        <w:t>。与202</w:t>
      </w:r>
      <w:r>
        <w:rPr>
          <w:rFonts w:hint="default" w:ascii="仿宋" w:eastAsia="仿宋"/>
          <w:color w:val="000000"/>
          <w:sz w:val="32"/>
          <w:szCs w:val="32"/>
          <w:lang w:val="en-US"/>
        </w:rPr>
        <w:t>3</w:t>
      </w:r>
      <w:r>
        <w:rPr>
          <w:rFonts w:hint="eastAsia" w:ascii="仿宋" w:eastAsia="仿宋"/>
          <w:color w:val="000000"/>
          <w:sz w:val="32"/>
          <w:szCs w:val="32"/>
        </w:rPr>
        <w:t>年相比，收入</w:t>
      </w:r>
      <w:r>
        <w:rPr>
          <w:rFonts w:hint="eastAsia" w:ascii="仿宋" w:eastAsia="仿宋"/>
          <w:color w:val="000000"/>
          <w:sz w:val="32"/>
          <w:szCs w:val="32"/>
          <w:lang w:eastAsia="zh-CN"/>
        </w:rPr>
        <w:t>减少</w:t>
      </w:r>
      <w:r>
        <w:rPr>
          <w:rFonts w:hint="default" w:ascii="仿宋" w:eastAsia="仿宋"/>
          <w:color w:val="000000"/>
          <w:sz w:val="32"/>
          <w:szCs w:val="32"/>
          <w:lang w:val="en-US" w:eastAsia="zh-CN"/>
        </w:rPr>
        <w:t>1262.34</w:t>
      </w:r>
      <w:r>
        <w:rPr>
          <w:rFonts w:hint="eastAsia" w:ascii="仿宋" w:eastAsia="仿宋"/>
          <w:color w:val="000000"/>
          <w:sz w:val="32"/>
          <w:szCs w:val="32"/>
        </w:rPr>
        <w:t>万元，支出</w:t>
      </w:r>
      <w:r>
        <w:rPr>
          <w:rFonts w:hint="eastAsia" w:ascii="仿宋" w:eastAsia="仿宋"/>
          <w:color w:val="000000"/>
          <w:sz w:val="32"/>
          <w:szCs w:val="32"/>
          <w:lang w:eastAsia="zh-CN"/>
        </w:rPr>
        <w:t>减少</w:t>
      </w:r>
      <w:r>
        <w:rPr>
          <w:rFonts w:hint="default" w:ascii="仿宋" w:eastAsia="仿宋"/>
          <w:color w:val="000000"/>
          <w:sz w:val="32"/>
          <w:szCs w:val="32"/>
          <w:lang w:val="en-US" w:eastAsia="zh-CN"/>
        </w:rPr>
        <w:t>1262.34</w:t>
      </w:r>
      <w:r>
        <w:rPr>
          <w:rFonts w:hint="eastAsia" w:ascii="仿宋" w:eastAsia="仿宋"/>
          <w:color w:val="000000"/>
          <w:sz w:val="32"/>
          <w:szCs w:val="32"/>
        </w:rPr>
        <w:t>万元，分别</w:t>
      </w:r>
      <w:r>
        <w:rPr>
          <w:rFonts w:hint="eastAsia" w:ascii="仿宋" w:eastAsia="仿宋"/>
          <w:color w:val="000000"/>
          <w:sz w:val="32"/>
          <w:szCs w:val="32"/>
          <w:lang w:eastAsia="zh-CN"/>
        </w:rPr>
        <w:t>减少</w:t>
      </w:r>
      <w:r>
        <w:rPr>
          <w:rFonts w:hint="eastAsia" w:ascii="仿宋" w:eastAsia="仿宋"/>
          <w:color w:val="000000"/>
          <w:sz w:val="32"/>
          <w:szCs w:val="32"/>
          <w:lang w:val="en-US" w:eastAsia="zh-CN"/>
        </w:rPr>
        <w:t>4</w:t>
      </w:r>
      <w:r>
        <w:rPr>
          <w:rFonts w:hint="default" w:ascii="仿宋" w:eastAsia="仿宋"/>
          <w:color w:val="000000"/>
          <w:sz w:val="32"/>
          <w:szCs w:val="32"/>
          <w:lang w:val="en-US" w:eastAsia="zh-CN"/>
        </w:rPr>
        <w:t>1</w:t>
      </w:r>
      <w:r>
        <w:rPr>
          <w:rFonts w:hint="eastAsia" w:ascii="仿宋" w:eastAsia="仿宋"/>
          <w:color w:val="000000"/>
          <w:sz w:val="32"/>
          <w:szCs w:val="32"/>
          <w:lang w:val="en-US" w:eastAsia="zh-CN"/>
        </w:rPr>
        <w:t>.</w:t>
      </w:r>
      <w:r>
        <w:rPr>
          <w:rFonts w:hint="default" w:ascii="仿宋" w:eastAsia="仿宋"/>
          <w:color w:val="000000"/>
          <w:sz w:val="32"/>
          <w:szCs w:val="32"/>
          <w:lang w:val="en-US" w:eastAsia="zh-CN"/>
        </w:rPr>
        <w:t>63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color w:val="000000"/>
          <w:sz w:val="32"/>
          <w:szCs w:val="32"/>
          <w:lang w:val="en-US" w:eastAsia="zh-CN"/>
        </w:rPr>
        <w:t>4</w:t>
      </w:r>
      <w:r>
        <w:rPr>
          <w:rFonts w:hint="default" w:ascii="仿宋" w:eastAsia="仿宋"/>
          <w:color w:val="000000"/>
          <w:sz w:val="32"/>
          <w:szCs w:val="32"/>
          <w:lang w:val="en-US" w:eastAsia="zh-CN"/>
        </w:rPr>
        <w:t>1.63</w:t>
      </w:r>
      <w:r>
        <w:rPr>
          <w:rFonts w:hint="eastAsia" w:ascii="仿宋" w:eastAsia="仿宋"/>
          <w:color w:val="000000"/>
          <w:sz w:val="32"/>
          <w:szCs w:val="32"/>
        </w:rPr>
        <w:t>%。主要变动原因是</w:t>
      </w:r>
      <w:r>
        <w:rPr>
          <w:rFonts w:hint="eastAsia" w:ascii="仿宋" w:eastAsia="仿宋"/>
          <w:color w:val="000000"/>
          <w:sz w:val="32"/>
          <w:szCs w:val="32"/>
          <w:lang w:eastAsia="zh-CN"/>
        </w:rPr>
        <w:t>202</w:t>
      </w:r>
      <w:r>
        <w:rPr>
          <w:rFonts w:hint="default" w:ascii="仿宋" w:eastAsia="仿宋"/>
          <w:color w:val="000000"/>
          <w:sz w:val="32"/>
          <w:szCs w:val="32"/>
          <w:lang w:val="en-US" w:eastAsia="zh-CN"/>
        </w:rPr>
        <w:t>4</w:t>
      </w:r>
      <w:r>
        <w:rPr>
          <w:rFonts w:hint="eastAsia" w:ascii="仿宋" w:eastAsia="仿宋"/>
          <w:color w:val="000000"/>
          <w:sz w:val="32"/>
          <w:szCs w:val="32"/>
        </w:rPr>
        <w:t>年度我镇建设项目</w:t>
      </w:r>
      <w:r>
        <w:rPr>
          <w:rFonts w:hint="eastAsia" w:ascii="仿宋" w:eastAsia="仿宋"/>
          <w:color w:val="000000"/>
          <w:sz w:val="32"/>
          <w:szCs w:val="32"/>
          <w:lang w:eastAsia="zh-CN"/>
        </w:rPr>
        <w:t>减少。</w:t>
      </w:r>
    </w:p>
    <w:p w14:paraId="0279EFF9">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0" distR="0" simplePos="0" relativeHeight="251659264" behindDoc="1" locked="0" layoutInCell="1" allowOverlap="1">
            <wp:simplePos x="0" y="0"/>
            <wp:positionH relativeFrom="column">
              <wp:posOffset>604520</wp:posOffset>
            </wp:positionH>
            <wp:positionV relativeFrom="paragraph">
              <wp:posOffset>127635</wp:posOffset>
            </wp:positionV>
            <wp:extent cx="4064635" cy="2263140"/>
            <wp:effectExtent l="0" t="0" r="0" b="0"/>
            <wp:wrapNone/>
            <wp:docPr id="1028"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B67F2D0">
      <w:pPr>
        <w:spacing w:line="600" w:lineRule="exact"/>
        <w:ind w:firstLine="640" w:firstLineChars="200"/>
        <w:rPr>
          <w:rFonts w:ascii="仿宋" w:eastAsia="仿宋"/>
          <w:color w:val="000000"/>
          <w:sz w:val="32"/>
          <w:szCs w:val="32"/>
        </w:rPr>
      </w:pPr>
    </w:p>
    <w:p w14:paraId="BAAF75F2">
      <w:pPr>
        <w:spacing w:line="600" w:lineRule="exact"/>
        <w:ind w:firstLine="640" w:firstLineChars="200"/>
        <w:rPr>
          <w:rFonts w:ascii="仿宋" w:eastAsia="仿宋"/>
          <w:color w:val="000000"/>
          <w:sz w:val="32"/>
          <w:szCs w:val="32"/>
        </w:rPr>
      </w:pPr>
    </w:p>
    <w:p w14:paraId="152B27B3">
      <w:pPr>
        <w:spacing w:line="600" w:lineRule="exact"/>
        <w:ind w:firstLine="640" w:firstLineChars="200"/>
        <w:rPr>
          <w:rFonts w:ascii="仿宋" w:eastAsia="仿宋"/>
          <w:color w:val="000000"/>
          <w:sz w:val="32"/>
          <w:szCs w:val="32"/>
        </w:rPr>
      </w:pPr>
    </w:p>
    <w:p w14:paraId="74BF9895">
      <w:pPr>
        <w:spacing w:line="600" w:lineRule="exact"/>
        <w:ind w:firstLine="640" w:firstLineChars="200"/>
        <w:rPr>
          <w:rFonts w:ascii="仿宋" w:eastAsia="仿宋"/>
          <w:color w:val="000000"/>
          <w:sz w:val="32"/>
          <w:szCs w:val="32"/>
        </w:rPr>
      </w:pPr>
    </w:p>
    <w:p w14:paraId="6B04A391">
      <w:pPr>
        <w:spacing w:line="600" w:lineRule="exact"/>
        <w:rPr>
          <w:rFonts w:ascii="仿宋" w:eastAsia="仿宋"/>
          <w:color w:val="000000"/>
          <w:sz w:val="32"/>
          <w:szCs w:val="32"/>
        </w:rPr>
      </w:pPr>
    </w:p>
    <w:p w14:paraId="67E16E6F">
      <w:pPr>
        <w:spacing w:line="600" w:lineRule="exact"/>
        <w:ind w:firstLine="640" w:firstLineChars="200"/>
        <w:rPr>
          <w:rFonts w:ascii="仿宋" w:eastAsia="仿宋"/>
          <w:color w:val="000000"/>
          <w:sz w:val="32"/>
          <w:szCs w:val="32"/>
        </w:rPr>
      </w:pPr>
    </w:p>
    <w:p w14:paraId="051D7E85">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w:t>
      </w:r>
      <w:r>
        <w:rPr>
          <w:rFonts w:ascii="仿宋" w:eastAsia="仿宋"/>
          <w:color w:val="000000"/>
          <w:sz w:val="32"/>
          <w:szCs w:val="32"/>
        </w:rPr>
        <w:t>1</w:t>
      </w:r>
      <w:r>
        <w:rPr>
          <w:rFonts w:hint="eastAsia" w:ascii="仿宋" w:eastAsia="仿宋"/>
          <w:color w:val="000000"/>
          <w:sz w:val="32"/>
          <w:szCs w:val="32"/>
        </w:rPr>
        <w:t>：收、支决算总计变动情况图）（柱状图）</w:t>
      </w:r>
    </w:p>
    <w:p w14:paraId="9CF4CF0D">
      <w:pPr>
        <w:pStyle w:val="29"/>
        <w:numPr>
          <w:ilvl w:val="0"/>
          <w:numId w:val="1"/>
        </w:numPr>
        <w:spacing w:line="600" w:lineRule="exact"/>
        <w:ind w:firstLineChars="0"/>
        <w:outlineLvl w:val="1"/>
        <w:rPr>
          <w:rStyle w:val="24"/>
          <w:rFonts w:ascii="黑体" w:eastAsia="黑体"/>
          <w:b w:val="0"/>
          <w:color w:val="000000"/>
        </w:rPr>
      </w:pPr>
      <w:bookmarkStart w:id="36" w:name="_Toc15377206"/>
      <w:bookmarkStart w:id="37" w:name="_Toc15396604"/>
      <w:r>
        <w:rPr>
          <w:rFonts w:hint="eastAsia" w:ascii="黑体" w:eastAsia="黑体"/>
          <w:color w:val="000000"/>
          <w:sz w:val="32"/>
          <w:szCs w:val="32"/>
        </w:rPr>
        <w:t>收</w:t>
      </w:r>
      <w:r>
        <w:rPr>
          <w:rStyle w:val="24"/>
          <w:rFonts w:hint="eastAsia" w:ascii="黑体" w:eastAsia="黑体"/>
          <w:b w:val="0"/>
          <w:color w:val="000000"/>
        </w:rPr>
        <w:t>入决算情况说明</w:t>
      </w:r>
      <w:bookmarkEnd w:id="36"/>
      <w:bookmarkEnd w:id="37"/>
    </w:p>
    <w:p w14:paraId="AB27DE8E">
      <w:pPr>
        <w:spacing w:line="600" w:lineRule="exact"/>
        <w:ind w:firstLine="640" w:firstLineChars="200"/>
        <w:outlineLvl w:val="1"/>
      </w:pPr>
      <w:r>
        <w:rPr>
          <w:rFonts w:hint="default" w:ascii="仿宋" w:hAnsi="Times New Roman" w:eastAsia="仿宋" w:cs="Times New Roman"/>
          <w:color w:val="000000"/>
          <w:sz w:val="32"/>
          <w:szCs w:val="32"/>
          <w:lang w:val="en-US" w:eastAsia="zh-CN"/>
        </w:rPr>
        <w:t>2024年度本年收入合计1769.70万元。其中：一般公共预算财政拨款收入为1769.70万元，占比100.00%；政府性基金预算财政拨款收入为0.00万元，占比0.00%。</w:t>
      </w:r>
      <w:r>
        <w:rPr>
          <w:rFonts w:hint="eastAsia" w:ascii="仿宋" w:hAnsi="Times New Roman" w:eastAsia="仿宋" w:cs="Times New Roman"/>
          <w:color w:val="000000"/>
          <w:sz w:val="32"/>
          <w:szCs w:val="32"/>
          <w:lang w:val="en-US" w:eastAsia="zh-CN"/>
        </w:rPr>
        <w:t>国有资本经营预算财政拨款收入0万元，占0%；上级补助收入0万元，占0%；事业收入0万元，占0%；经营收入0万元，占0%；附属单位上缴收入0万元，占0%；其他收入0万元，占0%。</w:t>
      </w:r>
    </w:p>
    <w:p w14:paraId="55196EAE">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0" distR="0" simplePos="0" relativeHeight="251659264" behindDoc="1" locked="0" layoutInCell="1" allowOverlap="1">
            <wp:simplePos x="0" y="0"/>
            <wp:positionH relativeFrom="column">
              <wp:posOffset>541020</wp:posOffset>
            </wp:positionH>
            <wp:positionV relativeFrom="paragraph">
              <wp:posOffset>64770</wp:posOffset>
            </wp:positionV>
            <wp:extent cx="4191635" cy="2341245"/>
            <wp:effectExtent l="0" t="0" r="0" b="0"/>
            <wp:wrapNone/>
            <wp:docPr id="1030"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4A49FE9">
      <w:pPr>
        <w:spacing w:line="600" w:lineRule="exact"/>
        <w:ind w:firstLine="640" w:firstLineChars="200"/>
        <w:rPr>
          <w:rFonts w:ascii="仿宋" w:eastAsia="仿宋"/>
          <w:color w:val="000000"/>
          <w:sz w:val="32"/>
          <w:szCs w:val="32"/>
        </w:rPr>
      </w:pPr>
    </w:p>
    <w:p w14:paraId="2DD09EEB">
      <w:pPr>
        <w:spacing w:line="600" w:lineRule="exact"/>
        <w:ind w:firstLine="640" w:firstLineChars="200"/>
        <w:rPr>
          <w:rFonts w:ascii="仿宋" w:eastAsia="仿宋"/>
          <w:color w:val="000000"/>
          <w:sz w:val="32"/>
          <w:szCs w:val="32"/>
        </w:rPr>
      </w:pPr>
    </w:p>
    <w:p w14:paraId="5FD8240E">
      <w:pPr>
        <w:spacing w:line="600" w:lineRule="exact"/>
        <w:ind w:firstLine="640" w:firstLineChars="200"/>
        <w:rPr>
          <w:rFonts w:ascii="仿宋" w:eastAsia="仿宋"/>
          <w:color w:val="000000"/>
          <w:sz w:val="32"/>
          <w:szCs w:val="32"/>
        </w:rPr>
      </w:pPr>
    </w:p>
    <w:p w14:paraId="F78A2576">
      <w:pPr>
        <w:spacing w:line="600" w:lineRule="exact"/>
        <w:ind w:firstLine="640" w:firstLineChars="200"/>
        <w:rPr>
          <w:rFonts w:ascii="仿宋" w:eastAsia="仿宋"/>
          <w:color w:val="000000"/>
          <w:sz w:val="32"/>
          <w:szCs w:val="32"/>
        </w:rPr>
      </w:pPr>
    </w:p>
    <w:p w14:paraId="FC442350">
      <w:pPr>
        <w:spacing w:line="600" w:lineRule="exact"/>
        <w:rPr>
          <w:rFonts w:ascii="仿宋" w:eastAsia="仿宋"/>
          <w:color w:val="000000"/>
          <w:sz w:val="32"/>
          <w:szCs w:val="32"/>
        </w:rPr>
      </w:pPr>
    </w:p>
    <w:p w14:paraId="515476C6">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（图2：收入决算结构图）（饼状图）</w:t>
      </w:r>
    </w:p>
    <w:p w14:paraId="86921124">
      <w:pPr>
        <w:pStyle w:val="29"/>
        <w:numPr>
          <w:ilvl w:val="0"/>
          <w:numId w:val="1"/>
        </w:numPr>
        <w:spacing w:line="600" w:lineRule="exact"/>
        <w:ind w:firstLineChars="0"/>
        <w:outlineLvl w:val="1"/>
        <w:rPr>
          <w:rStyle w:val="24"/>
          <w:rFonts w:ascii="黑体" w:eastAsia="黑体"/>
          <w:b w:val="0"/>
          <w:color w:val="000000"/>
        </w:rPr>
      </w:pPr>
      <w:bookmarkStart w:id="38" w:name="_Toc15377207"/>
      <w:bookmarkStart w:id="39" w:name="_Toc15396605"/>
      <w:r>
        <w:rPr>
          <w:rFonts w:hint="eastAsia" w:ascii="黑体" w:eastAsia="黑体"/>
          <w:color w:val="000000"/>
          <w:sz w:val="32"/>
          <w:szCs w:val="32"/>
        </w:rPr>
        <w:t>支</w:t>
      </w:r>
      <w:r>
        <w:rPr>
          <w:rStyle w:val="24"/>
          <w:rFonts w:hint="eastAsia" w:ascii="黑体" w:eastAsia="黑体"/>
          <w:b w:val="0"/>
          <w:color w:val="000000"/>
        </w:rPr>
        <w:t>出决算情况说明</w:t>
      </w:r>
      <w:bookmarkEnd w:id="38"/>
      <w:bookmarkEnd w:id="39"/>
    </w:p>
    <w:p w14:paraId="46BD0713">
      <w:pPr>
        <w:spacing w:line="600" w:lineRule="exact"/>
        <w:ind w:firstLine="640" w:firstLineChars="200"/>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202</w:t>
      </w:r>
      <w:r>
        <w:rPr>
          <w:rFonts w:hint="default" w:ascii="仿宋" w:hAnsi="Times New Roman" w:eastAsia="仿宋" w:cs="Times New Roman"/>
          <w:color w:val="000000"/>
          <w:sz w:val="32"/>
          <w:szCs w:val="32"/>
          <w:lang w:val="en-US" w:eastAsia="zh-CN"/>
        </w:rPr>
        <w:t>4</w:t>
      </w:r>
      <w:r>
        <w:rPr>
          <w:rFonts w:hint="eastAsia" w:ascii="仿宋" w:hAnsi="Times New Roman" w:eastAsia="仿宋" w:cs="Times New Roman"/>
          <w:color w:val="000000"/>
          <w:sz w:val="32"/>
          <w:szCs w:val="32"/>
          <w:lang w:val="en-US" w:eastAsia="zh-CN"/>
        </w:rPr>
        <w:t>年度本年支出合计</w:t>
      </w:r>
      <w:r>
        <w:rPr>
          <w:rFonts w:hint="default" w:ascii="仿宋" w:hAnsi="Times New Roman" w:eastAsia="仿宋" w:cs="Times New Roman"/>
          <w:color w:val="000000"/>
          <w:sz w:val="32"/>
          <w:szCs w:val="32"/>
          <w:lang w:val="en-US" w:eastAsia="zh-CN"/>
        </w:rPr>
        <w:t>1769.70</w:t>
      </w:r>
      <w:r>
        <w:rPr>
          <w:rFonts w:hint="eastAsia" w:ascii="仿宋" w:hAnsi="Times New Roman" w:eastAsia="仿宋" w:cs="Times New Roman"/>
          <w:color w:val="000000"/>
          <w:sz w:val="32"/>
          <w:szCs w:val="32"/>
          <w:lang w:val="en-US" w:eastAsia="zh-CN"/>
        </w:rPr>
        <w:t>万元，其中：基本支出</w:t>
      </w:r>
      <w:r>
        <w:rPr>
          <w:rFonts w:hint="default" w:ascii="仿宋" w:hAnsi="Times New Roman" w:eastAsia="仿宋" w:cs="Times New Roman"/>
          <w:color w:val="000000"/>
          <w:sz w:val="32"/>
          <w:szCs w:val="32"/>
          <w:lang w:val="en-US" w:eastAsia="zh-CN"/>
        </w:rPr>
        <w:t>1109.13</w:t>
      </w:r>
      <w:r>
        <w:rPr>
          <w:rFonts w:hint="eastAsia" w:ascii="仿宋" w:hAnsi="Times New Roman" w:eastAsia="仿宋" w:cs="Times New Roman"/>
          <w:color w:val="000000"/>
          <w:sz w:val="32"/>
          <w:szCs w:val="32"/>
          <w:lang w:val="en-US" w:eastAsia="zh-CN"/>
        </w:rPr>
        <w:t>万元，占</w:t>
      </w:r>
      <w:r>
        <w:rPr>
          <w:rFonts w:hint="default" w:ascii="仿宋" w:hAnsi="Times New Roman" w:eastAsia="仿宋" w:cs="Times New Roman"/>
          <w:color w:val="000000"/>
          <w:sz w:val="32"/>
          <w:szCs w:val="32"/>
          <w:lang w:val="en-US" w:eastAsia="zh-CN"/>
        </w:rPr>
        <w:t>52.67</w:t>
      </w:r>
      <w:r>
        <w:rPr>
          <w:rFonts w:hint="eastAsia" w:ascii="仿宋" w:hAnsi="Times New Roman" w:eastAsia="仿宋" w:cs="Times New Roman"/>
          <w:color w:val="000000"/>
          <w:sz w:val="32"/>
          <w:szCs w:val="32"/>
          <w:lang w:val="en-US" w:eastAsia="zh-CN"/>
        </w:rPr>
        <w:t>%；项目支出</w:t>
      </w:r>
      <w:r>
        <w:rPr>
          <w:rFonts w:hint="default" w:ascii="仿宋" w:hAnsi="Times New Roman" w:eastAsia="仿宋" w:cs="Times New Roman"/>
          <w:color w:val="000000"/>
          <w:sz w:val="32"/>
          <w:szCs w:val="32"/>
          <w:lang w:val="en-US" w:eastAsia="zh-CN"/>
        </w:rPr>
        <w:t>660.58</w:t>
      </w:r>
      <w:r>
        <w:rPr>
          <w:rFonts w:hint="eastAsia" w:ascii="仿宋" w:hAnsi="Times New Roman" w:eastAsia="仿宋" w:cs="Times New Roman"/>
          <w:color w:val="000000"/>
          <w:sz w:val="32"/>
          <w:szCs w:val="32"/>
          <w:lang w:val="en-US" w:eastAsia="zh-CN"/>
        </w:rPr>
        <w:t>万元，占</w:t>
      </w:r>
      <w:r>
        <w:rPr>
          <w:rFonts w:hint="default" w:ascii="仿宋" w:hAnsi="Times New Roman" w:eastAsia="仿宋" w:cs="Times New Roman"/>
          <w:color w:val="000000"/>
          <w:sz w:val="32"/>
          <w:szCs w:val="32"/>
          <w:lang w:val="en-US" w:eastAsia="zh-CN"/>
        </w:rPr>
        <w:t>37.33</w:t>
      </w:r>
      <w:r>
        <w:rPr>
          <w:rFonts w:hint="eastAsia" w:ascii="仿宋" w:hAnsi="Times New Roman" w:eastAsia="仿宋" w:cs="Times New Roman"/>
          <w:color w:val="000000"/>
          <w:sz w:val="32"/>
          <w:szCs w:val="32"/>
          <w:lang w:val="en-US" w:eastAsia="zh-CN"/>
        </w:rPr>
        <w:t>%；上缴上级支出0万元，占0%；经营支出0万元，占0%；对附属单位补助支出0万元，占0%。</w:t>
      </w:r>
    </w:p>
    <w:p w14:paraId="7FEE269A">
      <w:pPr>
        <w:spacing w:line="600" w:lineRule="exact"/>
        <w:ind w:firstLine="640" w:firstLineChars="200"/>
        <w:outlineLvl w:val="1"/>
        <w:rPr>
          <w:rFonts w:ascii="仿宋" w:eastAsia="仿宋"/>
          <w:color w:val="000000"/>
          <w:sz w:val="32"/>
          <w:szCs w:val="32"/>
        </w:rPr>
      </w:pPr>
      <w:r>
        <w:rPr>
          <w:rFonts w:hint="eastAsia" w:ascii="仿宋" w:eastAsia="仿宋"/>
          <w:color w:val="000000"/>
          <w:sz w:val="32"/>
          <w:szCs w:val="32"/>
        </w:rPr>
        <w:drawing>
          <wp:anchor distT="0" distB="0" distL="0" distR="0" simplePos="0" relativeHeight="251659264" behindDoc="1" locked="0" layoutInCell="1" allowOverlap="1">
            <wp:simplePos x="0" y="0"/>
            <wp:positionH relativeFrom="column">
              <wp:posOffset>767080</wp:posOffset>
            </wp:positionH>
            <wp:positionV relativeFrom="paragraph">
              <wp:posOffset>60960</wp:posOffset>
            </wp:positionV>
            <wp:extent cx="3740150" cy="2508885"/>
            <wp:effectExtent l="0" t="0" r="0" b="0"/>
            <wp:wrapNone/>
            <wp:docPr id="1032"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CE21C60B">
      <w:pPr>
        <w:spacing w:line="600" w:lineRule="exact"/>
        <w:ind w:firstLine="640" w:firstLineChars="200"/>
        <w:outlineLvl w:val="1"/>
        <w:rPr>
          <w:rFonts w:ascii="仿宋" w:eastAsia="仿宋"/>
          <w:color w:val="000000"/>
          <w:sz w:val="32"/>
          <w:szCs w:val="32"/>
        </w:rPr>
      </w:pPr>
    </w:p>
    <w:p w14:paraId="4FAB86C3">
      <w:pPr>
        <w:spacing w:line="600" w:lineRule="exact"/>
        <w:ind w:firstLine="640" w:firstLineChars="200"/>
        <w:outlineLvl w:val="1"/>
        <w:rPr>
          <w:rFonts w:ascii="仿宋" w:eastAsia="仿宋"/>
          <w:color w:val="000000"/>
          <w:sz w:val="32"/>
          <w:szCs w:val="32"/>
        </w:rPr>
      </w:pPr>
    </w:p>
    <w:p w14:paraId="80A1CA93">
      <w:pPr>
        <w:spacing w:line="600" w:lineRule="exact"/>
        <w:ind w:firstLine="640" w:firstLineChars="200"/>
        <w:outlineLvl w:val="1"/>
        <w:rPr>
          <w:rFonts w:ascii="仿宋" w:eastAsia="仿宋"/>
          <w:color w:val="000000"/>
          <w:sz w:val="32"/>
          <w:szCs w:val="32"/>
        </w:rPr>
      </w:pPr>
    </w:p>
    <w:p w14:paraId="EA8145C6">
      <w:pPr>
        <w:spacing w:line="600" w:lineRule="exact"/>
        <w:ind w:firstLine="640" w:firstLineChars="200"/>
        <w:outlineLvl w:val="1"/>
        <w:rPr>
          <w:rFonts w:ascii="仿宋" w:eastAsia="仿宋"/>
          <w:color w:val="000000"/>
          <w:sz w:val="32"/>
          <w:szCs w:val="32"/>
        </w:rPr>
      </w:pPr>
    </w:p>
    <w:p w14:paraId="F3C63AFE">
      <w:pPr>
        <w:spacing w:line="600" w:lineRule="exact"/>
        <w:ind w:firstLine="640" w:firstLineChars="200"/>
        <w:outlineLvl w:val="1"/>
        <w:rPr>
          <w:rFonts w:ascii="仿宋" w:eastAsia="仿宋"/>
          <w:color w:val="000000"/>
          <w:sz w:val="32"/>
          <w:szCs w:val="32"/>
        </w:rPr>
      </w:pPr>
    </w:p>
    <w:p w14:paraId="721908EA">
      <w:pPr>
        <w:spacing w:line="600" w:lineRule="exact"/>
        <w:ind w:firstLine="640" w:firstLineChars="200"/>
        <w:outlineLvl w:val="1"/>
        <w:rPr>
          <w:rFonts w:ascii="仿宋" w:eastAsia="仿宋"/>
          <w:color w:val="000000"/>
          <w:sz w:val="32"/>
          <w:szCs w:val="32"/>
        </w:rPr>
      </w:pPr>
    </w:p>
    <w:p w14:paraId="EF98FB82">
      <w:pPr>
        <w:spacing w:line="600" w:lineRule="exact"/>
        <w:ind w:firstLine="640" w:firstLineChars="200"/>
        <w:rPr>
          <w:rFonts w:ascii="仿宋_GB2312" w:eastAsia="仿宋_GB2312"/>
          <w:color w:val="000000"/>
          <w:sz w:val="32"/>
          <w:szCs w:val="32"/>
        </w:rPr>
      </w:pPr>
      <w:r>
        <w:rPr>
          <w:rFonts w:hint="eastAsia" w:ascii="仿宋" w:eastAsia="仿宋"/>
          <w:color w:val="000000"/>
          <w:sz w:val="32"/>
          <w:szCs w:val="32"/>
        </w:rPr>
        <w:t>（图3：支出决算结构图）（饼状图）</w:t>
      </w:r>
    </w:p>
    <w:p w14:paraId="043D193C">
      <w:pPr>
        <w:spacing w:line="600" w:lineRule="exact"/>
        <w:ind w:firstLine="640" w:firstLineChars="200"/>
        <w:outlineLvl w:val="1"/>
        <w:rPr>
          <w:rFonts w:hint="eastAsia" w:ascii="仿宋" w:eastAsia="仿宋"/>
          <w:color w:val="000000"/>
          <w:sz w:val="32"/>
          <w:szCs w:val="32"/>
          <w:lang w:eastAsia="zh-CN"/>
        </w:rPr>
      </w:pPr>
      <w:bookmarkStart w:id="40" w:name="_Toc15396606"/>
      <w:bookmarkStart w:id="41" w:name="_Toc15377208"/>
      <w:r>
        <w:rPr>
          <w:rFonts w:hint="eastAsia" w:ascii="黑体" w:eastAsia="黑体"/>
          <w:color w:val="000000"/>
          <w:sz w:val="32"/>
          <w:szCs w:val="32"/>
        </w:rPr>
        <w:t>四、财</w:t>
      </w:r>
      <w:r>
        <w:rPr>
          <w:rStyle w:val="24"/>
          <w:rFonts w:hint="eastAsia" w:ascii="黑体" w:eastAsia="黑体"/>
          <w:b w:val="0"/>
          <w:color w:val="000000"/>
        </w:rPr>
        <w:t>政拨款收入支出决算总体情况说明</w:t>
      </w:r>
      <w:bookmarkEnd w:id="40"/>
      <w:bookmarkEnd w:id="41"/>
    </w:p>
    <w:p w14:paraId="392EC845">
      <w:pPr>
        <w:spacing w:line="600" w:lineRule="exact"/>
        <w:ind w:firstLine="640" w:firstLineChars="200"/>
        <w:rPr>
          <w:rFonts w:ascii="仿宋" w:eastAsia="仿宋"/>
          <w:color w:val="000000"/>
          <w:sz w:val="32"/>
          <w:szCs w:val="32"/>
        </w:rPr>
      </w:pPr>
      <w:r>
        <w:rPr>
          <w:rFonts w:hint="default" w:ascii="仿宋" w:hAnsi="Times New Roman" w:eastAsia="仿宋" w:cs="Times New Roman"/>
          <w:color w:val="000000"/>
          <w:sz w:val="32"/>
          <w:szCs w:val="32"/>
          <w:lang w:val="en-US" w:eastAsia="zh-CN"/>
        </w:rPr>
        <w:t>2024年度财政拨款收、支总计均为1769.70万元，</w:t>
      </w:r>
      <w:r>
        <w:rPr>
          <w:rFonts w:hint="eastAsia" w:ascii="仿宋" w:hAnsi="Times New Roman" w:eastAsia="仿宋" w:cs="Times New Roman"/>
          <w:color w:val="000000"/>
          <w:sz w:val="32"/>
          <w:szCs w:val="32"/>
          <w:lang w:val="en-US" w:eastAsia="zh-CN"/>
        </w:rPr>
        <w:t>202</w:t>
      </w:r>
      <w:r>
        <w:rPr>
          <w:rFonts w:hint="default" w:ascii="仿宋" w:hAnsi="Times New Roman" w:eastAsia="仿宋" w:cs="Times New Roman"/>
          <w:color w:val="000000"/>
          <w:sz w:val="32"/>
          <w:szCs w:val="32"/>
          <w:lang w:val="en-US" w:eastAsia="zh-CN"/>
        </w:rPr>
        <w:t>3</w:t>
      </w:r>
      <w:r>
        <w:rPr>
          <w:rFonts w:hint="eastAsia" w:ascii="仿宋" w:hAnsi="Times New Roman" w:eastAsia="仿宋" w:cs="Times New Roman"/>
          <w:color w:val="000000"/>
          <w:sz w:val="32"/>
          <w:szCs w:val="32"/>
          <w:lang w:val="en-US" w:eastAsia="zh-CN"/>
        </w:rPr>
        <w:t>年度财政拨款收、支总计均为3032.04万元。与202</w:t>
      </w:r>
      <w:r>
        <w:rPr>
          <w:rFonts w:hint="default" w:ascii="仿宋" w:hAnsi="Times New Roman" w:eastAsia="仿宋" w:cs="Times New Roman"/>
          <w:color w:val="000000"/>
          <w:sz w:val="32"/>
          <w:szCs w:val="32"/>
          <w:lang w:val="en-US" w:eastAsia="zh-CN"/>
        </w:rPr>
        <w:t>3</w:t>
      </w:r>
      <w:r>
        <w:rPr>
          <w:rFonts w:hint="eastAsia" w:ascii="仿宋" w:hAnsi="Times New Roman" w:eastAsia="仿宋" w:cs="Times New Roman"/>
          <w:color w:val="000000"/>
          <w:sz w:val="32"/>
          <w:szCs w:val="32"/>
          <w:lang w:val="en-US" w:eastAsia="zh-CN"/>
        </w:rPr>
        <w:t>年度相比，财政拨款</w:t>
      </w:r>
      <w:r>
        <w:rPr>
          <w:rFonts w:hint="default" w:ascii="仿宋" w:hAnsi="Times New Roman" w:eastAsia="仿宋" w:cs="Times New Roman"/>
          <w:color w:val="000000"/>
          <w:sz w:val="32"/>
          <w:szCs w:val="32"/>
          <w:lang w:val="en-US" w:eastAsia="zh-CN"/>
        </w:rPr>
        <w:t>收入减少1262.34万元，支出减少1262.34万元，</w:t>
      </w:r>
      <w:r>
        <w:rPr>
          <w:rFonts w:hint="eastAsia" w:ascii="仿宋" w:hAnsi="Times New Roman" w:eastAsia="仿宋" w:cs="Times New Roman"/>
          <w:color w:val="000000"/>
          <w:sz w:val="32"/>
          <w:szCs w:val="32"/>
          <w:lang w:val="en-US" w:eastAsia="zh-CN"/>
        </w:rPr>
        <w:t>分别下降</w:t>
      </w:r>
      <w:r>
        <w:rPr>
          <w:rFonts w:hint="default" w:ascii="仿宋" w:hAnsi="Times New Roman" w:eastAsia="仿宋" w:cs="Times New Roman"/>
          <w:color w:val="000000"/>
          <w:sz w:val="32"/>
          <w:szCs w:val="32"/>
          <w:lang w:val="en-US" w:eastAsia="zh-CN"/>
        </w:rPr>
        <w:t>41.63%、41.63%</w:t>
      </w:r>
      <w:r>
        <w:rPr>
          <w:rFonts w:hint="eastAsia" w:ascii="仿宋" w:hAnsi="Times New Roman" w:eastAsia="仿宋" w:cs="Times New Roman"/>
          <w:color w:val="000000"/>
          <w:sz w:val="32"/>
          <w:szCs w:val="32"/>
          <w:lang w:val="en-US" w:eastAsia="zh-CN"/>
        </w:rPr>
        <w:t>。主要变动原因是202</w:t>
      </w:r>
      <w:r>
        <w:rPr>
          <w:rFonts w:hint="default" w:ascii="仿宋" w:hAnsi="Times New Roman" w:eastAsia="仿宋" w:cs="Times New Roman"/>
          <w:color w:val="000000"/>
          <w:sz w:val="32"/>
          <w:szCs w:val="32"/>
          <w:lang w:val="en-US" w:eastAsia="zh-CN"/>
        </w:rPr>
        <w:t>4</w:t>
      </w:r>
      <w:r>
        <w:rPr>
          <w:rFonts w:hint="eastAsia" w:ascii="仿宋" w:hAnsi="Times New Roman" w:eastAsia="仿宋" w:cs="Times New Roman"/>
          <w:color w:val="000000"/>
          <w:sz w:val="32"/>
          <w:szCs w:val="32"/>
          <w:lang w:val="en-US" w:eastAsia="zh-CN"/>
        </w:rPr>
        <w:t>年实施项目减少。</w:t>
      </w:r>
    </w:p>
    <w:p w14:paraId="006ED62D">
      <w:pPr>
        <w:spacing w:line="600" w:lineRule="exact"/>
        <w:rPr>
          <w:rFonts w:ascii="仿宋" w:eastAsia="仿宋"/>
          <w:color w:val="000000"/>
          <w:sz w:val="32"/>
          <w:szCs w:val="32"/>
        </w:rPr>
      </w:pPr>
      <w:r>
        <w:rPr>
          <w:rFonts w:hint="eastAsia" w:ascii="仿宋" w:eastAsia="仿宋"/>
          <w:color w:val="000000"/>
          <w:sz w:val="32"/>
          <w:szCs w:val="32"/>
        </w:rPr>
        <w:drawing>
          <wp:anchor distT="0" distB="0" distL="0" distR="0" simplePos="0" relativeHeight="251659264" behindDoc="1" locked="0" layoutInCell="1" allowOverlap="1">
            <wp:simplePos x="0" y="0"/>
            <wp:positionH relativeFrom="column">
              <wp:posOffset>768350</wp:posOffset>
            </wp:positionH>
            <wp:positionV relativeFrom="paragraph">
              <wp:posOffset>100330</wp:posOffset>
            </wp:positionV>
            <wp:extent cx="3737610" cy="2405380"/>
            <wp:effectExtent l="0" t="0" r="0" b="0"/>
            <wp:wrapNone/>
            <wp:docPr id="1034"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B2C03C1C">
      <w:pPr>
        <w:spacing w:line="600" w:lineRule="exact"/>
        <w:rPr>
          <w:rFonts w:ascii="仿宋" w:eastAsia="仿宋"/>
          <w:color w:val="000000"/>
          <w:sz w:val="32"/>
          <w:szCs w:val="32"/>
        </w:rPr>
      </w:pPr>
    </w:p>
    <w:p w14:paraId="C36DBCAC">
      <w:pPr>
        <w:spacing w:line="600" w:lineRule="exact"/>
        <w:rPr>
          <w:rFonts w:ascii="仿宋" w:eastAsia="仿宋"/>
          <w:color w:val="000000"/>
          <w:sz w:val="32"/>
          <w:szCs w:val="32"/>
        </w:rPr>
      </w:pPr>
    </w:p>
    <w:p w14:paraId="5A6C9792">
      <w:pPr>
        <w:spacing w:line="600" w:lineRule="exact"/>
        <w:rPr>
          <w:rFonts w:ascii="仿宋" w:eastAsia="仿宋"/>
          <w:color w:val="000000"/>
          <w:sz w:val="32"/>
          <w:szCs w:val="32"/>
        </w:rPr>
      </w:pPr>
    </w:p>
    <w:p w14:paraId="9F14568F">
      <w:pPr>
        <w:spacing w:line="600" w:lineRule="exact"/>
        <w:rPr>
          <w:rFonts w:ascii="仿宋" w:eastAsia="仿宋"/>
          <w:color w:val="000000"/>
          <w:sz w:val="32"/>
          <w:szCs w:val="32"/>
        </w:rPr>
      </w:pPr>
    </w:p>
    <w:p w14:paraId="7FA9AB28">
      <w:pPr>
        <w:spacing w:line="600" w:lineRule="exact"/>
        <w:rPr>
          <w:rFonts w:ascii="仿宋" w:eastAsia="仿宋"/>
          <w:color w:val="000000"/>
          <w:sz w:val="32"/>
          <w:szCs w:val="32"/>
        </w:rPr>
      </w:pPr>
    </w:p>
    <w:p w14:paraId="14E72BA5">
      <w:pPr>
        <w:spacing w:line="600" w:lineRule="exact"/>
        <w:rPr>
          <w:rFonts w:ascii="仿宋" w:eastAsia="仿宋"/>
          <w:color w:val="000000"/>
          <w:sz w:val="32"/>
          <w:szCs w:val="32"/>
        </w:rPr>
      </w:pPr>
    </w:p>
    <w:p w14:paraId="0B803A21">
      <w:pPr>
        <w:spacing w:line="600" w:lineRule="exact"/>
        <w:ind w:firstLine="640" w:firstLineChars="200"/>
        <w:rPr>
          <w:rFonts w:ascii="仿宋" w:eastAsia="仿宋"/>
          <w:b/>
          <w:color w:val="000000"/>
          <w:sz w:val="32"/>
          <w:szCs w:val="32"/>
        </w:rPr>
      </w:pPr>
      <w:r>
        <w:rPr>
          <w:rFonts w:hint="eastAsia" w:ascii="仿宋" w:eastAsia="仿宋"/>
          <w:color w:val="000000"/>
          <w:sz w:val="32"/>
          <w:szCs w:val="32"/>
        </w:rPr>
        <w:t>（图4：财政拨款收、支决算总计变动情况）（柱状图）</w:t>
      </w:r>
    </w:p>
    <w:p w14:paraId="3D89595C">
      <w:pPr>
        <w:spacing w:line="600" w:lineRule="exact"/>
        <w:ind w:firstLine="640" w:firstLineChars="200"/>
        <w:outlineLvl w:val="1"/>
        <w:rPr>
          <w:rStyle w:val="24"/>
          <w:rFonts w:ascii="黑体" w:eastAsia="黑体"/>
          <w:b w:val="0"/>
          <w:color w:val="000000"/>
        </w:rPr>
      </w:pPr>
      <w:bookmarkStart w:id="42" w:name="_Toc15396607"/>
      <w:bookmarkStart w:id="43" w:name="_Toc15377209"/>
      <w:r>
        <w:rPr>
          <w:rFonts w:hint="eastAsia" w:ascii="黑体" w:eastAsia="黑体"/>
          <w:color w:val="000000"/>
          <w:sz w:val="32"/>
          <w:szCs w:val="32"/>
        </w:rPr>
        <w:t>五、</w:t>
      </w:r>
      <w:r>
        <w:rPr>
          <w:rFonts w:hint="eastAsia" w:ascii="黑体" w:eastAsia="黑体"/>
          <w:b/>
          <w:color w:val="000000"/>
          <w:sz w:val="32"/>
          <w:szCs w:val="32"/>
        </w:rPr>
        <w:t>一</w:t>
      </w:r>
      <w:r>
        <w:rPr>
          <w:rStyle w:val="24"/>
          <w:rFonts w:hint="eastAsia" w:ascii="黑体" w:eastAsia="黑体"/>
          <w:b w:val="0"/>
          <w:color w:val="000000"/>
        </w:rPr>
        <w:t>般公共预算财政拨款支出决算情况说明</w:t>
      </w:r>
      <w:bookmarkEnd w:id="42"/>
      <w:bookmarkEnd w:id="43"/>
    </w:p>
    <w:p w14:paraId="581DC308">
      <w:pPr>
        <w:spacing w:line="600" w:lineRule="exact"/>
        <w:ind w:firstLine="643" w:firstLineChars="200"/>
        <w:outlineLvl w:val="2"/>
        <w:rPr>
          <w:rFonts w:ascii="仿宋" w:eastAsia="仿宋"/>
          <w:b/>
          <w:color w:val="000000"/>
          <w:sz w:val="32"/>
          <w:szCs w:val="32"/>
        </w:rPr>
      </w:pPr>
      <w:bookmarkStart w:id="44" w:name="_Toc15377210"/>
      <w:r>
        <w:rPr>
          <w:rFonts w:hint="eastAsia" w:ascii="仿宋" w:eastAsia="仿宋"/>
          <w:b/>
          <w:color w:val="000000"/>
          <w:sz w:val="32"/>
          <w:szCs w:val="32"/>
        </w:rPr>
        <w:t>（一）一般公共预算财政拨款支出决算总体情况</w:t>
      </w:r>
      <w:bookmarkEnd w:id="44"/>
    </w:p>
    <w:p w14:paraId="770D0049">
      <w:pPr>
        <w:spacing w:line="600" w:lineRule="exact"/>
        <w:ind w:firstLine="640" w:firstLineChars="200"/>
        <w:rPr>
          <w:rFonts w:ascii="仿宋" w:eastAsia="仿宋"/>
          <w:color w:val="000000"/>
          <w:sz w:val="32"/>
          <w:szCs w:val="32"/>
        </w:rPr>
      </w:pPr>
      <w:r>
        <w:rPr>
          <w:rFonts w:hint="eastAsia" w:ascii="仿宋" w:hAnsi="Times New Roman" w:eastAsia="仿宋" w:cs="Times New Roman"/>
          <w:color w:val="000000"/>
          <w:sz w:val="32"/>
          <w:szCs w:val="32"/>
          <w:lang w:val="en-US" w:eastAsia="zh-CN"/>
        </w:rPr>
        <w:t>202</w:t>
      </w:r>
      <w:r>
        <w:rPr>
          <w:rFonts w:hint="default" w:ascii="仿宋" w:hAnsi="Times New Roman" w:eastAsia="仿宋" w:cs="Times New Roman"/>
          <w:color w:val="000000"/>
          <w:sz w:val="32"/>
          <w:szCs w:val="32"/>
          <w:lang w:val="en-US" w:eastAsia="zh-CN"/>
        </w:rPr>
        <w:t>4</w:t>
      </w:r>
      <w:r>
        <w:rPr>
          <w:rFonts w:hint="eastAsia" w:ascii="仿宋" w:hAnsi="Times New Roman" w:eastAsia="仿宋" w:cs="Times New Roman"/>
          <w:color w:val="000000"/>
          <w:sz w:val="32"/>
          <w:szCs w:val="32"/>
          <w:lang w:val="en-US" w:eastAsia="zh-CN"/>
        </w:rPr>
        <w:t>年度一般公共预算财政拨款支出</w:t>
      </w:r>
      <w:r>
        <w:rPr>
          <w:rFonts w:hint="default" w:ascii="仿宋" w:hAnsi="Times New Roman" w:eastAsia="仿宋" w:cs="Times New Roman"/>
          <w:color w:val="000000"/>
          <w:sz w:val="32"/>
          <w:szCs w:val="32"/>
          <w:lang w:val="en-US" w:eastAsia="zh-CN"/>
        </w:rPr>
        <w:t>1769.70</w:t>
      </w:r>
      <w:r>
        <w:rPr>
          <w:rFonts w:hint="eastAsia" w:ascii="仿宋" w:hAnsi="Times New Roman" w:eastAsia="仿宋" w:cs="Times New Roman"/>
          <w:color w:val="000000"/>
          <w:sz w:val="32"/>
          <w:szCs w:val="32"/>
          <w:lang w:val="en-US" w:eastAsia="zh-CN"/>
        </w:rPr>
        <w:t>万元，占本年支出合计的</w:t>
      </w:r>
      <w:r>
        <w:rPr>
          <w:rFonts w:hint="default" w:ascii="仿宋" w:hAnsi="Times New Roman" w:eastAsia="仿宋" w:cs="Times New Roman"/>
          <w:color w:val="000000"/>
          <w:sz w:val="32"/>
          <w:szCs w:val="32"/>
          <w:lang w:val="en-US" w:eastAsia="zh-CN"/>
        </w:rPr>
        <w:t>100</w:t>
      </w:r>
      <w:r>
        <w:rPr>
          <w:rFonts w:hint="eastAsia" w:ascii="仿宋" w:hAnsi="Times New Roman" w:eastAsia="仿宋" w:cs="Times New Roman"/>
          <w:color w:val="000000"/>
          <w:sz w:val="32"/>
          <w:szCs w:val="32"/>
          <w:lang w:val="en-US" w:eastAsia="zh-CN"/>
        </w:rPr>
        <w:t>%。与202</w:t>
      </w:r>
      <w:r>
        <w:rPr>
          <w:rFonts w:hint="default" w:ascii="仿宋" w:hAnsi="Times New Roman" w:eastAsia="仿宋" w:cs="Times New Roman"/>
          <w:color w:val="000000"/>
          <w:sz w:val="32"/>
          <w:szCs w:val="32"/>
          <w:lang w:val="en-US" w:eastAsia="zh-CN"/>
        </w:rPr>
        <w:t>3</w:t>
      </w:r>
      <w:r>
        <w:rPr>
          <w:rFonts w:hint="eastAsia" w:ascii="仿宋" w:hAnsi="Times New Roman" w:eastAsia="仿宋" w:cs="Times New Roman"/>
          <w:color w:val="000000"/>
          <w:sz w:val="32"/>
          <w:szCs w:val="32"/>
          <w:lang w:val="en-US" w:eastAsia="zh-CN"/>
        </w:rPr>
        <w:t>年度相比，一般公共预算财政拨款支出减少</w:t>
      </w:r>
      <w:r>
        <w:rPr>
          <w:rFonts w:hint="default" w:ascii="仿宋" w:hAnsi="Times New Roman" w:eastAsia="仿宋" w:cs="Times New Roman"/>
          <w:color w:val="000000"/>
          <w:sz w:val="32"/>
          <w:szCs w:val="32"/>
          <w:lang w:val="en-US" w:eastAsia="zh-CN"/>
        </w:rPr>
        <w:t>1222.34</w:t>
      </w:r>
      <w:r>
        <w:rPr>
          <w:rFonts w:hint="eastAsia" w:ascii="仿宋" w:hAnsi="Times New Roman" w:eastAsia="仿宋" w:cs="Times New Roman"/>
          <w:color w:val="000000"/>
          <w:sz w:val="32"/>
          <w:szCs w:val="32"/>
          <w:lang w:val="en-US" w:eastAsia="zh-CN"/>
        </w:rPr>
        <w:t>万元，下降</w:t>
      </w:r>
      <w:r>
        <w:rPr>
          <w:rFonts w:hint="default" w:ascii="仿宋" w:hAnsi="Times New Roman" w:eastAsia="仿宋" w:cs="Times New Roman"/>
          <w:color w:val="000000"/>
          <w:sz w:val="32"/>
          <w:szCs w:val="32"/>
          <w:lang w:val="en-US" w:eastAsia="zh-CN"/>
        </w:rPr>
        <w:t>40.85</w:t>
      </w:r>
      <w:r>
        <w:rPr>
          <w:rFonts w:ascii="仿宋" w:eastAsia="仿宋"/>
          <w:color w:val="000000"/>
          <w:sz w:val="32"/>
          <w:szCs w:val="32"/>
        </w:rPr>
        <w:t>%</w:t>
      </w:r>
      <w:r>
        <w:rPr>
          <w:rFonts w:hint="eastAsia" w:ascii="仿宋" w:eastAsia="仿宋"/>
          <w:color w:val="000000"/>
          <w:sz w:val="32"/>
          <w:szCs w:val="32"/>
        </w:rPr>
        <w:t>。主要变动原因是本年度</w:t>
      </w:r>
      <w:r>
        <w:rPr>
          <w:rFonts w:hint="eastAsia" w:ascii="仿宋" w:eastAsia="仿宋"/>
          <w:color w:val="000000"/>
          <w:sz w:val="32"/>
          <w:szCs w:val="32"/>
          <w:lang w:val="en-US" w:eastAsia="zh-CN"/>
        </w:rPr>
        <w:t>一般公共预算</w:t>
      </w:r>
      <w:r>
        <w:rPr>
          <w:rFonts w:hint="eastAsia" w:ascii="仿宋" w:eastAsia="仿宋"/>
          <w:color w:val="000000"/>
          <w:sz w:val="32"/>
          <w:szCs w:val="32"/>
        </w:rPr>
        <w:t>实施项目</w:t>
      </w:r>
      <w:r>
        <w:rPr>
          <w:rFonts w:hint="eastAsia" w:ascii="仿宋" w:eastAsia="仿宋"/>
          <w:color w:val="000000"/>
          <w:sz w:val="32"/>
          <w:szCs w:val="32"/>
          <w:lang w:eastAsia="zh-CN"/>
        </w:rPr>
        <w:t>减少</w:t>
      </w:r>
      <w:r>
        <w:rPr>
          <w:rFonts w:hint="eastAsia" w:ascii="仿宋" w:eastAsia="仿宋"/>
          <w:color w:val="000000"/>
          <w:sz w:val="32"/>
          <w:szCs w:val="32"/>
        </w:rPr>
        <w:t>。</w:t>
      </w:r>
    </w:p>
    <w:p w14:paraId="9F5E429C">
      <w:pPr>
        <w:spacing w:line="600" w:lineRule="exact"/>
        <w:ind w:firstLine="640" w:firstLineChars="200"/>
        <w:rPr>
          <w:rFonts w:ascii="仿宋" w:eastAsia="仿宋"/>
          <w:color w:val="000000"/>
          <w:sz w:val="32"/>
          <w:szCs w:val="32"/>
        </w:rPr>
      </w:pPr>
      <w:r>
        <w:rPr>
          <w:rFonts w:hint="eastAsia" w:ascii="仿宋" w:eastAsia="仿宋"/>
          <w:color w:val="000000"/>
          <w:sz w:val="32"/>
          <w:szCs w:val="32"/>
        </w:rPr>
        <w:drawing>
          <wp:anchor distT="0" distB="0" distL="0" distR="0" simplePos="0" relativeHeight="251659264" behindDoc="1" locked="0" layoutInCell="1" allowOverlap="1">
            <wp:simplePos x="0" y="0"/>
            <wp:positionH relativeFrom="column">
              <wp:posOffset>746760</wp:posOffset>
            </wp:positionH>
            <wp:positionV relativeFrom="paragraph">
              <wp:posOffset>10795</wp:posOffset>
            </wp:positionV>
            <wp:extent cx="3745865" cy="2491740"/>
            <wp:effectExtent l="0" t="0" r="0" b="0"/>
            <wp:wrapNone/>
            <wp:docPr id="1036"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81B1DC8A">
      <w:pPr>
        <w:spacing w:line="600" w:lineRule="exact"/>
        <w:ind w:firstLine="640" w:firstLineChars="200"/>
        <w:rPr>
          <w:rFonts w:ascii="仿宋" w:eastAsia="仿宋"/>
          <w:color w:val="000000"/>
          <w:sz w:val="32"/>
          <w:szCs w:val="32"/>
        </w:rPr>
      </w:pPr>
    </w:p>
    <w:p w14:paraId="5711DEF8">
      <w:pPr>
        <w:spacing w:line="600" w:lineRule="exact"/>
        <w:ind w:firstLine="640" w:firstLineChars="200"/>
        <w:rPr>
          <w:rFonts w:ascii="仿宋" w:eastAsia="仿宋"/>
          <w:color w:val="000000"/>
          <w:sz w:val="32"/>
          <w:szCs w:val="32"/>
        </w:rPr>
      </w:pPr>
    </w:p>
    <w:p w14:paraId="D692E05B">
      <w:pPr>
        <w:spacing w:line="600" w:lineRule="exact"/>
        <w:ind w:firstLine="640" w:firstLineChars="200"/>
        <w:rPr>
          <w:rFonts w:ascii="仿宋" w:eastAsia="仿宋"/>
          <w:color w:val="000000"/>
          <w:sz w:val="32"/>
          <w:szCs w:val="32"/>
        </w:rPr>
      </w:pPr>
    </w:p>
    <w:p w14:paraId="099EAE16">
      <w:pPr>
        <w:spacing w:line="600" w:lineRule="exact"/>
        <w:ind w:firstLine="640" w:firstLineChars="200"/>
        <w:rPr>
          <w:rFonts w:ascii="仿宋" w:eastAsia="仿宋"/>
          <w:color w:val="000000"/>
          <w:sz w:val="32"/>
          <w:szCs w:val="32"/>
        </w:rPr>
      </w:pPr>
    </w:p>
    <w:p w14:paraId="E0699DF7">
      <w:pPr>
        <w:spacing w:line="600" w:lineRule="exact"/>
        <w:ind w:firstLine="640" w:firstLineChars="200"/>
        <w:rPr>
          <w:rFonts w:ascii="仿宋" w:eastAsia="仿宋"/>
          <w:color w:val="000000"/>
          <w:sz w:val="32"/>
          <w:szCs w:val="32"/>
        </w:rPr>
      </w:pPr>
    </w:p>
    <w:p w14:paraId="934E8981">
      <w:pPr>
        <w:spacing w:line="600" w:lineRule="exact"/>
        <w:ind w:firstLine="640" w:firstLineChars="200"/>
        <w:rPr>
          <w:rFonts w:ascii="仿宋" w:eastAsia="仿宋"/>
          <w:color w:val="000000"/>
          <w:sz w:val="32"/>
          <w:szCs w:val="32"/>
        </w:rPr>
      </w:pPr>
    </w:p>
    <w:p w14:paraId="F8788320">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（图5：一般公共预算财政拨款支出决算变动情况）（柱状图）</w:t>
      </w:r>
    </w:p>
    <w:p w14:paraId="09CE6230">
      <w:pPr>
        <w:spacing w:line="600" w:lineRule="exact"/>
        <w:ind w:firstLine="643" w:firstLineChars="200"/>
        <w:outlineLvl w:val="2"/>
        <w:rPr>
          <w:rFonts w:ascii="仿宋" w:eastAsia="仿宋"/>
          <w:b/>
          <w:color w:val="000000"/>
          <w:sz w:val="32"/>
          <w:szCs w:val="32"/>
        </w:rPr>
      </w:pPr>
      <w:bookmarkStart w:id="45" w:name="_Toc15377211"/>
      <w:r>
        <w:rPr>
          <w:rFonts w:hint="eastAsia" w:ascii="仿宋" w:eastAsia="仿宋"/>
          <w:b/>
          <w:color w:val="000000"/>
          <w:sz w:val="32"/>
          <w:szCs w:val="32"/>
        </w:rPr>
        <w:t>（二）一般公共预算财政拨款支出决算结构情况</w:t>
      </w:r>
      <w:bookmarkEnd w:id="45"/>
    </w:p>
    <w:p w14:paraId="2BEE64F5">
      <w:pPr>
        <w:spacing w:line="600" w:lineRule="exact"/>
        <w:ind w:firstLine="640"/>
        <w:rPr>
          <w:rFonts w:ascii="仿宋" w:eastAsia="仿宋"/>
          <w:color w:val="000000"/>
          <w:sz w:val="32"/>
          <w:szCs w:val="32"/>
        </w:rPr>
      </w:pPr>
      <w:r>
        <w:rPr>
          <w:rFonts w:hint="eastAsia" w:ascii="仿宋" w:eastAsia="仿宋"/>
          <w:color w:val="000000"/>
          <w:sz w:val="32"/>
          <w:szCs w:val="32"/>
          <w:lang w:eastAsia="zh-CN"/>
        </w:rPr>
        <w:t>202</w:t>
      </w:r>
      <w:r>
        <w:rPr>
          <w:rFonts w:hint="default" w:ascii="仿宋" w:eastAsia="仿宋"/>
          <w:color w:val="000000"/>
          <w:sz w:val="32"/>
          <w:szCs w:val="32"/>
          <w:lang w:val="en-US" w:eastAsia="zh-CN"/>
        </w:rPr>
        <w:t>4</w:t>
      </w:r>
      <w:r>
        <w:rPr>
          <w:rFonts w:hint="eastAsia" w:ascii="仿宋" w:eastAsia="仿宋"/>
          <w:color w:val="000000"/>
          <w:sz w:val="32"/>
          <w:szCs w:val="32"/>
        </w:rPr>
        <w:t>年一般公共预算财政拨款支出</w:t>
      </w:r>
      <w:r>
        <w:rPr>
          <w:rFonts w:hint="default" w:ascii="仿宋" w:eastAsia="仿宋"/>
          <w:color w:val="000000"/>
          <w:sz w:val="32"/>
          <w:szCs w:val="32"/>
          <w:lang w:val="en-US"/>
        </w:rPr>
        <w:t>1769.70</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w:t>
      </w:r>
      <w:r>
        <w:rPr>
          <w:rFonts w:hint="eastAsia" w:ascii="仿宋" w:eastAsia="仿宋"/>
          <w:color w:val="000000"/>
          <w:sz w:val="32"/>
          <w:szCs w:val="32"/>
        </w:rPr>
        <w:t>支出</w:t>
      </w:r>
      <w:r>
        <w:rPr>
          <w:rFonts w:hint="default" w:ascii="仿宋" w:eastAsia="仿宋"/>
          <w:color w:val="000000"/>
          <w:sz w:val="32"/>
          <w:szCs w:val="32"/>
          <w:lang w:val="en-US"/>
        </w:rPr>
        <w:t>769.56万元，占比43.48%；</w:t>
      </w:r>
      <w:r>
        <w:rPr>
          <w:rFonts w:hint="eastAsia" w:ascii="仿宋" w:eastAsia="仿宋"/>
          <w:b/>
          <w:bCs/>
          <w:color w:val="000000"/>
          <w:sz w:val="32"/>
          <w:szCs w:val="32"/>
        </w:rPr>
        <w:t>文化旅游体育与传媒</w:t>
      </w:r>
      <w:r>
        <w:rPr>
          <w:rFonts w:hint="eastAsia" w:ascii="仿宋" w:eastAsia="仿宋"/>
          <w:color w:val="000000"/>
          <w:sz w:val="32"/>
          <w:szCs w:val="32"/>
        </w:rPr>
        <w:t>支出</w:t>
      </w:r>
      <w:r>
        <w:rPr>
          <w:rFonts w:hint="default" w:ascii="仿宋" w:eastAsia="仿宋"/>
          <w:color w:val="000000"/>
          <w:sz w:val="32"/>
          <w:szCs w:val="32"/>
          <w:lang w:val="en-US"/>
        </w:rPr>
        <w:t>5.64万元，占比0.32%；</w:t>
      </w:r>
      <w:r>
        <w:rPr>
          <w:rFonts w:hint="eastAsia" w:ascii="仿宋" w:eastAsia="仿宋"/>
          <w:b/>
          <w:color w:val="000000"/>
          <w:sz w:val="32"/>
          <w:szCs w:val="32"/>
        </w:rPr>
        <w:t>社会保障和就业</w:t>
      </w:r>
      <w:r>
        <w:rPr>
          <w:rFonts w:hint="eastAsia" w:ascii="仿宋" w:eastAsia="仿宋"/>
          <w:color w:val="000000"/>
          <w:sz w:val="32"/>
          <w:szCs w:val="32"/>
        </w:rPr>
        <w:t>支出</w:t>
      </w:r>
      <w:r>
        <w:rPr>
          <w:rFonts w:hint="default" w:ascii="仿宋" w:eastAsia="仿宋"/>
          <w:color w:val="000000"/>
          <w:sz w:val="32"/>
          <w:szCs w:val="32"/>
          <w:lang w:val="en-US"/>
        </w:rPr>
        <w:t>323.41万元，占比18.27%；</w:t>
      </w:r>
      <w:r>
        <w:rPr>
          <w:rFonts w:hint="eastAsia" w:ascii="仿宋" w:eastAsia="仿宋"/>
          <w:b/>
          <w:bCs/>
          <w:color w:val="000000"/>
          <w:sz w:val="32"/>
          <w:szCs w:val="32"/>
        </w:rPr>
        <w:t>卫生健康支出</w:t>
      </w:r>
      <w:r>
        <w:rPr>
          <w:rFonts w:hint="eastAsia" w:ascii="仿宋" w:eastAsia="仿宋"/>
          <w:b w:val="0"/>
          <w:bCs/>
          <w:color w:val="000000"/>
          <w:sz w:val="32"/>
          <w:szCs w:val="32"/>
          <w:lang w:eastAsia="zh-CN"/>
        </w:rPr>
        <w:t>支出</w:t>
      </w:r>
      <w:r>
        <w:rPr>
          <w:rFonts w:hint="default" w:ascii="仿宋" w:eastAsia="仿宋"/>
          <w:b w:val="0"/>
          <w:bCs/>
          <w:color w:val="000000"/>
          <w:sz w:val="32"/>
          <w:szCs w:val="32"/>
          <w:lang w:val="en-US" w:eastAsia="zh-CN"/>
        </w:rPr>
        <w:t>50.34万元，占比2.85%；</w:t>
      </w:r>
      <w:r>
        <w:rPr>
          <w:rFonts w:hint="eastAsia" w:ascii="仿宋" w:eastAsia="仿宋"/>
          <w:b/>
          <w:color w:val="000000"/>
          <w:sz w:val="32"/>
          <w:szCs w:val="32"/>
        </w:rPr>
        <w:t>城</w:t>
      </w:r>
      <w:r>
        <w:rPr>
          <w:rFonts w:hint="eastAsia" w:ascii="仿宋" w:eastAsia="仿宋"/>
          <w:b/>
          <w:color w:val="000000"/>
          <w:sz w:val="32"/>
          <w:szCs w:val="32"/>
          <w:lang w:val="en-US" w:eastAsia="zh-CN"/>
        </w:rPr>
        <w:t>乡</w:t>
      </w:r>
      <w:r>
        <w:rPr>
          <w:rFonts w:hint="eastAsia" w:ascii="仿宋" w:eastAsia="仿宋"/>
          <w:b/>
          <w:color w:val="000000"/>
          <w:sz w:val="32"/>
          <w:szCs w:val="32"/>
        </w:rPr>
        <w:t>社区</w:t>
      </w:r>
      <w:r>
        <w:rPr>
          <w:rFonts w:hint="eastAsia" w:ascii="仿宋" w:eastAsia="仿宋"/>
          <w:color w:val="000000"/>
          <w:sz w:val="32"/>
          <w:szCs w:val="32"/>
        </w:rPr>
        <w:t>支出</w:t>
      </w:r>
      <w:r>
        <w:rPr>
          <w:rFonts w:hint="eastAsia" w:ascii="仿宋" w:eastAsia="仿宋"/>
          <w:color w:val="000000"/>
          <w:sz w:val="32"/>
          <w:szCs w:val="32"/>
          <w:lang w:val="en-US" w:eastAsia="zh-CN"/>
        </w:rPr>
        <w:t>10.00</w:t>
      </w:r>
      <w:r>
        <w:rPr>
          <w:rFonts w:hint="eastAsia" w:ascii="仿宋" w:eastAsia="仿宋"/>
          <w:color w:val="000000"/>
          <w:sz w:val="32"/>
          <w:szCs w:val="32"/>
        </w:rPr>
        <w:t>万元，占0.</w:t>
      </w:r>
      <w:r>
        <w:rPr>
          <w:rFonts w:hint="default" w:ascii="仿宋" w:eastAsia="仿宋"/>
          <w:color w:val="000000"/>
          <w:sz w:val="32"/>
          <w:szCs w:val="32"/>
          <w:lang w:val="en-US"/>
        </w:rPr>
        <w:t>57</w:t>
      </w:r>
      <w:r>
        <w:rPr>
          <w:rFonts w:ascii="仿宋" w:eastAsia="仿宋"/>
          <w:color w:val="000000"/>
          <w:sz w:val="32"/>
          <w:szCs w:val="32"/>
        </w:rPr>
        <w:t>%</w:t>
      </w:r>
      <w:r>
        <w:rPr>
          <w:rFonts w:hint="eastAsia" w:ascii="仿宋" w:eastAsia="仿宋"/>
          <w:color w:val="000000"/>
          <w:sz w:val="32"/>
          <w:szCs w:val="32"/>
        </w:rPr>
        <w:t>；</w:t>
      </w:r>
      <w:r>
        <w:rPr>
          <w:rFonts w:hint="default" w:ascii="仿宋" w:eastAsia="仿宋"/>
          <w:b/>
          <w:bCs/>
          <w:color w:val="000000"/>
          <w:sz w:val="32"/>
          <w:szCs w:val="32"/>
          <w:lang w:val="en-US"/>
        </w:rPr>
        <w:t>城乡社区</w:t>
      </w:r>
      <w:r>
        <w:rPr>
          <w:rFonts w:hint="default" w:ascii="仿宋" w:eastAsia="仿宋"/>
          <w:color w:val="000000"/>
          <w:sz w:val="32"/>
          <w:szCs w:val="32"/>
          <w:lang w:val="en-US"/>
        </w:rPr>
        <w:t>支出10.00万元，占比0.57%；</w:t>
      </w:r>
      <w:r>
        <w:rPr>
          <w:rFonts w:hint="default" w:ascii="仿宋" w:eastAsia="仿宋"/>
          <w:b/>
          <w:bCs/>
          <w:color w:val="000000"/>
          <w:sz w:val="32"/>
          <w:szCs w:val="32"/>
          <w:lang w:val="en-US"/>
        </w:rPr>
        <w:t>农林水</w:t>
      </w:r>
      <w:r>
        <w:rPr>
          <w:rFonts w:hint="default" w:ascii="仿宋" w:eastAsia="仿宋"/>
          <w:color w:val="000000"/>
          <w:sz w:val="32"/>
          <w:szCs w:val="32"/>
          <w:lang w:val="en-US"/>
        </w:rPr>
        <w:t>支出534.39万元，占比30.20%；</w:t>
      </w:r>
      <w:r>
        <w:rPr>
          <w:rFonts w:hint="default" w:ascii="仿宋" w:eastAsia="仿宋"/>
          <w:b/>
          <w:bCs/>
          <w:color w:val="000000"/>
          <w:sz w:val="32"/>
          <w:szCs w:val="32"/>
          <w:lang w:val="en-US"/>
        </w:rPr>
        <w:t>住房保障</w:t>
      </w:r>
      <w:r>
        <w:rPr>
          <w:rFonts w:hint="default" w:ascii="仿宋" w:eastAsia="仿宋"/>
          <w:color w:val="000000"/>
          <w:sz w:val="32"/>
          <w:szCs w:val="32"/>
          <w:lang w:val="en-US"/>
        </w:rPr>
        <w:t>支出73.36万元，占比4.14%；</w:t>
      </w:r>
      <w:r>
        <w:rPr>
          <w:rFonts w:hint="default" w:ascii="仿宋" w:eastAsia="仿宋"/>
          <w:b/>
          <w:bCs/>
          <w:color w:val="000000"/>
          <w:sz w:val="32"/>
          <w:szCs w:val="32"/>
          <w:lang w:val="en-US"/>
        </w:rPr>
        <w:t>灾害防治及应急管理</w:t>
      </w:r>
      <w:r>
        <w:rPr>
          <w:rFonts w:hint="default" w:ascii="仿宋" w:eastAsia="仿宋"/>
          <w:color w:val="000000"/>
          <w:sz w:val="32"/>
          <w:szCs w:val="32"/>
          <w:lang w:val="en-US"/>
        </w:rPr>
        <w:t>支出1.00万元，占比0.06%。</w:t>
      </w:r>
    </w:p>
    <w:p w14:paraId="3096892B">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ascii="仿宋" w:eastAsia="仿宋"/>
          <w:color w:val="000000"/>
          <w:sz w:val="32"/>
          <w:szCs w:val="32"/>
        </w:rPr>
      </w:pPr>
      <w:r>
        <w:rPr>
          <w:rFonts w:hint="eastAsia"/>
          <w:color w:val="auto"/>
          <w:lang w:val="en-US" w:eastAsia="zh-CN"/>
        </w:rPr>
        <w:object>
          <v:shape id="_x0000_i1025" o:spt="75" type="#_x0000_t75" style="height:225.55pt;width:334.6pt;" o:ole="t" filled="f" o:preferrelative="t" stroked="f" coordsize="21600,21600">
            <v:path/>
            <v:fill on="f" focussize="0,0"/>
            <v:stroke on="f"/>
            <v:imagedata r:id="rId16" o:title=""/>
            <o:lock v:ext="edit" aspectratio="t"/>
            <w10:wrap type="none"/>
            <w10:anchorlock/>
          </v:shape>
          <o:OLEObject Type="Embed" ProgID="excel.sheet.8" ShapeID="_x0000_i1025" DrawAspect="Content" ObjectID="_1468075725" r:id="rId15">
            <o:LockedField>false</o:LockedField>
          </o:OLEObject>
        </w:object>
      </w:r>
    </w:p>
    <w:p w14:paraId="CC60048B">
      <w:pPr>
        <w:spacing w:line="600" w:lineRule="exact"/>
        <w:ind w:firstLine="640" w:firstLineChars="200"/>
        <w:rPr>
          <w:rFonts w:ascii="仿宋" w:eastAsia="仿宋"/>
          <w:color w:val="000000"/>
          <w:sz w:val="32"/>
          <w:szCs w:val="32"/>
        </w:rPr>
      </w:pPr>
      <w:r>
        <w:rPr>
          <w:rFonts w:hint="eastAsia" w:ascii="仿宋" w:eastAsia="仿宋"/>
          <w:color w:val="000000"/>
          <w:sz w:val="32"/>
          <w:szCs w:val="32"/>
        </w:rPr>
        <w:t>（图6：一般公共预算财政拨款支出决算结构）（饼状图）</w:t>
      </w:r>
    </w:p>
    <w:p w14:paraId="2FD8311A">
      <w:pPr>
        <w:spacing w:line="600" w:lineRule="exact"/>
        <w:ind w:firstLine="643" w:firstLineChars="200"/>
        <w:outlineLvl w:val="2"/>
        <w:rPr>
          <w:rFonts w:ascii="仿宋" w:eastAsia="仿宋"/>
          <w:b/>
          <w:color w:val="000000"/>
          <w:sz w:val="32"/>
          <w:szCs w:val="32"/>
        </w:rPr>
      </w:pPr>
      <w:bookmarkStart w:id="46" w:name="_Toc15377212"/>
      <w:r>
        <w:rPr>
          <w:rFonts w:hint="eastAsia" w:ascii="仿宋" w:eastAsia="仿宋"/>
          <w:b/>
          <w:color w:val="000000"/>
          <w:sz w:val="32"/>
          <w:szCs w:val="32"/>
        </w:rPr>
        <w:t>（三）一般公共预算财政拨款支出决算具体情况</w:t>
      </w:r>
      <w:bookmarkEnd w:id="46"/>
    </w:p>
    <w:p w14:paraId="C6D7644E">
      <w:pPr>
        <w:spacing w:line="600" w:lineRule="exact"/>
        <w:ind w:firstLine="643" w:firstLineChars="200"/>
        <w:outlineLvl w:val="2"/>
        <w:rPr>
          <w:rFonts w:ascii="仿宋" w:eastAsia="仿宋"/>
          <w:color w:val="000000"/>
          <w:sz w:val="32"/>
          <w:szCs w:val="32"/>
          <w:highlight w:val="none"/>
        </w:rPr>
      </w:pPr>
      <w:bookmarkStart w:id="47" w:name="_Toc15377213"/>
      <w:bookmarkStart w:id="48" w:name="_Toc15378460"/>
      <w:bookmarkStart w:id="49" w:name="_Toc15377444"/>
      <w:r>
        <w:rPr>
          <w:rFonts w:hint="eastAsia" w:ascii="仿宋" w:eastAsia="仿宋"/>
          <w:b/>
          <w:color w:val="000000"/>
          <w:sz w:val="32"/>
          <w:szCs w:val="32"/>
          <w:highlight w:val="none"/>
          <w:lang w:eastAsia="zh-CN"/>
        </w:rPr>
        <w:t>202</w:t>
      </w:r>
      <w:r>
        <w:rPr>
          <w:rFonts w:hint="default" w:ascii="仿宋" w:eastAsia="仿宋"/>
          <w:b/>
          <w:color w:val="000000"/>
          <w:sz w:val="32"/>
          <w:szCs w:val="32"/>
          <w:highlight w:val="none"/>
          <w:lang w:val="en-US" w:eastAsia="zh-CN"/>
        </w:rPr>
        <w:t>4</w:t>
      </w:r>
      <w:r>
        <w:rPr>
          <w:rFonts w:hint="eastAsia" w:ascii="仿宋" w:eastAsia="仿宋"/>
          <w:b/>
          <w:color w:val="000000"/>
          <w:sz w:val="32"/>
          <w:szCs w:val="32"/>
          <w:highlight w:val="none"/>
        </w:rPr>
        <w:t>年一般公共预算支出决算数</w:t>
      </w:r>
      <w:r>
        <w:rPr>
          <w:rFonts w:hint="eastAsia" w:ascii="仿宋" w:eastAsia="仿宋"/>
          <w:b/>
          <w:color w:val="000000"/>
          <w:sz w:val="32"/>
          <w:szCs w:val="32"/>
          <w:highlight w:val="none"/>
          <w:lang w:eastAsia="zh-CN"/>
        </w:rPr>
        <w:t>为</w:t>
      </w:r>
      <w:r>
        <w:rPr>
          <w:rFonts w:hint="default" w:ascii="仿宋" w:eastAsia="仿宋"/>
          <w:color w:val="000000"/>
          <w:sz w:val="32"/>
          <w:szCs w:val="32"/>
          <w:highlight w:val="none"/>
          <w:lang w:val="en-US"/>
        </w:rPr>
        <w:t>1769.70</w:t>
      </w:r>
      <w:r>
        <w:rPr>
          <w:rFonts w:hint="eastAsia" w:ascii="仿宋" w:eastAsia="仿宋"/>
          <w:b/>
          <w:color w:val="000000"/>
          <w:sz w:val="32"/>
          <w:szCs w:val="32"/>
          <w:highlight w:val="none"/>
        </w:rPr>
        <w:t>万元</w:t>
      </w:r>
      <w:r>
        <w:rPr>
          <w:rFonts w:hint="eastAsia" w:ascii="仿宋" w:eastAsia="仿宋"/>
          <w:color w:val="000000"/>
          <w:sz w:val="32"/>
          <w:szCs w:val="32"/>
          <w:highlight w:val="none"/>
        </w:rPr>
        <w:t>，</w:t>
      </w:r>
      <w:r>
        <w:rPr>
          <w:rStyle w:val="21"/>
          <w:rFonts w:hint="eastAsia" w:ascii="仿宋" w:eastAsia="仿宋"/>
          <w:bCs/>
          <w:color w:val="000000"/>
          <w:sz w:val="32"/>
          <w:szCs w:val="32"/>
          <w:highlight w:val="none"/>
        </w:rPr>
        <w:t>完成预算100</w:t>
      </w:r>
      <w:r>
        <w:rPr>
          <w:rStyle w:val="21"/>
          <w:rFonts w:ascii="仿宋" w:eastAsia="仿宋"/>
          <w:bCs/>
          <w:color w:val="000000"/>
          <w:sz w:val="32"/>
          <w:szCs w:val="32"/>
          <w:highlight w:val="none"/>
        </w:rPr>
        <w:t>%</w:t>
      </w:r>
      <w:r>
        <w:rPr>
          <w:rStyle w:val="21"/>
          <w:rFonts w:hint="eastAsia" w:ascii="仿宋" w:eastAsia="仿宋"/>
          <w:bCs/>
          <w:color w:val="000000"/>
          <w:sz w:val="32"/>
          <w:szCs w:val="32"/>
          <w:highlight w:val="none"/>
        </w:rPr>
        <w:t>。其中：</w:t>
      </w:r>
      <w:bookmarkEnd w:id="47"/>
      <w:bookmarkEnd w:id="48"/>
      <w:bookmarkEnd w:id="49"/>
    </w:p>
    <w:p w14:paraId="30F8EA2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rPr>
      </w:pPr>
      <w:r>
        <w:rPr>
          <w:rStyle w:val="21"/>
          <w:rFonts w:hint="eastAsia" w:ascii="仿宋" w:eastAsia="仿宋"/>
          <w:bCs/>
          <w:color w:val="000000"/>
          <w:sz w:val="32"/>
          <w:szCs w:val="32"/>
          <w:highlight w:val="none"/>
          <w:lang w:val="en-US" w:eastAsia="zh-CN"/>
        </w:rPr>
        <w:t>1.</w:t>
      </w:r>
      <w:r>
        <w:rPr>
          <w:rStyle w:val="21"/>
          <w:rFonts w:hint="eastAsia" w:ascii="仿宋" w:eastAsia="仿宋"/>
          <w:bCs/>
          <w:color w:val="000000"/>
          <w:sz w:val="32"/>
          <w:szCs w:val="32"/>
          <w:highlight w:val="none"/>
        </w:rPr>
        <w:t>一般公共服务</w:t>
      </w:r>
      <w:r>
        <w:rPr>
          <w:rStyle w:val="21"/>
          <w:rFonts w:ascii="仿宋" w:eastAsia="仿宋"/>
          <w:bCs/>
          <w:color w:val="000000"/>
          <w:sz w:val="32"/>
          <w:szCs w:val="32"/>
          <w:highlight w:val="none"/>
        </w:rPr>
        <w:t>:</w:t>
      </w:r>
      <w:r>
        <w:rPr>
          <w:rStyle w:val="21"/>
          <w:rFonts w:hint="eastAsia" w:ascii="仿宋" w:eastAsia="仿宋"/>
          <w:b w:val="0"/>
          <w:bCs/>
          <w:color w:val="000000"/>
          <w:sz w:val="32"/>
          <w:szCs w:val="32"/>
        </w:rPr>
        <w:t>2010104人大会议支出</w:t>
      </w:r>
      <w:r>
        <w:rPr>
          <w:rStyle w:val="21"/>
          <w:rFonts w:hint="eastAsia" w:ascii="仿宋" w:eastAsia="仿宋"/>
          <w:b w:val="0"/>
          <w:bCs/>
          <w:color w:val="000000"/>
          <w:sz w:val="32"/>
          <w:szCs w:val="32"/>
          <w:lang w:val="en-US" w:eastAsia="zh-CN"/>
        </w:rPr>
        <w:t>2.00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。2010107人大代表履职能力提升支出</w:t>
      </w:r>
      <w:r>
        <w:rPr>
          <w:rStyle w:val="21"/>
          <w:rFonts w:hint="eastAsia" w:ascii="仿宋" w:eastAsia="仿宋"/>
          <w:b w:val="0"/>
          <w:bCs/>
          <w:color w:val="000000"/>
          <w:sz w:val="32"/>
          <w:szCs w:val="32"/>
          <w:lang w:val="en-US" w:eastAsia="zh-CN"/>
        </w:rPr>
        <w:t>1.00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。2010108代表工作支出</w:t>
      </w:r>
      <w:r>
        <w:rPr>
          <w:rStyle w:val="21"/>
          <w:rFonts w:hint="eastAsia" w:ascii="仿宋" w:eastAsia="仿宋"/>
          <w:b w:val="0"/>
          <w:bCs/>
          <w:color w:val="000000"/>
          <w:sz w:val="32"/>
          <w:szCs w:val="32"/>
          <w:lang w:val="en-US" w:eastAsia="zh-CN"/>
        </w:rPr>
        <w:t>4.70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Style w:val="21"/>
          <w:rFonts w:hint="eastAsia" w:ascii="仿宋" w:eastAsia="仿宋"/>
          <w:b w:val="0"/>
          <w:bCs/>
          <w:color w:val="000000"/>
          <w:sz w:val="32"/>
          <w:szCs w:val="32"/>
          <w:lang w:val="en-US" w:eastAsia="zh-CN"/>
        </w:rPr>
        <w:t>2010202一般行政管理事务支出1.00万元，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。2010301行政运行</w:t>
      </w:r>
      <w:r>
        <w:rPr>
          <w:rStyle w:val="21"/>
          <w:rFonts w:hint="eastAsia" w:ascii="仿宋" w:eastAsia="仿宋"/>
          <w:b w:val="0"/>
          <w:bCs/>
          <w:color w:val="000000"/>
          <w:sz w:val="32"/>
          <w:szCs w:val="32"/>
          <w:lang w:val="en-US" w:eastAsia="zh-CN"/>
        </w:rPr>
        <w:t>支出522.86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。2010302一般行政管理事务</w:t>
      </w:r>
      <w:r>
        <w:rPr>
          <w:rStyle w:val="21"/>
          <w:rFonts w:hint="eastAsia" w:ascii="仿宋" w:eastAsia="仿宋"/>
          <w:b w:val="0"/>
          <w:bCs/>
          <w:color w:val="000000"/>
          <w:sz w:val="32"/>
          <w:szCs w:val="32"/>
          <w:lang w:val="en-US" w:eastAsia="zh-CN"/>
        </w:rPr>
        <w:t>11.16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。2010350事业运行225.83</w:t>
      </w:r>
      <w:r>
        <w:rPr>
          <w:rStyle w:val="21"/>
          <w:rFonts w:hint="eastAsia" w:ascii="仿宋" w:eastAsia="仿宋"/>
          <w:b w:val="0"/>
          <w:bCs/>
          <w:color w:val="000000"/>
          <w:sz w:val="32"/>
          <w:szCs w:val="32"/>
          <w:lang w:val="en-US" w:eastAsia="zh-CN"/>
        </w:rPr>
        <w:t>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。2010399其他政府办公厅（室）及相关机构事务支出225.83</w:t>
      </w:r>
      <w:r>
        <w:rPr>
          <w:rStyle w:val="21"/>
          <w:rFonts w:hint="eastAsia" w:ascii="仿宋" w:eastAsia="仿宋"/>
          <w:b w:val="0"/>
          <w:bCs/>
          <w:color w:val="000000"/>
          <w:sz w:val="32"/>
          <w:szCs w:val="32"/>
          <w:lang w:val="en-US" w:eastAsia="zh-CN"/>
        </w:rPr>
        <w:t>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26ECA2F2">
      <w:pPr>
        <w:pStyle w:val="2"/>
        <w:keepNext/>
        <w:keepLines/>
        <w:pageBreakBefore w:val="0"/>
        <w:widowControl w:val="0"/>
        <w:kinsoku/>
        <w:wordWrap/>
        <w:overflowPunct/>
        <w:topLinePunct w:val="0"/>
        <w:autoSpaceDE/>
        <w:autoSpaceDN/>
        <w:bidi w:val="0"/>
        <w:adjustRightInd/>
        <w:snapToGrid/>
        <w:spacing w:line="377" w:lineRule="auto"/>
        <w:ind w:firstLine="643" w:firstLineChars="200"/>
        <w:textAlignment w:val="auto"/>
        <w:rPr>
          <w:rStyle w:val="21"/>
          <w:rFonts w:hint="default" w:ascii="仿宋" w:hAnsi="Times New Roman" w:eastAsia="仿宋" w:cs="Times New Roman"/>
          <w:b/>
          <w:bCs/>
          <w:color w:val="000000"/>
          <w:kern w:val="2"/>
          <w:sz w:val="32"/>
          <w:szCs w:val="32"/>
          <w:highlight w:val="none"/>
          <w:lang w:val="en-US" w:eastAsia="zh-CN" w:bidi="ar-SA"/>
        </w:rPr>
      </w:pPr>
      <w:r>
        <w:rPr>
          <w:rStyle w:val="21"/>
          <w:rFonts w:hint="eastAsia" w:ascii="仿宋" w:hAnsi="Times New Roman" w:eastAsia="仿宋" w:cs="Times New Roman"/>
          <w:b/>
          <w:bCs/>
          <w:color w:val="000000"/>
          <w:kern w:val="2"/>
          <w:sz w:val="32"/>
          <w:szCs w:val="32"/>
          <w:highlight w:val="none"/>
          <w:lang w:val="en-US" w:eastAsia="zh-CN" w:bidi="ar-SA"/>
        </w:rPr>
        <w:t>2.国防支出：</w:t>
      </w:r>
      <w:r>
        <w:rPr>
          <w:rStyle w:val="21"/>
          <w:rFonts w:hint="eastAsia" w:ascii="仿宋" w:hAnsi="Times New Roman" w:eastAsia="仿宋" w:cs="Times New Roman"/>
          <w:b w:val="0"/>
          <w:bCs/>
          <w:color w:val="000000"/>
          <w:sz w:val="32"/>
          <w:szCs w:val="32"/>
          <w:lang w:val="en-US" w:eastAsia="zh-CN"/>
        </w:rPr>
        <w:t>2030607民兵支出2.00万元</w:t>
      </w:r>
      <w:r>
        <w:rPr>
          <w:rStyle w:val="21"/>
          <w:rFonts w:hint="eastAsia" w:ascii="仿宋" w:hAnsi="Times New Roman" w:eastAsia="仿宋" w:cs="Times New Roman"/>
          <w:b w:val="0"/>
          <w:bCs/>
          <w:color w:val="000000"/>
          <w:sz w:val="32"/>
          <w:szCs w:val="32"/>
        </w:rPr>
        <w:t>，</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hAnsi="Times New Roman" w:eastAsia="仿宋" w:cs="Times New Roman"/>
          <w:b/>
          <w:bCs/>
          <w:color w:val="000000"/>
          <w:kern w:val="2"/>
          <w:sz w:val="32"/>
          <w:szCs w:val="32"/>
          <w:highlight w:val="none"/>
          <w:lang w:val="en-US" w:eastAsia="zh-CN" w:bidi="ar-SA"/>
        </w:rPr>
        <w:t>。</w:t>
      </w:r>
    </w:p>
    <w:p w14:paraId="4E591106">
      <w:pPr>
        <w:numPr>
          <w:ilvl w:val="0"/>
          <w:numId w:val="0"/>
        </w:numPr>
        <w:spacing w:line="600" w:lineRule="exact"/>
        <w:ind w:firstLine="643" w:firstLineChars="200"/>
        <w:rPr>
          <w:rFonts w:ascii="仿宋" w:eastAsia="仿宋"/>
          <w:b/>
          <w:color w:val="000000"/>
          <w:sz w:val="32"/>
          <w:szCs w:val="32"/>
        </w:rPr>
      </w:pPr>
      <w:r>
        <w:rPr>
          <w:rStyle w:val="21"/>
          <w:rFonts w:hint="eastAsia" w:ascii="仿宋" w:eastAsia="仿宋"/>
          <w:bCs/>
          <w:color w:val="000000"/>
          <w:sz w:val="32"/>
          <w:szCs w:val="32"/>
          <w:lang w:val="en-US" w:eastAsia="zh-CN"/>
        </w:rPr>
        <w:t>3</w:t>
      </w:r>
      <w:r>
        <w:rPr>
          <w:rStyle w:val="21"/>
          <w:rFonts w:ascii="仿宋" w:eastAsia="仿宋"/>
          <w:bCs/>
          <w:color w:val="000000"/>
          <w:sz w:val="32"/>
          <w:szCs w:val="32"/>
        </w:rPr>
        <w:t>.</w:t>
      </w:r>
      <w:r>
        <w:rPr>
          <w:rStyle w:val="21"/>
          <w:rFonts w:hint="eastAsia" w:ascii="仿宋" w:eastAsia="仿宋"/>
          <w:bCs/>
          <w:color w:val="000000"/>
          <w:sz w:val="32"/>
          <w:szCs w:val="32"/>
        </w:rPr>
        <w:t>文化体育与传媒</w:t>
      </w:r>
      <w:r>
        <w:rPr>
          <w:rStyle w:val="21"/>
          <w:rFonts w:ascii="仿宋" w:eastAsia="仿宋"/>
          <w:bCs/>
          <w:color w:val="000000"/>
          <w:sz w:val="32"/>
          <w:szCs w:val="32"/>
        </w:rPr>
        <w:t>:</w:t>
      </w:r>
      <w:r>
        <w:rPr>
          <w:rStyle w:val="21"/>
          <w:rFonts w:hint="eastAsia" w:ascii="仿宋" w:eastAsia="仿宋"/>
          <w:b w:val="0"/>
          <w:bCs/>
          <w:color w:val="000000"/>
          <w:sz w:val="32"/>
          <w:szCs w:val="32"/>
          <w:lang w:val="en-US" w:eastAsia="zh-CN"/>
        </w:rPr>
        <w:t>2070105</w:t>
      </w:r>
      <w:r>
        <w:rPr>
          <w:rStyle w:val="21"/>
          <w:rFonts w:hint="eastAsia" w:ascii="仿宋" w:eastAsia="仿宋"/>
          <w:b w:val="0"/>
          <w:bCs/>
          <w:color w:val="000000"/>
          <w:sz w:val="32"/>
          <w:szCs w:val="32"/>
        </w:rPr>
        <w:t>文化展示及纪念机构支出</w:t>
      </w:r>
      <w:r>
        <w:rPr>
          <w:rStyle w:val="21"/>
          <w:rFonts w:hint="eastAsia" w:ascii="仿宋" w:eastAsia="仿宋"/>
          <w:b w:val="0"/>
          <w:bCs/>
          <w:color w:val="000000"/>
          <w:sz w:val="32"/>
          <w:szCs w:val="32"/>
          <w:lang w:val="en-US" w:eastAsia="zh-CN"/>
        </w:rPr>
        <w:t>0.88</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Style w:val="21"/>
          <w:rFonts w:hint="eastAsia" w:ascii="仿宋" w:eastAsia="仿宋"/>
          <w:b w:val="0"/>
          <w:bCs/>
          <w:color w:val="000000"/>
          <w:sz w:val="32"/>
          <w:szCs w:val="32"/>
          <w:lang w:val="en-US" w:eastAsia="zh-CN"/>
        </w:rPr>
        <w:t>2070199</w:t>
      </w:r>
      <w:r>
        <w:rPr>
          <w:rStyle w:val="21"/>
          <w:rFonts w:hint="eastAsia" w:ascii="仿宋" w:eastAsia="仿宋"/>
          <w:b w:val="0"/>
          <w:bCs/>
          <w:color w:val="000000"/>
          <w:sz w:val="32"/>
          <w:szCs w:val="32"/>
        </w:rPr>
        <w:t>其他文化和旅游支出支出</w:t>
      </w:r>
      <w:r>
        <w:rPr>
          <w:rStyle w:val="21"/>
          <w:rFonts w:hint="eastAsia" w:ascii="仿宋" w:eastAsia="仿宋"/>
          <w:b w:val="0"/>
          <w:bCs/>
          <w:color w:val="000000"/>
          <w:sz w:val="32"/>
          <w:szCs w:val="32"/>
          <w:lang w:val="en-US" w:eastAsia="zh-CN"/>
        </w:rPr>
        <w:t>4.76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B1363A1F">
      <w:pPr>
        <w:spacing w:line="600" w:lineRule="exact"/>
        <w:ind w:firstLine="643" w:firstLineChars="200"/>
        <w:rPr>
          <w:rFonts w:ascii="仿宋" w:eastAsia="仿宋"/>
          <w:b/>
          <w:color w:val="000000"/>
          <w:sz w:val="32"/>
          <w:szCs w:val="32"/>
        </w:rPr>
      </w:pPr>
      <w:r>
        <w:rPr>
          <w:rStyle w:val="21"/>
          <w:rFonts w:hint="eastAsia" w:ascii="仿宋" w:eastAsia="仿宋"/>
          <w:bCs/>
          <w:color w:val="000000"/>
          <w:sz w:val="32"/>
          <w:szCs w:val="32"/>
          <w:lang w:val="en-US" w:eastAsia="zh-CN"/>
        </w:rPr>
        <w:t>4</w:t>
      </w:r>
      <w:r>
        <w:rPr>
          <w:rStyle w:val="21"/>
          <w:rFonts w:ascii="仿宋" w:eastAsia="仿宋"/>
          <w:bCs/>
          <w:color w:val="000000"/>
          <w:sz w:val="32"/>
          <w:szCs w:val="32"/>
        </w:rPr>
        <w:t>.</w:t>
      </w:r>
      <w:r>
        <w:rPr>
          <w:rStyle w:val="21"/>
          <w:rFonts w:hint="eastAsia" w:ascii="仿宋" w:eastAsia="仿宋"/>
          <w:bCs/>
          <w:color w:val="000000"/>
          <w:sz w:val="32"/>
          <w:szCs w:val="32"/>
        </w:rPr>
        <w:t>社会保障和就业</w:t>
      </w:r>
      <w:r>
        <w:rPr>
          <w:rStyle w:val="21"/>
          <w:rFonts w:ascii="仿宋" w:eastAsia="仿宋"/>
          <w:bCs/>
          <w:color w:val="000000"/>
          <w:sz w:val="32"/>
          <w:szCs w:val="32"/>
        </w:rPr>
        <w:t>:</w:t>
      </w:r>
      <w:r>
        <w:rPr>
          <w:rStyle w:val="21"/>
          <w:rFonts w:hint="eastAsia" w:ascii="仿宋" w:eastAsia="仿宋"/>
          <w:b w:val="0"/>
          <w:bCs/>
          <w:color w:val="000000"/>
          <w:sz w:val="32"/>
          <w:szCs w:val="32"/>
        </w:rPr>
        <w:t>2080208基层政权建设和社区治理支出</w:t>
      </w:r>
      <w:r>
        <w:rPr>
          <w:rStyle w:val="21"/>
          <w:rFonts w:hint="eastAsia" w:ascii="仿宋" w:eastAsia="仿宋"/>
          <w:b w:val="0"/>
          <w:bCs/>
          <w:color w:val="000000"/>
          <w:sz w:val="32"/>
          <w:szCs w:val="32"/>
          <w:lang w:val="en-US" w:eastAsia="zh-CN"/>
        </w:rPr>
        <w:t>201.37</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。2080505机关事业单位基本养老保险缴费支出</w:t>
      </w:r>
      <w:r>
        <w:rPr>
          <w:rStyle w:val="21"/>
          <w:rFonts w:hint="eastAsia" w:ascii="仿宋" w:eastAsia="仿宋"/>
          <w:b w:val="0"/>
          <w:bCs/>
          <w:color w:val="000000"/>
          <w:sz w:val="32"/>
          <w:szCs w:val="32"/>
          <w:lang w:val="en-US" w:eastAsia="zh-CN"/>
        </w:rPr>
        <w:t>81.36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。2080506机关事业单位职业年金缴费支出</w:t>
      </w:r>
      <w:r>
        <w:rPr>
          <w:rStyle w:val="21"/>
          <w:rFonts w:hint="eastAsia" w:ascii="仿宋" w:eastAsia="仿宋"/>
          <w:b w:val="0"/>
          <w:bCs/>
          <w:color w:val="000000"/>
          <w:sz w:val="32"/>
          <w:szCs w:val="32"/>
          <w:lang w:val="en-US" w:eastAsia="zh-CN"/>
        </w:rPr>
        <w:t>40.69</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F346436D">
      <w:pPr>
        <w:spacing w:line="600" w:lineRule="exact"/>
        <w:ind w:firstLine="643" w:firstLineChars="200"/>
        <w:rPr>
          <w:rStyle w:val="21"/>
          <w:rFonts w:ascii="仿宋" w:eastAsia="仿宋"/>
          <w:b w:val="0"/>
          <w:bCs/>
          <w:color w:val="000000"/>
          <w:sz w:val="32"/>
          <w:szCs w:val="32"/>
        </w:rPr>
      </w:pPr>
      <w:r>
        <w:rPr>
          <w:rStyle w:val="21"/>
          <w:rFonts w:hint="eastAsia" w:ascii="仿宋" w:eastAsia="仿宋"/>
          <w:bCs/>
          <w:color w:val="000000"/>
          <w:sz w:val="32"/>
          <w:szCs w:val="32"/>
          <w:lang w:val="en-US" w:eastAsia="zh-CN"/>
        </w:rPr>
        <w:t>5</w:t>
      </w:r>
      <w:r>
        <w:rPr>
          <w:rStyle w:val="21"/>
          <w:rFonts w:ascii="仿宋" w:eastAsia="仿宋"/>
          <w:bCs/>
          <w:color w:val="000000"/>
          <w:sz w:val="32"/>
          <w:szCs w:val="32"/>
        </w:rPr>
        <w:t>.</w:t>
      </w:r>
      <w:r>
        <w:rPr>
          <w:rStyle w:val="21"/>
          <w:rFonts w:hint="eastAsia" w:ascii="仿宋" w:eastAsia="仿宋"/>
          <w:bCs/>
          <w:color w:val="000000"/>
          <w:sz w:val="32"/>
          <w:szCs w:val="32"/>
        </w:rPr>
        <w:t>卫生健康支出</w:t>
      </w:r>
      <w:r>
        <w:rPr>
          <w:rStyle w:val="21"/>
          <w:rFonts w:ascii="仿宋" w:eastAsia="仿宋"/>
          <w:bCs/>
          <w:color w:val="000000"/>
          <w:sz w:val="32"/>
          <w:szCs w:val="32"/>
        </w:rPr>
        <w:t>:</w:t>
      </w:r>
      <w:r>
        <w:rPr>
          <w:rStyle w:val="21"/>
          <w:rFonts w:hint="eastAsia" w:ascii="仿宋" w:eastAsia="仿宋"/>
          <w:b w:val="0"/>
          <w:bCs/>
          <w:color w:val="000000"/>
          <w:sz w:val="32"/>
          <w:szCs w:val="32"/>
        </w:rPr>
        <w:t>2101101行政单位医疗支出</w:t>
      </w:r>
      <w:r>
        <w:rPr>
          <w:rStyle w:val="21"/>
          <w:rFonts w:hint="eastAsia" w:ascii="仿宋" w:eastAsia="仿宋"/>
          <w:b w:val="0"/>
          <w:bCs/>
          <w:color w:val="000000"/>
          <w:sz w:val="32"/>
          <w:szCs w:val="32"/>
          <w:lang w:val="en-US" w:eastAsia="zh-CN"/>
        </w:rPr>
        <w:t>28.41</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。2101102事业单位医疗支出</w:t>
      </w:r>
      <w:r>
        <w:rPr>
          <w:rStyle w:val="21"/>
          <w:rFonts w:hint="eastAsia" w:ascii="仿宋" w:eastAsia="仿宋"/>
          <w:b w:val="0"/>
          <w:bCs/>
          <w:color w:val="000000"/>
          <w:sz w:val="32"/>
          <w:szCs w:val="32"/>
          <w:lang w:val="en-US" w:eastAsia="zh-CN"/>
        </w:rPr>
        <w:t>12.30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。2101103公务员医疗补助支出</w:t>
      </w:r>
      <w:r>
        <w:rPr>
          <w:rStyle w:val="21"/>
          <w:rFonts w:hint="eastAsia" w:ascii="仿宋" w:eastAsia="仿宋"/>
          <w:b w:val="0"/>
          <w:bCs/>
          <w:color w:val="000000"/>
          <w:sz w:val="32"/>
          <w:szCs w:val="32"/>
          <w:lang w:val="en-US" w:eastAsia="zh-CN"/>
        </w:rPr>
        <w:t>6.83</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。2101199其他行政事业单位医疗支出2.81万元，完成预算100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D4B5EE78">
      <w:pPr>
        <w:spacing w:line="600" w:lineRule="exact"/>
        <w:ind w:firstLine="643" w:firstLineChars="200"/>
        <w:rPr>
          <w:rStyle w:val="21"/>
          <w:rFonts w:ascii="仿宋" w:eastAsia="仿宋"/>
          <w:b w:val="0"/>
          <w:bCs/>
          <w:color w:val="000000"/>
          <w:sz w:val="32"/>
          <w:szCs w:val="32"/>
        </w:rPr>
      </w:pPr>
      <w:r>
        <w:rPr>
          <w:rFonts w:hint="eastAsia" w:ascii="仿宋" w:eastAsia="仿宋"/>
          <w:b/>
          <w:color w:val="000000"/>
          <w:sz w:val="32"/>
          <w:szCs w:val="32"/>
          <w:lang w:val="en-US" w:eastAsia="zh-CN"/>
        </w:rPr>
        <w:t>6</w:t>
      </w:r>
      <w:r>
        <w:rPr>
          <w:rFonts w:hint="eastAsia" w:ascii="仿宋" w:eastAsia="仿宋"/>
          <w:b/>
          <w:color w:val="000000"/>
          <w:sz w:val="32"/>
          <w:szCs w:val="32"/>
        </w:rPr>
        <w:t>.城</w:t>
      </w:r>
      <w:r>
        <w:rPr>
          <w:rFonts w:hint="eastAsia" w:ascii="仿宋" w:eastAsia="仿宋"/>
          <w:b/>
          <w:color w:val="000000"/>
          <w:sz w:val="32"/>
          <w:szCs w:val="32"/>
          <w:lang w:val="en-US" w:eastAsia="zh-CN"/>
        </w:rPr>
        <w:t>乡</w:t>
      </w:r>
      <w:r>
        <w:rPr>
          <w:rFonts w:hint="eastAsia" w:ascii="仿宋" w:eastAsia="仿宋"/>
          <w:b/>
          <w:color w:val="000000"/>
          <w:sz w:val="32"/>
          <w:szCs w:val="32"/>
        </w:rPr>
        <w:t>社区</w:t>
      </w:r>
      <w:r>
        <w:rPr>
          <w:rStyle w:val="21"/>
          <w:rFonts w:ascii="仿宋" w:eastAsia="仿宋"/>
          <w:bCs/>
          <w:color w:val="000000"/>
          <w:sz w:val="32"/>
          <w:szCs w:val="32"/>
        </w:rPr>
        <w:t>:</w:t>
      </w:r>
      <w:r>
        <w:rPr>
          <w:rStyle w:val="21"/>
          <w:rFonts w:hint="eastAsia" w:ascii="仿宋" w:eastAsia="仿宋"/>
          <w:b w:val="0"/>
          <w:bCs/>
          <w:color w:val="000000"/>
          <w:sz w:val="32"/>
          <w:szCs w:val="32"/>
        </w:rPr>
        <w:t>2120501城镇社区环境卫生支出10.00万元，完成预算100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19D9B35F">
      <w:pPr>
        <w:spacing w:line="600" w:lineRule="exact"/>
        <w:ind w:firstLine="643" w:firstLineChars="200"/>
        <w:rPr>
          <w:rStyle w:val="21"/>
          <w:rFonts w:hint="eastAsia" w:ascii="仿宋" w:eastAsia="仿宋"/>
          <w:b w:val="0"/>
          <w:bCs/>
          <w:color w:val="000000"/>
          <w:sz w:val="32"/>
          <w:szCs w:val="32"/>
        </w:rPr>
      </w:pPr>
      <w:r>
        <w:rPr>
          <w:rFonts w:hint="eastAsia" w:ascii="仿宋" w:eastAsia="仿宋"/>
          <w:b/>
          <w:color w:val="000000"/>
          <w:sz w:val="32"/>
          <w:szCs w:val="32"/>
          <w:lang w:val="en-US" w:eastAsia="zh-CN"/>
        </w:rPr>
        <w:t>7</w:t>
      </w:r>
      <w:r>
        <w:rPr>
          <w:rFonts w:hint="eastAsia" w:ascii="仿宋" w:eastAsia="仿宋"/>
          <w:b/>
          <w:color w:val="000000"/>
          <w:sz w:val="32"/>
          <w:szCs w:val="32"/>
        </w:rPr>
        <w:t>.农林水</w:t>
      </w:r>
      <w:r>
        <w:rPr>
          <w:rStyle w:val="21"/>
          <w:rFonts w:ascii="仿宋" w:eastAsia="仿宋"/>
          <w:bCs/>
          <w:color w:val="000000"/>
          <w:sz w:val="32"/>
          <w:szCs w:val="32"/>
        </w:rPr>
        <w:t>:</w:t>
      </w:r>
      <w:r>
        <w:rPr>
          <w:rStyle w:val="21"/>
          <w:rFonts w:hint="eastAsia" w:ascii="仿宋" w:eastAsia="仿宋"/>
          <w:b w:val="0"/>
          <w:bCs/>
          <w:color w:val="000000"/>
          <w:sz w:val="32"/>
          <w:szCs w:val="32"/>
        </w:rPr>
        <w:t>2130152对高校毕业生到基层任职补助支出</w:t>
      </w:r>
      <w:r>
        <w:rPr>
          <w:rStyle w:val="21"/>
          <w:rFonts w:hint="eastAsia" w:ascii="仿宋" w:eastAsia="仿宋"/>
          <w:b w:val="0"/>
          <w:bCs/>
          <w:color w:val="000000"/>
          <w:sz w:val="32"/>
          <w:szCs w:val="32"/>
          <w:lang w:val="en-US" w:eastAsia="zh-CN"/>
        </w:rPr>
        <w:t>4.92</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。2130199其他农业农村支出</w:t>
      </w:r>
      <w:r>
        <w:rPr>
          <w:rStyle w:val="21"/>
          <w:rFonts w:hint="eastAsia" w:ascii="仿宋" w:eastAsia="仿宋"/>
          <w:b w:val="0"/>
          <w:bCs/>
          <w:color w:val="000000"/>
          <w:sz w:val="32"/>
          <w:szCs w:val="32"/>
          <w:lang w:val="en-US" w:eastAsia="zh-CN"/>
        </w:rPr>
        <w:t>15.34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。2130152对高校毕业生到基层任职补助支出</w:t>
      </w:r>
      <w:r>
        <w:rPr>
          <w:rStyle w:val="21"/>
          <w:rFonts w:hint="eastAsia" w:ascii="仿宋" w:eastAsia="仿宋"/>
          <w:b w:val="0"/>
          <w:bCs/>
          <w:color w:val="000000"/>
          <w:sz w:val="32"/>
          <w:szCs w:val="32"/>
          <w:lang w:val="en-US" w:eastAsia="zh-CN"/>
        </w:rPr>
        <w:t>4.92</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。2130299其他林业和草原支出</w:t>
      </w:r>
      <w:r>
        <w:rPr>
          <w:rStyle w:val="21"/>
          <w:rFonts w:hint="eastAsia" w:ascii="仿宋" w:eastAsia="仿宋"/>
          <w:b w:val="0"/>
          <w:bCs/>
          <w:color w:val="000000"/>
          <w:sz w:val="32"/>
          <w:szCs w:val="32"/>
          <w:lang w:val="en-US" w:eastAsia="zh-CN"/>
        </w:rPr>
        <w:t>92.56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。21305</w:t>
      </w:r>
      <w:r>
        <w:rPr>
          <w:rStyle w:val="21"/>
          <w:rFonts w:hint="eastAsia" w:ascii="仿宋" w:eastAsia="仿宋"/>
          <w:b w:val="0"/>
          <w:bCs/>
          <w:color w:val="000000"/>
          <w:sz w:val="32"/>
          <w:szCs w:val="32"/>
          <w:lang w:val="en-US" w:eastAsia="zh-CN"/>
        </w:rPr>
        <w:t>04农村基础设施建设支出268.04</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Style w:val="21"/>
          <w:rFonts w:hint="eastAsia" w:ascii="仿宋" w:eastAsia="仿宋"/>
          <w:b w:val="0"/>
          <w:bCs/>
          <w:color w:val="000000"/>
          <w:sz w:val="32"/>
          <w:szCs w:val="32"/>
          <w:lang w:val="en-US" w:eastAsia="zh-CN"/>
        </w:rPr>
        <w:t>2130599其他巩固脱贫攻坚成果衔接乡村振兴支出10.66</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。2130705对村民委员会和村党支部的补助支出</w:t>
      </w:r>
      <w:r>
        <w:rPr>
          <w:rStyle w:val="21"/>
          <w:rFonts w:hint="eastAsia" w:ascii="仿宋" w:eastAsia="仿宋"/>
          <w:b w:val="0"/>
          <w:bCs/>
          <w:color w:val="000000"/>
          <w:sz w:val="32"/>
          <w:szCs w:val="32"/>
          <w:lang w:val="en-US" w:eastAsia="zh-CN"/>
        </w:rPr>
        <w:t>142.87</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828B68E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Style w:val="21"/>
          <w:rFonts w:hint="eastAsia" w:ascii="仿宋" w:eastAsia="仿宋"/>
          <w:b w:val="0"/>
          <w:bCs/>
          <w:color w:val="000000"/>
          <w:sz w:val="32"/>
          <w:szCs w:val="32"/>
        </w:rPr>
      </w:pPr>
      <w:r>
        <w:rPr>
          <w:rFonts w:hint="eastAsia" w:ascii="仿宋" w:eastAsia="仿宋"/>
          <w:b/>
          <w:color w:val="000000"/>
          <w:sz w:val="32"/>
          <w:szCs w:val="32"/>
          <w:lang w:val="en-US" w:eastAsia="zh-CN"/>
        </w:rPr>
        <w:t>8</w:t>
      </w:r>
      <w:r>
        <w:rPr>
          <w:rFonts w:hint="eastAsia" w:ascii="仿宋" w:eastAsia="仿宋"/>
          <w:b/>
          <w:color w:val="000000"/>
          <w:sz w:val="32"/>
          <w:szCs w:val="32"/>
        </w:rPr>
        <w:t>.住房保障支出</w:t>
      </w:r>
      <w:r>
        <w:rPr>
          <w:rStyle w:val="21"/>
          <w:rFonts w:ascii="仿宋" w:eastAsia="仿宋"/>
          <w:bCs/>
          <w:color w:val="000000"/>
          <w:sz w:val="32"/>
          <w:szCs w:val="32"/>
        </w:rPr>
        <w:t>:</w:t>
      </w:r>
      <w:r>
        <w:rPr>
          <w:rStyle w:val="21"/>
          <w:rFonts w:hint="eastAsia" w:ascii="仿宋" w:eastAsia="仿宋"/>
          <w:b w:val="0"/>
          <w:bCs/>
          <w:color w:val="000000"/>
          <w:sz w:val="32"/>
          <w:szCs w:val="32"/>
        </w:rPr>
        <w:t>2210201住房公积金支出73.36万元，完成预算100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6C59895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eastAsia="仿宋"/>
          <w:lang w:val="en-US" w:eastAsia="zh-CN"/>
        </w:rPr>
      </w:pPr>
      <w:r>
        <w:rPr>
          <w:rStyle w:val="21"/>
          <w:rFonts w:hint="eastAsia" w:ascii="仿宋" w:eastAsia="仿宋"/>
          <w:b/>
          <w:bCs w:val="0"/>
          <w:color w:val="000000"/>
          <w:sz w:val="32"/>
          <w:szCs w:val="32"/>
          <w:lang w:val="en-US" w:eastAsia="zh-CN"/>
        </w:rPr>
        <w:t>9.灾害防治及应急管理支出：</w:t>
      </w:r>
      <w:r>
        <w:rPr>
          <w:rStyle w:val="21"/>
          <w:rFonts w:hint="eastAsia" w:ascii="仿宋" w:eastAsia="仿宋"/>
          <w:b w:val="0"/>
          <w:bCs/>
          <w:color w:val="000000"/>
          <w:sz w:val="32"/>
          <w:szCs w:val="32"/>
          <w:lang w:val="en-US" w:eastAsia="zh-CN"/>
        </w:rPr>
        <w:t>2240106</w:t>
      </w:r>
      <w:r>
        <w:rPr>
          <w:rStyle w:val="21"/>
          <w:rFonts w:hint="eastAsia" w:ascii="仿宋" w:eastAsia="仿宋"/>
          <w:b w:val="0"/>
          <w:bCs/>
          <w:color w:val="000000"/>
          <w:sz w:val="32"/>
          <w:szCs w:val="32"/>
        </w:rPr>
        <w:t>安全监管支出</w:t>
      </w:r>
      <w:r>
        <w:rPr>
          <w:rStyle w:val="21"/>
          <w:rFonts w:hint="eastAsia" w:ascii="仿宋" w:eastAsia="仿宋"/>
          <w:b w:val="0"/>
          <w:bCs/>
          <w:color w:val="000000"/>
          <w:sz w:val="32"/>
          <w:szCs w:val="32"/>
          <w:lang w:val="en-US" w:eastAsia="zh-CN"/>
        </w:rPr>
        <w:t>1.00</w:t>
      </w:r>
      <w:r>
        <w:rPr>
          <w:rStyle w:val="21"/>
          <w:rFonts w:hint="eastAsia" w:ascii="仿宋" w:eastAsia="仿宋"/>
          <w:b w:val="0"/>
          <w:bCs/>
          <w:color w:val="000000"/>
          <w:sz w:val="32"/>
          <w:szCs w:val="32"/>
        </w:rPr>
        <w:t>万元，完成预算100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p>
    <w:p w14:paraId="1132A877">
      <w:pPr>
        <w:tabs>
          <w:tab w:val="right" w:pos="8306"/>
        </w:tabs>
        <w:spacing w:line="600" w:lineRule="exact"/>
        <w:ind w:firstLine="640"/>
        <w:outlineLvl w:val="1"/>
        <w:rPr>
          <w:rStyle w:val="24"/>
          <w:color w:val="000000"/>
        </w:rPr>
      </w:pPr>
      <w:bookmarkStart w:id="50" w:name="_Toc15377214"/>
      <w:bookmarkStart w:id="51" w:name="_Toc15396608"/>
      <w:r>
        <w:rPr>
          <w:rFonts w:hint="eastAsia" w:ascii="黑体" w:eastAsia="黑体"/>
          <w:color w:val="000000"/>
          <w:sz w:val="32"/>
          <w:szCs w:val="32"/>
        </w:rPr>
        <w:t>六</w:t>
      </w:r>
      <w:r>
        <w:rPr>
          <w:rFonts w:hint="eastAsia" w:ascii="黑体" w:eastAsia="黑体"/>
          <w:b/>
          <w:color w:val="000000"/>
          <w:sz w:val="32"/>
          <w:szCs w:val="32"/>
        </w:rPr>
        <w:t>、一</w:t>
      </w:r>
      <w:r>
        <w:rPr>
          <w:rStyle w:val="24"/>
          <w:rFonts w:hint="eastAsia" w:ascii="黑体" w:eastAsia="黑体"/>
          <w:b w:val="0"/>
          <w:color w:val="000000"/>
        </w:rPr>
        <w:t>般公共预算财政拨款基本支出决算情况说明</w:t>
      </w:r>
      <w:bookmarkEnd w:id="50"/>
      <w:bookmarkEnd w:id="51"/>
      <w:r>
        <w:rPr>
          <w:rStyle w:val="24"/>
          <w:rFonts w:ascii="黑体" w:eastAsia="黑体"/>
          <w:b w:val="0"/>
          <w:color w:val="000000"/>
        </w:rPr>
        <w:tab/>
      </w:r>
    </w:p>
    <w:p w14:paraId="3D34FA74">
      <w:pPr>
        <w:spacing w:line="600" w:lineRule="exact"/>
        <w:ind w:firstLine="645"/>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202</w:t>
      </w:r>
      <w:r>
        <w:rPr>
          <w:rFonts w:hint="eastAsia" w:ascii="仿宋" w:eastAsia="仿宋" w:cs="Times New Roman"/>
          <w:color w:val="000000"/>
          <w:sz w:val="32"/>
          <w:szCs w:val="32"/>
          <w:lang w:val="en-US" w:eastAsia="zh-CN"/>
        </w:rPr>
        <w:t>4</w:t>
      </w:r>
      <w:r>
        <w:rPr>
          <w:rFonts w:hint="eastAsia" w:ascii="仿宋" w:hAnsi="Times New Roman" w:eastAsia="仿宋" w:cs="Times New Roman"/>
          <w:color w:val="000000"/>
          <w:sz w:val="32"/>
          <w:szCs w:val="32"/>
          <w:lang w:val="en-US" w:eastAsia="zh-CN"/>
        </w:rPr>
        <w:t>年度一般公共预算财政拨款基本支出</w:t>
      </w:r>
      <w:r>
        <w:rPr>
          <w:rFonts w:hint="eastAsia" w:ascii="仿宋" w:eastAsia="仿宋" w:cs="Times New Roman"/>
          <w:color w:val="000000"/>
          <w:sz w:val="32"/>
          <w:szCs w:val="32"/>
          <w:lang w:val="en-US" w:eastAsia="zh-CN"/>
        </w:rPr>
        <w:t>1109.13</w:t>
      </w:r>
      <w:r>
        <w:rPr>
          <w:rFonts w:hint="eastAsia" w:ascii="仿宋" w:hAnsi="Times New Roman" w:eastAsia="仿宋" w:cs="Times New Roman"/>
          <w:color w:val="000000"/>
          <w:sz w:val="32"/>
          <w:szCs w:val="32"/>
          <w:lang w:val="en-US" w:eastAsia="zh-CN"/>
        </w:rPr>
        <w:t>万元，其中：</w:t>
      </w:r>
    </w:p>
    <w:p w14:paraId="252B7F24">
      <w:pPr>
        <w:spacing w:line="600" w:lineRule="exact"/>
        <w:ind w:firstLine="645"/>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人员经费1051.46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CDD3A24A">
      <w:pPr>
        <w:spacing w:line="600" w:lineRule="exact"/>
        <w:ind w:firstLine="645"/>
        <w:rPr>
          <w:rFonts w:hint="eastAsia" w:ascii="仿宋" w:hAnsi="Times New Roman" w:eastAsia="仿宋" w:cs="Times New Roman"/>
          <w:color w:val="000000"/>
          <w:sz w:val="32"/>
          <w:szCs w:val="32"/>
          <w:lang w:val="en-US" w:eastAsia="zh-CN"/>
        </w:rPr>
      </w:pPr>
      <w:r>
        <w:rPr>
          <w:rFonts w:hint="eastAsia" w:ascii="仿宋" w:hAnsi="Times New Roman" w:eastAsia="仿宋" w:cs="Times New Roman"/>
          <w:color w:val="000000"/>
          <w:sz w:val="32"/>
          <w:szCs w:val="32"/>
          <w:lang w:val="en-US" w:eastAsia="zh-CN"/>
        </w:rPr>
        <w:t>公用经费57.67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D6D013C8">
      <w:pPr>
        <w:spacing w:line="600" w:lineRule="exact"/>
        <w:ind w:firstLine="640"/>
        <w:outlineLvl w:val="1"/>
        <w:rPr>
          <w:rStyle w:val="24"/>
          <w:rFonts w:ascii="黑体" w:eastAsia="黑体"/>
          <w:b w:val="0"/>
          <w:color w:val="000000"/>
        </w:rPr>
      </w:pPr>
      <w:bookmarkStart w:id="52" w:name="_Toc15377215"/>
      <w:bookmarkStart w:id="53" w:name="_Toc15396609"/>
      <w:r>
        <w:rPr>
          <w:rFonts w:hint="eastAsia" w:ascii="黑体" w:eastAsia="黑体"/>
          <w:color w:val="000000"/>
          <w:sz w:val="32"/>
          <w:szCs w:val="32"/>
        </w:rPr>
        <w:t>七、</w:t>
      </w:r>
      <w:r>
        <w:rPr>
          <w:rStyle w:val="24"/>
          <w:rFonts w:hint="eastAsia" w:ascii="黑体" w:eastAsia="黑体"/>
          <w:color w:val="000000"/>
        </w:rPr>
        <w:t>“</w:t>
      </w:r>
      <w:r>
        <w:rPr>
          <w:rStyle w:val="24"/>
          <w:rFonts w:hint="eastAsia" w:ascii="黑体" w:eastAsia="黑体"/>
          <w:b w:val="0"/>
          <w:color w:val="000000"/>
        </w:rPr>
        <w:t>三公”经费财政拨款支出决算情况说明</w:t>
      </w:r>
      <w:bookmarkEnd w:id="52"/>
      <w:bookmarkEnd w:id="53"/>
    </w:p>
    <w:p w14:paraId="11363081">
      <w:pPr>
        <w:spacing w:line="600" w:lineRule="exact"/>
        <w:ind w:firstLine="640"/>
        <w:outlineLvl w:val="2"/>
        <w:rPr>
          <w:rFonts w:ascii="仿宋" w:eastAsia="仿宋"/>
          <w:b/>
          <w:color w:val="000000"/>
          <w:sz w:val="32"/>
          <w:szCs w:val="32"/>
        </w:rPr>
      </w:pPr>
      <w:bookmarkStart w:id="54" w:name="_Toc15377216"/>
      <w:r>
        <w:rPr>
          <w:rFonts w:hint="eastAsia" w:ascii="仿宋" w:eastAsia="仿宋"/>
          <w:b/>
          <w:color w:val="000000"/>
          <w:sz w:val="32"/>
          <w:szCs w:val="32"/>
        </w:rPr>
        <w:t>（一）“三公”经费财政拨款支出决算总体情况说明</w:t>
      </w:r>
      <w:bookmarkEnd w:id="54"/>
    </w:p>
    <w:p w14:paraId="3B77AA55">
      <w:pPr>
        <w:spacing w:line="600" w:lineRule="exact"/>
        <w:ind w:firstLine="640"/>
        <w:rPr>
          <w:rFonts w:ascii="仿宋" w:eastAsia="仿宋"/>
          <w:color w:val="000000"/>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sz w:val="32"/>
          <w:szCs w:val="32"/>
        </w:rPr>
        <w:t>9.2</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w:t>
      </w:r>
      <w:r>
        <w:rPr>
          <w:rFonts w:hint="eastAsia" w:ascii="仿宋" w:eastAsia="仿宋"/>
          <w:color w:val="000000"/>
          <w:sz w:val="32"/>
          <w:szCs w:val="32"/>
        </w:rPr>
        <w:t>决算数与预算数持平。</w:t>
      </w:r>
    </w:p>
    <w:p w14:paraId="4478C446">
      <w:pPr>
        <w:spacing w:line="600" w:lineRule="exact"/>
        <w:ind w:firstLine="640"/>
        <w:outlineLvl w:val="2"/>
        <w:rPr>
          <w:rFonts w:ascii="仿宋" w:eastAsia="仿宋"/>
          <w:b/>
          <w:color w:val="000000"/>
          <w:sz w:val="32"/>
          <w:szCs w:val="32"/>
        </w:rPr>
      </w:pPr>
      <w:bookmarkStart w:id="55" w:name="_Toc15377217"/>
      <w:r>
        <w:rPr>
          <w:rFonts w:hint="eastAsia" w:ascii="仿宋" w:eastAsia="仿宋"/>
          <w:b/>
          <w:color w:val="000000"/>
          <w:sz w:val="32"/>
          <w:szCs w:val="32"/>
        </w:rPr>
        <w:t>（二）“三公”经费财政拨款支出决算具体情况说明</w:t>
      </w:r>
      <w:bookmarkEnd w:id="55"/>
    </w:p>
    <w:p w14:paraId="C8A4D51A">
      <w:pPr>
        <w:spacing w:line="600" w:lineRule="exact"/>
        <w:ind w:firstLine="640"/>
        <w:rPr>
          <w:rFonts w:hint="eastAsia" w:ascii="仿宋" w:hAnsi="Times New Roman" w:eastAsia="仿宋" w:cs="Times New Roman"/>
          <w:color w:val="000000"/>
          <w:sz w:val="32"/>
          <w:szCs w:val="32"/>
        </w:rPr>
      </w:pPr>
      <w:r>
        <w:rPr>
          <w:rFonts w:hint="eastAsia" w:ascii="仿宋" w:hAnsi="Times New Roman" w:eastAsia="仿宋" w:cs="Times New Roman"/>
          <w:color w:val="000000"/>
          <w:sz w:val="32"/>
          <w:szCs w:val="32"/>
        </w:rPr>
        <w:t>202</w:t>
      </w:r>
      <w:r>
        <w:rPr>
          <w:rFonts w:hint="eastAsia" w:ascii="仿宋" w:eastAsia="仿宋" w:cs="Times New Roman"/>
          <w:color w:val="000000"/>
          <w:sz w:val="32"/>
          <w:szCs w:val="32"/>
          <w:lang w:val="en-US" w:eastAsia="zh-CN"/>
        </w:rPr>
        <w:t>4</w:t>
      </w:r>
      <w:r>
        <w:rPr>
          <w:rFonts w:hint="eastAsia" w:ascii="仿宋" w:hAnsi="Times New Roman" w:eastAsia="仿宋" w:cs="Times New Roman"/>
          <w:color w:val="000000"/>
          <w:sz w:val="32"/>
          <w:szCs w:val="32"/>
        </w:rPr>
        <w:t>年度“三公”经费财政拨款支出决算中，因公出国（境）费支出决算0万元，占0%；公务用车购置及运行维护费支出决算9.2万元，占100%；公务接待费支出决算0万元，占0%。具体情况如下：</w:t>
      </w:r>
    </w:p>
    <w:p w14:paraId="E597B0BB">
      <w:pPr>
        <w:spacing w:line="600" w:lineRule="exact"/>
        <w:rPr>
          <w:rFonts w:ascii="仿宋" w:eastAsia="仿宋"/>
          <w:color w:val="000000"/>
          <w:sz w:val="32"/>
          <w:szCs w:val="32"/>
        </w:rPr>
      </w:pPr>
      <w:r>
        <w:rPr>
          <w:rFonts w:hint="eastAsia" w:ascii="仿宋" w:eastAsia="仿宋"/>
          <w:color w:val="000000"/>
          <w:sz w:val="32"/>
          <w:szCs w:val="32"/>
        </w:rPr>
        <w:drawing>
          <wp:anchor distT="0" distB="0" distL="0" distR="0" simplePos="0" relativeHeight="251659264" behindDoc="1" locked="0" layoutInCell="1" allowOverlap="1">
            <wp:simplePos x="0" y="0"/>
            <wp:positionH relativeFrom="column">
              <wp:posOffset>585470</wp:posOffset>
            </wp:positionH>
            <wp:positionV relativeFrom="paragraph">
              <wp:posOffset>63500</wp:posOffset>
            </wp:positionV>
            <wp:extent cx="4103370" cy="2540000"/>
            <wp:effectExtent l="0" t="0" r="0" b="0"/>
            <wp:wrapNone/>
            <wp:docPr id="1040" name="Image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CC20EFFA">
      <w:pPr>
        <w:spacing w:line="600" w:lineRule="exact"/>
        <w:ind w:firstLine="640"/>
        <w:rPr>
          <w:rFonts w:ascii="仿宋" w:eastAsia="仿宋"/>
          <w:color w:val="000000"/>
          <w:sz w:val="32"/>
          <w:szCs w:val="32"/>
        </w:rPr>
      </w:pPr>
    </w:p>
    <w:p w14:paraId="CAA47879">
      <w:pPr>
        <w:spacing w:line="600" w:lineRule="exact"/>
        <w:ind w:firstLine="640"/>
        <w:rPr>
          <w:rFonts w:ascii="仿宋" w:eastAsia="仿宋"/>
          <w:color w:val="000000"/>
          <w:sz w:val="32"/>
          <w:szCs w:val="32"/>
        </w:rPr>
      </w:pPr>
    </w:p>
    <w:p w14:paraId="73791698">
      <w:pPr>
        <w:spacing w:line="600" w:lineRule="exact"/>
        <w:ind w:firstLine="640"/>
        <w:rPr>
          <w:rFonts w:ascii="仿宋" w:eastAsia="仿宋"/>
          <w:color w:val="000000"/>
          <w:sz w:val="32"/>
          <w:szCs w:val="32"/>
        </w:rPr>
      </w:pPr>
    </w:p>
    <w:p w14:paraId="A293A44A">
      <w:pPr>
        <w:spacing w:line="600" w:lineRule="exact"/>
        <w:ind w:firstLine="640"/>
        <w:rPr>
          <w:rFonts w:ascii="仿宋" w:eastAsia="仿宋"/>
          <w:color w:val="000000"/>
          <w:sz w:val="32"/>
          <w:szCs w:val="32"/>
        </w:rPr>
      </w:pPr>
    </w:p>
    <w:p w14:paraId="B41D89FB">
      <w:pPr>
        <w:spacing w:line="600" w:lineRule="exact"/>
        <w:ind w:firstLine="640"/>
        <w:rPr>
          <w:rFonts w:ascii="仿宋" w:eastAsia="仿宋"/>
          <w:color w:val="000000"/>
          <w:sz w:val="32"/>
          <w:szCs w:val="32"/>
        </w:rPr>
      </w:pPr>
    </w:p>
    <w:p w14:paraId="96653C96">
      <w:pPr>
        <w:spacing w:line="600" w:lineRule="exact"/>
        <w:ind w:firstLine="640"/>
        <w:rPr>
          <w:rFonts w:ascii="仿宋" w:eastAsia="仿宋"/>
          <w:color w:val="000000"/>
          <w:sz w:val="32"/>
          <w:szCs w:val="32"/>
        </w:rPr>
      </w:pPr>
    </w:p>
    <w:p w14:paraId="F1A2CD6D">
      <w:pPr>
        <w:spacing w:line="600" w:lineRule="exact"/>
        <w:ind w:firstLine="640"/>
        <w:rPr>
          <w:rFonts w:ascii="仿宋" w:eastAsia="仿宋"/>
          <w:color w:val="000000"/>
          <w:sz w:val="32"/>
          <w:szCs w:val="32"/>
        </w:rPr>
      </w:pPr>
      <w:r>
        <w:rPr>
          <w:rFonts w:hint="eastAsia" w:ascii="仿宋" w:eastAsia="仿宋"/>
          <w:color w:val="000000"/>
          <w:sz w:val="32"/>
          <w:szCs w:val="32"/>
        </w:rPr>
        <w:t>（图7：“三公”经费财政拨款支出结构）（饼状图）</w:t>
      </w:r>
    </w:p>
    <w:p w14:paraId="03E78DDC">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年无变化。</w:t>
      </w:r>
    </w:p>
    <w:p w14:paraId="DFDDB157">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val="0"/>
          <w:bCs/>
          <w:color w:val="000000"/>
          <w:sz w:val="32"/>
          <w:szCs w:val="32"/>
          <w:lang w:val="en-US" w:eastAsia="zh-CN"/>
        </w:rPr>
        <w:t>9.2</w:t>
      </w:r>
      <w:r>
        <w:rPr>
          <w:rFonts w:hint="eastAsia" w:ascii="仿宋_GB2312" w:eastAsia="仿宋_GB2312"/>
          <w:b w:val="0"/>
          <w:bCs/>
          <w:color w:val="000000"/>
          <w:sz w:val="32"/>
          <w:szCs w:val="32"/>
        </w:rPr>
        <w:t>万</w:t>
      </w:r>
      <w:r>
        <w:rPr>
          <w:rFonts w:hint="eastAsia" w:ascii="仿宋_GB2312" w:eastAsia="仿宋_GB2312"/>
          <w:color w:val="000000"/>
          <w:sz w:val="32"/>
          <w:szCs w:val="32"/>
        </w:rPr>
        <w:t>元,</w:t>
      </w:r>
      <w:r>
        <w:rPr>
          <w:rStyle w:val="21"/>
          <w:rFonts w:hint="eastAsia" w:ascii="仿宋" w:eastAsia="仿宋"/>
          <w:b w:val="0"/>
          <w:bCs/>
          <w:color w:val="000000"/>
          <w:sz w:val="32"/>
          <w:szCs w:val="32"/>
        </w:rPr>
        <w:t>完成预算100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减少2.29</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减少19.93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年度公务用车维修费用</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，公务用车使用时间</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rPr>
        <w:t>。</w:t>
      </w:r>
    </w:p>
    <w:p w14:paraId="E7A2233A">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月底，单位共有公务用车4辆，其中：主要领导干部用车0辆、机要通信用车0辆、应急保障用车2辆、执法执勤用车0辆、其他车辆2辆。</w:t>
      </w:r>
    </w:p>
    <w:p w14:paraId="7EAF27DC">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val="0"/>
          <w:bCs/>
          <w:color w:val="000000"/>
          <w:sz w:val="32"/>
          <w:szCs w:val="32"/>
          <w:lang w:val="en-US" w:eastAsia="zh-CN"/>
        </w:rPr>
        <w:t>9.2</w:t>
      </w:r>
      <w:r>
        <w:rPr>
          <w:rFonts w:hint="eastAsia" w:ascii="仿宋_GB2312" w:eastAsia="仿宋_GB2312"/>
          <w:color w:val="000000"/>
          <w:sz w:val="32"/>
          <w:szCs w:val="32"/>
        </w:rPr>
        <w:t>万元。主要用于下</w:t>
      </w:r>
      <w:r>
        <w:rPr>
          <w:rFonts w:hint="eastAsia" w:ascii="仿宋_GB2312" w:eastAsia="仿宋_GB2312"/>
          <w:color w:val="000000"/>
          <w:sz w:val="32"/>
          <w:szCs w:val="32"/>
          <w:lang w:eastAsia="zh-CN"/>
        </w:rPr>
        <w:t>村远牧点</w:t>
      </w:r>
      <w:r>
        <w:rPr>
          <w:rFonts w:hint="eastAsia" w:ascii="仿宋_GB2312" w:eastAsia="仿宋_GB2312"/>
          <w:color w:val="000000"/>
          <w:sz w:val="32"/>
          <w:szCs w:val="32"/>
        </w:rPr>
        <w:t>开展工作、到县参加会议、办事、日常辖区巡逻、出差等所需的公务用车燃料费、维修费、过路费、保险费等支出。</w:t>
      </w:r>
    </w:p>
    <w:p w14:paraId="75FDC472">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21"/>
          <w:rFonts w:hint="eastAsia" w:ascii="仿宋" w:eastAsia="仿宋"/>
          <w:b w:val="0"/>
          <w:bCs/>
          <w:color w:val="000000"/>
          <w:sz w:val="32"/>
          <w:szCs w:val="32"/>
        </w:rPr>
        <w:t>完成预算0</w:t>
      </w:r>
      <w:r>
        <w:rPr>
          <w:rStyle w:val="21"/>
          <w:rFonts w:ascii="仿宋" w:eastAsia="仿宋"/>
          <w:b w:val="0"/>
          <w:bCs/>
          <w:color w:val="000000"/>
          <w:sz w:val="32"/>
          <w:szCs w:val="32"/>
        </w:rPr>
        <w:t>%</w:t>
      </w:r>
      <w:r>
        <w:rPr>
          <w:rStyle w:val="21"/>
          <w:rFonts w:hint="eastAsia" w:asci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年持平，主要原因是当年无接待。</w:t>
      </w:r>
    </w:p>
    <w:p w14:paraId="523B120A">
      <w:pPr>
        <w:spacing w:line="600" w:lineRule="exact"/>
        <w:ind w:firstLine="640"/>
        <w:rPr>
          <w:rFonts w:hint="eastAsia" w:ascii="黑体" w:eastAsia="黑体"/>
          <w:color w:val="000000"/>
          <w:sz w:val="32"/>
          <w:szCs w:val="32"/>
        </w:rPr>
      </w:pPr>
      <w:r>
        <w:rPr>
          <w:rFonts w:hint="eastAsia" w:ascii="仿宋" w:eastAsia="仿宋"/>
          <w:b/>
          <w:color w:val="000000"/>
          <w:sz w:val="32"/>
          <w:szCs w:val="32"/>
          <w:lang w:val="en-US" w:eastAsia="zh-CN"/>
        </w:rPr>
        <w:t>4.</w:t>
      </w:r>
      <w:r>
        <w:rPr>
          <w:rFonts w:hint="eastAsia" w:ascii="仿宋" w:eastAsia="仿宋"/>
          <w:b/>
          <w:color w:val="000000"/>
          <w:sz w:val="32"/>
          <w:szCs w:val="32"/>
        </w:rPr>
        <w:t>国内公务接待支出</w:t>
      </w:r>
      <w:r>
        <w:rPr>
          <w:rFonts w:hint="eastAsia" w:asci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w:t>
      </w:r>
      <w:bookmarkStart w:id="56" w:name="_Toc15377218"/>
      <w:bookmarkStart w:id="57" w:name="_Toc15396610"/>
    </w:p>
    <w:p w14:paraId="DB2D7FFD">
      <w:pPr>
        <w:spacing w:line="600" w:lineRule="exact"/>
        <w:ind w:firstLine="640"/>
        <w:outlineLvl w:val="1"/>
        <w:rPr>
          <w:rStyle w:val="24"/>
          <w:rFonts w:ascii="黑体" w:eastAsia="黑体"/>
          <w:color w:val="000000"/>
        </w:rPr>
      </w:pPr>
      <w:r>
        <w:rPr>
          <w:rFonts w:hint="eastAsia" w:ascii="黑体" w:eastAsia="黑体"/>
          <w:color w:val="000000"/>
          <w:sz w:val="32"/>
          <w:szCs w:val="32"/>
        </w:rPr>
        <w:t>八、</w:t>
      </w:r>
      <w:r>
        <w:rPr>
          <w:rStyle w:val="24"/>
          <w:rFonts w:hint="eastAsia" w:ascii="黑体" w:eastAsia="黑体"/>
          <w:b w:val="0"/>
          <w:color w:val="000000"/>
        </w:rPr>
        <w:t>政府性基金预算支出决算情况说明</w:t>
      </w:r>
      <w:bookmarkEnd w:id="56"/>
      <w:bookmarkEnd w:id="57"/>
    </w:p>
    <w:p w14:paraId="D14BB4A0">
      <w:pPr>
        <w:spacing w:line="600" w:lineRule="exact"/>
        <w:ind w:firstLine="640"/>
        <w:rPr>
          <w:rFonts w:hint="eastAsia" w:ascii="黑体" w:hAnsi="Times New Roman" w:eastAsia="黑体" w:cs="Times New Roman"/>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年政府性基金预算拨款支出0万元。</w:t>
      </w:r>
    </w:p>
    <w:p w14:paraId="2318D451">
      <w:pPr>
        <w:numPr>
          <w:ilvl w:val="0"/>
          <w:numId w:val="2"/>
        </w:numPr>
        <w:spacing w:line="600" w:lineRule="exact"/>
        <w:ind w:left="0" w:firstLine="640"/>
        <w:outlineLvl w:val="1"/>
        <w:rPr>
          <w:rStyle w:val="24"/>
          <w:rFonts w:ascii="黑体" w:eastAsia="黑体"/>
          <w:b w:val="0"/>
          <w:color w:val="000000"/>
        </w:rPr>
      </w:pPr>
      <w:bookmarkStart w:id="58" w:name="_Toc15396611"/>
      <w:bookmarkStart w:id="59" w:name="_Toc15377219"/>
      <w:r>
        <w:rPr>
          <w:rStyle w:val="24"/>
          <w:rFonts w:hint="eastAsia" w:ascii="黑体" w:eastAsia="黑体"/>
          <w:b w:val="0"/>
          <w:color w:val="000000"/>
        </w:rPr>
        <w:t>国有资本经营预算支出决算情况说明</w:t>
      </w:r>
      <w:bookmarkEnd w:id="58"/>
      <w:bookmarkEnd w:id="59"/>
    </w:p>
    <w:p w14:paraId="C0BE12A5">
      <w:pPr>
        <w:spacing w:line="600" w:lineRule="exact"/>
        <w:ind w:firstLine="640"/>
        <w:rPr>
          <w:rFonts w:hint="eastAsia" w:ascii="黑体" w:hAnsi="Times New Roman" w:eastAsia="黑体" w:cs="Times New Roman"/>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年国有资本经营预算拨款支出0万元。</w:t>
      </w:r>
    </w:p>
    <w:p w14:paraId="DE5F65CF">
      <w:pPr>
        <w:spacing w:line="600" w:lineRule="exact"/>
        <w:ind w:firstLine="800" w:firstLineChars="250"/>
        <w:outlineLvl w:val="1"/>
        <w:rPr>
          <w:rStyle w:val="24"/>
          <w:rFonts w:ascii="黑体" w:eastAsia="黑体"/>
          <w:color w:val="000000"/>
        </w:rPr>
      </w:pPr>
      <w:bookmarkStart w:id="60" w:name="_Toc15396612"/>
      <w:bookmarkStart w:id="61" w:name="_Toc15377221"/>
      <w:r>
        <w:rPr>
          <w:rFonts w:hint="eastAsia" w:ascii="黑体" w:eastAsia="黑体"/>
          <w:color w:val="000000"/>
          <w:sz w:val="32"/>
          <w:szCs w:val="32"/>
        </w:rPr>
        <w:t>十</w:t>
      </w:r>
      <w:r>
        <w:rPr>
          <w:rStyle w:val="24"/>
          <w:rFonts w:hint="eastAsia" w:ascii="黑体" w:eastAsia="黑体"/>
          <w:color w:val="000000"/>
        </w:rPr>
        <w:t>、</w:t>
      </w:r>
      <w:r>
        <w:rPr>
          <w:rStyle w:val="24"/>
          <w:rFonts w:hint="eastAsia" w:ascii="黑体" w:eastAsia="黑体"/>
          <w:b w:val="0"/>
          <w:color w:val="000000"/>
        </w:rPr>
        <w:t>其他重要事项的情况说明</w:t>
      </w:r>
      <w:bookmarkEnd w:id="60"/>
      <w:bookmarkEnd w:id="61"/>
    </w:p>
    <w:p w14:paraId="A9F4EF2B">
      <w:pPr>
        <w:spacing w:line="600" w:lineRule="exact"/>
        <w:ind w:firstLine="643" w:firstLineChars="200"/>
        <w:outlineLvl w:val="2"/>
        <w:rPr>
          <w:rFonts w:ascii="仿宋" w:eastAsia="仿宋"/>
          <w:color w:val="000000"/>
          <w:sz w:val="32"/>
          <w:szCs w:val="32"/>
        </w:rPr>
      </w:pPr>
      <w:bookmarkStart w:id="62" w:name="_Toc15377222"/>
      <w:r>
        <w:rPr>
          <w:rFonts w:hint="eastAsia" w:ascii="仿宋" w:eastAsia="仿宋"/>
          <w:b/>
          <w:color w:val="000000"/>
          <w:sz w:val="32"/>
          <w:szCs w:val="32"/>
        </w:rPr>
        <w:t>（一）机关运行经费支出情况</w:t>
      </w:r>
      <w:bookmarkEnd w:id="62"/>
    </w:p>
    <w:p w14:paraId="2A0D78D8">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年，安曲镇人民政府机关运行经费支出</w:t>
      </w:r>
      <w:r>
        <w:rPr>
          <w:rFonts w:hint="eastAsia" w:ascii="仿宋_GB2312" w:eastAsia="仿宋_GB2312"/>
          <w:color w:val="000000"/>
          <w:sz w:val="32"/>
          <w:szCs w:val="32"/>
          <w:lang w:val="en-US" w:eastAsia="zh-CN"/>
        </w:rPr>
        <w:t>38.45</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减少1.61</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下降4.02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年机关</w:t>
      </w:r>
      <w:r>
        <w:rPr>
          <w:rFonts w:hint="eastAsia" w:ascii="仿宋_GB2312" w:eastAsia="仿宋_GB2312"/>
          <w:color w:val="000000"/>
          <w:sz w:val="32"/>
          <w:szCs w:val="32"/>
          <w:lang w:val="en-US" w:eastAsia="zh-CN"/>
        </w:rPr>
        <w:t>运行工作量比去年有所减少</w:t>
      </w:r>
      <w:r>
        <w:rPr>
          <w:rFonts w:hint="eastAsia" w:ascii="仿宋_GB2312" w:eastAsia="仿宋_GB2312"/>
          <w:color w:val="000000"/>
          <w:sz w:val="32"/>
          <w:szCs w:val="32"/>
        </w:rPr>
        <w:t>，相应支出</w:t>
      </w:r>
      <w:r>
        <w:rPr>
          <w:rFonts w:hint="eastAsia" w:ascii="仿宋_GB2312" w:eastAsia="仿宋_GB2312"/>
          <w:color w:val="000000"/>
          <w:sz w:val="32"/>
          <w:szCs w:val="32"/>
          <w:lang w:val="en-US" w:eastAsia="zh-CN"/>
        </w:rPr>
        <w:t>也随之减少</w:t>
      </w:r>
      <w:r>
        <w:rPr>
          <w:rFonts w:hint="eastAsia" w:ascii="仿宋_GB2312" w:eastAsia="仿宋_GB2312"/>
          <w:color w:val="000000"/>
          <w:sz w:val="32"/>
          <w:szCs w:val="32"/>
        </w:rPr>
        <w:t>。</w:t>
      </w:r>
    </w:p>
    <w:p w14:paraId="62B4AC0C">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63" w:name="_Toc15377223"/>
      <w:r>
        <w:rPr>
          <w:rFonts w:hint="eastAsia" w:ascii="仿宋" w:eastAsia="仿宋"/>
          <w:b/>
          <w:color w:val="000000"/>
          <w:sz w:val="32"/>
          <w:szCs w:val="32"/>
        </w:rPr>
        <w:t>（二）政府采购支出情况</w:t>
      </w:r>
      <w:bookmarkEnd w:id="63"/>
    </w:p>
    <w:p w14:paraId="6C729818">
      <w:pPr>
        <w:spacing w:line="600" w:lineRule="exact"/>
        <w:ind w:firstLine="640" w:firstLineChars="200"/>
        <w:rPr>
          <w:rFonts w:ascii="仿宋_GB2312" w:eastAsia="仿宋_GB2312"/>
          <w:color w:val="000000"/>
          <w:sz w:val="32"/>
          <w:szCs w:val="32"/>
        </w:rPr>
      </w:pPr>
      <w:r>
        <w:rPr>
          <w:rFonts w:hint="eastAsia" w:ascii="仿宋_GB2312" w:hAnsi="Times New Roman" w:eastAsia="仿宋_GB2312" w:cs="Times New Roman"/>
          <w:color w:val="000000"/>
          <w:sz w:val="32"/>
          <w:szCs w:val="32"/>
        </w:rPr>
        <w:t>202</w:t>
      </w:r>
      <w:r>
        <w:rPr>
          <w:rFonts w:hint="eastAsia" w:ascii="仿宋_GB2312" w:eastAsia="仿宋_GB2312" w:cs="Times New Roman"/>
          <w:color w:val="000000"/>
          <w:sz w:val="32"/>
          <w:szCs w:val="32"/>
          <w:lang w:val="en-US" w:eastAsia="zh-CN"/>
        </w:rPr>
        <w:t>4</w:t>
      </w:r>
      <w:r>
        <w:rPr>
          <w:rFonts w:hint="eastAsia" w:ascii="仿宋_GB2312" w:hAnsi="Times New Roman" w:eastAsia="仿宋_GB2312" w:cs="Times New Roman"/>
          <w:color w:val="000000"/>
          <w:sz w:val="32"/>
          <w:szCs w:val="32"/>
        </w:rPr>
        <w:t>年度，红原县安曲镇人民政府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D421676F">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64" w:name="_Toc15377224"/>
      <w:r>
        <w:rPr>
          <w:rFonts w:hint="eastAsia" w:ascii="仿宋" w:eastAsia="仿宋"/>
          <w:b/>
          <w:color w:val="000000"/>
          <w:sz w:val="32"/>
          <w:szCs w:val="32"/>
        </w:rPr>
        <w:t>（三）国有资产占有使用情况</w:t>
      </w:r>
      <w:bookmarkEnd w:id="64"/>
    </w:p>
    <w:p w14:paraId="4BBB432B">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default" w:ascii="仿宋_GB2312" w:eastAsia="仿宋_GB2312"/>
          <w:color w:val="000000"/>
          <w:sz w:val="32"/>
          <w:szCs w:val="32"/>
          <w:lang w:val="en-US" w:eastAsia="zh-CN"/>
        </w:rPr>
        <w:t>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日，安曲镇人民政府共有车辆4辆，其中：主要领导干部用车0辆、机要通信用车0辆、应急保障用车2辆、其他用车2辆，其他用车主要是用于下牧业开展工作、到县参加会议、办事、日常辖区巡逻、出差等单价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D133A132">
      <w:pPr>
        <w:numPr>
          <w:ilvl w:val="0"/>
          <w:numId w:val="0"/>
        </w:numPr>
        <w:tabs>
          <w:tab w:val="left" w:pos="0"/>
        </w:tabs>
        <w:autoSpaceDE w:val="0"/>
        <w:autoSpaceDN w:val="0"/>
        <w:adjustRightInd w:val="0"/>
        <w:spacing w:line="600" w:lineRule="exact"/>
        <w:ind w:leftChars="200"/>
        <w:jc w:val="left"/>
        <w:outlineLvl w:val="2"/>
        <w:rPr>
          <w:rFonts w:hint="eastAsia" w:ascii="仿宋" w:eastAsia="仿宋"/>
          <w:b/>
          <w:color w:val="auto"/>
          <w:sz w:val="32"/>
          <w:szCs w:val="32"/>
          <w:highlight w:val="none"/>
        </w:rPr>
      </w:pPr>
      <w:r>
        <w:rPr>
          <w:rFonts w:hint="eastAsia" w:ascii="仿宋" w:eastAsia="仿宋"/>
          <w:b/>
          <w:color w:val="000000"/>
          <w:sz w:val="32"/>
          <w:szCs w:val="32"/>
          <w:highlight w:val="none"/>
        </w:rPr>
        <w:t>（</w:t>
      </w:r>
      <w:r>
        <w:rPr>
          <w:rFonts w:hint="eastAsia" w:ascii="仿宋" w:eastAsia="仿宋"/>
          <w:b/>
          <w:color w:val="000000"/>
          <w:sz w:val="32"/>
          <w:szCs w:val="32"/>
          <w:highlight w:val="none"/>
          <w:lang w:val="en-US" w:eastAsia="zh-CN"/>
        </w:rPr>
        <w:t>四</w:t>
      </w:r>
      <w:r>
        <w:rPr>
          <w:rFonts w:hint="eastAsia" w:ascii="仿宋" w:eastAsia="仿宋"/>
          <w:b/>
          <w:color w:val="000000"/>
          <w:sz w:val="32"/>
          <w:szCs w:val="32"/>
          <w:highlight w:val="none"/>
        </w:rPr>
        <w:t>）</w:t>
      </w:r>
      <w:r>
        <w:rPr>
          <w:rFonts w:hint="eastAsia" w:ascii="仿宋" w:eastAsia="仿宋"/>
          <w:b/>
          <w:color w:val="auto"/>
          <w:sz w:val="32"/>
          <w:szCs w:val="32"/>
          <w:highlight w:val="none"/>
        </w:rPr>
        <w:t>预算绩效管理情况</w:t>
      </w:r>
    </w:p>
    <w:p w14:paraId="4D0BC60C">
      <w:pPr>
        <w:shd w:val="clear" w:color="auto" w:fill="auto"/>
        <w:autoSpaceDE w:val="0"/>
        <w:autoSpaceDN w:val="0"/>
        <w:adjustRightInd w:val="0"/>
        <w:spacing w:line="600" w:lineRule="exact"/>
        <w:ind w:left="0" w:firstLine="640" w:firstLineChars="200"/>
        <w:jc w:val="left"/>
        <w:outlineLvl w:val="2"/>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根据预算绩效管理要求，本部门（单位）在年初预算编制阶段，</w:t>
      </w:r>
      <w:r>
        <w:rPr>
          <w:rFonts w:hint="default" w:ascii="仿宋_GB2312" w:hAnsi="Times New Roman" w:eastAsia="仿宋_GB2312" w:cs="仿宋_GB2312"/>
          <w:b w:val="0"/>
          <w:bCs w:val="0"/>
          <w:i w:val="0"/>
          <w:iCs w:val="0"/>
          <w:color w:val="auto"/>
          <w:w w:val="100"/>
          <w:kern w:val="2"/>
          <w:sz w:val="32"/>
          <w:szCs w:val="32"/>
          <w:highlight w:val="none"/>
          <w:shd w:val="clear" w:color="FFFFFF" w:fill="auto"/>
          <w:vertAlign w:val="baseline"/>
          <w:lang w:val="en-US" w:eastAsia="zh-CN" w:bidi="ar-SA"/>
        </w:rPr>
        <w:t>2023</w:t>
      </w:r>
      <w:r>
        <w:rPr>
          <w:rFonts w:hint="default" w:ascii="仿宋_GB2312" w:hAnsi="Times New Roman" w:eastAsia="仿宋_GB2312" w:cs="仿宋_GB2312"/>
          <w:b w:val="0"/>
          <w:bCs w:val="0"/>
          <w:i w:val="0"/>
          <w:iCs w:val="0"/>
          <w:color w:val="auto"/>
          <w:kern w:val="2"/>
          <w:sz w:val="32"/>
          <w:szCs w:val="32"/>
          <w:highlight w:val="none"/>
          <w:shd w:val="clear" w:color="FFFFFF" w:fill="auto"/>
          <w:vertAlign w:val="baseline"/>
          <w:lang w:val="en-US" w:eastAsia="zh-CN" w:bidi="ar-SA"/>
        </w:rPr>
        <w:t>年安曲镇村内道路补短项目，安曲镇2024年脱贫户（监测户）产业到户补助项目，安曲镇生产性便道维修项目，红原县过境路沿线网围栏提升改造项目（一期）安曲镇段项目</w:t>
      </w:r>
      <w:r>
        <w:rPr>
          <w:rFonts w:hint="eastAsia" w:ascii="仿宋_GB2312" w:hAnsi="Times New Roman" w:eastAsia="仿宋_GB2312" w:cs="仿宋_GB2312"/>
          <w:b w:val="0"/>
          <w:bCs w:val="0"/>
          <w:i w:val="0"/>
          <w:iCs w:val="0"/>
          <w:color w:val="auto"/>
          <w:kern w:val="2"/>
          <w:sz w:val="32"/>
          <w:szCs w:val="32"/>
          <w:highlight w:val="none"/>
          <w:shd w:val="clear" w:color="FFFFFF" w:fill="auto"/>
          <w:vertAlign w:val="baseline"/>
          <w:lang w:val="en-US" w:eastAsia="zh-CN" w:bidi="ar-SA"/>
        </w:rPr>
        <w:t>共5个项目</w:t>
      </w:r>
      <w:r>
        <w:rPr>
          <w:rFonts w:hint="eastAsia" w:ascii="仿宋_GB2312" w:eastAsia="仿宋_GB2312" w:cs="仿宋_GB2312"/>
          <w:color w:val="auto"/>
          <w:sz w:val="32"/>
          <w:szCs w:val="32"/>
          <w:highlight w:val="none"/>
          <w:shd w:val="clear" w:color="auto" w:fill="auto"/>
        </w:rPr>
        <w:t>编制了绩效目标，预算执行过程中，选取</w:t>
      </w:r>
      <w:r>
        <w:rPr>
          <w:rFonts w:hint="eastAsia" w:ascii="仿宋_GB2312" w:eastAsia="仿宋_GB2312" w:cs="仿宋_GB2312"/>
          <w:color w:val="auto"/>
          <w:sz w:val="32"/>
          <w:szCs w:val="32"/>
          <w:highlight w:val="none"/>
          <w:shd w:val="clear" w:color="auto" w:fill="auto"/>
          <w:lang w:val="en-US" w:eastAsia="zh-CN"/>
        </w:rPr>
        <w:t>5</w:t>
      </w:r>
      <w:r>
        <w:rPr>
          <w:rFonts w:hint="eastAsia" w:ascii="仿宋_GB2312" w:eastAsia="仿宋_GB2312" w:cs="仿宋_GB2312"/>
          <w:color w:val="auto"/>
          <w:sz w:val="32"/>
          <w:szCs w:val="32"/>
          <w:highlight w:val="none"/>
          <w:shd w:val="clear" w:color="auto" w:fill="auto"/>
        </w:rPr>
        <w:t>个项目开展绩效监控，年终执行完毕后，对</w:t>
      </w:r>
      <w:r>
        <w:rPr>
          <w:rFonts w:hint="eastAsia" w:ascii="仿宋_GB2312" w:eastAsia="仿宋_GB2312" w:cs="仿宋_GB2312"/>
          <w:color w:val="auto"/>
          <w:sz w:val="32"/>
          <w:szCs w:val="32"/>
          <w:highlight w:val="none"/>
          <w:shd w:val="clear" w:color="auto" w:fill="auto"/>
          <w:lang w:val="en-US" w:eastAsia="zh-CN"/>
        </w:rPr>
        <w:t>5</w:t>
      </w:r>
      <w:r>
        <w:rPr>
          <w:rFonts w:hint="eastAsia" w:ascii="仿宋_GB2312" w:eastAsia="仿宋_GB2312" w:cs="仿宋_GB2312"/>
          <w:color w:val="auto"/>
          <w:sz w:val="32"/>
          <w:szCs w:val="32"/>
          <w:highlight w:val="none"/>
          <w:shd w:val="clear" w:color="auto" w:fill="auto"/>
        </w:rPr>
        <w:t>个项目开展了绩效目标完成情况自评。</w:t>
      </w:r>
    </w:p>
    <w:p w14:paraId="2E4DBC8C">
      <w:pPr>
        <w:shd w:val="clear" w:color="auto" w:fill="auto"/>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本部门按要求对</w:t>
      </w: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4</w:t>
      </w:r>
      <w:r>
        <w:rPr>
          <w:rFonts w:hint="eastAsia" w:ascii="仿宋_GB2312" w:eastAsia="仿宋_GB2312" w:cs="仿宋_GB2312"/>
          <w:color w:val="auto"/>
          <w:sz w:val="32"/>
          <w:szCs w:val="32"/>
          <w:highlight w:val="none"/>
          <w:shd w:val="clear" w:color="auto" w:fill="auto"/>
        </w:rPr>
        <w:t>年部门整体支出开展绩效自评，从评价情况来看完成效果较好。本部门还组织了</w:t>
      </w:r>
      <w:r>
        <w:rPr>
          <w:rFonts w:ascii="仿宋_GB2312" w:eastAsia="仿宋_GB2312" w:cs="仿宋_GB2312"/>
          <w:color w:val="auto"/>
          <w:sz w:val="32"/>
          <w:szCs w:val="32"/>
          <w:highlight w:val="none"/>
          <w:shd w:val="clear" w:color="auto" w:fill="auto"/>
        </w:rPr>
        <w:t>2</w:t>
      </w:r>
      <w:r>
        <w:rPr>
          <w:rFonts w:hint="eastAsia" w:ascii="仿宋_GB2312" w:eastAsia="仿宋_GB2312" w:cs="仿宋_GB2312"/>
          <w:color w:val="auto"/>
          <w:sz w:val="32"/>
          <w:szCs w:val="32"/>
          <w:highlight w:val="none"/>
          <w:shd w:val="clear" w:color="auto" w:fill="auto"/>
        </w:rPr>
        <w:t>个项目支出绩效评价，从评价情况来看完成情况较好。</w:t>
      </w:r>
    </w:p>
    <w:p w14:paraId="2DEEC293">
      <w:pPr>
        <w:shd w:val="clear" w:color="auto" w:fill="auto"/>
        <w:tabs>
          <w:tab w:val="left" w:pos="312"/>
        </w:tabs>
        <w:spacing w:line="580" w:lineRule="exact"/>
        <w:ind w:firstLine="640" w:firstLineChars="200"/>
        <w:rPr>
          <w:rFonts w:ascii="仿宋" w:eastAsia="仿宋"/>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lang w:eastAsia="zh-CN"/>
        </w:rPr>
        <w:t>202</w:t>
      </w:r>
      <w:r>
        <w:rPr>
          <w:rFonts w:hint="eastAsia" w:ascii="仿宋_GB2312" w:eastAsia="仿宋_GB2312" w:cs="仿宋_GB2312"/>
          <w:color w:val="auto"/>
          <w:sz w:val="32"/>
          <w:szCs w:val="32"/>
          <w:highlight w:val="none"/>
          <w:shd w:val="clear" w:color="auto" w:fill="auto"/>
          <w:lang w:val="en-US" w:eastAsia="zh-CN"/>
        </w:rPr>
        <w:t>4</w:t>
      </w:r>
      <w:r>
        <w:rPr>
          <w:rFonts w:hint="eastAsia" w:ascii="仿宋_GB2312" w:eastAsia="仿宋_GB2312" w:cs="仿宋_GB2312"/>
          <w:color w:val="auto"/>
          <w:sz w:val="32"/>
          <w:szCs w:val="32"/>
          <w:highlight w:val="none"/>
          <w:shd w:val="clear" w:color="auto" w:fill="auto"/>
        </w:rPr>
        <w:t>年村级运行维护费项目</w:t>
      </w:r>
      <w:r>
        <w:rPr>
          <w:rFonts w:hint="eastAsia" w:ascii="仿宋_GB2312" w:eastAsia="仿宋_GB2312" w:cs="仿宋_GB2312"/>
          <w:color w:val="auto"/>
          <w:sz w:val="32"/>
          <w:szCs w:val="32"/>
          <w:highlight w:val="none"/>
          <w:shd w:val="clear" w:color="auto" w:fill="auto"/>
          <w:lang w:eastAsia="zh-CN"/>
        </w:rPr>
        <w:t>：</w:t>
      </w:r>
      <w:r>
        <w:rPr>
          <w:rFonts w:hint="eastAsia" w:ascii="仿宋" w:eastAsia="仿宋"/>
          <w:color w:val="auto"/>
          <w:sz w:val="32"/>
          <w:szCs w:val="32"/>
          <w:highlight w:val="none"/>
          <w:shd w:val="clear" w:color="auto" w:fill="auto"/>
        </w:rPr>
        <w:t>购置相关办公及取暖用品，为方便冬季开展，村内环境治理，日常牧道维修，自来水通畅保障，村办公经费。</w:t>
      </w:r>
      <w:r>
        <w:rPr>
          <w:rFonts w:hint="eastAsia" w:ascii="仿宋_GB2312" w:eastAsia="仿宋_GB2312" w:cs="仿宋_GB2312"/>
          <w:color w:val="auto"/>
          <w:sz w:val="32"/>
          <w:szCs w:val="32"/>
          <w:highlight w:val="none"/>
          <w:shd w:val="clear" w:color="auto" w:fill="auto"/>
        </w:rPr>
        <w:t>项目全年预算数</w:t>
      </w:r>
      <w:r>
        <w:rPr>
          <w:rFonts w:hint="eastAsia" w:ascii="仿宋_GB2312" w:eastAsia="仿宋_GB2312" w:cs="仿宋_GB2312"/>
          <w:color w:val="auto"/>
          <w:sz w:val="32"/>
          <w:szCs w:val="32"/>
          <w:highlight w:val="none"/>
          <w:shd w:val="clear" w:color="auto" w:fill="auto"/>
          <w:lang w:val="en-US" w:eastAsia="zh-CN"/>
        </w:rPr>
        <w:t>45</w:t>
      </w:r>
      <w:r>
        <w:rPr>
          <w:rFonts w:hint="eastAsia" w:ascii="仿宋_GB2312" w:eastAsia="仿宋_GB2312" w:cs="仿宋_GB2312"/>
          <w:color w:val="auto"/>
          <w:sz w:val="32"/>
          <w:szCs w:val="32"/>
          <w:highlight w:val="none"/>
          <w:shd w:val="clear" w:color="auto" w:fill="auto"/>
        </w:rPr>
        <w:t>万元，执行数为</w:t>
      </w:r>
      <w:r>
        <w:rPr>
          <w:rFonts w:hint="eastAsia" w:ascii="仿宋_GB2312" w:eastAsia="仿宋_GB2312" w:cs="仿宋_GB2312"/>
          <w:color w:val="auto"/>
          <w:sz w:val="32"/>
          <w:szCs w:val="32"/>
          <w:highlight w:val="none"/>
          <w:shd w:val="clear" w:color="auto" w:fill="auto"/>
          <w:lang w:val="en-US" w:eastAsia="zh-CN"/>
        </w:rPr>
        <w:t>45</w:t>
      </w:r>
      <w:r>
        <w:rPr>
          <w:rFonts w:hint="eastAsia" w:ascii="仿宋_GB2312" w:eastAsia="仿宋_GB2312" w:cs="仿宋_GB2312"/>
          <w:color w:val="auto"/>
          <w:sz w:val="32"/>
          <w:szCs w:val="32"/>
          <w:highlight w:val="none"/>
          <w:shd w:val="clear" w:color="auto" w:fill="auto"/>
        </w:rPr>
        <w:t>万元，完成预算的100%</w:t>
      </w:r>
      <w:r>
        <w:rPr>
          <w:rFonts w:hint="eastAsia" w:ascii="仿宋" w:eastAsia="仿宋"/>
          <w:color w:val="auto"/>
          <w:sz w:val="32"/>
          <w:szCs w:val="32"/>
          <w:highlight w:val="none"/>
          <w:shd w:val="clear" w:color="auto" w:fill="auto"/>
        </w:rPr>
        <w:t>。</w:t>
      </w:r>
    </w:p>
    <w:p w14:paraId="1E99E832">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80" w:lineRule="exact"/>
        <w:ind w:firstLine="640" w:firstLineChars="200"/>
        <w:textAlignment w:val="auto"/>
        <w:rPr>
          <w:rFonts w:hint="eastAsia" w:eastAsia="仿宋"/>
          <w:lang w:eastAsia="zh-CN"/>
        </w:rPr>
      </w:pPr>
      <w:r>
        <w:rPr>
          <w:rFonts w:hint="eastAsia" w:ascii="楷体_GB2312" w:eastAsia="楷体_GB2312" w:cs="楷体_GB2312"/>
          <w:color w:val="auto"/>
          <w:sz w:val="32"/>
          <w:szCs w:val="32"/>
          <w:highlight w:val="none"/>
          <w:shd w:val="clear" w:color="auto" w:fill="auto"/>
          <w:lang w:val="en-US" w:eastAsia="zh-CN"/>
        </w:rPr>
        <w:t>1.</w:t>
      </w:r>
      <w:r>
        <w:rPr>
          <w:rFonts w:hint="eastAsia" w:ascii="楷体_GB2312" w:eastAsia="楷体_GB2312" w:cs="楷体_GB2312"/>
          <w:color w:val="auto"/>
          <w:sz w:val="32"/>
          <w:szCs w:val="32"/>
          <w:highlight w:val="none"/>
          <w:shd w:val="clear" w:color="auto" w:fill="auto"/>
        </w:rPr>
        <w:t>项目绩效目标完成情况</w:t>
      </w:r>
    </w:p>
    <w:p w14:paraId="9AED8E1C">
      <w:pPr>
        <w:shd w:val="clear" w:color="FFFFFF" w:fill="auto"/>
        <w:spacing w:line="580" w:lineRule="exact"/>
        <w:ind w:firstLine="640" w:firstLineChars="200"/>
        <w:jc w:val="both"/>
      </w:pPr>
      <w:r>
        <w:rPr>
          <w:rFonts w:hint="default" w:ascii="仿宋_GB2312" w:hAnsi="Times New Roman" w:eastAsia="仿宋_GB2312" w:cs="仿宋_GB2312"/>
          <w:b w:val="0"/>
          <w:bCs w:val="0"/>
          <w:i w:val="0"/>
          <w:iCs w:val="0"/>
          <w:color w:val="auto"/>
          <w:kern w:val="2"/>
          <w:sz w:val="32"/>
          <w:szCs w:val="32"/>
          <w:highlight w:val="none"/>
          <w:shd w:val="clear" w:color="FFFFFF" w:fill="auto"/>
          <w:vertAlign w:val="baseline"/>
          <w:lang w:val="en-US" w:eastAsia="zh-CN" w:bidi="ar-SA"/>
        </w:rPr>
        <w:t>本部门在2024年度部门决算中反映</w:t>
      </w:r>
      <w:r>
        <w:rPr>
          <w:rFonts w:hint="default" w:ascii="仿宋_GB2312" w:hAnsi="Times New Roman" w:eastAsia="仿宋_GB2312" w:cs="仿宋_GB2312"/>
          <w:b w:val="0"/>
          <w:bCs w:val="0"/>
          <w:i w:val="0"/>
          <w:iCs w:val="0"/>
          <w:color w:val="auto"/>
          <w:w w:val="100"/>
          <w:kern w:val="2"/>
          <w:sz w:val="32"/>
          <w:szCs w:val="32"/>
          <w:highlight w:val="none"/>
          <w:shd w:val="clear" w:color="FFFFFF" w:fill="auto"/>
          <w:vertAlign w:val="baseline"/>
          <w:lang w:val="en-US" w:eastAsia="zh-CN" w:bidi="ar-SA"/>
        </w:rPr>
        <w:t>2023</w:t>
      </w:r>
      <w:r>
        <w:rPr>
          <w:rFonts w:hint="default" w:ascii="仿宋_GB2312" w:hAnsi="Times New Roman" w:eastAsia="仿宋_GB2312" w:cs="仿宋_GB2312"/>
          <w:b w:val="0"/>
          <w:bCs w:val="0"/>
          <w:i w:val="0"/>
          <w:iCs w:val="0"/>
          <w:color w:val="auto"/>
          <w:kern w:val="2"/>
          <w:sz w:val="32"/>
          <w:szCs w:val="32"/>
          <w:highlight w:val="none"/>
          <w:shd w:val="clear" w:color="FFFFFF" w:fill="auto"/>
          <w:vertAlign w:val="baseline"/>
          <w:lang w:val="en-US" w:eastAsia="zh-CN" w:bidi="ar-SA"/>
        </w:rPr>
        <w:t>年安曲镇村内道路补短项目，安曲镇2024年脱贫户（监测户）产业到户补助项目，安曲镇生产性便道维修项目，红原县过境路沿线网围栏提升改造项目（一期）安曲镇段项目，2024年村级运行维护费项目5个绩效目标实际完成情况。</w:t>
      </w:r>
    </w:p>
    <w:p w14:paraId="3A8844EE">
      <w:pPr>
        <w:shd w:val="clear" w:color="FFFFFF" w:fill="auto"/>
        <w:spacing w:line="580" w:lineRule="exact"/>
        <w:ind w:firstLine="640" w:firstLineChars="200"/>
        <w:jc w:val="both"/>
      </w:pPr>
      <w:r>
        <w:rPr>
          <w:rFonts w:hint="default" w:ascii="仿宋_GB2312" w:hAnsi="Times New Roman" w:eastAsia="仿宋_GB2312" w:cs="仿宋_GB2312"/>
          <w:b w:val="0"/>
          <w:bCs w:val="0"/>
          <w:i w:val="0"/>
          <w:iCs w:val="0"/>
          <w:color w:val="000000"/>
          <w:w w:val="100"/>
          <w:kern w:val="2"/>
          <w:sz w:val="32"/>
          <w:szCs w:val="32"/>
          <w:highlight w:val="none"/>
          <w:shd w:val="clear" w:color="FFFFFF" w:fill="auto"/>
          <w:vertAlign w:val="baseline"/>
          <w:lang w:val="en-US" w:eastAsia="zh-CN" w:bidi="ar-SA"/>
        </w:rPr>
        <w:t>（1）2023</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年安曲镇村内道路补短项目，</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zh-CN" w:eastAsia="zh-CN" w:bidi="ar-SA"/>
        </w:rPr>
        <w:t>资金预算安排</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92万元。</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zh-CN" w:eastAsia="zh-CN" w:bidi="ar-SA"/>
        </w:rPr>
        <w:t>资金到位率满足前期申报标准，到位及时。</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2024年</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zh-CN" w:eastAsia="zh-CN" w:bidi="ar-SA"/>
        </w:rPr>
        <w:t>项目总投资</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92万元，严格按照项目程序使用及拨付资金，按照政府主导、群众主体，按照项目实施程序采取竞价、比选等招投标方式聘请有资质的施工单位进行建设。通过项目评审、招标程序，该项目于2024年完成项目全部建设内容。</w:t>
      </w:r>
    </w:p>
    <w:p w14:paraId="D0CE4296">
      <w:pPr>
        <w:shd w:val="clear" w:color="FFFFFF" w:fill="auto"/>
        <w:spacing w:line="580" w:lineRule="exact"/>
        <w:ind w:firstLine="640" w:firstLineChars="200"/>
        <w:jc w:val="both"/>
      </w:pP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2）安曲镇2024年脱贫户（监测户）产业到户补助项目，资金预算安排28.8万元，项目资金拨付严格按照财务管理管理制度进行，按照政府主导、群众主体“一事一议”的原则，脱贫户（监测户）按照项目实施内容自行完成采购，于2024年完成项目建设并验收合格并资金拨付完成</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zh-CN" w:eastAsia="zh-CN" w:bidi="ar-SA"/>
        </w:rPr>
        <w:t>。</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 xml:space="preserve"> </w:t>
      </w:r>
    </w:p>
    <w:p w14:paraId="33183D3C">
      <w:pPr>
        <w:shd w:val="clear" w:color="FFFFFF" w:fill="auto"/>
        <w:spacing w:line="580" w:lineRule="exact"/>
        <w:ind w:firstLine="640" w:firstLineChars="200"/>
        <w:jc w:val="both"/>
      </w:pP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（3）安曲镇生产性便道维修项目，项目总投资30万元，该项目中标价为30万元整，于2024年完成项目建设并验收合格资金拨付完成</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zh-CN" w:eastAsia="zh-CN" w:bidi="ar-SA"/>
        </w:rPr>
        <w:t>。</w:t>
      </w:r>
    </w:p>
    <w:p w14:paraId="0C89B7CF">
      <w:pPr>
        <w:keepNext/>
        <w:keepLines/>
        <w:spacing w:before="280" w:after="156" w:line="376" w:lineRule="auto"/>
        <w:jc w:val="left"/>
        <w:outlineLvl w:val="4"/>
        <w:rPr>
          <w:b w:val="0"/>
          <w:bCs w:val="0"/>
        </w:rPr>
      </w:pPr>
      <w:r>
        <w:rPr>
          <w:rFonts w:hint="default" w:ascii="仿宋_GB2312" w:hAnsi="Arial" w:eastAsia="仿宋_GB2312" w:cs="仿宋_GB2312"/>
          <w:b/>
          <w:bCs/>
          <w:i w:val="0"/>
          <w:iCs w:val="0"/>
          <w:color w:val="000000"/>
          <w:kern w:val="2"/>
          <w:sz w:val="32"/>
          <w:szCs w:val="32"/>
          <w:highlight w:val="none"/>
          <w:shd w:val="clear" w:color="FFFFFF" w:fill="auto"/>
          <w:vertAlign w:val="baseline"/>
          <w:lang w:val="en-US" w:eastAsia="zh-CN" w:bidi="ar-SA"/>
        </w:rPr>
        <w:t xml:space="preserve">    </w:t>
      </w:r>
      <w:r>
        <w:rPr>
          <w:rFonts w:hint="default" w:ascii="仿宋_GB2312" w:hAnsi="Arial" w:eastAsia="仿宋_GB2312" w:cs="仿宋_GB2312"/>
          <w:b w:val="0"/>
          <w:bCs w:val="0"/>
          <w:i w:val="0"/>
          <w:iCs w:val="0"/>
          <w:color w:val="000000"/>
          <w:kern w:val="2"/>
          <w:sz w:val="32"/>
          <w:szCs w:val="32"/>
          <w:highlight w:val="none"/>
          <w:shd w:val="clear" w:color="FFFFFF" w:fill="auto"/>
          <w:vertAlign w:val="baseline"/>
          <w:lang w:val="en-US" w:eastAsia="zh-CN" w:bidi="ar-SA"/>
        </w:rPr>
        <w:t xml:space="preserve"> （4）红原县过境路沿线网围栏提升改造项目（一期）安曲镇段项目，资金到位95.76万元，</w:t>
      </w:r>
      <w:r>
        <w:rPr>
          <w:rFonts w:hint="default" w:ascii="仿宋_GB2312" w:hAnsi="Arial" w:eastAsia="仿宋_GB2312" w:cs="仿宋_GB2312"/>
          <w:b w:val="0"/>
          <w:bCs w:val="0"/>
          <w:i w:val="0"/>
          <w:iCs w:val="0"/>
          <w:color w:val="000000"/>
          <w:kern w:val="2"/>
          <w:sz w:val="32"/>
          <w:szCs w:val="32"/>
          <w:highlight w:val="none"/>
          <w:shd w:val="clear" w:color="FFFFFF" w:fill="auto"/>
          <w:vertAlign w:val="baseline"/>
          <w:lang w:val="zh-CN" w:eastAsia="zh-CN" w:bidi="ar-SA"/>
        </w:rPr>
        <w:t>资金到位率满足前期申报标准，到位及时。</w:t>
      </w:r>
      <w:r>
        <w:rPr>
          <w:rFonts w:hint="default" w:ascii="仿宋_GB2312" w:hAnsi="Arial" w:eastAsia="仿宋_GB2312" w:cs="仿宋_GB2312"/>
          <w:b w:val="0"/>
          <w:bCs w:val="0"/>
          <w:i w:val="0"/>
          <w:iCs w:val="0"/>
          <w:color w:val="000000"/>
          <w:kern w:val="2"/>
          <w:sz w:val="32"/>
          <w:szCs w:val="32"/>
          <w:highlight w:val="none"/>
          <w:shd w:val="clear" w:color="FFFFFF" w:fill="auto"/>
          <w:vertAlign w:val="baseline"/>
          <w:lang w:val="en-US" w:eastAsia="zh-CN" w:bidi="ar-SA"/>
        </w:rPr>
        <w:t>2024年</w:t>
      </w:r>
      <w:r>
        <w:rPr>
          <w:rFonts w:hint="default" w:ascii="仿宋_GB2312" w:hAnsi="Arial" w:eastAsia="仿宋_GB2312" w:cs="仿宋_GB2312"/>
          <w:b w:val="0"/>
          <w:bCs w:val="0"/>
          <w:i w:val="0"/>
          <w:iCs w:val="0"/>
          <w:color w:val="000000"/>
          <w:kern w:val="2"/>
          <w:sz w:val="32"/>
          <w:szCs w:val="32"/>
          <w:highlight w:val="none"/>
          <w:shd w:val="clear" w:color="FFFFFF" w:fill="auto"/>
          <w:vertAlign w:val="baseline"/>
          <w:lang w:val="zh-CN" w:eastAsia="zh-CN" w:bidi="ar-SA"/>
        </w:rPr>
        <w:t>项目总投资</w:t>
      </w:r>
      <w:r>
        <w:rPr>
          <w:rFonts w:hint="default" w:ascii="仿宋_GB2312" w:hAnsi="Arial" w:eastAsia="仿宋_GB2312" w:cs="仿宋_GB2312"/>
          <w:b w:val="0"/>
          <w:bCs w:val="0"/>
          <w:i w:val="0"/>
          <w:iCs w:val="0"/>
          <w:color w:val="000000"/>
          <w:kern w:val="2"/>
          <w:sz w:val="32"/>
          <w:szCs w:val="32"/>
          <w:highlight w:val="none"/>
          <w:shd w:val="clear" w:color="FFFFFF" w:fill="auto"/>
          <w:vertAlign w:val="baseline"/>
          <w:lang w:val="en-US" w:eastAsia="zh-CN" w:bidi="ar-SA"/>
        </w:rPr>
        <w:t>95.76万元，严格按照项目程序使用及拨付资金，按照政府主导、群众主体，按照项目实施程序采取竞价、比选等招投标方式聘请有资质的施工单位进行建设。通过项目评审、招标程序，该项目于2024年完成项目部分建设内容。</w:t>
      </w:r>
    </w:p>
    <w:p w14:paraId="B9F33323">
      <w:pPr>
        <w:shd w:val="clear" w:color="FFFFFF" w:fill="auto"/>
        <w:spacing w:line="580" w:lineRule="exact"/>
        <w:ind w:firstLine="640" w:firstLineChars="200"/>
        <w:jc w:val="both"/>
      </w:pPr>
      <w:r>
        <w:rPr>
          <w:rFonts w:hint="default" w:ascii="仿宋_GB2312" w:hAnsi="Times New Roman" w:eastAsia="仿宋_GB2312" w:cs="仿宋_GB2312"/>
          <w:b w:val="0"/>
          <w:bCs w:val="0"/>
          <w:i w:val="0"/>
          <w:iCs w:val="0"/>
          <w:color w:val="auto"/>
          <w:kern w:val="2"/>
          <w:sz w:val="32"/>
          <w:szCs w:val="32"/>
          <w:highlight w:val="none"/>
          <w:shd w:val="clear" w:color="FFFFFF" w:fill="auto"/>
          <w:vertAlign w:val="baseline"/>
          <w:lang w:val="en-US" w:eastAsia="zh-CN" w:bidi="ar-SA"/>
        </w:rPr>
        <w:t xml:space="preserve">  </w:t>
      </w:r>
    </w:p>
    <w:tbl>
      <w:tblPr>
        <w:tblStyle w:val="19"/>
        <w:tblW w:w="9895" w:type="dxa"/>
        <w:jc w:val="center"/>
        <w:tblLayout w:type="fixed"/>
        <w:tblCellMar>
          <w:top w:w="15" w:type="dxa"/>
          <w:left w:w="15" w:type="dxa"/>
          <w:bottom w:w="15" w:type="dxa"/>
          <w:right w:w="15" w:type="dxa"/>
        </w:tblCellMar>
      </w:tblPr>
      <w:tblGrid>
        <w:gridCol w:w="373"/>
        <w:gridCol w:w="250"/>
        <w:gridCol w:w="199"/>
        <w:gridCol w:w="764"/>
        <w:gridCol w:w="225"/>
        <w:gridCol w:w="823"/>
        <w:gridCol w:w="199"/>
        <w:gridCol w:w="565"/>
        <w:gridCol w:w="172"/>
        <w:gridCol w:w="1010"/>
        <w:gridCol w:w="145"/>
        <w:gridCol w:w="1607"/>
        <w:gridCol w:w="104"/>
        <w:gridCol w:w="1465"/>
        <w:gridCol w:w="63"/>
        <w:gridCol w:w="58"/>
        <w:gridCol w:w="1347"/>
        <w:gridCol w:w="526"/>
      </w:tblGrid>
      <w:tr w14:paraId="6BD0F6CB">
        <w:tblPrEx>
          <w:tblCellMar>
            <w:top w:w="15" w:type="dxa"/>
            <w:left w:w="15" w:type="dxa"/>
            <w:bottom w:w="15" w:type="dxa"/>
            <w:right w:w="15" w:type="dxa"/>
          </w:tblCellMar>
        </w:tblPrEx>
        <w:trPr>
          <w:gridBefore w:val="1"/>
          <w:wBefore w:w="373" w:type="dxa"/>
          <w:trHeight w:val="285" w:hRule="atLeast"/>
          <w:jc w:val="center"/>
        </w:trPr>
        <w:tc>
          <w:tcPr>
            <w:tcW w:w="9522" w:type="dxa"/>
            <w:gridSpan w:val="17"/>
            <w:shd w:val="clear" w:color="FFFFFF" w:fill="auto"/>
            <w:tcMar>
              <w:top w:w="15" w:type="dxa"/>
              <w:left w:w="15" w:type="dxa"/>
              <w:bottom w:w="15" w:type="dxa"/>
              <w:right w:w="15" w:type="dxa"/>
            </w:tcMar>
            <w:vAlign w:val="center"/>
          </w:tcPr>
          <w:p w14:paraId="852E0B85">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项目支出绩效目标完成情况表1</w:t>
            </w:r>
          </w:p>
        </w:tc>
      </w:tr>
      <w:tr w14:paraId="583D84E0">
        <w:tblPrEx>
          <w:tblCellMar>
            <w:top w:w="15" w:type="dxa"/>
            <w:left w:w="15" w:type="dxa"/>
            <w:bottom w:w="15" w:type="dxa"/>
            <w:right w:w="15" w:type="dxa"/>
          </w:tblCellMar>
        </w:tblPrEx>
        <w:trPr>
          <w:gridBefore w:val="1"/>
          <w:wBefore w:w="373" w:type="dxa"/>
          <w:trHeight w:val="285"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86C6935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项目名称</w:t>
            </w:r>
          </w:p>
        </w:tc>
        <w:tc>
          <w:tcPr>
            <w:tcW w:w="7261" w:type="dxa"/>
            <w:gridSpan w:val="1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982DAD6D">
            <w:pPr>
              <w:shd w:val="clear" w:color="FFFFFF" w:fill="auto"/>
              <w:spacing w:line="240" w:lineRule="auto"/>
              <w:jc w:val="left"/>
            </w:pPr>
            <w:r>
              <w:rPr>
                <w:rFonts w:hint="default" w:ascii="仿宋_GB2312" w:hAnsi="Times New Roman" w:eastAsia="仿宋_GB2312" w:cs="仿宋_GB2312"/>
                <w:b w:val="0"/>
                <w:bCs w:val="0"/>
                <w:i w:val="0"/>
                <w:iCs w:val="0"/>
                <w:color w:val="auto"/>
                <w:w w:val="100"/>
                <w:kern w:val="2"/>
                <w:sz w:val="32"/>
                <w:szCs w:val="32"/>
                <w:highlight w:val="none"/>
                <w:shd w:val="clear" w:color="FFFFFF" w:fill="auto"/>
                <w:vertAlign w:val="baseline"/>
                <w:lang w:val="en-US" w:eastAsia="zh-CN" w:bidi="ar-SA"/>
              </w:rPr>
              <w:t>2023</w:t>
            </w:r>
            <w:r>
              <w:rPr>
                <w:rFonts w:hint="default" w:ascii="仿宋_GB2312" w:hAnsi="Times New Roman" w:eastAsia="仿宋_GB2312" w:cs="仿宋_GB2312"/>
                <w:b w:val="0"/>
                <w:bCs w:val="0"/>
                <w:i w:val="0"/>
                <w:iCs w:val="0"/>
                <w:color w:val="auto"/>
                <w:kern w:val="2"/>
                <w:sz w:val="32"/>
                <w:szCs w:val="32"/>
                <w:highlight w:val="none"/>
                <w:shd w:val="clear" w:color="FFFFFF" w:fill="auto"/>
                <w:vertAlign w:val="baseline"/>
                <w:lang w:val="en-US" w:eastAsia="zh-CN" w:bidi="ar-SA"/>
              </w:rPr>
              <w:t>年安曲镇村内道路补短项目</w:t>
            </w:r>
          </w:p>
        </w:tc>
      </w:tr>
      <w:tr w14:paraId="445E4A8C">
        <w:tblPrEx>
          <w:tblCellMar>
            <w:top w:w="15" w:type="dxa"/>
            <w:left w:w="15" w:type="dxa"/>
            <w:bottom w:w="15" w:type="dxa"/>
            <w:right w:w="15" w:type="dxa"/>
          </w:tblCellMar>
        </w:tblPrEx>
        <w:trPr>
          <w:gridBefore w:val="1"/>
          <w:wBefore w:w="373" w:type="dxa"/>
          <w:trHeight w:val="287"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8C08D61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预算单位</w:t>
            </w:r>
          </w:p>
        </w:tc>
        <w:tc>
          <w:tcPr>
            <w:tcW w:w="7261" w:type="dxa"/>
            <w:gridSpan w:val="1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DA7B660">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红原县安曲镇人民政府</w:t>
            </w:r>
          </w:p>
        </w:tc>
      </w:tr>
      <w:tr w14:paraId="1EB54B3D">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DFB1EE9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B449C85">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E980127">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92</w:t>
            </w:r>
          </w:p>
        </w:tc>
        <w:tc>
          <w:tcPr>
            <w:tcW w:w="175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73C72FD">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执行数:</w:t>
            </w:r>
          </w:p>
        </w:tc>
        <w:tc>
          <w:tcPr>
            <w:tcW w:w="3563" w:type="dxa"/>
            <w:gridSpan w:val="6"/>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D8392A5">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92</w:t>
            </w:r>
          </w:p>
        </w:tc>
      </w:tr>
      <w:tr w14:paraId="1E8D0031">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D41770F">
            <w:pPr>
              <w:widowControl/>
              <w:shd w:val="clear" w:color="FFFFFF" w:fill="auto"/>
              <w:spacing w:line="240" w:lineRule="auto"/>
              <w:jc w:val="left"/>
              <w:textAlignment w:val="center"/>
            </w:pPr>
          </w:p>
        </w:tc>
        <w:tc>
          <w:tcPr>
            <w:tcW w:w="181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A6DC33D">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EA0024F">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92</w:t>
            </w:r>
          </w:p>
        </w:tc>
        <w:tc>
          <w:tcPr>
            <w:tcW w:w="175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F6CE392F">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其中-财政拨款:</w:t>
            </w:r>
          </w:p>
        </w:tc>
        <w:tc>
          <w:tcPr>
            <w:tcW w:w="3563" w:type="dxa"/>
            <w:gridSpan w:val="6"/>
            <w:tcBorders>
              <w:top w:val="single" w:color="000000" w:sz="4" w:space="0"/>
              <w:left w:val="single" w:color="000000" w:sz="4" w:space="0"/>
              <w:bottom w:val="single" w:color="000000" w:sz="4" w:space="0"/>
              <w:right w:val="single" w:color="000000" w:sz="4" w:space="0"/>
            </w:tcBorders>
            <w:shd w:val="clear" w:color="FFFFFF" w:fill="auto"/>
            <w:vAlign w:val="center"/>
          </w:tcPr>
          <w:p w14:paraId="01C2463A">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92</w:t>
            </w:r>
          </w:p>
        </w:tc>
      </w:tr>
      <w:tr w14:paraId="680F53C4">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5CE880B">
            <w:pPr>
              <w:widowControl/>
              <w:shd w:val="clear" w:color="FFFFFF" w:fill="auto"/>
              <w:spacing w:line="240" w:lineRule="auto"/>
              <w:jc w:val="left"/>
              <w:textAlignment w:val="center"/>
            </w:pPr>
          </w:p>
        </w:tc>
        <w:tc>
          <w:tcPr>
            <w:tcW w:w="181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C4DE8C0">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67B65A20">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8146B81">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其它资金:</w:t>
            </w:r>
          </w:p>
        </w:tc>
        <w:tc>
          <w:tcPr>
            <w:tcW w:w="3563" w:type="dxa"/>
            <w:gridSpan w:val="6"/>
            <w:tcBorders>
              <w:top w:val="single" w:color="000000" w:sz="4" w:space="0"/>
              <w:left w:val="single" w:color="000000" w:sz="4" w:space="0"/>
              <w:bottom w:val="single" w:color="000000" w:sz="4" w:space="0"/>
              <w:right w:val="single" w:color="000000" w:sz="4" w:space="0"/>
            </w:tcBorders>
            <w:shd w:val="clear" w:color="FFFFFF" w:fill="auto"/>
            <w:vAlign w:val="center"/>
          </w:tcPr>
          <w:p w14:paraId="AA27B052">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0</w:t>
            </w:r>
          </w:p>
        </w:tc>
      </w:tr>
      <w:tr w14:paraId="20B896E6">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D648913">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0339726">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预期目标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3F33CA4">
            <w:pPr>
              <w:widowControl/>
              <w:shd w:val="clear" w:color="FFFFFF" w:fill="auto"/>
              <w:spacing w:line="240" w:lineRule="auto"/>
              <w:jc w:val="left"/>
              <w:textAlignment w:val="center"/>
            </w:pPr>
            <w:r>
              <w:rPr>
                <w:rFonts w:hint="default" w:ascii="宋体" w:hAnsi="Times New Roman" w:eastAsia="宋体" w:cs="宋体"/>
                <w:b/>
                <w:bCs/>
                <w:i w:val="0"/>
                <w:iCs w:val="0"/>
                <w:color w:val="auto"/>
                <w:kern w:val="0"/>
                <w:sz w:val="24"/>
                <w:szCs w:val="24"/>
                <w:highlight w:val="none"/>
                <w:shd w:val="clear" w:color="FFFFFF" w:fill="auto"/>
                <w:vertAlign w:val="baseline"/>
                <w:lang w:val="en-US" w:eastAsia="zh-CN" w:bidi="ar-SA"/>
              </w:rPr>
              <w:t>实际完成目标</w:t>
            </w:r>
          </w:p>
        </w:tc>
      </w:tr>
      <w:tr w14:paraId="502424BC">
        <w:tblPrEx>
          <w:tblCellMar>
            <w:top w:w="15" w:type="dxa"/>
            <w:left w:w="15" w:type="dxa"/>
            <w:bottom w:w="15" w:type="dxa"/>
            <w:right w:w="15" w:type="dxa"/>
          </w:tblCellMar>
        </w:tblPrEx>
        <w:trPr>
          <w:gridBefore w:val="1"/>
          <w:wBefore w:w="373" w:type="dxa"/>
          <w:trHeight w:val="19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5D8C6D5">
            <w:pPr>
              <w:widowControl/>
              <w:shd w:val="clear" w:color="FFFFFF" w:fill="auto"/>
              <w:spacing w:line="240" w:lineRule="auto"/>
              <w:jc w:val="left"/>
              <w:textAlignment w:val="center"/>
            </w:pPr>
          </w:p>
        </w:tc>
        <w:tc>
          <w:tcPr>
            <w:tcW w:w="2576"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3DD031C">
            <w:pPr>
              <w:shd w:val="clear" w:color="FFFFFF" w:fill="auto"/>
              <w:spacing w:line="240" w:lineRule="auto"/>
              <w:jc w:val="left"/>
            </w:pPr>
            <w:r>
              <w:rPr>
                <w:rFonts w:hint="default" w:ascii="宋体" w:hAnsi="Times New Roman" w:eastAsia="宋体" w:cs="宋体"/>
                <w:b/>
                <w:bCs/>
                <w:i w:val="0"/>
                <w:iCs w:val="0"/>
                <w:color w:val="auto"/>
                <w:kern w:val="2"/>
                <w:sz w:val="24"/>
                <w:szCs w:val="24"/>
                <w:highlight w:val="none"/>
                <w:shd w:val="clear" w:color="FFFFFF" w:fill="auto"/>
                <w:vertAlign w:val="baseline"/>
                <w:lang w:val="en-US" w:eastAsia="zh-CN" w:bidi="ar-SA"/>
              </w:rPr>
              <w:t>完成年度目标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FFFFFF" w:fill="auto"/>
            <w:vAlign w:val="center"/>
          </w:tcPr>
          <w:p w14:paraId="4957B220">
            <w:pPr>
              <w:shd w:val="clear" w:color="FFFFFF" w:fill="auto"/>
              <w:spacing w:line="240" w:lineRule="auto"/>
              <w:jc w:val="left"/>
            </w:pPr>
            <w:r>
              <w:rPr>
                <w:rFonts w:hint="default" w:ascii="宋体" w:hAnsi="Times New Roman" w:eastAsia="宋体" w:cs="宋体"/>
                <w:b w:val="0"/>
                <w:bCs w:val="0"/>
                <w:i w:val="0"/>
                <w:iCs w:val="0"/>
                <w:color w:val="auto"/>
                <w:kern w:val="2"/>
                <w:sz w:val="24"/>
                <w:szCs w:val="24"/>
                <w:highlight w:val="none"/>
                <w:shd w:val="clear" w:color="FFFFFF" w:fill="auto"/>
                <w:vertAlign w:val="baseline"/>
                <w:lang w:val="en-US" w:eastAsia="zh-CN" w:bidi="ar-SA"/>
              </w:rPr>
              <w:t>在安曲镇下辖三个村内新建提升村内道路33000㎡。</w:t>
            </w:r>
          </w:p>
        </w:tc>
      </w:tr>
      <w:tr w14:paraId="2DFE9564">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703774C">
            <w:pPr>
              <w:widowControl/>
              <w:shd w:val="clear" w:color="FFFFFF" w:fill="auto"/>
              <w:spacing w:line="240" w:lineRule="auto"/>
              <w:jc w:val="left"/>
              <w:textAlignment w:val="center"/>
            </w:pPr>
            <w:r>
              <w:rPr>
                <w:rFonts w:hint="default" w:ascii="仿宋_GB2312" w:hAnsi="Times New Roman" w:eastAsia="仿宋_GB2312" w:cs="仿宋_GB2312"/>
                <w:b w:val="0"/>
                <w:bCs w:val="0"/>
                <w:i w:val="0"/>
                <w:iCs w:val="0"/>
                <w:color w:val="auto"/>
                <w:kern w:val="0"/>
                <w:sz w:val="24"/>
                <w:szCs w:val="24"/>
                <w:highlight w:val="none"/>
                <w:shd w:val="clear" w:color="FFFFFF" w:fill="auto"/>
                <w:vertAlign w:val="baseline"/>
                <w:lang w:val="en-US" w:eastAsia="zh-CN" w:bidi="ar-SA"/>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A9F0902">
            <w:pPr>
              <w:widowControl/>
              <w:shd w:val="clear" w:color="FFFFFF" w:fill="auto"/>
              <w:spacing w:line="240" w:lineRule="auto"/>
              <w:jc w:val="left"/>
              <w:textAlignment w:val="bottom"/>
            </w:pPr>
            <w:r>
              <w:rPr>
                <w:rFonts w:hint="default" w:ascii="宋体" w:hAnsi="Times New Roman" w:eastAsia="宋体" w:cs="宋体"/>
                <w:b/>
                <w:bCs/>
                <w:i w:val="0"/>
                <w:iCs w:val="0"/>
                <w:color w:val="auto"/>
                <w:kern w:val="0"/>
                <w:sz w:val="20"/>
                <w:szCs w:val="20"/>
                <w:highlight w:val="none"/>
                <w:shd w:val="clear" w:color="FFFFFF" w:fill="auto"/>
                <w:vertAlign w:val="baseline"/>
                <w:lang w:val="en-US" w:eastAsia="zh-CN" w:bidi="ar-SA"/>
              </w:rPr>
              <w:t>一级指标</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A90D362">
            <w:pPr>
              <w:widowControl/>
              <w:shd w:val="clear" w:color="FFFFFF" w:fill="auto"/>
              <w:spacing w:line="240" w:lineRule="auto"/>
              <w:jc w:val="left"/>
              <w:textAlignment w:val="bottom"/>
            </w:pPr>
            <w:r>
              <w:rPr>
                <w:rFonts w:hint="default" w:ascii="宋体" w:hAnsi="Times New Roman" w:eastAsia="宋体" w:cs="宋体"/>
                <w:b/>
                <w:bCs/>
                <w:i w:val="0"/>
                <w:iCs w:val="0"/>
                <w:color w:val="auto"/>
                <w:kern w:val="0"/>
                <w:sz w:val="20"/>
                <w:szCs w:val="20"/>
                <w:highlight w:val="none"/>
                <w:shd w:val="clear" w:color="FFFFFF" w:fill="auto"/>
                <w:vertAlign w:val="baseline"/>
                <w:lang w:val="en-US" w:eastAsia="zh-CN" w:bidi="ar-SA"/>
              </w:rPr>
              <w:t>二级指标</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23EA764">
            <w:pPr>
              <w:widowControl/>
              <w:shd w:val="clear" w:color="FFFFFF" w:fill="auto"/>
              <w:spacing w:line="240" w:lineRule="auto"/>
              <w:jc w:val="left"/>
              <w:textAlignment w:val="bottom"/>
            </w:pPr>
            <w:r>
              <w:rPr>
                <w:rFonts w:hint="default" w:ascii="宋体" w:hAnsi="Times New Roman" w:eastAsia="宋体" w:cs="宋体"/>
                <w:b/>
                <w:bCs/>
                <w:i w:val="0"/>
                <w:iCs w:val="0"/>
                <w:color w:val="auto"/>
                <w:kern w:val="0"/>
                <w:sz w:val="20"/>
                <w:szCs w:val="20"/>
                <w:highlight w:val="none"/>
                <w:shd w:val="clear" w:color="FFFFFF" w:fill="auto"/>
                <w:vertAlign w:val="baseline"/>
                <w:lang w:val="en-US" w:eastAsia="zh-CN" w:bidi="ar-SA"/>
              </w:rPr>
              <w:t>三级指标</w:t>
            </w:r>
          </w:p>
        </w:tc>
        <w:tc>
          <w:tcPr>
            <w:tcW w:w="2934" w:type="dxa"/>
            <w:gridSpan w:val="4"/>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76BFC67">
            <w:pPr>
              <w:widowControl/>
              <w:shd w:val="clear" w:color="FFFFFF" w:fill="auto"/>
              <w:spacing w:line="240" w:lineRule="auto"/>
              <w:jc w:val="left"/>
              <w:textAlignment w:val="bottom"/>
            </w:pPr>
            <w:r>
              <w:rPr>
                <w:rFonts w:hint="default" w:ascii="宋体" w:hAnsi="Times New Roman" w:eastAsia="宋体" w:cs="宋体"/>
                <w:b/>
                <w:bCs/>
                <w:i w:val="0"/>
                <w:iCs w:val="0"/>
                <w:color w:val="auto"/>
                <w:kern w:val="0"/>
                <w:sz w:val="20"/>
                <w:szCs w:val="20"/>
                <w:highlight w:val="none"/>
                <w:shd w:val="clear" w:color="FFFFFF" w:fill="auto"/>
                <w:vertAlign w:val="baseline"/>
                <w:lang w:val="en-US" w:eastAsia="zh-CN" w:bidi="ar-SA"/>
              </w:rPr>
              <w:t>指标评价内容</w:t>
            </w:r>
          </w:p>
        </w:tc>
        <w:tc>
          <w:tcPr>
            <w:tcW w:w="1632"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F6CAC5C">
            <w:pPr>
              <w:widowControl/>
              <w:shd w:val="clear" w:color="FFFFFF" w:fill="auto"/>
              <w:spacing w:line="240" w:lineRule="auto"/>
              <w:jc w:val="left"/>
              <w:textAlignment w:val="bottom"/>
            </w:pPr>
            <w:r>
              <w:rPr>
                <w:rFonts w:hint="default" w:ascii="宋体" w:hAnsi="Times New Roman" w:eastAsia="宋体" w:cs="宋体"/>
                <w:b/>
                <w:bCs/>
                <w:i w:val="0"/>
                <w:iCs w:val="0"/>
                <w:color w:val="auto"/>
                <w:kern w:val="0"/>
                <w:sz w:val="20"/>
                <w:szCs w:val="20"/>
                <w:highlight w:val="none"/>
                <w:shd w:val="clear" w:color="FFFFFF" w:fill="auto"/>
                <w:vertAlign w:val="baseline"/>
                <w:lang w:val="en-US" w:eastAsia="zh-CN" w:bidi="ar-SA"/>
              </w:rPr>
              <w:t>预期指标值(包含数字及文字描述)</w:t>
            </w:r>
          </w:p>
        </w:tc>
        <w:tc>
          <w:tcPr>
            <w:tcW w:w="1931"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3C758BB">
            <w:pPr>
              <w:widowControl/>
              <w:shd w:val="clear" w:color="FFFFFF" w:fill="auto"/>
              <w:spacing w:line="240" w:lineRule="auto"/>
              <w:jc w:val="left"/>
              <w:textAlignment w:val="bottom"/>
            </w:pPr>
            <w:r>
              <w:rPr>
                <w:rFonts w:hint="default" w:ascii="宋体" w:hAnsi="Times New Roman" w:eastAsia="宋体" w:cs="宋体"/>
                <w:b/>
                <w:bCs/>
                <w:i w:val="0"/>
                <w:iCs w:val="0"/>
                <w:color w:val="auto"/>
                <w:kern w:val="0"/>
                <w:sz w:val="20"/>
                <w:szCs w:val="20"/>
                <w:highlight w:val="none"/>
                <w:shd w:val="clear" w:color="FFFFFF" w:fill="auto"/>
                <w:vertAlign w:val="baseline"/>
                <w:lang w:val="en-US" w:eastAsia="zh-CN" w:bidi="ar-SA"/>
              </w:rPr>
              <w:t>实际完成指标值(包含数字及文字描述)</w:t>
            </w:r>
          </w:p>
        </w:tc>
      </w:tr>
      <w:tr w14:paraId="52761105">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F2F8CDE">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B9DAE05">
            <w:pPr>
              <w:widowControl/>
              <w:shd w:val="clear" w:color="FFFFFF" w:fill="auto"/>
              <w:spacing w:line="240" w:lineRule="auto"/>
              <w:jc w:val="left"/>
              <w:textAlignment w:val="bottom"/>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1B70A1B">
            <w:pPr>
              <w:widowControl/>
              <w:shd w:val="clear" w:color="FFFFFF" w:fill="auto"/>
              <w:spacing w:line="240" w:lineRule="auto"/>
              <w:jc w:val="left"/>
              <w:textAlignment w:val="bottom"/>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23D2EA2">
            <w:pPr>
              <w:widowControl/>
              <w:shd w:val="clear" w:color="FFFFFF" w:fill="auto"/>
              <w:spacing w:line="240" w:lineRule="auto"/>
              <w:jc w:val="left"/>
              <w:textAlignment w:val="bottom"/>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6FB24A2">
            <w:pPr>
              <w:widowControl/>
              <w:shd w:val="clear" w:color="FFFFFF" w:fill="auto"/>
              <w:spacing w:line="240" w:lineRule="auto"/>
              <w:jc w:val="left"/>
              <w:textAlignment w:val="bottom"/>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03B4FBA">
            <w:pPr>
              <w:widowControl/>
              <w:shd w:val="clear" w:color="FFFFFF" w:fill="auto"/>
              <w:spacing w:line="240" w:lineRule="auto"/>
              <w:jc w:val="left"/>
              <w:textAlignment w:val="bottom"/>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3909F7E">
            <w:pPr>
              <w:widowControl/>
              <w:shd w:val="clear" w:color="FFFFFF" w:fill="auto"/>
              <w:spacing w:line="240" w:lineRule="auto"/>
              <w:jc w:val="left"/>
              <w:textAlignment w:val="bottom"/>
            </w:pPr>
          </w:p>
        </w:tc>
      </w:tr>
      <w:tr w14:paraId="0496946D">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20E9E5A">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48C9F0E">
            <w:pPr>
              <w:widowControl/>
              <w:shd w:val="clear" w:color="FFFFFF" w:fill="auto"/>
              <w:spacing w:line="240" w:lineRule="auto"/>
              <w:jc w:val="left"/>
              <w:textAlignment w:val="bottom"/>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05149FD6">
            <w:pPr>
              <w:widowControl/>
              <w:shd w:val="clear" w:color="FFFFFF" w:fill="auto"/>
              <w:spacing w:line="240" w:lineRule="auto"/>
              <w:jc w:val="left"/>
              <w:textAlignment w:val="bottom"/>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D8DE9DB">
            <w:pPr>
              <w:widowControl/>
              <w:shd w:val="clear" w:color="FFFFFF" w:fill="auto"/>
              <w:spacing w:line="240" w:lineRule="auto"/>
              <w:jc w:val="left"/>
              <w:textAlignment w:val="bottom"/>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2416393E">
            <w:pPr>
              <w:widowControl/>
              <w:shd w:val="clear" w:color="FFFFFF" w:fill="auto"/>
              <w:spacing w:line="240" w:lineRule="auto"/>
              <w:jc w:val="left"/>
              <w:textAlignment w:val="bottom"/>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3E09ED7">
            <w:pPr>
              <w:widowControl/>
              <w:shd w:val="clear" w:color="FFFFFF" w:fill="auto"/>
              <w:spacing w:line="240" w:lineRule="auto"/>
              <w:jc w:val="left"/>
              <w:textAlignment w:val="bottom"/>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90D9520">
            <w:pPr>
              <w:widowControl/>
              <w:shd w:val="clear" w:color="FFFFFF" w:fill="auto"/>
              <w:spacing w:line="240" w:lineRule="auto"/>
              <w:jc w:val="left"/>
              <w:textAlignment w:val="bottom"/>
            </w:pPr>
          </w:p>
        </w:tc>
      </w:tr>
      <w:tr w14:paraId="18809A5B">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071BC29">
            <w:pPr>
              <w:widowControl/>
              <w:shd w:val="clear" w:color="FFFFFF" w:fill="auto"/>
              <w:spacing w:line="240" w:lineRule="auto"/>
              <w:jc w:val="left"/>
              <w:textAlignment w:val="cente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1E8AF6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项目决策</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600FEC5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163A44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目标内容</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D3E2F5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项目预期提供的产品、服务、效益或其他目标明确,即绩效目标实际明确个数/应当明确个数×100%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DF7B8D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发展产业基础设施建设建设</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8A0EB3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产业基础设施建设建设</w:t>
            </w:r>
          </w:p>
        </w:tc>
      </w:tr>
      <w:tr w14:paraId="28ED9245">
        <w:tblPrEx>
          <w:tblCellMar>
            <w:top w:w="15" w:type="dxa"/>
            <w:left w:w="15" w:type="dxa"/>
            <w:bottom w:w="15" w:type="dxa"/>
            <w:right w:w="15" w:type="dxa"/>
          </w:tblCellMar>
        </w:tblPrEx>
        <w:trPr>
          <w:gridBefore w:val="1"/>
          <w:wBefore w:w="373" w:type="dxa"/>
          <w:trHeight w:val="64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AB811BB">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2C37034C">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1A1F8D56">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7410F9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进度计划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04A9B1B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项目计划实施进度明确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86EF5ED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工期一年</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23791F1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已完成</w:t>
            </w:r>
          </w:p>
        </w:tc>
      </w:tr>
      <w:tr w14:paraId="69DF10AA">
        <w:tblPrEx>
          <w:tblCellMar>
            <w:top w:w="15" w:type="dxa"/>
            <w:left w:w="15" w:type="dxa"/>
            <w:bottom w:w="15" w:type="dxa"/>
            <w:right w:w="15" w:type="dxa"/>
          </w:tblCellMar>
        </w:tblPrEx>
        <w:trPr>
          <w:gridBefore w:val="1"/>
          <w:wBefore w:w="373" w:type="dxa"/>
          <w:trHeight w:val="6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B0F9D96">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076E9B3">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72EF7E42">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BE5A4F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目标匹配</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303BDB4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绩效目标设定符合实际需求的抽样项目点个数/抽样项目点总数×100%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6856DB6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98BF816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w:t>
            </w:r>
          </w:p>
        </w:tc>
      </w:tr>
      <w:tr w14:paraId="721669DE">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62E07239">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2D25AD79">
            <w:pPr>
              <w:widowControl/>
              <w:shd w:val="clear" w:color="FFFFFF" w:fill="auto"/>
              <w:spacing w:line="240" w:lineRule="auto"/>
              <w:jc w:val="left"/>
              <w:textAlignment w:val="cente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80B0A13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决策依据</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63BA98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政策依据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16B7F0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项目符合党中央、国务院和省委、省政府决策部署；符合当前经济社会发展需要</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E956E05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B56221A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60762A61">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150A66A">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6DE3BD6B">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4294CE23">
            <w:pPr>
              <w:widowControl/>
              <w:shd w:val="clear" w:color="FFFFFF" w:fill="auto"/>
              <w:spacing w:line="240" w:lineRule="auto"/>
              <w:jc w:val="left"/>
              <w:textAlignment w:val="bottom"/>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775B96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C80D0E9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连续性项目根据需要制定中长期实施规划</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DEDADD8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61025CA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770B456C">
        <w:tblPrEx>
          <w:tblCellMar>
            <w:top w:w="15" w:type="dxa"/>
            <w:left w:w="15" w:type="dxa"/>
            <w:bottom w:w="15" w:type="dxa"/>
            <w:right w:w="15" w:type="dxa"/>
          </w:tblCellMar>
        </w:tblPrEx>
        <w:trPr>
          <w:gridBefore w:val="1"/>
          <w:wBefore w:w="373" w:type="dxa"/>
          <w:trHeight w:val="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56D6E7E">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206D7FC">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2CC67C69">
            <w:pPr>
              <w:widowControl/>
              <w:shd w:val="clear" w:color="FFFFFF" w:fill="auto"/>
              <w:spacing w:line="240" w:lineRule="auto"/>
              <w:jc w:val="left"/>
              <w:textAlignment w:val="bottom"/>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55CEA8A">
            <w:pPr>
              <w:widowControl/>
              <w:shd w:val="clear" w:color="FFFFFF" w:fill="auto"/>
              <w:spacing w:line="240" w:lineRule="auto"/>
              <w:jc w:val="left"/>
              <w:textAlignment w:val="bottom"/>
            </w:pP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7F0925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实施规划符合实际，并根据情况变化适时调整</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E2AD7E9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B0DD82C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3C5E96DE">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C94D43F">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5D1BA69">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33D73920">
            <w:pPr>
              <w:widowControl/>
              <w:shd w:val="clear" w:color="FFFFFF" w:fill="auto"/>
              <w:spacing w:line="240" w:lineRule="auto"/>
              <w:jc w:val="left"/>
              <w:textAlignment w:val="bottom"/>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214E17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管理制度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87C58CF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制定项目资金管理办法</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B973B4B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红原县项目资金管理办法</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D7F098B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5E312167">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6993673">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24B71DD">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E516D33">
            <w:pPr>
              <w:widowControl/>
              <w:shd w:val="clear" w:color="FFFFFF" w:fill="auto"/>
              <w:spacing w:line="240" w:lineRule="auto"/>
              <w:jc w:val="left"/>
              <w:textAlignment w:val="bottom"/>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A2D7BF8">
            <w:pPr>
              <w:widowControl/>
              <w:shd w:val="clear" w:color="FFFFFF" w:fill="auto"/>
              <w:spacing w:line="240" w:lineRule="auto"/>
              <w:jc w:val="left"/>
              <w:textAlignment w:val="bottom"/>
            </w:pP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63874C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项目资金分配决策程序明确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2D87C65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EB7C215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36158506">
        <w:tblPrEx>
          <w:tblCellMar>
            <w:top w:w="15" w:type="dxa"/>
            <w:left w:w="15" w:type="dxa"/>
            <w:bottom w:w="15" w:type="dxa"/>
            <w:right w:w="15" w:type="dxa"/>
          </w:tblCellMar>
        </w:tblPrEx>
        <w:trPr>
          <w:gridBefore w:val="1"/>
          <w:wBefore w:w="373" w:type="dxa"/>
          <w:trHeight w:val="82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C97FE00">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22344D2">
            <w:pPr>
              <w:widowControl/>
              <w:shd w:val="clear" w:color="FFFFFF" w:fill="auto"/>
              <w:spacing w:line="240" w:lineRule="auto"/>
              <w:jc w:val="left"/>
              <w:textAlignment w:val="cente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B3F7E05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2E615E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分配方法</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33FEB9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资金分配方法是否科学合理</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8216164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6CB8005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777D346E">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491AC38">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270C1BBB">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2DC30068">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FC1AC2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C857F2D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分配过程符合相关规定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722541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DC2C643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 xml:space="preserve">是 </w:t>
            </w:r>
          </w:p>
        </w:tc>
      </w:tr>
      <w:tr w14:paraId="21D5EED5">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D18FF45">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C85EB11">
            <w:pPr>
              <w:widowControl/>
              <w:shd w:val="clear" w:color="FFFFFF" w:fill="auto"/>
              <w:spacing w:line="240" w:lineRule="auto"/>
              <w:jc w:val="left"/>
              <w:textAlignment w:val="cente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A700361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分配结果</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1BA846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审核把关</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0FA871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符合申报条件的抽样项目点个数/抽样项目点总数×100%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1ACEFA4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D6FEF95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 xml:space="preserve"> 1</w:t>
            </w:r>
          </w:p>
        </w:tc>
      </w:tr>
      <w:tr w14:paraId="3B9207EC">
        <w:tblPrEx>
          <w:tblCellMar>
            <w:top w:w="15" w:type="dxa"/>
            <w:left w:w="15" w:type="dxa"/>
            <w:bottom w:w="15" w:type="dxa"/>
            <w:right w:w="15" w:type="dxa"/>
          </w:tblCellMar>
        </w:tblPrEx>
        <w:trPr>
          <w:gridBefore w:val="1"/>
          <w:wBefore w:w="373" w:type="dxa"/>
          <w:trHeight w:val="10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A2793A0">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40FF946">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25A0D2C3">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4EE978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资金集中</w:t>
            </w:r>
          </w:p>
        </w:tc>
        <w:tc>
          <w:tcPr>
            <w:tcW w:w="118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5A91C9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集中</w:t>
            </w:r>
          </w:p>
        </w:tc>
        <w:tc>
          <w:tcPr>
            <w:tcW w:w="175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B098E7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财政资金占项目资金总额比重较小项目个数/项目总数×100%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180A6C6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68F4A3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15FE1791">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2690681">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4431CF50">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3C0FA6F">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3574C0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18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75B992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75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E684DE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按实际分配结果选择客观因素测算验证资金分配方法制定、分配要素设定、基础数据应用、测算依据选取等是否科学合理（2分）</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1E86B00D">
            <w:pPr>
              <w:shd w:val="clear" w:color="FFFFFF" w:fill="auto"/>
              <w:spacing w:line="240" w:lineRule="auto"/>
              <w:jc w:val="left"/>
            </w:pP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12ABF175">
            <w:pPr>
              <w:shd w:val="clear" w:color="FFFFFF" w:fill="auto"/>
              <w:spacing w:line="240" w:lineRule="auto"/>
              <w:jc w:val="left"/>
            </w:pPr>
          </w:p>
        </w:tc>
      </w:tr>
      <w:tr w14:paraId="2CE21FF6">
        <w:tblPrEx>
          <w:tblCellMar>
            <w:top w:w="15" w:type="dxa"/>
            <w:left w:w="15" w:type="dxa"/>
            <w:bottom w:w="15" w:type="dxa"/>
            <w:right w:w="15" w:type="dxa"/>
          </w:tblCellMar>
        </w:tblPrEx>
        <w:trPr>
          <w:gridBefore w:val="1"/>
          <w:wBefore w:w="373" w:type="dxa"/>
          <w:trHeight w:val="54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E9CC13C">
            <w:pPr>
              <w:widowControl/>
              <w:shd w:val="clear" w:color="FFFFFF" w:fill="auto"/>
              <w:spacing w:line="240" w:lineRule="auto"/>
              <w:jc w:val="left"/>
              <w:textAlignment w:val="cente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C0A4ACD1">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项目管理</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FABB7EB9">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资金到位</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0FB36B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59029B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县级主管部门按规定及时分配资金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638149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572343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34F403E6">
        <w:tblPrEx>
          <w:tblCellMar>
            <w:top w:w="15" w:type="dxa"/>
            <w:left w:w="15" w:type="dxa"/>
            <w:bottom w:w="15" w:type="dxa"/>
            <w:right w:w="15" w:type="dxa"/>
          </w:tblCellMar>
        </w:tblPrEx>
        <w:trPr>
          <w:gridBefore w:val="1"/>
          <w:wBefore w:w="373" w:type="dxa"/>
          <w:trHeight w:val="11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0D34177">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762C6740">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217BD3B5">
            <w:pPr>
              <w:widowControl/>
              <w:shd w:val="clear" w:color="FFFFFF" w:fill="auto"/>
              <w:spacing w:line="240" w:lineRule="auto"/>
              <w:jc w:val="left"/>
              <w:textAlignment w:val="center"/>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B8F2C8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资金拨付</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9B9E30E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按规定及时拨付资金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4AD787B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按工程进度拨付</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E69A36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按工程进度拨付</w:t>
            </w:r>
          </w:p>
        </w:tc>
      </w:tr>
      <w:tr w14:paraId="5AEB46FE">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D8B5CEC">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0A7ED638">
            <w:pPr>
              <w:widowControl/>
              <w:shd w:val="clear" w:color="FFFFFF" w:fill="auto"/>
              <w:spacing w:line="240" w:lineRule="auto"/>
              <w:jc w:val="left"/>
              <w:textAlignment w:val="cente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ECE8C544">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资金管理  </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DAEAF0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使用范围</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D98457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资金使用是否合规</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5C9F032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1B3F1BB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A1A1D94">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8CB2423">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0E226B47">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74ACD11A">
            <w:pPr>
              <w:widowControl/>
              <w:shd w:val="clear" w:color="FFFFFF" w:fill="auto"/>
              <w:spacing w:line="240" w:lineRule="auto"/>
              <w:jc w:val="left"/>
              <w:textAlignment w:val="center"/>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644452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支付依据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58C64BB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资金支付依据符合规定，即支付依旧合规资金量/资金总量×100%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31D0D84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35A55F4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0D553C02">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3E083EF">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0934128F">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2DA127FB">
            <w:pPr>
              <w:widowControl/>
              <w:shd w:val="clear" w:color="FFFFFF" w:fill="auto"/>
              <w:spacing w:line="240" w:lineRule="auto"/>
              <w:jc w:val="left"/>
              <w:textAlignment w:val="center"/>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B8130F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开支标准</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3A21228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资金开支标准符合规定，即开支标准合规资金量/资金总量×100%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A1FF31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EAC263B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7CF9C357">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5D1740B">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37829D54">
            <w:pPr>
              <w:widowControl/>
              <w:shd w:val="clear" w:color="FFFFFF" w:fill="auto"/>
              <w:spacing w:line="240" w:lineRule="auto"/>
              <w:jc w:val="left"/>
              <w:textAlignment w:val="cente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E439708F">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财务管理</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80FC9C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88E0E8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财务制度健全，管理规范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BDF7721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47C4F19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1A0CF7DE">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31C4F12">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DC43B18">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366E5FC">
            <w:pPr>
              <w:widowControl/>
              <w:shd w:val="clear" w:color="FFFFFF" w:fill="auto"/>
              <w:spacing w:line="240" w:lineRule="auto"/>
              <w:jc w:val="left"/>
              <w:textAlignment w:val="center"/>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F732AE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7BDE68E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0941EF7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AC5D46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764EF260">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B8F9C40">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30A86840">
            <w:pPr>
              <w:widowControl/>
              <w:shd w:val="clear" w:color="FFFFFF" w:fill="auto"/>
              <w:spacing w:line="240" w:lineRule="auto"/>
              <w:jc w:val="left"/>
              <w:textAlignment w:val="cente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67FEC42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组织实施（4分）</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B6AF5C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B78204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项目调整严格履行相关手续</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453B8D2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30C1EB3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该项目未存在调整</w:t>
            </w:r>
          </w:p>
        </w:tc>
      </w:tr>
      <w:tr w14:paraId="7EB879A8">
        <w:tblPrEx>
          <w:tblCellMar>
            <w:top w:w="15" w:type="dxa"/>
            <w:left w:w="15" w:type="dxa"/>
            <w:bottom w:w="15" w:type="dxa"/>
            <w:right w:w="15" w:type="dxa"/>
          </w:tblCellMar>
        </w:tblPrEx>
        <w:trPr>
          <w:gridBefore w:val="1"/>
          <w:wBefore w:w="373" w:type="dxa"/>
          <w:trHeight w:val="8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3441AD2">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272E3DA9">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1692FE7A">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7E54B1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投资变更</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135BA9A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项目投资变更额/项目总投入×100%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CAF00E8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563F0A4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该项目未存在调整</w:t>
            </w:r>
          </w:p>
        </w:tc>
      </w:tr>
      <w:tr w14:paraId="4507F596">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D9D4323">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39FB510E">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231181DE">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347F2B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制度执行</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2F00C63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严格执行项目有关制度规定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2B7000F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30F8442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3923BDAE">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2369E0C">
            <w:pPr>
              <w:widowControl/>
              <w:shd w:val="clear" w:color="FFFFFF" w:fill="auto"/>
              <w:spacing w:line="240" w:lineRule="auto"/>
              <w:jc w:val="left"/>
              <w:textAlignment w:val="cente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87C531D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项目绩效</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8454B01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项目完成</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EF3C4A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完成数量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4FF046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实际完成任务量/绩效目标设定任务量×100%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94E2EC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19AE83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0337876E">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7FBD865">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0C34558D">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5412A6C4">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A20556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完成质量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03FBF3D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符合绩效目标设定的验收标准，达到行业基准水平</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3D7D83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815603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08F82790">
        <w:tblPrEx>
          <w:tblCellMar>
            <w:top w:w="15" w:type="dxa"/>
            <w:left w:w="15" w:type="dxa"/>
            <w:bottom w:w="15" w:type="dxa"/>
            <w:right w:w="15" w:type="dxa"/>
          </w:tblCellMar>
        </w:tblPrEx>
        <w:trPr>
          <w:gridBefore w:val="1"/>
          <w:wBefore w:w="373" w:type="dxa"/>
          <w:trHeight w:val="79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6DCFA916">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B41F223">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1058329F">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B37FE8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1135BB7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（实际完成时间-绩效目标设定完成时间）/绩效目标设定完成时间×100%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2B34B74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DED65DB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0312CB02">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F96E10C">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2F4E2279">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530F8B0C">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91D4D1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完成成本</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294058E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（实际完成成本-预计完成成本）/预计完成成本×100%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0FA6C29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FC63625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5315D9CB">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05D82C3">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957C7E3">
            <w:pPr>
              <w:widowControl/>
              <w:shd w:val="clear" w:color="FFFFFF" w:fill="auto"/>
              <w:spacing w:line="240" w:lineRule="auto"/>
              <w:jc w:val="left"/>
              <w:textAlignment w:val="cente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AD18A28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项目效益</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9A0044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经济效益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3CDF86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反映相关产出对经济社会发展带来的影响和效果，根据项目实际细化具体指标。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2406C801">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整体产业结构得到优化提高，村集体经济收入得到提升</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8BECB58D">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整体产业结构得到优化提高，村集体经济收入得到提升</w:t>
            </w:r>
          </w:p>
        </w:tc>
      </w:tr>
      <w:tr w14:paraId="4E81EE7A">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81A9D82">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682FFB68">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41469B2B">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37802D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社会效益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C4ED404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B5B30EB">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社会效益明显，提升村内整体形象的同时，增加牧民收入。</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B0FFF442">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社会效益明显，提升村内整体形象的同时，增加牧民收入。</w:t>
            </w:r>
          </w:p>
        </w:tc>
      </w:tr>
      <w:tr w14:paraId="2511B573">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55E7573">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05817A93">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768F78C2">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E5C2DF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生态效益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42EE19C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反映相关产出对自然环境带来的影响和效果，根据项目实际细化具体指标。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974081A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优化整体配套设施</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042CE0D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优化整体配套设施</w:t>
            </w:r>
          </w:p>
        </w:tc>
      </w:tr>
      <w:tr w14:paraId="60F8D2A5">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9A4EFDD">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01DAD7F0">
            <w:pPr>
              <w:widowControl/>
              <w:shd w:val="clear" w:color="FFFFFF" w:fill="auto"/>
              <w:spacing w:line="240" w:lineRule="auto"/>
              <w:jc w:val="left"/>
              <w:textAlignment w:val="cente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4959C75B">
            <w:pPr>
              <w:widowControl/>
              <w:shd w:val="clear" w:color="FFFFFF" w:fill="auto"/>
              <w:spacing w:line="240" w:lineRule="auto"/>
              <w:jc w:val="left"/>
              <w:textAlignment w:val="bottom"/>
            </w:pP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BE6A18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可持续效益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vAlign w:val="bottom"/>
          </w:tcPr>
          <w:p w14:paraId="2EDA82E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反映相关产出带来影响的可持续期限，根据项目实际细化具体指标。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F30117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持续提升全村整体形象</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A332C58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持续提升全村整体形象</w:t>
            </w:r>
          </w:p>
        </w:tc>
      </w:tr>
      <w:tr w14:paraId="135352E3">
        <w:tblPrEx>
          <w:tblCellMar>
            <w:top w:w="15" w:type="dxa"/>
            <w:left w:w="15" w:type="dxa"/>
            <w:bottom w:w="15" w:type="dxa"/>
            <w:right w:w="15" w:type="dxa"/>
          </w:tblCellMar>
        </w:tblPrEx>
        <w:trPr>
          <w:gridBefore w:val="1"/>
          <w:wBefore w:w="373" w:type="dxa"/>
          <w:trHeight w:val="108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8B842B7">
            <w:pPr>
              <w:widowControl/>
              <w:shd w:val="clear" w:color="FFFFFF" w:fill="auto"/>
              <w:spacing w:line="240" w:lineRule="auto"/>
              <w:jc w:val="left"/>
              <w:textAlignment w:val="cente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974F11D">
            <w:pPr>
              <w:widowControl/>
              <w:shd w:val="clear" w:color="FFFFFF" w:fill="auto"/>
              <w:spacing w:line="240" w:lineRule="auto"/>
              <w:jc w:val="left"/>
              <w:textAlignment w:val="center"/>
            </w:pPr>
          </w:p>
        </w:tc>
        <w:tc>
          <w:tcPr>
            <w:tcW w:w="1048"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996D0C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满意度</w:t>
            </w:r>
          </w:p>
        </w:tc>
        <w:tc>
          <w:tcPr>
            <w:tcW w:w="76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F6CF5D43">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服务对象满意度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9E442F9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反映服务对象或项目受益人对相关产出及其影响的认可程度，根据项目实际细化具体指标。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60FCEEF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满意</w:t>
            </w:r>
          </w:p>
        </w:tc>
        <w:tc>
          <w:tcPr>
            <w:tcW w:w="1931" w:type="dxa"/>
            <w:gridSpan w:val="3"/>
            <w:tcBorders>
              <w:top w:val="single" w:color="000000" w:sz="4" w:space="0"/>
              <w:left w:val="single" w:color="000000" w:sz="4" w:space="0"/>
              <w:bottom w:val="single" w:color="000000" w:sz="4" w:space="0"/>
              <w:right w:val="single" w:color="000000" w:sz="4" w:space="0"/>
            </w:tcBorders>
            <w:shd w:val="clear" w:color="FFFFFF" w:fill="auto"/>
            <w:vAlign w:val="bottom"/>
          </w:tcPr>
          <w:p w14:paraId="3CC3B4E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满意</w:t>
            </w:r>
          </w:p>
        </w:tc>
      </w:tr>
      <w:tr w14:paraId="195D16BB">
        <w:tblPrEx>
          <w:tblCellMar>
            <w:top w:w="15" w:type="dxa"/>
            <w:left w:w="15" w:type="dxa"/>
            <w:bottom w:w="15" w:type="dxa"/>
            <w:right w:w="15" w:type="dxa"/>
          </w:tblCellMar>
        </w:tblPrEx>
        <w:trPr>
          <w:gridAfter w:val="1"/>
          <w:wAfter w:w="526" w:type="dxa"/>
          <w:trHeight w:val="555" w:hRule="atLeast"/>
          <w:jc w:val="center"/>
        </w:trPr>
        <w:tc>
          <w:tcPr>
            <w:tcW w:w="9369" w:type="dxa"/>
            <w:gridSpan w:val="17"/>
            <w:shd w:val="clear" w:color="FFFFFF" w:fill="auto"/>
            <w:tcMar>
              <w:top w:w="15" w:type="dxa"/>
              <w:left w:w="15" w:type="dxa"/>
              <w:bottom w:w="15" w:type="dxa"/>
              <w:right w:w="15" w:type="dxa"/>
            </w:tcMar>
            <w:vAlign w:val="center"/>
          </w:tcPr>
          <w:p w14:paraId="50BB8732">
            <w:pPr>
              <w:widowControl/>
              <w:shd w:val="clear" w:color="FFFFFF" w:fill="auto"/>
              <w:spacing w:line="240" w:lineRule="auto"/>
              <w:jc w:val="both"/>
              <w:textAlignment w:val="center"/>
            </w:pPr>
          </w:p>
          <w:p w14:paraId="0578F333">
            <w:pPr>
              <w:keepNext/>
              <w:keepLines/>
              <w:shd w:val="clear" w:color="FFFFFF" w:fill="auto"/>
              <w:spacing w:before="280" w:after="156" w:line="376" w:lineRule="auto"/>
              <w:jc w:val="left"/>
              <w:textAlignment w:val="center"/>
              <w:outlineLvl w:val="4"/>
            </w:pPr>
          </w:p>
          <w:p w14:paraId="92438F4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项目支出绩效目标完成情况表2</w:t>
            </w:r>
          </w:p>
        </w:tc>
      </w:tr>
      <w:tr w14:paraId="76D88870">
        <w:tblPrEx>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FA62BEB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940E458">
            <w:pPr>
              <w:shd w:val="clear" w:color="FFFFFF" w:fill="auto"/>
              <w:spacing w:line="240" w:lineRule="auto"/>
              <w:jc w:val="left"/>
            </w:pPr>
            <w:r>
              <w:rPr>
                <w:rFonts w:hint="default" w:ascii="仿宋_GB2312" w:hAnsi="Times New Roman" w:eastAsia="仿宋_GB2312" w:cs="仿宋_GB2312"/>
                <w:b w:val="0"/>
                <w:bCs w:val="0"/>
                <w:i w:val="0"/>
                <w:iCs w:val="0"/>
                <w:color w:val="auto"/>
                <w:kern w:val="2"/>
                <w:sz w:val="20"/>
                <w:szCs w:val="20"/>
                <w:highlight w:val="none"/>
                <w:shd w:val="clear" w:color="FFFFFF" w:fill="auto"/>
                <w:vertAlign w:val="baseline"/>
                <w:lang w:val="en-US" w:eastAsia="zh-CN" w:bidi="ar-SA"/>
              </w:rPr>
              <w:t>安曲镇2024年脱贫户（监测户）产业到户补助项目</w:t>
            </w:r>
          </w:p>
        </w:tc>
      </w:tr>
      <w:tr w14:paraId="41EA91A9">
        <w:tblPrEx>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BC9DE48">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6CE85C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红原县安曲镇人民政府</w:t>
            </w:r>
          </w:p>
        </w:tc>
      </w:tr>
      <w:tr w14:paraId="0CD79DDF">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8B84545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60A5F3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A5B3FC2">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28.8万元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88A3C7E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AB3EE0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28.8万元</w:t>
            </w:r>
          </w:p>
        </w:tc>
      </w:tr>
      <w:tr w14:paraId="04E6DDD2">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2C85511">
            <w:pPr>
              <w:widowControl/>
              <w:shd w:val="clear" w:color="FFFFFF" w:fill="auto"/>
              <w:spacing w:line="240" w:lineRule="auto"/>
              <w:jc w:val="left"/>
              <w:textAlignment w:val="center"/>
            </w:pP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88D759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F9D7FA8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28.8万元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D089283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9867822">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28.8万元</w:t>
            </w:r>
          </w:p>
        </w:tc>
      </w:tr>
      <w:tr w14:paraId="648FA970">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B300AFA">
            <w:pPr>
              <w:widowControl/>
              <w:shd w:val="clear" w:color="FFFFFF" w:fill="auto"/>
              <w:spacing w:line="240" w:lineRule="auto"/>
              <w:jc w:val="left"/>
              <w:textAlignment w:val="center"/>
            </w:pP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CCE7481">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CB6D40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C0BEB09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934F7A5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0</w:t>
            </w:r>
          </w:p>
        </w:tc>
      </w:tr>
      <w:tr w14:paraId="5C112640">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0623E09">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D219A9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C35F5822">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实际完成目标</w:t>
            </w:r>
          </w:p>
        </w:tc>
      </w:tr>
      <w:tr w14:paraId="5CB141F6">
        <w:tblPrEx>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04C1BD6">
            <w:pPr>
              <w:widowControl/>
              <w:shd w:val="clear" w:color="FFFFFF" w:fill="auto"/>
              <w:spacing w:line="240" w:lineRule="auto"/>
              <w:jc w:val="left"/>
              <w:textAlignment w:val="center"/>
            </w:pPr>
          </w:p>
        </w:tc>
        <w:tc>
          <w:tcPr>
            <w:tcW w:w="2947"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F2ED29C">
            <w:pPr>
              <w:widowControl/>
              <w:shd w:val="clear" w:color="FFFFFF" w:fill="auto"/>
              <w:spacing w:line="240" w:lineRule="auto"/>
              <w:jc w:val="left"/>
              <w:textAlignment w:val="center"/>
            </w:pPr>
            <w:r>
              <w:rPr>
                <w:rFonts w:hint="default" w:ascii="仿宋_GB2312" w:hAnsi="Times New Roman" w:eastAsia="仿宋_GB2312" w:cs="仿宋_GB2312"/>
                <w:b w:val="0"/>
                <w:bCs w:val="0"/>
                <w:i w:val="0"/>
                <w:iCs w:val="0"/>
                <w:color w:val="auto"/>
                <w:kern w:val="2"/>
                <w:sz w:val="20"/>
                <w:szCs w:val="20"/>
                <w:highlight w:val="none"/>
                <w:shd w:val="clear" w:color="FFFFFF" w:fill="auto"/>
                <w:vertAlign w:val="baseline"/>
                <w:lang w:val="en-US" w:eastAsia="zh-CN" w:bidi="ar-SA"/>
              </w:rPr>
              <w:t>完成2024年脱贫户（监测户）产业到户补助项目</w:t>
            </w:r>
          </w:p>
        </w:tc>
        <w:tc>
          <w:tcPr>
            <w:tcW w:w="5799" w:type="dxa"/>
            <w:gridSpan w:val="8"/>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905DB4E3">
            <w:pPr>
              <w:widowControl/>
              <w:shd w:val="clear" w:color="FFFFFF" w:fill="auto"/>
              <w:spacing w:line="240" w:lineRule="auto"/>
              <w:jc w:val="left"/>
              <w:textAlignment w:val="center"/>
            </w:pPr>
            <w:r>
              <w:rPr>
                <w:rFonts w:hint="default" w:ascii="仿宋_GB2312" w:hAnsi="Times New Roman" w:eastAsia="仿宋_GB2312" w:cs="仿宋_GB2312"/>
                <w:b w:val="0"/>
                <w:bCs w:val="0"/>
                <w:i w:val="0"/>
                <w:iCs w:val="0"/>
                <w:color w:val="auto"/>
                <w:kern w:val="2"/>
                <w:sz w:val="20"/>
                <w:szCs w:val="20"/>
                <w:highlight w:val="none"/>
                <w:shd w:val="clear" w:color="FFFFFF" w:fill="auto"/>
                <w:vertAlign w:val="baseline"/>
                <w:lang w:val="en-US" w:eastAsia="zh-CN" w:bidi="ar-SA"/>
              </w:rPr>
              <w:t>完成2024年脱贫户（监测户）产业到户补助项目</w:t>
            </w:r>
          </w:p>
        </w:tc>
      </w:tr>
      <w:tr w14:paraId="65F0857C">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ACC6C32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5831238">
            <w:pPr>
              <w:widowControl/>
              <w:shd w:val="clear" w:color="FFFFFF" w:fill="auto"/>
              <w:spacing w:line="240" w:lineRule="auto"/>
              <w:jc w:val="left"/>
              <w:textAlignment w:val="center"/>
            </w:pP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89" name="Image1"/>
                  <wp:cNvGraphicFramePr/>
                  <a:graphic xmlns:a="http://schemas.openxmlformats.org/drawingml/2006/main">
                    <a:graphicData uri="http://schemas.openxmlformats.org/drawingml/2006/picture">
                      <pic:pic xmlns:pic="http://schemas.openxmlformats.org/drawingml/2006/picture">
                        <pic:nvPicPr>
                          <pic:cNvPr id="1089"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0" name="Image1"/>
                  <wp:cNvGraphicFramePr/>
                  <a:graphic xmlns:a="http://schemas.openxmlformats.org/drawingml/2006/main">
                    <a:graphicData uri="http://schemas.openxmlformats.org/drawingml/2006/picture">
                      <pic:pic xmlns:pic="http://schemas.openxmlformats.org/drawingml/2006/picture">
                        <pic:nvPicPr>
                          <pic:cNvPr id="1090"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1" name="Image1"/>
                  <wp:cNvGraphicFramePr/>
                  <a:graphic xmlns:a="http://schemas.openxmlformats.org/drawingml/2006/main">
                    <a:graphicData uri="http://schemas.openxmlformats.org/drawingml/2006/picture">
                      <pic:pic xmlns:pic="http://schemas.openxmlformats.org/drawingml/2006/picture">
                        <pic:nvPicPr>
                          <pic:cNvPr id="1091"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2" name="Image1"/>
                  <wp:cNvGraphicFramePr/>
                  <a:graphic xmlns:a="http://schemas.openxmlformats.org/drawingml/2006/main">
                    <a:graphicData uri="http://schemas.openxmlformats.org/drawingml/2006/picture">
                      <pic:pic xmlns:pic="http://schemas.openxmlformats.org/drawingml/2006/picture">
                        <pic:nvPicPr>
                          <pic:cNvPr id="1092"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599627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CC933C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8C22C01">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3BC2FAF">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1B92F52">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实际完成指标值(包含数字及文字描述)</w:t>
            </w:r>
          </w:p>
        </w:tc>
      </w:tr>
      <w:tr w14:paraId="40923439">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6758774">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B93133F">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FC77DEE">
            <w:pPr>
              <w:widowControl/>
              <w:shd w:val="clear" w:color="FFFFFF" w:fill="auto"/>
              <w:spacing w:line="240" w:lineRule="auto"/>
              <w:jc w:val="left"/>
              <w:textAlignment w:val="cente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63D0448">
            <w:pPr>
              <w:widowControl/>
              <w:shd w:val="clear" w:color="FFFFFF" w:fill="auto"/>
              <w:spacing w:line="240" w:lineRule="auto"/>
              <w:jc w:val="left"/>
              <w:textAlignment w:val="cente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1BAE6EE0">
            <w:pPr>
              <w:widowControl/>
              <w:shd w:val="clear" w:color="FFFFFF" w:fill="auto"/>
              <w:spacing w:line="240" w:lineRule="auto"/>
              <w:jc w:val="left"/>
              <w:textAlignment w:val="cente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004021E">
            <w:pPr>
              <w:widowControl/>
              <w:shd w:val="clear" w:color="FFFFFF" w:fill="auto"/>
              <w:spacing w:line="240" w:lineRule="auto"/>
              <w:jc w:val="left"/>
              <w:textAlignment w:val="cente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0592932C">
            <w:pPr>
              <w:widowControl/>
              <w:shd w:val="clear" w:color="FFFFFF" w:fill="auto"/>
              <w:spacing w:line="240" w:lineRule="auto"/>
              <w:jc w:val="left"/>
              <w:textAlignment w:val="center"/>
            </w:pPr>
          </w:p>
        </w:tc>
      </w:tr>
      <w:tr w14:paraId="566EC3C5">
        <w:tblPrEx>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146D88B">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F2736A1">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27DE41FA">
            <w:pPr>
              <w:widowControl/>
              <w:shd w:val="clear" w:color="FFFFFF" w:fill="auto"/>
              <w:spacing w:line="240" w:lineRule="auto"/>
              <w:jc w:val="left"/>
              <w:textAlignment w:val="cente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68574E4">
            <w:pPr>
              <w:widowControl/>
              <w:shd w:val="clear" w:color="FFFFFF" w:fill="auto"/>
              <w:spacing w:line="240" w:lineRule="auto"/>
              <w:jc w:val="left"/>
              <w:textAlignment w:val="cente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D7C5453">
            <w:pPr>
              <w:widowControl/>
              <w:shd w:val="clear" w:color="FFFFFF" w:fill="auto"/>
              <w:spacing w:line="240" w:lineRule="auto"/>
              <w:jc w:val="left"/>
              <w:textAlignment w:val="cente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5E8378C">
            <w:pPr>
              <w:widowControl/>
              <w:shd w:val="clear" w:color="FFFFFF" w:fill="auto"/>
              <w:spacing w:line="240" w:lineRule="auto"/>
              <w:jc w:val="left"/>
              <w:textAlignment w:val="cente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C9B8FAC">
            <w:pPr>
              <w:widowControl/>
              <w:shd w:val="clear" w:color="FFFFFF" w:fill="auto"/>
              <w:spacing w:line="240" w:lineRule="auto"/>
              <w:jc w:val="left"/>
              <w:textAlignment w:val="center"/>
            </w:pPr>
          </w:p>
        </w:tc>
      </w:tr>
      <w:tr w14:paraId="10621C2E">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7D74564">
            <w:pPr>
              <w:widowControl/>
              <w:shd w:val="clear" w:color="FFFFFF" w:fill="auto"/>
              <w:spacing w:line="240" w:lineRule="auto"/>
              <w:jc w:val="left"/>
              <w:textAlignment w:val="cente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761BCA24">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DD9D6DD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47CE03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9BADE4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脱贫户84户、监测户12户完成采购</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384CDF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完成96户</w:t>
            </w:r>
            <w:r>
              <w:rPr>
                <w:rFonts w:hint="default" w:ascii="仿宋_GB2312" w:hAnsi="Times New Roman" w:eastAsia="仿宋_GB2312" w:cs="仿宋_GB2312"/>
                <w:b w:val="0"/>
                <w:bCs w:val="0"/>
                <w:i w:val="0"/>
                <w:iCs w:val="0"/>
                <w:color w:val="auto"/>
                <w:kern w:val="2"/>
                <w:sz w:val="20"/>
                <w:szCs w:val="20"/>
                <w:highlight w:val="none"/>
                <w:shd w:val="clear" w:color="FFFFFF" w:fill="auto"/>
                <w:vertAlign w:val="baseline"/>
                <w:lang w:val="en-US" w:eastAsia="zh-CN" w:bidi="ar-SA"/>
              </w:rPr>
              <w:t>脱贫户（监测户）采购</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1DACDE8">
            <w:pPr>
              <w:shd w:val="clear" w:color="FFFFFF" w:fill="auto"/>
              <w:spacing w:line="240" w:lineRule="auto"/>
              <w:jc w:val="left"/>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100%</w:t>
            </w:r>
          </w:p>
        </w:tc>
      </w:tr>
      <w:tr w14:paraId="3A3F7765">
        <w:tblPrEx>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E1579C0">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5850CCC">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9BDC3D4">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034829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17CCC7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1FFB3C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C2EBB8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按时完工</w:t>
            </w:r>
          </w:p>
        </w:tc>
      </w:tr>
      <w:tr w14:paraId="0A305999">
        <w:tblPrEx>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FCC449F">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591B965">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08F35DF">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E7C800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AD184E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10990F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6839A9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w:t>
            </w:r>
          </w:p>
        </w:tc>
      </w:tr>
      <w:tr w14:paraId="52F11FD3">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42ACB15">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DE5BB5B">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6787F5A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552CAE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82EF42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2F95B4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5270B6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40AB83D1">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C11D5B7">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FCA8B8A">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228F235">
            <w:pPr>
              <w:widowControl/>
              <w:shd w:val="clear" w:color="FFFFFF" w:fill="auto"/>
              <w:spacing w:line="240" w:lineRule="auto"/>
              <w:jc w:val="left"/>
              <w:textAlignment w:val="bottom"/>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9D2B77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9AF9DD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43DA24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30B6CA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55A312F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CEB1F71">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C74B8CF">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2FAEA27">
            <w:pPr>
              <w:widowControl/>
              <w:shd w:val="clear" w:color="FFFFFF" w:fill="auto"/>
              <w:spacing w:line="240" w:lineRule="auto"/>
              <w:jc w:val="left"/>
              <w:textAlignment w:val="bottom"/>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2D68D935">
            <w:pPr>
              <w:widowControl/>
              <w:shd w:val="clear" w:color="FFFFFF" w:fill="auto"/>
              <w:spacing w:line="240" w:lineRule="auto"/>
              <w:jc w:val="left"/>
              <w:textAlignment w:val="bottom"/>
            </w:pP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3B4E83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F94B54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CFA88E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EF4090C">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CEBC24B">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5A846FE">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C9D872A">
            <w:pPr>
              <w:widowControl/>
              <w:shd w:val="clear" w:color="FFFFFF" w:fill="auto"/>
              <w:spacing w:line="240" w:lineRule="auto"/>
              <w:jc w:val="left"/>
              <w:textAlignment w:val="bottom"/>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527758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92391D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903675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EC4D7E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5E1FBE93">
        <w:tblPrEx>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E010B3E">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98E7441">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E6FD433">
            <w:pPr>
              <w:widowControl/>
              <w:shd w:val="clear" w:color="FFFFFF" w:fill="auto"/>
              <w:spacing w:line="240" w:lineRule="auto"/>
              <w:jc w:val="left"/>
              <w:textAlignment w:val="bottom"/>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252315D">
            <w:pPr>
              <w:widowControl/>
              <w:shd w:val="clear" w:color="FFFFFF" w:fill="auto"/>
              <w:spacing w:line="240" w:lineRule="auto"/>
              <w:jc w:val="left"/>
              <w:textAlignment w:val="bottom"/>
            </w:pP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73B93B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491AAA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755143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0C8ECD86">
        <w:tblPrEx>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57FB7E5">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0BBB107">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2A38C57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B3444C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583203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47AE24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2FD23B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6E8346F2">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4ED89C3">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661BC91">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FC98C49">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D6044A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4EBD5A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57400A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9DAA74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39057270">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A5281FA">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B2CE384">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2D21046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1D536F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EBEF90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ABCB6B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1个</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5EE67D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1个</w:t>
            </w:r>
          </w:p>
        </w:tc>
      </w:tr>
      <w:tr w14:paraId="1EDC4AE1">
        <w:tblPrEx>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F201D45">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7E9B15A">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267E008E">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35A9FC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6788A8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9CA524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518FFD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A4DF08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01693A4F">
        <w:tblPrEx>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ED37890">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C1D5DE1">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EA9DA6B">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D19061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80B783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B4286A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57ACBE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F559DA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4B81889D">
        <w:tblPrEx>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23E4C19">
            <w:pPr>
              <w:widowControl/>
              <w:shd w:val="clear" w:color="FFFFFF" w:fill="auto"/>
              <w:spacing w:line="240" w:lineRule="auto"/>
              <w:jc w:val="left"/>
              <w:textAlignment w:val="cente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3955B4D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EA6ADF48">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026F9B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FE0121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4A41B6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6AEE6C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03A4745E">
        <w:tblPrEx>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3F7E042">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42F3A5A">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C4CC305">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EFF3BD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2B2854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2A6FE4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764F50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0DAEAD75">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843C443">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EC905C3">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02267C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753D53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D6FFE8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0680FD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A80F76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6B9396AF">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749AF5A">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450A193">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8F977D4">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0F963F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EC5D9E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6F1A3F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12E5CC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69A9D1C8">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DAA7769">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5C95257">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AF9E7E0">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73696C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2BC155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13CE6F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1A2386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30616944">
        <w:tblPrEx>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776E79A">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A0636D7">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BA9E68A8">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E57B9E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02C686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97CAF1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C16204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07466B51">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8B70B12">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F383E52">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F7E2126">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0639B7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225619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0ED1F5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7F146C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4E56327E">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C548A2E">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6055DCD">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F3E9884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2098F0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11B4A7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4F3F69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E64DB8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BC28C2F">
        <w:tblPrEx>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652A45F">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AF03A7D">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9656058">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655605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2AFC12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0B9688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00BC50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DCFD873">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FDD5301">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6CAC40A">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34C69B5">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919800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71B02A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FDD944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90B333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09F710E8">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E51F9F3">
            <w:pPr>
              <w:shd w:val="clear" w:color="FFFFFF" w:fill="auto"/>
              <w:spacing w:line="240" w:lineRule="auto"/>
              <w:jc w:val="left"/>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A8B6C368">
            <w:pPr>
              <w:widowControl/>
              <w:shd w:val="clear" w:color="FFFFFF" w:fill="auto"/>
              <w:spacing w:line="240" w:lineRule="auto"/>
              <w:jc w:val="left"/>
              <w:textAlignment w:val="center"/>
            </w:pPr>
            <w:r>
              <w:rPr>
                <w:rFonts w:ascii="宋体" w:hAnsi="Times New Roman" w:eastAsia="宋体" w:cs="宋体"/>
                <w:b w:val="0"/>
                <w:bCs w:val="0"/>
                <w:i w:val="0"/>
                <w:iCs w:val="0"/>
                <w:color w:val="auto"/>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28575" cy="9525"/>
                  <wp:effectExtent l="0" t="0" r="0" b="0"/>
                  <wp:wrapNone/>
                  <wp:docPr id="1093" name="Image1"/>
                  <wp:cNvGraphicFramePr/>
                  <a:graphic xmlns:a="http://schemas.openxmlformats.org/drawingml/2006/main">
                    <a:graphicData uri="http://schemas.openxmlformats.org/drawingml/2006/picture">
                      <pic:pic xmlns:pic="http://schemas.openxmlformats.org/drawingml/2006/picture">
                        <pic:nvPicPr>
                          <pic:cNvPr id="1093" name="Image1"/>
                          <pic:cNvPicPr/>
                        </pic:nvPicPr>
                        <pic:blipFill>
                          <a:blip r:embed="rId19" cstate="print"/>
                          <a:srcRect/>
                          <a:stretch>
                            <a:fillRect/>
                          </a:stretch>
                        </pic:blipFill>
                        <pic:spPr>
                          <a:xfrm>
                            <a:off x="0" y="0"/>
                            <a:ext cx="28575" cy="9525"/>
                          </a:xfrm>
                          <a:prstGeom prst="rect">
                            <a:avLst/>
                          </a:prstGeom>
                          <a:ln>
                            <a:noFill/>
                          </a:ln>
                        </pic:spPr>
                      </pic:pic>
                    </a:graphicData>
                  </a:graphic>
                </wp:anchor>
              </w:drawing>
            </w:r>
            <w:r>
              <w:rPr>
                <w:rFonts w:ascii="宋体" w:hAnsi="Times New Roman" w:eastAsia="宋体" w:cs="宋体"/>
                <w:b w:val="0"/>
                <w:bCs w:val="0"/>
                <w:i w:val="0"/>
                <w:iCs w:val="0"/>
                <w:color w:val="auto"/>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4" name="Image1"/>
                  <wp:cNvGraphicFramePr/>
                  <a:graphic xmlns:a="http://schemas.openxmlformats.org/drawingml/2006/main">
                    <a:graphicData uri="http://schemas.openxmlformats.org/drawingml/2006/picture">
                      <pic:pic xmlns:pic="http://schemas.openxmlformats.org/drawingml/2006/picture">
                        <pic:nvPicPr>
                          <pic:cNvPr id="1094" name="Image1"/>
                          <pic:cNvPicPr/>
                        </pic:nvPicPr>
                        <pic:blipFill>
                          <a:blip r:embed="rId20"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66E2FEA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1D8C00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6AEB28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455275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D97D39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76AD3AB1">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4F232EE">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4E3F6CE">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64E3DBA">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6BF0AC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F718AE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AB5A14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A12EF6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0694BC96">
        <w:tblPrEx>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E741A8F">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CCB6C0F">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BC6DDB9">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125A75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13DC21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04F7CB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F6C367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6DFF450D">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F775EE0">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AEFC939">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9C5F4E7">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0ACFB0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82239B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753920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7DDA46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06C7AB34">
        <w:tblPrEx>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88245CC">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B00B8CE">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181E8B4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9A78D3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5E510A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E18B9B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增加部分牧民群众收入</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7CF9DD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增加部分牧民群众收入</w:t>
            </w:r>
          </w:p>
        </w:tc>
      </w:tr>
      <w:tr w14:paraId="1CB7D981">
        <w:tblPrEx>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CB7F494">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E4CFD50">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75AE5B4">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D52E63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E5D10D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8844DEB">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减少地区贫困人口</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6B5EE57">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减少地区贫困人口</w:t>
            </w:r>
          </w:p>
        </w:tc>
      </w:tr>
      <w:tr w14:paraId="573A01C1">
        <w:tblPrEx>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896E11F">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3A8694B">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F81396F">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F81C29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21294E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45EBA8B">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B799C7F">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w:t>
            </w:r>
          </w:p>
        </w:tc>
      </w:tr>
      <w:tr w14:paraId="420154C7">
        <w:tblPrEx>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B60932B">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935AAB7">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96F8B2F">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EE2B2A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1A9BE3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B942E61">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持续提高</w:t>
            </w:r>
            <w:r>
              <w:rPr>
                <w:rFonts w:hint="default" w:ascii="仿宋_GB2312" w:hAnsi="Times New Roman" w:eastAsia="仿宋_GB2312" w:cs="仿宋_GB2312"/>
                <w:b w:val="0"/>
                <w:bCs w:val="0"/>
                <w:i w:val="0"/>
                <w:iCs w:val="0"/>
                <w:color w:val="auto"/>
                <w:kern w:val="2"/>
                <w:sz w:val="20"/>
                <w:szCs w:val="20"/>
                <w:highlight w:val="none"/>
                <w:shd w:val="clear" w:color="FFFFFF" w:fill="auto"/>
                <w:vertAlign w:val="baseline"/>
                <w:lang w:val="en-US" w:eastAsia="zh-CN" w:bidi="ar-SA"/>
              </w:rPr>
              <w:t>脱贫户（监测户）收入</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FE7F2A9">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持续提高</w:t>
            </w:r>
            <w:r>
              <w:rPr>
                <w:rFonts w:hint="default" w:ascii="仿宋_GB2312" w:hAnsi="Times New Roman" w:eastAsia="仿宋_GB2312" w:cs="仿宋_GB2312"/>
                <w:b w:val="0"/>
                <w:bCs w:val="0"/>
                <w:i w:val="0"/>
                <w:iCs w:val="0"/>
                <w:color w:val="auto"/>
                <w:kern w:val="2"/>
                <w:sz w:val="20"/>
                <w:szCs w:val="20"/>
                <w:highlight w:val="none"/>
                <w:shd w:val="clear" w:color="FFFFFF" w:fill="auto"/>
                <w:vertAlign w:val="baseline"/>
                <w:lang w:val="en-US" w:eastAsia="zh-CN" w:bidi="ar-SA"/>
              </w:rPr>
              <w:t>脱贫户（监测户）收入</w:t>
            </w:r>
          </w:p>
        </w:tc>
      </w:tr>
      <w:tr w14:paraId="550731B3">
        <w:tblPrEx>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AC1F80D">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AFF4467">
            <w:pPr>
              <w:widowControl/>
              <w:shd w:val="clear" w:color="FFFFFF" w:fill="auto"/>
              <w:spacing w:line="240" w:lineRule="auto"/>
              <w:jc w:val="left"/>
              <w:textAlignment w:val="center"/>
            </w:pPr>
          </w:p>
        </w:tc>
        <w:tc>
          <w:tcPr>
            <w:tcW w:w="102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D11ED0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2BE5A90">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D933625">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5A94FF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D5956E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群众满意度高，使用效益高</w:t>
            </w:r>
          </w:p>
        </w:tc>
      </w:tr>
      <w:tr w14:paraId="19DC62EA">
        <w:tblPrEx>
          <w:tblCellMar>
            <w:top w:w="15" w:type="dxa"/>
            <w:left w:w="15" w:type="dxa"/>
            <w:bottom w:w="15" w:type="dxa"/>
            <w:right w:w="15" w:type="dxa"/>
          </w:tblCellMar>
        </w:tblPrEx>
        <w:trPr>
          <w:gridAfter w:val="1"/>
          <w:wAfter w:w="526" w:type="dxa"/>
          <w:trHeight w:val="555" w:hRule="atLeast"/>
          <w:jc w:val="center"/>
        </w:trPr>
        <w:tc>
          <w:tcPr>
            <w:tcW w:w="9369" w:type="dxa"/>
            <w:gridSpan w:val="17"/>
            <w:shd w:val="clear" w:color="FFFFFF" w:fill="auto"/>
            <w:tcMar>
              <w:top w:w="15" w:type="dxa"/>
              <w:left w:w="15" w:type="dxa"/>
              <w:bottom w:w="15" w:type="dxa"/>
              <w:right w:w="15" w:type="dxa"/>
            </w:tcMar>
            <w:vAlign w:val="center"/>
          </w:tcPr>
          <w:p w14:paraId="3F6E2753">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项目支出绩效目标完成情况表3</w:t>
            </w:r>
          </w:p>
        </w:tc>
      </w:tr>
      <w:tr w14:paraId="743990D8">
        <w:tblPrEx>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27DF20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105257E">
            <w:pPr>
              <w:widowControl/>
              <w:shd w:val="clear" w:color="FFFFFF" w:fill="auto"/>
              <w:spacing w:line="240" w:lineRule="auto"/>
              <w:jc w:val="left"/>
              <w:textAlignment w:val="center"/>
            </w:pPr>
            <w:r>
              <w:rPr>
                <w:rFonts w:hint="default" w:ascii="仿宋_GB2312" w:hAnsi="Times New Roman" w:eastAsia="仿宋_GB2312" w:cs="仿宋_GB2312"/>
                <w:b w:val="0"/>
                <w:bCs w:val="0"/>
                <w:i w:val="0"/>
                <w:iCs w:val="0"/>
                <w:color w:val="auto"/>
                <w:kern w:val="2"/>
                <w:sz w:val="24"/>
                <w:szCs w:val="24"/>
                <w:highlight w:val="none"/>
                <w:shd w:val="clear" w:color="FFFFFF" w:fill="auto"/>
                <w:vertAlign w:val="baseline"/>
                <w:lang w:val="en-US" w:eastAsia="zh-CN" w:bidi="ar-SA"/>
              </w:rPr>
              <w:t>红原县过境路沿线网围栏提升改造项目（一期）安曲镇段</w:t>
            </w:r>
          </w:p>
        </w:tc>
      </w:tr>
      <w:tr w14:paraId="087A666E">
        <w:tblPrEx>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52008E1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EF4A48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红原县安曲镇人民政府</w:t>
            </w:r>
          </w:p>
        </w:tc>
      </w:tr>
      <w:tr w14:paraId="22F5D01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0C47A29">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9C5C00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8141648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95.76万元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7942A64">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D7876D2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95.76万元</w:t>
            </w:r>
          </w:p>
        </w:tc>
      </w:tr>
      <w:tr w14:paraId="37772574">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6778092">
            <w:pPr>
              <w:widowControl/>
              <w:shd w:val="clear" w:color="FFFFFF" w:fill="auto"/>
              <w:spacing w:line="240" w:lineRule="auto"/>
              <w:jc w:val="left"/>
              <w:textAlignment w:val="center"/>
            </w:pP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F911E94">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56B50EE">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95.76万元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D22479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1DDA4DB">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95.76万元</w:t>
            </w:r>
          </w:p>
        </w:tc>
      </w:tr>
      <w:tr w14:paraId="2A84E520">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8969EF4">
            <w:pPr>
              <w:widowControl/>
              <w:shd w:val="clear" w:color="FFFFFF" w:fill="auto"/>
              <w:spacing w:line="240" w:lineRule="auto"/>
              <w:jc w:val="left"/>
              <w:textAlignment w:val="center"/>
            </w:pP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FFF949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F4CC817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AADF09A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D9BA87F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0</w:t>
            </w:r>
          </w:p>
        </w:tc>
      </w:tr>
      <w:tr w14:paraId="4707E44F">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3826E20">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752318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685E6F9">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实际完成目标</w:t>
            </w:r>
          </w:p>
        </w:tc>
      </w:tr>
      <w:tr w14:paraId="36E7DE3C">
        <w:tblPrEx>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C2A7075">
            <w:pPr>
              <w:widowControl/>
              <w:shd w:val="clear" w:color="FFFFFF" w:fill="auto"/>
              <w:spacing w:line="240" w:lineRule="auto"/>
              <w:jc w:val="left"/>
              <w:textAlignment w:val="center"/>
            </w:pPr>
          </w:p>
        </w:tc>
        <w:tc>
          <w:tcPr>
            <w:tcW w:w="2947"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49B889AF">
            <w:pPr>
              <w:widowControl/>
              <w:shd w:val="clear" w:color="FFFFFF" w:fill="auto"/>
              <w:spacing w:line="240" w:lineRule="auto"/>
              <w:jc w:val="left"/>
              <w:textAlignment w:val="center"/>
            </w:pPr>
            <w:r>
              <w:rPr>
                <w:rFonts w:hint="default" w:ascii="仿宋_GB2312" w:hAnsi="Times New Roman" w:eastAsia="仿宋_GB2312" w:cs="仿宋_GB2312"/>
                <w:b w:val="0"/>
                <w:bCs w:val="0"/>
                <w:i w:val="0"/>
                <w:iCs w:val="0"/>
                <w:color w:val="auto"/>
                <w:kern w:val="2"/>
                <w:sz w:val="24"/>
                <w:szCs w:val="24"/>
                <w:highlight w:val="none"/>
                <w:shd w:val="clear" w:color="FFFFFF" w:fill="auto"/>
                <w:vertAlign w:val="baseline"/>
                <w:lang w:val="en-US" w:eastAsia="zh-CN" w:bidi="ar-SA"/>
              </w:rPr>
              <w:t>提升改造安曲镇过境路沿线网围栏80公里</w:t>
            </w:r>
          </w:p>
        </w:tc>
        <w:tc>
          <w:tcPr>
            <w:tcW w:w="5799" w:type="dxa"/>
            <w:gridSpan w:val="8"/>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8C8698C1">
            <w:pPr>
              <w:widowControl/>
              <w:shd w:val="clear" w:color="FFFFFF" w:fill="auto"/>
              <w:spacing w:line="240" w:lineRule="auto"/>
              <w:jc w:val="left"/>
              <w:textAlignment w:val="center"/>
            </w:pPr>
            <w:r>
              <w:rPr>
                <w:rFonts w:hint="default" w:ascii="仿宋_GB2312" w:hAnsi="Times New Roman" w:eastAsia="仿宋_GB2312" w:cs="仿宋_GB2312"/>
                <w:b w:val="0"/>
                <w:bCs w:val="0"/>
                <w:i w:val="0"/>
                <w:iCs w:val="0"/>
                <w:color w:val="auto"/>
                <w:kern w:val="2"/>
                <w:sz w:val="24"/>
                <w:szCs w:val="24"/>
                <w:highlight w:val="none"/>
                <w:shd w:val="clear" w:color="FFFFFF" w:fill="auto"/>
                <w:vertAlign w:val="baseline"/>
                <w:lang w:val="en-US" w:eastAsia="zh-CN" w:bidi="ar-SA"/>
              </w:rPr>
              <w:t>提升改造安曲镇过境路沿线网围栏80公里</w:t>
            </w: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w:t>
            </w:r>
          </w:p>
        </w:tc>
      </w:tr>
      <w:tr w14:paraId="10D51447">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2ECBF4F">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F918BEC">
            <w:pPr>
              <w:widowControl/>
              <w:shd w:val="clear" w:color="FFFFFF" w:fill="auto"/>
              <w:spacing w:line="240" w:lineRule="auto"/>
              <w:jc w:val="left"/>
              <w:textAlignment w:val="center"/>
            </w:pP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5" name="Image1"/>
                  <wp:cNvGraphicFramePr/>
                  <a:graphic xmlns:a="http://schemas.openxmlformats.org/drawingml/2006/main">
                    <a:graphicData uri="http://schemas.openxmlformats.org/drawingml/2006/picture">
                      <pic:pic xmlns:pic="http://schemas.openxmlformats.org/drawingml/2006/picture">
                        <pic:nvPicPr>
                          <pic:cNvPr id="1095"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6" name="Image1"/>
                  <wp:cNvGraphicFramePr/>
                  <a:graphic xmlns:a="http://schemas.openxmlformats.org/drawingml/2006/main">
                    <a:graphicData uri="http://schemas.openxmlformats.org/drawingml/2006/picture">
                      <pic:pic xmlns:pic="http://schemas.openxmlformats.org/drawingml/2006/picture">
                        <pic:nvPicPr>
                          <pic:cNvPr id="1096"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7" name="Image1"/>
                  <wp:cNvGraphicFramePr/>
                  <a:graphic xmlns:a="http://schemas.openxmlformats.org/drawingml/2006/main">
                    <a:graphicData uri="http://schemas.openxmlformats.org/drawingml/2006/picture">
                      <pic:pic xmlns:pic="http://schemas.openxmlformats.org/drawingml/2006/picture">
                        <pic:nvPicPr>
                          <pic:cNvPr id="1097"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098" name="Image1"/>
                  <wp:cNvGraphicFramePr/>
                  <a:graphic xmlns:a="http://schemas.openxmlformats.org/drawingml/2006/main">
                    <a:graphicData uri="http://schemas.openxmlformats.org/drawingml/2006/picture">
                      <pic:pic xmlns:pic="http://schemas.openxmlformats.org/drawingml/2006/picture">
                        <pic:nvPicPr>
                          <pic:cNvPr id="1098"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FD9522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E85997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80329EF">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0D5C5E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D5D31C9">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实际完成指标值(包含数字及文字描述)</w:t>
            </w:r>
          </w:p>
        </w:tc>
      </w:tr>
      <w:tr w14:paraId="6DFF1A75">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CB812CC">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0DA2FCFC">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A7CC6E0">
            <w:pPr>
              <w:widowControl/>
              <w:shd w:val="clear" w:color="FFFFFF" w:fill="auto"/>
              <w:spacing w:line="240" w:lineRule="auto"/>
              <w:jc w:val="left"/>
              <w:textAlignment w:val="cente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79AADEE">
            <w:pPr>
              <w:widowControl/>
              <w:shd w:val="clear" w:color="FFFFFF" w:fill="auto"/>
              <w:spacing w:line="240" w:lineRule="auto"/>
              <w:jc w:val="left"/>
              <w:textAlignment w:val="cente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68CA0B6">
            <w:pPr>
              <w:widowControl/>
              <w:shd w:val="clear" w:color="FFFFFF" w:fill="auto"/>
              <w:spacing w:line="240" w:lineRule="auto"/>
              <w:jc w:val="left"/>
              <w:textAlignment w:val="cente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A9A8942">
            <w:pPr>
              <w:widowControl/>
              <w:shd w:val="clear" w:color="FFFFFF" w:fill="auto"/>
              <w:spacing w:line="240" w:lineRule="auto"/>
              <w:jc w:val="left"/>
              <w:textAlignment w:val="cente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8BF98C4">
            <w:pPr>
              <w:widowControl/>
              <w:shd w:val="clear" w:color="FFFFFF" w:fill="auto"/>
              <w:spacing w:line="240" w:lineRule="auto"/>
              <w:jc w:val="left"/>
              <w:textAlignment w:val="center"/>
            </w:pPr>
          </w:p>
        </w:tc>
      </w:tr>
      <w:tr w14:paraId="5A46526A">
        <w:tblPrEx>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E91C0C0">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30174E4">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2BFF438">
            <w:pPr>
              <w:widowControl/>
              <w:shd w:val="clear" w:color="FFFFFF" w:fill="auto"/>
              <w:spacing w:line="240" w:lineRule="auto"/>
              <w:jc w:val="left"/>
              <w:textAlignment w:val="cente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F979870">
            <w:pPr>
              <w:widowControl/>
              <w:shd w:val="clear" w:color="FFFFFF" w:fill="auto"/>
              <w:spacing w:line="240" w:lineRule="auto"/>
              <w:jc w:val="left"/>
              <w:textAlignment w:val="cente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0A7AC37A">
            <w:pPr>
              <w:widowControl/>
              <w:shd w:val="clear" w:color="FFFFFF" w:fill="auto"/>
              <w:spacing w:line="240" w:lineRule="auto"/>
              <w:jc w:val="left"/>
              <w:textAlignment w:val="cente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94A5AD5">
            <w:pPr>
              <w:widowControl/>
              <w:shd w:val="clear" w:color="FFFFFF" w:fill="auto"/>
              <w:spacing w:line="240" w:lineRule="auto"/>
              <w:jc w:val="left"/>
              <w:textAlignment w:val="cente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175C1349">
            <w:pPr>
              <w:widowControl/>
              <w:shd w:val="clear" w:color="FFFFFF" w:fill="auto"/>
              <w:spacing w:line="240" w:lineRule="auto"/>
              <w:jc w:val="left"/>
              <w:textAlignment w:val="center"/>
            </w:pPr>
          </w:p>
        </w:tc>
      </w:tr>
      <w:tr w14:paraId="5C2E3D9B">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CF6507B">
            <w:pPr>
              <w:widowControl/>
              <w:shd w:val="clear" w:color="FFFFFF" w:fill="auto"/>
              <w:spacing w:line="240" w:lineRule="auto"/>
              <w:jc w:val="left"/>
              <w:textAlignment w:val="cente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08EFB600">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9D5048D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F020AD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2B9A0E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2A45D97">
            <w:pPr>
              <w:shd w:val="clear" w:color="FFFFFF" w:fill="auto"/>
              <w:spacing w:line="240" w:lineRule="auto"/>
              <w:jc w:val="left"/>
            </w:pPr>
            <w:r>
              <w:rPr>
                <w:rFonts w:hint="default" w:ascii="仿宋_GB2312" w:hAnsi="Times New Roman" w:eastAsia="仿宋_GB2312" w:cs="仿宋_GB2312"/>
                <w:b w:val="0"/>
                <w:bCs w:val="0"/>
                <w:i w:val="0"/>
                <w:iCs w:val="0"/>
                <w:color w:val="auto"/>
                <w:kern w:val="2"/>
                <w:sz w:val="24"/>
                <w:szCs w:val="24"/>
                <w:highlight w:val="none"/>
                <w:shd w:val="clear" w:color="FFFFFF" w:fill="auto"/>
                <w:vertAlign w:val="baseline"/>
                <w:lang w:val="en-US" w:eastAsia="zh-CN" w:bidi="ar-SA"/>
              </w:rPr>
              <w:t>提升改造安曲镇过境路沿线网围栏80公里</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CEA4527">
            <w:pPr>
              <w:shd w:val="clear" w:color="FFFFFF" w:fill="auto"/>
              <w:spacing w:line="240" w:lineRule="auto"/>
              <w:jc w:val="left"/>
            </w:pPr>
            <w:r>
              <w:rPr>
                <w:rFonts w:hint="default" w:ascii="仿宋_GB2312" w:hAnsi="Times New Roman" w:eastAsia="仿宋_GB2312" w:cs="仿宋_GB2312"/>
                <w:b w:val="0"/>
                <w:bCs w:val="0"/>
                <w:i w:val="0"/>
                <w:iCs w:val="0"/>
                <w:color w:val="auto"/>
                <w:kern w:val="2"/>
                <w:sz w:val="24"/>
                <w:szCs w:val="24"/>
                <w:highlight w:val="none"/>
                <w:shd w:val="clear" w:color="FFFFFF" w:fill="auto"/>
                <w:vertAlign w:val="baseline"/>
                <w:lang w:val="en-US" w:eastAsia="zh-CN" w:bidi="ar-SA"/>
              </w:rPr>
              <w:t>完成提升改造安曲镇过境路沿线网围栏80公里</w:t>
            </w:r>
          </w:p>
        </w:tc>
      </w:tr>
      <w:tr w14:paraId="433D6675">
        <w:tblPrEx>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32437A7">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F3AFEE3">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B129589">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525C17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C0CB1B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FFF50B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969098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按时完工</w:t>
            </w:r>
          </w:p>
        </w:tc>
      </w:tr>
      <w:tr w14:paraId="31E0D6F4">
        <w:tblPrEx>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07B8C04">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8CF1A9D">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DC67150">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131D7F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77BC3C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9AE34C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B90199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w:t>
            </w:r>
          </w:p>
        </w:tc>
      </w:tr>
      <w:tr w14:paraId="44D07605">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54BA56F">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BDA7425">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B737130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B4A353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28E222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E7A9D7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6606E0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19FF5D7C">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0AE1BCF">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82D78E0">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F415AF9">
            <w:pPr>
              <w:widowControl/>
              <w:shd w:val="clear" w:color="FFFFFF" w:fill="auto"/>
              <w:spacing w:line="240" w:lineRule="auto"/>
              <w:jc w:val="left"/>
              <w:textAlignment w:val="bottom"/>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CE8AFA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876016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9DAB7B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27D9A4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28F7F3A0">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AD28FB5">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9D3693E">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38B984C">
            <w:pPr>
              <w:widowControl/>
              <w:shd w:val="clear" w:color="FFFFFF" w:fill="auto"/>
              <w:spacing w:line="240" w:lineRule="auto"/>
              <w:jc w:val="left"/>
              <w:textAlignment w:val="bottom"/>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32687EBB">
            <w:pPr>
              <w:widowControl/>
              <w:shd w:val="clear" w:color="FFFFFF" w:fill="auto"/>
              <w:spacing w:line="240" w:lineRule="auto"/>
              <w:jc w:val="left"/>
              <w:textAlignment w:val="bottom"/>
            </w:pP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1ABC85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379601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066B48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6195724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9960D37">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311CD1A">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067C4A9">
            <w:pPr>
              <w:widowControl/>
              <w:shd w:val="clear" w:color="FFFFFF" w:fill="auto"/>
              <w:spacing w:line="240" w:lineRule="auto"/>
              <w:jc w:val="left"/>
              <w:textAlignment w:val="bottom"/>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783D23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8A7229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B413E1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68275D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5496A2BF">
        <w:tblPrEx>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AF6E4E8">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A821564">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ED6D853">
            <w:pPr>
              <w:widowControl/>
              <w:shd w:val="clear" w:color="FFFFFF" w:fill="auto"/>
              <w:spacing w:line="240" w:lineRule="auto"/>
              <w:jc w:val="left"/>
              <w:textAlignment w:val="bottom"/>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0F8B0F0">
            <w:pPr>
              <w:widowControl/>
              <w:shd w:val="clear" w:color="FFFFFF" w:fill="auto"/>
              <w:spacing w:line="240" w:lineRule="auto"/>
              <w:jc w:val="left"/>
              <w:textAlignment w:val="bottom"/>
            </w:pP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D8A8E1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F67B8D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2C8CE8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B78AD66">
        <w:tblPrEx>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02DCA1D">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D04DF77">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7933611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491B06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83151D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DF63B2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F9E23F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0AD0C2DD">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37AD8DA">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B9E5455">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D5EC30C">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CEB748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E0661F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AE5F23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F5D39C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964E374">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A83B4BC">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B86BFCC">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D94737D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79BE02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C3977A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0EE87D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1个</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395FA9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1个</w:t>
            </w:r>
          </w:p>
        </w:tc>
      </w:tr>
      <w:tr w14:paraId="6253E33C">
        <w:tblPrEx>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341D8D4">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EDD02E4">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41A2E6D">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C16D9D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8EAAA4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0A0ABD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9845A8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D45060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6E1B6A7B">
        <w:tblPrEx>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3DC41D9">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6BE004D">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397B627">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63456A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39C898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F497BE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4E65D9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62E85B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189BBE84">
        <w:tblPrEx>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C416C1A">
            <w:pPr>
              <w:widowControl/>
              <w:shd w:val="clear" w:color="FFFFFF" w:fill="auto"/>
              <w:spacing w:line="240" w:lineRule="auto"/>
              <w:jc w:val="left"/>
              <w:textAlignment w:val="cente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0C1FDA3">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CA0884A1">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FA8B86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00A418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439003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B59A1B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A832DB3">
        <w:tblPrEx>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3338F4A">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EB62819">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EFFA03E">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0614BF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BD9943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34D809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344519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7801EFCE">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5C723D8">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6FFC475">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5D092EC">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8E4445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97DB97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37E0F1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406ECC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8036A7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9E6602C">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A1E08EB">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0061E44">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633D35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9BC82D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866F23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6788DC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02325D65">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2BCBC60">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A772DC3">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20CA180">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320C18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0E0CE9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6901CD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7E64032">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176EB13F">
        <w:tblPrEx>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4B99693">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3BE21F7">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7AD47995">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72C863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907859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6C295A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20092C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6D9BCD7B">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465DD78">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6074309">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D2BB0ED">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22C128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0D5010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B0C1A1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75C883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143F374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4976929">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EA6D209">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2DB2735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C6E8A8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229171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9DB592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CAC1E2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453337E">
        <w:tblPrEx>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AE3C655">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75FF2DF">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838AA61">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32D29E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3C9F96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34A89E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43C5C2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0FA82A6">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0B3F216">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784DA3F">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6AB65DB">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DB9F98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C74235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FCE5F0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05EFBB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48B97065">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926CC3F">
            <w:pPr>
              <w:shd w:val="clear" w:color="FFFFFF" w:fill="auto"/>
              <w:spacing w:line="240" w:lineRule="auto"/>
              <w:jc w:val="left"/>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C1E14B74">
            <w:pPr>
              <w:widowControl/>
              <w:shd w:val="clear" w:color="FFFFFF" w:fill="auto"/>
              <w:spacing w:line="240" w:lineRule="auto"/>
              <w:jc w:val="left"/>
              <w:textAlignment w:val="center"/>
            </w:pPr>
            <w:r>
              <w:rPr>
                <w:rFonts w:ascii="宋体" w:hAnsi="Times New Roman" w:eastAsia="宋体" w:cs="宋体"/>
                <w:b w:val="0"/>
                <w:bCs w:val="0"/>
                <w:i w:val="0"/>
                <w:iCs w:val="0"/>
                <w:color w:val="auto"/>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28575" cy="9525"/>
                  <wp:effectExtent l="0" t="0" r="0" b="0"/>
                  <wp:wrapNone/>
                  <wp:docPr id="1099" name="Image1"/>
                  <wp:cNvGraphicFramePr/>
                  <a:graphic xmlns:a="http://schemas.openxmlformats.org/drawingml/2006/main">
                    <a:graphicData uri="http://schemas.openxmlformats.org/drawingml/2006/picture">
                      <pic:pic xmlns:pic="http://schemas.openxmlformats.org/drawingml/2006/picture">
                        <pic:nvPicPr>
                          <pic:cNvPr id="1099" name="Image1"/>
                          <pic:cNvPicPr/>
                        </pic:nvPicPr>
                        <pic:blipFill>
                          <a:blip r:embed="rId19" cstate="print"/>
                          <a:srcRect/>
                          <a:stretch>
                            <a:fillRect/>
                          </a:stretch>
                        </pic:blipFill>
                        <pic:spPr>
                          <a:xfrm>
                            <a:off x="0" y="0"/>
                            <a:ext cx="28575" cy="9525"/>
                          </a:xfrm>
                          <a:prstGeom prst="rect">
                            <a:avLst/>
                          </a:prstGeom>
                          <a:ln>
                            <a:noFill/>
                          </a:ln>
                        </pic:spPr>
                      </pic:pic>
                    </a:graphicData>
                  </a:graphic>
                </wp:anchor>
              </w:drawing>
            </w:r>
            <w:r>
              <w:rPr>
                <w:rFonts w:ascii="宋体" w:hAnsi="Times New Roman" w:eastAsia="宋体" w:cs="宋体"/>
                <w:b w:val="0"/>
                <w:bCs w:val="0"/>
                <w:i w:val="0"/>
                <w:iCs w:val="0"/>
                <w:color w:val="auto"/>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0" name="Image1"/>
                  <wp:cNvGraphicFramePr/>
                  <a:graphic xmlns:a="http://schemas.openxmlformats.org/drawingml/2006/main">
                    <a:graphicData uri="http://schemas.openxmlformats.org/drawingml/2006/picture">
                      <pic:pic xmlns:pic="http://schemas.openxmlformats.org/drawingml/2006/picture">
                        <pic:nvPicPr>
                          <pic:cNvPr id="1100" name="Image1"/>
                          <pic:cNvPicPr/>
                        </pic:nvPicPr>
                        <pic:blipFill>
                          <a:blip r:embed="rId20"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00CFCB5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87D8D7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527524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4AF151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6F526A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7DC7ACAD">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BE55445">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45AB188">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BDB7E3B">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CE6ED9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803FCB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DDB1AC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5832CB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08C9DA28">
        <w:tblPrEx>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ED77C84">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58C7276">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049D4C3">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91A3B5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022D68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303269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7ED801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67EDA5FF">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3D3C199">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B229ABD">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FFD7E4F">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C55553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0A1EA3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F62CD4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5F1854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648742C1">
        <w:tblPrEx>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7B23A6D">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156B097">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A8C3985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82AB70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6ECC10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反映相关产出对经济社会发展带来的影响和效果，根据项目实际 </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B271DD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通过项目实施，将给全镇增加一处 </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9C7BCD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通过项目实施，将给全镇增加 </w:t>
            </w:r>
          </w:p>
        </w:tc>
      </w:tr>
      <w:tr w14:paraId="7B7F9A5F">
        <w:tblPrEx>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CDC59C3">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B474211">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25A05CC1">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349E56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F6EFD8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663F9E4">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过境路的整体形象得以提高，人居生活条件得以改善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1F718A7">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过境路的整体形象得以提高，人居生活条件得以改善</w:t>
            </w:r>
          </w:p>
        </w:tc>
      </w:tr>
      <w:tr w14:paraId="2317D23B">
        <w:tblPrEx>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64118F5">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5380B46">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EA2AFEE">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B79CE8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9FC50E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32DCB91">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保护公路沿线草场</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9398A43">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公路沿线的整体形象得以提高，人居生活条件得以改善</w:t>
            </w:r>
          </w:p>
        </w:tc>
      </w:tr>
      <w:tr w14:paraId="483332EB">
        <w:tblPrEx>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EC55CA6">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757932B">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AE4E296">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CAAB9C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2359B0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01F60B1">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该围栏可以长期使用。</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6217D5D">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该围栏可以长期使用。</w:t>
            </w:r>
          </w:p>
        </w:tc>
      </w:tr>
      <w:tr w14:paraId="65B23F3F">
        <w:tblPrEx>
          <w:tblCellMar>
            <w:top w:w="15" w:type="dxa"/>
            <w:left w:w="15" w:type="dxa"/>
            <w:bottom w:w="15" w:type="dxa"/>
            <w:right w:w="15" w:type="dxa"/>
          </w:tblCellMar>
        </w:tblPrEx>
        <w:trPr>
          <w:gridAfter w:val="1"/>
          <w:wAfter w:w="526" w:type="dxa"/>
          <w:trHeight w:val="165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BE85282">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63DD135">
            <w:pPr>
              <w:widowControl/>
              <w:shd w:val="clear" w:color="FFFFFF" w:fill="auto"/>
              <w:spacing w:line="240" w:lineRule="auto"/>
              <w:jc w:val="left"/>
              <w:textAlignment w:val="center"/>
            </w:pPr>
          </w:p>
        </w:tc>
        <w:tc>
          <w:tcPr>
            <w:tcW w:w="102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FC29C48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B6C4F8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6A4586D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CE4212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A05A29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群众满意度高，使用效益高</w:t>
            </w:r>
          </w:p>
        </w:tc>
      </w:tr>
      <w:tr w14:paraId="749C6824">
        <w:tblPrEx>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96B2377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A7D9FA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村级运行维护项目</w:t>
            </w:r>
          </w:p>
        </w:tc>
      </w:tr>
      <w:tr w14:paraId="7AC2F271">
        <w:tblPrEx>
          <w:tblCellMar>
            <w:top w:w="15" w:type="dxa"/>
            <w:left w:w="15" w:type="dxa"/>
            <w:bottom w:w="15" w:type="dxa"/>
            <w:right w:w="15"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06681308">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D3C33D59">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安曲镇人民政府</w:t>
            </w:r>
          </w:p>
        </w:tc>
      </w:tr>
      <w:tr w14:paraId="5F81F0B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A3BF749">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AEDCB40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93C31E50">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45万元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738685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643D95F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45万元</w:t>
            </w:r>
          </w:p>
        </w:tc>
      </w:tr>
      <w:tr w14:paraId="1E078F7C">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4C4F7BE">
            <w:pPr>
              <w:widowControl/>
              <w:shd w:val="clear" w:color="FFFFFF" w:fill="auto"/>
              <w:spacing w:line="240" w:lineRule="auto"/>
              <w:jc w:val="left"/>
              <w:textAlignment w:val="center"/>
            </w:pP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6FD9604">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13EB9DF1">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45万元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B6D62C2">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C8638B2E">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45万元</w:t>
            </w:r>
          </w:p>
        </w:tc>
      </w:tr>
      <w:tr w14:paraId="6D803BFD">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BE2E86E">
            <w:pPr>
              <w:widowControl/>
              <w:shd w:val="clear" w:color="FFFFFF" w:fill="auto"/>
              <w:spacing w:line="240" w:lineRule="auto"/>
              <w:jc w:val="left"/>
              <w:textAlignment w:val="center"/>
            </w:pPr>
          </w:p>
        </w:tc>
        <w:tc>
          <w:tcPr>
            <w:tcW w:w="2210"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CC340D3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9CB5E76">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A6386118">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B2B3BD20">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0</w:t>
            </w:r>
          </w:p>
        </w:tc>
      </w:tr>
      <w:tr w14:paraId="5AD82592">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3B11276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6AAEEC7E">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20CFCA4">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实际完成目标</w:t>
            </w:r>
          </w:p>
        </w:tc>
      </w:tr>
      <w:tr w14:paraId="46479168">
        <w:tblPrEx>
          <w:tblCellMar>
            <w:top w:w="15" w:type="dxa"/>
            <w:left w:w="15" w:type="dxa"/>
            <w:bottom w:w="15" w:type="dxa"/>
            <w:right w:w="15"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0F6F47E">
            <w:pPr>
              <w:widowControl/>
              <w:shd w:val="clear" w:color="FFFFFF" w:fill="auto"/>
              <w:spacing w:line="240" w:lineRule="auto"/>
              <w:jc w:val="left"/>
              <w:textAlignment w:val="center"/>
            </w:pPr>
          </w:p>
        </w:tc>
        <w:tc>
          <w:tcPr>
            <w:tcW w:w="2947" w:type="dxa"/>
            <w:gridSpan w:val="7"/>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EF297120">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提升改造村委会办公场所及设备，改善办公环境</w:t>
            </w:r>
          </w:p>
        </w:tc>
        <w:tc>
          <w:tcPr>
            <w:tcW w:w="5799" w:type="dxa"/>
            <w:gridSpan w:val="8"/>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A8A5527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村内环境治理及牧道维修，日常自来水维护，村办公费等。</w:t>
            </w:r>
          </w:p>
        </w:tc>
      </w:tr>
      <w:tr w14:paraId="4D207728">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9A59235">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1F925BE">
            <w:pPr>
              <w:widowControl/>
              <w:shd w:val="clear" w:color="FFFFFF" w:fill="auto"/>
              <w:spacing w:line="240" w:lineRule="auto"/>
              <w:jc w:val="left"/>
              <w:textAlignment w:val="center"/>
            </w:pP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1" name="Image1"/>
                  <wp:cNvGraphicFramePr/>
                  <a:graphic xmlns:a="http://schemas.openxmlformats.org/drawingml/2006/main">
                    <a:graphicData uri="http://schemas.openxmlformats.org/drawingml/2006/picture">
                      <pic:pic xmlns:pic="http://schemas.openxmlformats.org/drawingml/2006/picture">
                        <pic:nvPicPr>
                          <pic:cNvPr id="1101"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2" name="Image1"/>
                  <wp:cNvGraphicFramePr/>
                  <a:graphic xmlns:a="http://schemas.openxmlformats.org/drawingml/2006/main">
                    <a:graphicData uri="http://schemas.openxmlformats.org/drawingml/2006/picture">
                      <pic:pic xmlns:pic="http://schemas.openxmlformats.org/drawingml/2006/picture">
                        <pic:nvPicPr>
                          <pic:cNvPr id="1102"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3" name="Image1"/>
                  <wp:cNvGraphicFramePr/>
                  <a:graphic xmlns:a="http://schemas.openxmlformats.org/drawingml/2006/main">
                    <a:graphicData uri="http://schemas.openxmlformats.org/drawingml/2006/picture">
                      <pic:pic xmlns:pic="http://schemas.openxmlformats.org/drawingml/2006/picture">
                        <pic:nvPicPr>
                          <pic:cNvPr id="1103"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4" name="Image1"/>
                  <wp:cNvGraphicFramePr/>
                  <a:graphic xmlns:a="http://schemas.openxmlformats.org/drawingml/2006/main">
                    <a:graphicData uri="http://schemas.openxmlformats.org/drawingml/2006/picture">
                      <pic:pic xmlns:pic="http://schemas.openxmlformats.org/drawingml/2006/picture">
                        <pic:nvPicPr>
                          <pic:cNvPr id="1104"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C5E79E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DD8264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886F042">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193A53A">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预期指标值(包含数字及文字描述)</w:t>
            </w:r>
          </w:p>
        </w:tc>
        <w:tc>
          <w:tcPr>
            <w:tcW w:w="146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94D07EF">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4"/>
                <w:szCs w:val="24"/>
                <w:highlight w:val="none"/>
                <w:shd w:val="clear" w:color="FFFFFF" w:fill="auto"/>
                <w:vertAlign w:val="baseline"/>
                <w:lang w:val="en-US" w:eastAsia="zh-CN" w:bidi="ar-SA"/>
              </w:rPr>
              <w:t>实际完成指标值(包含数字及文字描述)</w:t>
            </w:r>
          </w:p>
        </w:tc>
      </w:tr>
      <w:tr w14:paraId="0FE5006B">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540984F">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856A30B">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8C0536C">
            <w:pPr>
              <w:widowControl/>
              <w:shd w:val="clear" w:color="FFFFFF" w:fill="auto"/>
              <w:spacing w:line="240" w:lineRule="auto"/>
              <w:jc w:val="left"/>
              <w:textAlignment w:val="cente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2B093DF">
            <w:pPr>
              <w:widowControl/>
              <w:shd w:val="clear" w:color="FFFFFF" w:fill="auto"/>
              <w:spacing w:line="240" w:lineRule="auto"/>
              <w:jc w:val="left"/>
              <w:textAlignment w:val="cente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0CD865F">
            <w:pPr>
              <w:widowControl/>
              <w:shd w:val="clear" w:color="FFFFFF" w:fill="auto"/>
              <w:spacing w:line="240" w:lineRule="auto"/>
              <w:jc w:val="left"/>
              <w:textAlignment w:val="cente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FEA1014">
            <w:pPr>
              <w:widowControl/>
              <w:shd w:val="clear" w:color="FFFFFF" w:fill="auto"/>
              <w:spacing w:line="240" w:lineRule="auto"/>
              <w:jc w:val="left"/>
              <w:textAlignment w:val="cente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4266658D">
            <w:pPr>
              <w:widowControl/>
              <w:shd w:val="clear" w:color="FFFFFF" w:fill="auto"/>
              <w:spacing w:line="240" w:lineRule="auto"/>
              <w:jc w:val="left"/>
              <w:textAlignment w:val="center"/>
            </w:pPr>
          </w:p>
        </w:tc>
      </w:tr>
      <w:tr w14:paraId="11251234">
        <w:tblPrEx>
          <w:tblCellMar>
            <w:top w:w="15" w:type="dxa"/>
            <w:left w:w="15" w:type="dxa"/>
            <w:bottom w:w="15" w:type="dxa"/>
            <w:right w:w="15"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8600D81">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0BC9EE36">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2A1E3F09">
            <w:pPr>
              <w:widowControl/>
              <w:shd w:val="clear" w:color="FFFFFF" w:fill="auto"/>
              <w:spacing w:line="240" w:lineRule="auto"/>
              <w:jc w:val="left"/>
              <w:textAlignment w:val="cente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8C350F5">
            <w:pPr>
              <w:widowControl/>
              <w:shd w:val="clear" w:color="FFFFFF" w:fill="auto"/>
              <w:spacing w:line="240" w:lineRule="auto"/>
              <w:jc w:val="left"/>
              <w:textAlignment w:val="cente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1F5AFEB2">
            <w:pPr>
              <w:widowControl/>
              <w:shd w:val="clear" w:color="FFFFFF" w:fill="auto"/>
              <w:spacing w:line="240" w:lineRule="auto"/>
              <w:jc w:val="left"/>
              <w:textAlignment w:val="cente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B70DBDE">
            <w:pPr>
              <w:widowControl/>
              <w:shd w:val="clear" w:color="FFFFFF" w:fill="auto"/>
              <w:spacing w:line="240" w:lineRule="auto"/>
              <w:jc w:val="left"/>
              <w:textAlignment w:val="cente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9986825">
            <w:pPr>
              <w:widowControl/>
              <w:shd w:val="clear" w:color="FFFFFF" w:fill="auto"/>
              <w:spacing w:line="240" w:lineRule="auto"/>
              <w:jc w:val="left"/>
              <w:textAlignment w:val="center"/>
            </w:pPr>
          </w:p>
        </w:tc>
      </w:tr>
      <w:tr w14:paraId="7F9BD165">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8BAF72F">
            <w:pPr>
              <w:widowControl/>
              <w:shd w:val="clear" w:color="FFFFFF" w:fill="auto"/>
              <w:spacing w:line="240" w:lineRule="auto"/>
              <w:jc w:val="left"/>
              <w:textAlignment w:val="cente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DA072B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FEC419E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6B82AB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61750C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51914A6">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村内环境治理及牧道维修，日常自来水维护，村办公费等。</w:t>
            </w:r>
          </w:p>
        </w:tc>
        <w:tc>
          <w:tcPr>
            <w:tcW w:w="1468"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A77C538">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村内环境治理及牧道维修，日常自来水维护，村办公费等。</w:t>
            </w:r>
          </w:p>
        </w:tc>
      </w:tr>
      <w:tr w14:paraId="091DF43F">
        <w:tblPrEx>
          <w:tblCellMar>
            <w:top w:w="15" w:type="dxa"/>
            <w:left w:w="15" w:type="dxa"/>
            <w:bottom w:w="15" w:type="dxa"/>
            <w:right w:w="15"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4E094BA">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67C924A">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8CB074B">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C3B5A5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86CE63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8C90D9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1859C2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按时完工</w:t>
            </w:r>
          </w:p>
        </w:tc>
      </w:tr>
      <w:tr w14:paraId="2094B376">
        <w:tblPrEx>
          <w:tblCellMar>
            <w:top w:w="15" w:type="dxa"/>
            <w:left w:w="15" w:type="dxa"/>
            <w:bottom w:w="15" w:type="dxa"/>
            <w:right w:w="15"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94D41AE">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20B6EED">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DB324BF">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2EDA10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073080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B728AC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2</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163F89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2</w:t>
            </w:r>
          </w:p>
        </w:tc>
      </w:tr>
      <w:tr w14:paraId="45F12DA0">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0FC753F">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BA274F1">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5A6B982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BD63B5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B843CD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97EB17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6B1661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5C780FB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1DA5407">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77440E6">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58A3BEE">
            <w:pPr>
              <w:widowControl/>
              <w:shd w:val="clear" w:color="FFFFFF" w:fill="auto"/>
              <w:spacing w:line="240" w:lineRule="auto"/>
              <w:jc w:val="left"/>
              <w:textAlignment w:val="bottom"/>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3012E0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9B48E4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CF5F70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757E2A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53726373">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C81A72D">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81E37F0">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7D1936D">
            <w:pPr>
              <w:widowControl/>
              <w:shd w:val="clear" w:color="FFFFFF" w:fill="auto"/>
              <w:spacing w:line="240" w:lineRule="auto"/>
              <w:jc w:val="left"/>
              <w:textAlignment w:val="bottom"/>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3C4B067">
            <w:pPr>
              <w:widowControl/>
              <w:shd w:val="clear" w:color="FFFFFF" w:fill="auto"/>
              <w:spacing w:line="240" w:lineRule="auto"/>
              <w:jc w:val="left"/>
              <w:textAlignment w:val="bottom"/>
            </w:pP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4F0318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C7410D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1C5266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C175F7E">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38807F9">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6878F7B">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6F84C0E">
            <w:pPr>
              <w:widowControl/>
              <w:shd w:val="clear" w:color="FFFFFF" w:fill="auto"/>
              <w:spacing w:line="240" w:lineRule="auto"/>
              <w:jc w:val="left"/>
              <w:textAlignment w:val="bottom"/>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4C5E25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1AA058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A78D19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0EB4B4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已制定</w:t>
            </w:r>
          </w:p>
        </w:tc>
      </w:tr>
      <w:tr w14:paraId="133044E2">
        <w:tblPrEx>
          <w:tblCellMar>
            <w:top w:w="15" w:type="dxa"/>
            <w:left w:w="15" w:type="dxa"/>
            <w:bottom w:w="15" w:type="dxa"/>
            <w:right w:w="15"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DDEDA8F">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1509BF7">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4DD80F8">
            <w:pPr>
              <w:widowControl/>
              <w:shd w:val="clear" w:color="FFFFFF" w:fill="auto"/>
              <w:spacing w:line="240" w:lineRule="auto"/>
              <w:jc w:val="left"/>
              <w:textAlignment w:val="bottom"/>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15F01B29">
            <w:pPr>
              <w:widowControl/>
              <w:shd w:val="clear" w:color="FFFFFF" w:fill="auto"/>
              <w:spacing w:line="240" w:lineRule="auto"/>
              <w:jc w:val="left"/>
              <w:textAlignment w:val="bottom"/>
            </w:pP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17F131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E3ABEF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6F97C3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65E828C5">
        <w:tblPrEx>
          <w:tblCellMar>
            <w:top w:w="15" w:type="dxa"/>
            <w:left w:w="15" w:type="dxa"/>
            <w:bottom w:w="15" w:type="dxa"/>
            <w:right w:w="15"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6C7B2AA">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98B6F99">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C1657A9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831727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189A7B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52C9F1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AABDD6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4144187C">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1D7F5D3">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F14B0DE">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F90CFB6">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FE01D7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E7253D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E5E540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6F1D5D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3F190D84">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912E99B">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5AF09CE">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CDD2380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F00B1F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036206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B92627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2个</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933F98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2个</w:t>
            </w:r>
          </w:p>
        </w:tc>
      </w:tr>
      <w:tr w14:paraId="3C3506F4">
        <w:tblPrEx>
          <w:tblCellMar>
            <w:top w:w="15" w:type="dxa"/>
            <w:left w:w="15" w:type="dxa"/>
            <w:bottom w:w="15" w:type="dxa"/>
            <w:right w:w="15"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A85B831">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B362325">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682BF6A">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1528D9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D90900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580E4F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A48996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3319D0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33C6B3B2">
        <w:tblPrEx>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DACBE16">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F53AFF2">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CAF79BE">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125B1D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F8EAEA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CD548C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8A0CEB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734833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7D2497D8">
        <w:tblPrEx>
          <w:tblCellMar>
            <w:top w:w="15" w:type="dxa"/>
            <w:left w:w="15" w:type="dxa"/>
            <w:bottom w:w="15" w:type="dxa"/>
            <w:right w:w="15"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0E44FD9">
            <w:pPr>
              <w:widowControl/>
              <w:shd w:val="clear" w:color="FFFFFF" w:fill="auto"/>
              <w:spacing w:line="240" w:lineRule="auto"/>
              <w:jc w:val="left"/>
              <w:textAlignment w:val="cente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112DA728">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C6BD3965">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24EF51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E849D4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5FB569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6A7C66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910C0D5">
        <w:tblPrEx>
          <w:tblCellMar>
            <w:top w:w="15" w:type="dxa"/>
            <w:left w:w="15" w:type="dxa"/>
            <w:bottom w:w="15" w:type="dxa"/>
            <w:right w:w="15"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A9E9352">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BDF8866">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947D857">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B015D5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F0908F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91ECF3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EB0DF1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41994AB2">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9881B89">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425D2E2">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E5714DA1">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3E2CEC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C3D7DC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D865E96">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1E41CD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ADD5EAE">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794CE56">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8F88065">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85AA07E">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C46E66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5A7643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FE1938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47B2D9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64FB6AC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285C5FD">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1FD7CDF">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8D005A9">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5A088B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A422E3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D1387D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531602F">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19D653B2">
        <w:tblPrEx>
          <w:tblCellMar>
            <w:top w:w="15" w:type="dxa"/>
            <w:left w:w="15" w:type="dxa"/>
            <w:bottom w:w="15" w:type="dxa"/>
            <w:right w:w="15"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E7F885D">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1246836">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B888C13D">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6BF9C9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D617F7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04263C5">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3427BF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032C928">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2D487A2">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B690177">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B6ADA8C">
            <w:pPr>
              <w:widowControl/>
              <w:shd w:val="clear" w:color="FFFFFF" w:fill="auto"/>
              <w:spacing w:line="240" w:lineRule="auto"/>
              <w:jc w:val="left"/>
              <w:textAlignment w:val="center"/>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1BD160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8B7330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AB03C0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A32D3F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512D4563">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DC342CC">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707C27F">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9F0FC2E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B6ECC1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30A2E70">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7C679E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2AE6B3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71DE8A95">
        <w:tblPrEx>
          <w:tblCellMar>
            <w:top w:w="15" w:type="dxa"/>
            <w:left w:w="15" w:type="dxa"/>
            <w:bottom w:w="15" w:type="dxa"/>
            <w:right w:w="15"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A059747">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53B0796">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9CB3F65">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3649EB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9DB566E">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C900557">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33AFF64">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44728D94">
        <w:tblPrEx>
          <w:tblCellMar>
            <w:top w:w="15" w:type="dxa"/>
            <w:left w:w="15" w:type="dxa"/>
            <w:bottom w:w="15" w:type="dxa"/>
            <w:right w:w="15"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2FA90F2">
            <w:pPr>
              <w:widowControl/>
              <w:shd w:val="clear" w:color="FFFFFF" w:fill="auto"/>
              <w:spacing w:line="240" w:lineRule="auto"/>
              <w:jc w:val="left"/>
              <w:textAlignment w:val="cente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F3FCB59">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90A1E2A">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F5DE0D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7EDC3516">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4365CF1">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42F201E">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是</w:t>
            </w:r>
          </w:p>
        </w:tc>
      </w:tr>
      <w:tr w14:paraId="28D98636">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2B883D35">
            <w:pPr>
              <w:shd w:val="clear" w:color="FFFFFF" w:fill="auto"/>
              <w:spacing w:line="240" w:lineRule="auto"/>
              <w:jc w:val="left"/>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center"/>
          </w:tcPr>
          <w:p w14:paraId="57B4C763">
            <w:pPr>
              <w:widowControl/>
              <w:shd w:val="clear" w:color="FFFFFF" w:fill="auto"/>
              <w:spacing w:line="240" w:lineRule="auto"/>
              <w:jc w:val="left"/>
              <w:textAlignment w:val="center"/>
            </w:pPr>
            <w:r>
              <w:rPr>
                <w:rFonts w:ascii="宋体" w:hAnsi="Times New Roman" w:eastAsia="宋体" w:cs="宋体"/>
                <w:b w:val="0"/>
                <w:bCs w:val="0"/>
                <w:i w:val="0"/>
                <w:iCs w:val="0"/>
                <w:color w:val="auto"/>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28575" cy="9525"/>
                  <wp:effectExtent l="0" t="0" r="0" b="0"/>
                  <wp:wrapNone/>
                  <wp:docPr id="1105" name="Image1"/>
                  <wp:cNvGraphicFramePr/>
                  <a:graphic xmlns:a="http://schemas.openxmlformats.org/drawingml/2006/main">
                    <a:graphicData uri="http://schemas.openxmlformats.org/drawingml/2006/picture">
                      <pic:pic xmlns:pic="http://schemas.openxmlformats.org/drawingml/2006/picture">
                        <pic:nvPicPr>
                          <pic:cNvPr id="1105" name="Image1"/>
                          <pic:cNvPicPr/>
                        </pic:nvPicPr>
                        <pic:blipFill>
                          <a:blip r:embed="rId19" cstate="print"/>
                          <a:srcRect/>
                          <a:stretch>
                            <a:fillRect/>
                          </a:stretch>
                        </pic:blipFill>
                        <pic:spPr>
                          <a:xfrm>
                            <a:off x="0" y="0"/>
                            <a:ext cx="28575" cy="9525"/>
                          </a:xfrm>
                          <a:prstGeom prst="rect">
                            <a:avLst/>
                          </a:prstGeom>
                          <a:ln>
                            <a:noFill/>
                          </a:ln>
                        </pic:spPr>
                      </pic:pic>
                    </a:graphicData>
                  </a:graphic>
                </wp:anchor>
              </w:drawing>
            </w:r>
            <w:r>
              <w:rPr>
                <w:rFonts w:ascii="宋体" w:hAnsi="Times New Roman" w:eastAsia="宋体" w:cs="宋体"/>
                <w:b w:val="0"/>
                <w:bCs w:val="0"/>
                <w:i w:val="0"/>
                <w:iCs w:val="0"/>
                <w:color w:val="auto"/>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6" name="Image1"/>
                  <wp:cNvGraphicFramePr/>
                  <a:graphic xmlns:a="http://schemas.openxmlformats.org/drawingml/2006/main">
                    <a:graphicData uri="http://schemas.openxmlformats.org/drawingml/2006/picture">
                      <pic:pic xmlns:pic="http://schemas.openxmlformats.org/drawingml/2006/picture">
                        <pic:nvPicPr>
                          <pic:cNvPr id="1106" name="Image1"/>
                          <pic:cNvPicPr/>
                        </pic:nvPicPr>
                        <pic:blipFill>
                          <a:blip r:embed="rId20"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0225AAA7">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CEF0B5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3DA38D3">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A72C0D0">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92BA40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0408FEB9">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CD9AA49">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0745473">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FC35418">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23C735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509DE9D">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6EE44AE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84EC2DA">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符合</w:t>
            </w:r>
          </w:p>
        </w:tc>
      </w:tr>
      <w:tr w14:paraId="3A216006">
        <w:tblPrEx>
          <w:tblCellMar>
            <w:top w:w="15" w:type="dxa"/>
            <w:left w:w="15" w:type="dxa"/>
            <w:bottom w:w="15" w:type="dxa"/>
            <w:right w:w="15"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B0F7DFE">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DC0BB0F">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3AF2D17">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0D4864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3DD091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C98CB86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28BB048">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6D76CCD3">
        <w:tblPrEx>
          <w:tblCellMar>
            <w:top w:w="15" w:type="dxa"/>
            <w:left w:w="15" w:type="dxa"/>
            <w:bottom w:w="15" w:type="dxa"/>
            <w:right w:w="15"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698BD8C">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1E408F7">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362A1F7">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4EEF8D1">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5D55E96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FC078AC">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A18BFD9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100%</w:t>
            </w:r>
          </w:p>
        </w:tc>
      </w:tr>
      <w:tr w14:paraId="7247A50C">
        <w:tblPrEx>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904126D">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1FA8347">
            <w:pPr>
              <w:widowControl/>
              <w:shd w:val="clear" w:color="FFFFFF" w:fill="auto"/>
              <w:spacing w:line="240" w:lineRule="auto"/>
              <w:jc w:val="left"/>
              <w:textAlignment w:val="cente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textDirection w:val="tbRlV"/>
            <w:vAlign w:val="bottom"/>
          </w:tcPr>
          <w:p w14:paraId="FDD6B399">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EBA46A9F">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43380CA4">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FF580B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提升改造村委会办公场所及设备，改善办公环境</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EADECB5">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提升改造村委会办公场所及设备，改善办公环境</w:t>
            </w:r>
          </w:p>
        </w:tc>
      </w:tr>
      <w:tr w14:paraId="5C78F22A">
        <w:tblPrEx>
          <w:tblCellMar>
            <w:top w:w="15" w:type="dxa"/>
            <w:left w:w="15" w:type="dxa"/>
            <w:bottom w:w="15" w:type="dxa"/>
            <w:right w:w="15"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F00B69A">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768FF50">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AFC6DAC">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421115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4B378BB">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8711C41">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提升改造村委会办公场所及设备，改善办公环境</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2ECC5D3">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提升改造村委会办公场所及设备，改善办公环境</w:t>
            </w:r>
          </w:p>
        </w:tc>
      </w:tr>
      <w:tr w14:paraId="55234A4C">
        <w:tblPrEx>
          <w:tblCellMar>
            <w:top w:w="15" w:type="dxa"/>
            <w:left w:w="15" w:type="dxa"/>
            <w:bottom w:w="15" w:type="dxa"/>
            <w:right w:w="15"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E50708C">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5487336">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A564383">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B4BC498">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973DA8BC">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F6F453D0">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提升改造村委会办公场所及设备，改善办公环境</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0A3E6D44">
            <w:pPr>
              <w:shd w:val="clear" w:color="FFFFFF" w:fill="auto"/>
              <w:spacing w:line="240" w:lineRule="auto"/>
              <w:jc w:val="left"/>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提升改造村委会办公场所及设备，改善办公环境</w:t>
            </w:r>
          </w:p>
        </w:tc>
      </w:tr>
      <w:tr w14:paraId="22EB06AD">
        <w:tblPrEx>
          <w:tblCellMar>
            <w:top w:w="15" w:type="dxa"/>
            <w:left w:w="15" w:type="dxa"/>
            <w:bottom w:w="15" w:type="dxa"/>
            <w:right w:w="15"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4A47531">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618960D">
            <w:pPr>
              <w:widowControl/>
              <w:shd w:val="clear" w:color="FFFFFF" w:fill="auto"/>
              <w:spacing w:line="240" w:lineRule="auto"/>
              <w:jc w:val="left"/>
              <w:textAlignment w:val="cente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CF7969D">
            <w:pPr>
              <w:widowControl/>
              <w:shd w:val="clear" w:color="FFFFFF" w:fill="auto"/>
              <w:spacing w:line="240" w:lineRule="auto"/>
              <w:jc w:val="left"/>
              <w:textAlignment w:val="bottom"/>
            </w:pP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BB3616EA">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D3C16BE2">
            <w:pPr>
              <w:widowControl/>
              <w:shd w:val="clear" w:color="FFFFFF" w:fill="auto"/>
              <w:spacing w:line="240" w:lineRule="auto"/>
              <w:jc w:val="left"/>
              <w:textAlignment w:val="bottom"/>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35118423">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对村委会围墙进行维修和绿化，采购办公设备</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1F5150FD">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对村委会围墙进行维修和绿化，采购办公设备</w:t>
            </w:r>
          </w:p>
        </w:tc>
      </w:tr>
      <w:tr w14:paraId="236ABA8F">
        <w:tblPrEx>
          <w:tblCellMar>
            <w:top w:w="15" w:type="dxa"/>
            <w:left w:w="15" w:type="dxa"/>
            <w:bottom w:w="15" w:type="dxa"/>
            <w:right w:w="15"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F6138CA">
            <w:pPr>
              <w:shd w:val="clear" w:color="FFFFFF" w:fill="auto"/>
              <w:spacing w:line="240" w:lineRule="auto"/>
              <w:jc w:val="left"/>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B6139FE">
            <w:pPr>
              <w:widowControl/>
              <w:shd w:val="clear" w:color="FFFFFF" w:fill="auto"/>
              <w:spacing w:line="240" w:lineRule="auto"/>
              <w:jc w:val="left"/>
              <w:textAlignment w:val="center"/>
            </w:pPr>
          </w:p>
        </w:tc>
        <w:tc>
          <w:tcPr>
            <w:tcW w:w="1022"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D6FE2D07">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952BA7F2">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center"/>
          </w:tcPr>
          <w:p w14:paraId="7D9A90C4">
            <w:pPr>
              <w:widowControl/>
              <w:shd w:val="clear" w:color="FFFFFF" w:fill="auto"/>
              <w:spacing w:line="240" w:lineRule="auto"/>
              <w:jc w:val="left"/>
              <w:textAlignment w:val="center"/>
            </w:pPr>
            <w:r>
              <w:rPr>
                <w:rFonts w:hint="default" w:ascii="宋体" w:hAnsi="Times New Roman" w:eastAsia="宋体" w:cs="宋体"/>
                <w:b w:val="0"/>
                <w:bCs w:val="0"/>
                <w:i w:val="0"/>
                <w:iCs w:val="0"/>
                <w:color w:val="auto"/>
                <w:kern w:val="0"/>
                <w:sz w:val="20"/>
                <w:szCs w:val="20"/>
                <w:highlight w:val="none"/>
                <w:shd w:val="clear" w:color="FFFFFF" w:fill="auto"/>
                <w:vertAlign w:val="baseline"/>
                <w:lang w:val="en-US" w:eastAsia="zh-CN" w:bidi="ar-SA"/>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2C75EC7B">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15" w:type="dxa"/>
              <w:right w:w="15" w:type="dxa"/>
            </w:tcMar>
            <w:vAlign w:val="bottom"/>
          </w:tcPr>
          <w:p w14:paraId="8C227A59">
            <w:pPr>
              <w:shd w:val="clear" w:color="FFFFFF" w:fill="auto"/>
              <w:spacing w:line="240" w:lineRule="auto"/>
              <w:jc w:val="left"/>
            </w:pPr>
            <w:r>
              <w:rPr>
                <w:rFonts w:hint="default" w:ascii="宋体" w:hAnsi="Times New Roman" w:eastAsia="宋体" w:cs="宋体"/>
                <w:b w:val="0"/>
                <w:bCs w:val="0"/>
                <w:i w:val="0"/>
                <w:iCs w:val="0"/>
                <w:color w:val="auto"/>
                <w:kern w:val="2"/>
                <w:sz w:val="20"/>
                <w:szCs w:val="20"/>
                <w:highlight w:val="none"/>
                <w:shd w:val="clear" w:color="FFFFFF" w:fill="auto"/>
                <w:vertAlign w:val="baseline"/>
                <w:lang w:val="en-US" w:eastAsia="zh-CN" w:bidi="ar-SA"/>
              </w:rPr>
              <w:t>群众满意度高，使用效益高</w:t>
            </w:r>
          </w:p>
        </w:tc>
      </w:tr>
    </w:tbl>
    <w:p w14:paraId="285D7F21">
      <w:pPr>
        <w:shd w:val="clear" w:color="FFFFFF" w:fill="auto"/>
        <w:spacing w:line="580" w:lineRule="exact"/>
        <w:jc w:val="both"/>
      </w:pPr>
    </w:p>
    <w:tbl>
      <w:tblPr>
        <w:tblStyle w:val="19"/>
        <w:tblW w:w="9895" w:type="dxa"/>
        <w:jc w:val="center"/>
        <w:tblLayout w:type="fixed"/>
        <w:tblCellMar>
          <w:top w:w="0" w:type="dxa"/>
          <w:left w:w="0" w:type="dxa"/>
          <w:bottom w:w="0" w:type="dxa"/>
          <w:right w:w="0" w:type="dxa"/>
        </w:tblCellMar>
      </w:tblPr>
      <w:tblGrid>
        <w:gridCol w:w="659"/>
        <w:gridCol w:w="1255"/>
        <w:gridCol w:w="1079"/>
        <w:gridCol w:w="778"/>
        <w:gridCol w:w="1220"/>
        <w:gridCol w:w="1807"/>
        <w:gridCol w:w="1547"/>
        <w:gridCol w:w="1550"/>
      </w:tblGrid>
      <w:tr w14:paraId="79AA9D1E">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54E43BE9">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项目名称</w:t>
            </w:r>
          </w:p>
        </w:tc>
        <w:tc>
          <w:tcPr>
            <w:tcW w:w="6902"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2C4C1781">
            <w:pPr>
              <w:widowControl/>
              <w:shd w:val="clear" w:color="FFFFFF" w:fill="auto"/>
              <w:spacing w:line="240" w:lineRule="auto"/>
              <w:jc w:val="left"/>
              <w:textAlignment w:val="center"/>
            </w:pP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红原县生产性便道新建、维修及重建项目</w:t>
            </w:r>
          </w:p>
        </w:tc>
      </w:tr>
      <w:tr w14:paraId="26DF4C75">
        <w:tblPrEx>
          <w:tblCellMar>
            <w:top w:w="0" w:type="dxa"/>
            <w:left w:w="0" w:type="dxa"/>
            <w:bottom w:w="0" w:type="dxa"/>
            <w:right w:w="0" w:type="dxa"/>
          </w:tblCellMar>
        </w:tblPrEx>
        <w:trPr>
          <w:trHeight w:val="555" w:hRule="atLeast"/>
          <w:jc w:val="center"/>
        </w:trPr>
        <w:tc>
          <w:tcPr>
            <w:tcW w:w="2993"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E927B5B0">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预算单位</w:t>
            </w:r>
          </w:p>
        </w:tc>
        <w:tc>
          <w:tcPr>
            <w:tcW w:w="6902" w:type="dxa"/>
            <w:gridSpan w:val="5"/>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C3F7DB36">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安曲镇人民政府</w:t>
            </w:r>
          </w:p>
        </w:tc>
      </w:tr>
      <w:tr w14:paraId="0B5083AF">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EEAD2FAB">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预算执行情况(万元</w:t>
            </w:r>
          </w:p>
        </w:tc>
        <w:tc>
          <w:tcPr>
            <w:tcW w:w="233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79FB2AF6">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预算数:</w:t>
            </w:r>
          </w:p>
        </w:tc>
        <w:tc>
          <w:tcPr>
            <w:tcW w:w="1998"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D5B08647">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30万元</w:t>
            </w:r>
          </w:p>
        </w:tc>
        <w:tc>
          <w:tcPr>
            <w:tcW w:w="180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C146ECE4">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执行数:</w:t>
            </w:r>
          </w:p>
        </w:tc>
        <w:tc>
          <w:tcPr>
            <w:tcW w:w="309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C115E483">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30万元</w:t>
            </w:r>
          </w:p>
        </w:tc>
      </w:tr>
      <w:tr w14:paraId="2B0BBE0D">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505B895">
            <w:pPr>
              <w:widowControl/>
              <w:shd w:val="clear" w:color="FFFFFF" w:fill="auto"/>
              <w:spacing w:line="240" w:lineRule="auto"/>
              <w:jc w:val="left"/>
              <w:textAlignment w:val="center"/>
            </w:pPr>
          </w:p>
        </w:tc>
        <w:tc>
          <w:tcPr>
            <w:tcW w:w="233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D4A18872">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其中-财政拨款:</w:t>
            </w:r>
          </w:p>
        </w:tc>
        <w:tc>
          <w:tcPr>
            <w:tcW w:w="1998"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CB2B66FD">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30万元</w:t>
            </w:r>
          </w:p>
        </w:tc>
        <w:tc>
          <w:tcPr>
            <w:tcW w:w="180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027719D4">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其中-财政拨款:</w:t>
            </w:r>
          </w:p>
        </w:tc>
        <w:tc>
          <w:tcPr>
            <w:tcW w:w="309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4FB25C86">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30万元</w:t>
            </w:r>
          </w:p>
        </w:tc>
      </w:tr>
      <w:tr w14:paraId="461FE6CE">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78990C3">
            <w:pPr>
              <w:widowControl/>
              <w:shd w:val="clear" w:color="FFFFFF" w:fill="auto"/>
              <w:spacing w:line="240" w:lineRule="auto"/>
              <w:jc w:val="left"/>
              <w:textAlignment w:val="center"/>
            </w:pPr>
          </w:p>
        </w:tc>
        <w:tc>
          <w:tcPr>
            <w:tcW w:w="2334"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F5E41DE1">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其它资金:</w:t>
            </w:r>
          </w:p>
        </w:tc>
        <w:tc>
          <w:tcPr>
            <w:tcW w:w="1998"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3B835F95">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0</w:t>
            </w:r>
          </w:p>
        </w:tc>
        <w:tc>
          <w:tcPr>
            <w:tcW w:w="180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8EFDE8F1">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其它资金:</w:t>
            </w:r>
          </w:p>
        </w:tc>
        <w:tc>
          <w:tcPr>
            <w:tcW w:w="309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AF001636">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0</w:t>
            </w:r>
          </w:p>
        </w:tc>
      </w:tr>
      <w:tr w14:paraId="47EA5BFA">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8DE7947C">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年度目标完成情况</w:t>
            </w:r>
          </w:p>
        </w:tc>
        <w:tc>
          <w:tcPr>
            <w:tcW w:w="311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387084E7">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预期目标</w:t>
            </w:r>
          </w:p>
        </w:tc>
        <w:tc>
          <w:tcPr>
            <w:tcW w:w="612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DCD4C6AF">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实际完成目标</w:t>
            </w:r>
          </w:p>
        </w:tc>
      </w:tr>
      <w:tr w14:paraId="6F5569F5">
        <w:tblPrEx>
          <w:tblCellMar>
            <w:top w:w="0" w:type="dxa"/>
            <w:left w:w="0" w:type="dxa"/>
            <w:bottom w:w="0" w:type="dxa"/>
            <w:right w:w="0" w:type="dxa"/>
          </w:tblCellMar>
        </w:tblPrEx>
        <w:trPr>
          <w:trHeight w:val="19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6A78A73">
            <w:pPr>
              <w:widowControl/>
              <w:shd w:val="clear" w:color="FFFFFF" w:fill="auto"/>
              <w:spacing w:line="240" w:lineRule="auto"/>
              <w:jc w:val="left"/>
              <w:textAlignment w:val="center"/>
            </w:pPr>
          </w:p>
        </w:tc>
        <w:tc>
          <w:tcPr>
            <w:tcW w:w="3112" w:type="dxa"/>
            <w:gridSpan w:val="3"/>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CFAC0ED6">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维修牧业生产性道路30公里。</w:t>
            </w:r>
          </w:p>
        </w:tc>
        <w:tc>
          <w:tcPr>
            <w:tcW w:w="6124" w:type="dxa"/>
            <w:gridSpan w:val="4"/>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E9B22956">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维修牧业生产性道路30公里。</w:t>
            </w:r>
          </w:p>
        </w:tc>
      </w:tr>
      <w:tr w14:paraId="11E73431">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AA21E9BA">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绩效指标完成情况</w:t>
            </w:r>
          </w:p>
        </w:tc>
        <w:tc>
          <w:tcPr>
            <w:tcW w:w="1255"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1C1378E">
            <w:pPr>
              <w:widowControl/>
              <w:shd w:val="clear" w:color="FFFFFF" w:fill="auto"/>
              <w:spacing w:line="240" w:lineRule="auto"/>
              <w:jc w:val="left"/>
              <w:textAlignment w:val="center"/>
            </w:pPr>
            <w:r>
              <w:rPr>
                <w:rFonts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7" name="Image1"/>
                  <wp:cNvGraphicFramePr/>
                  <a:graphic xmlns:a="http://schemas.openxmlformats.org/drawingml/2006/main">
                    <a:graphicData uri="http://schemas.openxmlformats.org/drawingml/2006/picture">
                      <pic:pic xmlns:pic="http://schemas.openxmlformats.org/drawingml/2006/picture">
                        <pic:nvPicPr>
                          <pic:cNvPr id="1107"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8" name="Image1"/>
                  <wp:cNvGraphicFramePr/>
                  <a:graphic xmlns:a="http://schemas.openxmlformats.org/drawingml/2006/main">
                    <a:graphicData uri="http://schemas.openxmlformats.org/drawingml/2006/picture">
                      <pic:pic xmlns:pic="http://schemas.openxmlformats.org/drawingml/2006/picture">
                        <pic:nvPicPr>
                          <pic:cNvPr id="1108"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09" name="Image1"/>
                  <wp:cNvGraphicFramePr/>
                  <a:graphic xmlns:a="http://schemas.openxmlformats.org/drawingml/2006/main">
                    <a:graphicData uri="http://schemas.openxmlformats.org/drawingml/2006/picture">
                      <pic:pic xmlns:pic="http://schemas.openxmlformats.org/drawingml/2006/picture">
                        <pic:nvPicPr>
                          <pic:cNvPr id="1109"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10" name="Image1"/>
                  <wp:cNvGraphicFramePr/>
                  <a:graphic xmlns:a="http://schemas.openxmlformats.org/drawingml/2006/main">
                    <a:graphicData uri="http://schemas.openxmlformats.org/drawingml/2006/picture">
                      <pic:pic xmlns:pic="http://schemas.openxmlformats.org/drawingml/2006/picture">
                        <pic:nvPicPr>
                          <pic:cNvPr id="1110" name="Image1"/>
                          <pic:cNvPicPr/>
                        </pic:nvPicPr>
                        <pic:blipFill>
                          <a:blip r:embed="rId18"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一级指标</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F1B00F8">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二级指标</w:t>
            </w:r>
          </w:p>
        </w:tc>
        <w:tc>
          <w:tcPr>
            <w:tcW w:w="778"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4701BFE">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三级指标</w:t>
            </w:r>
          </w:p>
        </w:tc>
        <w:tc>
          <w:tcPr>
            <w:tcW w:w="3027" w:type="dxa"/>
            <w:gridSpan w:val="2"/>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83C7C25">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指标评价内容</w:t>
            </w:r>
          </w:p>
        </w:tc>
        <w:tc>
          <w:tcPr>
            <w:tcW w:w="1547"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DF279608">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预期指标值(包含数字及文字描述)</w:t>
            </w:r>
          </w:p>
        </w:tc>
        <w:tc>
          <w:tcPr>
            <w:tcW w:w="1550"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AFFCC25">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4"/>
                <w:szCs w:val="24"/>
                <w:highlight w:val="none"/>
                <w:shd w:val="clear" w:color="FFFFFF" w:fill="auto"/>
                <w:vertAlign w:val="baseline"/>
                <w:lang w:val="en-US" w:eastAsia="zh-CN" w:bidi="ar-SA"/>
              </w:rPr>
              <w:t>实际完成指标值(包含数字及文字描述)</w:t>
            </w:r>
          </w:p>
        </w:tc>
      </w:tr>
      <w:tr w14:paraId="0DEFCE32">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DD9D99C">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0A935BEB">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1EA90CD2">
            <w:pPr>
              <w:widowControl/>
              <w:shd w:val="clear" w:color="FFFFFF" w:fill="auto"/>
              <w:spacing w:line="240" w:lineRule="auto"/>
              <w:jc w:val="left"/>
              <w:textAlignment w:val="cente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3BE6188">
            <w:pPr>
              <w:widowControl/>
              <w:shd w:val="clear" w:color="FFFFFF" w:fill="auto"/>
              <w:spacing w:line="240" w:lineRule="auto"/>
              <w:jc w:val="left"/>
              <w:textAlignment w:val="cente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0E91278E">
            <w:pPr>
              <w:widowControl/>
              <w:shd w:val="clear" w:color="FFFFFF" w:fill="auto"/>
              <w:spacing w:line="240" w:lineRule="auto"/>
              <w:jc w:val="left"/>
              <w:textAlignment w:val="cente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7CFD853">
            <w:pPr>
              <w:widowControl/>
              <w:shd w:val="clear" w:color="FFFFFF" w:fill="auto"/>
              <w:spacing w:line="240" w:lineRule="auto"/>
              <w:jc w:val="left"/>
              <w:textAlignment w:val="cente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251C686A">
            <w:pPr>
              <w:widowControl/>
              <w:shd w:val="clear" w:color="FFFFFF" w:fill="auto"/>
              <w:spacing w:line="240" w:lineRule="auto"/>
              <w:jc w:val="left"/>
              <w:textAlignment w:val="center"/>
            </w:pPr>
          </w:p>
        </w:tc>
      </w:tr>
      <w:tr w14:paraId="5DBED6CA">
        <w:tblPrEx>
          <w:tblCellMar>
            <w:top w:w="0" w:type="dxa"/>
            <w:left w:w="0" w:type="dxa"/>
            <w:bottom w:w="0" w:type="dxa"/>
            <w:right w:w="0" w:type="dxa"/>
          </w:tblCellMar>
        </w:tblPrEx>
        <w:trPr>
          <w:trHeight w:val="312"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B19B806">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CC30665">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1A1E008E">
            <w:pPr>
              <w:widowControl/>
              <w:shd w:val="clear" w:color="FFFFFF" w:fill="auto"/>
              <w:spacing w:line="240" w:lineRule="auto"/>
              <w:jc w:val="left"/>
              <w:textAlignment w:val="center"/>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1493A46F">
            <w:pPr>
              <w:widowControl/>
              <w:shd w:val="clear" w:color="FFFFFF" w:fill="auto"/>
              <w:spacing w:line="240" w:lineRule="auto"/>
              <w:jc w:val="left"/>
              <w:textAlignment w:val="center"/>
            </w:pPr>
          </w:p>
        </w:tc>
        <w:tc>
          <w:tcPr>
            <w:tcW w:w="3027" w:type="dxa"/>
            <w:gridSpan w:val="2"/>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F3045AD">
            <w:pPr>
              <w:widowControl/>
              <w:shd w:val="clear" w:color="FFFFFF" w:fill="auto"/>
              <w:spacing w:line="240" w:lineRule="auto"/>
              <w:jc w:val="left"/>
              <w:textAlignment w:val="center"/>
            </w:pPr>
          </w:p>
        </w:tc>
        <w:tc>
          <w:tcPr>
            <w:tcW w:w="1547"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741DB3E6">
            <w:pPr>
              <w:widowControl/>
              <w:shd w:val="clear" w:color="FFFFFF" w:fill="auto"/>
              <w:spacing w:line="240" w:lineRule="auto"/>
              <w:jc w:val="left"/>
              <w:textAlignment w:val="center"/>
            </w:pPr>
          </w:p>
        </w:tc>
        <w:tc>
          <w:tcPr>
            <w:tcW w:w="1550"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E175105">
            <w:pPr>
              <w:widowControl/>
              <w:shd w:val="clear" w:color="FFFFFF" w:fill="auto"/>
              <w:spacing w:line="240" w:lineRule="auto"/>
              <w:jc w:val="left"/>
              <w:textAlignment w:val="center"/>
            </w:pPr>
          </w:p>
        </w:tc>
      </w:tr>
      <w:tr w14:paraId="5DCFDD3E">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F662F29">
            <w:pPr>
              <w:widowControl/>
              <w:shd w:val="clear" w:color="FFFFFF" w:fill="auto"/>
              <w:spacing w:line="240" w:lineRule="auto"/>
              <w:jc w:val="left"/>
              <w:textAlignment w:val="cente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center"/>
          </w:tcPr>
          <w:p w14:paraId="12B8380C">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项目决策</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bottom"/>
          </w:tcPr>
          <w:p w14:paraId="95B6133C">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绩效目标</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E15D35BA">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目标内容</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B4451A9">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项目预期提供的产品、服务、效益或其他目标明确,即绩效目标实际明确个数/应当明确个数×100%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74FCE07">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维修牧业生产性道路30公里。</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DBADF20D">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维修牧业生产性道路30公里。</w:t>
            </w:r>
          </w:p>
        </w:tc>
      </w:tr>
      <w:tr w14:paraId="6D8E7122">
        <w:tblPrEx>
          <w:tblCellMar>
            <w:top w:w="0" w:type="dxa"/>
            <w:left w:w="0" w:type="dxa"/>
            <w:bottom w:w="0" w:type="dxa"/>
            <w:right w:w="0" w:type="dxa"/>
          </w:tblCellMar>
        </w:tblPrEx>
        <w:trPr>
          <w:trHeight w:val="64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B9F8C0B">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F58458D">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096E6B9">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3190BE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进度计划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6B6107A">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项目计划实施进度明确</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E7E512C">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按照工期进度表进行</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4D4794A7">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按时完工</w:t>
            </w:r>
          </w:p>
        </w:tc>
      </w:tr>
      <w:tr w14:paraId="4B4C10A0">
        <w:tblPrEx>
          <w:tblCellMar>
            <w:top w:w="0" w:type="dxa"/>
            <w:left w:w="0" w:type="dxa"/>
            <w:bottom w:w="0" w:type="dxa"/>
            <w:right w:w="0" w:type="dxa"/>
          </w:tblCellMar>
        </w:tblPrEx>
        <w:trPr>
          <w:trHeight w:val="69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ACE5FED">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525A360">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C76C676">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031B8770">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目标匹配</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42FA375D">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绩效目标设定符合实际需求的抽样项目点个数/抽样项目点总数×100%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8E4725E">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2</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47E70B33">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2</w:t>
            </w:r>
          </w:p>
        </w:tc>
      </w:tr>
      <w:tr w14:paraId="4E732CA5">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15905A7">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281990F">
            <w:pPr>
              <w:widowControl/>
              <w:shd w:val="clear" w:color="FFFFFF" w:fill="auto"/>
              <w:spacing w:line="240" w:lineRule="auto"/>
              <w:jc w:val="left"/>
              <w:textAlignment w:val="cente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bottom"/>
          </w:tcPr>
          <w:p w14:paraId="FC642306">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决策依据</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32C287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政策依据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5668002">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项目符合党中央、国务院和省委、省政府决策部署；符合当前经济社会发展需要</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EE99E701">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符合</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A9B8E245">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符合</w:t>
            </w:r>
          </w:p>
        </w:tc>
      </w:tr>
      <w:tr w14:paraId="733A1E10">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DFB12D6">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190CB4B">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5423C2E">
            <w:pPr>
              <w:widowControl/>
              <w:shd w:val="clear" w:color="FFFFFF" w:fill="auto"/>
              <w:spacing w:line="240" w:lineRule="auto"/>
              <w:jc w:val="left"/>
              <w:textAlignment w:val="bottom"/>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A1469845">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实施规划</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18C673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连续性项目根据需要制定中长期实施规划</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D77A2FD">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已制定</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55B0412">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已制定</w:t>
            </w:r>
          </w:p>
        </w:tc>
      </w:tr>
      <w:tr w14:paraId="5220B709">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43C9725">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62666F6">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7B41D25">
            <w:pPr>
              <w:widowControl/>
              <w:shd w:val="clear" w:color="FFFFFF" w:fill="auto"/>
              <w:spacing w:line="240" w:lineRule="auto"/>
              <w:jc w:val="left"/>
              <w:textAlignment w:val="bottom"/>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62ABB7DD">
            <w:pPr>
              <w:widowControl/>
              <w:shd w:val="clear" w:color="FFFFFF" w:fill="auto"/>
              <w:spacing w:line="240" w:lineRule="auto"/>
              <w:jc w:val="left"/>
              <w:textAlignment w:val="bottom"/>
            </w:pP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19A5A72">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实施规划符合实际，并根据情况变化适时调整</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4F408FD">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D560A3A">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749AF95B">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B1E59EA">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01C38A2">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738716ED">
            <w:pPr>
              <w:widowControl/>
              <w:shd w:val="clear" w:color="FFFFFF" w:fill="auto"/>
              <w:spacing w:line="240" w:lineRule="auto"/>
              <w:jc w:val="left"/>
              <w:textAlignment w:val="bottom"/>
            </w:pPr>
          </w:p>
        </w:tc>
        <w:tc>
          <w:tcPr>
            <w:tcW w:w="778"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94614B3">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管理制度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9A0F4CA">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制定项目资金管理办法</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9A6381E">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已制定</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CA27757F">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已制定</w:t>
            </w:r>
          </w:p>
        </w:tc>
      </w:tr>
      <w:tr w14:paraId="577C4450">
        <w:tblPrEx>
          <w:tblCellMar>
            <w:top w:w="0" w:type="dxa"/>
            <w:left w:w="0" w:type="dxa"/>
            <w:bottom w:w="0" w:type="dxa"/>
            <w:right w:w="0" w:type="dxa"/>
          </w:tblCellMar>
        </w:tblPrEx>
        <w:trPr>
          <w:trHeight w:val="75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D40F89B">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EE16521">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0F2D008">
            <w:pPr>
              <w:widowControl/>
              <w:shd w:val="clear" w:color="FFFFFF" w:fill="auto"/>
              <w:spacing w:line="240" w:lineRule="auto"/>
              <w:jc w:val="left"/>
              <w:textAlignment w:val="bottom"/>
            </w:pPr>
          </w:p>
        </w:tc>
        <w:tc>
          <w:tcPr>
            <w:tcW w:w="778" w:type="dxa"/>
            <w:vMerge w:val="continue"/>
            <w:tcBorders>
              <w:top w:val="single" w:color="000000" w:sz="4" w:space="0"/>
              <w:left w:val="single" w:color="000000" w:sz="4" w:space="0"/>
              <w:bottom w:val="single" w:color="000000" w:sz="4" w:space="0"/>
              <w:right w:val="single" w:color="000000" w:sz="4" w:space="0"/>
            </w:tcBorders>
            <w:shd w:val="clear" w:color="FFFFFF" w:fill="auto"/>
            <w:vAlign w:val="bottom"/>
          </w:tcPr>
          <w:p w14:paraId="58C2AEDD">
            <w:pPr>
              <w:widowControl/>
              <w:shd w:val="clear" w:color="FFFFFF" w:fill="auto"/>
              <w:spacing w:line="240" w:lineRule="auto"/>
              <w:jc w:val="left"/>
              <w:textAlignment w:val="bottom"/>
            </w:pP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6B7CAF9">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项目资金分配决策程序明确</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0B35AD0">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E12FC77F">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6D0F5107">
        <w:tblPrEx>
          <w:tblCellMar>
            <w:top w:w="0" w:type="dxa"/>
            <w:left w:w="0" w:type="dxa"/>
            <w:bottom w:w="0" w:type="dxa"/>
            <w:right w:w="0" w:type="dxa"/>
          </w:tblCellMar>
        </w:tblPrEx>
        <w:trPr>
          <w:trHeight w:val="82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4E069FC">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108A182">
            <w:pPr>
              <w:widowControl/>
              <w:shd w:val="clear" w:color="FFFFFF" w:fill="auto"/>
              <w:spacing w:line="240" w:lineRule="auto"/>
              <w:jc w:val="left"/>
              <w:textAlignment w:val="cente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bottom"/>
          </w:tcPr>
          <w:p w14:paraId="CFEAC34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资金分配</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B0E8DDA">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分配方法</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B926086">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资金分配方法是否科学合理</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D39E40AB">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78EF126">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398F8E4D">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48D3BF3F">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2C058CB">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541BA13B">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0ED9020B">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分配过程</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59B9EB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分配过程符合相关规定</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DE3AA54F">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54E5D3B">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43E7424A">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35F3E2F">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7ABE44F">
            <w:pPr>
              <w:widowControl/>
              <w:shd w:val="clear" w:color="FFFFFF" w:fill="auto"/>
              <w:spacing w:line="240" w:lineRule="auto"/>
              <w:jc w:val="left"/>
              <w:textAlignment w:val="cente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bottom"/>
          </w:tcPr>
          <w:p w14:paraId="3593B03C">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分配结果</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445C6B0C">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审核把关</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48E6022">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符合申报条件的抽样项目点个数/抽样项目点总数×100%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FB009F6">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2个</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D91887F7">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2个</w:t>
            </w:r>
          </w:p>
        </w:tc>
      </w:tr>
      <w:tr w14:paraId="0F2D8D51">
        <w:tblPrEx>
          <w:tblCellMar>
            <w:top w:w="0" w:type="dxa"/>
            <w:left w:w="0" w:type="dxa"/>
            <w:bottom w:w="0" w:type="dxa"/>
            <w:right w:w="0" w:type="dxa"/>
          </w:tblCellMar>
        </w:tblPrEx>
        <w:trPr>
          <w:trHeight w:val="10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4DB66B6">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8EF0599">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1C426F1">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0DC2D5B3">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资金集中</w:t>
            </w:r>
          </w:p>
        </w:tc>
        <w:tc>
          <w:tcPr>
            <w:tcW w:w="122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E654BC3">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集中</w:t>
            </w:r>
          </w:p>
        </w:tc>
        <w:tc>
          <w:tcPr>
            <w:tcW w:w="180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531FC89">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财政资金占项目资金总额比重较小项目个数/项目总数×100%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10FCF17">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CC3A8A4">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r>
      <w:tr w14:paraId="027AE9B0">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ACBAD15">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FCD8CA1">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73A2606">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F4B39EA">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（均衡）</w:t>
            </w:r>
          </w:p>
        </w:tc>
        <w:tc>
          <w:tcPr>
            <w:tcW w:w="122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334FD1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均衡</w:t>
            </w:r>
          </w:p>
        </w:tc>
        <w:tc>
          <w:tcPr>
            <w:tcW w:w="180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2544DC0">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按实际分配结果选择客观因素测算验证资金分配方法制定、分配要素设定、基础数据应用、测算依据选取等是否科学合理（2分）</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754AEBF">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7A3CA8A">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446B1DC3">
        <w:tblPrEx>
          <w:tblCellMar>
            <w:top w:w="0" w:type="dxa"/>
            <w:left w:w="0" w:type="dxa"/>
            <w:bottom w:w="0" w:type="dxa"/>
            <w:right w:w="0" w:type="dxa"/>
          </w:tblCellMar>
        </w:tblPrEx>
        <w:trPr>
          <w:trHeight w:val="54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8FC51A9">
            <w:pPr>
              <w:widowControl/>
              <w:shd w:val="clear" w:color="FFFFFF" w:fill="auto"/>
              <w:spacing w:line="240" w:lineRule="auto"/>
              <w:jc w:val="left"/>
              <w:textAlignment w:val="center"/>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center"/>
          </w:tcPr>
          <w:p w14:paraId="786A40A2">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项目管理</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center"/>
          </w:tcPr>
          <w:p w14:paraId="AFAEA539">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 xml:space="preserve"> 资金到位</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522D489">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分配时效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0947EFA">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县级主管部门按规定及时分配资金</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057E770">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9E22533">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483F48C9">
        <w:tblPrEx>
          <w:tblCellMar>
            <w:top w:w="0" w:type="dxa"/>
            <w:left w:w="0" w:type="dxa"/>
            <w:bottom w:w="0" w:type="dxa"/>
            <w:right w:w="0" w:type="dxa"/>
          </w:tblCellMar>
        </w:tblPrEx>
        <w:trPr>
          <w:trHeight w:val="744"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CE86DD3">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C8C725E">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237BA4E">
            <w:pPr>
              <w:widowControl/>
              <w:shd w:val="clear" w:color="FFFFFF" w:fill="auto"/>
              <w:spacing w:line="240" w:lineRule="auto"/>
              <w:jc w:val="left"/>
              <w:textAlignment w:val="center"/>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BCB9C52">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资金拨付</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B4504A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按规定及时拨付资金</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63E8D8A">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4A542BF">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7C4369D4">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E04C22E">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6B12698">
            <w:pPr>
              <w:widowControl/>
              <w:shd w:val="clear" w:color="FFFFFF" w:fill="auto"/>
              <w:spacing w:line="240" w:lineRule="auto"/>
              <w:jc w:val="left"/>
              <w:textAlignment w:val="cente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center"/>
          </w:tcPr>
          <w:p w14:paraId="8EBAEF87">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 xml:space="preserve">资金管理  </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F85783D">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使用范围</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6A7DA8C">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资金使用是否合规</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7ECC61D">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D27EFAB9">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1C20CE6E">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B0942C7">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7A8FB8F">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96EC3DC">
            <w:pPr>
              <w:widowControl/>
              <w:shd w:val="clear" w:color="FFFFFF" w:fill="auto"/>
              <w:spacing w:line="240" w:lineRule="auto"/>
              <w:jc w:val="left"/>
              <w:textAlignment w:val="center"/>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7F5F9AB">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支付依据</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DDB6EAA0">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资金支付依据符合规定，即支付依旧合规资金量/资金总量×100%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BB1973B">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ABE514B">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2276D888">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2BCEF1E">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8C602A8">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2FA5ABD">
            <w:pPr>
              <w:widowControl/>
              <w:shd w:val="clear" w:color="FFFFFF" w:fill="auto"/>
              <w:spacing w:line="240" w:lineRule="auto"/>
              <w:jc w:val="left"/>
              <w:textAlignment w:val="center"/>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8FBC17C">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开支标准</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BDB6DBF">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资金开支标准符合规定，即开支标准合规资金量/资金总量×100%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7D51786">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36EE581">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45C65A54">
        <w:tblPrEx>
          <w:tblCellMar>
            <w:top w:w="0" w:type="dxa"/>
            <w:left w:w="0" w:type="dxa"/>
            <w:bottom w:w="0" w:type="dxa"/>
            <w:right w:w="0" w:type="dxa"/>
          </w:tblCellMar>
        </w:tblPrEx>
        <w:trPr>
          <w:trHeight w:val="73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3BFBD1E">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2CE78F17">
            <w:pPr>
              <w:widowControl/>
              <w:shd w:val="clear" w:color="FFFFFF" w:fill="auto"/>
              <w:spacing w:line="240" w:lineRule="auto"/>
              <w:jc w:val="left"/>
              <w:textAlignment w:val="cente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center"/>
          </w:tcPr>
          <w:p w14:paraId="6F77B349">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财务管理</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AF7566F">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财务制度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00BACB8">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财务制度健全，管理规范</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BE7AF5C">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5509841">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0480D1A1">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7129C71">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66EB0D9">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3ECE7CA">
            <w:pPr>
              <w:widowControl/>
              <w:shd w:val="clear" w:color="FFFFFF" w:fill="auto"/>
              <w:spacing w:line="240" w:lineRule="auto"/>
              <w:jc w:val="left"/>
              <w:textAlignment w:val="center"/>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B473488">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会计核算</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79A6D90">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会计核算规范</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AE75535">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70CC28D">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582AB8E2">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B07C22C">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146D839">
            <w:pPr>
              <w:widowControl/>
              <w:shd w:val="clear" w:color="FFFFFF" w:fill="auto"/>
              <w:spacing w:line="240" w:lineRule="auto"/>
              <w:jc w:val="left"/>
              <w:textAlignment w:val="cente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bottom"/>
          </w:tcPr>
          <w:p w14:paraId="8E013B44">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组织实施（4分）</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0B9156EB">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项目调整</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E6178609">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项目调整严格履行相关手续</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398DBE4">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170CCFB">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351C9D6F">
        <w:tblPrEx>
          <w:tblCellMar>
            <w:top w:w="0" w:type="dxa"/>
            <w:left w:w="0" w:type="dxa"/>
            <w:bottom w:w="0" w:type="dxa"/>
            <w:right w:w="0" w:type="dxa"/>
          </w:tblCellMar>
        </w:tblPrEx>
        <w:trPr>
          <w:trHeight w:val="8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6E8E849C">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66E7A0F">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94287ED">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AAD1E81">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投资变更</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875DE80">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项目投资变更额/项目总投入×100%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29500DD">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FCE88B6">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56B4E059">
        <w:tblPrEx>
          <w:tblCellMar>
            <w:top w:w="0" w:type="dxa"/>
            <w:left w:w="0" w:type="dxa"/>
            <w:bottom w:w="0" w:type="dxa"/>
            <w:right w:w="0" w:type="dxa"/>
          </w:tblCellMar>
        </w:tblPrEx>
        <w:trPr>
          <w:trHeight w:val="76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92F7517">
            <w:pPr>
              <w:widowControl/>
              <w:shd w:val="clear" w:color="FFFFFF" w:fill="auto"/>
              <w:spacing w:line="240" w:lineRule="auto"/>
              <w:jc w:val="left"/>
              <w:textAlignment w:val="center"/>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EAEE578">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788E4F7">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6C86F0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制度执行</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EDA11899">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严格执行项目有关制度规定</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1AC6F55">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6E165DBE">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是</w:t>
            </w:r>
          </w:p>
        </w:tc>
      </w:tr>
      <w:tr w14:paraId="00D9F632">
        <w:tblPrEx>
          <w:tblCellMar>
            <w:top w:w="0" w:type="dxa"/>
            <w:left w:w="0" w:type="dxa"/>
            <w:bottom w:w="0" w:type="dxa"/>
            <w:right w:w="0" w:type="dxa"/>
          </w:tblCellMar>
        </w:tblPrEx>
        <w:trPr>
          <w:trHeight w:val="555" w:hRule="atLeast"/>
          <w:jc w:val="center"/>
        </w:trPr>
        <w:tc>
          <w:tcPr>
            <w:tcW w:w="65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3E58EB30">
            <w:pPr>
              <w:shd w:val="clear" w:color="FFFFFF" w:fill="auto"/>
              <w:spacing w:line="240" w:lineRule="auto"/>
              <w:jc w:val="left"/>
            </w:pPr>
          </w:p>
        </w:tc>
        <w:tc>
          <w:tcPr>
            <w:tcW w:w="1255"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center"/>
          </w:tcPr>
          <w:p w14:paraId="8D28A25F">
            <w:pPr>
              <w:widowControl/>
              <w:shd w:val="clear" w:color="FFFFFF" w:fill="auto"/>
              <w:spacing w:line="240" w:lineRule="auto"/>
              <w:jc w:val="left"/>
              <w:textAlignment w:val="center"/>
            </w:pPr>
            <w:r>
              <w:rPr>
                <w:rFonts w:ascii="宋体" w:hAnsi="Times New Roman" w:eastAsia="宋体" w:cs="宋体"/>
                <w:b w:val="0"/>
                <w:bCs w:val="0"/>
                <w:i w:val="0"/>
                <w:iCs w:val="0"/>
                <w:color w:val="000000"/>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28575" cy="9525"/>
                  <wp:effectExtent l="0" t="0" r="0" b="0"/>
                  <wp:wrapNone/>
                  <wp:docPr id="1111" name="Image1"/>
                  <wp:cNvGraphicFramePr/>
                  <a:graphic xmlns:a="http://schemas.openxmlformats.org/drawingml/2006/main">
                    <a:graphicData uri="http://schemas.openxmlformats.org/drawingml/2006/picture">
                      <pic:pic xmlns:pic="http://schemas.openxmlformats.org/drawingml/2006/picture">
                        <pic:nvPicPr>
                          <pic:cNvPr id="1111" name="Image1"/>
                          <pic:cNvPicPr/>
                        </pic:nvPicPr>
                        <pic:blipFill>
                          <a:blip r:embed="rId19" cstate="print"/>
                          <a:srcRect/>
                          <a:stretch>
                            <a:fillRect/>
                          </a:stretch>
                        </pic:blipFill>
                        <pic:spPr>
                          <a:xfrm>
                            <a:off x="0" y="0"/>
                            <a:ext cx="28575" cy="9525"/>
                          </a:xfrm>
                          <a:prstGeom prst="rect">
                            <a:avLst/>
                          </a:prstGeom>
                          <a:ln>
                            <a:noFill/>
                          </a:ln>
                        </pic:spPr>
                      </pic:pic>
                    </a:graphicData>
                  </a:graphic>
                </wp:anchor>
              </w:drawing>
            </w:r>
            <w:r>
              <w:rPr>
                <w:rFonts w:ascii="宋体" w:hAnsi="Times New Roman" w:eastAsia="宋体" w:cs="宋体"/>
                <w:b w:val="0"/>
                <w:bCs w:val="0"/>
                <w:i w:val="0"/>
                <w:iCs w:val="0"/>
                <w:color w:val="000000"/>
                <w:kern w:val="0"/>
                <w:sz w:val="20"/>
                <w:szCs w:val="20"/>
                <w:highlight w:val="none"/>
                <w:bdr w:val="single" w:color="000000" w:sz="4" w:space="0"/>
                <w:shd w:val="clear" w:color="FFFFFF" w:fill="auto"/>
                <w:vertAlign w:val="baseline"/>
                <w:lang w:val="en-US" w:eastAsia="zh-CN" w:bidi="ar-SA"/>
              </w:rPr>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9525" cy="9525"/>
                  <wp:effectExtent l="0" t="0" r="0" b="0"/>
                  <wp:wrapNone/>
                  <wp:docPr id="1112" name="Image1"/>
                  <wp:cNvGraphicFramePr/>
                  <a:graphic xmlns:a="http://schemas.openxmlformats.org/drawingml/2006/main">
                    <a:graphicData uri="http://schemas.openxmlformats.org/drawingml/2006/picture">
                      <pic:pic xmlns:pic="http://schemas.openxmlformats.org/drawingml/2006/picture">
                        <pic:nvPicPr>
                          <pic:cNvPr id="1112" name="Image1"/>
                          <pic:cNvPicPr/>
                        </pic:nvPicPr>
                        <pic:blipFill>
                          <a:blip r:embed="rId20" cstate="print"/>
                          <a:srcRect/>
                          <a:stretch>
                            <a:fillRect/>
                          </a:stretch>
                        </pic:blipFill>
                        <pic:spPr>
                          <a:xfrm>
                            <a:off x="0" y="0"/>
                            <a:ext cx="9525" cy="9525"/>
                          </a:xfrm>
                          <a:prstGeom prst="rect">
                            <a:avLst/>
                          </a:prstGeom>
                          <a:ln>
                            <a:noFill/>
                          </a:ln>
                        </pic:spPr>
                      </pic:pic>
                    </a:graphicData>
                  </a:graphic>
                </wp:anchor>
              </w:drawing>
            </w: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项目绩效</w:t>
            </w: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bottom"/>
          </w:tcPr>
          <w:p w14:paraId="D124E2C7">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项目完成</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4BAFA91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完成数量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29F8EDA">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实际完成任务量/绩效目标设定任务量×100%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E8C0F561">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97B30A5">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r>
      <w:tr w14:paraId="2B9530C6">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958364E">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14D4DA18">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2217FAC">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CFC2E6B7">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完成质量</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026E2E8">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符合绩效目标设定的验收标准，达到行业基准水平</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AC0B65AD">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符合</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80191128">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符合</w:t>
            </w:r>
          </w:p>
        </w:tc>
      </w:tr>
      <w:tr w14:paraId="28A023BB">
        <w:tblPrEx>
          <w:tblCellMar>
            <w:top w:w="0" w:type="dxa"/>
            <w:left w:w="0" w:type="dxa"/>
            <w:bottom w:w="0" w:type="dxa"/>
            <w:right w:w="0" w:type="dxa"/>
          </w:tblCellMar>
        </w:tblPrEx>
        <w:trPr>
          <w:trHeight w:val="80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18B0E222">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448DF3BC">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64B41B0A">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145F6E5">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完成时效</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7237B4F">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（实际完成时间-绩效目标设定完成时间）/绩效目标设定完成时间×100%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C7F3503">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0D13DA30">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r>
      <w:tr w14:paraId="686B35C2">
        <w:tblPrEx>
          <w:tblCellMar>
            <w:top w:w="0" w:type="dxa"/>
            <w:left w:w="0" w:type="dxa"/>
            <w:bottom w:w="0" w:type="dxa"/>
            <w:right w:w="0" w:type="dxa"/>
          </w:tblCellMar>
        </w:tblPrEx>
        <w:trPr>
          <w:trHeight w:val="555"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2B9043E2">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EFAD421">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30F78606">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F75F0795">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完成成本</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5481337">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（实际完成成本-预计完成成本）/预计完成成本×100%</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C4BED0C4">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3CFAB54B">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100%</w:t>
            </w:r>
          </w:p>
        </w:tc>
      </w:tr>
      <w:tr w14:paraId="7E9CD73A">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5E9DC4A">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6885395A">
            <w:pPr>
              <w:widowControl/>
              <w:shd w:val="clear" w:color="FFFFFF" w:fill="auto"/>
              <w:spacing w:line="240" w:lineRule="auto"/>
              <w:jc w:val="left"/>
              <w:textAlignment w:val="center"/>
            </w:pPr>
          </w:p>
        </w:tc>
        <w:tc>
          <w:tcPr>
            <w:tcW w:w="1079" w:type="dxa"/>
            <w:vMerge w:val="restart"/>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textDirection w:val="tbRlV"/>
            <w:vAlign w:val="bottom"/>
          </w:tcPr>
          <w:p w14:paraId="0ACA374D">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项目效益</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7A632F7">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经济效益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A413F45">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反映相关产出对经济社会发展带来的影响和效果，根据项目实际细化具体指标。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0B2CCCCE">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通过项目实施，完善该村远牧交通基础设施设备，提升该区域牧民收入</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FE433C6">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通过项目实施，完善该村远牧交通基础设施设备，提升该区域牧民收入</w:t>
            </w:r>
          </w:p>
        </w:tc>
      </w:tr>
      <w:tr w14:paraId="2F34D6B1">
        <w:tblPrEx>
          <w:tblCellMar>
            <w:top w:w="0" w:type="dxa"/>
            <w:left w:w="0" w:type="dxa"/>
            <w:bottom w:w="0" w:type="dxa"/>
            <w:right w:w="0" w:type="dxa"/>
          </w:tblCellMar>
        </w:tblPrEx>
        <w:trPr>
          <w:trHeight w:val="1276"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075366E9">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7DD3EEC0">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09DDA723">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786516CC">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社会效益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9B634C0">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反映相关产出对社会发展带来的影响和效果，根据项目实际细化具体指标。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10F10D9">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通过项目实施，提升了政府公信力，同时也增强了为民办事的信心</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2B605408">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过项目实施，提升了政府公信力，同时也增强了为民办事的信心</w:t>
            </w:r>
          </w:p>
        </w:tc>
      </w:tr>
      <w:tr w14:paraId="0BF59A65">
        <w:tblPrEx>
          <w:tblCellMar>
            <w:top w:w="0" w:type="dxa"/>
            <w:left w:w="0" w:type="dxa"/>
            <w:bottom w:w="0" w:type="dxa"/>
            <w:right w:w="0" w:type="dxa"/>
          </w:tblCellMar>
        </w:tblPrEx>
        <w:trPr>
          <w:trHeight w:val="72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5ACDEE56">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56A9970F">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4B586BC4">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470C4C4B">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生态效益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B08FF153">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反映相关产出对自然环境带来的影响和效果，根据项目实际细化具体指标。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1D2D0B04">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通过项目实施对应对草原火情起到关键性的作用</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986FAA5">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通过项目实施对应对草原火情起到关键性的作用</w:t>
            </w:r>
          </w:p>
        </w:tc>
      </w:tr>
      <w:tr w14:paraId="66AB013F">
        <w:tblPrEx>
          <w:tblCellMar>
            <w:top w:w="0" w:type="dxa"/>
            <w:left w:w="0" w:type="dxa"/>
            <w:bottom w:w="0" w:type="dxa"/>
            <w:right w:w="0" w:type="dxa"/>
          </w:tblCellMar>
        </w:tblPrEx>
        <w:trPr>
          <w:trHeight w:val="76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347556A7">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01925C70">
            <w:pPr>
              <w:widowControl/>
              <w:shd w:val="clear" w:color="FFFFFF" w:fill="auto"/>
              <w:spacing w:line="240" w:lineRule="auto"/>
              <w:jc w:val="left"/>
              <w:textAlignment w:val="center"/>
            </w:pPr>
          </w:p>
        </w:tc>
        <w:tc>
          <w:tcPr>
            <w:tcW w:w="1079"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bottom"/>
          </w:tcPr>
          <w:p w14:paraId="19C7A510">
            <w:pPr>
              <w:widowControl/>
              <w:shd w:val="clear" w:color="FFFFFF" w:fill="auto"/>
              <w:spacing w:line="240" w:lineRule="auto"/>
              <w:jc w:val="left"/>
              <w:textAlignment w:val="bottom"/>
            </w:pP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51EA93D1">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可持续效益</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920C301B">
            <w:pPr>
              <w:widowControl/>
              <w:shd w:val="clear" w:color="FFFFFF" w:fill="auto"/>
              <w:spacing w:line="240" w:lineRule="auto"/>
              <w:jc w:val="left"/>
              <w:textAlignment w:val="bottom"/>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反映相关产出带来影响的可持续期限，根据项目实际细化具体指标。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C9BEB0DC">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该项目可持续10年。</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ECAB7749">
            <w:pPr>
              <w:shd w:val="clear" w:color="FFFFFF" w:fill="auto"/>
              <w:spacing w:line="240" w:lineRule="auto"/>
              <w:jc w:val="left"/>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该项目可持续10年。</w:t>
            </w:r>
          </w:p>
        </w:tc>
      </w:tr>
      <w:tr w14:paraId="20E82FC4">
        <w:tblPrEx>
          <w:tblCellMar>
            <w:top w:w="0" w:type="dxa"/>
            <w:left w:w="0" w:type="dxa"/>
            <w:bottom w:w="0" w:type="dxa"/>
            <w:right w:w="0" w:type="dxa"/>
          </w:tblCellMar>
        </w:tblPrEx>
        <w:trPr>
          <w:trHeight w:val="1080" w:hRule="atLeast"/>
          <w:jc w:val="center"/>
        </w:trPr>
        <w:tc>
          <w:tcPr>
            <w:tcW w:w="659" w:type="dxa"/>
            <w:vMerge w:val="continue"/>
            <w:tcBorders>
              <w:top w:val="single" w:color="000000" w:sz="4" w:space="0"/>
              <w:left w:val="single" w:color="000000" w:sz="4" w:space="0"/>
              <w:bottom w:val="single" w:color="000000" w:sz="4" w:space="0"/>
              <w:right w:val="single" w:color="000000" w:sz="4" w:space="0"/>
            </w:tcBorders>
            <w:shd w:val="clear" w:color="FFFFFF" w:fill="auto"/>
            <w:vAlign w:val="center"/>
          </w:tcPr>
          <w:p w14:paraId="7CECE15A">
            <w:pPr>
              <w:shd w:val="clear" w:color="FFFFFF" w:fill="auto"/>
              <w:spacing w:line="240" w:lineRule="auto"/>
              <w:jc w:val="left"/>
            </w:pPr>
          </w:p>
        </w:tc>
        <w:tc>
          <w:tcPr>
            <w:tcW w:w="1255" w:type="dxa"/>
            <w:vMerge w:val="continue"/>
            <w:tcBorders>
              <w:top w:val="single" w:color="000000" w:sz="4" w:space="0"/>
              <w:left w:val="single" w:color="000000" w:sz="4" w:space="0"/>
              <w:bottom w:val="single" w:color="000000" w:sz="4" w:space="0"/>
              <w:right w:val="single" w:color="000000" w:sz="4" w:space="0"/>
            </w:tcBorders>
            <w:shd w:val="clear" w:color="FFFFFF" w:fill="auto"/>
            <w:textDirection w:val="tbRlV"/>
            <w:vAlign w:val="center"/>
          </w:tcPr>
          <w:p w14:paraId="3F7C7EA1">
            <w:pPr>
              <w:widowControl/>
              <w:shd w:val="clear" w:color="FFFFFF" w:fill="auto"/>
              <w:spacing w:line="240" w:lineRule="auto"/>
              <w:jc w:val="left"/>
              <w:textAlignment w:val="center"/>
            </w:pPr>
          </w:p>
        </w:tc>
        <w:tc>
          <w:tcPr>
            <w:tcW w:w="1079"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2630F799">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满意度</w:t>
            </w:r>
          </w:p>
        </w:tc>
        <w:tc>
          <w:tcPr>
            <w:tcW w:w="778"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179096EF">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服务对象满意度</w:t>
            </w:r>
          </w:p>
        </w:tc>
        <w:tc>
          <w:tcPr>
            <w:tcW w:w="3027" w:type="dxa"/>
            <w:gridSpan w:val="2"/>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center"/>
          </w:tcPr>
          <w:p w14:paraId="C14B08F3">
            <w:pPr>
              <w:widowControl/>
              <w:shd w:val="clear" w:color="FFFFFF" w:fill="auto"/>
              <w:spacing w:line="240" w:lineRule="auto"/>
              <w:jc w:val="left"/>
              <w:textAlignment w:val="center"/>
            </w:pPr>
            <w:r>
              <w:rPr>
                <w:rFonts w:hint="default" w:ascii="宋体" w:hAnsi="Times New Roman" w:eastAsia="宋体" w:cs="宋体"/>
                <w:b w:val="0"/>
                <w:bCs w:val="0"/>
                <w:i w:val="0"/>
                <w:iCs w:val="0"/>
                <w:color w:val="000000"/>
                <w:kern w:val="0"/>
                <w:sz w:val="20"/>
                <w:szCs w:val="20"/>
                <w:highlight w:val="none"/>
                <w:shd w:val="clear" w:color="FFFFFF" w:fill="auto"/>
                <w:vertAlign w:val="baseline"/>
                <w:lang w:val="en-US" w:eastAsia="zh-CN" w:bidi="ar-SA"/>
              </w:rPr>
              <w:t>反映服务对象或项目受益人对相关产出及其影响的认可程度，根据项目实际细化具体指标。</w:t>
            </w:r>
          </w:p>
        </w:tc>
        <w:tc>
          <w:tcPr>
            <w:tcW w:w="1547"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C68B69A9">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群众满意度高，使用效益高</w:t>
            </w:r>
          </w:p>
        </w:tc>
        <w:tc>
          <w:tcPr>
            <w:tcW w:w="1550" w:type="dxa"/>
            <w:tcBorders>
              <w:top w:val="single" w:color="000000" w:sz="4" w:space="0"/>
              <w:left w:val="single" w:color="000000" w:sz="4" w:space="0"/>
              <w:bottom w:val="single" w:color="000000" w:sz="4" w:space="0"/>
              <w:right w:val="single" w:color="000000" w:sz="4" w:space="0"/>
            </w:tcBorders>
            <w:shd w:val="clear" w:color="FFFFFF" w:fill="auto"/>
            <w:tcMar>
              <w:top w:w="15" w:type="dxa"/>
              <w:left w:w="15" w:type="dxa"/>
              <w:bottom w:w="0" w:type="dxa"/>
              <w:right w:w="15" w:type="dxa"/>
            </w:tcMar>
            <w:vAlign w:val="bottom"/>
          </w:tcPr>
          <w:p w14:paraId="4E5E5878">
            <w:pPr>
              <w:shd w:val="clear" w:color="FFFFFF" w:fill="auto"/>
              <w:spacing w:line="240" w:lineRule="auto"/>
              <w:jc w:val="left"/>
            </w:pPr>
            <w:r>
              <w:rPr>
                <w:rFonts w:hint="default" w:ascii="宋体" w:hAnsi="Times New Roman" w:eastAsia="宋体" w:cs="宋体"/>
                <w:b w:val="0"/>
                <w:bCs w:val="0"/>
                <w:i w:val="0"/>
                <w:iCs w:val="0"/>
                <w:color w:val="000000"/>
                <w:kern w:val="2"/>
                <w:sz w:val="20"/>
                <w:szCs w:val="20"/>
                <w:highlight w:val="none"/>
                <w:shd w:val="clear" w:color="FFFFFF" w:fill="auto"/>
                <w:vertAlign w:val="baseline"/>
                <w:lang w:val="en-US" w:eastAsia="zh-CN" w:bidi="ar-SA"/>
              </w:rPr>
              <w:t>群众满意度高，使用效益高</w:t>
            </w:r>
          </w:p>
        </w:tc>
      </w:tr>
    </w:tbl>
    <w:p w14:paraId="1D32D61F">
      <w:pPr>
        <w:sectPr>
          <w:footerReference r:id="rId6" w:type="default"/>
          <w:pgSz w:w="11906" w:h="16838"/>
          <w:pgMar w:top="1440" w:right="1531" w:bottom="1440" w:left="1531" w:header="851" w:footer="992" w:gutter="0"/>
          <w:pgNumType w:fmt="decimal" w:start="1"/>
          <w:cols w:space="425" w:num="1"/>
          <w:docGrid w:type="lines" w:linePitch="312" w:charSpace="0"/>
        </w:sectPr>
      </w:pPr>
    </w:p>
    <w:p w14:paraId="280D13FF">
      <w:pPr>
        <w:shd w:val="clear" w:color="auto" w:fill="auto"/>
        <w:spacing w:line="580" w:lineRule="exact"/>
        <w:ind w:left="630"/>
        <w:rPr>
          <w:rFonts w:ascii="仿宋_GB2312" w:eastAsia="仿宋_GB2312" w:cs="仿宋_GB2312"/>
          <w:color w:val="auto"/>
          <w:sz w:val="32"/>
          <w:szCs w:val="32"/>
          <w:highlight w:val="none"/>
          <w:shd w:val="clear" w:color="auto" w:fill="auto"/>
        </w:rPr>
      </w:pPr>
      <w:r>
        <w:rPr>
          <w:rFonts w:hint="eastAsia" w:ascii="楷体_GB2312" w:eastAsia="楷体_GB2312" w:cs="楷体_GB2312"/>
          <w:color w:val="auto"/>
          <w:sz w:val="32"/>
          <w:szCs w:val="32"/>
          <w:highlight w:val="none"/>
          <w:shd w:val="clear" w:color="auto" w:fill="auto"/>
        </w:rPr>
        <w:t>2.部门绩效评价结果</w:t>
      </w:r>
    </w:p>
    <w:p w14:paraId="920E2346">
      <w:pPr>
        <w:shd w:val="clear" w:color="auto" w:fill="auto"/>
        <w:spacing w:line="580" w:lineRule="exact"/>
        <w:ind w:firstLine="640" w:firstLineChars="200"/>
        <w:rPr>
          <w:rFonts w:ascii="仿宋_GB2312" w:eastAsia="仿宋_GB2312" w:cs="仿宋_GB2312"/>
          <w:color w:val="auto"/>
          <w:sz w:val="32"/>
          <w:szCs w:val="32"/>
          <w:highlight w:val="none"/>
          <w:shd w:val="clear" w:color="auto" w:fill="auto"/>
        </w:rPr>
      </w:pPr>
      <w:r>
        <w:rPr>
          <w:rFonts w:hint="eastAsia" w:ascii="仿宋_GB2312" w:eastAsia="仿宋_GB2312" w:cs="仿宋_GB2312"/>
          <w:color w:val="auto"/>
          <w:sz w:val="32"/>
          <w:szCs w:val="32"/>
          <w:highlight w:val="none"/>
          <w:shd w:val="clear" w:color="auto" w:fill="auto"/>
        </w:rPr>
        <w:t>本部门按要求对</w:t>
      </w:r>
      <w:r>
        <w:rPr>
          <w:rFonts w:hint="eastAsia" w:ascii="仿宋_GB2312" w:eastAsia="仿宋_GB2312" w:cs="仿宋_GB2312"/>
          <w:color w:val="auto"/>
          <w:sz w:val="32"/>
          <w:szCs w:val="32"/>
          <w:highlight w:val="none"/>
          <w:shd w:val="clear" w:color="auto" w:fill="auto"/>
          <w:lang w:eastAsia="zh-CN"/>
        </w:rPr>
        <w:t>202</w:t>
      </w:r>
      <w:r>
        <w:rPr>
          <w:rFonts w:hint="default" w:ascii="仿宋_GB2312" w:eastAsia="仿宋_GB2312" w:cs="仿宋_GB2312"/>
          <w:color w:val="auto"/>
          <w:sz w:val="32"/>
          <w:szCs w:val="32"/>
          <w:highlight w:val="none"/>
          <w:shd w:val="clear" w:color="auto" w:fill="auto"/>
          <w:lang w:val="en-US" w:eastAsia="zh-CN"/>
        </w:rPr>
        <w:t>4</w:t>
      </w:r>
      <w:r>
        <w:rPr>
          <w:rFonts w:hint="eastAsia" w:ascii="仿宋_GB2312" w:eastAsia="仿宋_GB2312" w:cs="仿宋_GB2312"/>
          <w:color w:val="auto"/>
          <w:sz w:val="32"/>
          <w:szCs w:val="32"/>
          <w:highlight w:val="none"/>
          <w:shd w:val="clear" w:color="auto" w:fill="auto"/>
        </w:rPr>
        <w:t>年部门整体支出绩效评价情况开展自评，《安曲镇人民政府</w:t>
      </w:r>
      <w:r>
        <w:rPr>
          <w:rFonts w:hint="eastAsia" w:ascii="仿宋_GB2312" w:eastAsia="仿宋_GB2312" w:cs="仿宋_GB2312"/>
          <w:color w:val="auto"/>
          <w:sz w:val="32"/>
          <w:szCs w:val="32"/>
          <w:highlight w:val="none"/>
          <w:shd w:val="clear" w:color="auto" w:fill="auto"/>
          <w:lang w:eastAsia="zh-CN"/>
        </w:rPr>
        <w:t>202</w:t>
      </w:r>
      <w:r>
        <w:rPr>
          <w:rFonts w:hint="default" w:ascii="仿宋_GB2312" w:eastAsia="仿宋_GB2312" w:cs="仿宋_GB2312"/>
          <w:color w:val="auto"/>
          <w:sz w:val="32"/>
          <w:szCs w:val="32"/>
          <w:highlight w:val="none"/>
          <w:shd w:val="clear" w:color="auto" w:fill="auto"/>
          <w:lang w:val="en-US" w:eastAsia="zh-CN"/>
        </w:rPr>
        <w:t>4</w:t>
      </w:r>
      <w:r>
        <w:rPr>
          <w:rFonts w:hint="eastAsia" w:ascii="仿宋_GB2312" w:eastAsia="仿宋_GB2312" w:cs="仿宋_GB2312"/>
          <w:color w:val="auto"/>
          <w:sz w:val="32"/>
          <w:szCs w:val="32"/>
          <w:highlight w:val="none"/>
          <w:shd w:val="clear" w:color="auto" w:fill="auto"/>
        </w:rPr>
        <w:t>年整体支出绩效评价报告》见附件（附件1）。</w:t>
      </w:r>
    </w:p>
    <w:p w14:paraId="A89DBEA6">
      <w:pPr>
        <w:shd w:val="clear" w:color="auto" w:fill="auto"/>
        <w:spacing w:line="580" w:lineRule="exact"/>
        <w:ind w:firstLine="640" w:firstLineChars="200"/>
        <w:rPr>
          <w:rFonts w:ascii="仿宋_GB2312" w:eastAsia="仿宋_GB2312"/>
          <w:b/>
          <w:color w:val="auto"/>
          <w:sz w:val="32"/>
          <w:szCs w:val="32"/>
          <w:highlight w:val="yellow"/>
        </w:rPr>
      </w:pPr>
      <w:r>
        <w:rPr>
          <w:rFonts w:hint="eastAsia" w:ascii="仿宋_GB2312" w:eastAsia="仿宋_GB2312" w:cs="仿宋_GB2312"/>
          <w:color w:val="auto"/>
          <w:sz w:val="32"/>
          <w:szCs w:val="32"/>
          <w:highlight w:val="none"/>
          <w:shd w:val="clear" w:color="auto" w:fill="auto"/>
        </w:rPr>
        <w:t>本部门自行组织对村级运行项目开展了绩效评价，《村级运行项目</w:t>
      </w:r>
      <w:r>
        <w:rPr>
          <w:rFonts w:hint="eastAsia" w:ascii="仿宋_GB2312" w:eastAsia="仿宋_GB2312" w:cs="仿宋_GB2312"/>
          <w:color w:val="auto"/>
          <w:sz w:val="32"/>
          <w:szCs w:val="32"/>
          <w:highlight w:val="none"/>
          <w:shd w:val="clear" w:color="auto" w:fill="auto"/>
          <w:lang w:eastAsia="zh-CN"/>
        </w:rPr>
        <w:t>202</w:t>
      </w:r>
      <w:r>
        <w:rPr>
          <w:rFonts w:hint="default" w:ascii="仿宋_GB2312" w:eastAsia="仿宋_GB2312" w:cs="仿宋_GB2312"/>
          <w:color w:val="auto"/>
          <w:sz w:val="32"/>
          <w:szCs w:val="32"/>
          <w:highlight w:val="none"/>
          <w:shd w:val="clear" w:color="auto" w:fill="auto"/>
          <w:lang w:val="en-US" w:eastAsia="zh-CN"/>
        </w:rPr>
        <w:t>4</w:t>
      </w:r>
      <w:r>
        <w:rPr>
          <w:rFonts w:hint="eastAsia" w:ascii="仿宋_GB2312" w:eastAsia="仿宋_GB2312" w:cs="仿宋_GB2312"/>
          <w:color w:val="auto"/>
          <w:sz w:val="32"/>
          <w:szCs w:val="32"/>
          <w:highlight w:val="none"/>
          <w:shd w:val="clear" w:color="auto" w:fill="auto"/>
        </w:rPr>
        <w:t>年绩效评价报告》见附件（附件2）。（非涉密部门均需公开部门整体支出评价报告，部门自行组织的绩效评价情况根据部门实际公开，若未组织项目绩效评价，则只需说明部门整体支出绩效评价情况）</w:t>
      </w:r>
    </w:p>
    <w:p w14:paraId="C0F22AE6">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3FBF9A32">
      <w:pPr>
        <w:numPr>
          <w:ilvl w:val="0"/>
          <w:numId w:val="3"/>
        </w:numPr>
        <w:spacing w:line="600" w:lineRule="exact"/>
        <w:ind w:left="0" w:firstLine="660" w:firstLineChars="150"/>
        <w:jc w:val="center"/>
        <w:outlineLvl w:val="0"/>
        <w:rPr>
          <w:rStyle w:val="23"/>
          <w:rFonts w:ascii="黑体" w:eastAsia="黑体"/>
          <w:b w:val="0"/>
          <w:color w:val="000000"/>
        </w:rPr>
      </w:pPr>
      <w:bookmarkStart w:id="65" w:name="_Toc15396613"/>
      <w:bookmarkStart w:id="66" w:name="_Toc15377225"/>
      <w:r>
        <w:rPr>
          <w:rFonts w:hint="eastAsia" w:ascii="黑体" w:eastAsia="黑体"/>
          <w:color w:val="000000"/>
          <w:sz w:val="44"/>
          <w:szCs w:val="44"/>
        </w:rPr>
        <w:t>名</w:t>
      </w:r>
      <w:r>
        <w:rPr>
          <w:rStyle w:val="23"/>
          <w:rFonts w:hint="eastAsia" w:ascii="黑体" w:eastAsia="黑体"/>
          <w:b w:val="0"/>
          <w:color w:val="000000"/>
        </w:rPr>
        <w:t>词解释</w:t>
      </w:r>
      <w:bookmarkEnd w:id="65"/>
      <w:bookmarkEnd w:id="66"/>
    </w:p>
    <w:p w14:paraId="ECFE992F">
      <w:pPr>
        <w:spacing w:line="600" w:lineRule="exact"/>
        <w:jc w:val="left"/>
        <w:rPr>
          <w:rFonts w:ascii="宋体"/>
          <w:b/>
          <w:color w:val="000000"/>
          <w:sz w:val="44"/>
          <w:szCs w:val="44"/>
        </w:rPr>
      </w:pPr>
    </w:p>
    <w:p w14:paraId="36B862C9">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ascii="仿宋_GB2312" w:eastAsia="仿宋_GB2312"/>
          <w:color w:val="000000"/>
          <w:sz w:val="32"/>
          <w:szCs w:val="32"/>
        </w:rPr>
        <w:t>1.</w:t>
      </w:r>
      <w:r>
        <w:rPr>
          <w:rFonts w:hint="eastAsia" w:ascii="仿宋_GB2312" w:hAnsi="Times New Roman" w:eastAsia="仿宋_GB2312" w:cs="仿宋_GB2312"/>
          <w:color w:val="auto"/>
          <w:kern w:val="2"/>
          <w:sz w:val="32"/>
          <w:szCs w:val="32"/>
          <w:highlight w:val="none"/>
          <w:shd w:val="clear" w:color="auto" w:fill="auto"/>
          <w:lang w:val="en-US" w:eastAsia="zh-CN" w:bidi="ar-SA"/>
        </w:rPr>
        <w:t>财政拨款收入：指单位从同级财政部门取得的财政预算资金。</w:t>
      </w:r>
    </w:p>
    <w:p w14:paraId="9B8848D0">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2.事业收入：指事业单位开展专业业务活动及辅助活动取得的收入。</w:t>
      </w:r>
    </w:p>
    <w:p w14:paraId="400D145E">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3.经营收入：指事业单位在专业业务活动及其辅助活动之外开展非独立核算经营活动取得的收入。</w:t>
      </w:r>
    </w:p>
    <w:p w14:paraId="CEEB8C05">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4.其他收入：指单位取得的除上述收入以外的各项收入。主要是银行存款利息收入等。</w:t>
      </w:r>
    </w:p>
    <w:p w14:paraId="31A180D3">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14:paraId="BCFEFACF">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6.年初结转和结余：指以前年度尚未完成、结转到本年按有关规定继续使用的资金。</w:t>
      </w:r>
    </w:p>
    <w:p w14:paraId="203205F4">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7.结余分配：指事业单位按照事业单位会计制度的规定从非财政补助结余中分配的事业基金和职工福利基金等。</w:t>
      </w:r>
    </w:p>
    <w:p w14:paraId="E90455EC">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8、年末结转和结余：指单位按有关规定结转到下年或以后年度继续使用的资金。</w:t>
      </w:r>
    </w:p>
    <w:p w14:paraId="56D68483">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9.一般公共服务：201类20101款人大事务，2010101项指人大工作人员工资，2010301指行政工作人员工资、2010601行政运行财政所工作人员工资、2010108人大代表工作经费。</w:t>
      </w:r>
    </w:p>
    <w:p w14:paraId="B256162D">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10.文化体育与传媒：207类20701款2070199项指其他文化支出文化院坝工作经费。</w:t>
      </w:r>
    </w:p>
    <w:p w14:paraId="DF4ADE51">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11.社会保障和就业：208类20802款2080208项指基层政权和社区建设，2080505指机关事业单位基本养老保险缴费支出，2080506指机关事业单位职业年金缴费支出2081107指残疾人生活和护理补助，2082102指农村特困人员救助。</w:t>
      </w:r>
    </w:p>
    <w:p w14:paraId="243D23D6">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12.卫生健康：210类21004款2100409项指公共卫生专项资金。</w:t>
      </w:r>
    </w:p>
    <w:p w14:paraId="0F1A5A1D">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13.城镇社区：212类21205，2120501指城镇社区环境卫生支出。</w:t>
      </w:r>
    </w:p>
    <w:p w14:paraId="E1DA99B4">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14.农林水：213类21301款2130152项指对高校毕业生到基层任职补助，2130504指农村基础设施建设，2130705指对村民委员会和村党支部的补助。</w:t>
      </w:r>
    </w:p>
    <w:p w14:paraId="98D14CD7">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15.交通运输：214类21401款2140104项指公路建设。</w:t>
      </w:r>
    </w:p>
    <w:p w14:paraId="CC8E697A">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16.住房保障：221类22102款2210201项指住房公积金。</w:t>
      </w:r>
    </w:p>
    <w:p w14:paraId="495E24D8">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17.基本支出：指为保障机构正常运转、完成日常工作任务而发生的人员支出和公用支出。</w:t>
      </w:r>
    </w:p>
    <w:p w14:paraId="D3A61FC2">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18.项目支出：指在基本支出之外为完成特定行政任务和事业发展目标所发生的支出。</w:t>
      </w:r>
    </w:p>
    <w:p w14:paraId="8CB7BC00">
      <w:pPr>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19.经营支出：指事业单位在专业业务活动及其辅助活动之外开展非独立核算经营活动发生的支出。</w:t>
      </w:r>
    </w:p>
    <w:p w14:paraId="94DD5B27">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pPr>
      <w:r>
        <w:rPr>
          <w:rFonts w:hint="eastAsia" w:ascii="仿宋_GB2312" w:hAnsi="Times New Roman" w:eastAsia="仿宋_GB2312" w:cs="仿宋_GB2312"/>
          <w:color w:val="auto"/>
          <w:kern w:val="2"/>
          <w:sz w:val="32"/>
          <w:szCs w:val="32"/>
          <w:highlight w:val="none"/>
          <w:shd w:val="clear" w:color="auto" w:fill="auto"/>
          <w:lang w:val="en-US" w:eastAsia="zh-CN" w:bidi="ar-SA"/>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F3DA4A5A">
      <w:pPr>
        <w:pStyle w:val="28"/>
        <w:spacing w:line="560" w:lineRule="exact"/>
        <w:ind w:firstLine="640" w:firstLineChars="200"/>
        <w:rPr>
          <w:rFonts w:hint="eastAsia" w:ascii="仿宋_GB2312" w:hAnsi="Times New Roman" w:eastAsia="仿宋_GB2312" w:cs="仿宋_GB2312"/>
          <w:color w:val="auto"/>
          <w:kern w:val="2"/>
          <w:sz w:val="32"/>
          <w:szCs w:val="32"/>
          <w:highlight w:val="none"/>
          <w:shd w:val="clear" w:color="auto" w:fill="auto"/>
          <w:lang w:val="en-US" w:eastAsia="zh-CN" w:bidi="ar-SA"/>
        </w:rPr>
        <w:sectPr>
          <w:headerReference r:id="rId7" w:type="default"/>
          <w:pgSz w:w="11906" w:h="16838"/>
          <w:pgMar w:top="1440" w:right="1800" w:bottom="1440" w:left="1800" w:header="851" w:footer="992" w:gutter="0"/>
          <w:pgNumType w:fmt="decimal"/>
          <w:cols w:space="720" w:num="1"/>
          <w:docGrid w:type="lines" w:linePitch="312" w:charSpace="0"/>
        </w:sectPr>
      </w:pPr>
      <w:r>
        <w:rPr>
          <w:rFonts w:hint="eastAsia" w:ascii="仿宋_GB2312" w:hAnsi="Times New Roman" w:eastAsia="仿宋_GB2312" w:cs="仿宋_GB2312"/>
          <w:color w:val="auto"/>
          <w:kern w:val="2"/>
          <w:sz w:val="32"/>
          <w:szCs w:val="32"/>
          <w:highlight w:val="none"/>
          <w:shd w:val="clear" w:color="auto" w:fill="auto"/>
          <w:lang w:val="en-US" w:eastAsia="zh-CN" w:bidi="ar-SA"/>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63EB160">
      <w:pPr>
        <w:spacing w:line="600" w:lineRule="exact"/>
        <w:jc w:val="center"/>
        <w:outlineLvl w:val="0"/>
        <w:rPr>
          <w:rStyle w:val="23"/>
          <w:rFonts w:ascii="黑体" w:eastAsia="黑体"/>
          <w:b w:val="0"/>
          <w:color w:val="000000"/>
        </w:rPr>
      </w:pPr>
      <w:bookmarkStart w:id="67" w:name="_Toc15396614"/>
      <w:bookmarkStart w:id="68" w:name="_Toc15377226"/>
      <w:r>
        <w:rPr>
          <w:rFonts w:hint="eastAsia" w:ascii="黑体" w:eastAsia="黑体"/>
          <w:color w:val="000000"/>
          <w:sz w:val="44"/>
          <w:szCs w:val="44"/>
        </w:rPr>
        <w:t>第</w:t>
      </w:r>
      <w:r>
        <w:rPr>
          <w:rStyle w:val="23"/>
          <w:rFonts w:hint="eastAsia" w:ascii="黑体" w:eastAsia="黑体"/>
          <w:b w:val="0"/>
          <w:color w:val="000000"/>
        </w:rPr>
        <w:t>四部分 附件</w:t>
      </w:r>
      <w:bookmarkEnd w:id="67"/>
    </w:p>
    <w:p w14:paraId="FBCE56C5">
      <w:pPr>
        <w:spacing w:line="600" w:lineRule="exact"/>
        <w:jc w:val="left"/>
        <w:outlineLvl w:val="0"/>
        <w:rPr>
          <w:rFonts w:hint="eastAsia" w:ascii="黑体" w:eastAsia="黑体" w:cs="黑体"/>
          <w:color w:val="000000"/>
          <w:sz w:val="32"/>
          <w:szCs w:val="32"/>
        </w:rPr>
      </w:pPr>
      <w:r>
        <w:rPr>
          <w:rFonts w:hint="eastAsia" w:ascii="黑体" w:eastAsia="黑体" w:cs="黑体"/>
          <w:color w:val="000000"/>
          <w:sz w:val="32"/>
          <w:szCs w:val="32"/>
        </w:rPr>
        <w:t>附件1</w:t>
      </w:r>
    </w:p>
    <w:p w14:paraId="3FBCC689">
      <w:pPr>
        <w:pStyle w:val="7"/>
        <w:rPr>
          <w:rFonts w:hint="eastAsia" w:ascii="黑体" w:hAnsi="黑体" w:eastAsia="黑体" w:cs="黑体"/>
        </w:rPr>
      </w:pPr>
    </w:p>
    <w:p w14:paraId="615DC341">
      <w:pPr>
        <w:spacing w:line="600" w:lineRule="exact"/>
        <w:jc w:val="center"/>
        <w:rPr>
          <w:rFonts w:hint="eastAsia" w:ascii="黑体" w:hAnsi="黑体" w:eastAsia="黑体" w:cs="黑体"/>
          <w:color w:val="000000"/>
          <w:kern w:val="0"/>
          <w:sz w:val="40"/>
          <w:szCs w:val="44"/>
          <w:lang w:val="zh-CN"/>
        </w:rPr>
      </w:pPr>
      <w:r>
        <w:rPr>
          <w:rFonts w:hint="eastAsia" w:ascii="黑体" w:hAnsi="黑体" w:eastAsia="黑体" w:cs="黑体"/>
          <w:color w:val="000000"/>
          <w:kern w:val="0"/>
          <w:sz w:val="40"/>
          <w:szCs w:val="44"/>
        </w:rPr>
        <w:t>安曲镇人民政府</w:t>
      </w:r>
      <w:r>
        <w:rPr>
          <w:rFonts w:hint="eastAsia" w:ascii="黑体" w:hAnsi="黑体" w:eastAsia="黑体" w:cs="黑体"/>
          <w:color w:val="000000"/>
          <w:kern w:val="0"/>
          <w:sz w:val="40"/>
          <w:szCs w:val="44"/>
          <w:lang w:eastAsia="zh-CN"/>
        </w:rPr>
        <w:t>202</w:t>
      </w:r>
      <w:r>
        <w:rPr>
          <w:rFonts w:hint="eastAsia" w:ascii="黑体" w:hAnsi="黑体" w:eastAsia="黑体" w:cs="黑体"/>
          <w:color w:val="000000"/>
          <w:kern w:val="0"/>
          <w:sz w:val="40"/>
          <w:szCs w:val="44"/>
          <w:lang w:val="en-US" w:eastAsia="zh-CN"/>
        </w:rPr>
        <w:t>4</w:t>
      </w:r>
      <w:r>
        <w:rPr>
          <w:rFonts w:hint="eastAsia" w:ascii="黑体" w:hAnsi="黑体" w:eastAsia="黑体" w:cs="黑体"/>
          <w:color w:val="000000"/>
          <w:kern w:val="0"/>
          <w:sz w:val="40"/>
          <w:szCs w:val="44"/>
        </w:rPr>
        <w:t>年部门</w:t>
      </w:r>
      <w:r>
        <w:rPr>
          <w:rFonts w:hint="eastAsia" w:ascii="黑体" w:hAnsi="黑体" w:eastAsia="黑体" w:cs="黑体"/>
          <w:color w:val="000000"/>
          <w:kern w:val="0"/>
          <w:sz w:val="40"/>
          <w:szCs w:val="44"/>
          <w:lang w:val="zh-CN"/>
        </w:rPr>
        <w:t>整体支出绩效评价报告</w:t>
      </w:r>
    </w:p>
    <w:p w14:paraId="A14962D7">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textAlignment w:val="auto"/>
        <w:rPr>
          <w:rFonts w:hint="eastAsia" w:ascii="仿宋_GB2312" w:hAnsi="仿宋_GB2312" w:eastAsia="仿宋_GB2312" w:cs="仿宋_GB2312"/>
          <w:b/>
          <w:bCs/>
          <w:i w:val="0"/>
          <w:iCs w:val="0"/>
          <w:caps w:val="0"/>
          <w:color w:val="333333"/>
          <w:spacing w:val="0"/>
          <w:sz w:val="32"/>
          <w:szCs w:val="32"/>
          <w:shd w:val="clear" w:color="auto" w:fill="FFFFFF"/>
        </w:rPr>
      </w:pPr>
    </w:p>
    <w:p w14:paraId="8074308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仿宋_GB2312" w:hAnsi="仿宋_GB2312" w:eastAsia="仿宋_GB2312" w:cs="仿宋_GB2312"/>
          <w:b/>
          <w:bCs/>
          <w:i w:val="0"/>
          <w:iCs w:val="0"/>
          <w:caps w:val="0"/>
          <w:color w:val="333333"/>
          <w:spacing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sz w:val="32"/>
          <w:szCs w:val="32"/>
          <w:shd w:val="clear" w:color="auto" w:fill="FFFFFF"/>
        </w:rPr>
        <w:t>一、</w:t>
      </w:r>
      <w:r>
        <w:rPr>
          <w:rFonts w:hint="eastAsia" w:ascii="仿宋_GB2312" w:hAnsi="仿宋_GB2312" w:eastAsia="仿宋_GB2312" w:cs="仿宋_GB2312"/>
          <w:b/>
          <w:bCs/>
          <w:i w:val="0"/>
          <w:iCs w:val="0"/>
          <w:caps w:val="0"/>
          <w:color w:val="333333"/>
          <w:spacing w:val="0"/>
          <w:sz w:val="32"/>
          <w:szCs w:val="32"/>
          <w:shd w:val="clear" w:color="auto" w:fill="FFFFFF"/>
          <w:lang w:val="zh-CN" w:eastAsia="zh-CN"/>
        </w:rPr>
        <w:t>部门（单位）概况</w:t>
      </w:r>
    </w:p>
    <w:p w14:paraId="AFA5EEC3">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（一）机构组成</w:t>
      </w:r>
    </w:p>
    <w:p w14:paraId="60008AD2">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eastAsia="zh-CN"/>
        </w:rPr>
      </w:pPr>
      <w:r>
        <w:rPr>
          <w:rFonts w:hint="eastAsia" w:ascii="仿宋_GB2312" w:hAnsi="Times New Roman" w:eastAsia="仿宋_GB2312" w:cs="仿宋_GB2312"/>
          <w:color w:val="auto"/>
          <w:sz w:val="32"/>
          <w:szCs w:val="32"/>
          <w:highlight w:val="none"/>
          <w:shd w:val="clear" w:color="auto" w:fill="auto"/>
          <w:lang w:val="zh-CN" w:eastAsia="zh-CN"/>
        </w:rPr>
        <w:t>红原县安曲镇人民政府是行政单位，执行行政单位会计制度，我单位下属二级决算单位0个，其中行政单位</w:t>
      </w:r>
      <w:r>
        <w:rPr>
          <w:rFonts w:hint="eastAsia" w:ascii="仿宋_GB2312" w:hAnsi="Times New Roman" w:eastAsia="仿宋_GB2312" w:cs="仿宋_GB2312"/>
          <w:color w:val="auto"/>
          <w:sz w:val="32"/>
          <w:szCs w:val="32"/>
          <w:highlight w:val="none"/>
          <w:shd w:val="clear" w:color="auto" w:fill="auto"/>
          <w:lang w:val="en-US" w:eastAsia="zh-CN"/>
        </w:rPr>
        <w:t>1</w:t>
      </w:r>
      <w:r>
        <w:rPr>
          <w:rFonts w:hint="eastAsia" w:ascii="仿宋_GB2312" w:hAnsi="Times New Roman" w:eastAsia="仿宋_GB2312" w:cs="仿宋_GB2312"/>
          <w:color w:val="auto"/>
          <w:sz w:val="32"/>
          <w:szCs w:val="32"/>
          <w:highlight w:val="none"/>
          <w:shd w:val="clear" w:color="auto" w:fill="auto"/>
          <w:lang w:val="zh-CN" w:eastAsia="zh-CN"/>
        </w:rPr>
        <w:t>个，参照公务员法管理的事业单位0个，其他事业单位0个。是独立核算的机构，是独立编报决算的单位。安曲镇辖区</w:t>
      </w:r>
      <w:r>
        <w:rPr>
          <w:rFonts w:hint="eastAsia" w:ascii="仿宋_GB2312" w:hAnsi="Times New Roman" w:eastAsia="仿宋_GB2312" w:cs="仿宋_GB2312"/>
          <w:color w:val="auto"/>
          <w:sz w:val="32"/>
          <w:szCs w:val="32"/>
          <w:highlight w:val="none"/>
          <w:shd w:val="clear" w:color="auto" w:fill="auto"/>
          <w:lang w:val="en-US" w:eastAsia="zh-CN"/>
        </w:rPr>
        <w:t>3</w:t>
      </w:r>
      <w:r>
        <w:rPr>
          <w:rFonts w:hint="eastAsia" w:ascii="仿宋_GB2312" w:hAnsi="Times New Roman" w:eastAsia="仿宋_GB2312" w:cs="仿宋_GB2312"/>
          <w:color w:val="auto"/>
          <w:sz w:val="32"/>
          <w:szCs w:val="32"/>
          <w:highlight w:val="none"/>
          <w:shd w:val="clear" w:color="auto" w:fill="auto"/>
          <w:lang w:val="zh-CN" w:eastAsia="zh-CN"/>
        </w:rPr>
        <w:t>个行政村，总共</w:t>
      </w:r>
      <w:r>
        <w:rPr>
          <w:rFonts w:hint="eastAsia" w:ascii="仿宋_GB2312" w:hAnsi="Times New Roman" w:eastAsia="仿宋_GB2312" w:cs="仿宋_GB2312"/>
          <w:color w:val="auto"/>
          <w:sz w:val="32"/>
          <w:szCs w:val="32"/>
          <w:highlight w:val="none"/>
          <w:shd w:val="clear" w:color="auto" w:fill="auto"/>
          <w:lang w:val="en-US" w:eastAsia="zh-CN"/>
        </w:rPr>
        <w:t>15</w:t>
      </w:r>
      <w:r>
        <w:rPr>
          <w:rFonts w:hint="eastAsia" w:ascii="仿宋_GB2312" w:hAnsi="Times New Roman" w:eastAsia="仿宋_GB2312" w:cs="仿宋_GB2312"/>
          <w:color w:val="auto"/>
          <w:sz w:val="32"/>
          <w:szCs w:val="32"/>
          <w:highlight w:val="none"/>
          <w:shd w:val="clear" w:color="auto" w:fill="auto"/>
          <w:lang w:val="zh-CN" w:eastAsia="zh-CN"/>
        </w:rPr>
        <w:t>名村干部。</w:t>
      </w:r>
    </w:p>
    <w:p w14:paraId="C9BDF168">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（二）机构职能</w:t>
      </w:r>
    </w:p>
    <w:p w14:paraId="7B84CAC6">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镇党委工作职责</w:t>
      </w:r>
    </w:p>
    <w:p w14:paraId="E55F22A9">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镇党委是本镇各项工作的领导核心，是农村改革和经济建设的直接组织者和领导者，其主要职责:</w:t>
      </w:r>
    </w:p>
    <w:p w14:paraId="469D398B">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1.负责贯彻执行党的路线方针政策和上级党组织及本镇党员代表大会的决议;</w:t>
      </w:r>
    </w:p>
    <w:p w14:paraId="59B96C63">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2.讨论决定本镇经济建设和社会发展的重大问题;</w:t>
      </w:r>
    </w:p>
    <w:p w14:paraId="CA37D269">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3.领导镇政权机关和群众组织，支持和保证这些机机关和组织依照国家法律法规及各自章程充分行使职权;</w:t>
      </w:r>
    </w:p>
    <w:p w14:paraId="F0D2B881">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4.加强镇党委自身建设和以党支部为核心的村级组织建设;</w:t>
      </w:r>
    </w:p>
    <w:p w14:paraId="4726E39B">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5.按照干部管理权限，负责对干部的教育、培养、选拔、考核和监督工作;</w:t>
      </w:r>
    </w:p>
    <w:p w14:paraId="C4E13F00">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6.领导本镇的社会主义民主法制建设和精神文明建设，以及社会治安综合治理、维护稳定、党风廉政和计划生育等工作。</w:t>
      </w:r>
    </w:p>
    <w:p w14:paraId="5AA3AB47">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镇人民代表大会工作职责</w:t>
      </w:r>
    </w:p>
    <w:p w14:paraId="40716BC6">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1.负责召开本级人民代表大会会议的具体准备工作:</w:t>
      </w:r>
    </w:p>
    <w:p w14:paraId="3261AE61">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2.负责联系本级人民代表大会代表，组织代表开展活动，总结交流代表小组活动经验；</w:t>
      </w:r>
    </w:p>
    <w:p w14:paraId="F5D6EBC5">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3.反映代表和群众对本级人民政府工作的建议、批评</w:t>
      </w:r>
    </w:p>
    <w:p w14:paraId="D142AC26">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意见；</w:t>
      </w:r>
    </w:p>
    <w:p w14:paraId="7B13445F">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4.参加本级人民政府的重要会议;</w:t>
      </w:r>
    </w:p>
    <w:p w14:paraId="8821FC32">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5.组织实施本级人民代表大会和主席团决定的事项；</w:t>
      </w:r>
    </w:p>
    <w:p w14:paraId="24C18B54">
      <w:pPr>
        <w:shd w:val="clear" w:color="auto" w:fill="auto"/>
        <w:spacing w:line="58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6.督促办理代表和人民群众的来信来访。</w:t>
      </w:r>
    </w:p>
    <w:p w14:paraId="3E318513">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镇人民政府工作职责</w:t>
      </w:r>
    </w:p>
    <w:p w14:paraId="8B24F75C">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1.贯彻执行党的路线方针政策和国家法律法规，贯彻执</w:t>
      </w:r>
    </w:p>
    <w:p w14:paraId="789A1DDE">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行上级行政机关的决议、命令及同级党委的决定，执行镇人民代表大会的决议;</w:t>
      </w:r>
    </w:p>
    <w:p w14:paraId="BB789D2D">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2.对镇人民代表大会及其主席团和上级行政机关负责</w:t>
      </w:r>
    </w:p>
    <w:p w14:paraId="49FE300D">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并报告工作;</w:t>
      </w:r>
    </w:p>
    <w:p w14:paraId="ED58032E">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3.编制和执行镇国民经济和社会发展计划，编制并执</w:t>
      </w:r>
    </w:p>
    <w:p w14:paraId="CFC7E074">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执行行政预算;</w:t>
      </w:r>
    </w:p>
    <w:p w14:paraId="121F0E5D">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4.管理本行政区域经济和各项社会事业的行政工作；</w:t>
      </w:r>
    </w:p>
    <w:p w14:paraId="15C48C88">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5.负责辖区内法律赋予的行政执法工作，维护社会秩序，保护公民人身、民主、财产等权利，保护各种经济组织的合法权益;</w:t>
      </w:r>
    </w:p>
    <w:p w14:paraId="87D38640">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6.指导、支持和帮助村民委员会工作;</w:t>
      </w:r>
    </w:p>
    <w:p w14:paraId="CED9F2C3">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7.法律规定赋予的其它职责。</w:t>
      </w:r>
    </w:p>
    <w:p w14:paraId="FEB22BB7">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en-US" w:eastAsia="zh-CN"/>
        </w:rPr>
        <w:t>纪委（派出监察室）工作职责</w:t>
      </w:r>
    </w:p>
    <w:p w14:paraId="CAD6E83A">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镇党委的纪律检查工作。督促农村基层党组织和党员、干部践行“两个维护”，遵守党章和其他党内法规；检查党的路线、方针、政策和决议在基层的执行情况；协助镇党委推进全面从严治党、加强党风建设和反腐败工作。</w:t>
      </w:r>
    </w:p>
    <w:p w14:paraId="DA4D7D5B">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依照党章和其他党内法规履行监督、执纪、问责职责负责经常对党员进行遵守纪律的教育，作出维护党纪的决定；对下辖的党组织和管理的党员干部履行职责、行使权力进行监督受理处置党员群众检举举报，开展谈话提醒，约谈函询；按照权限检查和处理上述党组织和党员违纪案件；进行问责或者提出责任追究的建议；受理党员的控告和申诉；保障党员的权利。</w:t>
      </w:r>
    </w:p>
    <w:p w14:paraId="865680F0">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3.领导下辖纪检组织的工作，指导村务监督机构的工作。</w:t>
      </w:r>
    </w:p>
    <w:p w14:paraId="AF8E3B29">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4.负责村（社）纪检监察组织的自身建设。</w:t>
      </w:r>
    </w:p>
    <w:p w14:paraId="3D91EA8D">
      <w:pPr>
        <w:shd w:val="clear" w:color="auto" w:fill="auto"/>
        <w:spacing w:line="58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5.完成县纪委监委和乡镇党委交办的其他任务</w:t>
      </w:r>
      <w:r>
        <w:rPr>
          <w:rFonts w:hint="eastAsia" w:ascii="仿宋_GB2312" w:hAnsi="仿宋_GB2312" w:eastAsia="仿宋_GB2312" w:cs="仿宋_GB2312"/>
          <w:color w:val="000000"/>
          <w:sz w:val="32"/>
          <w:szCs w:val="32"/>
          <w:lang w:val="en-US" w:eastAsia="zh-CN"/>
        </w:rPr>
        <w:t>。</w:t>
      </w:r>
    </w:p>
    <w:p w14:paraId="4DD49F83">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en-US"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en-US" w:eastAsia="zh-CN"/>
        </w:rPr>
        <w:t>镇人民武装部工作职责</w:t>
      </w:r>
    </w:p>
    <w:p w14:paraId="29E9C593">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1.负责民兵组织建设、政治教育、军事训练;</w:t>
      </w:r>
    </w:p>
    <w:p w14:paraId="19475557">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2.为本系统自主择业转业干部提供管理和服务;</w:t>
      </w:r>
    </w:p>
    <w:p w14:paraId="12B36243">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3.组织带领民兵完成战备执勤任务，配合公安部门维护社会治安;</w:t>
      </w:r>
    </w:p>
    <w:p w14:paraId="F5201C33">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4.战时组织带领民兵参军参战，支援前线;</w:t>
      </w:r>
    </w:p>
    <w:p w14:paraId="FCCEE7FF">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5.负责征兵工作和预备役士兵、预备役军官登记统计等工作;</w:t>
      </w:r>
    </w:p>
    <w:p w14:paraId="D21713C4">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6.协同预备役部(分)队落实参训人员，做好兵员管理、动员集结等工作;</w:t>
      </w:r>
    </w:p>
    <w:p w14:paraId="C2069D64">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7.协助有关部门开展国防教育，做好退伍人员的安置和烈军属的优抚工作;</w:t>
      </w:r>
    </w:p>
    <w:p w14:paraId="220857B0">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eastAsia" w:ascii="仿宋_GB2312" w:hAnsi="Times New Roman" w:eastAsia="仿宋_GB2312" w:cs="仿宋_GB2312"/>
          <w:color w:val="auto"/>
          <w:sz w:val="32"/>
          <w:szCs w:val="32"/>
          <w:highlight w:val="none"/>
          <w:shd w:val="clear" w:color="auto" w:fill="auto"/>
          <w:lang w:val="en-US" w:eastAsia="zh-CN"/>
        </w:rPr>
        <w:t>8.完成地方党委、人民政府和上级军事机关交给的其他工作任务。</w:t>
      </w:r>
    </w:p>
    <w:p w14:paraId="FE214C4B">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（三）人员概况</w:t>
      </w:r>
    </w:p>
    <w:p w14:paraId="D568DD54">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全镇总编制36名，其中：行政编制：20名，事业编制：16名，行政工勤编制：2名。有编在岗人员总数36名，其中：行政人员20名，事业人员12名，行政工勤人员2名，退休人员8人，退职人员0名。安曲镇下辖3个行政村，村干部15名，村民小组长26名。</w:t>
      </w:r>
    </w:p>
    <w:p w14:paraId="DB04E12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color="auto" w:fill="FFFFFF"/>
        </w:rPr>
      </w:pPr>
      <w:r>
        <w:rPr>
          <w:rFonts w:hint="eastAsia" w:ascii="仿宋_GB2312" w:hAnsi="仿宋_GB2312" w:eastAsia="仿宋_GB2312" w:cs="仿宋_GB2312"/>
          <w:b/>
          <w:bCs/>
          <w:i w:val="0"/>
          <w:iCs w:val="0"/>
          <w:caps w:val="0"/>
          <w:color w:val="333333"/>
          <w:spacing w:val="0"/>
          <w:sz w:val="32"/>
          <w:szCs w:val="32"/>
          <w:shd w:val="clear" w:color="auto" w:fill="FFFFFF"/>
        </w:rPr>
        <w:t>二、部门财政</w:t>
      </w:r>
      <w:r>
        <w:rPr>
          <w:rFonts w:hint="eastAsia" w:ascii="仿宋_GB2312" w:hAnsi="仿宋_GB2312" w:eastAsia="仿宋_GB2312" w:cs="仿宋_GB2312"/>
          <w:b/>
          <w:bCs/>
          <w:i w:val="0"/>
          <w:iCs w:val="0"/>
          <w:caps w:val="0"/>
          <w:color w:val="333333"/>
          <w:spacing w:val="0"/>
          <w:sz w:val="32"/>
          <w:szCs w:val="32"/>
          <w:shd w:val="clear" w:color="auto" w:fill="FFFFFF"/>
          <w:lang w:eastAsia="zh-CN"/>
        </w:rPr>
        <w:t>财政资金收支</w:t>
      </w:r>
      <w:r>
        <w:rPr>
          <w:rFonts w:hint="eastAsia" w:ascii="仿宋_GB2312" w:hAnsi="仿宋_GB2312" w:eastAsia="仿宋_GB2312" w:cs="仿宋_GB2312"/>
          <w:b/>
          <w:bCs/>
          <w:i w:val="0"/>
          <w:iCs w:val="0"/>
          <w:caps w:val="0"/>
          <w:color w:val="333333"/>
          <w:spacing w:val="0"/>
          <w:sz w:val="32"/>
          <w:szCs w:val="32"/>
          <w:shd w:val="clear" w:color="auto" w:fill="FFFFFF"/>
        </w:rPr>
        <w:t>情况</w:t>
      </w:r>
    </w:p>
    <w:p w14:paraId="71BE3335">
      <w:pPr>
        <w:keepNext w:val="0"/>
        <w:keepLines w:val="0"/>
        <w:pageBreakBefore w:val="0"/>
        <w:widowControl/>
        <w:kinsoku/>
        <w:wordWrap/>
        <w:overflowPunct/>
        <w:topLinePunct w:val="0"/>
        <w:autoSpaceDN/>
        <w:bidi w:val="0"/>
        <w:adjustRightInd w:val="0"/>
        <w:snapToGrid w:val="0"/>
        <w:spacing w:beforeAutospacing="0" w:afterAutospacing="0"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（一）部门财政资金收入情况</w:t>
      </w:r>
    </w:p>
    <w:p w14:paraId="A0732609">
      <w:pPr>
        <w:shd w:val="clear" w:color="auto" w:fill="auto"/>
        <w:spacing w:line="580" w:lineRule="exact"/>
        <w:ind w:firstLine="640" w:firstLineChars="200"/>
        <w:rPr>
          <w:rFonts w:hint="default"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本单位本年度总收入为1769.70万元。其中：一般公共预算财政拨款收入为1769.70万元，占比100%。其中：一般公共服务：收入769.56万元，完成预算100%；国防支出2.00万元，完成预算100%；文化旅游体育与传媒支出:收入5.64万元，完成预算100%；社会保障和就业：收入323.42万元，完成预算100%；卫生健康：收入50.34万元，完成预算100%。；城乡社区：收入10.00万元，完成预算100%；农林水：收入534.39万元，完成预算100%；住房保障：收入73.36万元，完成预算100%；灾害防止及应急管理：收入1.00万元，完成预算100%。</w:t>
      </w:r>
    </w:p>
    <w:p w14:paraId="2E79500F">
      <w:pPr>
        <w:keepNext w:val="0"/>
        <w:keepLines w:val="0"/>
        <w:pageBreakBefore w:val="0"/>
        <w:widowControl/>
        <w:kinsoku/>
        <w:wordWrap/>
        <w:overflowPunct/>
        <w:topLinePunct w:val="0"/>
        <w:autoSpaceDN/>
        <w:bidi w:val="0"/>
        <w:adjustRightInd w:val="0"/>
        <w:snapToGrid w:val="0"/>
        <w:spacing w:beforeAutospacing="0" w:afterAutospacing="0"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t>（二）部门财政资金支出情况</w:t>
      </w:r>
    </w:p>
    <w:p w14:paraId="B8895674">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本单位本年度总支出为1769.70万元。其中：一般公共服务支出为769.56万元，占比43.49%；国防支出2.00万元，占比0.11%；文化旅游体育与传媒支出为5.64万元，占比0.32%；社会保障和就业支出为323.42万元，占比18.28%；卫生健康支出为50.34万元，占比2.84%；城乡社区支出为10.00万元，占比0.57%；农林水支出为534.39万元，占比30.20%；住房保障支出为73.36万元，占比4.15%；灾害防止及应急管理：收入1.00万元，占比0.06%。</w:t>
      </w:r>
    </w:p>
    <w:p w14:paraId="8FC2A90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color="auto" w:fill="FFFFFF"/>
        </w:rPr>
      </w:pPr>
      <w:r>
        <w:rPr>
          <w:rFonts w:hint="eastAsia" w:ascii="仿宋_GB2312" w:hAnsi="仿宋_GB2312" w:eastAsia="仿宋_GB2312" w:cs="仿宋_GB2312"/>
          <w:b/>
          <w:bCs/>
          <w:i w:val="0"/>
          <w:iCs w:val="0"/>
          <w:caps w:val="0"/>
          <w:color w:val="333333"/>
          <w:spacing w:val="0"/>
          <w:sz w:val="32"/>
          <w:szCs w:val="32"/>
          <w:shd w:val="clear" w:color="auto" w:fill="FFFFFF"/>
        </w:rPr>
        <w:t>三、部门整体预算绩效管理情况</w:t>
      </w:r>
    </w:p>
    <w:p w14:paraId="7F70CC16">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default" w:ascii="仿宋_GB2312" w:hAnsi="仿宋_GB2312" w:eastAsia="仿宋_GB2312" w:cs="仿宋_GB2312"/>
          <w:b/>
          <w:bCs/>
          <w:i w:val="0"/>
          <w:iCs w:val="0"/>
          <w:caps w:val="0"/>
          <w:color w:val="333333"/>
          <w:spacing w:val="0"/>
          <w:kern w:val="0"/>
          <w:sz w:val="32"/>
          <w:szCs w:val="32"/>
          <w:shd w:val="clear" w:color="auto" w:fill="FFFFFF"/>
          <w:lang w:val="zh-CN" w:eastAsia="zh-CN"/>
        </w:rPr>
        <w:t>（一）部门预算总体绩效分析</w:t>
      </w:r>
    </w:p>
    <w:p w14:paraId="CB911B36">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1.履职效能。2024年本单位继续实施以项目为支撑，检查监督宪法、法律、法规在本行政区域内的遵守和执行；加强了镇安全生产工作保障，确保了镇安全生产工作能力水平和效果不断提升；以生态环境保护为目标，开展了人居环境整治和辖区公共环境卫生整治工作，确保安曲镇镇容镇貌卫生清洁等。根据部门预算绩效评价指标体系，职能目标完成效果情况优秀，自评14分。</w:t>
      </w:r>
    </w:p>
    <w:p w14:paraId="86352208">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2.预算管理。本单位预算编制质量较高，确保了资金的合理分配；单位收入统筹有效，增强了资金的使用效率；支出执行进度符合计划，保障了项目的顺利实施。不存在预算年终结余，避免了资金闲置。严格控制一般性支出，优化财政资源配置。根据部门预算绩效评价指标体系，预算管理情况优秀，自评24分。</w:t>
      </w:r>
    </w:p>
    <w:p w14:paraId="61FFE3CA">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3.财务管理。本单位财务管理制度健全，岗位设置合理，职责明确，确保了财务流程合理有序。资金使用规范，透明度高，有效防止浪费和滥用。绩效分析显示，资金分配较为合理，为安曲镇的发展提供了坚实的财务保障。根据部门预算绩效评价指标体系，财务管理情况优秀，自评10分。</w:t>
      </w:r>
    </w:p>
    <w:p w14:paraId="27E21C08">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4.资产管理。本</w:t>
      </w:r>
      <w:r>
        <w:rPr>
          <w:rFonts w:hint="default" w:ascii="仿宋_GB2312" w:hAnsi="Times New Roman" w:eastAsia="仿宋_GB2312" w:cs="仿宋_GB2312"/>
          <w:color w:val="auto"/>
          <w:sz w:val="32"/>
          <w:szCs w:val="32"/>
          <w:highlight w:val="none"/>
          <w:shd w:val="clear" w:color="auto" w:fill="auto"/>
          <w:lang w:val="zh-CN" w:eastAsia="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r>
        <w:rPr>
          <w:rFonts w:hint="default" w:ascii="仿宋_GB2312" w:hAnsi="Times New Roman" w:eastAsia="仿宋_GB2312" w:cs="仿宋_GB2312"/>
          <w:color w:val="auto"/>
          <w:sz w:val="32"/>
          <w:szCs w:val="32"/>
          <w:highlight w:val="none"/>
          <w:shd w:val="clear" w:color="auto" w:fill="auto"/>
          <w:lang w:val="en-US" w:eastAsia="zh-CN"/>
        </w:rPr>
        <w:t>人均资产变化率较上年变化不大，说明资产配置较为合理。资产利用率为100%，不存在闲置资产。根据部门预算绩效评价指标体系，资产管理情况优秀，自评8分。</w:t>
      </w:r>
    </w:p>
    <w:p w14:paraId="DEB62931">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5.采购管理。本单位采购管理对支持中小企业发展的支持力度一般。但是采购执行率较高，达到85%以上，显示出较强的执行力。同时，本单位严格控制一般性支出，优先保障重点项目和民生支出，确保资金使用规范，整体绩效良好。根据部门预算绩效评价指标体系，采购管理情况优秀，自评5分。</w:t>
      </w:r>
    </w:p>
    <w:p w14:paraId="9DE18E7F">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default" w:ascii="仿宋_GB2312" w:hAnsi="仿宋_GB2312" w:eastAsia="仿宋_GB2312" w:cs="仿宋_GB2312"/>
          <w:b/>
          <w:bCs/>
          <w:i w:val="0"/>
          <w:iCs w:val="0"/>
          <w:caps w:val="0"/>
          <w:color w:val="333333"/>
          <w:spacing w:val="0"/>
          <w:kern w:val="0"/>
          <w:sz w:val="32"/>
          <w:szCs w:val="32"/>
          <w:shd w:val="clear" w:color="auto" w:fill="FFFFFF"/>
          <w:lang w:val="en-US" w:eastAsia="zh-CN"/>
        </w:rPr>
        <w:t>（二）</w:t>
      </w:r>
      <w:r>
        <w:rPr>
          <w:rFonts w:hint="default" w:ascii="仿宋_GB2312" w:hAnsi="仿宋_GB2312" w:eastAsia="仿宋_GB2312" w:cs="仿宋_GB2312"/>
          <w:b/>
          <w:bCs/>
          <w:i w:val="0"/>
          <w:iCs w:val="0"/>
          <w:caps w:val="0"/>
          <w:color w:val="333333"/>
          <w:spacing w:val="0"/>
          <w:kern w:val="0"/>
          <w:sz w:val="32"/>
          <w:szCs w:val="32"/>
          <w:shd w:val="clear" w:color="auto" w:fill="FFFFFF"/>
          <w:lang w:val="zh-CN" w:eastAsia="zh-CN"/>
        </w:rPr>
        <w:t>部门预算项目绩效分析</w:t>
      </w:r>
    </w:p>
    <w:p w14:paraId="4A0CCAC0">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常年项目绩效分析。该类项目总数11个，涉及预算总金额73.68万元，1—12月预算执行总体进度为100%，其中：预算结余率大于10%的项目共计0个。</w:t>
      </w:r>
    </w:p>
    <w:p w14:paraId="5C5F98A2">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阶段（含一次性）项目绩效分析。该类项目总数27个，涉及预算总金额1123.67万元，1—12月预算执行总体进度为57.36%，其中：预算结余率大于10%的项目共计8个。</w:t>
      </w:r>
    </w:p>
    <w:p w14:paraId="8FC56BE1">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1.项目决策。本单位项目决策程序规范，确保了项目的合理性和可行性。项目目标设置明确，与乡镇发展战略紧密结合。项目入库管理得当，所有项目均经过筛选和评估后统一纳入项目库管理。本单位项目决策的科学性和准确性较高，有效提升了资源配置效率和项目实施执行率。根据部门预算绩效评价指标体系，项目决策执行良好，自评10分。</w:t>
      </w:r>
    </w:p>
    <w:p w14:paraId="DBA924E2">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2.项目执行。本单位严格遵守项目决策程序，确保项目目标与乡镇发展需求一致。项目入库前经过论证和评估，资金执行与项目目标同向，提高了资金使用效率。执行结果符合预期，项目调整及时，确保资源合理分配。本单位项目执行情况达到预定的整体目标，有效推动了乡镇经济社会发展。根据部门预算绩效评价指标体系，项目执行情况优秀，自评11分。</w:t>
      </w:r>
    </w:p>
    <w:p w14:paraId="809AF09B">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3.目标实现。本单位预算目标完成率高，大部分项目按计划实现预定目标。尽管少数项目存在目标偏离情况，但通过及时调整计划，确保了资金的有效利用。项目执行效果良好，资金使用规范，未出现重大偏差。整体来看，本单位在预算管理上展现出较强的执行力和适应性，有效推动了乡镇经济社会发展。根据部门预算绩效评价指标体系，整体目标实现良好，自评9分。</w:t>
      </w:r>
    </w:p>
    <w:p w14:paraId="44FD9B57">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default" w:ascii="仿宋_GB2312" w:hAnsi="仿宋_GB2312" w:eastAsia="仿宋_GB2312" w:cs="仿宋_GB2312"/>
          <w:b/>
          <w:bCs/>
          <w:i w:val="0"/>
          <w:iCs w:val="0"/>
          <w:caps w:val="0"/>
          <w:color w:val="333333"/>
          <w:spacing w:val="0"/>
          <w:kern w:val="0"/>
          <w:sz w:val="32"/>
          <w:szCs w:val="32"/>
          <w:shd w:val="clear" w:color="auto" w:fill="FFFFFF"/>
          <w:lang w:val="zh-CN" w:eastAsia="zh-CN"/>
        </w:rPr>
        <w:t>（三）绩效结果应用情况</w:t>
      </w:r>
    </w:p>
    <w:p w14:paraId="63583AFB">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bookmarkStart w:id="69" w:name="OLE_LINK1"/>
      <w:r>
        <w:rPr>
          <w:rFonts w:hint="default" w:ascii="仿宋_GB2312" w:hAnsi="Times New Roman" w:eastAsia="仿宋_GB2312" w:cs="仿宋_GB2312"/>
          <w:color w:val="auto"/>
          <w:sz w:val="32"/>
          <w:szCs w:val="32"/>
          <w:highlight w:val="none"/>
          <w:shd w:val="clear" w:color="auto" w:fill="auto"/>
          <w:lang w:val="en-US" w:eastAsia="zh-CN"/>
        </w:rPr>
        <w:t>本单位在部门预算项目绩效结果应用情况方面表现良好。内部应用情况显示，预算项目绩效结果已用于优化资源配置和改进管理流程，提高了决策的科学性和合理性。但是项目绩效信息公开未能和预算、决算公开同步执行。针对绩效评估中发现的问题，本单位已制定整改措施并有效执行，确保了持续改进和绩效提升。</w:t>
      </w:r>
      <w:bookmarkEnd w:id="69"/>
    </w:p>
    <w:p w14:paraId="BD60873E">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仿宋_GB2312" w:hAnsi="仿宋_GB2312" w:eastAsia="仿宋_GB2312" w:cs="仿宋_GB2312"/>
          <w:b/>
          <w:bCs/>
          <w:i w:val="0"/>
          <w:iCs w:val="0"/>
          <w:caps w:val="0"/>
          <w:color w:val="333333"/>
          <w:spacing w:val="0"/>
          <w:sz w:val="32"/>
          <w:szCs w:val="32"/>
          <w:shd w:val="clear" w:color="auto" w:fill="FFFFFF"/>
        </w:rPr>
      </w:pPr>
      <w:r>
        <w:rPr>
          <w:rFonts w:hint="default" w:ascii="仿宋_GB2312" w:hAnsi="仿宋_GB2312" w:eastAsia="仿宋_GB2312" w:cs="仿宋_GB2312"/>
          <w:b/>
          <w:bCs/>
          <w:i w:val="0"/>
          <w:iCs w:val="0"/>
          <w:caps w:val="0"/>
          <w:color w:val="333333"/>
          <w:spacing w:val="0"/>
          <w:sz w:val="32"/>
          <w:szCs w:val="32"/>
          <w:shd w:val="clear" w:color="auto" w:fill="FFFFFF"/>
          <w:lang w:val="en-US" w:eastAsia="zh-CN"/>
        </w:rPr>
        <w:t>四、评价结论及建议</w:t>
      </w:r>
    </w:p>
    <w:p w14:paraId="6EFEB87A">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default" w:ascii="仿宋_GB2312" w:hAnsi="仿宋_GB2312" w:eastAsia="仿宋_GB2312" w:cs="仿宋_GB2312"/>
          <w:b/>
          <w:bCs/>
          <w:i w:val="0"/>
          <w:iCs w:val="0"/>
          <w:caps w:val="0"/>
          <w:color w:val="333333"/>
          <w:spacing w:val="0"/>
          <w:kern w:val="0"/>
          <w:sz w:val="32"/>
          <w:szCs w:val="32"/>
          <w:shd w:val="clear" w:color="auto" w:fill="FFFFFF"/>
          <w:lang w:val="zh-CN" w:eastAsia="zh-CN"/>
        </w:rPr>
        <w:t>（一）评价结论</w:t>
      </w:r>
    </w:p>
    <w:p w14:paraId="92E79AB3">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根据部门预算绩效评价指标体系，本单位自评总分91分，自评等级为优秀，自评表见附表1。</w:t>
      </w:r>
    </w:p>
    <w:p w14:paraId="F6D53D6A">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default" w:ascii="仿宋_GB2312" w:hAnsi="仿宋_GB2312" w:eastAsia="仿宋_GB2312" w:cs="仿宋_GB2312"/>
          <w:b/>
          <w:bCs/>
          <w:i w:val="0"/>
          <w:iCs w:val="0"/>
          <w:caps w:val="0"/>
          <w:color w:val="333333"/>
          <w:spacing w:val="0"/>
          <w:kern w:val="0"/>
          <w:sz w:val="32"/>
          <w:szCs w:val="32"/>
          <w:shd w:val="clear" w:color="auto" w:fill="FFFFFF"/>
          <w:lang w:val="zh-CN" w:eastAsia="zh-CN"/>
        </w:rPr>
        <w:t>（二）存在问题</w:t>
      </w:r>
    </w:p>
    <w:p w14:paraId="1E68429B">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1.</w:t>
      </w:r>
      <w:r>
        <w:rPr>
          <w:rFonts w:hint="default" w:ascii="仿宋_GB2312" w:hAnsi="Times New Roman" w:eastAsia="仿宋_GB2312" w:cs="仿宋_GB2312"/>
          <w:color w:val="auto"/>
          <w:sz w:val="32"/>
          <w:szCs w:val="32"/>
          <w:highlight w:val="none"/>
          <w:shd w:val="clear" w:color="auto" w:fill="auto"/>
          <w:lang w:val="zh-CN" w:eastAsia="zh-CN"/>
        </w:rPr>
        <w:t>绩效目标设立不够明确、细化和量化，</w:t>
      </w:r>
      <w:r>
        <w:rPr>
          <w:rFonts w:hint="default" w:ascii="仿宋_GB2312" w:hAnsi="Times New Roman" w:eastAsia="仿宋_GB2312" w:cs="仿宋_GB2312"/>
          <w:color w:val="auto"/>
          <w:sz w:val="32"/>
          <w:szCs w:val="32"/>
          <w:highlight w:val="none"/>
          <w:shd w:val="clear" w:color="auto" w:fill="auto"/>
          <w:lang w:val="en-US" w:eastAsia="zh-CN"/>
        </w:rPr>
        <w:t>未建立完善的绩效评价指标体系，部分项目无指标或指标不明确。</w:t>
      </w:r>
    </w:p>
    <w:p w14:paraId="710E2DF0">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2.内控制度建立的不够健全、完善、责任划分不够明确、执行力度不强。</w:t>
      </w:r>
    </w:p>
    <w:p w14:paraId="079A11AE">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3.项目绩效信息公开未能和预算、决算公开同步执行。</w:t>
      </w:r>
    </w:p>
    <w:p w14:paraId="7B1DF188">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4.部分项目预算执行率较低，未能达到绩效目标值，使得资金使用效益不高。</w:t>
      </w:r>
    </w:p>
    <w:p w14:paraId="5AEE6B7B">
      <w:pPr>
        <w:keepNext w:val="0"/>
        <w:keepLines w:val="0"/>
        <w:pageBreakBefore w:val="0"/>
        <w:widowControl/>
        <w:kinsoku/>
        <w:wordWrap/>
        <w:overflowPunct/>
        <w:topLinePunct w:val="0"/>
        <w:bidi w:val="0"/>
        <w:adjustRightInd w:val="0"/>
        <w:snapToGrid w:val="0"/>
        <w:spacing w:line="576" w:lineRule="exact"/>
        <w:ind w:firstLine="643" w:firstLineChars="200"/>
        <w:jc w:val="left"/>
        <w:textAlignment w:val="auto"/>
        <w:outlineLvl w:val="1"/>
        <w:rPr>
          <w:rFonts w:hint="eastAsia" w:ascii="仿宋_GB2312" w:hAnsi="仿宋_GB2312" w:eastAsia="仿宋_GB2312" w:cs="仿宋_GB2312"/>
          <w:b/>
          <w:bCs/>
          <w:i w:val="0"/>
          <w:iCs w:val="0"/>
          <w:caps w:val="0"/>
          <w:color w:val="333333"/>
          <w:spacing w:val="0"/>
          <w:kern w:val="0"/>
          <w:sz w:val="32"/>
          <w:szCs w:val="32"/>
          <w:shd w:val="clear" w:color="auto" w:fill="FFFFFF"/>
          <w:lang w:val="zh-CN" w:eastAsia="zh-CN"/>
        </w:rPr>
      </w:pPr>
      <w:r>
        <w:rPr>
          <w:rFonts w:hint="default" w:ascii="仿宋_GB2312" w:hAnsi="仿宋_GB2312" w:eastAsia="仿宋_GB2312" w:cs="仿宋_GB2312"/>
          <w:b/>
          <w:bCs/>
          <w:i w:val="0"/>
          <w:iCs w:val="0"/>
          <w:caps w:val="0"/>
          <w:color w:val="333333"/>
          <w:spacing w:val="0"/>
          <w:kern w:val="0"/>
          <w:sz w:val="32"/>
          <w:szCs w:val="32"/>
          <w:shd w:val="clear" w:color="auto" w:fill="FFFFFF"/>
          <w:lang w:val="zh-CN" w:eastAsia="zh-CN"/>
        </w:rPr>
        <w:t>（三）改进建议</w:t>
      </w:r>
    </w:p>
    <w:p w14:paraId="08AC52D9">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1.</w:t>
      </w:r>
      <w:r>
        <w:rPr>
          <w:rFonts w:hint="default" w:ascii="仿宋_GB2312" w:hAnsi="Times New Roman" w:eastAsia="仿宋_GB2312" w:cs="仿宋_GB2312"/>
          <w:color w:val="auto"/>
          <w:sz w:val="32"/>
          <w:szCs w:val="32"/>
          <w:highlight w:val="none"/>
          <w:shd w:val="clear" w:color="auto" w:fill="auto"/>
          <w:lang w:val="zh-CN" w:eastAsia="zh-CN"/>
        </w:rPr>
        <w:t>明确</w:t>
      </w:r>
      <w:r>
        <w:rPr>
          <w:rFonts w:hint="default" w:ascii="仿宋_GB2312" w:hAnsi="Times New Roman" w:eastAsia="仿宋_GB2312" w:cs="仿宋_GB2312"/>
          <w:color w:val="auto"/>
          <w:sz w:val="32"/>
          <w:szCs w:val="32"/>
          <w:highlight w:val="none"/>
          <w:shd w:val="clear" w:color="auto" w:fill="auto"/>
          <w:lang w:val="en-US" w:eastAsia="zh-CN"/>
        </w:rPr>
        <w:t>绩效</w:t>
      </w:r>
      <w:r>
        <w:rPr>
          <w:rFonts w:hint="default" w:ascii="仿宋_GB2312" w:hAnsi="Times New Roman" w:eastAsia="仿宋_GB2312" w:cs="仿宋_GB2312"/>
          <w:color w:val="auto"/>
          <w:sz w:val="32"/>
          <w:szCs w:val="32"/>
          <w:highlight w:val="none"/>
          <w:shd w:val="clear" w:color="auto" w:fill="auto"/>
          <w:lang w:val="zh-CN" w:eastAsia="zh-CN"/>
        </w:rPr>
        <w:t>指标，定期评估和调整。制定清晰、具体、可衡量的绩效目标。确保每个项目都有明确的指标，并且这些指标能够反映项目的关键绩效领域。定期对绩效目标和指标进行评估，确保它们仍然相关和有效。根据评估结果进行必要的调整，以确保绩效目标和指标始终符合</w:t>
      </w:r>
      <w:r>
        <w:rPr>
          <w:rFonts w:hint="default" w:ascii="仿宋_GB2312" w:hAnsi="Times New Roman" w:eastAsia="仿宋_GB2312" w:cs="仿宋_GB2312"/>
          <w:color w:val="auto"/>
          <w:sz w:val="32"/>
          <w:szCs w:val="32"/>
          <w:highlight w:val="none"/>
          <w:shd w:val="clear" w:color="auto" w:fill="auto"/>
          <w:lang w:val="en-US" w:eastAsia="zh-CN"/>
        </w:rPr>
        <w:t>项目</w:t>
      </w:r>
      <w:r>
        <w:rPr>
          <w:rFonts w:hint="default" w:ascii="仿宋_GB2312" w:hAnsi="Times New Roman" w:eastAsia="仿宋_GB2312" w:cs="仿宋_GB2312"/>
          <w:color w:val="auto"/>
          <w:sz w:val="32"/>
          <w:szCs w:val="32"/>
          <w:highlight w:val="none"/>
          <w:shd w:val="clear" w:color="auto" w:fill="auto"/>
          <w:lang w:val="zh-CN" w:eastAsia="zh-CN"/>
        </w:rPr>
        <w:t>的</w:t>
      </w:r>
      <w:r>
        <w:rPr>
          <w:rFonts w:hint="default" w:ascii="仿宋_GB2312" w:hAnsi="Times New Roman" w:eastAsia="仿宋_GB2312" w:cs="仿宋_GB2312"/>
          <w:color w:val="auto"/>
          <w:sz w:val="32"/>
          <w:szCs w:val="32"/>
          <w:highlight w:val="none"/>
          <w:shd w:val="clear" w:color="auto" w:fill="auto"/>
          <w:lang w:val="en-US" w:eastAsia="zh-CN"/>
        </w:rPr>
        <w:t>年度</w:t>
      </w:r>
      <w:r>
        <w:rPr>
          <w:rFonts w:hint="default" w:ascii="仿宋_GB2312" w:hAnsi="Times New Roman" w:eastAsia="仿宋_GB2312" w:cs="仿宋_GB2312"/>
          <w:color w:val="auto"/>
          <w:sz w:val="32"/>
          <w:szCs w:val="32"/>
          <w:highlight w:val="none"/>
          <w:shd w:val="clear" w:color="auto" w:fill="auto"/>
          <w:lang w:val="zh-CN" w:eastAsia="zh-CN"/>
        </w:rPr>
        <w:t>目标。</w:t>
      </w:r>
    </w:p>
    <w:p w14:paraId="93D2E9E6">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2.</w:t>
      </w:r>
      <w:r>
        <w:rPr>
          <w:rFonts w:hint="default" w:ascii="仿宋_GB2312" w:hAnsi="Times New Roman" w:eastAsia="仿宋_GB2312" w:cs="仿宋_GB2312"/>
          <w:color w:val="auto"/>
          <w:sz w:val="32"/>
          <w:szCs w:val="32"/>
          <w:highlight w:val="none"/>
          <w:shd w:val="clear" w:color="auto" w:fill="auto"/>
          <w:lang w:val="zh-CN" w:eastAsia="zh-CN"/>
        </w:rPr>
        <w:t>完善内控制度，明确责任划分。</w:t>
      </w:r>
      <w:r>
        <w:rPr>
          <w:rFonts w:hint="default" w:ascii="仿宋_GB2312" w:hAnsi="Times New Roman" w:eastAsia="仿宋_GB2312" w:cs="仿宋_GB2312"/>
          <w:color w:val="auto"/>
          <w:sz w:val="32"/>
          <w:szCs w:val="32"/>
          <w:highlight w:val="none"/>
          <w:shd w:val="clear" w:color="auto" w:fill="auto"/>
          <w:lang w:val="en-US" w:eastAsia="zh-CN"/>
        </w:rPr>
        <w:t>自查</w:t>
      </w:r>
      <w:r>
        <w:rPr>
          <w:rFonts w:hint="default" w:ascii="仿宋_GB2312" w:hAnsi="Times New Roman" w:eastAsia="仿宋_GB2312" w:cs="仿宋_GB2312"/>
          <w:color w:val="auto"/>
          <w:sz w:val="32"/>
          <w:szCs w:val="32"/>
          <w:highlight w:val="none"/>
          <w:shd w:val="clear" w:color="auto" w:fill="auto"/>
          <w:lang w:val="zh-CN" w:eastAsia="zh-CN"/>
        </w:rPr>
        <w:t>现有的内控制度，识别其中的不足，并进行必要的改进。确保内控制度覆盖所有关键业务流程和风险领域。明确每</w:t>
      </w:r>
      <w:r>
        <w:rPr>
          <w:rFonts w:hint="default" w:ascii="仿宋_GB2312" w:hAnsi="Times New Roman" w:eastAsia="仿宋_GB2312" w:cs="仿宋_GB2312"/>
          <w:color w:val="auto"/>
          <w:sz w:val="32"/>
          <w:szCs w:val="32"/>
          <w:highlight w:val="none"/>
          <w:shd w:val="clear" w:color="auto" w:fill="auto"/>
          <w:lang w:val="en-US" w:eastAsia="zh-CN"/>
        </w:rPr>
        <w:t>位干部</w:t>
      </w:r>
      <w:r>
        <w:rPr>
          <w:rFonts w:hint="default" w:ascii="仿宋_GB2312" w:hAnsi="Times New Roman" w:eastAsia="仿宋_GB2312" w:cs="仿宋_GB2312"/>
          <w:color w:val="auto"/>
          <w:sz w:val="32"/>
          <w:szCs w:val="32"/>
          <w:highlight w:val="none"/>
          <w:shd w:val="clear" w:color="auto" w:fill="auto"/>
          <w:lang w:val="zh-CN" w:eastAsia="zh-CN"/>
        </w:rPr>
        <w:t>和部门在内控体系中的角色和责任。确保每个人都清楚自己的职责，并对其负责的领域有充分的了解。</w:t>
      </w:r>
    </w:p>
    <w:p w14:paraId="123FADB7">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en-US" w:eastAsia="zh-CN"/>
        </w:rPr>
      </w:pPr>
      <w:r>
        <w:rPr>
          <w:rFonts w:hint="default" w:ascii="仿宋_GB2312" w:hAnsi="Times New Roman" w:eastAsia="仿宋_GB2312" w:cs="仿宋_GB2312"/>
          <w:color w:val="auto"/>
          <w:sz w:val="32"/>
          <w:szCs w:val="32"/>
          <w:highlight w:val="none"/>
          <w:shd w:val="clear" w:color="auto" w:fill="auto"/>
          <w:lang w:val="en-US" w:eastAsia="zh-CN"/>
        </w:rPr>
        <w:t>3.</w:t>
      </w:r>
      <w:r>
        <w:rPr>
          <w:rFonts w:hint="default" w:ascii="仿宋_GB2312" w:hAnsi="Times New Roman" w:eastAsia="仿宋_GB2312" w:cs="仿宋_GB2312"/>
          <w:color w:val="auto"/>
          <w:sz w:val="32"/>
          <w:szCs w:val="32"/>
          <w:highlight w:val="none"/>
          <w:shd w:val="clear" w:color="auto" w:fill="auto"/>
          <w:lang w:val="zh-CN" w:eastAsia="zh-CN"/>
        </w:rPr>
        <w:t>同步公开信息，提高信息透明度。确保项目绩效信息的公开与预算和决算信息的公开同步进行。提高信息的透明度和可访问性。确保利益相关者都能够方便地获取和理解这些信息。</w:t>
      </w:r>
    </w:p>
    <w:p w14:paraId="7DB31CA8">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eastAsia="zh-CN"/>
        </w:rPr>
      </w:pPr>
      <w:r>
        <w:rPr>
          <w:rFonts w:hint="default" w:ascii="仿宋_GB2312" w:hAnsi="Times New Roman" w:eastAsia="仿宋_GB2312" w:cs="仿宋_GB2312"/>
          <w:color w:val="auto"/>
          <w:sz w:val="32"/>
          <w:szCs w:val="32"/>
          <w:highlight w:val="none"/>
          <w:shd w:val="clear" w:color="auto" w:fill="auto"/>
          <w:lang w:val="en-US" w:eastAsia="zh-CN"/>
        </w:rPr>
        <w:t>4.</w:t>
      </w:r>
      <w:r>
        <w:rPr>
          <w:rFonts w:hint="default" w:ascii="仿宋_GB2312" w:hAnsi="Times New Roman" w:eastAsia="仿宋_GB2312" w:cs="仿宋_GB2312"/>
          <w:color w:val="auto"/>
          <w:sz w:val="32"/>
          <w:szCs w:val="32"/>
          <w:highlight w:val="none"/>
          <w:shd w:val="clear" w:color="auto" w:fill="auto"/>
          <w:lang w:val="zh-CN" w:eastAsia="zh-CN"/>
        </w:rPr>
        <w:t>不断加强《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14:paraId="472BC3B9">
      <w:pPr>
        <w:shd w:val="clear" w:color="auto" w:fill="auto"/>
        <w:spacing w:line="580" w:lineRule="exact"/>
        <w:ind w:firstLine="640" w:firstLineChars="200"/>
        <w:rPr>
          <w:rFonts w:hint="eastAsia" w:ascii="仿宋_GB2312" w:hAnsi="Times New Roman" w:eastAsia="仿宋_GB2312" w:cs="仿宋_GB2312"/>
          <w:color w:val="auto"/>
          <w:sz w:val="32"/>
          <w:szCs w:val="32"/>
          <w:highlight w:val="none"/>
          <w:shd w:val="clear" w:color="auto" w:fill="auto"/>
          <w:lang w:val="zh-CN" w:eastAsia="zh-CN"/>
        </w:rPr>
        <w:sectPr>
          <w:pgSz w:w="11906" w:h="16838"/>
          <w:pgMar w:top="1440" w:right="1800" w:bottom="1440" w:left="1800" w:header="851" w:footer="992" w:gutter="0"/>
          <w:pgNumType w:fmt="decimal"/>
          <w:cols w:space="720" w:num="1"/>
          <w:docGrid w:type="lines" w:linePitch="312" w:charSpace="0"/>
        </w:sectPr>
      </w:pPr>
    </w:p>
    <w:p w14:paraId="1FDE152B">
      <w:pPr>
        <w:spacing w:line="580" w:lineRule="exact"/>
        <w:rPr>
          <w:rFonts w:ascii="仿宋_GB2312" w:eastAsia="仿宋_GB2312" w:cs="仿宋_GB2312"/>
          <w:color w:val="000000"/>
          <w:sz w:val="32"/>
          <w:szCs w:val="32"/>
        </w:rPr>
      </w:pPr>
      <w:r>
        <w:rPr>
          <w:rFonts w:hint="eastAsia" w:ascii="黑体" w:eastAsia="黑体" w:cs="黑体"/>
          <w:color w:val="000000"/>
          <w:sz w:val="32"/>
          <w:szCs w:val="32"/>
        </w:rPr>
        <w:t>附件2</w:t>
      </w:r>
    </w:p>
    <w:p w14:paraId="7D34C1DA">
      <w:pPr>
        <w:spacing w:line="580" w:lineRule="exact"/>
        <w:ind w:firstLine="640" w:firstLineChars="200"/>
        <w:rPr>
          <w:rFonts w:ascii="仿宋_GB2312" w:eastAsia="仿宋_GB2312" w:cs="仿宋_GB2312"/>
          <w:color w:val="000000"/>
          <w:sz w:val="32"/>
          <w:szCs w:val="32"/>
        </w:rPr>
      </w:pPr>
    </w:p>
    <w:p w14:paraId="B8F19E68">
      <w:pPr>
        <w:widowControl/>
        <w:adjustRightInd w:val="0"/>
        <w:snapToGrid w:val="0"/>
        <w:spacing w:line="560" w:lineRule="exact"/>
        <w:ind w:firstLine="880" w:firstLineChars="200"/>
        <w:jc w:val="center"/>
        <w:rPr>
          <w:rFonts w:hint="eastAsia" w:ascii="黑体" w:hAnsi="黑体" w:eastAsia="黑体" w:cs="黑体"/>
          <w:color w:val="000000"/>
          <w:sz w:val="44"/>
          <w:szCs w:val="44"/>
          <w:lang w:val="zh-CN" w:eastAsia="zh-CN"/>
        </w:rPr>
      </w:pPr>
      <w:r>
        <w:rPr>
          <w:rFonts w:hint="eastAsia" w:ascii="黑体" w:hAnsi="黑体" w:eastAsia="黑体" w:cs="黑体"/>
          <w:color w:val="000000"/>
          <w:sz w:val="44"/>
          <w:szCs w:val="44"/>
          <w:lang w:val="en-US" w:eastAsia="zh-CN"/>
        </w:rPr>
        <w:t>安曲镇</w:t>
      </w:r>
      <w:r>
        <w:rPr>
          <w:rFonts w:hint="eastAsia" w:ascii="黑体" w:hAnsi="黑体" w:eastAsia="黑体" w:cs="黑体"/>
          <w:color w:val="000000"/>
          <w:sz w:val="44"/>
          <w:szCs w:val="44"/>
          <w:lang w:val="zh-CN" w:eastAsia="zh-CN"/>
        </w:rPr>
        <w:t>项目</w:t>
      </w:r>
      <w:r>
        <w:rPr>
          <w:rFonts w:hint="eastAsia" w:ascii="黑体" w:hAnsi="黑体" w:eastAsia="黑体" w:cs="黑体"/>
          <w:color w:val="000000"/>
          <w:sz w:val="44"/>
          <w:szCs w:val="44"/>
          <w:lang w:val="en-US" w:eastAsia="zh-CN"/>
        </w:rPr>
        <w:t>202</w:t>
      </w:r>
      <w:r>
        <w:rPr>
          <w:rFonts w:hint="default" w:ascii="黑体" w:hAnsi="黑体" w:eastAsia="黑体" w:cs="黑体"/>
          <w:color w:val="000000"/>
          <w:sz w:val="44"/>
          <w:szCs w:val="44"/>
          <w:lang w:val="en-US" w:eastAsia="zh-CN"/>
        </w:rPr>
        <w:t>4</w:t>
      </w:r>
      <w:r>
        <w:rPr>
          <w:rFonts w:hint="eastAsia" w:ascii="黑体" w:hAnsi="黑体" w:eastAsia="黑体" w:cs="黑体"/>
          <w:color w:val="000000"/>
          <w:sz w:val="44"/>
          <w:szCs w:val="44"/>
          <w:lang w:val="en-US" w:eastAsia="zh-CN"/>
        </w:rPr>
        <w:t>年</w:t>
      </w:r>
      <w:r>
        <w:rPr>
          <w:rFonts w:hint="eastAsia" w:ascii="黑体" w:hAnsi="黑体" w:eastAsia="黑体" w:cs="黑体"/>
          <w:color w:val="000000"/>
          <w:sz w:val="44"/>
          <w:szCs w:val="44"/>
          <w:lang w:val="zh-CN" w:eastAsia="zh-CN"/>
        </w:rPr>
        <w:t>绩效评价报告</w:t>
      </w:r>
    </w:p>
    <w:p w14:paraId="ED2EB037">
      <w:pPr>
        <w:spacing w:line="600" w:lineRule="exact"/>
        <w:rPr>
          <w:rFonts w:ascii="宋体"/>
          <w:color w:val="000000"/>
          <w:sz w:val="32"/>
          <w:szCs w:val="32"/>
          <w:highlight w:val="yellow"/>
          <w:lang w:val="zh-CN"/>
        </w:rPr>
      </w:pPr>
    </w:p>
    <w:p w14:paraId="E1040197">
      <w:pPr>
        <w:widowControl/>
        <w:adjustRightInd w:val="0"/>
        <w:snapToGrid w:val="0"/>
        <w:spacing w:line="560" w:lineRule="exact"/>
        <w:ind w:firstLine="640" w:firstLineChars="200"/>
        <w:jc w:val="left"/>
        <w:rPr>
          <w:rFonts w:hint="eastAsia" w:ascii="仿宋_GB2312" w:eastAsia="仿宋_GB2312"/>
          <w:color w:val="000000"/>
          <w:sz w:val="32"/>
          <w:szCs w:val="32"/>
          <w:lang w:val="zh-CN" w:eastAsia="zh-CN"/>
        </w:rPr>
      </w:pPr>
      <w:r>
        <w:rPr>
          <w:rFonts w:hint="eastAsia" w:ascii="仿宋_GB2312" w:eastAsia="仿宋_GB2312"/>
          <w:color w:val="000000"/>
          <w:sz w:val="32"/>
          <w:szCs w:val="32"/>
          <w:lang w:val="zh-CN" w:eastAsia="zh-CN"/>
        </w:rPr>
        <w:t>一、基本情况</w:t>
      </w:r>
    </w:p>
    <w:p w14:paraId="84B975F9">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一、基本情况</w:t>
      </w:r>
    </w:p>
    <w:p w14:paraId="5542116B">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安曲镇2024年共计实施财政衔接推进乡村振兴资金绩效评价项目5个，共计291.56万元。</w:t>
      </w:r>
    </w:p>
    <w:p w14:paraId="B67B9F71">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项目总体概况。</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2024年实施所有项目均于2023年申报，建设建设项目分别为：</w:t>
      </w:r>
      <w:r>
        <w:rPr>
          <w:rFonts w:hint="default" w:ascii="仿宋_GB2312" w:hAnsi="Times New Roman" w:eastAsia="仿宋_GB2312" w:cs="仿宋_GB2312"/>
          <w:b w:val="0"/>
          <w:bCs w:val="0"/>
          <w:i w:val="0"/>
          <w:iCs w:val="0"/>
          <w:color w:val="auto"/>
          <w:w w:val="100"/>
          <w:kern w:val="2"/>
          <w:sz w:val="32"/>
          <w:szCs w:val="32"/>
          <w:highlight w:val="none"/>
          <w:shd w:val="clear" w:color="FFFFFF" w:fill="auto"/>
          <w:vertAlign w:val="baseline"/>
          <w:lang w:val="en-US" w:eastAsia="zh-CN" w:bidi="ar-SA"/>
        </w:rPr>
        <w:t>2023</w:t>
      </w:r>
      <w:r>
        <w:rPr>
          <w:rFonts w:hint="default" w:ascii="仿宋_GB2312" w:hAnsi="Times New Roman" w:eastAsia="仿宋_GB2312" w:cs="仿宋_GB2312"/>
          <w:b w:val="0"/>
          <w:bCs w:val="0"/>
          <w:i w:val="0"/>
          <w:iCs w:val="0"/>
          <w:color w:val="auto"/>
          <w:kern w:val="2"/>
          <w:sz w:val="32"/>
          <w:szCs w:val="32"/>
          <w:highlight w:val="none"/>
          <w:shd w:val="clear" w:color="FFFFFF" w:fill="auto"/>
          <w:vertAlign w:val="baseline"/>
          <w:lang w:val="en-US" w:eastAsia="zh-CN" w:bidi="ar-SA"/>
        </w:rPr>
        <w:t>年安曲镇村内道路补短项目，安曲镇2024年脱贫户（监测户）产业到户补助项目，安曲镇生产性便道维修项目，红原县过境路沿线网围栏提升改造项目（一期）安曲镇段项目，2024年村级运行维护费项目，</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所有</w:t>
      </w: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项目符合资金管理办法等相关规定。</w:t>
      </w:r>
    </w:p>
    <w:p w14:paraId="B779E018">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（二）项目建设工期。该项目实施年限：2024年1月—2024年10月。</w:t>
      </w:r>
    </w:p>
    <w:p w14:paraId="ADE01E76">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（三）项目进度。所有项目严格按照规定时间内完成，均在当年竣工。</w:t>
      </w:r>
    </w:p>
    <w:p w14:paraId="12214DCB">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（四）项目资金申报相符性。</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建设项目</w:t>
      </w: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申报内容与具体实施内容相符，申报目标是</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从广大群众最关心、最切实的利益出发，着力解决影响群众发展的瓶颈因素，力争通过项目实施增加群众畜牧业发展的经济收入。</w:t>
      </w:r>
    </w:p>
    <w:p w14:paraId="577F14CF">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五）项目绩效目标。近年来，中央、省、州、县委、政府高度重视畜牧业发展，制定了一系列扶持畜牧业发展的政策及优惠措施。红原县被列为国家草原保护建设科技综合示范区、四川省牧区现代畜牧业试点县和草原生态县建设的历史机遇，大力推进现代畜牧业试点，促进传统畜牧业向现代畜牧业转变，提高畜牧业生产力发展水平，安曲镇哈拉玛村和夺龙村牧业生产点河沟支流通过性亟待改善，牧民群众生产出行和转场受到影响，</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力争通过实施</w:t>
      </w: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板函桥建设项目</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，为哈拉玛村和夺龙村</w:t>
      </w: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牧民群众生产出行和转场越冬发挥极大作用。同时，</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项目的实施为牧民增收，牧业增效提供基础保障，为巩固脱贫攻坚成果向乡村振兴有效衔接奠定了坚实基础。</w:t>
      </w:r>
    </w:p>
    <w:p w14:paraId="32611AD0">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二、项目支出及管理情况</w:t>
      </w:r>
    </w:p>
    <w:p w14:paraId="2281014D">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（一）资金计使用情况。</w:t>
      </w:r>
    </w:p>
    <w:p w14:paraId="9DA6FBFB">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1、资金预算安排。</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项目预算总投资，</w:t>
      </w: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资金到位率满足前期申报标准，到位及时。</w:t>
      </w:r>
    </w:p>
    <w:p w14:paraId="50B88C86">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2、资金使用情况。所有项目总投资</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291.56万元，严格按照项目程序使用及拨付资金，</w:t>
      </w: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按照政府主导、群众主体“一事一议”的原则，对群众能自建的内容实行自建，对群众无力建设的内容按照项目实施程序采取竞价、比选等招投标方式聘请有资质的施工单位进行建设。通过项目评审、招标程序当年</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完成项目建设并验收合格。</w:t>
      </w:r>
    </w:p>
    <w:p w14:paraId="0D3E993A">
      <w:pPr>
        <w:widowControl/>
        <w:adjustRightInd w:val="0"/>
        <w:snapToGrid w:val="0"/>
        <w:spacing w:line="560" w:lineRule="exact"/>
        <w:ind w:firstLine="640" w:firstLineChars="200"/>
        <w:jc w:val="left"/>
      </w:pP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3.资金支出情况。</w:t>
      </w:r>
      <w:r>
        <w:rPr>
          <w:rFonts w:hint="default" w:ascii="仿宋_GB2312" w:hAnsi="Times New Roman" w:eastAsia="仿宋_GB2312" w:cs="Times New Roman"/>
          <w:b w:val="0"/>
          <w:bCs w:val="0"/>
          <w:i w:val="0"/>
          <w:iCs w:val="0"/>
          <w:color w:val="000000"/>
          <w:kern w:val="2"/>
          <w:sz w:val="32"/>
          <w:szCs w:val="32"/>
          <w:highlight w:val="none"/>
          <w:vertAlign w:val="baseline"/>
          <w:lang w:val="zh-CN" w:eastAsia="zh-CN" w:bidi="ar-SA"/>
        </w:rPr>
        <w:t>（1）</w:t>
      </w:r>
      <w:r>
        <w:rPr>
          <w:rFonts w:hint="default" w:ascii="仿宋_GB2312" w:hAnsi="Times New Roman" w:eastAsia="仿宋_GB2312" w:cs="Times New Roman"/>
          <w:b w:val="0"/>
          <w:bCs w:val="0"/>
          <w:i w:val="0"/>
          <w:iCs w:val="0"/>
          <w:color w:val="000000"/>
          <w:kern w:val="2"/>
          <w:sz w:val="32"/>
          <w:szCs w:val="32"/>
          <w:highlight w:val="none"/>
          <w:vertAlign w:val="baseline"/>
          <w:lang w:val="en-US" w:eastAsia="zh-CN" w:bidi="ar-SA"/>
        </w:rPr>
        <w:t>红</w:t>
      </w:r>
      <w:r>
        <w:rPr>
          <w:rFonts w:hint="default" w:ascii="仿宋_GB2312" w:hAnsi="Times New Roman" w:eastAsia="仿宋_GB2312" w:cs="仿宋_GB2312"/>
          <w:b w:val="0"/>
          <w:bCs w:val="0"/>
          <w:i w:val="0"/>
          <w:iCs w:val="0"/>
          <w:color w:val="000000"/>
          <w:w w:val="100"/>
          <w:kern w:val="2"/>
          <w:sz w:val="32"/>
          <w:szCs w:val="32"/>
          <w:highlight w:val="none"/>
          <w:shd w:val="clear" w:color="FFFFFF" w:fill="auto"/>
          <w:vertAlign w:val="baseline"/>
          <w:lang w:val="en-US" w:eastAsia="zh-CN" w:bidi="ar-SA"/>
        </w:rPr>
        <w:t>2023</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年安曲镇村内道路补短项目</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，全年预算数92万元，执行数为92万元，完成预算的100%。项目实施后将提升该村集体经济产业发展和村内基础设施建设，从而保障广大牧民群众生产生活质量。</w:t>
      </w:r>
    </w:p>
    <w:p w14:paraId="B5C6DD05">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（2）</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安曲镇2024年脱贫户（监测户）产业到户补助项目</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，绩效目标完成情况综述。项目全年预算数28.8万元，执行数为2838万元，完成预算的100%。通过项目实施极大提升全镇</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脱贫户（监测户）的收入</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，从而使</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脱贫户（监测户）</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生产生活得到保障。</w:t>
      </w:r>
    </w:p>
    <w:p w14:paraId="A3059DD4">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（3）</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安曲镇生产性便道维修项目</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，项目全年预算数30万元，执行数为30万元，完成预算的100%。通过项目实施对各村牧道交通条件进行维修，极大方便牧民出行。</w:t>
      </w:r>
    </w:p>
    <w:p w14:paraId="D6DED668">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（4）</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红原县过境路沿线网围栏提升改造项目（一期）安曲镇段项目</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，项目全年预算数95.76万元，执行数为92.8872万元，完成预算的97%。通过项目实施对辖区国道沿线网围栏提升改造，使公路沿线整体形象得到提升。</w:t>
      </w:r>
    </w:p>
    <w:p w14:paraId="79178CB8">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（5）2024年村级运行维护费项目，项目全年预算数45万元，执行数为45万元，完成预算的100%。通过项目实</w:t>
      </w: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施对各村牧道交通条件进行维护，极大方便牧民出行。</w:t>
      </w:r>
    </w:p>
    <w:p w14:paraId="13847558">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二）项目财务管理情况。项目实施后，我镇严格按照财务管理制度进行工程款的拨付，由我镇分管副镇长负责，财务所具体经办并成立安曲镇工程项目财务监督小组，由镇党委书记为组长，人大主席、镇纪委书记为副组长，定期对会计核算及账务处理相关情况进行监督和督促指导。严格按照项目资金管理办法，依据财务管理制度，及时处理日常财务拨付及会计核算工作，并做好规范入账等工作。</w:t>
      </w:r>
    </w:p>
    <w:p w14:paraId="B7ED429C">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（三）项目组织实施情况。一是我镇实施该项目前充分征求村两委的诉求，根据实际情况制定实施方案，报项目主管部门审核通过立项后，编制项目预算送县级专业部门评审，</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通过项目招标控制价及招标程序</w:t>
      </w: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方式确定施工。二是针对项目成立项目实施小组、监督小组、财务监管小组，保证项目在实施过程中阳光运行，及时对所实施实的项目进行公示公告，并邀请村监督委员会成员参与监督建设，从而保证了项目的质量和进度。</w:t>
      </w:r>
    </w:p>
    <w:p w14:paraId="D010488F">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三、项目绩效情况</w:t>
      </w:r>
      <w:r>
        <w:tab/>
      </w:r>
    </w:p>
    <w:p w14:paraId="06C1DAD9">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（一）项目完成情况。</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通过</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安曲镇生产性便道维修项目</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的实施，为村牧民生产生活，草原火灾防范，安全生产等方面起到了重要的作用。</w:t>
      </w:r>
    </w:p>
    <w:p w14:paraId="F00C2CB4">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（二）项目效益情况。</w:t>
      </w:r>
      <w:r>
        <w:rPr>
          <w:rFonts w:hint="default" w:ascii="仿宋_GB2312" w:hAnsi="Times New Roman" w:eastAsia="仿宋_GB2312" w:cs="仿宋_GB2312"/>
          <w:b w:val="0"/>
          <w:bCs w:val="0"/>
          <w:i w:val="0"/>
          <w:iCs w:val="0"/>
          <w:color w:val="000000"/>
          <w:kern w:val="2"/>
          <w:sz w:val="32"/>
          <w:szCs w:val="32"/>
          <w:highlight w:val="none"/>
          <w:shd w:val="clear" w:color="FFFFFF" w:fill="auto"/>
          <w:vertAlign w:val="baseline"/>
          <w:lang w:val="en-US" w:eastAsia="zh-CN" w:bidi="ar-SA"/>
        </w:rPr>
        <w:t>安曲镇2024年脱贫户（监测户）产业到户补助项目</w:t>
      </w: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，为牧民增收，牧业增效提供基础保障，为巩固脱贫攻坚成果向乡村振兴有效衔接奠定了坚实基础。</w:t>
      </w:r>
    </w:p>
    <w:p w14:paraId="608F09B3">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en-US" w:eastAsia="zh-CN" w:bidi="ar-SA"/>
        </w:rPr>
        <w:t>五、评价结论及建议</w:t>
      </w:r>
    </w:p>
    <w:p w14:paraId="D09C14E9">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（一）评价结论。</w:t>
      </w:r>
    </w:p>
    <w:p w14:paraId="744F4E75">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结合项目自身特点、评价重点及管理办法等要求，围绕专项项目支出绩效评价指标体系对项目进行总体评价。</w:t>
      </w:r>
    </w:p>
    <w:p w14:paraId="5632FF79">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（二）存在的问题。</w:t>
      </w:r>
    </w:p>
    <w:p w14:paraId="441D8ECF">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项目建成后，后期维护不到位。</w:t>
      </w:r>
      <w:r>
        <w:tab/>
      </w:r>
    </w:p>
    <w:p w14:paraId="DC0032BC">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（三）相关建议。</w:t>
      </w:r>
    </w:p>
    <w:p w14:paraId="262BBDA0">
      <w:pPr>
        <w:adjustRightInd/>
        <w:snapToGrid/>
        <w:spacing w:line="560" w:lineRule="exact"/>
        <w:ind w:firstLine="640" w:firstLineChars="200"/>
        <w:jc w:val="both"/>
      </w:pPr>
      <w:r>
        <w:rPr>
          <w:rFonts w:hint="default" w:ascii="仿宋_GB2312" w:hAnsi="仿宋_GB2312" w:eastAsia="仿宋_GB2312" w:cs="Times New Roman"/>
          <w:b w:val="0"/>
          <w:bCs w:val="0"/>
          <w:i w:val="0"/>
          <w:iCs w:val="0"/>
          <w:color w:val="auto"/>
          <w:kern w:val="2"/>
          <w:sz w:val="32"/>
          <w:szCs w:val="32"/>
          <w:highlight w:val="none"/>
          <w:vertAlign w:val="baseline"/>
          <w:lang w:val="zh-CN" w:eastAsia="zh-CN" w:bidi="ar-SA"/>
        </w:rPr>
        <w:t>建议上级部门拨付后期专项维护费用。</w:t>
      </w:r>
    </w:p>
    <w:p w14:paraId="FA62F946">
      <w:pPr>
        <w:pStyle w:val="16"/>
      </w:pPr>
    </w:p>
    <w:p w14:paraId="4C5BE3C7">
      <w:pPr>
        <w:spacing w:line="580" w:lineRule="exact"/>
        <w:rPr>
          <w:rFonts w:ascii="仿宋_GB2312" w:eastAsia="仿宋_GB2312" w:cs="仿宋_GB2312"/>
          <w:color w:val="000000"/>
          <w:sz w:val="32"/>
          <w:szCs w:val="32"/>
        </w:rPr>
      </w:pPr>
    </w:p>
    <w:p w14:paraId="03A7B9D7">
      <w:pPr>
        <w:pStyle w:val="16"/>
        <w:rPr>
          <w:rFonts w:ascii="仿宋_GB2312" w:eastAsia="仿宋_GB2312" w:cs="仿宋_GB2312"/>
          <w:color w:val="000000"/>
          <w:sz w:val="32"/>
          <w:szCs w:val="32"/>
        </w:rPr>
        <w:sectPr>
          <w:pgSz w:w="11906" w:h="16838"/>
          <w:pgMar w:top="1440" w:right="1800" w:bottom="1440" w:left="1800" w:header="851" w:footer="992" w:gutter="0"/>
          <w:pgNumType w:fmt="decimal"/>
          <w:cols w:space="720" w:num="1"/>
          <w:docGrid w:type="lines" w:linePitch="312" w:charSpace="0"/>
        </w:sectPr>
      </w:pPr>
    </w:p>
    <w:p w14:paraId="B0055B1E">
      <w:pPr>
        <w:spacing w:line="600" w:lineRule="exact"/>
        <w:jc w:val="center"/>
        <w:outlineLvl w:val="0"/>
        <w:rPr>
          <w:rStyle w:val="23"/>
          <w:rFonts w:ascii="黑体" w:eastAsia="黑体"/>
          <w:b w:val="0"/>
          <w:color w:val="000000"/>
        </w:rPr>
      </w:pPr>
      <w:bookmarkStart w:id="70" w:name="_Toc15396618"/>
      <w:r>
        <w:rPr>
          <w:rFonts w:hint="eastAsia" w:ascii="黑体" w:eastAsia="黑体"/>
          <w:color w:val="000000"/>
          <w:sz w:val="44"/>
          <w:szCs w:val="44"/>
        </w:rPr>
        <w:t>第</w:t>
      </w:r>
      <w:r>
        <w:rPr>
          <w:rStyle w:val="23"/>
          <w:rFonts w:hint="eastAsia" w:ascii="黑体" w:eastAsia="黑体"/>
          <w:b w:val="0"/>
          <w:color w:val="000000"/>
        </w:rPr>
        <w:t>五部分 附表</w:t>
      </w:r>
      <w:bookmarkEnd w:id="68"/>
      <w:bookmarkEnd w:id="70"/>
    </w:p>
    <w:p w14:paraId="67971F90">
      <w:pPr>
        <w:spacing w:line="600" w:lineRule="exact"/>
        <w:jc w:val="center"/>
        <w:outlineLvl w:val="0"/>
        <w:rPr>
          <w:rFonts w:ascii="仿宋" w:eastAsia="仿宋"/>
          <w:b/>
          <w:color w:val="000000"/>
          <w:sz w:val="44"/>
          <w:szCs w:val="44"/>
        </w:rPr>
      </w:pPr>
    </w:p>
    <w:p w14:paraId="2915F08F">
      <w:pPr>
        <w:pStyle w:val="4"/>
        <w:rPr>
          <w:rFonts w:ascii="仿宋" w:eastAsia="仿宋"/>
          <w:color w:val="000000"/>
        </w:rPr>
      </w:pPr>
      <w:bookmarkStart w:id="71" w:name="_Toc15396619"/>
      <w:r>
        <w:rPr>
          <w:rFonts w:hint="eastAsia" w:ascii="仿宋" w:eastAsia="仿宋"/>
          <w:b w:val="0"/>
          <w:color w:val="000000"/>
        </w:rPr>
        <w:t>一、收</w:t>
      </w:r>
      <w:r>
        <w:rPr>
          <w:rStyle w:val="24"/>
          <w:rFonts w:hint="eastAsia" w:ascii="仿宋" w:eastAsia="仿宋"/>
          <w:b w:val="0"/>
          <w:bCs w:val="0"/>
          <w:color w:val="000000"/>
        </w:rPr>
        <w:t>入支出决算总表</w:t>
      </w:r>
      <w:bookmarkEnd w:id="71"/>
    </w:p>
    <w:p w14:paraId="0316365B">
      <w:pPr>
        <w:pStyle w:val="4"/>
        <w:rPr>
          <w:rFonts w:ascii="仿宋" w:eastAsia="仿宋"/>
          <w:color w:val="000000"/>
        </w:rPr>
      </w:pPr>
      <w:bookmarkStart w:id="72" w:name="_Toc15396620"/>
      <w:r>
        <w:rPr>
          <w:rFonts w:hint="eastAsia" w:ascii="仿宋" w:eastAsia="仿宋"/>
          <w:b w:val="0"/>
          <w:color w:val="000000"/>
        </w:rPr>
        <w:t>二、收</w:t>
      </w:r>
      <w:r>
        <w:rPr>
          <w:rStyle w:val="24"/>
          <w:rFonts w:hint="eastAsia" w:ascii="仿宋" w:eastAsia="仿宋"/>
          <w:b w:val="0"/>
          <w:bCs w:val="0"/>
          <w:color w:val="000000"/>
        </w:rPr>
        <w:t>入决算表</w:t>
      </w:r>
      <w:bookmarkEnd w:id="72"/>
    </w:p>
    <w:p w14:paraId="5DA5F7EF">
      <w:pPr>
        <w:pStyle w:val="4"/>
        <w:rPr>
          <w:rFonts w:ascii="仿宋" w:eastAsia="仿宋"/>
          <w:color w:val="000000"/>
        </w:rPr>
      </w:pPr>
      <w:bookmarkStart w:id="73" w:name="_Toc15396621"/>
      <w:r>
        <w:rPr>
          <w:rStyle w:val="24"/>
          <w:rFonts w:hint="eastAsia" w:ascii="仿宋" w:eastAsia="仿宋"/>
          <w:b w:val="0"/>
          <w:bCs w:val="0"/>
          <w:color w:val="000000"/>
        </w:rPr>
        <w:t>三、</w:t>
      </w:r>
      <w:r>
        <w:rPr>
          <w:rFonts w:hint="eastAsia" w:ascii="仿宋" w:eastAsia="仿宋"/>
          <w:b w:val="0"/>
          <w:color w:val="000000"/>
        </w:rPr>
        <w:t>支</w:t>
      </w:r>
      <w:r>
        <w:rPr>
          <w:rStyle w:val="24"/>
          <w:rFonts w:hint="eastAsia" w:ascii="仿宋" w:eastAsia="仿宋"/>
          <w:b w:val="0"/>
          <w:bCs w:val="0"/>
          <w:color w:val="000000"/>
        </w:rPr>
        <w:t>出决算表</w:t>
      </w:r>
      <w:bookmarkEnd w:id="73"/>
    </w:p>
    <w:p w14:paraId="235CD9A7">
      <w:pPr>
        <w:pStyle w:val="4"/>
        <w:rPr>
          <w:rFonts w:ascii="仿宋" w:eastAsia="仿宋"/>
          <w:b w:val="0"/>
          <w:color w:val="000000"/>
        </w:rPr>
      </w:pPr>
      <w:bookmarkStart w:id="74" w:name="_Toc15396622"/>
      <w:r>
        <w:rPr>
          <w:rStyle w:val="24"/>
          <w:rFonts w:hint="eastAsia" w:ascii="仿宋" w:eastAsia="仿宋"/>
          <w:b w:val="0"/>
          <w:bCs w:val="0"/>
          <w:color w:val="000000"/>
        </w:rPr>
        <w:t>四、</w:t>
      </w:r>
      <w:r>
        <w:rPr>
          <w:rFonts w:hint="eastAsia" w:ascii="仿宋" w:eastAsia="仿宋"/>
          <w:b w:val="0"/>
          <w:color w:val="000000"/>
        </w:rPr>
        <w:t>财</w:t>
      </w:r>
      <w:r>
        <w:rPr>
          <w:rStyle w:val="24"/>
          <w:rFonts w:hint="eastAsia" w:ascii="仿宋" w:eastAsia="仿宋"/>
          <w:b w:val="0"/>
          <w:bCs w:val="0"/>
          <w:color w:val="000000"/>
        </w:rPr>
        <w:t>政拨款收入支出决算总表</w:t>
      </w:r>
      <w:bookmarkEnd w:id="74"/>
    </w:p>
    <w:p w14:paraId="D1B2376C">
      <w:pPr>
        <w:pStyle w:val="4"/>
        <w:rPr>
          <w:rStyle w:val="24"/>
          <w:rFonts w:ascii="仿宋" w:eastAsia="仿宋"/>
          <w:b w:val="0"/>
          <w:bCs w:val="0"/>
          <w:color w:val="000000"/>
        </w:rPr>
      </w:pPr>
      <w:bookmarkStart w:id="75" w:name="_Toc15396623"/>
      <w:r>
        <w:rPr>
          <w:rStyle w:val="24"/>
          <w:rFonts w:hint="eastAsia" w:ascii="仿宋" w:eastAsia="仿宋"/>
          <w:b w:val="0"/>
          <w:bCs w:val="0"/>
          <w:color w:val="000000"/>
        </w:rPr>
        <w:t>五、</w:t>
      </w:r>
      <w:r>
        <w:rPr>
          <w:rFonts w:hint="eastAsia" w:ascii="仿宋" w:eastAsia="仿宋"/>
          <w:b w:val="0"/>
          <w:color w:val="000000"/>
        </w:rPr>
        <w:t>财</w:t>
      </w:r>
      <w:r>
        <w:rPr>
          <w:rStyle w:val="24"/>
          <w:rFonts w:hint="eastAsia" w:ascii="仿宋" w:eastAsia="仿宋"/>
          <w:b w:val="0"/>
          <w:bCs w:val="0"/>
          <w:color w:val="000000"/>
        </w:rPr>
        <w:t>政拨款支出决算明细表</w:t>
      </w:r>
      <w:bookmarkEnd w:id="75"/>
      <w:bookmarkStart w:id="76" w:name="_Toc15396624"/>
    </w:p>
    <w:p w14:paraId="AE7430F8">
      <w:pPr>
        <w:pStyle w:val="4"/>
        <w:rPr>
          <w:rFonts w:ascii="仿宋" w:eastAsia="仿宋"/>
          <w:color w:val="000000"/>
        </w:rPr>
      </w:pPr>
      <w:r>
        <w:rPr>
          <w:rStyle w:val="24"/>
          <w:rFonts w:hint="eastAsia" w:ascii="仿宋" w:eastAsia="仿宋"/>
          <w:b w:val="0"/>
          <w:bCs w:val="0"/>
          <w:color w:val="000000"/>
        </w:rPr>
        <w:t>六、</w:t>
      </w:r>
      <w:r>
        <w:rPr>
          <w:rFonts w:hint="eastAsia" w:ascii="仿宋" w:eastAsia="仿宋"/>
          <w:b w:val="0"/>
          <w:color w:val="000000"/>
        </w:rPr>
        <w:t>一</w:t>
      </w:r>
      <w:r>
        <w:rPr>
          <w:rStyle w:val="24"/>
          <w:rFonts w:hint="eastAsia" w:ascii="仿宋" w:eastAsia="仿宋"/>
          <w:b w:val="0"/>
          <w:bCs w:val="0"/>
          <w:color w:val="000000"/>
        </w:rPr>
        <w:t>般公共预算财政拨款支出决算表</w:t>
      </w:r>
      <w:bookmarkEnd w:id="76"/>
    </w:p>
    <w:p w14:paraId="0280C581">
      <w:pPr>
        <w:pStyle w:val="4"/>
        <w:rPr>
          <w:rFonts w:ascii="仿宋" w:eastAsia="仿宋"/>
          <w:color w:val="000000"/>
        </w:rPr>
      </w:pPr>
      <w:bookmarkStart w:id="77" w:name="_Toc15396625"/>
      <w:r>
        <w:rPr>
          <w:rStyle w:val="24"/>
          <w:rFonts w:hint="eastAsia" w:ascii="仿宋" w:eastAsia="仿宋"/>
          <w:b w:val="0"/>
          <w:bCs w:val="0"/>
          <w:color w:val="000000"/>
        </w:rPr>
        <w:t>七、</w:t>
      </w:r>
      <w:r>
        <w:rPr>
          <w:rFonts w:hint="eastAsia" w:ascii="仿宋" w:eastAsia="仿宋"/>
          <w:b w:val="0"/>
          <w:color w:val="000000"/>
        </w:rPr>
        <w:t>一</w:t>
      </w:r>
      <w:r>
        <w:rPr>
          <w:rStyle w:val="24"/>
          <w:rFonts w:hint="eastAsia" w:ascii="仿宋" w:eastAsia="仿宋"/>
          <w:b w:val="0"/>
          <w:bCs w:val="0"/>
          <w:color w:val="000000"/>
        </w:rPr>
        <w:t>般公共预算财政拨款支出决算明细表</w:t>
      </w:r>
      <w:bookmarkEnd w:id="77"/>
    </w:p>
    <w:p w14:paraId="C5429C94">
      <w:pPr>
        <w:pStyle w:val="4"/>
        <w:rPr>
          <w:rFonts w:ascii="仿宋" w:eastAsia="仿宋"/>
          <w:color w:val="000000"/>
        </w:rPr>
      </w:pPr>
      <w:bookmarkStart w:id="78" w:name="_Toc15396626"/>
      <w:r>
        <w:rPr>
          <w:rStyle w:val="24"/>
          <w:rFonts w:hint="eastAsia" w:ascii="仿宋" w:eastAsia="仿宋"/>
          <w:b w:val="0"/>
          <w:bCs w:val="0"/>
          <w:color w:val="000000"/>
        </w:rPr>
        <w:t>八、</w:t>
      </w:r>
      <w:bookmarkEnd w:id="78"/>
      <w:r>
        <w:rPr>
          <w:rStyle w:val="24"/>
          <w:rFonts w:hint="eastAsia" w:ascii="仿宋" w:eastAsia="仿宋"/>
          <w:b w:val="0"/>
          <w:bCs w:val="0"/>
          <w:color w:val="000000"/>
        </w:rPr>
        <w:t>一般公共预算财政拨款基本支出决算明细</w:t>
      </w:r>
    </w:p>
    <w:p w14:paraId="9B71B0DF">
      <w:pPr>
        <w:pStyle w:val="4"/>
        <w:rPr>
          <w:rFonts w:ascii="仿宋" w:eastAsia="仿宋"/>
          <w:color w:val="000000"/>
        </w:rPr>
      </w:pPr>
      <w:bookmarkStart w:id="79" w:name="_Toc15396627"/>
      <w:r>
        <w:rPr>
          <w:rStyle w:val="24"/>
          <w:rFonts w:hint="eastAsia" w:ascii="仿宋" w:eastAsia="仿宋"/>
          <w:b w:val="0"/>
          <w:bCs w:val="0"/>
          <w:color w:val="000000"/>
        </w:rPr>
        <w:t>九、</w:t>
      </w:r>
      <w:bookmarkEnd w:id="79"/>
      <w:r>
        <w:rPr>
          <w:rStyle w:val="24"/>
          <w:rFonts w:hint="eastAsia" w:ascii="仿宋" w:eastAsia="仿宋"/>
          <w:b w:val="0"/>
          <w:bCs w:val="0"/>
          <w:color w:val="000000"/>
        </w:rPr>
        <w:t>一般公共预算财政拨款项目支出决算表</w:t>
      </w:r>
    </w:p>
    <w:p w14:paraId="4A1F4A6C">
      <w:pPr>
        <w:pStyle w:val="4"/>
        <w:rPr>
          <w:rFonts w:ascii="仿宋" w:eastAsia="仿宋"/>
          <w:color w:val="000000"/>
        </w:rPr>
      </w:pPr>
      <w:bookmarkStart w:id="80" w:name="_Toc15396628"/>
      <w:r>
        <w:rPr>
          <w:rStyle w:val="24"/>
          <w:rFonts w:hint="eastAsia" w:ascii="仿宋" w:eastAsia="仿宋"/>
          <w:b w:val="0"/>
          <w:bCs w:val="0"/>
          <w:color w:val="000000"/>
        </w:rPr>
        <w:t>十、</w:t>
      </w:r>
      <w:bookmarkEnd w:id="80"/>
      <w:r>
        <w:rPr>
          <w:rStyle w:val="24"/>
          <w:rFonts w:hint="eastAsia" w:ascii="仿宋" w:eastAsia="仿宋"/>
          <w:b w:val="0"/>
          <w:bCs w:val="0"/>
          <w:color w:val="000000"/>
        </w:rPr>
        <w:t>政府性基金预算财政拨款收入支出决算表</w:t>
      </w:r>
    </w:p>
    <w:p w14:paraId="08BD9E37">
      <w:pPr>
        <w:pStyle w:val="4"/>
        <w:rPr>
          <w:rFonts w:ascii="仿宋" w:eastAsia="仿宋"/>
          <w:color w:val="000000"/>
        </w:rPr>
      </w:pPr>
      <w:bookmarkStart w:id="81" w:name="_Toc15396629"/>
      <w:r>
        <w:rPr>
          <w:rStyle w:val="24"/>
          <w:rFonts w:hint="eastAsia" w:ascii="仿宋" w:eastAsia="仿宋"/>
          <w:b w:val="0"/>
          <w:bCs w:val="0"/>
          <w:color w:val="000000"/>
        </w:rPr>
        <w:t>十一、</w:t>
      </w:r>
      <w:bookmarkEnd w:id="81"/>
      <w:r>
        <w:rPr>
          <w:rStyle w:val="24"/>
          <w:rFonts w:hint="eastAsia" w:ascii="仿宋" w:eastAsia="仿宋"/>
          <w:b w:val="0"/>
          <w:bCs w:val="0"/>
          <w:color w:val="000000"/>
        </w:rPr>
        <w:t>国有资本经营预算财政拨款收入支出决算表</w:t>
      </w:r>
    </w:p>
    <w:p w14:paraId="585F8C88">
      <w:pPr>
        <w:pStyle w:val="4"/>
        <w:rPr>
          <w:rFonts w:ascii="仿宋" w:eastAsia="仿宋"/>
          <w:color w:val="000000"/>
        </w:rPr>
      </w:pPr>
      <w:bookmarkStart w:id="82" w:name="_Toc15396630"/>
      <w:r>
        <w:rPr>
          <w:rStyle w:val="24"/>
          <w:rFonts w:hint="eastAsia" w:ascii="仿宋" w:eastAsia="仿宋"/>
          <w:b w:val="0"/>
          <w:bCs w:val="0"/>
          <w:color w:val="000000"/>
        </w:rPr>
        <w:t>十二、</w:t>
      </w:r>
      <w:bookmarkEnd w:id="82"/>
      <w:r>
        <w:rPr>
          <w:rStyle w:val="24"/>
          <w:rFonts w:hint="eastAsia" w:ascii="仿宋" w:eastAsia="仿宋"/>
          <w:b w:val="0"/>
          <w:bCs w:val="0"/>
          <w:color w:val="000000"/>
        </w:rPr>
        <w:t>国有资本经营预算财政拨款支出决算表</w:t>
      </w:r>
    </w:p>
    <w:p w14:paraId="DBEC7C31">
      <w:pPr>
        <w:pStyle w:val="4"/>
        <w:rPr>
          <w:rStyle w:val="24"/>
          <w:rFonts w:hint="eastAsia" w:ascii="仿宋" w:eastAsia="仿宋"/>
          <w:b w:val="0"/>
          <w:bCs w:val="0"/>
          <w:color w:val="000000"/>
        </w:rPr>
      </w:pPr>
      <w:bookmarkStart w:id="83" w:name="_Toc15396631"/>
      <w:r>
        <w:rPr>
          <w:rStyle w:val="24"/>
          <w:rFonts w:hint="eastAsia" w:ascii="仿宋" w:eastAsia="仿宋"/>
          <w:b w:val="0"/>
          <w:bCs w:val="0"/>
          <w:color w:val="000000"/>
        </w:rPr>
        <w:t>十三、</w:t>
      </w:r>
      <w:bookmarkEnd w:id="83"/>
      <w:r>
        <w:rPr>
          <w:rStyle w:val="24"/>
          <w:rFonts w:hint="eastAsia" w:ascii="仿宋" w:eastAsia="仿宋"/>
          <w:b w:val="0"/>
          <w:bCs w:val="0"/>
          <w:color w:val="000000"/>
        </w:rPr>
        <w:t>财政拨款“三公”经费支出决算表</w:t>
      </w:r>
    </w:p>
    <w:p w14:paraId="8E97E71F"/>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panose1 w:val="020B0602030504020204"/>
    <w:charset w:val="01"/>
    <w:family w:val="auto"/>
    <w:pitch w:val="default"/>
    <w:sig w:usb0="00000003" w:usb1="00000000" w:usb2="00000000" w:usb3="00000000" w:csb0="20000001" w:csb1="0000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FFD7186C">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5F69">
    <w:pPr>
      <w:pStyle w:val="13"/>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AFC54">
    <w:pPr>
      <w:pStyle w:val="13"/>
      <w:jc w:val="both"/>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1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7F08E31">
                          <w:pPr>
                            <w:pStyle w:val="13"/>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1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&#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Ll1uVLQAAAABQEAAA8AAAAAAAAAAQAgAAAAIgAAAGRy&#10;cy9kb3ducmV2LnhtbFBLAQIUABQAAAAIAIdO4kAX67GE1AEAAKADAAAOAAAAAAAAAAEAIAAAAB8B&#10;AABkcnMvZTJvRG9jLnhtbFBLBQYAAAAABgAGAFkBAABlBQAAAAA=&#10;">
              <v:fill on="f" focussize="0,0"/>
              <v:stroke on="f"/>
              <v:imagedata o:title=""/>
              <o:lock v:ext="edit" aspectratio="f"/>
              <v:textbox inset="0mm,0mm,0mm,0mm" style="mso-fit-shape-to-text:t;">
                <w:txbxContent>
                  <w:p w14:paraId="57F08E31">
                    <w:pPr>
                      <w:pStyle w:val="13"/>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6835B">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D4595">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9"/>
      <w:numFmt w:val="chineseCounting"/>
      <w:suff w:val="nothing"/>
      <w:lvlText w:val="%1、"/>
      <w:lvlJc w:val="left"/>
      <w:pPr>
        <w:tabs>
          <w:tab w:val="left" w:pos="0"/>
        </w:tabs>
        <w:ind w:left="0" w:firstLine="0"/>
      </w:pPr>
      <w:rPr>
        <w:rFonts w:hint="eastAsia"/>
      </w:rPr>
    </w:lvl>
  </w:abstractNum>
  <w:abstractNum w:abstractNumId="1">
    <w:nsid w:val="00000001"/>
    <w:multiLevelType w:val="singleLevel"/>
    <w:tmpl w:val="00000001"/>
    <w:lvl w:ilvl="0" w:tentative="0">
      <w:start w:val="3"/>
      <w:numFmt w:val="chineseCounting"/>
      <w:suff w:val="space"/>
      <w:lvlText w:val="第%1部分"/>
      <w:lvlJc w:val="left"/>
      <w:pPr>
        <w:tabs>
          <w:tab w:val="left" w:pos="0"/>
        </w:tabs>
        <w:ind w:left="0" w:firstLine="0"/>
      </w:pPr>
      <w:rPr>
        <w:rFonts w:hint="eastAsia"/>
      </w:rPr>
    </w:lvl>
  </w:abstractNum>
  <w:abstractNum w:abstractNumId="2">
    <w:nsid w:val="00000004"/>
    <w:multiLevelType w:val="multilevel"/>
    <w:tmpl w:val="00000004"/>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rsids>
    <w:rsidRoot w:val="00000000"/>
    <w:rsid w:val="000E5D71"/>
    <w:rsid w:val="035678CB"/>
    <w:rsid w:val="061E54C3"/>
    <w:rsid w:val="09811362"/>
    <w:rsid w:val="0FBD1A3F"/>
    <w:rsid w:val="10D70F97"/>
    <w:rsid w:val="14F05E5F"/>
    <w:rsid w:val="18827918"/>
    <w:rsid w:val="2E3B3682"/>
    <w:rsid w:val="2F765262"/>
    <w:rsid w:val="356509D4"/>
    <w:rsid w:val="3A3552C2"/>
    <w:rsid w:val="44E00926"/>
    <w:rsid w:val="46D30747"/>
    <w:rsid w:val="4BBC4527"/>
    <w:rsid w:val="4D2E2A41"/>
    <w:rsid w:val="52C32D67"/>
    <w:rsid w:val="535D627D"/>
    <w:rsid w:val="54BE2A37"/>
    <w:rsid w:val="54F975CB"/>
    <w:rsid w:val="562302C6"/>
    <w:rsid w:val="57650F48"/>
    <w:rsid w:val="5C7B745F"/>
    <w:rsid w:val="6DD76B71"/>
    <w:rsid w:val="6E3A48D9"/>
    <w:rsid w:val="70F3716D"/>
    <w:rsid w:val="75A241B6"/>
    <w:rsid w:val="77637447"/>
    <w:rsid w:val="77BA1031"/>
    <w:rsid w:val="79182423"/>
    <w:rsid w:val="79EB757B"/>
    <w:rsid w:val="7A7B022E"/>
    <w:rsid w:val="7B5A1B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4"/>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Normal Indent"/>
    <w:basedOn w:val="1"/>
    <w:qFormat/>
    <w:uiPriority w:val="0"/>
    <w:pPr>
      <w:ind w:firstLine="200" w:firstLineChars="200"/>
    </w:pPr>
    <w:rPr>
      <w:rFonts w:ascii="Calibri" w:hAnsi="Calibri" w:cs="黑体"/>
    </w:rPr>
  </w:style>
  <w:style w:type="paragraph" w:styleId="7">
    <w:name w:val="Body Text"/>
    <w:basedOn w:val="1"/>
    <w:next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ind w:firstLine="155" w:firstLineChars="155"/>
    </w:pPr>
    <w:rPr>
      <w:rFonts w:ascii="仿宋_GB2312" w:eastAsia="仿宋_GB2312"/>
      <w:color w:val="000000"/>
      <w:sz w:val="32"/>
      <w:szCs w:val="20"/>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ody Text Indent 2"/>
    <w:basedOn w:val="1"/>
    <w:qFormat/>
    <w:uiPriority w:val="0"/>
    <w:pPr>
      <w:spacing w:after="120" w:line="480" w:lineRule="auto"/>
      <w:ind w:left="420" w:leftChars="2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table of figures"/>
    <w:basedOn w:val="1"/>
    <w:next w:val="1"/>
    <w:qFormat/>
    <w:uiPriority w:val="0"/>
    <w:pPr>
      <w:ind w:left="200" w:leftChars="200" w:hanging="200" w:hangingChars="200"/>
    </w:pPr>
    <w:rPr>
      <w:rFonts w:eastAsia="仿宋"/>
      <w:sz w:val="32"/>
    </w:r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widowControl/>
      <w:spacing w:before="100" w:beforeAutospacing="1" w:after="100" w:afterAutospacing="1"/>
      <w:jc w:val="left"/>
    </w:pPr>
    <w:rPr>
      <w:rFonts w:ascii="宋体" w:cs="宋体"/>
      <w:kern w:val="0"/>
      <w:sz w:val="24"/>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customStyle="1" w:styleId="23">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character" w:customStyle="1" w:styleId="24">
    <w:name w:val="heading 2 Char"/>
    <w:basedOn w:val="20"/>
    <w:link w:val="4"/>
    <w:qFormat/>
    <w:uiPriority w:val="0"/>
    <w:rPr>
      <w:rFonts w:ascii="Cambria" w:hAnsi="Cambria" w:eastAsia="宋体" w:cs="Times New Roman"/>
      <w:b/>
      <w:bCs/>
      <w:kern w:val="2"/>
      <w:sz w:val="32"/>
      <w:szCs w:val="32"/>
      <w:lang w:val="en-US" w:eastAsia="zh-CN" w:bidi="ar-SA"/>
    </w:rPr>
  </w:style>
  <w:style w:type="character" w:customStyle="1" w:styleId="25">
    <w:name w:val="Header Char_bc81f9ca-91f6-42cc-a963-e35e4d5dacba"/>
    <w:basedOn w:val="20"/>
    <w:qFormat/>
    <w:uiPriority w:val="0"/>
    <w:rPr>
      <w:rFonts w:ascii="Times New Roman" w:hAnsi="Times New Roman"/>
      <w:sz w:val="18"/>
      <w:szCs w:val="18"/>
    </w:rPr>
  </w:style>
  <w:style w:type="character" w:customStyle="1" w:styleId="26">
    <w:name w:val="Footer Char_a71aff72-3dbd-4731-b73b-69dffe34727f"/>
    <w:basedOn w:val="20"/>
    <w:qFormat/>
    <w:uiPriority w:val="0"/>
    <w:rPr>
      <w:rFonts w:ascii="Times New Roman" w:hAnsi="Times New Roman"/>
      <w:sz w:val="18"/>
      <w:szCs w:val="18"/>
    </w:rPr>
  </w:style>
  <w:style w:type="character" w:customStyle="1" w:styleId="27">
    <w:name w:val="Body Text Char"/>
    <w:basedOn w:val="20"/>
    <w:qFormat/>
    <w:uiPriority w:val="0"/>
    <w:rPr>
      <w:rFonts w:ascii="Times New Roman" w:hAnsi="Times New Roman"/>
      <w:szCs w:val="24"/>
    </w:rPr>
  </w:style>
  <w:style w:type="paragraph" w:customStyle="1" w:styleId="28">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9">
    <w:name w:val="列表段落1"/>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1">
    <w:name w:val="TOC 标题2"/>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32">
    <w:name w:val="方正黑体 字符"/>
    <w:basedOn w:val="33"/>
    <w:link w:val="34"/>
    <w:qFormat/>
    <w:uiPriority w:val="0"/>
    <w:rPr>
      <w:rFonts w:eastAsia="方正黑体_GBK"/>
      <w:b w:val="0"/>
      <w:sz w:val="32"/>
    </w:rPr>
  </w:style>
  <w:style w:type="character" w:customStyle="1" w:styleId="33">
    <w:name w:val="标题 1 字符"/>
    <w:basedOn w:val="20"/>
    <w:link w:val="3"/>
    <w:qFormat/>
    <w:uiPriority w:val="9"/>
    <w:rPr>
      <w:b/>
      <w:bCs/>
      <w:kern w:val="44"/>
      <w:sz w:val="44"/>
      <w:szCs w:val="44"/>
    </w:rPr>
  </w:style>
  <w:style w:type="paragraph" w:customStyle="1" w:styleId="34">
    <w:name w:val="方正黑体"/>
    <w:basedOn w:val="3"/>
    <w:next w:val="35"/>
    <w:link w:val="32"/>
    <w:qFormat/>
    <w:uiPriority w:val="0"/>
    <w:pPr>
      <w:keepNext w:val="0"/>
      <w:keepLines w:val="0"/>
      <w:spacing w:before="0" w:after="0" w:line="576" w:lineRule="exact"/>
      <w:ind w:firstLine="200" w:firstLineChars="200"/>
    </w:pPr>
    <w:rPr>
      <w:rFonts w:eastAsia="方正黑体_GBK"/>
      <w:b w:val="0"/>
      <w:sz w:val="32"/>
    </w:rPr>
  </w:style>
  <w:style w:type="paragraph" w:customStyle="1" w:styleId="35">
    <w:name w:val="首行缩进"/>
    <w:basedOn w:val="1"/>
    <w:qFormat/>
    <w:uiPriority w:val="0"/>
    <w:pPr>
      <w:ind w:firstLine="200" w:firstLineChars="200"/>
    </w:pPr>
  </w:style>
  <w:style w:type="paragraph" w:customStyle="1" w:styleId="36">
    <w:name w:val="普通(网站) Char"/>
    <w:next w:val="17"/>
    <w:qFormat/>
    <w:uiPriority w:val="0"/>
    <w:pPr>
      <w:widowControl w:val="0"/>
      <w:spacing w:before="0" w:beforeAutospacing="1" w:after="0" w:afterAutospacing="1"/>
      <w:ind w:left="0" w:right="0"/>
      <w:jc w:val="left"/>
    </w:pPr>
    <w:rPr>
      <w:rFonts w:ascii="宋体" w:hAnsi="Times New Roman" w:eastAsia="宋体" w:cs="宋体"/>
      <w:kern w:val="0"/>
      <w:sz w:val="24"/>
      <w:szCs w:val="24"/>
      <w:lang w:val="en-US" w:eastAsia="zh-CN" w:bidi="ar-SA"/>
    </w:rPr>
  </w:style>
  <w:style w:type="paragraph" w:customStyle="1" w:styleId="37">
    <w:name w:val="p0"/>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chart" Target="charts/chart6.xml"/><Relationship Id="rId16" Type="http://schemas.openxmlformats.org/officeDocument/2006/relationships/image" Target="media/image2.emf"/><Relationship Id="rId15" Type="http://schemas.openxmlformats.org/officeDocument/2006/relationships/oleObject" Target="embeddings/oleObject1.bin"/><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400" b="0" i="0" u="none" strike="noStrike"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rPr>
              <a:t>2024</a:t>
            </a:r>
            <a:r>
              <a:rPr lang="zh-CN" sz="1400" b="0" i="0" u="none" strike="noStrike"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rPr>
              <a:t>年收支变动情况图（万元）</a:t>
            </a:r>
            <a:endParaRPr lang="zh-CN" sz="1400" b="0" i="0" u="none" strike="noStrike"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347914388376816"/>
          <c:y val="0.04330107"/>
        </c:manualLayout>
      </c:layout>
      <c:overlay val="0"/>
      <c:spPr>
        <a:noFill/>
        <a:ln>
          <a:noFill/>
        </a:ln>
      </c:spPr>
    </c:title>
    <c:autoTitleDeleted val="0"/>
    <c:plotArea>
      <c:layout>
        <c:manualLayout>
          <c:layoutTarget val="inner"/>
          <c:xMode val="edge"/>
          <c:yMode val="edge"/>
          <c:x val="0.06476628"/>
          <c:y val="0.23055509"/>
          <c:w val="0.927925"/>
          <c:h val="0.7165667"/>
        </c:manualLayout>
      </c:layout>
      <c:barChart>
        <c:barDir val="col"/>
        <c:grouping val="clustered"/>
        <c:varyColors val="0"/>
        <c:ser>
          <c:idx val="0"/>
          <c:order val="0"/>
          <c:tx>
            <c:strRef>
              <c:f>Sheet1!$B$1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Sheet1!$B$2</c:f>
              <c:numCache>
                <c:formatCode>General</c:formatCode>
                <c:ptCount val="1"/>
                <c:pt idx="0">
                  <c:v>1769.7</c:v>
                </c:pt>
              </c:numCache>
            </c:numRef>
          </c:val>
        </c:ser>
        <c:ser>
          <c:idx val="1"/>
          <c:order val="1"/>
          <c:tx>
            <c:strRef>
              <c:f>Sheet1!$C$1</c:f>
              <c:strCache>
                <c:ptCount val="1"/>
                <c:pt idx="0">
                  <c:v>支出</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Sheet1!$C$2</c:f>
              <c:numCache>
                <c:formatCode>General</c:formatCode>
                <c:ptCount val="1"/>
                <c:pt idx="0">
                  <c:v>1769.7</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1"/>
        <c:axPos val="b"/>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0"/>
        <c:crossesAt val="1"/>
        <c:crossBetween val="between"/>
      </c:valAx>
      <c:spPr>
        <a:noFill/>
        <a:ln>
          <a:noFill/>
        </a:ln>
      </c:spPr>
    </c:plotArea>
    <c:legend>
      <c:legendPos val="b"/>
      <c:legendEntry>
        <c:idx val="0"/>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2"/>
        <c:delete val="1"/>
      </c:legendEntry>
      <c:layout>
        <c:manualLayout>
          <c:xMode val="edge"/>
          <c:yMode val="edge"/>
          <c:x val="0.1272797"/>
          <c:y val="0.0435557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3b82350a-b0b9-4663-8eca-a6f4ff98ac5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收入决算结构图（万元）</a:t>
            </a:r>
            <a:endParaRPr lang="zh-CN"/>
          </a:p>
        </c:rich>
      </c:tx>
      <c:layout>
        <c:manualLayout>
          <c:xMode val="edge"/>
          <c:yMode val="edge"/>
          <c:x val="0.304994721663384"/>
          <c:y val="0.0451410379660971"/>
        </c:manualLayout>
      </c:layout>
      <c:overlay val="0"/>
      <c:spPr>
        <a:noFill/>
        <a:ln>
          <a:noFill/>
        </a:ln>
      </c:spPr>
    </c:title>
    <c:autoTitleDeleted val="0"/>
    <c:plotArea>
      <c:layout/>
      <c:pieChart>
        <c:varyColors val="1"/>
        <c:ser>
          <c:idx val="0"/>
          <c:order val="0"/>
          <c:tx>
            <c:strRef>
              <c:f>'Sheet1 (2)'!$B$1</c:f>
              <c:strCache>
                <c:ptCount val="1"/>
                <c:pt idx="0">
                  <c:v>收入</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1769.7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2c2895f7-55e8-4685-bc38-e5450061a0a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支出决算结构图（万元）</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1109.13</c:v>
                </c:pt>
                <c:pt idx="1">
                  <c:v>660.58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f49fbbe4-df29-483f-abad-9c4d924c9dd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AR PL UKai CN"/>
                <a:ea typeface="AR PL UKai CN"/>
                <a:cs typeface="Lucida Sans" panose="020B0602030504020204"/>
              </a:defRPr>
            </a:pPr>
            <a:r>
              <a:rPr lang="zh-CN" sz="1400" b="0" i="0" u="none" strike="noStrike" baseline="0">
                <a:solidFill>
                  <a:srgbClr val="595959"/>
                </a:solidFill>
                <a:latin typeface="Times New Roman" panose="02020603050405020304" charset="0"/>
                <a:ea typeface="AR PL UKai CN"/>
                <a:cs typeface="Times New Roman" panose="02020603050405020304" charset="0"/>
              </a:rPr>
              <a:t>202</a:t>
            </a:r>
            <a:r>
              <a:rPr lang="en-US" altLang="zh-CN" sz="1400" b="0" i="0" u="none" strike="noStrike" baseline="0">
                <a:solidFill>
                  <a:srgbClr val="595959"/>
                </a:solidFill>
                <a:latin typeface="Times New Roman" panose="02020603050405020304" charset="0"/>
                <a:ea typeface="AR PL UKai CN"/>
                <a:cs typeface="Times New Roman" panose="02020603050405020304" charset="0"/>
              </a:rPr>
              <a:t>3</a:t>
            </a:r>
            <a:r>
              <a:rPr lang="zh-CN" sz="1400" b="0" i="0" u="none" strike="noStrike" baseline="0">
                <a:solidFill>
                  <a:srgbClr val="595959"/>
                </a:solidFill>
                <a:latin typeface="AR PL UKai CN"/>
                <a:ea typeface="AR PL UKai CN"/>
                <a:cs typeface="Lucida Sans" panose="020B0602030504020204"/>
              </a:rPr>
              <a:t>、</a:t>
            </a:r>
            <a:r>
              <a:rPr lang="zh-CN" sz="1400" b="0" i="0" u="none" strike="noStrike" baseline="0">
                <a:solidFill>
                  <a:srgbClr val="595959"/>
                </a:solidFill>
                <a:latin typeface="Times New Roman" panose="02020603050405020304" charset="0"/>
                <a:ea typeface="AR PL UKai CN"/>
                <a:cs typeface="Times New Roman" panose="02020603050405020304" charset="0"/>
              </a:rPr>
              <a:t>202</a:t>
            </a:r>
            <a:r>
              <a:rPr lang="en-US" altLang="zh-CN" sz="1400" b="0" i="0" u="none" strike="noStrike" baseline="0">
                <a:solidFill>
                  <a:srgbClr val="595959"/>
                </a:solidFill>
                <a:latin typeface="Times New Roman" panose="02020603050405020304" charset="0"/>
                <a:ea typeface="AR PL UKai CN"/>
                <a:cs typeface="Times New Roman" panose="02020603050405020304" charset="0"/>
              </a:rPr>
              <a:t>4</a:t>
            </a:r>
            <a:r>
              <a:rPr lang="zh-CN" sz="1400" b="0" i="0" u="none" strike="noStrike" baseline="0">
                <a:solidFill>
                  <a:srgbClr val="595959"/>
                </a:solidFill>
                <a:latin typeface="AR PL UKai CN"/>
                <a:ea typeface="AR PL UKai CN"/>
                <a:cs typeface="Lucida Sans" panose="020B0602030504020204"/>
              </a:rPr>
              <a:t>年度财政拨款收、支决算总计变动情况表</a:t>
            </a:r>
            <a:endParaRPr lang="zh-CN" sz="1400" b="0" i="0" u="none" strike="noStrike" baseline="0">
              <a:solidFill>
                <a:srgbClr val="595959"/>
              </a:solidFill>
              <a:latin typeface="AR PL UKai CN"/>
              <a:ea typeface="AR PL UKai CN"/>
              <a:cs typeface="Lucida Sans" panose="020B0602030504020204"/>
            </a:endParaRPr>
          </a:p>
        </c:rich>
      </c:tx>
      <c:layout/>
      <c:overlay val="0"/>
      <c:spPr>
        <a:noFill/>
        <a:ln>
          <a:noFill/>
        </a:ln>
      </c:spPr>
    </c:title>
    <c:autoTitleDeleted val="0"/>
    <c:plotArea>
      <c:layout>
        <c:manualLayout>
          <c:layoutTarget val="inner"/>
          <c:xMode val="edge"/>
          <c:yMode val="edge"/>
          <c:x val="0.119931914"/>
          <c:y val="0.28207192"/>
          <c:w val="0.8553872"/>
          <c:h val="0.46629092"/>
        </c:manualLayout>
      </c:layout>
      <c:barChart>
        <c:barDir val="col"/>
        <c:grouping val="clustered"/>
        <c:varyColors val="0"/>
        <c:ser>
          <c:idx val="0"/>
          <c:order val="0"/>
          <c:tx>
            <c:strRef>
              <c:f>'Sheet1 (4)'!$B$1</c:f>
              <c:strCache>
                <c:ptCount val="1"/>
                <c:pt idx="0">
                  <c:v>收入</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2023年</c:v>
                </c:pt>
                <c:pt idx="1">
                  <c:v>2024年</c:v>
                </c:pt>
              </c:strCache>
            </c:strRef>
          </c:cat>
          <c:val>
            <c:numRef>
              <c:f>'Sheet1 (4)'!$B$2:$B$3</c:f>
              <c:numCache>
                <c:formatCode>General</c:formatCode>
                <c:ptCount val="2"/>
                <c:pt idx="0">
                  <c:v>3032.04</c:v>
                </c:pt>
                <c:pt idx="1">
                  <c:v>1769.7</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2023年</c:v>
                </c:pt>
                <c:pt idx="1">
                  <c:v>2024年</c:v>
                </c:pt>
              </c:strCache>
            </c:strRef>
          </c:cat>
          <c:val>
            <c:numRef>
              <c:f>{1}</c:f>
              <c:numCache>
                <c:formatCode>General</c:formatCode>
                <c:ptCount val="1"/>
                <c:pt idx="0">
                  <c:v>1</c:v>
                </c:pt>
              </c:numCache>
            </c:numRef>
          </c:val>
        </c:ser>
        <c:ser>
          <c:idx val="2"/>
          <c:order val="2"/>
          <c:tx>
            <c:strRef>
              <c:f>'Sheet1 (4)'!$C$1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(4)'!$A$2:$A$3</c:f>
              <c:strCache>
                <c:ptCount val="2"/>
                <c:pt idx="0">
                  <c:v>2023年</c:v>
                </c:pt>
                <c:pt idx="1">
                  <c:v>2024年</c:v>
                </c:pt>
              </c:strCache>
            </c:strRef>
          </c:cat>
          <c:val>
            <c:numRef>
              <c:f>'Sheet1 (4)'!$C$2:$C$3</c:f>
              <c:numCache>
                <c:formatCode>General</c:formatCode>
                <c:ptCount val="2"/>
                <c:pt idx="0">
                  <c:v>3032.04</c:v>
                </c:pt>
                <c:pt idx="1">
                  <c:v>1769.7</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0"/>
        <c:crossesAt val="1"/>
        <c:crossBetween val="between"/>
      </c:valAx>
      <c:spPr>
        <a:noFill/>
        <a:ln>
          <a:noFill/>
        </a:ln>
      </c:spPr>
    </c:plotArea>
    <c:legend>
      <c:legendPos val="b"/>
      <c:legendEntry>
        <c:idx val="1"/>
        <c:delete val="1"/>
      </c:legendEntry>
      <c:layout>
        <c:manualLayout>
          <c:xMode val="edge"/>
          <c:yMode val="edge"/>
          <c:x val="0.345875"/>
          <c:y val="0.93916667"/>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09b0d811-1c76-4547-a75c-97282690c19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zh-CN">
                <a:latin typeface="Times New Roman" panose="02020603050405020304" charset="0"/>
                <a:ea typeface="Times New Roman" panose="02020603050405020304" charset="0"/>
                <a:cs typeface="Times New Roman" panose="02020603050405020304" charset="0"/>
                <a:sym typeface="Times New Roman" panose="02020603050405020304" charset="0"/>
              </a:rPr>
              <a:t>一般公共预算财政拨款支出决算变动情况表</a:t>
            </a:r>
            <a:endParaRPr lang="zh-CN">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125360230344126"/>
          <c:y val="0.715851167889908"/>
        </c:manualLayout>
      </c:layout>
      <c:overlay val="0"/>
      <c:spPr>
        <a:solidFill>
          <a:srgbClr val="FFFFFF"/>
        </a:solidFill>
        <a:ln>
          <a:noFill/>
        </a:ln>
      </c:spPr>
    </c:title>
    <c:autoTitleDeleted val="0"/>
    <c:plotArea>
      <c:layout>
        <c:manualLayout>
          <c:layoutTarget val="inner"/>
          <c:xMode val="edge"/>
          <c:yMode val="edge"/>
          <c:x val="0.09802726"/>
          <c:y val="0.16993031"/>
          <c:w val="0.89659256"/>
          <c:h val="0.43557915"/>
        </c:manualLayout>
      </c:layout>
      <c:barChart>
        <c:barDir val="col"/>
        <c:grouping val="clustered"/>
        <c:varyColors val="0"/>
        <c:ser>
          <c:idx val="0"/>
          <c:order val="0"/>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2023年</c:v>
                </c:pt>
                <c:pt idx="1">
                  <c:v>2024年</c:v>
                </c:pt>
              </c:strCache>
            </c:strRef>
          </c:cat>
          <c:val>
            <c:numRef>
              <c:f>{1}</c:f>
              <c:numCache>
                <c:formatCode>General</c:formatCode>
                <c:ptCount val="1"/>
                <c:pt idx="0">
                  <c:v>1</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2023年</c:v>
                </c:pt>
                <c:pt idx="1">
                  <c:v>2024年</c:v>
                </c:pt>
              </c:strCache>
            </c:strRef>
          </c:cat>
          <c:val>
            <c:numRef>
              <c:f>{1}</c:f>
              <c:numCache>
                <c:formatCode>General</c:formatCode>
                <c:ptCount val="1"/>
                <c:pt idx="0">
                  <c:v>1</c:v>
                </c:pt>
              </c:numCache>
            </c:numRef>
          </c:val>
        </c:ser>
        <c:ser>
          <c:idx val="2"/>
          <c:order val="2"/>
          <c:tx>
            <c:strRef>
              <c:f>'Sheet1 (5)'!$B$1</c:f>
              <c:strCache>
                <c:ptCount val="1"/>
                <c:pt idx="0">
                  <c:v>支出</c:v>
                </c:pt>
              </c:strCache>
            </c:strRef>
          </c:tx>
          <c:spPr>
            <a:solidFill>
              <a:srgbClr val="9BBB59"/>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2023年</c:v>
                </c:pt>
                <c:pt idx="1">
                  <c:v>2024年</c:v>
                </c:pt>
              </c:strCache>
            </c:strRef>
          </c:cat>
          <c:val>
            <c:numRef>
              <c:f>'Sheet1 (5)'!$B$2:$B$3</c:f>
              <c:numCache>
                <c:formatCode>General</c:formatCode>
                <c:ptCount val="2"/>
                <c:pt idx="0">
                  <c:v>2992.04</c:v>
                </c:pt>
                <c:pt idx="1">
                  <c:v>1769.7</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out"/>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900" cap="none" spc="0" normalizeH="0" baseline="0">
                <a:solidFill>
                  <a:srgbClr val="595959"/>
                </a:solidFill>
                <a:uFill>
                  <a:solidFill>
                    <a:srgbClr val="595959"/>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0"/>
        <c:crossesAt val="1"/>
        <c:crossBetween val="between"/>
      </c:valAx>
      <c:spPr>
        <a:noFill/>
        <a:ln>
          <a:noFill/>
        </a:ln>
      </c:spPr>
    </c:plotArea>
    <c:legend>
      <c:legendPos val="b"/>
      <c:legendEntry>
        <c:idx val="0"/>
        <c:delete val="1"/>
      </c:legendEntry>
      <c:legendEntry>
        <c:idx val="1"/>
        <c:delete val="1"/>
      </c:legendEntry>
      <c:legendEntry>
        <c:idx val="2"/>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manualLayout>
          <c:xMode val="edge"/>
          <c:yMode val="edge"/>
          <c:x val="0.5567893"/>
          <c:y val="0.02752293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1ddd2e8f-89d1-41b7-a562-776e9d75636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zh-CN">
                <a:latin typeface="Times New Roman" panose="02020603050405020304" charset="0"/>
                <a:ea typeface="Times New Roman" panose="02020603050405020304" charset="0"/>
                <a:cs typeface="Times New Roman" panose="02020603050405020304" charset="0"/>
                <a:sym typeface="Times New Roman" panose="02020603050405020304" charset="0"/>
              </a:rPr>
              <a:t>“三公经费财政拨款”支出结构图</a:t>
            </a:r>
            <a:endParaRPr lang="zh-CN">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21371092477035"/>
          <c:y val="0.0475"/>
        </c:manualLayout>
      </c:layout>
      <c:overlay val="0"/>
      <c:spPr>
        <a:noFill/>
        <a:ln>
          <a:noFill/>
        </a:ln>
      </c:spPr>
    </c:title>
    <c:autoTitleDeleted val="0"/>
    <c:plotArea>
      <c:layout/>
      <c:pieChart>
        <c:varyColors val="1"/>
        <c:ser>
          <c:idx val="0"/>
          <c:order val="0"/>
          <c:tx>
            <c:strRef>
              <c:f>'Sheet1 (7)'!$B$1</c:f>
              <c:strCache>
                <c:ptCount val="1"/>
                <c:pt idx="0">
                  <c:v>支出</c:v>
                </c:pt>
              </c:strCache>
            </c:strRef>
          </c:tx>
          <c:spPr>
            <a:solidFill>
              <a:srgbClr val="4F81BD"/>
            </a:solidFill>
          </c:spPr>
          <c:explosion val="0"/>
          <c:dPt>
            <c:idx val="0"/>
            <c:bubble3D val="0"/>
            <c:spPr>
              <a:solidFill>
                <a:srgbClr val="4F81BD"/>
              </a:solidFill>
              <a:ln w="19050">
                <a:solidFill>
                  <a:srgbClr val="FFFFFF"/>
                </a:solidFill>
                <a:prstDash val="solid"/>
              </a:ln>
            </c:spPr>
          </c:dPt>
          <c:dLbls>
            <c:dLbl>
              <c:idx val="0"/>
              <c:layout>
                <c:manualLayout>
                  <c:x val="0.00216584732169405"/>
                  <c:y val="-0.175704993793503"/>
                </c:manualLayout>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a:latin typeface="Times New Roman" panose="02020603050405020304" charset="0"/>
                        <a:ea typeface="Times New Roman" panose="02020603050405020304" charset="0"/>
                        <a:cs typeface="Times New Roman" panose="02020603050405020304" charset="0"/>
                        <a:sym typeface="Times New Roman" panose="02020603050405020304" charset="0"/>
                      </a:rPr>
                      <a:t>9.2</a:t>
                    </a:r>
                    <a:endParaRPr lang="en-US" altLang="zh-CN">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c:f>
              <c:strCache>
                <c:ptCount val="1"/>
                <c:pt idx="0">
                  <c:v>公务用车运行维护费</c:v>
                </c:pt>
              </c:strCache>
            </c:strRef>
          </c:cat>
          <c:val>
            <c:numRef>
              <c:f>Sheet1 (7)!$B$2</c:f>
              <c:numCache>
                <c:formatCode>General</c:formatCode>
                <c:ptCount val="1"/>
                <c:pt idx="0">
                  <c:v>4.8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egendEntry>
        <c:idx val="0"/>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manualLayout>
          <c:xMode val="edge"/>
          <c:yMode val="edge"/>
          <c:x val="0.69456041086351"/>
          <c:y val="0.9175"/>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extLst>
      <c:ext uri="{0b15fc19-7d7d-44ad-8c2d-2c3a37ce22c3}">
        <chartProps xmlns="https://web.wps.cn/et/2018/main" chartId="{5450ebbe-0ee4-40e8-9c78-60146d06a25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58</Pages>
  <Words>12779</Words>
  <Characters>15719</Characters>
  <Paragraphs>1975</Paragraphs>
  <TotalTime>1</TotalTime>
  <ScaleCrop>false</ScaleCrop>
  <LinksUpToDate>false</LinksUpToDate>
  <CharactersWithSpaces>15740</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2025-09-24T13:30:00Z</dcterms:created>
  <dc:creator>曹颖</dc:creator>
  <cp:lastModifiedBy>迷之野性</cp:lastModifiedBy>
  <cp:lastPrinted>2020-10-20T10:35:00Z</cp:lastPrinted>
  <dcterms:modified xsi:type="dcterms:W3CDTF">2025-09-25T13:18:00Z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acf85af6818b4a459fbb5e90c5e3c05f_23</vt:lpwstr>
  </property>
  <property fmtid="{D5CDD505-2E9C-101B-9397-08002B2CF9AE}" pid="4" name="KSOTemplateDocerSaveRecord">
    <vt:lpwstr>eyJoZGlkIjoiYWJiMDM1NWUxZGMxZDUxYmUyYmMwNTE1OGQ1ZWM0NTMiLCJ1c2VySWQiOiI3MjkxNjY3MzMifQ==</vt:lpwstr>
  </property>
</Properties>
</file>